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428A4" w14:textId="77777777" w:rsidR="00AF0C8F" w:rsidRPr="00246717" w:rsidRDefault="00183E14" w:rsidP="000957D3">
      <w:pPr>
        <w:jc w:val="center"/>
        <w:rPr>
          <w:rFonts w:ascii="Times New Roman" w:hAnsi="Times New Roman" w:cs="Times New Roman"/>
          <w:lang w:val="pl-PL"/>
        </w:rPr>
      </w:pPr>
      <w:bookmarkStart w:id="0" w:name="_GoBack"/>
      <w:bookmarkEnd w:id="0"/>
      <w:r>
        <w:rPr>
          <w:rFonts w:ascii="Times New Roman" w:hAnsi="Times New Roman" w:cs="Times New Roman"/>
          <w:lang w:val="pl-PL"/>
        </w:rPr>
        <w:t>EUROPEJSKI TRYBUNAŁ PRAW CZŁOWIEKA</w:t>
      </w:r>
    </w:p>
    <w:p w14:paraId="2A97E396" w14:textId="77777777" w:rsidR="000957D3" w:rsidRPr="00246717" w:rsidRDefault="000957D3" w:rsidP="000957D3">
      <w:pPr>
        <w:jc w:val="center"/>
        <w:rPr>
          <w:rFonts w:ascii="Times New Roman" w:hAnsi="Times New Roman" w:cs="Times New Roman"/>
          <w:lang w:val="pl-PL"/>
        </w:rPr>
      </w:pPr>
    </w:p>
    <w:p w14:paraId="2002BA53" w14:textId="77777777" w:rsidR="00AF0C8F" w:rsidRPr="00246717" w:rsidRDefault="00AF0C8F" w:rsidP="000957D3">
      <w:pPr>
        <w:jc w:val="center"/>
        <w:rPr>
          <w:rFonts w:ascii="Times New Roman" w:hAnsi="Times New Roman" w:cs="Times New Roman"/>
          <w:lang w:val="pl-PL"/>
        </w:rPr>
      </w:pPr>
    </w:p>
    <w:p w14:paraId="23B2CAE9" w14:textId="77777777" w:rsidR="00AF0C8F" w:rsidRPr="00246717" w:rsidRDefault="00AF0C8F" w:rsidP="000957D3">
      <w:pPr>
        <w:tabs>
          <w:tab w:val="left" w:pos="5529"/>
        </w:tabs>
        <w:jc w:val="center"/>
        <w:rPr>
          <w:rFonts w:ascii="Times New Roman" w:hAnsi="Times New Roman" w:cs="Times New Roman"/>
          <w:lang w:val="pl-PL"/>
        </w:rPr>
      </w:pPr>
      <w:r w:rsidRPr="00246717">
        <w:rPr>
          <w:rFonts w:ascii="Times New Roman" w:hAnsi="Times New Roman" w:cs="Times New Roman"/>
          <w:lang w:val="pl-PL"/>
        </w:rPr>
        <w:t>WIELKA IZBA</w:t>
      </w:r>
    </w:p>
    <w:p w14:paraId="1D1F0E6F" w14:textId="77777777" w:rsidR="00AF0C8F" w:rsidRPr="00246717" w:rsidRDefault="00AF0C8F" w:rsidP="000957D3">
      <w:pPr>
        <w:jc w:val="center"/>
        <w:rPr>
          <w:rFonts w:ascii="Times New Roman" w:hAnsi="Times New Roman" w:cs="Times New Roman"/>
          <w:lang w:val="pl-PL"/>
        </w:rPr>
      </w:pPr>
    </w:p>
    <w:p w14:paraId="4B797E3B" w14:textId="77777777" w:rsidR="00AF0C8F" w:rsidRPr="00246717" w:rsidRDefault="00AF0C8F" w:rsidP="000957D3">
      <w:pPr>
        <w:jc w:val="center"/>
        <w:rPr>
          <w:rFonts w:ascii="Times New Roman" w:hAnsi="Times New Roman" w:cs="Times New Roman"/>
          <w:lang w:val="pl-PL"/>
        </w:rPr>
      </w:pPr>
    </w:p>
    <w:p w14:paraId="0EEC8955" w14:textId="77777777" w:rsidR="00AF0C8F" w:rsidRPr="00246717" w:rsidRDefault="00AF0C8F" w:rsidP="000957D3">
      <w:pPr>
        <w:jc w:val="center"/>
        <w:rPr>
          <w:rFonts w:ascii="Times New Roman" w:hAnsi="Times New Roman" w:cs="Times New Roman"/>
          <w:lang w:val="pl-PL"/>
        </w:rPr>
      </w:pPr>
    </w:p>
    <w:p w14:paraId="235D4AF0" w14:textId="77777777" w:rsidR="00AF0C8F" w:rsidRPr="00246717" w:rsidRDefault="00AF0C8F" w:rsidP="000957D3">
      <w:pPr>
        <w:jc w:val="center"/>
        <w:rPr>
          <w:rFonts w:ascii="Times New Roman" w:hAnsi="Times New Roman" w:cs="Times New Roman"/>
          <w:lang w:val="pl-PL"/>
        </w:rPr>
      </w:pPr>
    </w:p>
    <w:p w14:paraId="4D10907C" w14:textId="77777777" w:rsidR="000957D3" w:rsidRPr="00246717" w:rsidRDefault="000957D3" w:rsidP="000957D3">
      <w:pPr>
        <w:jc w:val="center"/>
        <w:rPr>
          <w:rFonts w:ascii="Times New Roman" w:hAnsi="Times New Roman" w:cs="Times New Roman"/>
          <w:lang w:val="pl-PL"/>
        </w:rPr>
      </w:pPr>
    </w:p>
    <w:p w14:paraId="0F83C0D6" w14:textId="77777777" w:rsidR="000957D3" w:rsidRPr="00246717" w:rsidRDefault="000957D3" w:rsidP="000957D3">
      <w:pPr>
        <w:jc w:val="center"/>
        <w:rPr>
          <w:rFonts w:ascii="Times New Roman" w:hAnsi="Times New Roman" w:cs="Times New Roman"/>
          <w:lang w:val="pl-PL"/>
        </w:rPr>
      </w:pPr>
    </w:p>
    <w:p w14:paraId="4C8998C6" w14:textId="77777777" w:rsidR="00AF0C8F" w:rsidRPr="00246717" w:rsidRDefault="00AF0C8F" w:rsidP="000957D3">
      <w:pPr>
        <w:jc w:val="center"/>
        <w:rPr>
          <w:rFonts w:ascii="Times New Roman" w:hAnsi="Times New Roman" w:cs="Times New Roman"/>
          <w:lang w:val="pl-PL"/>
        </w:rPr>
      </w:pPr>
    </w:p>
    <w:p w14:paraId="55B6C543" w14:textId="77777777" w:rsidR="00AF0C8F" w:rsidRPr="00246717" w:rsidRDefault="00AF0C8F" w:rsidP="000957D3">
      <w:pPr>
        <w:jc w:val="center"/>
        <w:rPr>
          <w:rFonts w:ascii="Times New Roman" w:hAnsi="Times New Roman" w:cs="Times New Roman"/>
          <w:lang w:val="pl-PL"/>
        </w:rPr>
      </w:pPr>
    </w:p>
    <w:p w14:paraId="5FBA734E" w14:textId="0A7ECB8D" w:rsidR="00AF0C8F" w:rsidRPr="00246717" w:rsidRDefault="00AF0C8F" w:rsidP="000957D3">
      <w:pPr>
        <w:jc w:val="center"/>
        <w:rPr>
          <w:rFonts w:ascii="Times New Roman" w:hAnsi="Times New Roman" w:cs="Times New Roman"/>
          <w:b/>
          <w:lang w:val="pl-PL"/>
        </w:rPr>
      </w:pPr>
      <w:r w:rsidRPr="00246717">
        <w:rPr>
          <w:rFonts w:ascii="Times New Roman" w:hAnsi="Times New Roman" w:cs="Times New Roman"/>
          <w:b/>
          <w:bCs/>
          <w:lang w:val="pl-PL"/>
        </w:rPr>
        <w:t xml:space="preserve">SPRAWA MURTAZALIYEVA </w:t>
      </w:r>
      <w:r w:rsidR="00183E14">
        <w:rPr>
          <w:rFonts w:ascii="Times New Roman" w:hAnsi="Times New Roman" w:cs="Times New Roman"/>
          <w:b/>
          <w:bCs/>
          <w:lang w:val="pl-PL"/>
        </w:rPr>
        <w:t>PRZECIWKO</w:t>
      </w:r>
      <w:r w:rsidRPr="00246717">
        <w:rPr>
          <w:rFonts w:ascii="Times New Roman" w:hAnsi="Times New Roman" w:cs="Times New Roman"/>
          <w:b/>
          <w:bCs/>
          <w:lang w:val="pl-PL"/>
        </w:rPr>
        <w:t xml:space="preserve"> ROSJI</w:t>
      </w:r>
    </w:p>
    <w:p w14:paraId="0EE65A9F" w14:textId="77777777" w:rsidR="00AF0C8F" w:rsidRPr="00246717" w:rsidRDefault="00AF0C8F" w:rsidP="000957D3">
      <w:pPr>
        <w:jc w:val="center"/>
        <w:rPr>
          <w:rFonts w:ascii="Times New Roman" w:hAnsi="Times New Roman" w:cs="Times New Roman"/>
          <w:lang w:val="pl-PL"/>
        </w:rPr>
      </w:pPr>
    </w:p>
    <w:p w14:paraId="362F2CBA" w14:textId="77777777" w:rsidR="00AF0C8F" w:rsidRPr="00246717" w:rsidRDefault="00AF0C8F" w:rsidP="000957D3">
      <w:pPr>
        <w:jc w:val="center"/>
        <w:rPr>
          <w:rFonts w:ascii="Times New Roman" w:hAnsi="Times New Roman" w:cs="Times New Roman"/>
          <w:i/>
          <w:lang w:val="pl-PL"/>
        </w:rPr>
      </w:pPr>
      <w:r w:rsidRPr="00246717">
        <w:rPr>
          <w:rFonts w:ascii="Times New Roman" w:hAnsi="Times New Roman" w:cs="Times New Roman"/>
          <w:i/>
          <w:iCs/>
          <w:lang w:val="pl-PL"/>
        </w:rPr>
        <w:t>(Skarga nr 36658/05)</w:t>
      </w:r>
    </w:p>
    <w:p w14:paraId="4AD3A06E" w14:textId="77777777" w:rsidR="00AF0C8F" w:rsidRPr="00246717" w:rsidRDefault="00AF0C8F" w:rsidP="000957D3">
      <w:pPr>
        <w:jc w:val="center"/>
        <w:rPr>
          <w:rFonts w:ascii="Times New Roman" w:hAnsi="Times New Roman" w:cs="Times New Roman"/>
          <w:lang w:val="pl-PL"/>
        </w:rPr>
      </w:pPr>
    </w:p>
    <w:p w14:paraId="33BE7307" w14:textId="77777777" w:rsidR="00AF0C8F" w:rsidRPr="00246717" w:rsidRDefault="00AF0C8F" w:rsidP="000957D3">
      <w:pPr>
        <w:jc w:val="center"/>
        <w:rPr>
          <w:rFonts w:ascii="Times New Roman" w:hAnsi="Times New Roman" w:cs="Times New Roman"/>
          <w:lang w:val="pl-PL"/>
        </w:rPr>
      </w:pPr>
    </w:p>
    <w:p w14:paraId="2C4FAFEE" w14:textId="77777777" w:rsidR="00AF0C8F" w:rsidRPr="00246717" w:rsidRDefault="00AF0C8F" w:rsidP="000957D3">
      <w:pPr>
        <w:jc w:val="center"/>
        <w:rPr>
          <w:rFonts w:ascii="Times New Roman" w:hAnsi="Times New Roman" w:cs="Times New Roman"/>
          <w:lang w:val="pl-PL"/>
        </w:rPr>
      </w:pPr>
    </w:p>
    <w:p w14:paraId="081D15E1" w14:textId="77777777" w:rsidR="000957D3" w:rsidRPr="00246717" w:rsidRDefault="000957D3" w:rsidP="000957D3">
      <w:pPr>
        <w:jc w:val="center"/>
        <w:rPr>
          <w:rFonts w:ascii="Times New Roman" w:hAnsi="Times New Roman" w:cs="Times New Roman"/>
          <w:lang w:val="pl-PL"/>
        </w:rPr>
      </w:pPr>
    </w:p>
    <w:p w14:paraId="5EDD191A" w14:textId="77777777" w:rsidR="00AF0C8F" w:rsidRPr="00246717" w:rsidRDefault="00AF0C8F" w:rsidP="000957D3">
      <w:pPr>
        <w:jc w:val="center"/>
        <w:rPr>
          <w:rFonts w:ascii="Times New Roman" w:hAnsi="Times New Roman" w:cs="Times New Roman"/>
          <w:lang w:val="pl-PL"/>
        </w:rPr>
      </w:pPr>
    </w:p>
    <w:p w14:paraId="6318D568" w14:textId="77777777" w:rsidR="00AF0C8F" w:rsidRPr="00246717" w:rsidRDefault="00AF0C8F" w:rsidP="000957D3">
      <w:pPr>
        <w:jc w:val="center"/>
        <w:rPr>
          <w:rFonts w:ascii="Times New Roman" w:hAnsi="Times New Roman" w:cs="Times New Roman"/>
          <w:lang w:val="pl-PL"/>
        </w:rPr>
      </w:pPr>
    </w:p>
    <w:p w14:paraId="4ABFE440" w14:textId="77777777" w:rsidR="00AF0C8F" w:rsidRPr="00246717" w:rsidRDefault="00AF0C8F" w:rsidP="000957D3">
      <w:pPr>
        <w:jc w:val="center"/>
        <w:rPr>
          <w:rFonts w:ascii="Times New Roman" w:hAnsi="Times New Roman" w:cs="Times New Roman"/>
          <w:lang w:val="pl-PL"/>
        </w:rPr>
      </w:pPr>
    </w:p>
    <w:p w14:paraId="3EA4538D" w14:textId="77777777" w:rsidR="00AF0C8F" w:rsidRPr="00246717" w:rsidRDefault="00AF0C8F" w:rsidP="000957D3">
      <w:pPr>
        <w:jc w:val="center"/>
        <w:rPr>
          <w:rFonts w:ascii="Times New Roman" w:hAnsi="Times New Roman" w:cs="Times New Roman"/>
          <w:lang w:val="pl-PL"/>
        </w:rPr>
      </w:pPr>
    </w:p>
    <w:p w14:paraId="41261C11" w14:textId="77777777" w:rsidR="00AF0C8F" w:rsidRPr="00246717" w:rsidRDefault="00AF0C8F" w:rsidP="000957D3">
      <w:pPr>
        <w:jc w:val="center"/>
        <w:rPr>
          <w:rFonts w:ascii="Times New Roman" w:hAnsi="Times New Roman" w:cs="Times New Roman"/>
          <w:lang w:val="pl-PL"/>
        </w:rPr>
      </w:pPr>
      <w:r w:rsidRPr="00246717">
        <w:rPr>
          <w:rFonts w:ascii="Times New Roman" w:hAnsi="Times New Roman" w:cs="Times New Roman"/>
          <w:lang w:val="pl-PL"/>
        </w:rPr>
        <w:t>WYROK</w:t>
      </w:r>
    </w:p>
    <w:p w14:paraId="6E0F9BD4" w14:textId="77777777" w:rsidR="00AF0C8F" w:rsidRPr="00246717" w:rsidRDefault="00AF0C8F" w:rsidP="000957D3">
      <w:pPr>
        <w:jc w:val="center"/>
        <w:rPr>
          <w:rFonts w:asciiTheme="majorHAnsi" w:hAnsiTheme="majorHAnsi" w:cstheme="majorHAnsi"/>
          <w:i/>
          <w:szCs w:val="24"/>
          <w:lang w:val="pl-PL"/>
        </w:rPr>
      </w:pPr>
    </w:p>
    <w:p w14:paraId="67DA042E" w14:textId="77777777" w:rsidR="000957D3" w:rsidRPr="00246717" w:rsidRDefault="000957D3" w:rsidP="000957D3">
      <w:pPr>
        <w:jc w:val="center"/>
        <w:rPr>
          <w:rFonts w:asciiTheme="majorHAnsi" w:hAnsiTheme="majorHAnsi" w:cstheme="majorHAnsi"/>
          <w:i/>
          <w:szCs w:val="24"/>
          <w:lang w:val="pl-PL"/>
        </w:rPr>
      </w:pPr>
    </w:p>
    <w:p w14:paraId="31DF55C4" w14:textId="77777777" w:rsidR="000957D3" w:rsidRPr="00246717" w:rsidRDefault="000957D3" w:rsidP="000957D3">
      <w:pPr>
        <w:jc w:val="center"/>
        <w:rPr>
          <w:rFonts w:asciiTheme="majorHAnsi" w:hAnsiTheme="majorHAnsi" w:cstheme="majorHAnsi"/>
          <w:i/>
          <w:szCs w:val="24"/>
          <w:lang w:val="pl-PL"/>
        </w:rPr>
      </w:pPr>
    </w:p>
    <w:p w14:paraId="5FEA201C" w14:textId="77777777" w:rsidR="000957D3" w:rsidRPr="00246717" w:rsidRDefault="000957D3" w:rsidP="000957D3">
      <w:pPr>
        <w:jc w:val="center"/>
        <w:rPr>
          <w:rFonts w:asciiTheme="majorHAnsi" w:hAnsiTheme="majorHAnsi" w:cstheme="majorHAnsi"/>
          <w:i/>
          <w:szCs w:val="24"/>
          <w:lang w:val="pl-PL"/>
        </w:rPr>
      </w:pPr>
    </w:p>
    <w:p w14:paraId="33DEBF32" w14:textId="77777777" w:rsidR="000957D3" w:rsidRPr="00246717" w:rsidRDefault="000957D3" w:rsidP="000957D3">
      <w:pPr>
        <w:jc w:val="center"/>
        <w:rPr>
          <w:rFonts w:asciiTheme="majorHAnsi" w:hAnsiTheme="majorHAnsi" w:cstheme="majorHAnsi"/>
          <w:i/>
          <w:szCs w:val="24"/>
          <w:lang w:val="pl-PL"/>
        </w:rPr>
      </w:pPr>
    </w:p>
    <w:p w14:paraId="03599FA9" w14:textId="77777777" w:rsidR="00AF0C8F" w:rsidRPr="00246717" w:rsidRDefault="00AF0C8F" w:rsidP="000957D3">
      <w:pPr>
        <w:jc w:val="center"/>
        <w:rPr>
          <w:rFonts w:ascii="Times New Roman" w:hAnsi="Times New Roman" w:cs="Times New Roman"/>
          <w:lang w:val="pl-PL"/>
        </w:rPr>
      </w:pPr>
    </w:p>
    <w:p w14:paraId="204EB63E" w14:textId="77777777" w:rsidR="00AF0C8F" w:rsidRPr="00246717" w:rsidRDefault="00AF0C8F" w:rsidP="000957D3">
      <w:pPr>
        <w:jc w:val="center"/>
        <w:rPr>
          <w:rFonts w:ascii="Times New Roman" w:hAnsi="Times New Roman" w:cs="Times New Roman"/>
          <w:lang w:val="pl-PL"/>
        </w:rPr>
      </w:pPr>
      <w:r w:rsidRPr="00246717">
        <w:rPr>
          <w:rFonts w:ascii="Times New Roman" w:hAnsi="Times New Roman" w:cs="Times New Roman"/>
          <w:lang w:val="pl-PL"/>
        </w:rPr>
        <w:t>STRASBURG</w:t>
      </w:r>
    </w:p>
    <w:p w14:paraId="06B22392" w14:textId="77777777" w:rsidR="00AF0C8F" w:rsidRPr="00246717" w:rsidRDefault="00AF0C8F" w:rsidP="000957D3">
      <w:pPr>
        <w:jc w:val="center"/>
        <w:rPr>
          <w:rFonts w:ascii="Times New Roman" w:hAnsi="Times New Roman" w:cs="Times New Roman"/>
          <w:lang w:val="pl-PL"/>
        </w:rPr>
      </w:pPr>
    </w:p>
    <w:p w14:paraId="7B0B509B" w14:textId="77777777" w:rsidR="00AF0C8F" w:rsidRPr="00246717" w:rsidRDefault="00183E14" w:rsidP="000957D3">
      <w:pPr>
        <w:jc w:val="center"/>
        <w:rPr>
          <w:rFonts w:ascii="Times New Roman" w:hAnsi="Times New Roman" w:cs="Times New Roman"/>
          <w:lang w:val="pl-PL"/>
        </w:rPr>
      </w:pPr>
      <w:r>
        <w:rPr>
          <w:rFonts w:ascii="Times New Roman" w:hAnsi="Times New Roman" w:cs="Times New Roman"/>
          <w:lang w:val="pl-PL"/>
        </w:rPr>
        <w:t xml:space="preserve">z dnia </w:t>
      </w:r>
      <w:r w:rsidR="009E66AE" w:rsidRPr="00246717">
        <w:rPr>
          <w:rFonts w:ascii="Times New Roman" w:hAnsi="Times New Roman" w:cs="Times New Roman"/>
          <w:lang w:val="pl-PL"/>
        </w:rPr>
        <w:t>18 grudnia 2018 r.</w:t>
      </w:r>
    </w:p>
    <w:p w14:paraId="7C204FD4" w14:textId="77777777" w:rsidR="00AF0C8F" w:rsidRPr="00246717" w:rsidRDefault="00AF0C8F" w:rsidP="000957D3">
      <w:pPr>
        <w:jc w:val="center"/>
        <w:rPr>
          <w:rFonts w:ascii="Times New Roman" w:hAnsi="Times New Roman" w:cs="Times New Roman"/>
          <w:lang w:val="pl-PL"/>
        </w:rPr>
      </w:pPr>
    </w:p>
    <w:p w14:paraId="7EA36C3A" w14:textId="77777777" w:rsidR="00AF0C8F" w:rsidRPr="00246717" w:rsidRDefault="00AF0C8F" w:rsidP="000957D3">
      <w:pPr>
        <w:jc w:val="center"/>
        <w:rPr>
          <w:rFonts w:ascii="Times New Roman" w:hAnsi="Times New Roman" w:cs="Times New Roman"/>
          <w:lang w:val="pl-PL"/>
        </w:rPr>
      </w:pPr>
    </w:p>
    <w:p w14:paraId="5E7BE2C8" w14:textId="77777777" w:rsidR="00AF0C8F" w:rsidRPr="00246717" w:rsidRDefault="00AF0C8F" w:rsidP="000957D3">
      <w:pPr>
        <w:jc w:val="center"/>
        <w:rPr>
          <w:rFonts w:ascii="Times New Roman" w:hAnsi="Times New Roman" w:cs="Times New Roman"/>
          <w:lang w:val="pl-PL"/>
        </w:rPr>
      </w:pPr>
    </w:p>
    <w:p w14:paraId="51B7FA48" w14:textId="77777777" w:rsidR="007E261E" w:rsidRPr="00246717" w:rsidRDefault="00AF0C8F" w:rsidP="000957D3">
      <w:pPr>
        <w:jc w:val="left"/>
        <w:rPr>
          <w:szCs w:val="24"/>
          <w:lang w:val="pl-PL"/>
        </w:rPr>
      </w:pPr>
      <w:r w:rsidRPr="00246717">
        <w:rPr>
          <w:rFonts w:ascii="Times New Roman" w:hAnsi="Times New Roman" w:cs="Times New Roman"/>
          <w:i/>
          <w:iCs/>
          <w:sz w:val="22"/>
          <w:lang w:val="pl-PL"/>
        </w:rPr>
        <w:t>Wyrok jest ostateczny, ale może podlegać korekcie wydawniczej.</w:t>
      </w:r>
    </w:p>
    <w:p w14:paraId="1A097E04" w14:textId="77777777" w:rsidR="001A099F" w:rsidRPr="00246717" w:rsidRDefault="001A099F" w:rsidP="000957D3">
      <w:pPr>
        <w:jc w:val="left"/>
        <w:rPr>
          <w:szCs w:val="24"/>
          <w:lang w:val="pl-PL"/>
        </w:rPr>
        <w:sectPr w:rsidR="001A099F" w:rsidRPr="00246717" w:rsidSect="001A099F">
          <w:headerReference w:type="even" r:id="rId11"/>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14:paraId="79341B78" w14:textId="77777777" w:rsidR="00014566" w:rsidRPr="00246717" w:rsidRDefault="00014566" w:rsidP="000957D3">
      <w:pPr>
        <w:pStyle w:val="JuCase"/>
        <w:rPr>
          <w:bCs/>
          <w:lang w:val="pl-PL"/>
        </w:rPr>
      </w:pPr>
      <w:r w:rsidRPr="00246717">
        <w:rPr>
          <w:bCs/>
          <w:lang w:val="pl-PL"/>
        </w:rPr>
        <w:lastRenderedPageBreak/>
        <w:t xml:space="preserve">W sprawie </w:t>
      </w:r>
      <w:proofErr w:type="spellStart"/>
      <w:r w:rsidRPr="00246717">
        <w:rPr>
          <w:bCs/>
          <w:lang w:val="pl-PL"/>
        </w:rPr>
        <w:t>Murtazaliyeva</w:t>
      </w:r>
      <w:proofErr w:type="spellEnd"/>
      <w:r w:rsidRPr="00246717">
        <w:rPr>
          <w:bCs/>
          <w:lang w:val="pl-PL"/>
        </w:rPr>
        <w:t xml:space="preserve"> przeciwko Rosji,</w:t>
      </w:r>
    </w:p>
    <w:p w14:paraId="5F0EB763" w14:textId="77777777" w:rsidR="00014566" w:rsidRPr="00246717" w:rsidRDefault="00014566" w:rsidP="000957D3">
      <w:pPr>
        <w:pStyle w:val="ECHRPara"/>
        <w:rPr>
          <w:lang w:val="pl-PL"/>
        </w:rPr>
      </w:pPr>
      <w:r w:rsidRPr="00246717">
        <w:rPr>
          <w:lang w:val="pl-PL"/>
        </w:rPr>
        <w:t>Europejski Trybunał Praw Człowieka, zasiadając jako Wielka Izba w składzie:</w:t>
      </w:r>
    </w:p>
    <w:p w14:paraId="529E4747" w14:textId="77777777" w:rsidR="00A5224B" w:rsidRPr="00246717" w:rsidRDefault="0076348A" w:rsidP="000957D3">
      <w:pPr>
        <w:pStyle w:val="ECHRDecisionBody"/>
        <w:rPr>
          <w:lang w:val="pl-PL"/>
        </w:rPr>
      </w:pPr>
      <w:r w:rsidRPr="00246717">
        <w:rPr>
          <w:lang w:val="pl-PL"/>
        </w:rPr>
        <w:tab/>
        <w:t xml:space="preserve">Guido </w:t>
      </w:r>
      <w:proofErr w:type="spellStart"/>
      <w:r w:rsidRPr="00246717">
        <w:rPr>
          <w:lang w:val="pl-PL"/>
        </w:rPr>
        <w:t>Raimondi</w:t>
      </w:r>
      <w:proofErr w:type="spellEnd"/>
      <w:r w:rsidRPr="00246717">
        <w:rPr>
          <w:lang w:val="pl-PL"/>
        </w:rPr>
        <w:t>,</w:t>
      </w:r>
      <w:r w:rsidRPr="00246717">
        <w:rPr>
          <w:i/>
          <w:iCs/>
          <w:lang w:val="pl-PL"/>
        </w:rPr>
        <w:t xml:space="preserve"> Przewodniczący,</w:t>
      </w:r>
      <w:r w:rsidRPr="00246717">
        <w:rPr>
          <w:lang w:val="pl-PL"/>
        </w:rPr>
        <w:br/>
      </w:r>
      <w:r w:rsidRPr="00246717">
        <w:rPr>
          <w:lang w:val="pl-PL"/>
        </w:rPr>
        <w:tab/>
        <w:t xml:space="preserve">Angelika </w:t>
      </w:r>
      <w:proofErr w:type="spellStart"/>
      <w:r w:rsidRPr="00246717">
        <w:rPr>
          <w:lang w:val="pl-PL"/>
        </w:rPr>
        <w:t>Nußberger</w:t>
      </w:r>
      <w:proofErr w:type="spellEnd"/>
      <w:r w:rsidRPr="00246717">
        <w:rPr>
          <w:lang w:val="pl-PL"/>
        </w:rPr>
        <w:t>,</w:t>
      </w:r>
      <w:r w:rsidRPr="00246717">
        <w:rPr>
          <w:lang w:val="pl-PL"/>
        </w:rPr>
        <w:br/>
      </w:r>
      <w:r w:rsidRPr="00246717">
        <w:rPr>
          <w:lang w:val="pl-PL"/>
        </w:rPr>
        <w:tab/>
      </w:r>
      <w:proofErr w:type="spellStart"/>
      <w:r w:rsidRPr="00246717">
        <w:rPr>
          <w:lang w:val="pl-PL"/>
        </w:rPr>
        <w:t>Linos-Alexandre</w:t>
      </w:r>
      <w:proofErr w:type="spellEnd"/>
      <w:r w:rsidRPr="00246717">
        <w:rPr>
          <w:lang w:val="pl-PL"/>
        </w:rPr>
        <w:t xml:space="preserve"> </w:t>
      </w:r>
      <w:proofErr w:type="spellStart"/>
      <w:r w:rsidRPr="00246717">
        <w:rPr>
          <w:lang w:val="pl-PL"/>
        </w:rPr>
        <w:t>Sicilianos</w:t>
      </w:r>
      <w:proofErr w:type="spellEnd"/>
      <w:r w:rsidRPr="00246717">
        <w:rPr>
          <w:lang w:val="pl-PL"/>
        </w:rPr>
        <w:t>,</w:t>
      </w:r>
      <w:r w:rsidRPr="00246717">
        <w:rPr>
          <w:lang w:val="pl-PL"/>
        </w:rPr>
        <w:br/>
      </w:r>
      <w:r w:rsidRPr="00246717">
        <w:rPr>
          <w:lang w:val="pl-PL"/>
        </w:rPr>
        <w:tab/>
      </w:r>
      <w:proofErr w:type="spellStart"/>
      <w:r w:rsidRPr="00246717">
        <w:rPr>
          <w:lang w:val="pl-PL"/>
        </w:rPr>
        <w:t>Ganna</w:t>
      </w:r>
      <w:proofErr w:type="spellEnd"/>
      <w:r w:rsidRPr="00246717">
        <w:rPr>
          <w:lang w:val="pl-PL"/>
        </w:rPr>
        <w:t xml:space="preserve"> </w:t>
      </w:r>
      <w:proofErr w:type="spellStart"/>
      <w:r w:rsidRPr="00246717">
        <w:rPr>
          <w:lang w:val="pl-PL"/>
        </w:rPr>
        <w:t>Yudkivska</w:t>
      </w:r>
      <w:proofErr w:type="spellEnd"/>
      <w:r w:rsidRPr="00246717">
        <w:rPr>
          <w:lang w:val="pl-PL"/>
        </w:rPr>
        <w:t>,</w:t>
      </w:r>
      <w:r w:rsidRPr="00246717">
        <w:rPr>
          <w:lang w:val="pl-PL"/>
        </w:rPr>
        <w:br/>
      </w:r>
      <w:r w:rsidRPr="00246717">
        <w:rPr>
          <w:lang w:val="pl-PL"/>
        </w:rPr>
        <w:tab/>
        <w:t>Robert Spano,</w:t>
      </w:r>
      <w:r w:rsidRPr="00246717">
        <w:rPr>
          <w:lang w:val="pl-PL"/>
        </w:rPr>
        <w:br/>
      </w:r>
      <w:r w:rsidRPr="00246717">
        <w:rPr>
          <w:lang w:val="pl-PL"/>
        </w:rPr>
        <w:tab/>
        <w:t xml:space="preserve">Paulo </w:t>
      </w:r>
      <w:proofErr w:type="spellStart"/>
      <w:r w:rsidRPr="00246717">
        <w:rPr>
          <w:lang w:val="pl-PL"/>
        </w:rPr>
        <w:t>Pinto</w:t>
      </w:r>
      <w:proofErr w:type="spellEnd"/>
      <w:r w:rsidRPr="00246717">
        <w:rPr>
          <w:lang w:val="pl-PL"/>
        </w:rPr>
        <w:t xml:space="preserve"> de Albuquerque,</w:t>
      </w:r>
      <w:r w:rsidRPr="00246717">
        <w:rPr>
          <w:lang w:val="pl-PL"/>
        </w:rPr>
        <w:br/>
      </w:r>
      <w:r w:rsidRPr="00246717">
        <w:rPr>
          <w:lang w:val="pl-PL"/>
        </w:rPr>
        <w:tab/>
      </w:r>
      <w:proofErr w:type="spellStart"/>
      <w:r w:rsidRPr="00246717">
        <w:rPr>
          <w:lang w:val="pl-PL"/>
        </w:rPr>
        <w:t>André</w:t>
      </w:r>
      <w:proofErr w:type="spellEnd"/>
      <w:r w:rsidRPr="00246717">
        <w:rPr>
          <w:lang w:val="pl-PL"/>
        </w:rPr>
        <w:t xml:space="preserve"> Potocki,</w:t>
      </w:r>
      <w:r w:rsidRPr="00246717">
        <w:rPr>
          <w:lang w:val="pl-PL"/>
        </w:rPr>
        <w:br/>
      </w:r>
      <w:r w:rsidRPr="00246717">
        <w:rPr>
          <w:lang w:val="pl-PL"/>
        </w:rPr>
        <w:tab/>
        <w:t xml:space="preserve">Valeriu </w:t>
      </w:r>
      <w:proofErr w:type="spellStart"/>
      <w:r w:rsidRPr="00246717">
        <w:rPr>
          <w:lang w:val="pl-PL"/>
        </w:rPr>
        <w:t>Griţco</w:t>
      </w:r>
      <w:proofErr w:type="spellEnd"/>
      <w:r w:rsidRPr="00246717">
        <w:rPr>
          <w:lang w:val="pl-PL"/>
        </w:rPr>
        <w:t>,</w:t>
      </w:r>
      <w:r w:rsidRPr="00246717">
        <w:rPr>
          <w:lang w:val="pl-PL"/>
        </w:rPr>
        <w:br/>
      </w:r>
      <w:r w:rsidRPr="00246717">
        <w:rPr>
          <w:lang w:val="pl-PL"/>
        </w:rPr>
        <w:tab/>
      </w:r>
      <w:proofErr w:type="spellStart"/>
      <w:r w:rsidRPr="00246717">
        <w:rPr>
          <w:lang w:val="pl-PL"/>
        </w:rPr>
        <w:t>Faris</w:t>
      </w:r>
      <w:proofErr w:type="spellEnd"/>
      <w:r w:rsidRPr="00246717">
        <w:rPr>
          <w:lang w:val="pl-PL"/>
        </w:rPr>
        <w:t xml:space="preserve"> </w:t>
      </w:r>
      <w:proofErr w:type="spellStart"/>
      <w:r w:rsidRPr="00246717">
        <w:rPr>
          <w:lang w:val="pl-PL"/>
        </w:rPr>
        <w:t>Vehabović</w:t>
      </w:r>
      <w:proofErr w:type="spellEnd"/>
      <w:r w:rsidRPr="00246717">
        <w:rPr>
          <w:lang w:val="pl-PL"/>
        </w:rPr>
        <w:t>,</w:t>
      </w:r>
      <w:r w:rsidRPr="00246717">
        <w:rPr>
          <w:lang w:val="pl-PL"/>
        </w:rPr>
        <w:br/>
      </w:r>
      <w:r w:rsidRPr="00246717">
        <w:rPr>
          <w:lang w:val="pl-PL"/>
        </w:rPr>
        <w:tab/>
      </w:r>
      <w:proofErr w:type="spellStart"/>
      <w:r w:rsidRPr="00246717">
        <w:rPr>
          <w:lang w:val="pl-PL"/>
        </w:rPr>
        <w:t>Dmitry</w:t>
      </w:r>
      <w:proofErr w:type="spellEnd"/>
      <w:r w:rsidRPr="00246717">
        <w:rPr>
          <w:lang w:val="pl-PL"/>
        </w:rPr>
        <w:t xml:space="preserve"> </w:t>
      </w:r>
      <w:proofErr w:type="spellStart"/>
      <w:r w:rsidRPr="00246717">
        <w:rPr>
          <w:lang w:val="pl-PL"/>
        </w:rPr>
        <w:t>Dedov</w:t>
      </w:r>
      <w:proofErr w:type="spellEnd"/>
      <w:r w:rsidRPr="00246717">
        <w:rPr>
          <w:lang w:val="pl-PL"/>
        </w:rPr>
        <w:t>,</w:t>
      </w:r>
      <w:r w:rsidRPr="00246717">
        <w:rPr>
          <w:lang w:val="pl-PL"/>
        </w:rPr>
        <w:br/>
      </w:r>
      <w:r w:rsidRPr="00246717">
        <w:rPr>
          <w:lang w:val="pl-PL"/>
        </w:rPr>
        <w:tab/>
      </w:r>
      <w:proofErr w:type="spellStart"/>
      <w:r w:rsidRPr="00246717">
        <w:rPr>
          <w:lang w:val="pl-PL"/>
        </w:rPr>
        <w:t>Iulia</w:t>
      </w:r>
      <w:proofErr w:type="spellEnd"/>
      <w:r w:rsidRPr="00246717">
        <w:rPr>
          <w:lang w:val="pl-PL"/>
        </w:rPr>
        <w:t xml:space="preserve"> </w:t>
      </w:r>
      <w:proofErr w:type="spellStart"/>
      <w:r w:rsidRPr="00246717">
        <w:rPr>
          <w:lang w:val="pl-PL"/>
        </w:rPr>
        <w:t>Antoanella</w:t>
      </w:r>
      <w:proofErr w:type="spellEnd"/>
      <w:r w:rsidRPr="00246717">
        <w:rPr>
          <w:lang w:val="pl-PL"/>
        </w:rPr>
        <w:t xml:space="preserve"> </w:t>
      </w:r>
      <w:proofErr w:type="spellStart"/>
      <w:r w:rsidRPr="00246717">
        <w:rPr>
          <w:lang w:val="pl-PL"/>
        </w:rPr>
        <w:t>Motoc</w:t>
      </w:r>
      <w:proofErr w:type="spellEnd"/>
      <w:r w:rsidRPr="00246717">
        <w:rPr>
          <w:lang w:val="pl-PL"/>
        </w:rPr>
        <w:t>,</w:t>
      </w:r>
      <w:r w:rsidRPr="00246717">
        <w:rPr>
          <w:lang w:val="pl-PL"/>
        </w:rPr>
        <w:br/>
      </w:r>
      <w:r w:rsidRPr="00246717">
        <w:rPr>
          <w:lang w:val="pl-PL"/>
        </w:rPr>
        <w:tab/>
        <w:t xml:space="preserve">Carlo </w:t>
      </w:r>
      <w:proofErr w:type="spellStart"/>
      <w:r w:rsidRPr="00246717">
        <w:rPr>
          <w:lang w:val="pl-PL"/>
        </w:rPr>
        <w:t>Ranzoni</w:t>
      </w:r>
      <w:proofErr w:type="spellEnd"/>
      <w:r w:rsidRPr="00246717">
        <w:rPr>
          <w:lang w:val="pl-PL"/>
        </w:rPr>
        <w:t>,</w:t>
      </w:r>
      <w:r w:rsidRPr="00246717">
        <w:rPr>
          <w:lang w:val="pl-PL"/>
        </w:rPr>
        <w:br/>
      </w:r>
      <w:r w:rsidRPr="00246717">
        <w:rPr>
          <w:lang w:val="pl-PL"/>
        </w:rPr>
        <w:tab/>
      </w:r>
      <w:proofErr w:type="spellStart"/>
      <w:r w:rsidRPr="00246717">
        <w:rPr>
          <w:lang w:val="pl-PL"/>
        </w:rPr>
        <w:t>Armen</w:t>
      </w:r>
      <w:proofErr w:type="spellEnd"/>
      <w:r w:rsidRPr="00246717">
        <w:rPr>
          <w:lang w:val="pl-PL"/>
        </w:rPr>
        <w:t xml:space="preserve"> </w:t>
      </w:r>
      <w:proofErr w:type="spellStart"/>
      <w:r w:rsidRPr="00246717">
        <w:rPr>
          <w:lang w:val="pl-PL"/>
        </w:rPr>
        <w:t>Harutyunyan</w:t>
      </w:r>
      <w:proofErr w:type="spellEnd"/>
      <w:r w:rsidRPr="00246717">
        <w:rPr>
          <w:lang w:val="pl-PL"/>
        </w:rPr>
        <w:t>,</w:t>
      </w:r>
      <w:r w:rsidRPr="00246717">
        <w:rPr>
          <w:lang w:val="pl-PL"/>
        </w:rPr>
        <w:br/>
      </w:r>
      <w:r w:rsidRPr="00246717">
        <w:rPr>
          <w:lang w:val="pl-PL"/>
        </w:rPr>
        <w:tab/>
        <w:t xml:space="preserve">Georges </w:t>
      </w:r>
      <w:proofErr w:type="spellStart"/>
      <w:r w:rsidRPr="00246717">
        <w:rPr>
          <w:lang w:val="pl-PL"/>
        </w:rPr>
        <w:t>Ravarani</w:t>
      </w:r>
      <w:proofErr w:type="spellEnd"/>
      <w:r w:rsidRPr="00246717">
        <w:rPr>
          <w:lang w:val="pl-PL"/>
        </w:rPr>
        <w:t>,</w:t>
      </w:r>
      <w:r w:rsidRPr="00246717">
        <w:rPr>
          <w:lang w:val="pl-PL"/>
        </w:rPr>
        <w:br/>
      </w:r>
      <w:r w:rsidRPr="00246717">
        <w:rPr>
          <w:lang w:val="pl-PL"/>
        </w:rPr>
        <w:tab/>
        <w:t xml:space="preserve">Marko </w:t>
      </w:r>
      <w:proofErr w:type="spellStart"/>
      <w:r w:rsidRPr="00246717">
        <w:rPr>
          <w:lang w:val="pl-PL"/>
        </w:rPr>
        <w:t>Bošnjak</w:t>
      </w:r>
      <w:proofErr w:type="spellEnd"/>
      <w:r w:rsidRPr="00246717">
        <w:rPr>
          <w:lang w:val="pl-PL"/>
        </w:rPr>
        <w:t>,</w:t>
      </w:r>
      <w:r w:rsidRPr="00246717">
        <w:rPr>
          <w:lang w:val="pl-PL"/>
        </w:rPr>
        <w:br/>
      </w:r>
      <w:r w:rsidRPr="00246717">
        <w:rPr>
          <w:lang w:val="pl-PL"/>
        </w:rPr>
        <w:tab/>
        <w:t xml:space="preserve">Tim </w:t>
      </w:r>
      <w:proofErr w:type="spellStart"/>
      <w:r w:rsidRPr="00246717">
        <w:rPr>
          <w:lang w:val="pl-PL"/>
        </w:rPr>
        <w:t>Eicke</w:t>
      </w:r>
      <w:proofErr w:type="spellEnd"/>
      <w:r w:rsidRPr="00246717">
        <w:rPr>
          <w:lang w:val="pl-PL"/>
        </w:rPr>
        <w:t>,</w:t>
      </w:r>
    </w:p>
    <w:p w14:paraId="1D21415E" w14:textId="76ABE1D8" w:rsidR="00014566" w:rsidRPr="00246717" w:rsidRDefault="00A5224B" w:rsidP="000957D3">
      <w:pPr>
        <w:pStyle w:val="ECHRDecisionBody"/>
        <w:rPr>
          <w:lang w:val="pl-PL"/>
        </w:rPr>
      </w:pPr>
      <w:r w:rsidRPr="00246717">
        <w:rPr>
          <w:lang w:val="pl-PL"/>
        </w:rPr>
        <w:tab/>
      </w:r>
      <w:proofErr w:type="spellStart"/>
      <w:r w:rsidRPr="00246717">
        <w:rPr>
          <w:lang w:val="pl-PL"/>
        </w:rPr>
        <w:t>Péter</w:t>
      </w:r>
      <w:proofErr w:type="spellEnd"/>
      <w:r w:rsidRPr="00246717">
        <w:rPr>
          <w:lang w:val="pl-PL"/>
        </w:rPr>
        <w:t xml:space="preserve"> </w:t>
      </w:r>
      <w:proofErr w:type="spellStart"/>
      <w:r w:rsidRPr="00246717">
        <w:rPr>
          <w:lang w:val="pl-PL"/>
        </w:rPr>
        <w:t>Paczolay</w:t>
      </w:r>
      <w:proofErr w:type="spellEnd"/>
      <w:r w:rsidRPr="00246717">
        <w:rPr>
          <w:lang w:val="pl-PL"/>
        </w:rPr>
        <w:t>,</w:t>
      </w:r>
      <w:r w:rsidRPr="00246717">
        <w:rPr>
          <w:i/>
          <w:iCs/>
          <w:lang w:val="pl-PL"/>
        </w:rPr>
        <w:t xml:space="preserve"> sędziowie,</w:t>
      </w:r>
      <w:r w:rsidRPr="00246717">
        <w:rPr>
          <w:szCs w:val="24"/>
          <w:lang w:val="pl-PL"/>
        </w:rPr>
        <w:br/>
      </w:r>
      <w:r w:rsidR="00183E14">
        <w:rPr>
          <w:lang w:val="pl-PL"/>
        </w:rPr>
        <w:t>oraz</w:t>
      </w:r>
      <w:r w:rsidRPr="00246717">
        <w:rPr>
          <w:lang w:val="pl-PL"/>
        </w:rPr>
        <w:t xml:space="preserve"> Lawrence </w:t>
      </w:r>
      <w:proofErr w:type="spellStart"/>
      <w:r w:rsidRPr="00246717">
        <w:rPr>
          <w:lang w:val="pl-PL"/>
        </w:rPr>
        <w:t>Early</w:t>
      </w:r>
      <w:proofErr w:type="spellEnd"/>
      <w:r w:rsidRPr="00246717">
        <w:rPr>
          <w:lang w:val="pl-PL"/>
        </w:rPr>
        <w:t xml:space="preserve">, </w:t>
      </w:r>
      <w:r w:rsidR="00A7036E">
        <w:rPr>
          <w:i/>
          <w:iCs/>
          <w:lang w:val="pl-PL"/>
        </w:rPr>
        <w:t>d</w:t>
      </w:r>
      <w:r w:rsidRPr="00246717">
        <w:rPr>
          <w:i/>
          <w:iCs/>
          <w:lang w:val="pl-PL"/>
        </w:rPr>
        <w:t>oradca prawny [</w:t>
      </w:r>
      <w:proofErr w:type="spellStart"/>
      <w:r w:rsidRPr="00246717">
        <w:rPr>
          <w:i/>
          <w:iCs/>
          <w:lang w:val="pl-PL"/>
        </w:rPr>
        <w:t>Jurisconsult</w:t>
      </w:r>
      <w:proofErr w:type="spellEnd"/>
      <w:r w:rsidRPr="00246717">
        <w:rPr>
          <w:i/>
          <w:iCs/>
          <w:lang w:val="pl-PL"/>
        </w:rPr>
        <w:t>],</w:t>
      </w:r>
    </w:p>
    <w:p w14:paraId="1FD56D12" w14:textId="3B042244" w:rsidR="00014566" w:rsidRPr="00246717" w:rsidRDefault="00014566" w:rsidP="000957D3">
      <w:pPr>
        <w:pStyle w:val="ECHRPara"/>
        <w:rPr>
          <w:lang w:val="pl-PL"/>
        </w:rPr>
      </w:pPr>
      <w:r w:rsidRPr="00246717">
        <w:rPr>
          <w:lang w:val="pl-PL"/>
        </w:rPr>
        <w:t>Obradując na posiedzeniu niejawnym w dni</w:t>
      </w:r>
      <w:r w:rsidR="00A7036E">
        <w:rPr>
          <w:lang w:val="pl-PL"/>
        </w:rPr>
        <w:t>ach</w:t>
      </w:r>
      <w:r w:rsidRPr="00246717">
        <w:rPr>
          <w:lang w:val="pl-PL"/>
        </w:rPr>
        <w:t xml:space="preserve"> 14 lutego i 4 października 2018 r.,</w:t>
      </w:r>
    </w:p>
    <w:p w14:paraId="59C60EAC" w14:textId="2189D2BD" w:rsidR="00014566" w:rsidRPr="00246717" w:rsidRDefault="00014566" w:rsidP="000957D3">
      <w:pPr>
        <w:pStyle w:val="ECHRPara"/>
        <w:rPr>
          <w:lang w:val="pl-PL"/>
        </w:rPr>
      </w:pPr>
      <w:r w:rsidRPr="00246717">
        <w:rPr>
          <w:lang w:val="pl-PL"/>
        </w:rPr>
        <w:t>wydaje następujący wyrok, który został przyjęty w ostatnim z </w:t>
      </w:r>
      <w:r w:rsidR="00A7036E">
        <w:rPr>
          <w:lang w:val="pl-PL"/>
        </w:rPr>
        <w:t xml:space="preserve">wyżej </w:t>
      </w:r>
      <w:r w:rsidRPr="00246717">
        <w:rPr>
          <w:lang w:val="pl-PL"/>
        </w:rPr>
        <w:t>wymienionych dni:</w:t>
      </w:r>
    </w:p>
    <w:p w14:paraId="1E2DD319" w14:textId="77777777" w:rsidR="00014566" w:rsidRPr="00246717" w:rsidRDefault="00014566" w:rsidP="000957D3">
      <w:pPr>
        <w:pStyle w:val="ECHRTitle1"/>
        <w:rPr>
          <w:lang w:val="pl-PL"/>
        </w:rPr>
      </w:pPr>
      <w:bookmarkStart w:id="1" w:name="_Toc512345110"/>
      <w:bookmarkStart w:id="2" w:name="_Toc512401262"/>
      <w:r w:rsidRPr="00246717">
        <w:rPr>
          <w:lang w:val="pl-PL"/>
        </w:rPr>
        <w:t>POSTĘPOWANIE</w:t>
      </w:r>
      <w:bookmarkEnd w:id="1"/>
      <w:bookmarkEnd w:id="2"/>
    </w:p>
    <w:p w14:paraId="5F082E29" w14:textId="28A35BDA" w:rsidR="002326E2"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1</w:t>
      </w:r>
      <w:r w:rsidRPr="00246717">
        <w:rPr>
          <w:lang w:val="pl-PL"/>
        </w:rPr>
        <w:fldChar w:fldCharType="end"/>
      </w:r>
      <w:r w:rsidR="002326E2" w:rsidRPr="00246717">
        <w:rPr>
          <w:lang w:val="pl-PL"/>
        </w:rPr>
        <w:t xml:space="preserve">.  Sprawa wywodzi się ze skargi (nr 36658/05) przeciwko Federacji Rosyjskiej, wniesionej do Trybunału </w:t>
      </w:r>
      <w:r w:rsidR="00A7036E" w:rsidRPr="00246717">
        <w:rPr>
          <w:lang w:val="pl-PL"/>
        </w:rPr>
        <w:t>w dniu 16 września 2005 r.</w:t>
      </w:r>
      <w:r w:rsidR="00A7036E">
        <w:rPr>
          <w:lang w:val="pl-PL"/>
        </w:rPr>
        <w:t xml:space="preserve"> </w:t>
      </w:r>
      <w:r w:rsidR="002326E2" w:rsidRPr="00246717">
        <w:rPr>
          <w:lang w:val="pl-PL"/>
        </w:rPr>
        <w:t>na podstawie art. 34 Konwencji o ochronie praw człowieka i podstawowych wolności („Konwencji”) przez obywatelkę rosyjską, p. </w:t>
      </w:r>
      <w:proofErr w:type="spellStart"/>
      <w:r w:rsidR="002326E2" w:rsidRPr="00246717">
        <w:rPr>
          <w:lang w:val="pl-PL"/>
        </w:rPr>
        <w:t>Zarę</w:t>
      </w:r>
      <w:proofErr w:type="spellEnd"/>
      <w:r w:rsidR="002326E2" w:rsidRPr="00246717">
        <w:rPr>
          <w:lang w:val="pl-PL"/>
        </w:rPr>
        <w:t xml:space="preserve"> </w:t>
      </w:r>
      <w:proofErr w:type="spellStart"/>
      <w:r w:rsidR="002326E2" w:rsidRPr="00246717">
        <w:rPr>
          <w:lang w:val="pl-PL"/>
        </w:rPr>
        <w:t>Khasanovną</w:t>
      </w:r>
      <w:proofErr w:type="spellEnd"/>
      <w:r w:rsidR="002326E2" w:rsidRPr="00246717">
        <w:rPr>
          <w:lang w:val="pl-PL"/>
        </w:rPr>
        <w:t xml:space="preserve"> </w:t>
      </w:r>
      <w:proofErr w:type="spellStart"/>
      <w:r w:rsidR="002326E2" w:rsidRPr="00246717">
        <w:rPr>
          <w:lang w:val="pl-PL"/>
        </w:rPr>
        <w:t>Murtazaliyevą</w:t>
      </w:r>
      <w:proofErr w:type="spellEnd"/>
      <w:r w:rsidR="002326E2" w:rsidRPr="00246717">
        <w:rPr>
          <w:lang w:val="pl-PL"/>
        </w:rPr>
        <w:t xml:space="preserve"> („skarżącą”)</w:t>
      </w:r>
      <w:r w:rsidR="00A7036E">
        <w:rPr>
          <w:lang w:val="pl-PL"/>
        </w:rPr>
        <w:t>.</w:t>
      </w:r>
    </w:p>
    <w:p w14:paraId="57DFD10E" w14:textId="4D99CC8A" w:rsidR="002326E2"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2</w:t>
      </w:r>
      <w:r w:rsidRPr="00246717">
        <w:rPr>
          <w:lang w:val="pl-PL"/>
        </w:rPr>
        <w:fldChar w:fldCharType="end"/>
      </w:r>
      <w:r w:rsidR="002326E2" w:rsidRPr="00246717">
        <w:rPr>
          <w:lang w:val="pl-PL"/>
        </w:rPr>
        <w:t>.  Skarżąca była reprezentowana przez p. K.N. </w:t>
      </w:r>
      <w:proofErr w:type="spellStart"/>
      <w:r w:rsidR="002326E2" w:rsidRPr="00246717">
        <w:rPr>
          <w:lang w:val="pl-PL"/>
        </w:rPr>
        <w:t>Koroteyeva</w:t>
      </w:r>
      <w:proofErr w:type="spellEnd"/>
      <w:r w:rsidR="002326E2" w:rsidRPr="00246717">
        <w:rPr>
          <w:lang w:val="pl-PL"/>
        </w:rPr>
        <w:t xml:space="preserve">, prawnika praktykującego w Moskwie. Rząd rosyjski („Rząd”) początkowo </w:t>
      </w:r>
      <w:r w:rsidR="00A7036E">
        <w:rPr>
          <w:lang w:val="pl-PL"/>
        </w:rPr>
        <w:t xml:space="preserve">był reprezentowany przez </w:t>
      </w:r>
      <w:r w:rsidR="002326E2" w:rsidRPr="00246717">
        <w:rPr>
          <w:lang w:val="pl-PL"/>
        </w:rPr>
        <w:t>p. G. </w:t>
      </w:r>
      <w:proofErr w:type="spellStart"/>
      <w:r w:rsidR="002326E2" w:rsidRPr="00246717">
        <w:rPr>
          <w:lang w:val="pl-PL"/>
        </w:rPr>
        <w:t>Matyushkin</w:t>
      </w:r>
      <w:r w:rsidR="00A7036E">
        <w:rPr>
          <w:lang w:val="pl-PL"/>
        </w:rPr>
        <w:t>a</w:t>
      </w:r>
      <w:proofErr w:type="spellEnd"/>
      <w:r w:rsidR="002326E2" w:rsidRPr="00246717">
        <w:rPr>
          <w:lang w:val="pl-PL"/>
        </w:rPr>
        <w:t>, był</w:t>
      </w:r>
      <w:r w:rsidR="00A7036E">
        <w:rPr>
          <w:lang w:val="pl-PL"/>
        </w:rPr>
        <w:t>ego</w:t>
      </w:r>
      <w:r w:rsidR="002326E2" w:rsidRPr="00246717">
        <w:rPr>
          <w:lang w:val="pl-PL"/>
        </w:rPr>
        <w:t xml:space="preserve"> przedstawiciel</w:t>
      </w:r>
      <w:r w:rsidR="00A7036E">
        <w:rPr>
          <w:lang w:val="pl-PL"/>
        </w:rPr>
        <w:t>a</w:t>
      </w:r>
      <w:r w:rsidR="002326E2" w:rsidRPr="00246717">
        <w:rPr>
          <w:lang w:val="pl-PL"/>
        </w:rPr>
        <w:t xml:space="preserve"> Federacji Rosyjskiej w Europejskim Trybunale Praw Człowieka, a </w:t>
      </w:r>
      <w:r w:rsidR="00A7036E">
        <w:rPr>
          <w:lang w:val="pl-PL"/>
        </w:rPr>
        <w:t>następnie przez</w:t>
      </w:r>
      <w:r w:rsidR="00A7036E" w:rsidRPr="00246717">
        <w:rPr>
          <w:lang w:val="pl-PL"/>
        </w:rPr>
        <w:t xml:space="preserve"> </w:t>
      </w:r>
      <w:r w:rsidR="002326E2" w:rsidRPr="00246717">
        <w:rPr>
          <w:lang w:val="pl-PL"/>
        </w:rPr>
        <w:t>jego następc</w:t>
      </w:r>
      <w:r w:rsidR="00A7036E">
        <w:rPr>
          <w:lang w:val="pl-PL"/>
        </w:rPr>
        <w:t>ę</w:t>
      </w:r>
      <w:r w:rsidR="002326E2" w:rsidRPr="00246717">
        <w:rPr>
          <w:lang w:val="pl-PL"/>
        </w:rPr>
        <w:t xml:space="preserve">, p. M. </w:t>
      </w:r>
      <w:proofErr w:type="spellStart"/>
      <w:r w:rsidR="002326E2" w:rsidRPr="00246717">
        <w:rPr>
          <w:lang w:val="pl-PL"/>
        </w:rPr>
        <w:t>Galperin</w:t>
      </w:r>
      <w:r w:rsidR="00A7036E">
        <w:rPr>
          <w:lang w:val="pl-PL"/>
        </w:rPr>
        <w:t>a</w:t>
      </w:r>
      <w:proofErr w:type="spellEnd"/>
      <w:r w:rsidR="002326E2" w:rsidRPr="00246717">
        <w:rPr>
          <w:lang w:val="pl-PL"/>
        </w:rPr>
        <w:t>.</w:t>
      </w:r>
    </w:p>
    <w:p w14:paraId="4063F115" w14:textId="1D2671BD" w:rsidR="00014566"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3</w:t>
      </w:r>
      <w:r w:rsidRPr="00246717">
        <w:rPr>
          <w:lang w:val="pl-PL"/>
        </w:rPr>
        <w:fldChar w:fldCharType="end"/>
      </w:r>
      <w:r w:rsidR="002326E2" w:rsidRPr="00246717">
        <w:rPr>
          <w:lang w:val="pl-PL"/>
        </w:rPr>
        <w:t>.  Skarżąca zarzuciła w szczególności, że sądy krajowe nie zapewniły</w:t>
      </w:r>
      <w:r w:rsidR="000958B2">
        <w:rPr>
          <w:lang w:val="pl-PL"/>
        </w:rPr>
        <w:t xml:space="preserve"> jej możliwości</w:t>
      </w:r>
      <w:r w:rsidR="002326E2" w:rsidRPr="00246717">
        <w:rPr>
          <w:lang w:val="pl-PL"/>
        </w:rPr>
        <w:t xml:space="preserve"> przesłuchania świadka A. i </w:t>
      </w:r>
      <w:r w:rsidR="009C34CF">
        <w:rPr>
          <w:lang w:val="pl-PL"/>
        </w:rPr>
        <w:t>potwierdzających</w:t>
      </w:r>
      <w:r w:rsidR="002326E2" w:rsidRPr="00246717">
        <w:rPr>
          <w:lang w:val="pl-PL"/>
        </w:rPr>
        <w:t xml:space="preserve"> świadków B. i K. oraz że skarżąca nie była w stanie obejrzeć i </w:t>
      </w:r>
      <w:r w:rsidR="00A7036E" w:rsidRPr="00246717">
        <w:rPr>
          <w:lang w:val="pl-PL"/>
        </w:rPr>
        <w:t>z</w:t>
      </w:r>
      <w:r w:rsidR="00A7036E">
        <w:rPr>
          <w:lang w:val="pl-PL"/>
        </w:rPr>
        <w:t>apoznać się</w:t>
      </w:r>
      <w:r w:rsidR="00A7036E" w:rsidRPr="00246717">
        <w:rPr>
          <w:lang w:val="pl-PL"/>
        </w:rPr>
        <w:t xml:space="preserve"> </w:t>
      </w:r>
      <w:r w:rsidR="002326E2" w:rsidRPr="00246717">
        <w:rPr>
          <w:lang w:val="pl-PL"/>
        </w:rPr>
        <w:t xml:space="preserve">w sposób skuteczny </w:t>
      </w:r>
      <w:r w:rsidR="00A7036E">
        <w:rPr>
          <w:lang w:val="pl-PL"/>
        </w:rPr>
        <w:lastRenderedPageBreak/>
        <w:t xml:space="preserve">z materiałem z nagrania </w:t>
      </w:r>
      <w:r w:rsidR="002326E2" w:rsidRPr="00246717">
        <w:rPr>
          <w:lang w:val="pl-PL"/>
        </w:rPr>
        <w:t>wideo</w:t>
      </w:r>
      <w:r w:rsidR="00A7036E">
        <w:rPr>
          <w:lang w:val="pl-PL"/>
        </w:rPr>
        <w:t xml:space="preserve"> z tajnego monitoringu, który</w:t>
      </w:r>
      <w:r w:rsidR="002326E2" w:rsidRPr="00246717">
        <w:rPr>
          <w:lang w:val="pl-PL"/>
        </w:rPr>
        <w:t xml:space="preserve"> </w:t>
      </w:r>
      <w:r w:rsidR="00A7036E">
        <w:rPr>
          <w:lang w:val="pl-PL"/>
        </w:rPr>
        <w:t>odtworzono</w:t>
      </w:r>
      <w:r w:rsidR="00A7036E" w:rsidRPr="00246717">
        <w:rPr>
          <w:lang w:val="pl-PL"/>
        </w:rPr>
        <w:t xml:space="preserve"> </w:t>
      </w:r>
      <w:r w:rsidR="002326E2" w:rsidRPr="00246717">
        <w:rPr>
          <w:lang w:val="pl-PL"/>
        </w:rPr>
        <w:t xml:space="preserve">na sali </w:t>
      </w:r>
      <w:r w:rsidR="00A7036E">
        <w:rPr>
          <w:lang w:val="pl-PL"/>
        </w:rPr>
        <w:t>rozpraw</w:t>
      </w:r>
      <w:r w:rsidR="002326E2" w:rsidRPr="00246717">
        <w:rPr>
          <w:lang w:val="pl-PL"/>
        </w:rPr>
        <w:t>.</w:t>
      </w:r>
    </w:p>
    <w:p w14:paraId="55249B27" w14:textId="6C5B2422" w:rsidR="00D06119"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4</w:t>
      </w:r>
      <w:r w:rsidRPr="00246717">
        <w:rPr>
          <w:lang w:val="pl-PL"/>
        </w:rPr>
        <w:fldChar w:fldCharType="end"/>
      </w:r>
      <w:r w:rsidR="002326E2" w:rsidRPr="00246717">
        <w:rPr>
          <w:lang w:val="pl-PL"/>
        </w:rPr>
        <w:t xml:space="preserve">.  Skargę </w:t>
      </w:r>
      <w:r w:rsidR="00A7036E" w:rsidRPr="00246717">
        <w:rPr>
          <w:lang w:val="pl-PL"/>
        </w:rPr>
        <w:t>przy</w:t>
      </w:r>
      <w:r w:rsidR="00A7036E">
        <w:rPr>
          <w:lang w:val="pl-PL"/>
        </w:rPr>
        <w:t>dzielono</w:t>
      </w:r>
      <w:r w:rsidR="00A7036E" w:rsidRPr="00246717">
        <w:rPr>
          <w:lang w:val="pl-PL"/>
        </w:rPr>
        <w:t xml:space="preserve"> </w:t>
      </w:r>
      <w:r w:rsidR="002326E2" w:rsidRPr="00246717">
        <w:rPr>
          <w:lang w:val="pl-PL"/>
        </w:rPr>
        <w:t xml:space="preserve">Sekcji Trzeciej Trybunału (Reguła 52 § 1 Regulaminu Trybunału). W dniu </w:t>
      </w:r>
      <w:r w:rsidR="002326E2" w:rsidRPr="00246717">
        <w:rPr>
          <w:szCs w:val="24"/>
          <w:lang w:val="pl-PL"/>
        </w:rPr>
        <w:t>10 listopada 2010 r.</w:t>
      </w:r>
      <w:r w:rsidR="002326E2" w:rsidRPr="00246717">
        <w:rPr>
          <w:lang w:val="pl-PL"/>
        </w:rPr>
        <w:t xml:space="preserve"> </w:t>
      </w:r>
      <w:r w:rsidR="002326E2" w:rsidRPr="00246717">
        <w:rPr>
          <w:szCs w:val="24"/>
          <w:lang w:val="pl-PL"/>
        </w:rPr>
        <w:t>skarga została zakomunikowana Rządowi.</w:t>
      </w:r>
    </w:p>
    <w:p w14:paraId="78610FEA" w14:textId="55395F3B" w:rsidR="002326E2" w:rsidRPr="00246717" w:rsidRDefault="00150576" w:rsidP="000957D3">
      <w:pPr>
        <w:pStyle w:val="ECHRPara"/>
        <w:rPr>
          <w:lang w:val="pl-PL"/>
        </w:rPr>
      </w:pPr>
      <w:r w:rsidRPr="00246717">
        <w:rPr>
          <w:lang w:val="pl-PL"/>
        </w:rPr>
        <w:fldChar w:fldCharType="begin"/>
      </w:r>
      <w:r w:rsidR="00D06119" w:rsidRPr="00246717">
        <w:rPr>
          <w:lang w:val="pl-PL"/>
        </w:rPr>
        <w:instrText xml:space="preserve"> SEQ level0 \*arabic </w:instrText>
      </w:r>
      <w:r w:rsidRPr="00246717">
        <w:rPr>
          <w:lang w:val="pl-PL"/>
        </w:rPr>
        <w:fldChar w:fldCharType="separate"/>
      </w:r>
      <w:r w:rsidR="00D06119" w:rsidRPr="00246717">
        <w:rPr>
          <w:lang w:val="pl-PL"/>
        </w:rPr>
        <w:t>5</w:t>
      </w:r>
      <w:r w:rsidRPr="00246717">
        <w:rPr>
          <w:lang w:val="pl-PL"/>
        </w:rPr>
        <w:fldChar w:fldCharType="end"/>
      </w:r>
      <w:r w:rsidR="00D06119" w:rsidRPr="00246717">
        <w:rPr>
          <w:lang w:val="pl-PL"/>
        </w:rPr>
        <w:t xml:space="preserve">.  W dniu 28 marca 2017 r. </w:t>
      </w:r>
      <w:r w:rsidR="00A7036E">
        <w:rPr>
          <w:lang w:val="pl-PL"/>
        </w:rPr>
        <w:t xml:space="preserve">wyrok wydała </w:t>
      </w:r>
      <w:r w:rsidR="00D06119" w:rsidRPr="00246717">
        <w:rPr>
          <w:lang w:val="pl-PL"/>
        </w:rPr>
        <w:t xml:space="preserve">Izba tej Sekcji w </w:t>
      </w:r>
      <w:r w:rsidR="00A7036E">
        <w:rPr>
          <w:lang w:val="pl-PL"/>
        </w:rPr>
        <w:t xml:space="preserve">następującym </w:t>
      </w:r>
      <w:r w:rsidR="00D06119" w:rsidRPr="00246717">
        <w:rPr>
          <w:lang w:val="pl-PL"/>
        </w:rPr>
        <w:t xml:space="preserve">składzie: Helena </w:t>
      </w:r>
      <w:proofErr w:type="spellStart"/>
      <w:r w:rsidR="00D06119" w:rsidRPr="00246717">
        <w:rPr>
          <w:lang w:val="pl-PL"/>
        </w:rPr>
        <w:t>Jäderblom</w:t>
      </w:r>
      <w:proofErr w:type="spellEnd"/>
      <w:r w:rsidR="00D06119" w:rsidRPr="00246717">
        <w:rPr>
          <w:lang w:val="pl-PL"/>
        </w:rPr>
        <w:t>,</w:t>
      </w:r>
      <w:r w:rsidR="00D06119" w:rsidRPr="00246717">
        <w:rPr>
          <w:i/>
          <w:iCs/>
          <w:lang w:val="pl-PL"/>
        </w:rPr>
        <w:t xml:space="preserve"> </w:t>
      </w:r>
      <w:r w:rsidR="00246717">
        <w:rPr>
          <w:lang w:val="pl-PL"/>
        </w:rPr>
        <w:t>Przewodnicząca</w:t>
      </w:r>
      <w:r w:rsidR="00D06119" w:rsidRPr="00246717">
        <w:rPr>
          <w:i/>
          <w:iCs/>
          <w:lang w:val="pl-PL"/>
        </w:rPr>
        <w:t xml:space="preserve">, </w:t>
      </w:r>
      <w:r w:rsidR="00D06119" w:rsidRPr="00246717">
        <w:rPr>
          <w:lang w:val="pl-PL"/>
        </w:rPr>
        <w:t xml:space="preserve">Branko </w:t>
      </w:r>
      <w:proofErr w:type="spellStart"/>
      <w:r w:rsidR="00D06119" w:rsidRPr="00246717">
        <w:rPr>
          <w:lang w:val="pl-PL"/>
        </w:rPr>
        <w:t>Lubarda</w:t>
      </w:r>
      <w:proofErr w:type="spellEnd"/>
      <w:r w:rsidR="00D06119" w:rsidRPr="00246717">
        <w:rPr>
          <w:lang w:val="pl-PL"/>
        </w:rPr>
        <w:t xml:space="preserve">, Luis </w:t>
      </w:r>
      <w:proofErr w:type="spellStart"/>
      <w:r w:rsidR="00D06119" w:rsidRPr="00246717">
        <w:rPr>
          <w:lang w:val="pl-PL"/>
        </w:rPr>
        <w:t>López</w:t>
      </w:r>
      <w:proofErr w:type="spellEnd"/>
      <w:r w:rsidR="00D06119" w:rsidRPr="00246717">
        <w:rPr>
          <w:lang w:val="pl-PL"/>
        </w:rPr>
        <w:t xml:space="preserve"> </w:t>
      </w:r>
      <w:proofErr w:type="spellStart"/>
      <w:r w:rsidR="00D06119" w:rsidRPr="00246717">
        <w:rPr>
          <w:lang w:val="pl-PL"/>
        </w:rPr>
        <w:t>Guerra</w:t>
      </w:r>
      <w:proofErr w:type="spellEnd"/>
      <w:r w:rsidR="00D06119" w:rsidRPr="00246717">
        <w:rPr>
          <w:lang w:val="pl-PL"/>
        </w:rPr>
        <w:t xml:space="preserve">, Helen Keller, </w:t>
      </w:r>
      <w:proofErr w:type="spellStart"/>
      <w:r w:rsidR="00D06119" w:rsidRPr="00246717">
        <w:rPr>
          <w:lang w:val="pl-PL"/>
        </w:rPr>
        <w:t>Dmitry</w:t>
      </w:r>
      <w:proofErr w:type="spellEnd"/>
      <w:r w:rsidR="00D06119" w:rsidRPr="00246717">
        <w:rPr>
          <w:lang w:val="pl-PL"/>
        </w:rPr>
        <w:t xml:space="preserve"> </w:t>
      </w:r>
      <w:proofErr w:type="spellStart"/>
      <w:r w:rsidR="00D06119" w:rsidRPr="00246717">
        <w:rPr>
          <w:lang w:val="pl-PL"/>
        </w:rPr>
        <w:t>Dedov</w:t>
      </w:r>
      <w:proofErr w:type="spellEnd"/>
      <w:r w:rsidR="00D06119" w:rsidRPr="00246717">
        <w:rPr>
          <w:lang w:val="pl-PL"/>
        </w:rPr>
        <w:t xml:space="preserve">, Alena </w:t>
      </w:r>
      <w:proofErr w:type="spellStart"/>
      <w:r w:rsidR="00D06119" w:rsidRPr="00246717">
        <w:rPr>
          <w:lang w:val="pl-PL"/>
        </w:rPr>
        <w:t>Poláčková</w:t>
      </w:r>
      <w:proofErr w:type="spellEnd"/>
      <w:r w:rsidR="00D06119" w:rsidRPr="00246717">
        <w:rPr>
          <w:lang w:val="pl-PL"/>
        </w:rPr>
        <w:t xml:space="preserve">, i Georgios A. </w:t>
      </w:r>
      <w:proofErr w:type="spellStart"/>
      <w:r w:rsidR="00D06119" w:rsidRPr="00246717">
        <w:rPr>
          <w:lang w:val="pl-PL"/>
        </w:rPr>
        <w:t>Serghides</w:t>
      </w:r>
      <w:proofErr w:type="spellEnd"/>
      <w:r w:rsidR="00D06119" w:rsidRPr="00246717">
        <w:rPr>
          <w:lang w:val="pl-PL"/>
        </w:rPr>
        <w:t xml:space="preserve">, sędziowie, oraz </w:t>
      </w:r>
      <w:proofErr w:type="spellStart"/>
      <w:r w:rsidR="00D06119" w:rsidRPr="00246717">
        <w:rPr>
          <w:lang w:val="pl-PL"/>
        </w:rPr>
        <w:t>Fatoş</w:t>
      </w:r>
      <w:proofErr w:type="spellEnd"/>
      <w:r w:rsidR="00D06119" w:rsidRPr="00246717">
        <w:rPr>
          <w:lang w:val="pl-PL"/>
        </w:rPr>
        <w:t xml:space="preserve"> </w:t>
      </w:r>
      <w:proofErr w:type="spellStart"/>
      <w:r w:rsidR="00D06119" w:rsidRPr="00246717">
        <w:rPr>
          <w:lang w:val="pl-PL"/>
        </w:rPr>
        <w:t>Aracı</w:t>
      </w:r>
      <w:proofErr w:type="spellEnd"/>
      <w:r w:rsidR="00D06119" w:rsidRPr="00246717">
        <w:rPr>
          <w:lang w:val="pl-PL"/>
        </w:rPr>
        <w:t>, Zastępca Kanclerza Sekcji. Izba jedno</w:t>
      </w:r>
      <w:r w:rsidR="000958B2">
        <w:rPr>
          <w:lang w:val="pl-PL"/>
        </w:rPr>
        <w:t>myślnie</w:t>
      </w:r>
      <w:r w:rsidR="00D06119" w:rsidRPr="00246717">
        <w:rPr>
          <w:lang w:val="pl-PL"/>
        </w:rPr>
        <w:t xml:space="preserve"> uznała powyższe skargi na podstawie art. 6</w:t>
      </w:r>
      <w:r w:rsidR="000958B2">
        <w:rPr>
          <w:lang w:val="pl-PL"/>
        </w:rPr>
        <w:t xml:space="preserve"> ust.</w:t>
      </w:r>
      <w:r w:rsidR="00A7036E">
        <w:rPr>
          <w:lang w:val="pl-PL"/>
        </w:rPr>
        <w:t xml:space="preserve"> </w:t>
      </w:r>
      <w:r w:rsidR="00D06119" w:rsidRPr="00246717">
        <w:rPr>
          <w:lang w:val="pl-PL"/>
        </w:rPr>
        <w:t>1 Konwencji za dopuszczalne, a pozostałą część skargi za niedopuszczalną. Orzekła czterema głosami do trzech, że nie doszło do naruszenia art. 6 ust. 1 i 3 lit. d) Konwencji w odniesieniu do skargi dotyczącej nieobecności świadka A. i pięcioma głosami do dwóch, że nie doszło do naruszenia art. 6 ust. 1 i 3</w:t>
      </w:r>
      <w:r w:rsidR="00A7036E">
        <w:rPr>
          <w:lang w:val="pl-PL"/>
        </w:rPr>
        <w:t xml:space="preserve"> </w:t>
      </w:r>
      <w:r w:rsidR="00D06119" w:rsidRPr="00246717">
        <w:rPr>
          <w:lang w:val="pl-PL"/>
        </w:rPr>
        <w:t>lit. d Konwencji w odniesieniu do skargi dotyczącej nieobecności zaświadczających świadków B. i K. Izba orzekła ponadto jedno</w:t>
      </w:r>
      <w:r w:rsidR="004F41F0">
        <w:rPr>
          <w:lang w:val="pl-PL"/>
        </w:rPr>
        <w:t>myślnie</w:t>
      </w:r>
      <w:r w:rsidR="00D06119" w:rsidRPr="00246717">
        <w:rPr>
          <w:lang w:val="pl-PL"/>
        </w:rPr>
        <w:t>, że nie doszło do naruszenia art. 6 ust. 1 i 3</w:t>
      </w:r>
      <w:r w:rsidR="00A7036E">
        <w:rPr>
          <w:lang w:val="pl-PL"/>
        </w:rPr>
        <w:t xml:space="preserve"> </w:t>
      </w:r>
      <w:r w:rsidR="00D06119" w:rsidRPr="00246717">
        <w:rPr>
          <w:lang w:val="pl-PL"/>
        </w:rPr>
        <w:t xml:space="preserve">lit. b Konwencji w odniesieniu do skargi dotyczącej braku możliwości skutecznego zbadania przez skarżącą </w:t>
      </w:r>
      <w:r w:rsidR="00A7036E">
        <w:rPr>
          <w:lang w:val="pl-PL"/>
        </w:rPr>
        <w:t>nagrania</w:t>
      </w:r>
      <w:r w:rsidR="00A7036E" w:rsidRPr="00246717">
        <w:rPr>
          <w:lang w:val="pl-PL"/>
        </w:rPr>
        <w:t xml:space="preserve"> </w:t>
      </w:r>
      <w:r w:rsidR="00D06119" w:rsidRPr="00246717">
        <w:rPr>
          <w:lang w:val="pl-PL"/>
        </w:rPr>
        <w:t>wideo z tajnego monitoringu</w:t>
      </w:r>
      <w:r w:rsidR="00A7036E">
        <w:rPr>
          <w:lang w:val="pl-PL"/>
        </w:rPr>
        <w:t xml:space="preserve">, który odtworzono </w:t>
      </w:r>
      <w:r w:rsidR="00D06119" w:rsidRPr="00246717">
        <w:rPr>
          <w:lang w:val="pl-PL"/>
        </w:rPr>
        <w:t xml:space="preserve">na sali rozpraw. Do wyroku dołączono trzy odrębne opinie: a) częściowo zgodną opinię sędziego </w:t>
      </w:r>
      <w:proofErr w:type="spellStart"/>
      <w:r w:rsidR="00D06119" w:rsidRPr="00246717">
        <w:rPr>
          <w:lang w:val="pl-PL"/>
        </w:rPr>
        <w:t>Serghidesa</w:t>
      </w:r>
      <w:proofErr w:type="spellEnd"/>
      <w:r w:rsidR="00D06119" w:rsidRPr="00246717">
        <w:rPr>
          <w:lang w:val="pl-PL"/>
        </w:rPr>
        <w:t xml:space="preserve">; b) wspólną częściowo rozbieżną opinię sędziów </w:t>
      </w:r>
      <w:proofErr w:type="spellStart"/>
      <w:r w:rsidR="00D06119" w:rsidRPr="00246717">
        <w:rPr>
          <w:lang w:val="pl-PL"/>
        </w:rPr>
        <w:t>López</w:t>
      </w:r>
      <w:proofErr w:type="spellEnd"/>
      <w:r w:rsidR="00D06119" w:rsidRPr="00246717">
        <w:rPr>
          <w:lang w:val="pl-PL"/>
        </w:rPr>
        <w:t xml:space="preserve"> </w:t>
      </w:r>
      <w:proofErr w:type="spellStart"/>
      <w:r w:rsidR="00D06119" w:rsidRPr="00246717">
        <w:rPr>
          <w:lang w:val="pl-PL"/>
        </w:rPr>
        <w:t>Guerry</w:t>
      </w:r>
      <w:proofErr w:type="spellEnd"/>
      <w:r w:rsidR="00D06119" w:rsidRPr="00246717">
        <w:rPr>
          <w:lang w:val="pl-PL"/>
        </w:rPr>
        <w:t xml:space="preserve">, Kellera i </w:t>
      </w:r>
      <w:proofErr w:type="spellStart"/>
      <w:r w:rsidR="00D06119" w:rsidRPr="00246717">
        <w:rPr>
          <w:lang w:val="pl-PL"/>
        </w:rPr>
        <w:t>Serghidesa</w:t>
      </w:r>
      <w:proofErr w:type="spellEnd"/>
      <w:r w:rsidR="00D06119" w:rsidRPr="00246717">
        <w:rPr>
          <w:lang w:val="pl-PL"/>
        </w:rPr>
        <w:t xml:space="preserve">; oraz c) wspólną rozbieżną opinię sędziów </w:t>
      </w:r>
      <w:proofErr w:type="spellStart"/>
      <w:r w:rsidR="00D06119" w:rsidRPr="00246717">
        <w:rPr>
          <w:lang w:val="pl-PL"/>
        </w:rPr>
        <w:t>López</w:t>
      </w:r>
      <w:proofErr w:type="spellEnd"/>
      <w:r w:rsidR="00D06119" w:rsidRPr="00246717">
        <w:rPr>
          <w:lang w:val="pl-PL"/>
        </w:rPr>
        <w:t xml:space="preserve"> </w:t>
      </w:r>
      <w:proofErr w:type="spellStart"/>
      <w:r w:rsidR="00D06119" w:rsidRPr="00246717">
        <w:rPr>
          <w:lang w:val="pl-PL"/>
        </w:rPr>
        <w:t>Guerry</w:t>
      </w:r>
      <w:proofErr w:type="spellEnd"/>
      <w:r w:rsidR="00D06119" w:rsidRPr="00246717">
        <w:rPr>
          <w:lang w:val="pl-PL"/>
        </w:rPr>
        <w:t xml:space="preserve"> i </w:t>
      </w:r>
      <w:proofErr w:type="spellStart"/>
      <w:r w:rsidR="00D06119" w:rsidRPr="00246717">
        <w:rPr>
          <w:lang w:val="pl-PL"/>
        </w:rPr>
        <w:t>Serghidesa</w:t>
      </w:r>
      <w:proofErr w:type="spellEnd"/>
      <w:r w:rsidR="00D06119" w:rsidRPr="00246717">
        <w:rPr>
          <w:lang w:val="pl-PL"/>
        </w:rPr>
        <w:t>.</w:t>
      </w:r>
    </w:p>
    <w:p w14:paraId="3EAC81AA" w14:textId="4EFA63C9" w:rsidR="002648A8" w:rsidRPr="00246717" w:rsidRDefault="00150576" w:rsidP="000957D3">
      <w:pPr>
        <w:pStyle w:val="ECHRPara"/>
        <w:rPr>
          <w:lang w:val="pl-PL"/>
        </w:rPr>
      </w:pPr>
      <w:r w:rsidRPr="00246717">
        <w:rPr>
          <w:lang w:val="pl-PL"/>
        </w:rPr>
        <w:fldChar w:fldCharType="begin"/>
      </w:r>
      <w:r w:rsidR="007476B0" w:rsidRPr="00246717">
        <w:rPr>
          <w:lang w:val="pl-PL"/>
        </w:rPr>
        <w:instrText xml:space="preserve"> SEQ level0 \*arabic </w:instrText>
      </w:r>
      <w:r w:rsidRPr="00246717">
        <w:rPr>
          <w:lang w:val="pl-PL"/>
        </w:rPr>
        <w:fldChar w:fldCharType="separate"/>
      </w:r>
      <w:r w:rsidR="007476B0" w:rsidRPr="00246717">
        <w:rPr>
          <w:lang w:val="pl-PL"/>
        </w:rPr>
        <w:t>6</w:t>
      </w:r>
      <w:r w:rsidRPr="00246717">
        <w:rPr>
          <w:lang w:val="pl-PL"/>
        </w:rPr>
        <w:fldChar w:fldCharType="end"/>
      </w:r>
      <w:r w:rsidR="007476B0" w:rsidRPr="00246717">
        <w:rPr>
          <w:lang w:val="pl-PL"/>
        </w:rPr>
        <w:t>.  W piśmie z dnia 9 sierpnia 2017 r. skarżąca wniosła o przekazanie sprawy Wielkiej Izb</w:t>
      </w:r>
      <w:r w:rsidR="00A7036E">
        <w:rPr>
          <w:lang w:val="pl-PL"/>
        </w:rPr>
        <w:t>ie</w:t>
      </w:r>
      <w:r w:rsidR="007476B0" w:rsidRPr="00246717">
        <w:rPr>
          <w:lang w:val="pl-PL"/>
        </w:rPr>
        <w:t xml:space="preserve"> zgodnie z art. 43 Konwencji. </w:t>
      </w:r>
      <w:r w:rsidR="004F41F0">
        <w:rPr>
          <w:lang w:val="pl-PL"/>
        </w:rPr>
        <w:t>Skład</w:t>
      </w:r>
      <w:r w:rsidR="004F41F0" w:rsidRPr="00246717">
        <w:rPr>
          <w:lang w:val="pl-PL"/>
        </w:rPr>
        <w:t xml:space="preserve"> </w:t>
      </w:r>
      <w:r w:rsidR="007476B0" w:rsidRPr="00246717">
        <w:rPr>
          <w:lang w:val="pl-PL"/>
        </w:rPr>
        <w:t>Wielkiej Izby uwzględnił ów wniosek w dniu 18 września 2017 r.</w:t>
      </w:r>
    </w:p>
    <w:p w14:paraId="7AF721C2" w14:textId="66E6159B" w:rsidR="002648A8" w:rsidRPr="00246717" w:rsidRDefault="00150576" w:rsidP="000957D3">
      <w:pPr>
        <w:pStyle w:val="ECHRPara"/>
        <w:rPr>
          <w:lang w:val="pl-PL"/>
        </w:rPr>
      </w:pPr>
      <w:r w:rsidRPr="00246717">
        <w:rPr>
          <w:lang w:val="pl-PL"/>
        </w:rPr>
        <w:fldChar w:fldCharType="begin"/>
      </w:r>
      <w:r w:rsidR="007476B0" w:rsidRPr="00246717">
        <w:rPr>
          <w:lang w:val="pl-PL"/>
        </w:rPr>
        <w:instrText xml:space="preserve"> SEQ level0 \*arabic </w:instrText>
      </w:r>
      <w:r w:rsidRPr="00246717">
        <w:rPr>
          <w:lang w:val="pl-PL"/>
        </w:rPr>
        <w:fldChar w:fldCharType="separate"/>
      </w:r>
      <w:r w:rsidR="007476B0" w:rsidRPr="00246717">
        <w:rPr>
          <w:lang w:val="pl-PL"/>
        </w:rPr>
        <w:t>7</w:t>
      </w:r>
      <w:r w:rsidRPr="00246717">
        <w:rPr>
          <w:lang w:val="pl-PL"/>
        </w:rPr>
        <w:fldChar w:fldCharType="end"/>
      </w:r>
      <w:r w:rsidR="007476B0" w:rsidRPr="00246717">
        <w:rPr>
          <w:lang w:val="pl-PL"/>
        </w:rPr>
        <w:t xml:space="preserve">.  Skład Wielkiej Izby określono zgodnie z art. 26 ust. 4 i 5 Konwencji oraz Regułą 24 Regulaminu Trybunału. Na końcowych obradach </w:t>
      </w:r>
      <w:proofErr w:type="spellStart"/>
      <w:r w:rsidR="007476B0" w:rsidRPr="00246717">
        <w:rPr>
          <w:lang w:val="pl-PL"/>
        </w:rPr>
        <w:t>Péter</w:t>
      </w:r>
      <w:proofErr w:type="spellEnd"/>
      <w:r w:rsidR="007476B0" w:rsidRPr="00246717">
        <w:rPr>
          <w:lang w:val="pl-PL"/>
        </w:rPr>
        <w:t xml:space="preserve"> </w:t>
      </w:r>
      <w:proofErr w:type="spellStart"/>
      <w:r w:rsidR="007476B0" w:rsidRPr="00246717">
        <w:rPr>
          <w:lang w:val="pl-PL"/>
        </w:rPr>
        <w:t>Paczolay</w:t>
      </w:r>
      <w:proofErr w:type="spellEnd"/>
      <w:r w:rsidR="007476B0" w:rsidRPr="00246717">
        <w:rPr>
          <w:lang w:val="pl-PL"/>
        </w:rPr>
        <w:t xml:space="preserve">, sędzia zastępca, zastąpił Erika </w:t>
      </w:r>
      <w:proofErr w:type="spellStart"/>
      <w:r w:rsidR="007476B0" w:rsidRPr="00246717">
        <w:rPr>
          <w:lang w:val="pl-PL"/>
        </w:rPr>
        <w:t>Møse</w:t>
      </w:r>
      <w:proofErr w:type="spellEnd"/>
      <w:r w:rsidR="007476B0" w:rsidRPr="00246717">
        <w:rPr>
          <w:lang w:val="pl-PL"/>
        </w:rPr>
        <w:t xml:space="preserve">, który nie był </w:t>
      </w:r>
      <w:r w:rsidR="00A7036E">
        <w:rPr>
          <w:lang w:val="pl-PL"/>
        </w:rPr>
        <w:t>w stanie</w:t>
      </w:r>
      <w:r w:rsidR="007476B0" w:rsidRPr="00246717">
        <w:rPr>
          <w:lang w:val="pl-PL"/>
        </w:rPr>
        <w:t xml:space="preserve"> </w:t>
      </w:r>
      <w:r w:rsidR="00A7036E" w:rsidRPr="00246717">
        <w:rPr>
          <w:lang w:val="pl-PL"/>
        </w:rPr>
        <w:t>uczestnic</w:t>
      </w:r>
      <w:r w:rsidR="00A7036E">
        <w:rPr>
          <w:lang w:val="pl-PL"/>
        </w:rPr>
        <w:t>zyć</w:t>
      </w:r>
      <w:r w:rsidR="00A7036E" w:rsidRPr="00246717">
        <w:rPr>
          <w:lang w:val="pl-PL"/>
        </w:rPr>
        <w:t xml:space="preserve"> </w:t>
      </w:r>
      <w:r w:rsidR="007476B0" w:rsidRPr="00246717">
        <w:rPr>
          <w:lang w:val="pl-PL"/>
        </w:rPr>
        <w:t>w dalszym rozpatrywaniu sprawy</w:t>
      </w:r>
      <w:r w:rsidR="009C34CF">
        <w:rPr>
          <w:lang w:val="pl-PL"/>
        </w:rPr>
        <w:t xml:space="preserve"> </w:t>
      </w:r>
      <w:r w:rsidR="007476B0" w:rsidRPr="00246717">
        <w:rPr>
          <w:lang w:val="pl-PL"/>
        </w:rPr>
        <w:t>(Reguła 24 § 3).</w:t>
      </w:r>
    </w:p>
    <w:p w14:paraId="75D708DC" w14:textId="77777777" w:rsidR="002648A8" w:rsidRPr="00246717" w:rsidRDefault="00150576" w:rsidP="000957D3">
      <w:pPr>
        <w:pStyle w:val="ECHRPara"/>
        <w:rPr>
          <w:lang w:val="pl-PL"/>
        </w:rPr>
      </w:pPr>
      <w:r w:rsidRPr="00246717">
        <w:rPr>
          <w:lang w:val="pl-PL"/>
        </w:rPr>
        <w:fldChar w:fldCharType="begin"/>
      </w:r>
      <w:r w:rsidR="007476B0" w:rsidRPr="00246717">
        <w:rPr>
          <w:lang w:val="pl-PL"/>
        </w:rPr>
        <w:instrText xml:space="preserve"> SEQ level0 \*arabic </w:instrText>
      </w:r>
      <w:r w:rsidRPr="00246717">
        <w:rPr>
          <w:lang w:val="pl-PL"/>
        </w:rPr>
        <w:fldChar w:fldCharType="separate"/>
      </w:r>
      <w:r w:rsidR="007476B0" w:rsidRPr="00246717">
        <w:rPr>
          <w:lang w:val="pl-PL"/>
        </w:rPr>
        <w:t>8</w:t>
      </w:r>
      <w:r w:rsidRPr="00246717">
        <w:rPr>
          <w:lang w:val="pl-PL"/>
        </w:rPr>
        <w:fldChar w:fldCharType="end"/>
      </w:r>
      <w:r w:rsidR="007476B0" w:rsidRPr="00246717">
        <w:rPr>
          <w:lang w:val="pl-PL"/>
        </w:rPr>
        <w:t>.  Zarówno skarżąca, jak i Rząd przedstawili dalsze uwagi na piśmie (Reguła 59 § 1) co do przedmiotu skargi.</w:t>
      </w:r>
    </w:p>
    <w:p w14:paraId="557BC3A7" w14:textId="7179EABF" w:rsidR="002326E2"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9</w:t>
      </w:r>
      <w:r w:rsidRPr="00246717">
        <w:rPr>
          <w:lang w:val="pl-PL"/>
        </w:rPr>
        <w:fldChar w:fldCharType="end"/>
      </w:r>
      <w:r w:rsidR="002326E2" w:rsidRPr="00246717">
        <w:rPr>
          <w:lang w:val="pl-PL"/>
        </w:rPr>
        <w:t xml:space="preserve">.  Rozprawa odbyła się w Budynku </w:t>
      </w:r>
      <w:r w:rsidR="004F41F0">
        <w:rPr>
          <w:lang w:val="pl-PL"/>
        </w:rPr>
        <w:t xml:space="preserve">Trybunału </w:t>
      </w:r>
      <w:r w:rsidR="002326E2" w:rsidRPr="00246717">
        <w:rPr>
          <w:lang w:val="pl-PL"/>
        </w:rPr>
        <w:t>Praw Człowieka w Strasburgu w dniu 14 lutego 2018 r.</w:t>
      </w:r>
    </w:p>
    <w:p w14:paraId="080DAE85" w14:textId="77777777" w:rsidR="002326E2" w:rsidRPr="00246717" w:rsidRDefault="002326E2" w:rsidP="000957D3">
      <w:pPr>
        <w:pStyle w:val="ECHRPara"/>
        <w:rPr>
          <w:lang w:val="pl-PL"/>
        </w:rPr>
      </w:pPr>
      <w:r w:rsidRPr="00246717">
        <w:rPr>
          <w:lang w:val="pl-PL"/>
        </w:rPr>
        <w:t>Przed Trybunałem stawili się:</w:t>
      </w:r>
    </w:p>
    <w:p w14:paraId="0FECD76C" w14:textId="6D2F990B" w:rsidR="002326E2" w:rsidRPr="00246717" w:rsidRDefault="002326E2" w:rsidP="000957D3">
      <w:pPr>
        <w:pStyle w:val="JuCourt"/>
        <w:rPr>
          <w:lang w:val="pl-PL"/>
        </w:rPr>
      </w:pPr>
      <w:r w:rsidRPr="00246717">
        <w:rPr>
          <w:lang w:val="pl-PL"/>
        </w:rPr>
        <w:t>a)</w:t>
      </w:r>
      <w:r w:rsidR="00026C6F">
        <w:rPr>
          <w:lang w:val="pl-PL"/>
        </w:rPr>
        <w:t>  </w:t>
      </w:r>
      <w:r w:rsidRPr="00246717">
        <w:rPr>
          <w:i/>
          <w:iCs/>
          <w:lang w:val="pl-PL"/>
        </w:rPr>
        <w:t>ze strony Rządu</w:t>
      </w:r>
      <w:r w:rsidRPr="00246717">
        <w:rPr>
          <w:lang w:val="pl-PL"/>
        </w:rPr>
        <w:br/>
        <w:t>p.</w:t>
      </w:r>
      <w:r w:rsidRPr="00246717">
        <w:rPr>
          <w:lang w:val="pl-PL"/>
        </w:rPr>
        <w:tab/>
      </w:r>
      <w:r w:rsidRPr="00246717">
        <w:rPr>
          <w:rStyle w:val="JuNames0"/>
          <w:lang w:val="pl-PL"/>
        </w:rPr>
        <w:t xml:space="preserve">M. </w:t>
      </w:r>
      <w:proofErr w:type="spellStart"/>
      <w:r w:rsidRPr="00246717">
        <w:rPr>
          <w:rStyle w:val="JuNames0"/>
          <w:lang w:val="pl-PL"/>
        </w:rPr>
        <w:t>Galperin</w:t>
      </w:r>
      <w:proofErr w:type="spellEnd"/>
      <w:r w:rsidRPr="00246717">
        <w:rPr>
          <w:lang w:val="pl-PL"/>
        </w:rPr>
        <w:t xml:space="preserve">, przedstawiciel Federacji </w:t>
      </w:r>
      <w:r w:rsidRPr="00246717">
        <w:rPr>
          <w:lang w:val="pl-PL"/>
        </w:rPr>
        <w:br/>
        <w:t>Rosyjskiej w Europejskim Trybunale Praw Człowieka.</w:t>
      </w:r>
      <w:r w:rsidRPr="00246717">
        <w:rPr>
          <w:lang w:val="pl-PL"/>
        </w:rPr>
        <w:br/>
        <w:t>p.</w:t>
      </w:r>
      <w:r w:rsidRPr="00246717">
        <w:rPr>
          <w:lang w:val="pl-PL"/>
        </w:rPr>
        <w:tab/>
        <w:t>Y</w:t>
      </w:r>
      <w:r w:rsidRPr="00246717">
        <w:rPr>
          <w:smallCaps/>
          <w:lang w:val="pl-PL"/>
        </w:rPr>
        <w:t xml:space="preserve">. </w:t>
      </w:r>
      <w:proofErr w:type="spellStart"/>
      <w:r w:rsidRPr="00246717">
        <w:rPr>
          <w:smallCaps/>
          <w:lang w:val="pl-PL"/>
        </w:rPr>
        <w:t>Borisova</w:t>
      </w:r>
      <w:proofErr w:type="spellEnd"/>
      <w:r w:rsidRPr="00246717">
        <w:rPr>
          <w:lang w:val="pl-PL"/>
        </w:rPr>
        <w:t xml:space="preserve">, </w:t>
      </w:r>
      <w:r w:rsidRPr="00246717">
        <w:rPr>
          <w:lang w:val="pl-PL"/>
        </w:rPr>
        <w:br/>
        <w:t xml:space="preserve">p. </w:t>
      </w:r>
      <w:r w:rsidRPr="00246717">
        <w:rPr>
          <w:lang w:val="pl-PL"/>
        </w:rPr>
        <w:tab/>
      </w:r>
      <w:r w:rsidRPr="00246717">
        <w:rPr>
          <w:rStyle w:val="JuNames0"/>
          <w:lang w:val="pl-PL"/>
        </w:rPr>
        <w:t xml:space="preserve">O. </w:t>
      </w:r>
      <w:proofErr w:type="spellStart"/>
      <w:r w:rsidRPr="00246717">
        <w:rPr>
          <w:rStyle w:val="JuNames0"/>
          <w:lang w:val="pl-PL"/>
        </w:rPr>
        <w:t>Ocheretyanaya</w:t>
      </w:r>
      <w:proofErr w:type="spellEnd"/>
      <w:r w:rsidRPr="00246717">
        <w:rPr>
          <w:lang w:val="pl-PL"/>
        </w:rPr>
        <w:t xml:space="preserve">, </w:t>
      </w:r>
      <w:r w:rsidRPr="00246717">
        <w:rPr>
          <w:lang w:val="pl-PL"/>
        </w:rPr>
        <w:tab/>
      </w:r>
      <w:r w:rsidRPr="00246717">
        <w:rPr>
          <w:i/>
          <w:iCs/>
          <w:lang w:val="pl-PL"/>
        </w:rPr>
        <w:t>Pełnomocniczki strony</w:t>
      </w:r>
      <w:r w:rsidRPr="00246717">
        <w:rPr>
          <w:lang w:val="pl-PL"/>
        </w:rPr>
        <w:t>,</w:t>
      </w:r>
      <w:r w:rsidRPr="00246717">
        <w:rPr>
          <w:lang w:val="pl-PL"/>
        </w:rPr>
        <w:br/>
      </w:r>
    </w:p>
    <w:p w14:paraId="0C10F911" w14:textId="77777777" w:rsidR="002326E2" w:rsidRPr="00246717" w:rsidRDefault="002326E2" w:rsidP="000957D3">
      <w:pPr>
        <w:pStyle w:val="JuCourt"/>
        <w:rPr>
          <w:lang w:val="pl-PL"/>
        </w:rPr>
      </w:pPr>
      <w:r w:rsidRPr="00246717">
        <w:rPr>
          <w:lang w:val="pl-PL"/>
        </w:rPr>
        <w:lastRenderedPageBreak/>
        <w:t>b) ze strony skarżącej</w:t>
      </w:r>
      <w:r w:rsidRPr="00246717">
        <w:rPr>
          <w:lang w:val="pl-PL"/>
        </w:rPr>
        <w:br/>
        <w:t>p.</w:t>
      </w:r>
      <w:r w:rsidRPr="00246717">
        <w:rPr>
          <w:lang w:val="pl-PL"/>
        </w:rPr>
        <w:tab/>
      </w:r>
      <w:r w:rsidRPr="00246717">
        <w:rPr>
          <w:rStyle w:val="JuNames0"/>
          <w:lang w:val="pl-PL"/>
        </w:rPr>
        <w:t xml:space="preserve">K.N. </w:t>
      </w:r>
      <w:proofErr w:type="spellStart"/>
      <w:r w:rsidRPr="00246717">
        <w:rPr>
          <w:rStyle w:val="JuNames0"/>
          <w:lang w:val="pl-PL"/>
        </w:rPr>
        <w:t>Koroteyev</w:t>
      </w:r>
      <w:proofErr w:type="spellEnd"/>
      <w:r w:rsidRPr="00246717">
        <w:rPr>
          <w:lang w:val="pl-PL"/>
        </w:rPr>
        <w:t>,</w:t>
      </w:r>
      <w:r w:rsidRPr="00246717">
        <w:rPr>
          <w:lang w:val="pl-PL"/>
        </w:rPr>
        <w:tab/>
      </w:r>
      <w:r w:rsidRPr="00246717">
        <w:rPr>
          <w:i/>
          <w:iCs/>
          <w:lang w:val="pl-PL"/>
        </w:rPr>
        <w:t>Pełnomocnik strony.</w:t>
      </w:r>
      <w:r w:rsidRPr="00246717">
        <w:rPr>
          <w:lang w:val="pl-PL"/>
        </w:rPr>
        <w:br/>
      </w:r>
    </w:p>
    <w:p w14:paraId="022FC8D0" w14:textId="681BEE31" w:rsidR="0062431E" w:rsidRPr="00246717" w:rsidRDefault="00660E63" w:rsidP="000957D3">
      <w:pPr>
        <w:pStyle w:val="ECHRPara"/>
        <w:rPr>
          <w:lang w:val="pl-PL"/>
        </w:rPr>
      </w:pPr>
      <w:r>
        <w:rPr>
          <w:lang w:val="pl-PL"/>
        </w:rPr>
        <w:t>W rozprawie uczestniczyła również s</w:t>
      </w:r>
      <w:r w:rsidR="00F83A26" w:rsidRPr="00246717">
        <w:rPr>
          <w:lang w:val="pl-PL"/>
        </w:rPr>
        <w:t>karżąca. Trybunał wysłuchał mów p. </w:t>
      </w:r>
      <w:proofErr w:type="spellStart"/>
      <w:r w:rsidR="00F83A26" w:rsidRPr="00246717">
        <w:rPr>
          <w:lang w:val="pl-PL"/>
        </w:rPr>
        <w:t>Koroteyeva</w:t>
      </w:r>
      <w:proofErr w:type="spellEnd"/>
      <w:r w:rsidR="00F83A26" w:rsidRPr="00246717">
        <w:rPr>
          <w:lang w:val="pl-PL"/>
        </w:rPr>
        <w:t xml:space="preserve"> i p. </w:t>
      </w:r>
      <w:proofErr w:type="spellStart"/>
      <w:r w:rsidR="00F83A26" w:rsidRPr="00246717">
        <w:rPr>
          <w:lang w:val="pl-PL"/>
        </w:rPr>
        <w:t>Galperina</w:t>
      </w:r>
      <w:proofErr w:type="spellEnd"/>
      <w:r w:rsidR="00F83A26" w:rsidRPr="00246717">
        <w:rPr>
          <w:lang w:val="pl-PL"/>
        </w:rPr>
        <w:t xml:space="preserve"> oraz ich odpowiedzi na zadane przez sędziów</w:t>
      </w:r>
      <w:r>
        <w:rPr>
          <w:lang w:val="pl-PL"/>
        </w:rPr>
        <w:t xml:space="preserve"> pytania</w:t>
      </w:r>
      <w:r w:rsidR="00F83A26" w:rsidRPr="00246717">
        <w:rPr>
          <w:lang w:val="pl-PL"/>
        </w:rPr>
        <w:t>.</w:t>
      </w:r>
    </w:p>
    <w:p w14:paraId="7E37798C" w14:textId="77777777" w:rsidR="00014566" w:rsidRPr="00246717" w:rsidRDefault="00014566" w:rsidP="000957D3">
      <w:pPr>
        <w:pStyle w:val="ECHRTitle1"/>
        <w:rPr>
          <w:lang w:val="pl-PL"/>
        </w:rPr>
      </w:pPr>
      <w:bookmarkStart w:id="3" w:name="_Toc512345111"/>
      <w:bookmarkStart w:id="4" w:name="_Toc512401263"/>
      <w:r w:rsidRPr="00246717">
        <w:rPr>
          <w:lang w:val="pl-PL"/>
        </w:rPr>
        <w:t>STAN FAKTYCZNY</w:t>
      </w:r>
      <w:bookmarkEnd w:id="3"/>
      <w:bookmarkEnd w:id="4"/>
    </w:p>
    <w:p w14:paraId="313EF396" w14:textId="77777777" w:rsidR="00014566" w:rsidRPr="00246717" w:rsidRDefault="00014566" w:rsidP="000957D3">
      <w:pPr>
        <w:pStyle w:val="ECHRHeading1"/>
        <w:rPr>
          <w:lang w:val="pl-PL"/>
        </w:rPr>
      </w:pPr>
      <w:bookmarkStart w:id="5" w:name="_Toc512345112"/>
      <w:bookmarkStart w:id="6" w:name="_Toc512401264"/>
      <w:r w:rsidRPr="00246717">
        <w:rPr>
          <w:bCs w:val="0"/>
          <w:lang w:val="pl-PL"/>
        </w:rPr>
        <w:t>I.  OKOLICZNOŚCI SPRAWY</w:t>
      </w:r>
      <w:bookmarkEnd w:id="5"/>
      <w:bookmarkEnd w:id="6"/>
    </w:p>
    <w:p w14:paraId="5713987C" w14:textId="128DCE02" w:rsidR="005B6547"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10</w:t>
      </w:r>
      <w:r w:rsidRPr="00246717">
        <w:rPr>
          <w:lang w:val="pl-PL"/>
        </w:rPr>
        <w:fldChar w:fldCharType="end"/>
      </w:r>
      <w:r w:rsidR="002326E2" w:rsidRPr="00246717">
        <w:rPr>
          <w:lang w:val="pl-PL"/>
        </w:rPr>
        <w:t xml:space="preserve">.  Skarżąca urodziła się w 1983 r. i obecnie </w:t>
      </w:r>
      <w:r w:rsidR="00660E63">
        <w:rPr>
          <w:lang w:val="pl-PL"/>
        </w:rPr>
        <w:t xml:space="preserve">mieszka </w:t>
      </w:r>
      <w:r w:rsidR="002326E2" w:rsidRPr="00246717">
        <w:rPr>
          <w:lang w:val="pl-PL"/>
        </w:rPr>
        <w:t>w Paryżu.</w:t>
      </w:r>
    </w:p>
    <w:p w14:paraId="25CDA278" w14:textId="2C9BE484" w:rsidR="00014566" w:rsidRPr="00246717" w:rsidRDefault="00150576" w:rsidP="000957D3">
      <w:pPr>
        <w:pStyle w:val="ECHRPara"/>
        <w:rPr>
          <w:lang w:val="pl-PL"/>
        </w:rPr>
      </w:pPr>
      <w:r w:rsidRPr="00246717">
        <w:rPr>
          <w:lang w:val="pl-PL"/>
        </w:rPr>
        <w:fldChar w:fldCharType="begin"/>
      </w:r>
      <w:r w:rsidR="005B6547" w:rsidRPr="00246717">
        <w:rPr>
          <w:lang w:val="pl-PL"/>
        </w:rPr>
        <w:instrText xml:space="preserve"> SEQ level0 \*arabic </w:instrText>
      </w:r>
      <w:r w:rsidRPr="00246717">
        <w:rPr>
          <w:lang w:val="pl-PL"/>
        </w:rPr>
        <w:fldChar w:fldCharType="separate"/>
      </w:r>
      <w:r w:rsidR="005B6547" w:rsidRPr="00246717">
        <w:rPr>
          <w:lang w:val="pl-PL"/>
        </w:rPr>
        <w:t>11</w:t>
      </w:r>
      <w:r w:rsidRPr="00246717">
        <w:rPr>
          <w:lang w:val="pl-PL"/>
        </w:rPr>
        <w:fldChar w:fldCharType="end"/>
      </w:r>
      <w:r w:rsidR="005B6547" w:rsidRPr="00246717">
        <w:rPr>
          <w:lang w:val="pl-PL"/>
        </w:rPr>
        <w:t xml:space="preserve">.  We wrześniu 2003 r. </w:t>
      </w:r>
      <w:r w:rsidR="00660E63" w:rsidRPr="00246717">
        <w:rPr>
          <w:lang w:val="pl-PL"/>
        </w:rPr>
        <w:t>przy</w:t>
      </w:r>
      <w:r w:rsidR="00660E63">
        <w:rPr>
          <w:lang w:val="pl-PL"/>
        </w:rPr>
        <w:t>jechała</w:t>
      </w:r>
      <w:r w:rsidR="00660E63" w:rsidRPr="00246717">
        <w:rPr>
          <w:lang w:val="pl-PL"/>
        </w:rPr>
        <w:t xml:space="preserve"> </w:t>
      </w:r>
      <w:r w:rsidR="005B6547" w:rsidRPr="00246717">
        <w:rPr>
          <w:lang w:val="pl-PL"/>
        </w:rPr>
        <w:t>z Czeczenii do Moskwy</w:t>
      </w:r>
      <w:r w:rsidR="00660E63">
        <w:rPr>
          <w:lang w:val="pl-PL"/>
        </w:rPr>
        <w:t>, gdzie</w:t>
      </w:r>
      <w:r w:rsidR="005B6547" w:rsidRPr="00246717">
        <w:rPr>
          <w:lang w:val="pl-PL"/>
        </w:rPr>
        <w:t xml:space="preserve"> podjęła pracę w </w:t>
      </w:r>
      <w:r w:rsidR="00660E63">
        <w:rPr>
          <w:lang w:val="pl-PL"/>
        </w:rPr>
        <w:t>zakładzie ubezpieczeń</w:t>
      </w:r>
      <w:r w:rsidR="005B6547" w:rsidRPr="00246717">
        <w:rPr>
          <w:lang w:val="pl-PL"/>
        </w:rPr>
        <w:t>. W październiku 2003 r. udała się do meczetu, gdzie spotkała się z V. i Ku., dwiema młodymi Rosjankami, które przeszły na islam.</w:t>
      </w:r>
    </w:p>
    <w:p w14:paraId="5CDE8BC4" w14:textId="77777777" w:rsidR="005B6547" w:rsidRPr="00246717" w:rsidRDefault="00C14D4D" w:rsidP="000957D3">
      <w:pPr>
        <w:pStyle w:val="ECHRHeading2"/>
        <w:rPr>
          <w:lang w:val="pl-PL"/>
        </w:rPr>
      </w:pPr>
      <w:bookmarkStart w:id="7" w:name="_Toc512401265"/>
      <w:bookmarkStart w:id="8" w:name="_Toc512345113"/>
      <w:bookmarkStart w:id="9" w:name="_Toc504470787"/>
      <w:r w:rsidRPr="00246717">
        <w:rPr>
          <w:lang w:val="pl-PL"/>
        </w:rPr>
        <w:t>A.  Operacja tajnego monitoringu</w:t>
      </w:r>
      <w:bookmarkEnd w:id="7"/>
      <w:bookmarkEnd w:id="8"/>
      <w:bookmarkEnd w:id="9"/>
    </w:p>
    <w:p w14:paraId="60A4C48E" w14:textId="739A67ED"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12</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grudniu 2003 r. skarżąca została zatrzymana na ulicy przez dwóch policjantów w celu wylegitymowania. Została zabrana na posterunek policji w celu </w:t>
      </w:r>
      <w:r w:rsidR="00660E63">
        <w:rPr>
          <w:rFonts w:ascii="Times New Roman" w:hAnsi="Times New Roman" w:cs="Times New Roman"/>
          <w:szCs w:val="24"/>
          <w:lang w:val="pl-PL"/>
        </w:rPr>
        <w:t>ustalenia</w:t>
      </w:r>
      <w:r w:rsidR="00660E6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tożsamości. Według skarżącej, została ona zwolniona z aresztu kilka dni później, po interwencji niejakiego A., który również był z pochodzenia Czeczenem i był zatrudniony jako funkcjonariusz policji związany z wydziałem przestępczości zorganizowanej Moskiewskiej Komendy Policji. W międzyczasie </w:t>
      </w:r>
      <w:r w:rsidR="008774A6">
        <w:rPr>
          <w:rFonts w:ascii="Times New Roman" w:hAnsi="Times New Roman" w:cs="Times New Roman"/>
          <w:szCs w:val="24"/>
          <w:lang w:val="pl-PL"/>
        </w:rPr>
        <w:t xml:space="preserve">skarżąca </w:t>
      </w:r>
      <w:r w:rsidR="005B6547" w:rsidRPr="00246717">
        <w:rPr>
          <w:rFonts w:ascii="Times New Roman" w:hAnsi="Times New Roman" w:cs="Times New Roman"/>
          <w:szCs w:val="24"/>
          <w:lang w:val="pl-PL"/>
        </w:rPr>
        <w:t>została zwolniona przez pracodawcę z powodu nieusprawiedliwionej nieobecności w pracy.</w:t>
      </w:r>
    </w:p>
    <w:p w14:paraId="2C155A12" w14:textId="5C997CCE"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13</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W lutym 2004 r. A</w:t>
      </w:r>
      <w:r w:rsidR="00223753">
        <w:rPr>
          <w:rFonts w:ascii="Times New Roman" w:hAnsi="Times New Roman" w:cs="Times New Roman"/>
          <w:szCs w:val="24"/>
          <w:lang w:val="pl-PL"/>
        </w:rPr>
        <w:t>.</w:t>
      </w:r>
      <w:r w:rsidR="005B6547" w:rsidRPr="00246717">
        <w:rPr>
          <w:rFonts w:ascii="Times New Roman" w:hAnsi="Times New Roman" w:cs="Times New Roman"/>
          <w:szCs w:val="24"/>
          <w:lang w:val="pl-PL"/>
        </w:rPr>
        <w:t xml:space="preserve"> pomógł skarżącej w </w:t>
      </w:r>
      <w:r w:rsidR="00660E63" w:rsidRPr="00246717">
        <w:rPr>
          <w:rFonts w:ascii="Times New Roman" w:hAnsi="Times New Roman" w:cs="Times New Roman"/>
          <w:szCs w:val="24"/>
          <w:lang w:val="pl-PL"/>
        </w:rPr>
        <w:t>p</w:t>
      </w:r>
      <w:r w:rsidR="00660E63">
        <w:rPr>
          <w:rFonts w:ascii="Times New Roman" w:hAnsi="Times New Roman" w:cs="Times New Roman"/>
          <w:szCs w:val="24"/>
          <w:lang w:val="pl-PL"/>
        </w:rPr>
        <w:t>rzywróceniu jej</w:t>
      </w:r>
      <w:r w:rsidR="00660E6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do pracy. Znalazł także dla niej mieszkanie, gdzie </w:t>
      </w:r>
      <w:r w:rsidR="00660E63">
        <w:rPr>
          <w:rFonts w:ascii="Times New Roman" w:hAnsi="Times New Roman" w:cs="Times New Roman"/>
          <w:szCs w:val="24"/>
          <w:lang w:val="pl-PL"/>
        </w:rPr>
        <w:t xml:space="preserve">kilkakrotnie ją </w:t>
      </w:r>
      <w:r w:rsidR="005B6547" w:rsidRPr="00246717">
        <w:rPr>
          <w:rFonts w:ascii="Times New Roman" w:hAnsi="Times New Roman" w:cs="Times New Roman"/>
          <w:szCs w:val="24"/>
          <w:lang w:val="pl-PL"/>
        </w:rPr>
        <w:t xml:space="preserve">odwiedził. Skarżąca dzieliła mieszkanie z V. i Ku. Mieszkanie </w:t>
      </w:r>
      <w:r w:rsidR="00660E63">
        <w:rPr>
          <w:rFonts w:ascii="Times New Roman" w:hAnsi="Times New Roman" w:cs="Times New Roman"/>
          <w:szCs w:val="24"/>
          <w:lang w:val="pl-PL"/>
        </w:rPr>
        <w:t>znajdowało się</w:t>
      </w:r>
      <w:r w:rsidR="005B6547" w:rsidRPr="00246717">
        <w:rPr>
          <w:rFonts w:ascii="Times New Roman" w:hAnsi="Times New Roman" w:cs="Times New Roman"/>
          <w:szCs w:val="24"/>
          <w:lang w:val="pl-PL"/>
        </w:rPr>
        <w:t xml:space="preserve"> w bloku noclegowym należącym do komendy policji. Było wyposażone w zamaskowane urządzenia nagrywające audio i wideo. Policja </w:t>
      </w:r>
      <w:r w:rsidR="00660E63">
        <w:rPr>
          <w:rFonts w:ascii="Times New Roman" w:hAnsi="Times New Roman" w:cs="Times New Roman"/>
          <w:szCs w:val="24"/>
          <w:lang w:val="pl-PL"/>
        </w:rPr>
        <w:t>objęła</w:t>
      </w:r>
      <w:r w:rsidR="00660E6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skarżącą nadzorem</w:t>
      </w:r>
      <w:r w:rsidR="00660E63">
        <w:rPr>
          <w:rFonts w:ascii="Times New Roman" w:hAnsi="Times New Roman" w:cs="Times New Roman"/>
          <w:szCs w:val="24"/>
          <w:lang w:val="pl-PL"/>
        </w:rPr>
        <w:t xml:space="preserve"> w związku z </w:t>
      </w:r>
      <w:r w:rsidR="00660E63" w:rsidRPr="00246717">
        <w:rPr>
          <w:rFonts w:ascii="Times New Roman" w:hAnsi="Times New Roman" w:cs="Times New Roman"/>
          <w:szCs w:val="24"/>
          <w:lang w:val="pl-PL"/>
        </w:rPr>
        <w:t>podejrz</w:t>
      </w:r>
      <w:r w:rsidR="00660E63">
        <w:rPr>
          <w:rFonts w:ascii="Times New Roman" w:hAnsi="Times New Roman" w:cs="Times New Roman"/>
          <w:szCs w:val="24"/>
          <w:lang w:val="pl-PL"/>
        </w:rPr>
        <w:t>eniem jej</w:t>
      </w:r>
      <w:r w:rsidR="00660E6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o powiązania z grupą terrorystyczną związaną z czeczeńskim ruchem powstańczym. Sąd miejski w Moskwie zezwolił na </w:t>
      </w:r>
      <w:r w:rsidR="00660E63">
        <w:rPr>
          <w:rFonts w:ascii="Times New Roman" w:hAnsi="Times New Roman" w:cs="Times New Roman"/>
          <w:szCs w:val="24"/>
          <w:lang w:val="pl-PL"/>
        </w:rPr>
        <w:t>zainstalowanie</w:t>
      </w:r>
      <w:r w:rsidR="00660E63" w:rsidRPr="00246717">
        <w:rPr>
          <w:rFonts w:ascii="Times New Roman" w:hAnsi="Times New Roman" w:cs="Times New Roman"/>
          <w:szCs w:val="24"/>
          <w:lang w:val="pl-PL"/>
        </w:rPr>
        <w:t xml:space="preserve"> </w:t>
      </w:r>
      <w:r w:rsidR="00660E63">
        <w:rPr>
          <w:rFonts w:ascii="Times New Roman" w:hAnsi="Times New Roman" w:cs="Times New Roman"/>
          <w:szCs w:val="24"/>
          <w:lang w:val="pl-PL"/>
        </w:rPr>
        <w:t xml:space="preserve">ukrytych </w:t>
      </w:r>
      <w:r w:rsidR="005B6547" w:rsidRPr="00246717">
        <w:rPr>
          <w:rFonts w:ascii="Times New Roman" w:hAnsi="Times New Roman" w:cs="Times New Roman"/>
          <w:szCs w:val="24"/>
          <w:lang w:val="pl-PL"/>
        </w:rPr>
        <w:t>urządzeń do inwigilacji w mieszkaniu w okresie od 5 lutego do 4 marca 2004 r.</w:t>
      </w:r>
    </w:p>
    <w:p w14:paraId="4A2D4040" w14:textId="00A34FCF" w:rsidR="005B6547" w:rsidRPr="00246717" w:rsidRDefault="00171DBC" w:rsidP="000957D3">
      <w:pPr>
        <w:pStyle w:val="ECHRHeading2"/>
        <w:rPr>
          <w:lang w:val="pl-PL"/>
        </w:rPr>
      </w:pPr>
      <w:bookmarkStart w:id="10" w:name="_Toc512401266"/>
      <w:bookmarkStart w:id="11" w:name="_Toc512345114"/>
      <w:bookmarkStart w:id="12" w:name="_Toc504470788"/>
      <w:r w:rsidRPr="00246717">
        <w:rPr>
          <w:lang w:val="pl-PL"/>
        </w:rPr>
        <w:t>B.</w:t>
      </w:r>
      <w:r w:rsidR="004F66BB">
        <w:rPr>
          <w:lang w:val="pl-PL"/>
        </w:rPr>
        <w:t>  </w:t>
      </w:r>
      <w:r w:rsidRPr="00246717">
        <w:rPr>
          <w:lang w:val="pl-PL"/>
        </w:rPr>
        <w:t xml:space="preserve">Zatrzymanie skarżącej, </w:t>
      </w:r>
      <w:r w:rsidR="00F20A31">
        <w:rPr>
          <w:lang w:val="pl-PL"/>
        </w:rPr>
        <w:t xml:space="preserve">kontrola osobista </w:t>
      </w:r>
      <w:r w:rsidR="00660E63">
        <w:rPr>
          <w:lang w:val="pl-PL"/>
        </w:rPr>
        <w:t>oraz</w:t>
      </w:r>
      <w:r w:rsidRPr="00246717">
        <w:rPr>
          <w:lang w:val="pl-PL"/>
        </w:rPr>
        <w:t xml:space="preserve"> postępowanie przygotowawcze</w:t>
      </w:r>
      <w:bookmarkEnd w:id="10"/>
      <w:bookmarkEnd w:id="11"/>
      <w:bookmarkEnd w:id="12"/>
    </w:p>
    <w:p w14:paraId="4506BDAD" w14:textId="46DE7FF5"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14</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Wieczorem </w:t>
      </w:r>
      <w:r w:rsidR="00220A2D">
        <w:rPr>
          <w:rFonts w:ascii="Times New Roman" w:hAnsi="Times New Roman" w:cs="Times New Roman"/>
          <w:szCs w:val="24"/>
          <w:lang w:val="pl-PL"/>
        </w:rPr>
        <w:t>dnia</w:t>
      </w:r>
      <w:r w:rsidR="005B6547" w:rsidRPr="00246717">
        <w:rPr>
          <w:rFonts w:ascii="Times New Roman" w:hAnsi="Times New Roman" w:cs="Times New Roman"/>
          <w:szCs w:val="24"/>
          <w:lang w:val="pl-PL"/>
        </w:rPr>
        <w:t xml:space="preserve"> 4 marca 2004 r. skarżąca została zatrzymana przez patrol policji w celu wylegitymowania, ponieważ jej wygląd fizyczny miał </w:t>
      </w:r>
      <w:r w:rsidR="005B6547" w:rsidRPr="00246717">
        <w:rPr>
          <w:rFonts w:ascii="Times New Roman" w:hAnsi="Times New Roman" w:cs="Times New Roman"/>
          <w:szCs w:val="24"/>
          <w:lang w:val="pl-PL"/>
        </w:rPr>
        <w:lastRenderedPageBreak/>
        <w:t xml:space="preserve">pasować do profilu </w:t>
      </w:r>
      <w:r w:rsidR="00220A2D">
        <w:rPr>
          <w:rFonts w:ascii="Times New Roman" w:hAnsi="Times New Roman" w:cs="Times New Roman"/>
          <w:szCs w:val="24"/>
          <w:lang w:val="pl-PL"/>
        </w:rPr>
        <w:t xml:space="preserve">osoby </w:t>
      </w:r>
      <w:r w:rsidR="005B6547" w:rsidRPr="00246717">
        <w:rPr>
          <w:rFonts w:ascii="Times New Roman" w:hAnsi="Times New Roman" w:cs="Times New Roman"/>
          <w:szCs w:val="24"/>
          <w:lang w:val="pl-PL"/>
        </w:rPr>
        <w:t xml:space="preserve">podejrzanej </w:t>
      </w:r>
      <w:r w:rsidR="00220A2D">
        <w:rPr>
          <w:rFonts w:ascii="Times New Roman" w:hAnsi="Times New Roman" w:cs="Times New Roman"/>
          <w:szCs w:val="24"/>
          <w:lang w:val="pl-PL"/>
        </w:rPr>
        <w:t>wymienionej w</w:t>
      </w:r>
      <w:r w:rsidR="005B6547" w:rsidRPr="00246717">
        <w:rPr>
          <w:rFonts w:ascii="Times New Roman" w:hAnsi="Times New Roman" w:cs="Times New Roman"/>
          <w:szCs w:val="24"/>
          <w:lang w:val="pl-PL"/>
        </w:rPr>
        <w:t xml:space="preserve"> </w:t>
      </w:r>
      <w:r w:rsidR="00660E63">
        <w:rPr>
          <w:rFonts w:ascii="Times New Roman" w:hAnsi="Times New Roman" w:cs="Times New Roman"/>
          <w:szCs w:val="24"/>
          <w:lang w:val="pl-PL"/>
        </w:rPr>
        <w:t>liście gończym</w:t>
      </w:r>
      <w:r w:rsidR="005B6547" w:rsidRPr="00246717">
        <w:rPr>
          <w:rFonts w:ascii="Times New Roman" w:hAnsi="Times New Roman" w:cs="Times New Roman"/>
          <w:szCs w:val="24"/>
          <w:lang w:val="pl-PL"/>
        </w:rPr>
        <w:t xml:space="preserve">. Skarżąca niezwłocznie zatelefonowała do A., a ten </w:t>
      </w:r>
      <w:r w:rsidR="00220A2D">
        <w:rPr>
          <w:rFonts w:ascii="Times New Roman" w:hAnsi="Times New Roman" w:cs="Times New Roman"/>
          <w:szCs w:val="24"/>
          <w:lang w:val="pl-PL"/>
        </w:rPr>
        <w:t xml:space="preserve">odbył </w:t>
      </w:r>
      <w:r w:rsidR="005B6547" w:rsidRPr="00246717">
        <w:rPr>
          <w:rFonts w:ascii="Times New Roman" w:hAnsi="Times New Roman" w:cs="Times New Roman"/>
          <w:szCs w:val="24"/>
          <w:lang w:val="pl-PL"/>
        </w:rPr>
        <w:t>krótk</w:t>
      </w:r>
      <w:r w:rsidR="00220A2D">
        <w:rPr>
          <w:rFonts w:ascii="Times New Roman" w:hAnsi="Times New Roman" w:cs="Times New Roman"/>
          <w:szCs w:val="24"/>
          <w:lang w:val="pl-PL"/>
        </w:rPr>
        <w:t>ą</w:t>
      </w:r>
      <w:r w:rsidR="005B6547" w:rsidRPr="00246717">
        <w:rPr>
          <w:rFonts w:ascii="Times New Roman" w:hAnsi="Times New Roman" w:cs="Times New Roman"/>
          <w:szCs w:val="24"/>
          <w:lang w:val="pl-PL"/>
        </w:rPr>
        <w:t xml:space="preserve"> rozm</w:t>
      </w:r>
      <w:r w:rsidR="00660E63">
        <w:rPr>
          <w:rFonts w:ascii="Times New Roman" w:hAnsi="Times New Roman" w:cs="Times New Roman"/>
          <w:szCs w:val="24"/>
          <w:lang w:val="pl-PL"/>
        </w:rPr>
        <w:t>o</w:t>
      </w:r>
      <w:r w:rsidR="005B6547" w:rsidRPr="00246717">
        <w:rPr>
          <w:rFonts w:ascii="Times New Roman" w:hAnsi="Times New Roman" w:cs="Times New Roman"/>
          <w:szCs w:val="24"/>
          <w:lang w:val="pl-PL"/>
        </w:rPr>
        <w:t>w</w:t>
      </w:r>
      <w:r w:rsidR="00220A2D">
        <w:rPr>
          <w:rFonts w:ascii="Times New Roman" w:hAnsi="Times New Roman" w:cs="Times New Roman"/>
          <w:szCs w:val="24"/>
          <w:lang w:val="pl-PL"/>
        </w:rPr>
        <w:t>ę</w:t>
      </w:r>
      <w:r w:rsidR="005B6547" w:rsidRPr="00246717">
        <w:rPr>
          <w:rFonts w:ascii="Times New Roman" w:hAnsi="Times New Roman" w:cs="Times New Roman"/>
          <w:szCs w:val="24"/>
          <w:lang w:val="pl-PL"/>
        </w:rPr>
        <w:t xml:space="preserve"> z funkcjonariuszami policji, którzy ją zatrzymali. Skarżąca następnie została przewieziona na posterunek policji, ponieważ oficjalna rejestracja jej pobytu w Moskwie wygasła, co</w:t>
      </w:r>
      <w:r w:rsidR="00220A2D">
        <w:rPr>
          <w:rFonts w:ascii="Times New Roman" w:hAnsi="Times New Roman" w:cs="Times New Roman"/>
          <w:szCs w:val="24"/>
          <w:lang w:val="pl-PL"/>
        </w:rPr>
        <w:t xml:space="preserve"> </w:t>
      </w:r>
      <w:r w:rsidR="00220A2D" w:rsidRPr="00246717">
        <w:rPr>
          <w:rFonts w:ascii="Times New Roman" w:hAnsi="Times New Roman" w:cs="Times New Roman"/>
          <w:szCs w:val="24"/>
          <w:lang w:val="pl-PL"/>
        </w:rPr>
        <w:t>w świetle rosyjskiego prawa</w:t>
      </w:r>
      <w:r w:rsidR="005B6547" w:rsidRPr="00246717">
        <w:rPr>
          <w:rFonts w:ascii="Times New Roman" w:hAnsi="Times New Roman" w:cs="Times New Roman"/>
          <w:szCs w:val="24"/>
          <w:lang w:val="pl-PL"/>
        </w:rPr>
        <w:t xml:space="preserve"> stanowiło wykroczenie administracyjne.</w:t>
      </w:r>
    </w:p>
    <w:p w14:paraId="2EA77B4D" w14:textId="66F4FD7C"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C36ECB"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C36ECB" w:rsidRPr="00246717">
        <w:rPr>
          <w:rFonts w:ascii="Times New Roman" w:hAnsi="Times New Roman" w:cs="Times New Roman"/>
          <w:szCs w:val="24"/>
          <w:lang w:val="pl-PL"/>
        </w:rPr>
        <w:t>15</w:t>
      </w:r>
      <w:r w:rsidRPr="00246717">
        <w:rPr>
          <w:rFonts w:ascii="Times New Roman" w:hAnsi="Times New Roman" w:cs="Times New Roman"/>
          <w:szCs w:val="24"/>
          <w:lang w:val="pl-PL"/>
        </w:rPr>
        <w:fldChar w:fldCharType="end"/>
      </w:r>
      <w:r w:rsidR="00C36ECB" w:rsidRPr="00246717">
        <w:rPr>
          <w:rFonts w:ascii="Times New Roman" w:hAnsi="Times New Roman" w:cs="Times New Roman"/>
          <w:szCs w:val="24"/>
          <w:lang w:val="pl-PL"/>
        </w:rPr>
        <w:t>.  Na posterunku policji skarżącą poinformowano, że została zatrzymana (</w:t>
      </w:r>
      <w:proofErr w:type="spellStart"/>
      <w:r w:rsidR="00C36ECB" w:rsidRPr="00246717">
        <w:rPr>
          <w:rFonts w:ascii="Times New Roman" w:hAnsi="Times New Roman" w:cs="Times New Roman"/>
          <w:i/>
          <w:iCs/>
          <w:szCs w:val="24"/>
          <w:lang w:val="pl-PL"/>
        </w:rPr>
        <w:t>задержана</w:t>
      </w:r>
      <w:proofErr w:type="spellEnd"/>
      <w:r w:rsidR="00C36ECB" w:rsidRPr="00246717">
        <w:rPr>
          <w:rFonts w:ascii="Times New Roman" w:hAnsi="Times New Roman" w:cs="Times New Roman"/>
          <w:szCs w:val="24"/>
          <w:lang w:val="pl-PL"/>
        </w:rPr>
        <w:t xml:space="preserve">). Jej torebka została przeszukana przez funkcjonariuszkę policji I. w obecności dwóch zaświadczających świadków, B. i K., </w:t>
      </w:r>
      <w:r w:rsidR="00220A2D">
        <w:rPr>
          <w:rFonts w:ascii="Times New Roman" w:hAnsi="Times New Roman" w:cs="Times New Roman"/>
          <w:szCs w:val="24"/>
          <w:lang w:val="pl-PL"/>
        </w:rPr>
        <w:t>a następnie pobrano od niej odciski palców</w:t>
      </w:r>
      <w:r w:rsidR="00C36ECB" w:rsidRPr="00246717">
        <w:rPr>
          <w:rFonts w:ascii="Times New Roman" w:hAnsi="Times New Roman" w:cs="Times New Roman"/>
          <w:szCs w:val="24"/>
          <w:lang w:val="pl-PL"/>
        </w:rPr>
        <w:t xml:space="preserve">. </w:t>
      </w:r>
      <w:r w:rsidR="00F20A31">
        <w:rPr>
          <w:rFonts w:ascii="Times New Roman" w:hAnsi="Times New Roman" w:cs="Times New Roman"/>
          <w:szCs w:val="24"/>
          <w:lang w:val="pl-PL"/>
        </w:rPr>
        <w:t>Z p</w:t>
      </w:r>
      <w:r w:rsidR="0049541A">
        <w:rPr>
          <w:rFonts w:ascii="Times New Roman" w:hAnsi="Times New Roman" w:cs="Times New Roman"/>
          <w:szCs w:val="24"/>
          <w:lang w:val="pl-PL"/>
        </w:rPr>
        <w:t>rotok</w:t>
      </w:r>
      <w:r w:rsidR="00F20A31">
        <w:rPr>
          <w:rFonts w:ascii="Times New Roman" w:hAnsi="Times New Roman" w:cs="Times New Roman"/>
          <w:szCs w:val="24"/>
          <w:lang w:val="pl-PL"/>
        </w:rPr>
        <w:t>ołu</w:t>
      </w:r>
      <w:r w:rsidR="0049541A" w:rsidRPr="00246717">
        <w:rPr>
          <w:rFonts w:ascii="Times New Roman" w:hAnsi="Times New Roman" w:cs="Times New Roman"/>
          <w:szCs w:val="24"/>
          <w:lang w:val="pl-PL"/>
        </w:rPr>
        <w:t xml:space="preserve"> </w:t>
      </w:r>
      <w:r w:rsidR="00C36ECB" w:rsidRPr="00246717">
        <w:rPr>
          <w:rFonts w:ascii="Times New Roman" w:hAnsi="Times New Roman" w:cs="Times New Roman"/>
          <w:szCs w:val="24"/>
          <w:lang w:val="pl-PL"/>
        </w:rPr>
        <w:t xml:space="preserve">z </w:t>
      </w:r>
      <w:r w:rsidR="0049541A">
        <w:rPr>
          <w:rFonts w:ascii="Times New Roman" w:hAnsi="Times New Roman" w:cs="Times New Roman"/>
          <w:szCs w:val="24"/>
          <w:lang w:val="pl-PL"/>
        </w:rPr>
        <w:t>kontroli</w:t>
      </w:r>
      <w:r w:rsidR="00C36ECB" w:rsidRPr="00246717">
        <w:rPr>
          <w:rFonts w:ascii="Times New Roman" w:hAnsi="Times New Roman" w:cs="Times New Roman"/>
          <w:szCs w:val="24"/>
          <w:lang w:val="pl-PL"/>
        </w:rPr>
        <w:t xml:space="preserve"> osobistej </w:t>
      </w:r>
      <w:r w:rsidR="00F20A31">
        <w:rPr>
          <w:rFonts w:ascii="Times New Roman" w:hAnsi="Times New Roman" w:cs="Times New Roman"/>
          <w:szCs w:val="24"/>
          <w:lang w:val="pl-PL"/>
        </w:rPr>
        <w:t>wynikało</w:t>
      </w:r>
      <w:r w:rsidR="00C36ECB" w:rsidRPr="00246717">
        <w:rPr>
          <w:rFonts w:ascii="Times New Roman" w:hAnsi="Times New Roman" w:cs="Times New Roman"/>
          <w:szCs w:val="24"/>
          <w:lang w:val="pl-PL"/>
        </w:rPr>
        <w:t xml:space="preserve">, że </w:t>
      </w:r>
      <w:r w:rsidR="0049541A">
        <w:rPr>
          <w:rFonts w:ascii="Times New Roman" w:hAnsi="Times New Roman" w:cs="Times New Roman"/>
          <w:szCs w:val="24"/>
          <w:lang w:val="pl-PL"/>
        </w:rPr>
        <w:t>kontrola</w:t>
      </w:r>
      <w:r w:rsidR="00C36ECB" w:rsidRPr="00246717">
        <w:rPr>
          <w:rFonts w:ascii="Times New Roman" w:hAnsi="Times New Roman" w:cs="Times New Roman"/>
          <w:szCs w:val="24"/>
          <w:lang w:val="pl-PL"/>
        </w:rPr>
        <w:t xml:space="preserve"> skarżącej trwał</w:t>
      </w:r>
      <w:r w:rsidR="0049541A">
        <w:rPr>
          <w:rFonts w:ascii="Times New Roman" w:hAnsi="Times New Roman" w:cs="Times New Roman"/>
          <w:szCs w:val="24"/>
          <w:lang w:val="pl-PL"/>
        </w:rPr>
        <w:t>a</w:t>
      </w:r>
      <w:r w:rsidR="00C36ECB" w:rsidRPr="00246717">
        <w:rPr>
          <w:rFonts w:ascii="Times New Roman" w:hAnsi="Times New Roman" w:cs="Times New Roman"/>
          <w:szCs w:val="24"/>
          <w:lang w:val="pl-PL"/>
        </w:rPr>
        <w:t xml:space="preserve"> od godziny 20</w:t>
      </w:r>
      <w:r w:rsidR="0049541A">
        <w:rPr>
          <w:rFonts w:ascii="Times New Roman" w:hAnsi="Times New Roman" w:cs="Times New Roman"/>
          <w:szCs w:val="24"/>
          <w:lang w:val="pl-PL"/>
        </w:rPr>
        <w:t>.</w:t>
      </w:r>
      <w:r w:rsidR="00C36ECB" w:rsidRPr="00246717">
        <w:rPr>
          <w:rFonts w:ascii="Times New Roman" w:hAnsi="Times New Roman" w:cs="Times New Roman"/>
          <w:szCs w:val="24"/>
          <w:lang w:val="pl-PL"/>
        </w:rPr>
        <w:t>35 do godziny 21</w:t>
      </w:r>
      <w:r w:rsidR="0049541A">
        <w:rPr>
          <w:rFonts w:ascii="Times New Roman" w:hAnsi="Times New Roman" w:cs="Times New Roman"/>
          <w:szCs w:val="24"/>
          <w:lang w:val="pl-PL"/>
        </w:rPr>
        <w:t>.</w:t>
      </w:r>
      <w:r w:rsidR="00C36ECB" w:rsidRPr="00246717">
        <w:rPr>
          <w:rFonts w:ascii="Times New Roman" w:hAnsi="Times New Roman" w:cs="Times New Roman"/>
          <w:szCs w:val="24"/>
          <w:lang w:val="pl-PL"/>
        </w:rPr>
        <w:t xml:space="preserve">03. </w:t>
      </w:r>
      <w:r w:rsidR="0049541A">
        <w:rPr>
          <w:rFonts w:ascii="Times New Roman" w:hAnsi="Times New Roman" w:cs="Times New Roman"/>
          <w:szCs w:val="24"/>
          <w:lang w:val="pl-PL"/>
        </w:rPr>
        <w:t>Podczas przeprowadzania kontroli</w:t>
      </w:r>
      <w:r w:rsidR="00C36ECB" w:rsidRPr="00246717">
        <w:rPr>
          <w:rFonts w:ascii="Times New Roman" w:hAnsi="Times New Roman" w:cs="Times New Roman"/>
          <w:szCs w:val="24"/>
          <w:lang w:val="pl-PL"/>
        </w:rPr>
        <w:t xml:space="preserve"> osobistej I. </w:t>
      </w:r>
      <w:r w:rsidR="0049541A">
        <w:rPr>
          <w:rFonts w:ascii="Times New Roman" w:hAnsi="Times New Roman" w:cs="Times New Roman"/>
          <w:szCs w:val="24"/>
          <w:lang w:val="pl-PL"/>
        </w:rPr>
        <w:t>odkryła</w:t>
      </w:r>
      <w:r w:rsidR="00C36ECB" w:rsidRPr="00246717">
        <w:rPr>
          <w:rFonts w:ascii="Times New Roman" w:hAnsi="Times New Roman" w:cs="Times New Roman"/>
          <w:szCs w:val="24"/>
          <w:lang w:val="pl-PL"/>
        </w:rPr>
        <w:t xml:space="preserve"> w torebce skarżącej, owinięte folią aluminiową, dwa pa</w:t>
      </w:r>
      <w:r w:rsidR="000916BB">
        <w:rPr>
          <w:rFonts w:ascii="Times New Roman" w:hAnsi="Times New Roman" w:cs="Times New Roman"/>
          <w:szCs w:val="24"/>
          <w:lang w:val="pl-PL"/>
        </w:rPr>
        <w:t>kunki</w:t>
      </w:r>
      <w:r w:rsidR="00C36ECB" w:rsidRPr="00246717">
        <w:rPr>
          <w:rFonts w:ascii="Times New Roman" w:hAnsi="Times New Roman" w:cs="Times New Roman"/>
          <w:szCs w:val="24"/>
          <w:lang w:val="pl-PL"/>
        </w:rPr>
        <w:t xml:space="preserve"> w kształcie sześcianu zawierające nieznaną substancję. Substancja, wraz z podszewką torebki skarżącej i kieszeniami jej kurtki, została zabrana do badania kryminalistycznego. W protokole z badania kryminalistycznego stwierdzono, że odciski palców skarżącej pobrano o godzinie 21</w:t>
      </w:r>
      <w:r w:rsidR="000916BB">
        <w:rPr>
          <w:rFonts w:ascii="Times New Roman" w:hAnsi="Times New Roman" w:cs="Times New Roman"/>
          <w:szCs w:val="24"/>
          <w:lang w:val="pl-PL"/>
        </w:rPr>
        <w:t>.</w:t>
      </w:r>
      <w:r w:rsidR="00C36ECB" w:rsidRPr="00246717">
        <w:rPr>
          <w:rFonts w:ascii="Times New Roman" w:hAnsi="Times New Roman" w:cs="Times New Roman"/>
          <w:szCs w:val="24"/>
          <w:lang w:val="pl-PL"/>
        </w:rPr>
        <w:t xml:space="preserve">30. Policja nie zbadała rąk skarżącej </w:t>
      </w:r>
      <w:r w:rsidR="00F20A31">
        <w:rPr>
          <w:rFonts w:ascii="Times New Roman" w:hAnsi="Times New Roman" w:cs="Times New Roman"/>
          <w:szCs w:val="24"/>
          <w:lang w:val="pl-PL"/>
        </w:rPr>
        <w:t>pod kątem</w:t>
      </w:r>
      <w:r w:rsidR="00F20A31" w:rsidRPr="00246717">
        <w:rPr>
          <w:rFonts w:ascii="Times New Roman" w:hAnsi="Times New Roman" w:cs="Times New Roman"/>
          <w:szCs w:val="24"/>
          <w:lang w:val="pl-PL"/>
        </w:rPr>
        <w:t xml:space="preserve"> </w:t>
      </w:r>
      <w:r w:rsidR="00C36ECB" w:rsidRPr="00246717">
        <w:rPr>
          <w:rFonts w:ascii="Times New Roman" w:hAnsi="Times New Roman" w:cs="Times New Roman"/>
          <w:szCs w:val="24"/>
          <w:lang w:val="pl-PL"/>
        </w:rPr>
        <w:t>obecnoś</w:t>
      </w:r>
      <w:r w:rsidR="00F20A31">
        <w:rPr>
          <w:rFonts w:ascii="Times New Roman" w:hAnsi="Times New Roman" w:cs="Times New Roman"/>
          <w:szCs w:val="24"/>
          <w:lang w:val="pl-PL"/>
        </w:rPr>
        <w:t>ci</w:t>
      </w:r>
      <w:r w:rsidR="00C36ECB" w:rsidRPr="00246717">
        <w:rPr>
          <w:rFonts w:ascii="Times New Roman" w:hAnsi="Times New Roman" w:cs="Times New Roman"/>
          <w:szCs w:val="24"/>
          <w:lang w:val="pl-PL"/>
        </w:rPr>
        <w:t xml:space="preserve"> pozostałości substancji ani nie sprawdziła pak</w:t>
      </w:r>
      <w:r w:rsidR="000916BB">
        <w:rPr>
          <w:rFonts w:ascii="Times New Roman" w:hAnsi="Times New Roman" w:cs="Times New Roman"/>
          <w:szCs w:val="24"/>
          <w:lang w:val="pl-PL"/>
        </w:rPr>
        <w:t>unków</w:t>
      </w:r>
      <w:r w:rsidR="00C36ECB" w:rsidRPr="00246717">
        <w:rPr>
          <w:rFonts w:ascii="Times New Roman" w:hAnsi="Times New Roman" w:cs="Times New Roman"/>
          <w:szCs w:val="24"/>
          <w:lang w:val="pl-PL"/>
        </w:rPr>
        <w:t xml:space="preserve"> znalezionych w jej torebce pod kątem obecności odcisków palców. Później tego samego dnia skarżąca została zatrzymana pod zarzutem działalności terrorystycznej i przesłuchana przez policję. Wszczęto </w:t>
      </w:r>
      <w:r w:rsidR="000916BB">
        <w:rPr>
          <w:rFonts w:ascii="Times New Roman" w:hAnsi="Times New Roman" w:cs="Times New Roman"/>
          <w:szCs w:val="24"/>
          <w:lang w:val="pl-PL"/>
        </w:rPr>
        <w:t>postępowanie przygotowawcze</w:t>
      </w:r>
      <w:r w:rsidR="00C36ECB" w:rsidRPr="00246717">
        <w:rPr>
          <w:rFonts w:ascii="Times New Roman" w:hAnsi="Times New Roman" w:cs="Times New Roman"/>
          <w:szCs w:val="24"/>
          <w:lang w:val="pl-PL"/>
        </w:rPr>
        <w:t>.</w:t>
      </w:r>
    </w:p>
    <w:bookmarkStart w:id="13" w:name="ForensiExamReport"/>
    <w:p w14:paraId="6A321090" w14:textId="7ADA7209"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16</w:t>
      </w:r>
      <w:r w:rsidRPr="00246717">
        <w:rPr>
          <w:rFonts w:ascii="Times New Roman" w:hAnsi="Times New Roman" w:cs="Times New Roman"/>
          <w:szCs w:val="24"/>
          <w:lang w:val="pl-PL"/>
        </w:rPr>
        <w:fldChar w:fldCharType="end"/>
      </w:r>
      <w:bookmarkEnd w:id="13"/>
      <w:r w:rsidR="005B6547" w:rsidRPr="00246717">
        <w:rPr>
          <w:rFonts w:ascii="Times New Roman" w:hAnsi="Times New Roman" w:cs="Times New Roman"/>
          <w:szCs w:val="24"/>
          <w:lang w:val="pl-PL"/>
        </w:rPr>
        <w:t xml:space="preserve">.  W dniu 12 marca 2004 r. przeprowadzono ekspertyzę </w:t>
      </w:r>
      <w:r w:rsidR="000916BB">
        <w:rPr>
          <w:rFonts w:ascii="Times New Roman" w:hAnsi="Times New Roman" w:cs="Times New Roman"/>
          <w:szCs w:val="24"/>
          <w:lang w:val="pl-PL"/>
        </w:rPr>
        <w:t>w zakresie badania</w:t>
      </w:r>
      <w:r w:rsidR="005B6547" w:rsidRPr="00246717">
        <w:rPr>
          <w:rFonts w:ascii="Times New Roman" w:hAnsi="Times New Roman" w:cs="Times New Roman"/>
          <w:szCs w:val="24"/>
          <w:lang w:val="pl-PL"/>
        </w:rPr>
        <w:t xml:space="preserve"> substancji znalezionej w torebce skarżącej. W protokole z badania wykazano, że substancja zawierała 196 gramów Plastytu-4, przemysłowego materiału wybuchowego przygotowanego z użyciem heksogenu. W toku badania materiały wybuchowe zostały zniszczone. Badanie torebki skarżącej i podszewki kieszeni kurtki wykazało obecność heksogenu.</w:t>
      </w:r>
    </w:p>
    <w:p w14:paraId="1DB24B1E" w14:textId="7970F562"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17</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Policja przeszukała mieszkanie, w którym skarżąca mieszkała </w:t>
      </w:r>
      <w:r w:rsidR="006224DF">
        <w:rPr>
          <w:rFonts w:ascii="Times New Roman" w:hAnsi="Times New Roman" w:cs="Times New Roman"/>
          <w:szCs w:val="24"/>
          <w:lang w:val="pl-PL"/>
        </w:rPr>
        <w:t>razem z</w:t>
      </w:r>
      <w:r w:rsidR="005B6547" w:rsidRPr="00246717">
        <w:rPr>
          <w:rFonts w:ascii="Times New Roman" w:hAnsi="Times New Roman" w:cs="Times New Roman"/>
          <w:szCs w:val="24"/>
          <w:lang w:val="pl-PL"/>
        </w:rPr>
        <w:t xml:space="preserve"> V. i Ku. i zajęła odręcznie sporządzoną przez skarżącą</w:t>
      </w:r>
      <w:r w:rsidR="006224DF">
        <w:rPr>
          <w:rFonts w:ascii="Times New Roman" w:hAnsi="Times New Roman" w:cs="Times New Roman"/>
          <w:szCs w:val="24"/>
          <w:lang w:val="pl-PL"/>
        </w:rPr>
        <w:t xml:space="preserve"> </w:t>
      </w:r>
      <w:r w:rsidR="006224DF" w:rsidRPr="00246717">
        <w:rPr>
          <w:rFonts w:ascii="Times New Roman" w:hAnsi="Times New Roman" w:cs="Times New Roman"/>
          <w:szCs w:val="24"/>
          <w:lang w:val="pl-PL"/>
        </w:rPr>
        <w:t>notatkę</w:t>
      </w:r>
      <w:r w:rsidR="005B6547" w:rsidRPr="00246717">
        <w:rPr>
          <w:rFonts w:ascii="Times New Roman" w:hAnsi="Times New Roman" w:cs="Times New Roman"/>
          <w:szCs w:val="24"/>
          <w:lang w:val="pl-PL"/>
        </w:rPr>
        <w:t xml:space="preserve">. </w:t>
      </w:r>
      <w:r w:rsidR="006224DF">
        <w:rPr>
          <w:rFonts w:ascii="Times New Roman" w:hAnsi="Times New Roman" w:cs="Times New Roman"/>
          <w:szCs w:val="24"/>
          <w:lang w:val="pl-PL"/>
        </w:rPr>
        <w:t xml:space="preserve">Ta </w:t>
      </w:r>
      <w:r w:rsidR="005B6547" w:rsidRPr="00246717">
        <w:rPr>
          <w:rFonts w:ascii="Times New Roman" w:hAnsi="Times New Roman" w:cs="Times New Roman"/>
          <w:szCs w:val="24"/>
          <w:lang w:val="pl-PL"/>
        </w:rPr>
        <w:t xml:space="preserve">zawierała krytykę polityki rosyjskiej w Czeczenii, ostre słowa na temat Rosji i Rosjan, gloryfikację zamachowców samobójców, głoszenie drogi dżihadu, uzasadnienie aktów terrorystycznych w Rosji oraz stwierdzenie o „[...] marzeniu, by polec męczeńską śmiercią </w:t>
      </w:r>
      <w:proofErr w:type="spellStart"/>
      <w:r w:rsidR="005B6547" w:rsidRPr="00246717">
        <w:rPr>
          <w:rFonts w:ascii="Times New Roman" w:hAnsi="Times New Roman" w:cs="Times New Roman"/>
          <w:i/>
          <w:iCs/>
          <w:szCs w:val="24"/>
          <w:lang w:val="pl-PL"/>
        </w:rPr>
        <w:t>szahida</w:t>
      </w:r>
      <w:proofErr w:type="spellEnd"/>
      <w:r w:rsidR="005B6547" w:rsidRPr="00246717">
        <w:rPr>
          <w:rFonts w:ascii="Times New Roman" w:hAnsi="Times New Roman" w:cs="Times New Roman"/>
          <w:i/>
          <w:iCs/>
          <w:szCs w:val="24"/>
          <w:lang w:val="pl-PL"/>
        </w:rPr>
        <w:t xml:space="preserve"> </w:t>
      </w:r>
      <w:r w:rsidR="005B6547" w:rsidRPr="00246717">
        <w:rPr>
          <w:rFonts w:ascii="Times New Roman" w:hAnsi="Times New Roman" w:cs="Times New Roman"/>
          <w:szCs w:val="24"/>
          <w:lang w:val="pl-PL"/>
        </w:rPr>
        <w:t xml:space="preserve">na ścieżce Allaha”. Policja znalazła także kilka zdjęć windy w centrum handlowym </w:t>
      </w:r>
      <w:proofErr w:type="spellStart"/>
      <w:r w:rsidR="005B6547" w:rsidRPr="00246717">
        <w:rPr>
          <w:rFonts w:ascii="Times New Roman" w:hAnsi="Times New Roman" w:cs="Times New Roman"/>
          <w:szCs w:val="24"/>
          <w:lang w:val="pl-PL"/>
        </w:rPr>
        <w:t>Ochotnyj</w:t>
      </w:r>
      <w:proofErr w:type="spellEnd"/>
      <w:r w:rsidR="005B6547" w:rsidRPr="00246717">
        <w:rPr>
          <w:rFonts w:ascii="Times New Roman" w:hAnsi="Times New Roman" w:cs="Times New Roman"/>
          <w:szCs w:val="24"/>
          <w:lang w:val="pl-PL"/>
        </w:rPr>
        <w:t xml:space="preserve"> </w:t>
      </w:r>
      <w:proofErr w:type="spellStart"/>
      <w:r w:rsidR="005B6547" w:rsidRPr="00246717">
        <w:rPr>
          <w:rFonts w:ascii="Times New Roman" w:hAnsi="Times New Roman" w:cs="Times New Roman"/>
          <w:szCs w:val="24"/>
          <w:lang w:val="pl-PL"/>
        </w:rPr>
        <w:t>Riad</w:t>
      </w:r>
      <w:proofErr w:type="spellEnd"/>
      <w:r w:rsidR="005B6547" w:rsidRPr="00246717">
        <w:rPr>
          <w:rFonts w:ascii="Times New Roman" w:hAnsi="Times New Roman" w:cs="Times New Roman"/>
          <w:szCs w:val="24"/>
          <w:lang w:val="pl-PL"/>
        </w:rPr>
        <w:t xml:space="preserve"> w centrum Moskwy.</w:t>
      </w:r>
    </w:p>
    <w:bookmarkStart w:id="14" w:name="transcripts"/>
    <w:p w14:paraId="5BF87977" w14:textId="100670D1"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18</w:t>
      </w:r>
      <w:r w:rsidRPr="00246717">
        <w:rPr>
          <w:rFonts w:ascii="Times New Roman" w:hAnsi="Times New Roman" w:cs="Times New Roman"/>
          <w:szCs w:val="24"/>
          <w:lang w:val="pl-PL"/>
        </w:rPr>
        <w:fldChar w:fldCharType="end"/>
      </w:r>
      <w:bookmarkEnd w:id="14"/>
      <w:r w:rsidR="005B6547" w:rsidRPr="00246717">
        <w:rPr>
          <w:rFonts w:ascii="Times New Roman" w:hAnsi="Times New Roman" w:cs="Times New Roman"/>
          <w:szCs w:val="24"/>
          <w:lang w:val="pl-PL"/>
        </w:rPr>
        <w:t>.  </w:t>
      </w:r>
      <w:r w:rsidR="00846483">
        <w:rPr>
          <w:rFonts w:ascii="Times New Roman" w:hAnsi="Times New Roman" w:cs="Times New Roman"/>
          <w:szCs w:val="24"/>
          <w:lang w:val="pl-PL"/>
        </w:rPr>
        <w:t>Z t</w:t>
      </w:r>
      <w:r w:rsidR="005B6547" w:rsidRPr="00246717">
        <w:rPr>
          <w:rFonts w:ascii="Times New Roman" w:hAnsi="Times New Roman" w:cs="Times New Roman"/>
          <w:szCs w:val="24"/>
          <w:lang w:val="pl-PL"/>
        </w:rPr>
        <w:t>ranskrypcj</w:t>
      </w:r>
      <w:r w:rsidR="00846483">
        <w:rPr>
          <w:rFonts w:ascii="Times New Roman" w:hAnsi="Times New Roman" w:cs="Times New Roman"/>
          <w:szCs w:val="24"/>
          <w:lang w:val="pl-PL"/>
        </w:rPr>
        <w:t>i</w:t>
      </w:r>
      <w:r w:rsidR="005B6547" w:rsidRPr="00246717">
        <w:rPr>
          <w:rFonts w:ascii="Times New Roman" w:hAnsi="Times New Roman" w:cs="Times New Roman"/>
          <w:szCs w:val="24"/>
          <w:lang w:val="pl-PL"/>
        </w:rPr>
        <w:t xml:space="preserve"> rozmowy na taśmach wideo nagranych w mieszkaniu </w:t>
      </w:r>
      <w:r w:rsidR="00846483">
        <w:rPr>
          <w:rFonts w:ascii="Times New Roman" w:hAnsi="Times New Roman" w:cs="Times New Roman"/>
          <w:szCs w:val="24"/>
          <w:lang w:val="pl-PL"/>
        </w:rPr>
        <w:t>wynikało</w:t>
      </w:r>
      <w:r w:rsidR="005B6547" w:rsidRPr="00246717">
        <w:rPr>
          <w:rFonts w:ascii="Times New Roman" w:hAnsi="Times New Roman" w:cs="Times New Roman"/>
          <w:szCs w:val="24"/>
          <w:lang w:val="pl-PL"/>
        </w:rPr>
        <w:t xml:space="preserve">, że skarżąca </w:t>
      </w:r>
      <w:r w:rsidR="00225DB2">
        <w:rPr>
          <w:rFonts w:ascii="Times New Roman" w:hAnsi="Times New Roman" w:cs="Times New Roman"/>
          <w:szCs w:val="24"/>
          <w:lang w:val="pl-PL"/>
        </w:rPr>
        <w:t xml:space="preserve">nawracała </w:t>
      </w:r>
      <w:r w:rsidR="005B6547" w:rsidRPr="00246717">
        <w:rPr>
          <w:rFonts w:ascii="Times New Roman" w:hAnsi="Times New Roman" w:cs="Times New Roman"/>
          <w:szCs w:val="24"/>
          <w:lang w:val="pl-PL"/>
        </w:rPr>
        <w:t>V. i Ku.</w:t>
      </w:r>
      <w:r w:rsidR="00225DB2">
        <w:rPr>
          <w:rFonts w:ascii="Times New Roman" w:hAnsi="Times New Roman" w:cs="Times New Roman"/>
          <w:szCs w:val="24"/>
          <w:lang w:val="pl-PL"/>
        </w:rPr>
        <w:t xml:space="preserve"> </w:t>
      </w:r>
      <w:r w:rsidR="00846483">
        <w:rPr>
          <w:rFonts w:ascii="Times New Roman" w:hAnsi="Times New Roman" w:cs="Times New Roman"/>
          <w:szCs w:val="24"/>
          <w:lang w:val="pl-PL"/>
        </w:rPr>
        <w:t>n</w:t>
      </w:r>
      <w:r w:rsidR="00225DB2">
        <w:rPr>
          <w:rFonts w:ascii="Times New Roman" w:hAnsi="Times New Roman" w:cs="Times New Roman"/>
          <w:szCs w:val="24"/>
          <w:lang w:val="pl-PL"/>
        </w:rPr>
        <w:t>a Islam</w:t>
      </w:r>
      <w:r w:rsidR="005B6547" w:rsidRPr="00246717">
        <w:rPr>
          <w:rFonts w:ascii="Times New Roman" w:hAnsi="Times New Roman" w:cs="Times New Roman"/>
          <w:szCs w:val="24"/>
          <w:lang w:val="pl-PL"/>
        </w:rPr>
        <w:t>, opowiadając o swojej nienawiści wobec Rosjan i potrzebie wytoczenia im „świętej wojny”, chwaląc przywódców powstania czeczeńskiego i mówiąc swoim współlokatorkom o obozach powstańczych na Kaukazie.</w:t>
      </w:r>
    </w:p>
    <w:p w14:paraId="6658B394" w14:textId="6222BB65"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19</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toku postępowania przygotowawczego skarżąca, reprezentowana przez </w:t>
      </w:r>
      <w:r w:rsidR="00333074">
        <w:rPr>
          <w:rFonts w:ascii="Times New Roman" w:hAnsi="Times New Roman" w:cs="Times New Roman"/>
          <w:szCs w:val="24"/>
          <w:lang w:val="pl-PL"/>
        </w:rPr>
        <w:t>swego</w:t>
      </w:r>
      <w:r w:rsidR="005B6547" w:rsidRPr="00246717">
        <w:rPr>
          <w:rFonts w:ascii="Times New Roman" w:hAnsi="Times New Roman" w:cs="Times New Roman"/>
          <w:szCs w:val="24"/>
          <w:lang w:val="pl-PL"/>
        </w:rPr>
        <w:t xml:space="preserve"> obrońcę, odbyła </w:t>
      </w:r>
      <w:proofErr w:type="spellStart"/>
      <w:r w:rsidR="005B6547" w:rsidRPr="00246717">
        <w:rPr>
          <w:rFonts w:ascii="Times New Roman" w:hAnsi="Times New Roman" w:cs="Times New Roman"/>
          <w:szCs w:val="24"/>
          <w:lang w:val="pl-PL"/>
        </w:rPr>
        <w:t>przedprocesowe</w:t>
      </w:r>
      <w:proofErr w:type="spellEnd"/>
      <w:r w:rsidR="005B6547" w:rsidRPr="00246717">
        <w:rPr>
          <w:rFonts w:ascii="Times New Roman" w:hAnsi="Times New Roman" w:cs="Times New Roman"/>
          <w:szCs w:val="24"/>
          <w:lang w:val="pl-PL"/>
        </w:rPr>
        <w:t xml:space="preserve"> konfrontacje ze świadkami, V. i Ku. a także z funkcjonariuszami policji, S. i </w:t>
      </w:r>
      <w:proofErr w:type="spellStart"/>
      <w:r w:rsidR="005B6547" w:rsidRPr="00246717">
        <w:rPr>
          <w:rFonts w:ascii="Times New Roman" w:hAnsi="Times New Roman" w:cs="Times New Roman"/>
          <w:szCs w:val="24"/>
          <w:lang w:val="pl-PL"/>
        </w:rPr>
        <w:t>I</w:t>
      </w:r>
      <w:proofErr w:type="spellEnd"/>
      <w:r w:rsidR="005B6547" w:rsidRPr="00246717">
        <w:rPr>
          <w:rFonts w:ascii="Times New Roman" w:hAnsi="Times New Roman" w:cs="Times New Roman"/>
          <w:szCs w:val="24"/>
          <w:lang w:val="pl-PL"/>
        </w:rPr>
        <w:t xml:space="preserve">., którzy brali udział w jej </w:t>
      </w:r>
      <w:r w:rsidR="005B6547" w:rsidRPr="00246717">
        <w:rPr>
          <w:rFonts w:ascii="Times New Roman" w:hAnsi="Times New Roman" w:cs="Times New Roman"/>
          <w:szCs w:val="24"/>
          <w:lang w:val="pl-PL"/>
        </w:rPr>
        <w:lastRenderedPageBreak/>
        <w:t xml:space="preserve">zatrzymaniu i przeszukaniu. Skarżąca miała możliwość przedstawienia swojej relacji z przebiegu wydarzeń i zadania </w:t>
      </w:r>
      <w:r w:rsidR="00846483">
        <w:rPr>
          <w:rFonts w:ascii="Times New Roman" w:hAnsi="Times New Roman" w:cs="Times New Roman"/>
          <w:szCs w:val="24"/>
          <w:lang w:val="pl-PL"/>
        </w:rPr>
        <w:t>odpowiednich</w:t>
      </w:r>
      <w:r w:rsidR="0084648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pytań.</w:t>
      </w:r>
    </w:p>
    <w:bookmarkStart w:id="15" w:name="MotionWitnessA_Investigation"/>
    <w:p w14:paraId="73EE1D70" w14:textId="36145355"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20</w:t>
      </w:r>
      <w:r w:rsidRPr="00246717">
        <w:rPr>
          <w:rFonts w:ascii="Times New Roman" w:hAnsi="Times New Roman" w:cs="Times New Roman"/>
          <w:szCs w:val="24"/>
          <w:lang w:val="pl-PL"/>
        </w:rPr>
        <w:fldChar w:fldCharType="end"/>
      </w:r>
      <w:bookmarkEnd w:id="15"/>
      <w:r w:rsidR="005B6547" w:rsidRPr="00246717">
        <w:rPr>
          <w:rFonts w:ascii="Times New Roman" w:hAnsi="Times New Roman" w:cs="Times New Roman"/>
          <w:szCs w:val="24"/>
          <w:lang w:val="pl-PL"/>
        </w:rPr>
        <w:t xml:space="preserve">.  W dniu 12 października 2004 r. skarżąca przedłożyła poniższy wniosek organom prowadzącym </w:t>
      </w:r>
      <w:r w:rsidR="00333074">
        <w:rPr>
          <w:rFonts w:ascii="Times New Roman" w:hAnsi="Times New Roman" w:cs="Times New Roman"/>
          <w:szCs w:val="24"/>
          <w:lang w:val="pl-PL"/>
        </w:rPr>
        <w:t>postępowanie przygotowawcze</w:t>
      </w:r>
      <w:r w:rsidR="005B6547" w:rsidRPr="00246717">
        <w:rPr>
          <w:rFonts w:ascii="Times New Roman" w:hAnsi="Times New Roman" w:cs="Times New Roman"/>
          <w:szCs w:val="24"/>
          <w:lang w:val="pl-PL"/>
        </w:rPr>
        <w:t>.</w:t>
      </w:r>
    </w:p>
    <w:p w14:paraId="10EC4861" w14:textId="53DC1CFF" w:rsidR="0062431E" w:rsidRPr="00246717" w:rsidRDefault="005B6547" w:rsidP="000957D3">
      <w:pPr>
        <w:pStyle w:val="ECHRParaQuote"/>
        <w:rPr>
          <w:rFonts w:ascii="Times New Roman" w:eastAsia="Times New Roman" w:hAnsi="Times New Roman" w:cs="Times New Roman"/>
          <w:lang w:val="pl-PL"/>
        </w:rPr>
      </w:pPr>
      <w:r w:rsidRPr="00246717">
        <w:rPr>
          <w:rFonts w:ascii="Times New Roman" w:eastAsia="Times New Roman" w:hAnsi="Times New Roman" w:cs="Times New Roman"/>
          <w:lang w:val="pl-PL"/>
        </w:rPr>
        <w:t xml:space="preserve">„Dzisiaj, dnia 12 października 2004 r., </w:t>
      </w:r>
      <w:r w:rsidR="00E91F82">
        <w:rPr>
          <w:rFonts w:ascii="Times New Roman" w:eastAsia="Times New Roman" w:hAnsi="Times New Roman" w:cs="Times New Roman"/>
          <w:lang w:val="pl-PL"/>
        </w:rPr>
        <w:t>przedstawiono mi zarzut</w:t>
      </w:r>
      <w:r w:rsidRPr="00246717">
        <w:rPr>
          <w:rFonts w:ascii="Times New Roman" w:eastAsia="Times New Roman" w:hAnsi="Times New Roman" w:cs="Times New Roman"/>
          <w:lang w:val="pl-PL"/>
        </w:rPr>
        <w:t xml:space="preserve"> [przygotowani</w:t>
      </w:r>
      <w:r w:rsidR="00E91F82">
        <w:rPr>
          <w:rFonts w:ascii="Times New Roman" w:eastAsia="Times New Roman" w:hAnsi="Times New Roman" w:cs="Times New Roman"/>
          <w:lang w:val="pl-PL"/>
        </w:rPr>
        <w:t>a</w:t>
      </w:r>
      <w:r w:rsidRPr="00246717">
        <w:rPr>
          <w:rFonts w:ascii="Times New Roman" w:eastAsia="Times New Roman" w:hAnsi="Times New Roman" w:cs="Times New Roman"/>
          <w:lang w:val="pl-PL"/>
        </w:rPr>
        <w:t xml:space="preserve"> </w:t>
      </w:r>
      <w:r w:rsidR="00846483">
        <w:rPr>
          <w:rFonts w:ascii="Times New Roman" w:eastAsia="Times New Roman" w:hAnsi="Times New Roman" w:cs="Times New Roman"/>
          <w:lang w:val="pl-PL"/>
        </w:rPr>
        <w:t>do czynu o charakterze</w:t>
      </w:r>
      <w:r w:rsidR="00846483" w:rsidRPr="00246717">
        <w:rPr>
          <w:rFonts w:ascii="Times New Roman" w:eastAsia="Times New Roman" w:hAnsi="Times New Roman" w:cs="Times New Roman"/>
          <w:lang w:val="pl-PL"/>
        </w:rPr>
        <w:t xml:space="preserve"> terrorystyczn</w:t>
      </w:r>
      <w:r w:rsidR="00846483">
        <w:rPr>
          <w:rFonts w:ascii="Times New Roman" w:eastAsia="Times New Roman" w:hAnsi="Times New Roman" w:cs="Times New Roman"/>
          <w:lang w:val="pl-PL"/>
        </w:rPr>
        <w:t>ym</w:t>
      </w:r>
      <w:r w:rsidRPr="00246717">
        <w:rPr>
          <w:rFonts w:ascii="Times New Roman" w:eastAsia="Times New Roman" w:hAnsi="Times New Roman" w:cs="Times New Roman"/>
          <w:lang w:val="pl-PL"/>
        </w:rPr>
        <w:t xml:space="preserve">]. Całkowicie nie zgadzam się z </w:t>
      </w:r>
      <w:r w:rsidR="00846483">
        <w:rPr>
          <w:rFonts w:ascii="Times New Roman" w:eastAsia="Times New Roman" w:hAnsi="Times New Roman" w:cs="Times New Roman"/>
          <w:lang w:val="pl-PL"/>
        </w:rPr>
        <w:t xml:space="preserve">przedstawionymi </w:t>
      </w:r>
      <w:r w:rsidRPr="00246717">
        <w:rPr>
          <w:rFonts w:ascii="Times New Roman" w:eastAsia="Times New Roman" w:hAnsi="Times New Roman" w:cs="Times New Roman"/>
          <w:lang w:val="pl-PL"/>
        </w:rPr>
        <w:t>zarzutami. Uważam, że w mojej sprawie nie zgromadzono dowodów mojej niewinności i braku powiązania z niniejszą sprawą.</w:t>
      </w:r>
    </w:p>
    <w:p w14:paraId="53A159EC" w14:textId="3E514ED5" w:rsidR="005B6547" w:rsidRPr="00246717" w:rsidRDefault="005B6547" w:rsidP="000957D3">
      <w:pPr>
        <w:pStyle w:val="ECHRParaQuote"/>
        <w:rPr>
          <w:rFonts w:ascii="Times New Roman" w:eastAsia="Times New Roman" w:hAnsi="Times New Roman" w:cs="Times New Roman"/>
          <w:lang w:val="pl-PL"/>
        </w:rPr>
      </w:pPr>
      <w:r w:rsidRPr="00246717">
        <w:rPr>
          <w:rFonts w:ascii="Times New Roman" w:eastAsia="Times New Roman" w:hAnsi="Times New Roman" w:cs="Times New Roman"/>
          <w:lang w:val="pl-PL"/>
        </w:rPr>
        <w:t>Wnoszę o [</w:t>
      </w:r>
      <w:r w:rsidR="00846483">
        <w:rPr>
          <w:rFonts w:ascii="Times New Roman" w:eastAsia="Times New Roman" w:hAnsi="Times New Roman" w:cs="Times New Roman"/>
          <w:lang w:val="pl-PL"/>
        </w:rPr>
        <w:t>ujawnienie</w:t>
      </w:r>
      <w:r w:rsidRPr="00246717">
        <w:rPr>
          <w:rFonts w:ascii="Times New Roman" w:eastAsia="Times New Roman" w:hAnsi="Times New Roman" w:cs="Times New Roman"/>
          <w:lang w:val="pl-PL"/>
        </w:rPr>
        <w:t>] rejestrów [połączeń telefonicznych z mojego telefonu komórkowego] w dniach 3 i 4 marca 2004 r. ponieważ w tych dniach funkcjonariusze policji, którzy zabrali mnie z pracy i przyprowadzili na [posterunek policji], gdzie podrzuc</w:t>
      </w:r>
      <w:r w:rsidR="00C07CA0">
        <w:rPr>
          <w:rFonts w:ascii="Times New Roman" w:eastAsia="Times New Roman" w:hAnsi="Times New Roman" w:cs="Times New Roman"/>
          <w:lang w:val="pl-PL"/>
        </w:rPr>
        <w:t>ono</w:t>
      </w:r>
      <w:r w:rsidRPr="00246717">
        <w:rPr>
          <w:rFonts w:ascii="Times New Roman" w:eastAsia="Times New Roman" w:hAnsi="Times New Roman" w:cs="Times New Roman"/>
          <w:lang w:val="pl-PL"/>
        </w:rPr>
        <w:t xml:space="preserve"> plastyczn</w:t>
      </w:r>
      <w:r w:rsidR="00C07CA0">
        <w:rPr>
          <w:rFonts w:ascii="Times New Roman" w:eastAsia="Times New Roman" w:hAnsi="Times New Roman" w:cs="Times New Roman"/>
          <w:lang w:val="pl-PL"/>
        </w:rPr>
        <w:t>e</w:t>
      </w:r>
      <w:r w:rsidRPr="00246717">
        <w:rPr>
          <w:rFonts w:ascii="Times New Roman" w:eastAsia="Times New Roman" w:hAnsi="Times New Roman" w:cs="Times New Roman"/>
          <w:lang w:val="pl-PL"/>
        </w:rPr>
        <w:t xml:space="preserve"> materiał</w:t>
      </w:r>
      <w:r w:rsidR="00C07CA0">
        <w:rPr>
          <w:rFonts w:ascii="Times New Roman" w:eastAsia="Times New Roman" w:hAnsi="Times New Roman" w:cs="Times New Roman"/>
          <w:lang w:val="pl-PL"/>
        </w:rPr>
        <w:t>y</w:t>
      </w:r>
      <w:r w:rsidRPr="00246717">
        <w:rPr>
          <w:rFonts w:ascii="Times New Roman" w:eastAsia="Times New Roman" w:hAnsi="Times New Roman" w:cs="Times New Roman"/>
          <w:lang w:val="pl-PL"/>
        </w:rPr>
        <w:t xml:space="preserve"> wybuchow</w:t>
      </w:r>
      <w:r w:rsidR="00C07CA0">
        <w:rPr>
          <w:rFonts w:ascii="Times New Roman" w:eastAsia="Times New Roman" w:hAnsi="Times New Roman" w:cs="Times New Roman"/>
          <w:lang w:val="pl-PL"/>
        </w:rPr>
        <w:t>e</w:t>
      </w:r>
      <w:r w:rsidRPr="00246717">
        <w:rPr>
          <w:rFonts w:ascii="Times New Roman" w:eastAsia="Times New Roman" w:hAnsi="Times New Roman" w:cs="Times New Roman"/>
          <w:lang w:val="pl-PL"/>
        </w:rPr>
        <w:t>, rozmawiali z A.</w:t>
      </w:r>
    </w:p>
    <w:p w14:paraId="7003A4C6" w14:textId="504A264F" w:rsidR="005B6547" w:rsidRPr="00246717" w:rsidRDefault="00846483" w:rsidP="000957D3">
      <w:pPr>
        <w:pStyle w:val="ECHRParaQuote"/>
        <w:rPr>
          <w:rFonts w:ascii="Times New Roman" w:eastAsia="Times New Roman" w:hAnsi="Times New Roman" w:cs="Times New Roman"/>
          <w:lang w:val="pl-PL"/>
        </w:rPr>
      </w:pPr>
      <w:r>
        <w:rPr>
          <w:rFonts w:ascii="Times New Roman" w:eastAsia="Times New Roman" w:hAnsi="Times New Roman" w:cs="Times New Roman"/>
          <w:lang w:val="pl-PL"/>
        </w:rPr>
        <w:t xml:space="preserve">Wnoszę o </w:t>
      </w:r>
      <w:r w:rsidR="001066EB">
        <w:rPr>
          <w:rFonts w:ascii="Times New Roman" w:eastAsia="Times New Roman" w:hAnsi="Times New Roman" w:cs="Times New Roman"/>
          <w:lang w:val="pl-PL"/>
        </w:rPr>
        <w:t>przesłuchani</w:t>
      </w:r>
      <w:r>
        <w:rPr>
          <w:rFonts w:ascii="Times New Roman" w:eastAsia="Times New Roman" w:hAnsi="Times New Roman" w:cs="Times New Roman"/>
          <w:lang w:val="pl-PL"/>
        </w:rPr>
        <w:t>e</w:t>
      </w:r>
      <w:r w:rsidR="005B6547" w:rsidRPr="00246717">
        <w:rPr>
          <w:rFonts w:ascii="Times New Roman" w:eastAsia="Times New Roman" w:hAnsi="Times New Roman" w:cs="Times New Roman"/>
          <w:lang w:val="pl-PL"/>
        </w:rPr>
        <w:t xml:space="preserve"> go [A.] i postawienie mu następujących pytań:</w:t>
      </w:r>
    </w:p>
    <w:p w14:paraId="56D52B4D" w14:textId="77777777" w:rsidR="005B6547" w:rsidRPr="00246717" w:rsidRDefault="00141766" w:rsidP="000957D3">
      <w:pPr>
        <w:pStyle w:val="ECHRParaQuote"/>
        <w:rPr>
          <w:rFonts w:ascii="Times New Roman" w:eastAsia="Times New Roman" w:hAnsi="Times New Roman" w:cs="Times New Roman"/>
          <w:lang w:val="pl-PL"/>
        </w:rPr>
      </w:pPr>
      <w:r w:rsidRPr="00246717">
        <w:rPr>
          <w:rFonts w:ascii="Times New Roman" w:eastAsia="Times New Roman" w:hAnsi="Times New Roman" w:cs="Times New Roman"/>
          <w:lang w:val="pl-PL"/>
        </w:rPr>
        <w:t>1.  Kiedy się ze mną spotkał i w jakich okolicznościach?</w:t>
      </w:r>
    </w:p>
    <w:p w14:paraId="4AEB0E0D" w14:textId="77777777" w:rsidR="005B6547" w:rsidRPr="00246717" w:rsidRDefault="00141766" w:rsidP="000957D3">
      <w:pPr>
        <w:pStyle w:val="ECHRParaQuote"/>
        <w:rPr>
          <w:rFonts w:ascii="Times New Roman" w:eastAsia="Times New Roman" w:hAnsi="Times New Roman" w:cs="Times New Roman"/>
          <w:lang w:val="pl-PL"/>
        </w:rPr>
      </w:pPr>
      <w:r w:rsidRPr="00246717">
        <w:rPr>
          <w:rFonts w:ascii="Times New Roman" w:eastAsia="Times New Roman" w:hAnsi="Times New Roman" w:cs="Times New Roman"/>
          <w:lang w:val="pl-PL"/>
        </w:rPr>
        <w:t>2.  Czy zapewnił mi zakwaterowanie w miejscu, w którym mieszkałam do czasu mojego zatrzymania?</w:t>
      </w:r>
    </w:p>
    <w:p w14:paraId="3686E3D6" w14:textId="77777777" w:rsidR="005B6547" w:rsidRPr="00246717" w:rsidRDefault="00141766" w:rsidP="000957D3">
      <w:pPr>
        <w:pStyle w:val="ECHRParaQuote"/>
        <w:rPr>
          <w:rFonts w:ascii="Times New Roman" w:eastAsia="Times New Roman" w:hAnsi="Times New Roman" w:cs="Times New Roman"/>
          <w:lang w:val="pl-PL"/>
        </w:rPr>
      </w:pPr>
      <w:r w:rsidRPr="00246717">
        <w:rPr>
          <w:rFonts w:ascii="Times New Roman" w:eastAsia="Times New Roman" w:hAnsi="Times New Roman" w:cs="Times New Roman"/>
          <w:lang w:val="pl-PL"/>
        </w:rPr>
        <w:t>3.  Na którym posterunku policji byłam bezprawnie przetrzymywana przez trzy dni i czy on lub inni funkcjonariusze mnie przesłuchiwali?</w:t>
      </w:r>
    </w:p>
    <w:p w14:paraId="6FDF5DC9" w14:textId="77777777" w:rsidR="005B6547" w:rsidRPr="00246717" w:rsidRDefault="00141766" w:rsidP="000957D3">
      <w:pPr>
        <w:pStyle w:val="ECHRParaQuote"/>
        <w:rPr>
          <w:rFonts w:ascii="Times New Roman" w:eastAsia="Times New Roman" w:hAnsi="Times New Roman" w:cs="Times New Roman"/>
          <w:lang w:val="pl-PL"/>
        </w:rPr>
      </w:pPr>
      <w:r w:rsidRPr="00246717">
        <w:rPr>
          <w:rFonts w:ascii="Times New Roman" w:eastAsia="Times New Roman" w:hAnsi="Times New Roman" w:cs="Times New Roman"/>
          <w:lang w:val="pl-PL"/>
        </w:rPr>
        <w:t>4.  Czy podczas zatrzymania rozmawiał ze mną i z funkcjonariuszami, którzy zabrali mnie z pracy i przyprowadzili [mnie] na [posterunek policji]?</w:t>
      </w:r>
    </w:p>
    <w:p w14:paraId="671DC813" w14:textId="77777777" w:rsidR="005B6547" w:rsidRPr="00246717" w:rsidRDefault="00141766" w:rsidP="000957D3">
      <w:pPr>
        <w:pStyle w:val="ECHRParaQuote"/>
        <w:rPr>
          <w:rFonts w:ascii="Times New Roman" w:eastAsia="Times New Roman" w:hAnsi="Times New Roman" w:cs="Times New Roman"/>
          <w:lang w:val="pl-PL"/>
        </w:rPr>
      </w:pPr>
      <w:r w:rsidRPr="00246717">
        <w:rPr>
          <w:rFonts w:ascii="Times New Roman" w:eastAsia="Times New Roman" w:hAnsi="Times New Roman" w:cs="Times New Roman"/>
          <w:lang w:val="pl-PL"/>
        </w:rPr>
        <w:t>5.  Jakie były jego relacje z V. i Ku.?”</w:t>
      </w:r>
    </w:p>
    <w:p w14:paraId="7C917C02" w14:textId="47AC71E0"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21</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Nazajutrz </w:t>
      </w:r>
      <w:r w:rsidR="00846483">
        <w:rPr>
          <w:rFonts w:ascii="Times New Roman" w:hAnsi="Times New Roman" w:cs="Times New Roman"/>
          <w:szCs w:val="24"/>
          <w:lang w:val="pl-PL"/>
        </w:rPr>
        <w:t>organ prowadzący postępowanie przygotowawcze</w:t>
      </w:r>
      <w:r w:rsidR="0084648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uwzględnił wniosek w części dotyczącej przesłuchania A., przesłuchał go i poinformował skarżącą o decyzji w sprawie jej wniosku.</w:t>
      </w:r>
    </w:p>
    <w:bookmarkStart w:id="16" w:name="PreTrialStatement"/>
    <w:p w14:paraId="744F4346" w14:textId="15C49208"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22</w:t>
      </w:r>
      <w:r w:rsidRPr="00246717">
        <w:rPr>
          <w:rFonts w:ascii="Times New Roman" w:hAnsi="Times New Roman" w:cs="Times New Roman"/>
          <w:szCs w:val="24"/>
          <w:lang w:val="pl-PL"/>
        </w:rPr>
        <w:fldChar w:fldCharType="end"/>
      </w:r>
      <w:bookmarkEnd w:id="16"/>
      <w:r w:rsidR="005B6547" w:rsidRPr="00246717">
        <w:rPr>
          <w:rFonts w:ascii="Times New Roman" w:hAnsi="Times New Roman" w:cs="Times New Roman"/>
          <w:szCs w:val="24"/>
          <w:lang w:val="pl-PL"/>
        </w:rPr>
        <w:t xml:space="preserve">.  Podczas przesłuchania A. zeznał, że pod koniec grudnia 2003 r., </w:t>
      </w:r>
      <w:r w:rsidR="00846483">
        <w:rPr>
          <w:rFonts w:ascii="Times New Roman" w:hAnsi="Times New Roman" w:cs="Times New Roman"/>
          <w:szCs w:val="24"/>
          <w:lang w:val="pl-PL"/>
        </w:rPr>
        <w:t>w związku z poleceniem wydanym przez</w:t>
      </w:r>
      <w:r w:rsidR="005B6547" w:rsidRPr="00246717">
        <w:rPr>
          <w:rFonts w:ascii="Times New Roman" w:hAnsi="Times New Roman" w:cs="Times New Roman"/>
          <w:szCs w:val="24"/>
          <w:lang w:val="pl-PL"/>
        </w:rPr>
        <w:t xml:space="preserve"> </w:t>
      </w:r>
      <w:r w:rsidR="00846483">
        <w:rPr>
          <w:rFonts w:ascii="Times New Roman" w:hAnsi="Times New Roman" w:cs="Times New Roman"/>
          <w:szCs w:val="24"/>
          <w:lang w:val="pl-PL"/>
        </w:rPr>
        <w:t>jego</w:t>
      </w:r>
      <w:r w:rsidR="0084648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przełożonych</w:t>
      </w:r>
      <w:r w:rsidR="00846483">
        <w:rPr>
          <w:rFonts w:ascii="Times New Roman" w:hAnsi="Times New Roman" w:cs="Times New Roman"/>
          <w:szCs w:val="24"/>
          <w:lang w:val="pl-PL"/>
        </w:rPr>
        <w:t>,</w:t>
      </w:r>
      <w:r w:rsidR="005B6547" w:rsidRPr="00246717">
        <w:rPr>
          <w:rFonts w:ascii="Times New Roman" w:hAnsi="Times New Roman" w:cs="Times New Roman"/>
          <w:szCs w:val="24"/>
          <w:lang w:val="pl-PL"/>
        </w:rPr>
        <w:t xml:space="preserve"> nawiązał relację</w:t>
      </w:r>
      <w:r w:rsidR="0076313B">
        <w:rPr>
          <w:rFonts w:ascii="Times New Roman" w:hAnsi="Times New Roman" w:cs="Times New Roman"/>
          <w:szCs w:val="24"/>
          <w:lang w:val="pl-PL"/>
        </w:rPr>
        <w:t xml:space="preserve"> opartą na zaufaniu</w:t>
      </w:r>
      <w:r w:rsidR="005B6547" w:rsidRPr="00246717">
        <w:rPr>
          <w:rFonts w:ascii="Times New Roman" w:hAnsi="Times New Roman" w:cs="Times New Roman"/>
          <w:szCs w:val="24"/>
          <w:lang w:val="pl-PL"/>
        </w:rPr>
        <w:t xml:space="preserve"> ze skarżącą, która przedstawiła go także V. i Ku. Twierdził ponadto, że przy wsparciu komendy policji pomógł skarżącej w znalezieniu zakwaterowania. Wraz z V. i Ku. skarżąca przeprowadziła się do mieszkania w bloku noclegowym komendy policji. W dniu 4 marca 2004 r. skarżąca zatelefonowała do niego, ponieważ została zatrzymana przez patrol policji. Zalecił jej, by stosowała się do poleceń funkcjonariuszy policji i udała się z nimi na posterunek policji.</w:t>
      </w:r>
    </w:p>
    <w:p w14:paraId="1FD4B9A9" w14:textId="477AA99E"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23</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Skarżąca i jej obrońca, któr</w:t>
      </w:r>
      <w:r w:rsidR="00E91F82">
        <w:rPr>
          <w:rFonts w:ascii="Times New Roman" w:hAnsi="Times New Roman" w:cs="Times New Roman"/>
          <w:szCs w:val="24"/>
          <w:lang w:val="pl-PL"/>
        </w:rPr>
        <w:t>z</w:t>
      </w:r>
      <w:r w:rsidR="005B6547" w:rsidRPr="00246717">
        <w:rPr>
          <w:rFonts w:ascii="Times New Roman" w:hAnsi="Times New Roman" w:cs="Times New Roman"/>
          <w:szCs w:val="24"/>
          <w:lang w:val="pl-PL"/>
        </w:rPr>
        <w:t>y zosta</w:t>
      </w:r>
      <w:r w:rsidR="00E91F82">
        <w:rPr>
          <w:rFonts w:ascii="Times New Roman" w:hAnsi="Times New Roman" w:cs="Times New Roman"/>
          <w:szCs w:val="24"/>
          <w:lang w:val="pl-PL"/>
        </w:rPr>
        <w:t>li</w:t>
      </w:r>
      <w:r w:rsidR="005B6547" w:rsidRPr="00246717">
        <w:rPr>
          <w:rFonts w:ascii="Times New Roman" w:hAnsi="Times New Roman" w:cs="Times New Roman"/>
          <w:szCs w:val="24"/>
          <w:lang w:val="pl-PL"/>
        </w:rPr>
        <w:t xml:space="preserve"> należycie poinformowan</w:t>
      </w:r>
      <w:r w:rsidR="00E91F82">
        <w:rPr>
          <w:rFonts w:ascii="Times New Roman" w:hAnsi="Times New Roman" w:cs="Times New Roman"/>
          <w:szCs w:val="24"/>
          <w:lang w:val="pl-PL"/>
        </w:rPr>
        <w:t>i</w:t>
      </w:r>
      <w:r w:rsidR="005B6547" w:rsidRPr="00246717">
        <w:rPr>
          <w:rFonts w:ascii="Times New Roman" w:hAnsi="Times New Roman" w:cs="Times New Roman"/>
          <w:szCs w:val="24"/>
          <w:lang w:val="pl-PL"/>
        </w:rPr>
        <w:t xml:space="preserve"> o treści protokołu z przesłuchania A., nie próbowa</w:t>
      </w:r>
      <w:r w:rsidR="0076313B">
        <w:rPr>
          <w:rFonts w:ascii="Times New Roman" w:hAnsi="Times New Roman" w:cs="Times New Roman"/>
          <w:szCs w:val="24"/>
          <w:lang w:val="pl-PL"/>
        </w:rPr>
        <w:t>li</w:t>
      </w:r>
      <w:r w:rsidR="005B6547" w:rsidRPr="00246717">
        <w:rPr>
          <w:rFonts w:ascii="Times New Roman" w:hAnsi="Times New Roman" w:cs="Times New Roman"/>
          <w:szCs w:val="24"/>
          <w:lang w:val="pl-PL"/>
        </w:rPr>
        <w:t xml:space="preserve"> zadawać mu żadnych dalszych pytań ani nie zwróci</w:t>
      </w:r>
      <w:r w:rsidR="0076313B">
        <w:rPr>
          <w:rFonts w:ascii="Times New Roman" w:hAnsi="Times New Roman" w:cs="Times New Roman"/>
          <w:szCs w:val="24"/>
          <w:lang w:val="pl-PL"/>
        </w:rPr>
        <w:t>li</w:t>
      </w:r>
      <w:r w:rsidR="005B6547" w:rsidRPr="00246717">
        <w:rPr>
          <w:rFonts w:ascii="Times New Roman" w:hAnsi="Times New Roman" w:cs="Times New Roman"/>
          <w:szCs w:val="24"/>
          <w:lang w:val="pl-PL"/>
        </w:rPr>
        <w:t xml:space="preserve"> się do </w:t>
      </w:r>
      <w:r w:rsidR="00E91F82">
        <w:rPr>
          <w:rFonts w:ascii="Times New Roman" w:hAnsi="Times New Roman" w:cs="Times New Roman"/>
          <w:szCs w:val="24"/>
          <w:lang w:val="pl-PL"/>
        </w:rPr>
        <w:t>organu prowadzącego postępowanie przygotowawcze</w:t>
      </w:r>
      <w:r w:rsidR="005B6547" w:rsidRPr="00246717">
        <w:rPr>
          <w:rFonts w:ascii="Times New Roman" w:hAnsi="Times New Roman" w:cs="Times New Roman"/>
          <w:szCs w:val="24"/>
          <w:lang w:val="pl-PL"/>
        </w:rPr>
        <w:t xml:space="preserve"> o przeprowadzenie konfrontacji </w:t>
      </w:r>
      <w:proofErr w:type="spellStart"/>
      <w:r w:rsidR="005B6547" w:rsidRPr="00246717">
        <w:rPr>
          <w:rFonts w:ascii="Times New Roman" w:hAnsi="Times New Roman" w:cs="Times New Roman"/>
          <w:szCs w:val="24"/>
          <w:lang w:val="pl-PL"/>
        </w:rPr>
        <w:t>przedprocesowej</w:t>
      </w:r>
      <w:proofErr w:type="spellEnd"/>
      <w:r w:rsidR="005B6547" w:rsidRPr="00246717">
        <w:rPr>
          <w:rFonts w:ascii="Times New Roman" w:hAnsi="Times New Roman" w:cs="Times New Roman"/>
          <w:szCs w:val="24"/>
          <w:lang w:val="pl-PL"/>
        </w:rPr>
        <w:t>.</w:t>
      </w:r>
    </w:p>
    <w:p w14:paraId="3EE34B28" w14:textId="5A3D9F20"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24</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dniu 2 grudnia 2004 r. skarżąca otrzymała </w:t>
      </w:r>
      <w:r w:rsidR="00E91F82">
        <w:rPr>
          <w:rFonts w:ascii="Times New Roman" w:hAnsi="Times New Roman" w:cs="Times New Roman"/>
          <w:szCs w:val="24"/>
          <w:lang w:val="pl-PL"/>
        </w:rPr>
        <w:t>odpis</w:t>
      </w:r>
      <w:r w:rsidR="00E91F82"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akt sprawy do </w:t>
      </w:r>
      <w:r w:rsidR="00E91F82">
        <w:rPr>
          <w:rFonts w:ascii="Times New Roman" w:hAnsi="Times New Roman" w:cs="Times New Roman"/>
          <w:szCs w:val="24"/>
          <w:lang w:val="pl-PL"/>
        </w:rPr>
        <w:t>wglądu</w:t>
      </w:r>
      <w:r w:rsidR="005B6547" w:rsidRPr="00246717">
        <w:rPr>
          <w:rFonts w:ascii="Times New Roman" w:hAnsi="Times New Roman" w:cs="Times New Roman"/>
          <w:szCs w:val="24"/>
          <w:lang w:val="pl-PL"/>
        </w:rPr>
        <w:t>. W dniu 7 grudnia 2004 r. skarżąc</w:t>
      </w:r>
      <w:r w:rsidR="00E91F82">
        <w:rPr>
          <w:rFonts w:ascii="Times New Roman" w:hAnsi="Times New Roman" w:cs="Times New Roman"/>
          <w:szCs w:val="24"/>
          <w:lang w:val="pl-PL"/>
        </w:rPr>
        <w:t>ej</w:t>
      </w:r>
      <w:r w:rsidR="005B6547" w:rsidRPr="00246717">
        <w:rPr>
          <w:rFonts w:ascii="Times New Roman" w:hAnsi="Times New Roman" w:cs="Times New Roman"/>
          <w:szCs w:val="24"/>
          <w:lang w:val="pl-PL"/>
        </w:rPr>
        <w:t xml:space="preserve"> </w:t>
      </w:r>
      <w:r w:rsidR="00E91F82">
        <w:rPr>
          <w:rFonts w:ascii="Times New Roman" w:hAnsi="Times New Roman" w:cs="Times New Roman"/>
          <w:szCs w:val="24"/>
          <w:lang w:val="pl-PL"/>
        </w:rPr>
        <w:t>przedstawiono zarzut</w:t>
      </w:r>
      <w:r w:rsidR="005B6547" w:rsidRPr="00246717">
        <w:rPr>
          <w:rFonts w:ascii="Times New Roman" w:hAnsi="Times New Roman" w:cs="Times New Roman"/>
          <w:szCs w:val="24"/>
          <w:lang w:val="pl-PL"/>
        </w:rPr>
        <w:t xml:space="preserve"> </w:t>
      </w:r>
      <w:r w:rsidR="00E91F82" w:rsidRPr="00246717">
        <w:rPr>
          <w:rFonts w:ascii="Times New Roman" w:eastAsia="Times New Roman" w:hAnsi="Times New Roman" w:cs="Times New Roman"/>
          <w:lang w:val="pl-PL"/>
        </w:rPr>
        <w:t>przygotowani</w:t>
      </w:r>
      <w:r w:rsidR="00E91F82">
        <w:rPr>
          <w:rFonts w:ascii="Times New Roman" w:eastAsia="Times New Roman" w:hAnsi="Times New Roman" w:cs="Times New Roman"/>
          <w:lang w:val="pl-PL"/>
        </w:rPr>
        <w:t>a</w:t>
      </w:r>
      <w:r w:rsidR="00E91F82" w:rsidRPr="00246717">
        <w:rPr>
          <w:rFonts w:ascii="Times New Roman" w:eastAsia="Times New Roman" w:hAnsi="Times New Roman" w:cs="Times New Roman"/>
          <w:lang w:val="pl-PL"/>
        </w:rPr>
        <w:t xml:space="preserve"> </w:t>
      </w:r>
      <w:r w:rsidR="00E91F82">
        <w:rPr>
          <w:rFonts w:ascii="Times New Roman" w:eastAsia="Times New Roman" w:hAnsi="Times New Roman" w:cs="Times New Roman"/>
          <w:lang w:val="pl-PL"/>
        </w:rPr>
        <w:t>do czynu o charakterze</w:t>
      </w:r>
      <w:r w:rsidR="00E91F82" w:rsidRPr="00246717">
        <w:rPr>
          <w:rFonts w:ascii="Times New Roman" w:eastAsia="Times New Roman" w:hAnsi="Times New Roman" w:cs="Times New Roman"/>
          <w:lang w:val="pl-PL"/>
        </w:rPr>
        <w:t xml:space="preserve"> terrorystyczn</w:t>
      </w:r>
      <w:r w:rsidR="00E91F82">
        <w:rPr>
          <w:rFonts w:ascii="Times New Roman" w:eastAsia="Times New Roman" w:hAnsi="Times New Roman" w:cs="Times New Roman"/>
          <w:lang w:val="pl-PL"/>
        </w:rPr>
        <w:t>ym</w:t>
      </w:r>
      <w:r w:rsidR="00E91F82" w:rsidRPr="00246717" w:rsidDel="00E91F82">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(wybuchu) w centrum handlowym </w:t>
      </w:r>
      <w:proofErr w:type="spellStart"/>
      <w:r w:rsidR="005B6547" w:rsidRPr="00246717">
        <w:rPr>
          <w:rFonts w:ascii="Times New Roman" w:hAnsi="Times New Roman" w:cs="Times New Roman"/>
          <w:szCs w:val="24"/>
          <w:lang w:val="pl-PL"/>
        </w:rPr>
        <w:t>Ochotnyj</w:t>
      </w:r>
      <w:proofErr w:type="spellEnd"/>
      <w:r w:rsidR="005B6547" w:rsidRPr="00246717">
        <w:rPr>
          <w:rFonts w:ascii="Times New Roman" w:hAnsi="Times New Roman" w:cs="Times New Roman"/>
          <w:szCs w:val="24"/>
          <w:lang w:val="pl-PL"/>
        </w:rPr>
        <w:t xml:space="preserve"> </w:t>
      </w:r>
      <w:proofErr w:type="spellStart"/>
      <w:r w:rsidR="005B6547" w:rsidRPr="00246717">
        <w:rPr>
          <w:rFonts w:ascii="Times New Roman" w:hAnsi="Times New Roman" w:cs="Times New Roman"/>
          <w:szCs w:val="24"/>
          <w:lang w:val="pl-PL"/>
        </w:rPr>
        <w:t>Riad</w:t>
      </w:r>
      <w:proofErr w:type="spellEnd"/>
      <w:r w:rsidR="005B6547" w:rsidRPr="00246717">
        <w:rPr>
          <w:rFonts w:ascii="Times New Roman" w:hAnsi="Times New Roman" w:cs="Times New Roman"/>
          <w:szCs w:val="24"/>
          <w:lang w:val="pl-PL"/>
        </w:rPr>
        <w:t xml:space="preserve"> i podżegani</w:t>
      </w:r>
      <w:r w:rsidR="00E91F82">
        <w:rPr>
          <w:rFonts w:ascii="Times New Roman" w:hAnsi="Times New Roman" w:cs="Times New Roman"/>
          <w:szCs w:val="24"/>
          <w:lang w:val="pl-PL"/>
        </w:rPr>
        <w:t>a</w:t>
      </w:r>
      <w:r w:rsidR="005B6547" w:rsidRPr="00246717">
        <w:rPr>
          <w:rFonts w:ascii="Times New Roman" w:hAnsi="Times New Roman" w:cs="Times New Roman"/>
          <w:szCs w:val="24"/>
          <w:lang w:val="pl-PL"/>
        </w:rPr>
        <w:t xml:space="preserve"> V. i Ku. do popełnienia </w:t>
      </w:r>
      <w:r w:rsidR="00E91F82">
        <w:rPr>
          <w:rFonts w:ascii="Times New Roman" w:hAnsi="Times New Roman" w:cs="Times New Roman"/>
          <w:szCs w:val="24"/>
          <w:lang w:val="pl-PL"/>
        </w:rPr>
        <w:t>czynu o charakterze</w:t>
      </w:r>
      <w:r w:rsidR="00E91F82" w:rsidRPr="00246717">
        <w:rPr>
          <w:rFonts w:ascii="Times New Roman" w:hAnsi="Times New Roman" w:cs="Times New Roman"/>
          <w:szCs w:val="24"/>
          <w:lang w:val="pl-PL"/>
        </w:rPr>
        <w:t xml:space="preserve"> terrorystyczn</w:t>
      </w:r>
      <w:r w:rsidR="00E91F82">
        <w:rPr>
          <w:rFonts w:ascii="Times New Roman" w:hAnsi="Times New Roman" w:cs="Times New Roman"/>
          <w:szCs w:val="24"/>
          <w:lang w:val="pl-PL"/>
        </w:rPr>
        <w:t>ym</w:t>
      </w:r>
      <w:r w:rsidR="005B6547" w:rsidRPr="00246717">
        <w:rPr>
          <w:rFonts w:ascii="Times New Roman" w:hAnsi="Times New Roman" w:cs="Times New Roman"/>
          <w:szCs w:val="24"/>
          <w:lang w:val="pl-PL"/>
        </w:rPr>
        <w:t xml:space="preserve">. W akcie oskarżenia A. widniał na liście zarówno świadków obrony, jak i </w:t>
      </w:r>
      <w:r w:rsidR="00C13853">
        <w:rPr>
          <w:rFonts w:ascii="Times New Roman" w:hAnsi="Times New Roman" w:cs="Times New Roman"/>
          <w:szCs w:val="24"/>
          <w:lang w:val="pl-PL"/>
        </w:rPr>
        <w:t xml:space="preserve">świadków </w:t>
      </w:r>
      <w:r w:rsidR="005B6547" w:rsidRPr="00246717">
        <w:rPr>
          <w:rFonts w:ascii="Times New Roman" w:hAnsi="Times New Roman" w:cs="Times New Roman"/>
          <w:szCs w:val="24"/>
          <w:lang w:val="pl-PL"/>
        </w:rPr>
        <w:t>oskarżenia</w:t>
      </w:r>
      <w:r w:rsidR="00C13853">
        <w:rPr>
          <w:rFonts w:ascii="Times New Roman" w:hAnsi="Times New Roman" w:cs="Times New Roman"/>
          <w:szCs w:val="24"/>
          <w:lang w:val="pl-PL"/>
        </w:rPr>
        <w:t xml:space="preserve">, którzy mieli zostać </w:t>
      </w:r>
      <w:r w:rsidR="00C13853">
        <w:rPr>
          <w:rFonts w:ascii="Times New Roman" w:hAnsi="Times New Roman" w:cs="Times New Roman"/>
          <w:szCs w:val="24"/>
          <w:lang w:val="pl-PL"/>
        </w:rPr>
        <w:lastRenderedPageBreak/>
        <w:t>wezwani do stawiennictwa</w:t>
      </w:r>
      <w:r w:rsidR="005B6547" w:rsidRPr="00246717">
        <w:rPr>
          <w:rFonts w:ascii="Times New Roman" w:hAnsi="Times New Roman" w:cs="Times New Roman"/>
          <w:szCs w:val="24"/>
          <w:lang w:val="pl-PL"/>
        </w:rPr>
        <w:t xml:space="preserve">. Niemniej zarówno oskarżenie, jak i obrona, zaledwie wspomniały o zeznaniu A. Akt oskarżenia nie zawierał żadnych informacji wykraczających poza zeznania złożone w trakcie wyżej wspomnianego przesłuchania, i które nie zostały </w:t>
      </w:r>
      <w:r w:rsidR="00C13853">
        <w:rPr>
          <w:rFonts w:ascii="Times New Roman" w:hAnsi="Times New Roman" w:cs="Times New Roman"/>
          <w:szCs w:val="24"/>
          <w:lang w:val="pl-PL"/>
        </w:rPr>
        <w:t>zestawione</w:t>
      </w:r>
      <w:r w:rsidR="005B6547" w:rsidRPr="00246717">
        <w:rPr>
          <w:rFonts w:ascii="Times New Roman" w:hAnsi="Times New Roman" w:cs="Times New Roman"/>
          <w:szCs w:val="24"/>
          <w:lang w:val="pl-PL"/>
        </w:rPr>
        <w:t xml:space="preserve"> jakimikolwiek innymi dowodami ani wykorzystane w celu </w:t>
      </w:r>
      <w:r w:rsidR="00C13853">
        <w:rPr>
          <w:rFonts w:ascii="Times New Roman" w:hAnsi="Times New Roman" w:cs="Times New Roman"/>
          <w:szCs w:val="24"/>
          <w:lang w:val="pl-PL"/>
        </w:rPr>
        <w:t>potwierdzenia</w:t>
      </w:r>
      <w:r w:rsidR="00C1385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jakiejkolwiek kwestii faktycznej lub prawnej.</w:t>
      </w:r>
    </w:p>
    <w:p w14:paraId="30C7114D" w14:textId="58957C78" w:rsidR="005B6547" w:rsidRPr="00246717" w:rsidRDefault="00171DBC" w:rsidP="000957D3">
      <w:pPr>
        <w:pStyle w:val="ECHRHeading2"/>
        <w:rPr>
          <w:lang w:val="pl-PL"/>
        </w:rPr>
      </w:pPr>
      <w:bookmarkStart w:id="17" w:name="_Toc512401267"/>
      <w:bookmarkStart w:id="18" w:name="_Toc512345115"/>
      <w:bookmarkStart w:id="19" w:name="_Toc504470789"/>
      <w:r w:rsidRPr="00246717">
        <w:rPr>
          <w:lang w:val="pl-PL"/>
        </w:rPr>
        <w:t>C.</w:t>
      </w:r>
      <w:r w:rsidR="004F66BB">
        <w:rPr>
          <w:lang w:val="pl-PL"/>
        </w:rPr>
        <w:t>  </w:t>
      </w:r>
      <w:r w:rsidRPr="00246717">
        <w:rPr>
          <w:lang w:val="pl-PL"/>
        </w:rPr>
        <w:t>Proces</w:t>
      </w:r>
      <w:bookmarkEnd w:id="17"/>
      <w:bookmarkEnd w:id="18"/>
      <w:bookmarkEnd w:id="19"/>
    </w:p>
    <w:p w14:paraId="5FEF93A8" w14:textId="50620052"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25</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dniu 17 grudnia 2004 r. </w:t>
      </w:r>
      <w:r w:rsidR="00C13853" w:rsidRPr="00246717">
        <w:rPr>
          <w:rFonts w:ascii="Times New Roman" w:hAnsi="Times New Roman" w:cs="Times New Roman"/>
          <w:szCs w:val="24"/>
          <w:lang w:val="pl-PL"/>
        </w:rPr>
        <w:t xml:space="preserve">przed sądem miejskim w Moskwie </w:t>
      </w:r>
      <w:r w:rsidR="005B6547" w:rsidRPr="00246717">
        <w:rPr>
          <w:rFonts w:ascii="Times New Roman" w:hAnsi="Times New Roman" w:cs="Times New Roman"/>
          <w:szCs w:val="24"/>
          <w:lang w:val="pl-PL"/>
        </w:rPr>
        <w:t xml:space="preserve">odbyło się </w:t>
      </w:r>
      <w:r w:rsidR="00C13853">
        <w:rPr>
          <w:rFonts w:ascii="Times New Roman" w:hAnsi="Times New Roman" w:cs="Times New Roman"/>
          <w:szCs w:val="24"/>
          <w:lang w:val="pl-PL"/>
        </w:rPr>
        <w:t>posiedzenie organizacyjne</w:t>
      </w:r>
      <w:r w:rsidR="005B6547" w:rsidRPr="00246717">
        <w:rPr>
          <w:rFonts w:ascii="Times New Roman" w:hAnsi="Times New Roman" w:cs="Times New Roman"/>
          <w:szCs w:val="24"/>
          <w:lang w:val="pl-PL"/>
        </w:rPr>
        <w:t xml:space="preserve">. Sąd uwzględnił wniosek skarżącej o </w:t>
      </w:r>
      <w:r w:rsidR="00C13853" w:rsidRPr="00246717">
        <w:rPr>
          <w:rFonts w:ascii="Times New Roman" w:hAnsi="Times New Roman" w:cs="Times New Roman"/>
          <w:szCs w:val="24"/>
          <w:lang w:val="pl-PL"/>
        </w:rPr>
        <w:t>roz</w:t>
      </w:r>
      <w:r w:rsidR="00C13853">
        <w:rPr>
          <w:rFonts w:ascii="Times New Roman" w:hAnsi="Times New Roman" w:cs="Times New Roman"/>
          <w:szCs w:val="24"/>
          <w:lang w:val="pl-PL"/>
        </w:rPr>
        <w:t>poznanie</w:t>
      </w:r>
      <w:r w:rsidR="00C1385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jej sprawy przez jednoosobowy skład sędziowski, zaplanował </w:t>
      </w:r>
      <w:r w:rsidR="00C13853">
        <w:rPr>
          <w:rFonts w:ascii="Times New Roman" w:hAnsi="Times New Roman" w:cs="Times New Roman"/>
          <w:szCs w:val="24"/>
          <w:lang w:val="pl-PL"/>
        </w:rPr>
        <w:t xml:space="preserve">przebieg </w:t>
      </w:r>
      <w:r w:rsidR="005B6547" w:rsidRPr="00246717">
        <w:rPr>
          <w:rFonts w:ascii="Times New Roman" w:hAnsi="Times New Roman" w:cs="Times New Roman"/>
          <w:szCs w:val="24"/>
          <w:lang w:val="pl-PL"/>
        </w:rPr>
        <w:t>rozpraw</w:t>
      </w:r>
      <w:r w:rsidR="00C13853">
        <w:rPr>
          <w:rFonts w:ascii="Times New Roman" w:hAnsi="Times New Roman" w:cs="Times New Roman"/>
          <w:szCs w:val="24"/>
          <w:lang w:val="pl-PL"/>
        </w:rPr>
        <w:t>y</w:t>
      </w:r>
      <w:r w:rsidR="005B6547" w:rsidRPr="00246717">
        <w:rPr>
          <w:rFonts w:ascii="Times New Roman" w:hAnsi="Times New Roman" w:cs="Times New Roman"/>
          <w:szCs w:val="24"/>
          <w:lang w:val="pl-PL"/>
        </w:rPr>
        <w:t xml:space="preserve"> i </w:t>
      </w:r>
      <w:r w:rsidR="00C13853">
        <w:rPr>
          <w:rFonts w:ascii="Times New Roman" w:hAnsi="Times New Roman" w:cs="Times New Roman"/>
          <w:szCs w:val="24"/>
          <w:lang w:val="pl-PL"/>
        </w:rPr>
        <w:t>zarządził wezwanie</w:t>
      </w:r>
      <w:r w:rsidR="005B6547" w:rsidRPr="00246717">
        <w:rPr>
          <w:rFonts w:ascii="Times New Roman" w:hAnsi="Times New Roman" w:cs="Times New Roman"/>
          <w:szCs w:val="24"/>
          <w:lang w:val="pl-PL"/>
        </w:rPr>
        <w:t xml:space="preserve"> </w:t>
      </w:r>
      <w:r w:rsidR="00C13853" w:rsidRPr="00246717">
        <w:rPr>
          <w:rFonts w:ascii="Times New Roman" w:hAnsi="Times New Roman" w:cs="Times New Roman"/>
          <w:szCs w:val="24"/>
          <w:lang w:val="pl-PL"/>
        </w:rPr>
        <w:t>świadk</w:t>
      </w:r>
      <w:r w:rsidR="00C13853">
        <w:rPr>
          <w:rFonts w:ascii="Times New Roman" w:hAnsi="Times New Roman" w:cs="Times New Roman"/>
          <w:szCs w:val="24"/>
          <w:lang w:val="pl-PL"/>
        </w:rPr>
        <w:t>ów</w:t>
      </w:r>
      <w:r w:rsidR="00C1385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zgodnie z listami przedstawionymi przez strony w akcie oskarżenia.</w:t>
      </w:r>
    </w:p>
    <w:p w14:paraId="05008853" w14:textId="6285038C"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26</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dniu 22 grudnia 2004 r. rozpoczął się proces skarżącej przed sądem miejskim. Skarżąca była reprezentowana przez dwóch </w:t>
      </w:r>
      <w:r w:rsidR="00C13853">
        <w:rPr>
          <w:rFonts w:ascii="Times New Roman" w:hAnsi="Times New Roman" w:cs="Times New Roman"/>
          <w:szCs w:val="24"/>
          <w:lang w:val="pl-PL"/>
        </w:rPr>
        <w:t>obrońców z wyboru</w:t>
      </w:r>
      <w:r w:rsidR="005B6547" w:rsidRPr="00246717">
        <w:rPr>
          <w:rFonts w:ascii="Times New Roman" w:hAnsi="Times New Roman" w:cs="Times New Roman"/>
          <w:szCs w:val="24"/>
          <w:lang w:val="pl-PL"/>
        </w:rPr>
        <w:t>, U. i S.</w:t>
      </w:r>
    </w:p>
    <w:p w14:paraId="007A8809" w14:textId="77777777"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27</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Przebieg procesu był następujący.</w:t>
      </w:r>
    </w:p>
    <w:p w14:paraId="77C1775D" w14:textId="77777777" w:rsidR="005B6547" w:rsidRPr="00246717" w:rsidRDefault="00141766" w:rsidP="000957D3">
      <w:pPr>
        <w:pStyle w:val="ECHRHeading3"/>
        <w:rPr>
          <w:lang w:val="pl-PL"/>
        </w:rPr>
      </w:pPr>
      <w:bookmarkStart w:id="20" w:name="_Toc512401268"/>
      <w:bookmarkStart w:id="21" w:name="_Toc512345116"/>
      <w:bookmarkStart w:id="22" w:name="_Toc504470790"/>
      <w:r w:rsidRPr="00246717">
        <w:rPr>
          <w:bCs w:val="0"/>
          <w:iCs/>
          <w:lang w:val="pl-PL"/>
        </w:rPr>
        <w:t>1.  Zeznanie świadka dotyczące okoliczności sprawy skarżącej</w:t>
      </w:r>
      <w:bookmarkEnd w:id="20"/>
      <w:bookmarkEnd w:id="21"/>
      <w:bookmarkEnd w:id="22"/>
    </w:p>
    <w:p w14:paraId="540D3088" w14:textId="79D4F3A3" w:rsidR="0062431E" w:rsidRPr="00246717" w:rsidRDefault="005B6547" w:rsidP="000957D3">
      <w:pPr>
        <w:pStyle w:val="ECHRHeading4"/>
        <w:rPr>
          <w:lang w:val="pl-PL"/>
        </w:rPr>
      </w:pPr>
      <w:bookmarkStart w:id="23" w:name="_Toc512401269"/>
      <w:r w:rsidRPr="00246717">
        <w:rPr>
          <w:iCs w:val="0"/>
          <w:lang w:val="pl-PL"/>
        </w:rPr>
        <w:t>a)</w:t>
      </w:r>
      <w:r w:rsidR="004F66BB">
        <w:rPr>
          <w:iCs w:val="0"/>
          <w:lang w:val="pl-PL"/>
        </w:rPr>
        <w:t>  </w:t>
      </w:r>
      <w:r w:rsidRPr="00246717">
        <w:rPr>
          <w:iCs w:val="0"/>
          <w:lang w:val="pl-PL"/>
        </w:rPr>
        <w:t>Zeznania V. i Ku.</w:t>
      </w:r>
      <w:bookmarkEnd w:id="23"/>
    </w:p>
    <w:bookmarkStart w:id="24" w:name="VKinTrialTestimony"/>
    <w:p w14:paraId="190BBFA1" w14:textId="40E17B35"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28</w:t>
      </w:r>
      <w:r w:rsidRPr="00246717">
        <w:rPr>
          <w:rFonts w:ascii="Times New Roman" w:hAnsi="Times New Roman" w:cs="Times New Roman"/>
          <w:szCs w:val="24"/>
          <w:lang w:val="pl-PL"/>
        </w:rPr>
        <w:fldChar w:fldCharType="end"/>
      </w:r>
      <w:bookmarkEnd w:id="24"/>
      <w:r w:rsidR="005B6547" w:rsidRPr="00246717">
        <w:rPr>
          <w:rFonts w:ascii="Times New Roman" w:hAnsi="Times New Roman" w:cs="Times New Roman"/>
          <w:szCs w:val="24"/>
          <w:lang w:val="pl-PL"/>
        </w:rPr>
        <w:t>.  </w:t>
      </w:r>
      <w:r w:rsidR="00C13853">
        <w:rPr>
          <w:rFonts w:ascii="Times New Roman" w:hAnsi="Times New Roman" w:cs="Times New Roman"/>
          <w:szCs w:val="24"/>
          <w:lang w:val="pl-PL"/>
        </w:rPr>
        <w:t>Na rozprawie</w:t>
      </w:r>
      <w:r w:rsidR="005B6547" w:rsidRPr="00246717">
        <w:rPr>
          <w:rFonts w:ascii="Times New Roman" w:hAnsi="Times New Roman" w:cs="Times New Roman"/>
          <w:szCs w:val="24"/>
          <w:lang w:val="pl-PL"/>
        </w:rPr>
        <w:t xml:space="preserve"> V. zeznała, że ona i Ku. po raz pierwszy spotkały skarżącą w meczecie w październiku 2003 r. Zaprzyjaźniły się i zaczęły odwiedzać islamistyczne internetowe </w:t>
      </w:r>
      <w:r w:rsidR="00AD7095">
        <w:rPr>
          <w:rFonts w:ascii="Times New Roman" w:hAnsi="Times New Roman" w:cs="Times New Roman"/>
          <w:szCs w:val="24"/>
          <w:lang w:val="pl-PL"/>
        </w:rPr>
        <w:t>platformy dyskusyjne („czaty”)</w:t>
      </w:r>
      <w:r w:rsidR="005B6547" w:rsidRPr="00246717">
        <w:rPr>
          <w:rFonts w:ascii="Times New Roman" w:hAnsi="Times New Roman" w:cs="Times New Roman"/>
          <w:szCs w:val="24"/>
          <w:lang w:val="pl-PL"/>
        </w:rPr>
        <w:t xml:space="preserve"> i wspólnie odwiedzały strony internetowe o charakterze pro-powstańczym. Po </w:t>
      </w:r>
      <w:r w:rsidR="00AD7095">
        <w:rPr>
          <w:rFonts w:ascii="Times New Roman" w:hAnsi="Times New Roman" w:cs="Times New Roman"/>
          <w:szCs w:val="24"/>
          <w:lang w:val="pl-PL"/>
        </w:rPr>
        <w:t>pewnym</w:t>
      </w:r>
      <w:r w:rsidR="005B6547" w:rsidRPr="00246717">
        <w:rPr>
          <w:rFonts w:ascii="Times New Roman" w:hAnsi="Times New Roman" w:cs="Times New Roman"/>
          <w:szCs w:val="24"/>
          <w:lang w:val="pl-PL"/>
        </w:rPr>
        <w:t xml:space="preserve"> czasie postanowiły utworzyć wspólnotę wyznaniową (</w:t>
      </w:r>
      <w:proofErr w:type="spellStart"/>
      <w:r w:rsidR="005B6547" w:rsidRPr="00246717">
        <w:rPr>
          <w:rFonts w:ascii="Times New Roman" w:hAnsi="Times New Roman" w:cs="Times New Roman"/>
          <w:i/>
          <w:iCs/>
          <w:szCs w:val="24"/>
          <w:lang w:val="pl-PL"/>
        </w:rPr>
        <w:t>dzhamaat</w:t>
      </w:r>
      <w:proofErr w:type="spellEnd"/>
      <w:r w:rsidR="005B6547" w:rsidRPr="00246717">
        <w:rPr>
          <w:rFonts w:ascii="Times New Roman" w:hAnsi="Times New Roman" w:cs="Times New Roman"/>
          <w:szCs w:val="24"/>
          <w:lang w:val="pl-PL"/>
        </w:rPr>
        <w:t xml:space="preserve">), żeby studiować islam i mieszkać razem. </w:t>
      </w:r>
      <w:r w:rsidR="00AD7095">
        <w:rPr>
          <w:rFonts w:ascii="Times New Roman" w:hAnsi="Times New Roman" w:cs="Times New Roman"/>
          <w:szCs w:val="24"/>
          <w:lang w:val="pl-PL"/>
        </w:rPr>
        <w:t>Podczas wspólnych</w:t>
      </w:r>
      <w:r w:rsidR="005B6547" w:rsidRPr="00246717">
        <w:rPr>
          <w:rFonts w:ascii="Times New Roman" w:hAnsi="Times New Roman" w:cs="Times New Roman"/>
          <w:szCs w:val="24"/>
          <w:lang w:val="pl-PL"/>
        </w:rPr>
        <w:t xml:space="preserve"> rozm</w:t>
      </w:r>
      <w:r w:rsidR="00AD7095">
        <w:rPr>
          <w:rFonts w:ascii="Times New Roman" w:hAnsi="Times New Roman" w:cs="Times New Roman"/>
          <w:szCs w:val="24"/>
          <w:lang w:val="pl-PL"/>
        </w:rPr>
        <w:t>ów</w:t>
      </w:r>
      <w:r w:rsidR="005B6547" w:rsidRPr="00246717">
        <w:rPr>
          <w:rFonts w:ascii="Times New Roman" w:hAnsi="Times New Roman" w:cs="Times New Roman"/>
          <w:szCs w:val="24"/>
          <w:lang w:val="pl-PL"/>
        </w:rPr>
        <w:t xml:space="preserve"> skarżąca gloryfikowała terroryzm i z aprobatą wyrażała się o zamachowcach samobójcach oraz metodach i celach czeczeńskich powstańców. Skarżąca </w:t>
      </w:r>
      <w:r w:rsidR="00C13853">
        <w:rPr>
          <w:rFonts w:ascii="Times New Roman" w:hAnsi="Times New Roman" w:cs="Times New Roman"/>
          <w:szCs w:val="24"/>
          <w:lang w:val="pl-PL"/>
        </w:rPr>
        <w:t>o</w:t>
      </w:r>
      <w:r w:rsidR="005B6547" w:rsidRPr="00246717">
        <w:rPr>
          <w:rFonts w:ascii="Times New Roman" w:hAnsi="Times New Roman" w:cs="Times New Roman"/>
          <w:szCs w:val="24"/>
          <w:lang w:val="pl-PL"/>
        </w:rPr>
        <w:t>powiedziała im o obozie w Azerbejdżanie w pobliżu Baku, w którym muzułmanie są szkoleni</w:t>
      </w:r>
      <w:r w:rsidR="00C13853">
        <w:rPr>
          <w:rFonts w:ascii="Times New Roman" w:hAnsi="Times New Roman" w:cs="Times New Roman"/>
          <w:szCs w:val="24"/>
          <w:lang w:val="pl-PL"/>
        </w:rPr>
        <w:t xml:space="preserve"> na</w:t>
      </w:r>
      <w:r w:rsidR="005B6547" w:rsidRPr="00246717">
        <w:rPr>
          <w:rFonts w:ascii="Times New Roman" w:hAnsi="Times New Roman" w:cs="Times New Roman"/>
          <w:szCs w:val="24"/>
          <w:lang w:val="pl-PL"/>
        </w:rPr>
        <w:t xml:space="preserve"> </w:t>
      </w:r>
      <w:r w:rsidR="00C13853" w:rsidRPr="00246717">
        <w:rPr>
          <w:rFonts w:ascii="Times New Roman" w:hAnsi="Times New Roman" w:cs="Times New Roman"/>
          <w:szCs w:val="24"/>
          <w:lang w:val="pl-PL"/>
        </w:rPr>
        <w:t>zamachowc</w:t>
      </w:r>
      <w:r w:rsidR="00C13853">
        <w:rPr>
          <w:rFonts w:ascii="Times New Roman" w:hAnsi="Times New Roman" w:cs="Times New Roman"/>
          <w:szCs w:val="24"/>
          <w:lang w:val="pl-PL"/>
        </w:rPr>
        <w:t>ów-</w:t>
      </w:r>
      <w:r w:rsidR="00C13853" w:rsidRPr="00246717">
        <w:rPr>
          <w:rFonts w:ascii="Times New Roman" w:hAnsi="Times New Roman" w:cs="Times New Roman"/>
          <w:szCs w:val="24"/>
          <w:lang w:val="pl-PL"/>
        </w:rPr>
        <w:t>samobójc</w:t>
      </w:r>
      <w:r w:rsidR="00C13853">
        <w:rPr>
          <w:rFonts w:ascii="Times New Roman" w:hAnsi="Times New Roman" w:cs="Times New Roman"/>
          <w:szCs w:val="24"/>
          <w:lang w:val="pl-PL"/>
        </w:rPr>
        <w:t>ów</w:t>
      </w:r>
      <w:r w:rsidR="005B6547" w:rsidRPr="00246717">
        <w:rPr>
          <w:rFonts w:ascii="Times New Roman" w:hAnsi="Times New Roman" w:cs="Times New Roman"/>
          <w:szCs w:val="24"/>
          <w:lang w:val="pl-PL"/>
        </w:rPr>
        <w:t xml:space="preserve">, i że zna kogoś stamtąd. Wspomniała, że sama uczestniczyła w wojnie czeczeńskiej po stronie powstańców. Razem często odwiedzały kafejkę internetową w centrum handlowym </w:t>
      </w:r>
      <w:proofErr w:type="spellStart"/>
      <w:r w:rsidR="005B6547" w:rsidRPr="00246717">
        <w:rPr>
          <w:rFonts w:ascii="Times New Roman" w:hAnsi="Times New Roman" w:cs="Times New Roman"/>
          <w:szCs w:val="24"/>
          <w:lang w:val="pl-PL"/>
        </w:rPr>
        <w:t>Ochotnyj</w:t>
      </w:r>
      <w:proofErr w:type="spellEnd"/>
      <w:r w:rsidR="005B6547" w:rsidRPr="00246717">
        <w:rPr>
          <w:rFonts w:ascii="Times New Roman" w:hAnsi="Times New Roman" w:cs="Times New Roman"/>
          <w:szCs w:val="24"/>
          <w:lang w:val="pl-PL"/>
        </w:rPr>
        <w:t xml:space="preserve"> </w:t>
      </w:r>
      <w:proofErr w:type="spellStart"/>
      <w:r w:rsidR="005B6547" w:rsidRPr="00246717">
        <w:rPr>
          <w:rFonts w:ascii="Times New Roman" w:hAnsi="Times New Roman" w:cs="Times New Roman"/>
          <w:szCs w:val="24"/>
          <w:lang w:val="pl-PL"/>
        </w:rPr>
        <w:t>Riad</w:t>
      </w:r>
      <w:proofErr w:type="spellEnd"/>
      <w:r w:rsidR="005B6547" w:rsidRPr="00246717">
        <w:rPr>
          <w:rFonts w:ascii="Times New Roman" w:hAnsi="Times New Roman" w:cs="Times New Roman"/>
          <w:szCs w:val="24"/>
          <w:lang w:val="pl-PL"/>
        </w:rPr>
        <w:t>. Skarżąca zrobiła też zdjęcia windy w centrum handlowym z różnych ujęć.</w:t>
      </w:r>
    </w:p>
    <w:p w14:paraId="72C33E61" w14:textId="69D5063F"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29</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dniu 3 marca 2004 r. skarżąca powiedziała V. i Ku., że gdyby coś się jej stało, musiałyby usunąć z mieszkania całą islamską literaturę i prowadzony przez nią dziennik i zatelefonować do jej matki w Czeczenii. Powiedziała im również, że właśnie otrzymała telefon od przyjaciela, który przybył do Moskwy, żeby „się wysadzić” oraz że ona (czyli skarżąca) „była w niebezpieczeństwie” i „podejrzewana” [przez władze]. Skarżąca nie groziła im </w:t>
      </w:r>
      <w:r w:rsidR="00C13853">
        <w:rPr>
          <w:rFonts w:ascii="Times New Roman" w:hAnsi="Times New Roman" w:cs="Times New Roman"/>
          <w:szCs w:val="24"/>
          <w:lang w:val="pl-PL"/>
        </w:rPr>
        <w:t>an</w:t>
      </w:r>
      <w:r w:rsidR="005B6547" w:rsidRPr="00246717">
        <w:rPr>
          <w:rFonts w:ascii="Times New Roman" w:hAnsi="Times New Roman" w:cs="Times New Roman"/>
          <w:szCs w:val="24"/>
          <w:lang w:val="pl-PL"/>
        </w:rPr>
        <w:t xml:space="preserve">i nie podżegała ich do </w:t>
      </w:r>
      <w:r w:rsidR="00C13853">
        <w:rPr>
          <w:rFonts w:ascii="Times New Roman" w:hAnsi="Times New Roman" w:cs="Times New Roman"/>
          <w:szCs w:val="24"/>
          <w:lang w:val="pl-PL"/>
        </w:rPr>
        <w:t>popełnienia czynu o charakterze</w:t>
      </w:r>
      <w:r w:rsidR="005B6547" w:rsidRPr="00246717">
        <w:rPr>
          <w:rFonts w:ascii="Times New Roman" w:hAnsi="Times New Roman" w:cs="Times New Roman"/>
          <w:szCs w:val="24"/>
          <w:lang w:val="pl-PL"/>
        </w:rPr>
        <w:t xml:space="preserve"> </w:t>
      </w:r>
      <w:r w:rsidR="00C13853" w:rsidRPr="00246717">
        <w:rPr>
          <w:rFonts w:ascii="Times New Roman" w:hAnsi="Times New Roman" w:cs="Times New Roman"/>
          <w:szCs w:val="24"/>
          <w:lang w:val="pl-PL"/>
        </w:rPr>
        <w:t>terrorystyczn</w:t>
      </w:r>
      <w:r w:rsidR="00C13853">
        <w:rPr>
          <w:rFonts w:ascii="Times New Roman" w:hAnsi="Times New Roman" w:cs="Times New Roman"/>
          <w:szCs w:val="24"/>
          <w:lang w:val="pl-PL"/>
        </w:rPr>
        <w:t>ym</w:t>
      </w:r>
      <w:r w:rsidR="005B6547" w:rsidRPr="00246717">
        <w:rPr>
          <w:rFonts w:ascii="Times New Roman" w:hAnsi="Times New Roman" w:cs="Times New Roman"/>
          <w:szCs w:val="24"/>
          <w:lang w:val="pl-PL"/>
        </w:rPr>
        <w:t xml:space="preserve">, ale zapytała je, czy byłyby do tego zdolne. Nieustannie </w:t>
      </w:r>
      <w:r w:rsidR="005B6547" w:rsidRPr="00246717">
        <w:rPr>
          <w:rFonts w:ascii="Times New Roman" w:hAnsi="Times New Roman" w:cs="Times New Roman"/>
          <w:szCs w:val="24"/>
          <w:lang w:val="pl-PL"/>
        </w:rPr>
        <w:lastRenderedPageBreak/>
        <w:t>głosiła przy nich „drogę dżihadu” i podarowała im islamistyczne książki i kasety audio. Niektóre z tych książek otrzymała od znajomego, A.</w:t>
      </w:r>
    </w:p>
    <w:p w14:paraId="473D0699" w14:textId="77777777"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30</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V. zaprzeczyła, jakoby widziała jakiekolwiek materiały wybuchowe w mieszkaniu, w którym mieszkały.</w:t>
      </w:r>
    </w:p>
    <w:p w14:paraId="0B330310" w14:textId="21489778"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31</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Na wniosek prokuratora sędzia </w:t>
      </w:r>
      <w:r w:rsidR="0034088A">
        <w:rPr>
          <w:rFonts w:ascii="Times New Roman" w:hAnsi="Times New Roman" w:cs="Times New Roman"/>
          <w:szCs w:val="24"/>
          <w:lang w:val="pl-PL"/>
        </w:rPr>
        <w:t>prowadzący rozprawę</w:t>
      </w:r>
      <w:r w:rsidR="0034088A"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zezwolił na odczytanie zeznania </w:t>
      </w:r>
      <w:proofErr w:type="spellStart"/>
      <w:r w:rsidR="005B6547" w:rsidRPr="00246717">
        <w:rPr>
          <w:rFonts w:ascii="Times New Roman" w:hAnsi="Times New Roman" w:cs="Times New Roman"/>
          <w:szCs w:val="24"/>
          <w:lang w:val="pl-PL"/>
        </w:rPr>
        <w:t>przedprocesowego</w:t>
      </w:r>
      <w:proofErr w:type="spellEnd"/>
      <w:r w:rsidR="005B6547" w:rsidRPr="00246717">
        <w:rPr>
          <w:rFonts w:ascii="Times New Roman" w:hAnsi="Times New Roman" w:cs="Times New Roman"/>
          <w:szCs w:val="24"/>
          <w:lang w:val="pl-PL"/>
        </w:rPr>
        <w:t xml:space="preserve"> V., jako że częściowo przeczyło ono zeznaniom, które złożyła podczas rozprawy. W szczególności w trakcie przesłuchania </w:t>
      </w:r>
      <w:proofErr w:type="spellStart"/>
      <w:r w:rsidR="005B6547" w:rsidRPr="00246717">
        <w:rPr>
          <w:rFonts w:ascii="Times New Roman" w:hAnsi="Times New Roman" w:cs="Times New Roman"/>
          <w:szCs w:val="24"/>
          <w:lang w:val="pl-PL"/>
        </w:rPr>
        <w:t>przedprocesowego</w:t>
      </w:r>
      <w:proofErr w:type="spellEnd"/>
      <w:r w:rsidR="005B6547" w:rsidRPr="00246717">
        <w:rPr>
          <w:rFonts w:ascii="Times New Roman" w:hAnsi="Times New Roman" w:cs="Times New Roman"/>
          <w:szCs w:val="24"/>
          <w:lang w:val="pl-PL"/>
        </w:rPr>
        <w:t xml:space="preserve"> V. zeznała, że skarżąca odbyła szkolenie dla terrorystów w obozie w pobliżu Baku</w:t>
      </w:r>
      <w:r w:rsidR="0034088A">
        <w:rPr>
          <w:rFonts w:ascii="Times New Roman" w:hAnsi="Times New Roman" w:cs="Times New Roman"/>
          <w:szCs w:val="24"/>
          <w:lang w:val="pl-PL"/>
        </w:rPr>
        <w:t>,</w:t>
      </w:r>
      <w:r w:rsidR="005B6547" w:rsidRPr="00246717">
        <w:rPr>
          <w:rFonts w:ascii="Times New Roman" w:hAnsi="Times New Roman" w:cs="Times New Roman"/>
          <w:szCs w:val="24"/>
          <w:lang w:val="pl-PL"/>
        </w:rPr>
        <w:t xml:space="preserve"> i że indoktrynowała V. i Ku. w celu przygotowania ich do </w:t>
      </w:r>
      <w:r w:rsidR="0034088A">
        <w:rPr>
          <w:rFonts w:ascii="Times New Roman" w:hAnsi="Times New Roman" w:cs="Times New Roman"/>
          <w:szCs w:val="24"/>
          <w:lang w:val="pl-PL"/>
        </w:rPr>
        <w:t>bycia</w:t>
      </w:r>
      <w:r w:rsidR="005B6547" w:rsidRPr="00246717">
        <w:rPr>
          <w:rFonts w:ascii="Times New Roman" w:hAnsi="Times New Roman" w:cs="Times New Roman"/>
          <w:szCs w:val="24"/>
          <w:lang w:val="pl-PL"/>
        </w:rPr>
        <w:t xml:space="preserve"> zamachowcami samobójczyniami. Poproszona przez prokuratora o wyjaśnienie sprzecznych zeznań V. oświadczyła, że nie była pewna, czy skarżąca faktycznie uczestniczyła w szkoleniu terrorystów w obozie. Zeznała jednak, że skarżąca przygotowywała ją i Ku. do </w:t>
      </w:r>
      <w:r w:rsidR="00732AA4">
        <w:rPr>
          <w:rFonts w:ascii="Times New Roman" w:hAnsi="Times New Roman" w:cs="Times New Roman"/>
          <w:szCs w:val="24"/>
          <w:lang w:val="pl-PL"/>
        </w:rPr>
        <w:t>bycia</w:t>
      </w:r>
      <w:r w:rsidR="00732AA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zamachowcami samobójczyniami.</w:t>
      </w:r>
    </w:p>
    <w:bookmarkStart w:id="25" w:name="VKinTrialTestimony1"/>
    <w:p w14:paraId="3F092A5F" w14:textId="0964118E"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32</w:t>
      </w:r>
      <w:r w:rsidRPr="00246717">
        <w:rPr>
          <w:rFonts w:ascii="Times New Roman" w:hAnsi="Times New Roman" w:cs="Times New Roman"/>
          <w:szCs w:val="24"/>
          <w:lang w:val="pl-PL"/>
        </w:rPr>
        <w:fldChar w:fldCharType="end"/>
      </w:r>
      <w:bookmarkEnd w:id="25"/>
      <w:r w:rsidR="005B6547" w:rsidRPr="00246717">
        <w:rPr>
          <w:rFonts w:ascii="Times New Roman" w:hAnsi="Times New Roman" w:cs="Times New Roman"/>
          <w:szCs w:val="24"/>
          <w:lang w:val="pl-PL"/>
        </w:rPr>
        <w:t>.  </w:t>
      </w:r>
      <w:r w:rsidR="00EC2CA0">
        <w:rPr>
          <w:rFonts w:ascii="Times New Roman" w:hAnsi="Times New Roman" w:cs="Times New Roman"/>
          <w:szCs w:val="24"/>
          <w:lang w:val="pl-PL"/>
        </w:rPr>
        <w:t xml:space="preserve">Podczas </w:t>
      </w:r>
      <w:r w:rsidR="005B6547" w:rsidRPr="00246717">
        <w:rPr>
          <w:rFonts w:ascii="Times New Roman" w:hAnsi="Times New Roman" w:cs="Times New Roman"/>
          <w:szCs w:val="24"/>
          <w:lang w:val="pl-PL"/>
        </w:rPr>
        <w:t xml:space="preserve">przesłuchania </w:t>
      </w:r>
      <w:r w:rsidR="000771D0">
        <w:rPr>
          <w:rFonts w:ascii="Times New Roman" w:hAnsi="Times New Roman" w:cs="Times New Roman"/>
          <w:szCs w:val="24"/>
          <w:lang w:val="pl-PL"/>
        </w:rPr>
        <w:t>przez stronę przeciwną</w:t>
      </w:r>
      <w:r w:rsidR="005B6547" w:rsidRPr="00246717">
        <w:rPr>
          <w:rFonts w:ascii="Times New Roman" w:hAnsi="Times New Roman" w:cs="Times New Roman"/>
          <w:szCs w:val="24"/>
          <w:lang w:val="pl-PL"/>
        </w:rPr>
        <w:t xml:space="preserve"> </w:t>
      </w:r>
      <w:r w:rsidR="000771D0">
        <w:rPr>
          <w:rFonts w:ascii="Times New Roman" w:hAnsi="Times New Roman" w:cs="Times New Roman"/>
          <w:szCs w:val="24"/>
          <w:lang w:val="pl-PL"/>
        </w:rPr>
        <w:t xml:space="preserve">na rozprawie </w:t>
      </w:r>
      <w:r w:rsidR="005B6547" w:rsidRPr="00246717">
        <w:rPr>
          <w:rFonts w:ascii="Times New Roman" w:hAnsi="Times New Roman" w:cs="Times New Roman"/>
          <w:szCs w:val="24"/>
          <w:lang w:val="pl-PL"/>
        </w:rPr>
        <w:t xml:space="preserve">Ku. częściowo wycofała zeznania </w:t>
      </w:r>
      <w:proofErr w:type="spellStart"/>
      <w:r w:rsidR="005B6547" w:rsidRPr="00246717">
        <w:rPr>
          <w:rFonts w:ascii="Times New Roman" w:hAnsi="Times New Roman" w:cs="Times New Roman"/>
          <w:szCs w:val="24"/>
          <w:lang w:val="pl-PL"/>
        </w:rPr>
        <w:t>przedprocesowe</w:t>
      </w:r>
      <w:proofErr w:type="spellEnd"/>
      <w:r w:rsidR="005B6547" w:rsidRPr="00246717">
        <w:rPr>
          <w:rFonts w:ascii="Times New Roman" w:hAnsi="Times New Roman" w:cs="Times New Roman"/>
          <w:szCs w:val="24"/>
          <w:lang w:val="pl-PL"/>
        </w:rPr>
        <w:t xml:space="preserve">, które były w </w:t>
      </w:r>
      <w:r w:rsidR="00EC2CA0">
        <w:rPr>
          <w:rFonts w:ascii="Times New Roman" w:hAnsi="Times New Roman" w:cs="Times New Roman"/>
          <w:szCs w:val="24"/>
          <w:lang w:val="pl-PL"/>
        </w:rPr>
        <w:t>znacznej części</w:t>
      </w:r>
      <w:r w:rsidR="005B6547" w:rsidRPr="00246717">
        <w:rPr>
          <w:rFonts w:ascii="Times New Roman" w:hAnsi="Times New Roman" w:cs="Times New Roman"/>
          <w:szCs w:val="24"/>
          <w:lang w:val="pl-PL"/>
        </w:rPr>
        <w:t xml:space="preserve"> podobne do wyżej przedstawionych zeznań V. </w:t>
      </w:r>
      <w:r w:rsidR="000771D0">
        <w:rPr>
          <w:rFonts w:ascii="Times New Roman" w:hAnsi="Times New Roman" w:cs="Times New Roman"/>
          <w:szCs w:val="24"/>
          <w:lang w:val="pl-PL"/>
        </w:rPr>
        <w:t>Na rozprawie</w:t>
      </w:r>
      <w:r w:rsidR="005B6547" w:rsidRPr="00246717">
        <w:rPr>
          <w:rFonts w:ascii="Times New Roman" w:hAnsi="Times New Roman" w:cs="Times New Roman"/>
          <w:szCs w:val="24"/>
          <w:lang w:val="pl-PL"/>
        </w:rPr>
        <w:t xml:space="preserve"> Ku. potwierdziła, że ona, V. i skarżąca zrobiły zdjęcia w centrum handlowym </w:t>
      </w:r>
      <w:proofErr w:type="spellStart"/>
      <w:r w:rsidR="005B6547" w:rsidRPr="00246717">
        <w:rPr>
          <w:rFonts w:ascii="Times New Roman" w:hAnsi="Times New Roman" w:cs="Times New Roman"/>
          <w:szCs w:val="24"/>
          <w:lang w:val="pl-PL"/>
        </w:rPr>
        <w:t>Ochotnyj</w:t>
      </w:r>
      <w:proofErr w:type="spellEnd"/>
      <w:r w:rsidR="005B6547" w:rsidRPr="00246717">
        <w:rPr>
          <w:rFonts w:ascii="Times New Roman" w:hAnsi="Times New Roman" w:cs="Times New Roman"/>
          <w:szCs w:val="24"/>
          <w:lang w:val="pl-PL"/>
        </w:rPr>
        <w:t xml:space="preserve"> </w:t>
      </w:r>
      <w:proofErr w:type="spellStart"/>
      <w:r w:rsidR="005B6547" w:rsidRPr="00246717">
        <w:rPr>
          <w:rFonts w:ascii="Times New Roman" w:hAnsi="Times New Roman" w:cs="Times New Roman"/>
          <w:szCs w:val="24"/>
          <w:lang w:val="pl-PL"/>
        </w:rPr>
        <w:t>Riad</w:t>
      </w:r>
      <w:proofErr w:type="spellEnd"/>
      <w:r w:rsidR="005B6547" w:rsidRPr="00246717">
        <w:rPr>
          <w:rFonts w:ascii="Times New Roman" w:hAnsi="Times New Roman" w:cs="Times New Roman"/>
          <w:szCs w:val="24"/>
          <w:lang w:val="pl-PL"/>
        </w:rPr>
        <w:t xml:space="preserve"> z inicjatywy skarżącej, oraz że skarżąca „robiła przypadkowe ujęcia”. W szczególności skarżąca zrobiła zdjęcia windy i </w:t>
      </w:r>
      <w:r w:rsidR="00EC2CA0">
        <w:rPr>
          <w:rFonts w:ascii="Times New Roman" w:hAnsi="Times New Roman" w:cs="Times New Roman"/>
          <w:szCs w:val="24"/>
          <w:lang w:val="pl-PL"/>
        </w:rPr>
        <w:t>znajdujących się w</w:t>
      </w:r>
      <w:r w:rsidR="005B6547" w:rsidRPr="00246717">
        <w:rPr>
          <w:rFonts w:ascii="Times New Roman" w:hAnsi="Times New Roman" w:cs="Times New Roman"/>
          <w:szCs w:val="24"/>
          <w:lang w:val="pl-PL"/>
        </w:rPr>
        <w:t xml:space="preserve"> </w:t>
      </w:r>
      <w:r w:rsidR="000771D0">
        <w:rPr>
          <w:rFonts w:ascii="Times New Roman" w:hAnsi="Times New Roman" w:cs="Times New Roman"/>
          <w:szCs w:val="24"/>
          <w:lang w:val="pl-PL"/>
        </w:rPr>
        <w:t>niej osób</w:t>
      </w:r>
      <w:r w:rsidR="005B6547" w:rsidRPr="00246717">
        <w:rPr>
          <w:rFonts w:ascii="Times New Roman" w:hAnsi="Times New Roman" w:cs="Times New Roman"/>
          <w:szCs w:val="24"/>
          <w:lang w:val="pl-PL"/>
        </w:rPr>
        <w:t xml:space="preserve">. Ku. </w:t>
      </w:r>
      <w:r w:rsidR="000771D0">
        <w:rPr>
          <w:rFonts w:ascii="Times New Roman" w:hAnsi="Times New Roman" w:cs="Times New Roman"/>
          <w:szCs w:val="24"/>
          <w:lang w:val="pl-PL"/>
        </w:rPr>
        <w:t>twierdziła</w:t>
      </w:r>
      <w:r w:rsidR="005B6547" w:rsidRPr="00246717">
        <w:rPr>
          <w:rFonts w:ascii="Times New Roman" w:hAnsi="Times New Roman" w:cs="Times New Roman"/>
          <w:szCs w:val="24"/>
          <w:lang w:val="pl-PL"/>
        </w:rPr>
        <w:t xml:space="preserve">, że skarżąca nie aprobowała polityki federalnych sił rosyjskich na Kaukazie. Nie nakłaniała jednak Ku. do </w:t>
      </w:r>
      <w:r w:rsidR="00EC2CA0">
        <w:rPr>
          <w:rFonts w:ascii="Times New Roman" w:hAnsi="Times New Roman" w:cs="Times New Roman"/>
          <w:szCs w:val="24"/>
          <w:lang w:val="pl-PL"/>
        </w:rPr>
        <w:t>bycia</w:t>
      </w:r>
      <w:r w:rsidR="005B6547" w:rsidRPr="00246717">
        <w:rPr>
          <w:rFonts w:ascii="Times New Roman" w:hAnsi="Times New Roman" w:cs="Times New Roman"/>
          <w:szCs w:val="24"/>
          <w:lang w:val="pl-PL"/>
        </w:rPr>
        <w:t xml:space="preserve"> zamachowcem samobójczynią. Zdaniem Ku. po prostu chciały mieszkać razem, czytać i uwolnić się od nadzoru rodzicielskiego.</w:t>
      </w:r>
    </w:p>
    <w:p w14:paraId="5DAB42C5" w14:textId="77777777"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33</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Ku. zeznała ponadto, że znajomy skarżącej, A., był policjantem i że płacił za mieszkanie, w którym wszystkie trzy mieszkały. Sporadycznie też dawał im pieniądze. Skarżąca powiedziała jej kiedyś, że lubi A.</w:t>
      </w:r>
    </w:p>
    <w:p w14:paraId="0E2D6B9E" w14:textId="711D77D3"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34</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Ku. zeznała ponadto, że podczas przesłuchania </w:t>
      </w:r>
      <w:proofErr w:type="spellStart"/>
      <w:r w:rsidR="005B6547" w:rsidRPr="00246717">
        <w:rPr>
          <w:rFonts w:ascii="Times New Roman" w:hAnsi="Times New Roman" w:cs="Times New Roman"/>
          <w:szCs w:val="24"/>
          <w:lang w:val="pl-PL"/>
        </w:rPr>
        <w:t>przedprocesowego</w:t>
      </w:r>
      <w:proofErr w:type="spellEnd"/>
      <w:r w:rsidR="005B6547" w:rsidRPr="00246717">
        <w:rPr>
          <w:rFonts w:ascii="Times New Roman" w:hAnsi="Times New Roman" w:cs="Times New Roman"/>
          <w:szCs w:val="24"/>
          <w:lang w:val="pl-PL"/>
        </w:rPr>
        <w:t xml:space="preserve"> </w:t>
      </w:r>
      <w:r w:rsidR="000771D0">
        <w:rPr>
          <w:rFonts w:ascii="Times New Roman" w:hAnsi="Times New Roman" w:cs="Times New Roman"/>
          <w:szCs w:val="24"/>
          <w:lang w:val="pl-PL"/>
        </w:rPr>
        <w:t>organ prowadzący postępowanie przygotowawcze</w:t>
      </w:r>
      <w:r w:rsidR="000771D0"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błędnie zinterpretował jej słowa dotyczące samobójczego ataku i że nigdy nie planowała </w:t>
      </w:r>
      <w:r w:rsidR="004F66BB">
        <w:rPr>
          <w:rFonts w:ascii="Times New Roman" w:hAnsi="Times New Roman" w:cs="Times New Roman"/>
          <w:szCs w:val="24"/>
          <w:lang w:val="pl-PL"/>
        </w:rPr>
        <w:t>dokonać</w:t>
      </w:r>
      <w:r w:rsidR="004F66BB"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żadnego takiego ataku. Zaprzeczyła, </w:t>
      </w:r>
      <w:r w:rsidR="004F66BB">
        <w:rPr>
          <w:rFonts w:ascii="Times New Roman" w:hAnsi="Times New Roman" w:cs="Times New Roman"/>
          <w:szCs w:val="24"/>
          <w:lang w:val="pl-PL"/>
        </w:rPr>
        <w:t>jakoby</w:t>
      </w:r>
      <w:r w:rsidR="005B6547" w:rsidRPr="00246717">
        <w:rPr>
          <w:rFonts w:ascii="Times New Roman" w:hAnsi="Times New Roman" w:cs="Times New Roman"/>
          <w:szCs w:val="24"/>
          <w:lang w:val="pl-PL"/>
        </w:rPr>
        <w:t xml:space="preserve"> złożyła zeznania </w:t>
      </w:r>
      <w:proofErr w:type="spellStart"/>
      <w:r w:rsidR="005B6547" w:rsidRPr="00246717">
        <w:rPr>
          <w:rFonts w:ascii="Times New Roman" w:hAnsi="Times New Roman" w:cs="Times New Roman"/>
          <w:szCs w:val="24"/>
          <w:lang w:val="pl-PL"/>
        </w:rPr>
        <w:t>przedprocesowe</w:t>
      </w:r>
      <w:proofErr w:type="spellEnd"/>
      <w:r w:rsidR="005B6547" w:rsidRPr="00246717">
        <w:rPr>
          <w:rFonts w:ascii="Times New Roman" w:hAnsi="Times New Roman" w:cs="Times New Roman"/>
          <w:szCs w:val="24"/>
          <w:lang w:val="pl-PL"/>
        </w:rPr>
        <w:t xml:space="preserve"> pod pr</w:t>
      </w:r>
      <w:r w:rsidR="004F66BB">
        <w:rPr>
          <w:rFonts w:ascii="Times New Roman" w:hAnsi="Times New Roman" w:cs="Times New Roman"/>
          <w:szCs w:val="24"/>
          <w:lang w:val="pl-PL"/>
        </w:rPr>
        <w:t>zymusem</w:t>
      </w:r>
      <w:r w:rsidR="005B6547" w:rsidRPr="00246717">
        <w:rPr>
          <w:rFonts w:ascii="Times New Roman" w:hAnsi="Times New Roman" w:cs="Times New Roman"/>
          <w:szCs w:val="24"/>
          <w:lang w:val="pl-PL"/>
        </w:rPr>
        <w:t xml:space="preserve">. W świetle zmiany zeznań przez Ku., jej zeznania </w:t>
      </w:r>
      <w:proofErr w:type="spellStart"/>
      <w:r w:rsidR="005B6547" w:rsidRPr="00246717">
        <w:rPr>
          <w:rFonts w:ascii="Times New Roman" w:hAnsi="Times New Roman" w:cs="Times New Roman"/>
          <w:szCs w:val="24"/>
          <w:lang w:val="pl-PL"/>
        </w:rPr>
        <w:t>przedprocesowe</w:t>
      </w:r>
      <w:proofErr w:type="spellEnd"/>
      <w:r w:rsidR="005B6547" w:rsidRPr="00246717">
        <w:rPr>
          <w:rFonts w:ascii="Times New Roman" w:hAnsi="Times New Roman" w:cs="Times New Roman"/>
          <w:szCs w:val="24"/>
          <w:lang w:val="pl-PL"/>
        </w:rPr>
        <w:t xml:space="preserve"> odczytan</w:t>
      </w:r>
      <w:r w:rsidR="000771D0">
        <w:rPr>
          <w:rFonts w:ascii="Times New Roman" w:hAnsi="Times New Roman" w:cs="Times New Roman"/>
          <w:szCs w:val="24"/>
          <w:lang w:val="pl-PL"/>
        </w:rPr>
        <w:t>o</w:t>
      </w:r>
      <w:r w:rsidR="005B6547" w:rsidRPr="00246717">
        <w:rPr>
          <w:rFonts w:ascii="Times New Roman" w:hAnsi="Times New Roman" w:cs="Times New Roman"/>
          <w:szCs w:val="24"/>
          <w:lang w:val="pl-PL"/>
        </w:rPr>
        <w:t xml:space="preserve"> </w:t>
      </w:r>
      <w:r w:rsidR="000771D0">
        <w:rPr>
          <w:rFonts w:ascii="Times New Roman" w:hAnsi="Times New Roman" w:cs="Times New Roman"/>
          <w:szCs w:val="24"/>
          <w:lang w:val="pl-PL"/>
        </w:rPr>
        <w:t>na</w:t>
      </w:r>
      <w:r w:rsidR="000771D0"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rozpraw</w:t>
      </w:r>
      <w:r w:rsidR="000771D0">
        <w:rPr>
          <w:rFonts w:ascii="Times New Roman" w:hAnsi="Times New Roman" w:cs="Times New Roman"/>
          <w:szCs w:val="24"/>
          <w:lang w:val="pl-PL"/>
        </w:rPr>
        <w:t>ie</w:t>
      </w:r>
      <w:r w:rsidR="005B6547" w:rsidRPr="00246717">
        <w:rPr>
          <w:rFonts w:ascii="Times New Roman" w:hAnsi="Times New Roman" w:cs="Times New Roman"/>
          <w:szCs w:val="24"/>
          <w:lang w:val="pl-PL"/>
        </w:rPr>
        <w:t>.</w:t>
      </w:r>
    </w:p>
    <w:p w14:paraId="7F863D06" w14:textId="5E10CE13" w:rsidR="0062431E" w:rsidRPr="00246717" w:rsidRDefault="005B6547" w:rsidP="000957D3">
      <w:pPr>
        <w:pStyle w:val="ECHRHeading4"/>
        <w:rPr>
          <w:lang w:val="pl-PL"/>
        </w:rPr>
      </w:pPr>
      <w:bookmarkStart w:id="26" w:name="_Toc512401270"/>
      <w:r w:rsidRPr="00246717">
        <w:rPr>
          <w:iCs w:val="0"/>
          <w:lang w:val="pl-PL"/>
        </w:rPr>
        <w:t>b)</w:t>
      </w:r>
      <w:r w:rsidR="004F66BB">
        <w:rPr>
          <w:iCs w:val="0"/>
          <w:lang w:val="pl-PL"/>
        </w:rPr>
        <w:t>  </w:t>
      </w:r>
      <w:r w:rsidRPr="00246717">
        <w:rPr>
          <w:iCs w:val="0"/>
          <w:lang w:val="pl-PL"/>
        </w:rPr>
        <w:t>Zeznania funkcjonariuszy policji</w:t>
      </w:r>
      <w:bookmarkEnd w:id="26"/>
    </w:p>
    <w:p w14:paraId="5BE00AF6" w14:textId="75B746C6" w:rsidR="0062431E" w:rsidRPr="00246717" w:rsidRDefault="00150576" w:rsidP="000957D3">
      <w:pPr>
        <w:pStyle w:val="ECHRPara"/>
        <w:rPr>
          <w:rFonts w:ascii="Times New Roman" w:eastAsiaTheme="majorEastAsia" w:hAnsi="Times New Roman" w:cs="Times New Roman"/>
          <w:szCs w:val="24"/>
          <w:lang w:val="pl-PL"/>
        </w:rPr>
      </w:pPr>
      <w:r w:rsidRPr="00246717">
        <w:rPr>
          <w:rFonts w:ascii="Times New Roman" w:eastAsiaTheme="majorEastAsia" w:hAnsi="Times New Roman" w:cs="Times New Roman"/>
          <w:szCs w:val="24"/>
          <w:lang w:val="pl-PL"/>
        </w:rPr>
        <w:fldChar w:fldCharType="begin"/>
      </w:r>
      <w:r w:rsidR="005B6547" w:rsidRPr="00246717">
        <w:rPr>
          <w:rFonts w:ascii="Times New Roman" w:eastAsiaTheme="majorEastAsia" w:hAnsi="Times New Roman" w:cs="Times New Roman"/>
          <w:szCs w:val="24"/>
          <w:lang w:val="pl-PL"/>
        </w:rPr>
        <w:instrText xml:space="preserve"> SEQ level0 \*arabic </w:instrText>
      </w:r>
      <w:r w:rsidRPr="00246717">
        <w:rPr>
          <w:rFonts w:ascii="Times New Roman" w:eastAsiaTheme="majorEastAsia" w:hAnsi="Times New Roman" w:cs="Times New Roman"/>
          <w:szCs w:val="24"/>
          <w:lang w:val="pl-PL"/>
        </w:rPr>
        <w:fldChar w:fldCharType="separate"/>
      </w:r>
      <w:r w:rsidR="005B6547" w:rsidRPr="00246717">
        <w:rPr>
          <w:rFonts w:ascii="Times New Roman" w:eastAsiaTheme="majorEastAsia" w:hAnsi="Times New Roman" w:cs="Times New Roman"/>
          <w:szCs w:val="24"/>
          <w:lang w:val="pl-PL"/>
        </w:rPr>
        <w:t>35</w:t>
      </w:r>
      <w:r w:rsidRPr="00246717">
        <w:rPr>
          <w:rFonts w:ascii="Times New Roman" w:eastAsiaTheme="majorEastAsia" w:hAnsi="Times New Roman" w:cs="Times New Roman"/>
          <w:szCs w:val="24"/>
          <w:lang w:val="pl-PL"/>
        </w:rPr>
        <w:fldChar w:fldCharType="end"/>
      </w:r>
      <w:r w:rsidR="005B6547" w:rsidRPr="00246717">
        <w:rPr>
          <w:rFonts w:ascii="Times New Roman" w:eastAsiaTheme="majorEastAsia" w:hAnsi="Times New Roman" w:cs="Times New Roman"/>
          <w:szCs w:val="24"/>
          <w:lang w:val="pl-PL"/>
        </w:rPr>
        <w:t>.  </w:t>
      </w:r>
      <w:r w:rsidR="000771D0">
        <w:rPr>
          <w:rFonts w:ascii="Times New Roman" w:eastAsiaTheme="majorEastAsia" w:hAnsi="Times New Roman" w:cs="Times New Roman"/>
          <w:szCs w:val="24"/>
          <w:lang w:val="pl-PL"/>
        </w:rPr>
        <w:t>Przed sądem przesłuchano k</w:t>
      </w:r>
      <w:r w:rsidR="005B6547" w:rsidRPr="00246717">
        <w:rPr>
          <w:rFonts w:ascii="Times New Roman" w:eastAsiaTheme="majorEastAsia" w:hAnsi="Times New Roman" w:cs="Times New Roman"/>
          <w:szCs w:val="24"/>
          <w:lang w:val="pl-PL"/>
        </w:rPr>
        <w:t xml:space="preserve">ilku funkcjonariuszy policji, którzy wzięli udział w zatrzymaniu i </w:t>
      </w:r>
      <w:r w:rsidR="00812992">
        <w:rPr>
          <w:rFonts w:ascii="Times New Roman" w:eastAsiaTheme="majorEastAsia" w:hAnsi="Times New Roman" w:cs="Times New Roman"/>
          <w:szCs w:val="24"/>
          <w:lang w:val="pl-PL"/>
        </w:rPr>
        <w:t>kontroli osobistej</w:t>
      </w:r>
      <w:r w:rsidR="00812992" w:rsidRPr="00246717">
        <w:rPr>
          <w:rFonts w:ascii="Times New Roman" w:eastAsiaTheme="majorEastAsia" w:hAnsi="Times New Roman" w:cs="Times New Roman"/>
          <w:szCs w:val="24"/>
          <w:lang w:val="pl-PL"/>
        </w:rPr>
        <w:t xml:space="preserve"> </w:t>
      </w:r>
      <w:r w:rsidR="005B6547" w:rsidRPr="00246717">
        <w:rPr>
          <w:rFonts w:ascii="Times New Roman" w:eastAsiaTheme="majorEastAsia" w:hAnsi="Times New Roman" w:cs="Times New Roman"/>
          <w:szCs w:val="24"/>
          <w:lang w:val="pl-PL"/>
        </w:rPr>
        <w:t xml:space="preserve">skarżącej (P., S., B., I. oraz </w:t>
      </w:r>
      <w:proofErr w:type="spellStart"/>
      <w:r w:rsidR="005B6547" w:rsidRPr="00246717">
        <w:rPr>
          <w:rFonts w:ascii="Times New Roman" w:eastAsiaTheme="majorEastAsia" w:hAnsi="Times New Roman" w:cs="Times New Roman"/>
          <w:szCs w:val="24"/>
          <w:lang w:val="pl-PL"/>
        </w:rPr>
        <w:t>Ke</w:t>
      </w:r>
      <w:proofErr w:type="spellEnd"/>
      <w:r w:rsidR="005B6547" w:rsidRPr="00246717">
        <w:rPr>
          <w:rFonts w:ascii="Times New Roman" w:eastAsiaTheme="majorEastAsia" w:hAnsi="Times New Roman" w:cs="Times New Roman"/>
          <w:szCs w:val="24"/>
          <w:lang w:val="pl-PL"/>
        </w:rPr>
        <w:t xml:space="preserve">.). Zeznali, że zatrzymanie skarżącej nastąpiło podczas </w:t>
      </w:r>
      <w:r w:rsidR="000771D0">
        <w:rPr>
          <w:rFonts w:ascii="Times New Roman" w:eastAsiaTheme="majorEastAsia" w:hAnsi="Times New Roman" w:cs="Times New Roman"/>
          <w:szCs w:val="24"/>
          <w:lang w:val="pl-PL"/>
        </w:rPr>
        <w:t>rutynowego</w:t>
      </w:r>
      <w:r w:rsidR="000771D0" w:rsidRPr="00246717">
        <w:rPr>
          <w:rFonts w:ascii="Times New Roman" w:eastAsiaTheme="majorEastAsia" w:hAnsi="Times New Roman" w:cs="Times New Roman"/>
          <w:szCs w:val="24"/>
          <w:lang w:val="pl-PL"/>
        </w:rPr>
        <w:t xml:space="preserve"> </w:t>
      </w:r>
      <w:r w:rsidR="005B6547" w:rsidRPr="00246717">
        <w:rPr>
          <w:rFonts w:ascii="Times New Roman" w:eastAsiaTheme="majorEastAsia" w:hAnsi="Times New Roman" w:cs="Times New Roman"/>
          <w:szCs w:val="24"/>
          <w:lang w:val="pl-PL"/>
        </w:rPr>
        <w:t xml:space="preserve">patrolu i że nie wiedzieli, że </w:t>
      </w:r>
      <w:r w:rsidR="000771D0">
        <w:rPr>
          <w:rFonts w:ascii="Times New Roman" w:eastAsiaTheme="majorEastAsia" w:hAnsi="Times New Roman" w:cs="Times New Roman"/>
          <w:szCs w:val="24"/>
          <w:lang w:val="pl-PL"/>
        </w:rPr>
        <w:t xml:space="preserve">w </w:t>
      </w:r>
      <w:r w:rsidR="005B6547" w:rsidRPr="00246717">
        <w:rPr>
          <w:rFonts w:ascii="Times New Roman" w:eastAsiaTheme="majorEastAsia" w:hAnsi="Times New Roman" w:cs="Times New Roman"/>
          <w:szCs w:val="24"/>
          <w:lang w:val="pl-PL"/>
        </w:rPr>
        <w:t>jej toreb</w:t>
      </w:r>
      <w:r w:rsidR="000771D0">
        <w:rPr>
          <w:rFonts w:ascii="Times New Roman" w:eastAsiaTheme="majorEastAsia" w:hAnsi="Times New Roman" w:cs="Times New Roman"/>
          <w:szCs w:val="24"/>
          <w:lang w:val="pl-PL"/>
        </w:rPr>
        <w:t>ce znajdują się</w:t>
      </w:r>
      <w:r w:rsidR="005B6547" w:rsidRPr="00246717">
        <w:rPr>
          <w:rFonts w:ascii="Times New Roman" w:eastAsiaTheme="majorEastAsia" w:hAnsi="Times New Roman" w:cs="Times New Roman"/>
          <w:szCs w:val="24"/>
          <w:lang w:val="pl-PL"/>
        </w:rPr>
        <w:t xml:space="preserve"> materiały wybuchowe.</w:t>
      </w:r>
    </w:p>
    <w:p w14:paraId="3D115BE7" w14:textId="373FDF95" w:rsidR="005B6547" w:rsidRPr="00246717" w:rsidRDefault="00150576" w:rsidP="000957D3">
      <w:pPr>
        <w:pStyle w:val="ECHRPara"/>
        <w:rPr>
          <w:rFonts w:ascii="Times New Roman" w:eastAsiaTheme="majorEastAsia"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36</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P. zeznał, że w dniu zatrzymania skarżącej postanowił sprawdzić</w:t>
      </w:r>
      <w:r w:rsidR="00812992">
        <w:rPr>
          <w:rFonts w:ascii="Times New Roman" w:hAnsi="Times New Roman" w:cs="Times New Roman"/>
          <w:szCs w:val="24"/>
          <w:lang w:val="pl-PL"/>
        </w:rPr>
        <w:t xml:space="preserve"> jej</w:t>
      </w:r>
      <w:r w:rsidR="005B6547" w:rsidRPr="00246717">
        <w:rPr>
          <w:rFonts w:ascii="Times New Roman" w:hAnsi="Times New Roman" w:cs="Times New Roman"/>
          <w:szCs w:val="24"/>
          <w:lang w:val="pl-PL"/>
        </w:rPr>
        <w:t xml:space="preserve"> dokumenty, ponieważ „szła opieszale w kierunku stacji metra Prospekt Wiernadskiego”. Okazała policjantom swój paszport i </w:t>
      </w:r>
      <w:r w:rsidR="000771D0">
        <w:rPr>
          <w:rFonts w:ascii="Times New Roman" w:hAnsi="Times New Roman" w:cs="Times New Roman"/>
          <w:szCs w:val="24"/>
          <w:lang w:val="pl-PL"/>
        </w:rPr>
        <w:t>prezentatę</w:t>
      </w:r>
      <w:r w:rsidR="005B6547" w:rsidRPr="00246717">
        <w:rPr>
          <w:rFonts w:ascii="Times New Roman" w:hAnsi="Times New Roman" w:cs="Times New Roman"/>
          <w:szCs w:val="24"/>
          <w:lang w:val="pl-PL"/>
        </w:rPr>
        <w:t xml:space="preserve"> potwierdzającą</w:t>
      </w:r>
      <w:r w:rsidR="000771D0">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jej prawo do pobytu w Moskwie</w:t>
      </w:r>
      <w:r w:rsidR="000771D0">
        <w:rPr>
          <w:rFonts w:ascii="Times New Roman" w:hAnsi="Times New Roman" w:cs="Times New Roman"/>
          <w:szCs w:val="24"/>
          <w:lang w:val="pl-PL"/>
        </w:rPr>
        <w:t>, które</w:t>
      </w:r>
      <w:r w:rsidR="005B6547" w:rsidRPr="00246717">
        <w:rPr>
          <w:rFonts w:ascii="Times New Roman" w:hAnsi="Times New Roman" w:cs="Times New Roman"/>
          <w:szCs w:val="24"/>
          <w:lang w:val="pl-PL"/>
        </w:rPr>
        <w:t xml:space="preserve"> wygasło. Policjanci zabrali ją na posterunek policji. W </w:t>
      </w:r>
      <w:r w:rsidR="000771D0">
        <w:rPr>
          <w:rFonts w:ascii="Times New Roman" w:hAnsi="Times New Roman" w:cs="Times New Roman"/>
          <w:szCs w:val="24"/>
          <w:lang w:val="pl-PL"/>
        </w:rPr>
        <w:t>chwili</w:t>
      </w:r>
      <w:r w:rsidR="000771D0"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zatrzymania była niespokojna i </w:t>
      </w:r>
      <w:r w:rsidR="005B6547" w:rsidRPr="00246717">
        <w:rPr>
          <w:rFonts w:ascii="Times New Roman" w:hAnsi="Times New Roman" w:cs="Times New Roman"/>
          <w:szCs w:val="24"/>
          <w:lang w:val="pl-PL"/>
        </w:rPr>
        <w:lastRenderedPageBreak/>
        <w:t xml:space="preserve">agresywna. Postanowili przeszukać jej torebkę, ponieważ takie działanie „było zgodne z prawem”. P. wyjaśnił ponadto, że zatrzymał skarżącą, „ponieważ nie było jasne, dokąd zmierzała”, ponieważ „przypominała dziewczynę </w:t>
      </w:r>
      <w:r w:rsidR="00812992">
        <w:rPr>
          <w:rFonts w:ascii="Times New Roman" w:hAnsi="Times New Roman" w:cs="Times New Roman"/>
          <w:szCs w:val="24"/>
          <w:lang w:val="pl-PL"/>
        </w:rPr>
        <w:t xml:space="preserve">wymienioną w </w:t>
      </w:r>
      <w:r w:rsidR="000771D0">
        <w:rPr>
          <w:rFonts w:ascii="Times New Roman" w:hAnsi="Times New Roman" w:cs="Times New Roman"/>
          <w:szCs w:val="24"/>
          <w:lang w:val="pl-PL"/>
        </w:rPr>
        <w:t>liście gończym</w:t>
      </w:r>
      <w:r w:rsidR="005B6547" w:rsidRPr="00246717">
        <w:rPr>
          <w:rFonts w:ascii="Times New Roman" w:hAnsi="Times New Roman" w:cs="Times New Roman"/>
          <w:szCs w:val="24"/>
          <w:lang w:val="pl-PL"/>
        </w:rPr>
        <w:t>”, i ponieważ była „osobą pochodzenia kaukaskiego [to znaczy z regionu Kaukazu Północnego]</w:t>
      </w:r>
      <w:r w:rsidR="00812992">
        <w:rPr>
          <w:rFonts w:ascii="Times New Roman" w:hAnsi="Times New Roman" w:cs="Times New Roman"/>
          <w:szCs w:val="24"/>
          <w:lang w:val="pl-PL"/>
        </w:rPr>
        <w:t>”</w:t>
      </w:r>
      <w:r w:rsidR="005B6547" w:rsidRPr="00246717">
        <w:rPr>
          <w:rFonts w:ascii="Times New Roman" w:hAnsi="Times New Roman" w:cs="Times New Roman"/>
          <w:szCs w:val="24"/>
          <w:lang w:val="pl-PL"/>
        </w:rPr>
        <w:t xml:space="preserve">. P. stwierdził również, że wygaśnięcie prawa do pobytu skarżącej </w:t>
      </w:r>
      <w:r w:rsidR="000771D0">
        <w:rPr>
          <w:rFonts w:ascii="Times New Roman" w:hAnsi="Times New Roman" w:cs="Times New Roman"/>
          <w:szCs w:val="24"/>
          <w:lang w:val="pl-PL"/>
        </w:rPr>
        <w:t>stanowiło</w:t>
      </w:r>
      <w:r w:rsidR="000771D0" w:rsidRPr="00246717">
        <w:rPr>
          <w:rFonts w:ascii="Times New Roman" w:hAnsi="Times New Roman" w:cs="Times New Roman"/>
          <w:szCs w:val="24"/>
          <w:lang w:val="pl-PL"/>
        </w:rPr>
        <w:t xml:space="preserve"> </w:t>
      </w:r>
      <w:r w:rsidR="000771D0">
        <w:rPr>
          <w:rFonts w:ascii="Times New Roman" w:hAnsi="Times New Roman" w:cs="Times New Roman"/>
          <w:szCs w:val="24"/>
          <w:lang w:val="pl-PL"/>
        </w:rPr>
        <w:t>uzasadnioną podstawę do</w:t>
      </w:r>
      <w:r w:rsidR="00812992">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jej zatrzymania. Zeznał ponadto, że rutynowo </w:t>
      </w:r>
      <w:r w:rsidR="000771D0">
        <w:rPr>
          <w:rFonts w:ascii="Times New Roman" w:hAnsi="Times New Roman" w:cs="Times New Roman"/>
          <w:szCs w:val="24"/>
          <w:lang w:val="pl-PL"/>
        </w:rPr>
        <w:t>prze</w:t>
      </w:r>
      <w:r w:rsidR="005B6547" w:rsidRPr="00246717">
        <w:rPr>
          <w:rFonts w:ascii="Times New Roman" w:hAnsi="Times New Roman" w:cs="Times New Roman"/>
          <w:szCs w:val="24"/>
          <w:lang w:val="pl-PL"/>
        </w:rPr>
        <w:t>szuk</w:t>
      </w:r>
      <w:r w:rsidR="000771D0">
        <w:rPr>
          <w:rFonts w:ascii="Times New Roman" w:hAnsi="Times New Roman" w:cs="Times New Roman"/>
          <w:szCs w:val="24"/>
          <w:lang w:val="pl-PL"/>
        </w:rPr>
        <w:t>iw</w:t>
      </w:r>
      <w:r w:rsidR="005B6547" w:rsidRPr="00246717">
        <w:rPr>
          <w:rFonts w:ascii="Times New Roman" w:hAnsi="Times New Roman" w:cs="Times New Roman"/>
          <w:szCs w:val="24"/>
          <w:lang w:val="pl-PL"/>
        </w:rPr>
        <w:t xml:space="preserve">ali </w:t>
      </w:r>
      <w:r w:rsidR="000771D0" w:rsidRPr="00246717">
        <w:rPr>
          <w:rFonts w:ascii="Times New Roman" w:hAnsi="Times New Roman" w:cs="Times New Roman"/>
          <w:szCs w:val="24"/>
          <w:lang w:val="pl-PL"/>
        </w:rPr>
        <w:t>os</w:t>
      </w:r>
      <w:r w:rsidR="000771D0">
        <w:rPr>
          <w:rFonts w:ascii="Times New Roman" w:hAnsi="Times New Roman" w:cs="Times New Roman"/>
          <w:szCs w:val="24"/>
          <w:lang w:val="pl-PL"/>
        </w:rPr>
        <w:t>oby</w:t>
      </w:r>
      <w:r w:rsidR="005B6547" w:rsidRPr="00246717">
        <w:rPr>
          <w:rFonts w:ascii="Times New Roman" w:hAnsi="Times New Roman" w:cs="Times New Roman"/>
          <w:szCs w:val="24"/>
          <w:lang w:val="pl-PL"/>
        </w:rPr>
        <w:t>, których prawo do pobytu wygasło.</w:t>
      </w:r>
    </w:p>
    <w:p w14:paraId="5DFF9345" w14:textId="172EA5C3"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37</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Zeznanie S. było podobne. Dodał, że skarżąca szła szybkim krokiem i że</w:t>
      </w:r>
      <w:r w:rsidR="000771D0">
        <w:rPr>
          <w:rFonts w:ascii="Times New Roman" w:hAnsi="Times New Roman" w:cs="Times New Roman"/>
          <w:szCs w:val="24"/>
          <w:lang w:val="pl-PL"/>
        </w:rPr>
        <w:t xml:space="preserve"> gdy funkcjonariusze policji ją zatrzymali</w:t>
      </w:r>
      <w:r w:rsidR="005B6547" w:rsidRPr="00246717">
        <w:rPr>
          <w:rFonts w:ascii="Times New Roman" w:hAnsi="Times New Roman" w:cs="Times New Roman"/>
          <w:szCs w:val="24"/>
          <w:lang w:val="pl-PL"/>
        </w:rPr>
        <w:t xml:space="preserve"> zaczęła grozić </w:t>
      </w:r>
      <w:r w:rsidR="000771D0">
        <w:rPr>
          <w:rFonts w:ascii="Times New Roman" w:hAnsi="Times New Roman" w:cs="Times New Roman"/>
          <w:szCs w:val="24"/>
          <w:lang w:val="pl-PL"/>
        </w:rPr>
        <w:t xml:space="preserve">im </w:t>
      </w:r>
      <w:r w:rsidR="005B6547" w:rsidRPr="00246717">
        <w:rPr>
          <w:rFonts w:ascii="Times New Roman" w:hAnsi="Times New Roman" w:cs="Times New Roman"/>
          <w:szCs w:val="24"/>
          <w:lang w:val="pl-PL"/>
        </w:rPr>
        <w:t>karami dyscyplinarnymi.</w:t>
      </w:r>
    </w:p>
    <w:p w14:paraId="30C19C8D" w14:textId="7280BB2D"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38</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B. zeznał, że postanowili zatrzymać skarżącą, ponieważ była ubrana na czarno i była „pochodzenia kaukaskiego”. Dodał, że wygląd skarżącej pasował do opisu </w:t>
      </w:r>
      <w:r w:rsidR="009B1694">
        <w:rPr>
          <w:rFonts w:ascii="Times New Roman" w:hAnsi="Times New Roman" w:cs="Times New Roman"/>
          <w:szCs w:val="24"/>
          <w:lang w:val="pl-PL"/>
        </w:rPr>
        <w:t>osoby figurującej na liście gończym</w:t>
      </w:r>
      <w:r w:rsidR="005B6547" w:rsidRPr="00246717">
        <w:rPr>
          <w:rFonts w:ascii="Times New Roman" w:hAnsi="Times New Roman" w:cs="Times New Roman"/>
          <w:szCs w:val="24"/>
          <w:lang w:val="pl-PL"/>
        </w:rPr>
        <w:t xml:space="preserve">. Zeznał, że skarżąca miała </w:t>
      </w:r>
      <w:r w:rsidR="009B1694">
        <w:rPr>
          <w:rFonts w:ascii="Times New Roman" w:hAnsi="Times New Roman" w:cs="Times New Roman"/>
          <w:szCs w:val="24"/>
          <w:lang w:val="pl-PL"/>
        </w:rPr>
        <w:t>przy sobie</w:t>
      </w:r>
      <w:r w:rsidR="005B6547" w:rsidRPr="00246717">
        <w:rPr>
          <w:rFonts w:ascii="Times New Roman" w:hAnsi="Times New Roman" w:cs="Times New Roman"/>
          <w:szCs w:val="24"/>
          <w:lang w:val="pl-PL"/>
        </w:rPr>
        <w:t xml:space="preserve"> torebkę do </w:t>
      </w:r>
      <w:r w:rsidR="009B1694">
        <w:rPr>
          <w:rFonts w:ascii="Times New Roman" w:hAnsi="Times New Roman" w:cs="Times New Roman"/>
          <w:szCs w:val="24"/>
          <w:lang w:val="pl-PL"/>
        </w:rPr>
        <w:t>czasu jej</w:t>
      </w:r>
      <w:r w:rsidR="009B169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przeszukania na posterunku policji.</w:t>
      </w:r>
    </w:p>
    <w:p w14:paraId="0E9FA8F0" w14:textId="4F99AE4C"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39</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Sąd przesłuchał także funkcjonariuszy policji, którzy </w:t>
      </w:r>
      <w:r w:rsidR="009B1694" w:rsidRPr="00246717">
        <w:rPr>
          <w:rFonts w:ascii="Times New Roman" w:hAnsi="Times New Roman" w:cs="Times New Roman"/>
          <w:szCs w:val="24"/>
          <w:lang w:val="pl-PL"/>
        </w:rPr>
        <w:t xml:space="preserve">w dniu zatrzymania skarżącej </w:t>
      </w:r>
      <w:r w:rsidR="005B6547" w:rsidRPr="00246717">
        <w:rPr>
          <w:rFonts w:ascii="Times New Roman" w:hAnsi="Times New Roman" w:cs="Times New Roman"/>
          <w:szCs w:val="24"/>
          <w:lang w:val="pl-PL"/>
        </w:rPr>
        <w:t>pełnili dyżur na posterunku policji Prospekt Wiernadskiego.</w:t>
      </w:r>
    </w:p>
    <w:p w14:paraId="1E20BF41" w14:textId="55C08AAD"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40</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I. zeznał, że dokonał </w:t>
      </w:r>
      <w:r w:rsidR="0012026B">
        <w:rPr>
          <w:rFonts w:ascii="Times New Roman" w:hAnsi="Times New Roman" w:cs="Times New Roman"/>
          <w:szCs w:val="24"/>
          <w:lang w:val="pl-PL"/>
        </w:rPr>
        <w:t>kontroli osobistej</w:t>
      </w:r>
      <w:r w:rsidR="005B6547" w:rsidRPr="00246717">
        <w:rPr>
          <w:rFonts w:ascii="Times New Roman" w:hAnsi="Times New Roman" w:cs="Times New Roman"/>
          <w:szCs w:val="24"/>
          <w:lang w:val="pl-PL"/>
        </w:rPr>
        <w:t xml:space="preserve"> skarżącej w obecności dwóch zaświadczających świadków i znalazł w jej torebce dwa żółte przedmioty w kształcie sześcianów owinięte folią aluminiową, co do których później potwierdzono, że są materiałami wybuchowymi. Odciski palców skarżącej pobrano tylko jeden raz</w:t>
      </w:r>
      <w:r w:rsidR="009B1694">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 po ujawnieniu przedmiotów w jej torebce.</w:t>
      </w:r>
    </w:p>
    <w:bookmarkStart w:id="27" w:name="AttestingWitneses"/>
    <w:bookmarkStart w:id="28" w:name="AttestingWitnesesKtestimony"/>
    <w:p w14:paraId="6955DFB3" w14:textId="6C4E4F77"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41</w:t>
      </w:r>
      <w:r w:rsidRPr="00246717">
        <w:rPr>
          <w:rFonts w:ascii="Times New Roman" w:hAnsi="Times New Roman" w:cs="Times New Roman"/>
          <w:szCs w:val="24"/>
          <w:lang w:val="pl-PL"/>
        </w:rPr>
        <w:fldChar w:fldCharType="end"/>
      </w:r>
      <w:bookmarkEnd w:id="27"/>
      <w:bookmarkEnd w:id="28"/>
      <w:r w:rsidR="005B6547" w:rsidRPr="00246717">
        <w:rPr>
          <w:rFonts w:ascii="Times New Roman" w:hAnsi="Times New Roman" w:cs="Times New Roman"/>
          <w:szCs w:val="24"/>
          <w:lang w:val="pl-PL"/>
        </w:rPr>
        <w:t>.  </w:t>
      </w:r>
      <w:proofErr w:type="spellStart"/>
      <w:r w:rsidR="005B6547" w:rsidRPr="00246717">
        <w:rPr>
          <w:rFonts w:ascii="Times New Roman" w:hAnsi="Times New Roman" w:cs="Times New Roman"/>
          <w:szCs w:val="24"/>
          <w:lang w:val="pl-PL"/>
        </w:rPr>
        <w:t>Ke</w:t>
      </w:r>
      <w:proofErr w:type="spellEnd"/>
      <w:r w:rsidR="005B6547" w:rsidRPr="00246717">
        <w:rPr>
          <w:rFonts w:ascii="Times New Roman" w:hAnsi="Times New Roman" w:cs="Times New Roman"/>
          <w:szCs w:val="24"/>
          <w:lang w:val="pl-PL"/>
        </w:rPr>
        <w:t xml:space="preserve">. zeznał, że </w:t>
      </w:r>
      <w:r w:rsidR="009B1694">
        <w:rPr>
          <w:rFonts w:ascii="Times New Roman" w:hAnsi="Times New Roman" w:cs="Times New Roman"/>
          <w:szCs w:val="24"/>
          <w:lang w:val="pl-PL"/>
        </w:rPr>
        <w:t>przed dokonaniem</w:t>
      </w:r>
      <w:r w:rsidR="005B6547" w:rsidRPr="00246717">
        <w:rPr>
          <w:rFonts w:ascii="Times New Roman" w:hAnsi="Times New Roman" w:cs="Times New Roman"/>
          <w:szCs w:val="24"/>
          <w:lang w:val="pl-PL"/>
        </w:rPr>
        <w:t xml:space="preserve"> </w:t>
      </w:r>
      <w:r w:rsidR="0012026B">
        <w:rPr>
          <w:rFonts w:ascii="Times New Roman" w:hAnsi="Times New Roman" w:cs="Times New Roman"/>
          <w:szCs w:val="24"/>
          <w:lang w:val="pl-PL"/>
        </w:rPr>
        <w:t>kontroli osobistej</w:t>
      </w:r>
      <w:r w:rsidR="005B6547" w:rsidRPr="00246717">
        <w:rPr>
          <w:rFonts w:ascii="Times New Roman" w:hAnsi="Times New Roman" w:cs="Times New Roman"/>
          <w:szCs w:val="24"/>
          <w:lang w:val="pl-PL"/>
        </w:rPr>
        <w:t xml:space="preserve"> </w:t>
      </w:r>
      <w:r w:rsidR="009B1694" w:rsidRPr="00246717">
        <w:rPr>
          <w:rFonts w:ascii="Times New Roman" w:hAnsi="Times New Roman" w:cs="Times New Roman"/>
          <w:szCs w:val="24"/>
          <w:lang w:val="pl-PL"/>
        </w:rPr>
        <w:t>skarżąc</w:t>
      </w:r>
      <w:r w:rsidR="009B1694">
        <w:rPr>
          <w:rFonts w:ascii="Times New Roman" w:hAnsi="Times New Roman" w:cs="Times New Roman"/>
          <w:szCs w:val="24"/>
          <w:lang w:val="pl-PL"/>
        </w:rPr>
        <w:t>a</w:t>
      </w:r>
      <w:r w:rsidR="009B169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miała przy sobie wszystkie swoje rzeczy osobiste oraz że zanim </w:t>
      </w:r>
      <w:r w:rsidR="0012026B">
        <w:rPr>
          <w:rFonts w:ascii="Times New Roman" w:hAnsi="Times New Roman" w:cs="Times New Roman"/>
          <w:szCs w:val="24"/>
          <w:lang w:val="pl-PL"/>
        </w:rPr>
        <w:t>przystąpiono do czynności</w:t>
      </w:r>
      <w:r w:rsidR="005B6547" w:rsidRPr="00246717">
        <w:rPr>
          <w:rFonts w:ascii="Times New Roman" w:hAnsi="Times New Roman" w:cs="Times New Roman"/>
          <w:szCs w:val="24"/>
          <w:lang w:val="pl-PL"/>
        </w:rPr>
        <w:t xml:space="preserve"> </w:t>
      </w:r>
      <w:r w:rsidR="009B1694">
        <w:rPr>
          <w:rFonts w:ascii="Times New Roman" w:hAnsi="Times New Roman" w:cs="Times New Roman"/>
          <w:szCs w:val="24"/>
          <w:lang w:val="pl-PL"/>
        </w:rPr>
        <w:t xml:space="preserve">kontrolnej przybranie </w:t>
      </w:r>
      <w:r w:rsidR="005B6547" w:rsidRPr="00246717">
        <w:rPr>
          <w:rFonts w:ascii="Times New Roman" w:hAnsi="Times New Roman" w:cs="Times New Roman"/>
          <w:szCs w:val="24"/>
          <w:lang w:val="pl-PL"/>
        </w:rPr>
        <w:t>świadków zajęło około dwadzieścia minut.</w:t>
      </w:r>
    </w:p>
    <w:bookmarkStart w:id="29" w:name="ProsecutionExamsPoliceOfficers"/>
    <w:p w14:paraId="1E73D3FC" w14:textId="7594E9E5" w:rsidR="00BE7442"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BE7442"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BE7442" w:rsidRPr="00246717">
        <w:rPr>
          <w:rFonts w:ascii="Times New Roman" w:hAnsi="Times New Roman" w:cs="Times New Roman"/>
          <w:szCs w:val="24"/>
          <w:lang w:val="pl-PL"/>
        </w:rPr>
        <w:t>42</w:t>
      </w:r>
      <w:r w:rsidRPr="00246717">
        <w:rPr>
          <w:rFonts w:ascii="Times New Roman" w:hAnsi="Times New Roman" w:cs="Times New Roman"/>
          <w:szCs w:val="24"/>
          <w:lang w:val="pl-PL"/>
        </w:rPr>
        <w:fldChar w:fldCharType="end"/>
      </w:r>
      <w:bookmarkEnd w:id="29"/>
      <w:r w:rsidR="00BE7442" w:rsidRPr="00246717">
        <w:rPr>
          <w:rFonts w:ascii="Times New Roman" w:hAnsi="Times New Roman" w:cs="Times New Roman"/>
          <w:szCs w:val="24"/>
          <w:lang w:val="pl-PL"/>
        </w:rPr>
        <w:t>.  Oska</w:t>
      </w:r>
      <w:r w:rsidR="0012026B">
        <w:rPr>
          <w:rFonts w:ascii="Times New Roman" w:hAnsi="Times New Roman" w:cs="Times New Roman"/>
          <w:szCs w:val="24"/>
          <w:lang w:val="pl-PL"/>
        </w:rPr>
        <w:t>rżyciel</w:t>
      </w:r>
      <w:r w:rsidR="00BE7442" w:rsidRPr="00246717">
        <w:rPr>
          <w:rFonts w:ascii="Times New Roman" w:hAnsi="Times New Roman" w:cs="Times New Roman"/>
          <w:szCs w:val="24"/>
          <w:lang w:val="pl-PL"/>
        </w:rPr>
        <w:t xml:space="preserve"> </w:t>
      </w:r>
      <w:r w:rsidR="009B1694">
        <w:rPr>
          <w:rFonts w:ascii="Times New Roman" w:hAnsi="Times New Roman" w:cs="Times New Roman"/>
          <w:szCs w:val="24"/>
          <w:lang w:val="pl-PL"/>
        </w:rPr>
        <w:t>szczegółowo</w:t>
      </w:r>
      <w:r w:rsidR="009B1694" w:rsidRPr="00246717">
        <w:rPr>
          <w:rFonts w:ascii="Times New Roman" w:hAnsi="Times New Roman" w:cs="Times New Roman"/>
          <w:szCs w:val="24"/>
          <w:lang w:val="pl-PL"/>
        </w:rPr>
        <w:t xml:space="preserve"> </w:t>
      </w:r>
      <w:r w:rsidR="00BE7442" w:rsidRPr="00246717">
        <w:rPr>
          <w:rFonts w:ascii="Times New Roman" w:hAnsi="Times New Roman" w:cs="Times New Roman"/>
          <w:szCs w:val="24"/>
          <w:lang w:val="pl-PL"/>
        </w:rPr>
        <w:t xml:space="preserve">przesłuchał wszystkich funkcjonariuszy policji w sprawie okoliczności </w:t>
      </w:r>
      <w:r w:rsidR="0012026B">
        <w:rPr>
          <w:rFonts w:ascii="Times New Roman" w:hAnsi="Times New Roman" w:cs="Times New Roman"/>
          <w:szCs w:val="24"/>
          <w:lang w:val="pl-PL"/>
        </w:rPr>
        <w:t>kontroli osobistej</w:t>
      </w:r>
      <w:r w:rsidR="00BE7442" w:rsidRPr="00246717">
        <w:rPr>
          <w:rFonts w:ascii="Times New Roman" w:hAnsi="Times New Roman" w:cs="Times New Roman"/>
          <w:szCs w:val="24"/>
          <w:lang w:val="pl-PL"/>
        </w:rPr>
        <w:t xml:space="preserve"> skarżącej i pobrania od niej odcisków palców. Wszyscy konsekwentnie zeznali, że skarżąca znajdowała się w posiadaniu swoich przedmiotów osobistych, tj. </w:t>
      </w:r>
      <w:r w:rsidR="009B1694">
        <w:rPr>
          <w:rFonts w:ascii="Times New Roman" w:hAnsi="Times New Roman" w:cs="Times New Roman"/>
          <w:szCs w:val="24"/>
          <w:lang w:val="pl-PL"/>
        </w:rPr>
        <w:t>swo</w:t>
      </w:r>
      <w:r w:rsidR="00BE7442" w:rsidRPr="00246717">
        <w:rPr>
          <w:rFonts w:ascii="Times New Roman" w:hAnsi="Times New Roman" w:cs="Times New Roman"/>
          <w:szCs w:val="24"/>
          <w:lang w:val="pl-PL"/>
        </w:rPr>
        <w:t xml:space="preserve">jej torebki, przez cały czas </w:t>
      </w:r>
      <w:r w:rsidR="009B1694">
        <w:rPr>
          <w:rFonts w:ascii="Times New Roman" w:hAnsi="Times New Roman" w:cs="Times New Roman"/>
          <w:szCs w:val="24"/>
          <w:lang w:val="pl-PL"/>
        </w:rPr>
        <w:t>do czasu przeprowadzenia</w:t>
      </w:r>
      <w:r w:rsidR="009B1694" w:rsidRPr="00246717">
        <w:rPr>
          <w:rFonts w:ascii="Times New Roman" w:hAnsi="Times New Roman" w:cs="Times New Roman"/>
          <w:szCs w:val="24"/>
          <w:lang w:val="pl-PL"/>
        </w:rPr>
        <w:t xml:space="preserve"> przeszukani</w:t>
      </w:r>
      <w:r w:rsidR="009B1694">
        <w:rPr>
          <w:rFonts w:ascii="Times New Roman" w:hAnsi="Times New Roman" w:cs="Times New Roman"/>
          <w:szCs w:val="24"/>
          <w:lang w:val="pl-PL"/>
        </w:rPr>
        <w:t>a</w:t>
      </w:r>
      <w:r w:rsidR="009B1694" w:rsidRPr="00246717">
        <w:rPr>
          <w:rFonts w:ascii="Times New Roman" w:hAnsi="Times New Roman" w:cs="Times New Roman"/>
          <w:szCs w:val="24"/>
          <w:lang w:val="pl-PL"/>
        </w:rPr>
        <w:t xml:space="preserve"> </w:t>
      </w:r>
      <w:r w:rsidR="00BE7442" w:rsidRPr="00246717">
        <w:rPr>
          <w:rFonts w:ascii="Times New Roman" w:hAnsi="Times New Roman" w:cs="Times New Roman"/>
          <w:szCs w:val="24"/>
          <w:lang w:val="pl-PL"/>
        </w:rPr>
        <w:t xml:space="preserve">oraz że pobrano od niej odciski palców tylko </w:t>
      </w:r>
      <w:r w:rsidR="009B1694" w:rsidRPr="00246717">
        <w:rPr>
          <w:rFonts w:ascii="Times New Roman" w:hAnsi="Times New Roman" w:cs="Times New Roman"/>
          <w:szCs w:val="24"/>
          <w:lang w:val="pl-PL"/>
        </w:rPr>
        <w:t>jedno</w:t>
      </w:r>
      <w:r w:rsidR="009B1694">
        <w:rPr>
          <w:rFonts w:ascii="Times New Roman" w:hAnsi="Times New Roman" w:cs="Times New Roman"/>
          <w:szCs w:val="24"/>
          <w:lang w:val="pl-PL"/>
        </w:rPr>
        <w:t>razowo</w:t>
      </w:r>
      <w:r w:rsidR="009B1694" w:rsidRPr="00246717">
        <w:rPr>
          <w:rFonts w:ascii="Times New Roman" w:hAnsi="Times New Roman" w:cs="Times New Roman"/>
          <w:szCs w:val="24"/>
          <w:lang w:val="pl-PL"/>
        </w:rPr>
        <w:t xml:space="preserve"> </w:t>
      </w:r>
      <w:r w:rsidR="00BE7442" w:rsidRPr="00246717">
        <w:rPr>
          <w:rFonts w:ascii="Times New Roman" w:hAnsi="Times New Roman" w:cs="Times New Roman"/>
          <w:szCs w:val="24"/>
          <w:lang w:val="pl-PL"/>
        </w:rPr>
        <w:t xml:space="preserve">po </w:t>
      </w:r>
      <w:r w:rsidR="009B1694">
        <w:rPr>
          <w:rFonts w:ascii="Times New Roman" w:hAnsi="Times New Roman" w:cs="Times New Roman"/>
          <w:szCs w:val="24"/>
          <w:lang w:val="pl-PL"/>
        </w:rPr>
        <w:t xml:space="preserve">przeprowadzeniu </w:t>
      </w:r>
      <w:r w:rsidR="0012026B">
        <w:rPr>
          <w:rFonts w:ascii="Times New Roman" w:hAnsi="Times New Roman" w:cs="Times New Roman"/>
          <w:szCs w:val="24"/>
          <w:lang w:val="pl-PL"/>
        </w:rPr>
        <w:t>czynności</w:t>
      </w:r>
      <w:r w:rsidR="00BE7442" w:rsidRPr="00246717">
        <w:rPr>
          <w:rFonts w:ascii="Times New Roman" w:hAnsi="Times New Roman" w:cs="Times New Roman"/>
          <w:szCs w:val="24"/>
          <w:lang w:val="pl-PL"/>
        </w:rPr>
        <w:t xml:space="preserve">. Obrona zapytała </w:t>
      </w:r>
      <w:r w:rsidR="0012026B">
        <w:rPr>
          <w:rFonts w:ascii="Times New Roman" w:hAnsi="Times New Roman" w:cs="Times New Roman"/>
          <w:szCs w:val="24"/>
          <w:lang w:val="pl-PL"/>
        </w:rPr>
        <w:t>jedynie</w:t>
      </w:r>
      <w:r w:rsidR="00BE7442" w:rsidRPr="00246717">
        <w:rPr>
          <w:rFonts w:ascii="Times New Roman" w:hAnsi="Times New Roman" w:cs="Times New Roman"/>
          <w:szCs w:val="24"/>
          <w:lang w:val="pl-PL"/>
        </w:rPr>
        <w:t xml:space="preserve"> funkcjonariusza policji B.</w:t>
      </w:r>
      <w:r w:rsidR="009B1694">
        <w:rPr>
          <w:rFonts w:ascii="Times New Roman" w:hAnsi="Times New Roman" w:cs="Times New Roman"/>
          <w:szCs w:val="24"/>
          <w:lang w:val="pl-PL"/>
        </w:rPr>
        <w:t xml:space="preserve"> o to</w:t>
      </w:r>
      <w:r w:rsidR="00BE7442" w:rsidRPr="00246717">
        <w:rPr>
          <w:rFonts w:ascii="Times New Roman" w:hAnsi="Times New Roman" w:cs="Times New Roman"/>
          <w:szCs w:val="24"/>
          <w:lang w:val="pl-PL"/>
        </w:rPr>
        <w:t>, czy skarżąca znajdowała się w posiadaniu swojej torebki przed przeszukaniem</w:t>
      </w:r>
      <w:r w:rsidR="009B1694">
        <w:rPr>
          <w:rFonts w:ascii="Times New Roman" w:hAnsi="Times New Roman" w:cs="Times New Roman"/>
          <w:szCs w:val="24"/>
          <w:lang w:val="pl-PL"/>
        </w:rPr>
        <w:t>, zaś</w:t>
      </w:r>
      <w:r w:rsidR="00BE7442" w:rsidRPr="00246717">
        <w:rPr>
          <w:rFonts w:ascii="Times New Roman" w:hAnsi="Times New Roman" w:cs="Times New Roman"/>
          <w:szCs w:val="24"/>
          <w:lang w:val="pl-PL"/>
        </w:rPr>
        <w:t xml:space="preserve"> funkcjonariusza policji </w:t>
      </w:r>
      <w:proofErr w:type="spellStart"/>
      <w:r w:rsidR="00BE7442" w:rsidRPr="00246717">
        <w:rPr>
          <w:rFonts w:ascii="Times New Roman" w:hAnsi="Times New Roman" w:cs="Times New Roman"/>
          <w:szCs w:val="24"/>
          <w:lang w:val="pl-PL"/>
        </w:rPr>
        <w:t>Ke</w:t>
      </w:r>
      <w:proofErr w:type="spellEnd"/>
      <w:r w:rsidR="00BE7442" w:rsidRPr="00246717">
        <w:rPr>
          <w:rFonts w:ascii="Times New Roman" w:hAnsi="Times New Roman" w:cs="Times New Roman"/>
          <w:szCs w:val="24"/>
          <w:lang w:val="pl-PL"/>
        </w:rPr>
        <w:t xml:space="preserve">. o sposób, w jaki </w:t>
      </w:r>
      <w:r w:rsidR="009B1694">
        <w:rPr>
          <w:rFonts w:ascii="Times New Roman" w:hAnsi="Times New Roman" w:cs="Times New Roman"/>
          <w:szCs w:val="24"/>
          <w:lang w:val="pl-PL"/>
        </w:rPr>
        <w:t>przybrano</w:t>
      </w:r>
      <w:r w:rsidR="009B1694" w:rsidRPr="00246717">
        <w:rPr>
          <w:rFonts w:ascii="Times New Roman" w:hAnsi="Times New Roman" w:cs="Times New Roman"/>
          <w:szCs w:val="24"/>
          <w:lang w:val="pl-PL"/>
        </w:rPr>
        <w:t xml:space="preserve"> </w:t>
      </w:r>
      <w:r w:rsidR="00BE7442" w:rsidRPr="00246717">
        <w:rPr>
          <w:rFonts w:ascii="Times New Roman" w:hAnsi="Times New Roman" w:cs="Times New Roman"/>
          <w:szCs w:val="24"/>
          <w:lang w:val="pl-PL"/>
        </w:rPr>
        <w:t>świadk</w:t>
      </w:r>
      <w:r w:rsidR="009B1694">
        <w:rPr>
          <w:rFonts w:ascii="Times New Roman" w:hAnsi="Times New Roman" w:cs="Times New Roman"/>
          <w:szCs w:val="24"/>
          <w:lang w:val="pl-PL"/>
        </w:rPr>
        <w:t>ów do czynności</w:t>
      </w:r>
      <w:r w:rsidR="00BE7442" w:rsidRPr="00246717">
        <w:rPr>
          <w:rFonts w:ascii="Times New Roman" w:hAnsi="Times New Roman" w:cs="Times New Roman"/>
          <w:szCs w:val="24"/>
          <w:lang w:val="pl-PL"/>
        </w:rPr>
        <w:t>. Obydwa te pytania skierowan</w:t>
      </w:r>
      <w:r w:rsidR="00F43E9F">
        <w:rPr>
          <w:rFonts w:ascii="Times New Roman" w:hAnsi="Times New Roman" w:cs="Times New Roman"/>
          <w:szCs w:val="24"/>
          <w:lang w:val="pl-PL"/>
        </w:rPr>
        <w:t>o</w:t>
      </w:r>
      <w:r w:rsidR="00BE7442" w:rsidRPr="00246717">
        <w:rPr>
          <w:rFonts w:ascii="Times New Roman" w:hAnsi="Times New Roman" w:cs="Times New Roman"/>
          <w:szCs w:val="24"/>
          <w:lang w:val="pl-PL"/>
        </w:rPr>
        <w:t xml:space="preserve"> do wyżej wymienionych świadków tylko </w:t>
      </w:r>
      <w:r w:rsidR="00F43E9F">
        <w:rPr>
          <w:rFonts w:ascii="Times New Roman" w:hAnsi="Times New Roman" w:cs="Times New Roman"/>
          <w:szCs w:val="24"/>
          <w:lang w:val="pl-PL"/>
        </w:rPr>
        <w:t>raz</w:t>
      </w:r>
      <w:r w:rsidR="00F43E9F" w:rsidRPr="00246717">
        <w:rPr>
          <w:rFonts w:ascii="Times New Roman" w:hAnsi="Times New Roman" w:cs="Times New Roman"/>
          <w:szCs w:val="24"/>
          <w:lang w:val="pl-PL"/>
        </w:rPr>
        <w:t xml:space="preserve"> </w:t>
      </w:r>
      <w:r w:rsidR="00BE7442" w:rsidRPr="00246717">
        <w:rPr>
          <w:rFonts w:ascii="Times New Roman" w:hAnsi="Times New Roman" w:cs="Times New Roman"/>
          <w:szCs w:val="24"/>
          <w:lang w:val="pl-PL"/>
        </w:rPr>
        <w:t xml:space="preserve">i </w:t>
      </w:r>
      <w:r w:rsidR="00F43E9F">
        <w:rPr>
          <w:rFonts w:ascii="Times New Roman" w:hAnsi="Times New Roman" w:cs="Times New Roman"/>
          <w:szCs w:val="24"/>
          <w:lang w:val="pl-PL"/>
        </w:rPr>
        <w:t>nie ustosunkowano się do nich</w:t>
      </w:r>
      <w:r w:rsidR="00BE7442" w:rsidRPr="00246717">
        <w:rPr>
          <w:rFonts w:ascii="Times New Roman" w:hAnsi="Times New Roman" w:cs="Times New Roman"/>
          <w:szCs w:val="24"/>
          <w:lang w:val="pl-PL"/>
        </w:rPr>
        <w:t>.</w:t>
      </w:r>
    </w:p>
    <w:p w14:paraId="5C982AFC" w14:textId="486F28C2"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43</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w:t>
      </w:r>
      <w:r w:rsidR="004A7B78" w:rsidRPr="00246717">
        <w:rPr>
          <w:rFonts w:ascii="Times New Roman" w:hAnsi="Times New Roman" w:cs="Times New Roman"/>
          <w:szCs w:val="24"/>
          <w:lang w:val="pl-PL"/>
        </w:rPr>
        <w:t>Oskarż</w:t>
      </w:r>
      <w:r w:rsidR="004A7B78">
        <w:rPr>
          <w:rFonts w:ascii="Times New Roman" w:hAnsi="Times New Roman" w:cs="Times New Roman"/>
          <w:szCs w:val="24"/>
          <w:lang w:val="pl-PL"/>
        </w:rPr>
        <w:t>yciel</w:t>
      </w:r>
      <w:r w:rsidR="004A7B78"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zakończył przedstawianie dowodów w dniu 12 stycznia 2005 r., nie próbując wezwać A. do </w:t>
      </w:r>
      <w:r w:rsidR="0012026B">
        <w:rPr>
          <w:rFonts w:ascii="Times New Roman" w:hAnsi="Times New Roman" w:cs="Times New Roman"/>
          <w:szCs w:val="24"/>
          <w:lang w:val="pl-PL"/>
        </w:rPr>
        <w:t>złożenia zeznań</w:t>
      </w:r>
      <w:r w:rsidR="0012026B" w:rsidRPr="00246717">
        <w:rPr>
          <w:rFonts w:ascii="Times New Roman" w:hAnsi="Times New Roman" w:cs="Times New Roman"/>
          <w:szCs w:val="24"/>
          <w:lang w:val="pl-PL"/>
        </w:rPr>
        <w:t xml:space="preserve"> </w:t>
      </w:r>
      <w:r w:rsidR="004A7B78">
        <w:rPr>
          <w:rFonts w:ascii="Times New Roman" w:hAnsi="Times New Roman" w:cs="Times New Roman"/>
          <w:szCs w:val="24"/>
          <w:lang w:val="pl-PL"/>
        </w:rPr>
        <w:t>na rozprawie</w:t>
      </w:r>
      <w:r w:rsidR="005B6547" w:rsidRPr="00246717">
        <w:rPr>
          <w:rFonts w:ascii="Times New Roman" w:hAnsi="Times New Roman" w:cs="Times New Roman"/>
          <w:szCs w:val="24"/>
          <w:lang w:val="pl-PL"/>
        </w:rPr>
        <w:t xml:space="preserve"> </w:t>
      </w:r>
      <w:r w:rsidR="004A7B78">
        <w:rPr>
          <w:rFonts w:ascii="Times New Roman" w:hAnsi="Times New Roman" w:cs="Times New Roman"/>
          <w:szCs w:val="24"/>
          <w:lang w:val="pl-PL"/>
        </w:rPr>
        <w:t>ani</w:t>
      </w:r>
      <w:r w:rsidR="004A7B78"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odnieść się do zeznań </w:t>
      </w:r>
      <w:r w:rsidR="004A7B78">
        <w:rPr>
          <w:rFonts w:ascii="Times New Roman" w:hAnsi="Times New Roman" w:cs="Times New Roman"/>
          <w:szCs w:val="24"/>
          <w:lang w:val="pl-PL"/>
        </w:rPr>
        <w:t xml:space="preserve">złożonych przez niego na etapie </w:t>
      </w:r>
      <w:proofErr w:type="spellStart"/>
      <w:r w:rsidR="004A7B78" w:rsidRPr="00246717">
        <w:rPr>
          <w:rFonts w:ascii="Times New Roman" w:hAnsi="Times New Roman" w:cs="Times New Roman"/>
          <w:szCs w:val="24"/>
          <w:lang w:val="pl-PL"/>
        </w:rPr>
        <w:t>przedprocesowy</w:t>
      </w:r>
      <w:r w:rsidR="004A7B78">
        <w:rPr>
          <w:rFonts w:ascii="Times New Roman" w:hAnsi="Times New Roman" w:cs="Times New Roman"/>
          <w:szCs w:val="24"/>
          <w:lang w:val="pl-PL"/>
        </w:rPr>
        <w:t>m</w:t>
      </w:r>
      <w:proofErr w:type="spellEnd"/>
      <w:r w:rsidR="005B6547" w:rsidRPr="00246717">
        <w:rPr>
          <w:rFonts w:ascii="Times New Roman" w:hAnsi="Times New Roman" w:cs="Times New Roman"/>
          <w:szCs w:val="24"/>
          <w:lang w:val="pl-PL"/>
        </w:rPr>
        <w:t>.</w:t>
      </w:r>
    </w:p>
    <w:p w14:paraId="54B5E77A" w14:textId="0CE7B761" w:rsidR="005B6547" w:rsidRPr="00246717" w:rsidRDefault="00171DBC" w:rsidP="000957D3">
      <w:pPr>
        <w:pStyle w:val="ECHRHeading3"/>
        <w:rPr>
          <w:lang w:val="pl-PL"/>
        </w:rPr>
      </w:pPr>
      <w:bookmarkStart w:id="30" w:name="_Toc512401271"/>
      <w:bookmarkStart w:id="31" w:name="_Toc512345117"/>
      <w:bookmarkStart w:id="32" w:name="_Toc504470791"/>
      <w:r w:rsidRPr="00246717">
        <w:rPr>
          <w:bCs w:val="0"/>
          <w:iCs/>
          <w:lang w:val="pl-PL"/>
        </w:rPr>
        <w:t>2.  </w:t>
      </w:r>
      <w:r w:rsidR="004A7B78">
        <w:rPr>
          <w:bCs w:val="0"/>
          <w:iCs/>
          <w:lang w:val="pl-PL"/>
        </w:rPr>
        <w:t>Wyjaśnienia</w:t>
      </w:r>
      <w:r w:rsidR="004A7B78" w:rsidRPr="00246717">
        <w:rPr>
          <w:bCs w:val="0"/>
          <w:iCs/>
          <w:lang w:val="pl-PL"/>
        </w:rPr>
        <w:t xml:space="preserve"> </w:t>
      </w:r>
      <w:r w:rsidRPr="00246717">
        <w:rPr>
          <w:bCs w:val="0"/>
          <w:iCs/>
          <w:lang w:val="pl-PL"/>
        </w:rPr>
        <w:t xml:space="preserve">skarżącej </w:t>
      </w:r>
      <w:bookmarkEnd w:id="30"/>
      <w:bookmarkEnd w:id="31"/>
      <w:bookmarkEnd w:id="32"/>
      <w:r w:rsidR="004A7B78">
        <w:rPr>
          <w:bCs w:val="0"/>
          <w:iCs/>
          <w:lang w:val="pl-PL"/>
        </w:rPr>
        <w:t>na rozprawie</w:t>
      </w:r>
    </w:p>
    <w:bookmarkStart w:id="33" w:name="AppTrialTestimony"/>
    <w:p w14:paraId="617E1CAB" w14:textId="4C498E3A"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44</w:t>
      </w:r>
      <w:r w:rsidRPr="00246717">
        <w:rPr>
          <w:rFonts w:ascii="Times New Roman" w:hAnsi="Times New Roman" w:cs="Times New Roman"/>
          <w:szCs w:val="24"/>
          <w:lang w:val="pl-PL"/>
        </w:rPr>
        <w:fldChar w:fldCharType="end"/>
      </w:r>
      <w:bookmarkEnd w:id="33"/>
      <w:r w:rsidR="005B6547" w:rsidRPr="00246717">
        <w:rPr>
          <w:rFonts w:ascii="Times New Roman" w:hAnsi="Times New Roman" w:cs="Times New Roman"/>
          <w:szCs w:val="24"/>
          <w:lang w:val="pl-PL"/>
        </w:rPr>
        <w:t>.  </w:t>
      </w:r>
      <w:r w:rsidR="004A7B78">
        <w:rPr>
          <w:rFonts w:ascii="Times New Roman" w:hAnsi="Times New Roman" w:cs="Times New Roman"/>
          <w:szCs w:val="24"/>
          <w:lang w:val="pl-PL"/>
        </w:rPr>
        <w:t>Na rozprawie</w:t>
      </w:r>
      <w:r w:rsidR="005B6547" w:rsidRPr="00246717">
        <w:rPr>
          <w:rFonts w:ascii="Times New Roman" w:hAnsi="Times New Roman" w:cs="Times New Roman"/>
          <w:szCs w:val="24"/>
          <w:lang w:val="pl-PL"/>
        </w:rPr>
        <w:t xml:space="preserve"> skarżąca nie przyznała się do winy w</w:t>
      </w:r>
      <w:r w:rsidR="008F7C18">
        <w:rPr>
          <w:rFonts w:ascii="Times New Roman" w:hAnsi="Times New Roman" w:cs="Times New Roman"/>
          <w:szCs w:val="24"/>
          <w:lang w:val="pl-PL"/>
        </w:rPr>
        <w:t xml:space="preserve"> </w:t>
      </w:r>
      <w:r w:rsidR="004A7B78">
        <w:rPr>
          <w:rFonts w:ascii="Times New Roman" w:hAnsi="Times New Roman" w:cs="Times New Roman"/>
          <w:szCs w:val="24"/>
          <w:lang w:val="pl-PL"/>
        </w:rPr>
        <w:t>związku z przedstawionymi</w:t>
      </w:r>
      <w:r w:rsidR="005B6547" w:rsidRPr="00246717">
        <w:rPr>
          <w:rFonts w:ascii="Times New Roman" w:hAnsi="Times New Roman" w:cs="Times New Roman"/>
          <w:szCs w:val="24"/>
          <w:lang w:val="pl-PL"/>
        </w:rPr>
        <w:t xml:space="preserve"> jej </w:t>
      </w:r>
      <w:r w:rsidR="004A7B78" w:rsidRPr="00246717">
        <w:rPr>
          <w:rFonts w:ascii="Times New Roman" w:hAnsi="Times New Roman" w:cs="Times New Roman"/>
          <w:szCs w:val="24"/>
          <w:lang w:val="pl-PL"/>
        </w:rPr>
        <w:t>zarzut</w:t>
      </w:r>
      <w:r w:rsidR="004A7B78">
        <w:rPr>
          <w:rFonts w:ascii="Times New Roman" w:hAnsi="Times New Roman" w:cs="Times New Roman"/>
          <w:szCs w:val="24"/>
          <w:lang w:val="pl-PL"/>
        </w:rPr>
        <w:t>ami</w:t>
      </w:r>
      <w:r w:rsidR="005B6547" w:rsidRPr="00246717">
        <w:rPr>
          <w:rFonts w:ascii="Times New Roman" w:hAnsi="Times New Roman" w:cs="Times New Roman"/>
          <w:szCs w:val="24"/>
          <w:lang w:val="pl-PL"/>
        </w:rPr>
        <w:t xml:space="preserve">. </w:t>
      </w:r>
      <w:r w:rsidR="004A7B78">
        <w:rPr>
          <w:rFonts w:ascii="Times New Roman" w:hAnsi="Times New Roman" w:cs="Times New Roman"/>
          <w:szCs w:val="24"/>
          <w:lang w:val="pl-PL"/>
        </w:rPr>
        <w:t>Wyjaśniła</w:t>
      </w:r>
      <w:r w:rsidR="005B6547" w:rsidRPr="00246717">
        <w:rPr>
          <w:rFonts w:ascii="Times New Roman" w:hAnsi="Times New Roman" w:cs="Times New Roman"/>
          <w:szCs w:val="24"/>
          <w:lang w:val="pl-PL"/>
        </w:rPr>
        <w:t xml:space="preserve">, że w dniu 4 marca 2004 r. po tym, </w:t>
      </w:r>
      <w:r w:rsidR="005B6547" w:rsidRPr="00246717">
        <w:rPr>
          <w:rFonts w:ascii="Times New Roman" w:hAnsi="Times New Roman" w:cs="Times New Roman"/>
          <w:szCs w:val="24"/>
          <w:lang w:val="pl-PL"/>
        </w:rPr>
        <w:lastRenderedPageBreak/>
        <w:t xml:space="preserve">jak została </w:t>
      </w:r>
      <w:r w:rsidR="004A7B78">
        <w:rPr>
          <w:rFonts w:ascii="Times New Roman" w:hAnsi="Times New Roman" w:cs="Times New Roman"/>
          <w:szCs w:val="24"/>
          <w:lang w:val="pl-PL"/>
        </w:rPr>
        <w:t>zabrana</w:t>
      </w:r>
      <w:r w:rsidR="004A7B78"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przez patrol</w:t>
      </w:r>
      <w:r w:rsidR="008F7C18">
        <w:rPr>
          <w:rFonts w:ascii="Times New Roman" w:hAnsi="Times New Roman" w:cs="Times New Roman"/>
          <w:szCs w:val="24"/>
          <w:lang w:val="pl-PL"/>
        </w:rPr>
        <w:t xml:space="preserve"> policji</w:t>
      </w:r>
      <w:r w:rsidR="005B6547" w:rsidRPr="00246717">
        <w:rPr>
          <w:rFonts w:ascii="Times New Roman" w:hAnsi="Times New Roman" w:cs="Times New Roman"/>
          <w:szCs w:val="24"/>
          <w:lang w:val="pl-PL"/>
        </w:rPr>
        <w:t xml:space="preserve"> na posterunek policji, najpierw zaprowadzon</w:t>
      </w:r>
      <w:r w:rsidR="004A7B78">
        <w:rPr>
          <w:rFonts w:ascii="Times New Roman" w:hAnsi="Times New Roman" w:cs="Times New Roman"/>
          <w:szCs w:val="24"/>
          <w:lang w:val="pl-PL"/>
        </w:rPr>
        <w:t>o ją</w:t>
      </w:r>
      <w:r w:rsidR="005B6547" w:rsidRPr="00246717">
        <w:rPr>
          <w:rFonts w:ascii="Times New Roman" w:hAnsi="Times New Roman" w:cs="Times New Roman"/>
          <w:szCs w:val="24"/>
          <w:lang w:val="pl-PL"/>
        </w:rPr>
        <w:t xml:space="preserve"> do pomieszczenia, w którym funkcjonariusz policji, S., wypełniał jakieś dokumenty. </w:t>
      </w:r>
      <w:r w:rsidR="004A7B78">
        <w:rPr>
          <w:rFonts w:ascii="Times New Roman" w:hAnsi="Times New Roman" w:cs="Times New Roman"/>
          <w:szCs w:val="24"/>
          <w:lang w:val="pl-PL"/>
        </w:rPr>
        <w:t>Ten poinformował</w:t>
      </w:r>
      <w:r w:rsidR="004A7B78" w:rsidRPr="00246717">
        <w:rPr>
          <w:rFonts w:ascii="Times New Roman" w:hAnsi="Times New Roman" w:cs="Times New Roman"/>
          <w:szCs w:val="24"/>
          <w:lang w:val="pl-PL"/>
        </w:rPr>
        <w:t xml:space="preserve"> j</w:t>
      </w:r>
      <w:r w:rsidR="004A7B78">
        <w:rPr>
          <w:rFonts w:ascii="Times New Roman" w:hAnsi="Times New Roman" w:cs="Times New Roman"/>
          <w:szCs w:val="24"/>
          <w:lang w:val="pl-PL"/>
        </w:rPr>
        <w:t>ą</w:t>
      </w:r>
      <w:r w:rsidR="005B6547" w:rsidRPr="00246717">
        <w:rPr>
          <w:rFonts w:ascii="Times New Roman" w:hAnsi="Times New Roman" w:cs="Times New Roman"/>
          <w:szCs w:val="24"/>
          <w:lang w:val="pl-PL"/>
        </w:rPr>
        <w:t>, że została zatrzymana i że pobrane zostaną od niej odciski palców. Z</w:t>
      </w:r>
      <w:r w:rsidR="008F7C18">
        <w:rPr>
          <w:rFonts w:ascii="Times New Roman" w:hAnsi="Times New Roman" w:cs="Times New Roman"/>
          <w:szCs w:val="24"/>
          <w:lang w:val="pl-PL"/>
        </w:rPr>
        <w:t>o</w:t>
      </w:r>
      <w:r w:rsidR="005B6547" w:rsidRPr="00246717">
        <w:rPr>
          <w:rFonts w:ascii="Times New Roman" w:hAnsi="Times New Roman" w:cs="Times New Roman"/>
          <w:szCs w:val="24"/>
          <w:lang w:val="pl-PL"/>
        </w:rPr>
        <w:t xml:space="preserve">stawiła w tym pomieszczeniu swoją kurtkę i torebkę. Inny funkcjonariusz policji, B., zaprowadził ją do kolejnego pomieszczenia, w którym funkcjonariusz policji, L., pobrał </w:t>
      </w:r>
      <w:r w:rsidR="008F7C18">
        <w:rPr>
          <w:rFonts w:ascii="Times New Roman" w:hAnsi="Times New Roman" w:cs="Times New Roman"/>
          <w:szCs w:val="24"/>
          <w:lang w:val="pl-PL"/>
        </w:rPr>
        <w:t>od niej</w:t>
      </w:r>
      <w:r w:rsidR="005B6547" w:rsidRPr="00246717">
        <w:rPr>
          <w:rFonts w:ascii="Times New Roman" w:hAnsi="Times New Roman" w:cs="Times New Roman"/>
          <w:szCs w:val="24"/>
          <w:lang w:val="pl-PL"/>
        </w:rPr>
        <w:t xml:space="preserve"> odciski palców używając tuszu. Następnie poszła do łazienki, żeby zmyć tusz z dłoni. Kiedy wróciła do pierwszego pomieszczenia została poinformowana, że zostanie </w:t>
      </w:r>
      <w:r w:rsidR="008F7C18">
        <w:rPr>
          <w:rFonts w:ascii="Times New Roman" w:hAnsi="Times New Roman" w:cs="Times New Roman"/>
          <w:szCs w:val="24"/>
          <w:lang w:val="pl-PL"/>
        </w:rPr>
        <w:t>poddana kontroli osobistej</w:t>
      </w:r>
      <w:r w:rsidR="008F7C18"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w obecności dwóch </w:t>
      </w:r>
      <w:r w:rsidR="004A7B78">
        <w:rPr>
          <w:rFonts w:ascii="Times New Roman" w:hAnsi="Times New Roman" w:cs="Times New Roman"/>
          <w:szCs w:val="24"/>
          <w:lang w:val="pl-PL"/>
        </w:rPr>
        <w:t>przybranych</w:t>
      </w:r>
      <w:r w:rsidR="004A7B78"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świadków, B. i K. Funkcjonariusz policji przeszukał torebkę skarżącej i </w:t>
      </w:r>
      <w:r w:rsidR="004A7B78">
        <w:rPr>
          <w:rFonts w:ascii="Times New Roman" w:hAnsi="Times New Roman" w:cs="Times New Roman"/>
          <w:szCs w:val="24"/>
          <w:lang w:val="pl-PL"/>
        </w:rPr>
        <w:t>odkrył</w:t>
      </w:r>
      <w:r w:rsidR="004A7B78"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dwa pak</w:t>
      </w:r>
      <w:r w:rsidR="008F7C18">
        <w:rPr>
          <w:rFonts w:ascii="Times New Roman" w:hAnsi="Times New Roman" w:cs="Times New Roman"/>
          <w:szCs w:val="24"/>
          <w:lang w:val="pl-PL"/>
        </w:rPr>
        <w:t>unki</w:t>
      </w:r>
      <w:r w:rsidR="005B6547" w:rsidRPr="00246717">
        <w:rPr>
          <w:rFonts w:ascii="Times New Roman" w:hAnsi="Times New Roman" w:cs="Times New Roman"/>
          <w:szCs w:val="24"/>
          <w:lang w:val="pl-PL"/>
        </w:rPr>
        <w:t xml:space="preserve"> owinięte folią aluminiową, które nie należały do niej. Skarżąca twierdziła, że odciski palców pobrano od niej przed </w:t>
      </w:r>
      <w:r w:rsidR="004A7B78">
        <w:rPr>
          <w:rFonts w:ascii="Times New Roman" w:hAnsi="Times New Roman" w:cs="Times New Roman"/>
          <w:szCs w:val="24"/>
          <w:lang w:val="pl-PL"/>
        </w:rPr>
        <w:t>przeprowadzeniem</w:t>
      </w:r>
      <w:r w:rsidR="008F7C18">
        <w:rPr>
          <w:rFonts w:ascii="Times New Roman" w:hAnsi="Times New Roman" w:cs="Times New Roman"/>
          <w:szCs w:val="24"/>
          <w:lang w:val="pl-PL"/>
        </w:rPr>
        <w:t xml:space="preserve"> czynności kontroli</w:t>
      </w:r>
      <w:r w:rsidR="004A7B78">
        <w:rPr>
          <w:rFonts w:ascii="Times New Roman" w:hAnsi="Times New Roman" w:cs="Times New Roman"/>
          <w:szCs w:val="24"/>
          <w:lang w:val="pl-PL"/>
        </w:rPr>
        <w:t xml:space="preserve"> oraz po jej przeprowadzeniu</w:t>
      </w:r>
      <w:r w:rsidR="005B6547" w:rsidRPr="00246717">
        <w:rPr>
          <w:rFonts w:ascii="Times New Roman" w:hAnsi="Times New Roman" w:cs="Times New Roman"/>
          <w:szCs w:val="24"/>
          <w:lang w:val="pl-PL"/>
        </w:rPr>
        <w:t xml:space="preserve">, </w:t>
      </w:r>
      <w:r w:rsidR="004A7B78">
        <w:rPr>
          <w:rFonts w:ascii="Times New Roman" w:hAnsi="Times New Roman" w:cs="Times New Roman"/>
          <w:szCs w:val="24"/>
          <w:lang w:val="pl-PL"/>
        </w:rPr>
        <w:t>oraz</w:t>
      </w:r>
      <w:r w:rsidR="005B6547" w:rsidRPr="00246717">
        <w:rPr>
          <w:rFonts w:ascii="Times New Roman" w:hAnsi="Times New Roman" w:cs="Times New Roman"/>
          <w:szCs w:val="24"/>
          <w:lang w:val="pl-PL"/>
        </w:rPr>
        <w:t xml:space="preserve"> że </w:t>
      </w:r>
      <w:r w:rsidR="004A7B78">
        <w:rPr>
          <w:rFonts w:ascii="Times New Roman" w:hAnsi="Times New Roman" w:cs="Times New Roman"/>
          <w:szCs w:val="24"/>
          <w:lang w:val="pl-PL"/>
        </w:rPr>
        <w:t xml:space="preserve">zaprotokołowano </w:t>
      </w:r>
      <w:r w:rsidR="005B6547" w:rsidRPr="00246717">
        <w:rPr>
          <w:rFonts w:ascii="Times New Roman" w:hAnsi="Times New Roman" w:cs="Times New Roman"/>
          <w:szCs w:val="24"/>
          <w:lang w:val="pl-PL"/>
        </w:rPr>
        <w:t>tylko drug</w:t>
      </w:r>
      <w:r w:rsidR="004A7B78">
        <w:rPr>
          <w:rFonts w:ascii="Times New Roman" w:hAnsi="Times New Roman" w:cs="Times New Roman"/>
          <w:szCs w:val="24"/>
          <w:lang w:val="pl-PL"/>
        </w:rPr>
        <w:t>ą czynność</w:t>
      </w:r>
      <w:r w:rsidR="005B6547" w:rsidRPr="00246717">
        <w:rPr>
          <w:rFonts w:ascii="Times New Roman" w:hAnsi="Times New Roman" w:cs="Times New Roman"/>
          <w:szCs w:val="24"/>
          <w:lang w:val="pl-PL"/>
        </w:rPr>
        <w:t>.</w:t>
      </w:r>
    </w:p>
    <w:p w14:paraId="3E1EB4CC" w14:textId="4D8214DF"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45</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Skarżąca </w:t>
      </w:r>
      <w:r w:rsidR="002A1A61">
        <w:rPr>
          <w:rFonts w:ascii="Times New Roman" w:hAnsi="Times New Roman" w:cs="Times New Roman"/>
          <w:szCs w:val="24"/>
          <w:lang w:val="pl-PL"/>
        </w:rPr>
        <w:t>wyjaśniła</w:t>
      </w:r>
      <w:r w:rsidR="002A1A61"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ponadto, że policja przesłuchała ją bez </w:t>
      </w:r>
      <w:r w:rsidR="000C6C5A">
        <w:rPr>
          <w:rFonts w:ascii="Times New Roman" w:hAnsi="Times New Roman" w:cs="Times New Roman"/>
          <w:szCs w:val="24"/>
          <w:lang w:val="pl-PL"/>
        </w:rPr>
        <w:t>udziału obrońcy</w:t>
      </w:r>
      <w:r w:rsidR="005B6547" w:rsidRPr="00246717">
        <w:rPr>
          <w:rFonts w:ascii="Times New Roman" w:hAnsi="Times New Roman" w:cs="Times New Roman"/>
          <w:szCs w:val="24"/>
          <w:lang w:val="pl-PL"/>
        </w:rPr>
        <w:t xml:space="preserve">, </w:t>
      </w:r>
      <w:r w:rsidR="000C6C5A">
        <w:rPr>
          <w:rFonts w:ascii="Times New Roman" w:hAnsi="Times New Roman" w:cs="Times New Roman"/>
          <w:szCs w:val="24"/>
          <w:lang w:val="pl-PL"/>
        </w:rPr>
        <w:t>po czym postanowiono</w:t>
      </w:r>
      <w:r w:rsidR="005B6547" w:rsidRPr="00246717">
        <w:rPr>
          <w:rFonts w:ascii="Times New Roman" w:hAnsi="Times New Roman" w:cs="Times New Roman"/>
          <w:szCs w:val="24"/>
          <w:lang w:val="pl-PL"/>
        </w:rPr>
        <w:t xml:space="preserve"> o jej zatrzymaniu. Ponadto skarżąca zeznała, że zagrożono jej poddaniem jej</w:t>
      </w:r>
      <w:r w:rsidR="008E2B50">
        <w:rPr>
          <w:rFonts w:ascii="Times New Roman" w:hAnsi="Times New Roman" w:cs="Times New Roman"/>
          <w:szCs w:val="24"/>
          <w:lang w:val="pl-PL"/>
        </w:rPr>
        <w:t xml:space="preserve"> niewłaściwemu</w:t>
      </w:r>
      <w:r w:rsidR="005B6547" w:rsidRPr="00246717">
        <w:rPr>
          <w:rFonts w:ascii="Times New Roman" w:hAnsi="Times New Roman" w:cs="Times New Roman"/>
          <w:szCs w:val="24"/>
          <w:lang w:val="pl-PL"/>
        </w:rPr>
        <w:t xml:space="preserve"> traktowaniu, jeśli nie podpisze protokołu ze swojego przesłuchania. W ciągu kolejnych dni była bita przez policjantów, którzy ją przesłuchiwali. Jednak nadal zaprzeczała</w:t>
      </w:r>
      <w:r w:rsidR="008E2B50">
        <w:rPr>
          <w:rFonts w:ascii="Times New Roman" w:hAnsi="Times New Roman" w:cs="Times New Roman"/>
          <w:szCs w:val="24"/>
          <w:lang w:val="pl-PL"/>
        </w:rPr>
        <w:t>, jakoby brała udział</w:t>
      </w:r>
      <w:r w:rsidR="005B6547" w:rsidRPr="00246717">
        <w:rPr>
          <w:rFonts w:ascii="Times New Roman" w:hAnsi="Times New Roman" w:cs="Times New Roman"/>
          <w:szCs w:val="24"/>
          <w:lang w:val="pl-PL"/>
        </w:rPr>
        <w:t xml:space="preserve"> w jakiejkolwiek działalności terrorystycznej.</w:t>
      </w:r>
    </w:p>
    <w:p w14:paraId="3B0AC66F" w14:textId="53D1CD11"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46</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Skarżąca stwierdziła, że pak</w:t>
      </w:r>
      <w:r w:rsidR="008E2B50">
        <w:rPr>
          <w:rFonts w:ascii="Times New Roman" w:hAnsi="Times New Roman" w:cs="Times New Roman"/>
          <w:szCs w:val="24"/>
          <w:lang w:val="pl-PL"/>
        </w:rPr>
        <w:t>unki</w:t>
      </w:r>
      <w:r w:rsidR="005B6547" w:rsidRPr="00246717">
        <w:rPr>
          <w:rFonts w:ascii="Times New Roman" w:hAnsi="Times New Roman" w:cs="Times New Roman"/>
          <w:szCs w:val="24"/>
          <w:lang w:val="pl-PL"/>
        </w:rPr>
        <w:t xml:space="preserve"> znalezione w jej torebce nie należały do niej, </w:t>
      </w:r>
      <w:r w:rsidR="008E2B50">
        <w:rPr>
          <w:rFonts w:ascii="Times New Roman" w:hAnsi="Times New Roman" w:cs="Times New Roman"/>
          <w:szCs w:val="24"/>
          <w:lang w:val="pl-PL"/>
        </w:rPr>
        <w:t>a</w:t>
      </w:r>
      <w:r w:rsidR="005B6547" w:rsidRPr="00246717">
        <w:rPr>
          <w:rFonts w:ascii="Times New Roman" w:hAnsi="Times New Roman" w:cs="Times New Roman"/>
          <w:szCs w:val="24"/>
          <w:lang w:val="pl-PL"/>
        </w:rPr>
        <w:t xml:space="preserve"> policja umieściła je w jej torebce i że </w:t>
      </w:r>
      <w:r w:rsidR="008E2B50">
        <w:rPr>
          <w:rFonts w:ascii="Times New Roman" w:hAnsi="Times New Roman" w:cs="Times New Roman"/>
          <w:szCs w:val="24"/>
          <w:lang w:val="pl-PL"/>
        </w:rPr>
        <w:t xml:space="preserve">nigdy </w:t>
      </w:r>
      <w:r w:rsidR="005B6547" w:rsidRPr="00246717">
        <w:rPr>
          <w:rFonts w:ascii="Times New Roman" w:hAnsi="Times New Roman" w:cs="Times New Roman"/>
          <w:szCs w:val="24"/>
          <w:lang w:val="pl-PL"/>
        </w:rPr>
        <w:t xml:space="preserve">nie podżegała V. ani Ku. do </w:t>
      </w:r>
      <w:r w:rsidR="00AC07C0">
        <w:rPr>
          <w:rFonts w:ascii="Times New Roman" w:hAnsi="Times New Roman" w:cs="Times New Roman"/>
          <w:szCs w:val="24"/>
          <w:lang w:val="pl-PL"/>
        </w:rPr>
        <w:t>popełnienia czynu o charakterze</w:t>
      </w:r>
      <w:r w:rsidR="005B6547" w:rsidRPr="00246717">
        <w:rPr>
          <w:rFonts w:ascii="Times New Roman" w:hAnsi="Times New Roman" w:cs="Times New Roman"/>
          <w:szCs w:val="24"/>
          <w:lang w:val="pl-PL"/>
        </w:rPr>
        <w:t xml:space="preserve"> </w:t>
      </w:r>
      <w:r w:rsidR="00AC07C0" w:rsidRPr="00246717">
        <w:rPr>
          <w:rFonts w:ascii="Times New Roman" w:hAnsi="Times New Roman" w:cs="Times New Roman"/>
          <w:szCs w:val="24"/>
          <w:lang w:val="pl-PL"/>
        </w:rPr>
        <w:t>terrorystyczn</w:t>
      </w:r>
      <w:r w:rsidR="00AC07C0">
        <w:rPr>
          <w:rFonts w:ascii="Times New Roman" w:hAnsi="Times New Roman" w:cs="Times New Roman"/>
          <w:szCs w:val="24"/>
          <w:lang w:val="pl-PL"/>
        </w:rPr>
        <w:t>ym</w:t>
      </w:r>
      <w:r w:rsidR="005B6547" w:rsidRPr="00246717">
        <w:rPr>
          <w:rFonts w:ascii="Times New Roman" w:hAnsi="Times New Roman" w:cs="Times New Roman"/>
          <w:szCs w:val="24"/>
          <w:lang w:val="pl-PL"/>
        </w:rPr>
        <w:t xml:space="preserve">. Kiedy prokurator zapytał, czy zauważyła, że </w:t>
      </w:r>
      <w:r w:rsidR="008E2B50">
        <w:rPr>
          <w:rFonts w:ascii="Times New Roman" w:hAnsi="Times New Roman" w:cs="Times New Roman"/>
          <w:szCs w:val="24"/>
          <w:lang w:val="pl-PL"/>
        </w:rPr>
        <w:t>stosunkowo</w:t>
      </w:r>
      <w:r w:rsidR="005B6547" w:rsidRPr="00246717">
        <w:rPr>
          <w:rFonts w:ascii="Times New Roman" w:hAnsi="Times New Roman" w:cs="Times New Roman"/>
          <w:szCs w:val="24"/>
          <w:lang w:val="pl-PL"/>
        </w:rPr>
        <w:t xml:space="preserve"> niewielka torebka stała się cięższa niż przed </w:t>
      </w:r>
      <w:r w:rsidR="008E2B50">
        <w:rPr>
          <w:rFonts w:ascii="Times New Roman" w:hAnsi="Times New Roman" w:cs="Times New Roman"/>
          <w:szCs w:val="24"/>
          <w:lang w:val="pl-PL"/>
        </w:rPr>
        <w:t xml:space="preserve">jej </w:t>
      </w:r>
      <w:r w:rsidR="005B6547" w:rsidRPr="00246717">
        <w:rPr>
          <w:rFonts w:ascii="Times New Roman" w:hAnsi="Times New Roman" w:cs="Times New Roman"/>
          <w:szCs w:val="24"/>
          <w:lang w:val="pl-PL"/>
        </w:rPr>
        <w:t xml:space="preserve">przeszukaniem, skarżąca stwierdziła, że </w:t>
      </w:r>
      <w:r w:rsidR="00AC07C0">
        <w:rPr>
          <w:rFonts w:ascii="Times New Roman" w:hAnsi="Times New Roman" w:cs="Times New Roman"/>
          <w:szCs w:val="24"/>
          <w:lang w:val="pl-PL"/>
        </w:rPr>
        <w:t>nic nie wzbudziło jej podejrzeń</w:t>
      </w:r>
      <w:r w:rsidR="005B6547" w:rsidRPr="00246717">
        <w:rPr>
          <w:rFonts w:ascii="Times New Roman" w:hAnsi="Times New Roman" w:cs="Times New Roman"/>
          <w:szCs w:val="24"/>
          <w:lang w:val="pl-PL"/>
        </w:rPr>
        <w:t>.</w:t>
      </w:r>
    </w:p>
    <w:p w14:paraId="276B5F60" w14:textId="5EB45B72"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47</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w:t>
      </w:r>
      <w:r w:rsidR="00AC07C0">
        <w:rPr>
          <w:rFonts w:ascii="Times New Roman" w:hAnsi="Times New Roman" w:cs="Times New Roman"/>
          <w:szCs w:val="24"/>
          <w:lang w:val="pl-PL"/>
        </w:rPr>
        <w:t>Wyjaśniła</w:t>
      </w:r>
      <w:r w:rsidR="00AC07C0"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ponadto, że </w:t>
      </w:r>
      <w:r w:rsidR="00AC07C0">
        <w:rPr>
          <w:rFonts w:ascii="Times New Roman" w:hAnsi="Times New Roman" w:cs="Times New Roman"/>
          <w:szCs w:val="24"/>
          <w:lang w:val="pl-PL"/>
        </w:rPr>
        <w:t xml:space="preserve">to ona zrobiła </w:t>
      </w:r>
      <w:r w:rsidR="005B6547" w:rsidRPr="00246717">
        <w:rPr>
          <w:rFonts w:ascii="Times New Roman" w:hAnsi="Times New Roman" w:cs="Times New Roman"/>
          <w:szCs w:val="24"/>
          <w:lang w:val="pl-PL"/>
        </w:rPr>
        <w:t>sześć zdjęć windy, które zajęt</w:t>
      </w:r>
      <w:r w:rsidR="008E2B50">
        <w:rPr>
          <w:rFonts w:ascii="Times New Roman" w:hAnsi="Times New Roman" w:cs="Times New Roman"/>
          <w:szCs w:val="24"/>
          <w:lang w:val="pl-PL"/>
        </w:rPr>
        <w:t>o</w:t>
      </w:r>
      <w:r w:rsidR="005B6547" w:rsidRPr="00246717">
        <w:rPr>
          <w:rFonts w:ascii="Times New Roman" w:hAnsi="Times New Roman" w:cs="Times New Roman"/>
          <w:szCs w:val="24"/>
          <w:lang w:val="pl-PL"/>
        </w:rPr>
        <w:t xml:space="preserve"> w jej mieszkaniu. Fotografowała jednak przypadkowych ludzi w centrum handlowym, nie windę, </w:t>
      </w:r>
      <w:r w:rsidR="008E2B50">
        <w:rPr>
          <w:rFonts w:ascii="Times New Roman" w:hAnsi="Times New Roman" w:cs="Times New Roman"/>
          <w:szCs w:val="24"/>
          <w:lang w:val="pl-PL"/>
        </w:rPr>
        <w:t>oraz</w:t>
      </w:r>
      <w:r w:rsidR="005B6547" w:rsidRPr="00246717">
        <w:rPr>
          <w:rFonts w:ascii="Times New Roman" w:hAnsi="Times New Roman" w:cs="Times New Roman"/>
          <w:szCs w:val="24"/>
          <w:lang w:val="pl-PL"/>
        </w:rPr>
        <w:t xml:space="preserve"> że wykonywała zdjęcia w celach rekreacyjnych.</w:t>
      </w:r>
    </w:p>
    <w:p w14:paraId="5D36B18D" w14:textId="4E8871CB"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48</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Skarżąca przyznała się do napisania notatki, którą zajęto w mieszkaniu, ale stwierdziła, że skopiowała jej treść z </w:t>
      </w:r>
      <w:r w:rsidR="000706A6" w:rsidRPr="00246717">
        <w:rPr>
          <w:rFonts w:ascii="Times New Roman" w:hAnsi="Times New Roman" w:cs="Times New Roman"/>
          <w:szCs w:val="24"/>
          <w:lang w:val="pl-PL"/>
        </w:rPr>
        <w:t>Internetu</w:t>
      </w:r>
      <w:r w:rsidR="005B6547" w:rsidRPr="00246717">
        <w:rPr>
          <w:rFonts w:ascii="Times New Roman" w:hAnsi="Times New Roman" w:cs="Times New Roman"/>
          <w:szCs w:val="24"/>
          <w:lang w:val="pl-PL"/>
        </w:rPr>
        <w:t xml:space="preserve">, ponieważ jej się </w:t>
      </w:r>
      <w:r w:rsidR="00F56A71">
        <w:rPr>
          <w:rFonts w:ascii="Times New Roman" w:hAnsi="Times New Roman" w:cs="Times New Roman"/>
          <w:szCs w:val="24"/>
          <w:lang w:val="pl-PL"/>
        </w:rPr>
        <w:t>s</w:t>
      </w:r>
      <w:r w:rsidR="005B6547" w:rsidRPr="00246717">
        <w:rPr>
          <w:rFonts w:ascii="Times New Roman" w:hAnsi="Times New Roman" w:cs="Times New Roman"/>
          <w:szCs w:val="24"/>
          <w:lang w:val="pl-PL"/>
        </w:rPr>
        <w:t xml:space="preserve">podobała i po prostu chciała mieć </w:t>
      </w:r>
      <w:r w:rsidR="000706A6">
        <w:rPr>
          <w:rFonts w:ascii="Times New Roman" w:hAnsi="Times New Roman" w:cs="Times New Roman"/>
          <w:szCs w:val="24"/>
          <w:lang w:val="pl-PL"/>
        </w:rPr>
        <w:t xml:space="preserve">jej </w:t>
      </w:r>
      <w:r w:rsidR="005B6547" w:rsidRPr="00246717">
        <w:rPr>
          <w:rFonts w:ascii="Times New Roman" w:hAnsi="Times New Roman" w:cs="Times New Roman"/>
          <w:szCs w:val="24"/>
          <w:lang w:val="pl-PL"/>
        </w:rPr>
        <w:t>kopię. P</w:t>
      </w:r>
      <w:r w:rsidR="000706A6">
        <w:rPr>
          <w:rFonts w:ascii="Times New Roman" w:hAnsi="Times New Roman" w:cs="Times New Roman"/>
          <w:szCs w:val="24"/>
          <w:lang w:val="pl-PL"/>
        </w:rPr>
        <w:t>ełnomocnik</w:t>
      </w:r>
      <w:r w:rsidR="005B6547" w:rsidRPr="00246717">
        <w:rPr>
          <w:rFonts w:ascii="Times New Roman" w:hAnsi="Times New Roman" w:cs="Times New Roman"/>
          <w:szCs w:val="24"/>
          <w:lang w:val="pl-PL"/>
        </w:rPr>
        <w:t xml:space="preserve"> skarżącej stwierdziła, że jej słowa zostały błędnie zinterpretowane i że nie było w nich nic, co </w:t>
      </w:r>
      <w:r w:rsidR="00F56A71">
        <w:rPr>
          <w:rFonts w:ascii="Times New Roman" w:hAnsi="Times New Roman" w:cs="Times New Roman"/>
          <w:szCs w:val="24"/>
          <w:lang w:val="pl-PL"/>
        </w:rPr>
        <w:t>świadczyłoby o</w:t>
      </w:r>
      <w:r w:rsidR="00F56A71" w:rsidRPr="00246717">
        <w:rPr>
          <w:rFonts w:ascii="Times New Roman" w:hAnsi="Times New Roman" w:cs="Times New Roman"/>
          <w:szCs w:val="24"/>
          <w:lang w:val="pl-PL"/>
        </w:rPr>
        <w:t xml:space="preserve"> związ</w:t>
      </w:r>
      <w:r w:rsidR="00F56A71">
        <w:rPr>
          <w:rFonts w:ascii="Times New Roman" w:hAnsi="Times New Roman" w:cs="Times New Roman"/>
          <w:szCs w:val="24"/>
          <w:lang w:val="pl-PL"/>
        </w:rPr>
        <w:t>ku</w:t>
      </w:r>
      <w:r w:rsidR="00F56A71"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z jakąkolwiek działalnością terrorystyczną. Stwierdziła, że rozgoryczenie skarżące</w:t>
      </w:r>
      <w:r w:rsidR="000706A6">
        <w:rPr>
          <w:rFonts w:ascii="Times New Roman" w:hAnsi="Times New Roman" w:cs="Times New Roman"/>
          <w:szCs w:val="24"/>
          <w:lang w:val="pl-PL"/>
        </w:rPr>
        <w:t>j</w:t>
      </w:r>
      <w:r w:rsidR="005B6547" w:rsidRPr="00246717">
        <w:rPr>
          <w:rFonts w:ascii="Times New Roman" w:hAnsi="Times New Roman" w:cs="Times New Roman"/>
          <w:szCs w:val="24"/>
          <w:lang w:val="pl-PL"/>
        </w:rPr>
        <w:t xml:space="preserve"> wobec sytuacji w Czeczenii było absolutnie naturalne dla kogoś, kto od dzieciństwa żył w strefie działań wojennych i że słowa skarżącej powinny zostać przeanalizowane z większą uwagą.</w:t>
      </w:r>
    </w:p>
    <w:p w14:paraId="16465999" w14:textId="1C6ABFBB"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49</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w:t>
      </w:r>
      <w:r w:rsidR="00F56A71">
        <w:rPr>
          <w:rFonts w:ascii="Times New Roman" w:hAnsi="Times New Roman" w:cs="Times New Roman"/>
          <w:szCs w:val="24"/>
          <w:lang w:val="pl-PL"/>
        </w:rPr>
        <w:t>Miejscami w</w:t>
      </w:r>
      <w:r w:rsidR="005B6547" w:rsidRPr="00246717">
        <w:rPr>
          <w:rFonts w:ascii="Times New Roman" w:hAnsi="Times New Roman" w:cs="Times New Roman"/>
          <w:szCs w:val="24"/>
          <w:lang w:val="pl-PL"/>
        </w:rPr>
        <w:t xml:space="preserve"> </w:t>
      </w:r>
      <w:r w:rsidR="00F56A71">
        <w:rPr>
          <w:rFonts w:ascii="Times New Roman" w:hAnsi="Times New Roman" w:cs="Times New Roman"/>
          <w:szCs w:val="24"/>
          <w:lang w:val="pl-PL"/>
        </w:rPr>
        <w:t>swoich wyjaśnieniach</w:t>
      </w:r>
      <w:r w:rsidR="00F56A71"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skarżąca przelotnie </w:t>
      </w:r>
      <w:r w:rsidR="00F56A71">
        <w:rPr>
          <w:rFonts w:ascii="Times New Roman" w:hAnsi="Times New Roman" w:cs="Times New Roman"/>
          <w:szCs w:val="24"/>
          <w:lang w:val="pl-PL"/>
        </w:rPr>
        <w:t xml:space="preserve">wspomniała </w:t>
      </w:r>
      <w:r w:rsidR="005B6547" w:rsidRPr="00246717">
        <w:rPr>
          <w:rFonts w:ascii="Times New Roman" w:hAnsi="Times New Roman" w:cs="Times New Roman"/>
          <w:szCs w:val="24"/>
          <w:lang w:val="pl-PL"/>
        </w:rPr>
        <w:t xml:space="preserve">o A. twierdząc, że nie łączyły ich osobiste relacje, że nieodpłatnie pomógł jej znaleźć zakwaterowanie, że telefonował do niej, podarował jej dwie książki autorstwa amerykańskiego historyka Paula </w:t>
      </w:r>
      <w:proofErr w:type="spellStart"/>
      <w:r w:rsidR="005B6547" w:rsidRPr="00246717">
        <w:rPr>
          <w:rFonts w:ascii="Times New Roman" w:hAnsi="Times New Roman" w:cs="Times New Roman"/>
          <w:szCs w:val="24"/>
          <w:lang w:val="pl-PL"/>
        </w:rPr>
        <w:t>Klebnikova</w:t>
      </w:r>
      <w:proofErr w:type="spellEnd"/>
      <w:r w:rsidR="005B6547" w:rsidRPr="00246717">
        <w:rPr>
          <w:rFonts w:ascii="Times New Roman" w:hAnsi="Times New Roman" w:cs="Times New Roman"/>
          <w:szCs w:val="24"/>
          <w:lang w:val="pl-PL"/>
        </w:rPr>
        <w:t xml:space="preserve"> oraz że powiedział </w:t>
      </w:r>
      <w:r w:rsidR="00F56A71">
        <w:rPr>
          <w:rFonts w:ascii="Times New Roman" w:hAnsi="Times New Roman" w:cs="Times New Roman"/>
          <w:szCs w:val="24"/>
          <w:lang w:val="pl-PL"/>
        </w:rPr>
        <w:t xml:space="preserve">jej, </w:t>
      </w:r>
      <w:r w:rsidR="00824D02">
        <w:rPr>
          <w:rFonts w:ascii="Times New Roman" w:hAnsi="Times New Roman" w:cs="Times New Roman"/>
          <w:szCs w:val="24"/>
          <w:lang w:val="pl-PL"/>
        </w:rPr>
        <w:t xml:space="preserve">by </w:t>
      </w:r>
      <w:r w:rsidR="005B6547" w:rsidRPr="00246717">
        <w:rPr>
          <w:rFonts w:ascii="Times New Roman" w:hAnsi="Times New Roman" w:cs="Times New Roman"/>
          <w:szCs w:val="24"/>
          <w:lang w:val="pl-PL"/>
        </w:rPr>
        <w:t>w momencie jej zatrzymania, stosowała się do poleceń policjantów.</w:t>
      </w:r>
    </w:p>
    <w:p w14:paraId="23E80139" w14:textId="464A21A7" w:rsidR="005B6547" w:rsidRPr="00246717" w:rsidRDefault="00F10FBB" w:rsidP="000957D3">
      <w:pPr>
        <w:pStyle w:val="ECHRHeading3"/>
        <w:rPr>
          <w:lang w:val="pl-PL"/>
        </w:rPr>
      </w:pPr>
      <w:bookmarkStart w:id="34" w:name="_Toc512401272"/>
      <w:bookmarkStart w:id="35" w:name="_Toc512345118"/>
      <w:bookmarkStart w:id="36" w:name="_Toc504470792"/>
      <w:r w:rsidRPr="00246717">
        <w:rPr>
          <w:bCs w:val="0"/>
          <w:iCs/>
          <w:lang w:val="pl-PL"/>
        </w:rPr>
        <w:lastRenderedPageBreak/>
        <w:t xml:space="preserve">3.  Wniosek o </w:t>
      </w:r>
      <w:r w:rsidR="00824D02">
        <w:rPr>
          <w:bCs w:val="0"/>
          <w:iCs/>
          <w:lang w:val="pl-PL"/>
        </w:rPr>
        <w:t>przeprowadzenie dowodu z</w:t>
      </w:r>
      <w:r w:rsidR="00824D02" w:rsidRPr="00246717">
        <w:rPr>
          <w:bCs w:val="0"/>
          <w:iCs/>
          <w:lang w:val="pl-PL"/>
        </w:rPr>
        <w:t xml:space="preserve"> </w:t>
      </w:r>
      <w:r w:rsidRPr="00246717">
        <w:rPr>
          <w:bCs w:val="0"/>
          <w:iCs/>
          <w:lang w:val="pl-PL"/>
        </w:rPr>
        <w:t>taśm wideo</w:t>
      </w:r>
      <w:bookmarkEnd w:id="34"/>
      <w:bookmarkEnd w:id="35"/>
      <w:bookmarkEnd w:id="36"/>
    </w:p>
    <w:bookmarkStart w:id="37" w:name="Request1"/>
    <w:p w14:paraId="1683BBDB" w14:textId="6B87104E"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50</w:t>
      </w:r>
      <w:r w:rsidRPr="00246717">
        <w:rPr>
          <w:rFonts w:ascii="Times New Roman" w:hAnsi="Times New Roman" w:cs="Times New Roman"/>
          <w:szCs w:val="24"/>
          <w:lang w:val="pl-PL"/>
        </w:rPr>
        <w:fldChar w:fldCharType="end"/>
      </w:r>
      <w:bookmarkEnd w:id="37"/>
      <w:r w:rsidR="005B6547" w:rsidRPr="00246717">
        <w:rPr>
          <w:rFonts w:ascii="Times New Roman" w:hAnsi="Times New Roman" w:cs="Times New Roman"/>
          <w:szCs w:val="24"/>
          <w:lang w:val="pl-PL"/>
        </w:rPr>
        <w:t xml:space="preserve">.  W dniu 13 stycznia 2005 r. w ostatnim dniu </w:t>
      </w:r>
      <w:r w:rsidR="00824D02">
        <w:rPr>
          <w:rFonts w:ascii="Times New Roman" w:hAnsi="Times New Roman" w:cs="Times New Roman"/>
          <w:szCs w:val="24"/>
          <w:lang w:val="pl-PL"/>
        </w:rPr>
        <w:t>przeprowadzania</w:t>
      </w:r>
      <w:r w:rsidR="00824D02"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dowodów przez sąd </w:t>
      </w:r>
      <w:r w:rsidR="00E721A7">
        <w:rPr>
          <w:rFonts w:ascii="Times New Roman" w:hAnsi="Times New Roman" w:cs="Times New Roman"/>
          <w:szCs w:val="24"/>
          <w:lang w:val="pl-PL"/>
        </w:rPr>
        <w:t>orzekający</w:t>
      </w:r>
      <w:r w:rsidR="005B6547" w:rsidRPr="00246717">
        <w:rPr>
          <w:rFonts w:ascii="Times New Roman" w:hAnsi="Times New Roman" w:cs="Times New Roman"/>
          <w:szCs w:val="24"/>
          <w:lang w:val="pl-PL"/>
        </w:rPr>
        <w:t xml:space="preserve">, </w:t>
      </w:r>
      <w:r w:rsidR="00824D02">
        <w:rPr>
          <w:rFonts w:ascii="Times New Roman" w:hAnsi="Times New Roman" w:cs="Times New Roman"/>
          <w:szCs w:val="24"/>
          <w:lang w:val="pl-PL"/>
        </w:rPr>
        <w:t>obrońca</w:t>
      </w:r>
      <w:r w:rsidR="00824D02"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skarżącej U. przedłożyła wniosek o odtworzenie taśm wideo </w:t>
      </w:r>
      <w:r w:rsidR="00824D02">
        <w:rPr>
          <w:rFonts w:ascii="Times New Roman" w:hAnsi="Times New Roman" w:cs="Times New Roman"/>
          <w:szCs w:val="24"/>
          <w:lang w:val="pl-PL"/>
        </w:rPr>
        <w:t>na</w:t>
      </w:r>
      <w:r w:rsidR="00824D02"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rozpraw</w:t>
      </w:r>
      <w:r w:rsidR="00824D02">
        <w:rPr>
          <w:rFonts w:ascii="Times New Roman" w:hAnsi="Times New Roman" w:cs="Times New Roman"/>
          <w:szCs w:val="24"/>
          <w:lang w:val="pl-PL"/>
        </w:rPr>
        <w:t>ie</w:t>
      </w:r>
      <w:r w:rsidR="005B6547" w:rsidRPr="00246717">
        <w:rPr>
          <w:rFonts w:ascii="Times New Roman" w:hAnsi="Times New Roman" w:cs="Times New Roman"/>
          <w:szCs w:val="24"/>
          <w:lang w:val="pl-PL"/>
        </w:rPr>
        <w:t>. Istotne części protokołu z rozprawy mają następujące brzmienie:</w:t>
      </w:r>
    </w:p>
    <w:p w14:paraId="56CA735C" w14:textId="74EF22AE"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lang w:val="pl-PL"/>
        </w:rPr>
        <w:t>„</w:t>
      </w:r>
      <w:r w:rsidR="000706A6">
        <w:rPr>
          <w:rFonts w:ascii="Times New Roman" w:hAnsi="Times New Roman" w:cs="Times New Roman"/>
          <w:b/>
          <w:bCs/>
          <w:lang w:val="pl-PL"/>
        </w:rPr>
        <w:t>Pełnomocnik</w:t>
      </w:r>
      <w:r w:rsidRPr="00246717">
        <w:rPr>
          <w:rFonts w:ascii="Times New Roman" w:hAnsi="Times New Roman" w:cs="Times New Roman"/>
          <w:b/>
          <w:bCs/>
          <w:lang w:val="pl-PL"/>
        </w:rPr>
        <w:t xml:space="preserve"> U.:</w:t>
      </w:r>
      <w:r w:rsidRPr="00246717">
        <w:rPr>
          <w:rFonts w:ascii="Times New Roman" w:hAnsi="Times New Roman" w:cs="Times New Roman"/>
          <w:lang w:val="pl-PL"/>
        </w:rPr>
        <w:t xml:space="preserve"> Wnoszę o rozpoczęcie odtwarzania taśmy wideo, ponieważ oskarżona twierdzi, że istnieją liczne rozbieżności pomiędzy nagraniem a transkrypcją. Wnoszę także o wezwanie tłumacza ustnego w celu przetłumaczenia dialektu i obejrzenia jednej taśmy wideo 5-489c.</w:t>
      </w:r>
    </w:p>
    <w:p w14:paraId="2FB8701B" w14:textId="3789753A"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 xml:space="preserve">Oskarżona i </w:t>
      </w:r>
      <w:r w:rsidR="000706A6">
        <w:rPr>
          <w:rFonts w:ascii="Times New Roman" w:hAnsi="Times New Roman" w:cs="Times New Roman"/>
          <w:b/>
          <w:bCs/>
          <w:lang w:val="pl-PL"/>
        </w:rPr>
        <w:t>pełnomocnicy</w:t>
      </w:r>
      <w:r w:rsidRPr="00246717">
        <w:rPr>
          <w:rFonts w:ascii="Times New Roman" w:hAnsi="Times New Roman" w:cs="Times New Roman"/>
          <w:b/>
          <w:bCs/>
          <w:lang w:val="pl-PL"/>
        </w:rPr>
        <w:t>:</w:t>
      </w:r>
      <w:r w:rsidRPr="00246717">
        <w:rPr>
          <w:rFonts w:ascii="Times New Roman" w:hAnsi="Times New Roman" w:cs="Times New Roman"/>
          <w:lang w:val="pl-PL"/>
        </w:rPr>
        <w:t xml:space="preserve"> </w:t>
      </w:r>
      <w:r w:rsidR="00824D02">
        <w:rPr>
          <w:rFonts w:ascii="Times New Roman" w:hAnsi="Times New Roman" w:cs="Times New Roman"/>
          <w:lang w:val="pl-PL"/>
        </w:rPr>
        <w:t>Nie wnosimy sprzeciwu</w:t>
      </w:r>
      <w:r w:rsidRPr="00246717">
        <w:rPr>
          <w:rFonts w:ascii="Times New Roman" w:hAnsi="Times New Roman" w:cs="Times New Roman"/>
          <w:lang w:val="pl-PL"/>
        </w:rPr>
        <w:t>.</w:t>
      </w:r>
    </w:p>
    <w:p w14:paraId="51B193EC" w14:textId="2F62F356"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Prokurator:</w:t>
      </w:r>
      <w:r w:rsidRPr="00246717">
        <w:rPr>
          <w:rFonts w:ascii="Times New Roman" w:hAnsi="Times New Roman" w:cs="Times New Roman"/>
          <w:lang w:val="pl-PL"/>
        </w:rPr>
        <w:t xml:space="preserve"> Nie sądzę, by tłumacz ustny był potrzebny, skoro są transkrypcje rozmów z taśm wideo. </w:t>
      </w:r>
      <w:r w:rsidR="000706A6">
        <w:rPr>
          <w:rFonts w:ascii="Times New Roman" w:hAnsi="Times New Roman" w:cs="Times New Roman"/>
          <w:lang w:val="pl-PL"/>
        </w:rPr>
        <w:t>Co do pozostałej części wniosku</w:t>
      </w:r>
      <w:r w:rsidRPr="00246717">
        <w:rPr>
          <w:rFonts w:ascii="Times New Roman" w:hAnsi="Times New Roman" w:cs="Times New Roman"/>
          <w:lang w:val="pl-PL"/>
        </w:rPr>
        <w:t>, wyrażam zgodę.</w:t>
      </w:r>
    </w:p>
    <w:p w14:paraId="2484B5F4" w14:textId="5E9D7E63"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lang w:val="pl-PL"/>
        </w:rPr>
        <w:t xml:space="preserve">Sąd postanowił uwzględnić wniosek obrony i obejrzeć taśmę wideo 5-489c, w odniesieniu do wezwania tłumacza </w:t>
      </w:r>
      <w:r w:rsidR="00824D02">
        <w:rPr>
          <w:rFonts w:ascii="Times New Roman" w:hAnsi="Times New Roman" w:cs="Times New Roman"/>
          <w:lang w:val="pl-PL"/>
        </w:rPr>
        <w:t xml:space="preserve">ustnego </w:t>
      </w:r>
      <w:r w:rsidRPr="00246717">
        <w:rPr>
          <w:rFonts w:ascii="Times New Roman" w:hAnsi="Times New Roman" w:cs="Times New Roman"/>
          <w:lang w:val="pl-PL"/>
        </w:rPr>
        <w:t>postanowił oddalić [wniosek].</w:t>
      </w:r>
    </w:p>
    <w:p w14:paraId="124516BA" w14:textId="77777777"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lang w:val="pl-PL"/>
        </w:rPr>
        <w:t>[Nagranie z taśmy wideo jest oglądane przez 30 minut]</w:t>
      </w:r>
    </w:p>
    <w:p w14:paraId="7F85A32D" w14:textId="5ADD23BE"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P</w:t>
      </w:r>
      <w:r w:rsidR="00220162">
        <w:rPr>
          <w:rFonts w:ascii="Times New Roman" w:hAnsi="Times New Roman" w:cs="Times New Roman"/>
          <w:b/>
          <w:bCs/>
          <w:lang w:val="pl-PL"/>
        </w:rPr>
        <w:t>ełnomocnik</w:t>
      </w:r>
      <w:r w:rsidRPr="00246717">
        <w:rPr>
          <w:rFonts w:ascii="Times New Roman" w:hAnsi="Times New Roman" w:cs="Times New Roman"/>
          <w:b/>
          <w:bCs/>
          <w:lang w:val="pl-PL"/>
        </w:rPr>
        <w:t xml:space="preserve"> U. zwracając się do oskarżonej:</w:t>
      </w:r>
      <w:r w:rsidRPr="00246717">
        <w:rPr>
          <w:rFonts w:ascii="Times New Roman" w:hAnsi="Times New Roman" w:cs="Times New Roman"/>
          <w:lang w:val="pl-PL"/>
        </w:rPr>
        <w:t xml:space="preserve"> Czy te rozmowy miały miejsce?</w:t>
      </w:r>
    </w:p>
    <w:p w14:paraId="44D1EBBC" w14:textId="77777777"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Oskarżona:</w:t>
      </w:r>
      <w:r w:rsidRPr="00246717">
        <w:rPr>
          <w:rFonts w:ascii="Times New Roman" w:hAnsi="Times New Roman" w:cs="Times New Roman"/>
          <w:lang w:val="pl-PL"/>
        </w:rPr>
        <w:t xml:space="preserve"> Nie widzę w nich nic nielegalnego”.</w:t>
      </w:r>
    </w:p>
    <w:p w14:paraId="444D64D6" w14:textId="77777777"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51</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Zgodnie z protokołem z rozprawy obrona nie przedłożyła żadnych wniosków ani skarg dotyczących jakości nagrania wideo ani sposobu odtworzenia taśmy.</w:t>
      </w:r>
    </w:p>
    <w:p w14:paraId="682241E7" w14:textId="021DE5BD" w:rsidR="005B6547" w:rsidRPr="00246717" w:rsidRDefault="00F10FBB" w:rsidP="000957D3">
      <w:pPr>
        <w:pStyle w:val="ECHRHeading3"/>
        <w:rPr>
          <w:lang w:val="pl-PL"/>
        </w:rPr>
      </w:pPr>
      <w:bookmarkStart w:id="38" w:name="_Toc512401273"/>
      <w:bookmarkStart w:id="39" w:name="_Toc512345119"/>
      <w:bookmarkStart w:id="40" w:name="_Toc504470793"/>
      <w:r w:rsidRPr="00246717">
        <w:rPr>
          <w:bCs w:val="0"/>
          <w:iCs/>
          <w:lang w:val="pl-PL"/>
        </w:rPr>
        <w:t xml:space="preserve">4.  Wnioski o przesłuchanie świadka A. i </w:t>
      </w:r>
      <w:r w:rsidR="008F6975">
        <w:rPr>
          <w:bCs w:val="0"/>
          <w:iCs/>
          <w:lang w:val="pl-PL"/>
        </w:rPr>
        <w:t>przybranych do czynności</w:t>
      </w:r>
      <w:r w:rsidR="008F6975" w:rsidRPr="00246717">
        <w:rPr>
          <w:bCs w:val="0"/>
          <w:iCs/>
          <w:lang w:val="pl-PL"/>
        </w:rPr>
        <w:t xml:space="preserve"> </w:t>
      </w:r>
      <w:r w:rsidRPr="00246717">
        <w:rPr>
          <w:bCs w:val="0"/>
          <w:iCs/>
          <w:lang w:val="pl-PL"/>
        </w:rPr>
        <w:t>świadków B. i K.</w:t>
      </w:r>
      <w:bookmarkEnd w:id="38"/>
      <w:bookmarkEnd w:id="39"/>
      <w:bookmarkEnd w:id="40"/>
    </w:p>
    <w:bookmarkStart w:id="41" w:name="MotionAttestingAndWitnessA"/>
    <w:bookmarkStart w:id="42" w:name="Request2"/>
    <w:p w14:paraId="054724CC" w14:textId="5BAE8DEF"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52</w:t>
      </w:r>
      <w:r w:rsidRPr="00246717">
        <w:rPr>
          <w:rFonts w:ascii="Times New Roman" w:hAnsi="Times New Roman" w:cs="Times New Roman"/>
          <w:szCs w:val="24"/>
          <w:lang w:val="pl-PL"/>
        </w:rPr>
        <w:fldChar w:fldCharType="end"/>
      </w:r>
      <w:bookmarkEnd w:id="41"/>
      <w:r w:rsidR="005B6547" w:rsidRPr="00246717">
        <w:rPr>
          <w:rFonts w:ascii="Times New Roman" w:hAnsi="Times New Roman" w:cs="Times New Roman"/>
          <w:szCs w:val="24"/>
          <w:lang w:val="pl-PL"/>
        </w:rPr>
        <w:t>.  Natychmiast po obejrzeniu taśmy wideo p</w:t>
      </w:r>
      <w:r w:rsidR="00DB0C71">
        <w:rPr>
          <w:rFonts w:ascii="Times New Roman" w:hAnsi="Times New Roman" w:cs="Times New Roman"/>
          <w:szCs w:val="24"/>
          <w:lang w:val="pl-PL"/>
        </w:rPr>
        <w:t>ełnomocnik</w:t>
      </w:r>
      <w:r w:rsidR="005B6547" w:rsidRPr="00246717">
        <w:rPr>
          <w:rFonts w:ascii="Times New Roman" w:hAnsi="Times New Roman" w:cs="Times New Roman"/>
          <w:szCs w:val="24"/>
          <w:lang w:val="pl-PL"/>
        </w:rPr>
        <w:t xml:space="preserve"> skarżącej S. przedłożyła wnioski ustne dotyczące wezwania </w:t>
      </w:r>
      <w:r w:rsidR="00E73699">
        <w:rPr>
          <w:rFonts w:ascii="Times New Roman" w:hAnsi="Times New Roman" w:cs="Times New Roman"/>
          <w:szCs w:val="24"/>
          <w:lang w:val="pl-PL"/>
        </w:rPr>
        <w:t>przybranych</w:t>
      </w:r>
      <w:r w:rsidR="00E73699"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świadków B. i K. oraz funkcjonariusza policji A. Istotna część protokołów z rozprawy ma następujące brzmienie:</w:t>
      </w:r>
    </w:p>
    <w:p w14:paraId="155B4C7A" w14:textId="5287FC50"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lang w:val="pl-PL"/>
        </w:rPr>
        <w:t>„</w:t>
      </w:r>
      <w:r w:rsidRPr="00246717">
        <w:rPr>
          <w:rFonts w:ascii="Times New Roman" w:hAnsi="Times New Roman" w:cs="Times New Roman"/>
          <w:b/>
          <w:bCs/>
          <w:lang w:val="pl-PL"/>
        </w:rPr>
        <w:t>P</w:t>
      </w:r>
      <w:r w:rsidR="00DB0C71">
        <w:rPr>
          <w:rFonts w:ascii="Times New Roman" w:hAnsi="Times New Roman" w:cs="Times New Roman"/>
          <w:b/>
          <w:bCs/>
          <w:lang w:val="pl-PL"/>
        </w:rPr>
        <w:t>ełnomocnik</w:t>
      </w:r>
      <w:r w:rsidRPr="00246717">
        <w:rPr>
          <w:rFonts w:ascii="Times New Roman" w:hAnsi="Times New Roman" w:cs="Times New Roman"/>
          <w:b/>
          <w:bCs/>
          <w:lang w:val="pl-PL"/>
        </w:rPr>
        <w:t xml:space="preserve"> S.:</w:t>
      </w:r>
      <w:r w:rsidRPr="00246717">
        <w:rPr>
          <w:rFonts w:ascii="Times New Roman" w:hAnsi="Times New Roman" w:cs="Times New Roman"/>
          <w:lang w:val="pl-PL"/>
        </w:rPr>
        <w:t xml:space="preserve"> Wnoszę o wezwanie </w:t>
      </w:r>
      <w:r w:rsidR="00E73699">
        <w:rPr>
          <w:rFonts w:ascii="Times New Roman" w:hAnsi="Times New Roman" w:cs="Times New Roman"/>
          <w:lang w:val="pl-PL"/>
        </w:rPr>
        <w:t>przybranych</w:t>
      </w:r>
      <w:r w:rsidR="00E73699" w:rsidRPr="00246717">
        <w:rPr>
          <w:rFonts w:ascii="Times New Roman" w:hAnsi="Times New Roman" w:cs="Times New Roman"/>
          <w:lang w:val="pl-PL"/>
        </w:rPr>
        <w:t xml:space="preserve"> </w:t>
      </w:r>
      <w:r w:rsidRPr="00246717">
        <w:rPr>
          <w:rFonts w:ascii="Times New Roman" w:hAnsi="Times New Roman" w:cs="Times New Roman"/>
          <w:lang w:val="pl-PL"/>
        </w:rPr>
        <w:t>świadków, którzy byli obecni podczas prze</w:t>
      </w:r>
      <w:r w:rsidR="00DB0C71">
        <w:rPr>
          <w:rFonts w:ascii="Times New Roman" w:hAnsi="Times New Roman" w:cs="Times New Roman"/>
          <w:lang w:val="pl-PL"/>
        </w:rPr>
        <w:t>prowadzania kontroli osobistej</w:t>
      </w:r>
      <w:r w:rsidRPr="00246717">
        <w:rPr>
          <w:rFonts w:ascii="Times New Roman" w:hAnsi="Times New Roman" w:cs="Times New Roman"/>
          <w:lang w:val="pl-PL"/>
        </w:rPr>
        <w:t xml:space="preserve"> </w:t>
      </w:r>
      <w:proofErr w:type="spellStart"/>
      <w:r w:rsidRPr="00246717">
        <w:rPr>
          <w:rFonts w:ascii="Times New Roman" w:hAnsi="Times New Roman" w:cs="Times New Roman"/>
          <w:lang w:val="pl-PL"/>
        </w:rPr>
        <w:t>Murtazaliyevy</w:t>
      </w:r>
      <w:proofErr w:type="spellEnd"/>
      <w:r w:rsidRPr="00246717">
        <w:rPr>
          <w:rFonts w:ascii="Times New Roman" w:hAnsi="Times New Roman" w:cs="Times New Roman"/>
          <w:lang w:val="pl-PL"/>
        </w:rPr>
        <w:t>, czyli B. i K., w celu ustalenia istotnych okoliczności [oraz] tego, czy plastyczne materiały wybuchowe zostały podrzucone.</w:t>
      </w:r>
    </w:p>
    <w:p w14:paraId="6A9197CB" w14:textId="7D3117A7"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P</w:t>
      </w:r>
      <w:r w:rsidR="00DB0C71">
        <w:rPr>
          <w:rFonts w:ascii="Times New Roman" w:hAnsi="Times New Roman" w:cs="Times New Roman"/>
          <w:b/>
          <w:bCs/>
          <w:lang w:val="pl-PL"/>
        </w:rPr>
        <w:t>ełnomocnik</w:t>
      </w:r>
      <w:r w:rsidRPr="00246717">
        <w:rPr>
          <w:rFonts w:ascii="Times New Roman" w:hAnsi="Times New Roman" w:cs="Times New Roman"/>
          <w:b/>
          <w:bCs/>
          <w:lang w:val="pl-PL"/>
        </w:rPr>
        <w:t xml:space="preserve"> U.:</w:t>
      </w:r>
      <w:r w:rsidRPr="00246717">
        <w:rPr>
          <w:rFonts w:ascii="Times New Roman" w:hAnsi="Times New Roman" w:cs="Times New Roman"/>
          <w:lang w:val="pl-PL"/>
        </w:rPr>
        <w:t xml:space="preserve"> Popieram [wniosek].</w:t>
      </w:r>
    </w:p>
    <w:p w14:paraId="6E793EC7" w14:textId="76E290A1"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Oskarżona:</w:t>
      </w:r>
      <w:r w:rsidRPr="00246717">
        <w:rPr>
          <w:rFonts w:ascii="Times New Roman" w:hAnsi="Times New Roman" w:cs="Times New Roman"/>
          <w:lang w:val="pl-PL"/>
        </w:rPr>
        <w:t xml:space="preserve"> Nie kwestionuję, że plastyczne materiały wybuchowe zostały </w:t>
      </w:r>
      <w:r w:rsidR="00DB0C71">
        <w:rPr>
          <w:rFonts w:ascii="Times New Roman" w:hAnsi="Times New Roman" w:cs="Times New Roman"/>
          <w:lang w:val="pl-PL"/>
        </w:rPr>
        <w:t>za</w:t>
      </w:r>
      <w:r w:rsidRPr="00246717">
        <w:rPr>
          <w:rFonts w:ascii="Times New Roman" w:hAnsi="Times New Roman" w:cs="Times New Roman"/>
          <w:lang w:val="pl-PL"/>
        </w:rPr>
        <w:t xml:space="preserve">jęte w obecności tych </w:t>
      </w:r>
      <w:r w:rsidR="00E73699">
        <w:rPr>
          <w:rFonts w:ascii="Times New Roman" w:hAnsi="Times New Roman" w:cs="Times New Roman"/>
          <w:lang w:val="pl-PL"/>
        </w:rPr>
        <w:t>przybranych</w:t>
      </w:r>
      <w:r w:rsidR="00E73699" w:rsidRPr="00246717">
        <w:rPr>
          <w:rFonts w:ascii="Times New Roman" w:hAnsi="Times New Roman" w:cs="Times New Roman"/>
          <w:lang w:val="pl-PL"/>
        </w:rPr>
        <w:t xml:space="preserve"> </w:t>
      </w:r>
      <w:r w:rsidRPr="00246717">
        <w:rPr>
          <w:rFonts w:ascii="Times New Roman" w:hAnsi="Times New Roman" w:cs="Times New Roman"/>
          <w:lang w:val="pl-PL"/>
        </w:rPr>
        <w:t>świadków, ale podtrzymuję, że zostały podłożone przez funkcjonariuszy policji przed przeszukaniem. Nie nalegam</w:t>
      </w:r>
      <w:r w:rsidR="00E73699">
        <w:rPr>
          <w:rFonts w:ascii="Times New Roman" w:hAnsi="Times New Roman" w:cs="Times New Roman"/>
          <w:lang w:val="pl-PL"/>
        </w:rPr>
        <w:t xml:space="preserve"> na wezwanie</w:t>
      </w:r>
      <w:r w:rsidRPr="00246717">
        <w:rPr>
          <w:rFonts w:ascii="Times New Roman" w:hAnsi="Times New Roman" w:cs="Times New Roman"/>
          <w:lang w:val="pl-PL"/>
        </w:rPr>
        <w:t xml:space="preserve"> </w:t>
      </w:r>
      <w:r w:rsidR="00E73699">
        <w:rPr>
          <w:rFonts w:ascii="Times New Roman" w:hAnsi="Times New Roman" w:cs="Times New Roman"/>
          <w:lang w:val="pl-PL"/>
        </w:rPr>
        <w:t xml:space="preserve">przybranych </w:t>
      </w:r>
      <w:r w:rsidR="00E73699" w:rsidRPr="00246717">
        <w:rPr>
          <w:rFonts w:ascii="Times New Roman" w:hAnsi="Times New Roman" w:cs="Times New Roman"/>
          <w:lang w:val="pl-PL"/>
        </w:rPr>
        <w:t>świadk</w:t>
      </w:r>
      <w:r w:rsidR="00E73699">
        <w:rPr>
          <w:rFonts w:ascii="Times New Roman" w:hAnsi="Times New Roman" w:cs="Times New Roman"/>
          <w:lang w:val="pl-PL"/>
        </w:rPr>
        <w:t>ów</w:t>
      </w:r>
      <w:r w:rsidRPr="00246717">
        <w:rPr>
          <w:rFonts w:ascii="Times New Roman" w:hAnsi="Times New Roman" w:cs="Times New Roman"/>
          <w:lang w:val="pl-PL"/>
        </w:rPr>
        <w:t>, ale jeśli [</w:t>
      </w:r>
      <w:r w:rsidR="00DB0C71">
        <w:rPr>
          <w:rFonts w:ascii="Times New Roman" w:hAnsi="Times New Roman" w:cs="Times New Roman"/>
          <w:lang w:val="pl-PL"/>
        </w:rPr>
        <w:t>pełnomocnicy</w:t>
      </w:r>
      <w:r w:rsidRPr="00246717">
        <w:rPr>
          <w:rFonts w:ascii="Times New Roman" w:hAnsi="Times New Roman" w:cs="Times New Roman"/>
          <w:lang w:val="pl-PL"/>
        </w:rPr>
        <w:t>] uznają to za konieczne, wówczas zgodzę się z nimi.</w:t>
      </w:r>
    </w:p>
    <w:p w14:paraId="3C6A580C" w14:textId="6CD35AE2"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Prokurator:</w:t>
      </w:r>
      <w:r w:rsidRPr="00246717">
        <w:rPr>
          <w:rFonts w:ascii="Times New Roman" w:hAnsi="Times New Roman" w:cs="Times New Roman"/>
          <w:lang w:val="pl-PL"/>
        </w:rPr>
        <w:t xml:space="preserve"> </w:t>
      </w:r>
      <w:r w:rsidR="00E24E6F">
        <w:rPr>
          <w:rFonts w:ascii="Times New Roman" w:hAnsi="Times New Roman" w:cs="Times New Roman"/>
          <w:lang w:val="pl-PL"/>
        </w:rPr>
        <w:t>Wnoszę sprzeciw</w:t>
      </w:r>
      <w:r w:rsidRPr="00246717">
        <w:rPr>
          <w:rFonts w:ascii="Times New Roman" w:hAnsi="Times New Roman" w:cs="Times New Roman"/>
          <w:lang w:val="pl-PL"/>
        </w:rPr>
        <w:t>, ponieważ oskarżona była przesłuchiwana i zeznała, że protokół [z przeszukania] został sporządzony bez naruszenia prawa [...]</w:t>
      </w:r>
    </w:p>
    <w:p w14:paraId="56C092A9" w14:textId="03528D9C"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lang w:val="pl-PL"/>
        </w:rPr>
        <w:t xml:space="preserve">Sąd postanowił, że wniosek o wezwanie </w:t>
      </w:r>
      <w:r w:rsidR="00E24E6F">
        <w:rPr>
          <w:rFonts w:ascii="Times New Roman" w:hAnsi="Times New Roman" w:cs="Times New Roman"/>
          <w:lang w:val="pl-PL"/>
        </w:rPr>
        <w:t>przybranych</w:t>
      </w:r>
      <w:r w:rsidR="00E24E6F" w:rsidRPr="00246717">
        <w:rPr>
          <w:rFonts w:ascii="Times New Roman" w:hAnsi="Times New Roman" w:cs="Times New Roman"/>
          <w:lang w:val="pl-PL"/>
        </w:rPr>
        <w:t xml:space="preserve"> </w:t>
      </w:r>
      <w:r w:rsidRPr="00246717">
        <w:rPr>
          <w:rFonts w:ascii="Times New Roman" w:hAnsi="Times New Roman" w:cs="Times New Roman"/>
          <w:lang w:val="pl-PL"/>
        </w:rPr>
        <w:t>świadków nie zostanie uwzględniony.</w:t>
      </w:r>
    </w:p>
    <w:p w14:paraId="34C7301E" w14:textId="1B8A355B"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P</w:t>
      </w:r>
      <w:r w:rsidR="006F2751">
        <w:rPr>
          <w:rFonts w:ascii="Times New Roman" w:hAnsi="Times New Roman" w:cs="Times New Roman"/>
          <w:b/>
          <w:bCs/>
          <w:lang w:val="pl-PL"/>
        </w:rPr>
        <w:t>ełnomocnik</w:t>
      </w:r>
      <w:r w:rsidRPr="00246717">
        <w:rPr>
          <w:rFonts w:ascii="Times New Roman" w:hAnsi="Times New Roman" w:cs="Times New Roman"/>
          <w:b/>
          <w:bCs/>
          <w:lang w:val="pl-PL"/>
        </w:rPr>
        <w:t xml:space="preserve"> S.:</w:t>
      </w:r>
      <w:r w:rsidRPr="00246717">
        <w:rPr>
          <w:rFonts w:ascii="Times New Roman" w:hAnsi="Times New Roman" w:cs="Times New Roman"/>
          <w:lang w:val="pl-PL"/>
        </w:rPr>
        <w:t xml:space="preserve"> Wnoszę o wezwanie na świadka A.</w:t>
      </w:r>
    </w:p>
    <w:p w14:paraId="588DB6C1" w14:textId="77777777"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lang w:val="pl-PL"/>
        </w:rPr>
        <w:lastRenderedPageBreak/>
        <w:t>[Sędzia przewodnicząca informuje strony, że świadek A. jest na związanej z pracą misji poza Moskwą i nie może stawić się przed sądem]</w:t>
      </w:r>
    </w:p>
    <w:p w14:paraId="4FA8EB5F" w14:textId="77777777"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Prokurator:</w:t>
      </w:r>
      <w:r w:rsidRPr="00246717">
        <w:rPr>
          <w:rFonts w:ascii="Times New Roman" w:hAnsi="Times New Roman" w:cs="Times New Roman"/>
          <w:lang w:val="pl-PL"/>
        </w:rPr>
        <w:t xml:space="preserve"> Wnoszę o odczytanie zeznań złożonych przez świadka A. podczas przesłuchania wstępnego.</w:t>
      </w:r>
    </w:p>
    <w:p w14:paraId="1E5A6C83" w14:textId="202DA6AC" w:rsidR="005B6547" w:rsidRPr="00246717" w:rsidRDefault="00CC0C17" w:rsidP="000957D3">
      <w:pPr>
        <w:pStyle w:val="ECHRParaQuote"/>
        <w:rPr>
          <w:rFonts w:ascii="Times New Roman" w:hAnsi="Times New Roman" w:cs="Times New Roman"/>
          <w:lang w:val="pl-PL"/>
        </w:rPr>
      </w:pPr>
      <w:r w:rsidRPr="00246717">
        <w:rPr>
          <w:rFonts w:ascii="Times New Roman" w:hAnsi="Times New Roman" w:cs="Times New Roman"/>
          <w:b/>
          <w:bCs/>
          <w:lang w:val="pl-PL"/>
        </w:rPr>
        <w:t>P</w:t>
      </w:r>
      <w:r>
        <w:rPr>
          <w:rFonts w:ascii="Times New Roman" w:hAnsi="Times New Roman" w:cs="Times New Roman"/>
          <w:b/>
          <w:bCs/>
          <w:lang w:val="pl-PL"/>
        </w:rPr>
        <w:t>ełnomocnik</w:t>
      </w:r>
      <w:r w:rsidR="005B6547" w:rsidRPr="00246717">
        <w:rPr>
          <w:rFonts w:ascii="Times New Roman" w:hAnsi="Times New Roman" w:cs="Times New Roman"/>
          <w:b/>
          <w:bCs/>
          <w:lang w:val="pl-PL"/>
        </w:rPr>
        <w:t xml:space="preserve"> U.:</w:t>
      </w:r>
      <w:r w:rsidR="005B6547" w:rsidRPr="00246717">
        <w:rPr>
          <w:rFonts w:ascii="Times New Roman" w:hAnsi="Times New Roman" w:cs="Times New Roman"/>
          <w:lang w:val="pl-PL"/>
        </w:rPr>
        <w:t xml:space="preserve"> Nie sprzeciwiam się odczytaniu zeznań A.</w:t>
      </w:r>
    </w:p>
    <w:p w14:paraId="0E019EA2" w14:textId="125FDA52"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P</w:t>
      </w:r>
      <w:r w:rsidR="00CC0C17">
        <w:rPr>
          <w:rFonts w:ascii="Times New Roman" w:hAnsi="Times New Roman" w:cs="Times New Roman"/>
          <w:b/>
          <w:bCs/>
          <w:lang w:val="pl-PL"/>
        </w:rPr>
        <w:t>ełnomocni</w:t>
      </w:r>
      <w:r w:rsidRPr="00246717">
        <w:rPr>
          <w:rFonts w:ascii="Times New Roman" w:hAnsi="Times New Roman" w:cs="Times New Roman"/>
          <w:b/>
          <w:bCs/>
          <w:lang w:val="pl-PL"/>
        </w:rPr>
        <w:t>k S.:</w:t>
      </w:r>
      <w:r w:rsidRPr="00246717">
        <w:rPr>
          <w:rFonts w:ascii="Times New Roman" w:hAnsi="Times New Roman" w:cs="Times New Roman"/>
          <w:lang w:val="pl-PL"/>
        </w:rPr>
        <w:t xml:space="preserve"> Zgadzam się na odczytanie jego zeznań.</w:t>
      </w:r>
    </w:p>
    <w:p w14:paraId="6F2F5370" w14:textId="110F56BE"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Oskarżona:</w:t>
      </w:r>
      <w:r w:rsidRPr="00246717">
        <w:rPr>
          <w:rFonts w:ascii="Times New Roman" w:hAnsi="Times New Roman" w:cs="Times New Roman"/>
          <w:lang w:val="pl-PL"/>
        </w:rPr>
        <w:t xml:space="preserve"> </w:t>
      </w:r>
      <w:r w:rsidR="00E24E6F">
        <w:rPr>
          <w:rFonts w:ascii="Times New Roman" w:hAnsi="Times New Roman" w:cs="Times New Roman"/>
          <w:lang w:val="pl-PL"/>
        </w:rPr>
        <w:t>Nie wnoszę sprzeciwu</w:t>
      </w:r>
      <w:r w:rsidRPr="00246717">
        <w:rPr>
          <w:rFonts w:ascii="Times New Roman" w:hAnsi="Times New Roman" w:cs="Times New Roman"/>
          <w:lang w:val="pl-PL"/>
        </w:rPr>
        <w:t>.</w:t>
      </w:r>
    </w:p>
    <w:p w14:paraId="05A0DE6F" w14:textId="77777777"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lang w:val="pl-PL"/>
        </w:rPr>
        <w:t>Sąd postanowił, na gruncie art. 281 Kodeksu postępowania karnego i za zgodą stron, o odczytaniu zeznań świadka A. złożonych podczas przesłuchania wstępnego.</w:t>
      </w:r>
    </w:p>
    <w:p w14:paraId="07820DC9" w14:textId="77777777"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lang w:val="pl-PL"/>
        </w:rPr>
        <w:t>[Protokół z przesłuchania świadka A. zostaje odczytany]</w:t>
      </w:r>
    </w:p>
    <w:p w14:paraId="23579A1C" w14:textId="77777777" w:rsidR="005B6547" w:rsidRPr="00246717" w:rsidRDefault="005B6547" w:rsidP="000957D3">
      <w:pPr>
        <w:pStyle w:val="ECHRParaQuote"/>
        <w:rPr>
          <w:rFonts w:ascii="Times New Roman" w:hAnsi="Times New Roman" w:cs="Times New Roman"/>
          <w:lang w:val="pl-PL"/>
        </w:rPr>
      </w:pPr>
      <w:r w:rsidRPr="00246717">
        <w:rPr>
          <w:rFonts w:ascii="Times New Roman" w:hAnsi="Times New Roman" w:cs="Times New Roman"/>
          <w:b/>
          <w:bCs/>
          <w:lang w:val="pl-PL"/>
        </w:rPr>
        <w:t>Prokurator zwraca się do oskarżonej:</w:t>
      </w:r>
      <w:r w:rsidRPr="00246717">
        <w:rPr>
          <w:rFonts w:ascii="Times New Roman" w:hAnsi="Times New Roman" w:cs="Times New Roman"/>
          <w:lang w:val="pl-PL"/>
        </w:rPr>
        <w:t xml:space="preserve"> Czy zgadza się Pani z odczytanymi zeznaniami świadka A.?</w:t>
      </w:r>
    </w:p>
    <w:p w14:paraId="72BFDF96" w14:textId="02473A5C" w:rsidR="005B6547" w:rsidRPr="00246717" w:rsidRDefault="005B6547" w:rsidP="000957D3">
      <w:pPr>
        <w:pStyle w:val="ECHRParaQuote"/>
        <w:rPr>
          <w:lang w:val="pl-PL"/>
        </w:rPr>
      </w:pPr>
      <w:r w:rsidRPr="00246717">
        <w:rPr>
          <w:rFonts w:ascii="Times New Roman" w:hAnsi="Times New Roman" w:cs="Times New Roman"/>
          <w:b/>
          <w:bCs/>
          <w:lang w:val="pl-PL"/>
        </w:rPr>
        <w:t>Oskarżona:</w:t>
      </w:r>
      <w:r w:rsidRPr="00246717">
        <w:rPr>
          <w:rFonts w:ascii="Times New Roman" w:hAnsi="Times New Roman" w:cs="Times New Roman"/>
          <w:lang w:val="pl-PL"/>
        </w:rPr>
        <w:t xml:space="preserve"> Zgadzam się z zeznaniami </w:t>
      </w:r>
      <w:r w:rsidR="00CC0C17">
        <w:rPr>
          <w:rFonts w:ascii="Times New Roman" w:hAnsi="Times New Roman" w:cs="Times New Roman"/>
          <w:lang w:val="pl-PL"/>
        </w:rPr>
        <w:t>w</w:t>
      </w:r>
      <w:r w:rsidRPr="00246717">
        <w:rPr>
          <w:rFonts w:ascii="Times New Roman" w:hAnsi="Times New Roman" w:cs="Times New Roman"/>
          <w:lang w:val="pl-PL"/>
        </w:rPr>
        <w:t xml:space="preserve"> części, ale nie zgadzam się, że beze mnie nie miał kontaktu z dziewczętami i że utrzymywaliśmy jedynie kontakt telefoniczny”.</w:t>
      </w:r>
    </w:p>
    <w:p w14:paraId="45F17F45" w14:textId="0D4734E7" w:rsidR="005B6547" w:rsidRPr="00246717" w:rsidRDefault="00F10FBB" w:rsidP="000957D3">
      <w:pPr>
        <w:pStyle w:val="ECHRHeading3"/>
        <w:rPr>
          <w:lang w:val="pl-PL"/>
        </w:rPr>
      </w:pPr>
      <w:bookmarkStart w:id="43" w:name="_Toc512401274"/>
      <w:bookmarkStart w:id="44" w:name="_Toc512345120"/>
      <w:bookmarkStart w:id="45" w:name="_Toc504470794"/>
      <w:bookmarkEnd w:id="42"/>
      <w:r w:rsidRPr="00246717">
        <w:rPr>
          <w:bCs w:val="0"/>
          <w:iCs/>
          <w:lang w:val="pl-PL"/>
        </w:rPr>
        <w:t xml:space="preserve">5.  Zakończenie </w:t>
      </w:r>
      <w:bookmarkEnd w:id="43"/>
      <w:bookmarkEnd w:id="44"/>
      <w:bookmarkEnd w:id="45"/>
      <w:r w:rsidR="0083215D">
        <w:rPr>
          <w:bCs w:val="0"/>
          <w:iCs/>
          <w:lang w:val="pl-PL"/>
        </w:rPr>
        <w:t>postępowania dowodowego</w:t>
      </w:r>
    </w:p>
    <w:p w14:paraId="5CAC449E" w14:textId="6B050A2F"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53</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Bezpośrednio potem obrona przystąpiła do przedłożenia dowodów w postaci </w:t>
      </w:r>
      <w:r w:rsidR="00E93F28">
        <w:rPr>
          <w:rFonts w:ascii="Times New Roman" w:hAnsi="Times New Roman" w:cs="Times New Roman"/>
          <w:szCs w:val="24"/>
          <w:lang w:val="pl-PL"/>
        </w:rPr>
        <w:t>danych</w:t>
      </w:r>
      <w:r w:rsidR="00623D84">
        <w:rPr>
          <w:rFonts w:ascii="Times New Roman" w:hAnsi="Times New Roman" w:cs="Times New Roman"/>
          <w:szCs w:val="24"/>
          <w:lang w:val="pl-PL"/>
        </w:rPr>
        <w:t xml:space="preserve"> </w:t>
      </w:r>
      <w:proofErr w:type="spellStart"/>
      <w:r w:rsidR="00623D84">
        <w:rPr>
          <w:rFonts w:ascii="Times New Roman" w:hAnsi="Times New Roman" w:cs="Times New Roman"/>
          <w:szCs w:val="24"/>
          <w:lang w:val="pl-PL"/>
        </w:rPr>
        <w:t>osobopoznawczych</w:t>
      </w:r>
      <w:proofErr w:type="spellEnd"/>
      <w:r w:rsidR="005B6547" w:rsidRPr="00246717">
        <w:rPr>
          <w:rFonts w:ascii="Times New Roman" w:hAnsi="Times New Roman" w:cs="Times New Roman"/>
          <w:szCs w:val="24"/>
          <w:lang w:val="pl-PL"/>
        </w:rPr>
        <w:t xml:space="preserve"> oskarżonej i złożyła </w:t>
      </w:r>
      <w:r w:rsidR="00623D84" w:rsidRPr="00246717">
        <w:rPr>
          <w:rFonts w:ascii="Times New Roman" w:hAnsi="Times New Roman" w:cs="Times New Roman"/>
          <w:szCs w:val="24"/>
          <w:lang w:val="pl-PL"/>
        </w:rPr>
        <w:t>wnios</w:t>
      </w:r>
      <w:r w:rsidR="00623D84">
        <w:rPr>
          <w:rFonts w:ascii="Times New Roman" w:hAnsi="Times New Roman" w:cs="Times New Roman"/>
          <w:szCs w:val="24"/>
          <w:lang w:val="pl-PL"/>
        </w:rPr>
        <w:t>ki</w:t>
      </w:r>
      <w:r w:rsidR="00623D8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o </w:t>
      </w:r>
      <w:r w:rsidR="00623D84">
        <w:rPr>
          <w:rFonts w:ascii="Times New Roman" w:hAnsi="Times New Roman" w:cs="Times New Roman"/>
          <w:szCs w:val="24"/>
          <w:lang w:val="pl-PL"/>
        </w:rPr>
        <w:t>ujawnienie</w:t>
      </w:r>
      <w:r w:rsidR="00623D8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rejestrów połączeń telefonicznych skarżącej i o przeprowadzenie sądowego psychiatrycznego badania świadków V. i Ku; obydwa wnioski zostały przez sąd oddalone. Następnie obrona zakończyła przedstawianie dowodów.</w:t>
      </w:r>
    </w:p>
    <w:p w14:paraId="57D15756" w14:textId="15B9615F"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54</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Sędzia przewodnicząca zapytała strony, czy chcą </w:t>
      </w:r>
      <w:r w:rsidR="00623D84">
        <w:rPr>
          <w:rFonts w:ascii="Times New Roman" w:hAnsi="Times New Roman" w:cs="Times New Roman"/>
          <w:szCs w:val="24"/>
          <w:lang w:val="pl-PL"/>
        </w:rPr>
        <w:t>uzupełnić postępowanie dowodowe</w:t>
      </w:r>
      <w:r w:rsidR="005B6547" w:rsidRPr="00246717">
        <w:rPr>
          <w:rFonts w:ascii="Times New Roman" w:hAnsi="Times New Roman" w:cs="Times New Roman"/>
          <w:szCs w:val="24"/>
          <w:lang w:val="pl-PL"/>
        </w:rPr>
        <w:t xml:space="preserve">. Korzystając z tej </w:t>
      </w:r>
      <w:r w:rsidR="00623D84">
        <w:rPr>
          <w:rFonts w:ascii="Times New Roman" w:hAnsi="Times New Roman" w:cs="Times New Roman"/>
          <w:szCs w:val="24"/>
          <w:lang w:val="pl-PL"/>
        </w:rPr>
        <w:t>sposobności</w:t>
      </w:r>
      <w:r w:rsidR="00623D84" w:rsidRPr="00246717">
        <w:rPr>
          <w:rFonts w:ascii="Times New Roman" w:hAnsi="Times New Roman" w:cs="Times New Roman"/>
          <w:szCs w:val="24"/>
          <w:lang w:val="pl-PL"/>
        </w:rPr>
        <w:t xml:space="preserve"> prokurat</w:t>
      </w:r>
      <w:r w:rsidR="00623D84">
        <w:rPr>
          <w:rFonts w:ascii="Times New Roman" w:hAnsi="Times New Roman" w:cs="Times New Roman"/>
          <w:szCs w:val="24"/>
          <w:lang w:val="pl-PL"/>
        </w:rPr>
        <w:t>or</w:t>
      </w:r>
      <w:r w:rsidR="00623D84" w:rsidRPr="00246717">
        <w:rPr>
          <w:rFonts w:ascii="Times New Roman" w:hAnsi="Times New Roman" w:cs="Times New Roman"/>
          <w:szCs w:val="24"/>
          <w:lang w:val="pl-PL"/>
        </w:rPr>
        <w:t xml:space="preserve"> wni</w:t>
      </w:r>
      <w:r w:rsidR="00623D84">
        <w:rPr>
          <w:rFonts w:ascii="Times New Roman" w:hAnsi="Times New Roman" w:cs="Times New Roman"/>
          <w:szCs w:val="24"/>
          <w:lang w:val="pl-PL"/>
        </w:rPr>
        <w:t>ósł</w:t>
      </w:r>
      <w:r w:rsidR="00623D8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o odczytanie wpisów w dzienniku skarżącej, a obrona wniosła o wykreślenie tego dowodu.</w:t>
      </w:r>
    </w:p>
    <w:bookmarkStart w:id="46" w:name="CompletionExamOfEvidenceFinish"/>
    <w:p w14:paraId="15105456" w14:textId="3576B578"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55</w:t>
      </w:r>
      <w:r w:rsidRPr="00246717">
        <w:rPr>
          <w:rFonts w:ascii="Times New Roman" w:hAnsi="Times New Roman" w:cs="Times New Roman"/>
          <w:szCs w:val="24"/>
          <w:lang w:val="pl-PL"/>
        </w:rPr>
        <w:fldChar w:fldCharType="end"/>
      </w:r>
      <w:bookmarkEnd w:id="46"/>
      <w:r w:rsidR="005B6547" w:rsidRPr="00246717">
        <w:rPr>
          <w:rFonts w:ascii="Times New Roman" w:hAnsi="Times New Roman" w:cs="Times New Roman"/>
          <w:szCs w:val="24"/>
          <w:lang w:val="pl-PL"/>
        </w:rPr>
        <w:t>.  Po rozpatrzeniu powyższych wniosków sędzia przewodnicząca wielokrotnie pytała</w:t>
      </w:r>
      <w:r w:rsidR="00623D84">
        <w:rPr>
          <w:rFonts w:ascii="Times New Roman" w:hAnsi="Times New Roman" w:cs="Times New Roman"/>
          <w:szCs w:val="24"/>
          <w:lang w:val="pl-PL"/>
        </w:rPr>
        <w:t>,</w:t>
      </w:r>
      <w:r w:rsidR="005B6547" w:rsidRPr="00246717">
        <w:rPr>
          <w:rFonts w:ascii="Times New Roman" w:hAnsi="Times New Roman" w:cs="Times New Roman"/>
          <w:szCs w:val="24"/>
          <w:lang w:val="pl-PL"/>
        </w:rPr>
        <w:t xml:space="preserve"> czy strony </w:t>
      </w:r>
      <w:r w:rsidR="00623D84">
        <w:rPr>
          <w:rFonts w:ascii="Times New Roman" w:hAnsi="Times New Roman" w:cs="Times New Roman"/>
          <w:szCs w:val="24"/>
          <w:lang w:val="pl-PL"/>
        </w:rPr>
        <w:t>są</w:t>
      </w:r>
      <w:r w:rsidR="00623D8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przygotowane na </w:t>
      </w:r>
      <w:r w:rsidR="00623D84">
        <w:rPr>
          <w:rFonts w:ascii="Times New Roman" w:hAnsi="Times New Roman" w:cs="Times New Roman"/>
          <w:szCs w:val="24"/>
          <w:lang w:val="pl-PL"/>
        </w:rPr>
        <w:t>zamknięcie postępowania dowodowego wobec</w:t>
      </w:r>
      <w:r w:rsidR="005B6547" w:rsidRPr="00246717">
        <w:rPr>
          <w:rFonts w:ascii="Times New Roman" w:hAnsi="Times New Roman" w:cs="Times New Roman"/>
          <w:szCs w:val="24"/>
          <w:lang w:val="pl-PL"/>
        </w:rPr>
        <w:t xml:space="preserve"> braku tych świadków, którzy się nie stawili. Oskarżenie i obrona nie zgłosiły żadnych zastrzeżeń. Sąd </w:t>
      </w:r>
      <w:r w:rsidR="00E721A7">
        <w:rPr>
          <w:rFonts w:ascii="Times New Roman" w:hAnsi="Times New Roman" w:cs="Times New Roman"/>
          <w:szCs w:val="24"/>
          <w:lang w:val="pl-PL"/>
        </w:rPr>
        <w:t>orzekający</w:t>
      </w:r>
      <w:r w:rsidR="005B6547" w:rsidRPr="00246717">
        <w:rPr>
          <w:rFonts w:ascii="Times New Roman" w:hAnsi="Times New Roman" w:cs="Times New Roman"/>
          <w:szCs w:val="24"/>
          <w:lang w:val="pl-PL"/>
        </w:rPr>
        <w:t xml:space="preserve"> zakończył </w:t>
      </w:r>
      <w:r w:rsidR="00623D84">
        <w:rPr>
          <w:rFonts w:ascii="Times New Roman" w:hAnsi="Times New Roman" w:cs="Times New Roman"/>
          <w:szCs w:val="24"/>
          <w:lang w:val="pl-PL"/>
        </w:rPr>
        <w:t>postępowanie dowodowe</w:t>
      </w:r>
      <w:r w:rsidR="005B6547" w:rsidRPr="00246717">
        <w:rPr>
          <w:rFonts w:ascii="Times New Roman" w:hAnsi="Times New Roman" w:cs="Times New Roman"/>
          <w:szCs w:val="24"/>
          <w:lang w:val="pl-PL"/>
        </w:rPr>
        <w:t xml:space="preserve"> i na wniosek obrony odroczył </w:t>
      </w:r>
      <w:r w:rsidR="00623D84">
        <w:rPr>
          <w:rFonts w:ascii="Times New Roman" w:hAnsi="Times New Roman" w:cs="Times New Roman"/>
          <w:szCs w:val="24"/>
          <w:lang w:val="pl-PL"/>
        </w:rPr>
        <w:t>sprawę</w:t>
      </w:r>
      <w:r w:rsidR="00623D8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do</w:t>
      </w:r>
      <w:r w:rsidR="00A17C27">
        <w:rPr>
          <w:rFonts w:ascii="Times New Roman" w:hAnsi="Times New Roman" w:cs="Times New Roman"/>
          <w:szCs w:val="24"/>
          <w:lang w:val="pl-PL"/>
        </w:rPr>
        <w:t xml:space="preserve"> czasu</w:t>
      </w:r>
      <w:r w:rsidR="005B6547" w:rsidRPr="00246717">
        <w:rPr>
          <w:rFonts w:ascii="Times New Roman" w:hAnsi="Times New Roman" w:cs="Times New Roman"/>
          <w:szCs w:val="24"/>
          <w:lang w:val="pl-PL"/>
        </w:rPr>
        <w:t xml:space="preserve"> </w:t>
      </w:r>
      <w:r w:rsidR="00623D84">
        <w:rPr>
          <w:rFonts w:ascii="Times New Roman" w:hAnsi="Times New Roman" w:cs="Times New Roman"/>
          <w:szCs w:val="24"/>
          <w:lang w:val="pl-PL"/>
        </w:rPr>
        <w:t>głosów</w:t>
      </w:r>
      <w:r w:rsidR="00623D8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końcowych </w:t>
      </w:r>
      <w:r w:rsidR="00623D84">
        <w:rPr>
          <w:rFonts w:ascii="Times New Roman" w:hAnsi="Times New Roman" w:cs="Times New Roman"/>
          <w:szCs w:val="24"/>
          <w:lang w:val="pl-PL"/>
        </w:rPr>
        <w:t xml:space="preserve">wyznaczonych na </w:t>
      </w:r>
      <w:r w:rsidR="00623D84" w:rsidRPr="00246717">
        <w:rPr>
          <w:rFonts w:ascii="Times New Roman" w:hAnsi="Times New Roman" w:cs="Times New Roman"/>
          <w:szCs w:val="24"/>
          <w:lang w:val="pl-PL"/>
        </w:rPr>
        <w:t>d</w:t>
      </w:r>
      <w:r w:rsidR="00623D84">
        <w:rPr>
          <w:rFonts w:ascii="Times New Roman" w:hAnsi="Times New Roman" w:cs="Times New Roman"/>
          <w:szCs w:val="24"/>
          <w:lang w:val="pl-PL"/>
        </w:rPr>
        <w:t>zień</w:t>
      </w:r>
      <w:r w:rsidR="00623D84"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17 stycznia 2005 r.</w:t>
      </w:r>
    </w:p>
    <w:p w14:paraId="2E8035C5" w14:textId="687CFDA3" w:rsidR="005B6547" w:rsidRPr="00246717" w:rsidRDefault="00F10FBB" w:rsidP="000957D3">
      <w:pPr>
        <w:pStyle w:val="ECHRHeading3"/>
        <w:rPr>
          <w:lang w:val="pl-PL"/>
        </w:rPr>
      </w:pPr>
      <w:bookmarkStart w:id="47" w:name="_Toc512401275"/>
      <w:bookmarkStart w:id="48" w:name="_Toc512345121"/>
      <w:bookmarkStart w:id="49" w:name="_Toc504470795"/>
      <w:r w:rsidRPr="00246717">
        <w:rPr>
          <w:bCs w:val="0"/>
          <w:iCs/>
          <w:lang w:val="pl-PL"/>
        </w:rPr>
        <w:t>6. </w:t>
      </w:r>
      <w:r w:rsidR="00026C6F">
        <w:rPr>
          <w:bCs w:val="0"/>
          <w:iCs/>
          <w:lang w:val="pl-PL"/>
        </w:rPr>
        <w:t> </w:t>
      </w:r>
      <w:r w:rsidR="00E93F28">
        <w:rPr>
          <w:bCs w:val="0"/>
          <w:iCs/>
          <w:lang w:val="pl-PL"/>
        </w:rPr>
        <w:t>Mowy</w:t>
      </w:r>
      <w:r w:rsidR="006178FF" w:rsidRPr="00246717">
        <w:rPr>
          <w:bCs w:val="0"/>
          <w:iCs/>
          <w:lang w:val="pl-PL"/>
        </w:rPr>
        <w:t xml:space="preserve"> </w:t>
      </w:r>
      <w:r w:rsidRPr="00246717">
        <w:rPr>
          <w:bCs w:val="0"/>
          <w:iCs/>
          <w:lang w:val="pl-PL"/>
        </w:rPr>
        <w:t>końcowe stron i wyrok skazujący skarżąc</w:t>
      </w:r>
      <w:r w:rsidR="006178FF">
        <w:rPr>
          <w:bCs w:val="0"/>
          <w:iCs/>
          <w:lang w:val="pl-PL"/>
        </w:rPr>
        <w:t>ej</w:t>
      </w:r>
      <w:bookmarkEnd w:id="47"/>
      <w:bookmarkEnd w:id="48"/>
      <w:bookmarkEnd w:id="49"/>
    </w:p>
    <w:p w14:paraId="079B87D5" w14:textId="5E62DC38"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56</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w:t>
      </w:r>
      <w:r w:rsidR="006178FF">
        <w:rPr>
          <w:rFonts w:ascii="Times New Roman" w:hAnsi="Times New Roman" w:cs="Times New Roman"/>
          <w:szCs w:val="24"/>
          <w:lang w:val="pl-PL"/>
        </w:rPr>
        <w:t>W</w:t>
      </w:r>
      <w:r w:rsidR="005B6547" w:rsidRPr="00246717">
        <w:rPr>
          <w:rFonts w:ascii="Times New Roman" w:hAnsi="Times New Roman" w:cs="Times New Roman"/>
          <w:szCs w:val="24"/>
          <w:lang w:val="pl-PL"/>
        </w:rPr>
        <w:t xml:space="preserve"> swojej mowie końcowej </w:t>
      </w:r>
      <w:r w:rsidR="006178FF">
        <w:rPr>
          <w:rFonts w:ascii="Times New Roman" w:hAnsi="Times New Roman" w:cs="Times New Roman"/>
          <w:szCs w:val="24"/>
          <w:lang w:val="pl-PL"/>
        </w:rPr>
        <w:t xml:space="preserve">prokurator </w:t>
      </w:r>
      <w:r w:rsidR="005B6547" w:rsidRPr="00246717">
        <w:rPr>
          <w:rFonts w:ascii="Times New Roman" w:hAnsi="Times New Roman" w:cs="Times New Roman"/>
          <w:szCs w:val="24"/>
          <w:lang w:val="pl-PL"/>
        </w:rPr>
        <w:t>p</w:t>
      </w:r>
      <w:r w:rsidR="006178FF">
        <w:rPr>
          <w:rFonts w:ascii="Times New Roman" w:hAnsi="Times New Roman" w:cs="Times New Roman"/>
          <w:szCs w:val="24"/>
          <w:lang w:val="pl-PL"/>
        </w:rPr>
        <w:t xml:space="preserve">odsumował </w:t>
      </w:r>
      <w:r w:rsidR="006178FF" w:rsidRPr="00246717">
        <w:rPr>
          <w:rFonts w:ascii="Times New Roman" w:hAnsi="Times New Roman" w:cs="Times New Roman"/>
          <w:szCs w:val="24"/>
          <w:lang w:val="pl-PL"/>
        </w:rPr>
        <w:t>cał</w:t>
      </w:r>
      <w:r w:rsidR="006178FF">
        <w:rPr>
          <w:rFonts w:ascii="Times New Roman" w:hAnsi="Times New Roman" w:cs="Times New Roman"/>
          <w:szCs w:val="24"/>
          <w:lang w:val="pl-PL"/>
        </w:rPr>
        <w:t>okształt</w:t>
      </w:r>
      <w:r w:rsidR="006178FF"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materiału dowodowego, wskazując na niespójności w twierdzeniach skarżącej dotyczących jej niewinności i braku czynu stanowiącego przestępstwo (zarówno </w:t>
      </w:r>
      <w:r w:rsidR="006178FF">
        <w:rPr>
          <w:rFonts w:ascii="Times New Roman" w:hAnsi="Times New Roman" w:cs="Times New Roman"/>
          <w:szCs w:val="24"/>
          <w:lang w:val="pl-PL"/>
        </w:rPr>
        <w:t>strony przedmiotowej</w:t>
      </w:r>
      <w:r w:rsidR="006178FF" w:rsidRPr="00966403">
        <w:rPr>
          <w:rFonts w:ascii="Times New Roman" w:hAnsi="Times New Roman"/>
          <w:lang w:val="pl-PL"/>
        </w:rPr>
        <w:t xml:space="preserve"> </w:t>
      </w:r>
      <w:r w:rsidR="006178FF">
        <w:rPr>
          <w:rFonts w:ascii="Times New Roman" w:hAnsi="Times New Roman" w:cs="Times New Roman"/>
          <w:szCs w:val="24"/>
          <w:lang w:val="pl-PL"/>
        </w:rPr>
        <w:t>jak i podmiotowej</w:t>
      </w:r>
      <w:r w:rsidR="005B6547" w:rsidRPr="00246717">
        <w:rPr>
          <w:rFonts w:ascii="Times New Roman" w:hAnsi="Times New Roman" w:cs="Times New Roman"/>
          <w:szCs w:val="24"/>
          <w:lang w:val="pl-PL"/>
        </w:rPr>
        <w:t xml:space="preserve">). Zwrócił się do sądu prowadzącego postępowanie o uznanie skarżącej za winną zarzucanych jej czynów i </w:t>
      </w:r>
      <w:r w:rsidR="00EF5F9C">
        <w:rPr>
          <w:rFonts w:ascii="Times New Roman" w:hAnsi="Times New Roman" w:cs="Times New Roman"/>
          <w:szCs w:val="24"/>
          <w:lang w:val="pl-PL"/>
        </w:rPr>
        <w:t>wymierzenia jej kary dwunastu lat</w:t>
      </w:r>
      <w:r w:rsidR="005B6547" w:rsidRPr="00246717">
        <w:rPr>
          <w:rFonts w:ascii="Times New Roman" w:hAnsi="Times New Roman" w:cs="Times New Roman"/>
          <w:szCs w:val="24"/>
          <w:lang w:val="pl-PL"/>
        </w:rPr>
        <w:t xml:space="preserve"> pozbawienia wolności.</w:t>
      </w:r>
    </w:p>
    <w:bookmarkStart w:id="50" w:name="ClosingArguments"/>
    <w:p w14:paraId="74B6B1DE" w14:textId="0F434514"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57</w:t>
      </w:r>
      <w:r w:rsidRPr="00246717">
        <w:rPr>
          <w:rFonts w:ascii="Times New Roman" w:hAnsi="Times New Roman" w:cs="Times New Roman"/>
          <w:szCs w:val="24"/>
          <w:lang w:val="pl-PL"/>
        </w:rPr>
        <w:fldChar w:fldCharType="end"/>
      </w:r>
      <w:bookmarkEnd w:id="50"/>
      <w:r w:rsidR="005B6547" w:rsidRPr="00246717">
        <w:rPr>
          <w:rFonts w:ascii="Times New Roman" w:hAnsi="Times New Roman" w:cs="Times New Roman"/>
          <w:szCs w:val="24"/>
          <w:lang w:val="pl-PL"/>
        </w:rPr>
        <w:t xml:space="preserve">.  Skarżąca i jej obrońcy U. i S. w mowach końcowych utrzymywali, że skarżąca jest niewinna i że oskarżenie nie dowiodło jej winy. Obrońcy </w:t>
      </w:r>
      <w:r w:rsidR="005B6547" w:rsidRPr="00246717">
        <w:rPr>
          <w:rFonts w:ascii="Times New Roman" w:hAnsi="Times New Roman" w:cs="Times New Roman"/>
          <w:szCs w:val="24"/>
          <w:lang w:val="pl-PL"/>
        </w:rPr>
        <w:lastRenderedPageBreak/>
        <w:t xml:space="preserve">przedstawili własną relację z przebiegu wydarzeń twierdząc, że </w:t>
      </w:r>
      <w:r w:rsidR="006178FF">
        <w:rPr>
          <w:rFonts w:ascii="Times New Roman" w:hAnsi="Times New Roman" w:cs="Times New Roman"/>
          <w:szCs w:val="24"/>
          <w:lang w:val="pl-PL"/>
        </w:rPr>
        <w:t>treść</w:t>
      </w:r>
      <w:r w:rsidR="006178FF"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oskarżenia </w:t>
      </w:r>
      <w:r w:rsidR="006178FF">
        <w:rPr>
          <w:rFonts w:ascii="Times New Roman" w:hAnsi="Times New Roman" w:cs="Times New Roman"/>
          <w:szCs w:val="24"/>
          <w:lang w:val="pl-PL"/>
        </w:rPr>
        <w:t>sformułowano</w:t>
      </w:r>
      <w:r w:rsidR="006178FF"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na </w:t>
      </w:r>
      <w:r w:rsidR="006178FF">
        <w:rPr>
          <w:rFonts w:ascii="Times New Roman" w:hAnsi="Times New Roman" w:cs="Times New Roman"/>
          <w:szCs w:val="24"/>
          <w:lang w:val="pl-PL"/>
        </w:rPr>
        <w:t xml:space="preserve">podstawie </w:t>
      </w:r>
      <w:r w:rsidR="005B6547" w:rsidRPr="00246717">
        <w:rPr>
          <w:rFonts w:ascii="Times New Roman" w:hAnsi="Times New Roman" w:cs="Times New Roman"/>
          <w:szCs w:val="24"/>
          <w:lang w:val="pl-PL"/>
        </w:rPr>
        <w:t>błędnej interpretacji rozmów i czynów skarżącej oraz że materiały wybuchowe zostały podrzucone przez policję. Mowa obrońcy U. obejmowała poniższe stwierdzenie poczynione przy okazji opisywania podejścia skarżącej do k</w:t>
      </w:r>
      <w:r w:rsidR="00EA2044">
        <w:rPr>
          <w:rFonts w:ascii="Times New Roman" w:hAnsi="Times New Roman" w:cs="Times New Roman"/>
          <w:szCs w:val="24"/>
          <w:lang w:val="pl-PL"/>
        </w:rPr>
        <w:t xml:space="preserve">onfliktu zbrojnego w Czeczeni </w:t>
      </w:r>
      <w:r w:rsidR="005B6547" w:rsidRPr="00246717">
        <w:rPr>
          <w:rFonts w:ascii="Times New Roman" w:hAnsi="Times New Roman" w:cs="Times New Roman"/>
          <w:szCs w:val="24"/>
          <w:lang w:val="pl-PL"/>
        </w:rPr>
        <w:t xml:space="preserve">i do religii: „Myślę, że cała ta sprawa karna została </w:t>
      </w:r>
      <w:r w:rsidR="006178FF">
        <w:rPr>
          <w:rFonts w:ascii="Times New Roman" w:hAnsi="Times New Roman" w:cs="Times New Roman"/>
          <w:szCs w:val="24"/>
          <w:lang w:val="pl-PL"/>
        </w:rPr>
        <w:t>sfingowana</w:t>
      </w:r>
      <w:r w:rsidR="006178FF"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przeciwko </w:t>
      </w:r>
      <w:proofErr w:type="spellStart"/>
      <w:r w:rsidR="005B6547" w:rsidRPr="00246717">
        <w:rPr>
          <w:rFonts w:ascii="Times New Roman" w:hAnsi="Times New Roman" w:cs="Times New Roman"/>
          <w:szCs w:val="24"/>
          <w:lang w:val="pl-PL"/>
        </w:rPr>
        <w:t>Murtazaliyevej</w:t>
      </w:r>
      <w:proofErr w:type="spellEnd"/>
      <w:r w:rsidR="005B6547" w:rsidRPr="00246717">
        <w:rPr>
          <w:rFonts w:ascii="Times New Roman" w:hAnsi="Times New Roman" w:cs="Times New Roman"/>
          <w:szCs w:val="24"/>
          <w:lang w:val="pl-PL"/>
        </w:rPr>
        <w:t xml:space="preserve"> przez funkcjonariuszy organów ścigania”. Skarżąca natomiast w swojej mowie zawarła poniższą istotną kwestię:</w:t>
      </w:r>
    </w:p>
    <w:p w14:paraId="1FD29A65" w14:textId="22BDBB47" w:rsidR="005B6547" w:rsidRPr="00246717" w:rsidRDefault="005B6547" w:rsidP="000957D3">
      <w:pPr>
        <w:pStyle w:val="ECHRParaQuote"/>
        <w:rPr>
          <w:lang w:val="pl-PL"/>
        </w:rPr>
      </w:pPr>
      <w:r w:rsidRPr="00246717">
        <w:rPr>
          <w:lang w:val="pl-PL"/>
        </w:rPr>
        <w:t xml:space="preserve">„[...] Co się tyczy rozmów w mieszkaniu, wiele rzeczy do siebie nie pasuje. </w:t>
      </w:r>
      <w:r w:rsidR="006178FF">
        <w:rPr>
          <w:lang w:val="pl-PL"/>
        </w:rPr>
        <w:t>Wyjaśniłam</w:t>
      </w:r>
      <w:r w:rsidR="006178FF" w:rsidRPr="00246717">
        <w:rPr>
          <w:lang w:val="pl-PL"/>
        </w:rPr>
        <w:t xml:space="preserve"> </w:t>
      </w:r>
      <w:r w:rsidRPr="00246717">
        <w:rPr>
          <w:lang w:val="pl-PL"/>
        </w:rPr>
        <w:t xml:space="preserve">to </w:t>
      </w:r>
      <w:r w:rsidR="006178FF">
        <w:rPr>
          <w:lang w:val="pl-PL"/>
        </w:rPr>
        <w:t>na</w:t>
      </w:r>
      <w:r w:rsidR="006178FF" w:rsidRPr="00246717">
        <w:rPr>
          <w:lang w:val="pl-PL"/>
        </w:rPr>
        <w:t xml:space="preserve"> </w:t>
      </w:r>
      <w:r w:rsidRPr="00246717">
        <w:rPr>
          <w:lang w:val="pl-PL"/>
        </w:rPr>
        <w:t>rozpraw</w:t>
      </w:r>
      <w:r w:rsidR="006178FF">
        <w:rPr>
          <w:lang w:val="pl-PL"/>
        </w:rPr>
        <w:t>ie</w:t>
      </w:r>
      <w:r w:rsidRPr="00246717">
        <w:rPr>
          <w:lang w:val="pl-PL"/>
        </w:rPr>
        <w:t xml:space="preserve">. </w:t>
      </w:r>
      <w:r w:rsidR="006178FF">
        <w:rPr>
          <w:lang w:val="pl-PL"/>
        </w:rPr>
        <w:t>Wniosłam</w:t>
      </w:r>
      <w:r w:rsidRPr="00246717">
        <w:rPr>
          <w:lang w:val="pl-PL"/>
        </w:rPr>
        <w:t xml:space="preserve"> </w:t>
      </w:r>
      <w:r w:rsidR="00CF2DB5">
        <w:rPr>
          <w:lang w:val="pl-PL"/>
        </w:rPr>
        <w:t>o przeprowadzenie</w:t>
      </w:r>
      <w:r w:rsidRPr="00246717">
        <w:rPr>
          <w:lang w:val="pl-PL"/>
        </w:rPr>
        <w:t xml:space="preserve"> konfrontacji z A. Nie stawił się w sądzie. Nie przyznaję się do winy w zakresie któregokolwiek ze stawianych mi zarzutów [...]”</w:t>
      </w:r>
    </w:p>
    <w:p w14:paraId="6D79DB32" w14:textId="36CA2B7A" w:rsidR="000A37CB" w:rsidRPr="00246717" w:rsidRDefault="000A37CB"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 xml:space="preserve">W </w:t>
      </w:r>
      <w:r w:rsidR="006178FF">
        <w:rPr>
          <w:rFonts w:ascii="Times New Roman" w:hAnsi="Times New Roman" w:cs="Times New Roman"/>
          <w:szCs w:val="24"/>
          <w:lang w:val="pl-PL"/>
        </w:rPr>
        <w:t>głosach</w:t>
      </w:r>
      <w:r w:rsidR="006178FF" w:rsidRPr="00246717">
        <w:rPr>
          <w:rFonts w:ascii="Times New Roman" w:hAnsi="Times New Roman" w:cs="Times New Roman"/>
          <w:szCs w:val="24"/>
          <w:lang w:val="pl-PL"/>
        </w:rPr>
        <w:t xml:space="preserve"> </w:t>
      </w:r>
      <w:r w:rsidRPr="00246717">
        <w:rPr>
          <w:rFonts w:ascii="Times New Roman" w:hAnsi="Times New Roman" w:cs="Times New Roman"/>
          <w:szCs w:val="24"/>
          <w:lang w:val="pl-PL"/>
        </w:rPr>
        <w:t xml:space="preserve">końcowych obrona zawarła pojedyncze stwierdzenia dotyczące podrzucenia przez policję materiałów wybuchowych do torebki skarżącej, ale nie </w:t>
      </w:r>
      <w:r w:rsidR="00EE0EC5">
        <w:rPr>
          <w:rFonts w:ascii="Times New Roman" w:hAnsi="Times New Roman" w:cs="Times New Roman"/>
          <w:szCs w:val="24"/>
          <w:lang w:val="pl-PL"/>
        </w:rPr>
        <w:t>odniosła</w:t>
      </w:r>
      <w:r w:rsidR="00EE0EC5" w:rsidRPr="00246717">
        <w:rPr>
          <w:rFonts w:ascii="Times New Roman" w:hAnsi="Times New Roman" w:cs="Times New Roman"/>
          <w:szCs w:val="24"/>
          <w:lang w:val="pl-PL"/>
        </w:rPr>
        <w:t xml:space="preserve"> </w:t>
      </w:r>
      <w:r w:rsidRPr="00246717">
        <w:rPr>
          <w:rFonts w:ascii="Times New Roman" w:hAnsi="Times New Roman" w:cs="Times New Roman"/>
          <w:szCs w:val="24"/>
          <w:lang w:val="pl-PL"/>
        </w:rPr>
        <w:t xml:space="preserve">się </w:t>
      </w:r>
      <w:r w:rsidR="00EE0EC5">
        <w:rPr>
          <w:rFonts w:ascii="Times New Roman" w:hAnsi="Times New Roman" w:cs="Times New Roman"/>
          <w:szCs w:val="24"/>
          <w:lang w:val="pl-PL"/>
        </w:rPr>
        <w:t>do</w:t>
      </w:r>
      <w:r w:rsidR="00EE0EC5"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 xml:space="preserve">zarzutu </w:t>
      </w:r>
      <w:r w:rsidRPr="00246717">
        <w:rPr>
          <w:rFonts w:ascii="Times New Roman" w:hAnsi="Times New Roman" w:cs="Times New Roman"/>
          <w:szCs w:val="24"/>
          <w:lang w:val="pl-PL"/>
        </w:rPr>
        <w:t>podwójne</w:t>
      </w:r>
      <w:r w:rsidR="00EE0EC5">
        <w:rPr>
          <w:rFonts w:ascii="Times New Roman" w:hAnsi="Times New Roman" w:cs="Times New Roman"/>
          <w:szCs w:val="24"/>
          <w:lang w:val="pl-PL"/>
        </w:rPr>
        <w:t>go</w:t>
      </w:r>
      <w:r w:rsidRPr="00246717">
        <w:rPr>
          <w:rFonts w:ascii="Times New Roman" w:hAnsi="Times New Roman" w:cs="Times New Roman"/>
          <w:szCs w:val="24"/>
          <w:lang w:val="pl-PL"/>
        </w:rPr>
        <w:t xml:space="preserve"> pobrani</w:t>
      </w:r>
      <w:r w:rsidR="00EE0EC5">
        <w:rPr>
          <w:rFonts w:ascii="Times New Roman" w:hAnsi="Times New Roman" w:cs="Times New Roman"/>
          <w:szCs w:val="24"/>
          <w:lang w:val="pl-PL"/>
        </w:rPr>
        <w:t>a</w:t>
      </w:r>
      <w:r w:rsidRPr="00246717">
        <w:rPr>
          <w:rFonts w:ascii="Times New Roman" w:hAnsi="Times New Roman" w:cs="Times New Roman"/>
          <w:szCs w:val="24"/>
          <w:lang w:val="pl-PL"/>
        </w:rPr>
        <w:t xml:space="preserve"> odcisków palców ani </w:t>
      </w:r>
      <w:r w:rsidR="00EE0EC5">
        <w:rPr>
          <w:rFonts w:ascii="Times New Roman" w:hAnsi="Times New Roman" w:cs="Times New Roman"/>
          <w:szCs w:val="24"/>
          <w:lang w:val="pl-PL"/>
        </w:rPr>
        <w:t>do</w:t>
      </w:r>
      <w:r w:rsidRPr="00246717">
        <w:rPr>
          <w:rFonts w:ascii="Times New Roman" w:hAnsi="Times New Roman" w:cs="Times New Roman"/>
          <w:szCs w:val="24"/>
          <w:lang w:val="pl-PL"/>
        </w:rPr>
        <w:t xml:space="preserve"> brak</w:t>
      </w:r>
      <w:r w:rsidR="00EE0EC5">
        <w:rPr>
          <w:rFonts w:ascii="Times New Roman" w:hAnsi="Times New Roman" w:cs="Times New Roman"/>
          <w:szCs w:val="24"/>
          <w:lang w:val="pl-PL"/>
        </w:rPr>
        <w:t>u</w:t>
      </w:r>
      <w:r w:rsidRPr="00246717">
        <w:rPr>
          <w:rFonts w:ascii="Times New Roman" w:hAnsi="Times New Roman" w:cs="Times New Roman"/>
          <w:szCs w:val="24"/>
          <w:lang w:val="pl-PL"/>
        </w:rPr>
        <w:t xml:space="preserve"> kontroli skarżącej nad jej rzeczami osobistymi przed przeszukaniem, ani na żadne kwestie dotyczące wyboru i udziału dwóch </w:t>
      </w:r>
      <w:r w:rsidR="00EE0EC5">
        <w:rPr>
          <w:rFonts w:ascii="Times New Roman" w:hAnsi="Times New Roman" w:cs="Times New Roman"/>
          <w:szCs w:val="24"/>
          <w:lang w:val="pl-PL"/>
        </w:rPr>
        <w:t>przybranych</w:t>
      </w:r>
      <w:r w:rsidR="00EE0EC5" w:rsidRPr="00246717">
        <w:rPr>
          <w:rFonts w:ascii="Times New Roman" w:hAnsi="Times New Roman" w:cs="Times New Roman"/>
          <w:szCs w:val="24"/>
          <w:lang w:val="pl-PL"/>
        </w:rPr>
        <w:t xml:space="preserve"> </w:t>
      </w:r>
      <w:r w:rsidRPr="00246717">
        <w:rPr>
          <w:rFonts w:ascii="Times New Roman" w:hAnsi="Times New Roman" w:cs="Times New Roman"/>
          <w:szCs w:val="24"/>
          <w:lang w:val="pl-PL"/>
        </w:rPr>
        <w:t>świadków.</w:t>
      </w:r>
    </w:p>
    <w:p w14:paraId="76DB0A71" w14:textId="6B0F06BE"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58</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dniu 17 stycznia 2005 r. </w:t>
      </w:r>
      <w:r w:rsidR="004434DB">
        <w:rPr>
          <w:rFonts w:ascii="Times New Roman" w:hAnsi="Times New Roman" w:cs="Times New Roman"/>
          <w:szCs w:val="24"/>
          <w:lang w:val="pl-PL"/>
        </w:rPr>
        <w:t>sąd</w:t>
      </w:r>
      <w:r w:rsidR="005B6547"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uznał</w:t>
      </w:r>
      <w:r w:rsidR="00EE0EC5"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skarżącą za </w:t>
      </w:r>
      <w:r w:rsidR="00EE0EC5">
        <w:rPr>
          <w:rFonts w:ascii="Times New Roman" w:hAnsi="Times New Roman" w:cs="Times New Roman"/>
          <w:szCs w:val="24"/>
          <w:lang w:val="pl-PL"/>
        </w:rPr>
        <w:t xml:space="preserve">winną </w:t>
      </w:r>
      <w:r w:rsidR="005B6547" w:rsidRPr="00246717">
        <w:rPr>
          <w:rFonts w:ascii="Times New Roman" w:hAnsi="Times New Roman" w:cs="Times New Roman"/>
          <w:szCs w:val="24"/>
          <w:lang w:val="pl-PL"/>
        </w:rPr>
        <w:t>przygotowani</w:t>
      </w:r>
      <w:r w:rsidR="00EE0EC5">
        <w:rPr>
          <w:rFonts w:ascii="Times New Roman" w:hAnsi="Times New Roman" w:cs="Times New Roman"/>
          <w:szCs w:val="24"/>
          <w:lang w:val="pl-PL"/>
        </w:rPr>
        <w:t>a do czynu o charakterze</w:t>
      </w:r>
      <w:r w:rsidR="005B6547" w:rsidRPr="00246717">
        <w:rPr>
          <w:rFonts w:ascii="Times New Roman" w:hAnsi="Times New Roman" w:cs="Times New Roman"/>
          <w:szCs w:val="24"/>
          <w:lang w:val="pl-PL"/>
        </w:rPr>
        <w:t xml:space="preserve"> </w:t>
      </w:r>
      <w:r w:rsidR="00EE0EC5" w:rsidRPr="00246717">
        <w:rPr>
          <w:rFonts w:ascii="Times New Roman" w:hAnsi="Times New Roman" w:cs="Times New Roman"/>
          <w:szCs w:val="24"/>
          <w:lang w:val="pl-PL"/>
        </w:rPr>
        <w:t>terrorystyczn</w:t>
      </w:r>
      <w:r w:rsidR="00EE0EC5">
        <w:rPr>
          <w:rFonts w:ascii="Times New Roman" w:hAnsi="Times New Roman" w:cs="Times New Roman"/>
          <w:szCs w:val="24"/>
          <w:lang w:val="pl-PL"/>
        </w:rPr>
        <w:t>ym</w:t>
      </w:r>
      <w:r w:rsidR="00EE0EC5"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(wybuchu), podżegani</w:t>
      </w:r>
      <w:r w:rsidR="00EE0EC5">
        <w:rPr>
          <w:rFonts w:ascii="Times New Roman" w:hAnsi="Times New Roman" w:cs="Times New Roman"/>
          <w:szCs w:val="24"/>
          <w:lang w:val="pl-PL"/>
        </w:rPr>
        <w:t>a</w:t>
      </w:r>
      <w:r w:rsidR="005B6547" w:rsidRPr="00246717">
        <w:rPr>
          <w:rFonts w:ascii="Times New Roman" w:hAnsi="Times New Roman" w:cs="Times New Roman"/>
          <w:szCs w:val="24"/>
          <w:lang w:val="pl-PL"/>
        </w:rPr>
        <w:t xml:space="preserve"> innych do </w:t>
      </w:r>
      <w:r w:rsidR="00EE0EC5">
        <w:rPr>
          <w:rFonts w:ascii="Times New Roman" w:hAnsi="Times New Roman" w:cs="Times New Roman"/>
          <w:szCs w:val="24"/>
          <w:lang w:val="pl-PL"/>
        </w:rPr>
        <w:t>popełnienia czynu o charakterze</w:t>
      </w:r>
      <w:r w:rsidR="00EE0EC5" w:rsidRPr="00246717">
        <w:rPr>
          <w:rFonts w:ascii="Times New Roman" w:hAnsi="Times New Roman" w:cs="Times New Roman"/>
          <w:szCs w:val="24"/>
          <w:lang w:val="pl-PL"/>
        </w:rPr>
        <w:t xml:space="preserve"> terrorystyczn</w:t>
      </w:r>
      <w:r w:rsidR="00EE0EC5">
        <w:rPr>
          <w:rFonts w:ascii="Times New Roman" w:hAnsi="Times New Roman" w:cs="Times New Roman"/>
          <w:szCs w:val="24"/>
          <w:lang w:val="pl-PL"/>
        </w:rPr>
        <w:t>ym</w:t>
      </w:r>
      <w:r w:rsidR="00EE0EC5"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oraz</w:t>
      </w:r>
      <w:r w:rsidR="005B6547" w:rsidRPr="00246717">
        <w:rPr>
          <w:rFonts w:ascii="Times New Roman" w:hAnsi="Times New Roman" w:cs="Times New Roman"/>
          <w:szCs w:val="24"/>
          <w:lang w:val="pl-PL"/>
        </w:rPr>
        <w:t xml:space="preserve"> posiadani</w:t>
      </w:r>
      <w:r w:rsidR="00EE0EC5">
        <w:rPr>
          <w:rFonts w:ascii="Times New Roman" w:hAnsi="Times New Roman" w:cs="Times New Roman"/>
          <w:szCs w:val="24"/>
          <w:lang w:val="pl-PL"/>
        </w:rPr>
        <w:t>a</w:t>
      </w:r>
      <w:r w:rsidR="005B6547" w:rsidRPr="00246717">
        <w:rPr>
          <w:rFonts w:ascii="Times New Roman" w:hAnsi="Times New Roman" w:cs="Times New Roman"/>
          <w:szCs w:val="24"/>
          <w:lang w:val="pl-PL"/>
        </w:rPr>
        <w:t xml:space="preserve"> materiałów wybuchowych, i skazał ją na dziewięć lat pozbawienia wolności. Sąd uwzględnił następujące dowody:</w:t>
      </w:r>
    </w:p>
    <w:p w14:paraId="4C2C85DD" w14:textId="3A82923F"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i.</w:t>
      </w:r>
      <w:r w:rsidR="004434DB">
        <w:rPr>
          <w:rFonts w:ascii="Times New Roman" w:hAnsi="Times New Roman" w:cs="Times New Roman"/>
          <w:szCs w:val="24"/>
          <w:lang w:val="pl-PL"/>
        </w:rPr>
        <w:t>  </w:t>
      </w:r>
      <w:r w:rsidRPr="00246717">
        <w:rPr>
          <w:rFonts w:ascii="Times New Roman" w:hAnsi="Times New Roman" w:cs="Times New Roman"/>
          <w:szCs w:val="24"/>
          <w:lang w:val="pl-PL"/>
        </w:rPr>
        <w:t xml:space="preserve">zeznania V. i Ku. złożone przed </w:t>
      </w:r>
      <w:r w:rsidR="00EE0EC5">
        <w:rPr>
          <w:rFonts w:ascii="Times New Roman" w:hAnsi="Times New Roman" w:cs="Times New Roman"/>
          <w:szCs w:val="24"/>
          <w:lang w:val="pl-PL"/>
        </w:rPr>
        <w:t>rozprawą i na rozprawie</w:t>
      </w:r>
      <w:r w:rsidRPr="00246717">
        <w:rPr>
          <w:rFonts w:ascii="Times New Roman" w:hAnsi="Times New Roman" w:cs="Times New Roman"/>
          <w:szCs w:val="24"/>
          <w:lang w:val="pl-PL"/>
        </w:rPr>
        <w:t xml:space="preserve">, </w:t>
      </w:r>
      <w:r w:rsidR="004434DB">
        <w:rPr>
          <w:rFonts w:ascii="Times New Roman" w:hAnsi="Times New Roman" w:cs="Times New Roman"/>
          <w:szCs w:val="24"/>
          <w:lang w:val="pl-PL"/>
        </w:rPr>
        <w:t>a</w:t>
      </w:r>
      <w:r w:rsidRPr="00246717">
        <w:rPr>
          <w:rFonts w:ascii="Times New Roman" w:hAnsi="Times New Roman" w:cs="Times New Roman"/>
          <w:szCs w:val="24"/>
          <w:lang w:val="pl-PL"/>
        </w:rPr>
        <w:t xml:space="preserve"> także protokoły z ich konfrontacji </w:t>
      </w:r>
      <w:proofErr w:type="spellStart"/>
      <w:r w:rsidRPr="00246717">
        <w:rPr>
          <w:rFonts w:ascii="Times New Roman" w:hAnsi="Times New Roman" w:cs="Times New Roman"/>
          <w:szCs w:val="24"/>
          <w:lang w:val="pl-PL"/>
        </w:rPr>
        <w:t>przedprocesowej</w:t>
      </w:r>
      <w:proofErr w:type="spellEnd"/>
      <w:r w:rsidRPr="00246717">
        <w:rPr>
          <w:rFonts w:ascii="Times New Roman" w:hAnsi="Times New Roman" w:cs="Times New Roman"/>
          <w:szCs w:val="24"/>
          <w:lang w:val="pl-PL"/>
        </w:rPr>
        <w:t xml:space="preserve"> ze skarżącą;</w:t>
      </w:r>
    </w:p>
    <w:p w14:paraId="63185004" w14:textId="3E315207"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ii.</w:t>
      </w:r>
      <w:r w:rsidR="004434DB">
        <w:rPr>
          <w:rFonts w:ascii="Times New Roman" w:hAnsi="Times New Roman" w:cs="Times New Roman"/>
          <w:szCs w:val="24"/>
          <w:lang w:val="pl-PL"/>
        </w:rPr>
        <w:t>  </w:t>
      </w:r>
      <w:r w:rsidRPr="00246717">
        <w:rPr>
          <w:rFonts w:ascii="Times New Roman" w:hAnsi="Times New Roman" w:cs="Times New Roman"/>
          <w:szCs w:val="24"/>
          <w:lang w:val="pl-PL"/>
        </w:rPr>
        <w:t xml:space="preserve">zeznania funkcjonariuszy policji S., I., P., B. oraz </w:t>
      </w:r>
      <w:proofErr w:type="spellStart"/>
      <w:r w:rsidRPr="00246717">
        <w:rPr>
          <w:rFonts w:ascii="Times New Roman" w:hAnsi="Times New Roman" w:cs="Times New Roman"/>
          <w:szCs w:val="24"/>
          <w:lang w:val="pl-PL"/>
        </w:rPr>
        <w:t>Ke</w:t>
      </w:r>
      <w:proofErr w:type="spellEnd"/>
      <w:r w:rsidRPr="00246717">
        <w:rPr>
          <w:rFonts w:ascii="Times New Roman" w:hAnsi="Times New Roman" w:cs="Times New Roman"/>
          <w:szCs w:val="24"/>
          <w:lang w:val="pl-PL"/>
        </w:rPr>
        <w:t xml:space="preserve">., złożone </w:t>
      </w:r>
      <w:r w:rsidR="00EE0EC5">
        <w:rPr>
          <w:rFonts w:ascii="Times New Roman" w:hAnsi="Times New Roman" w:cs="Times New Roman"/>
          <w:szCs w:val="24"/>
          <w:lang w:val="pl-PL"/>
        </w:rPr>
        <w:t>przed rozprawą i na rozprawie</w:t>
      </w:r>
      <w:r w:rsidRPr="00246717">
        <w:rPr>
          <w:rFonts w:ascii="Times New Roman" w:hAnsi="Times New Roman" w:cs="Times New Roman"/>
          <w:szCs w:val="24"/>
          <w:lang w:val="pl-PL"/>
        </w:rPr>
        <w:t xml:space="preserve">, </w:t>
      </w:r>
      <w:r w:rsidR="004434DB">
        <w:rPr>
          <w:rFonts w:ascii="Times New Roman" w:hAnsi="Times New Roman" w:cs="Times New Roman"/>
          <w:szCs w:val="24"/>
          <w:lang w:val="pl-PL"/>
        </w:rPr>
        <w:t>a</w:t>
      </w:r>
      <w:r w:rsidRPr="00246717">
        <w:rPr>
          <w:rFonts w:ascii="Times New Roman" w:hAnsi="Times New Roman" w:cs="Times New Roman"/>
          <w:szCs w:val="24"/>
          <w:lang w:val="pl-PL"/>
        </w:rPr>
        <w:t xml:space="preserve"> także protokoły z konfrontacji </w:t>
      </w:r>
      <w:proofErr w:type="spellStart"/>
      <w:r w:rsidRPr="00246717">
        <w:rPr>
          <w:rFonts w:ascii="Times New Roman" w:hAnsi="Times New Roman" w:cs="Times New Roman"/>
          <w:szCs w:val="24"/>
          <w:lang w:val="pl-PL"/>
        </w:rPr>
        <w:t>przedprocesowych</w:t>
      </w:r>
      <w:proofErr w:type="spellEnd"/>
      <w:r w:rsidRPr="00246717">
        <w:rPr>
          <w:rFonts w:ascii="Times New Roman" w:hAnsi="Times New Roman" w:cs="Times New Roman"/>
          <w:szCs w:val="24"/>
          <w:lang w:val="pl-PL"/>
        </w:rPr>
        <w:t xml:space="preserve"> S. i </w:t>
      </w:r>
      <w:proofErr w:type="spellStart"/>
      <w:r w:rsidRPr="00246717">
        <w:rPr>
          <w:rFonts w:ascii="Times New Roman" w:hAnsi="Times New Roman" w:cs="Times New Roman"/>
          <w:szCs w:val="24"/>
          <w:lang w:val="pl-PL"/>
        </w:rPr>
        <w:t>I</w:t>
      </w:r>
      <w:proofErr w:type="spellEnd"/>
      <w:r w:rsidRPr="00246717">
        <w:rPr>
          <w:rFonts w:ascii="Times New Roman" w:hAnsi="Times New Roman" w:cs="Times New Roman"/>
          <w:szCs w:val="24"/>
          <w:lang w:val="pl-PL"/>
        </w:rPr>
        <w:t>. ze skarżącą;</w:t>
      </w:r>
    </w:p>
    <w:p w14:paraId="36C29666" w14:textId="17465D5E"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iii.</w:t>
      </w:r>
      <w:r w:rsidR="004434DB">
        <w:rPr>
          <w:rFonts w:ascii="Times New Roman" w:hAnsi="Times New Roman" w:cs="Times New Roman"/>
          <w:szCs w:val="24"/>
          <w:lang w:val="pl-PL"/>
        </w:rPr>
        <w:t>  </w:t>
      </w:r>
      <w:r w:rsidRPr="00246717">
        <w:rPr>
          <w:rFonts w:ascii="Times New Roman" w:hAnsi="Times New Roman" w:cs="Times New Roman"/>
          <w:szCs w:val="24"/>
          <w:lang w:val="pl-PL"/>
        </w:rPr>
        <w:t xml:space="preserve">protokoły z przeszukania miejsca pobytu skarżącej i jej </w:t>
      </w:r>
      <w:r w:rsidR="004434DB">
        <w:rPr>
          <w:rFonts w:ascii="Times New Roman" w:hAnsi="Times New Roman" w:cs="Times New Roman"/>
          <w:szCs w:val="24"/>
          <w:lang w:val="pl-PL"/>
        </w:rPr>
        <w:t>kontroli osobistej</w:t>
      </w:r>
      <w:r w:rsidRPr="00246717">
        <w:rPr>
          <w:rFonts w:ascii="Times New Roman" w:hAnsi="Times New Roman" w:cs="Times New Roman"/>
          <w:szCs w:val="24"/>
          <w:lang w:val="pl-PL"/>
        </w:rPr>
        <w:t>;</w:t>
      </w:r>
    </w:p>
    <w:p w14:paraId="6210A4F0" w14:textId="0A80EB95"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iv.</w:t>
      </w:r>
      <w:r w:rsidR="00F039AD">
        <w:rPr>
          <w:rFonts w:ascii="Times New Roman" w:hAnsi="Times New Roman" w:cs="Times New Roman"/>
          <w:szCs w:val="24"/>
          <w:lang w:val="pl-PL"/>
        </w:rPr>
        <w:t>  protokół</w:t>
      </w:r>
      <w:r w:rsidRPr="00246717">
        <w:rPr>
          <w:rFonts w:ascii="Times New Roman" w:hAnsi="Times New Roman" w:cs="Times New Roman"/>
          <w:szCs w:val="24"/>
          <w:lang w:val="pl-PL"/>
        </w:rPr>
        <w:t xml:space="preserve"> z ekspertyzy kryminalistycznej dotyczącej materiałów wybuchowych;</w:t>
      </w:r>
    </w:p>
    <w:p w14:paraId="33947BE1" w14:textId="0524B9E7"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v.</w:t>
      </w:r>
      <w:r w:rsidR="00F039AD">
        <w:rPr>
          <w:rFonts w:ascii="Times New Roman" w:hAnsi="Times New Roman" w:cs="Times New Roman"/>
          <w:szCs w:val="24"/>
          <w:lang w:val="pl-PL"/>
        </w:rPr>
        <w:t>  </w:t>
      </w:r>
      <w:r w:rsidRPr="00246717">
        <w:rPr>
          <w:rFonts w:ascii="Times New Roman" w:hAnsi="Times New Roman" w:cs="Times New Roman"/>
          <w:szCs w:val="24"/>
          <w:lang w:val="pl-PL"/>
        </w:rPr>
        <w:t xml:space="preserve">sześć zdjęć przedstawiających windę w centrum handlowym </w:t>
      </w:r>
      <w:proofErr w:type="spellStart"/>
      <w:r w:rsidRPr="00246717">
        <w:rPr>
          <w:rFonts w:ascii="Times New Roman" w:hAnsi="Times New Roman" w:cs="Times New Roman"/>
          <w:szCs w:val="24"/>
          <w:lang w:val="pl-PL"/>
        </w:rPr>
        <w:t>Ochotnyj</w:t>
      </w:r>
      <w:proofErr w:type="spellEnd"/>
      <w:r w:rsidRPr="00246717">
        <w:rPr>
          <w:rFonts w:ascii="Times New Roman" w:hAnsi="Times New Roman" w:cs="Times New Roman"/>
          <w:szCs w:val="24"/>
          <w:lang w:val="pl-PL"/>
        </w:rPr>
        <w:t xml:space="preserve"> </w:t>
      </w:r>
      <w:proofErr w:type="spellStart"/>
      <w:r w:rsidRPr="00246717">
        <w:rPr>
          <w:rFonts w:ascii="Times New Roman" w:hAnsi="Times New Roman" w:cs="Times New Roman"/>
          <w:szCs w:val="24"/>
          <w:lang w:val="pl-PL"/>
        </w:rPr>
        <w:t>Riad</w:t>
      </w:r>
      <w:proofErr w:type="spellEnd"/>
      <w:r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 xml:space="preserve">które </w:t>
      </w:r>
      <w:r w:rsidR="00EE0EC5" w:rsidRPr="00246717">
        <w:rPr>
          <w:rFonts w:ascii="Times New Roman" w:hAnsi="Times New Roman" w:cs="Times New Roman"/>
          <w:szCs w:val="24"/>
          <w:lang w:val="pl-PL"/>
        </w:rPr>
        <w:t>zajęt</w:t>
      </w:r>
      <w:r w:rsidR="00EE0EC5">
        <w:rPr>
          <w:rFonts w:ascii="Times New Roman" w:hAnsi="Times New Roman" w:cs="Times New Roman"/>
          <w:szCs w:val="24"/>
          <w:lang w:val="pl-PL"/>
        </w:rPr>
        <w:t>o</w:t>
      </w:r>
      <w:r w:rsidR="00EE0EC5" w:rsidRPr="00246717">
        <w:rPr>
          <w:rFonts w:ascii="Times New Roman" w:hAnsi="Times New Roman" w:cs="Times New Roman"/>
          <w:szCs w:val="24"/>
          <w:lang w:val="pl-PL"/>
        </w:rPr>
        <w:t xml:space="preserve"> </w:t>
      </w:r>
      <w:r w:rsidRPr="00246717">
        <w:rPr>
          <w:rFonts w:ascii="Times New Roman" w:hAnsi="Times New Roman" w:cs="Times New Roman"/>
          <w:szCs w:val="24"/>
          <w:lang w:val="pl-PL"/>
        </w:rPr>
        <w:t xml:space="preserve">w mieszkaniu, w którym </w:t>
      </w:r>
      <w:r w:rsidR="00F5150B">
        <w:rPr>
          <w:rFonts w:ascii="Times New Roman" w:hAnsi="Times New Roman" w:cs="Times New Roman"/>
          <w:szCs w:val="24"/>
          <w:lang w:val="pl-PL"/>
        </w:rPr>
        <w:t xml:space="preserve">stale </w:t>
      </w:r>
      <w:r w:rsidR="00F039AD">
        <w:rPr>
          <w:rFonts w:ascii="Times New Roman" w:hAnsi="Times New Roman" w:cs="Times New Roman"/>
          <w:szCs w:val="24"/>
          <w:lang w:val="pl-PL"/>
        </w:rPr>
        <w:t>przebywała</w:t>
      </w:r>
      <w:r w:rsidRPr="00246717">
        <w:rPr>
          <w:rFonts w:ascii="Times New Roman" w:hAnsi="Times New Roman" w:cs="Times New Roman"/>
          <w:szCs w:val="24"/>
          <w:lang w:val="pl-PL"/>
        </w:rPr>
        <w:t xml:space="preserve"> skarżąca, a także sprawozdanie z inspekcji w lokalach centrum handlowego;</w:t>
      </w:r>
    </w:p>
    <w:p w14:paraId="626147C5" w14:textId="6CFC80D9"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vi.</w:t>
      </w:r>
      <w:r w:rsidR="00F039AD">
        <w:rPr>
          <w:rFonts w:ascii="Times New Roman" w:hAnsi="Times New Roman" w:cs="Times New Roman"/>
          <w:szCs w:val="24"/>
          <w:lang w:val="pl-PL"/>
        </w:rPr>
        <w:t>  </w:t>
      </w:r>
      <w:r w:rsidRPr="00246717">
        <w:rPr>
          <w:rFonts w:ascii="Times New Roman" w:hAnsi="Times New Roman" w:cs="Times New Roman"/>
          <w:szCs w:val="24"/>
          <w:lang w:val="pl-PL"/>
        </w:rPr>
        <w:t xml:space="preserve">sporządzona przez skarżącą notatka zwierająca ekstremistyczne stwierdzenia, </w:t>
      </w:r>
      <w:r w:rsidR="00EE0EC5">
        <w:rPr>
          <w:rFonts w:ascii="Times New Roman" w:hAnsi="Times New Roman" w:cs="Times New Roman"/>
          <w:szCs w:val="24"/>
          <w:lang w:val="pl-PL"/>
        </w:rPr>
        <w:t xml:space="preserve">którą </w:t>
      </w:r>
      <w:r w:rsidRPr="00246717">
        <w:rPr>
          <w:rFonts w:ascii="Times New Roman" w:hAnsi="Times New Roman" w:cs="Times New Roman"/>
          <w:szCs w:val="24"/>
          <w:lang w:val="pl-PL"/>
        </w:rPr>
        <w:t>zajęt</w:t>
      </w:r>
      <w:r w:rsidR="00EE0EC5">
        <w:rPr>
          <w:rFonts w:ascii="Times New Roman" w:hAnsi="Times New Roman" w:cs="Times New Roman"/>
          <w:szCs w:val="24"/>
          <w:lang w:val="pl-PL"/>
        </w:rPr>
        <w:t>o</w:t>
      </w:r>
      <w:r w:rsidRPr="00246717">
        <w:rPr>
          <w:rFonts w:ascii="Times New Roman" w:hAnsi="Times New Roman" w:cs="Times New Roman"/>
          <w:szCs w:val="24"/>
          <w:lang w:val="pl-PL"/>
        </w:rPr>
        <w:t xml:space="preserve"> w mieszkaniu, w którym</w:t>
      </w:r>
      <w:r w:rsidR="00F5150B">
        <w:rPr>
          <w:rFonts w:ascii="Times New Roman" w:hAnsi="Times New Roman" w:cs="Times New Roman"/>
          <w:szCs w:val="24"/>
          <w:lang w:val="pl-PL"/>
        </w:rPr>
        <w:t xml:space="preserve"> stale</w:t>
      </w:r>
      <w:r w:rsidRPr="00246717">
        <w:rPr>
          <w:rFonts w:ascii="Times New Roman" w:hAnsi="Times New Roman" w:cs="Times New Roman"/>
          <w:szCs w:val="24"/>
          <w:lang w:val="pl-PL"/>
        </w:rPr>
        <w:t xml:space="preserve"> </w:t>
      </w:r>
      <w:r w:rsidR="00F5150B">
        <w:rPr>
          <w:rFonts w:ascii="Times New Roman" w:hAnsi="Times New Roman" w:cs="Times New Roman"/>
          <w:szCs w:val="24"/>
          <w:lang w:val="pl-PL"/>
        </w:rPr>
        <w:t>przebywała</w:t>
      </w:r>
      <w:r w:rsidRPr="00246717">
        <w:rPr>
          <w:rFonts w:ascii="Times New Roman" w:hAnsi="Times New Roman" w:cs="Times New Roman"/>
          <w:szCs w:val="24"/>
          <w:lang w:val="pl-PL"/>
        </w:rPr>
        <w:t xml:space="preserve"> skarżąca, a także sporządzony odręcznie </w:t>
      </w:r>
      <w:r w:rsidR="00F5150B">
        <w:rPr>
          <w:rFonts w:ascii="Times New Roman" w:hAnsi="Times New Roman" w:cs="Times New Roman"/>
          <w:szCs w:val="24"/>
          <w:lang w:val="pl-PL"/>
        </w:rPr>
        <w:t>protokół</w:t>
      </w:r>
      <w:r w:rsidRPr="00246717">
        <w:rPr>
          <w:rFonts w:ascii="Times New Roman" w:hAnsi="Times New Roman" w:cs="Times New Roman"/>
          <w:szCs w:val="24"/>
          <w:lang w:val="pl-PL"/>
        </w:rPr>
        <w:t xml:space="preserve"> kryminalistyczny dotyczący tej notatki;</w:t>
      </w:r>
    </w:p>
    <w:p w14:paraId="490B3306" w14:textId="787E498A"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vii.</w:t>
      </w:r>
      <w:r w:rsidR="00F039AD">
        <w:rPr>
          <w:rFonts w:ascii="Times New Roman" w:hAnsi="Times New Roman" w:cs="Times New Roman"/>
          <w:szCs w:val="24"/>
          <w:lang w:val="pl-PL"/>
        </w:rPr>
        <w:t>  </w:t>
      </w:r>
      <w:r w:rsidRPr="00246717">
        <w:rPr>
          <w:rFonts w:ascii="Times New Roman" w:hAnsi="Times New Roman" w:cs="Times New Roman"/>
          <w:szCs w:val="24"/>
          <w:lang w:val="pl-PL"/>
        </w:rPr>
        <w:t>transkrypcje taśm wideo nagranych w mieszkaniu, w którym mieszkała skarżąca;</w:t>
      </w:r>
    </w:p>
    <w:p w14:paraId="4DB13A95" w14:textId="1FD82B52"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viii.</w:t>
      </w:r>
      <w:r w:rsidR="00F039AD">
        <w:rPr>
          <w:rFonts w:ascii="Times New Roman" w:hAnsi="Times New Roman" w:cs="Times New Roman"/>
          <w:szCs w:val="24"/>
          <w:lang w:val="pl-PL"/>
        </w:rPr>
        <w:t>  </w:t>
      </w:r>
      <w:r w:rsidRPr="00246717">
        <w:rPr>
          <w:rFonts w:ascii="Times New Roman" w:hAnsi="Times New Roman" w:cs="Times New Roman"/>
          <w:szCs w:val="24"/>
          <w:lang w:val="pl-PL"/>
        </w:rPr>
        <w:t xml:space="preserve">zeznanie </w:t>
      </w:r>
      <w:proofErr w:type="spellStart"/>
      <w:r w:rsidRPr="00246717">
        <w:rPr>
          <w:rFonts w:ascii="Times New Roman" w:hAnsi="Times New Roman" w:cs="Times New Roman"/>
          <w:szCs w:val="24"/>
          <w:lang w:val="pl-PL"/>
        </w:rPr>
        <w:t>przedprocesowe</w:t>
      </w:r>
      <w:proofErr w:type="spellEnd"/>
      <w:r w:rsidRPr="00246717">
        <w:rPr>
          <w:rFonts w:ascii="Times New Roman" w:hAnsi="Times New Roman" w:cs="Times New Roman"/>
          <w:szCs w:val="24"/>
          <w:lang w:val="pl-PL"/>
        </w:rPr>
        <w:t xml:space="preserve"> złożone przez A.;</w:t>
      </w:r>
    </w:p>
    <w:p w14:paraId="232131F5" w14:textId="2DE7EBEF"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ix.</w:t>
      </w:r>
      <w:r w:rsidR="00F039AD">
        <w:rPr>
          <w:rFonts w:ascii="Times New Roman" w:hAnsi="Times New Roman" w:cs="Times New Roman"/>
          <w:szCs w:val="24"/>
          <w:lang w:val="pl-PL"/>
        </w:rPr>
        <w:t>  </w:t>
      </w:r>
      <w:r w:rsidRPr="00246717">
        <w:rPr>
          <w:rFonts w:ascii="Times New Roman" w:hAnsi="Times New Roman" w:cs="Times New Roman"/>
          <w:szCs w:val="24"/>
          <w:lang w:val="pl-PL"/>
        </w:rPr>
        <w:t>zeznania kolejnych świadków oskarżenia</w:t>
      </w:r>
      <w:r w:rsidR="00EE0EC5">
        <w:rPr>
          <w:rFonts w:ascii="Times New Roman" w:hAnsi="Times New Roman" w:cs="Times New Roman"/>
          <w:szCs w:val="24"/>
          <w:lang w:val="pl-PL"/>
        </w:rPr>
        <w:t>, których</w:t>
      </w:r>
      <w:r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prze</w:t>
      </w:r>
      <w:r w:rsidR="00EE0EC5" w:rsidRPr="00246717">
        <w:rPr>
          <w:rFonts w:ascii="Times New Roman" w:hAnsi="Times New Roman" w:cs="Times New Roman"/>
          <w:szCs w:val="24"/>
          <w:lang w:val="pl-PL"/>
        </w:rPr>
        <w:t>słuchan</w:t>
      </w:r>
      <w:r w:rsidR="00EE0EC5">
        <w:rPr>
          <w:rFonts w:ascii="Times New Roman" w:hAnsi="Times New Roman" w:cs="Times New Roman"/>
          <w:szCs w:val="24"/>
          <w:lang w:val="pl-PL"/>
        </w:rPr>
        <w:t>o</w:t>
      </w:r>
      <w:r w:rsidR="00EE0EC5"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na rozprawie</w:t>
      </w:r>
      <w:r w:rsidRPr="00246717">
        <w:rPr>
          <w:rFonts w:ascii="Times New Roman" w:hAnsi="Times New Roman" w:cs="Times New Roman"/>
          <w:szCs w:val="24"/>
          <w:lang w:val="pl-PL"/>
        </w:rPr>
        <w:t>;</w:t>
      </w:r>
    </w:p>
    <w:p w14:paraId="4B8656F3" w14:textId="3827ACAE" w:rsidR="005B6547" w:rsidRPr="00246717" w:rsidRDefault="0070288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lastRenderedPageBreak/>
        <w:t>x.</w:t>
      </w:r>
      <w:r w:rsidR="00F039AD">
        <w:rPr>
          <w:rFonts w:ascii="Times New Roman" w:hAnsi="Times New Roman" w:cs="Times New Roman"/>
          <w:szCs w:val="24"/>
          <w:lang w:val="pl-PL"/>
        </w:rPr>
        <w:t>  </w:t>
      </w:r>
      <w:r w:rsidRPr="00246717">
        <w:rPr>
          <w:rFonts w:ascii="Times New Roman" w:hAnsi="Times New Roman" w:cs="Times New Roman"/>
          <w:szCs w:val="24"/>
          <w:lang w:val="pl-PL"/>
        </w:rPr>
        <w:t>zeznanie świadków obrony</w:t>
      </w:r>
      <w:r w:rsidR="00EE0EC5">
        <w:rPr>
          <w:rFonts w:ascii="Times New Roman" w:hAnsi="Times New Roman" w:cs="Times New Roman"/>
          <w:szCs w:val="24"/>
          <w:lang w:val="pl-PL"/>
        </w:rPr>
        <w:t>, których</w:t>
      </w:r>
      <w:r w:rsidR="00EE0EC5"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prze</w:t>
      </w:r>
      <w:r w:rsidR="00EE0EC5" w:rsidRPr="00246717">
        <w:rPr>
          <w:rFonts w:ascii="Times New Roman" w:hAnsi="Times New Roman" w:cs="Times New Roman"/>
          <w:szCs w:val="24"/>
          <w:lang w:val="pl-PL"/>
        </w:rPr>
        <w:t>słuchan</w:t>
      </w:r>
      <w:r w:rsidR="00EE0EC5">
        <w:rPr>
          <w:rFonts w:ascii="Times New Roman" w:hAnsi="Times New Roman" w:cs="Times New Roman"/>
          <w:szCs w:val="24"/>
          <w:lang w:val="pl-PL"/>
        </w:rPr>
        <w:t>o</w:t>
      </w:r>
      <w:r w:rsidR="00EE0EC5"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na rozprawie</w:t>
      </w:r>
      <w:r w:rsidRPr="00246717">
        <w:rPr>
          <w:rFonts w:ascii="Times New Roman" w:hAnsi="Times New Roman" w:cs="Times New Roman"/>
          <w:szCs w:val="24"/>
          <w:lang w:val="pl-PL"/>
        </w:rPr>
        <w:t xml:space="preserve">, a także </w:t>
      </w:r>
      <w:r w:rsidR="00EE0EC5">
        <w:rPr>
          <w:rFonts w:ascii="Times New Roman" w:hAnsi="Times New Roman" w:cs="Times New Roman"/>
          <w:szCs w:val="24"/>
          <w:lang w:val="pl-PL"/>
        </w:rPr>
        <w:t xml:space="preserve">ocena </w:t>
      </w:r>
      <w:proofErr w:type="spellStart"/>
      <w:r w:rsidR="00EE0EC5">
        <w:rPr>
          <w:rFonts w:ascii="Times New Roman" w:hAnsi="Times New Roman" w:cs="Times New Roman"/>
          <w:szCs w:val="24"/>
          <w:lang w:val="pl-PL"/>
        </w:rPr>
        <w:t>osobopoznawcza</w:t>
      </w:r>
      <w:proofErr w:type="spellEnd"/>
      <w:r w:rsidRPr="00246717">
        <w:rPr>
          <w:rFonts w:ascii="Times New Roman" w:hAnsi="Times New Roman" w:cs="Times New Roman"/>
          <w:szCs w:val="24"/>
          <w:lang w:val="pl-PL"/>
        </w:rPr>
        <w:t xml:space="preserve"> skarżącej z jej miejsca zamieszkania, nauki i pracy.</w:t>
      </w:r>
    </w:p>
    <w:p w14:paraId="7BC28509" w14:textId="65186261"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59</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wyroku powołano się na zeznanie świadka A. tylko w jednej części, </w:t>
      </w:r>
      <w:r w:rsidR="00EE0EC5">
        <w:rPr>
          <w:rFonts w:ascii="Times New Roman" w:hAnsi="Times New Roman" w:cs="Times New Roman"/>
          <w:szCs w:val="24"/>
          <w:lang w:val="pl-PL"/>
        </w:rPr>
        <w:t>o</w:t>
      </w:r>
      <w:r w:rsidR="00EE0EC5"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następując</w:t>
      </w:r>
      <w:r w:rsidR="00EE0EC5">
        <w:rPr>
          <w:rFonts w:ascii="Times New Roman" w:hAnsi="Times New Roman" w:cs="Times New Roman"/>
          <w:szCs w:val="24"/>
          <w:lang w:val="pl-PL"/>
        </w:rPr>
        <w:t>ym</w:t>
      </w:r>
      <w:r w:rsidR="005B6547" w:rsidRPr="00246717">
        <w:rPr>
          <w:rFonts w:ascii="Times New Roman" w:hAnsi="Times New Roman" w:cs="Times New Roman"/>
          <w:szCs w:val="24"/>
          <w:lang w:val="pl-PL"/>
        </w:rPr>
        <w:t xml:space="preserve"> brzmieni</w:t>
      </w:r>
      <w:r w:rsidR="00EE0EC5">
        <w:rPr>
          <w:rFonts w:ascii="Times New Roman" w:hAnsi="Times New Roman" w:cs="Times New Roman"/>
          <w:szCs w:val="24"/>
          <w:lang w:val="pl-PL"/>
        </w:rPr>
        <w:t>u</w:t>
      </w:r>
      <w:r w:rsidR="005B6547" w:rsidRPr="00246717">
        <w:rPr>
          <w:rFonts w:ascii="Times New Roman" w:hAnsi="Times New Roman" w:cs="Times New Roman"/>
          <w:szCs w:val="24"/>
          <w:lang w:val="pl-PL"/>
        </w:rPr>
        <w:t>:</w:t>
      </w:r>
    </w:p>
    <w:p w14:paraId="7076A586" w14:textId="6DE88ECE" w:rsidR="005B6547" w:rsidRPr="00246717" w:rsidRDefault="005B6547" w:rsidP="000957D3">
      <w:pPr>
        <w:pStyle w:val="ECHRParaQuote"/>
        <w:rPr>
          <w:lang w:val="pl-PL"/>
        </w:rPr>
      </w:pPr>
      <w:r w:rsidRPr="00246717">
        <w:rPr>
          <w:lang w:val="pl-PL"/>
        </w:rPr>
        <w:t xml:space="preserve">„Świadek A. [funkcjonariusz policji] zeznał, że pod koniec grudnia 2003 r., </w:t>
      </w:r>
      <w:r w:rsidR="00EE0EC5">
        <w:rPr>
          <w:lang w:val="pl-PL"/>
        </w:rPr>
        <w:t>na polecenie</w:t>
      </w:r>
      <w:r w:rsidRPr="00246717">
        <w:rPr>
          <w:lang w:val="pl-PL"/>
        </w:rPr>
        <w:t xml:space="preserve"> swoich przełożonych nawiązał relację </w:t>
      </w:r>
      <w:r w:rsidR="00F5150B">
        <w:rPr>
          <w:lang w:val="pl-PL"/>
        </w:rPr>
        <w:t>opartą na zaufaniu</w:t>
      </w:r>
      <w:r w:rsidR="00F5150B" w:rsidRPr="00246717">
        <w:rPr>
          <w:lang w:val="pl-PL"/>
        </w:rPr>
        <w:t xml:space="preserve"> </w:t>
      </w:r>
      <w:r w:rsidRPr="00246717">
        <w:rPr>
          <w:lang w:val="pl-PL"/>
        </w:rPr>
        <w:t xml:space="preserve">z </w:t>
      </w:r>
      <w:proofErr w:type="spellStart"/>
      <w:r w:rsidRPr="00246717">
        <w:rPr>
          <w:lang w:val="pl-PL"/>
        </w:rPr>
        <w:t>Murtazaliyevą</w:t>
      </w:r>
      <w:proofErr w:type="spellEnd"/>
      <w:r w:rsidRPr="00246717">
        <w:rPr>
          <w:lang w:val="pl-PL"/>
        </w:rPr>
        <w:t xml:space="preserve">; [ta zaś] przedstawiła go swoim przyjaciółkom, Ku. i V., które dobrowolnie przeszły </w:t>
      </w:r>
      <w:r w:rsidR="00EE0EC5">
        <w:rPr>
          <w:lang w:val="pl-PL"/>
        </w:rPr>
        <w:t>n</w:t>
      </w:r>
      <w:r w:rsidRPr="00246717">
        <w:rPr>
          <w:lang w:val="pl-PL"/>
        </w:rPr>
        <w:t xml:space="preserve">a islam. W świetle problemów </w:t>
      </w:r>
      <w:proofErr w:type="spellStart"/>
      <w:r w:rsidRPr="00246717">
        <w:rPr>
          <w:lang w:val="pl-PL"/>
        </w:rPr>
        <w:t>Murtazaliyevy</w:t>
      </w:r>
      <w:proofErr w:type="spellEnd"/>
      <w:r w:rsidRPr="00246717">
        <w:rPr>
          <w:lang w:val="pl-PL"/>
        </w:rPr>
        <w:t xml:space="preserve"> z zakwaterowaniem i z pomocą [organów policji] zapewniono jej pokój w noclegowni, do której wprowadziła się razem z przyjaciółkami na początku lutego 2004 r.; wieczorem w dniu 4 marca 2004 r. </w:t>
      </w:r>
      <w:proofErr w:type="spellStart"/>
      <w:r w:rsidRPr="00246717">
        <w:rPr>
          <w:lang w:val="pl-PL"/>
        </w:rPr>
        <w:t>Murtazaliyeva</w:t>
      </w:r>
      <w:proofErr w:type="spellEnd"/>
      <w:r w:rsidRPr="00246717">
        <w:rPr>
          <w:lang w:val="pl-PL"/>
        </w:rPr>
        <w:t xml:space="preserve"> zatelefonowała do [A.] i poinformowała go, że została zatrzymana przez patrol policji </w:t>
      </w:r>
      <w:r w:rsidR="00F5150B">
        <w:rPr>
          <w:lang w:val="pl-PL"/>
        </w:rPr>
        <w:t>w celu</w:t>
      </w:r>
      <w:r w:rsidRPr="00246717">
        <w:rPr>
          <w:lang w:val="pl-PL"/>
        </w:rPr>
        <w:t xml:space="preserve"> </w:t>
      </w:r>
      <w:r w:rsidR="00F5150B">
        <w:rPr>
          <w:lang w:val="pl-PL"/>
        </w:rPr>
        <w:t>zweryfikowania</w:t>
      </w:r>
      <w:r w:rsidRPr="00246717">
        <w:rPr>
          <w:lang w:val="pl-PL"/>
        </w:rPr>
        <w:t xml:space="preserve"> tożsamości i że poproszono ją, by poszła z funkcjonariuszami policji na posterunek policji; zalecił, aby </w:t>
      </w:r>
      <w:r w:rsidR="00EE0EC5">
        <w:rPr>
          <w:lang w:val="pl-PL"/>
        </w:rPr>
        <w:t>za</w:t>
      </w:r>
      <w:r w:rsidRPr="00246717">
        <w:rPr>
          <w:lang w:val="pl-PL"/>
        </w:rPr>
        <w:t>stosowała się do poleceń policjantów”.</w:t>
      </w:r>
    </w:p>
    <w:p w14:paraId="12B8FE3E" w14:textId="518FF073" w:rsidR="005B6547" w:rsidRPr="00246717" w:rsidRDefault="00C50930"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t xml:space="preserve">W </w:t>
      </w:r>
      <w:r w:rsidR="00EE0EC5">
        <w:rPr>
          <w:rFonts w:ascii="Times New Roman" w:hAnsi="Times New Roman" w:cs="Times New Roman"/>
          <w:szCs w:val="24"/>
          <w:lang w:val="pl-PL"/>
        </w:rPr>
        <w:t>przeciwieństwie do</w:t>
      </w:r>
      <w:r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stanowiska przyjętego</w:t>
      </w:r>
      <w:r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w stosunku do</w:t>
      </w:r>
      <w:r w:rsidR="00EE0EC5" w:rsidRPr="00246717">
        <w:rPr>
          <w:rFonts w:ascii="Times New Roman" w:hAnsi="Times New Roman" w:cs="Times New Roman"/>
          <w:szCs w:val="24"/>
          <w:lang w:val="pl-PL"/>
        </w:rPr>
        <w:t xml:space="preserve"> </w:t>
      </w:r>
      <w:r w:rsidRPr="00246717">
        <w:rPr>
          <w:rFonts w:ascii="Times New Roman" w:hAnsi="Times New Roman" w:cs="Times New Roman"/>
          <w:szCs w:val="24"/>
          <w:lang w:val="pl-PL"/>
        </w:rPr>
        <w:t xml:space="preserve">zeznań innych świadków, sąd nie skonfrontował zeznań A. z </w:t>
      </w:r>
      <w:r w:rsidR="00E9692B">
        <w:rPr>
          <w:rFonts w:ascii="Times New Roman" w:hAnsi="Times New Roman" w:cs="Times New Roman"/>
          <w:szCs w:val="24"/>
          <w:lang w:val="pl-PL"/>
        </w:rPr>
        <w:t>ich zeznaniami</w:t>
      </w:r>
      <w:r w:rsidRPr="00246717">
        <w:rPr>
          <w:rFonts w:ascii="Times New Roman" w:hAnsi="Times New Roman" w:cs="Times New Roman"/>
          <w:szCs w:val="24"/>
          <w:lang w:val="pl-PL"/>
        </w:rPr>
        <w:t xml:space="preserve"> </w:t>
      </w:r>
      <w:r w:rsidR="00E9692B">
        <w:rPr>
          <w:rFonts w:ascii="Times New Roman" w:hAnsi="Times New Roman" w:cs="Times New Roman"/>
          <w:szCs w:val="24"/>
          <w:lang w:val="pl-PL"/>
        </w:rPr>
        <w:t>ani</w:t>
      </w:r>
      <w:r w:rsidRPr="00246717">
        <w:rPr>
          <w:rFonts w:ascii="Times New Roman" w:hAnsi="Times New Roman" w:cs="Times New Roman"/>
          <w:szCs w:val="24"/>
          <w:lang w:val="pl-PL"/>
        </w:rPr>
        <w:t xml:space="preserve"> nie </w:t>
      </w:r>
      <w:r w:rsidR="00EE0EC5">
        <w:rPr>
          <w:rFonts w:ascii="Times New Roman" w:hAnsi="Times New Roman" w:cs="Times New Roman"/>
          <w:szCs w:val="24"/>
          <w:lang w:val="pl-PL"/>
        </w:rPr>
        <w:t>odwołał się</w:t>
      </w:r>
      <w:r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 xml:space="preserve">do </w:t>
      </w:r>
      <w:r w:rsidRPr="00246717">
        <w:rPr>
          <w:rFonts w:ascii="Times New Roman" w:hAnsi="Times New Roman" w:cs="Times New Roman"/>
          <w:szCs w:val="24"/>
          <w:lang w:val="pl-PL"/>
        </w:rPr>
        <w:t xml:space="preserve">jego </w:t>
      </w:r>
      <w:r w:rsidR="00EE0EC5" w:rsidRPr="00246717">
        <w:rPr>
          <w:rFonts w:ascii="Times New Roman" w:hAnsi="Times New Roman" w:cs="Times New Roman"/>
          <w:szCs w:val="24"/>
          <w:lang w:val="pl-PL"/>
        </w:rPr>
        <w:t>zezna</w:t>
      </w:r>
      <w:r w:rsidR="00EE0EC5">
        <w:rPr>
          <w:rFonts w:ascii="Times New Roman" w:hAnsi="Times New Roman" w:cs="Times New Roman"/>
          <w:szCs w:val="24"/>
          <w:lang w:val="pl-PL"/>
        </w:rPr>
        <w:t>ń</w:t>
      </w:r>
      <w:r w:rsidR="00EE0EC5" w:rsidRPr="00246717">
        <w:rPr>
          <w:rFonts w:ascii="Times New Roman" w:hAnsi="Times New Roman" w:cs="Times New Roman"/>
          <w:szCs w:val="24"/>
          <w:lang w:val="pl-PL"/>
        </w:rPr>
        <w:t xml:space="preserve"> </w:t>
      </w:r>
      <w:r w:rsidR="00EE0EC5">
        <w:rPr>
          <w:rFonts w:ascii="Times New Roman" w:hAnsi="Times New Roman" w:cs="Times New Roman"/>
          <w:szCs w:val="24"/>
          <w:lang w:val="pl-PL"/>
        </w:rPr>
        <w:t>w celu potwierdzenia</w:t>
      </w:r>
      <w:r w:rsidRPr="00246717">
        <w:rPr>
          <w:rFonts w:ascii="Times New Roman" w:hAnsi="Times New Roman" w:cs="Times New Roman"/>
          <w:szCs w:val="24"/>
          <w:lang w:val="pl-PL"/>
        </w:rPr>
        <w:t xml:space="preserve"> jakichkolwiek wniosków.</w:t>
      </w:r>
    </w:p>
    <w:p w14:paraId="5DFE4E0A" w14:textId="14C8058A" w:rsidR="005B6547" w:rsidRPr="00246717" w:rsidRDefault="00150576" w:rsidP="00D03A2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60</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Wyrok zawierał szczegółową analizę </w:t>
      </w:r>
      <w:r w:rsidR="00EE0EC5" w:rsidRPr="00246717">
        <w:rPr>
          <w:rFonts w:ascii="Times New Roman" w:hAnsi="Times New Roman" w:cs="Times New Roman"/>
          <w:szCs w:val="24"/>
          <w:lang w:val="pl-PL"/>
        </w:rPr>
        <w:t>zezna</w:t>
      </w:r>
      <w:r w:rsidR="00EE0EC5">
        <w:rPr>
          <w:rFonts w:ascii="Times New Roman" w:hAnsi="Times New Roman" w:cs="Times New Roman"/>
          <w:szCs w:val="24"/>
          <w:lang w:val="pl-PL"/>
        </w:rPr>
        <w:t>ń</w:t>
      </w:r>
      <w:r w:rsidR="00EE0EC5" w:rsidRPr="00246717">
        <w:rPr>
          <w:rFonts w:ascii="Times New Roman" w:hAnsi="Times New Roman" w:cs="Times New Roman"/>
          <w:szCs w:val="24"/>
          <w:lang w:val="pl-PL"/>
        </w:rPr>
        <w:t xml:space="preserve"> złożon</w:t>
      </w:r>
      <w:r w:rsidR="00EE0EC5">
        <w:rPr>
          <w:rFonts w:ascii="Times New Roman" w:hAnsi="Times New Roman" w:cs="Times New Roman"/>
          <w:szCs w:val="24"/>
          <w:lang w:val="pl-PL"/>
        </w:rPr>
        <w:t>ych</w:t>
      </w:r>
      <w:r w:rsidR="00EE0EC5"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przed</w:t>
      </w:r>
      <w:r w:rsidR="00E9692B">
        <w:rPr>
          <w:rFonts w:ascii="Times New Roman" w:hAnsi="Times New Roman" w:cs="Times New Roman"/>
          <w:szCs w:val="24"/>
          <w:lang w:val="pl-PL"/>
        </w:rPr>
        <w:t xml:space="preserve"> </w:t>
      </w:r>
      <w:r w:rsidR="00EE0EC5">
        <w:rPr>
          <w:rFonts w:ascii="Times New Roman" w:hAnsi="Times New Roman" w:cs="Times New Roman"/>
          <w:szCs w:val="24"/>
          <w:lang w:val="pl-PL"/>
        </w:rPr>
        <w:t>rozprawą</w:t>
      </w:r>
      <w:r w:rsidR="00EE0EC5"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i </w:t>
      </w:r>
      <w:r w:rsidR="00EE0EC5">
        <w:rPr>
          <w:rFonts w:ascii="Times New Roman" w:hAnsi="Times New Roman" w:cs="Times New Roman"/>
          <w:szCs w:val="24"/>
          <w:lang w:val="pl-PL"/>
        </w:rPr>
        <w:t>na rozprawie</w:t>
      </w:r>
      <w:r w:rsidR="005B6547" w:rsidRPr="00246717">
        <w:rPr>
          <w:rFonts w:ascii="Times New Roman" w:hAnsi="Times New Roman" w:cs="Times New Roman"/>
          <w:szCs w:val="24"/>
          <w:lang w:val="pl-PL"/>
        </w:rPr>
        <w:t xml:space="preserve"> przez V. i Ku., współlokatorki skarżącej, a także protokoły z konfrontacji ze skarżącą przed </w:t>
      </w:r>
      <w:r w:rsidR="004323E0">
        <w:rPr>
          <w:rFonts w:ascii="Times New Roman" w:hAnsi="Times New Roman" w:cs="Times New Roman"/>
          <w:szCs w:val="24"/>
          <w:lang w:val="pl-PL"/>
        </w:rPr>
        <w:t>rozprawą i na rozprawie</w:t>
      </w:r>
      <w:r w:rsidR="005B6547" w:rsidRPr="00246717">
        <w:rPr>
          <w:rFonts w:ascii="Times New Roman" w:hAnsi="Times New Roman" w:cs="Times New Roman"/>
          <w:szCs w:val="24"/>
          <w:lang w:val="pl-PL"/>
        </w:rPr>
        <w:t xml:space="preserve">. Sąd uznał zeznania złożone przed </w:t>
      </w:r>
      <w:r w:rsidR="004323E0">
        <w:rPr>
          <w:rFonts w:ascii="Times New Roman" w:hAnsi="Times New Roman" w:cs="Times New Roman"/>
          <w:szCs w:val="24"/>
          <w:lang w:val="pl-PL"/>
        </w:rPr>
        <w:t>rozprawą</w:t>
      </w:r>
      <w:r w:rsidR="004323E0"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przez V. i Ku. oraz zeznania V. złożone </w:t>
      </w:r>
      <w:r w:rsidR="004323E0">
        <w:rPr>
          <w:rFonts w:ascii="Times New Roman" w:hAnsi="Times New Roman" w:cs="Times New Roman"/>
          <w:szCs w:val="24"/>
          <w:lang w:val="pl-PL"/>
        </w:rPr>
        <w:t>na rozprawie</w:t>
      </w:r>
      <w:r w:rsidR="005B6547" w:rsidRPr="00246717">
        <w:rPr>
          <w:rFonts w:ascii="Times New Roman" w:hAnsi="Times New Roman" w:cs="Times New Roman"/>
          <w:szCs w:val="24"/>
          <w:lang w:val="pl-PL"/>
        </w:rPr>
        <w:t xml:space="preserve"> za ważne i przekonujące, ponieważ były zarówno spójne, jak i zgodne z pozostałym materiałem dowodowym. Co się tyczy zmiany zeznań przez Ku. </w:t>
      </w:r>
      <w:r w:rsidR="004323E0">
        <w:rPr>
          <w:rFonts w:ascii="Times New Roman" w:hAnsi="Times New Roman" w:cs="Times New Roman"/>
          <w:szCs w:val="24"/>
          <w:lang w:val="pl-PL"/>
        </w:rPr>
        <w:t>na rozprawie</w:t>
      </w:r>
      <w:r w:rsidR="005B6547" w:rsidRPr="00246717">
        <w:rPr>
          <w:rFonts w:ascii="Times New Roman" w:hAnsi="Times New Roman" w:cs="Times New Roman"/>
          <w:szCs w:val="24"/>
          <w:lang w:val="pl-PL"/>
        </w:rPr>
        <w:t xml:space="preserve">, sąd uznał, że jest to strategia </w:t>
      </w:r>
      <w:r w:rsidR="004323E0">
        <w:rPr>
          <w:rFonts w:ascii="Times New Roman" w:hAnsi="Times New Roman" w:cs="Times New Roman"/>
          <w:szCs w:val="24"/>
          <w:lang w:val="pl-PL"/>
        </w:rPr>
        <w:t>obrony</w:t>
      </w:r>
      <w:r w:rsidR="004323E0"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skarżącej i oddalił je. Zauważył w szczególności, że Ku., </w:t>
      </w:r>
      <w:r w:rsidR="00E9692B">
        <w:rPr>
          <w:rFonts w:ascii="Times New Roman" w:hAnsi="Times New Roman" w:cs="Times New Roman"/>
          <w:szCs w:val="24"/>
          <w:lang w:val="pl-PL"/>
        </w:rPr>
        <w:t xml:space="preserve">przy </w:t>
      </w:r>
      <w:r w:rsidR="004323E0">
        <w:rPr>
          <w:rFonts w:ascii="Times New Roman" w:hAnsi="Times New Roman" w:cs="Times New Roman"/>
          <w:szCs w:val="24"/>
          <w:lang w:val="pl-PL"/>
        </w:rPr>
        <w:t>udziale</w:t>
      </w:r>
      <w:r w:rsidR="004323E0"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obrońcy, była kilkakrotnie przesłuchiwana </w:t>
      </w:r>
      <w:r w:rsidR="004323E0">
        <w:rPr>
          <w:rFonts w:ascii="Times New Roman" w:hAnsi="Times New Roman" w:cs="Times New Roman"/>
          <w:szCs w:val="24"/>
          <w:lang w:val="pl-PL"/>
        </w:rPr>
        <w:t xml:space="preserve">na etapie </w:t>
      </w:r>
      <w:r w:rsidR="005B6547" w:rsidRPr="00246717">
        <w:rPr>
          <w:rFonts w:ascii="Times New Roman" w:hAnsi="Times New Roman" w:cs="Times New Roman"/>
          <w:szCs w:val="24"/>
          <w:lang w:val="pl-PL"/>
        </w:rPr>
        <w:t>postępowani</w:t>
      </w:r>
      <w:r w:rsidR="004323E0">
        <w:rPr>
          <w:rFonts w:ascii="Times New Roman" w:hAnsi="Times New Roman" w:cs="Times New Roman"/>
          <w:szCs w:val="24"/>
          <w:lang w:val="pl-PL"/>
        </w:rPr>
        <w:t>a</w:t>
      </w:r>
      <w:r w:rsidR="005B6547" w:rsidRPr="00246717">
        <w:rPr>
          <w:rFonts w:ascii="Times New Roman" w:hAnsi="Times New Roman" w:cs="Times New Roman"/>
          <w:szCs w:val="24"/>
          <w:lang w:val="pl-PL"/>
        </w:rPr>
        <w:t xml:space="preserve"> </w:t>
      </w:r>
      <w:r w:rsidR="004323E0" w:rsidRPr="00246717">
        <w:rPr>
          <w:rFonts w:ascii="Times New Roman" w:hAnsi="Times New Roman" w:cs="Times New Roman"/>
          <w:szCs w:val="24"/>
          <w:lang w:val="pl-PL"/>
        </w:rPr>
        <w:t>przygotowawcz</w:t>
      </w:r>
      <w:r w:rsidR="004323E0">
        <w:rPr>
          <w:rFonts w:ascii="Times New Roman" w:hAnsi="Times New Roman" w:cs="Times New Roman"/>
          <w:szCs w:val="24"/>
          <w:lang w:val="pl-PL"/>
        </w:rPr>
        <w:t>ego</w:t>
      </w:r>
      <w:r w:rsidR="004323E0"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i że nigdy nie skarżyła się na to, że jest poddawana przymusowi ze strony organów prowadzących </w:t>
      </w:r>
      <w:r w:rsidR="00B74F61">
        <w:rPr>
          <w:rFonts w:ascii="Times New Roman" w:hAnsi="Times New Roman" w:cs="Times New Roman"/>
          <w:szCs w:val="24"/>
          <w:lang w:val="pl-PL"/>
        </w:rPr>
        <w:t>postępowanie przygotowawcze</w:t>
      </w:r>
      <w:r w:rsidR="005B6547" w:rsidRPr="00246717">
        <w:rPr>
          <w:rFonts w:ascii="Times New Roman" w:hAnsi="Times New Roman" w:cs="Times New Roman"/>
          <w:szCs w:val="24"/>
          <w:lang w:val="pl-PL"/>
        </w:rPr>
        <w:t xml:space="preserve">. </w:t>
      </w:r>
      <w:r w:rsidR="00B74F61">
        <w:rPr>
          <w:rFonts w:ascii="Times New Roman" w:hAnsi="Times New Roman" w:cs="Times New Roman"/>
          <w:szCs w:val="24"/>
          <w:lang w:val="pl-PL"/>
        </w:rPr>
        <w:t>W czasie</w:t>
      </w:r>
      <w:r w:rsidR="005B6547" w:rsidRPr="00246717">
        <w:rPr>
          <w:rFonts w:ascii="Times New Roman" w:hAnsi="Times New Roman" w:cs="Times New Roman"/>
          <w:szCs w:val="24"/>
          <w:lang w:val="pl-PL"/>
        </w:rPr>
        <w:t xml:space="preserve"> przesłuchania </w:t>
      </w:r>
      <w:r w:rsidR="007431CD">
        <w:rPr>
          <w:rFonts w:ascii="Times New Roman" w:hAnsi="Times New Roman" w:cs="Times New Roman"/>
          <w:szCs w:val="24"/>
          <w:lang w:val="pl-PL"/>
        </w:rPr>
        <w:t>na rozprawie</w:t>
      </w:r>
      <w:r w:rsidR="005B6547" w:rsidRPr="00246717">
        <w:rPr>
          <w:rFonts w:ascii="Times New Roman" w:hAnsi="Times New Roman" w:cs="Times New Roman"/>
          <w:szCs w:val="24"/>
          <w:lang w:val="pl-PL"/>
        </w:rPr>
        <w:t xml:space="preserve"> </w:t>
      </w:r>
      <w:r w:rsidR="00B74F61">
        <w:rPr>
          <w:rFonts w:ascii="Times New Roman" w:hAnsi="Times New Roman" w:cs="Times New Roman"/>
          <w:szCs w:val="24"/>
          <w:lang w:val="pl-PL"/>
        </w:rPr>
        <w:t xml:space="preserve">Ku. </w:t>
      </w:r>
      <w:r w:rsidR="005B6547" w:rsidRPr="00246717">
        <w:rPr>
          <w:rFonts w:ascii="Times New Roman" w:hAnsi="Times New Roman" w:cs="Times New Roman"/>
          <w:szCs w:val="24"/>
          <w:lang w:val="pl-PL"/>
        </w:rPr>
        <w:t xml:space="preserve">nie zakwestionowała, że jej wcześniejsze zeznania zostały złożone dobrowolnie i bez </w:t>
      </w:r>
      <w:r w:rsidR="007431CD">
        <w:rPr>
          <w:rFonts w:ascii="Times New Roman" w:hAnsi="Times New Roman" w:cs="Times New Roman"/>
          <w:szCs w:val="24"/>
          <w:lang w:val="pl-PL"/>
        </w:rPr>
        <w:t xml:space="preserve">żadnego </w:t>
      </w:r>
      <w:r w:rsidR="00B74F61">
        <w:rPr>
          <w:rFonts w:ascii="Times New Roman" w:hAnsi="Times New Roman" w:cs="Times New Roman"/>
          <w:szCs w:val="24"/>
          <w:lang w:val="pl-PL"/>
        </w:rPr>
        <w:t>przymusu</w:t>
      </w:r>
      <w:r w:rsidR="005B6547" w:rsidRPr="00246717">
        <w:rPr>
          <w:rFonts w:ascii="Times New Roman" w:hAnsi="Times New Roman" w:cs="Times New Roman"/>
          <w:szCs w:val="24"/>
          <w:lang w:val="pl-PL"/>
        </w:rPr>
        <w:t xml:space="preserve"> psych</w:t>
      </w:r>
      <w:r w:rsidR="00B74F61">
        <w:rPr>
          <w:rFonts w:ascii="Times New Roman" w:hAnsi="Times New Roman" w:cs="Times New Roman"/>
          <w:szCs w:val="24"/>
          <w:lang w:val="pl-PL"/>
        </w:rPr>
        <w:t>icznego</w:t>
      </w:r>
      <w:r w:rsidR="005B6547" w:rsidRPr="00246717">
        <w:rPr>
          <w:rFonts w:ascii="Times New Roman" w:hAnsi="Times New Roman" w:cs="Times New Roman"/>
          <w:szCs w:val="24"/>
          <w:lang w:val="pl-PL"/>
        </w:rPr>
        <w:t xml:space="preserve"> </w:t>
      </w:r>
      <w:r w:rsidR="007431CD">
        <w:rPr>
          <w:rFonts w:ascii="Times New Roman" w:hAnsi="Times New Roman" w:cs="Times New Roman"/>
          <w:szCs w:val="24"/>
          <w:lang w:val="pl-PL"/>
        </w:rPr>
        <w:t>czy</w:t>
      </w:r>
      <w:r w:rsidR="007431CD"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fizyczne</w:t>
      </w:r>
      <w:r w:rsidR="00B74F61">
        <w:rPr>
          <w:rFonts w:ascii="Times New Roman" w:hAnsi="Times New Roman" w:cs="Times New Roman"/>
          <w:szCs w:val="24"/>
          <w:lang w:val="pl-PL"/>
        </w:rPr>
        <w:t>go</w:t>
      </w:r>
      <w:r w:rsidR="005B6547" w:rsidRPr="00246717">
        <w:rPr>
          <w:rFonts w:ascii="Times New Roman" w:hAnsi="Times New Roman" w:cs="Times New Roman"/>
          <w:szCs w:val="24"/>
          <w:lang w:val="pl-PL"/>
        </w:rPr>
        <w:t xml:space="preserve">. Ku. nie podała żadnych powodów wysunięcia tych fałszywych oświadczeń przed </w:t>
      </w:r>
      <w:r w:rsidR="007431CD">
        <w:rPr>
          <w:rFonts w:ascii="Times New Roman" w:hAnsi="Times New Roman" w:cs="Times New Roman"/>
          <w:szCs w:val="24"/>
          <w:lang w:val="pl-PL"/>
        </w:rPr>
        <w:t>rozprawą</w:t>
      </w:r>
      <w:r w:rsidR="005B6547" w:rsidRPr="00246717">
        <w:rPr>
          <w:rFonts w:ascii="Times New Roman" w:hAnsi="Times New Roman" w:cs="Times New Roman"/>
          <w:szCs w:val="24"/>
          <w:lang w:val="pl-PL"/>
        </w:rPr>
        <w:t>. Ponadto stwierdziła</w:t>
      </w:r>
      <w:r w:rsidR="00D03A23">
        <w:rPr>
          <w:rFonts w:ascii="Times New Roman" w:hAnsi="Times New Roman" w:cs="Times New Roman"/>
          <w:szCs w:val="24"/>
          <w:lang w:val="pl-PL"/>
        </w:rPr>
        <w:t xml:space="preserve"> przed sądem</w:t>
      </w:r>
      <w:r w:rsidR="005B6547" w:rsidRPr="00246717">
        <w:rPr>
          <w:rFonts w:ascii="Times New Roman" w:hAnsi="Times New Roman" w:cs="Times New Roman"/>
          <w:szCs w:val="24"/>
          <w:lang w:val="pl-PL"/>
        </w:rPr>
        <w:t xml:space="preserve">, że po rozmowie z </w:t>
      </w:r>
      <w:r w:rsidR="00906492">
        <w:rPr>
          <w:rFonts w:ascii="Times New Roman" w:hAnsi="Times New Roman" w:cs="Times New Roman"/>
          <w:szCs w:val="24"/>
          <w:lang w:val="pl-PL"/>
        </w:rPr>
        <w:t>obrońcą</w:t>
      </w:r>
      <w:r w:rsidR="00906492"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skarżącej złożyła formalną skargę w przedmiocie </w:t>
      </w:r>
      <w:r w:rsidR="00D03A23" w:rsidRPr="00246717">
        <w:rPr>
          <w:rFonts w:ascii="Times New Roman" w:hAnsi="Times New Roman" w:cs="Times New Roman"/>
          <w:szCs w:val="24"/>
          <w:lang w:val="pl-PL"/>
        </w:rPr>
        <w:t>psych</w:t>
      </w:r>
      <w:r w:rsidR="00D03A23">
        <w:rPr>
          <w:rFonts w:ascii="Times New Roman" w:hAnsi="Times New Roman" w:cs="Times New Roman"/>
          <w:szCs w:val="24"/>
          <w:lang w:val="pl-PL"/>
        </w:rPr>
        <w:t>icznego</w:t>
      </w:r>
      <w:r w:rsidR="00D03A23"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przymusu </w:t>
      </w:r>
      <w:r w:rsidR="00D03A23">
        <w:rPr>
          <w:rFonts w:ascii="Times New Roman" w:hAnsi="Times New Roman" w:cs="Times New Roman"/>
          <w:szCs w:val="24"/>
          <w:lang w:val="pl-PL"/>
        </w:rPr>
        <w:t xml:space="preserve">stosowanego </w:t>
      </w:r>
      <w:r w:rsidR="005B6547" w:rsidRPr="00246717">
        <w:rPr>
          <w:rFonts w:ascii="Times New Roman" w:hAnsi="Times New Roman" w:cs="Times New Roman"/>
          <w:szCs w:val="24"/>
          <w:lang w:val="pl-PL"/>
        </w:rPr>
        <w:t xml:space="preserve">podczas przesłuchania, jednak później wycofała tę skargę </w:t>
      </w:r>
      <w:r w:rsidR="00906492">
        <w:rPr>
          <w:rFonts w:ascii="Times New Roman" w:hAnsi="Times New Roman" w:cs="Times New Roman"/>
          <w:szCs w:val="24"/>
          <w:lang w:val="pl-PL"/>
        </w:rPr>
        <w:t>jako</w:t>
      </w:r>
      <w:r w:rsidR="00906492"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nieprawdziwą.</w:t>
      </w:r>
    </w:p>
    <w:p w14:paraId="0004B459" w14:textId="25F69359"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61</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Sąd </w:t>
      </w:r>
      <w:r w:rsidR="00906492">
        <w:rPr>
          <w:rFonts w:ascii="Times New Roman" w:hAnsi="Times New Roman" w:cs="Times New Roman"/>
          <w:szCs w:val="24"/>
          <w:lang w:val="pl-PL"/>
        </w:rPr>
        <w:t xml:space="preserve">ocenił </w:t>
      </w:r>
      <w:r w:rsidR="005B6547" w:rsidRPr="00246717">
        <w:rPr>
          <w:rFonts w:ascii="Times New Roman" w:hAnsi="Times New Roman" w:cs="Times New Roman"/>
          <w:szCs w:val="24"/>
          <w:lang w:val="pl-PL"/>
        </w:rPr>
        <w:t xml:space="preserve">i oddalił </w:t>
      </w:r>
      <w:r w:rsidR="00906492">
        <w:rPr>
          <w:rFonts w:ascii="Times New Roman" w:hAnsi="Times New Roman" w:cs="Times New Roman"/>
          <w:szCs w:val="24"/>
          <w:lang w:val="pl-PL"/>
        </w:rPr>
        <w:t>zarzut</w:t>
      </w:r>
      <w:r w:rsidR="00906492"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skarżącej, zgodnie z którym materiały wybuchowe zostały podrzucone do jej torebki. Powołał się przy tym na zeznanie funkcjonariuszy z patrolu i funkcjonariuszy na posterunku policji, którzy zaprzeczyli tym zarzutom oraz powołał się na fakt, zgodnie z którym, według oficjalnego raportu, przeszukanie skarżącej zostało poprzedzone pobraniem od niej odcisków palców i że nie znaleziono dowodów na to, że odciski palców pobrano dwukrotnie, jak podnosiła skarżąca.</w:t>
      </w:r>
    </w:p>
    <w:p w14:paraId="4F875E39" w14:textId="7F7F94B2"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62</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Są</w:t>
      </w:r>
      <w:r w:rsidR="00906492">
        <w:rPr>
          <w:rFonts w:ascii="Times New Roman" w:hAnsi="Times New Roman" w:cs="Times New Roman"/>
          <w:szCs w:val="24"/>
          <w:lang w:val="pl-PL"/>
        </w:rPr>
        <w:t>d</w:t>
      </w:r>
      <w:r w:rsidR="005B6547" w:rsidRPr="00246717">
        <w:rPr>
          <w:rFonts w:ascii="Times New Roman" w:hAnsi="Times New Roman" w:cs="Times New Roman"/>
          <w:szCs w:val="24"/>
          <w:lang w:val="pl-PL"/>
        </w:rPr>
        <w:t xml:space="preserve"> ustalił ponadto, że skarżąca musiała zredagować tekst odręcznej notatki samodzielnie i że nie skopiowała go, jak twierdziła, z islamistycznych stron internetowych, ponieważ notatka zawierała zmiany i korekty.</w:t>
      </w:r>
    </w:p>
    <w:p w14:paraId="17368AC6" w14:textId="665AED1A" w:rsidR="005B6547" w:rsidRPr="00246717" w:rsidRDefault="00F10FBB" w:rsidP="000957D3">
      <w:pPr>
        <w:pStyle w:val="ECHRHeading2"/>
        <w:rPr>
          <w:lang w:val="pl-PL"/>
        </w:rPr>
      </w:pPr>
      <w:bookmarkStart w:id="51" w:name="_Toc512401276"/>
      <w:bookmarkStart w:id="52" w:name="_Toc512345122"/>
      <w:bookmarkStart w:id="53" w:name="_Toc504470796"/>
      <w:r w:rsidRPr="00246717">
        <w:rPr>
          <w:lang w:val="pl-PL"/>
        </w:rPr>
        <w:lastRenderedPageBreak/>
        <w:t>D.</w:t>
      </w:r>
      <w:r w:rsidR="00D03A23">
        <w:rPr>
          <w:lang w:val="pl-PL"/>
        </w:rPr>
        <w:t>  </w:t>
      </w:r>
      <w:r w:rsidRPr="00246717">
        <w:rPr>
          <w:lang w:val="pl-PL"/>
        </w:rPr>
        <w:t xml:space="preserve">Postępowanie </w:t>
      </w:r>
      <w:r w:rsidRPr="00966403">
        <w:rPr>
          <w:lang w:val="pl-PL"/>
        </w:rPr>
        <w:t>odwoławcze i kontrola</w:t>
      </w:r>
      <w:bookmarkEnd w:id="51"/>
      <w:bookmarkEnd w:id="52"/>
      <w:bookmarkEnd w:id="53"/>
    </w:p>
    <w:bookmarkStart w:id="54" w:name="Request1Appeal"/>
    <w:p w14:paraId="22769C02" w14:textId="7E3D17EB"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63</w:t>
      </w:r>
      <w:r w:rsidRPr="00246717">
        <w:rPr>
          <w:rFonts w:ascii="Times New Roman" w:hAnsi="Times New Roman" w:cs="Times New Roman"/>
          <w:szCs w:val="24"/>
          <w:lang w:val="pl-PL"/>
        </w:rPr>
        <w:fldChar w:fldCharType="end"/>
      </w:r>
      <w:bookmarkEnd w:id="54"/>
      <w:r w:rsidR="005B6547" w:rsidRPr="00246717">
        <w:rPr>
          <w:rFonts w:ascii="Times New Roman" w:hAnsi="Times New Roman" w:cs="Times New Roman"/>
          <w:szCs w:val="24"/>
          <w:lang w:val="pl-PL"/>
        </w:rPr>
        <w:t xml:space="preserve">.  Skarżąca i jej </w:t>
      </w:r>
      <w:r w:rsidR="00C1346C">
        <w:rPr>
          <w:rFonts w:ascii="Times New Roman" w:hAnsi="Times New Roman" w:cs="Times New Roman"/>
          <w:szCs w:val="24"/>
          <w:lang w:val="pl-PL"/>
        </w:rPr>
        <w:t>obrońcy</w:t>
      </w:r>
      <w:r w:rsidR="00C1346C" w:rsidRPr="00246717">
        <w:rPr>
          <w:rFonts w:ascii="Times New Roman" w:hAnsi="Times New Roman" w:cs="Times New Roman"/>
          <w:szCs w:val="24"/>
          <w:lang w:val="pl-PL"/>
        </w:rPr>
        <w:t xml:space="preserve"> </w:t>
      </w:r>
      <w:r w:rsidR="00C1346C">
        <w:rPr>
          <w:rFonts w:ascii="Times New Roman" w:hAnsi="Times New Roman" w:cs="Times New Roman"/>
          <w:szCs w:val="24"/>
          <w:lang w:val="pl-PL"/>
        </w:rPr>
        <w:t>wnieśli odwołanie</w:t>
      </w:r>
      <w:r w:rsidR="005B6547" w:rsidRPr="00246717">
        <w:rPr>
          <w:rFonts w:ascii="Times New Roman" w:hAnsi="Times New Roman" w:cs="Times New Roman"/>
          <w:szCs w:val="24"/>
          <w:lang w:val="pl-PL"/>
        </w:rPr>
        <w:t xml:space="preserve"> od wyroku skazującego. W uzasadnieni</w:t>
      </w:r>
      <w:r w:rsidR="00D03A23">
        <w:rPr>
          <w:rFonts w:ascii="Times New Roman" w:hAnsi="Times New Roman" w:cs="Times New Roman"/>
          <w:szCs w:val="24"/>
          <w:lang w:val="pl-PL"/>
        </w:rPr>
        <w:t>u</w:t>
      </w:r>
      <w:r w:rsidR="005B6547" w:rsidRPr="00246717">
        <w:rPr>
          <w:rFonts w:ascii="Times New Roman" w:hAnsi="Times New Roman" w:cs="Times New Roman"/>
          <w:szCs w:val="24"/>
          <w:lang w:val="pl-PL"/>
        </w:rPr>
        <w:t xml:space="preserve"> odwołania przedłożon</w:t>
      </w:r>
      <w:r w:rsidR="00D03A23">
        <w:rPr>
          <w:rFonts w:ascii="Times New Roman" w:hAnsi="Times New Roman" w:cs="Times New Roman"/>
          <w:szCs w:val="24"/>
          <w:lang w:val="pl-PL"/>
        </w:rPr>
        <w:t>ego</w:t>
      </w:r>
      <w:r w:rsidR="005B6547" w:rsidRPr="00246717">
        <w:rPr>
          <w:rFonts w:ascii="Times New Roman" w:hAnsi="Times New Roman" w:cs="Times New Roman"/>
          <w:szCs w:val="24"/>
          <w:lang w:val="pl-PL"/>
        </w:rPr>
        <w:t xml:space="preserve"> przez obronę </w:t>
      </w:r>
      <w:r w:rsidR="00D03A23">
        <w:rPr>
          <w:rFonts w:ascii="Times New Roman" w:hAnsi="Times New Roman" w:cs="Times New Roman"/>
          <w:szCs w:val="24"/>
          <w:lang w:val="pl-PL"/>
        </w:rPr>
        <w:t>obrońca</w:t>
      </w:r>
      <w:r w:rsidR="005B6547" w:rsidRPr="00246717">
        <w:rPr>
          <w:rFonts w:ascii="Times New Roman" w:hAnsi="Times New Roman" w:cs="Times New Roman"/>
          <w:szCs w:val="24"/>
          <w:lang w:val="pl-PL"/>
        </w:rPr>
        <w:t xml:space="preserve"> S. wskazał, co następuje:</w:t>
      </w:r>
    </w:p>
    <w:p w14:paraId="3B4BB68B" w14:textId="05585C6E" w:rsidR="005B6547" w:rsidRPr="00246717" w:rsidRDefault="00702880" w:rsidP="000957D3">
      <w:pPr>
        <w:pStyle w:val="JuQuotSub"/>
        <w:rPr>
          <w:lang w:val="pl-PL"/>
        </w:rPr>
      </w:pPr>
      <w:r w:rsidRPr="00246717">
        <w:rPr>
          <w:lang w:val="pl-PL"/>
        </w:rPr>
        <w:t xml:space="preserve">„[...] </w:t>
      </w:r>
      <w:r w:rsidR="003717E1">
        <w:rPr>
          <w:lang w:val="pl-PL"/>
        </w:rPr>
        <w:t>na rozprawie nie zapoznano się z</w:t>
      </w:r>
      <w:r w:rsidRPr="00246717">
        <w:rPr>
          <w:lang w:val="pl-PL"/>
        </w:rPr>
        <w:t xml:space="preserve"> 15 z 16 taśm wideo zawierających nagrania tajnego monitoringu; mają one istotną wartość dowodową, ponieważ ich porównanie z [...] zeznaniem </w:t>
      </w:r>
      <w:proofErr w:type="spellStart"/>
      <w:r w:rsidRPr="00246717">
        <w:rPr>
          <w:lang w:val="pl-PL"/>
        </w:rPr>
        <w:t>Murtazaliyevy</w:t>
      </w:r>
      <w:proofErr w:type="spellEnd"/>
      <w:r w:rsidRPr="00246717">
        <w:rPr>
          <w:lang w:val="pl-PL"/>
        </w:rPr>
        <w:t xml:space="preserve"> i kluczowych świadków oskarżenia, V. i Ku., mogłoby mieć znaczący wpływ na [wyrok skazujący] [...]</w:t>
      </w:r>
    </w:p>
    <w:p w14:paraId="62A6C6B7" w14:textId="5999A4E8" w:rsidR="005B6547" w:rsidRPr="00246717" w:rsidRDefault="005B6547" w:rsidP="000957D3">
      <w:pPr>
        <w:pStyle w:val="JuQuotSub"/>
        <w:rPr>
          <w:lang w:val="pl-PL"/>
        </w:rPr>
      </w:pPr>
      <w:proofErr w:type="spellStart"/>
      <w:r w:rsidRPr="00246717">
        <w:rPr>
          <w:lang w:val="pl-PL"/>
        </w:rPr>
        <w:t>Murtazaliyeva</w:t>
      </w:r>
      <w:proofErr w:type="spellEnd"/>
      <w:r w:rsidRPr="00246717">
        <w:rPr>
          <w:lang w:val="pl-PL"/>
        </w:rPr>
        <w:t xml:space="preserve"> </w:t>
      </w:r>
      <w:r w:rsidR="003717E1">
        <w:rPr>
          <w:lang w:val="pl-PL"/>
        </w:rPr>
        <w:t>twierdził i nadal twierdzi</w:t>
      </w:r>
      <w:r w:rsidRPr="00246717">
        <w:rPr>
          <w:lang w:val="pl-PL"/>
        </w:rPr>
        <w:t xml:space="preserve"> w swoim odwołaniu, ze istnieją rozbieżności pomiędzy tymi nagraniami wideo a </w:t>
      </w:r>
      <w:r w:rsidR="0022050E">
        <w:rPr>
          <w:lang w:val="pl-PL"/>
        </w:rPr>
        <w:t xml:space="preserve">sporządzonymi zeń </w:t>
      </w:r>
      <w:r w:rsidRPr="00246717">
        <w:rPr>
          <w:lang w:val="pl-PL"/>
        </w:rPr>
        <w:t>transkrypcjami. W trakcie wybiórczego oglądania jednej taśmy wideo skarżąca została pozbawiona „z przyczyn technicznych” możliwości wskazania niespójności [...]</w:t>
      </w:r>
    </w:p>
    <w:p w14:paraId="33223A9D" w14:textId="01C8139E" w:rsidR="005B6547" w:rsidRPr="00246717" w:rsidRDefault="005B6547" w:rsidP="000957D3">
      <w:pPr>
        <w:pStyle w:val="JuQuotSub"/>
        <w:rPr>
          <w:lang w:val="pl-PL"/>
        </w:rPr>
      </w:pPr>
      <w:r w:rsidRPr="00246717">
        <w:rPr>
          <w:lang w:val="pl-PL"/>
        </w:rPr>
        <w:t xml:space="preserve">Sędzia nie uwzględnił mojego wniosku o przesłuchanie funkcjonariusza policji A. w charakterze świadka i nie </w:t>
      </w:r>
      <w:r w:rsidR="006705F9">
        <w:rPr>
          <w:lang w:val="pl-PL"/>
        </w:rPr>
        <w:t>rozstrzygnął</w:t>
      </w:r>
      <w:r w:rsidR="006705F9" w:rsidRPr="00246717">
        <w:rPr>
          <w:lang w:val="pl-PL"/>
        </w:rPr>
        <w:t xml:space="preserve"> </w:t>
      </w:r>
      <w:r w:rsidRPr="00246717">
        <w:rPr>
          <w:lang w:val="pl-PL"/>
        </w:rPr>
        <w:t xml:space="preserve">w przedmiocie tego wniosku. Ograniczył się do stwierdzenia, że świadek A. [...] był na związanej z pracą misji poza Moskwą i nie [mógł] stawić się przed sądem. W </w:t>
      </w:r>
      <w:r w:rsidR="006705F9">
        <w:rPr>
          <w:lang w:val="pl-PL"/>
        </w:rPr>
        <w:t>chwili</w:t>
      </w:r>
      <w:r w:rsidR="006705F9" w:rsidRPr="00246717">
        <w:rPr>
          <w:lang w:val="pl-PL"/>
        </w:rPr>
        <w:t xml:space="preserve"> </w:t>
      </w:r>
      <w:r w:rsidRPr="00246717">
        <w:rPr>
          <w:lang w:val="pl-PL"/>
        </w:rPr>
        <w:t>składania odwołania [</w:t>
      </w:r>
      <w:r w:rsidR="0022050E">
        <w:rPr>
          <w:lang w:val="pl-PL"/>
        </w:rPr>
        <w:t>w aktach sprawy</w:t>
      </w:r>
      <w:r w:rsidRPr="00246717">
        <w:rPr>
          <w:lang w:val="pl-PL"/>
        </w:rPr>
        <w:t xml:space="preserve">] nie ma żadnych dokumentów </w:t>
      </w:r>
      <w:r w:rsidR="006705F9">
        <w:rPr>
          <w:lang w:val="pl-PL"/>
        </w:rPr>
        <w:t>potwierdzających</w:t>
      </w:r>
      <w:r w:rsidRPr="00246717">
        <w:rPr>
          <w:lang w:val="pl-PL"/>
        </w:rPr>
        <w:t xml:space="preserve"> t</w:t>
      </w:r>
      <w:r w:rsidR="006705F9">
        <w:rPr>
          <w:lang w:val="pl-PL"/>
        </w:rPr>
        <w:t>ę</w:t>
      </w:r>
      <w:r w:rsidRPr="00246717">
        <w:rPr>
          <w:lang w:val="pl-PL"/>
        </w:rPr>
        <w:t xml:space="preserve"> informacj</w:t>
      </w:r>
      <w:r w:rsidR="006705F9">
        <w:rPr>
          <w:lang w:val="pl-PL"/>
        </w:rPr>
        <w:t>ę</w:t>
      </w:r>
      <w:r w:rsidRPr="00246717">
        <w:rPr>
          <w:lang w:val="pl-PL"/>
        </w:rPr>
        <w:t>.</w:t>
      </w:r>
    </w:p>
    <w:p w14:paraId="432F7499" w14:textId="326C042E" w:rsidR="005B6547" w:rsidRPr="00246717" w:rsidRDefault="005B6547" w:rsidP="000957D3">
      <w:pPr>
        <w:pStyle w:val="JuQuotSub"/>
        <w:rPr>
          <w:lang w:val="pl-PL"/>
        </w:rPr>
      </w:pPr>
      <w:r w:rsidRPr="00246717">
        <w:rPr>
          <w:lang w:val="pl-PL"/>
        </w:rPr>
        <w:t xml:space="preserve">Odmowa wezwania i przesłuchania przez sąd </w:t>
      </w:r>
      <w:r w:rsidR="006705F9">
        <w:rPr>
          <w:lang w:val="pl-PL"/>
        </w:rPr>
        <w:t>przybranych</w:t>
      </w:r>
      <w:r w:rsidR="006705F9" w:rsidRPr="00246717">
        <w:rPr>
          <w:lang w:val="pl-PL"/>
        </w:rPr>
        <w:t xml:space="preserve"> </w:t>
      </w:r>
      <w:r w:rsidRPr="00246717">
        <w:rPr>
          <w:lang w:val="pl-PL"/>
        </w:rPr>
        <w:t xml:space="preserve">świadków B. i K., którzy byli obecni podczas przeszukania </w:t>
      </w:r>
      <w:proofErr w:type="spellStart"/>
      <w:r w:rsidRPr="00246717">
        <w:rPr>
          <w:lang w:val="pl-PL"/>
        </w:rPr>
        <w:t>Murtazaliyevy</w:t>
      </w:r>
      <w:proofErr w:type="spellEnd"/>
      <w:r w:rsidRPr="00246717">
        <w:rPr>
          <w:lang w:val="pl-PL"/>
        </w:rPr>
        <w:t>, wydaje się nieuzasadniona. [</w:t>
      </w:r>
      <w:proofErr w:type="spellStart"/>
      <w:r w:rsidRPr="00246717">
        <w:rPr>
          <w:lang w:val="pl-PL"/>
        </w:rPr>
        <w:t>Murtazaliyeva</w:t>
      </w:r>
      <w:proofErr w:type="spellEnd"/>
      <w:r w:rsidRPr="00246717">
        <w:rPr>
          <w:lang w:val="pl-PL"/>
        </w:rPr>
        <w:t xml:space="preserve"> </w:t>
      </w:r>
      <w:r w:rsidR="00BA4E8E">
        <w:rPr>
          <w:lang w:val="pl-PL"/>
        </w:rPr>
        <w:t>konsekwentnie twierdzi</w:t>
      </w:r>
      <w:r w:rsidRPr="00246717">
        <w:rPr>
          <w:lang w:val="pl-PL"/>
        </w:rPr>
        <w:t xml:space="preserve">, że plastyczne materiały wybuchowe zostały podrzucone do jej torebki przez funkcjonariuszy policji]. Nikt nie może sobie przypomnieć, kto </w:t>
      </w:r>
      <w:r w:rsidR="00BA4E8E">
        <w:rPr>
          <w:lang w:val="pl-PL"/>
        </w:rPr>
        <w:t xml:space="preserve">przybrał </w:t>
      </w:r>
      <w:r w:rsidRPr="00246717">
        <w:rPr>
          <w:lang w:val="pl-PL"/>
        </w:rPr>
        <w:t>świadków, w jaki sposób i kiedy [...]</w:t>
      </w:r>
    </w:p>
    <w:p w14:paraId="0E98EA13" w14:textId="55F48509" w:rsidR="005B6547" w:rsidRPr="00246717" w:rsidRDefault="005B6547" w:rsidP="000957D3">
      <w:pPr>
        <w:pStyle w:val="JuQuotSub"/>
        <w:rPr>
          <w:lang w:val="pl-PL"/>
        </w:rPr>
      </w:pPr>
      <w:r w:rsidRPr="00246717">
        <w:rPr>
          <w:lang w:val="pl-PL"/>
        </w:rPr>
        <w:t xml:space="preserve">Według zeznania świadka A., które zostało odczytane na rozprawie i które sąd przywołuje w swoim wyroku, świadek A. rozmawiał przez telefon nie tylko z </w:t>
      </w:r>
      <w:proofErr w:type="spellStart"/>
      <w:r w:rsidRPr="00246717">
        <w:rPr>
          <w:lang w:val="pl-PL"/>
        </w:rPr>
        <w:t>Murtazaliyevą</w:t>
      </w:r>
      <w:proofErr w:type="spellEnd"/>
      <w:r w:rsidRPr="00246717">
        <w:rPr>
          <w:lang w:val="pl-PL"/>
        </w:rPr>
        <w:t xml:space="preserve">, </w:t>
      </w:r>
      <w:r w:rsidR="0022050E">
        <w:rPr>
          <w:lang w:val="pl-PL"/>
        </w:rPr>
        <w:t>lecz także</w:t>
      </w:r>
      <w:r w:rsidRPr="00246717">
        <w:rPr>
          <w:lang w:val="pl-PL"/>
        </w:rPr>
        <w:t xml:space="preserve"> z funkcjonariuszami policji dokonującymi zatrzymania; [nie byli to funkcjonariusze policji przesłuchiwani na rozprawie, ponieważ nie wspomnieli oni o rozmowie z A. w licznych zeznaniach</w:t>
      </w:r>
      <w:r w:rsidR="00BA4E8E">
        <w:rPr>
          <w:lang w:val="pl-PL"/>
        </w:rPr>
        <w:t xml:space="preserve">, które złożyli </w:t>
      </w:r>
      <w:r w:rsidRPr="00246717">
        <w:rPr>
          <w:lang w:val="pl-PL"/>
        </w:rPr>
        <w:t xml:space="preserve">na </w:t>
      </w:r>
      <w:r w:rsidR="00BA4E8E" w:rsidRPr="00246717">
        <w:rPr>
          <w:lang w:val="pl-PL"/>
        </w:rPr>
        <w:t>etap</w:t>
      </w:r>
      <w:r w:rsidR="00BA4E8E">
        <w:rPr>
          <w:lang w:val="pl-PL"/>
        </w:rPr>
        <w:t>ie</w:t>
      </w:r>
      <w:r w:rsidR="00BA4E8E" w:rsidRPr="00246717">
        <w:rPr>
          <w:lang w:val="pl-PL"/>
        </w:rPr>
        <w:t xml:space="preserve"> </w:t>
      </w:r>
      <w:r w:rsidRPr="00246717">
        <w:rPr>
          <w:lang w:val="pl-PL"/>
        </w:rPr>
        <w:t xml:space="preserve">postępowania przygotowawczego i </w:t>
      </w:r>
      <w:r w:rsidR="00BA4E8E">
        <w:rPr>
          <w:lang w:val="pl-PL"/>
        </w:rPr>
        <w:t>na samej rozprawie</w:t>
      </w:r>
      <w:r w:rsidRPr="00246717">
        <w:rPr>
          <w:lang w:val="pl-PL"/>
        </w:rPr>
        <w:t xml:space="preserve">]. [W związku z tym] zeznanie A. przeczy [zeznaniom tych funkcjonariuszy policji] i potwierdza twierdzenie </w:t>
      </w:r>
      <w:proofErr w:type="spellStart"/>
      <w:r w:rsidRPr="00246717">
        <w:rPr>
          <w:lang w:val="pl-PL"/>
        </w:rPr>
        <w:t>Murtazaliyevy</w:t>
      </w:r>
      <w:proofErr w:type="spellEnd"/>
      <w:r w:rsidRPr="00246717">
        <w:rPr>
          <w:lang w:val="pl-PL"/>
        </w:rPr>
        <w:t>, zgodnie z którym została ona zatrzymana przez innych funkcjonariuszy, kiedy opuszczała swoje miejsce pracy [...]”.</w:t>
      </w:r>
    </w:p>
    <w:p w14:paraId="1B58A23D" w14:textId="0681C158"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64</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Obrończyni U. w uzasadnieniu odwołania stwierdziła w szczególności, że obrona wniosła o </w:t>
      </w:r>
      <w:r w:rsidR="00BA4E8E">
        <w:rPr>
          <w:rFonts w:ascii="Times New Roman" w:hAnsi="Times New Roman" w:cs="Times New Roman"/>
          <w:szCs w:val="24"/>
          <w:lang w:val="pl-PL"/>
        </w:rPr>
        <w:t>wezwanie</w:t>
      </w:r>
      <w:r w:rsidR="00BA4E8E"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świadka A. zarówno jako świadka obrony, jak i oskarżenia. Wniosek ten został jednak oddalony przez sąd </w:t>
      </w:r>
      <w:r w:rsidR="00E721A7">
        <w:rPr>
          <w:rFonts w:ascii="Times New Roman" w:hAnsi="Times New Roman" w:cs="Times New Roman"/>
          <w:szCs w:val="24"/>
          <w:lang w:val="pl-PL"/>
        </w:rPr>
        <w:t>orzekający</w:t>
      </w:r>
      <w:r w:rsidR="005B6547" w:rsidRPr="00246717">
        <w:rPr>
          <w:rFonts w:ascii="Times New Roman" w:hAnsi="Times New Roman" w:cs="Times New Roman"/>
          <w:szCs w:val="24"/>
          <w:lang w:val="pl-PL"/>
        </w:rPr>
        <w:t xml:space="preserve"> </w:t>
      </w:r>
      <w:r w:rsidR="00657D0F">
        <w:rPr>
          <w:rFonts w:ascii="Times New Roman" w:hAnsi="Times New Roman" w:cs="Times New Roman"/>
          <w:szCs w:val="24"/>
          <w:lang w:val="pl-PL"/>
        </w:rPr>
        <w:t xml:space="preserve">w </w:t>
      </w:r>
      <w:r w:rsidR="00BA4E8E">
        <w:rPr>
          <w:rFonts w:ascii="Times New Roman" w:hAnsi="Times New Roman" w:cs="Times New Roman"/>
          <w:szCs w:val="24"/>
          <w:lang w:val="pl-PL"/>
        </w:rPr>
        <w:t>związku z</w:t>
      </w:r>
      <w:r w:rsidR="005B6547" w:rsidRPr="00246717">
        <w:rPr>
          <w:rFonts w:ascii="Times New Roman" w:hAnsi="Times New Roman" w:cs="Times New Roman"/>
          <w:szCs w:val="24"/>
          <w:lang w:val="pl-PL"/>
        </w:rPr>
        <w:t xml:space="preserve"> nieobecnoś</w:t>
      </w:r>
      <w:r w:rsidR="00657D0F">
        <w:rPr>
          <w:rFonts w:ascii="Times New Roman" w:hAnsi="Times New Roman" w:cs="Times New Roman"/>
          <w:szCs w:val="24"/>
          <w:lang w:val="pl-PL"/>
        </w:rPr>
        <w:t>ci</w:t>
      </w:r>
      <w:r w:rsidR="00BA4E8E">
        <w:rPr>
          <w:rFonts w:ascii="Times New Roman" w:hAnsi="Times New Roman" w:cs="Times New Roman"/>
          <w:szCs w:val="24"/>
          <w:lang w:val="pl-PL"/>
        </w:rPr>
        <w:t>ą</w:t>
      </w:r>
      <w:r w:rsidR="005B6547" w:rsidRPr="00246717">
        <w:rPr>
          <w:rFonts w:ascii="Times New Roman" w:hAnsi="Times New Roman" w:cs="Times New Roman"/>
          <w:szCs w:val="24"/>
          <w:lang w:val="pl-PL"/>
        </w:rPr>
        <w:t xml:space="preserve"> świadka A., co nie znalazło potwierdzenia w </w:t>
      </w:r>
      <w:r w:rsidR="00BA4E8E" w:rsidRPr="00246717">
        <w:rPr>
          <w:rFonts w:ascii="Times New Roman" w:hAnsi="Times New Roman" w:cs="Times New Roman"/>
          <w:szCs w:val="24"/>
          <w:lang w:val="pl-PL"/>
        </w:rPr>
        <w:t>do</w:t>
      </w:r>
      <w:r w:rsidR="00BA4E8E">
        <w:rPr>
          <w:rFonts w:ascii="Times New Roman" w:hAnsi="Times New Roman" w:cs="Times New Roman"/>
          <w:szCs w:val="24"/>
          <w:lang w:val="pl-PL"/>
        </w:rPr>
        <w:t>wodach z dokumentów</w:t>
      </w:r>
      <w:r w:rsidR="005B6547" w:rsidRPr="00246717">
        <w:rPr>
          <w:rFonts w:ascii="Times New Roman" w:hAnsi="Times New Roman" w:cs="Times New Roman"/>
          <w:szCs w:val="24"/>
          <w:lang w:val="pl-PL"/>
        </w:rPr>
        <w:t>.</w:t>
      </w:r>
    </w:p>
    <w:p w14:paraId="3254AEA4" w14:textId="3121EC43"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65</w:t>
      </w:r>
      <w:r w:rsidRPr="00246717">
        <w:rPr>
          <w:rFonts w:ascii="Times New Roman" w:hAnsi="Times New Roman" w:cs="Times New Roman"/>
          <w:szCs w:val="24"/>
          <w:lang w:val="pl-PL"/>
        </w:rPr>
        <w:fldChar w:fldCharType="end"/>
      </w:r>
      <w:r w:rsidR="005B6547" w:rsidRPr="00246717">
        <w:rPr>
          <w:rFonts w:ascii="Times New Roman" w:hAnsi="Times New Roman" w:cs="Times New Roman"/>
          <w:szCs w:val="24"/>
          <w:lang w:val="pl-PL"/>
        </w:rPr>
        <w:t xml:space="preserve">.  W dniu 17 marca 2005 r. rosyjski Sąd Najwyższy </w:t>
      </w:r>
      <w:r w:rsidR="00C73589">
        <w:rPr>
          <w:rFonts w:ascii="Times New Roman" w:hAnsi="Times New Roman" w:cs="Times New Roman"/>
          <w:szCs w:val="24"/>
          <w:lang w:val="pl-PL"/>
        </w:rPr>
        <w:t>u</w:t>
      </w:r>
      <w:r w:rsidR="005B6547" w:rsidRPr="00246717">
        <w:rPr>
          <w:rFonts w:ascii="Times New Roman" w:hAnsi="Times New Roman" w:cs="Times New Roman"/>
          <w:szCs w:val="24"/>
          <w:lang w:val="pl-PL"/>
        </w:rPr>
        <w:t>trzymał</w:t>
      </w:r>
      <w:r w:rsidR="00C73589">
        <w:rPr>
          <w:rFonts w:ascii="Times New Roman" w:hAnsi="Times New Roman" w:cs="Times New Roman"/>
          <w:szCs w:val="24"/>
          <w:lang w:val="pl-PL"/>
        </w:rPr>
        <w:t xml:space="preserve"> </w:t>
      </w:r>
      <w:r w:rsidR="00BA4E8E">
        <w:rPr>
          <w:rFonts w:ascii="Times New Roman" w:hAnsi="Times New Roman" w:cs="Times New Roman"/>
          <w:szCs w:val="24"/>
          <w:lang w:val="pl-PL"/>
        </w:rPr>
        <w:t xml:space="preserve">wyrok </w:t>
      </w:r>
      <w:r w:rsidR="00C73589">
        <w:rPr>
          <w:rFonts w:ascii="Times New Roman" w:hAnsi="Times New Roman" w:cs="Times New Roman"/>
          <w:szCs w:val="24"/>
          <w:lang w:val="pl-PL"/>
        </w:rPr>
        <w:t>w mocy</w:t>
      </w:r>
      <w:r w:rsidR="005B6547" w:rsidRPr="00246717">
        <w:rPr>
          <w:rFonts w:ascii="Times New Roman" w:hAnsi="Times New Roman" w:cs="Times New Roman"/>
          <w:szCs w:val="24"/>
          <w:lang w:val="pl-PL"/>
        </w:rPr>
        <w:t xml:space="preserve">, </w:t>
      </w:r>
      <w:r w:rsidR="00C73589">
        <w:rPr>
          <w:rFonts w:ascii="Times New Roman" w:hAnsi="Times New Roman" w:cs="Times New Roman"/>
          <w:szCs w:val="24"/>
          <w:lang w:val="pl-PL"/>
        </w:rPr>
        <w:t>zmniejszając</w:t>
      </w:r>
      <w:r w:rsidR="005B6547" w:rsidRPr="00246717">
        <w:rPr>
          <w:rFonts w:ascii="Times New Roman" w:hAnsi="Times New Roman" w:cs="Times New Roman"/>
          <w:szCs w:val="24"/>
          <w:lang w:val="pl-PL"/>
        </w:rPr>
        <w:t xml:space="preserve"> </w:t>
      </w:r>
      <w:r w:rsidR="00BA4E8E">
        <w:rPr>
          <w:rFonts w:ascii="Times New Roman" w:hAnsi="Times New Roman" w:cs="Times New Roman"/>
          <w:szCs w:val="24"/>
          <w:lang w:val="pl-PL"/>
        </w:rPr>
        <w:t>wymiar orzeczonej wobec</w:t>
      </w:r>
      <w:r w:rsidR="005B6547" w:rsidRPr="00246717">
        <w:rPr>
          <w:rFonts w:ascii="Times New Roman" w:hAnsi="Times New Roman" w:cs="Times New Roman"/>
          <w:szCs w:val="24"/>
          <w:lang w:val="pl-PL"/>
        </w:rPr>
        <w:t xml:space="preserve"> skarżącej </w:t>
      </w:r>
      <w:r w:rsidR="00BA4E8E">
        <w:rPr>
          <w:rFonts w:ascii="Times New Roman" w:hAnsi="Times New Roman" w:cs="Times New Roman"/>
          <w:szCs w:val="24"/>
          <w:lang w:val="pl-PL"/>
        </w:rPr>
        <w:t xml:space="preserve">kary </w:t>
      </w:r>
      <w:r w:rsidR="005B6547" w:rsidRPr="00246717">
        <w:rPr>
          <w:rFonts w:ascii="Times New Roman" w:hAnsi="Times New Roman" w:cs="Times New Roman"/>
          <w:szCs w:val="24"/>
          <w:lang w:val="pl-PL"/>
        </w:rPr>
        <w:t>do ośmiu lat i sześciu miesięcy.</w:t>
      </w:r>
    </w:p>
    <w:bookmarkStart w:id="55" w:name="AppealJdgtVideo"/>
    <w:p w14:paraId="75BC910F" w14:textId="76F3E301" w:rsidR="0062431E"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66</w:t>
      </w:r>
      <w:r w:rsidRPr="00246717">
        <w:rPr>
          <w:rFonts w:ascii="Times New Roman" w:hAnsi="Times New Roman" w:cs="Times New Roman"/>
          <w:szCs w:val="24"/>
          <w:lang w:val="pl-PL"/>
        </w:rPr>
        <w:fldChar w:fldCharType="end"/>
      </w:r>
      <w:bookmarkEnd w:id="55"/>
      <w:r w:rsidR="005B6547" w:rsidRPr="00246717">
        <w:rPr>
          <w:rFonts w:ascii="Times New Roman" w:hAnsi="Times New Roman" w:cs="Times New Roman"/>
          <w:szCs w:val="24"/>
          <w:lang w:val="pl-PL"/>
        </w:rPr>
        <w:t>.  Sąd Najwyższy orzekł, że taśma wideo została pokazana na wniosek obrony i po jej odtworzeniu nie zgłoszono sądowi żadnych zastrzeżeń, w tym zastrzeżenia</w:t>
      </w:r>
      <w:r w:rsidR="00C73589">
        <w:rPr>
          <w:rFonts w:ascii="Times New Roman" w:hAnsi="Times New Roman" w:cs="Times New Roman"/>
          <w:szCs w:val="24"/>
          <w:lang w:val="pl-PL"/>
        </w:rPr>
        <w:t>, jakoby</w:t>
      </w:r>
      <w:r w:rsidR="00E721A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nie pokazano wszystkich taśm wideo.</w:t>
      </w:r>
    </w:p>
    <w:bookmarkStart w:id="56" w:name="AppealJdgt"/>
    <w:p w14:paraId="5E15D13A" w14:textId="2C1955F6" w:rsidR="005B6547" w:rsidRPr="00246717" w:rsidRDefault="00150576" w:rsidP="000957D3">
      <w:pPr>
        <w:pStyle w:val="ECHR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5B6547"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5B6547" w:rsidRPr="00246717">
        <w:rPr>
          <w:rFonts w:ascii="Times New Roman" w:hAnsi="Times New Roman" w:cs="Times New Roman"/>
          <w:szCs w:val="24"/>
          <w:lang w:val="pl-PL"/>
        </w:rPr>
        <w:t>67</w:t>
      </w:r>
      <w:r w:rsidRPr="00246717">
        <w:rPr>
          <w:rFonts w:ascii="Times New Roman" w:hAnsi="Times New Roman" w:cs="Times New Roman"/>
          <w:szCs w:val="24"/>
          <w:lang w:val="pl-PL"/>
        </w:rPr>
        <w:fldChar w:fldCharType="end"/>
      </w:r>
      <w:bookmarkEnd w:id="56"/>
      <w:r w:rsidR="005B6547" w:rsidRPr="00246717">
        <w:rPr>
          <w:rFonts w:ascii="Times New Roman" w:hAnsi="Times New Roman" w:cs="Times New Roman"/>
          <w:szCs w:val="24"/>
          <w:lang w:val="pl-PL"/>
        </w:rPr>
        <w:t xml:space="preserve">.  Sąd Najwyższy uznał ponadto, że przesłuchanie A. nie było możliwe </w:t>
      </w:r>
      <w:r w:rsidR="00E721A7">
        <w:rPr>
          <w:rFonts w:ascii="Times New Roman" w:hAnsi="Times New Roman" w:cs="Times New Roman"/>
          <w:szCs w:val="24"/>
          <w:lang w:val="pl-PL"/>
        </w:rPr>
        <w:t>w związku z</w:t>
      </w:r>
      <w:r w:rsidR="005B6547" w:rsidRPr="00246717">
        <w:rPr>
          <w:rFonts w:ascii="Times New Roman" w:hAnsi="Times New Roman" w:cs="Times New Roman"/>
          <w:szCs w:val="24"/>
          <w:lang w:val="pl-PL"/>
        </w:rPr>
        <w:t xml:space="preserve"> jego nieobecności</w:t>
      </w:r>
      <w:r w:rsidR="00E721A7">
        <w:rPr>
          <w:rFonts w:ascii="Times New Roman" w:hAnsi="Times New Roman" w:cs="Times New Roman"/>
          <w:szCs w:val="24"/>
          <w:lang w:val="pl-PL"/>
        </w:rPr>
        <w:t>ą</w:t>
      </w:r>
      <w:r w:rsidR="005B6547" w:rsidRPr="00246717">
        <w:rPr>
          <w:rFonts w:ascii="Times New Roman" w:hAnsi="Times New Roman" w:cs="Times New Roman"/>
          <w:szCs w:val="24"/>
          <w:lang w:val="pl-PL"/>
        </w:rPr>
        <w:t xml:space="preserve"> </w:t>
      </w:r>
      <w:r w:rsidR="00E721A7">
        <w:rPr>
          <w:rFonts w:ascii="Times New Roman" w:hAnsi="Times New Roman" w:cs="Times New Roman"/>
          <w:szCs w:val="24"/>
          <w:lang w:val="pl-PL"/>
        </w:rPr>
        <w:t xml:space="preserve">z przyczyn służbowych </w:t>
      </w:r>
      <w:r w:rsidR="005B6547" w:rsidRPr="00246717">
        <w:rPr>
          <w:rFonts w:ascii="Times New Roman" w:hAnsi="Times New Roman" w:cs="Times New Roman"/>
          <w:szCs w:val="24"/>
          <w:lang w:val="pl-PL"/>
        </w:rPr>
        <w:t xml:space="preserve">oraz że zeznanie </w:t>
      </w:r>
      <w:proofErr w:type="spellStart"/>
      <w:r w:rsidR="005B6547" w:rsidRPr="00246717">
        <w:rPr>
          <w:rFonts w:ascii="Times New Roman" w:hAnsi="Times New Roman" w:cs="Times New Roman"/>
          <w:szCs w:val="24"/>
          <w:lang w:val="pl-PL"/>
        </w:rPr>
        <w:t>przedprocesowe</w:t>
      </w:r>
      <w:proofErr w:type="spellEnd"/>
      <w:r w:rsidR="005B6547" w:rsidRPr="00246717">
        <w:rPr>
          <w:rFonts w:ascii="Times New Roman" w:hAnsi="Times New Roman" w:cs="Times New Roman"/>
          <w:szCs w:val="24"/>
          <w:lang w:val="pl-PL"/>
        </w:rPr>
        <w:t xml:space="preserve"> odczytano za zgodą obrony zgodnie z art.</w:t>
      </w:r>
      <w:r w:rsidR="00911A87">
        <w:rPr>
          <w:rFonts w:ascii="Times New Roman" w:hAnsi="Times New Roman" w:cs="Times New Roman"/>
          <w:szCs w:val="24"/>
          <w:lang w:val="pl-PL"/>
        </w:rPr>
        <w:t> </w:t>
      </w:r>
      <w:r w:rsidR="005B6547" w:rsidRPr="00246717">
        <w:rPr>
          <w:rFonts w:ascii="Times New Roman" w:hAnsi="Times New Roman" w:cs="Times New Roman"/>
          <w:szCs w:val="24"/>
          <w:lang w:val="pl-PL"/>
        </w:rPr>
        <w:t xml:space="preserve">281 </w:t>
      </w:r>
      <w:r w:rsidR="00911A87">
        <w:rPr>
          <w:rFonts w:ascii="Times New Roman" w:hAnsi="Times New Roman" w:cs="Times New Roman"/>
          <w:szCs w:val="24"/>
          <w:lang w:val="pl-PL"/>
        </w:rPr>
        <w:t>k</w:t>
      </w:r>
      <w:r w:rsidR="005B6547" w:rsidRPr="00246717">
        <w:rPr>
          <w:rFonts w:ascii="Times New Roman" w:hAnsi="Times New Roman" w:cs="Times New Roman"/>
          <w:szCs w:val="24"/>
          <w:lang w:val="pl-PL"/>
        </w:rPr>
        <w:t xml:space="preserve">odeksu </w:t>
      </w:r>
      <w:r w:rsidR="005B6547" w:rsidRPr="00246717">
        <w:rPr>
          <w:rFonts w:ascii="Times New Roman" w:hAnsi="Times New Roman" w:cs="Times New Roman"/>
          <w:szCs w:val="24"/>
          <w:lang w:val="pl-PL"/>
        </w:rPr>
        <w:lastRenderedPageBreak/>
        <w:t xml:space="preserve">postępowania karnego. Co się tyczy dwóch </w:t>
      </w:r>
      <w:r w:rsidR="00E721A7">
        <w:rPr>
          <w:rFonts w:ascii="Times New Roman" w:hAnsi="Times New Roman" w:cs="Times New Roman"/>
          <w:szCs w:val="24"/>
          <w:lang w:val="pl-PL"/>
        </w:rPr>
        <w:t>przybranych</w:t>
      </w:r>
      <w:r w:rsidR="00E721A7"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 xml:space="preserve">świadków, B. i K., ich osobiste stawiennictwo nie było konieczne, ponieważ skarżąca twierdziła, że materiały wybuchowe zostały podłożone do jej torebki przed ich przybyciem. </w:t>
      </w:r>
      <w:r w:rsidR="00911A87">
        <w:rPr>
          <w:rFonts w:ascii="Times New Roman" w:hAnsi="Times New Roman" w:cs="Times New Roman"/>
          <w:szCs w:val="24"/>
          <w:lang w:val="pl-PL"/>
        </w:rPr>
        <w:t>Niemniej jednak</w:t>
      </w:r>
      <w:r w:rsidR="005B6547" w:rsidRPr="00246717">
        <w:rPr>
          <w:rFonts w:ascii="Times New Roman" w:hAnsi="Times New Roman" w:cs="Times New Roman"/>
          <w:szCs w:val="24"/>
          <w:lang w:val="pl-PL"/>
        </w:rPr>
        <w:t xml:space="preserve"> obrona zgodziła się na przystąpienie do </w:t>
      </w:r>
      <w:r w:rsidR="00E721A7">
        <w:rPr>
          <w:rFonts w:ascii="Times New Roman" w:hAnsi="Times New Roman" w:cs="Times New Roman"/>
          <w:szCs w:val="24"/>
          <w:lang w:val="pl-PL"/>
        </w:rPr>
        <w:t>głosów</w:t>
      </w:r>
      <w:r w:rsidR="005B6547" w:rsidRPr="00246717">
        <w:rPr>
          <w:rFonts w:ascii="Times New Roman" w:hAnsi="Times New Roman" w:cs="Times New Roman"/>
          <w:szCs w:val="24"/>
          <w:lang w:val="pl-PL"/>
        </w:rPr>
        <w:t xml:space="preserve"> końcowych i nie zgłosiła żadnych zastrzeżeń ani dodatkowych wniosków dotyczących </w:t>
      </w:r>
      <w:r w:rsidR="00E721A7">
        <w:rPr>
          <w:rFonts w:ascii="Times New Roman" w:hAnsi="Times New Roman" w:cs="Times New Roman"/>
          <w:szCs w:val="24"/>
          <w:lang w:val="pl-PL"/>
        </w:rPr>
        <w:t>rozpoznania</w:t>
      </w:r>
      <w:r w:rsidR="00E721A7" w:rsidRPr="00246717">
        <w:rPr>
          <w:rFonts w:ascii="Times New Roman" w:hAnsi="Times New Roman" w:cs="Times New Roman"/>
          <w:szCs w:val="24"/>
          <w:lang w:val="pl-PL"/>
        </w:rPr>
        <w:t xml:space="preserve"> </w:t>
      </w:r>
      <w:r w:rsidR="005B6547" w:rsidRPr="00246717">
        <w:rPr>
          <w:rFonts w:ascii="Times New Roman" w:hAnsi="Times New Roman" w:cs="Times New Roman"/>
          <w:szCs w:val="24"/>
          <w:lang w:val="pl-PL"/>
        </w:rPr>
        <w:t>sprawy skarżącej.</w:t>
      </w:r>
    </w:p>
    <w:bookmarkStart w:id="57" w:name="SupervisoryAppeal"/>
    <w:p w14:paraId="060883C0" w14:textId="16A038F4" w:rsidR="005B6547" w:rsidRPr="00246717" w:rsidRDefault="00150576" w:rsidP="000957D3">
      <w:pPr>
        <w:pStyle w:val="ECHRPara"/>
        <w:rPr>
          <w:lang w:val="pl-PL"/>
        </w:rPr>
      </w:pPr>
      <w:r w:rsidRPr="00246717">
        <w:rPr>
          <w:lang w:val="pl-PL"/>
        </w:rPr>
        <w:fldChar w:fldCharType="begin"/>
      </w:r>
      <w:r w:rsidR="005B6547" w:rsidRPr="00246717">
        <w:rPr>
          <w:lang w:val="pl-PL"/>
        </w:rPr>
        <w:instrText xml:space="preserve"> SEQ level0 \*arabic </w:instrText>
      </w:r>
      <w:r w:rsidRPr="00246717">
        <w:rPr>
          <w:lang w:val="pl-PL"/>
        </w:rPr>
        <w:fldChar w:fldCharType="separate"/>
      </w:r>
      <w:r w:rsidR="005B6547" w:rsidRPr="00246717">
        <w:rPr>
          <w:lang w:val="pl-PL"/>
        </w:rPr>
        <w:t>68</w:t>
      </w:r>
      <w:r w:rsidRPr="00246717">
        <w:rPr>
          <w:lang w:val="pl-PL"/>
        </w:rPr>
        <w:fldChar w:fldCharType="end"/>
      </w:r>
      <w:bookmarkEnd w:id="57"/>
      <w:r w:rsidR="005B6547" w:rsidRPr="00246717">
        <w:rPr>
          <w:lang w:val="pl-PL"/>
        </w:rPr>
        <w:t xml:space="preserve">.  W czerwcu 2005 r. </w:t>
      </w:r>
      <w:r w:rsidR="00E721A7">
        <w:rPr>
          <w:lang w:val="pl-PL"/>
        </w:rPr>
        <w:t>obrończyni</w:t>
      </w:r>
      <w:r w:rsidR="00E721A7" w:rsidRPr="00246717">
        <w:rPr>
          <w:lang w:val="pl-PL"/>
        </w:rPr>
        <w:t xml:space="preserve"> </w:t>
      </w:r>
      <w:r w:rsidR="005B6547" w:rsidRPr="00246717">
        <w:rPr>
          <w:lang w:val="pl-PL"/>
        </w:rPr>
        <w:t xml:space="preserve">skarżącej, S., złożyła skargę </w:t>
      </w:r>
      <w:r w:rsidR="00E721A7">
        <w:rPr>
          <w:lang w:val="pl-PL"/>
        </w:rPr>
        <w:t>kasacyjną</w:t>
      </w:r>
      <w:r w:rsidR="005B6547" w:rsidRPr="00246717">
        <w:rPr>
          <w:lang w:val="pl-PL"/>
        </w:rPr>
        <w:t xml:space="preserve">, powołując się między innymi na brak wezwania przez sąd </w:t>
      </w:r>
      <w:r w:rsidR="00E721A7">
        <w:rPr>
          <w:lang w:val="pl-PL"/>
        </w:rPr>
        <w:t>orzekający</w:t>
      </w:r>
      <w:r w:rsidR="005B6547" w:rsidRPr="00246717">
        <w:rPr>
          <w:lang w:val="pl-PL"/>
        </w:rPr>
        <w:t xml:space="preserve"> i przesłuchania świadka A. i </w:t>
      </w:r>
      <w:r w:rsidR="00E721A7">
        <w:rPr>
          <w:lang w:val="pl-PL"/>
        </w:rPr>
        <w:t>przybranych</w:t>
      </w:r>
      <w:r w:rsidR="00E721A7" w:rsidRPr="00246717">
        <w:rPr>
          <w:lang w:val="pl-PL"/>
        </w:rPr>
        <w:t xml:space="preserve"> </w:t>
      </w:r>
      <w:r w:rsidR="005B6547" w:rsidRPr="00246717">
        <w:rPr>
          <w:lang w:val="pl-PL"/>
        </w:rPr>
        <w:t xml:space="preserve">świadków, B. i K. W istotnej części skargi A. </w:t>
      </w:r>
      <w:r w:rsidR="00E721A7">
        <w:rPr>
          <w:lang w:val="pl-PL"/>
        </w:rPr>
        <w:t xml:space="preserve">wskazano </w:t>
      </w:r>
      <w:r w:rsidR="005B6547" w:rsidRPr="00246717">
        <w:rPr>
          <w:lang w:val="pl-PL"/>
        </w:rPr>
        <w:t xml:space="preserve">jako „kluczowego świadka”, który postępując zgodnie z poleceniami swoich przełożonych, „krył” skarżącą przez ponad dwa miesiące, </w:t>
      </w:r>
      <w:r w:rsidR="00E721A7" w:rsidRPr="00246717">
        <w:rPr>
          <w:lang w:val="pl-PL"/>
        </w:rPr>
        <w:t>za</w:t>
      </w:r>
      <w:r w:rsidR="00E721A7">
        <w:rPr>
          <w:lang w:val="pl-PL"/>
        </w:rPr>
        <w:t>łatwił</w:t>
      </w:r>
      <w:r w:rsidR="00E721A7" w:rsidRPr="00246717">
        <w:rPr>
          <w:lang w:val="pl-PL"/>
        </w:rPr>
        <w:t xml:space="preserve"> </w:t>
      </w:r>
      <w:r w:rsidR="005B6547" w:rsidRPr="00246717">
        <w:rPr>
          <w:lang w:val="pl-PL"/>
        </w:rPr>
        <w:t xml:space="preserve">jej </w:t>
      </w:r>
      <w:r w:rsidR="00E721A7">
        <w:rPr>
          <w:lang w:val="pl-PL"/>
        </w:rPr>
        <w:t>pracę</w:t>
      </w:r>
      <w:r w:rsidR="00E721A7" w:rsidRPr="00246717">
        <w:rPr>
          <w:lang w:val="pl-PL"/>
        </w:rPr>
        <w:t xml:space="preserve"> </w:t>
      </w:r>
      <w:r w:rsidR="005B6547" w:rsidRPr="00246717">
        <w:rPr>
          <w:lang w:val="pl-PL"/>
        </w:rPr>
        <w:t xml:space="preserve">i </w:t>
      </w:r>
      <w:r w:rsidR="00E721A7">
        <w:rPr>
          <w:lang w:val="pl-PL"/>
        </w:rPr>
        <w:t xml:space="preserve">zapewnił </w:t>
      </w:r>
      <w:r w:rsidR="005B6547" w:rsidRPr="00246717">
        <w:rPr>
          <w:lang w:val="pl-PL"/>
        </w:rPr>
        <w:t>zakwaterowanie</w:t>
      </w:r>
      <w:r w:rsidR="00E721A7">
        <w:rPr>
          <w:lang w:val="pl-PL"/>
        </w:rPr>
        <w:t>, a także</w:t>
      </w:r>
      <w:r w:rsidR="005B6547" w:rsidRPr="00246717">
        <w:rPr>
          <w:lang w:val="pl-PL"/>
        </w:rPr>
        <w:t xml:space="preserve"> kontrolował jej działania i ruchy, w tym jej zatrzymanie. W odniesieniu do </w:t>
      </w:r>
      <w:r w:rsidR="00E721A7">
        <w:rPr>
          <w:lang w:val="pl-PL"/>
        </w:rPr>
        <w:t>przybranych</w:t>
      </w:r>
      <w:r w:rsidR="00E721A7" w:rsidRPr="00246717">
        <w:rPr>
          <w:lang w:val="pl-PL"/>
        </w:rPr>
        <w:t xml:space="preserve"> </w:t>
      </w:r>
      <w:r w:rsidR="005B6547" w:rsidRPr="00246717">
        <w:rPr>
          <w:lang w:val="pl-PL"/>
        </w:rPr>
        <w:t xml:space="preserve">świadków w skardze </w:t>
      </w:r>
      <w:r w:rsidR="00911A87">
        <w:rPr>
          <w:lang w:val="pl-PL"/>
        </w:rPr>
        <w:t>podniesiono</w:t>
      </w:r>
      <w:r w:rsidR="005B6547" w:rsidRPr="00246717">
        <w:rPr>
          <w:lang w:val="pl-PL"/>
        </w:rPr>
        <w:t xml:space="preserve">, że „przesłuchanie </w:t>
      </w:r>
      <w:r w:rsidR="00E721A7">
        <w:rPr>
          <w:lang w:val="pl-PL"/>
        </w:rPr>
        <w:t>przybranych</w:t>
      </w:r>
      <w:r w:rsidR="00E721A7" w:rsidRPr="00246717">
        <w:rPr>
          <w:lang w:val="pl-PL"/>
        </w:rPr>
        <w:t xml:space="preserve"> </w:t>
      </w:r>
      <w:r w:rsidR="005B6547" w:rsidRPr="00246717">
        <w:rPr>
          <w:lang w:val="pl-PL"/>
        </w:rPr>
        <w:t xml:space="preserve">świadków mogłoby </w:t>
      </w:r>
      <w:r w:rsidR="00E721A7">
        <w:rPr>
          <w:lang w:val="pl-PL"/>
        </w:rPr>
        <w:t xml:space="preserve">przyczynić się do </w:t>
      </w:r>
      <w:r w:rsidR="00E721A7" w:rsidRPr="00246717">
        <w:rPr>
          <w:lang w:val="pl-PL"/>
        </w:rPr>
        <w:t>rozstrzygn</w:t>
      </w:r>
      <w:r w:rsidR="00E721A7">
        <w:rPr>
          <w:lang w:val="pl-PL"/>
        </w:rPr>
        <w:t>ięcia</w:t>
      </w:r>
      <w:r w:rsidR="00E721A7" w:rsidRPr="00246717">
        <w:rPr>
          <w:lang w:val="pl-PL"/>
        </w:rPr>
        <w:t xml:space="preserve"> </w:t>
      </w:r>
      <w:r w:rsidR="005B6547" w:rsidRPr="00246717">
        <w:rPr>
          <w:lang w:val="pl-PL"/>
        </w:rPr>
        <w:t>znacząc</w:t>
      </w:r>
      <w:r w:rsidR="00E721A7">
        <w:rPr>
          <w:lang w:val="pl-PL"/>
        </w:rPr>
        <w:t>ych</w:t>
      </w:r>
      <w:r w:rsidR="005B6547" w:rsidRPr="00246717">
        <w:rPr>
          <w:lang w:val="pl-PL"/>
        </w:rPr>
        <w:t xml:space="preserve"> sprzeczności w zeznaniach [i] posłużyć za podstawę </w:t>
      </w:r>
      <w:r w:rsidR="00192713" w:rsidRPr="00246717">
        <w:rPr>
          <w:lang w:val="pl-PL"/>
        </w:rPr>
        <w:t>d</w:t>
      </w:r>
      <w:r w:rsidR="00192713">
        <w:rPr>
          <w:lang w:val="pl-PL"/>
        </w:rPr>
        <w:t>o</w:t>
      </w:r>
      <w:r w:rsidR="00192713" w:rsidRPr="00246717">
        <w:rPr>
          <w:lang w:val="pl-PL"/>
        </w:rPr>
        <w:t xml:space="preserve"> </w:t>
      </w:r>
      <w:r w:rsidR="00192713">
        <w:rPr>
          <w:lang w:val="pl-PL"/>
        </w:rPr>
        <w:t>ustalenia</w:t>
      </w:r>
      <w:r w:rsidR="00192713" w:rsidRPr="00246717">
        <w:rPr>
          <w:lang w:val="pl-PL"/>
        </w:rPr>
        <w:t xml:space="preserve"> </w:t>
      </w:r>
      <w:r w:rsidR="005B6547" w:rsidRPr="00246717">
        <w:rPr>
          <w:lang w:val="pl-PL"/>
        </w:rPr>
        <w:t xml:space="preserve">albo </w:t>
      </w:r>
      <w:r w:rsidR="00192713">
        <w:rPr>
          <w:lang w:val="pl-PL"/>
        </w:rPr>
        <w:t>obalenia</w:t>
      </w:r>
      <w:r w:rsidR="00192713" w:rsidRPr="00246717">
        <w:rPr>
          <w:lang w:val="pl-PL"/>
        </w:rPr>
        <w:t xml:space="preserve"> </w:t>
      </w:r>
      <w:r w:rsidR="005B6547" w:rsidRPr="00246717">
        <w:rPr>
          <w:lang w:val="pl-PL"/>
        </w:rPr>
        <w:t>okoliczności</w:t>
      </w:r>
      <w:r w:rsidR="00192713">
        <w:rPr>
          <w:lang w:val="pl-PL"/>
        </w:rPr>
        <w:t>, które wystąpiły</w:t>
      </w:r>
      <w:r w:rsidR="005B6547" w:rsidRPr="00246717">
        <w:rPr>
          <w:lang w:val="pl-PL"/>
        </w:rPr>
        <w:t xml:space="preserve"> bezpośrednio </w:t>
      </w:r>
      <w:r w:rsidR="00192713" w:rsidRPr="00246717">
        <w:rPr>
          <w:lang w:val="pl-PL"/>
        </w:rPr>
        <w:t>p</w:t>
      </w:r>
      <w:r w:rsidR="00192713">
        <w:rPr>
          <w:lang w:val="pl-PL"/>
        </w:rPr>
        <w:t>rzed dokonaniem</w:t>
      </w:r>
      <w:r w:rsidR="00192713" w:rsidRPr="00246717">
        <w:rPr>
          <w:lang w:val="pl-PL"/>
        </w:rPr>
        <w:t xml:space="preserve"> </w:t>
      </w:r>
      <w:r w:rsidR="005B6547" w:rsidRPr="00246717">
        <w:rPr>
          <w:lang w:val="pl-PL"/>
        </w:rPr>
        <w:t>przeszukani</w:t>
      </w:r>
      <w:r w:rsidR="00192713">
        <w:rPr>
          <w:lang w:val="pl-PL"/>
        </w:rPr>
        <w:t>a</w:t>
      </w:r>
      <w:r w:rsidR="005B6547" w:rsidRPr="00246717">
        <w:rPr>
          <w:lang w:val="pl-PL"/>
        </w:rPr>
        <w:t>”.</w:t>
      </w:r>
    </w:p>
    <w:p w14:paraId="0FB322E3" w14:textId="252F6EA9" w:rsidR="005B6547" w:rsidRPr="00246717" w:rsidRDefault="00150576" w:rsidP="000957D3">
      <w:pPr>
        <w:pStyle w:val="ECHRPara"/>
        <w:rPr>
          <w:lang w:val="pl-PL"/>
        </w:rPr>
      </w:pPr>
      <w:r w:rsidRPr="00246717">
        <w:rPr>
          <w:lang w:val="pl-PL"/>
        </w:rPr>
        <w:fldChar w:fldCharType="begin"/>
      </w:r>
      <w:r w:rsidR="005B6547" w:rsidRPr="00246717">
        <w:rPr>
          <w:lang w:val="pl-PL"/>
        </w:rPr>
        <w:instrText xml:space="preserve"> SEQ level0 \*arabic </w:instrText>
      </w:r>
      <w:r w:rsidRPr="00246717">
        <w:rPr>
          <w:lang w:val="pl-PL"/>
        </w:rPr>
        <w:fldChar w:fldCharType="separate"/>
      </w:r>
      <w:r w:rsidR="005B6547" w:rsidRPr="00246717">
        <w:rPr>
          <w:lang w:val="pl-PL"/>
        </w:rPr>
        <w:t>69</w:t>
      </w:r>
      <w:r w:rsidRPr="00246717">
        <w:rPr>
          <w:lang w:val="pl-PL"/>
        </w:rPr>
        <w:fldChar w:fldCharType="end"/>
      </w:r>
      <w:r w:rsidR="005B6547" w:rsidRPr="00246717">
        <w:rPr>
          <w:lang w:val="pl-PL"/>
        </w:rPr>
        <w:t xml:space="preserve">.  W dniu 13 września 2005 </w:t>
      </w:r>
      <w:r w:rsidR="00EA2044">
        <w:rPr>
          <w:lang w:val="pl-PL"/>
        </w:rPr>
        <w:t>r</w:t>
      </w:r>
      <w:r w:rsidR="009B5556">
        <w:rPr>
          <w:lang w:val="pl-PL"/>
        </w:rPr>
        <w:t xml:space="preserve">. Sąd Najwyższy oddalił skargę </w:t>
      </w:r>
      <w:r w:rsidR="00192713">
        <w:rPr>
          <w:lang w:val="pl-PL"/>
        </w:rPr>
        <w:t>kasacyjną</w:t>
      </w:r>
      <w:r w:rsidR="005B6547" w:rsidRPr="00246717">
        <w:rPr>
          <w:lang w:val="pl-PL"/>
        </w:rPr>
        <w:t>.</w:t>
      </w:r>
    </w:p>
    <w:p w14:paraId="664E128A" w14:textId="23BA6A44" w:rsidR="00014566" w:rsidRPr="00246717" w:rsidRDefault="00014566" w:rsidP="000957D3">
      <w:pPr>
        <w:pStyle w:val="ECHRHeading1"/>
        <w:rPr>
          <w:lang w:val="pl-PL"/>
        </w:rPr>
      </w:pPr>
      <w:bookmarkStart w:id="58" w:name="_Toc512345123"/>
      <w:bookmarkStart w:id="59" w:name="_Toc512401277"/>
      <w:r w:rsidRPr="00246717">
        <w:rPr>
          <w:bCs w:val="0"/>
          <w:lang w:val="pl-PL"/>
        </w:rPr>
        <w:t>II.</w:t>
      </w:r>
      <w:r w:rsidR="00F334B2">
        <w:rPr>
          <w:bCs w:val="0"/>
          <w:lang w:val="pl-PL"/>
        </w:rPr>
        <w:t>  </w:t>
      </w:r>
      <w:r w:rsidRPr="00246717">
        <w:rPr>
          <w:bCs w:val="0"/>
          <w:lang w:val="pl-PL"/>
        </w:rPr>
        <w:t>WŁAŚCIWE PRZEPISY PRAWA KRAJOWEGO</w:t>
      </w:r>
      <w:bookmarkEnd w:id="58"/>
      <w:bookmarkEnd w:id="59"/>
    </w:p>
    <w:p w14:paraId="5C2A1B30" w14:textId="418B6E1F" w:rsidR="005B6547" w:rsidRPr="00246717" w:rsidRDefault="00702880" w:rsidP="000957D3">
      <w:pPr>
        <w:pStyle w:val="ECHRHeading2"/>
        <w:rPr>
          <w:lang w:val="pl-PL"/>
        </w:rPr>
      </w:pPr>
      <w:bookmarkStart w:id="60" w:name="_Toc512401278"/>
      <w:bookmarkStart w:id="61" w:name="_Toc512345124"/>
      <w:r w:rsidRPr="00246717">
        <w:rPr>
          <w:lang w:val="pl-PL"/>
        </w:rPr>
        <w:t>A.</w:t>
      </w:r>
      <w:r w:rsidR="00F334B2">
        <w:rPr>
          <w:lang w:val="pl-PL"/>
        </w:rPr>
        <w:t>  </w:t>
      </w:r>
      <w:r w:rsidRPr="00246717">
        <w:rPr>
          <w:lang w:val="pl-PL"/>
        </w:rPr>
        <w:t>Rosyjski kodeks karny</w:t>
      </w:r>
      <w:bookmarkEnd w:id="60"/>
      <w:bookmarkEnd w:id="61"/>
    </w:p>
    <w:p w14:paraId="5661DF39" w14:textId="65337D2E" w:rsidR="003D7C54" w:rsidRPr="00246717" w:rsidRDefault="00150576" w:rsidP="000957D3">
      <w:pPr>
        <w:pStyle w:val="ECHRPara"/>
        <w:rPr>
          <w:lang w:val="pl-PL"/>
        </w:rPr>
      </w:pPr>
      <w:r w:rsidRPr="00246717">
        <w:rPr>
          <w:lang w:val="pl-PL"/>
        </w:rPr>
        <w:fldChar w:fldCharType="begin"/>
      </w:r>
      <w:r w:rsidR="007476B0" w:rsidRPr="00246717">
        <w:rPr>
          <w:lang w:val="pl-PL"/>
        </w:rPr>
        <w:instrText xml:space="preserve"> SEQ level0 \*arabic </w:instrText>
      </w:r>
      <w:r w:rsidRPr="00246717">
        <w:rPr>
          <w:lang w:val="pl-PL"/>
        </w:rPr>
        <w:fldChar w:fldCharType="separate"/>
      </w:r>
      <w:r w:rsidR="007476B0" w:rsidRPr="00246717">
        <w:rPr>
          <w:lang w:val="pl-PL"/>
        </w:rPr>
        <w:t>70</w:t>
      </w:r>
      <w:r w:rsidRPr="00246717">
        <w:rPr>
          <w:lang w:val="pl-PL"/>
        </w:rPr>
        <w:fldChar w:fldCharType="end"/>
      </w:r>
      <w:r w:rsidR="007476B0" w:rsidRPr="00246717">
        <w:rPr>
          <w:lang w:val="pl-PL"/>
        </w:rPr>
        <w:t>.  Kodeks karny Federacji Rosyjskiej z dnia 13 grudnia 1996 r., który wszedł w życie z dniem 1 stycznia 1997 r., zawiera wyczerpując</w:t>
      </w:r>
      <w:r w:rsidR="00192713">
        <w:rPr>
          <w:lang w:val="pl-PL"/>
        </w:rPr>
        <w:t>y katalog</w:t>
      </w:r>
      <w:r w:rsidR="007476B0" w:rsidRPr="00246717">
        <w:rPr>
          <w:lang w:val="pl-PL"/>
        </w:rPr>
        <w:t xml:space="preserve"> </w:t>
      </w:r>
      <w:r w:rsidR="00192713">
        <w:rPr>
          <w:lang w:val="pl-PL"/>
        </w:rPr>
        <w:t>zagrożonych</w:t>
      </w:r>
      <w:r w:rsidR="007476B0" w:rsidRPr="00246717">
        <w:rPr>
          <w:lang w:val="pl-PL"/>
        </w:rPr>
        <w:t xml:space="preserve"> </w:t>
      </w:r>
      <w:r w:rsidR="00192713" w:rsidRPr="00246717">
        <w:rPr>
          <w:lang w:val="pl-PL"/>
        </w:rPr>
        <w:t>kar</w:t>
      </w:r>
      <w:r w:rsidR="00192713">
        <w:rPr>
          <w:lang w:val="pl-PL"/>
        </w:rPr>
        <w:t>ą czynów</w:t>
      </w:r>
      <w:r w:rsidR="00192713" w:rsidRPr="00246717">
        <w:rPr>
          <w:lang w:val="pl-PL"/>
        </w:rPr>
        <w:t xml:space="preserve"> </w:t>
      </w:r>
      <w:r w:rsidR="007476B0" w:rsidRPr="00246717">
        <w:rPr>
          <w:lang w:val="pl-PL"/>
        </w:rPr>
        <w:t xml:space="preserve">i reguluje </w:t>
      </w:r>
      <w:r w:rsidR="00192713" w:rsidRPr="00246717">
        <w:rPr>
          <w:lang w:val="pl-PL"/>
        </w:rPr>
        <w:t>wsz</w:t>
      </w:r>
      <w:r w:rsidR="00192713">
        <w:rPr>
          <w:lang w:val="pl-PL"/>
        </w:rPr>
        <w:t>ystkie</w:t>
      </w:r>
      <w:r w:rsidR="00192713" w:rsidRPr="00246717">
        <w:rPr>
          <w:lang w:val="pl-PL"/>
        </w:rPr>
        <w:t xml:space="preserve"> </w:t>
      </w:r>
      <w:r w:rsidR="007476B0" w:rsidRPr="00246717">
        <w:rPr>
          <w:lang w:val="pl-PL"/>
        </w:rPr>
        <w:t>aspekty materialne prawa karnego w Rosji.</w:t>
      </w:r>
    </w:p>
    <w:p w14:paraId="03BD5EEF" w14:textId="02319568" w:rsidR="005B6547" w:rsidRPr="00246717" w:rsidRDefault="005B6547" w:rsidP="000957D3">
      <w:pPr>
        <w:pStyle w:val="ECHRTitleCentre3"/>
        <w:rPr>
          <w:lang w:val="pl-PL"/>
        </w:rPr>
      </w:pPr>
      <w:bookmarkStart w:id="62" w:name="_Toc512401279"/>
      <w:r w:rsidRPr="00246717">
        <w:rPr>
          <w:bCs/>
          <w:lang w:val="pl-PL"/>
        </w:rPr>
        <w:t>Artykuł</w:t>
      </w:r>
      <w:r w:rsidR="003B4518">
        <w:rPr>
          <w:bCs/>
          <w:lang w:val="pl-PL"/>
        </w:rPr>
        <w:t> </w:t>
      </w:r>
      <w:r w:rsidRPr="00246717">
        <w:rPr>
          <w:bCs/>
          <w:lang w:val="pl-PL"/>
        </w:rPr>
        <w:t xml:space="preserve">30. Przygotowanie do popełnienia przestępstwa i </w:t>
      </w:r>
      <w:r w:rsidR="003B4518">
        <w:rPr>
          <w:bCs/>
          <w:lang w:val="pl-PL"/>
        </w:rPr>
        <w:t>usiłowanie</w:t>
      </w:r>
      <w:r w:rsidRPr="00246717">
        <w:rPr>
          <w:bCs/>
          <w:lang w:val="pl-PL"/>
        </w:rPr>
        <w:t xml:space="preserve"> popełnienia przestępstwa</w:t>
      </w:r>
      <w:bookmarkEnd w:id="62"/>
    </w:p>
    <w:p w14:paraId="12EFA668" w14:textId="20C41E02" w:rsidR="005B6547" w:rsidRPr="00246717" w:rsidRDefault="00702880" w:rsidP="000957D3">
      <w:pPr>
        <w:pStyle w:val="ECHRParaQuote"/>
        <w:rPr>
          <w:lang w:val="pl-PL"/>
        </w:rPr>
      </w:pPr>
      <w:r w:rsidRPr="00246717">
        <w:rPr>
          <w:lang w:val="pl-PL"/>
        </w:rPr>
        <w:t xml:space="preserve">„1.  Za przygotowanie do popełnienia przestępstwa uznaje się gromadzenie, wytwarzanie lub używanie przez osobę środków lub broni [za pomocą których] </w:t>
      </w:r>
      <w:r w:rsidR="003B4518">
        <w:rPr>
          <w:lang w:val="pl-PL"/>
        </w:rPr>
        <w:t xml:space="preserve">ma zamiar </w:t>
      </w:r>
      <w:r w:rsidRPr="00246717">
        <w:rPr>
          <w:lang w:val="pl-PL"/>
        </w:rPr>
        <w:t>popełni</w:t>
      </w:r>
      <w:r w:rsidR="003B4518">
        <w:rPr>
          <w:lang w:val="pl-PL"/>
        </w:rPr>
        <w:t>ć</w:t>
      </w:r>
      <w:r w:rsidRPr="00246717">
        <w:rPr>
          <w:lang w:val="pl-PL"/>
        </w:rPr>
        <w:t xml:space="preserve"> przestępstwo, zachęcanie innych do współudziału i </w:t>
      </w:r>
      <w:r w:rsidR="006604B2">
        <w:rPr>
          <w:lang w:val="pl-PL"/>
        </w:rPr>
        <w:t>wejście w porozumienie</w:t>
      </w:r>
      <w:r w:rsidR="006604B2" w:rsidRPr="00246717">
        <w:rPr>
          <w:lang w:val="pl-PL"/>
        </w:rPr>
        <w:t xml:space="preserve"> </w:t>
      </w:r>
      <w:r w:rsidR="006604B2">
        <w:rPr>
          <w:lang w:val="pl-PL"/>
        </w:rPr>
        <w:t>w celu</w:t>
      </w:r>
      <w:r w:rsidRPr="00246717">
        <w:rPr>
          <w:lang w:val="pl-PL"/>
        </w:rPr>
        <w:t xml:space="preserve"> popełnienia przestępstwa albo innego umyślnego czynu, którego celem jest [ułatwienie popełnienia] przestępstwa, [nawet] jeśli </w:t>
      </w:r>
      <w:r w:rsidR="006604B2">
        <w:rPr>
          <w:lang w:val="pl-PL"/>
        </w:rPr>
        <w:t>do popełnienia przestępstwa nie doszło</w:t>
      </w:r>
      <w:r w:rsidRPr="00246717">
        <w:rPr>
          <w:lang w:val="pl-PL"/>
        </w:rPr>
        <w:t xml:space="preserve"> z powodu okoliczności będących poza kontrolą tej osoby [...]”</w:t>
      </w:r>
    </w:p>
    <w:p w14:paraId="0ECFA45F" w14:textId="433D5FFE" w:rsidR="005B6547" w:rsidRPr="00246717" w:rsidRDefault="005B6547" w:rsidP="000957D3">
      <w:pPr>
        <w:pStyle w:val="ECHRTitleCentre3"/>
        <w:rPr>
          <w:lang w:val="pl-PL"/>
        </w:rPr>
      </w:pPr>
      <w:bookmarkStart w:id="63" w:name="_Toc512401280"/>
      <w:r w:rsidRPr="00246717">
        <w:rPr>
          <w:bCs/>
          <w:lang w:val="pl-PL"/>
        </w:rPr>
        <w:t>Artykuł</w:t>
      </w:r>
      <w:r w:rsidR="003B4518">
        <w:rPr>
          <w:bCs/>
          <w:lang w:val="pl-PL"/>
        </w:rPr>
        <w:t> </w:t>
      </w:r>
      <w:r w:rsidRPr="00246717">
        <w:rPr>
          <w:bCs/>
          <w:lang w:val="pl-PL"/>
        </w:rPr>
        <w:t>205. Terroryzm</w:t>
      </w:r>
      <w:bookmarkEnd w:id="63"/>
    </w:p>
    <w:p w14:paraId="4EE19A04" w14:textId="0EE10C3B" w:rsidR="005B6547" w:rsidRPr="00246717" w:rsidRDefault="00702880" w:rsidP="000957D3">
      <w:pPr>
        <w:pStyle w:val="ECHRParaQuote"/>
        <w:rPr>
          <w:lang w:val="pl-PL"/>
        </w:rPr>
      </w:pPr>
      <w:r w:rsidRPr="00246717">
        <w:rPr>
          <w:lang w:val="pl-PL"/>
        </w:rPr>
        <w:t xml:space="preserve">„1. [Terroryzm, czyli] </w:t>
      </w:r>
      <w:r w:rsidR="006604B2">
        <w:rPr>
          <w:lang w:val="pl-PL"/>
        </w:rPr>
        <w:t>doprowadzenie do</w:t>
      </w:r>
      <w:r w:rsidR="006604B2" w:rsidRPr="00246717">
        <w:rPr>
          <w:lang w:val="pl-PL"/>
        </w:rPr>
        <w:t xml:space="preserve"> </w:t>
      </w:r>
      <w:r w:rsidRPr="00246717">
        <w:rPr>
          <w:lang w:val="pl-PL"/>
        </w:rPr>
        <w:t xml:space="preserve">wybuchu, podpalenia lub popełnienie innego czynu </w:t>
      </w:r>
      <w:r w:rsidR="006604B2">
        <w:rPr>
          <w:lang w:val="pl-PL"/>
        </w:rPr>
        <w:t>stwarzającego</w:t>
      </w:r>
      <w:r w:rsidR="006604B2" w:rsidRPr="00246717">
        <w:rPr>
          <w:lang w:val="pl-PL"/>
        </w:rPr>
        <w:t xml:space="preserve"> </w:t>
      </w:r>
      <w:r w:rsidRPr="00246717">
        <w:rPr>
          <w:lang w:val="pl-PL"/>
        </w:rPr>
        <w:t xml:space="preserve">zagrożenie dla życia ludzi </w:t>
      </w:r>
      <w:r w:rsidR="003B4518">
        <w:rPr>
          <w:lang w:val="pl-PL"/>
        </w:rPr>
        <w:t>lub</w:t>
      </w:r>
      <w:r w:rsidRPr="00246717">
        <w:rPr>
          <w:lang w:val="pl-PL"/>
        </w:rPr>
        <w:t xml:space="preserve"> powodującego znacz</w:t>
      </w:r>
      <w:r w:rsidR="003B4518">
        <w:rPr>
          <w:lang w:val="pl-PL"/>
        </w:rPr>
        <w:t>ne</w:t>
      </w:r>
      <w:r w:rsidRPr="00246717">
        <w:rPr>
          <w:lang w:val="pl-PL"/>
        </w:rPr>
        <w:t xml:space="preserve"> szkody materialne lub </w:t>
      </w:r>
      <w:r w:rsidR="006604B2">
        <w:rPr>
          <w:lang w:val="pl-PL"/>
        </w:rPr>
        <w:t>wywołującego</w:t>
      </w:r>
      <w:r w:rsidR="006604B2" w:rsidRPr="00246717">
        <w:rPr>
          <w:lang w:val="pl-PL"/>
        </w:rPr>
        <w:t xml:space="preserve"> </w:t>
      </w:r>
      <w:r w:rsidRPr="00246717">
        <w:rPr>
          <w:lang w:val="pl-PL"/>
        </w:rPr>
        <w:t xml:space="preserve">inne </w:t>
      </w:r>
      <w:r w:rsidR="006604B2">
        <w:rPr>
          <w:lang w:val="pl-PL"/>
        </w:rPr>
        <w:t>skutki</w:t>
      </w:r>
      <w:r w:rsidR="006604B2" w:rsidRPr="00246717">
        <w:rPr>
          <w:lang w:val="pl-PL"/>
        </w:rPr>
        <w:t xml:space="preserve"> </w:t>
      </w:r>
      <w:r w:rsidRPr="00246717">
        <w:rPr>
          <w:lang w:val="pl-PL"/>
        </w:rPr>
        <w:t xml:space="preserve">niebezpieczne dla społeczeństwa, jeśli celem popełnionych czynów było naruszenie bezpieczeństwa publicznego, </w:t>
      </w:r>
      <w:r w:rsidR="006604B2">
        <w:rPr>
          <w:lang w:val="pl-PL"/>
        </w:rPr>
        <w:t>zastraszenie ludzi</w:t>
      </w:r>
      <w:r w:rsidRPr="00246717">
        <w:rPr>
          <w:lang w:val="pl-PL"/>
        </w:rPr>
        <w:t xml:space="preserve"> lub </w:t>
      </w:r>
      <w:r w:rsidR="006604B2">
        <w:rPr>
          <w:lang w:val="pl-PL"/>
        </w:rPr>
        <w:t xml:space="preserve">zmuszenie organu władzy publicznej do podjęcia lub zaniechania czynności </w:t>
      </w:r>
      <w:r w:rsidRPr="00246717">
        <w:rPr>
          <w:lang w:val="pl-PL"/>
        </w:rPr>
        <w:t xml:space="preserve">, </w:t>
      </w:r>
      <w:r w:rsidR="003B4518">
        <w:rPr>
          <w:lang w:val="pl-PL"/>
        </w:rPr>
        <w:t>lub</w:t>
      </w:r>
      <w:r w:rsidRPr="00246717">
        <w:rPr>
          <w:lang w:val="pl-PL"/>
        </w:rPr>
        <w:t xml:space="preserve"> groźba popełnienia takich czynów w tych celach, </w:t>
      </w:r>
      <w:r w:rsidR="006604B2">
        <w:rPr>
          <w:lang w:val="pl-PL"/>
        </w:rPr>
        <w:t>zagrożony jest</w:t>
      </w:r>
      <w:r w:rsidR="006604B2" w:rsidRPr="00246717">
        <w:rPr>
          <w:lang w:val="pl-PL"/>
        </w:rPr>
        <w:t xml:space="preserve"> kar</w:t>
      </w:r>
      <w:r w:rsidR="006604B2">
        <w:rPr>
          <w:lang w:val="pl-PL"/>
        </w:rPr>
        <w:t>ą</w:t>
      </w:r>
      <w:r w:rsidR="006604B2" w:rsidRPr="00246717">
        <w:rPr>
          <w:lang w:val="pl-PL"/>
        </w:rPr>
        <w:t xml:space="preserve"> </w:t>
      </w:r>
      <w:r w:rsidRPr="00246717">
        <w:rPr>
          <w:lang w:val="pl-PL"/>
        </w:rPr>
        <w:t>pozbawienia wolności na okres od ośmiu do dwunastu lat [...]”.</w:t>
      </w:r>
    </w:p>
    <w:p w14:paraId="3FDE6C8F" w14:textId="6A9EEF60" w:rsidR="005B6547" w:rsidRPr="00246717" w:rsidRDefault="005B6547" w:rsidP="000957D3">
      <w:pPr>
        <w:pStyle w:val="ECHRTitleCentre3"/>
        <w:rPr>
          <w:lang w:val="pl-PL"/>
        </w:rPr>
      </w:pPr>
      <w:bookmarkStart w:id="64" w:name="_Toc512401281"/>
      <w:r w:rsidRPr="00246717">
        <w:rPr>
          <w:bCs/>
          <w:lang w:val="pl-PL"/>
        </w:rPr>
        <w:lastRenderedPageBreak/>
        <w:t>Artykuł</w:t>
      </w:r>
      <w:r w:rsidR="003B4518">
        <w:rPr>
          <w:bCs/>
          <w:lang w:val="pl-PL"/>
        </w:rPr>
        <w:t> </w:t>
      </w:r>
      <w:r w:rsidRPr="00246717">
        <w:rPr>
          <w:bCs/>
          <w:lang w:val="pl-PL"/>
        </w:rPr>
        <w:t xml:space="preserve">205.1. Podżeganie lub w inny sposób </w:t>
      </w:r>
      <w:r w:rsidR="003B4518">
        <w:rPr>
          <w:bCs/>
          <w:lang w:val="pl-PL"/>
        </w:rPr>
        <w:t xml:space="preserve">nakłanianie </w:t>
      </w:r>
      <w:r w:rsidRPr="00246717">
        <w:rPr>
          <w:bCs/>
          <w:lang w:val="pl-PL"/>
        </w:rPr>
        <w:t xml:space="preserve">do popełnienia </w:t>
      </w:r>
      <w:r w:rsidR="006604B2">
        <w:rPr>
          <w:bCs/>
          <w:lang w:val="pl-PL"/>
        </w:rPr>
        <w:t>czynu zabronionego o charakterze</w:t>
      </w:r>
      <w:r w:rsidRPr="00246717">
        <w:rPr>
          <w:bCs/>
          <w:lang w:val="pl-PL"/>
        </w:rPr>
        <w:t xml:space="preserve"> </w:t>
      </w:r>
      <w:bookmarkEnd w:id="64"/>
      <w:r w:rsidR="006604B2" w:rsidRPr="00246717">
        <w:rPr>
          <w:bCs/>
          <w:lang w:val="pl-PL"/>
        </w:rPr>
        <w:t>terrorystyczn</w:t>
      </w:r>
      <w:r w:rsidR="006604B2">
        <w:rPr>
          <w:bCs/>
          <w:lang w:val="pl-PL"/>
        </w:rPr>
        <w:t>ym</w:t>
      </w:r>
    </w:p>
    <w:p w14:paraId="52F7935F" w14:textId="2EC356DC" w:rsidR="005B6547" w:rsidRPr="00246717" w:rsidRDefault="00702880" w:rsidP="000957D3">
      <w:pPr>
        <w:pStyle w:val="ECHRParaQuote"/>
        <w:rPr>
          <w:lang w:val="pl-PL"/>
        </w:rPr>
      </w:pPr>
      <w:r w:rsidRPr="00246717">
        <w:rPr>
          <w:lang w:val="pl-PL"/>
        </w:rPr>
        <w:t>„1.  Podżeganie osoby do popełnienia przestępstwa przewidziane</w:t>
      </w:r>
      <w:r w:rsidR="003B4518">
        <w:rPr>
          <w:lang w:val="pl-PL"/>
        </w:rPr>
        <w:t>go</w:t>
      </w:r>
      <w:r w:rsidRPr="00246717">
        <w:rPr>
          <w:lang w:val="pl-PL"/>
        </w:rPr>
        <w:t xml:space="preserve"> w art.</w:t>
      </w:r>
      <w:r w:rsidR="003B4518">
        <w:rPr>
          <w:lang w:val="pl-PL"/>
        </w:rPr>
        <w:t> </w:t>
      </w:r>
      <w:r w:rsidRPr="00246717">
        <w:rPr>
          <w:lang w:val="pl-PL"/>
        </w:rPr>
        <w:t xml:space="preserve">205, 206, 208, 211, 277 i 360 niniejszego </w:t>
      </w:r>
      <w:r w:rsidR="003B4518">
        <w:rPr>
          <w:lang w:val="pl-PL"/>
        </w:rPr>
        <w:t>k</w:t>
      </w:r>
      <w:r w:rsidRPr="00246717">
        <w:rPr>
          <w:lang w:val="pl-PL"/>
        </w:rPr>
        <w:t xml:space="preserve">odeksu </w:t>
      </w:r>
      <w:r w:rsidR="003B4518">
        <w:rPr>
          <w:lang w:val="pl-PL"/>
        </w:rPr>
        <w:t>lub</w:t>
      </w:r>
      <w:r w:rsidRPr="00246717">
        <w:rPr>
          <w:lang w:val="pl-PL"/>
        </w:rPr>
        <w:t xml:space="preserve"> usiłowanie zaangażowania osoby w działalność organizacji terrorystycznej, dostarczanie broni lub szkolenie osoby w celu popełnienia określonych przestępstw, a także finansowanie terroryzmu lub organizacji terrorystycznej, </w:t>
      </w:r>
      <w:r w:rsidR="00B108E3">
        <w:rPr>
          <w:lang w:val="pl-PL"/>
        </w:rPr>
        <w:t>zagrożone jest</w:t>
      </w:r>
      <w:r w:rsidR="00B108E3" w:rsidRPr="00246717">
        <w:rPr>
          <w:lang w:val="pl-PL"/>
        </w:rPr>
        <w:t xml:space="preserve"> kar</w:t>
      </w:r>
      <w:r w:rsidR="00B108E3">
        <w:rPr>
          <w:lang w:val="pl-PL"/>
        </w:rPr>
        <w:t>ą</w:t>
      </w:r>
      <w:r w:rsidR="00B108E3" w:rsidRPr="00246717">
        <w:rPr>
          <w:lang w:val="pl-PL"/>
        </w:rPr>
        <w:t xml:space="preserve"> </w:t>
      </w:r>
      <w:r w:rsidRPr="00246717">
        <w:rPr>
          <w:lang w:val="pl-PL"/>
        </w:rPr>
        <w:t xml:space="preserve">pozbawienia wolności na okres od czterech do ośmiu lat [...]”. </w:t>
      </w:r>
    </w:p>
    <w:p w14:paraId="7EDD9327" w14:textId="6B81665F" w:rsidR="005B6547" w:rsidRPr="00246717" w:rsidRDefault="005B6547" w:rsidP="000957D3">
      <w:pPr>
        <w:pStyle w:val="ECHRTitleCentre3"/>
        <w:rPr>
          <w:lang w:val="pl-PL"/>
        </w:rPr>
      </w:pPr>
      <w:bookmarkStart w:id="65" w:name="_Toc512401282"/>
      <w:r w:rsidRPr="00246717">
        <w:rPr>
          <w:bCs/>
          <w:lang w:val="pl-PL"/>
        </w:rPr>
        <w:t>Artykuł</w:t>
      </w:r>
      <w:r w:rsidR="003B4518">
        <w:rPr>
          <w:bCs/>
          <w:lang w:val="pl-PL"/>
        </w:rPr>
        <w:t> </w:t>
      </w:r>
      <w:r w:rsidRPr="00246717">
        <w:rPr>
          <w:bCs/>
          <w:lang w:val="pl-PL"/>
        </w:rPr>
        <w:t xml:space="preserve">222. Nielegalne nabywanie, </w:t>
      </w:r>
      <w:r w:rsidR="003B4518">
        <w:rPr>
          <w:bCs/>
          <w:lang w:val="pl-PL"/>
        </w:rPr>
        <w:t>przekazywanie</w:t>
      </w:r>
      <w:r w:rsidRPr="00246717">
        <w:rPr>
          <w:bCs/>
          <w:lang w:val="pl-PL"/>
        </w:rPr>
        <w:t xml:space="preserve">, sprzedaż, przechowywanie, </w:t>
      </w:r>
      <w:r w:rsidR="003B4518">
        <w:rPr>
          <w:bCs/>
          <w:lang w:val="pl-PL"/>
        </w:rPr>
        <w:t>przewóz</w:t>
      </w:r>
      <w:r w:rsidRPr="00246717">
        <w:rPr>
          <w:bCs/>
          <w:lang w:val="pl-PL"/>
        </w:rPr>
        <w:t xml:space="preserve"> i noszenie broni palnej, jej głównych komponentów, amunicji, materiałów wybuchowych i urządzeń wybuchowych</w:t>
      </w:r>
      <w:bookmarkEnd w:id="65"/>
    </w:p>
    <w:p w14:paraId="156331BC" w14:textId="5E9D89ED" w:rsidR="005B6547" w:rsidRPr="00246717" w:rsidRDefault="00702880" w:rsidP="000957D3">
      <w:pPr>
        <w:pStyle w:val="ECHRParaQuote"/>
        <w:rPr>
          <w:lang w:val="pl-PL"/>
        </w:rPr>
      </w:pPr>
      <w:r w:rsidRPr="00246717">
        <w:rPr>
          <w:lang w:val="pl-PL"/>
        </w:rPr>
        <w:t xml:space="preserve">„1.  Nielegalne nabywanie, </w:t>
      </w:r>
      <w:r w:rsidR="003B4518">
        <w:rPr>
          <w:lang w:val="pl-PL"/>
        </w:rPr>
        <w:t>przekazywanie</w:t>
      </w:r>
      <w:r w:rsidRPr="00246717">
        <w:rPr>
          <w:lang w:val="pl-PL"/>
        </w:rPr>
        <w:t xml:space="preserve">, sprzedaż, przechowywanie, </w:t>
      </w:r>
      <w:r w:rsidR="003B4518">
        <w:rPr>
          <w:lang w:val="pl-PL"/>
        </w:rPr>
        <w:t>przewóz</w:t>
      </w:r>
      <w:r w:rsidRPr="00246717">
        <w:rPr>
          <w:lang w:val="pl-PL"/>
        </w:rPr>
        <w:t xml:space="preserve"> i noszenie broni palnej [lub jej] głównych komponentów, amunicji [...] materiałów wybuchowych i urządzeń wybuchowych </w:t>
      </w:r>
      <w:r w:rsidR="00B108E3">
        <w:rPr>
          <w:lang w:val="pl-PL"/>
        </w:rPr>
        <w:t>zagrożone jest</w:t>
      </w:r>
      <w:r w:rsidR="00B108E3" w:rsidRPr="00246717">
        <w:rPr>
          <w:lang w:val="pl-PL"/>
        </w:rPr>
        <w:t xml:space="preserve"> kar</w:t>
      </w:r>
      <w:r w:rsidR="00B108E3">
        <w:rPr>
          <w:lang w:val="pl-PL"/>
        </w:rPr>
        <w:t>ą</w:t>
      </w:r>
      <w:r w:rsidR="00B108E3" w:rsidRPr="00246717">
        <w:rPr>
          <w:lang w:val="pl-PL"/>
        </w:rPr>
        <w:t xml:space="preserve"> </w:t>
      </w:r>
      <w:r w:rsidRPr="00246717">
        <w:rPr>
          <w:lang w:val="pl-PL"/>
        </w:rPr>
        <w:t xml:space="preserve">ograniczenia wolności na okres do lat trzech albo </w:t>
      </w:r>
      <w:r w:rsidR="00BA6E97">
        <w:rPr>
          <w:lang w:val="pl-PL"/>
        </w:rPr>
        <w:t>karą izolacyjną</w:t>
      </w:r>
      <w:r w:rsidR="00BA6E97" w:rsidRPr="00246717">
        <w:rPr>
          <w:lang w:val="pl-PL"/>
        </w:rPr>
        <w:t xml:space="preserve"> </w:t>
      </w:r>
      <w:r w:rsidRPr="00246717">
        <w:rPr>
          <w:lang w:val="pl-PL"/>
        </w:rPr>
        <w:t xml:space="preserve">na okres do sześciu miesięcy, albo </w:t>
      </w:r>
      <w:r w:rsidR="00BA6E97">
        <w:rPr>
          <w:lang w:val="pl-PL"/>
        </w:rPr>
        <w:t xml:space="preserve">karą </w:t>
      </w:r>
      <w:r w:rsidRPr="00246717">
        <w:rPr>
          <w:lang w:val="pl-PL"/>
        </w:rPr>
        <w:t>pozbawienia wolności na okres do lat czterech z grzywną lub bez grzywny w wysokości do 80</w:t>
      </w:r>
      <w:r w:rsidR="00D56744">
        <w:rPr>
          <w:lang w:val="pl-PL"/>
        </w:rPr>
        <w:t> </w:t>
      </w:r>
      <w:r w:rsidRPr="00246717">
        <w:rPr>
          <w:lang w:val="pl-PL"/>
        </w:rPr>
        <w:t>000 rubli albo równowartości trzymiesięcznego wynagrodzenia (lub innego dochodu) osoby skazanej”.</w:t>
      </w:r>
    </w:p>
    <w:p w14:paraId="1977C8CC" w14:textId="405572A9" w:rsidR="005B6547" w:rsidRPr="00246717" w:rsidRDefault="00702880" w:rsidP="000957D3">
      <w:pPr>
        <w:pStyle w:val="ECHRHeading2"/>
        <w:rPr>
          <w:lang w:val="pl-PL"/>
        </w:rPr>
      </w:pPr>
      <w:bookmarkStart w:id="66" w:name="_Toc512401283"/>
      <w:bookmarkStart w:id="67" w:name="_Toc512345125"/>
      <w:r w:rsidRPr="00246717">
        <w:rPr>
          <w:lang w:val="pl-PL"/>
        </w:rPr>
        <w:t>B.</w:t>
      </w:r>
      <w:r w:rsidR="003A5641">
        <w:rPr>
          <w:lang w:val="pl-PL"/>
        </w:rPr>
        <w:t>  </w:t>
      </w:r>
      <w:r w:rsidRPr="00246717">
        <w:rPr>
          <w:lang w:val="pl-PL"/>
        </w:rPr>
        <w:t>Rosyjski kodeks postępowania karnego („</w:t>
      </w:r>
      <w:proofErr w:type="spellStart"/>
      <w:r w:rsidRPr="00246717">
        <w:rPr>
          <w:lang w:val="pl-PL"/>
        </w:rPr>
        <w:t>CCrP</w:t>
      </w:r>
      <w:proofErr w:type="spellEnd"/>
      <w:r w:rsidRPr="00246717">
        <w:rPr>
          <w:lang w:val="pl-PL"/>
        </w:rPr>
        <w:t>”)</w:t>
      </w:r>
      <w:bookmarkEnd w:id="66"/>
      <w:bookmarkEnd w:id="67"/>
    </w:p>
    <w:bookmarkStart w:id="68" w:name="CCrP"/>
    <w:p w14:paraId="235F093C" w14:textId="77777777" w:rsidR="005B6547" w:rsidRPr="00246717" w:rsidRDefault="00150576" w:rsidP="000957D3">
      <w:pPr>
        <w:pStyle w:val="ECHRPara"/>
        <w:rPr>
          <w:lang w:val="pl-PL"/>
        </w:rPr>
      </w:pPr>
      <w:r w:rsidRPr="00246717">
        <w:rPr>
          <w:lang w:val="pl-PL"/>
        </w:rPr>
        <w:fldChar w:fldCharType="begin"/>
      </w:r>
      <w:r w:rsidR="00613DEB" w:rsidRPr="00246717">
        <w:rPr>
          <w:lang w:val="pl-PL"/>
        </w:rPr>
        <w:instrText xml:space="preserve"> SEQ level0 \*arabic </w:instrText>
      </w:r>
      <w:r w:rsidRPr="00246717">
        <w:rPr>
          <w:lang w:val="pl-PL"/>
        </w:rPr>
        <w:fldChar w:fldCharType="separate"/>
      </w:r>
      <w:r w:rsidR="00613DEB" w:rsidRPr="00246717">
        <w:rPr>
          <w:lang w:val="pl-PL"/>
        </w:rPr>
        <w:t>71</w:t>
      </w:r>
      <w:r w:rsidRPr="00246717">
        <w:rPr>
          <w:lang w:val="pl-PL"/>
        </w:rPr>
        <w:fldChar w:fldCharType="end"/>
      </w:r>
      <w:bookmarkEnd w:id="68"/>
      <w:r w:rsidR="00613DEB" w:rsidRPr="00246717">
        <w:rPr>
          <w:lang w:val="pl-PL"/>
        </w:rPr>
        <w:t>.  Kodeks postępowania karnego Federacji Rosyjskiej z dnia 18 grudnia 2001 r., który wszedł w życie z dniem 1 lipca 2002 r., reguluje wszelkie aspekty proceduralne procesu karnego w Rosji.</w:t>
      </w:r>
    </w:p>
    <w:p w14:paraId="0FF21572" w14:textId="291C9091" w:rsidR="005B6547" w:rsidRPr="00246717" w:rsidRDefault="005B6547" w:rsidP="000957D3">
      <w:pPr>
        <w:pStyle w:val="ECHRTitleCentre3"/>
        <w:rPr>
          <w:lang w:val="pl-PL"/>
        </w:rPr>
      </w:pPr>
      <w:bookmarkStart w:id="69" w:name="_Toc512401284"/>
      <w:r w:rsidRPr="00246717">
        <w:rPr>
          <w:bCs/>
          <w:lang w:val="pl-PL"/>
        </w:rPr>
        <w:t>Artykuł</w:t>
      </w:r>
      <w:r w:rsidR="003A5641">
        <w:rPr>
          <w:bCs/>
          <w:lang w:val="pl-PL"/>
        </w:rPr>
        <w:t> </w:t>
      </w:r>
      <w:r w:rsidRPr="00246717">
        <w:rPr>
          <w:bCs/>
          <w:lang w:val="pl-PL"/>
        </w:rPr>
        <w:t>53. Uprawnienia obrońcy</w:t>
      </w:r>
      <w:bookmarkEnd w:id="69"/>
    </w:p>
    <w:p w14:paraId="552D774D" w14:textId="57AFDE79" w:rsidR="003D7C54" w:rsidRPr="00246717" w:rsidRDefault="00702880" w:rsidP="000957D3">
      <w:pPr>
        <w:pStyle w:val="ECHRParaQuote"/>
        <w:rPr>
          <w:lang w:val="pl-PL"/>
        </w:rPr>
      </w:pPr>
      <w:r w:rsidRPr="00246717">
        <w:rPr>
          <w:lang w:val="pl-PL"/>
        </w:rPr>
        <w:t xml:space="preserve">„1.  Od </w:t>
      </w:r>
      <w:r w:rsidR="004E1BDB">
        <w:rPr>
          <w:lang w:val="pl-PL"/>
        </w:rPr>
        <w:t>chwili przystąpienia do</w:t>
      </w:r>
      <w:r w:rsidR="003A5641">
        <w:rPr>
          <w:lang w:val="pl-PL"/>
        </w:rPr>
        <w:t xml:space="preserve"> sprawy</w:t>
      </w:r>
      <w:r w:rsidRPr="00246717">
        <w:rPr>
          <w:lang w:val="pl-PL"/>
        </w:rPr>
        <w:t xml:space="preserve"> obrońca </w:t>
      </w:r>
      <w:r w:rsidR="004E1BDB">
        <w:rPr>
          <w:lang w:val="pl-PL"/>
        </w:rPr>
        <w:t xml:space="preserve">uprawniony jest </w:t>
      </w:r>
      <w:r w:rsidRPr="00246717">
        <w:rPr>
          <w:lang w:val="pl-PL"/>
        </w:rPr>
        <w:t>[...]</w:t>
      </w:r>
    </w:p>
    <w:p w14:paraId="4C46AA5A" w14:textId="77777777" w:rsidR="005B6547" w:rsidRPr="00246717" w:rsidRDefault="00702880" w:rsidP="000957D3">
      <w:pPr>
        <w:pStyle w:val="ECHRParaQuote"/>
        <w:rPr>
          <w:lang w:val="pl-PL"/>
        </w:rPr>
      </w:pPr>
      <w:r w:rsidRPr="00246717">
        <w:rPr>
          <w:lang w:val="pl-PL"/>
        </w:rPr>
        <w:t>[...]</w:t>
      </w:r>
    </w:p>
    <w:p w14:paraId="4E020F51" w14:textId="665FADE2" w:rsidR="005B6547" w:rsidRPr="00246717" w:rsidRDefault="006E7D85" w:rsidP="000957D3">
      <w:pPr>
        <w:pStyle w:val="ECHRParaQuote"/>
        <w:ind w:left="567" w:firstLine="153"/>
        <w:rPr>
          <w:lang w:val="pl-PL"/>
        </w:rPr>
      </w:pPr>
      <w:r w:rsidRPr="00246717">
        <w:rPr>
          <w:lang w:val="pl-PL"/>
        </w:rPr>
        <w:t>5</w:t>
      </w:r>
      <w:r w:rsidR="00924E6C">
        <w:rPr>
          <w:lang w:val="pl-PL"/>
        </w:rPr>
        <w:t>  </w:t>
      </w:r>
      <w:r w:rsidRPr="00246717">
        <w:rPr>
          <w:lang w:val="pl-PL"/>
        </w:rPr>
        <w:t xml:space="preserve"> do udziału w przesłuchaniach oskarżonego, a także innych czynnościach prowadzonych w toku postępowania z udziałem oskarżonego, na wniosek oskarżonego lub z własnej inicjatywy [...]</w:t>
      </w:r>
    </w:p>
    <w:p w14:paraId="40128159" w14:textId="7F9E98BB" w:rsidR="005B6547" w:rsidRPr="00246717" w:rsidRDefault="006E7D85" w:rsidP="000957D3">
      <w:pPr>
        <w:pStyle w:val="ECHRParaQuote"/>
        <w:ind w:firstLine="295"/>
        <w:rPr>
          <w:lang w:val="pl-PL"/>
        </w:rPr>
      </w:pPr>
      <w:r w:rsidRPr="00246717">
        <w:rPr>
          <w:lang w:val="pl-PL"/>
        </w:rPr>
        <w:t>7)</w:t>
      </w:r>
      <w:r w:rsidR="00924E6C">
        <w:rPr>
          <w:lang w:val="pl-PL"/>
        </w:rPr>
        <w:t>  </w:t>
      </w:r>
      <w:r w:rsidRPr="00246717">
        <w:rPr>
          <w:lang w:val="pl-PL"/>
        </w:rPr>
        <w:t>do zapoznania się z materiałami postępowania karnego po zakończeniu etapu postępowania przygotowawczego [...]</w:t>
      </w:r>
    </w:p>
    <w:p w14:paraId="20F914E4" w14:textId="3FC04BE0" w:rsidR="005B6547" w:rsidRPr="00246717" w:rsidRDefault="006E7D85" w:rsidP="000957D3">
      <w:pPr>
        <w:pStyle w:val="ECHRParaQuote"/>
        <w:ind w:firstLine="295"/>
        <w:rPr>
          <w:lang w:val="pl-PL"/>
        </w:rPr>
      </w:pPr>
      <w:r w:rsidRPr="00246717">
        <w:rPr>
          <w:lang w:val="pl-PL"/>
        </w:rPr>
        <w:t>8)</w:t>
      </w:r>
      <w:r w:rsidR="00924E6C">
        <w:rPr>
          <w:lang w:val="pl-PL"/>
        </w:rPr>
        <w:t>  </w:t>
      </w:r>
      <w:r w:rsidRPr="00246717">
        <w:rPr>
          <w:lang w:val="pl-PL"/>
        </w:rPr>
        <w:t xml:space="preserve">do składania </w:t>
      </w:r>
      <w:r w:rsidR="003A5641">
        <w:rPr>
          <w:lang w:val="pl-PL"/>
        </w:rPr>
        <w:t>pism</w:t>
      </w:r>
      <w:r w:rsidRPr="00246717">
        <w:rPr>
          <w:lang w:val="pl-PL"/>
        </w:rPr>
        <w:t xml:space="preserve"> procesowych [wniosków] i wniosków o wyłączenie [...]</w:t>
      </w:r>
    </w:p>
    <w:p w14:paraId="0EA33557" w14:textId="3CBC36AD" w:rsidR="005B6547" w:rsidRPr="00246717" w:rsidRDefault="00A00FB3" w:rsidP="000957D3">
      <w:pPr>
        <w:pStyle w:val="ECHRParaQuote"/>
        <w:rPr>
          <w:lang w:val="pl-PL"/>
        </w:rPr>
      </w:pPr>
      <w:r w:rsidRPr="00246717">
        <w:rPr>
          <w:lang w:val="pl-PL"/>
        </w:rPr>
        <w:t xml:space="preserve">2.  Obrońca uczestniczący w czynności prowadzonej w toku postępowania ma prawo do udzielania porad prawnych oskarżonemu w obecności </w:t>
      </w:r>
      <w:r w:rsidR="004E1BDB">
        <w:rPr>
          <w:lang w:val="pl-PL"/>
        </w:rPr>
        <w:t>organu prowadzącego postępowanie przygotowawcze</w:t>
      </w:r>
      <w:r w:rsidRPr="00246717">
        <w:rPr>
          <w:lang w:val="pl-PL"/>
        </w:rPr>
        <w:t xml:space="preserve">, do zadawania – za </w:t>
      </w:r>
      <w:r w:rsidR="004E1BDB">
        <w:rPr>
          <w:lang w:val="pl-PL"/>
        </w:rPr>
        <w:t>zgodą organu prowadzącego postępowanie przygotowawcze</w:t>
      </w:r>
      <w:r w:rsidRPr="00246717">
        <w:rPr>
          <w:lang w:val="pl-PL"/>
        </w:rPr>
        <w:t xml:space="preserve"> – pytań osobom przesłuchiwanym, przedstawiania uwag na piśmie dotyczących dokładności i kompletności protokołów z czynności prowadzonych w toku postępowania. </w:t>
      </w:r>
      <w:r w:rsidR="004E1BDB">
        <w:rPr>
          <w:lang w:val="pl-PL"/>
        </w:rPr>
        <w:t>Organ prowadzący postępowanie przygotowawcze</w:t>
      </w:r>
      <w:r w:rsidRPr="00246717">
        <w:rPr>
          <w:lang w:val="pl-PL"/>
        </w:rPr>
        <w:t xml:space="preserve"> może odmówić [zadania oskarżonemu pytań obrońcy], ale powinien zawrzeć wzmiankę o tych pytaniach w protokole [z tej czynności prowadzonej w toku postępowania]”.</w:t>
      </w:r>
    </w:p>
    <w:p w14:paraId="2641FB29" w14:textId="4F2BAD23" w:rsidR="005B6547" w:rsidRPr="00246717" w:rsidRDefault="005B6547" w:rsidP="000957D3">
      <w:pPr>
        <w:pStyle w:val="ECHRTitleCentre3"/>
        <w:rPr>
          <w:lang w:val="pl-PL"/>
        </w:rPr>
      </w:pPr>
      <w:bookmarkStart w:id="70" w:name="_Toc512401285"/>
      <w:r w:rsidRPr="00246717">
        <w:rPr>
          <w:bCs/>
          <w:lang w:val="pl-PL"/>
        </w:rPr>
        <w:lastRenderedPageBreak/>
        <w:t>Artykuł</w:t>
      </w:r>
      <w:r w:rsidR="00924E6C">
        <w:rPr>
          <w:bCs/>
          <w:lang w:val="pl-PL"/>
        </w:rPr>
        <w:t> </w:t>
      </w:r>
      <w:r w:rsidRPr="00246717">
        <w:rPr>
          <w:bCs/>
          <w:lang w:val="pl-PL"/>
        </w:rPr>
        <w:t>56. Świadkowie</w:t>
      </w:r>
      <w:bookmarkEnd w:id="70"/>
    </w:p>
    <w:p w14:paraId="4C4D2258" w14:textId="259EF89F" w:rsidR="003D7C54" w:rsidRPr="00246717" w:rsidRDefault="00A00FB3" w:rsidP="000957D3">
      <w:pPr>
        <w:pStyle w:val="ECHRParaQuote"/>
        <w:rPr>
          <w:lang w:val="pl-PL"/>
        </w:rPr>
      </w:pPr>
      <w:r w:rsidRPr="00246717">
        <w:rPr>
          <w:lang w:val="pl-PL"/>
        </w:rPr>
        <w:t xml:space="preserve">„1.  Świadkiem jest osoba, która może posiadać wiedzę na temat faktów </w:t>
      </w:r>
      <w:r w:rsidR="004E1BDB">
        <w:rPr>
          <w:lang w:val="pl-PL"/>
        </w:rPr>
        <w:t>mających znaczenie dla</w:t>
      </w:r>
      <w:r w:rsidR="004E1BDB" w:rsidRPr="00246717">
        <w:rPr>
          <w:lang w:val="pl-PL"/>
        </w:rPr>
        <w:t xml:space="preserve"> </w:t>
      </w:r>
      <w:r w:rsidR="00924E6C">
        <w:rPr>
          <w:lang w:val="pl-PL"/>
        </w:rPr>
        <w:t>postępowania przygotowawczego</w:t>
      </w:r>
      <w:r w:rsidRPr="00246717">
        <w:rPr>
          <w:lang w:val="pl-PL"/>
        </w:rPr>
        <w:t xml:space="preserve"> i rozstrzygnięcia </w:t>
      </w:r>
      <w:r w:rsidR="004E1BDB">
        <w:rPr>
          <w:lang w:val="pl-PL"/>
        </w:rPr>
        <w:t>sprawy karnej</w:t>
      </w:r>
      <w:r w:rsidRPr="00246717">
        <w:rPr>
          <w:lang w:val="pl-PL"/>
        </w:rPr>
        <w:t xml:space="preserve"> i która zostaje wezwana do stawiennictwa w celu złożenia zeznań [...]</w:t>
      </w:r>
    </w:p>
    <w:p w14:paraId="462B6AA0" w14:textId="77777777" w:rsidR="005B6547" w:rsidRPr="00246717" w:rsidRDefault="005B6547" w:rsidP="000957D3">
      <w:pPr>
        <w:pStyle w:val="ECHRParaQuote"/>
        <w:rPr>
          <w:lang w:val="pl-PL"/>
        </w:rPr>
      </w:pPr>
      <w:r w:rsidRPr="00246717">
        <w:rPr>
          <w:lang w:val="pl-PL"/>
        </w:rPr>
        <w:t>[...]</w:t>
      </w:r>
    </w:p>
    <w:p w14:paraId="0AA6621B" w14:textId="65B6EB2D" w:rsidR="005B6547" w:rsidRPr="00246717" w:rsidRDefault="00A00FB3" w:rsidP="000957D3">
      <w:pPr>
        <w:pStyle w:val="ECHRParaQuote"/>
        <w:rPr>
          <w:lang w:val="pl-PL"/>
        </w:rPr>
      </w:pPr>
      <w:r w:rsidRPr="00246717">
        <w:rPr>
          <w:lang w:val="pl-PL"/>
        </w:rPr>
        <w:t>7.  </w:t>
      </w:r>
      <w:r w:rsidR="004E1BDB">
        <w:rPr>
          <w:lang w:val="pl-PL"/>
        </w:rPr>
        <w:t>W razie nieusprawiedliwionego stawiennictwa</w:t>
      </w:r>
      <w:r w:rsidRPr="00246717">
        <w:rPr>
          <w:lang w:val="pl-PL"/>
        </w:rPr>
        <w:t xml:space="preserve"> świad</w:t>
      </w:r>
      <w:r w:rsidR="004E1BDB">
        <w:rPr>
          <w:lang w:val="pl-PL"/>
        </w:rPr>
        <w:t>ka można przymusowo doprowadzić</w:t>
      </w:r>
      <w:r w:rsidRPr="00246717">
        <w:rPr>
          <w:lang w:val="pl-PL"/>
        </w:rPr>
        <w:t>”.</w:t>
      </w:r>
    </w:p>
    <w:p w14:paraId="2C0E6174" w14:textId="56C8A53B" w:rsidR="005B6547" w:rsidRPr="00246717" w:rsidRDefault="005B6547" w:rsidP="000957D3">
      <w:pPr>
        <w:pStyle w:val="ECHRTitleCentre3"/>
        <w:rPr>
          <w:lang w:val="pl-PL"/>
        </w:rPr>
      </w:pPr>
      <w:bookmarkStart w:id="71" w:name="_Toc512401286"/>
      <w:r w:rsidRPr="00246717">
        <w:rPr>
          <w:bCs/>
          <w:lang w:val="pl-PL"/>
        </w:rPr>
        <w:t>Artykuł</w:t>
      </w:r>
      <w:r w:rsidR="00924E6C">
        <w:rPr>
          <w:bCs/>
          <w:lang w:val="pl-PL"/>
        </w:rPr>
        <w:t> </w:t>
      </w:r>
      <w:r w:rsidRPr="00246717">
        <w:rPr>
          <w:bCs/>
          <w:lang w:val="pl-PL"/>
        </w:rPr>
        <w:t xml:space="preserve">60. </w:t>
      </w:r>
      <w:r w:rsidR="004E1BDB">
        <w:rPr>
          <w:bCs/>
          <w:lang w:val="pl-PL"/>
        </w:rPr>
        <w:t>Przybrani</w:t>
      </w:r>
      <w:r w:rsidR="004E1BDB" w:rsidRPr="00246717">
        <w:rPr>
          <w:bCs/>
          <w:lang w:val="pl-PL"/>
        </w:rPr>
        <w:t xml:space="preserve"> </w:t>
      </w:r>
      <w:r w:rsidRPr="00246717">
        <w:rPr>
          <w:bCs/>
          <w:lang w:val="pl-PL"/>
        </w:rPr>
        <w:t>świadkowie</w:t>
      </w:r>
      <w:bookmarkEnd w:id="71"/>
    </w:p>
    <w:p w14:paraId="3EBD6918" w14:textId="6E56E4F2" w:rsidR="00562B55" w:rsidRPr="00246717" w:rsidRDefault="005B6547" w:rsidP="000957D3">
      <w:pPr>
        <w:pStyle w:val="ECHRParaQuote"/>
        <w:rPr>
          <w:lang w:val="pl-PL"/>
        </w:rPr>
      </w:pPr>
      <w:r w:rsidRPr="00246717">
        <w:rPr>
          <w:lang w:val="pl-PL"/>
        </w:rPr>
        <w:t>„1.  </w:t>
      </w:r>
      <w:r w:rsidR="004E1BDB">
        <w:rPr>
          <w:lang w:val="pl-PL"/>
        </w:rPr>
        <w:t>Przybrany</w:t>
      </w:r>
      <w:r w:rsidR="004E1BDB" w:rsidRPr="00246717">
        <w:rPr>
          <w:lang w:val="pl-PL"/>
        </w:rPr>
        <w:t xml:space="preserve"> </w:t>
      </w:r>
      <w:r w:rsidRPr="00246717">
        <w:rPr>
          <w:lang w:val="pl-PL"/>
        </w:rPr>
        <w:t xml:space="preserve">świadek jest osobą niezainteresowaną wynikiem postępowania karnego, </w:t>
      </w:r>
      <w:r w:rsidR="004E1BDB">
        <w:rPr>
          <w:lang w:val="pl-PL"/>
        </w:rPr>
        <w:t>do której</w:t>
      </w:r>
      <w:r w:rsidRPr="00246717">
        <w:rPr>
          <w:lang w:val="pl-PL"/>
        </w:rPr>
        <w:t xml:space="preserve"> </w:t>
      </w:r>
      <w:r w:rsidR="004E1BDB">
        <w:rPr>
          <w:lang w:val="pl-PL"/>
        </w:rPr>
        <w:t>organ prowadzący postępowanie przygotowawcze</w:t>
      </w:r>
      <w:r w:rsidR="004E1BDB" w:rsidRPr="00246717">
        <w:rPr>
          <w:lang w:val="pl-PL"/>
        </w:rPr>
        <w:t xml:space="preserve"> </w:t>
      </w:r>
      <w:r w:rsidRPr="00246717">
        <w:rPr>
          <w:lang w:val="pl-PL"/>
        </w:rPr>
        <w:t xml:space="preserve">[...] </w:t>
      </w:r>
      <w:r w:rsidR="004E1BDB">
        <w:rPr>
          <w:lang w:val="pl-PL"/>
        </w:rPr>
        <w:t xml:space="preserve">zwraca się </w:t>
      </w:r>
      <w:r w:rsidRPr="00246717">
        <w:rPr>
          <w:lang w:val="pl-PL"/>
        </w:rPr>
        <w:t xml:space="preserve">o </w:t>
      </w:r>
      <w:r w:rsidR="004E1BDB">
        <w:rPr>
          <w:lang w:val="pl-PL"/>
        </w:rPr>
        <w:t>potwierdzenie</w:t>
      </w:r>
      <w:r w:rsidR="004E1BDB" w:rsidRPr="00246717">
        <w:rPr>
          <w:lang w:val="pl-PL"/>
        </w:rPr>
        <w:t xml:space="preserve"> </w:t>
      </w:r>
      <w:r w:rsidRPr="00246717">
        <w:rPr>
          <w:lang w:val="pl-PL"/>
        </w:rPr>
        <w:t xml:space="preserve">przeprowadzeniu środka dowodowego, a także jego </w:t>
      </w:r>
      <w:r w:rsidR="004E1BDB">
        <w:rPr>
          <w:lang w:val="pl-PL"/>
        </w:rPr>
        <w:t>charakteru</w:t>
      </w:r>
      <w:r w:rsidRPr="00246717">
        <w:rPr>
          <w:lang w:val="pl-PL"/>
        </w:rPr>
        <w:t xml:space="preserve">, przebiegu i </w:t>
      </w:r>
      <w:r w:rsidR="004E1BDB">
        <w:rPr>
          <w:lang w:val="pl-PL"/>
        </w:rPr>
        <w:t>wyników</w:t>
      </w:r>
      <w:r w:rsidRPr="00246717">
        <w:rPr>
          <w:lang w:val="pl-PL"/>
        </w:rPr>
        <w:t>.</w:t>
      </w:r>
    </w:p>
    <w:p w14:paraId="0375A247" w14:textId="2CDBF3D7" w:rsidR="00562B55" w:rsidRPr="00246717" w:rsidRDefault="00107B4F" w:rsidP="000957D3">
      <w:pPr>
        <w:pStyle w:val="ECHRParaQuote"/>
        <w:rPr>
          <w:lang w:val="pl-PL"/>
        </w:rPr>
      </w:pPr>
      <w:r w:rsidRPr="00246717">
        <w:rPr>
          <w:lang w:val="pl-PL"/>
        </w:rPr>
        <w:t>2.  </w:t>
      </w:r>
      <w:r w:rsidR="004E1BDB">
        <w:rPr>
          <w:lang w:val="pl-PL"/>
        </w:rPr>
        <w:t>Przybranym</w:t>
      </w:r>
      <w:r w:rsidRPr="00246717">
        <w:rPr>
          <w:lang w:val="pl-PL"/>
        </w:rPr>
        <w:t xml:space="preserve"> świadkiem</w:t>
      </w:r>
      <w:r w:rsidR="004E1BDB">
        <w:rPr>
          <w:lang w:val="pl-PL"/>
        </w:rPr>
        <w:t xml:space="preserve"> nie może być</w:t>
      </w:r>
      <w:r w:rsidRPr="00246717">
        <w:rPr>
          <w:lang w:val="pl-PL"/>
        </w:rPr>
        <w:t>:</w:t>
      </w:r>
    </w:p>
    <w:p w14:paraId="52DF2820" w14:textId="0D265AD2" w:rsidR="00562B55" w:rsidRPr="00246717" w:rsidRDefault="00562B55" w:rsidP="000957D3">
      <w:pPr>
        <w:pStyle w:val="ECHRParaQuote"/>
        <w:rPr>
          <w:lang w:val="pl-PL"/>
        </w:rPr>
      </w:pPr>
      <w:r w:rsidRPr="00246717">
        <w:rPr>
          <w:lang w:val="pl-PL"/>
        </w:rPr>
        <w:t>1)</w:t>
      </w:r>
      <w:r w:rsidR="00924E6C">
        <w:rPr>
          <w:lang w:val="pl-PL"/>
        </w:rPr>
        <w:t>  małoletni</w:t>
      </w:r>
      <w:r w:rsidRPr="00246717">
        <w:rPr>
          <w:lang w:val="pl-PL"/>
        </w:rPr>
        <w:t>;</w:t>
      </w:r>
    </w:p>
    <w:p w14:paraId="56134584" w14:textId="3761527E" w:rsidR="00562B55" w:rsidRPr="00246717" w:rsidRDefault="00107B4F" w:rsidP="000957D3">
      <w:pPr>
        <w:pStyle w:val="ECHRParaQuote"/>
        <w:rPr>
          <w:lang w:val="pl-PL"/>
        </w:rPr>
      </w:pPr>
      <w:r w:rsidRPr="00246717">
        <w:rPr>
          <w:lang w:val="pl-PL"/>
        </w:rPr>
        <w:t>2)</w:t>
      </w:r>
      <w:r w:rsidR="00924E6C">
        <w:rPr>
          <w:lang w:val="pl-PL"/>
        </w:rPr>
        <w:t>  uczestnik postępowania karnego</w:t>
      </w:r>
      <w:r w:rsidRPr="00246717">
        <w:rPr>
          <w:lang w:val="pl-PL"/>
        </w:rPr>
        <w:t xml:space="preserve">, </w:t>
      </w:r>
      <w:r w:rsidR="00924E6C">
        <w:rPr>
          <w:lang w:val="pl-PL"/>
        </w:rPr>
        <w:t>jego</w:t>
      </w:r>
      <w:r w:rsidRPr="00246717">
        <w:rPr>
          <w:lang w:val="pl-PL"/>
        </w:rPr>
        <w:t xml:space="preserve"> blis</w:t>
      </w:r>
      <w:r w:rsidR="00924E6C">
        <w:rPr>
          <w:lang w:val="pl-PL"/>
        </w:rPr>
        <w:t>cy</w:t>
      </w:r>
      <w:r w:rsidRPr="00246717">
        <w:rPr>
          <w:lang w:val="pl-PL"/>
        </w:rPr>
        <w:t xml:space="preserve"> i </w:t>
      </w:r>
      <w:r w:rsidR="00924E6C">
        <w:rPr>
          <w:lang w:val="pl-PL"/>
        </w:rPr>
        <w:t>dalecy krewni</w:t>
      </w:r>
      <w:r w:rsidRPr="00246717">
        <w:rPr>
          <w:lang w:val="pl-PL"/>
        </w:rPr>
        <w:t>;</w:t>
      </w:r>
    </w:p>
    <w:p w14:paraId="3C5EB664" w14:textId="53100A56" w:rsidR="005B6547" w:rsidRPr="00246717" w:rsidRDefault="00107B4F" w:rsidP="000957D3">
      <w:pPr>
        <w:pStyle w:val="ECHRParaQuote"/>
        <w:rPr>
          <w:lang w:val="pl-PL"/>
        </w:rPr>
      </w:pPr>
      <w:r w:rsidRPr="00246717">
        <w:rPr>
          <w:lang w:val="pl-PL"/>
        </w:rPr>
        <w:t>3)</w:t>
      </w:r>
      <w:r w:rsidR="00A133B0">
        <w:rPr>
          <w:lang w:val="pl-PL"/>
        </w:rPr>
        <w:t>  </w:t>
      </w:r>
      <w:r w:rsidRPr="00246717">
        <w:rPr>
          <w:lang w:val="pl-PL"/>
        </w:rPr>
        <w:t>[</w:t>
      </w:r>
      <w:r w:rsidR="004E1BDB">
        <w:rPr>
          <w:lang w:val="pl-PL"/>
        </w:rPr>
        <w:t>funkcjonariusz</w:t>
      </w:r>
      <w:r w:rsidRPr="00246717">
        <w:rPr>
          <w:lang w:val="pl-PL"/>
        </w:rPr>
        <w:t xml:space="preserve"> organów ścigania, któremu powierzono uprawnienia do </w:t>
      </w:r>
      <w:r w:rsidR="004E1BDB">
        <w:rPr>
          <w:lang w:val="pl-PL"/>
        </w:rPr>
        <w:t>dokonywania czynności przygotowawczych</w:t>
      </w:r>
      <w:r w:rsidRPr="00246717">
        <w:rPr>
          <w:lang w:val="pl-PL"/>
        </w:rPr>
        <w:t>] [...]”</w:t>
      </w:r>
    </w:p>
    <w:p w14:paraId="1887E137" w14:textId="49046ABA" w:rsidR="005B6547" w:rsidRPr="00246717" w:rsidRDefault="005B6547" w:rsidP="000957D3">
      <w:pPr>
        <w:pStyle w:val="ECHRTitleCentre3"/>
        <w:rPr>
          <w:lang w:val="pl-PL"/>
        </w:rPr>
      </w:pPr>
      <w:bookmarkStart w:id="72" w:name="_Toc512401287"/>
      <w:r w:rsidRPr="00246717">
        <w:rPr>
          <w:bCs/>
          <w:lang w:val="pl-PL"/>
        </w:rPr>
        <w:t>Artykuł</w:t>
      </w:r>
      <w:r w:rsidR="002E26AD">
        <w:rPr>
          <w:bCs/>
          <w:lang w:val="pl-PL"/>
        </w:rPr>
        <w:t> </w:t>
      </w:r>
      <w:r w:rsidRPr="00246717">
        <w:rPr>
          <w:bCs/>
          <w:lang w:val="pl-PL"/>
        </w:rPr>
        <w:t>119. Osoby</w:t>
      </w:r>
      <w:r w:rsidR="004E1BDB">
        <w:rPr>
          <w:bCs/>
          <w:lang w:val="pl-PL"/>
        </w:rPr>
        <w:t xml:space="preserve"> uprawnione</w:t>
      </w:r>
      <w:r w:rsidRPr="00246717">
        <w:rPr>
          <w:bCs/>
          <w:lang w:val="pl-PL"/>
        </w:rPr>
        <w:t xml:space="preserve"> do składania </w:t>
      </w:r>
      <w:r w:rsidR="00A04F70">
        <w:rPr>
          <w:bCs/>
          <w:lang w:val="pl-PL"/>
        </w:rPr>
        <w:t xml:space="preserve">wniosków </w:t>
      </w:r>
      <w:r w:rsidRPr="00246717">
        <w:rPr>
          <w:bCs/>
          <w:lang w:val="pl-PL"/>
        </w:rPr>
        <w:t>procesowych</w:t>
      </w:r>
      <w:bookmarkEnd w:id="72"/>
    </w:p>
    <w:p w14:paraId="2FD7A804" w14:textId="2A07AE1A" w:rsidR="005B6547" w:rsidRPr="00246717" w:rsidRDefault="005B6547" w:rsidP="000957D3">
      <w:pPr>
        <w:pStyle w:val="ECHRParaQuote"/>
        <w:rPr>
          <w:lang w:val="pl-PL"/>
        </w:rPr>
      </w:pPr>
      <w:r w:rsidRPr="00246717">
        <w:rPr>
          <w:rFonts w:ascii="Times New Roman" w:hAnsi="Times New Roman"/>
          <w:sz w:val="24"/>
          <w:szCs w:val="24"/>
          <w:lang w:val="pl-PL"/>
        </w:rPr>
        <w:t>„</w:t>
      </w:r>
      <w:r w:rsidRPr="00246717">
        <w:rPr>
          <w:lang w:val="pl-PL"/>
        </w:rPr>
        <w:t xml:space="preserve">1.  Podejrzany, oskarżony, jego obrońca, </w:t>
      </w:r>
      <w:r w:rsidR="002E26AD">
        <w:rPr>
          <w:lang w:val="pl-PL"/>
        </w:rPr>
        <w:t>pokrzywdzony</w:t>
      </w:r>
      <w:r w:rsidRPr="00246717">
        <w:rPr>
          <w:lang w:val="pl-PL"/>
        </w:rPr>
        <w:t>, p</w:t>
      </w:r>
      <w:r w:rsidR="002E26AD">
        <w:rPr>
          <w:lang w:val="pl-PL"/>
        </w:rPr>
        <w:t>ełnomocnik</w:t>
      </w:r>
      <w:r w:rsidRPr="00246717">
        <w:rPr>
          <w:lang w:val="pl-PL"/>
        </w:rPr>
        <w:t xml:space="preserve"> </w:t>
      </w:r>
      <w:r w:rsidR="00A04F70">
        <w:rPr>
          <w:lang w:val="pl-PL"/>
        </w:rPr>
        <w:t>ustawowy</w:t>
      </w:r>
      <w:r w:rsidR="00A04F70" w:rsidRPr="00246717">
        <w:rPr>
          <w:lang w:val="pl-PL"/>
        </w:rPr>
        <w:t xml:space="preserve"> </w:t>
      </w:r>
      <w:r w:rsidRPr="00246717">
        <w:rPr>
          <w:lang w:val="pl-PL"/>
        </w:rPr>
        <w:t>i przedstawiciel</w:t>
      </w:r>
      <w:r w:rsidR="00A04F70">
        <w:rPr>
          <w:lang w:val="pl-PL"/>
        </w:rPr>
        <w:t xml:space="preserve"> pokrzywdzonego</w:t>
      </w:r>
      <w:r w:rsidRPr="00246717">
        <w:rPr>
          <w:lang w:val="pl-PL"/>
        </w:rPr>
        <w:t xml:space="preserve">, oskarżyciel prywatny, biegły, a także powód </w:t>
      </w:r>
      <w:r w:rsidR="00A04F70">
        <w:rPr>
          <w:lang w:val="pl-PL"/>
        </w:rPr>
        <w:t>i</w:t>
      </w:r>
      <w:r w:rsidRPr="00246717">
        <w:rPr>
          <w:lang w:val="pl-PL"/>
        </w:rPr>
        <w:t xml:space="preserve"> pozwany </w:t>
      </w:r>
      <w:r w:rsidR="00A04F70">
        <w:rPr>
          <w:lang w:val="pl-PL"/>
        </w:rPr>
        <w:t xml:space="preserve">z powództwa cywilnego </w:t>
      </w:r>
      <w:r w:rsidRPr="00246717">
        <w:rPr>
          <w:lang w:val="pl-PL"/>
        </w:rPr>
        <w:t>oraz ich p</w:t>
      </w:r>
      <w:r w:rsidR="002E26AD">
        <w:rPr>
          <w:lang w:val="pl-PL"/>
        </w:rPr>
        <w:t>ełnomocnicy</w:t>
      </w:r>
      <w:r w:rsidRPr="00246717">
        <w:rPr>
          <w:lang w:val="pl-PL"/>
        </w:rPr>
        <w:t xml:space="preserve"> mogą </w:t>
      </w:r>
      <w:r w:rsidR="00A04F70">
        <w:rPr>
          <w:lang w:val="pl-PL"/>
        </w:rPr>
        <w:t>składać</w:t>
      </w:r>
      <w:r w:rsidR="00A04F70" w:rsidRPr="00246717">
        <w:rPr>
          <w:lang w:val="pl-PL"/>
        </w:rPr>
        <w:t xml:space="preserve"> </w:t>
      </w:r>
      <w:r w:rsidR="00A04F70">
        <w:rPr>
          <w:lang w:val="pl-PL"/>
        </w:rPr>
        <w:t>wnioski</w:t>
      </w:r>
      <w:r w:rsidR="00A04F70" w:rsidRPr="00246717">
        <w:rPr>
          <w:lang w:val="pl-PL"/>
        </w:rPr>
        <w:t xml:space="preserve"> </w:t>
      </w:r>
      <w:r w:rsidRPr="00246717">
        <w:rPr>
          <w:lang w:val="pl-PL"/>
        </w:rPr>
        <w:t xml:space="preserve">o przeprowadzanie </w:t>
      </w:r>
      <w:r w:rsidR="002E26AD">
        <w:rPr>
          <w:lang w:val="pl-PL"/>
        </w:rPr>
        <w:t>czynności procesowych</w:t>
      </w:r>
      <w:r w:rsidRPr="00246717">
        <w:rPr>
          <w:lang w:val="pl-PL"/>
        </w:rPr>
        <w:t xml:space="preserve"> i podejmowanie decyzji proceduralnych w celu ustalenia okoliczności istotnych dla postępowania karnego, zabezpieczenia praw i uzasadnionych interesów wnioskodawcy [...]”.</w:t>
      </w:r>
    </w:p>
    <w:p w14:paraId="7F555B4B" w14:textId="03AEDFDC" w:rsidR="0062431E" w:rsidRPr="00246717" w:rsidRDefault="005B6547" w:rsidP="000957D3">
      <w:pPr>
        <w:pStyle w:val="ECHRTitleCentre3"/>
        <w:rPr>
          <w:lang w:val="pl-PL"/>
        </w:rPr>
      </w:pPr>
      <w:bookmarkStart w:id="73" w:name="_Toc512401288"/>
      <w:r w:rsidRPr="00246717">
        <w:rPr>
          <w:bCs/>
          <w:lang w:val="pl-PL"/>
        </w:rPr>
        <w:t>Artykuł</w:t>
      </w:r>
      <w:r w:rsidR="000F485A">
        <w:rPr>
          <w:bCs/>
          <w:lang w:val="pl-PL"/>
        </w:rPr>
        <w:t> </w:t>
      </w:r>
      <w:r w:rsidRPr="00246717">
        <w:rPr>
          <w:bCs/>
          <w:lang w:val="pl-PL"/>
        </w:rPr>
        <w:t>120. Składanie wniosk</w:t>
      </w:r>
      <w:r w:rsidR="00A04F70">
        <w:rPr>
          <w:bCs/>
          <w:lang w:val="pl-PL"/>
        </w:rPr>
        <w:t>ów</w:t>
      </w:r>
      <w:r w:rsidRPr="00246717">
        <w:rPr>
          <w:bCs/>
          <w:lang w:val="pl-PL"/>
        </w:rPr>
        <w:t xml:space="preserve"> </w:t>
      </w:r>
      <w:bookmarkEnd w:id="73"/>
      <w:r w:rsidR="00A04F70" w:rsidRPr="00246717">
        <w:rPr>
          <w:bCs/>
          <w:lang w:val="pl-PL"/>
        </w:rPr>
        <w:t>proce</w:t>
      </w:r>
      <w:r w:rsidR="00A04F70">
        <w:rPr>
          <w:bCs/>
          <w:lang w:val="pl-PL"/>
        </w:rPr>
        <w:t>sowych</w:t>
      </w:r>
    </w:p>
    <w:p w14:paraId="089C5525" w14:textId="21208A8F" w:rsidR="005B6547" w:rsidRPr="00246717" w:rsidRDefault="008C14C6" w:rsidP="000957D3">
      <w:pPr>
        <w:pStyle w:val="ECHRParaQuote"/>
        <w:rPr>
          <w:lang w:val="pl-PL"/>
        </w:rPr>
      </w:pPr>
      <w:r w:rsidRPr="00246717">
        <w:rPr>
          <w:lang w:val="pl-PL"/>
        </w:rPr>
        <w:t xml:space="preserve">„1.  Wniosek </w:t>
      </w:r>
      <w:r w:rsidR="00A04F70" w:rsidRPr="00246717">
        <w:rPr>
          <w:lang w:val="pl-PL"/>
        </w:rPr>
        <w:t>proce</w:t>
      </w:r>
      <w:r w:rsidR="00A04F70">
        <w:rPr>
          <w:lang w:val="pl-PL"/>
        </w:rPr>
        <w:t>sowy</w:t>
      </w:r>
      <w:r w:rsidR="00A04F70" w:rsidRPr="00246717">
        <w:rPr>
          <w:lang w:val="pl-PL"/>
        </w:rPr>
        <w:t xml:space="preserve"> </w:t>
      </w:r>
      <w:r w:rsidRPr="00246717">
        <w:rPr>
          <w:lang w:val="pl-PL"/>
        </w:rPr>
        <w:t xml:space="preserve">można złożyć w dowolnym momencie w toku postępowania karnego. Wniosek na piśmie </w:t>
      </w:r>
      <w:r w:rsidR="00A04F70">
        <w:rPr>
          <w:lang w:val="pl-PL"/>
        </w:rPr>
        <w:t>za</w:t>
      </w:r>
      <w:r w:rsidRPr="00246717">
        <w:rPr>
          <w:lang w:val="pl-PL"/>
        </w:rPr>
        <w:t>łącz</w:t>
      </w:r>
      <w:r w:rsidR="00A04F70">
        <w:rPr>
          <w:lang w:val="pl-PL"/>
        </w:rPr>
        <w:t>a się</w:t>
      </w:r>
      <w:r w:rsidRPr="00246717">
        <w:rPr>
          <w:lang w:val="pl-PL"/>
        </w:rPr>
        <w:t xml:space="preserve"> do akt sprawy, [</w:t>
      </w:r>
      <w:r w:rsidR="000F485A">
        <w:rPr>
          <w:lang w:val="pl-PL"/>
        </w:rPr>
        <w:t>a</w:t>
      </w:r>
      <w:r w:rsidRPr="00246717">
        <w:rPr>
          <w:lang w:val="pl-PL"/>
        </w:rPr>
        <w:t>] ustny wniosek znajduje odzwierciedlenie w transkrypcji czynności prowadzonej w toku postępowania lub w protokole z rozprawy karnej.</w:t>
      </w:r>
    </w:p>
    <w:p w14:paraId="707B1A85" w14:textId="71D647DE" w:rsidR="005B6547" w:rsidRPr="00246717" w:rsidRDefault="008C14C6" w:rsidP="000957D3">
      <w:pPr>
        <w:pStyle w:val="ECHRParaQuote"/>
        <w:rPr>
          <w:lang w:val="pl-PL"/>
        </w:rPr>
      </w:pPr>
      <w:r w:rsidRPr="00246717">
        <w:rPr>
          <w:lang w:val="pl-PL"/>
        </w:rPr>
        <w:t xml:space="preserve">2.  Oddalenie wniosku </w:t>
      </w:r>
      <w:r w:rsidR="00A04F70" w:rsidRPr="00246717">
        <w:rPr>
          <w:lang w:val="pl-PL"/>
        </w:rPr>
        <w:t>proce</w:t>
      </w:r>
      <w:r w:rsidR="00A04F70">
        <w:rPr>
          <w:lang w:val="pl-PL"/>
        </w:rPr>
        <w:t>sowego</w:t>
      </w:r>
      <w:r w:rsidR="00A04F70" w:rsidRPr="00246717">
        <w:rPr>
          <w:lang w:val="pl-PL"/>
        </w:rPr>
        <w:t xml:space="preserve"> </w:t>
      </w:r>
      <w:r w:rsidRPr="00246717">
        <w:rPr>
          <w:lang w:val="pl-PL"/>
        </w:rPr>
        <w:t xml:space="preserve">nie </w:t>
      </w:r>
      <w:r w:rsidR="00A04F70">
        <w:rPr>
          <w:lang w:val="pl-PL"/>
        </w:rPr>
        <w:t>pozbawia</w:t>
      </w:r>
      <w:r w:rsidR="00A04F70" w:rsidRPr="00246717">
        <w:rPr>
          <w:lang w:val="pl-PL"/>
        </w:rPr>
        <w:t xml:space="preserve"> </w:t>
      </w:r>
      <w:r w:rsidRPr="00246717">
        <w:rPr>
          <w:lang w:val="pl-PL"/>
        </w:rPr>
        <w:t>wnioskodawcy</w:t>
      </w:r>
      <w:r w:rsidR="00A04F70">
        <w:rPr>
          <w:lang w:val="pl-PL"/>
        </w:rPr>
        <w:t xml:space="preserve"> możliwości</w:t>
      </w:r>
      <w:r w:rsidRPr="00246717">
        <w:rPr>
          <w:lang w:val="pl-PL"/>
        </w:rPr>
        <w:t xml:space="preserve"> ponownego złożenia tego samego wniosku”.</w:t>
      </w:r>
    </w:p>
    <w:p w14:paraId="3DB5555B" w14:textId="69E1B068" w:rsidR="005B6547" w:rsidRPr="00246717" w:rsidRDefault="005B6547" w:rsidP="000957D3">
      <w:pPr>
        <w:pStyle w:val="ECHRTitleCentre3"/>
        <w:rPr>
          <w:lang w:val="pl-PL"/>
        </w:rPr>
      </w:pPr>
      <w:bookmarkStart w:id="74" w:name="_Toc512401289"/>
      <w:r w:rsidRPr="00246717">
        <w:rPr>
          <w:bCs/>
          <w:lang w:val="pl-PL"/>
        </w:rPr>
        <w:t>Artykuł</w:t>
      </w:r>
      <w:r w:rsidR="000F485A">
        <w:rPr>
          <w:bCs/>
          <w:lang w:val="pl-PL"/>
        </w:rPr>
        <w:t> </w:t>
      </w:r>
      <w:r w:rsidRPr="00246717">
        <w:rPr>
          <w:bCs/>
          <w:lang w:val="pl-PL"/>
        </w:rPr>
        <w:t>192. Konfrontacja</w:t>
      </w:r>
      <w:bookmarkEnd w:id="74"/>
    </w:p>
    <w:p w14:paraId="70985368" w14:textId="620B3A90" w:rsidR="005B6547" w:rsidRPr="00246717" w:rsidRDefault="008C14C6" w:rsidP="000957D3">
      <w:pPr>
        <w:pStyle w:val="ECHRParaQuote"/>
        <w:rPr>
          <w:lang w:val="pl-PL"/>
        </w:rPr>
      </w:pPr>
      <w:r w:rsidRPr="00246717">
        <w:rPr>
          <w:lang w:val="pl-PL"/>
        </w:rPr>
        <w:t xml:space="preserve">„1.  Jeśli zeznanie wcześniej przesłuchanych osób zawiera znaczące sprzeczności, </w:t>
      </w:r>
      <w:r w:rsidR="00A04F70">
        <w:rPr>
          <w:lang w:val="pl-PL"/>
        </w:rPr>
        <w:t>organ prowadzący postępowanie przygotowawcze</w:t>
      </w:r>
      <w:r w:rsidR="00A04F70" w:rsidRPr="00246717">
        <w:rPr>
          <w:lang w:val="pl-PL"/>
        </w:rPr>
        <w:t xml:space="preserve"> </w:t>
      </w:r>
      <w:r w:rsidRPr="00246717">
        <w:rPr>
          <w:lang w:val="pl-PL"/>
        </w:rPr>
        <w:t>ma prawo przeprowadzić konfrontację [...]</w:t>
      </w:r>
    </w:p>
    <w:p w14:paraId="1EC4A456" w14:textId="498AB2E3" w:rsidR="005B6547" w:rsidRPr="00246717" w:rsidRDefault="008C14C6" w:rsidP="000957D3">
      <w:pPr>
        <w:pStyle w:val="ECHRParaQuote"/>
        <w:rPr>
          <w:lang w:val="pl-PL"/>
        </w:rPr>
      </w:pPr>
      <w:r w:rsidRPr="00246717">
        <w:rPr>
          <w:lang w:val="pl-PL"/>
        </w:rPr>
        <w:t>2.  </w:t>
      </w:r>
      <w:r w:rsidR="00944706">
        <w:rPr>
          <w:lang w:val="pl-PL"/>
        </w:rPr>
        <w:t>Organ prowadzący postępowanie przygotowawcze</w:t>
      </w:r>
      <w:r w:rsidRPr="00246717">
        <w:rPr>
          <w:lang w:val="pl-PL"/>
        </w:rPr>
        <w:t xml:space="preserve"> pyta osoby biorące udział w konfrontacji, czy się znają i jakie są ich relacje. </w:t>
      </w:r>
      <w:r w:rsidR="00944706">
        <w:rPr>
          <w:lang w:val="pl-PL"/>
        </w:rPr>
        <w:t>Następnie p</w:t>
      </w:r>
      <w:r w:rsidR="00944706" w:rsidRPr="00246717">
        <w:rPr>
          <w:lang w:val="pl-PL"/>
        </w:rPr>
        <w:t xml:space="preserve">rzesłuchiwane </w:t>
      </w:r>
      <w:r w:rsidRPr="00246717">
        <w:rPr>
          <w:lang w:val="pl-PL"/>
        </w:rPr>
        <w:t xml:space="preserve">osoby </w:t>
      </w:r>
      <w:r w:rsidR="00944706">
        <w:rPr>
          <w:lang w:val="pl-PL"/>
        </w:rPr>
        <w:t xml:space="preserve">są </w:t>
      </w:r>
      <w:r w:rsidRPr="00246717">
        <w:rPr>
          <w:lang w:val="pl-PL"/>
        </w:rPr>
        <w:t xml:space="preserve">proszone o </w:t>
      </w:r>
      <w:r w:rsidR="00944706">
        <w:rPr>
          <w:lang w:val="pl-PL"/>
        </w:rPr>
        <w:t xml:space="preserve">złożenie </w:t>
      </w:r>
      <w:r w:rsidR="00944706" w:rsidRPr="00246717">
        <w:rPr>
          <w:lang w:val="pl-PL"/>
        </w:rPr>
        <w:t>zezna</w:t>
      </w:r>
      <w:r w:rsidR="00944706">
        <w:rPr>
          <w:lang w:val="pl-PL"/>
        </w:rPr>
        <w:t>ń</w:t>
      </w:r>
      <w:r w:rsidR="00944706" w:rsidRPr="00246717">
        <w:rPr>
          <w:lang w:val="pl-PL"/>
        </w:rPr>
        <w:t xml:space="preserve"> </w:t>
      </w:r>
      <w:r w:rsidRPr="00246717">
        <w:rPr>
          <w:lang w:val="pl-PL"/>
        </w:rPr>
        <w:t xml:space="preserve">w sprawie </w:t>
      </w:r>
      <w:r w:rsidR="009812E0" w:rsidRPr="00246717">
        <w:rPr>
          <w:lang w:val="pl-PL"/>
        </w:rPr>
        <w:t>okoliczności</w:t>
      </w:r>
      <w:r w:rsidRPr="00246717">
        <w:rPr>
          <w:lang w:val="pl-PL"/>
        </w:rPr>
        <w:t xml:space="preserve">, które zostają ustalone w drodze konfrontacji. Po złożeniu zeznań </w:t>
      </w:r>
      <w:r w:rsidR="00944706">
        <w:rPr>
          <w:lang w:val="pl-PL"/>
        </w:rPr>
        <w:t>organ prowadzący postępowanie przygotowawcze</w:t>
      </w:r>
      <w:r w:rsidRPr="00246717">
        <w:rPr>
          <w:lang w:val="pl-PL"/>
        </w:rPr>
        <w:t xml:space="preserve"> może zadać pytania każdej z przesłuchiwanych osób. Osoby biorące udział w konfrontacji mogą, za </w:t>
      </w:r>
      <w:r w:rsidR="00944706">
        <w:rPr>
          <w:lang w:val="pl-PL"/>
        </w:rPr>
        <w:t>zgodą</w:t>
      </w:r>
      <w:r w:rsidR="00944706" w:rsidRPr="00246717">
        <w:rPr>
          <w:lang w:val="pl-PL"/>
        </w:rPr>
        <w:t xml:space="preserve"> </w:t>
      </w:r>
      <w:r w:rsidR="00944706">
        <w:rPr>
          <w:lang w:val="pl-PL"/>
        </w:rPr>
        <w:t>organu prowadzącego postępowanie przygotowawcze</w:t>
      </w:r>
      <w:r w:rsidRPr="00246717">
        <w:rPr>
          <w:lang w:val="pl-PL"/>
        </w:rPr>
        <w:t>, zadawać sobie nawzajem pytania”.</w:t>
      </w:r>
    </w:p>
    <w:p w14:paraId="78E12BEA" w14:textId="77777777" w:rsidR="0062431E" w:rsidRPr="00246717" w:rsidRDefault="005B6547" w:rsidP="000957D3">
      <w:pPr>
        <w:pStyle w:val="ECHRTitleCentre3"/>
        <w:rPr>
          <w:lang w:val="pl-PL"/>
        </w:rPr>
      </w:pPr>
      <w:bookmarkStart w:id="75" w:name="_Toc512401290"/>
      <w:r w:rsidRPr="00246717">
        <w:rPr>
          <w:bCs/>
          <w:lang w:val="pl-PL"/>
        </w:rPr>
        <w:lastRenderedPageBreak/>
        <w:t>Artykuł 235. Wniosek o wyłączenie dowodu</w:t>
      </w:r>
      <w:bookmarkEnd w:id="75"/>
    </w:p>
    <w:p w14:paraId="715EA472" w14:textId="77777777" w:rsidR="003D7C54" w:rsidRPr="00246717" w:rsidRDefault="008C14C6" w:rsidP="000957D3">
      <w:pPr>
        <w:pStyle w:val="ECHRParaQuote"/>
        <w:rPr>
          <w:lang w:val="pl-PL"/>
        </w:rPr>
      </w:pPr>
      <w:r w:rsidRPr="00246717">
        <w:rPr>
          <w:lang w:val="pl-PL"/>
        </w:rPr>
        <w:t>„1.  Strony w postępowaniu karnym mogą wnosić do sądu o wyłączenie dowodu przedstawionego w sądzie.</w:t>
      </w:r>
    </w:p>
    <w:p w14:paraId="56D78DBE" w14:textId="77777777" w:rsidR="005B6547" w:rsidRPr="00246717" w:rsidRDefault="008C14C6" w:rsidP="000957D3">
      <w:pPr>
        <w:pStyle w:val="ECHRParaQuote"/>
        <w:rPr>
          <w:lang w:val="pl-PL"/>
        </w:rPr>
      </w:pPr>
      <w:r w:rsidRPr="00246717">
        <w:rPr>
          <w:lang w:val="pl-PL"/>
        </w:rPr>
        <w:t>[...]</w:t>
      </w:r>
    </w:p>
    <w:p w14:paraId="26659442" w14:textId="71FB4D03" w:rsidR="005B6547" w:rsidRPr="00246717" w:rsidRDefault="005B6547" w:rsidP="000957D3">
      <w:pPr>
        <w:pStyle w:val="ECHRParaQuote"/>
        <w:rPr>
          <w:lang w:val="pl-PL"/>
        </w:rPr>
      </w:pPr>
      <w:r w:rsidRPr="00246717">
        <w:rPr>
          <w:lang w:val="pl-PL"/>
        </w:rPr>
        <w:t xml:space="preserve">4.  Jeżeli </w:t>
      </w:r>
      <w:r w:rsidR="00944706">
        <w:rPr>
          <w:lang w:val="pl-PL"/>
        </w:rPr>
        <w:t>oskarżony</w:t>
      </w:r>
      <w:r w:rsidR="00944706" w:rsidRPr="00246717">
        <w:rPr>
          <w:lang w:val="pl-PL"/>
        </w:rPr>
        <w:t xml:space="preserve"> </w:t>
      </w:r>
      <w:r w:rsidRPr="00246717">
        <w:rPr>
          <w:lang w:val="pl-PL"/>
        </w:rPr>
        <w:t xml:space="preserve">dąży do wyłączenia dowodu uzyskanego z naruszeniem przepisów </w:t>
      </w:r>
      <w:r w:rsidR="000F485A">
        <w:rPr>
          <w:lang w:val="pl-PL"/>
        </w:rPr>
        <w:t>k</w:t>
      </w:r>
      <w:r w:rsidRPr="00246717">
        <w:rPr>
          <w:lang w:val="pl-PL"/>
        </w:rPr>
        <w:t xml:space="preserve">odeksu postępowania karnego, wówczas prokurator musi </w:t>
      </w:r>
      <w:r w:rsidR="00944706">
        <w:rPr>
          <w:lang w:val="pl-PL"/>
        </w:rPr>
        <w:t>wykazać</w:t>
      </w:r>
      <w:r w:rsidRPr="00246717">
        <w:rPr>
          <w:lang w:val="pl-PL"/>
        </w:rPr>
        <w:t xml:space="preserve"> brak takiego naruszenia. W </w:t>
      </w:r>
      <w:r w:rsidR="00944706">
        <w:rPr>
          <w:lang w:val="pl-PL"/>
        </w:rPr>
        <w:t>pozostałych</w:t>
      </w:r>
      <w:r w:rsidR="00944706" w:rsidRPr="00246717">
        <w:rPr>
          <w:lang w:val="pl-PL"/>
        </w:rPr>
        <w:t xml:space="preserve"> </w:t>
      </w:r>
      <w:r w:rsidRPr="00246717">
        <w:rPr>
          <w:lang w:val="pl-PL"/>
        </w:rPr>
        <w:t>przypadkach ciężar dowodu spoczywa na stronie, która złożyła wniosek o wyłączenie dowodu [...]”.</w:t>
      </w:r>
    </w:p>
    <w:p w14:paraId="21F5607A" w14:textId="50C6519E" w:rsidR="005B6547" w:rsidRPr="00246717" w:rsidRDefault="005B6547" w:rsidP="000957D3">
      <w:pPr>
        <w:pStyle w:val="ECHRTitleCentre3"/>
        <w:rPr>
          <w:lang w:val="pl-PL"/>
        </w:rPr>
      </w:pPr>
      <w:bookmarkStart w:id="76" w:name="_Toc512401291"/>
      <w:r w:rsidRPr="00246717">
        <w:rPr>
          <w:bCs/>
          <w:lang w:val="pl-PL"/>
        </w:rPr>
        <w:t>Artykuł</w:t>
      </w:r>
      <w:r w:rsidR="002C1837">
        <w:rPr>
          <w:bCs/>
          <w:lang w:val="pl-PL"/>
        </w:rPr>
        <w:t> </w:t>
      </w:r>
      <w:r w:rsidRPr="00246717">
        <w:rPr>
          <w:bCs/>
          <w:lang w:val="pl-PL"/>
        </w:rPr>
        <w:t>240. Bezpośrednie i otwarte [</w:t>
      </w:r>
      <w:r w:rsidR="00944706">
        <w:rPr>
          <w:bCs/>
          <w:lang w:val="pl-PL"/>
        </w:rPr>
        <w:t>przeprowadzanie</w:t>
      </w:r>
      <w:r w:rsidR="00944706" w:rsidRPr="00246717">
        <w:rPr>
          <w:bCs/>
          <w:lang w:val="pl-PL"/>
        </w:rPr>
        <w:t xml:space="preserve"> </w:t>
      </w:r>
      <w:r w:rsidRPr="00246717">
        <w:rPr>
          <w:bCs/>
          <w:lang w:val="pl-PL"/>
        </w:rPr>
        <w:t>dowodu]</w:t>
      </w:r>
      <w:bookmarkEnd w:id="76"/>
    </w:p>
    <w:p w14:paraId="5D82DA25" w14:textId="4F1636A6" w:rsidR="005B6547" w:rsidRPr="00246717" w:rsidRDefault="005B6547" w:rsidP="000957D3">
      <w:pPr>
        <w:pStyle w:val="ECHRParaQuote"/>
        <w:rPr>
          <w:lang w:val="pl-PL"/>
        </w:rPr>
      </w:pPr>
      <w:r w:rsidRPr="00246717">
        <w:rPr>
          <w:lang w:val="pl-PL"/>
        </w:rPr>
        <w:t xml:space="preserve">„1.  Wszystkie dowody powinny, zasadniczo, zostać </w:t>
      </w:r>
      <w:r w:rsidR="00944706">
        <w:rPr>
          <w:lang w:val="pl-PL"/>
        </w:rPr>
        <w:t>sprowadzone</w:t>
      </w:r>
      <w:r w:rsidR="00944706" w:rsidRPr="00246717">
        <w:rPr>
          <w:lang w:val="pl-PL"/>
        </w:rPr>
        <w:t xml:space="preserve"> </w:t>
      </w:r>
      <w:r w:rsidRPr="00246717">
        <w:rPr>
          <w:lang w:val="pl-PL"/>
        </w:rPr>
        <w:t>na rozpraw</w:t>
      </w:r>
      <w:r w:rsidR="00944706">
        <w:rPr>
          <w:lang w:val="pl-PL"/>
        </w:rPr>
        <w:t>ę</w:t>
      </w:r>
      <w:r w:rsidRPr="00246717">
        <w:rPr>
          <w:lang w:val="pl-PL"/>
        </w:rPr>
        <w:t xml:space="preserve"> [...] Sąd powinien wysłuchać </w:t>
      </w:r>
      <w:r w:rsidR="00944706">
        <w:rPr>
          <w:lang w:val="pl-PL"/>
        </w:rPr>
        <w:t>wyjaśnień</w:t>
      </w:r>
      <w:r w:rsidR="00944706" w:rsidRPr="00246717">
        <w:rPr>
          <w:lang w:val="pl-PL"/>
        </w:rPr>
        <w:t xml:space="preserve"> </w:t>
      </w:r>
      <w:r w:rsidR="00944706">
        <w:rPr>
          <w:lang w:val="pl-PL"/>
        </w:rPr>
        <w:t>oskarżonego</w:t>
      </w:r>
      <w:r w:rsidRPr="00246717">
        <w:rPr>
          <w:lang w:val="pl-PL"/>
        </w:rPr>
        <w:t xml:space="preserve">, </w:t>
      </w:r>
      <w:r w:rsidR="00944706">
        <w:rPr>
          <w:lang w:val="pl-PL"/>
        </w:rPr>
        <w:t xml:space="preserve">zeznań </w:t>
      </w:r>
      <w:r w:rsidR="002C1837">
        <w:rPr>
          <w:lang w:val="pl-PL"/>
        </w:rPr>
        <w:t>pokrzyw</w:t>
      </w:r>
      <w:r w:rsidR="00944706">
        <w:rPr>
          <w:lang w:val="pl-PL"/>
        </w:rPr>
        <w:t>d</w:t>
      </w:r>
      <w:r w:rsidR="002C1837">
        <w:rPr>
          <w:lang w:val="pl-PL"/>
        </w:rPr>
        <w:t>zonego</w:t>
      </w:r>
      <w:r w:rsidRPr="00246717">
        <w:rPr>
          <w:lang w:val="pl-PL"/>
        </w:rPr>
        <w:t xml:space="preserve">, świadków [...] i </w:t>
      </w:r>
      <w:r w:rsidR="00944706">
        <w:rPr>
          <w:lang w:val="pl-PL"/>
        </w:rPr>
        <w:t>przeprowadzić</w:t>
      </w:r>
      <w:r w:rsidR="00944706" w:rsidRPr="00246717">
        <w:rPr>
          <w:lang w:val="pl-PL"/>
        </w:rPr>
        <w:t xml:space="preserve"> </w:t>
      </w:r>
      <w:r w:rsidRPr="00246717">
        <w:rPr>
          <w:lang w:val="pl-PL"/>
        </w:rPr>
        <w:t>dowody rzeczowe [...]</w:t>
      </w:r>
    </w:p>
    <w:p w14:paraId="7FF7B59F" w14:textId="223B5958" w:rsidR="005B6547" w:rsidRPr="00246717" w:rsidRDefault="005B6547" w:rsidP="000957D3">
      <w:pPr>
        <w:pStyle w:val="ECHRParaQuote"/>
        <w:rPr>
          <w:lang w:val="pl-PL"/>
        </w:rPr>
      </w:pPr>
      <w:r w:rsidRPr="00246717">
        <w:rPr>
          <w:lang w:val="pl-PL"/>
        </w:rPr>
        <w:t xml:space="preserve">2.  Odczytanie zeznań </w:t>
      </w:r>
      <w:proofErr w:type="spellStart"/>
      <w:r w:rsidRPr="00246717">
        <w:rPr>
          <w:lang w:val="pl-PL"/>
        </w:rPr>
        <w:t>przedprocesowych</w:t>
      </w:r>
      <w:proofErr w:type="spellEnd"/>
      <w:r w:rsidRPr="00246717">
        <w:rPr>
          <w:lang w:val="pl-PL"/>
        </w:rPr>
        <w:t xml:space="preserve"> jest </w:t>
      </w:r>
      <w:r w:rsidR="00944706" w:rsidRPr="00246717">
        <w:rPr>
          <w:lang w:val="pl-PL"/>
        </w:rPr>
        <w:t>do</w:t>
      </w:r>
      <w:r w:rsidR="00944706">
        <w:rPr>
          <w:lang w:val="pl-PL"/>
        </w:rPr>
        <w:t>puszczalne</w:t>
      </w:r>
      <w:r w:rsidR="00944706" w:rsidRPr="00246717">
        <w:rPr>
          <w:lang w:val="pl-PL"/>
        </w:rPr>
        <w:t xml:space="preserve"> </w:t>
      </w:r>
      <w:r w:rsidRPr="00246717">
        <w:rPr>
          <w:lang w:val="pl-PL"/>
        </w:rPr>
        <w:t>jedynie na podstawie [art.</w:t>
      </w:r>
      <w:r w:rsidR="002C1837">
        <w:rPr>
          <w:lang w:val="pl-PL"/>
        </w:rPr>
        <w:t> </w:t>
      </w:r>
      <w:r w:rsidRPr="00246717">
        <w:rPr>
          <w:lang w:val="pl-PL"/>
        </w:rPr>
        <w:t xml:space="preserve">281 </w:t>
      </w:r>
      <w:r w:rsidR="002C1837">
        <w:rPr>
          <w:lang w:val="pl-PL"/>
        </w:rPr>
        <w:t>k</w:t>
      </w:r>
      <w:r w:rsidRPr="00246717">
        <w:rPr>
          <w:lang w:val="pl-PL"/>
        </w:rPr>
        <w:t>odeksu] [...]”.</w:t>
      </w:r>
    </w:p>
    <w:p w14:paraId="5CFFA273" w14:textId="31A3AA38" w:rsidR="0001701E" w:rsidRPr="00246717" w:rsidRDefault="0001701E" w:rsidP="000957D3">
      <w:pPr>
        <w:pStyle w:val="ECHRTitleCentre3"/>
        <w:rPr>
          <w:lang w:val="pl-PL"/>
        </w:rPr>
      </w:pPr>
      <w:bookmarkStart w:id="77" w:name="_Toc512401292"/>
      <w:r w:rsidRPr="00246717">
        <w:rPr>
          <w:bCs/>
          <w:lang w:val="pl-PL"/>
        </w:rPr>
        <w:t>Artykuł</w:t>
      </w:r>
      <w:r w:rsidR="002C1837">
        <w:rPr>
          <w:bCs/>
          <w:lang w:val="pl-PL"/>
        </w:rPr>
        <w:t> </w:t>
      </w:r>
      <w:r w:rsidRPr="00246717">
        <w:rPr>
          <w:bCs/>
          <w:lang w:val="pl-PL"/>
        </w:rPr>
        <w:t>260. Zastrzeżenia co do [treści] protokołów z rozprawy</w:t>
      </w:r>
      <w:bookmarkEnd w:id="77"/>
    </w:p>
    <w:p w14:paraId="56080233" w14:textId="77777777" w:rsidR="0001701E" w:rsidRPr="00246717" w:rsidRDefault="008C14C6" w:rsidP="000957D3">
      <w:pPr>
        <w:pStyle w:val="ECHRParaQuote"/>
        <w:rPr>
          <w:lang w:val="pl-PL"/>
        </w:rPr>
      </w:pPr>
      <w:r w:rsidRPr="00246717">
        <w:rPr>
          <w:lang w:val="pl-PL"/>
        </w:rPr>
        <w:t>„1.  Strony mogą zgłaszać zastrzeżenia co do [treści] protokołu z rozprawy w terminie trzech dni od otrzymania protokołu.</w:t>
      </w:r>
    </w:p>
    <w:p w14:paraId="0C493200" w14:textId="77777777" w:rsidR="0001701E" w:rsidRPr="00246717" w:rsidRDefault="008C14C6" w:rsidP="000957D3">
      <w:pPr>
        <w:pStyle w:val="ECHRParaQuote"/>
        <w:rPr>
          <w:lang w:val="pl-PL"/>
        </w:rPr>
      </w:pPr>
      <w:r w:rsidRPr="00246717">
        <w:rPr>
          <w:lang w:val="pl-PL"/>
        </w:rPr>
        <w:t>2.  Zastrzeżenia są rozpatrywane niezwłocznie przez sędziego przewodniczącego. Jeśli sędzia przewodniczący uzna to za konieczne, może wezwać osoby zgłaszające zastrzeżenia w celu wyjaśnienia treści zastrzeżeń.</w:t>
      </w:r>
    </w:p>
    <w:p w14:paraId="6F0FEACF" w14:textId="7791E9D5" w:rsidR="0001701E" w:rsidRPr="00246717" w:rsidRDefault="008C14C6" w:rsidP="000957D3">
      <w:pPr>
        <w:pStyle w:val="ECHRParaQuote"/>
        <w:rPr>
          <w:lang w:val="pl-PL"/>
        </w:rPr>
      </w:pPr>
      <w:r w:rsidRPr="00246717">
        <w:rPr>
          <w:lang w:val="pl-PL"/>
        </w:rPr>
        <w:t xml:space="preserve">3.  Po rozpatrzeniu zastrzeżenia sędzia przewodniczący </w:t>
      </w:r>
      <w:r w:rsidR="008A0112">
        <w:rPr>
          <w:lang w:val="pl-PL"/>
        </w:rPr>
        <w:t>uwzględnia albo oddala zastrzeżenia</w:t>
      </w:r>
      <w:r w:rsidRPr="00246717">
        <w:rPr>
          <w:lang w:val="pl-PL"/>
        </w:rPr>
        <w:t xml:space="preserve">. Zastrzeżenia </w:t>
      </w:r>
      <w:r w:rsidR="008A0112">
        <w:rPr>
          <w:lang w:val="pl-PL"/>
        </w:rPr>
        <w:t>wraz z</w:t>
      </w:r>
      <w:r w:rsidRPr="00246717">
        <w:rPr>
          <w:lang w:val="pl-PL"/>
        </w:rPr>
        <w:t xml:space="preserve"> </w:t>
      </w:r>
      <w:r w:rsidR="008A0112">
        <w:rPr>
          <w:lang w:val="pl-PL"/>
        </w:rPr>
        <w:t>postanowieniem</w:t>
      </w:r>
      <w:r w:rsidR="008A0112" w:rsidRPr="00246717">
        <w:rPr>
          <w:lang w:val="pl-PL"/>
        </w:rPr>
        <w:t xml:space="preserve"> </w:t>
      </w:r>
      <w:r w:rsidRPr="00246717">
        <w:rPr>
          <w:lang w:val="pl-PL"/>
        </w:rPr>
        <w:t xml:space="preserve">sędziego przewodniczącego </w:t>
      </w:r>
      <w:r w:rsidR="008A0112">
        <w:rPr>
          <w:lang w:val="pl-PL"/>
        </w:rPr>
        <w:t>za</w:t>
      </w:r>
      <w:r w:rsidRPr="00246717">
        <w:rPr>
          <w:lang w:val="pl-PL"/>
        </w:rPr>
        <w:t>łącza</w:t>
      </w:r>
      <w:r w:rsidR="008A0112">
        <w:rPr>
          <w:lang w:val="pl-PL"/>
        </w:rPr>
        <w:t xml:space="preserve"> się</w:t>
      </w:r>
      <w:r w:rsidRPr="00246717">
        <w:rPr>
          <w:lang w:val="pl-PL"/>
        </w:rPr>
        <w:t xml:space="preserve"> do protokołu z rozprawy”.</w:t>
      </w:r>
    </w:p>
    <w:p w14:paraId="50B00BF9" w14:textId="33C49647" w:rsidR="0062431E" w:rsidRPr="00246717" w:rsidRDefault="005B6547" w:rsidP="000957D3">
      <w:pPr>
        <w:pStyle w:val="ECHRTitleCentre3"/>
        <w:rPr>
          <w:lang w:val="pl-PL"/>
        </w:rPr>
      </w:pPr>
      <w:bookmarkStart w:id="78" w:name="_Toc512401293"/>
      <w:r w:rsidRPr="00246717">
        <w:rPr>
          <w:bCs/>
          <w:lang w:val="pl-PL"/>
        </w:rPr>
        <w:t>Artykuł</w:t>
      </w:r>
      <w:r w:rsidR="002C1837">
        <w:rPr>
          <w:bCs/>
          <w:lang w:val="pl-PL"/>
        </w:rPr>
        <w:t> </w:t>
      </w:r>
      <w:r w:rsidRPr="00246717">
        <w:rPr>
          <w:bCs/>
          <w:lang w:val="pl-PL"/>
        </w:rPr>
        <w:t xml:space="preserve">271. Składanie wniosków i </w:t>
      </w:r>
      <w:bookmarkEnd w:id="78"/>
      <w:r w:rsidR="008A0112">
        <w:rPr>
          <w:bCs/>
          <w:lang w:val="pl-PL"/>
        </w:rPr>
        <w:t>postanowienia</w:t>
      </w:r>
    </w:p>
    <w:p w14:paraId="0CC82434" w14:textId="1EFD626D" w:rsidR="003D7C54" w:rsidRPr="00246717" w:rsidRDefault="008C14C6" w:rsidP="000957D3">
      <w:pPr>
        <w:pStyle w:val="ECHRParaQuote"/>
        <w:rPr>
          <w:lang w:val="pl-PL"/>
        </w:rPr>
      </w:pPr>
      <w:r w:rsidRPr="00246717">
        <w:rPr>
          <w:lang w:val="pl-PL"/>
        </w:rPr>
        <w:t xml:space="preserve">„1.  Sędzia przewodniczący pyta, czy strony wnoszą o wezwanie </w:t>
      </w:r>
      <w:r w:rsidR="008A0112">
        <w:rPr>
          <w:lang w:val="pl-PL"/>
        </w:rPr>
        <w:t>n</w:t>
      </w:r>
      <w:r w:rsidRPr="00246717">
        <w:rPr>
          <w:lang w:val="pl-PL"/>
        </w:rPr>
        <w:t xml:space="preserve">owych świadków biegłych lub specjalistów, przedstawienie dowodów lub dokumentów albo wyłączenie dowodów, które uzyskano </w:t>
      </w:r>
      <w:r w:rsidR="008A0112">
        <w:rPr>
          <w:lang w:val="pl-PL"/>
        </w:rPr>
        <w:t>z</w:t>
      </w:r>
      <w:r w:rsidRPr="00246717">
        <w:rPr>
          <w:lang w:val="pl-PL"/>
        </w:rPr>
        <w:t xml:space="preserve"> naruszenie</w:t>
      </w:r>
      <w:r w:rsidR="008A0112">
        <w:rPr>
          <w:lang w:val="pl-PL"/>
        </w:rPr>
        <w:t>m</w:t>
      </w:r>
      <w:r w:rsidRPr="00246717">
        <w:rPr>
          <w:lang w:val="pl-PL"/>
        </w:rPr>
        <w:t xml:space="preserve"> przepisów </w:t>
      </w:r>
      <w:r w:rsidR="002C1837">
        <w:rPr>
          <w:lang w:val="pl-PL"/>
        </w:rPr>
        <w:t>k</w:t>
      </w:r>
      <w:r w:rsidRPr="00246717">
        <w:rPr>
          <w:lang w:val="pl-PL"/>
        </w:rPr>
        <w:t>odeksu. Osoba, która złożyła [taki] wniosek musi go uzasadnić.</w:t>
      </w:r>
    </w:p>
    <w:p w14:paraId="7521A313" w14:textId="77777777" w:rsidR="005B6547" w:rsidRPr="00246717" w:rsidRDefault="008C14C6" w:rsidP="000957D3">
      <w:pPr>
        <w:pStyle w:val="ECHRParaQuote"/>
        <w:rPr>
          <w:lang w:val="pl-PL"/>
        </w:rPr>
      </w:pPr>
      <w:r w:rsidRPr="00246717">
        <w:rPr>
          <w:lang w:val="pl-PL"/>
        </w:rPr>
        <w:t>[...]</w:t>
      </w:r>
    </w:p>
    <w:p w14:paraId="2679F4FC" w14:textId="77777777" w:rsidR="0062431E" w:rsidRPr="00246717" w:rsidRDefault="008C14C6" w:rsidP="000957D3">
      <w:pPr>
        <w:pStyle w:val="ECHRParaQuote"/>
        <w:rPr>
          <w:lang w:val="pl-PL"/>
        </w:rPr>
      </w:pPr>
      <w:r w:rsidRPr="00246717">
        <w:rPr>
          <w:lang w:val="pl-PL"/>
        </w:rPr>
        <w:t>3.  Osoba, której wniosek oddalono, ma prawo do jego ponownego złożenia w toku postępowania”.</w:t>
      </w:r>
    </w:p>
    <w:p w14:paraId="2FB81C5F" w14:textId="79B5AFCF" w:rsidR="0062431E" w:rsidRPr="00246717" w:rsidRDefault="005B6547" w:rsidP="000957D3">
      <w:pPr>
        <w:pStyle w:val="ECHRTitleCentre3"/>
        <w:rPr>
          <w:lang w:val="pl-PL"/>
        </w:rPr>
      </w:pPr>
      <w:bookmarkStart w:id="79" w:name="_Toc512401294"/>
      <w:r w:rsidRPr="00246717">
        <w:rPr>
          <w:bCs/>
          <w:lang w:val="pl-PL"/>
        </w:rPr>
        <w:t>Artykuł</w:t>
      </w:r>
      <w:r w:rsidR="00907B0E">
        <w:rPr>
          <w:bCs/>
          <w:lang w:val="pl-PL"/>
        </w:rPr>
        <w:t> </w:t>
      </w:r>
      <w:r w:rsidRPr="00246717">
        <w:rPr>
          <w:bCs/>
          <w:lang w:val="pl-PL"/>
        </w:rPr>
        <w:t>281. Odczyt</w:t>
      </w:r>
      <w:r w:rsidR="008A0112">
        <w:rPr>
          <w:bCs/>
          <w:lang w:val="pl-PL"/>
        </w:rPr>
        <w:t>yw</w:t>
      </w:r>
      <w:r w:rsidRPr="00246717">
        <w:rPr>
          <w:bCs/>
          <w:lang w:val="pl-PL"/>
        </w:rPr>
        <w:t xml:space="preserve">anie </w:t>
      </w:r>
      <w:r w:rsidR="008A0112" w:rsidRPr="00246717">
        <w:rPr>
          <w:bCs/>
          <w:lang w:val="pl-PL"/>
        </w:rPr>
        <w:t>zezna</w:t>
      </w:r>
      <w:r w:rsidR="008A0112">
        <w:rPr>
          <w:bCs/>
          <w:lang w:val="pl-PL"/>
        </w:rPr>
        <w:t>ń</w:t>
      </w:r>
      <w:r w:rsidR="008A0112" w:rsidRPr="00246717">
        <w:rPr>
          <w:bCs/>
          <w:lang w:val="pl-PL"/>
        </w:rPr>
        <w:t xml:space="preserve"> </w:t>
      </w:r>
      <w:r w:rsidR="00907B0E">
        <w:rPr>
          <w:bCs/>
          <w:lang w:val="pl-PL"/>
        </w:rPr>
        <w:t>pokrzywdzonego</w:t>
      </w:r>
      <w:r w:rsidRPr="00246717">
        <w:rPr>
          <w:bCs/>
          <w:lang w:val="pl-PL"/>
        </w:rPr>
        <w:t xml:space="preserve"> i świadka</w:t>
      </w:r>
      <w:bookmarkEnd w:id="79"/>
    </w:p>
    <w:p w14:paraId="45254486" w14:textId="6729F501" w:rsidR="005B6547" w:rsidRPr="00246717" w:rsidRDefault="008C14C6" w:rsidP="000957D3">
      <w:pPr>
        <w:pStyle w:val="ECHRParaQuote"/>
        <w:rPr>
          <w:lang w:val="pl-PL"/>
        </w:rPr>
      </w:pPr>
      <w:r w:rsidRPr="00246717">
        <w:rPr>
          <w:lang w:val="pl-PL"/>
        </w:rPr>
        <w:t xml:space="preserve">„1.  Odczytanie zeznań </w:t>
      </w:r>
      <w:r w:rsidR="00907B0E">
        <w:rPr>
          <w:lang w:val="pl-PL"/>
        </w:rPr>
        <w:t>pokrzywdzonego</w:t>
      </w:r>
      <w:r w:rsidRPr="00246717">
        <w:rPr>
          <w:lang w:val="pl-PL"/>
        </w:rPr>
        <w:t xml:space="preserve"> i świadka złożonych wcześniej na etapie postępowania przygotowawczego lub </w:t>
      </w:r>
      <w:r w:rsidR="008A0112">
        <w:rPr>
          <w:lang w:val="pl-PL"/>
        </w:rPr>
        <w:t>sądowego</w:t>
      </w:r>
      <w:r w:rsidRPr="00246717">
        <w:rPr>
          <w:lang w:val="pl-PL"/>
        </w:rPr>
        <w:t xml:space="preserve"> [...] jest </w:t>
      </w:r>
      <w:r w:rsidR="008A0112" w:rsidRPr="00246717">
        <w:rPr>
          <w:lang w:val="pl-PL"/>
        </w:rPr>
        <w:t>do</w:t>
      </w:r>
      <w:r w:rsidR="008A0112">
        <w:rPr>
          <w:lang w:val="pl-PL"/>
        </w:rPr>
        <w:t>puszczalne</w:t>
      </w:r>
      <w:r w:rsidR="008A0112" w:rsidRPr="00246717">
        <w:rPr>
          <w:lang w:val="pl-PL"/>
        </w:rPr>
        <w:t xml:space="preserve"> </w:t>
      </w:r>
      <w:r w:rsidRPr="00246717">
        <w:rPr>
          <w:lang w:val="pl-PL"/>
        </w:rPr>
        <w:t>wyłącznie za zgodą stron w przypadku niestawiennictwa (</w:t>
      </w:r>
      <w:proofErr w:type="spellStart"/>
      <w:r w:rsidRPr="00246717">
        <w:rPr>
          <w:i/>
          <w:iCs/>
          <w:lang w:val="pl-PL"/>
        </w:rPr>
        <w:t>неявка</w:t>
      </w:r>
      <w:proofErr w:type="spellEnd"/>
      <w:r w:rsidRPr="00246717">
        <w:rPr>
          <w:lang w:val="pl-PL"/>
        </w:rPr>
        <w:t xml:space="preserve">) </w:t>
      </w:r>
      <w:r w:rsidR="00907B0E">
        <w:rPr>
          <w:lang w:val="pl-PL"/>
        </w:rPr>
        <w:t>pokrzywdzonego</w:t>
      </w:r>
      <w:r w:rsidRPr="00246717">
        <w:rPr>
          <w:lang w:val="pl-PL"/>
        </w:rPr>
        <w:t xml:space="preserve"> lub świadka [w sądzie], z wyjątkiem okoliczności przewidzianych w ust.</w:t>
      </w:r>
      <w:r w:rsidR="00907B0E">
        <w:rPr>
          <w:lang w:val="pl-PL"/>
        </w:rPr>
        <w:t> </w:t>
      </w:r>
      <w:r w:rsidRPr="00246717">
        <w:rPr>
          <w:lang w:val="pl-PL"/>
        </w:rPr>
        <w:t>2 niniejszego artykułu.</w:t>
      </w:r>
    </w:p>
    <w:p w14:paraId="41C2A49E" w14:textId="2475FDFD" w:rsidR="005B6547" w:rsidRPr="00246717" w:rsidRDefault="005B6547" w:rsidP="000957D3">
      <w:pPr>
        <w:pStyle w:val="ECHRParaQuote"/>
        <w:rPr>
          <w:lang w:val="pl-PL"/>
        </w:rPr>
      </w:pPr>
      <w:r w:rsidRPr="00246717">
        <w:rPr>
          <w:lang w:val="pl-PL"/>
        </w:rPr>
        <w:t xml:space="preserve">2.  W przypadku niestawiennictwa </w:t>
      </w:r>
      <w:r w:rsidR="008A0112">
        <w:rPr>
          <w:lang w:val="pl-PL"/>
        </w:rPr>
        <w:t>pokrzywdzonego</w:t>
      </w:r>
      <w:r w:rsidR="008A0112" w:rsidRPr="00246717">
        <w:rPr>
          <w:lang w:val="pl-PL"/>
        </w:rPr>
        <w:t xml:space="preserve"> </w:t>
      </w:r>
      <w:r w:rsidRPr="00246717">
        <w:rPr>
          <w:lang w:val="pl-PL"/>
        </w:rPr>
        <w:t xml:space="preserve">lub świadka na rozprawie sądowej sąd może na wniosek jednej ze stron lub z </w:t>
      </w:r>
      <w:r w:rsidR="008A0112">
        <w:rPr>
          <w:lang w:val="pl-PL"/>
        </w:rPr>
        <w:t>urzędu</w:t>
      </w:r>
      <w:r w:rsidRPr="00246717">
        <w:rPr>
          <w:lang w:val="pl-PL"/>
        </w:rPr>
        <w:t xml:space="preserve"> postanowić o odczytaniu wcześniej złożonych zeznań w przypadku:</w:t>
      </w:r>
    </w:p>
    <w:p w14:paraId="6332165E" w14:textId="3F3108D6" w:rsidR="005B6547" w:rsidRPr="00246717" w:rsidRDefault="006E7D85" w:rsidP="000957D3">
      <w:pPr>
        <w:pStyle w:val="ECHRParaQuote"/>
        <w:rPr>
          <w:lang w:val="pl-PL"/>
        </w:rPr>
      </w:pPr>
      <w:r w:rsidRPr="00246717">
        <w:rPr>
          <w:lang w:val="pl-PL"/>
        </w:rPr>
        <w:t>1)</w:t>
      </w:r>
      <w:r w:rsidR="00907B0E">
        <w:rPr>
          <w:lang w:val="pl-PL"/>
        </w:rPr>
        <w:t>  śmierci</w:t>
      </w:r>
      <w:r w:rsidRPr="00246717">
        <w:rPr>
          <w:lang w:val="pl-PL"/>
        </w:rPr>
        <w:t xml:space="preserve"> </w:t>
      </w:r>
      <w:r w:rsidR="00907B0E">
        <w:rPr>
          <w:lang w:val="pl-PL"/>
        </w:rPr>
        <w:t>pokrzywdzonego</w:t>
      </w:r>
      <w:r w:rsidRPr="00246717">
        <w:rPr>
          <w:lang w:val="pl-PL"/>
        </w:rPr>
        <w:t xml:space="preserve"> lub świadka;</w:t>
      </w:r>
    </w:p>
    <w:p w14:paraId="1390ED3E" w14:textId="5D9D87A8" w:rsidR="005B6547" w:rsidRPr="00246717" w:rsidRDefault="006E7D85" w:rsidP="000957D3">
      <w:pPr>
        <w:pStyle w:val="ECHRParaQuote"/>
        <w:rPr>
          <w:lang w:val="pl-PL"/>
        </w:rPr>
      </w:pPr>
      <w:r w:rsidRPr="00246717">
        <w:rPr>
          <w:lang w:val="pl-PL"/>
        </w:rPr>
        <w:t>2)</w:t>
      </w:r>
      <w:r w:rsidR="00907B0E">
        <w:rPr>
          <w:lang w:val="pl-PL"/>
        </w:rPr>
        <w:t>  </w:t>
      </w:r>
      <w:r w:rsidRPr="00246717">
        <w:rPr>
          <w:lang w:val="pl-PL"/>
        </w:rPr>
        <w:t>poważnej choroby uniemożliwiającej stawie</w:t>
      </w:r>
      <w:r w:rsidR="008A0112">
        <w:rPr>
          <w:lang w:val="pl-PL"/>
        </w:rPr>
        <w:t xml:space="preserve">nnictwo </w:t>
      </w:r>
      <w:r w:rsidRPr="00246717">
        <w:rPr>
          <w:lang w:val="pl-PL"/>
        </w:rPr>
        <w:t>w sądzie;</w:t>
      </w:r>
    </w:p>
    <w:p w14:paraId="39EA15E0" w14:textId="7F6A336F" w:rsidR="005B6547" w:rsidRPr="00246717" w:rsidRDefault="006E7D85" w:rsidP="000957D3">
      <w:pPr>
        <w:pStyle w:val="ECHRParaQuote"/>
        <w:rPr>
          <w:lang w:val="pl-PL"/>
        </w:rPr>
      </w:pPr>
      <w:r w:rsidRPr="00246717">
        <w:rPr>
          <w:lang w:val="pl-PL"/>
        </w:rPr>
        <w:lastRenderedPageBreak/>
        <w:t>3)</w:t>
      </w:r>
      <w:r w:rsidR="00907B0E">
        <w:rPr>
          <w:lang w:val="pl-PL"/>
        </w:rPr>
        <w:t>  </w:t>
      </w:r>
      <w:r w:rsidRPr="00246717">
        <w:rPr>
          <w:lang w:val="pl-PL"/>
        </w:rPr>
        <w:t xml:space="preserve">odmowy stawiennictwa ze strony </w:t>
      </w:r>
      <w:r w:rsidR="00907B0E">
        <w:rPr>
          <w:lang w:val="pl-PL"/>
        </w:rPr>
        <w:t>pokrzywdzonego</w:t>
      </w:r>
      <w:r w:rsidRPr="00246717">
        <w:rPr>
          <w:lang w:val="pl-PL"/>
        </w:rPr>
        <w:t xml:space="preserve"> lub świadka będących cudzoziemcami, po otrzymaniu wezwania sądu;</w:t>
      </w:r>
    </w:p>
    <w:p w14:paraId="64560E9C" w14:textId="12048F44" w:rsidR="005B6547" w:rsidRPr="00246717" w:rsidRDefault="006E7D85" w:rsidP="000957D3">
      <w:pPr>
        <w:pStyle w:val="ECHRParaQuote"/>
        <w:rPr>
          <w:lang w:val="pl-PL"/>
        </w:rPr>
      </w:pPr>
      <w:r w:rsidRPr="00246717">
        <w:rPr>
          <w:lang w:val="pl-PL"/>
        </w:rPr>
        <w:t>4)</w:t>
      </w:r>
      <w:r w:rsidR="00907B0E">
        <w:rPr>
          <w:lang w:val="pl-PL"/>
        </w:rPr>
        <w:t>  </w:t>
      </w:r>
      <w:r w:rsidRPr="00246717">
        <w:rPr>
          <w:lang w:val="pl-PL"/>
        </w:rPr>
        <w:t>klęski żywiołowej lub innych nadzwyczajnych okoliczności uniemożliwiających stawiennictwo przed sądem [...]”.</w:t>
      </w:r>
    </w:p>
    <w:p w14:paraId="547B6783" w14:textId="28442FBF" w:rsidR="0062431E" w:rsidRPr="00246717" w:rsidRDefault="005B6547" w:rsidP="000957D3">
      <w:pPr>
        <w:pStyle w:val="ECHRTitleCentre3"/>
        <w:rPr>
          <w:lang w:val="pl-PL"/>
        </w:rPr>
      </w:pPr>
      <w:bookmarkStart w:id="80" w:name="_Toc512401295"/>
      <w:r w:rsidRPr="00246717">
        <w:rPr>
          <w:bCs/>
          <w:lang w:val="pl-PL"/>
        </w:rPr>
        <w:t>Artykuł</w:t>
      </w:r>
      <w:r w:rsidR="00907B0E">
        <w:rPr>
          <w:bCs/>
          <w:lang w:val="pl-PL"/>
        </w:rPr>
        <w:t> </w:t>
      </w:r>
      <w:r w:rsidRPr="00246717">
        <w:rPr>
          <w:bCs/>
          <w:lang w:val="pl-PL"/>
        </w:rPr>
        <w:t xml:space="preserve">291. </w:t>
      </w:r>
      <w:r w:rsidR="00907B0E">
        <w:rPr>
          <w:bCs/>
          <w:lang w:val="pl-PL"/>
        </w:rPr>
        <w:t>Zakończenie</w:t>
      </w:r>
      <w:r w:rsidRPr="00246717">
        <w:rPr>
          <w:bCs/>
          <w:lang w:val="pl-PL"/>
        </w:rPr>
        <w:t xml:space="preserve"> </w:t>
      </w:r>
      <w:r w:rsidR="008A0112">
        <w:rPr>
          <w:bCs/>
          <w:lang w:val="pl-PL"/>
        </w:rPr>
        <w:t>przewodu sądowego</w:t>
      </w:r>
      <w:r w:rsidRPr="00246717">
        <w:rPr>
          <w:bCs/>
          <w:lang w:val="pl-PL"/>
        </w:rPr>
        <w:t>[</w:t>
      </w:r>
      <w:r w:rsidR="008A0112">
        <w:rPr>
          <w:bCs/>
          <w:lang w:val="pl-PL"/>
        </w:rPr>
        <w:t xml:space="preserve">postępowania </w:t>
      </w:r>
      <w:r w:rsidR="008A0112" w:rsidRPr="00246717">
        <w:rPr>
          <w:bCs/>
          <w:lang w:val="pl-PL"/>
        </w:rPr>
        <w:t>dowod</w:t>
      </w:r>
      <w:r w:rsidR="008A0112">
        <w:rPr>
          <w:bCs/>
          <w:lang w:val="pl-PL"/>
        </w:rPr>
        <w:t>owego</w:t>
      </w:r>
      <w:r w:rsidRPr="00246717">
        <w:rPr>
          <w:bCs/>
          <w:lang w:val="pl-PL"/>
        </w:rPr>
        <w:t>]</w:t>
      </w:r>
      <w:bookmarkEnd w:id="80"/>
    </w:p>
    <w:p w14:paraId="1D3EFB90" w14:textId="31EC3836" w:rsidR="005B6547" w:rsidRPr="00246717" w:rsidRDefault="008C14C6" w:rsidP="000957D3">
      <w:pPr>
        <w:pStyle w:val="ECHRParaQuote"/>
        <w:rPr>
          <w:lang w:val="pl-PL"/>
        </w:rPr>
      </w:pPr>
      <w:r w:rsidRPr="00246717">
        <w:rPr>
          <w:lang w:val="pl-PL"/>
        </w:rPr>
        <w:t xml:space="preserve">„1.  Po zakończeniu </w:t>
      </w:r>
      <w:r w:rsidR="008A0112">
        <w:rPr>
          <w:lang w:val="pl-PL"/>
        </w:rPr>
        <w:t>przeprowadzania</w:t>
      </w:r>
      <w:r w:rsidRPr="00246717">
        <w:rPr>
          <w:lang w:val="pl-PL"/>
        </w:rPr>
        <w:t xml:space="preserve"> dowodów przedstawionych przez strony sędzia przewodniczący pyta, czy strony </w:t>
      </w:r>
      <w:r w:rsidR="008A0112">
        <w:rPr>
          <w:lang w:val="pl-PL"/>
        </w:rPr>
        <w:t>składają dodatkowe wnioski</w:t>
      </w:r>
      <w:r w:rsidRPr="00246717">
        <w:rPr>
          <w:lang w:val="pl-PL"/>
        </w:rPr>
        <w:t xml:space="preserve">. </w:t>
      </w:r>
      <w:r w:rsidR="008A0112">
        <w:rPr>
          <w:lang w:val="pl-PL"/>
        </w:rPr>
        <w:t>W przypadku złożenia</w:t>
      </w:r>
      <w:r w:rsidRPr="00246717">
        <w:rPr>
          <w:lang w:val="pl-PL"/>
        </w:rPr>
        <w:t xml:space="preserve"> </w:t>
      </w:r>
      <w:r w:rsidR="008A0112">
        <w:rPr>
          <w:lang w:val="pl-PL"/>
        </w:rPr>
        <w:t xml:space="preserve">wniosku </w:t>
      </w:r>
      <w:r w:rsidRPr="00246717">
        <w:rPr>
          <w:lang w:val="pl-PL"/>
        </w:rPr>
        <w:t xml:space="preserve">sąd </w:t>
      </w:r>
      <w:r w:rsidR="008A0112" w:rsidRPr="00246717">
        <w:rPr>
          <w:lang w:val="pl-PL"/>
        </w:rPr>
        <w:t>rozp</w:t>
      </w:r>
      <w:r w:rsidR="008A0112">
        <w:rPr>
          <w:lang w:val="pl-PL"/>
        </w:rPr>
        <w:t>oznaje</w:t>
      </w:r>
      <w:r w:rsidR="008A0112" w:rsidRPr="00246717">
        <w:rPr>
          <w:lang w:val="pl-PL"/>
        </w:rPr>
        <w:t xml:space="preserve"> </w:t>
      </w:r>
      <w:r w:rsidRPr="00246717">
        <w:rPr>
          <w:lang w:val="pl-PL"/>
        </w:rPr>
        <w:t xml:space="preserve">go i </w:t>
      </w:r>
      <w:r w:rsidR="008A0112">
        <w:rPr>
          <w:lang w:val="pl-PL"/>
        </w:rPr>
        <w:t>rozstrzyga w jego przedmiocie</w:t>
      </w:r>
      <w:r w:rsidRPr="00246717">
        <w:rPr>
          <w:lang w:val="pl-PL"/>
        </w:rPr>
        <w:t xml:space="preserve"> [...]”.</w:t>
      </w:r>
    </w:p>
    <w:p w14:paraId="1445772A" w14:textId="68EBF1BD" w:rsidR="00170010" w:rsidRPr="00246717" w:rsidRDefault="00170010" w:rsidP="000957D3">
      <w:pPr>
        <w:pStyle w:val="ECHRTitleCentre3"/>
        <w:rPr>
          <w:lang w:val="pl-PL"/>
        </w:rPr>
      </w:pPr>
      <w:bookmarkStart w:id="81" w:name="_Toc512401296"/>
      <w:r w:rsidRPr="00246717">
        <w:rPr>
          <w:bCs/>
          <w:lang w:val="pl-PL"/>
        </w:rPr>
        <w:t>Artykuł</w:t>
      </w:r>
      <w:r w:rsidR="00907B0E">
        <w:rPr>
          <w:bCs/>
          <w:lang w:val="pl-PL"/>
        </w:rPr>
        <w:t> </w:t>
      </w:r>
      <w:r w:rsidRPr="00246717">
        <w:rPr>
          <w:bCs/>
          <w:lang w:val="pl-PL"/>
        </w:rPr>
        <w:t>294.</w:t>
      </w:r>
      <w:r w:rsidR="00907B0E">
        <w:rPr>
          <w:bCs/>
          <w:lang w:val="pl-PL"/>
        </w:rPr>
        <w:t xml:space="preserve"> </w:t>
      </w:r>
      <w:r w:rsidRPr="00246717">
        <w:rPr>
          <w:bCs/>
          <w:lang w:val="pl-PL"/>
        </w:rPr>
        <w:t xml:space="preserve">Wznowienie </w:t>
      </w:r>
      <w:r w:rsidR="008A0112">
        <w:rPr>
          <w:bCs/>
          <w:lang w:val="pl-PL"/>
        </w:rPr>
        <w:t>przewodu</w:t>
      </w:r>
      <w:r w:rsidR="008A0112" w:rsidRPr="00246717">
        <w:rPr>
          <w:bCs/>
          <w:lang w:val="pl-PL"/>
        </w:rPr>
        <w:t xml:space="preserve"> </w:t>
      </w:r>
      <w:r w:rsidRPr="00246717">
        <w:rPr>
          <w:bCs/>
          <w:lang w:val="pl-PL"/>
        </w:rPr>
        <w:t>sądowego [</w:t>
      </w:r>
      <w:r w:rsidR="008A0112">
        <w:rPr>
          <w:bCs/>
          <w:lang w:val="pl-PL"/>
        </w:rPr>
        <w:t>postępowania dowodowego</w:t>
      </w:r>
      <w:r w:rsidRPr="00246717">
        <w:rPr>
          <w:bCs/>
          <w:lang w:val="pl-PL"/>
        </w:rPr>
        <w:t>]</w:t>
      </w:r>
      <w:bookmarkEnd w:id="81"/>
    </w:p>
    <w:p w14:paraId="47F95468" w14:textId="535D26AB" w:rsidR="00170010" w:rsidRPr="00246717" w:rsidRDefault="00170010" w:rsidP="000957D3">
      <w:pPr>
        <w:pStyle w:val="ECHRParaQuote"/>
        <w:rPr>
          <w:lang w:val="pl-PL"/>
        </w:rPr>
      </w:pPr>
      <w:r w:rsidRPr="00246717">
        <w:rPr>
          <w:lang w:val="pl-PL"/>
        </w:rPr>
        <w:t xml:space="preserve">„Jeżeli </w:t>
      </w:r>
      <w:r w:rsidR="00F06B64">
        <w:rPr>
          <w:lang w:val="pl-PL"/>
        </w:rPr>
        <w:t>osoby zabierające głosy</w:t>
      </w:r>
      <w:r w:rsidRPr="00246717">
        <w:rPr>
          <w:lang w:val="pl-PL"/>
        </w:rPr>
        <w:t xml:space="preserve"> końcowe lub oskarżony w swoim wystąpieniu końcowym </w:t>
      </w:r>
      <w:r w:rsidR="00F06B64" w:rsidRPr="00246717">
        <w:rPr>
          <w:lang w:val="pl-PL"/>
        </w:rPr>
        <w:t>po</w:t>
      </w:r>
      <w:r w:rsidR="00F06B64">
        <w:rPr>
          <w:lang w:val="pl-PL"/>
        </w:rPr>
        <w:t>informują</w:t>
      </w:r>
      <w:r w:rsidR="00F06B64" w:rsidRPr="00246717">
        <w:rPr>
          <w:lang w:val="pl-PL"/>
        </w:rPr>
        <w:t xml:space="preserve"> </w:t>
      </w:r>
      <w:r w:rsidRPr="00246717">
        <w:rPr>
          <w:lang w:val="pl-PL"/>
        </w:rPr>
        <w:t xml:space="preserve">[sąd] o nowych okolicznościach </w:t>
      </w:r>
      <w:r w:rsidR="00F06B64">
        <w:rPr>
          <w:lang w:val="pl-PL"/>
        </w:rPr>
        <w:t>mających znaczenie dla sprawy karnej</w:t>
      </w:r>
      <w:r w:rsidRPr="00246717">
        <w:rPr>
          <w:lang w:val="pl-PL"/>
        </w:rPr>
        <w:t xml:space="preserve"> lub jeśli złożą wniosek o </w:t>
      </w:r>
      <w:r w:rsidR="00F06B64">
        <w:rPr>
          <w:lang w:val="pl-PL"/>
        </w:rPr>
        <w:t>przeprowadzenie</w:t>
      </w:r>
      <w:r w:rsidR="00F06B64" w:rsidRPr="00246717">
        <w:rPr>
          <w:lang w:val="pl-PL"/>
        </w:rPr>
        <w:t xml:space="preserve"> </w:t>
      </w:r>
      <w:r w:rsidRPr="00246717">
        <w:rPr>
          <w:lang w:val="pl-PL"/>
        </w:rPr>
        <w:t xml:space="preserve">nowych dowodów, wówczas sąd może wznowić </w:t>
      </w:r>
      <w:r w:rsidR="00F06B64">
        <w:rPr>
          <w:lang w:val="pl-PL"/>
        </w:rPr>
        <w:t>postępowanie dowodowe</w:t>
      </w:r>
      <w:r w:rsidRPr="00246717">
        <w:rPr>
          <w:lang w:val="pl-PL"/>
        </w:rPr>
        <w:t xml:space="preserve">. Po zakończeniu </w:t>
      </w:r>
      <w:r w:rsidR="00F06B64">
        <w:rPr>
          <w:lang w:val="pl-PL"/>
        </w:rPr>
        <w:t>postępowania</w:t>
      </w:r>
      <w:r w:rsidR="00F06B64" w:rsidRPr="00246717">
        <w:rPr>
          <w:lang w:val="pl-PL"/>
        </w:rPr>
        <w:t xml:space="preserve"> dowod</w:t>
      </w:r>
      <w:r w:rsidR="00F06B64">
        <w:rPr>
          <w:lang w:val="pl-PL"/>
        </w:rPr>
        <w:t>owego</w:t>
      </w:r>
      <w:r w:rsidR="00F06B64" w:rsidRPr="00246717">
        <w:rPr>
          <w:lang w:val="pl-PL"/>
        </w:rPr>
        <w:t xml:space="preserve"> </w:t>
      </w:r>
      <w:r w:rsidRPr="00246717">
        <w:rPr>
          <w:lang w:val="pl-PL"/>
        </w:rPr>
        <w:t xml:space="preserve">sąd </w:t>
      </w:r>
      <w:r w:rsidR="00F06B64">
        <w:rPr>
          <w:lang w:val="pl-PL"/>
        </w:rPr>
        <w:t>ponownie udziela głosu końcowego stronom</w:t>
      </w:r>
      <w:r w:rsidRPr="00246717">
        <w:rPr>
          <w:lang w:val="pl-PL"/>
        </w:rPr>
        <w:t xml:space="preserve"> i </w:t>
      </w:r>
      <w:r w:rsidR="00E9390E">
        <w:rPr>
          <w:lang w:val="pl-PL"/>
        </w:rPr>
        <w:t>zapewnia</w:t>
      </w:r>
      <w:r w:rsidRPr="00246717">
        <w:rPr>
          <w:lang w:val="pl-PL"/>
        </w:rPr>
        <w:t xml:space="preserve"> oskarżonemu możliwość </w:t>
      </w:r>
      <w:r w:rsidR="00F06B64">
        <w:rPr>
          <w:lang w:val="pl-PL"/>
        </w:rPr>
        <w:t>zabrania głosu</w:t>
      </w:r>
      <w:r w:rsidRPr="00246717">
        <w:rPr>
          <w:lang w:val="pl-PL"/>
        </w:rPr>
        <w:t xml:space="preserve"> końcowego”.</w:t>
      </w:r>
    </w:p>
    <w:p w14:paraId="432804EE" w14:textId="1AD38CCF" w:rsidR="00E636AC" w:rsidRPr="00246717" w:rsidRDefault="007D73E2" w:rsidP="000957D3">
      <w:pPr>
        <w:pStyle w:val="ECHRHeading1"/>
        <w:rPr>
          <w:lang w:val="pl-PL"/>
        </w:rPr>
      </w:pPr>
      <w:bookmarkStart w:id="82" w:name="_Toc512345126"/>
      <w:bookmarkStart w:id="83" w:name="_Toc512401297"/>
      <w:r w:rsidRPr="00246717">
        <w:rPr>
          <w:bCs w:val="0"/>
          <w:lang w:val="pl-PL"/>
        </w:rPr>
        <w:t>III.</w:t>
      </w:r>
      <w:r w:rsidR="00E9390E">
        <w:rPr>
          <w:bCs w:val="0"/>
          <w:lang w:val="pl-PL"/>
        </w:rPr>
        <w:t>  </w:t>
      </w:r>
      <w:r w:rsidRPr="00246717">
        <w:rPr>
          <w:bCs w:val="0"/>
          <w:lang w:val="pl-PL"/>
        </w:rPr>
        <w:t>WŁAŚCIWE PRZEPISY PRAWA MIĘDZYNARODOWEGO I PRAKTYKA</w:t>
      </w:r>
      <w:bookmarkEnd w:id="82"/>
      <w:bookmarkEnd w:id="83"/>
    </w:p>
    <w:p w14:paraId="7151EE8E" w14:textId="40CDA9BB" w:rsidR="001B0EB0" w:rsidRPr="00246717" w:rsidRDefault="003C051E" w:rsidP="000957D3">
      <w:pPr>
        <w:pStyle w:val="ECHRHeading2"/>
        <w:rPr>
          <w:lang w:val="pl-PL"/>
        </w:rPr>
      </w:pPr>
      <w:bookmarkStart w:id="84" w:name="_Toc512401298"/>
      <w:bookmarkStart w:id="85" w:name="_Toc512345127"/>
      <w:r w:rsidRPr="00246717">
        <w:rPr>
          <w:lang w:val="pl-PL"/>
        </w:rPr>
        <w:t>A.</w:t>
      </w:r>
      <w:r w:rsidR="00E9390E">
        <w:rPr>
          <w:lang w:val="pl-PL"/>
        </w:rPr>
        <w:t>  </w:t>
      </w:r>
      <w:r w:rsidRPr="00246717">
        <w:rPr>
          <w:lang w:val="pl-PL"/>
        </w:rPr>
        <w:t>Międzynarodowe Trybunały Karne ONZ</w:t>
      </w:r>
      <w:bookmarkEnd w:id="84"/>
      <w:bookmarkEnd w:id="85"/>
    </w:p>
    <w:p w14:paraId="6F39C474" w14:textId="37A13D8C" w:rsidR="001B0EB0" w:rsidRPr="00246717" w:rsidRDefault="00150576" w:rsidP="000957D3">
      <w:pPr>
        <w:pStyle w:val="ECHRPara"/>
        <w:rPr>
          <w:lang w:val="pl-PL"/>
        </w:rPr>
      </w:pPr>
      <w:r w:rsidRPr="00246717">
        <w:rPr>
          <w:lang w:val="pl-PL"/>
        </w:rPr>
        <w:fldChar w:fldCharType="begin"/>
      </w:r>
      <w:r w:rsidR="001B0EB0" w:rsidRPr="00246717">
        <w:rPr>
          <w:lang w:val="pl-PL"/>
        </w:rPr>
        <w:instrText xml:space="preserve"> SEQ level0 \*arabic </w:instrText>
      </w:r>
      <w:r w:rsidRPr="00246717">
        <w:rPr>
          <w:lang w:val="pl-PL"/>
        </w:rPr>
        <w:fldChar w:fldCharType="separate"/>
      </w:r>
      <w:r w:rsidR="001B0EB0" w:rsidRPr="00246717">
        <w:rPr>
          <w:lang w:val="pl-PL"/>
        </w:rPr>
        <w:t>72</w:t>
      </w:r>
      <w:r w:rsidRPr="00246717">
        <w:rPr>
          <w:lang w:val="pl-PL"/>
        </w:rPr>
        <w:fldChar w:fldCharType="end"/>
      </w:r>
      <w:r w:rsidR="001B0EB0" w:rsidRPr="00246717">
        <w:rPr>
          <w:lang w:val="pl-PL"/>
        </w:rPr>
        <w:t xml:space="preserve">.  Międzynarodowy Trybunał Karny dla Rwandy (MTKR) i Międzynarodowy Trybunał Karny dla Byłej Jugosławii (MTKJ) przy orzekaniu jako Izby Procesowe albo Izby Odwoławcze w indywidualnych sprawach karnych opracowały </w:t>
      </w:r>
      <w:r w:rsidR="00E9390E">
        <w:rPr>
          <w:lang w:val="pl-PL"/>
        </w:rPr>
        <w:t>szerokie</w:t>
      </w:r>
      <w:r w:rsidR="001B0EB0" w:rsidRPr="00246717">
        <w:rPr>
          <w:lang w:val="pl-PL"/>
        </w:rPr>
        <w:t xml:space="preserve"> orzecznictwo i ogólne zasady dotyczące </w:t>
      </w:r>
      <w:r w:rsidR="00F06B64">
        <w:rPr>
          <w:lang w:val="pl-PL"/>
        </w:rPr>
        <w:t>poszczególnych</w:t>
      </w:r>
      <w:r w:rsidR="00F06B64" w:rsidRPr="00246717">
        <w:rPr>
          <w:lang w:val="pl-PL"/>
        </w:rPr>
        <w:t xml:space="preserve"> </w:t>
      </w:r>
      <w:r w:rsidR="001B0EB0" w:rsidRPr="00246717">
        <w:rPr>
          <w:lang w:val="pl-PL"/>
        </w:rPr>
        <w:t>aspektów postępowań karnych, w tym przesłuchania świadków.</w:t>
      </w:r>
    </w:p>
    <w:bookmarkStart w:id="86" w:name="IntLKrstic"/>
    <w:p w14:paraId="1632948C" w14:textId="5E31E7C0" w:rsidR="00741D96" w:rsidRPr="00246717" w:rsidRDefault="00150576" w:rsidP="000957D3">
      <w:pPr>
        <w:pStyle w:val="ECHRPara"/>
        <w:rPr>
          <w:bCs/>
          <w:lang w:val="pl-PL"/>
        </w:rPr>
      </w:pPr>
      <w:r w:rsidRPr="00246717">
        <w:rPr>
          <w:lang w:val="pl-PL"/>
        </w:rPr>
        <w:fldChar w:fldCharType="begin"/>
      </w:r>
      <w:r w:rsidR="00B42DF6" w:rsidRPr="00246717">
        <w:rPr>
          <w:lang w:val="pl-PL"/>
        </w:rPr>
        <w:instrText xml:space="preserve"> SEQ level0 \*arabic </w:instrText>
      </w:r>
      <w:r w:rsidRPr="00246717">
        <w:rPr>
          <w:lang w:val="pl-PL"/>
        </w:rPr>
        <w:fldChar w:fldCharType="separate"/>
      </w:r>
      <w:r w:rsidR="00B42DF6" w:rsidRPr="00246717">
        <w:rPr>
          <w:lang w:val="pl-PL"/>
        </w:rPr>
        <w:t>73</w:t>
      </w:r>
      <w:r w:rsidRPr="00246717">
        <w:rPr>
          <w:lang w:val="pl-PL"/>
        </w:rPr>
        <w:fldChar w:fldCharType="end"/>
      </w:r>
      <w:bookmarkEnd w:id="86"/>
      <w:r w:rsidR="00B42DF6" w:rsidRPr="00246717">
        <w:rPr>
          <w:lang w:val="pl-PL"/>
        </w:rPr>
        <w:t xml:space="preserve">.  W sprawie </w:t>
      </w:r>
      <w:r w:rsidR="00B42DF6" w:rsidRPr="00246717">
        <w:rPr>
          <w:i/>
          <w:iCs/>
          <w:lang w:val="pl-PL"/>
        </w:rPr>
        <w:t xml:space="preserve">Prokurator przeciwko </w:t>
      </w:r>
      <w:proofErr w:type="spellStart"/>
      <w:r w:rsidR="00B42DF6" w:rsidRPr="00246717">
        <w:rPr>
          <w:i/>
          <w:iCs/>
          <w:lang w:val="pl-PL"/>
        </w:rPr>
        <w:t>Krstić</w:t>
      </w:r>
      <w:proofErr w:type="spellEnd"/>
      <w:r w:rsidR="00B42DF6" w:rsidRPr="00246717">
        <w:rPr>
          <w:lang w:val="pl-PL"/>
        </w:rPr>
        <w:t xml:space="preserve"> (orzeczenie w </w:t>
      </w:r>
      <w:r w:rsidR="00AE5B2B">
        <w:rPr>
          <w:lang w:val="pl-PL"/>
        </w:rPr>
        <w:t xml:space="preserve">sprawie </w:t>
      </w:r>
      <w:r w:rsidR="00B42DF6" w:rsidRPr="00246717">
        <w:rPr>
          <w:lang w:val="pl-PL"/>
        </w:rPr>
        <w:t xml:space="preserve">stosowania </w:t>
      </w:r>
      <w:r w:rsidR="00F06B64">
        <w:rPr>
          <w:lang w:val="pl-PL"/>
        </w:rPr>
        <w:t>wezwań do</w:t>
      </w:r>
      <w:r w:rsidR="00B42DF6" w:rsidRPr="00246717">
        <w:rPr>
          <w:lang w:val="pl-PL"/>
        </w:rPr>
        <w:t xml:space="preserve"> stawiennictwa, sprawa nr IT-98-33-A, wyrok z dn</w:t>
      </w:r>
      <w:r w:rsidR="00E9390E">
        <w:rPr>
          <w:lang w:val="pl-PL"/>
        </w:rPr>
        <w:t>a</w:t>
      </w:r>
      <w:r w:rsidR="00B42DF6" w:rsidRPr="00246717">
        <w:rPr>
          <w:lang w:val="pl-PL"/>
        </w:rPr>
        <w:t xml:space="preserve"> 1 lipca 2003 r.) Izba Odwoławcza MTKJ orzekała w sprawie wniosku o przesłuchanie dodatkowych świadków w postępowaniu odwoławczym. </w:t>
      </w:r>
      <w:r w:rsidR="00F06B64">
        <w:rPr>
          <w:lang w:val="pl-PL"/>
        </w:rPr>
        <w:t>W</w:t>
      </w:r>
      <w:r w:rsidR="00B42DF6" w:rsidRPr="00246717">
        <w:rPr>
          <w:lang w:val="pl-PL"/>
        </w:rPr>
        <w:t xml:space="preserve"> odniesieniu do ogólnych zasad regulujących </w:t>
      </w:r>
      <w:r w:rsidR="00F06B64">
        <w:rPr>
          <w:lang w:val="pl-PL"/>
        </w:rPr>
        <w:t>znaczenie</w:t>
      </w:r>
      <w:r w:rsidR="00F06B64" w:rsidRPr="00246717">
        <w:rPr>
          <w:lang w:val="pl-PL"/>
        </w:rPr>
        <w:t xml:space="preserve"> </w:t>
      </w:r>
      <w:r w:rsidR="00B42DF6" w:rsidRPr="00246717">
        <w:rPr>
          <w:lang w:val="pl-PL"/>
        </w:rPr>
        <w:t>zeznań świadków i wydawani</w:t>
      </w:r>
      <w:r w:rsidR="00F06B64">
        <w:rPr>
          <w:lang w:val="pl-PL"/>
        </w:rPr>
        <w:t>a</w:t>
      </w:r>
      <w:r w:rsidR="00B42DF6" w:rsidRPr="00246717">
        <w:rPr>
          <w:lang w:val="pl-PL"/>
        </w:rPr>
        <w:t xml:space="preserve"> </w:t>
      </w:r>
      <w:r w:rsidR="00F06B64">
        <w:rPr>
          <w:lang w:val="pl-PL"/>
        </w:rPr>
        <w:t>wezwań do</w:t>
      </w:r>
      <w:r w:rsidR="00F06B64" w:rsidRPr="00246717">
        <w:rPr>
          <w:lang w:val="pl-PL"/>
        </w:rPr>
        <w:t xml:space="preserve"> </w:t>
      </w:r>
      <w:r w:rsidR="00B42DF6" w:rsidRPr="00246717">
        <w:rPr>
          <w:lang w:val="pl-PL"/>
        </w:rPr>
        <w:t>stawiennictwa</w:t>
      </w:r>
      <w:r w:rsidR="00F06B64">
        <w:rPr>
          <w:lang w:val="pl-PL"/>
        </w:rPr>
        <w:t xml:space="preserve"> Izba ta orzekła</w:t>
      </w:r>
      <w:r w:rsidR="00B42DF6" w:rsidRPr="00246717">
        <w:rPr>
          <w:lang w:val="pl-PL"/>
        </w:rPr>
        <w:t>:</w:t>
      </w:r>
    </w:p>
    <w:p w14:paraId="2D7982D2" w14:textId="1345D03D" w:rsidR="00741D96" w:rsidRPr="00246717" w:rsidRDefault="00740393" w:rsidP="000957D3">
      <w:pPr>
        <w:pStyle w:val="JuQuotSub"/>
        <w:rPr>
          <w:lang w:val="pl-PL"/>
        </w:rPr>
      </w:pPr>
      <w:r w:rsidRPr="00246717">
        <w:rPr>
          <w:lang w:val="pl-PL"/>
        </w:rPr>
        <w:t>„10.  Reguł</w:t>
      </w:r>
      <w:r w:rsidR="00E9390E">
        <w:rPr>
          <w:lang w:val="pl-PL"/>
        </w:rPr>
        <w:t>a</w:t>
      </w:r>
      <w:r w:rsidRPr="00246717">
        <w:rPr>
          <w:lang w:val="pl-PL"/>
        </w:rPr>
        <w:t xml:space="preserve"> 54 [Reguł Procesowych i Dowodowych] zezwala sędziemu lub Izbie Procesowej na wydawanie </w:t>
      </w:r>
      <w:r w:rsidR="00F06B64">
        <w:rPr>
          <w:lang w:val="pl-PL"/>
        </w:rPr>
        <w:t>postanowień</w:t>
      </w:r>
      <w:r w:rsidR="00F06B64" w:rsidRPr="00246717">
        <w:rPr>
          <w:lang w:val="pl-PL"/>
        </w:rPr>
        <w:t xml:space="preserve"> </w:t>
      </w:r>
      <w:r w:rsidRPr="00246717">
        <w:rPr>
          <w:lang w:val="pl-PL"/>
        </w:rPr>
        <w:t xml:space="preserve">lub wydawanie wezwań, które mogą być „niezbędne [...] do przygotowania lub przeprowadzenia procesu”. Uprawnienie to </w:t>
      </w:r>
      <w:r w:rsidR="00F06B64">
        <w:rPr>
          <w:lang w:val="pl-PL"/>
        </w:rPr>
        <w:t>naturalnie</w:t>
      </w:r>
      <w:r w:rsidRPr="00246717">
        <w:rPr>
          <w:lang w:val="pl-PL"/>
        </w:rPr>
        <w:t xml:space="preserve"> obejmuje możliwość wydania wezwania [...], jeśli stawiennictwo jest niezbędne do przygotowania lub przeprowadzenia procesu [...] Wezwanie na podstawie </w:t>
      </w:r>
      <w:r w:rsidR="007B5FF0">
        <w:rPr>
          <w:lang w:val="pl-PL"/>
        </w:rPr>
        <w:t>R</w:t>
      </w:r>
      <w:r w:rsidRPr="00246717">
        <w:rPr>
          <w:lang w:val="pl-PL"/>
        </w:rPr>
        <w:t>eguły 54 staje się „niezbędne” w rozumieniu celów tejże reguły, jeśli wykazano uzasadniony cel kryminalistyczny takiego przesłuchania. Osoba wnioskująca o taki</w:t>
      </w:r>
      <w:r w:rsidR="00F06B64">
        <w:rPr>
          <w:lang w:val="pl-PL"/>
        </w:rPr>
        <w:t>e</w:t>
      </w:r>
      <w:r w:rsidRPr="00246717">
        <w:rPr>
          <w:lang w:val="pl-PL"/>
        </w:rPr>
        <w:t xml:space="preserve"> </w:t>
      </w:r>
      <w:r w:rsidR="00F06B64">
        <w:rPr>
          <w:lang w:val="pl-PL"/>
        </w:rPr>
        <w:t>postanowienie</w:t>
      </w:r>
      <w:r w:rsidR="00F06B64" w:rsidRPr="00246717">
        <w:rPr>
          <w:lang w:val="pl-PL"/>
        </w:rPr>
        <w:t xml:space="preserve"> </w:t>
      </w:r>
      <w:r w:rsidRPr="00246717">
        <w:rPr>
          <w:lang w:val="pl-PL"/>
        </w:rPr>
        <w:t>lub wezwanie, przed procesem lub w jego trakcie, musi wykazać uzasadnioną podstawę dla swojego przekonania, zgodnie z którym istnieje duże prawdopodobieństwo, że ewentualny świadek będzie w stanie udzielić informacji, które w sposób istotny pomogą w jego sprawie, w odniesieniu do jasno zidentyfikowanych kwestii istotnych dla zbliżającego się procesu.</w:t>
      </w:r>
    </w:p>
    <w:p w14:paraId="299C8277" w14:textId="0E6034F5" w:rsidR="00741D96" w:rsidRPr="00246717" w:rsidRDefault="00741D96" w:rsidP="000957D3">
      <w:pPr>
        <w:pStyle w:val="JuQuotSub"/>
        <w:rPr>
          <w:lang w:val="pl-PL"/>
        </w:rPr>
      </w:pPr>
      <w:r w:rsidRPr="00246717">
        <w:rPr>
          <w:lang w:val="pl-PL"/>
        </w:rPr>
        <w:lastRenderedPageBreak/>
        <w:t xml:space="preserve">11.  Ocena prawdopodobieństwa, zgodnie z którym ewentualny świadek będzie w stanie udzielić informacji, które w sposób istotny pomogą obronie w jej sprawie, będzie w dużej mierze </w:t>
      </w:r>
      <w:r w:rsidR="00F06B64">
        <w:rPr>
          <w:lang w:val="pl-PL"/>
        </w:rPr>
        <w:t xml:space="preserve">zależeć </w:t>
      </w:r>
      <w:r w:rsidRPr="00246717">
        <w:rPr>
          <w:lang w:val="pl-PL"/>
        </w:rPr>
        <w:t xml:space="preserve">od stanowiska zajętego przez ewentualnego świadka w odniesieniu do przedmiotowych zdarzeń, wszelkich relacji, jakie może mieć (lub miał) z oskarżonym, a które mogą </w:t>
      </w:r>
      <w:r w:rsidR="00F06B64">
        <w:rPr>
          <w:lang w:val="pl-PL"/>
        </w:rPr>
        <w:t xml:space="preserve">mieć znaczenie </w:t>
      </w:r>
      <w:r w:rsidRPr="00246717">
        <w:rPr>
          <w:lang w:val="pl-PL"/>
        </w:rPr>
        <w:t xml:space="preserve">w świetle zarzutów, możliwości, zgodnie z którą w sposób uzasadniony mógł on być obserwatorem tych zdarzeń (lub dowiedzieć się o tych zdarzeniach) oraz wszelkich oświadczeń złożonych prokuratorowi albo innym osobom w odniesieniu do tych zdarzeń. Konieczne byłoby zastosowanie testu w sposób racjonalnie liberalny, jednak podobnie jak w odniesieniu do takich wniosków o dostęp do materiałów poufnych, obrona nie będzie mogła prowadzić szeroko zakrojonego dochodzenia wobec tej osoby, jeżeli nie wie, czy dana osoba ma jakiekolwiek istotne informacje i stara się przesłuchać tę osobę jedynie w celu </w:t>
      </w:r>
      <w:r w:rsidR="00F06B64">
        <w:rPr>
          <w:lang w:val="pl-PL"/>
        </w:rPr>
        <w:t>ustalenia</w:t>
      </w:r>
      <w:r w:rsidRPr="00246717">
        <w:rPr>
          <w:lang w:val="pl-PL"/>
        </w:rPr>
        <w:t>, czy ma jakiekolwiek informacje mogące pomóc obronie”.</w:t>
      </w:r>
    </w:p>
    <w:bookmarkStart w:id="87" w:name="IntLHalilovic"/>
    <w:p w14:paraId="7445D057" w14:textId="0B6391FE" w:rsidR="00370A8D" w:rsidRPr="00246717" w:rsidRDefault="00150576" w:rsidP="000957D3">
      <w:pPr>
        <w:pStyle w:val="ECHRPara"/>
        <w:rPr>
          <w:bCs/>
          <w:lang w:val="pl-PL"/>
        </w:rPr>
      </w:pPr>
      <w:r w:rsidRPr="00246717">
        <w:rPr>
          <w:lang w:val="pl-PL"/>
        </w:rPr>
        <w:fldChar w:fldCharType="begin"/>
      </w:r>
      <w:r w:rsidR="00370A8D" w:rsidRPr="00246717">
        <w:rPr>
          <w:lang w:val="pl-PL"/>
        </w:rPr>
        <w:instrText xml:space="preserve"> SEQ level0 \*arabic </w:instrText>
      </w:r>
      <w:r w:rsidRPr="00246717">
        <w:rPr>
          <w:lang w:val="pl-PL"/>
        </w:rPr>
        <w:fldChar w:fldCharType="separate"/>
      </w:r>
      <w:r w:rsidR="00370A8D" w:rsidRPr="00246717">
        <w:rPr>
          <w:lang w:val="pl-PL"/>
        </w:rPr>
        <w:t>74</w:t>
      </w:r>
      <w:r w:rsidRPr="00246717">
        <w:rPr>
          <w:lang w:val="pl-PL"/>
        </w:rPr>
        <w:fldChar w:fldCharType="end"/>
      </w:r>
      <w:bookmarkEnd w:id="87"/>
      <w:r w:rsidR="00370A8D" w:rsidRPr="00246717">
        <w:rPr>
          <w:lang w:val="pl-PL"/>
        </w:rPr>
        <w:t xml:space="preserve">.  W sprawie </w:t>
      </w:r>
      <w:r w:rsidR="00370A8D" w:rsidRPr="00246717">
        <w:rPr>
          <w:i/>
          <w:iCs/>
          <w:lang w:val="pl-PL"/>
        </w:rPr>
        <w:t xml:space="preserve">Prokurator przeciwko </w:t>
      </w:r>
      <w:proofErr w:type="spellStart"/>
      <w:r w:rsidR="00370A8D" w:rsidRPr="00246717">
        <w:rPr>
          <w:i/>
          <w:iCs/>
          <w:lang w:val="pl-PL"/>
        </w:rPr>
        <w:t>Halilović</w:t>
      </w:r>
      <w:proofErr w:type="spellEnd"/>
      <w:r w:rsidR="00370A8D" w:rsidRPr="00246717">
        <w:rPr>
          <w:i/>
          <w:iCs/>
          <w:lang w:val="pl-PL"/>
        </w:rPr>
        <w:t xml:space="preserve"> </w:t>
      </w:r>
      <w:r w:rsidR="00370A8D" w:rsidRPr="00246717">
        <w:rPr>
          <w:lang w:val="pl-PL"/>
        </w:rPr>
        <w:t>(orzeczenie w sprawie wydawania wezwań, sprawa nr IT-01-48-AR73, wyrok z dn</w:t>
      </w:r>
      <w:r w:rsidR="00677F23">
        <w:rPr>
          <w:lang w:val="pl-PL"/>
        </w:rPr>
        <w:t>ia</w:t>
      </w:r>
      <w:r w:rsidR="00370A8D" w:rsidRPr="00246717">
        <w:rPr>
          <w:lang w:val="pl-PL"/>
        </w:rPr>
        <w:t xml:space="preserve"> 21 czerwca 2004 r.) Izba Odwoławcza MTKJ potwierdziła, że skarżący musi wykazać uzasadnioną podstawę, zgodnie z którą świadek może udzielić informacji, które w sposób istotny pomogą skarżącemu w odniesieniu do jasno zidentyfikowanych kwestii w nadchodzącym procesie. Podkreślił ponadto w odniesieniu do wcześniejszego orzecznictwa, że „Izba Procesowa posiada swobodę uznania w zakresie ustalania, czy skarżącemu udało się spełnić wymagane uzasadnienie, przy czym taka swoboda uznania jest niezbędna do zagwarantowania, że przymusowy mechanizm wydawania wezwań nie jest nadużywany” oraz że „wezwania nie są wydawane </w:t>
      </w:r>
      <w:r w:rsidR="00677F23">
        <w:rPr>
          <w:lang w:val="pl-PL"/>
        </w:rPr>
        <w:t>od tak</w:t>
      </w:r>
      <w:r w:rsidR="00370A8D" w:rsidRPr="00246717">
        <w:rPr>
          <w:lang w:val="pl-PL"/>
        </w:rPr>
        <w:t>, ponieważ obejmują stosowanie środków przymusu i mogą prowadzić do nałożenia sankcji karnej” (</w:t>
      </w:r>
      <w:r w:rsidR="00370A8D" w:rsidRPr="00246717">
        <w:rPr>
          <w:i/>
          <w:iCs/>
          <w:lang w:val="pl-PL"/>
        </w:rPr>
        <w:t xml:space="preserve">ibid. </w:t>
      </w:r>
      <w:r w:rsidR="00370A8D" w:rsidRPr="00246717">
        <w:rPr>
          <w:lang w:val="pl-PL"/>
        </w:rPr>
        <w:t>§ 6). Ponadto wydał poniższe wytyczne dotyczące procesu decyzyjnego w tych sprawach:</w:t>
      </w:r>
    </w:p>
    <w:p w14:paraId="355693E4" w14:textId="705F17F6" w:rsidR="00BF2241" w:rsidRPr="00246717" w:rsidRDefault="00002A70" w:rsidP="000957D3">
      <w:pPr>
        <w:pStyle w:val="JuQuotSub"/>
        <w:rPr>
          <w:lang w:val="pl-PL"/>
        </w:rPr>
      </w:pPr>
      <w:r w:rsidRPr="00246717">
        <w:rPr>
          <w:lang w:val="pl-PL"/>
        </w:rPr>
        <w:t xml:space="preserve">„7.  Przy </w:t>
      </w:r>
      <w:r w:rsidR="00AE5B2B">
        <w:rPr>
          <w:lang w:val="pl-PL"/>
        </w:rPr>
        <w:t>rozstrzyganiu</w:t>
      </w:r>
      <w:r w:rsidRPr="00246717">
        <w:rPr>
          <w:lang w:val="pl-PL"/>
        </w:rPr>
        <w:t xml:space="preserve">, czy </w:t>
      </w:r>
      <w:r w:rsidR="00AE5B2B">
        <w:rPr>
          <w:lang w:val="pl-PL"/>
        </w:rPr>
        <w:t>wnioskodawca</w:t>
      </w:r>
      <w:r w:rsidR="00AE5B2B" w:rsidRPr="00246717">
        <w:rPr>
          <w:lang w:val="pl-PL"/>
        </w:rPr>
        <w:t xml:space="preserve"> </w:t>
      </w:r>
      <w:r w:rsidR="00AE5B2B">
        <w:rPr>
          <w:lang w:val="pl-PL"/>
        </w:rPr>
        <w:t>sprostał ciężarowi</w:t>
      </w:r>
      <w:r w:rsidRPr="00246717">
        <w:rPr>
          <w:lang w:val="pl-PL"/>
        </w:rPr>
        <w:t xml:space="preserve"> dowodow</w:t>
      </w:r>
      <w:r w:rsidR="00AE5B2B">
        <w:rPr>
          <w:lang w:val="pl-PL"/>
        </w:rPr>
        <w:t>emu</w:t>
      </w:r>
      <w:r w:rsidRPr="00246717">
        <w:rPr>
          <w:lang w:val="pl-PL"/>
        </w:rPr>
        <w:t>, Izba Procesowa może odpowiednio uwzględnić zarówno, czy informacje, jakie wnioskodawca stara się wydobyć poprzez zastosowanie wezwania są niezbędne do przygotowania postępowania i czy informacje te są możliwe do uzyskania innymi środkami. Podstawową zasadą, na której opierają się te dwa względy, jest ustalenie, czy zgodnie z wymogami Reguły 54, wydanie wezwania jest niezbędne „do przygotowania lub prowadzenia postępowania”. Rozważania Izby Procesowej muszą zatem skupić się nie tylko na przydatności informacji dla skarżącego, ale na ogólnej konieczności zagwarantowania, że proces jest wyczerpujący i rzetelny.</w:t>
      </w:r>
    </w:p>
    <w:p w14:paraId="55745616" w14:textId="77777777" w:rsidR="00BF2241" w:rsidRPr="00246717" w:rsidRDefault="00740393" w:rsidP="000957D3">
      <w:pPr>
        <w:pStyle w:val="JuQuotSub"/>
        <w:rPr>
          <w:lang w:val="pl-PL"/>
        </w:rPr>
      </w:pPr>
      <w:r w:rsidRPr="00246717">
        <w:rPr>
          <w:lang w:val="pl-PL"/>
        </w:rPr>
        <w:t>[...]</w:t>
      </w:r>
    </w:p>
    <w:p w14:paraId="6B177609" w14:textId="05E47A6B" w:rsidR="0062431E" w:rsidRPr="00246717" w:rsidRDefault="00740393" w:rsidP="000957D3">
      <w:pPr>
        <w:pStyle w:val="JuQuotSub"/>
        <w:rPr>
          <w:lang w:val="pl-PL"/>
        </w:rPr>
      </w:pPr>
      <w:r w:rsidRPr="00246717">
        <w:rPr>
          <w:lang w:val="pl-PL"/>
        </w:rPr>
        <w:t>10. [...] Jako mechanizm przymusu sądowego, pociągający za sobą stosowanie sankcji karnych z tytułu nieprzestrzegania, wezwanie stanowi broń, z której trzeba korzystać z umiarem. Chociaż Izba Procesowa powinna bez wahania uciekać się do tego instrumentu, jeżeli konieczne jest wydobycie informacji istotnych dla sprawy i zagwarantowanie, że pozwany dysponuje wystarczającymi środkami do zgromadzenia informacji niezbędnych do przedstawienia skutecznej obrony, powinna wystrzegać się uczynienia z wezwania mechanizmu stosowanego rutynowo w ramach taktyk procesowych. [...] Wezwanie obejmuje wykorzystanie uprawnienia sądow</w:t>
      </w:r>
      <w:r w:rsidR="007B5FF0">
        <w:rPr>
          <w:lang w:val="pl-PL"/>
        </w:rPr>
        <w:t>ego</w:t>
      </w:r>
      <w:r w:rsidRPr="00246717">
        <w:rPr>
          <w:lang w:val="pl-PL"/>
        </w:rPr>
        <w:t xml:space="preserve"> w celu zastosowania przymusu i jako takie musi być stosowane w przypadkach, w których będzie służyć ogólnym interesom procesu karnego, nie zaś w tych, w których </w:t>
      </w:r>
      <w:r w:rsidRPr="00246717">
        <w:rPr>
          <w:lang w:val="pl-PL"/>
        </w:rPr>
        <w:lastRenderedPageBreak/>
        <w:t>zaledwie ułatwi stronie jej zadanie w sporze. Gdyby była to analiza Izby Procesowej, odrzucenie wniosku o wezwanie byłoby właściwe”.</w:t>
      </w:r>
    </w:p>
    <w:bookmarkStart w:id="88" w:name="IntLMartic"/>
    <w:p w14:paraId="7E18349F" w14:textId="79397BA6" w:rsidR="00892FB5" w:rsidRPr="00246717" w:rsidRDefault="00150576" w:rsidP="000957D3">
      <w:pPr>
        <w:pStyle w:val="ECHRPara"/>
        <w:rPr>
          <w:lang w:val="pl-PL"/>
        </w:rPr>
      </w:pPr>
      <w:r w:rsidRPr="00246717">
        <w:rPr>
          <w:lang w:val="pl-PL"/>
        </w:rPr>
        <w:fldChar w:fldCharType="begin"/>
      </w:r>
      <w:r w:rsidR="00892FB5" w:rsidRPr="00246717">
        <w:rPr>
          <w:lang w:val="pl-PL"/>
        </w:rPr>
        <w:instrText xml:space="preserve"> SEQ level0 \*arabic </w:instrText>
      </w:r>
      <w:r w:rsidRPr="00246717">
        <w:rPr>
          <w:lang w:val="pl-PL"/>
        </w:rPr>
        <w:fldChar w:fldCharType="separate"/>
      </w:r>
      <w:r w:rsidR="00892FB5" w:rsidRPr="00246717">
        <w:rPr>
          <w:lang w:val="pl-PL"/>
        </w:rPr>
        <w:t>75</w:t>
      </w:r>
      <w:r w:rsidRPr="00246717">
        <w:rPr>
          <w:lang w:val="pl-PL"/>
        </w:rPr>
        <w:fldChar w:fldCharType="end"/>
      </w:r>
      <w:bookmarkEnd w:id="88"/>
      <w:r w:rsidR="00892FB5" w:rsidRPr="00246717">
        <w:rPr>
          <w:lang w:val="pl-PL"/>
        </w:rPr>
        <w:t xml:space="preserve">.  W sprawie </w:t>
      </w:r>
      <w:r w:rsidR="00892FB5" w:rsidRPr="00246717">
        <w:rPr>
          <w:i/>
          <w:iCs/>
          <w:lang w:val="pl-PL"/>
        </w:rPr>
        <w:t xml:space="preserve">Prokurator przeciwko </w:t>
      </w:r>
      <w:proofErr w:type="spellStart"/>
      <w:r w:rsidR="00892FB5" w:rsidRPr="00246717">
        <w:rPr>
          <w:i/>
          <w:iCs/>
          <w:lang w:val="pl-PL"/>
        </w:rPr>
        <w:t>Martić</w:t>
      </w:r>
      <w:proofErr w:type="spellEnd"/>
      <w:r w:rsidR="00892FB5" w:rsidRPr="00246717">
        <w:rPr>
          <w:lang w:val="pl-PL"/>
        </w:rPr>
        <w:t xml:space="preserve"> (orzeczenie w sprawie odwołania od orzeczenia Izby Procesowej w sprawie zeznania świadka, Milana </w:t>
      </w:r>
      <w:proofErr w:type="spellStart"/>
      <w:r w:rsidR="00892FB5" w:rsidRPr="00246717">
        <w:rPr>
          <w:lang w:val="pl-PL"/>
        </w:rPr>
        <w:t>Babića</w:t>
      </w:r>
      <w:proofErr w:type="spellEnd"/>
      <w:r w:rsidR="00892FB5" w:rsidRPr="00246717">
        <w:rPr>
          <w:lang w:val="pl-PL"/>
        </w:rPr>
        <w:t>, sprawa nr IT</w:t>
      </w:r>
      <w:r w:rsidR="00892FB5" w:rsidRPr="00246717">
        <w:rPr>
          <w:lang w:val="pl-PL"/>
        </w:rPr>
        <w:noBreakHyphen/>
        <w:t>95-11-AR73.2, wyrok z dn</w:t>
      </w:r>
      <w:r w:rsidR="007B5FF0">
        <w:rPr>
          <w:lang w:val="pl-PL"/>
        </w:rPr>
        <w:t>ia</w:t>
      </w:r>
      <w:r w:rsidR="00892FB5" w:rsidRPr="00246717">
        <w:rPr>
          <w:lang w:val="pl-PL"/>
        </w:rPr>
        <w:t xml:space="preserve"> 14 września 2006 r.) Izba Odwoławcza MTKJ szeroko omówiła zasady mające zastosowanie do przesłuchiwania świadków </w:t>
      </w:r>
      <w:r w:rsidR="00F8541B">
        <w:rPr>
          <w:lang w:val="pl-PL"/>
        </w:rPr>
        <w:t>w</w:t>
      </w:r>
      <w:r w:rsidR="00892FB5" w:rsidRPr="00246717">
        <w:rPr>
          <w:lang w:val="pl-PL"/>
        </w:rPr>
        <w:t xml:space="preserve"> procesie. Powołując się na własne orzecznictwo, jak również na orzecznictwo Trybunału, </w:t>
      </w:r>
      <w:r w:rsidR="00F8541B">
        <w:rPr>
          <w:lang w:val="pl-PL"/>
        </w:rPr>
        <w:t>potwierdziła</w:t>
      </w:r>
      <w:r w:rsidR="00AE5B2B">
        <w:rPr>
          <w:lang w:val="pl-PL"/>
        </w:rPr>
        <w:t xml:space="preserve">, że </w:t>
      </w:r>
      <w:r w:rsidR="00892FB5" w:rsidRPr="00246717">
        <w:rPr>
          <w:lang w:val="pl-PL"/>
        </w:rPr>
        <w:t>Izb</w:t>
      </w:r>
      <w:r w:rsidR="00AE5B2B">
        <w:rPr>
          <w:lang w:val="pl-PL"/>
        </w:rPr>
        <w:t>ie</w:t>
      </w:r>
      <w:r w:rsidR="00892FB5" w:rsidRPr="00246717">
        <w:rPr>
          <w:lang w:val="pl-PL"/>
        </w:rPr>
        <w:t xml:space="preserve"> Procesowej </w:t>
      </w:r>
      <w:r w:rsidR="00AE5B2B">
        <w:rPr>
          <w:lang w:val="pl-PL"/>
        </w:rPr>
        <w:t xml:space="preserve">przysługuje swoboda uznaniowa </w:t>
      </w:r>
      <w:r w:rsidR="00892FB5" w:rsidRPr="00246717">
        <w:rPr>
          <w:lang w:val="pl-PL"/>
        </w:rPr>
        <w:t xml:space="preserve">w </w:t>
      </w:r>
      <w:r w:rsidR="00AE5B2B">
        <w:rPr>
          <w:lang w:val="pl-PL"/>
        </w:rPr>
        <w:t>zakresie</w:t>
      </w:r>
      <w:r w:rsidR="00892FB5" w:rsidRPr="00246717">
        <w:rPr>
          <w:lang w:val="pl-PL"/>
        </w:rPr>
        <w:t xml:space="preserve"> dopuszczalności dowodu, a także w określaniu zasad przesłuchania krzyżowego </w:t>
      </w:r>
      <w:r w:rsidR="00F8541B">
        <w:rPr>
          <w:lang w:val="pl-PL"/>
        </w:rPr>
        <w:t>oraz</w:t>
      </w:r>
      <w:r w:rsidR="00892FB5" w:rsidRPr="00246717">
        <w:rPr>
          <w:lang w:val="pl-PL"/>
        </w:rPr>
        <w:t xml:space="preserve"> korzystania z tego prawa przez obronę. Podkreśliła, że taki wzgląd opiera się na uznaniu „organicznego zaznajomienia się Izby Procesowej z codzienną postawą stron i praktycznymi wymogami sprawy”. Izba Odwoławcza podkreśliła, że prawo oskarżonego do przesłuchania krzyżowego świadka nie jest prawem bezwzględnym, że rzetelności procesu nie można oceniać wyłącznie w oparciu o rzetelność przyznaną oskarżonemu oraz że o ile postępowanie musi być prowadzone z pełnym poszanowaniem praw proceduralnych, ograniczenia nałożone na prawo do prze</w:t>
      </w:r>
      <w:r w:rsidR="00F8541B">
        <w:rPr>
          <w:lang w:val="pl-PL"/>
        </w:rPr>
        <w:t>słuchania</w:t>
      </w:r>
      <w:r w:rsidR="00892FB5" w:rsidRPr="00246717">
        <w:rPr>
          <w:lang w:val="pl-PL"/>
        </w:rPr>
        <w:t xml:space="preserve"> krzyżowego niekoniecznie będą wiązać się z naruszeniem albo być niezgodne z rzetelnym procesem (</w:t>
      </w:r>
      <w:r w:rsidR="00892FB5" w:rsidRPr="00246717">
        <w:rPr>
          <w:i/>
          <w:iCs/>
          <w:lang w:val="pl-PL"/>
        </w:rPr>
        <w:t xml:space="preserve">ibid. </w:t>
      </w:r>
      <w:r w:rsidR="00892FB5" w:rsidRPr="00246717">
        <w:rPr>
          <w:lang w:val="pl-PL"/>
        </w:rPr>
        <w:t>§§ 6, 12).</w:t>
      </w:r>
    </w:p>
    <w:p w14:paraId="01A7B39F" w14:textId="77777777" w:rsidR="00892FB5" w:rsidRPr="00246717" w:rsidRDefault="00150576" w:rsidP="000957D3">
      <w:pPr>
        <w:pStyle w:val="ECHRPara"/>
        <w:rPr>
          <w:lang w:val="pl-PL"/>
        </w:rPr>
      </w:pPr>
      <w:r w:rsidRPr="00246717">
        <w:rPr>
          <w:lang w:val="pl-PL"/>
        </w:rPr>
        <w:fldChar w:fldCharType="begin"/>
      </w:r>
      <w:r w:rsidR="00C01D8C" w:rsidRPr="00246717">
        <w:rPr>
          <w:lang w:val="pl-PL"/>
        </w:rPr>
        <w:instrText xml:space="preserve"> SEQ level0 \*arabic </w:instrText>
      </w:r>
      <w:r w:rsidRPr="00246717">
        <w:rPr>
          <w:lang w:val="pl-PL"/>
        </w:rPr>
        <w:fldChar w:fldCharType="separate"/>
      </w:r>
      <w:r w:rsidR="00C01D8C" w:rsidRPr="00246717">
        <w:rPr>
          <w:lang w:val="pl-PL"/>
        </w:rPr>
        <w:t>76</w:t>
      </w:r>
      <w:r w:rsidRPr="00246717">
        <w:rPr>
          <w:lang w:val="pl-PL"/>
        </w:rPr>
        <w:fldChar w:fldCharType="end"/>
      </w:r>
      <w:r w:rsidR="00C01D8C" w:rsidRPr="00246717">
        <w:rPr>
          <w:lang w:val="pl-PL"/>
        </w:rPr>
        <w:t>.  W odniesieniu do zasad Trybunału dotyczących przesłuchania krzyżowego świadków, Izba Odwoławcza orzekła, co następuje:</w:t>
      </w:r>
    </w:p>
    <w:p w14:paraId="19A297FB" w14:textId="1B6D38EA" w:rsidR="00C01D8C" w:rsidRPr="00246717" w:rsidRDefault="00740393" w:rsidP="000957D3">
      <w:pPr>
        <w:pStyle w:val="JuQuotSub"/>
        <w:rPr>
          <w:lang w:val="pl-PL"/>
        </w:rPr>
      </w:pPr>
      <w:r w:rsidRPr="00246717">
        <w:rPr>
          <w:lang w:val="pl-PL"/>
        </w:rPr>
        <w:t>„20.  Izba Odwoławcza zauważa w każdym razie, że obydwie zasady, które Izba Procesowa wywiodła z orzecznictwa ETPCz, czyli zasada, zgodnie z którą 1) całkowity brak lub uchybienie w przesłuchaniu krzyżowym świadka nie będzie automatycznie prowadzić do wyłączenia dowodu, oraz 2) dowód, który nie został objęty prze</w:t>
      </w:r>
      <w:r w:rsidR="00F8541B">
        <w:rPr>
          <w:lang w:val="pl-PL"/>
        </w:rPr>
        <w:t>słuchaniem</w:t>
      </w:r>
      <w:r w:rsidRPr="00246717">
        <w:rPr>
          <w:lang w:val="pl-PL"/>
        </w:rPr>
        <w:t xml:space="preserve"> krzyżowym i dotyczy czynów i postępowania </w:t>
      </w:r>
      <w:r w:rsidR="00F8541B">
        <w:rPr>
          <w:lang w:val="pl-PL"/>
        </w:rPr>
        <w:t>o</w:t>
      </w:r>
      <w:r w:rsidRPr="00246717">
        <w:rPr>
          <w:lang w:val="pl-PL"/>
        </w:rPr>
        <w:t xml:space="preserve">skarżonego lub ma kluczowe znaczenie dla sprawy </w:t>
      </w:r>
      <w:r w:rsidR="00F8541B">
        <w:rPr>
          <w:lang w:val="pl-PL"/>
        </w:rPr>
        <w:t>o</w:t>
      </w:r>
      <w:r w:rsidRPr="00246717">
        <w:rPr>
          <w:lang w:val="pl-PL"/>
        </w:rPr>
        <w:t>skarżenia, będzie wymagać potwierdzenia, jeśli został wykorzystany do wydania wyroku skazującego, są spójne z orzecznictwem Międzynarodowego Trybunału, a także z jurysdykcjami krajowymi”.</w:t>
      </w:r>
    </w:p>
    <w:bookmarkStart w:id="89" w:name="IntLKaremara"/>
    <w:p w14:paraId="0DAD3B06" w14:textId="482D1F68" w:rsidR="000A7ACB" w:rsidRPr="00246717" w:rsidRDefault="00150576" w:rsidP="000957D3">
      <w:pPr>
        <w:pStyle w:val="ECHRPara"/>
        <w:rPr>
          <w:lang w:val="pl-PL"/>
        </w:rPr>
      </w:pPr>
      <w:r w:rsidRPr="00246717">
        <w:rPr>
          <w:lang w:val="pl-PL"/>
        </w:rPr>
        <w:fldChar w:fldCharType="begin"/>
      </w:r>
      <w:r w:rsidR="00D779F0" w:rsidRPr="00246717">
        <w:rPr>
          <w:lang w:val="pl-PL"/>
        </w:rPr>
        <w:instrText xml:space="preserve"> SEQ level0 \*arabic </w:instrText>
      </w:r>
      <w:r w:rsidRPr="00246717">
        <w:rPr>
          <w:lang w:val="pl-PL"/>
        </w:rPr>
        <w:fldChar w:fldCharType="separate"/>
      </w:r>
      <w:r w:rsidR="00D779F0" w:rsidRPr="00246717">
        <w:rPr>
          <w:lang w:val="pl-PL"/>
        </w:rPr>
        <w:t>77</w:t>
      </w:r>
      <w:r w:rsidRPr="00246717">
        <w:rPr>
          <w:lang w:val="pl-PL"/>
        </w:rPr>
        <w:fldChar w:fldCharType="end"/>
      </w:r>
      <w:bookmarkEnd w:id="89"/>
      <w:r w:rsidR="00D779F0" w:rsidRPr="00246717">
        <w:rPr>
          <w:lang w:val="pl-PL"/>
        </w:rPr>
        <w:t xml:space="preserve">.  W sprawie </w:t>
      </w:r>
      <w:r w:rsidR="00D779F0" w:rsidRPr="00246717">
        <w:rPr>
          <w:i/>
          <w:iCs/>
          <w:lang w:val="pl-PL"/>
        </w:rPr>
        <w:t xml:space="preserve">Prokurator przeciwko </w:t>
      </w:r>
      <w:proofErr w:type="spellStart"/>
      <w:r w:rsidR="00D779F0" w:rsidRPr="00246717">
        <w:rPr>
          <w:i/>
          <w:iCs/>
          <w:lang w:val="pl-PL"/>
        </w:rPr>
        <w:t>Edouardowi</w:t>
      </w:r>
      <w:proofErr w:type="spellEnd"/>
      <w:r w:rsidR="00D779F0" w:rsidRPr="00246717">
        <w:rPr>
          <w:i/>
          <w:iCs/>
          <w:lang w:val="pl-PL"/>
        </w:rPr>
        <w:t xml:space="preserve"> </w:t>
      </w:r>
      <w:proofErr w:type="spellStart"/>
      <w:r w:rsidR="00D779F0" w:rsidRPr="00246717">
        <w:rPr>
          <w:i/>
          <w:iCs/>
          <w:lang w:val="pl-PL"/>
        </w:rPr>
        <w:t>Karemerze</w:t>
      </w:r>
      <w:proofErr w:type="spellEnd"/>
      <w:r w:rsidR="00D779F0" w:rsidRPr="00246717">
        <w:rPr>
          <w:i/>
          <w:iCs/>
          <w:lang w:val="pl-PL"/>
        </w:rPr>
        <w:t xml:space="preserve"> i </w:t>
      </w:r>
      <w:proofErr w:type="spellStart"/>
      <w:r w:rsidR="00D779F0" w:rsidRPr="00246717">
        <w:rPr>
          <w:i/>
          <w:iCs/>
          <w:lang w:val="pl-PL"/>
        </w:rPr>
        <w:t>Matthieu</w:t>
      </w:r>
      <w:proofErr w:type="spellEnd"/>
      <w:r w:rsidR="00D779F0" w:rsidRPr="00246717">
        <w:rPr>
          <w:i/>
          <w:iCs/>
          <w:lang w:val="pl-PL"/>
        </w:rPr>
        <w:t xml:space="preserve"> </w:t>
      </w:r>
      <w:proofErr w:type="spellStart"/>
      <w:r w:rsidR="00D779F0" w:rsidRPr="00246717">
        <w:rPr>
          <w:i/>
          <w:iCs/>
          <w:lang w:val="pl-PL"/>
        </w:rPr>
        <w:t>Ngirumpatse</w:t>
      </w:r>
      <w:proofErr w:type="spellEnd"/>
      <w:r w:rsidR="00D779F0" w:rsidRPr="00246717">
        <w:rPr>
          <w:lang w:val="pl-PL"/>
        </w:rPr>
        <w:t xml:space="preserve"> (orzeczenie w przedmiocie wniosku </w:t>
      </w:r>
      <w:proofErr w:type="spellStart"/>
      <w:r w:rsidR="00D779F0" w:rsidRPr="00246717">
        <w:rPr>
          <w:lang w:val="pl-PL"/>
        </w:rPr>
        <w:t>Matthieu</w:t>
      </w:r>
      <w:proofErr w:type="spellEnd"/>
      <w:r w:rsidR="00D779F0" w:rsidRPr="00246717">
        <w:rPr>
          <w:lang w:val="pl-PL"/>
        </w:rPr>
        <w:t xml:space="preserve"> </w:t>
      </w:r>
      <w:proofErr w:type="spellStart"/>
      <w:r w:rsidR="00D779F0" w:rsidRPr="00246717">
        <w:rPr>
          <w:lang w:val="pl-PL"/>
        </w:rPr>
        <w:t>Ngirumpatse</w:t>
      </w:r>
      <w:proofErr w:type="spellEnd"/>
      <w:r w:rsidR="00D779F0" w:rsidRPr="00246717">
        <w:rPr>
          <w:lang w:val="pl-PL"/>
        </w:rPr>
        <w:t xml:space="preserve"> o wezwanie na świadka YLH, sprawa nr ICTR-98-44-T, wyrok z dn</w:t>
      </w:r>
      <w:r w:rsidR="00874183">
        <w:rPr>
          <w:lang w:val="pl-PL"/>
        </w:rPr>
        <w:t>ia</w:t>
      </w:r>
      <w:r w:rsidR="00D779F0" w:rsidRPr="00246717">
        <w:rPr>
          <w:lang w:val="pl-PL"/>
        </w:rPr>
        <w:t xml:space="preserve"> 29 grudnia 2010 r.) Izba Procesowa MTKR orzekając, czy pisemne zeznania pewnego świadka należy dopuścić jako dowód i czy konieczne było wezwanie tego świadka, przypomniała następujące zasady:</w:t>
      </w:r>
    </w:p>
    <w:p w14:paraId="49BE150E" w14:textId="34D5BCE0" w:rsidR="000A7ACB" w:rsidRPr="00246717" w:rsidRDefault="00740393" w:rsidP="000957D3">
      <w:pPr>
        <w:pStyle w:val="JuQuotSub"/>
        <w:rPr>
          <w:lang w:val="pl-PL"/>
        </w:rPr>
      </w:pPr>
      <w:r w:rsidRPr="00246717">
        <w:rPr>
          <w:lang w:val="pl-PL"/>
        </w:rPr>
        <w:t xml:space="preserve">„12.  W celu dopuszczenia pisemnego </w:t>
      </w:r>
      <w:r w:rsidR="00AE5B2B">
        <w:rPr>
          <w:lang w:val="pl-PL"/>
        </w:rPr>
        <w:t>zeznania</w:t>
      </w:r>
      <w:r w:rsidR="00AE5B2B" w:rsidRPr="00246717">
        <w:rPr>
          <w:lang w:val="pl-PL"/>
        </w:rPr>
        <w:t xml:space="preserve"> </w:t>
      </w:r>
      <w:r w:rsidRPr="00246717">
        <w:rPr>
          <w:lang w:val="pl-PL"/>
        </w:rPr>
        <w:t xml:space="preserve">[...] konieczne jest upewnienie się, czy </w:t>
      </w:r>
      <w:r w:rsidR="00AE5B2B">
        <w:rPr>
          <w:lang w:val="pl-PL"/>
        </w:rPr>
        <w:t xml:space="preserve">zeznanie </w:t>
      </w:r>
      <w:r w:rsidRPr="00246717">
        <w:rPr>
          <w:lang w:val="pl-PL"/>
        </w:rPr>
        <w:t xml:space="preserve">to nie zawiera odniesień do czynów i postępowania </w:t>
      </w:r>
      <w:r w:rsidR="00874183">
        <w:rPr>
          <w:lang w:val="pl-PL"/>
        </w:rPr>
        <w:t>o</w:t>
      </w:r>
      <w:r w:rsidRPr="00246717">
        <w:rPr>
          <w:lang w:val="pl-PL"/>
        </w:rPr>
        <w:t xml:space="preserve">skarżonego zawartych w akcie oskarżenia oraz czy spełnia kryteria określone w </w:t>
      </w:r>
      <w:r w:rsidR="00874183">
        <w:rPr>
          <w:lang w:val="pl-PL"/>
        </w:rPr>
        <w:t>R</w:t>
      </w:r>
      <w:r w:rsidRPr="00246717">
        <w:rPr>
          <w:lang w:val="pl-PL"/>
        </w:rPr>
        <w:t xml:space="preserve">egule 89 C), czyli czy </w:t>
      </w:r>
      <w:r w:rsidR="00AE5B2B">
        <w:rPr>
          <w:lang w:val="pl-PL"/>
        </w:rPr>
        <w:t>ma znaczenie</w:t>
      </w:r>
      <w:r w:rsidRPr="00246717">
        <w:rPr>
          <w:lang w:val="pl-PL"/>
        </w:rPr>
        <w:t xml:space="preserve"> i </w:t>
      </w:r>
      <w:r w:rsidR="00AE5B2B">
        <w:rPr>
          <w:lang w:val="pl-PL"/>
        </w:rPr>
        <w:t>walor</w:t>
      </w:r>
      <w:r w:rsidRPr="00246717">
        <w:rPr>
          <w:lang w:val="pl-PL"/>
        </w:rPr>
        <w:t xml:space="preserve"> dowodow</w:t>
      </w:r>
      <w:r w:rsidR="00AE5B2B">
        <w:rPr>
          <w:lang w:val="pl-PL"/>
        </w:rPr>
        <w:t>y</w:t>
      </w:r>
      <w:r w:rsidRPr="00246717">
        <w:rPr>
          <w:lang w:val="pl-PL"/>
        </w:rPr>
        <w:t xml:space="preserve"> [...] Nawet jeśli </w:t>
      </w:r>
      <w:r w:rsidR="00AE5B2B">
        <w:rPr>
          <w:lang w:val="pl-PL"/>
        </w:rPr>
        <w:t>zeznanie</w:t>
      </w:r>
      <w:r w:rsidR="00AE5B2B" w:rsidRPr="00246717">
        <w:rPr>
          <w:lang w:val="pl-PL"/>
        </w:rPr>
        <w:t xml:space="preserve"> </w:t>
      </w:r>
      <w:r w:rsidRPr="00246717">
        <w:rPr>
          <w:lang w:val="pl-PL"/>
        </w:rPr>
        <w:t xml:space="preserve">spełnia wszystkie te kryteria, Izba musi korzystać ze swojej swobody uznaniowej w celu dopuszczenia takiego </w:t>
      </w:r>
      <w:r w:rsidR="00AE5B2B">
        <w:rPr>
          <w:lang w:val="pl-PL"/>
        </w:rPr>
        <w:t>zeznania</w:t>
      </w:r>
      <w:r w:rsidRPr="00246717">
        <w:rPr>
          <w:lang w:val="pl-PL"/>
        </w:rPr>
        <w:t>, pamiętając o nadrzędn</w:t>
      </w:r>
      <w:r w:rsidR="00AE5B2B">
        <w:rPr>
          <w:lang w:val="pl-PL"/>
        </w:rPr>
        <w:t xml:space="preserve">ym wymogu </w:t>
      </w:r>
      <w:r w:rsidRPr="00246717">
        <w:rPr>
          <w:lang w:val="pl-PL"/>
        </w:rPr>
        <w:t>zagwarantowania rzetelnego procesu. [...] [N]</w:t>
      </w:r>
      <w:proofErr w:type="spellStart"/>
      <w:r w:rsidRPr="00246717">
        <w:rPr>
          <w:lang w:val="pl-PL"/>
        </w:rPr>
        <w:t>awet</w:t>
      </w:r>
      <w:proofErr w:type="spellEnd"/>
      <w:r w:rsidRPr="00246717">
        <w:rPr>
          <w:lang w:val="pl-PL"/>
        </w:rPr>
        <w:t xml:space="preserve"> jeśli Izba uzna </w:t>
      </w:r>
      <w:r w:rsidR="00AE5B2B">
        <w:rPr>
          <w:lang w:val="pl-PL"/>
        </w:rPr>
        <w:t>zeznanie</w:t>
      </w:r>
      <w:r w:rsidR="00AE5B2B" w:rsidRPr="00246717">
        <w:rPr>
          <w:lang w:val="pl-PL"/>
        </w:rPr>
        <w:t xml:space="preserve"> </w:t>
      </w:r>
      <w:r w:rsidRPr="00246717">
        <w:rPr>
          <w:lang w:val="pl-PL"/>
        </w:rPr>
        <w:t xml:space="preserve">za dopuszczalne, musi także określić, czy dopuszcza je w całości </w:t>
      </w:r>
      <w:r w:rsidR="00AE5B2B">
        <w:rPr>
          <w:lang w:val="pl-PL"/>
        </w:rPr>
        <w:t>czy</w:t>
      </w:r>
      <w:r w:rsidR="00AE5B2B" w:rsidRPr="00246717">
        <w:rPr>
          <w:lang w:val="pl-PL"/>
        </w:rPr>
        <w:t xml:space="preserve"> </w:t>
      </w:r>
      <w:r w:rsidRPr="00246717">
        <w:rPr>
          <w:lang w:val="pl-PL"/>
        </w:rPr>
        <w:t>w części oraz czy wymaga stawiennictwa świadka w celu</w:t>
      </w:r>
      <w:r w:rsidR="00874183">
        <w:rPr>
          <w:lang w:val="pl-PL"/>
        </w:rPr>
        <w:t xml:space="preserve"> przeprowadzenia</w:t>
      </w:r>
      <w:r w:rsidRPr="00246717">
        <w:rPr>
          <w:lang w:val="pl-PL"/>
        </w:rPr>
        <w:t xml:space="preserve"> przesłuchania krzyżowego. Oprócz czynników związanych z rzetelnym procesem, inny istotny czynnik polega na ustaleniu, czy dowód dotyczy </w:t>
      </w:r>
      <w:r w:rsidRPr="00246717">
        <w:rPr>
          <w:lang w:val="pl-PL"/>
        </w:rPr>
        <w:lastRenderedPageBreak/>
        <w:t>centralnej i ważkiej dla stron kwestii, w przeciwieństwie do kwestii pobocznej i o marginalnym znaczeniu”.</w:t>
      </w:r>
    </w:p>
    <w:bookmarkStart w:id="90" w:name="IntLOric"/>
    <w:p w14:paraId="1C3AA14D" w14:textId="66DB93E8" w:rsidR="00D779F0" w:rsidRPr="00246717" w:rsidRDefault="00150576" w:rsidP="000957D3">
      <w:pPr>
        <w:pStyle w:val="ECHRPara"/>
        <w:rPr>
          <w:lang w:val="pl-PL"/>
        </w:rPr>
      </w:pPr>
      <w:r w:rsidRPr="00246717">
        <w:rPr>
          <w:lang w:val="pl-PL"/>
        </w:rPr>
        <w:fldChar w:fldCharType="begin"/>
      </w:r>
      <w:r w:rsidR="0031127C" w:rsidRPr="00246717">
        <w:rPr>
          <w:lang w:val="pl-PL"/>
        </w:rPr>
        <w:instrText xml:space="preserve"> SEQ level0 \*arabic </w:instrText>
      </w:r>
      <w:r w:rsidRPr="00246717">
        <w:rPr>
          <w:lang w:val="pl-PL"/>
        </w:rPr>
        <w:fldChar w:fldCharType="separate"/>
      </w:r>
      <w:r w:rsidR="0031127C" w:rsidRPr="00246717">
        <w:rPr>
          <w:lang w:val="pl-PL"/>
        </w:rPr>
        <w:t>78</w:t>
      </w:r>
      <w:r w:rsidRPr="00246717">
        <w:rPr>
          <w:lang w:val="pl-PL"/>
        </w:rPr>
        <w:fldChar w:fldCharType="end"/>
      </w:r>
      <w:bookmarkEnd w:id="90"/>
      <w:r w:rsidR="0031127C" w:rsidRPr="00246717">
        <w:rPr>
          <w:lang w:val="pl-PL"/>
        </w:rPr>
        <w:t xml:space="preserve">.  W sprawie </w:t>
      </w:r>
      <w:r w:rsidR="0031127C" w:rsidRPr="00246717">
        <w:rPr>
          <w:i/>
          <w:iCs/>
          <w:lang w:val="pl-PL"/>
        </w:rPr>
        <w:t xml:space="preserve">Prokurator przeciwko </w:t>
      </w:r>
      <w:proofErr w:type="spellStart"/>
      <w:r w:rsidR="0031127C" w:rsidRPr="00246717">
        <w:rPr>
          <w:i/>
          <w:iCs/>
          <w:lang w:val="pl-PL"/>
        </w:rPr>
        <w:t>Orić</w:t>
      </w:r>
      <w:proofErr w:type="spellEnd"/>
      <w:r w:rsidR="0031127C" w:rsidRPr="00246717">
        <w:rPr>
          <w:lang w:val="pl-PL"/>
        </w:rPr>
        <w:t xml:space="preserve"> (</w:t>
      </w:r>
      <w:r w:rsidR="00AE5B2B">
        <w:rPr>
          <w:lang w:val="pl-PL"/>
        </w:rPr>
        <w:t>Postanowienie</w:t>
      </w:r>
      <w:r w:rsidR="003D563F">
        <w:rPr>
          <w:lang w:val="pl-PL"/>
        </w:rPr>
        <w:t xml:space="preserve"> w sprawie długości postępowania obrony w sprawie</w:t>
      </w:r>
      <w:r w:rsidR="0031127C" w:rsidRPr="00246717">
        <w:rPr>
          <w:lang w:val="pl-PL"/>
        </w:rPr>
        <w:t xml:space="preserve">, sprawa nr IT-03-68-AR73.2, </w:t>
      </w:r>
      <w:r w:rsidR="003D563F">
        <w:rPr>
          <w:lang w:val="pl-PL"/>
        </w:rPr>
        <w:t xml:space="preserve">z dnia </w:t>
      </w:r>
      <w:r w:rsidR="0031127C" w:rsidRPr="00246717">
        <w:rPr>
          <w:lang w:val="pl-PL"/>
        </w:rPr>
        <w:t>20 lipca 2005 r.) Izba Odwoławcza MTKJ orzekła, co następuje w przedmiocie przestrzegania równości stron przy wzywaniu i przesłuchiwaniu świadków:</w:t>
      </w:r>
    </w:p>
    <w:p w14:paraId="104AD5A7" w14:textId="0C0C0C96" w:rsidR="00AF6192" w:rsidRPr="00246717" w:rsidRDefault="0031127C" w:rsidP="000957D3">
      <w:pPr>
        <w:pStyle w:val="JuQuotSub"/>
        <w:rPr>
          <w:lang w:val="pl-PL"/>
        </w:rPr>
      </w:pPr>
      <w:r w:rsidRPr="00246717">
        <w:rPr>
          <w:lang w:val="pl-PL"/>
        </w:rPr>
        <w:t>„7.</w:t>
      </w:r>
      <w:r w:rsidR="00384249">
        <w:rPr>
          <w:lang w:val="pl-PL"/>
        </w:rPr>
        <w:t>  </w:t>
      </w:r>
      <w:r w:rsidRPr="00246717">
        <w:rPr>
          <w:lang w:val="pl-PL"/>
        </w:rPr>
        <w:t xml:space="preserve">[...] Izba Odwoławcza od dawna uznaje, że „zasada równości stron pomiędzy prokuratorem a oskarżonym w procesie karnym stanowi istotę gwarancji rzetelnego procesu”. Jako minimum „równość stron zobowiązuje organ sądowy do zagwarantowania, że żadna </w:t>
      </w:r>
      <w:r w:rsidR="00384249">
        <w:rPr>
          <w:lang w:val="pl-PL"/>
        </w:rPr>
        <w:t>ze stron</w:t>
      </w:r>
      <w:r w:rsidRPr="00246717">
        <w:rPr>
          <w:lang w:val="pl-PL"/>
        </w:rPr>
        <w:t xml:space="preserve"> nie zostanie postawiona w niekorzystnej sytuacji przy przedstawianiu </w:t>
      </w:r>
      <w:r w:rsidR="00384249">
        <w:rPr>
          <w:lang w:val="pl-PL"/>
        </w:rPr>
        <w:t>swojej</w:t>
      </w:r>
      <w:r w:rsidRPr="00246717">
        <w:rPr>
          <w:lang w:val="pl-PL"/>
        </w:rPr>
        <w:t xml:space="preserve"> sprawy”, przynajmniej w rozumieniu rzetelności procesowej. Nie oznacza to jednak, że [o]skarżony ma </w:t>
      </w:r>
      <w:r w:rsidR="003F1A17">
        <w:rPr>
          <w:lang w:val="pl-PL"/>
        </w:rPr>
        <w:t>bezwzględne</w:t>
      </w:r>
      <w:r w:rsidR="003F1A17" w:rsidRPr="00246717">
        <w:rPr>
          <w:lang w:val="pl-PL"/>
        </w:rPr>
        <w:t xml:space="preserve"> </w:t>
      </w:r>
      <w:r w:rsidRPr="00246717">
        <w:rPr>
          <w:lang w:val="pl-PL"/>
        </w:rPr>
        <w:t xml:space="preserve">prawo do dokładnie tej samej ilości czasu lub tej samej liczby świadków, co </w:t>
      </w:r>
      <w:r w:rsidR="00384249">
        <w:rPr>
          <w:lang w:val="pl-PL"/>
        </w:rPr>
        <w:t>o</w:t>
      </w:r>
      <w:r w:rsidRPr="00246717">
        <w:rPr>
          <w:lang w:val="pl-PL"/>
        </w:rPr>
        <w:t xml:space="preserve">skarżenie. Na </w:t>
      </w:r>
      <w:r w:rsidR="00384249">
        <w:rPr>
          <w:lang w:val="pl-PL"/>
        </w:rPr>
        <w:t>o</w:t>
      </w:r>
      <w:r w:rsidRPr="00246717">
        <w:rPr>
          <w:lang w:val="pl-PL"/>
        </w:rPr>
        <w:t xml:space="preserve">skarżeniu spoczywa ciężar </w:t>
      </w:r>
      <w:r w:rsidR="003F1A17">
        <w:rPr>
          <w:lang w:val="pl-PL"/>
        </w:rPr>
        <w:t>przedstawienia całokształtu sprawy</w:t>
      </w:r>
      <w:r w:rsidRPr="00246717">
        <w:rPr>
          <w:lang w:val="pl-PL"/>
        </w:rPr>
        <w:t xml:space="preserve">, stworzenia spójnej narracji i </w:t>
      </w:r>
      <w:r w:rsidR="003F1A17">
        <w:rPr>
          <w:lang w:val="pl-PL"/>
        </w:rPr>
        <w:t>wykazania,</w:t>
      </w:r>
      <w:r w:rsidR="003F1A17" w:rsidRPr="00246717">
        <w:rPr>
          <w:lang w:val="pl-PL"/>
        </w:rPr>
        <w:t xml:space="preserve"> </w:t>
      </w:r>
      <w:r w:rsidRPr="00246717">
        <w:rPr>
          <w:lang w:val="pl-PL"/>
        </w:rPr>
        <w:t>ponad wszelką uzasadnioną wątpliwość</w:t>
      </w:r>
      <w:r w:rsidR="003F1A17">
        <w:rPr>
          <w:lang w:val="pl-PL"/>
        </w:rPr>
        <w:t>, że</w:t>
      </w:r>
      <w:r w:rsidRPr="00246717">
        <w:rPr>
          <w:lang w:val="pl-PL"/>
        </w:rPr>
        <w:t xml:space="preserve"> </w:t>
      </w:r>
      <w:r w:rsidR="003F1A17">
        <w:rPr>
          <w:lang w:val="pl-PL"/>
        </w:rPr>
        <w:t>doszło do realizacji każdego znamienia</w:t>
      </w:r>
      <w:r w:rsidRPr="00246717">
        <w:rPr>
          <w:lang w:val="pl-PL"/>
        </w:rPr>
        <w:t xml:space="preserve"> zarzucanych przestępstw. Strategia </w:t>
      </w:r>
      <w:r w:rsidR="00384249">
        <w:rPr>
          <w:lang w:val="pl-PL"/>
        </w:rPr>
        <w:t>o</w:t>
      </w:r>
      <w:r w:rsidRPr="00246717">
        <w:rPr>
          <w:lang w:val="pl-PL"/>
        </w:rPr>
        <w:t xml:space="preserve">brony natomiast często skupia się na wytykaniu precyzyjnie namierzanych luk w sprawie </w:t>
      </w:r>
      <w:r w:rsidR="00384249">
        <w:rPr>
          <w:lang w:val="pl-PL"/>
        </w:rPr>
        <w:t>o</w:t>
      </w:r>
      <w:r w:rsidRPr="00246717">
        <w:rPr>
          <w:lang w:val="pl-PL"/>
        </w:rPr>
        <w:t>skarżenia, gdyż jest to przedsięwzięcie, które może wymagać mniej</w:t>
      </w:r>
      <w:r w:rsidR="00941FDE">
        <w:rPr>
          <w:lang w:val="pl-PL"/>
        </w:rPr>
        <w:t>szego nakładu</w:t>
      </w:r>
      <w:r w:rsidRPr="00246717">
        <w:rPr>
          <w:lang w:val="pl-PL"/>
        </w:rPr>
        <w:t xml:space="preserve"> czasu i mniejszej liczby świadków. Jest to wystarczający powód dla wyjaśnienia, dlaczego zasada podstawowej proporcjonalności, nie zaś ścisła zasada matematycznej równości, zazwyczaj reguluje stosunek czasu i </w:t>
      </w:r>
      <w:r w:rsidR="007B1586">
        <w:rPr>
          <w:lang w:val="pl-PL"/>
        </w:rPr>
        <w:t xml:space="preserve">liczby </w:t>
      </w:r>
      <w:r w:rsidRPr="00246717">
        <w:rPr>
          <w:lang w:val="pl-PL"/>
        </w:rPr>
        <w:t xml:space="preserve">świadków </w:t>
      </w:r>
      <w:r w:rsidR="007B1586">
        <w:rPr>
          <w:lang w:val="pl-PL"/>
        </w:rPr>
        <w:t>wyznaczonych dla</w:t>
      </w:r>
      <w:r w:rsidR="007B1586" w:rsidRPr="00246717">
        <w:rPr>
          <w:lang w:val="pl-PL"/>
        </w:rPr>
        <w:t xml:space="preserve"> </w:t>
      </w:r>
      <w:r w:rsidRPr="00246717">
        <w:rPr>
          <w:lang w:val="pl-PL"/>
        </w:rPr>
        <w:t>obydwu stron”.</w:t>
      </w:r>
    </w:p>
    <w:p w14:paraId="21F31082" w14:textId="454B86BF" w:rsidR="0031127C" w:rsidRPr="00246717" w:rsidRDefault="0031127C" w:rsidP="000957D3">
      <w:pPr>
        <w:pStyle w:val="ECHRPara"/>
        <w:rPr>
          <w:lang w:val="pl-PL"/>
        </w:rPr>
      </w:pPr>
      <w:r w:rsidRPr="00246717">
        <w:rPr>
          <w:lang w:val="pl-PL"/>
        </w:rPr>
        <w:t xml:space="preserve">Stanowisko to znalazło potwierdzenie także w orzeczeniu Izby Odwoławczej MTKR w sprawie </w:t>
      </w:r>
      <w:r w:rsidRPr="00246717">
        <w:rPr>
          <w:i/>
          <w:iCs/>
          <w:lang w:val="pl-PL"/>
        </w:rPr>
        <w:t xml:space="preserve">Prokurator przeciwko </w:t>
      </w:r>
      <w:proofErr w:type="spellStart"/>
      <w:r w:rsidRPr="00246717">
        <w:rPr>
          <w:i/>
          <w:iCs/>
          <w:lang w:val="pl-PL"/>
        </w:rPr>
        <w:t>Nyiramasuhuko</w:t>
      </w:r>
      <w:proofErr w:type="spellEnd"/>
      <w:r w:rsidRPr="00246717">
        <w:rPr>
          <w:i/>
          <w:iCs/>
          <w:lang w:val="pl-PL"/>
        </w:rPr>
        <w:t xml:space="preserve"> i </w:t>
      </w:r>
      <w:r w:rsidR="00384249">
        <w:rPr>
          <w:i/>
          <w:iCs/>
          <w:lang w:val="pl-PL"/>
        </w:rPr>
        <w:t>I</w:t>
      </w:r>
      <w:r w:rsidRPr="00246717">
        <w:rPr>
          <w:i/>
          <w:iCs/>
          <w:lang w:val="pl-PL"/>
        </w:rPr>
        <w:t>n</w:t>
      </w:r>
      <w:r w:rsidR="00384249">
        <w:rPr>
          <w:i/>
          <w:iCs/>
          <w:lang w:val="pl-PL"/>
        </w:rPr>
        <w:t>ni</w:t>
      </w:r>
      <w:r w:rsidRPr="00246717">
        <w:rPr>
          <w:i/>
          <w:iCs/>
          <w:lang w:val="pl-PL"/>
        </w:rPr>
        <w:t>. (</w:t>
      </w:r>
      <w:proofErr w:type="spellStart"/>
      <w:r w:rsidRPr="00966403">
        <w:rPr>
          <w:i/>
          <w:iCs/>
          <w:lang w:val="pl-PL"/>
        </w:rPr>
        <w:t>Butare</w:t>
      </w:r>
      <w:proofErr w:type="spellEnd"/>
      <w:r w:rsidRPr="00966403">
        <w:rPr>
          <w:i/>
          <w:iCs/>
          <w:lang w:val="pl-PL"/>
        </w:rPr>
        <w:t>)</w:t>
      </w:r>
      <w:r w:rsidRPr="00966403">
        <w:rPr>
          <w:lang w:val="pl-PL"/>
        </w:rPr>
        <w:t xml:space="preserve"> (postanowienie w</w:t>
      </w:r>
      <w:r w:rsidRPr="00246717">
        <w:rPr>
          <w:lang w:val="pl-PL"/>
        </w:rPr>
        <w:t xml:space="preserve"> sprawie listy świadków, sprawa nr ICTR-98-42-AR73, 21 sierpnia 2007</w:t>
      </w:r>
      <w:r w:rsidR="00384249">
        <w:rPr>
          <w:lang w:val="pl-PL"/>
        </w:rPr>
        <w:t> </w:t>
      </w:r>
      <w:r w:rsidRPr="00246717">
        <w:rPr>
          <w:lang w:val="pl-PL"/>
        </w:rPr>
        <w:t>r., § 26).</w:t>
      </w:r>
    </w:p>
    <w:p w14:paraId="04CCFE7B" w14:textId="738F61EE" w:rsidR="003C051E" w:rsidRPr="00246717" w:rsidRDefault="00740393" w:rsidP="000957D3">
      <w:pPr>
        <w:pStyle w:val="ECHRHeading2"/>
        <w:rPr>
          <w:lang w:val="pl-PL"/>
        </w:rPr>
      </w:pPr>
      <w:bookmarkStart w:id="91" w:name="_Toc512401299"/>
      <w:bookmarkStart w:id="92" w:name="_Toc512345128"/>
      <w:r w:rsidRPr="00246717">
        <w:rPr>
          <w:lang w:val="pl-PL"/>
        </w:rPr>
        <w:t>B.</w:t>
      </w:r>
      <w:r w:rsidR="00384249">
        <w:rPr>
          <w:lang w:val="pl-PL"/>
        </w:rPr>
        <w:t>  </w:t>
      </w:r>
      <w:proofErr w:type="spellStart"/>
      <w:r w:rsidRPr="00246717">
        <w:rPr>
          <w:lang w:val="pl-PL"/>
        </w:rPr>
        <w:t>Międzyamerykański</w:t>
      </w:r>
      <w:proofErr w:type="spellEnd"/>
      <w:r w:rsidRPr="00246717">
        <w:rPr>
          <w:lang w:val="pl-PL"/>
        </w:rPr>
        <w:t xml:space="preserve"> Trybunał Praw Człowieka</w:t>
      </w:r>
      <w:bookmarkEnd w:id="91"/>
      <w:bookmarkEnd w:id="92"/>
    </w:p>
    <w:p w14:paraId="474B7173" w14:textId="5EACE3EA" w:rsidR="003C051E" w:rsidRPr="00246717" w:rsidRDefault="00150576" w:rsidP="000957D3">
      <w:pPr>
        <w:pStyle w:val="ECHRPara"/>
        <w:rPr>
          <w:lang w:val="pl-PL"/>
        </w:rPr>
      </w:pPr>
      <w:r w:rsidRPr="00246717">
        <w:rPr>
          <w:lang w:val="pl-PL"/>
        </w:rPr>
        <w:fldChar w:fldCharType="begin"/>
      </w:r>
      <w:r w:rsidR="003C051E" w:rsidRPr="00246717">
        <w:rPr>
          <w:lang w:val="pl-PL"/>
        </w:rPr>
        <w:instrText xml:space="preserve"> SEQ level0 \*arabic </w:instrText>
      </w:r>
      <w:r w:rsidRPr="00246717">
        <w:rPr>
          <w:lang w:val="pl-PL"/>
        </w:rPr>
        <w:fldChar w:fldCharType="separate"/>
      </w:r>
      <w:r w:rsidR="003C051E" w:rsidRPr="00246717">
        <w:rPr>
          <w:lang w:val="pl-PL"/>
        </w:rPr>
        <w:t>79</w:t>
      </w:r>
      <w:r w:rsidRPr="00246717">
        <w:rPr>
          <w:lang w:val="pl-PL"/>
        </w:rPr>
        <w:fldChar w:fldCharType="end"/>
      </w:r>
      <w:r w:rsidR="003C051E" w:rsidRPr="00246717">
        <w:rPr>
          <w:lang w:val="pl-PL"/>
        </w:rPr>
        <w:t>.  </w:t>
      </w:r>
      <w:proofErr w:type="spellStart"/>
      <w:r w:rsidR="003C051E" w:rsidRPr="00246717">
        <w:rPr>
          <w:lang w:val="pl-PL"/>
        </w:rPr>
        <w:t>Międzyamerykański</w:t>
      </w:r>
      <w:proofErr w:type="spellEnd"/>
      <w:r w:rsidR="003C051E" w:rsidRPr="00246717">
        <w:rPr>
          <w:lang w:val="pl-PL"/>
        </w:rPr>
        <w:t xml:space="preserve"> Trybunał Praw Człowieka orzeka w sprawach indywidualnych skarg wniesionych na gruncie Amerykańskiej konwencji praw człowieka z 1969</w:t>
      </w:r>
      <w:r w:rsidR="00384249">
        <w:rPr>
          <w:lang w:val="pl-PL"/>
        </w:rPr>
        <w:t> </w:t>
      </w:r>
      <w:r w:rsidR="003C051E" w:rsidRPr="00246717">
        <w:rPr>
          <w:lang w:val="pl-PL"/>
        </w:rPr>
        <w:t>r. W odniesieniu do prawa do przesłuchania świadków Konwencja ta stanowi, co następuje:</w:t>
      </w:r>
    </w:p>
    <w:p w14:paraId="344C2E88" w14:textId="29B07CF9" w:rsidR="003C051E" w:rsidRPr="00246717" w:rsidRDefault="003C051E" w:rsidP="000957D3">
      <w:pPr>
        <w:pStyle w:val="ECHRTitleCentre3"/>
        <w:rPr>
          <w:lang w:val="pl-PL"/>
        </w:rPr>
      </w:pPr>
      <w:bookmarkStart w:id="93" w:name="_Toc512401300"/>
      <w:r w:rsidRPr="00246717">
        <w:rPr>
          <w:bCs/>
          <w:lang w:val="pl-PL"/>
        </w:rPr>
        <w:t>Artykuł</w:t>
      </w:r>
      <w:r w:rsidR="00384249">
        <w:rPr>
          <w:bCs/>
          <w:lang w:val="pl-PL"/>
        </w:rPr>
        <w:t> </w:t>
      </w:r>
      <w:r w:rsidRPr="00246717">
        <w:rPr>
          <w:bCs/>
          <w:lang w:val="pl-PL"/>
        </w:rPr>
        <w:t>8. Prawo do rzetelnego procesu sądowego</w:t>
      </w:r>
      <w:bookmarkEnd w:id="93"/>
    </w:p>
    <w:p w14:paraId="69A1E481" w14:textId="77777777" w:rsidR="003C051E" w:rsidRPr="00246717" w:rsidRDefault="00740393" w:rsidP="000957D3">
      <w:pPr>
        <w:pStyle w:val="JuQuotSub"/>
        <w:rPr>
          <w:lang w:val="pl-PL"/>
        </w:rPr>
      </w:pPr>
      <w:r w:rsidRPr="00246717">
        <w:rPr>
          <w:lang w:val="pl-PL"/>
        </w:rPr>
        <w:t>„1.  Każda osoba ma prawo do bycia wysłuchaną, z należytymi gwarancjami i w rozsądnym czasie, przez właściwy, niezależny i bezstronny trybunał, uprzednio ustanowiony prawem, przy uzasadnianiu wszelkich oskarżeń natury karnej wysuniętych przeciwko niej [...]</w:t>
      </w:r>
    </w:p>
    <w:p w14:paraId="02C8258C" w14:textId="72B724AF" w:rsidR="003C051E" w:rsidRPr="00246717" w:rsidRDefault="00740393" w:rsidP="000957D3">
      <w:pPr>
        <w:pStyle w:val="JuQuotSub"/>
        <w:rPr>
          <w:lang w:val="pl-PL"/>
        </w:rPr>
      </w:pPr>
      <w:r w:rsidRPr="00246717">
        <w:rPr>
          <w:lang w:val="pl-PL"/>
        </w:rPr>
        <w:t>2.</w:t>
      </w:r>
      <w:r w:rsidR="00384249">
        <w:rPr>
          <w:lang w:val="pl-PL"/>
        </w:rPr>
        <w:t>  </w:t>
      </w:r>
      <w:r w:rsidRPr="00246717">
        <w:rPr>
          <w:lang w:val="pl-PL"/>
        </w:rPr>
        <w:t>[...] W trakcie postępowania każda osoba ma prawo, z zachowaniem pełnej równości, do następujących gwarancji minimalnych:</w:t>
      </w:r>
    </w:p>
    <w:p w14:paraId="535528ED" w14:textId="77777777" w:rsidR="008546D9" w:rsidRPr="00246717" w:rsidRDefault="008546D9" w:rsidP="000957D3">
      <w:pPr>
        <w:pStyle w:val="JuQuotSub"/>
        <w:rPr>
          <w:lang w:val="pl-PL"/>
        </w:rPr>
      </w:pPr>
      <w:r w:rsidRPr="00246717">
        <w:rPr>
          <w:lang w:val="pl-PL"/>
        </w:rPr>
        <w:t>[...]</w:t>
      </w:r>
    </w:p>
    <w:p w14:paraId="050FE75E" w14:textId="770751AB" w:rsidR="003C051E" w:rsidRPr="00246717" w:rsidRDefault="00740393" w:rsidP="000957D3">
      <w:pPr>
        <w:pStyle w:val="JuQuotSub"/>
        <w:rPr>
          <w:lang w:val="pl-PL"/>
        </w:rPr>
      </w:pPr>
      <w:r w:rsidRPr="00246717">
        <w:rPr>
          <w:lang w:val="pl-PL"/>
        </w:rPr>
        <w:t>f.</w:t>
      </w:r>
      <w:r w:rsidR="00384249">
        <w:rPr>
          <w:lang w:val="pl-PL"/>
        </w:rPr>
        <w:t>  </w:t>
      </w:r>
      <w:r w:rsidRPr="00246717">
        <w:rPr>
          <w:lang w:val="pl-PL"/>
        </w:rPr>
        <w:t>prawo obrony do przesłuchania świadków obecnych w sądzie i uzyskania stawiennictwa, w charakterze świadków, biegłych lub innych osób, które mogą rzucić światło na fakty [...]”.</w:t>
      </w:r>
    </w:p>
    <w:bookmarkStart w:id="94" w:name="IntLCanese"/>
    <w:p w14:paraId="4E2BAE68" w14:textId="39D67472" w:rsidR="003C051E" w:rsidRPr="00246717" w:rsidRDefault="00150576" w:rsidP="000957D3">
      <w:pPr>
        <w:pStyle w:val="ECHRPara"/>
        <w:rPr>
          <w:lang w:val="pl-PL"/>
        </w:rPr>
      </w:pPr>
      <w:r w:rsidRPr="00246717">
        <w:rPr>
          <w:lang w:val="pl-PL"/>
        </w:rPr>
        <w:lastRenderedPageBreak/>
        <w:fldChar w:fldCharType="begin"/>
      </w:r>
      <w:r w:rsidR="003C051E" w:rsidRPr="00246717">
        <w:rPr>
          <w:lang w:val="pl-PL"/>
        </w:rPr>
        <w:instrText xml:space="preserve"> SEQ level0 \*arabic </w:instrText>
      </w:r>
      <w:r w:rsidRPr="00246717">
        <w:rPr>
          <w:lang w:val="pl-PL"/>
        </w:rPr>
        <w:fldChar w:fldCharType="separate"/>
      </w:r>
      <w:r w:rsidR="003C051E" w:rsidRPr="00246717">
        <w:rPr>
          <w:lang w:val="pl-PL"/>
        </w:rPr>
        <w:t>80</w:t>
      </w:r>
      <w:r w:rsidRPr="00246717">
        <w:rPr>
          <w:lang w:val="pl-PL"/>
        </w:rPr>
        <w:fldChar w:fldCharType="end"/>
      </w:r>
      <w:bookmarkEnd w:id="94"/>
      <w:r w:rsidR="003C051E" w:rsidRPr="00246717">
        <w:rPr>
          <w:lang w:val="pl-PL"/>
        </w:rPr>
        <w:t xml:space="preserve">.  W sprawie </w:t>
      </w:r>
      <w:proofErr w:type="spellStart"/>
      <w:r w:rsidR="003C051E" w:rsidRPr="00246717">
        <w:rPr>
          <w:i/>
          <w:iCs/>
          <w:lang w:val="pl-PL"/>
        </w:rPr>
        <w:t>Canese</w:t>
      </w:r>
      <w:proofErr w:type="spellEnd"/>
      <w:r w:rsidR="003C051E" w:rsidRPr="00246717">
        <w:rPr>
          <w:i/>
          <w:iCs/>
          <w:lang w:val="pl-PL"/>
        </w:rPr>
        <w:t xml:space="preserve"> przeciwko Paragwajowi </w:t>
      </w:r>
      <w:r w:rsidR="003C051E" w:rsidRPr="00246717">
        <w:rPr>
          <w:lang w:val="pl-PL"/>
        </w:rPr>
        <w:t xml:space="preserve">(wyrok </w:t>
      </w:r>
      <w:r w:rsidR="009812E0">
        <w:rPr>
          <w:lang w:val="pl-PL"/>
        </w:rPr>
        <w:t>z dn</w:t>
      </w:r>
      <w:r w:rsidR="00384249">
        <w:rPr>
          <w:lang w:val="pl-PL"/>
        </w:rPr>
        <w:t>ia</w:t>
      </w:r>
      <w:r w:rsidR="009812E0">
        <w:rPr>
          <w:lang w:val="pl-PL"/>
        </w:rPr>
        <w:t xml:space="preserve"> 31 sierpnia 2004</w:t>
      </w:r>
      <w:r w:rsidR="00384249">
        <w:rPr>
          <w:lang w:val="pl-PL"/>
        </w:rPr>
        <w:t> </w:t>
      </w:r>
      <w:r w:rsidR="009812E0">
        <w:rPr>
          <w:lang w:val="pl-PL"/>
        </w:rPr>
        <w:t>r., Seri</w:t>
      </w:r>
      <w:r w:rsidR="003C051E" w:rsidRPr="00246717">
        <w:rPr>
          <w:lang w:val="pl-PL"/>
        </w:rPr>
        <w:t>a C. nr 111, §§ 164</w:t>
      </w:r>
      <w:r w:rsidR="00384249">
        <w:rPr>
          <w:lang w:val="pl-PL"/>
        </w:rPr>
        <w:noBreakHyphen/>
      </w:r>
      <w:r w:rsidR="003C051E" w:rsidRPr="00246717">
        <w:rPr>
          <w:lang w:val="pl-PL"/>
        </w:rPr>
        <w:t xml:space="preserve">65) </w:t>
      </w:r>
      <w:proofErr w:type="spellStart"/>
      <w:r w:rsidR="003C051E" w:rsidRPr="00246717">
        <w:rPr>
          <w:lang w:val="pl-PL"/>
        </w:rPr>
        <w:t>Międzyamerykański</w:t>
      </w:r>
      <w:proofErr w:type="spellEnd"/>
      <w:r w:rsidR="003C051E" w:rsidRPr="00246717">
        <w:rPr>
          <w:lang w:val="pl-PL"/>
        </w:rPr>
        <w:t xml:space="preserve"> Trybu</w:t>
      </w:r>
      <w:r w:rsidR="008237D4">
        <w:rPr>
          <w:lang w:val="pl-PL"/>
        </w:rPr>
        <w:t>n</w:t>
      </w:r>
      <w:r w:rsidR="003C051E" w:rsidRPr="00246717">
        <w:rPr>
          <w:lang w:val="pl-PL"/>
        </w:rPr>
        <w:t>ał stwierdził naruszenie prawa skarżącego do rzetelnego procesu, ponieważ „z</w:t>
      </w:r>
      <w:r w:rsidR="00CD6EC8">
        <w:rPr>
          <w:lang w:val="pl-PL"/>
        </w:rPr>
        <w:t> </w:t>
      </w:r>
      <w:r w:rsidR="003C051E" w:rsidRPr="00246717">
        <w:rPr>
          <w:lang w:val="pl-PL"/>
        </w:rPr>
        <w:t>powodu sądowego zaniedbania [</w:t>
      </w:r>
      <w:r w:rsidR="007B1586">
        <w:rPr>
          <w:lang w:val="pl-PL"/>
        </w:rPr>
        <w:t>na rozprawie</w:t>
      </w:r>
      <w:r w:rsidR="003C051E" w:rsidRPr="00246717">
        <w:rPr>
          <w:lang w:val="pl-PL"/>
        </w:rPr>
        <w:t xml:space="preserve">] </w:t>
      </w:r>
      <w:r w:rsidR="007B1586">
        <w:rPr>
          <w:lang w:val="pl-PL"/>
        </w:rPr>
        <w:t xml:space="preserve">nie przeprowadzono </w:t>
      </w:r>
      <w:r w:rsidR="003C051E" w:rsidRPr="00246717">
        <w:rPr>
          <w:lang w:val="pl-PL"/>
        </w:rPr>
        <w:t xml:space="preserve">dowodów </w:t>
      </w:r>
      <w:r w:rsidR="007B1586">
        <w:rPr>
          <w:lang w:val="pl-PL"/>
        </w:rPr>
        <w:t xml:space="preserve">z </w:t>
      </w:r>
      <w:r w:rsidR="003C051E" w:rsidRPr="00246717">
        <w:rPr>
          <w:lang w:val="pl-PL"/>
        </w:rPr>
        <w:t xml:space="preserve">zeznań, </w:t>
      </w:r>
      <w:r w:rsidR="007B1586">
        <w:rPr>
          <w:lang w:val="pl-PL"/>
        </w:rPr>
        <w:t>tym samym pozbawiając</w:t>
      </w:r>
      <w:r w:rsidR="007B1586" w:rsidRPr="00246717">
        <w:rPr>
          <w:lang w:val="pl-PL"/>
        </w:rPr>
        <w:t xml:space="preserve"> </w:t>
      </w:r>
      <w:r w:rsidR="003C051E" w:rsidRPr="00246717">
        <w:rPr>
          <w:lang w:val="pl-PL"/>
        </w:rPr>
        <w:t>możliwoś</w:t>
      </w:r>
      <w:r w:rsidR="007B1586">
        <w:rPr>
          <w:lang w:val="pl-PL"/>
        </w:rPr>
        <w:t>ci</w:t>
      </w:r>
      <w:r w:rsidR="003C051E" w:rsidRPr="00246717">
        <w:rPr>
          <w:lang w:val="pl-PL"/>
        </w:rPr>
        <w:t xml:space="preserve"> przedstawienia przez p. </w:t>
      </w:r>
      <w:proofErr w:type="spellStart"/>
      <w:r w:rsidR="003C051E" w:rsidRPr="00246717">
        <w:rPr>
          <w:lang w:val="pl-PL"/>
        </w:rPr>
        <w:t>Canese</w:t>
      </w:r>
      <w:proofErr w:type="spellEnd"/>
      <w:r w:rsidR="003C051E" w:rsidRPr="00246717">
        <w:rPr>
          <w:lang w:val="pl-PL"/>
        </w:rPr>
        <w:t xml:space="preserve"> materiału dowodowego </w:t>
      </w:r>
      <w:r w:rsidR="007B1586">
        <w:rPr>
          <w:lang w:val="pl-PL"/>
        </w:rPr>
        <w:t>na swoją</w:t>
      </w:r>
      <w:r w:rsidR="003C051E" w:rsidRPr="00246717">
        <w:rPr>
          <w:lang w:val="pl-PL"/>
        </w:rPr>
        <w:t xml:space="preserve"> obron</w:t>
      </w:r>
      <w:r w:rsidR="007B1586">
        <w:rPr>
          <w:lang w:val="pl-PL"/>
        </w:rPr>
        <w:t>ę</w:t>
      </w:r>
      <w:r w:rsidR="003C051E" w:rsidRPr="00246717">
        <w:rPr>
          <w:lang w:val="pl-PL"/>
        </w:rPr>
        <w:t>, co mogłoby „</w:t>
      </w:r>
      <w:r w:rsidR="007B1586">
        <w:rPr>
          <w:lang w:val="pl-PL"/>
        </w:rPr>
        <w:t>przyczynić się do wyjaśnienia</w:t>
      </w:r>
      <w:r w:rsidR="003C051E" w:rsidRPr="00246717">
        <w:rPr>
          <w:lang w:val="pl-PL"/>
        </w:rPr>
        <w:t xml:space="preserve"> fakt</w:t>
      </w:r>
      <w:r w:rsidR="007B1586">
        <w:rPr>
          <w:lang w:val="pl-PL"/>
        </w:rPr>
        <w:t>ów</w:t>
      </w:r>
      <w:r w:rsidR="003C051E" w:rsidRPr="00246717">
        <w:rPr>
          <w:lang w:val="pl-PL"/>
        </w:rPr>
        <w:t xml:space="preserve">”. Rozstrzygnięcie to </w:t>
      </w:r>
      <w:r w:rsidR="007B1586">
        <w:rPr>
          <w:lang w:val="pl-PL"/>
        </w:rPr>
        <w:t>zapadło</w:t>
      </w:r>
      <w:r w:rsidR="007B1586" w:rsidRPr="00246717">
        <w:rPr>
          <w:lang w:val="pl-PL"/>
        </w:rPr>
        <w:t xml:space="preserve"> </w:t>
      </w:r>
      <w:r w:rsidR="003C051E" w:rsidRPr="00246717">
        <w:rPr>
          <w:lang w:val="pl-PL"/>
        </w:rPr>
        <w:t>w odniesieniu do faktu, zgodnie z</w:t>
      </w:r>
      <w:r w:rsidR="00CD6EC8">
        <w:rPr>
          <w:lang w:val="pl-PL"/>
        </w:rPr>
        <w:t> </w:t>
      </w:r>
      <w:r w:rsidR="003C051E" w:rsidRPr="00246717">
        <w:rPr>
          <w:lang w:val="pl-PL"/>
        </w:rPr>
        <w:t xml:space="preserve">którym oskarżonemu nie zezwolono na </w:t>
      </w:r>
      <w:r w:rsidR="007B1586">
        <w:rPr>
          <w:lang w:val="pl-PL"/>
        </w:rPr>
        <w:t xml:space="preserve">przeprowadzenie dowodu z zeznań </w:t>
      </w:r>
      <w:r w:rsidR="003C051E" w:rsidRPr="00246717">
        <w:rPr>
          <w:lang w:val="pl-PL"/>
        </w:rPr>
        <w:t>innych osób, które jako świadkowie i biegli sądowi, mogły „</w:t>
      </w:r>
      <w:r w:rsidR="007B1586">
        <w:rPr>
          <w:lang w:val="pl-PL"/>
        </w:rPr>
        <w:t>przyczynić się do wyjaśnienia</w:t>
      </w:r>
      <w:r w:rsidR="003C051E" w:rsidRPr="00246717">
        <w:rPr>
          <w:lang w:val="pl-PL"/>
        </w:rPr>
        <w:t xml:space="preserve"> fakt</w:t>
      </w:r>
      <w:r w:rsidR="007B1586">
        <w:rPr>
          <w:lang w:val="pl-PL"/>
        </w:rPr>
        <w:t>ów</w:t>
      </w:r>
      <w:r w:rsidR="003C051E" w:rsidRPr="00246717">
        <w:rPr>
          <w:lang w:val="pl-PL"/>
        </w:rPr>
        <w:t xml:space="preserve">” oraz że w trakcie postępowania przed sądem pierwszej instancji, po wydaniu </w:t>
      </w:r>
      <w:r w:rsidR="007B1586">
        <w:rPr>
          <w:lang w:val="pl-PL"/>
        </w:rPr>
        <w:t xml:space="preserve">wezwania do stawiennictwa </w:t>
      </w:r>
      <w:r w:rsidR="003C051E" w:rsidRPr="00246717">
        <w:rPr>
          <w:lang w:val="pl-PL"/>
        </w:rPr>
        <w:t xml:space="preserve">świadków </w:t>
      </w:r>
      <w:r w:rsidR="00BA7BEB">
        <w:rPr>
          <w:lang w:val="pl-PL"/>
        </w:rPr>
        <w:t>wskazanych</w:t>
      </w:r>
      <w:r w:rsidR="00BA7BEB" w:rsidRPr="00246717">
        <w:rPr>
          <w:lang w:val="pl-PL"/>
        </w:rPr>
        <w:t xml:space="preserve"> </w:t>
      </w:r>
      <w:r w:rsidR="003C051E" w:rsidRPr="00246717">
        <w:rPr>
          <w:lang w:val="pl-PL"/>
        </w:rPr>
        <w:t xml:space="preserve">przez </w:t>
      </w:r>
      <w:r w:rsidR="007B1586">
        <w:rPr>
          <w:lang w:val="pl-PL"/>
        </w:rPr>
        <w:t>oskarżonego</w:t>
      </w:r>
      <w:r w:rsidR="003C051E" w:rsidRPr="00246717">
        <w:rPr>
          <w:lang w:val="pl-PL"/>
        </w:rPr>
        <w:t xml:space="preserve">, sędzia </w:t>
      </w:r>
      <w:r w:rsidR="00CB57CF">
        <w:rPr>
          <w:lang w:val="pl-PL"/>
        </w:rPr>
        <w:t>postanowienie to uchylił</w:t>
      </w:r>
      <w:r w:rsidR="003C051E" w:rsidRPr="00246717">
        <w:rPr>
          <w:lang w:val="pl-PL"/>
        </w:rPr>
        <w:t xml:space="preserve"> i </w:t>
      </w:r>
      <w:r w:rsidR="00CB57CF">
        <w:rPr>
          <w:lang w:val="pl-PL"/>
        </w:rPr>
        <w:t>zarządził</w:t>
      </w:r>
      <w:r w:rsidR="00CB57CF" w:rsidRPr="00246717">
        <w:rPr>
          <w:lang w:val="pl-PL"/>
        </w:rPr>
        <w:t xml:space="preserve"> </w:t>
      </w:r>
      <w:r w:rsidR="003C051E" w:rsidRPr="00246717">
        <w:rPr>
          <w:lang w:val="pl-PL"/>
        </w:rPr>
        <w:t xml:space="preserve">zamknięcie </w:t>
      </w:r>
      <w:r w:rsidR="00CB57CF">
        <w:rPr>
          <w:lang w:val="pl-PL"/>
        </w:rPr>
        <w:t>postępowania</w:t>
      </w:r>
      <w:r w:rsidR="00CB57CF" w:rsidRPr="00246717">
        <w:rPr>
          <w:lang w:val="pl-PL"/>
        </w:rPr>
        <w:t xml:space="preserve"> </w:t>
      </w:r>
      <w:r w:rsidR="003C051E" w:rsidRPr="00246717">
        <w:rPr>
          <w:lang w:val="pl-PL"/>
        </w:rPr>
        <w:t>dowodowego.</w:t>
      </w:r>
    </w:p>
    <w:bookmarkStart w:id="95" w:name="IntLNorinCatriman"/>
    <w:p w14:paraId="7CCE9A87" w14:textId="444132D4" w:rsidR="003C051E" w:rsidRPr="00246717" w:rsidRDefault="00150576" w:rsidP="000957D3">
      <w:pPr>
        <w:pStyle w:val="ECHRPara"/>
        <w:rPr>
          <w:lang w:val="pl-PL"/>
        </w:rPr>
      </w:pPr>
      <w:r w:rsidRPr="00246717">
        <w:rPr>
          <w:lang w:val="pl-PL"/>
        </w:rPr>
        <w:fldChar w:fldCharType="begin"/>
      </w:r>
      <w:r w:rsidR="003C051E" w:rsidRPr="00246717">
        <w:rPr>
          <w:lang w:val="pl-PL"/>
        </w:rPr>
        <w:instrText xml:space="preserve"> SEQ level0 \*arabic </w:instrText>
      </w:r>
      <w:r w:rsidRPr="00246717">
        <w:rPr>
          <w:lang w:val="pl-PL"/>
        </w:rPr>
        <w:fldChar w:fldCharType="separate"/>
      </w:r>
      <w:r w:rsidR="003C051E" w:rsidRPr="00246717">
        <w:rPr>
          <w:lang w:val="pl-PL"/>
        </w:rPr>
        <w:t>81</w:t>
      </w:r>
      <w:r w:rsidRPr="00246717">
        <w:rPr>
          <w:lang w:val="pl-PL"/>
        </w:rPr>
        <w:fldChar w:fldCharType="end"/>
      </w:r>
      <w:bookmarkEnd w:id="95"/>
      <w:r w:rsidR="003C051E" w:rsidRPr="00246717">
        <w:rPr>
          <w:lang w:val="pl-PL"/>
        </w:rPr>
        <w:t xml:space="preserve">.  W sprawie </w:t>
      </w:r>
      <w:proofErr w:type="spellStart"/>
      <w:r w:rsidR="003C051E" w:rsidRPr="00246717">
        <w:rPr>
          <w:i/>
          <w:iCs/>
          <w:lang w:val="pl-PL"/>
        </w:rPr>
        <w:t>Norín</w:t>
      </w:r>
      <w:proofErr w:type="spellEnd"/>
      <w:r w:rsidR="003C051E" w:rsidRPr="00246717">
        <w:rPr>
          <w:i/>
          <w:iCs/>
          <w:lang w:val="pl-PL"/>
        </w:rPr>
        <w:t xml:space="preserve"> </w:t>
      </w:r>
      <w:proofErr w:type="spellStart"/>
      <w:r w:rsidR="003C051E" w:rsidRPr="00246717">
        <w:rPr>
          <w:i/>
          <w:iCs/>
          <w:lang w:val="pl-PL"/>
        </w:rPr>
        <w:t>Catrimán</w:t>
      </w:r>
      <w:proofErr w:type="spellEnd"/>
      <w:r w:rsidR="003C051E" w:rsidRPr="00246717">
        <w:rPr>
          <w:i/>
          <w:iCs/>
          <w:lang w:val="pl-PL"/>
        </w:rPr>
        <w:t xml:space="preserve"> i </w:t>
      </w:r>
      <w:r w:rsidR="00BA7BEB">
        <w:rPr>
          <w:i/>
          <w:iCs/>
          <w:lang w:val="pl-PL"/>
        </w:rPr>
        <w:t>Inni</w:t>
      </w:r>
      <w:r w:rsidR="003C051E" w:rsidRPr="00246717">
        <w:rPr>
          <w:i/>
          <w:iCs/>
          <w:lang w:val="pl-PL"/>
        </w:rPr>
        <w:t xml:space="preserve"> przeciwko Chile </w:t>
      </w:r>
      <w:r w:rsidR="003C051E" w:rsidRPr="00246717">
        <w:rPr>
          <w:lang w:val="pl-PL"/>
        </w:rPr>
        <w:t>(wyrok z dn</w:t>
      </w:r>
      <w:r w:rsidR="00BA7BEB">
        <w:rPr>
          <w:lang w:val="pl-PL"/>
        </w:rPr>
        <w:t>ia</w:t>
      </w:r>
      <w:r w:rsidR="003C051E" w:rsidRPr="00246717">
        <w:rPr>
          <w:lang w:val="pl-PL"/>
        </w:rPr>
        <w:t xml:space="preserve"> 29 maja 2014</w:t>
      </w:r>
      <w:r w:rsidR="00BA7BEB">
        <w:rPr>
          <w:lang w:val="pl-PL"/>
        </w:rPr>
        <w:t> </w:t>
      </w:r>
      <w:r w:rsidR="003C051E" w:rsidRPr="00246717">
        <w:rPr>
          <w:lang w:val="pl-PL"/>
        </w:rPr>
        <w:t>r., Seria C nr</w:t>
      </w:r>
      <w:r w:rsidR="00BA7BEB">
        <w:rPr>
          <w:lang w:val="pl-PL"/>
        </w:rPr>
        <w:t> </w:t>
      </w:r>
      <w:r w:rsidR="003C051E" w:rsidRPr="00246717">
        <w:rPr>
          <w:lang w:val="pl-PL"/>
        </w:rPr>
        <w:t xml:space="preserve">279, § 249) </w:t>
      </w:r>
      <w:proofErr w:type="spellStart"/>
      <w:r w:rsidR="003C051E" w:rsidRPr="00246717">
        <w:rPr>
          <w:lang w:val="pl-PL"/>
        </w:rPr>
        <w:t>Międzyamerykański</w:t>
      </w:r>
      <w:proofErr w:type="spellEnd"/>
      <w:r w:rsidR="003C051E" w:rsidRPr="00246717">
        <w:rPr>
          <w:lang w:val="pl-PL"/>
        </w:rPr>
        <w:t xml:space="preserve"> Trybunał, </w:t>
      </w:r>
      <w:r w:rsidR="00CB57CF">
        <w:rPr>
          <w:lang w:val="pl-PL"/>
        </w:rPr>
        <w:t>do</w:t>
      </w:r>
      <w:r w:rsidR="00CB57CF" w:rsidRPr="00246717">
        <w:rPr>
          <w:lang w:val="pl-PL"/>
        </w:rPr>
        <w:t xml:space="preserve"> </w:t>
      </w:r>
      <w:r w:rsidR="003C051E" w:rsidRPr="00246717">
        <w:rPr>
          <w:lang w:val="pl-PL"/>
        </w:rPr>
        <w:t>któr</w:t>
      </w:r>
      <w:r w:rsidR="00CB57CF">
        <w:rPr>
          <w:lang w:val="pl-PL"/>
        </w:rPr>
        <w:t>ego</w:t>
      </w:r>
      <w:r w:rsidR="003C051E" w:rsidRPr="00246717">
        <w:rPr>
          <w:lang w:val="pl-PL"/>
        </w:rPr>
        <w:t xml:space="preserve"> </w:t>
      </w:r>
      <w:r w:rsidR="00CB57CF">
        <w:rPr>
          <w:lang w:val="pl-PL"/>
        </w:rPr>
        <w:t>złożono</w:t>
      </w:r>
      <w:r w:rsidR="00CB57CF" w:rsidRPr="00246717">
        <w:rPr>
          <w:lang w:val="pl-PL"/>
        </w:rPr>
        <w:t xml:space="preserve"> </w:t>
      </w:r>
      <w:r w:rsidR="003C051E" w:rsidRPr="00246717">
        <w:rPr>
          <w:lang w:val="pl-PL"/>
        </w:rPr>
        <w:t xml:space="preserve">kilka wniosków dotyczących wyłącznego i niezweryfikowanego wykorzystania zeznań anonimowych świadków na </w:t>
      </w:r>
      <w:r w:rsidR="00CB57CF">
        <w:rPr>
          <w:lang w:val="pl-PL"/>
        </w:rPr>
        <w:t>rozprawach</w:t>
      </w:r>
      <w:r w:rsidR="003C051E" w:rsidRPr="00246717">
        <w:rPr>
          <w:lang w:val="pl-PL"/>
        </w:rPr>
        <w:t xml:space="preserve">, wskazał między innymi, </w:t>
      </w:r>
      <w:r w:rsidR="00CB57CF">
        <w:rPr>
          <w:lang w:val="pl-PL"/>
        </w:rPr>
        <w:t>przytaczając</w:t>
      </w:r>
      <w:r w:rsidR="003C051E" w:rsidRPr="00246717">
        <w:rPr>
          <w:lang w:val="pl-PL"/>
        </w:rPr>
        <w:t xml:space="preserve"> orzecznictwo niniejszego Trybunału, że wykorzystywanie anonimowych zeznań świadków </w:t>
      </w:r>
      <w:r w:rsidR="00CB57CF">
        <w:rPr>
          <w:lang w:val="pl-PL"/>
        </w:rPr>
        <w:t>wymaga</w:t>
      </w:r>
      <w:r w:rsidR="003C051E" w:rsidRPr="00246717">
        <w:rPr>
          <w:lang w:val="pl-PL"/>
        </w:rPr>
        <w:t xml:space="preserve"> kontroli sądowej i </w:t>
      </w:r>
      <w:r w:rsidR="00CB57CF" w:rsidRPr="00246717">
        <w:rPr>
          <w:lang w:val="pl-PL"/>
        </w:rPr>
        <w:t>rekompensa</w:t>
      </w:r>
      <w:r w:rsidR="00CB57CF">
        <w:rPr>
          <w:lang w:val="pl-PL"/>
        </w:rPr>
        <w:t>ty</w:t>
      </w:r>
      <w:r w:rsidR="00CB57CF" w:rsidRPr="00246717">
        <w:rPr>
          <w:lang w:val="pl-PL"/>
        </w:rPr>
        <w:t xml:space="preserve"> </w:t>
      </w:r>
      <w:r w:rsidR="003C051E" w:rsidRPr="00246717">
        <w:rPr>
          <w:lang w:val="pl-PL"/>
        </w:rPr>
        <w:t xml:space="preserve">w postaci środków równoważących, </w:t>
      </w:r>
      <w:r w:rsidR="00CB57CF" w:rsidRPr="00246717">
        <w:rPr>
          <w:lang w:val="pl-PL"/>
        </w:rPr>
        <w:t>ostrożne</w:t>
      </w:r>
      <w:r w:rsidR="00CB57CF">
        <w:rPr>
          <w:lang w:val="pl-PL"/>
        </w:rPr>
        <w:t>go</w:t>
      </w:r>
      <w:r w:rsidR="00CB57CF" w:rsidRPr="00246717">
        <w:rPr>
          <w:lang w:val="pl-PL"/>
        </w:rPr>
        <w:t xml:space="preserve"> </w:t>
      </w:r>
      <w:r w:rsidR="00CB57CF">
        <w:rPr>
          <w:lang w:val="pl-PL"/>
        </w:rPr>
        <w:t>podejścia do</w:t>
      </w:r>
      <w:r w:rsidR="00CB57CF" w:rsidRPr="00246717">
        <w:rPr>
          <w:lang w:val="pl-PL"/>
        </w:rPr>
        <w:t xml:space="preserve"> </w:t>
      </w:r>
      <w:r w:rsidR="003C051E" w:rsidRPr="00246717">
        <w:rPr>
          <w:lang w:val="pl-PL"/>
        </w:rPr>
        <w:t>takiego zeznania</w:t>
      </w:r>
      <w:r w:rsidR="00CB57CF">
        <w:rPr>
          <w:lang w:val="pl-PL"/>
        </w:rPr>
        <w:t>, a także</w:t>
      </w:r>
      <w:r w:rsidR="003C051E" w:rsidRPr="00246717">
        <w:rPr>
          <w:lang w:val="pl-PL"/>
        </w:rPr>
        <w:t xml:space="preserve"> dostępności towarzyszących mu i </w:t>
      </w:r>
      <w:r w:rsidR="00CB57CF">
        <w:rPr>
          <w:lang w:val="pl-PL"/>
        </w:rPr>
        <w:t>potwierdzających</w:t>
      </w:r>
      <w:r w:rsidR="00CB57CF" w:rsidRPr="00246717">
        <w:rPr>
          <w:lang w:val="pl-PL"/>
        </w:rPr>
        <w:t xml:space="preserve"> </w:t>
      </w:r>
      <w:r w:rsidR="003C051E" w:rsidRPr="00246717">
        <w:rPr>
          <w:lang w:val="pl-PL"/>
        </w:rPr>
        <w:t>je dowodów. W odniesieniu do jednego ze skarżących stwierdził, że „nie dysponował</w:t>
      </w:r>
      <w:r w:rsidR="00537F92">
        <w:rPr>
          <w:lang w:val="pl-PL"/>
        </w:rPr>
        <w:t xml:space="preserve"> on</w:t>
      </w:r>
      <w:r w:rsidR="003C051E" w:rsidRPr="00246717">
        <w:rPr>
          <w:lang w:val="pl-PL"/>
        </w:rPr>
        <w:t xml:space="preserve"> środkami dowodowymi” w tej sprawie, ponieważ jego uzasadniony i konkretny wniosek o wezwanie dwóch świadków obrony został początkowo uwzględniony przez sędziego </w:t>
      </w:r>
      <w:r w:rsidR="00537F92">
        <w:rPr>
          <w:lang w:val="pl-PL"/>
        </w:rPr>
        <w:t>nadzorującego postępowanie przygotowawcze</w:t>
      </w:r>
      <w:r w:rsidR="003C051E" w:rsidRPr="00246717">
        <w:rPr>
          <w:lang w:val="pl-PL"/>
        </w:rPr>
        <w:t xml:space="preserve">, jednak nie został wykonany z powodu odmowy stawiennictwa świadka. </w:t>
      </w:r>
      <w:r w:rsidR="00CB57CF">
        <w:rPr>
          <w:lang w:val="pl-PL"/>
        </w:rPr>
        <w:t>Ponieważ o</w:t>
      </w:r>
      <w:r w:rsidR="003C051E" w:rsidRPr="00246717">
        <w:rPr>
          <w:lang w:val="pl-PL"/>
        </w:rPr>
        <w:t xml:space="preserve">d świadków obrony </w:t>
      </w:r>
      <w:r w:rsidR="00CB57CF">
        <w:rPr>
          <w:lang w:val="pl-PL"/>
        </w:rPr>
        <w:t>nie przyjęto żadnych zeznań, a</w:t>
      </w:r>
      <w:r w:rsidR="003C051E" w:rsidRPr="00246717">
        <w:rPr>
          <w:lang w:val="pl-PL"/>
        </w:rPr>
        <w:t xml:space="preserve"> skarżąc</w:t>
      </w:r>
      <w:r w:rsidR="00CB57CF">
        <w:rPr>
          <w:lang w:val="pl-PL"/>
        </w:rPr>
        <w:t>ego</w:t>
      </w:r>
      <w:r w:rsidR="003C051E" w:rsidRPr="00246717">
        <w:rPr>
          <w:lang w:val="pl-PL"/>
        </w:rPr>
        <w:t xml:space="preserve"> </w:t>
      </w:r>
      <w:r w:rsidR="00CB57CF">
        <w:rPr>
          <w:lang w:val="pl-PL"/>
        </w:rPr>
        <w:t>uznano za winnego</w:t>
      </w:r>
      <w:r w:rsidR="003C051E" w:rsidRPr="00246717">
        <w:rPr>
          <w:lang w:val="pl-PL"/>
        </w:rPr>
        <w:t xml:space="preserve"> na podstawie zeznania jednego z trzech anonimowych świadków nieobecnych na </w:t>
      </w:r>
      <w:r w:rsidR="00EA71AA">
        <w:rPr>
          <w:lang w:val="pl-PL"/>
        </w:rPr>
        <w:t>rozprawie</w:t>
      </w:r>
      <w:r w:rsidR="003C051E" w:rsidRPr="00246717">
        <w:rPr>
          <w:lang w:val="pl-PL"/>
        </w:rPr>
        <w:t xml:space="preserve">, </w:t>
      </w:r>
      <w:proofErr w:type="spellStart"/>
      <w:r w:rsidR="003C051E" w:rsidRPr="00246717">
        <w:rPr>
          <w:lang w:val="pl-PL"/>
        </w:rPr>
        <w:t>Międzyamerykański</w:t>
      </w:r>
      <w:proofErr w:type="spellEnd"/>
      <w:r w:rsidR="003C051E" w:rsidRPr="00246717">
        <w:rPr>
          <w:lang w:val="pl-PL"/>
        </w:rPr>
        <w:t xml:space="preserve"> Trybunał uznał, że </w:t>
      </w:r>
      <w:r w:rsidR="00CB57CF">
        <w:rPr>
          <w:lang w:val="pl-PL"/>
        </w:rPr>
        <w:t xml:space="preserve">doszło do naruszenia </w:t>
      </w:r>
      <w:r w:rsidR="003C051E" w:rsidRPr="00246717">
        <w:rPr>
          <w:lang w:val="pl-PL"/>
        </w:rPr>
        <w:t>praw</w:t>
      </w:r>
      <w:r w:rsidR="00CB57CF">
        <w:rPr>
          <w:lang w:val="pl-PL"/>
        </w:rPr>
        <w:t>a</w:t>
      </w:r>
      <w:r w:rsidR="003C051E" w:rsidRPr="00246717">
        <w:rPr>
          <w:lang w:val="pl-PL"/>
        </w:rPr>
        <w:t xml:space="preserve"> przewidziane</w:t>
      </w:r>
      <w:r w:rsidR="00CB57CF">
        <w:rPr>
          <w:lang w:val="pl-PL"/>
        </w:rPr>
        <w:t>go</w:t>
      </w:r>
      <w:r w:rsidR="003C051E" w:rsidRPr="00246717">
        <w:rPr>
          <w:lang w:val="pl-PL"/>
        </w:rPr>
        <w:t xml:space="preserve"> w art.</w:t>
      </w:r>
      <w:r w:rsidR="00CD6EC8">
        <w:rPr>
          <w:lang w:val="pl-PL"/>
        </w:rPr>
        <w:t> </w:t>
      </w:r>
      <w:r w:rsidR="003C051E" w:rsidRPr="00246717">
        <w:rPr>
          <w:lang w:val="pl-PL"/>
        </w:rPr>
        <w:t>8 ust.</w:t>
      </w:r>
      <w:r w:rsidR="00CD6EC8">
        <w:rPr>
          <w:lang w:val="pl-PL"/>
        </w:rPr>
        <w:t> </w:t>
      </w:r>
      <w:r w:rsidR="003C051E" w:rsidRPr="00246717">
        <w:rPr>
          <w:lang w:val="pl-PL"/>
        </w:rPr>
        <w:t>2 lit.</w:t>
      </w:r>
      <w:r w:rsidR="00CD6EC8">
        <w:rPr>
          <w:lang w:val="pl-PL"/>
        </w:rPr>
        <w:t> </w:t>
      </w:r>
      <w:r w:rsidR="003C051E" w:rsidRPr="00246717">
        <w:rPr>
          <w:lang w:val="pl-PL"/>
        </w:rPr>
        <w:t xml:space="preserve">f) </w:t>
      </w:r>
      <w:r w:rsidR="005F715B">
        <w:rPr>
          <w:lang w:val="pl-PL"/>
        </w:rPr>
        <w:t>A</w:t>
      </w:r>
      <w:r w:rsidR="003C051E" w:rsidRPr="00246717">
        <w:rPr>
          <w:lang w:val="pl-PL"/>
        </w:rPr>
        <w:t>merykańskiej konwencji (§§ 258</w:t>
      </w:r>
      <w:r w:rsidR="003C051E" w:rsidRPr="00246717">
        <w:rPr>
          <w:lang w:val="pl-PL"/>
        </w:rPr>
        <w:noBreakHyphen/>
        <w:t>59).</w:t>
      </w:r>
    </w:p>
    <w:p w14:paraId="1D0B2994" w14:textId="77777777" w:rsidR="00014566" w:rsidRPr="00246717" w:rsidRDefault="00014566" w:rsidP="000957D3">
      <w:pPr>
        <w:pStyle w:val="ECHRTitle1"/>
        <w:rPr>
          <w:lang w:val="pl-PL"/>
        </w:rPr>
      </w:pPr>
      <w:bookmarkStart w:id="96" w:name="_Toc512345129"/>
      <w:bookmarkStart w:id="97" w:name="_Toc512401301"/>
      <w:r w:rsidRPr="00246717">
        <w:rPr>
          <w:lang w:val="pl-PL"/>
        </w:rPr>
        <w:t>PRAWO</w:t>
      </w:r>
      <w:bookmarkEnd w:id="96"/>
      <w:bookmarkEnd w:id="97"/>
    </w:p>
    <w:p w14:paraId="5046C20B" w14:textId="3C0356B3" w:rsidR="00014566" w:rsidRPr="00246717" w:rsidRDefault="00014566" w:rsidP="000957D3">
      <w:pPr>
        <w:pStyle w:val="ECHRHeading1"/>
        <w:rPr>
          <w:lang w:val="pl-PL"/>
        </w:rPr>
      </w:pPr>
      <w:bookmarkStart w:id="98" w:name="_Toc512401302"/>
      <w:bookmarkStart w:id="99" w:name="_Toc512345130"/>
      <w:r w:rsidRPr="00246717">
        <w:rPr>
          <w:bCs w:val="0"/>
          <w:lang w:val="pl-PL"/>
        </w:rPr>
        <w:t>I.  </w:t>
      </w:r>
      <w:r w:rsidR="00CB57CF">
        <w:rPr>
          <w:bCs w:val="0"/>
          <w:lang w:val="pl-PL"/>
        </w:rPr>
        <w:t>ZARZUCANE</w:t>
      </w:r>
      <w:r w:rsidR="00CB57CF" w:rsidRPr="00246717">
        <w:rPr>
          <w:bCs w:val="0"/>
          <w:lang w:val="pl-PL"/>
        </w:rPr>
        <w:t xml:space="preserve"> </w:t>
      </w:r>
      <w:r w:rsidRPr="00246717">
        <w:rPr>
          <w:bCs w:val="0"/>
          <w:lang w:val="pl-PL"/>
        </w:rPr>
        <w:t>NARUSZENIE ART.</w:t>
      </w:r>
      <w:r w:rsidR="005F715B">
        <w:rPr>
          <w:bCs w:val="0"/>
          <w:lang w:val="pl-PL"/>
        </w:rPr>
        <w:t> </w:t>
      </w:r>
      <w:r w:rsidRPr="00246717">
        <w:rPr>
          <w:bCs w:val="0"/>
          <w:lang w:val="pl-PL"/>
        </w:rPr>
        <w:t>6 UST.</w:t>
      </w:r>
      <w:r w:rsidR="005F715B">
        <w:rPr>
          <w:bCs w:val="0"/>
          <w:lang w:val="pl-PL"/>
        </w:rPr>
        <w:t> </w:t>
      </w:r>
      <w:r w:rsidRPr="00246717">
        <w:rPr>
          <w:bCs w:val="0"/>
          <w:lang w:val="pl-PL"/>
        </w:rPr>
        <w:t>1 i 3 LIT.</w:t>
      </w:r>
      <w:r w:rsidR="005F715B">
        <w:rPr>
          <w:bCs w:val="0"/>
          <w:lang w:val="pl-PL"/>
        </w:rPr>
        <w:t> </w:t>
      </w:r>
      <w:r w:rsidRPr="00246717">
        <w:rPr>
          <w:bCs w:val="0"/>
          <w:lang w:val="pl-PL"/>
        </w:rPr>
        <w:t>b KONWENCJI</w:t>
      </w:r>
      <w:bookmarkEnd w:id="98"/>
      <w:bookmarkEnd w:id="99"/>
      <w:r w:rsidRPr="00246717">
        <w:rPr>
          <w:bCs w:val="0"/>
          <w:lang w:val="pl-PL"/>
        </w:rPr>
        <w:t xml:space="preserve"> W </w:t>
      </w:r>
      <w:r w:rsidR="00CB57CF">
        <w:rPr>
          <w:bCs w:val="0"/>
          <w:lang w:val="pl-PL"/>
        </w:rPr>
        <w:t>ZWIĄZKU Z</w:t>
      </w:r>
      <w:r w:rsidRPr="00246717">
        <w:rPr>
          <w:bCs w:val="0"/>
          <w:lang w:val="pl-PL"/>
        </w:rPr>
        <w:t xml:space="preserve"> OBEJRZENI</w:t>
      </w:r>
      <w:r w:rsidR="00CB57CF">
        <w:rPr>
          <w:bCs w:val="0"/>
          <w:lang w:val="pl-PL"/>
        </w:rPr>
        <w:t>EM</w:t>
      </w:r>
      <w:r w:rsidRPr="00246717">
        <w:rPr>
          <w:bCs w:val="0"/>
          <w:lang w:val="pl-PL"/>
        </w:rPr>
        <w:t xml:space="preserve"> TAŚMY WIDEO</w:t>
      </w:r>
    </w:p>
    <w:p w14:paraId="458F1170" w14:textId="6EFECBF7" w:rsidR="00014566" w:rsidRPr="00246717" w:rsidRDefault="00150576" w:rsidP="000957D3">
      <w:pPr>
        <w:pStyle w:val="ECHRPara"/>
        <w:rPr>
          <w:lang w:val="pl-PL"/>
        </w:rPr>
      </w:pPr>
      <w:r w:rsidRPr="00246717">
        <w:rPr>
          <w:lang w:val="pl-PL"/>
        </w:rPr>
        <w:fldChar w:fldCharType="begin"/>
      </w:r>
      <w:r w:rsidR="00A44391" w:rsidRPr="00246717">
        <w:rPr>
          <w:lang w:val="pl-PL"/>
        </w:rPr>
        <w:instrText xml:space="preserve"> SEQ level0 \*arabic </w:instrText>
      </w:r>
      <w:r w:rsidRPr="00246717">
        <w:rPr>
          <w:lang w:val="pl-PL"/>
        </w:rPr>
        <w:fldChar w:fldCharType="separate"/>
      </w:r>
      <w:r w:rsidR="00A44391" w:rsidRPr="00246717">
        <w:rPr>
          <w:lang w:val="pl-PL"/>
        </w:rPr>
        <w:t>82</w:t>
      </w:r>
      <w:r w:rsidRPr="00246717">
        <w:rPr>
          <w:lang w:val="pl-PL"/>
        </w:rPr>
        <w:fldChar w:fldCharType="end"/>
      </w:r>
      <w:r w:rsidR="00A44391" w:rsidRPr="00246717">
        <w:rPr>
          <w:lang w:val="pl-PL"/>
        </w:rPr>
        <w:t xml:space="preserve">.  Skarżąca </w:t>
      </w:r>
      <w:r w:rsidR="00CB57CF">
        <w:rPr>
          <w:lang w:val="pl-PL"/>
        </w:rPr>
        <w:t>zarzuciła,</w:t>
      </w:r>
      <w:r w:rsidR="00A44391" w:rsidRPr="00246717">
        <w:rPr>
          <w:lang w:val="pl-PL"/>
        </w:rPr>
        <w:t xml:space="preserve"> na gruncie art.</w:t>
      </w:r>
      <w:r w:rsidR="005F715B">
        <w:rPr>
          <w:lang w:val="pl-PL"/>
        </w:rPr>
        <w:t> </w:t>
      </w:r>
      <w:r w:rsidR="00A44391" w:rsidRPr="00246717">
        <w:rPr>
          <w:lang w:val="pl-PL"/>
        </w:rPr>
        <w:t>6 ust.</w:t>
      </w:r>
      <w:r w:rsidR="005F715B">
        <w:rPr>
          <w:lang w:val="pl-PL"/>
        </w:rPr>
        <w:t> </w:t>
      </w:r>
      <w:r w:rsidR="00A44391" w:rsidRPr="00246717">
        <w:rPr>
          <w:lang w:val="pl-PL"/>
        </w:rPr>
        <w:t>1 i 3 lit.</w:t>
      </w:r>
      <w:r w:rsidR="005F715B">
        <w:rPr>
          <w:lang w:val="pl-PL"/>
        </w:rPr>
        <w:t> </w:t>
      </w:r>
      <w:r w:rsidR="00A44391" w:rsidRPr="00246717">
        <w:rPr>
          <w:lang w:val="pl-PL"/>
        </w:rPr>
        <w:t xml:space="preserve">b) Konwencji, </w:t>
      </w:r>
      <w:r w:rsidR="00CB57CF">
        <w:rPr>
          <w:lang w:val="pl-PL"/>
        </w:rPr>
        <w:t>że w jej sprawie doszło do ograniczenia</w:t>
      </w:r>
      <w:r w:rsidR="00A44391" w:rsidRPr="00246717">
        <w:rPr>
          <w:lang w:val="pl-PL"/>
        </w:rPr>
        <w:t xml:space="preserve"> ogóln</w:t>
      </w:r>
      <w:r w:rsidR="00CB57CF">
        <w:rPr>
          <w:lang w:val="pl-PL"/>
        </w:rPr>
        <w:t>ej</w:t>
      </w:r>
      <w:r w:rsidR="00A44391" w:rsidRPr="00246717">
        <w:rPr>
          <w:lang w:val="pl-PL"/>
        </w:rPr>
        <w:t xml:space="preserve"> </w:t>
      </w:r>
      <w:r w:rsidR="005F715B">
        <w:rPr>
          <w:lang w:val="pl-PL"/>
        </w:rPr>
        <w:t>rzetelnoś</w:t>
      </w:r>
      <w:r w:rsidR="00CB57CF">
        <w:rPr>
          <w:lang w:val="pl-PL"/>
        </w:rPr>
        <w:t>ci</w:t>
      </w:r>
      <w:r w:rsidR="00A44391" w:rsidRPr="00246717">
        <w:rPr>
          <w:lang w:val="pl-PL"/>
        </w:rPr>
        <w:t xml:space="preserve"> postępowania karnego, ponieważ nie </w:t>
      </w:r>
      <w:r w:rsidR="00F4422C">
        <w:rPr>
          <w:lang w:val="pl-PL"/>
        </w:rPr>
        <w:t>miała realnej możliwości</w:t>
      </w:r>
      <w:r w:rsidR="00F4422C" w:rsidRPr="00246717">
        <w:rPr>
          <w:lang w:val="pl-PL"/>
        </w:rPr>
        <w:t xml:space="preserve"> </w:t>
      </w:r>
      <w:r w:rsidR="00A44391" w:rsidRPr="00246717">
        <w:rPr>
          <w:lang w:val="pl-PL"/>
        </w:rPr>
        <w:t>obejrze</w:t>
      </w:r>
      <w:r w:rsidR="00F4422C">
        <w:rPr>
          <w:lang w:val="pl-PL"/>
        </w:rPr>
        <w:t>nia</w:t>
      </w:r>
      <w:r w:rsidR="00A44391" w:rsidRPr="00246717">
        <w:rPr>
          <w:lang w:val="pl-PL"/>
        </w:rPr>
        <w:t xml:space="preserve"> </w:t>
      </w:r>
      <w:r w:rsidR="00F4422C">
        <w:rPr>
          <w:lang w:val="pl-PL"/>
        </w:rPr>
        <w:t>nagrania</w:t>
      </w:r>
      <w:r w:rsidR="00F4422C" w:rsidRPr="00246717">
        <w:rPr>
          <w:lang w:val="pl-PL"/>
        </w:rPr>
        <w:t xml:space="preserve"> </w:t>
      </w:r>
      <w:r w:rsidR="00A44391" w:rsidRPr="00246717">
        <w:rPr>
          <w:lang w:val="pl-PL"/>
        </w:rPr>
        <w:t xml:space="preserve">wideo z tajnego </w:t>
      </w:r>
      <w:r w:rsidR="00A44391" w:rsidRPr="00246717">
        <w:rPr>
          <w:lang w:val="pl-PL"/>
        </w:rPr>
        <w:lastRenderedPageBreak/>
        <w:t>monitoringu</w:t>
      </w:r>
      <w:r w:rsidR="00F4422C">
        <w:rPr>
          <w:lang w:val="pl-PL"/>
        </w:rPr>
        <w:t xml:space="preserve">, które odtworzono </w:t>
      </w:r>
      <w:r w:rsidR="00A44391" w:rsidRPr="00246717">
        <w:rPr>
          <w:lang w:val="pl-PL"/>
        </w:rPr>
        <w:t>na sali rozpraw. Artykuł 6 Konwencji w części istotnej dla sprawy stanowi, co następuje:</w:t>
      </w:r>
    </w:p>
    <w:p w14:paraId="1C9CCFAE" w14:textId="77777777" w:rsidR="005871AA" w:rsidRPr="00246717" w:rsidRDefault="005871AA" w:rsidP="000957D3">
      <w:pPr>
        <w:pStyle w:val="ECHRParaQuote"/>
        <w:rPr>
          <w:lang w:val="pl-PL"/>
        </w:rPr>
      </w:pPr>
      <w:r w:rsidRPr="00246717">
        <w:rPr>
          <w:lang w:val="pl-PL"/>
        </w:rPr>
        <w:t>„1.  Każdy ma prawo do sprawiedliwego […] rozpatrzenia jego sprawy […] przez […] sąd […]</w:t>
      </w:r>
    </w:p>
    <w:p w14:paraId="46D7FF75" w14:textId="77777777" w:rsidR="005871AA" w:rsidRPr="00246717" w:rsidRDefault="0062431E" w:rsidP="000957D3">
      <w:pPr>
        <w:pStyle w:val="ECHRParaQuote"/>
        <w:rPr>
          <w:lang w:val="pl-PL"/>
        </w:rPr>
      </w:pPr>
      <w:r w:rsidRPr="00246717">
        <w:rPr>
          <w:lang w:val="pl-PL"/>
        </w:rPr>
        <w:t>[...]</w:t>
      </w:r>
    </w:p>
    <w:p w14:paraId="676FFCA6" w14:textId="77777777" w:rsidR="005871AA" w:rsidRPr="00246717" w:rsidRDefault="005871AA" w:rsidP="000957D3">
      <w:pPr>
        <w:pStyle w:val="ECHRParaQuote"/>
        <w:rPr>
          <w:lang w:val="pl-PL"/>
        </w:rPr>
      </w:pPr>
      <w:r w:rsidRPr="00246717">
        <w:rPr>
          <w:lang w:val="pl-PL"/>
        </w:rPr>
        <w:t>3.  Każdy oskarżony o popełnienie czynu zagrożonego karą ma co najmniej prawo do:</w:t>
      </w:r>
    </w:p>
    <w:p w14:paraId="4E3C61A4" w14:textId="77777777" w:rsidR="005871AA" w:rsidRPr="00246717" w:rsidRDefault="0062431E" w:rsidP="000957D3">
      <w:pPr>
        <w:pStyle w:val="ECHRParaQuote"/>
        <w:rPr>
          <w:lang w:val="pl-PL"/>
        </w:rPr>
      </w:pPr>
      <w:r w:rsidRPr="00246717">
        <w:rPr>
          <w:lang w:val="pl-PL"/>
        </w:rPr>
        <w:t>[...]</w:t>
      </w:r>
    </w:p>
    <w:p w14:paraId="7D7ABBA6" w14:textId="48804381" w:rsidR="005871AA" w:rsidRPr="00246717" w:rsidRDefault="005871AA" w:rsidP="000957D3">
      <w:pPr>
        <w:pStyle w:val="ECHRParaQuote"/>
        <w:rPr>
          <w:lang w:val="pl-PL"/>
        </w:rPr>
      </w:pPr>
      <w:r w:rsidRPr="00246717">
        <w:rPr>
          <w:lang w:val="pl-PL"/>
        </w:rPr>
        <w:t>b)</w:t>
      </w:r>
      <w:r w:rsidR="005F715B">
        <w:rPr>
          <w:lang w:val="pl-PL"/>
        </w:rPr>
        <w:t>  </w:t>
      </w:r>
      <w:r w:rsidRPr="00246717">
        <w:rPr>
          <w:lang w:val="pl-PL"/>
        </w:rPr>
        <w:t>posiadania odpowiedniego czasu i możliwości do przygotowania obrony [...]”</w:t>
      </w:r>
    </w:p>
    <w:p w14:paraId="687DBECC" w14:textId="77777777" w:rsidR="00014566"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83</w:t>
      </w:r>
      <w:r w:rsidRPr="00246717">
        <w:rPr>
          <w:lang w:val="pl-PL"/>
        </w:rPr>
        <w:fldChar w:fldCharType="end"/>
      </w:r>
      <w:r w:rsidR="002326E2" w:rsidRPr="00246717">
        <w:rPr>
          <w:lang w:val="pl-PL"/>
        </w:rPr>
        <w:t>.  Rząd zakwestionował ten argument.</w:t>
      </w:r>
    </w:p>
    <w:p w14:paraId="3B0D7CBD" w14:textId="7BAA7763" w:rsidR="0066432C" w:rsidRPr="00246717" w:rsidRDefault="0066432C" w:rsidP="000957D3">
      <w:pPr>
        <w:pStyle w:val="ECHRHeading2"/>
        <w:rPr>
          <w:lang w:val="pl-PL"/>
        </w:rPr>
      </w:pPr>
      <w:bookmarkStart w:id="100" w:name="_Toc512401303"/>
      <w:bookmarkStart w:id="101" w:name="_Toc512345131"/>
      <w:r w:rsidRPr="00246717">
        <w:rPr>
          <w:lang w:val="pl-PL"/>
        </w:rPr>
        <w:t>A.</w:t>
      </w:r>
      <w:r w:rsidR="000A44A6">
        <w:rPr>
          <w:lang w:val="pl-PL"/>
        </w:rPr>
        <w:t>  </w:t>
      </w:r>
      <w:r w:rsidRPr="00246717">
        <w:rPr>
          <w:lang w:val="pl-PL"/>
        </w:rPr>
        <w:t>Wyrok Izby</w:t>
      </w:r>
      <w:bookmarkEnd w:id="100"/>
      <w:bookmarkEnd w:id="101"/>
    </w:p>
    <w:p w14:paraId="0F773654" w14:textId="7CE9BE39" w:rsidR="00F0085F" w:rsidRPr="00246717" w:rsidRDefault="00150576" w:rsidP="000957D3">
      <w:pPr>
        <w:pStyle w:val="ECHRPara"/>
        <w:rPr>
          <w:lang w:val="pl-PL"/>
        </w:rPr>
      </w:pPr>
      <w:r w:rsidRPr="00246717">
        <w:rPr>
          <w:lang w:val="pl-PL"/>
        </w:rPr>
        <w:fldChar w:fldCharType="begin"/>
      </w:r>
      <w:r w:rsidR="00F0085F" w:rsidRPr="00246717">
        <w:rPr>
          <w:lang w:val="pl-PL"/>
        </w:rPr>
        <w:instrText xml:space="preserve"> SEQ level0 \*arabic </w:instrText>
      </w:r>
      <w:r w:rsidRPr="00246717">
        <w:rPr>
          <w:lang w:val="pl-PL"/>
        </w:rPr>
        <w:fldChar w:fldCharType="separate"/>
      </w:r>
      <w:r w:rsidR="00F0085F" w:rsidRPr="00246717">
        <w:rPr>
          <w:lang w:val="pl-PL"/>
        </w:rPr>
        <w:t>84</w:t>
      </w:r>
      <w:r w:rsidRPr="00246717">
        <w:rPr>
          <w:lang w:val="pl-PL"/>
        </w:rPr>
        <w:fldChar w:fldCharType="end"/>
      </w:r>
      <w:r w:rsidR="00F0085F" w:rsidRPr="00246717">
        <w:rPr>
          <w:lang w:val="pl-PL"/>
        </w:rPr>
        <w:t xml:space="preserve">.  Izba zauważyła, że </w:t>
      </w:r>
      <w:r w:rsidR="00F4422C">
        <w:rPr>
          <w:lang w:val="pl-PL"/>
        </w:rPr>
        <w:t xml:space="preserve">w </w:t>
      </w:r>
      <w:r w:rsidR="00F0085F" w:rsidRPr="00246717">
        <w:rPr>
          <w:lang w:val="pl-PL"/>
        </w:rPr>
        <w:t>akta</w:t>
      </w:r>
      <w:r w:rsidR="00F4422C">
        <w:rPr>
          <w:lang w:val="pl-PL"/>
        </w:rPr>
        <w:t>ch</w:t>
      </w:r>
      <w:r w:rsidR="00F0085F" w:rsidRPr="00246717">
        <w:rPr>
          <w:lang w:val="pl-PL"/>
        </w:rPr>
        <w:t xml:space="preserve"> sprawy </w:t>
      </w:r>
      <w:r w:rsidR="00F4422C">
        <w:rPr>
          <w:lang w:val="pl-PL"/>
        </w:rPr>
        <w:t>brak było</w:t>
      </w:r>
      <w:r w:rsidR="00F0085F" w:rsidRPr="00246717">
        <w:rPr>
          <w:lang w:val="pl-PL"/>
        </w:rPr>
        <w:t xml:space="preserve"> dowodów na to, że skarżąca, zarówno </w:t>
      </w:r>
      <w:r w:rsidR="00F4422C">
        <w:rPr>
          <w:lang w:val="pl-PL"/>
        </w:rPr>
        <w:t>w postępowaniu w pierwszej instancji</w:t>
      </w:r>
      <w:r w:rsidR="00F0085F" w:rsidRPr="00246717">
        <w:rPr>
          <w:lang w:val="pl-PL"/>
        </w:rPr>
        <w:t xml:space="preserve"> jak i </w:t>
      </w:r>
      <w:r w:rsidR="00F4422C">
        <w:rPr>
          <w:lang w:val="pl-PL"/>
        </w:rPr>
        <w:t>postępowaniu w drugiej instancji</w:t>
      </w:r>
      <w:r w:rsidR="00F0085F" w:rsidRPr="00246717">
        <w:rPr>
          <w:lang w:val="pl-PL"/>
        </w:rPr>
        <w:t>, skarżyła się na brak możliwości obejrzenia nagrania</w:t>
      </w:r>
      <w:r w:rsidR="00F4422C">
        <w:rPr>
          <w:lang w:val="pl-PL"/>
        </w:rPr>
        <w:t xml:space="preserve"> w czasie jego </w:t>
      </w:r>
      <w:r w:rsidR="00F4422C" w:rsidRPr="00246717">
        <w:rPr>
          <w:lang w:val="pl-PL"/>
        </w:rPr>
        <w:t>odtwarzan</w:t>
      </w:r>
      <w:r w:rsidR="00F4422C">
        <w:rPr>
          <w:lang w:val="pl-PL"/>
        </w:rPr>
        <w:t>ia</w:t>
      </w:r>
      <w:r w:rsidR="00F0085F" w:rsidRPr="00246717">
        <w:rPr>
          <w:lang w:val="pl-PL"/>
        </w:rPr>
        <w:t xml:space="preserve">. Niemniej Izba stwierdziła, że nie było konieczności orzekania w tej kwestii, ponieważ w każdym razie skarżąca mogła śledzić </w:t>
      </w:r>
      <w:r w:rsidR="00F4422C">
        <w:rPr>
          <w:lang w:val="pl-PL"/>
        </w:rPr>
        <w:t xml:space="preserve">przebieg </w:t>
      </w:r>
      <w:r w:rsidR="00F0085F" w:rsidRPr="00246717">
        <w:rPr>
          <w:lang w:val="pl-PL"/>
        </w:rPr>
        <w:t>postępowani</w:t>
      </w:r>
      <w:r w:rsidR="00F4422C">
        <w:rPr>
          <w:lang w:val="pl-PL"/>
        </w:rPr>
        <w:t>a</w:t>
      </w:r>
      <w:r w:rsidR="00F0085F" w:rsidRPr="00246717">
        <w:rPr>
          <w:lang w:val="pl-PL"/>
        </w:rPr>
        <w:t xml:space="preserve"> (zob. par.</w:t>
      </w:r>
      <w:r w:rsidR="00857377">
        <w:rPr>
          <w:lang w:val="pl-PL"/>
        </w:rPr>
        <w:t> </w:t>
      </w:r>
      <w:r w:rsidR="00F0085F" w:rsidRPr="00246717">
        <w:rPr>
          <w:lang w:val="pl-PL"/>
        </w:rPr>
        <w:t>71</w:t>
      </w:r>
      <w:r w:rsidR="000A44A6">
        <w:rPr>
          <w:lang w:val="pl-PL"/>
        </w:rPr>
        <w:noBreakHyphen/>
      </w:r>
      <w:r w:rsidR="00F0085F" w:rsidRPr="00246717">
        <w:rPr>
          <w:lang w:val="pl-PL"/>
        </w:rPr>
        <w:t>72 wyroku Izby). Ustalił</w:t>
      </w:r>
      <w:r w:rsidR="00026996">
        <w:rPr>
          <w:lang w:val="pl-PL"/>
        </w:rPr>
        <w:t>a</w:t>
      </w:r>
      <w:r w:rsidR="00F0085F" w:rsidRPr="00246717">
        <w:rPr>
          <w:lang w:val="pl-PL"/>
        </w:rPr>
        <w:t xml:space="preserve"> ponadto, że obejrzenie nagrania nie było „</w:t>
      </w:r>
      <w:r w:rsidR="00857377">
        <w:rPr>
          <w:lang w:val="pl-PL"/>
        </w:rPr>
        <w:t>absolutnie</w:t>
      </w:r>
      <w:r w:rsidR="00F0085F" w:rsidRPr="00246717">
        <w:rPr>
          <w:lang w:val="pl-PL"/>
        </w:rPr>
        <w:t xml:space="preserve"> konieczne”, zważywszy na cel skarżącej, jakim było odtworzenie taśmy </w:t>
      </w:r>
      <w:r w:rsidR="00F4422C">
        <w:rPr>
          <w:lang w:val="pl-PL"/>
        </w:rPr>
        <w:t>na rozprawie</w:t>
      </w:r>
      <w:r w:rsidR="00F0085F" w:rsidRPr="00246717">
        <w:rPr>
          <w:lang w:val="pl-PL"/>
        </w:rPr>
        <w:t xml:space="preserve"> w celu zweryfikowania dokładności transkrypcji. Wysłuchanie taśmy było do tego celu wystarczające.</w:t>
      </w:r>
    </w:p>
    <w:p w14:paraId="6B6BFBEC" w14:textId="2E33800D" w:rsidR="0066432C" w:rsidRPr="00246717" w:rsidRDefault="00150576" w:rsidP="000957D3">
      <w:pPr>
        <w:pStyle w:val="ECHRPara"/>
        <w:rPr>
          <w:lang w:val="pl-PL"/>
        </w:rPr>
      </w:pPr>
      <w:r w:rsidRPr="00246717">
        <w:rPr>
          <w:lang w:val="pl-PL"/>
        </w:rPr>
        <w:fldChar w:fldCharType="begin"/>
      </w:r>
      <w:r w:rsidR="00F0085F" w:rsidRPr="00246717">
        <w:rPr>
          <w:lang w:val="pl-PL"/>
        </w:rPr>
        <w:instrText xml:space="preserve"> SEQ level0 \*arabic </w:instrText>
      </w:r>
      <w:r w:rsidRPr="00246717">
        <w:rPr>
          <w:lang w:val="pl-PL"/>
        </w:rPr>
        <w:fldChar w:fldCharType="separate"/>
      </w:r>
      <w:r w:rsidR="00F0085F" w:rsidRPr="00246717">
        <w:rPr>
          <w:lang w:val="pl-PL"/>
        </w:rPr>
        <w:t>85</w:t>
      </w:r>
      <w:r w:rsidRPr="00246717">
        <w:rPr>
          <w:lang w:val="pl-PL"/>
        </w:rPr>
        <w:fldChar w:fldCharType="end"/>
      </w:r>
      <w:r w:rsidR="00F0085F" w:rsidRPr="00246717">
        <w:rPr>
          <w:lang w:val="pl-PL"/>
        </w:rPr>
        <w:t>.  </w:t>
      </w:r>
      <w:r w:rsidR="00C0327A">
        <w:rPr>
          <w:lang w:val="pl-PL"/>
        </w:rPr>
        <w:t>Izba j</w:t>
      </w:r>
      <w:r w:rsidR="00F0085F" w:rsidRPr="00246717">
        <w:rPr>
          <w:lang w:val="pl-PL"/>
        </w:rPr>
        <w:t>edn</w:t>
      </w:r>
      <w:r w:rsidR="00857377">
        <w:rPr>
          <w:lang w:val="pl-PL"/>
        </w:rPr>
        <w:t>omyślnie</w:t>
      </w:r>
      <w:r w:rsidR="00F0085F" w:rsidRPr="00246717">
        <w:rPr>
          <w:lang w:val="pl-PL"/>
        </w:rPr>
        <w:t xml:space="preserve"> orzekła, że nie doszło do naruszenia art.</w:t>
      </w:r>
      <w:r w:rsidR="00857377">
        <w:rPr>
          <w:lang w:val="pl-PL"/>
        </w:rPr>
        <w:t> </w:t>
      </w:r>
      <w:r w:rsidR="00F0085F" w:rsidRPr="00246717">
        <w:rPr>
          <w:lang w:val="pl-PL"/>
        </w:rPr>
        <w:t>6 ust.</w:t>
      </w:r>
      <w:r w:rsidR="00857377">
        <w:rPr>
          <w:lang w:val="pl-PL"/>
        </w:rPr>
        <w:t> </w:t>
      </w:r>
      <w:r w:rsidR="00F0085F" w:rsidRPr="00246717">
        <w:rPr>
          <w:lang w:val="pl-PL"/>
        </w:rPr>
        <w:t>1 i 3 lit.</w:t>
      </w:r>
      <w:r w:rsidR="00857377">
        <w:rPr>
          <w:lang w:val="pl-PL"/>
        </w:rPr>
        <w:t> </w:t>
      </w:r>
      <w:r w:rsidR="00F0085F" w:rsidRPr="00246717">
        <w:rPr>
          <w:lang w:val="pl-PL"/>
        </w:rPr>
        <w:t>b Konwencji, zważywszy że obrona nie podniosła, jakoby wystąpiły trudności w odsłuchaniu ścieżki audio i nie zakwestionował</w:t>
      </w:r>
      <w:r w:rsidR="00026996">
        <w:rPr>
          <w:lang w:val="pl-PL"/>
        </w:rPr>
        <w:t>a</w:t>
      </w:r>
      <w:r w:rsidR="00F0085F" w:rsidRPr="00246717">
        <w:rPr>
          <w:lang w:val="pl-PL"/>
        </w:rPr>
        <w:t xml:space="preserve"> autentyczności samego nagrania (zob. par.</w:t>
      </w:r>
      <w:r w:rsidR="00857377">
        <w:rPr>
          <w:lang w:val="pl-PL"/>
        </w:rPr>
        <w:t> </w:t>
      </w:r>
      <w:r w:rsidR="00F0085F" w:rsidRPr="00246717">
        <w:rPr>
          <w:lang w:val="pl-PL"/>
        </w:rPr>
        <w:t>73</w:t>
      </w:r>
      <w:r w:rsidR="00857377">
        <w:rPr>
          <w:lang w:val="pl-PL"/>
        </w:rPr>
        <w:noBreakHyphen/>
      </w:r>
      <w:r w:rsidR="00F0085F" w:rsidRPr="00246717">
        <w:rPr>
          <w:lang w:val="pl-PL"/>
        </w:rPr>
        <w:t>74 wyroku Izby).</w:t>
      </w:r>
    </w:p>
    <w:p w14:paraId="28AC6A8C" w14:textId="5A6B7B4A" w:rsidR="009C7A6F" w:rsidRPr="00246717" w:rsidRDefault="00740393" w:rsidP="000957D3">
      <w:pPr>
        <w:pStyle w:val="ECHRHeading2"/>
        <w:rPr>
          <w:lang w:val="pl-PL"/>
        </w:rPr>
      </w:pPr>
      <w:bookmarkStart w:id="102" w:name="_Toc512401304"/>
      <w:bookmarkStart w:id="103" w:name="_Toc512345132"/>
      <w:r w:rsidRPr="00246717">
        <w:rPr>
          <w:lang w:val="pl-PL"/>
        </w:rPr>
        <w:t>B.</w:t>
      </w:r>
      <w:r w:rsidR="00CD6EC8">
        <w:rPr>
          <w:lang w:val="pl-PL"/>
        </w:rPr>
        <w:t>  </w:t>
      </w:r>
      <w:r w:rsidRPr="00246717">
        <w:rPr>
          <w:lang w:val="pl-PL"/>
        </w:rPr>
        <w:t>Uwagi stron przed Wielką Izbą</w:t>
      </w:r>
      <w:bookmarkEnd w:id="102"/>
      <w:bookmarkEnd w:id="103"/>
    </w:p>
    <w:p w14:paraId="79804037" w14:textId="17D277C2" w:rsidR="009C7A6F" w:rsidRPr="00246717" w:rsidRDefault="00740393" w:rsidP="000957D3">
      <w:pPr>
        <w:pStyle w:val="ECHRHeading3"/>
        <w:rPr>
          <w:lang w:val="pl-PL"/>
        </w:rPr>
      </w:pPr>
      <w:bookmarkStart w:id="104" w:name="_Toc512401305"/>
      <w:bookmarkStart w:id="105" w:name="_Toc512345133"/>
      <w:r w:rsidRPr="00246717">
        <w:rPr>
          <w:bCs w:val="0"/>
          <w:iCs/>
          <w:lang w:val="pl-PL"/>
        </w:rPr>
        <w:t>1.  Skarżąca</w:t>
      </w:r>
      <w:bookmarkEnd w:id="104"/>
      <w:bookmarkEnd w:id="105"/>
    </w:p>
    <w:p w14:paraId="482C897F" w14:textId="7DDA7B5B" w:rsidR="009C7A6F" w:rsidRPr="00246717" w:rsidRDefault="00150576" w:rsidP="000957D3">
      <w:pPr>
        <w:pStyle w:val="ECHRPara"/>
        <w:rPr>
          <w:bCs/>
          <w:lang w:val="pl-PL"/>
        </w:rPr>
      </w:pPr>
      <w:r w:rsidRPr="00246717">
        <w:rPr>
          <w:lang w:val="pl-PL"/>
        </w:rPr>
        <w:fldChar w:fldCharType="begin"/>
      </w:r>
      <w:r w:rsidR="009C7A6F" w:rsidRPr="00246717">
        <w:rPr>
          <w:lang w:val="pl-PL"/>
        </w:rPr>
        <w:instrText xml:space="preserve"> SEQ level0 \*arabic </w:instrText>
      </w:r>
      <w:r w:rsidRPr="00246717">
        <w:rPr>
          <w:lang w:val="pl-PL"/>
        </w:rPr>
        <w:fldChar w:fldCharType="separate"/>
      </w:r>
      <w:r w:rsidR="009C7A6F" w:rsidRPr="00246717">
        <w:rPr>
          <w:lang w:val="pl-PL"/>
        </w:rPr>
        <w:t>86</w:t>
      </w:r>
      <w:r w:rsidRPr="00246717">
        <w:rPr>
          <w:lang w:val="pl-PL"/>
        </w:rPr>
        <w:fldChar w:fldCharType="end"/>
      </w:r>
      <w:r w:rsidR="009C7A6F" w:rsidRPr="00246717">
        <w:rPr>
          <w:lang w:val="pl-PL"/>
        </w:rPr>
        <w:t>.  W</w:t>
      </w:r>
      <w:r w:rsidR="00C0327A">
        <w:rPr>
          <w:lang w:val="pl-PL"/>
        </w:rPr>
        <w:t xml:space="preserve"> swoim</w:t>
      </w:r>
      <w:r w:rsidR="009C7A6F" w:rsidRPr="00246717">
        <w:rPr>
          <w:lang w:val="pl-PL"/>
        </w:rPr>
        <w:t xml:space="preserve"> wniosku apelacyjnym skarżąca nie wspomniała o ustaleniu braku naruszenia co do możliwości obejrzenia </w:t>
      </w:r>
      <w:r w:rsidR="00C0327A">
        <w:rPr>
          <w:lang w:val="pl-PL"/>
        </w:rPr>
        <w:t xml:space="preserve">nagrania </w:t>
      </w:r>
      <w:r w:rsidR="009C7A6F" w:rsidRPr="00246717">
        <w:rPr>
          <w:lang w:val="pl-PL"/>
        </w:rPr>
        <w:t>wideo z monitoringu</w:t>
      </w:r>
      <w:r w:rsidR="00C0327A">
        <w:rPr>
          <w:lang w:val="pl-PL"/>
        </w:rPr>
        <w:t>, który odtworzono na</w:t>
      </w:r>
      <w:r w:rsidR="00C0327A" w:rsidRPr="00246717">
        <w:rPr>
          <w:lang w:val="pl-PL"/>
        </w:rPr>
        <w:t xml:space="preserve"> </w:t>
      </w:r>
      <w:r w:rsidR="009C7A6F" w:rsidRPr="00246717">
        <w:rPr>
          <w:lang w:val="pl-PL"/>
        </w:rPr>
        <w:t>rozpraw</w:t>
      </w:r>
      <w:r w:rsidR="00C0327A">
        <w:rPr>
          <w:lang w:val="pl-PL"/>
        </w:rPr>
        <w:t>ie</w:t>
      </w:r>
      <w:r w:rsidR="009C7A6F" w:rsidRPr="00246717">
        <w:rPr>
          <w:lang w:val="pl-PL"/>
        </w:rPr>
        <w:t>. Niemniej w uwagach przedstawionych przed Wielką Izbą zwróciła się do Trybunału o wyciągnięcie wniosków z</w:t>
      </w:r>
      <w:r w:rsidR="00CD6EC8">
        <w:rPr>
          <w:lang w:val="pl-PL"/>
        </w:rPr>
        <w:t> </w:t>
      </w:r>
      <w:r w:rsidR="009C7A6F" w:rsidRPr="00246717">
        <w:rPr>
          <w:lang w:val="pl-PL"/>
        </w:rPr>
        <w:t>nieprzedstaw</w:t>
      </w:r>
      <w:r w:rsidR="005246E3">
        <w:rPr>
          <w:lang w:val="pl-PL"/>
        </w:rPr>
        <w:t>ionych</w:t>
      </w:r>
      <w:r w:rsidR="009C7A6F" w:rsidRPr="00246717">
        <w:rPr>
          <w:lang w:val="pl-PL"/>
        </w:rPr>
        <w:t xml:space="preserve"> przez Rząd planów sali rozprawy i </w:t>
      </w:r>
      <w:r w:rsidR="00C0327A">
        <w:rPr>
          <w:lang w:val="pl-PL"/>
        </w:rPr>
        <w:t>rozwiązań</w:t>
      </w:r>
      <w:r w:rsidR="00C0327A" w:rsidRPr="00246717">
        <w:rPr>
          <w:lang w:val="pl-PL"/>
        </w:rPr>
        <w:t xml:space="preserve"> </w:t>
      </w:r>
      <w:r w:rsidR="009C7A6F" w:rsidRPr="00246717">
        <w:rPr>
          <w:lang w:val="pl-PL"/>
        </w:rPr>
        <w:t>dotyczących odtwarzania nagrania wideo. Zauważyła, że odtworzono tylko jedną taśmę i</w:t>
      </w:r>
      <w:r w:rsidR="005246E3">
        <w:rPr>
          <w:lang w:val="pl-PL"/>
        </w:rPr>
        <w:t xml:space="preserve"> </w:t>
      </w:r>
      <w:r w:rsidR="009C7A6F" w:rsidRPr="00246717">
        <w:rPr>
          <w:lang w:val="pl-PL"/>
        </w:rPr>
        <w:t xml:space="preserve">że uniemożliwiono jej skuteczne uczestnictwo w oglądaniu </w:t>
      </w:r>
      <w:r w:rsidR="00C0327A">
        <w:rPr>
          <w:lang w:val="pl-PL"/>
        </w:rPr>
        <w:t xml:space="preserve">taśmy </w:t>
      </w:r>
      <w:r w:rsidR="009C7A6F" w:rsidRPr="00246717">
        <w:rPr>
          <w:lang w:val="pl-PL"/>
        </w:rPr>
        <w:t xml:space="preserve">z powodu braku odpowiednich </w:t>
      </w:r>
      <w:r w:rsidR="00C0327A">
        <w:rPr>
          <w:lang w:val="pl-PL"/>
        </w:rPr>
        <w:t>rozwiązań</w:t>
      </w:r>
      <w:r w:rsidR="009C7A6F" w:rsidRPr="00246717">
        <w:rPr>
          <w:lang w:val="pl-PL"/>
        </w:rPr>
        <w:t>. Zarzuciła, że doszło do naruszenia art.</w:t>
      </w:r>
      <w:r w:rsidR="00CD6EC8">
        <w:rPr>
          <w:lang w:val="pl-PL"/>
        </w:rPr>
        <w:t> </w:t>
      </w:r>
      <w:r w:rsidR="009C7A6F" w:rsidRPr="00246717">
        <w:rPr>
          <w:lang w:val="pl-PL"/>
        </w:rPr>
        <w:t xml:space="preserve">6 ust. </w:t>
      </w:r>
      <w:r w:rsidR="00CD6EC8">
        <w:rPr>
          <w:lang w:val="pl-PL"/>
        </w:rPr>
        <w:t> </w:t>
      </w:r>
      <w:r w:rsidR="009C7A6F" w:rsidRPr="00246717">
        <w:rPr>
          <w:lang w:val="pl-PL"/>
        </w:rPr>
        <w:t>1 i 3 lit.</w:t>
      </w:r>
      <w:r w:rsidR="00CD6EC8">
        <w:rPr>
          <w:lang w:val="pl-PL"/>
        </w:rPr>
        <w:t> </w:t>
      </w:r>
      <w:r w:rsidR="009C7A6F" w:rsidRPr="00246717">
        <w:rPr>
          <w:lang w:val="pl-PL"/>
        </w:rPr>
        <w:t>b Konwencji.</w:t>
      </w:r>
    </w:p>
    <w:p w14:paraId="6FA3AF5D" w14:textId="18146A3B" w:rsidR="009C7A6F" w:rsidRPr="00246717" w:rsidRDefault="00740393" w:rsidP="000957D3">
      <w:pPr>
        <w:pStyle w:val="ECHRHeading3"/>
        <w:rPr>
          <w:lang w:val="pl-PL"/>
        </w:rPr>
      </w:pPr>
      <w:bookmarkStart w:id="106" w:name="_Toc512401306"/>
      <w:bookmarkStart w:id="107" w:name="_Toc512345134"/>
      <w:r w:rsidRPr="00246717">
        <w:rPr>
          <w:bCs w:val="0"/>
          <w:iCs/>
          <w:lang w:val="pl-PL"/>
        </w:rPr>
        <w:lastRenderedPageBreak/>
        <w:t>2.  Rząd</w:t>
      </w:r>
      <w:bookmarkEnd w:id="106"/>
      <w:bookmarkEnd w:id="107"/>
    </w:p>
    <w:p w14:paraId="758B8801" w14:textId="5C93420D" w:rsidR="009C7A6F" w:rsidRPr="00246717" w:rsidRDefault="00150576" w:rsidP="000957D3">
      <w:pPr>
        <w:pStyle w:val="ECHRPara"/>
        <w:rPr>
          <w:bCs/>
          <w:lang w:val="pl-PL"/>
        </w:rPr>
      </w:pPr>
      <w:r w:rsidRPr="00246717">
        <w:rPr>
          <w:lang w:val="pl-PL"/>
        </w:rPr>
        <w:fldChar w:fldCharType="begin"/>
      </w:r>
      <w:r w:rsidR="009C7A6F" w:rsidRPr="00246717">
        <w:rPr>
          <w:lang w:val="pl-PL"/>
        </w:rPr>
        <w:instrText xml:space="preserve"> SEQ level0 \*arabic </w:instrText>
      </w:r>
      <w:r w:rsidRPr="00246717">
        <w:rPr>
          <w:lang w:val="pl-PL"/>
        </w:rPr>
        <w:fldChar w:fldCharType="separate"/>
      </w:r>
      <w:r w:rsidR="009C7A6F" w:rsidRPr="00246717">
        <w:rPr>
          <w:lang w:val="pl-PL"/>
        </w:rPr>
        <w:t>87</w:t>
      </w:r>
      <w:r w:rsidRPr="00246717">
        <w:rPr>
          <w:lang w:val="pl-PL"/>
        </w:rPr>
        <w:fldChar w:fldCharType="end"/>
      </w:r>
      <w:r w:rsidR="009C7A6F" w:rsidRPr="00246717">
        <w:rPr>
          <w:lang w:val="pl-PL"/>
        </w:rPr>
        <w:t xml:space="preserve">.  Rząd </w:t>
      </w:r>
      <w:r w:rsidR="00C0327A">
        <w:rPr>
          <w:lang w:val="pl-PL"/>
        </w:rPr>
        <w:t>twierdził</w:t>
      </w:r>
      <w:r w:rsidR="009C7A6F" w:rsidRPr="00246717">
        <w:rPr>
          <w:lang w:val="pl-PL"/>
        </w:rPr>
        <w:t xml:space="preserve">, że ustalenia Izby w tej kwestii nie </w:t>
      </w:r>
      <w:r w:rsidR="00C0327A">
        <w:rPr>
          <w:lang w:val="pl-PL"/>
        </w:rPr>
        <w:t>zostały</w:t>
      </w:r>
      <w:r w:rsidR="00C0327A" w:rsidRPr="00246717">
        <w:rPr>
          <w:lang w:val="pl-PL"/>
        </w:rPr>
        <w:t xml:space="preserve"> </w:t>
      </w:r>
      <w:r w:rsidR="00C0327A">
        <w:rPr>
          <w:lang w:val="pl-PL"/>
        </w:rPr>
        <w:t>za</w:t>
      </w:r>
      <w:r w:rsidR="009C7A6F" w:rsidRPr="00246717">
        <w:rPr>
          <w:lang w:val="pl-PL"/>
        </w:rPr>
        <w:t xml:space="preserve">kwestionowane we wniosku apelacyjnym skarżącej, a zatem powinny zostać </w:t>
      </w:r>
      <w:r w:rsidR="00DD6583">
        <w:rPr>
          <w:lang w:val="pl-PL"/>
        </w:rPr>
        <w:t>uwzględnione</w:t>
      </w:r>
      <w:r w:rsidR="009C7A6F" w:rsidRPr="00246717">
        <w:rPr>
          <w:lang w:val="pl-PL"/>
        </w:rPr>
        <w:t xml:space="preserve">. Rząd </w:t>
      </w:r>
      <w:r w:rsidR="00DD6583">
        <w:rPr>
          <w:lang w:val="pl-PL"/>
        </w:rPr>
        <w:t>podzielił wnioski</w:t>
      </w:r>
      <w:r w:rsidR="009C7A6F" w:rsidRPr="00246717">
        <w:rPr>
          <w:lang w:val="pl-PL"/>
        </w:rPr>
        <w:t xml:space="preserve"> Izby. Rząd zauważył, że skarżąca nie była w stanie prześledzić zawartości taśmy wideo i że </w:t>
      </w:r>
      <w:r w:rsidR="00DD6583">
        <w:rPr>
          <w:lang w:val="pl-PL"/>
        </w:rPr>
        <w:t xml:space="preserve">na rozprawie </w:t>
      </w:r>
      <w:r w:rsidR="008237D4">
        <w:rPr>
          <w:lang w:val="pl-PL"/>
        </w:rPr>
        <w:t>n</w:t>
      </w:r>
      <w:r w:rsidR="009C7A6F" w:rsidRPr="00246717">
        <w:rPr>
          <w:lang w:val="pl-PL"/>
        </w:rPr>
        <w:t xml:space="preserve">ie zgłosiła </w:t>
      </w:r>
      <w:r w:rsidR="00DD6583">
        <w:rPr>
          <w:lang w:val="pl-PL"/>
        </w:rPr>
        <w:t xml:space="preserve">żadnych </w:t>
      </w:r>
      <w:r w:rsidR="009C7A6F" w:rsidRPr="00246717">
        <w:rPr>
          <w:lang w:val="pl-PL"/>
        </w:rPr>
        <w:t xml:space="preserve">istotnych zastrzeżeń </w:t>
      </w:r>
      <w:r w:rsidR="00DD6583">
        <w:rPr>
          <w:lang w:val="pl-PL"/>
        </w:rPr>
        <w:t>ani</w:t>
      </w:r>
      <w:r w:rsidR="00DD6583" w:rsidRPr="00246717">
        <w:rPr>
          <w:lang w:val="pl-PL"/>
        </w:rPr>
        <w:t xml:space="preserve"> </w:t>
      </w:r>
      <w:r w:rsidR="009C7A6F" w:rsidRPr="00246717">
        <w:rPr>
          <w:lang w:val="pl-PL"/>
        </w:rPr>
        <w:t xml:space="preserve">skarg. W uzasadnieniu </w:t>
      </w:r>
      <w:r w:rsidR="00DD6583">
        <w:rPr>
          <w:lang w:val="pl-PL"/>
        </w:rPr>
        <w:t xml:space="preserve">swojego </w:t>
      </w:r>
      <w:r w:rsidR="009C7A6F" w:rsidRPr="00246717">
        <w:rPr>
          <w:lang w:val="pl-PL"/>
        </w:rPr>
        <w:t xml:space="preserve">odwołania powołała się jedynie na techniczne trudności </w:t>
      </w:r>
      <w:r w:rsidR="00DD6583">
        <w:rPr>
          <w:lang w:val="pl-PL"/>
        </w:rPr>
        <w:t>związane z</w:t>
      </w:r>
      <w:r w:rsidR="009C7A6F" w:rsidRPr="00246717">
        <w:rPr>
          <w:lang w:val="pl-PL"/>
        </w:rPr>
        <w:t xml:space="preserve"> obejrzeni</w:t>
      </w:r>
      <w:r w:rsidR="00DD6583">
        <w:rPr>
          <w:lang w:val="pl-PL"/>
        </w:rPr>
        <w:t>em</w:t>
      </w:r>
      <w:r w:rsidR="009C7A6F" w:rsidRPr="00246717">
        <w:rPr>
          <w:lang w:val="pl-PL"/>
        </w:rPr>
        <w:t xml:space="preserve"> nagrania. Ponadto nie zakwestionowała ani zgodności z prawem, ani autentyczności nagrania, ani też nie twierdziła, że jakość </w:t>
      </w:r>
      <w:r w:rsidR="005246E3">
        <w:rPr>
          <w:lang w:val="pl-PL"/>
        </w:rPr>
        <w:t>podkładu dźwiękowego</w:t>
      </w:r>
      <w:r w:rsidR="009C7A6F" w:rsidRPr="00246717">
        <w:rPr>
          <w:lang w:val="pl-PL"/>
        </w:rPr>
        <w:t xml:space="preserve"> była </w:t>
      </w:r>
      <w:r w:rsidR="00DD6583">
        <w:rPr>
          <w:lang w:val="pl-PL"/>
        </w:rPr>
        <w:t>słaba</w:t>
      </w:r>
      <w:r w:rsidR="009C7A6F" w:rsidRPr="00246717">
        <w:rPr>
          <w:lang w:val="pl-PL"/>
        </w:rPr>
        <w:t xml:space="preserve">. Skarżąca wniosła o odtworzenie taśmy w celu zweryfikowania autentyczności transkrypcji, </w:t>
      </w:r>
      <w:r w:rsidR="00DD6583">
        <w:rPr>
          <w:lang w:val="pl-PL"/>
        </w:rPr>
        <w:t>z tego też względu nie było konieczne</w:t>
      </w:r>
      <w:r w:rsidR="00DD6583" w:rsidRPr="00246717">
        <w:rPr>
          <w:lang w:val="pl-PL"/>
        </w:rPr>
        <w:t xml:space="preserve"> </w:t>
      </w:r>
      <w:r w:rsidR="009C7A6F" w:rsidRPr="00966403">
        <w:rPr>
          <w:lang w:val="pl-PL"/>
        </w:rPr>
        <w:t>obejrzenie playbacku,</w:t>
      </w:r>
      <w:r w:rsidR="009C7A6F" w:rsidRPr="00246717">
        <w:rPr>
          <w:lang w:val="pl-PL"/>
        </w:rPr>
        <w:t xml:space="preserve"> oprócz możliwości </w:t>
      </w:r>
      <w:r w:rsidR="005246E3">
        <w:rPr>
          <w:lang w:val="pl-PL"/>
        </w:rPr>
        <w:t>wysłuchania</w:t>
      </w:r>
      <w:r w:rsidR="009C7A6F" w:rsidRPr="00246717">
        <w:rPr>
          <w:lang w:val="pl-PL"/>
        </w:rPr>
        <w:t xml:space="preserve"> ścieżki audio.</w:t>
      </w:r>
    </w:p>
    <w:p w14:paraId="04ED8D12" w14:textId="5700CAE4" w:rsidR="009F0F91" w:rsidRPr="00246717" w:rsidRDefault="009F0F91" w:rsidP="000957D3">
      <w:pPr>
        <w:pStyle w:val="ECHRHeading2"/>
        <w:rPr>
          <w:lang w:val="pl-PL"/>
        </w:rPr>
      </w:pPr>
      <w:r w:rsidRPr="00246717">
        <w:rPr>
          <w:lang w:val="pl-PL"/>
        </w:rPr>
        <w:t>C.</w:t>
      </w:r>
      <w:r w:rsidR="005246E3">
        <w:rPr>
          <w:lang w:val="pl-PL"/>
        </w:rPr>
        <w:t>  </w:t>
      </w:r>
      <w:r w:rsidRPr="00246717">
        <w:rPr>
          <w:lang w:val="pl-PL"/>
        </w:rPr>
        <w:t>Zakres sprawy przed Wielką Izbą</w:t>
      </w:r>
    </w:p>
    <w:p w14:paraId="2849A503" w14:textId="4BFFFBFC" w:rsidR="009F0F91" w:rsidRPr="00246717" w:rsidRDefault="00150576" w:rsidP="000957D3">
      <w:pPr>
        <w:pStyle w:val="ECHRPara"/>
        <w:rPr>
          <w:bCs/>
          <w:lang w:val="pl-PL"/>
        </w:rPr>
      </w:pPr>
      <w:r w:rsidRPr="00246717">
        <w:rPr>
          <w:lang w:val="pl-PL"/>
        </w:rPr>
        <w:fldChar w:fldCharType="begin"/>
      </w:r>
      <w:r w:rsidR="009D7301" w:rsidRPr="00246717">
        <w:rPr>
          <w:lang w:val="pl-PL"/>
        </w:rPr>
        <w:instrText xml:space="preserve"> SEQ level0 \*arabic </w:instrText>
      </w:r>
      <w:r w:rsidRPr="00246717">
        <w:rPr>
          <w:lang w:val="pl-PL"/>
        </w:rPr>
        <w:fldChar w:fldCharType="separate"/>
      </w:r>
      <w:r w:rsidR="009D7301" w:rsidRPr="00246717">
        <w:rPr>
          <w:lang w:val="pl-PL"/>
        </w:rPr>
        <w:t>88</w:t>
      </w:r>
      <w:r w:rsidRPr="00246717">
        <w:rPr>
          <w:lang w:val="pl-PL"/>
        </w:rPr>
        <w:fldChar w:fldCharType="end"/>
      </w:r>
      <w:r w:rsidR="009D7301" w:rsidRPr="00246717">
        <w:rPr>
          <w:lang w:val="pl-PL"/>
        </w:rPr>
        <w:t xml:space="preserve">.  Trybunał zauważa na wstępie, że treść i zakres sprawy skierowanej do Wielkiej Izby są ograniczone </w:t>
      </w:r>
      <w:r w:rsidR="005246E3">
        <w:rPr>
          <w:lang w:val="pl-PL"/>
        </w:rPr>
        <w:t>decyzją</w:t>
      </w:r>
      <w:r w:rsidR="009D7301" w:rsidRPr="00246717">
        <w:rPr>
          <w:lang w:val="pl-PL"/>
        </w:rPr>
        <w:t xml:space="preserve"> Izby w przedmiocie dopuszczalności. Oznacza to, że Wielka Izba może rozpoznać sprawę jedynie w zakresie, w jakim uznan</w:t>
      </w:r>
      <w:r w:rsidR="00DD6583">
        <w:rPr>
          <w:lang w:val="pl-PL"/>
        </w:rPr>
        <w:t>o ją</w:t>
      </w:r>
      <w:r w:rsidR="009D7301" w:rsidRPr="00246717">
        <w:rPr>
          <w:lang w:val="pl-PL"/>
        </w:rPr>
        <w:t xml:space="preserve"> za dopuszczalną; nie może badać tych części skargi, które uznan</w:t>
      </w:r>
      <w:r w:rsidR="00DD6583">
        <w:rPr>
          <w:lang w:val="pl-PL"/>
        </w:rPr>
        <w:t>o</w:t>
      </w:r>
      <w:r w:rsidR="009D7301" w:rsidRPr="00246717">
        <w:rPr>
          <w:lang w:val="pl-PL"/>
        </w:rPr>
        <w:t xml:space="preserve"> za niedopuszczalne (zob. na przykład </w:t>
      </w:r>
      <w:r w:rsidR="009D7301" w:rsidRPr="00246717">
        <w:rPr>
          <w:i/>
          <w:iCs/>
          <w:lang w:val="pl-PL"/>
        </w:rPr>
        <w:t>Al-</w:t>
      </w:r>
      <w:proofErr w:type="spellStart"/>
      <w:r w:rsidR="009D7301" w:rsidRPr="00246717">
        <w:rPr>
          <w:i/>
          <w:iCs/>
          <w:lang w:val="pl-PL"/>
        </w:rPr>
        <w:t>Dulimi</w:t>
      </w:r>
      <w:proofErr w:type="spellEnd"/>
      <w:r w:rsidR="009D7301" w:rsidRPr="00246717">
        <w:rPr>
          <w:i/>
          <w:iCs/>
          <w:lang w:val="pl-PL"/>
        </w:rPr>
        <w:t xml:space="preserve"> i Montana Management Inc. przeciwko Szwajcarii </w:t>
      </w:r>
      <w:r w:rsidR="009D7301" w:rsidRPr="00246717">
        <w:rPr>
          <w:lang w:val="pl-PL"/>
        </w:rPr>
        <w:t>[WI], wyrok z dn</w:t>
      </w:r>
      <w:r w:rsidR="005246E3">
        <w:rPr>
          <w:lang w:val="pl-PL"/>
        </w:rPr>
        <w:t>ia</w:t>
      </w:r>
      <w:r w:rsidR="009D7301" w:rsidRPr="00246717">
        <w:rPr>
          <w:lang w:val="pl-PL"/>
        </w:rPr>
        <w:t xml:space="preserve"> 21 czerwca 2016</w:t>
      </w:r>
      <w:r w:rsidR="005246E3">
        <w:rPr>
          <w:lang w:val="pl-PL"/>
        </w:rPr>
        <w:t> </w:t>
      </w:r>
      <w:r w:rsidR="009D7301" w:rsidRPr="00246717">
        <w:rPr>
          <w:lang w:val="pl-PL"/>
        </w:rPr>
        <w:t>r., skarga nr 5809/08, § 78). Niniejsza skarga została uznana za dopuszczalną, nawet jeśli nie była częścią wniosku apelacyjnego skarżącej.</w:t>
      </w:r>
    </w:p>
    <w:p w14:paraId="2C4C23C8" w14:textId="7A555516" w:rsidR="009F0F91" w:rsidRPr="00246717" w:rsidRDefault="00150576" w:rsidP="000957D3">
      <w:pPr>
        <w:pStyle w:val="ECHRPara"/>
        <w:rPr>
          <w:bCs/>
          <w:lang w:val="pl-PL"/>
        </w:rPr>
      </w:pPr>
      <w:r w:rsidRPr="00246717">
        <w:rPr>
          <w:lang w:val="pl-PL"/>
        </w:rPr>
        <w:fldChar w:fldCharType="begin"/>
      </w:r>
      <w:r w:rsidR="009D7301" w:rsidRPr="00246717">
        <w:rPr>
          <w:lang w:val="pl-PL"/>
        </w:rPr>
        <w:instrText xml:space="preserve"> SEQ level0 \*arabic </w:instrText>
      </w:r>
      <w:r w:rsidRPr="00246717">
        <w:rPr>
          <w:lang w:val="pl-PL"/>
        </w:rPr>
        <w:fldChar w:fldCharType="separate"/>
      </w:r>
      <w:r w:rsidR="009D7301" w:rsidRPr="00246717">
        <w:rPr>
          <w:lang w:val="pl-PL"/>
        </w:rPr>
        <w:t>89</w:t>
      </w:r>
      <w:r w:rsidRPr="00246717">
        <w:rPr>
          <w:lang w:val="pl-PL"/>
        </w:rPr>
        <w:fldChar w:fldCharType="end"/>
      </w:r>
      <w:r w:rsidR="009D7301" w:rsidRPr="00246717">
        <w:rPr>
          <w:lang w:val="pl-PL"/>
        </w:rPr>
        <w:t>.  Wielka Izba jest zatem właściwa w przedmiocie ustalenia, czy skarżąc</w:t>
      </w:r>
      <w:r w:rsidR="00DD6583">
        <w:rPr>
          <w:lang w:val="pl-PL"/>
        </w:rPr>
        <w:t>ą pozbawiono</w:t>
      </w:r>
      <w:r w:rsidR="009D7301" w:rsidRPr="00246717">
        <w:rPr>
          <w:lang w:val="pl-PL"/>
        </w:rPr>
        <w:t xml:space="preserve">, jak zarzuca, </w:t>
      </w:r>
      <w:r w:rsidR="00DD6583">
        <w:rPr>
          <w:lang w:val="pl-PL"/>
        </w:rPr>
        <w:t>możliwości realnego</w:t>
      </w:r>
      <w:r w:rsidR="009D7301" w:rsidRPr="00246717">
        <w:rPr>
          <w:lang w:val="pl-PL"/>
        </w:rPr>
        <w:t xml:space="preserve"> obejrzeni</w:t>
      </w:r>
      <w:r w:rsidR="00DD6583">
        <w:rPr>
          <w:lang w:val="pl-PL"/>
        </w:rPr>
        <w:t>a</w:t>
      </w:r>
      <w:r w:rsidR="009D7301" w:rsidRPr="00246717">
        <w:rPr>
          <w:lang w:val="pl-PL"/>
        </w:rPr>
        <w:t xml:space="preserve"> </w:t>
      </w:r>
      <w:r w:rsidR="00DD6583">
        <w:rPr>
          <w:lang w:val="pl-PL"/>
        </w:rPr>
        <w:t>nagrania</w:t>
      </w:r>
      <w:r w:rsidR="00DD6583" w:rsidRPr="00246717">
        <w:rPr>
          <w:lang w:val="pl-PL"/>
        </w:rPr>
        <w:t xml:space="preserve"> </w:t>
      </w:r>
      <w:r w:rsidR="009D7301" w:rsidRPr="00246717">
        <w:rPr>
          <w:lang w:val="pl-PL"/>
        </w:rPr>
        <w:t xml:space="preserve">wideo </w:t>
      </w:r>
      <w:r w:rsidR="00DD6583" w:rsidRPr="00246717">
        <w:rPr>
          <w:lang w:val="pl-PL"/>
        </w:rPr>
        <w:t>odtwarzane</w:t>
      </w:r>
      <w:r w:rsidR="00DD6583">
        <w:rPr>
          <w:lang w:val="pl-PL"/>
        </w:rPr>
        <w:t>go</w:t>
      </w:r>
      <w:r w:rsidR="00DD6583" w:rsidRPr="00246717">
        <w:rPr>
          <w:lang w:val="pl-PL"/>
        </w:rPr>
        <w:t xml:space="preserve"> </w:t>
      </w:r>
      <w:r w:rsidR="009D7301" w:rsidRPr="00246717">
        <w:rPr>
          <w:lang w:val="pl-PL"/>
        </w:rPr>
        <w:t>na rozprawie, a jeśli tak, czy naruszyło</w:t>
      </w:r>
      <w:r w:rsidR="00DD6583">
        <w:rPr>
          <w:lang w:val="pl-PL"/>
        </w:rPr>
        <w:t xml:space="preserve"> to</w:t>
      </w:r>
      <w:r w:rsidR="009D7301" w:rsidRPr="00246717">
        <w:rPr>
          <w:lang w:val="pl-PL"/>
        </w:rPr>
        <w:t xml:space="preserve"> ogólną rzetelność </w:t>
      </w:r>
      <w:r w:rsidR="00DD6583">
        <w:rPr>
          <w:lang w:val="pl-PL"/>
        </w:rPr>
        <w:t xml:space="preserve">prowadzonego wobec niej </w:t>
      </w:r>
      <w:r w:rsidR="009D7301" w:rsidRPr="00246717">
        <w:rPr>
          <w:lang w:val="pl-PL"/>
        </w:rPr>
        <w:t xml:space="preserve">postępowania karnego, </w:t>
      </w:r>
      <w:r w:rsidR="00DD6583">
        <w:rPr>
          <w:lang w:val="pl-PL"/>
        </w:rPr>
        <w:t>co miało miejsce</w:t>
      </w:r>
      <w:r w:rsidR="00D35F27">
        <w:rPr>
          <w:lang w:val="pl-PL"/>
        </w:rPr>
        <w:t xml:space="preserve"> </w:t>
      </w:r>
      <w:r w:rsidR="00DD6583">
        <w:rPr>
          <w:lang w:val="pl-PL"/>
        </w:rPr>
        <w:t>wbrew</w:t>
      </w:r>
      <w:r w:rsidR="009D7301" w:rsidRPr="00246717">
        <w:rPr>
          <w:lang w:val="pl-PL"/>
        </w:rPr>
        <w:t xml:space="preserve"> art.</w:t>
      </w:r>
      <w:r w:rsidR="005246E3">
        <w:rPr>
          <w:lang w:val="pl-PL"/>
        </w:rPr>
        <w:t> </w:t>
      </w:r>
      <w:r w:rsidR="009D7301" w:rsidRPr="00246717">
        <w:rPr>
          <w:lang w:val="pl-PL"/>
        </w:rPr>
        <w:t>6 ust.</w:t>
      </w:r>
      <w:r w:rsidR="005246E3">
        <w:rPr>
          <w:lang w:val="pl-PL"/>
        </w:rPr>
        <w:t> </w:t>
      </w:r>
      <w:r w:rsidR="009D7301" w:rsidRPr="00246717">
        <w:rPr>
          <w:lang w:val="pl-PL"/>
        </w:rPr>
        <w:t>1 i 3 lit.</w:t>
      </w:r>
      <w:r w:rsidR="005246E3">
        <w:rPr>
          <w:lang w:val="pl-PL"/>
        </w:rPr>
        <w:t> </w:t>
      </w:r>
      <w:r w:rsidR="009D7301" w:rsidRPr="00246717">
        <w:rPr>
          <w:lang w:val="pl-PL"/>
        </w:rPr>
        <w:t>b Konwencji.</w:t>
      </w:r>
    </w:p>
    <w:p w14:paraId="00057246" w14:textId="40CFDD95" w:rsidR="00014566" w:rsidRPr="00246717" w:rsidRDefault="009F0F91" w:rsidP="000957D3">
      <w:pPr>
        <w:pStyle w:val="ECHRHeading2"/>
        <w:rPr>
          <w:lang w:val="pl-PL"/>
        </w:rPr>
      </w:pPr>
      <w:bookmarkStart w:id="108" w:name="_Toc512401307"/>
      <w:bookmarkStart w:id="109" w:name="_Toc512345135"/>
      <w:r w:rsidRPr="00246717">
        <w:rPr>
          <w:lang w:val="pl-PL"/>
        </w:rPr>
        <w:t>D.</w:t>
      </w:r>
      <w:r w:rsidR="005246E3">
        <w:rPr>
          <w:lang w:val="pl-PL"/>
        </w:rPr>
        <w:t>  </w:t>
      </w:r>
      <w:r w:rsidRPr="00246717">
        <w:rPr>
          <w:lang w:val="pl-PL"/>
        </w:rPr>
        <w:t>Ocena Trybunału</w:t>
      </w:r>
      <w:bookmarkEnd w:id="108"/>
      <w:bookmarkEnd w:id="109"/>
    </w:p>
    <w:p w14:paraId="6BFD86E6" w14:textId="6D470728" w:rsidR="00772D70" w:rsidRPr="00246717" w:rsidRDefault="00150576" w:rsidP="000957D3">
      <w:pPr>
        <w:pStyle w:val="ECHRPara"/>
        <w:rPr>
          <w:lang w:val="pl-PL"/>
        </w:rPr>
      </w:pPr>
      <w:r w:rsidRPr="00246717">
        <w:rPr>
          <w:lang w:val="pl-PL"/>
        </w:rPr>
        <w:fldChar w:fldCharType="begin"/>
      </w:r>
      <w:r w:rsidR="007476B0" w:rsidRPr="00246717">
        <w:rPr>
          <w:lang w:val="pl-PL"/>
        </w:rPr>
        <w:instrText xml:space="preserve"> SEQ level0 \*arabic </w:instrText>
      </w:r>
      <w:r w:rsidRPr="00246717">
        <w:rPr>
          <w:lang w:val="pl-PL"/>
        </w:rPr>
        <w:fldChar w:fldCharType="separate"/>
      </w:r>
      <w:r w:rsidR="007476B0" w:rsidRPr="00246717">
        <w:rPr>
          <w:lang w:val="pl-PL"/>
        </w:rPr>
        <w:t>90</w:t>
      </w:r>
      <w:r w:rsidRPr="00246717">
        <w:rPr>
          <w:lang w:val="pl-PL"/>
        </w:rPr>
        <w:fldChar w:fldCharType="end"/>
      </w:r>
      <w:r w:rsidR="007476B0" w:rsidRPr="00246717">
        <w:rPr>
          <w:lang w:val="pl-PL"/>
        </w:rPr>
        <w:t>.  Jako że wymogi przewidziane w art.</w:t>
      </w:r>
      <w:r w:rsidR="005246E3">
        <w:rPr>
          <w:lang w:val="pl-PL"/>
        </w:rPr>
        <w:t> </w:t>
      </w:r>
      <w:r w:rsidR="007476B0" w:rsidRPr="00246717">
        <w:rPr>
          <w:lang w:val="pl-PL"/>
        </w:rPr>
        <w:t>6 ust.</w:t>
      </w:r>
      <w:r w:rsidR="000B559F">
        <w:rPr>
          <w:lang w:val="pl-PL"/>
        </w:rPr>
        <w:t> </w:t>
      </w:r>
      <w:r w:rsidR="007476B0" w:rsidRPr="00246717">
        <w:rPr>
          <w:lang w:val="pl-PL"/>
        </w:rPr>
        <w:t xml:space="preserve">3 </w:t>
      </w:r>
      <w:r w:rsidR="00DD6583">
        <w:rPr>
          <w:lang w:val="pl-PL"/>
        </w:rPr>
        <w:t>należy uznać za</w:t>
      </w:r>
      <w:r w:rsidR="007476B0" w:rsidRPr="00246717">
        <w:rPr>
          <w:lang w:val="pl-PL"/>
        </w:rPr>
        <w:t xml:space="preserve"> szczególne aspekty prawa do rzetelnego procesu </w:t>
      </w:r>
      <w:r w:rsidR="00DD6583">
        <w:rPr>
          <w:lang w:val="pl-PL"/>
        </w:rPr>
        <w:t>za</w:t>
      </w:r>
      <w:r w:rsidR="00D35F27">
        <w:rPr>
          <w:lang w:val="pl-PL"/>
        </w:rPr>
        <w:t>g</w:t>
      </w:r>
      <w:r w:rsidR="007476B0" w:rsidRPr="00246717">
        <w:rPr>
          <w:lang w:val="pl-PL"/>
        </w:rPr>
        <w:t>warantowanego w art.</w:t>
      </w:r>
      <w:r w:rsidR="000B559F">
        <w:rPr>
          <w:lang w:val="pl-PL"/>
        </w:rPr>
        <w:t> </w:t>
      </w:r>
      <w:r w:rsidR="007476B0" w:rsidRPr="00246717">
        <w:rPr>
          <w:lang w:val="pl-PL"/>
        </w:rPr>
        <w:t>6 ust. 1 Konwencji, Trybunał będzie rozpatrywać skarg</w:t>
      </w:r>
      <w:r w:rsidR="00026996">
        <w:rPr>
          <w:lang w:val="pl-PL"/>
        </w:rPr>
        <w:t>ę</w:t>
      </w:r>
      <w:r w:rsidR="007476B0" w:rsidRPr="00246717">
        <w:rPr>
          <w:lang w:val="pl-PL"/>
        </w:rPr>
        <w:t xml:space="preserve"> na podstawie obydwu </w:t>
      </w:r>
      <w:r w:rsidR="00DD6583">
        <w:rPr>
          <w:lang w:val="pl-PL"/>
        </w:rPr>
        <w:t xml:space="preserve">tych </w:t>
      </w:r>
      <w:r w:rsidR="007476B0" w:rsidRPr="00246717">
        <w:rPr>
          <w:lang w:val="pl-PL"/>
        </w:rPr>
        <w:t xml:space="preserve">postanowień jednocześnie (zob. </w:t>
      </w:r>
      <w:proofErr w:type="spellStart"/>
      <w:r w:rsidR="007476B0" w:rsidRPr="00246717">
        <w:rPr>
          <w:i/>
          <w:iCs/>
          <w:lang w:val="pl-PL"/>
        </w:rPr>
        <w:t>Simeonovi</w:t>
      </w:r>
      <w:proofErr w:type="spellEnd"/>
      <w:r w:rsidR="007476B0" w:rsidRPr="00246717">
        <w:rPr>
          <w:i/>
          <w:iCs/>
          <w:lang w:val="pl-PL"/>
        </w:rPr>
        <w:t xml:space="preserve"> przeciwko Bułgarii</w:t>
      </w:r>
      <w:r w:rsidR="007476B0" w:rsidRPr="00246717">
        <w:rPr>
          <w:lang w:val="pl-PL"/>
        </w:rPr>
        <w:t xml:space="preserve"> [WI], wyrok z dn</w:t>
      </w:r>
      <w:r w:rsidR="000B559F">
        <w:rPr>
          <w:lang w:val="pl-PL"/>
        </w:rPr>
        <w:t>ia</w:t>
      </w:r>
      <w:r w:rsidR="007476B0" w:rsidRPr="00246717">
        <w:rPr>
          <w:lang w:val="pl-PL"/>
        </w:rPr>
        <w:t xml:space="preserve"> </w:t>
      </w:r>
      <w:r w:rsidR="000B559F">
        <w:rPr>
          <w:lang w:val="pl-PL"/>
        </w:rPr>
        <w:t>z dnia</w:t>
      </w:r>
      <w:r w:rsidR="00DD6583">
        <w:rPr>
          <w:lang w:val="pl-PL"/>
        </w:rPr>
        <w:t xml:space="preserve"> </w:t>
      </w:r>
      <w:r w:rsidR="007476B0" w:rsidRPr="00246717">
        <w:rPr>
          <w:lang w:val="pl-PL"/>
        </w:rPr>
        <w:t>12 maja 2017</w:t>
      </w:r>
      <w:r w:rsidR="000B559F">
        <w:rPr>
          <w:lang w:val="pl-PL"/>
        </w:rPr>
        <w:t> </w:t>
      </w:r>
      <w:r w:rsidR="007476B0" w:rsidRPr="00246717">
        <w:rPr>
          <w:lang w:val="pl-PL"/>
        </w:rPr>
        <w:t xml:space="preserve">r., skarga nr 21980/04, § 113; zob. też </w:t>
      </w:r>
      <w:proofErr w:type="spellStart"/>
      <w:r w:rsidR="007476B0" w:rsidRPr="00246717">
        <w:rPr>
          <w:i/>
          <w:iCs/>
          <w:lang w:val="pl-PL"/>
        </w:rPr>
        <w:t>Lüdi</w:t>
      </w:r>
      <w:proofErr w:type="spellEnd"/>
      <w:r w:rsidR="007476B0" w:rsidRPr="00246717">
        <w:rPr>
          <w:i/>
          <w:iCs/>
          <w:lang w:val="pl-PL"/>
        </w:rPr>
        <w:t xml:space="preserve"> przeciwko Szwajcarii, </w:t>
      </w:r>
      <w:r w:rsidR="000B559F">
        <w:rPr>
          <w:iCs/>
          <w:lang w:val="pl-PL"/>
        </w:rPr>
        <w:t xml:space="preserve">z dnia </w:t>
      </w:r>
      <w:r w:rsidR="007476B0" w:rsidRPr="00246717">
        <w:rPr>
          <w:lang w:val="pl-PL"/>
        </w:rPr>
        <w:t>15 czerwca 1992</w:t>
      </w:r>
      <w:r w:rsidR="000B559F">
        <w:rPr>
          <w:lang w:val="pl-PL"/>
        </w:rPr>
        <w:t> </w:t>
      </w:r>
      <w:r w:rsidR="007476B0" w:rsidRPr="00246717">
        <w:rPr>
          <w:lang w:val="pl-PL"/>
        </w:rPr>
        <w:t>r., § 43, Seria</w:t>
      </w:r>
      <w:r w:rsidR="000B559F">
        <w:rPr>
          <w:lang w:val="pl-PL"/>
        </w:rPr>
        <w:t> </w:t>
      </w:r>
      <w:r w:rsidR="007476B0" w:rsidRPr="00246717">
        <w:rPr>
          <w:lang w:val="pl-PL"/>
        </w:rPr>
        <w:t>A nr</w:t>
      </w:r>
      <w:r w:rsidR="000B559F">
        <w:rPr>
          <w:lang w:val="pl-PL"/>
        </w:rPr>
        <w:t> </w:t>
      </w:r>
      <w:r w:rsidR="007476B0" w:rsidRPr="00246717">
        <w:rPr>
          <w:lang w:val="pl-PL"/>
        </w:rPr>
        <w:t xml:space="preserve">238; oraz </w:t>
      </w:r>
      <w:proofErr w:type="spellStart"/>
      <w:r w:rsidR="007476B0" w:rsidRPr="00246717">
        <w:rPr>
          <w:i/>
          <w:iCs/>
          <w:lang w:val="pl-PL"/>
        </w:rPr>
        <w:t>Vacher</w:t>
      </w:r>
      <w:proofErr w:type="spellEnd"/>
      <w:r w:rsidR="007476B0" w:rsidRPr="00246717">
        <w:rPr>
          <w:i/>
          <w:iCs/>
          <w:lang w:val="pl-PL"/>
        </w:rPr>
        <w:t xml:space="preserve"> przeciwko Francji</w:t>
      </w:r>
      <w:r w:rsidR="007476B0" w:rsidRPr="00246717">
        <w:rPr>
          <w:lang w:val="pl-PL"/>
        </w:rPr>
        <w:t xml:space="preserve">, </w:t>
      </w:r>
      <w:r w:rsidR="000B559F">
        <w:rPr>
          <w:lang w:val="pl-PL"/>
        </w:rPr>
        <w:t xml:space="preserve">z dnia </w:t>
      </w:r>
      <w:r w:rsidR="007476B0" w:rsidRPr="00246717">
        <w:rPr>
          <w:lang w:val="pl-PL"/>
        </w:rPr>
        <w:t>17 grudnia 1996</w:t>
      </w:r>
      <w:r w:rsidR="000B559F">
        <w:rPr>
          <w:lang w:val="pl-PL"/>
        </w:rPr>
        <w:t> </w:t>
      </w:r>
      <w:r w:rsidR="007476B0" w:rsidRPr="00246717">
        <w:rPr>
          <w:lang w:val="pl-PL"/>
        </w:rPr>
        <w:t xml:space="preserve">r., § 22, </w:t>
      </w:r>
      <w:r w:rsidR="007476B0" w:rsidRPr="00246717">
        <w:rPr>
          <w:i/>
          <w:iCs/>
          <w:lang w:val="pl-PL"/>
        </w:rPr>
        <w:t>Zbiór Wyroków i Decyzji</w:t>
      </w:r>
      <w:r w:rsidR="007476B0" w:rsidRPr="00246717">
        <w:rPr>
          <w:lang w:val="pl-PL"/>
        </w:rPr>
        <w:t xml:space="preserve"> 1996</w:t>
      </w:r>
      <w:r w:rsidR="000B559F">
        <w:rPr>
          <w:lang w:val="pl-PL"/>
        </w:rPr>
        <w:noBreakHyphen/>
      </w:r>
      <w:r w:rsidR="007476B0" w:rsidRPr="00246717">
        <w:rPr>
          <w:lang w:val="pl-PL"/>
        </w:rPr>
        <w:t>VI).</w:t>
      </w:r>
    </w:p>
    <w:p w14:paraId="782D0A7B" w14:textId="2A5A0421" w:rsidR="00B00168" w:rsidRPr="00246717" w:rsidRDefault="00150576" w:rsidP="000957D3">
      <w:pPr>
        <w:pStyle w:val="ECHRPara"/>
        <w:rPr>
          <w:lang w:val="pl-PL"/>
        </w:rPr>
      </w:pPr>
      <w:r w:rsidRPr="00246717">
        <w:rPr>
          <w:lang w:val="pl-PL"/>
        </w:rPr>
        <w:fldChar w:fldCharType="begin"/>
      </w:r>
      <w:r w:rsidR="007476B0" w:rsidRPr="00246717">
        <w:rPr>
          <w:lang w:val="pl-PL"/>
        </w:rPr>
        <w:instrText xml:space="preserve"> SEQ level0 \*arabic </w:instrText>
      </w:r>
      <w:r w:rsidRPr="00246717">
        <w:rPr>
          <w:lang w:val="pl-PL"/>
        </w:rPr>
        <w:fldChar w:fldCharType="separate"/>
      </w:r>
      <w:r w:rsidR="007476B0" w:rsidRPr="00246717">
        <w:rPr>
          <w:lang w:val="pl-PL"/>
        </w:rPr>
        <w:t>91</w:t>
      </w:r>
      <w:r w:rsidRPr="00246717">
        <w:rPr>
          <w:lang w:val="pl-PL"/>
        </w:rPr>
        <w:fldChar w:fldCharType="end"/>
      </w:r>
      <w:r w:rsidR="007476B0" w:rsidRPr="00246717">
        <w:rPr>
          <w:lang w:val="pl-PL"/>
        </w:rPr>
        <w:t>.  Trybunał przypomina, że art.</w:t>
      </w:r>
      <w:r w:rsidR="006456A1">
        <w:rPr>
          <w:lang w:val="pl-PL"/>
        </w:rPr>
        <w:t> </w:t>
      </w:r>
      <w:r w:rsidR="007476B0" w:rsidRPr="00246717">
        <w:rPr>
          <w:lang w:val="pl-PL"/>
        </w:rPr>
        <w:t xml:space="preserve">6 odczytywany jako całość, gwarantuje oskarżonemu prawo do skutecznego uczestnictwa w procesie karnym, co obejmuje między innymi nie tylko prawo do bycia obecnym, ale też do </w:t>
      </w:r>
      <w:r w:rsidR="00DD6583">
        <w:rPr>
          <w:lang w:val="pl-PL"/>
        </w:rPr>
        <w:lastRenderedPageBreak/>
        <w:t>odsłuchiwania</w:t>
      </w:r>
      <w:r w:rsidR="00DD6583" w:rsidRPr="00246717">
        <w:rPr>
          <w:lang w:val="pl-PL"/>
        </w:rPr>
        <w:t xml:space="preserve"> </w:t>
      </w:r>
      <w:r w:rsidR="007476B0" w:rsidRPr="00246717">
        <w:rPr>
          <w:lang w:val="pl-PL"/>
        </w:rPr>
        <w:t xml:space="preserve">i śledzenia </w:t>
      </w:r>
      <w:r w:rsidR="00DD6583">
        <w:rPr>
          <w:lang w:val="pl-PL"/>
        </w:rPr>
        <w:t xml:space="preserve">przebiegu </w:t>
      </w:r>
      <w:r w:rsidR="007476B0" w:rsidRPr="00246717">
        <w:rPr>
          <w:lang w:val="pl-PL"/>
        </w:rPr>
        <w:t xml:space="preserve">postępowania (zob. </w:t>
      </w:r>
      <w:r w:rsidR="007476B0" w:rsidRPr="00246717">
        <w:rPr>
          <w:i/>
          <w:iCs/>
          <w:lang w:val="pl-PL"/>
        </w:rPr>
        <w:t>Stanford przeciwko Zjednoczonemu Królestwu</w:t>
      </w:r>
      <w:r w:rsidR="007476B0" w:rsidRPr="00246717">
        <w:rPr>
          <w:lang w:val="pl-PL"/>
        </w:rPr>
        <w:t>, 23 lutego 1994</w:t>
      </w:r>
      <w:r w:rsidR="006456A1">
        <w:rPr>
          <w:lang w:val="pl-PL"/>
        </w:rPr>
        <w:t> </w:t>
      </w:r>
      <w:r w:rsidR="007476B0" w:rsidRPr="00246717">
        <w:rPr>
          <w:lang w:val="pl-PL"/>
        </w:rPr>
        <w:t>r., § 26, Seria</w:t>
      </w:r>
      <w:r w:rsidR="006456A1">
        <w:rPr>
          <w:lang w:val="pl-PL"/>
        </w:rPr>
        <w:t> </w:t>
      </w:r>
      <w:r w:rsidR="007476B0" w:rsidRPr="00246717">
        <w:rPr>
          <w:lang w:val="pl-PL"/>
        </w:rPr>
        <w:t>A nr</w:t>
      </w:r>
      <w:r w:rsidR="006456A1">
        <w:rPr>
          <w:lang w:val="pl-PL"/>
        </w:rPr>
        <w:t> </w:t>
      </w:r>
      <w:r w:rsidR="007476B0" w:rsidRPr="00246717">
        <w:rPr>
          <w:lang w:val="pl-PL"/>
        </w:rPr>
        <w:t>282</w:t>
      </w:r>
      <w:r w:rsidR="007476B0" w:rsidRPr="00246717">
        <w:rPr>
          <w:lang w:val="pl-PL"/>
        </w:rPr>
        <w:noBreakHyphen/>
        <w:t xml:space="preserve">A). Prawo do </w:t>
      </w:r>
      <w:r w:rsidR="00DD6583">
        <w:rPr>
          <w:lang w:val="pl-PL"/>
        </w:rPr>
        <w:t>kontradyktoryjności</w:t>
      </w:r>
      <w:r w:rsidR="007476B0" w:rsidRPr="00246717">
        <w:rPr>
          <w:lang w:val="pl-PL"/>
        </w:rPr>
        <w:t xml:space="preserve"> w postępowaniu karnym</w:t>
      </w:r>
      <w:r w:rsidR="00DD6583">
        <w:rPr>
          <w:lang w:val="pl-PL"/>
        </w:rPr>
        <w:t xml:space="preserve"> oznacza</w:t>
      </w:r>
      <w:r w:rsidR="007476B0" w:rsidRPr="00246717">
        <w:rPr>
          <w:lang w:val="pl-PL"/>
        </w:rPr>
        <w:t xml:space="preserve">, że oskarżenie i obrona muszą mieć możliwość uzyskania wiedzy i </w:t>
      </w:r>
      <w:r w:rsidR="00DD6583">
        <w:rPr>
          <w:lang w:val="pl-PL"/>
        </w:rPr>
        <w:t xml:space="preserve">przedstawienia stanowiska w sprawie </w:t>
      </w:r>
      <w:r w:rsidR="007476B0" w:rsidRPr="00246717">
        <w:rPr>
          <w:lang w:val="pl-PL"/>
        </w:rPr>
        <w:t>złożonych uwag i dowodów przedstawionych przez drugą ze stron</w:t>
      </w:r>
      <w:r w:rsidR="00D81A0A">
        <w:rPr>
          <w:lang w:val="pl-PL"/>
        </w:rPr>
        <w:t>.</w:t>
      </w:r>
      <w:r w:rsidR="001355C6">
        <w:rPr>
          <w:lang w:val="pl-PL"/>
        </w:rPr>
        <w:t xml:space="preserve"> </w:t>
      </w:r>
      <w:r w:rsidR="00DD6583">
        <w:rPr>
          <w:lang w:val="pl-PL"/>
        </w:rPr>
        <w:t xml:space="preserve">Spełnienie tego wymogu </w:t>
      </w:r>
      <w:r w:rsidR="001355C6">
        <w:rPr>
          <w:lang w:val="pl-PL"/>
        </w:rPr>
        <w:t xml:space="preserve">przez prawo krajowe </w:t>
      </w:r>
      <w:r w:rsidR="00DD6583">
        <w:rPr>
          <w:lang w:val="pl-PL"/>
        </w:rPr>
        <w:t>może</w:t>
      </w:r>
      <w:r w:rsidR="007476B0" w:rsidRPr="00246717">
        <w:rPr>
          <w:lang w:val="pl-PL"/>
        </w:rPr>
        <w:t xml:space="preserve"> </w:t>
      </w:r>
      <w:r w:rsidR="001355C6">
        <w:rPr>
          <w:lang w:val="pl-PL"/>
        </w:rPr>
        <w:t>nastąpić na wiele sposobów</w:t>
      </w:r>
      <w:r w:rsidR="007476B0" w:rsidRPr="00246717">
        <w:rPr>
          <w:lang w:val="pl-PL"/>
        </w:rPr>
        <w:t xml:space="preserve">. Niemniej bez względu na wybór metody należy </w:t>
      </w:r>
      <w:r w:rsidR="001355C6">
        <w:rPr>
          <w:lang w:val="pl-PL"/>
        </w:rPr>
        <w:t>dopilnować, by</w:t>
      </w:r>
      <w:r w:rsidR="007476B0" w:rsidRPr="00246717">
        <w:rPr>
          <w:lang w:val="pl-PL"/>
        </w:rPr>
        <w:t xml:space="preserve"> druga ze stron </w:t>
      </w:r>
      <w:r w:rsidR="001355C6">
        <w:rPr>
          <w:lang w:val="pl-PL"/>
        </w:rPr>
        <w:t>wiedziała</w:t>
      </w:r>
      <w:r w:rsidR="007476B0" w:rsidRPr="00246717">
        <w:rPr>
          <w:lang w:val="pl-PL"/>
        </w:rPr>
        <w:t xml:space="preserve"> o </w:t>
      </w:r>
      <w:r w:rsidR="001355C6" w:rsidRPr="00246717">
        <w:rPr>
          <w:lang w:val="pl-PL"/>
        </w:rPr>
        <w:t>przedłoż</w:t>
      </w:r>
      <w:r w:rsidR="001355C6">
        <w:rPr>
          <w:lang w:val="pl-PL"/>
        </w:rPr>
        <w:t>onych</w:t>
      </w:r>
      <w:r w:rsidR="001355C6" w:rsidRPr="00246717">
        <w:rPr>
          <w:lang w:val="pl-PL"/>
        </w:rPr>
        <w:t xml:space="preserve"> </w:t>
      </w:r>
      <w:r w:rsidR="007476B0" w:rsidRPr="00246717">
        <w:rPr>
          <w:lang w:val="pl-PL"/>
        </w:rPr>
        <w:t>uwag</w:t>
      </w:r>
      <w:r w:rsidR="001355C6">
        <w:rPr>
          <w:lang w:val="pl-PL"/>
        </w:rPr>
        <w:t>ach</w:t>
      </w:r>
      <w:r w:rsidR="007476B0" w:rsidRPr="00246717">
        <w:rPr>
          <w:lang w:val="pl-PL"/>
        </w:rPr>
        <w:t xml:space="preserve"> i </w:t>
      </w:r>
      <w:r w:rsidR="001355C6">
        <w:rPr>
          <w:lang w:val="pl-PL"/>
        </w:rPr>
        <w:t>miała realną</w:t>
      </w:r>
      <w:r w:rsidR="007476B0" w:rsidRPr="00246717">
        <w:rPr>
          <w:lang w:val="pl-PL"/>
        </w:rPr>
        <w:t xml:space="preserve"> możliwość </w:t>
      </w:r>
      <w:r w:rsidR="001355C6">
        <w:rPr>
          <w:lang w:val="pl-PL"/>
        </w:rPr>
        <w:t>zajęcia stanowiska w ich przedmiocie</w:t>
      </w:r>
      <w:r w:rsidR="007476B0" w:rsidRPr="00246717">
        <w:rPr>
          <w:lang w:val="pl-PL"/>
        </w:rPr>
        <w:t xml:space="preserve"> (zob. sprawa </w:t>
      </w:r>
      <w:proofErr w:type="spellStart"/>
      <w:r w:rsidR="007476B0" w:rsidRPr="00246717">
        <w:rPr>
          <w:i/>
          <w:iCs/>
          <w:lang w:val="pl-PL"/>
        </w:rPr>
        <w:t>Zahirović</w:t>
      </w:r>
      <w:proofErr w:type="spellEnd"/>
      <w:r w:rsidR="007476B0" w:rsidRPr="00246717">
        <w:rPr>
          <w:i/>
          <w:iCs/>
          <w:lang w:val="pl-PL"/>
        </w:rPr>
        <w:t xml:space="preserve"> przeciwko Chorwacji</w:t>
      </w:r>
      <w:r w:rsidR="007476B0" w:rsidRPr="00246717">
        <w:rPr>
          <w:lang w:val="pl-PL"/>
        </w:rPr>
        <w:t>, wyrok z dn</w:t>
      </w:r>
      <w:r w:rsidR="006456A1">
        <w:rPr>
          <w:lang w:val="pl-PL"/>
        </w:rPr>
        <w:t>ia</w:t>
      </w:r>
      <w:r w:rsidR="007476B0" w:rsidRPr="00246717">
        <w:rPr>
          <w:lang w:val="pl-PL"/>
        </w:rPr>
        <w:t xml:space="preserve"> 25 kwietnia 2013</w:t>
      </w:r>
      <w:r w:rsidR="006456A1">
        <w:rPr>
          <w:lang w:val="pl-PL"/>
        </w:rPr>
        <w:t> </w:t>
      </w:r>
      <w:r w:rsidR="007476B0" w:rsidRPr="00246717">
        <w:rPr>
          <w:lang w:val="pl-PL"/>
        </w:rPr>
        <w:t>r., skarga nr</w:t>
      </w:r>
      <w:r w:rsidR="006456A1">
        <w:rPr>
          <w:lang w:val="pl-PL"/>
        </w:rPr>
        <w:t> </w:t>
      </w:r>
      <w:r w:rsidR="007476B0" w:rsidRPr="00246717">
        <w:rPr>
          <w:lang w:val="pl-PL"/>
        </w:rPr>
        <w:t>58590/11</w:t>
      </w:r>
      <w:r w:rsidR="007476B0" w:rsidRPr="00246717">
        <w:rPr>
          <w:snapToGrid w:val="0"/>
          <w:lang w:val="pl-PL"/>
        </w:rPr>
        <w:t>, § 42, i przytoczone tam orzecznictwo</w:t>
      </w:r>
      <w:r w:rsidR="007476B0" w:rsidRPr="00246717">
        <w:rPr>
          <w:lang w:val="pl-PL"/>
        </w:rPr>
        <w:t xml:space="preserve">). </w:t>
      </w:r>
      <w:r w:rsidR="001355C6">
        <w:rPr>
          <w:lang w:val="pl-PL"/>
        </w:rPr>
        <w:t>Rozwiązania</w:t>
      </w:r>
      <w:r w:rsidR="007476B0" w:rsidRPr="00246717">
        <w:rPr>
          <w:lang w:val="pl-PL"/>
        </w:rPr>
        <w:t xml:space="preserve">, z których powinien </w:t>
      </w:r>
      <w:r w:rsidR="001355C6">
        <w:rPr>
          <w:lang w:val="pl-PL"/>
        </w:rPr>
        <w:t>móc s</w:t>
      </w:r>
      <w:r w:rsidR="007476B0" w:rsidRPr="00246717">
        <w:rPr>
          <w:lang w:val="pl-PL"/>
        </w:rPr>
        <w:t xml:space="preserve">korzystać każdy, komu </w:t>
      </w:r>
      <w:r w:rsidR="001355C6">
        <w:rPr>
          <w:lang w:val="pl-PL"/>
        </w:rPr>
        <w:t>zarzucono</w:t>
      </w:r>
      <w:r w:rsidR="007476B0" w:rsidRPr="00246717">
        <w:rPr>
          <w:lang w:val="pl-PL"/>
        </w:rPr>
        <w:t xml:space="preserve"> popełnienie przestępstwa, </w:t>
      </w:r>
      <w:r w:rsidR="001355C6">
        <w:rPr>
          <w:lang w:val="pl-PL"/>
        </w:rPr>
        <w:t xml:space="preserve">obejmują </w:t>
      </w:r>
      <w:r w:rsidR="007476B0" w:rsidRPr="00246717">
        <w:rPr>
          <w:lang w:val="pl-PL"/>
        </w:rPr>
        <w:t xml:space="preserve">możliwość zapoznania się, </w:t>
      </w:r>
      <w:r w:rsidR="001355C6">
        <w:rPr>
          <w:lang w:val="pl-PL"/>
        </w:rPr>
        <w:t>w</w:t>
      </w:r>
      <w:r w:rsidR="001355C6" w:rsidRPr="00246717">
        <w:rPr>
          <w:lang w:val="pl-PL"/>
        </w:rPr>
        <w:t xml:space="preserve"> cel</w:t>
      </w:r>
      <w:r w:rsidR="001355C6">
        <w:rPr>
          <w:lang w:val="pl-PL"/>
        </w:rPr>
        <w:t>u</w:t>
      </w:r>
      <w:r w:rsidR="001355C6" w:rsidRPr="00246717">
        <w:rPr>
          <w:lang w:val="pl-PL"/>
        </w:rPr>
        <w:t xml:space="preserve"> </w:t>
      </w:r>
      <w:r w:rsidR="007476B0" w:rsidRPr="00246717">
        <w:rPr>
          <w:lang w:val="pl-PL"/>
        </w:rPr>
        <w:t xml:space="preserve">przygotowania obrony, z wynikami </w:t>
      </w:r>
      <w:r w:rsidR="006456A1">
        <w:rPr>
          <w:lang w:val="pl-PL"/>
        </w:rPr>
        <w:t>czynności procesowych</w:t>
      </w:r>
      <w:r w:rsidR="007476B0" w:rsidRPr="00246717">
        <w:rPr>
          <w:lang w:val="pl-PL"/>
        </w:rPr>
        <w:t xml:space="preserve"> przeprowadzonych na wszystkich etapach postępowania (zob. </w:t>
      </w:r>
      <w:r w:rsidR="007476B0" w:rsidRPr="00246717">
        <w:rPr>
          <w:i/>
          <w:iCs/>
          <w:lang w:val="pl-PL"/>
        </w:rPr>
        <w:t xml:space="preserve">C.G.P. przeciwko </w:t>
      </w:r>
      <w:r w:rsidR="006456A1">
        <w:rPr>
          <w:i/>
          <w:iCs/>
          <w:lang w:val="pl-PL"/>
        </w:rPr>
        <w:t>Holandii</w:t>
      </w:r>
      <w:r w:rsidR="007476B0" w:rsidRPr="00246717">
        <w:rPr>
          <w:lang w:val="pl-PL"/>
        </w:rPr>
        <w:t xml:space="preserve"> (</w:t>
      </w:r>
      <w:proofErr w:type="spellStart"/>
      <w:r w:rsidR="007476B0" w:rsidRPr="00246717">
        <w:rPr>
          <w:lang w:val="pl-PL"/>
        </w:rPr>
        <w:t>dec</w:t>
      </w:r>
      <w:proofErr w:type="spellEnd"/>
      <w:r w:rsidR="007476B0" w:rsidRPr="00246717">
        <w:rPr>
          <w:lang w:val="pl-PL"/>
        </w:rPr>
        <w:t>.), wyrok z dn</w:t>
      </w:r>
      <w:r w:rsidR="006456A1">
        <w:rPr>
          <w:lang w:val="pl-PL"/>
        </w:rPr>
        <w:t>ia</w:t>
      </w:r>
      <w:r w:rsidR="007476B0" w:rsidRPr="00246717">
        <w:rPr>
          <w:lang w:val="pl-PL"/>
        </w:rPr>
        <w:t xml:space="preserve"> 15 stycznia 1997</w:t>
      </w:r>
      <w:r w:rsidR="006456A1">
        <w:rPr>
          <w:lang w:val="pl-PL"/>
        </w:rPr>
        <w:t> </w:t>
      </w:r>
      <w:r w:rsidR="007476B0" w:rsidRPr="00246717">
        <w:rPr>
          <w:lang w:val="pl-PL"/>
        </w:rPr>
        <w:t xml:space="preserve">r., skarga nr 29835/96; </w:t>
      </w:r>
      <w:proofErr w:type="spellStart"/>
      <w:r w:rsidR="007476B0" w:rsidRPr="00246717">
        <w:rPr>
          <w:i/>
          <w:iCs/>
          <w:lang w:val="pl-PL"/>
        </w:rPr>
        <w:t>Galstyan</w:t>
      </w:r>
      <w:proofErr w:type="spellEnd"/>
      <w:r w:rsidR="007476B0" w:rsidRPr="00246717">
        <w:rPr>
          <w:i/>
          <w:iCs/>
          <w:lang w:val="pl-PL"/>
        </w:rPr>
        <w:t xml:space="preserve"> przeciwko Armenii</w:t>
      </w:r>
      <w:r w:rsidR="007476B0" w:rsidRPr="00246717">
        <w:rPr>
          <w:lang w:val="pl-PL"/>
        </w:rPr>
        <w:t xml:space="preserve">, wyrok z </w:t>
      </w:r>
      <w:r w:rsidR="00957D77">
        <w:rPr>
          <w:lang w:val="pl-PL"/>
        </w:rPr>
        <w:t>dnia</w:t>
      </w:r>
      <w:r w:rsidR="007476B0" w:rsidRPr="00246717">
        <w:rPr>
          <w:lang w:val="pl-PL"/>
        </w:rPr>
        <w:t xml:space="preserve"> 15 listopada 2007</w:t>
      </w:r>
      <w:r w:rsidR="006456A1">
        <w:rPr>
          <w:lang w:val="pl-PL"/>
        </w:rPr>
        <w:t> </w:t>
      </w:r>
      <w:r w:rsidR="007476B0" w:rsidRPr="00246717">
        <w:rPr>
          <w:lang w:val="pl-PL"/>
        </w:rPr>
        <w:t>r., skarga nr</w:t>
      </w:r>
      <w:r w:rsidR="006456A1">
        <w:rPr>
          <w:lang w:val="pl-PL"/>
        </w:rPr>
        <w:t> </w:t>
      </w:r>
      <w:r w:rsidR="007476B0" w:rsidRPr="00246717">
        <w:rPr>
          <w:lang w:val="pl-PL"/>
        </w:rPr>
        <w:t>26986/03, §</w:t>
      </w:r>
      <w:r w:rsidR="006456A1">
        <w:rPr>
          <w:lang w:val="pl-PL"/>
        </w:rPr>
        <w:t> </w:t>
      </w:r>
      <w:r w:rsidR="007476B0" w:rsidRPr="00246717">
        <w:rPr>
          <w:lang w:val="pl-PL"/>
        </w:rPr>
        <w:t xml:space="preserve">84; oraz </w:t>
      </w:r>
      <w:proofErr w:type="spellStart"/>
      <w:r w:rsidR="007476B0" w:rsidRPr="00246717">
        <w:rPr>
          <w:i/>
          <w:iCs/>
          <w:lang w:val="pl-PL"/>
        </w:rPr>
        <w:t>Ibrahimov</w:t>
      </w:r>
      <w:proofErr w:type="spellEnd"/>
      <w:r w:rsidR="007476B0" w:rsidRPr="00246717">
        <w:rPr>
          <w:i/>
          <w:iCs/>
          <w:lang w:val="pl-PL"/>
        </w:rPr>
        <w:t xml:space="preserve"> i Inni przeciwko Azerbejdżanowi</w:t>
      </w:r>
      <w:r w:rsidR="007476B0" w:rsidRPr="00246717">
        <w:rPr>
          <w:lang w:val="pl-PL"/>
        </w:rPr>
        <w:t>, wyrok z dn</w:t>
      </w:r>
      <w:r w:rsidR="006456A1">
        <w:rPr>
          <w:lang w:val="pl-PL"/>
        </w:rPr>
        <w:t>ia</w:t>
      </w:r>
      <w:r w:rsidR="007476B0" w:rsidRPr="00246717">
        <w:rPr>
          <w:lang w:val="pl-PL"/>
        </w:rPr>
        <w:t xml:space="preserve"> 11 lutego 2016</w:t>
      </w:r>
      <w:r w:rsidR="006456A1">
        <w:rPr>
          <w:lang w:val="pl-PL"/>
        </w:rPr>
        <w:t> </w:t>
      </w:r>
      <w:r w:rsidR="007476B0" w:rsidRPr="00246717">
        <w:rPr>
          <w:lang w:val="pl-PL"/>
        </w:rPr>
        <w:t>r., skarga nr</w:t>
      </w:r>
      <w:r w:rsidR="006456A1">
        <w:rPr>
          <w:lang w:val="pl-PL"/>
        </w:rPr>
        <w:t> </w:t>
      </w:r>
      <w:r w:rsidR="007476B0" w:rsidRPr="00246717">
        <w:rPr>
          <w:lang w:val="pl-PL"/>
        </w:rPr>
        <w:t>69234/11 i 2 inne</w:t>
      </w:r>
      <w:r w:rsidR="007476B0" w:rsidRPr="00246717">
        <w:rPr>
          <w:snapToGrid w:val="0"/>
          <w:lang w:val="pl-PL"/>
        </w:rPr>
        <w:t>, §</w:t>
      </w:r>
      <w:r w:rsidR="006456A1">
        <w:rPr>
          <w:snapToGrid w:val="0"/>
          <w:lang w:val="pl-PL"/>
        </w:rPr>
        <w:t> </w:t>
      </w:r>
      <w:r w:rsidR="007476B0" w:rsidRPr="00246717">
        <w:rPr>
          <w:snapToGrid w:val="0"/>
          <w:lang w:val="pl-PL"/>
        </w:rPr>
        <w:t>95, i przytoczone tam orzecznictwo</w:t>
      </w:r>
      <w:r w:rsidR="007476B0" w:rsidRPr="00246717">
        <w:rPr>
          <w:lang w:val="pl-PL"/>
        </w:rPr>
        <w:t>).</w:t>
      </w:r>
    </w:p>
    <w:p w14:paraId="72F81215" w14:textId="0E5199E8" w:rsidR="0066432C" w:rsidRPr="00246717" w:rsidRDefault="00150576" w:rsidP="000957D3">
      <w:pPr>
        <w:pStyle w:val="ECHRPara"/>
        <w:rPr>
          <w:lang w:val="pl-PL"/>
        </w:rPr>
      </w:pPr>
      <w:r w:rsidRPr="00246717">
        <w:rPr>
          <w:lang w:val="pl-PL"/>
        </w:rPr>
        <w:fldChar w:fldCharType="begin"/>
      </w:r>
      <w:r w:rsidR="00B00168" w:rsidRPr="00246717">
        <w:rPr>
          <w:lang w:val="pl-PL"/>
        </w:rPr>
        <w:instrText xml:space="preserve"> SEQ level0 \*arabic </w:instrText>
      </w:r>
      <w:r w:rsidRPr="00246717">
        <w:rPr>
          <w:lang w:val="pl-PL"/>
        </w:rPr>
        <w:fldChar w:fldCharType="separate"/>
      </w:r>
      <w:r w:rsidR="00B00168" w:rsidRPr="00246717">
        <w:rPr>
          <w:lang w:val="pl-PL"/>
        </w:rPr>
        <w:t>92</w:t>
      </w:r>
      <w:r w:rsidRPr="00246717">
        <w:rPr>
          <w:lang w:val="pl-PL"/>
        </w:rPr>
        <w:fldChar w:fldCharType="end"/>
      </w:r>
      <w:r w:rsidR="00B00168" w:rsidRPr="00246717">
        <w:rPr>
          <w:lang w:val="pl-PL"/>
        </w:rPr>
        <w:t>.  </w:t>
      </w:r>
      <w:r w:rsidR="001355C6">
        <w:rPr>
          <w:lang w:val="pl-PL"/>
        </w:rPr>
        <w:t>W świetle</w:t>
      </w:r>
      <w:r w:rsidR="00B00168" w:rsidRPr="00246717">
        <w:rPr>
          <w:lang w:val="pl-PL"/>
        </w:rPr>
        <w:t xml:space="preserve"> dostępn</w:t>
      </w:r>
      <w:r w:rsidR="001355C6">
        <w:rPr>
          <w:lang w:val="pl-PL"/>
        </w:rPr>
        <w:t>ego</w:t>
      </w:r>
      <w:r w:rsidR="00B00168" w:rsidRPr="00246717">
        <w:rPr>
          <w:lang w:val="pl-PL"/>
        </w:rPr>
        <w:t xml:space="preserve"> materiał</w:t>
      </w:r>
      <w:r w:rsidR="001355C6">
        <w:rPr>
          <w:lang w:val="pl-PL"/>
        </w:rPr>
        <w:t>u</w:t>
      </w:r>
      <w:r w:rsidR="00B00168" w:rsidRPr="00246717">
        <w:rPr>
          <w:lang w:val="pl-PL"/>
        </w:rPr>
        <w:t>, przedstawion</w:t>
      </w:r>
      <w:r w:rsidR="001355C6">
        <w:rPr>
          <w:lang w:val="pl-PL"/>
        </w:rPr>
        <w:t>ych</w:t>
      </w:r>
      <w:r w:rsidR="00B00168" w:rsidRPr="00246717">
        <w:rPr>
          <w:lang w:val="pl-PL"/>
        </w:rPr>
        <w:t xml:space="preserve"> przez strony </w:t>
      </w:r>
      <w:r w:rsidR="001355C6">
        <w:rPr>
          <w:lang w:val="pl-PL"/>
        </w:rPr>
        <w:t xml:space="preserve">argumentów </w:t>
      </w:r>
      <w:r w:rsidR="00B00168" w:rsidRPr="00246717">
        <w:rPr>
          <w:lang w:val="pl-PL"/>
        </w:rPr>
        <w:t>i przytoczon</w:t>
      </w:r>
      <w:r w:rsidR="001355C6">
        <w:rPr>
          <w:lang w:val="pl-PL"/>
        </w:rPr>
        <w:t>ych</w:t>
      </w:r>
      <w:r w:rsidR="00B00168" w:rsidRPr="00246717">
        <w:rPr>
          <w:lang w:val="pl-PL"/>
        </w:rPr>
        <w:t xml:space="preserve"> wyżej</w:t>
      </w:r>
      <w:r w:rsidR="001355C6">
        <w:rPr>
          <w:lang w:val="pl-PL"/>
        </w:rPr>
        <w:t xml:space="preserve"> zasad</w:t>
      </w:r>
      <w:r w:rsidR="00B00168" w:rsidRPr="00246717">
        <w:rPr>
          <w:lang w:val="pl-PL"/>
        </w:rPr>
        <w:t xml:space="preserve">, Trybunał nie </w:t>
      </w:r>
      <w:r w:rsidR="001355C6">
        <w:rPr>
          <w:lang w:val="pl-PL"/>
        </w:rPr>
        <w:t>dostrzega</w:t>
      </w:r>
      <w:r w:rsidR="00737264">
        <w:rPr>
          <w:lang w:val="pl-PL"/>
        </w:rPr>
        <w:t xml:space="preserve"> </w:t>
      </w:r>
      <w:r w:rsidR="00B00168" w:rsidRPr="00246717">
        <w:rPr>
          <w:lang w:val="pl-PL"/>
        </w:rPr>
        <w:t xml:space="preserve">powodu, dla którego miałby odejść od </w:t>
      </w:r>
      <w:r w:rsidR="00452263">
        <w:rPr>
          <w:lang w:val="pl-PL"/>
        </w:rPr>
        <w:t>wniosków</w:t>
      </w:r>
      <w:r w:rsidR="00B00168" w:rsidRPr="00246717">
        <w:rPr>
          <w:lang w:val="pl-PL"/>
        </w:rPr>
        <w:t xml:space="preserve"> Izby.</w:t>
      </w:r>
    </w:p>
    <w:p w14:paraId="31DAA425" w14:textId="4A8A6DDA" w:rsidR="00A071A2" w:rsidRPr="00246717" w:rsidRDefault="00150576" w:rsidP="000957D3">
      <w:pPr>
        <w:pStyle w:val="ECHRPara"/>
        <w:rPr>
          <w:bCs/>
          <w:lang w:val="pl-PL"/>
        </w:rPr>
      </w:pPr>
      <w:r w:rsidRPr="00246717">
        <w:rPr>
          <w:lang w:val="pl-PL"/>
        </w:rPr>
        <w:fldChar w:fldCharType="begin"/>
      </w:r>
      <w:r w:rsidR="00A071A2" w:rsidRPr="00246717">
        <w:rPr>
          <w:lang w:val="pl-PL"/>
        </w:rPr>
        <w:instrText xml:space="preserve"> SEQ level0 \*arabic </w:instrText>
      </w:r>
      <w:r w:rsidRPr="00246717">
        <w:rPr>
          <w:lang w:val="pl-PL"/>
        </w:rPr>
        <w:fldChar w:fldCharType="separate"/>
      </w:r>
      <w:r w:rsidR="00A071A2" w:rsidRPr="00246717">
        <w:rPr>
          <w:lang w:val="pl-PL"/>
        </w:rPr>
        <w:t>93</w:t>
      </w:r>
      <w:r w:rsidRPr="00246717">
        <w:rPr>
          <w:lang w:val="pl-PL"/>
        </w:rPr>
        <w:fldChar w:fldCharType="end"/>
      </w:r>
      <w:r w:rsidR="00A071A2" w:rsidRPr="00246717">
        <w:rPr>
          <w:lang w:val="pl-PL"/>
        </w:rPr>
        <w:t xml:space="preserve">.  Zauważa, że </w:t>
      </w:r>
      <w:r w:rsidR="00737264">
        <w:rPr>
          <w:lang w:val="pl-PL"/>
        </w:rPr>
        <w:t xml:space="preserve">na rozprawie obejrzano </w:t>
      </w:r>
      <w:r w:rsidR="00A071A2" w:rsidRPr="00246717">
        <w:rPr>
          <w:lang w:val="pl-PL"/>
        </w:rPr>
        <w:t>tylko jedn</w:t>
      </w:r>
      <w:r w:rsidR="00737264">
        <w:rPr>
          <w:lang w:val="pl-PL"/>
        </w:rPr>
        <w:t>ą</w:t>
      </w:r>
      <w:r w:rsidR="00A071A2" w:rsidRPr="00246717">
        <w:rPr>
          <w:lang w:val="pl-PL"/>
        </w:rPr>
        <w:t xml:space="preserve"> taśm</w:t>
      </w:r>
      <w:r w:rsidR="00737264">
        <w:rPr>
          <w:lang w:val="pl-PL"/>
        </w:rPr>
        <w:t>ę</w:t>
      </w:r>
      <w:r w:rsidR="00A071A2" w:rsidRPr="00246717">
        <w:rPr>
          <w:lang w:val="pl-PL"/>
        </w:rPr>
        <w:t xml:space="preserve"> wideo z monitoringu. Została </w:t>
      </w:r>
      <w:r w:rsidR="00737264">
        <w:rPr>
          <w:lang w:val="pl-PL"/>
        </w:rPr>
        <w:t>ona odtworzona</w:t>
      </w:r>
      <w:r w:rsidR="00737264" w:rsidRPr="00246717">
        <w:rPr>
          <w:lang w:val="pl-PL"/>
        </w:rPr>
        <w:t xml:space="preserve"> </w:t>
      </w:r>
      <w:r w:rsidR="00A071A2" w:rsidRPr="00246717">
        <w:rPr>
          <w:lang w:val="pl-PL"/>
        </w:rPr>
        <w:t xml:space="preserve">na wniosek obrony </w:t>
      </w:r>
      <w:r w:rsidR="00737264">
        <w:rPr>
          <w:lang w:val="pl-PL"/>
        </w:rPr>
        <w:t>o</w:t>
      </w:r>
      <w:r w:rsidR="00737264" w:rsidRPr="00246717">
        <w:rPr>
          <w:lang w:val="pl-PL"/>
        </w:rPr>
        <w:t xml:space="preserve"> </w:t>
      </w:r>
      <w:r w:rsidR="00A071A2" w:rsidRPr="00246717">
        <w:rPr>
          <w:lang w:val="pl-PL"/>
        </w:rPr>
        <w:t>obejrzeni</w:t>
      </w:r>
      <w:r w:rsidR="00737264">
        <w:rPr>
          <w:lang w:val="pl-PL"/>
        </w:rPr>
        <w:t>e</w:t>
      </w:r>
      <w:r w:rsidR="00A071A2" w:rsidRPr="00246717">
        <w:rPr>
          <w:lang w:val="pl-PL"/>
        </w:rPr>
        <w:t xml:space="preserve"> tej konkretnej taśmy </w:t>
      </w:r>
      <w:r w:rsidR="00737264">
        <w:rPr>
          <w:lang w:val="pl-PL"/>
        </w:rPr>
        <w:t>na okoliczność</w:t>
      </w:r>
      <w:r w:rsidR="00A071A2" w:rsidRPr="00246717">
        <w:rPr>
          <w:lang w:val="pl-PL"/>
        </w:rPr>
        <w:t xml:space="preserve"> zweryfikowania dokładności transkrypcji (zob. par.</w:t>
      </w:r>
      <w:r w:rsidR="00452263">
        <w:rPr>
          <w:lang w:val="pl-PL"/>
        </w:rPr>
        <w:t> </w:t>
      </w:r>
      <w:r w:rsidR="00183E14">
        <w:fldChar w:fldCharType="begin"/>
      </w:r>
      <w:r w:rsidR="00183E14" w:rsidRPr="000473D0">
        <w:rPr>
          <w:lang w:val="pl-PL"/>
        </w:rPr>
        <w:instrText xml:space="preserve"> REF Request1 \h  \* MERGEFORMAT </w:instrText>
      </w:r>
      <w:r w:rsidR="00183E14">
        <w:fldChar w:fldCharType="separate"/>
      </w:r>
      <w:r w:rsidR="00A071A2" w:rsidRPr="00246717">
        <w:rPr>
          <w:rFonts w:ascii="Times New Roman" w:hAnsi="Times New Roman"/>
          <w:szCs w:val="24"/>
          <w:lang w:val="pl-PL"/>
        </w:rPr>
        <w:t>50</w:t>
      </w:r>
      <w:r w:rsidR="00183E14">
        <w:fldChar w:fldCharType="end"/>
      </w:r>
      <w:r w:rsidR="00A071A2" w:rsidRPr="00246717">
        <w:rPr>
          <w:lang w:val="pl-PL"/>
        </w:rPr>
        <w:t xml:space="preserve"> powyżej). </w:t>
      </w:r>
      <w:r w:rsidR="00DD6919">
        <w:rPr>
          <w:lang w:val="pl-PL"/>
        </w:rPr>
        <w:t>Obrona nie złożyła ż</w:t>
      </w:r>
      <w:r w:rsidR="00A071A2" w:rsidRPr="00246717">
        <w:rPr>
          <w:lang w:val="pl-PL"/>
        </w:rPr>
        <w:t>ad</w:t>
      </w:r>
      <w:r w:rsidR="00DD6919">
        <w:rPr>
          <w:lang w:val="pl-PL"/>
        </w:rPr>
        <w:t>nego</w:t>
      </w:r>
      <w:r w:rsidR="00A071A2" w:rsidRPr="00246717">
        <w:rPr>
          <w:lang w:val="pl-PL"/>
        </w:rPr>
        <w:t xml:space="preserve"> </w:t>
      </w:r>
      <w:r w:rsidR="00DD6919" w:rsidRPr="00246717">
        <w:rPr>
          <w:lang w:val="pl-PL"/>
        </w:rPr>
        <w:t>wnios</w:t>
      </w:r>
      <w:r w:rsidR="00DD6919">
        <w:rPr>
          <w:lang w:val="pl-PL"/>
        </w:rPr>
        <w:t>ku</w:t>
      </w:r>
      <w:r w:rsidR="00DD6919" w:rsidRPr="00246717">
        <w:rPr>
          <w:lang w:val="pl-PL"/>
        </w:rPr>
        <w:t xml:space="preserve"> </w:t>
      </w:r>
      <w:r w:rsidR="00A071A2" w:rsidRPr="00246717">
        <w:rPr>
          <w:lang w:val="pl-PL"/>
        </w:rPr>
        <w:t xml:space="preserve">o obejrzenie innych taśm wideo i nie </w:t>
      </w:r>
      <w:r w:rsidR="00DD6919">
        <w:rPr>
          <w:lang w:val="pl-PL"/>
        </w:rPr>
        <w:t>ma wątpliwości</w:t>
      </w:r>
      <w:r w:rsidR="00A071A2" w:rsidRPr="00246717">
        <w:rPr>
          <w:lang w:val="pl-PL"/>
        </w:rPr>
        <w:t xml:space="preserve">, że były one </w:t>
      </w:r>
      <w:r w:rsidR="00DD6919">
        <w:rPr>
          <w:lang w:val="pl-PL"/>
        </w:rPr>
        <w:t>udostępnione do wglądu</w:t>
      </w:r>
      <w:r w:rsidR="00A071A2" w:rsidRPr="00246717">
        <w:rPr>
          <w:lang w:val="pl-PL"/>
        </w:rPr>
        <w:t xml:space="preserve"> w sądzie, gdyby którakolwiek ze stron złożyła wniosek w tym zakresie. Ponadto transkrypcje rozmów nagranych </w:t>
      </w:r>
      <w:r w:rsidR="00452263">
        <w:rPr>
          <w:lang w:val="pl-PL"/>
        </w:rPr>
        <w:t>n</w:t>
      </w:r>
      <w:r w:rsidR="00A071A2" w:rsidRPr="00246717">
        <w:rPr>
          <w:lang w:val="pl-PL"/>
        </w:rPr>
        <w:t xml:space="preserve">a tych taśmach zostały włączone do akt postępowania karnego i były </w:t>
      </w:r>
      <w:r w:rsidR="00DD6919">
        <w:rPr>
          <w:lang w:val="pl-PL"/>
        </w:rPr>
        <w:t xml:space="preserve">udostępnione </w:t>
      </w:r>
      <w:r w:rsidR="00A071A2" w:rsidRPr="00246717">
        <w:rPr>
          <w:lang w:val="pl-PL"/>
        </w:rPr>
        <w:t xml:space="preserve">do </w:t>
      </w:r>
      <w:r w:rsidR="00DD6919">
        <w:rPr>
          <w:lang w:val="pl-PL"/>
        </w:rPr>
        <w:t>wglądu</w:t>
      </w:r>
      <w:r w:rsidR="00A071A2" w:rsidRPr="00246717">
        <w:rPr>
          <w:lang w:val="pl-PL"/>
        </w:rPr>
        <w:t>.</w:t>
      </w:r>
    </w:p>
    <w:p w14:paraId="2BD7E44D" w14:textId="03ECC012" w:rsidR="0062431E" w:rsidRPr="00246717" w:rsidRDefault="00150576" w:rsidP="000957D3">
      <w:pPr>
        <w:pStyle w:val="ECHRPara"/>
        <w:rPr>
          <w:bCs/>
          <w:lang w:val="pl-PL"/>
        </w:rPr>
      </w:pPr>
      <w:r w:rsidRPr="00246717">
        <w:rPr>
          <w:lang w:val="pl-PL"/>
        </w:rPr>
        <w:fldChar w:fldCharType="begin"/>
      </w:r>
      <w:r w:rsidR="009E7ABD" w:rsidRPr="00246717">
        <w:rPr>
          <w:lang w:val="pl-PL"/>
        </w:rPr>
        <w:instrText xml:space="preserve"> SEQ level0 \*arabic </w:instrText>
      </w:r>
      <w:r w:rsidRPr="00246717">
        <w:rPr>
          <w:lang w:val="pl-PL"/>
        </w:rPr>
        <w:fldChar w:fldCharType="separate"/>
      </w:r>
      <w:r w:rsidR="009E7ABD" w:rsidRPr="00246717">
        <w:rPr>
          <w:lang w:val="pl-PL"/>
        </w:rPr>
        <w:t>94</w:t>
      </w:r>
      <w:r w:rsidRPr="00246717">
        <w:rPr>
          <w:lang w:val="pl-PL"/>
        </w:rPr>
        <w:fldChar w:fldCharType="end"/>
      </w:r>
      <w:r w:rsidR="009E7ABD" w:rsidRPr="00246717">
        <w:rPr>
          <w:lang w:val="pl-PL"/>
        </w:rPr>
        <w:t>.  W odniesieniu do zarzucanych trudności technicznych przy oglądaniu taśmy wspomnianej w uzasadnieniu odwołania (zob. par</w:t>
      </w:r>
      <w:r w:rsidR="00452263">
        <w:rPr>
          <w:lang w:val="pl-PL"/>
        </w:rPr>
        <w:t>. </w:t>
      </w:r>
      <w:r w:rsidR="00183E14">
        <w:fldChar w:fldCharType="begin"/>
      </w:r>
      <w:r w:rsidR="00183E14" w:rsidRPr="000473D0">
        <w:rPr>
          <w:lang w:val="pl-PL"/>
        </w:rPr>
        <w:instrText xml:space="preserve"> REF Request1Appeal \h  \* MERGEFORMAT </w:instrText>
      </w:r>
      <w:r w:rsidR="00183E14">
        <w:fldChar w:fldCharType="separate"/>
      </w:r>
      <w:r w:rsidR="009E7ABD" w:rsidRPr="00246717">
        <w:rPr>
          <w:rFonts w:ascii="Times New Roman" w:hAnsi="Times New Roman"/>
          <w:szCs w:val="24"/>
          <w:lang w:val="pl-PL"/>
        </w:rPr>
        <w:t>63</w:t>
      </w:r>
      <w:r w:rsidR="00183E14">
        <w:fldChar w:fldCharType="end"/>
      </w:r>
      <w:r w:rsidR="009E7ABD" w:rsidRPr="00246717">
        <w:rPr>
          <w:lang w:val="pl-PL"/>
        </w:rPr>
        <w:t xml:space="preserve"> powyżej) skarżąca nie wyjaśniła sądom krajowym ani Trybunałowi</w:t>
      </w:r>
      <w:r w:rsidR="00DD6919">
        <w:rPr>
          <w:lang w:val="pl-PL"/>
        </w:rPr>
        <w:t xml:space="preserve"> charakteru</w:t>
      </w:r>
      <w:r w:rsidR="009E7ABD" w:rsidRPr="00246717">
        <w:rPr>
          <w:lang w:val="pl-PL"/>
        </w:rPr>
        <w:t xml:space="preserve"> </w:t>
      </w:r>
      <w:r w:rsidR="00DD6919">
        <w:rPr>
          <w:lang w:val="pl-PL"/>
        </w:rPr>
        <w:t xml:space="preserve">tych </w:t>
      </w:r>
      <w:r w:rsidR="009E7ABD" w:rsidRPr="00246717">
        <w:rPr>
          <w:lang w:val="pl-PL"/>
        </w:rPr>
        <w:t xml:space="preserve">trudności. Ponadto </w:t>
      </w:r>
      <w:r w:rsidR="00DD6919">
        <w:rPr>
          <w:lang w:val="pl-PL"/>
        </w:rPr>
        <w:t xml:space="preserve">z </w:t>
      </w:r>
      <w:r w:rsidR="00DD6919" w:rsidRPr="00246717">
        <w:rPr>
          <w:lang w:val="pl-PL"/>
        </w:rPr>
        <w:t>protok</w:t>
      </w:r>
      <w:r w:rsidR="00DD6919">
        <w:rPr>
          <w:lang w:val="pl-PL"/>
        </w:rPr>
        <w:t>ołu</w:t>
      </w:r>
      <w:r w:rsidR="00DD6919" w:rsidRPr="00246717">
        <w:rPr>
          <w:lang w:val="pl-PL"/>
        </w:rPr>
        <w:t xml:space="preserve"> </w:t>
      </w:r>
      <w:r w:rsidR="009E7ABD" w:rsidRPr="00246717">
        <w:rPr>
          <w:lang w:val="pl-PL"/>
        </w:rPr>
        <w:t>z rozprawy i inn</w:t>
      </w:r>
      <w:r w:rsidR="00DD6919">
        <w:rPr>
          <w:lang w:val="pl-PL"/>
        </w:rPr>
        <w:t>ych</w:t>
      </w:r>
      <w:r w:rsidR="009E7ABD" w:rsidRPr="00246717">
        <w:rPr>
          <w:lang w:val="pl-PL"/>
        </w:rPr>
        <w:t xml:space="preserve"> dokument</w:t>
      </w:r>
      <w:r w:rsidR="00DD6919">
        <w:rPr>
          <w:lang w:val="pl-PL"/>
        </w:rPr>
        <w:t>ów zawartych</w:t>
      </w:r>
      <w:r w:rsidR="009E7ABD" w:rsidRPr="00246717">
        <w:rPr>
          <w:lang w:val="pl-PL"/>
        </w:rPr>
        <w:t xml:space="preserve"> w aktach sprawy nie </w:t>
      </w:r>
      <w:r w:rsidR="00DD6919">
        <w:rPr>
          <w:lang w:val="pl-PL"/>
        </w:rPr>
        <w:t>wynikają żadne</w:t>
      </w:r>
      <w:r w:rsidR="009E7ABD" w:rsidRPr="00246717">
        <w:rPr>
          <w:lang w:val="pl-PL"/>
        </w:rPr>
        <w:t xml:space="preserve"> skargi skarżącej co do jakości ścieżki audio nagrania. </w:t>
      </w:r>
      <w:r w:rsidR="00DD6919" w:rsidRPr="00246717">
        <w:rPr>
          <w:lang w:val="pl-PL"/>
        </w:rPr>
        <w:t>Nie</w:t>
      </w:r>
      <w:r w:rsidR="00DD6919">
        <w:rPr>
          <w:lang w:val="pl-PL"/>
        </w:rPr>
        <w:t>przedstawienie</w:t>
      </w:r>
      <w:r w:rsidR="00DD6919" w:rsidRPr="00246717">
        <w:rPr>
          <w:lang w:val="pl-PL"/>
        </w:rPr>
        <w:t xml:space="preserve"> </w:t>
      </w:r>
      <w:r w:rsidR="009E7ABD" w:rsidRPr="00246717">
        <w:rPr>
          <w:lang w:val="pl-PL"/>
        </w:rPr>
        <w:t xml:space="preserve">przez Rząd planów sali rozpraw i </w:t>
      </w:r>
      <w:r w:rsidR="00DD6919">
        <w:rPr>
          <w:lang w:val="pl-PL"/>
        </w:rPr>
        <w:t>rozwiązań</w:t>
      </w:r>
      <w:r w:rsidR="00DD6919" w:rsidRPr="00246717">
        <w:rPr>
          <w:lang w:val="pl-PL"/>
        </w:rPr>
        <w:t xml:space="preserve"> </w:t>
      </w:r>
      <w:r w:rsidR="009E7ABD" w:rsidRPr="00246717">
        <w:rPr>
          <w:lang w:val="pl-PL"/>
        </w:rPr>
        <w:t xml:space="preserve">dotyczących oglądania nagrania wideo, na które powołuje się skarżąca, nie może samo w sobie </w:t>
      </w:r>
      <w:r w:rsidR="00DD6919">
        <w:rPr>
          <w:lang w:val="pl-PL"/>
        </w:rPr>
        <w:t>stanowić</w:t>
      </w:r>
      <w:r w:rsidR="009E7ABD" w:rsidRPr="00246717">
        <w:rPr>
          <w:lang w:val="pl-PL"/>
        </w:rPr>
        <w:t xml:space="preserve"> podstaw</w:t>
      </w:r>
      <w:r w:rsidR="00DD6919">
        <w:rPr>
          <w:lang w:val="pl-PL"/>
        </w:rPr>
        <w:t>y</w:t>
      </w:r>
      <w:r w:rsidR="009E7ABD" w:rsidRPr="00246717">
        <w:rPr>
          <w:lang w:val="pl-PL"/>
        </w:rPr>
        <w:t xml:space="preserve"> do wyciągania jakichkolwiek „wniosków” dotyczących nierzetelności postępowania.</w:t>
      </w:r>
    </w:p>
    <w:p w14:paraId="145E350B" w14:textId="28238669" w:rsidR="00014566" w:rsidRPr="00246717" w:rsidRDefault="00150576" w:rsidP="000957D3">
      <w:pPr>
        <w:pStyle w:val="ECHRPara"/>
        <w:rPr>
          <w:lang w:val="pl-PL"/>
        </w:rPr>
      </w:pPr>
      <w:r w:rsidRPr="00246717">
        <w:rPr>
          <w:lang w:val="pl-PL"/>
        </w:rPr>
        <w:fldChar w:fldCharType="begin"/>
      </w:r>
      <w:r w:rsidR="009E7ABD" w:rsidRPr="00246717">
        <w:rPr>
          <w:lang w:val="pl-PL"/>
        </w:rPr>
        <w:instrText xml:space="preserve"> SEQ level0 \*arabic </w:instrText>
      </w:r>
      <w:r w:rsidRPr="00246717">
        <w:rPr>
          <w:lang w:val="pl-PL"/>
        </w:rPr>
        <w:fldChar w:fldCharType="separate"/>
      </w:r>
      <w:r w:rsidR="009E7ABD" w:rsidRPr="00246717">
        <w:rPr>
          <w:lang w:val="pl-PL"/>
        </w:rPr>
        <w:t>95</w:t>
      </w:r>
      <w:r w:rsidRPr="00246717">
        <w:rPr>
          <w:lang w:val="pl-PL"/>
        </w:rPr>
        <w:fldChar w:fldCharType="end"/>
      </w:r>
      <w:r w:rsidR="009E7ABD" w:rsidRPr="00246717">
        <w:rPr>
          <w:lang w:val="pl-PL"/>
        </w:rPr>
        <w:t xml:space="preserve">.  Trybunał jest </w:t>
      </w:r>
      <w:r w:rsidR="00DD6919">
        <w:rPr>
          <w:lang w:val="pl-PL"/>
        </w:rPr>
        <w:t>przekonany</w:t>
      </w:r>
      <w:r w:rsidR="009E7ABD" w:rsidRPr="00246717">
        <w:rPr>
          <w:lang w:val="pl-PL"/>
        </w:rPr>
        <w:t xml:space="preserve">, że skarżąca mogła skutecznie uczestniczyć w oglądaniu taśmy wideo w sposób, który </w:t>
      </w:r>
      <w:r w:rsidR="00DD6919">
        <w:rPr>
          <w:lang w:val="pl-PL"/>
        </w:rPr>
        <w:t>odpowiadał</w:t>
      </w:r>
      <w:r w:rsidR="00DD6919" w:rsidRPr="00246717">
        <w:rPr>
          <w:lang w:val="pl-PL"/>
        </w:rPr>
        <w:t xml:space="preserve"> </w:t>
      </w:r>
      <w:r w:rsidR="009E7ABD" w:rsidRPr="00246717">
        <w:rPr>
          <w:lang w:val="pl-PL"/>
        </w:rPr>
        <w:t>jej potrzeb</w:t>
      </w:r>
      <w:r w:rsidR="00DD6919">
        <w:rPr>
          <w:lang w:val="pl-PL"/>
        </w:rPr>
        <w:t>om</w:t>
      </w:r>
      <w:r w:rsidR="009E7ABD" w:rsidRPr="00246717">
        <w:rPr>
          <w:lang w:val="pl-PL"/>
        </w:rPr>
        <w:t xml:space="preserve"> proceduraln</w:t>
      </w:r>
      <w:r w:rsidR="00DD6919">
        <w:rPr>
          <w:lang w:val="pl-PL"/>
        </w:rPr>
        <w:t>ym</w:t>
      </w:r>
      <w:r w:rsidR="009E7ABD" w:rsidRPr="00246717">
        <w:rPr>
          <w:lang w:val="pl-PL"/>
        </w:rPr>
        <w:t>, czyli zweryfikowa</w:t>
      </w:r>
      <w:r w:rsidR="00D81A0A">
        <w:rPr>
          <w:lang w:val="pl-PL"/>
        </w:rPr>
        <w:t>ć</w:t>
      </w:r>
      <w:r w:rsidR="009E7ABD" w:rsidRPr="00246717">
        <w:rPr>
          <w:lang w:val="pl-PL"/>
        </w:rPr>
        <w:t xml:space="preserve"> dokładności transkrypcji poprzez porównanie jej ze ścieżką audio nagrania. Co za tym idzie, nie doszło do naruszenia art. 6 ust. 1 i 3 lit. d Konwencji w tym względzie.</w:t>
      </w:r>
    </w:p>
    <w:p w14:paraId="7D259D04" w14:textId="16634AFB" w:rsidR="00014566" w:rsidRPr="00246717" w:rsidRDefault="003B5B08" w:rsidP="000957D3">
      <w:pPr>
        <w:pStyle w:val="ECHRHeading1"/>
        <w:rPr>
          <w:lang w:val="pl-PL"/>
        </w:rPr>
      </w:pPr>
      <w:bookmarkStart w:id="110" w:name="_Toc512401308"/>
      <w:bookmarkStart w:id="111" w:name="_Toc512345136"/>
      <w:r w:rsidRPr="00246717">
        <w:rPr>
          <w:bCs w:val="0"/>
          <w:lang w:val="pl-PL"/>
        </w:rPr>
        <w:lastRenderedPageBreak/>
        <w:t>II.  </w:t>
      </w:r>
      <w:r w:rsidR="00DD6919">
        <w:rPr>
          <w:bCs w:val="0"/>
          <w:lang w:val="pl-PL"/>
        </w:rPr>
        <w:t>ZARZUCANE</w:t>
      </w:r>
      <w:r w:rsidR="00DD6919" w:rsidRPr="00246717">
        <w:rPr>
          <w:bCs w:val="0"/>
          <w:lang w:val="pl-PL"/>
        </w:rPr>
        <w:t xml:space="preserve"> </w:t>
      </w:r>
      <w:r w:rsidRPr="00246717">
        <w:rPr>
          <w:bCs w:val="0"/>
          <w:lang w:val="pl-PL"/>
        </w:rPr>
        <w:t>NARUSZENIE ART.</w:t>
      </w:r>
      <w:r w:rsidR="00452263">
        <w:rPr>
          <w:bCs w:val="0"/>
          <w:lang w:val="pl-PL"/>
        </w:rPr>
        <w:t> </w:t>
      </w:r>
      <w:r w:rsidRPr="00246717">
        <w:rPr>
          <w:bCs w:val="0"/>
          <w:lang w:val="pl-PL"/>
        </w:rPr>
        <w:t>6 UST.</w:t>
      </w:r>
      <w:r w:rsidR="00452263">
        <w:rPr>
          <w:bCs w:val="0"/>
          <w:lang w:val="pl-PL"/>
        </w:rPr>
        <w:t> </w:t>
      </w:r>
      <w:r w:rsidRPr="00246717">
        <w:rPr>
          <w:bCs w:val="0"/>
          <w:lang w:val="pl-PL"/>
        </w:rPr>
        <w:t>1 i 3 LIT.</w:t>
      </w:r>
      <w:r w:rsidR="00452263">
        <w:rPr>
          <w:bCs w:val="0"/>
          <w:lang w:val="pl-PL"/>
        </w:rPr>
        <w:t> </w:t>
      </w:r>
      <w:r w:rsidRPr="00246717">
        <w:rPr>
          <w:bCs w:val="0"/>
          <w:lang w:val="pl-PL"/>
        </w:rPr>
        <w:t>d KONWENCJI</w:t>
      </w:r>
      <w:bookmarkEnd w:id="110"/>
      <w:bookmarkEnd w:id="111"/>
      <w:r w:rsidRPr="00246717">
        <w:rPr>
          <w:bCs w:val="0"/>
          <w:lang w:val="pl-PL"/>
        </w:rPr>
        <w:t xml:space="preserve"> W ODNIESIENIU DO ŚWIADKA A.</w:t>
      </w:r>
    </w:p>
    <w:p w14:paraId="2705A13C" w14:textId="07622A84" w:rsidR="00014566"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96</w:t>
      </w:r>
      <w:r w:rsidRPr="00246717">
        <w:rPr>
          <w:lang w:val="pl-PL"/>
        </w:rPr>
        <w:fldChar w:fldCharType="end"/>
      </w:r>
      <w:r w:rsidR="002326E2" w:rsidRPr="00246717">
        <w:rPr>
          <w:lang w:val="pl-PL"/>
        </w:rPr>
        <w:t xml:space="preserve">.  Skarżąca </w:t>
      </w:r>
      <w:r w:rsidR="00DD6919">
        <w:rPr>
          <w:lang w:val="pl-PL"/>
        </w:rPr>
        <w:t>zarzuciła,</w:t>
      </w:r>
      <w:r w:rsidR="002326E2" w:rsidRPr="00246717">
        <w:rPr>
          <w:lang w:val="pl-PL"/>
        </w:rPr>
        <w:t xml:space="preserve"> na gruncie art.</w:t>
      </w:r>
      <w:r w:rsidR="00356384">
        <w:rPr>
          <w:lang w:val="pl-PL"/>
        </w:rPr>
        <w:t> </w:t>
      </w:r>
      <w:r w:rsidR="002326E2" w:rsidRPr="00246717">
        <w:rPr>
          <w:lang w:val="pl-PL"/>
        </w:rPr>
        <w:t>6 ust.</w:t>
      </w:r>
      <w:r w:rsidR="00356384">
        <w:rPr>
          <w:lang w:val="pl-PL"/>
        </w:rPr>
        <w:t> </w:t>
      </w:r>
      <w:r w:rsidR="002326E2" w:rsidRPr="00246717">
        <w:rPr>
          <w:lang w:val="pl-PL"/>
        </w:rPr>
        <w:t>1 i 3 lit.</w:t>
      </w:r>
      <w:r w:rsidR="00356384">
        <w:rPr>
          <w:lang w:val="pl-PL"/>
        </w:rPr>
        <w:t> </w:t>
      </w:r>
      <w:r w:rsidR="002326E2" w:rsidRPr="00246717">
        <w:rPr>
          <w:lang w:val="pl-PL"/>
        </w:rPr>
        <w:t xml:space="preserve">b Konwencji, </w:t>
      </w:r>
      <w:r w:rsidR="00DD6919">
        <w:rPr>
          <w:lang w:val="pl-PL"/>
        </w:rPr>
        <w:t>że doszło do ograniczenia</w:t>
      </w:r>
      <w:r w:rsidR="002326E2" w:rsidRPr="00246717">
        <w:rPr>
          <w:lang w:val="pl-PL"/>
        </w:rPr>
        <w:t xml:space="preserve"> ogóln</w:t>
      </w:r>
      <w:r w:rsidR="00DD6919">
        <w:rPr>
          <w:lang w:val="pl-PL"/>
        </w:rPr>
        <w:t>ej</w:t>
      </w:r>
      <w:r w:rsidR="002326E2" w:rsidRPr="00246717">
        <w:rPr>
          <w:lang w:val="pl-PL"/>
        </w:rPr>
        <w:t xml:space="preserve"> </w:t>
      </w:r>
      <w:r w:rsidR="00DD6919">
        <w:rPr>
          <w:lang w:val="pl-PL"/>
        </w:rPr>
        <w:t>rzetelności</w:t>
      </w:r>
      <w:r w:rsidR="00DD6919" w:rsidRPr="00246717">
        <w:rPr>
          <w:lang w:val="pl-PL"/>
        </w:rPr>
        <w:t xml:space="preserve"> </w:t>
      </w:r>
      <w:r w:rsidR="00DD6919">
        <w:rPr>
          <w:lang w:val="pl-PL"/>
        </w:rPr>
        <w:t xml:space="preserve">prowadzonego w jej sprawie </w:t>
      </w:r>
      <w:r w:rsidR="002326E2" w:rsidRPr="00246717">
        <w:rPr>
          <w:lang w:val="pl-PL"/>
        </w:rPr>
        <w:t xml:space="preserve">postępowania karnego, </w:t>
      </w:r>
      <w:r w:rsidR="00DD6919">
        <w:rPr>
          <w:lang w:val="pl-PL"/>
        </w:rPr>
        <w:t>bowiem</w:t>
      </w:r>
      <w:r w:rsidR="00DD6919" w:rsidRPr="00246717">
        <w:rPr>
          <w:lang w:val="pl-PL"/>
        </w:rPr>
        <w:t xml:space="preserve"> </w:t>
      </w:r>
      <w:r w:rsidR="002326E2" w:rsidRPr="00246717">
        <w:rPr>
          <w:lang w:val="pl-PL"/>
        </w:rPr>
        <w:t xml:space="preserve">nie </w:t>
      </w:r>
      <w:r w:rsidR="00DD6919" w:rsidRPr="00246717">
        <w:rPr>
          <w:lang w:val="pl-PL"/>
        </w:rPr>
        <w:t>m</w:t>
      </w:r>
      <w:r w:rsidR="00DD6919">
        <w:rPr>
          <w:lang w:val="pl-PL"/>
        </w:rPr>
        <w:t>iała ona możliwości</w:t>
      </w:r>
      <w:r w:rsidR="00DD6919" w:rsidRPr="00246717">
        <w:rPr>
          <w:lang w:val="pl-PL"/>
        </w:rPr>
        <w:t xml:space="preserve"> </w:t>
      </w:r>
      <w:r w:rsidR="002326E2" w:rsidRPr="00246717">
        <w:rPr>
          <w:lang w:val="pl-PL"/>
        </w:rPr>
        <w:t>wezwa</w:t>
      </w:r>
      <w:r w:rsidR="00DD6919">
        <w:rPr>
          <w:lang w:val="pl-PL"/>
        </w:rPr>
        <w:t>nia</w:t>
      </w:r>
      <w:r w:rsidR="002326E2" w:rsidRPr="00246717">
        <w:rPr>
          <w:lang w:val="pl-PL"/>
        </w:rPr>
        <w:t xml:space="preserve"> i przesłucha</w:t>
      </w:r>
      <w:r w:rsidR="00B943EB">
        <w:rPr>
          <w:lang w:val="pl-PL"/>
        </w:rPr>
        <w:t>nia</w:t>
      </w:r>
      <w:r w:rsidR="002326E2" w:rsidRPr="00246717">
        <w:rPr>
          <w:lang w:val="pl-PL"/>
        </w:rPr>
        <w:t xml:space="preserve"> na </w:t>
      </w:r>
      <w:r w:rsidR="00B943EB">
        <w:rPr>
          <w:lang w:val="pl-PL"/>
        </w:rPr>
        <w:t>rozprawie</w:t>
      </w:r>
      <w:r w:rsidR="00B943EB" w:rsidRPr="00246717">
        <w:rPr>
          <w:lang w:val="pl-PL"/>
        </w:rPr>
        <w:t xml:space="preserve"> </w:t>
      </w:r>
      <w:r w:rsidR="002326E2" w:rsidRPr="00246717">
        <w:rPr>
          <w:lang w:val="pl-PL"/>
        </w:rPr>
        <w:t>świadka A. Istotna część art.</w:t>
      </w:r>
      <w:r w:rsidR="00356384">
        <w:rPr>
          <w:lang w:val="pl-PL"/>
        </w:rPr>
        <w:t> </w:t>
      </w:r>
      <w:r w:rsidR="002326E2" w:rsidRPr="00246717">
        <w:rPr>
          <w:lang w:val="pl-PL"/>
        </w:rPr>
        <w:t>6 Konwencji stanowi:</w:t>
      </w:r>
    </w:p>
    <w:p w14:paraId="1E073B2A" w14:textId="77777777" w:rsidR="003B5B08" w:rsidRPr="00246717" w:rsidRDefault="003B5B08" w:rsidP="000957D3">
      <w:pPr>
        <w:pStyle w:val="ECHRParaQuote"/>
        <w:rPr>
          <w:lang w:val="pl-PL"/>
        </w:rPr>
      </w:pPr>
      <w:r w:rsidRPr="00246717">
        <w:rPr>
          <w:lang w:val="pl-PL"/>
        </w:rPr>
        <w:t>„1.  Każdy ma prawo do sprawiedliwego […] rozpatrzenia jego sprawy […] przez […] sąd […]</w:t>
      </w:r>
    </w:p>
    <w:p w14:paraId="16756EDC" w14:textId="77777777" w:rsidR="003B5B08" w:rsidRPr="00246717" w:rsidRDefault="0062431E" w:rsidP="000957D3">
      <w:pPr>
        <w:pStyle w:val="ECHRParaQuote"/>
        <w:rPr>
          <w:lang w:val="pl-PL"/>
        </w:rPr>
      </w:pPr>
      <w:r w:rsidRPr="00246717">
        <w:rPr>
          <w:lang w:val="pl-PL"/>
        </w:rPr>
        <w:t>[...]</w:t>
      </w:r>
    </w:p>
    <w:p w14:paraId="322AB508" w14:textId="77777777" w:rsidR="003B5B08" w:rsidRPr="00246717" w:rsidRDefault="003B5B08" w:rsidP="000957D3">
      <w:pPr>
        <w:pStyle w:val="ECHRParaQuote"/>
        <w:rPr>
          <w:lang w:val="pl-PL"/>
        </w:rPr>
      </w:pPr>
      <w:r w:rsidRPr="00246717">
        <w:rPr>
          <w:lang w:val="pl-PL"/>
        </w:rPr>
        <w:t>3.  Każdy oskarżony o popełnienie czynu zagrożonego karą ma co najmniej prawo do:</w:t>
      </w:r>
    </w:p>
    <w:p w14:paraId="2B6FB5D8" w14:textId="77777777" w:rsidR="003B5B08" w:rsidRPr="00246717" w:rsidRDefault="0062431E" w:rsidP="000957D3">
      <w:pPr>
        <w:pStyle w:val="ECHRParaQuote"/>
        <w:rPr>
          <w:lang w:val="pl-PL"/>
        </w:rPr>
      </w:pPr>
      <w:r w:rsidRPr="00246717">
        <w:rPr>
          <w:lang w:val="pl-PL"/>
        </w:rPr>
        <w:t>[...]</w:t>
      </w:r>
    </w:p>
    <w:p w14:paraId="779FF34F" w14:textId="77777777" w:rsidR="003B5B08" w:rsidRPr="00246717" w:rsidRDefault="003B5B08" w:rsidP="000957D3">
      <w:pPr>
        <w:pStyle w:val="ECHRParaQuote"/>
        <w:rPr>
          <w:lang w:val="pl-PL"/>
        </w:rPr>
      </w:pPr>
      <w:r w:rsidRPr="00246717">
        <w:rPr>
          <w:lang w:val="pl-PL"/>
        </w:rPr>
        <w:t>d) przesłuchania lub spowodowania przesłuchania świadków oskarżenia oraz żądania obecności i przesłuchania świadków obrony na takich samych warunkach jak świadków oskarżenia [...]”.</w:t>
      </w:r>
    </w:p>
    <w:p w14:paraId="4E4627B7" w14:textId="77777777" w:rsidR="00014566" w:rsidRPr="00246717" w:rsidRDefault="00150576" w:rsidP="000957D3">
      <w:pPr>
        <w:pStyle w:val="ECHRPara"/>
        <w:rPr>
          <w:lang w:val="pl-PL"/>
        </w:rPr>
      </w:pPr>
      <w:r w:rsidRPr="00246717">
        <w:rPr>
          <w:lang w:val="pl-PL"/>
        </w:rPr>
        <w:fldChar w:fldCharType="begin"/>
      </w:r>
      <w:r w:rsidR="002326E2" w:rsidRPr="00246717">
        <w:rPr>
          <w:lang w:val="pl-PL"/>
        </w:rPr>
        <w:instrText xml:space="preserve"> SEQ level0 \*arabic </w:instrText>
      </w:r>
      <w:r w:rsidRPr="00246717">
        <w:rPr>
          <w:lang w:val="pl-PL"/>
        </w:rPr>
        <w:fldChar w:fldCharType="separate"/>
      </w:r>
      <w:r w:rsidR="002326E2" w:rsidRPr="00246717">
        <w:rPr>
          <w:lang w:val="pl-PL"/>
        </w:rPr>
        <w:t>97</w:t>
      </w:r>
      <w:r w:rsidRPr="00246717">
        <w:rPr>
          <w:lang w:val="pl-PL"/>
        </w:rPr>
        <w:fldChar w:fldCharType="end"/>
      </w:r>
      <w:r w:rsidR="002326E2" w:rsidRPr="00246717">
        <w:rPr>
          <w:lang w:val="pl-PL"/>
        </w:rPr>
        <w:t>.  Rząd zakwestionował ten argument.</w:t>
      </w:r>
    </w:p>
    <w:p w14:paraId="746E87CC" w14:textId="5187C10F" w:rsidR="003B5B08" w:rsidRPr="00246717" w:rsidRDefault="00C34C78" w:rsidP="000957D3">
      <w:pPr>
        <w:pStyle w:val="ECHRHeading2"/>
        <w:rPr>
          <w:lang w:val="pl-PL"/>
        </w:rPr>
      </w:pPr>
      <w:bookmarkStart w:id="112" w:name="_Toc512401309"/>
      <w:bookmarkStart w:id="113" w:name="_Toc512345137"/>
      <w:r w:rsidRPr="00246717">
        <w:rPr>
          <w:lang w:val="pl-PL"/>
        </w:rPr>
        <w:t>A.</w:t>
      </w:r>
      <w:r w:rsidR="00356384">
        <w:rPr>
          <w:lang w:val="pl-PL"/>
        </w:rPr>
        <w:t>  </w:t>
      </w:r>
      <w:r w:rsidRPr="00246717">
        <w:rPr>
          <w:lang w:val="pl-PL"/>
        </w:rPr>
        <w:t>Wyrok Izby</w:t>
      </w:r>
      <w:bookmarkEnd w:id="112"/>
      <w:bookmarkEnd w:id="113"/>
    </w:p>
    <w:p w14:paraId="4F5C81AA" w14:textId="6178FFEA" w:rsidR="004F20D6" w:rsidRPr="00246717" w:rsidRDefault="00150576" w:rsidP="000957D3">
      <w:pPr>
        <w:pStyle w:val="ECHRPara"/>
        <w:rPr>
          <w:lang w:val="pl-PL"/>
        </w:rPr>
      </w:pPr>
      <w:r w:rsidRPr="00246717">
        <w:rPr>
          <w:lang w:val="pl-PL"/>
        </w:rPr>
        <w:fldChar w:fldCharType="begin"/>
      </w:r>
      <w:r w:rsidR="004F20D6" w:rsidRPr="00246717">
        <w:rPr>
          <w:lang w:val="pl-PL"/>
        </w:rPr>
        <w:instrText xml:space="preserve"> SEQ level0 \*arabic </w:instrText>
      </w:r>
      <w:r w:rsidRPr="00246717">
        <w:rPr>
          <w:lang w:val="pl-PL"/>
        </w:rPr>
        <w:fldChar w:fldCharType="separate"/>
      </w:r>
      <w:r w:rsidR="004F20D6" w:rsidRPr="00246717">
        <w:rPr>
          <w:lang w:val="pl-PL"/>
        </w:rPr>
        <w:t>98</w:t>
      </w:r>
      <w:r w:rsidRPr="00246717">
        <w:rPr>
          <w:lang w:val="pl-PL"/>
        </w:rPr>
        <w:fldChar w:fldCharType="end"/>
      </w:r>
      <w:r w:rsidR="004F20D6" w:rsidRPr="00246717">
        <w:rPr>
          <w:lang w:val="pl-PL"/>
        </w:rPr>
        <w:t xml:space="preserve">.  Izba, potwierdzając, że zasadniczo do sądów krajowych należy orzekanie w przedmiocie </w:t>
      </w:r>
      <w:r w:rsidR="00B943EB">
        <w:rPr>
          <w:lang w:val="pl-PL"/>
        </w:rPr>
        <w:t xml:space="preserve">znaczenia </w:t>
      </w:r>
      <w:r w:rsidR="004F20D6" w:rsidRPr="00246717">
        <w:rPr>
          <w:lang w:val="pl-PL"/>
        </w:rPr>
        <w:t>dowodów, jakie obrona chce przedstawić i że zadaniem Trybunału było upewnienie się, czy postępowanie</w:t>
      </w:r>
      <w:r w:rsidR="00B943EB">
        <w:rPr>
          <w:lang w:val="pl-PL"/>
        </w:rPr>
        <w:t xml:space="preserve"> było rzetelne</w:t>
      </w:r>
      <w:r w:rsidR="004F20D6" w:rsidRPr="00246717">
        <w:rPr>
          <w:lang w:val="pl-PL"/>
        </w:rPr>
        <w:t xml:space="preserve"> </w:t>
      </w:r>
      <w:r w:rsidR="00B943EB">
        <w:rPr>
          <w:lang w:val="pl-PL"/>
        </w:rPr>
        <w:t>w ujęciu całościowym</w:t>
      </w:r>
      <w:r w:rsidR="004F20D6" w:rsidRPr="00246717">
        <w:rPr>
          <w:lang w:val="pl-PL"/>
        </w:rPr>
        <w:t xml:space="preserve">, rozpoznał sprawę na podstawie testu wywiedzionego z wyroku w sprawie </w:t>
      </w:r>
      <w:proofErr w:type="spellStart"/>
      <w:r w:rsidR="004F20D6" w:rsidRPr="00246717">
        <w:rPr>
          <w:i/>
          <w:iCs/>
          <w:lang w:val="pl-PL"/>
        </w:rPr>
        <w:t>Perna</w:t>
      </w:r>
      <w:proofErr w:type="spellEnd"/>
      <w:r w:rsidR="004F20D6" w:rsidRPr="00246717">
        <w:rPr>
          <w:i/>
          <w:iCs/>
          <w:lang w:val="pl-PL"/>
        </w:rPr>
        <w:t xml:space="preserve"> przeciwko Włochom </w:t>
      </w:r>
      <w:r w:rsidR="004F20D6" w:rsidRPr="00246717">
        <w:rPr>
          <w:lang w:val="pl-PL"/>
        </w:rPr>
        <w:t>([WI],</w:t>
      </w:r>
      <w:r w:rsidR="004F20D6" w:rsidRPr="00246717">
        <w:rPr>
          <w:i/>
          <w:iCs/>
          <w:lang w:val="pl-PL"/>
        </w:rPr>
        <w:t xml:space="preserve"> </w:t>
      </w:r>
      <w:r w:rsidR="004F20D6" w:rsidRPr="00246717">
        <w:rPr>
          <w:lang w:val="pl-PL"/>
        </w:rPr>
        <w:t>skarga nr 48898/99, §</w:t>
      </w:r>
      <w:r w:rsidR="00356384">
        <w:rPr>
          <w:lang w:val="pl-PL"/>
        </w:rPr>
        <w:t> </w:t>
      </w:r>
      <w:r w:rsidR="004F20D6" w:rsidRPr="00246717">
        <w:rPr>
          <w:lang w:val="pl-PL"/>
        </w:rPr>
        <w:t>29, ETPCz 2003</w:t>
      </w:r>
      <w:r w:rsidR="004F20D6" w:rsidRPr="00246717">
        <w:rPr>
          <w:lang w:val="pl-PL"/>
        </w:rPr>
        <w:noBreakHyphen/>
        <w:t>V) oraz wynikające z niego orzecznictwo (zob. par.</w:t>
      </w:r>
      <w:r w:rsidR="00356384">
        <w:rPr>
          <w:lang w:val="pl-PL"/>
        </w:rPr>
        <w:t> </w:t>
      </w:r>
      <w:r w:rsidR="004F20D6" w:rsidRPr="00246717">
        <w:rPr>
          <w:lang w:val="pl-PL"/>
        </w:rPr>
        <w:t xml:space="preserve">84 wyroku Izby). Zbadał a) czy wniosek skarżącej był </w:t>
      </w:r>
      <w:r w:rsidR="00B943EB">
        <w:rPr>
          <w:lang w:val="pl-PL"/>
        </w:rPr>
        <w:t>dostatecznie</w:t>
      </w:r>
      <w:r w:rsidR="00B943EB" w:rsidRPr="00246717">
        <w:rPr>
          <w:lang w:val="pl-PL"/>
        </w:rPr>
        <w:t xml:space="preserve"> u</w:t>
      </w:r>
      <w:r w:rsidR="00B943EB">
        <w:rPr>
          <w:lang w:val="pl-PL"/>
        </w:rPr>
        <w:t>zasadniony</w:t>
      </w:r>
      <w:r w:rsidR="00B943EB" w:rsidRPr="00246717">
        <w:rPr>
          <w:lang w:val="pl-PL"/>
        </w:rPr>
        <w:t xml:space="preserve"> </w:t>
      </w:r>
      <w:r w:rsidR="004F20D6" w:rsidRPr="00246717">
        <w:rPr>
          <w:lang w:val="pl-PL"/>
        </w:rPr>
        <w:t xml:space="preserve">i </w:t>
      </w:r>
      <w:r w:rsidR="00D5714F">
        <w:rPr>
          <w:lang w:val="pl-PL"/>
        </w:rPr>
        <w:t>miał znaczenie</w:t>
      </w:r>
      <w:r w:rsidR="004F20D6" w:rsidRPr="00246717">
        <w:rPr>
          <w:lang w:val="pl-PL"/>
        </w:rPr>
        <w:t xml:space="preserve"> dla </w:t>
      </w:r>
      <w:r w:rsidR="00A051E0">
        <w:rPr>
          <w:lang w:val="pl-PL"/>
        </w:rPr>
        <w:t>istoty</w:t>
      </w:r>
      <w:r w:rsidR="00A051E0" w:rsidRPr="00246717">
        <w:rPr>
          <w:lang w:val="pl-PL"/>
        </w:rPr>
        <w:t xml:space="preserve"> </w:t>
      </w:r>
      <w:r w:rsidR="004F20D6" w:rsidRPr="00246717">
        <w:rPr>
          <w:lang w:val="pl-PL"/>
        </w:rPr>
        <w:t xml:space="preserve">oskarżenia i czy mógł </w:t>
      </w:r>
      <w:r w:rsidR="00A051E0">
        <w:rPr>
          <w:lang w:val="pl-PL"/>
        </w:rPr>
        <w:t>niewątpliwie</w:t>
      </w:r>
      <w:r w:rsidR="004F20D6" w:rsidRPr="00246717">
        <w:rPr>
          <w:lang w:val="pl-PL"/>
        </w:rPr>
        <w:t xml:space="preserve"> wzmocnić stanowisko obrony, a nawet doprowadzić do uniewinnienia skarżącej; oraz b) czy sąd </w:t>
      </w:r>
      <w:r w:rsidR="00A051E0">
        <w:rPr>
          <w:lang w:val="pl-PL"/>
        </w:rPr>
        <w:t xml:space="preserve">orzekający </w:t>
      </w:r>
      <w:r w:rsidR="00A051E0" w:rsidRPr="00246717">
        <w:rPr>
          <w:lang w:val="pl-PL"/>
        </w:rPr>
        <w:t xml:space="preserve">naruszył prawo </w:t>
      </w:r>
      <w:r w:rsidR="00A051E0">
        <w:rPr>
          <w:lang w:val="pl-PL"/>
        </w:rPr>
        <w:t xml:space="preserve">skarżącej </w:t>
      </w:r>
      <w:r w:rsidR="00A051E0" w:rsidRPr="00246717">
        <w:rPr>
          <w:lang w:val="pl-PL"/>
        </w:rPr>
        <w:t>przewidziane w art.</w:t>
      </w:r>
      <w:r w:rsidR="00A051E0">
        <w:rPr>
          <w:lang w:val="pl-PL"/>
        </w:rPr>
        <w:t> </w:t>
      </w:r>
      <w:r w:rsidR="00A051E0" w:rsidRPr="00246717">
        <w:rPr>
          <w:lang w:val="pl-PL"/>
        </w:rPr>
        <w:t>6 ust.</w:t>
      </w:r>
      <w:r w:rsidR="00A051E0">
        <w:rPr>
          <w:lang w:val="pl-PL"/>
        </w:rPr>
        <w:t> </w:t>
      </w:r>
      <w:r w:rsidR="00A051E0" w:rsidRPr="00246717">
        <w:rPr>
          <w:lang w:val="pl-PL"/>
        </w:rPr>
        <w:t>3 lit.</w:t>
      </w:r>
      <w:r w:rsidR="00A051E0">
        <w:rPr>
          <w:lang w:val="pl-PL"/>
        </w:rPr>
        <w:t> </w:t>
      </w:r>
      <w:r w:rsidR="00A051E0" w:rsidRPr="00246717">
        <w:rPr>
          <w:lang w:val="pl-PL"/>
        </w:rPr>
        <w:t>d Konwencji</w:t>
      </w:r>
      <w:r w:rsidR="004F20D6" w:rsidRPr="00246717">
        <w:rPr>
          <w:lang w:val="pl-PL"/>
        </w:rPr>
        <w:t xml:space="preserve">, nie zabezpieczając stawiennictwa konkretnego świadka i </w:t>
      </w:r>
      <w:r w:rsidR="00A051E0">
        <w:rPr>
          <w:lang w:val="pl-PL"/>
        </w:rPr>
        <w:t xml:space="preserve">złożenie </w:t>
      </w:r>
      <w:r w:rsidR="00A051E0" w:rsidRPr="00246717">
        <w:rPr>
          <w:lang w:val="pl-PL"/>
        </w:rPr>
        <w:t>zezna</w:t>
      </w:r>
      <w:r w:rsidR="00A051E0">
        <w:rPr>
          <w:lang w:val="pl-PL"/>
        </w:rPr>
        <w:t>ń</w:t>
      </w:r>
      <w:r w:rsidR="00A051E0" w:rsidRPr="00246717">
        <w:rPr>
          <w:lang w:val="pl-PL"/>
        </w:rPr>
        <w:t xml:space="preserve"> </w:t>
      </w:r>
      <w:r w:rsidR="004F20D6" w:rsidRPr="00246717">
        <w:rPr>
          <w:lang w:val="pl-PL"/>
        </w:rPr>
        <w:t>w imieniu skarżącej.</w:t>
      </w:r>
    </w:p>
    <w:p w14:paraId="2AE7279B" w14:textId="42B8B257" w:rsidR="00F0085F" w:rsidRPr="00246717" w:rsidRDefault="00150576" w:rsidP="008C1B45">
      <w:pPr>
        <w:pStyle w:val="ECHRPara"/>
        <w:rPr>
          <w:lang w:val="pl-PL"/>
        </w:rPr>
      </w:pPr>
      <w:r w:rsidRPr="00246717">
        <w:rPr>
          <w:lang w:val="pl-PL"/>
        </w:rPr>
        <w:fldChar w:fldCharType="begin"/>
      </w:r>
      <w:r w:rsidR="004F20D6" w:rsidRPr="00246717">
        <w:rPr>
          <w:lang w:val="pl-PL"/>
        </w:rPr>
        <w:instrText xml:space="preserve"> SEQ level0 \*arabic </w:instrText>
      </w:r>
      <w:r w:rsidRPr="00246717">
        <w:rPr>
          <w:lang w:val="pl-PL"/>
        </w:rPr>
        <w:fldChar w:fldCharType="separate"/>
      </w:r>
      <w:r w:rsidR="004F20D6" w:rsidRPr="00246717">
        <w:rPr>
          <w:lang w:val="pl-PL"/>
        </w:rPr>
        <w:t>99</w:t>
      </w:r>
      <w:r w:rsidRPr="00246717">
        <w:rPr>
          <w:lang w:val="pl-PL"/>
        </w:rPr>
        <w:fldChar w:fldCharType="end"/>
      </w:r>
      <w:r w:rsidR="004F20D6" w:rsidRPr="00246717">
        <w:rPr>
          <w:lang w:val="pl-PL"/>
        </w:rPr>
        <w:t xml:space="preserve">.  W pierwszej kolejności Izba zauważyła, że zeznanie świadka A. na etapie postępowania przygotowawczego nie zostało zakwestionowane przez skarżącą. Uznając, że zeznanie A. mogło mieć przynajmniej </w:t>
      </w:r>
      <w:r w:rsidR="00A051E0">
        <w:rPr>
          <w:lang w:val="pl-PL"/>
        </w:rPr>
        <w:t>do pewnego stopnia</w:t>
      </w:r>
      <w:r w:rsidR="00A051E0" w:rsidRPr="00246717">
        <w:rPr>
          <w:lang w:val="pl-PL"/>
        </w:rPr>
        <w:t xml:space="preserve"> </w:t>
      </w:r>
      <w:r w:rsidR="004F20D6" w:rsidRPr="00246717">
        <w:rPr>
          <w:lang w:val="pl-PL"/>
        </w:rPr>
        <w:t>znaczeni</w:t>
      </w:r>
      <w:r w:rsidR="00B46D09">
        <w:rPr>
          <w:lang w:val="pl-PL"/>
        </w:rPr>
        <w:t>e</w:t>
      </w:r>
      <w:r w:rsidR="004F20D6" w:rsidRPr="00246717">
        <w:rPr>
          <w:lang w:val="pl-PL"/>
        </w:rPr>
        <w:t xml:space="preserve"> w świetle zarzutów, Izba odpowiedziała na pierwszą część testu przecząco. Uznała, że obrona nie wyjaśniła, choćby pokrótce, dlaczego stawiennictwo A. </w:t>
      </w:r>
      <w:r w:rsidR="008C1B45">
        <w:rPr>
          <w:lang w:val="pl-PL"/>
        </w:rPr>
        <w:t>miało znaczenie</w:t>
      </w:r>
      <w:r w:rsidR="004F20D6" w:rsidRPr="00246717">
        <w:rPr>
          <w:lang w:val="pl-PL"/>
        </w:rPr>
        <w:t xml:space="preserve"> dla linii obrony, czy jego działania stanowiły </w:t>
      </w:r>
      <w:r w:rsidR="00750259">
        <w:rPr>
          <w:lang w:val="pl-PL"/>
        </w:rPr>
        <w:t>prowokację</w:t>
      </w:r>
      <w:r w:rsidR="004F20D6" w:rsidRPr="00246717">
        <w:rPr>
          <w:lang w:val="pl-PL"/>
        </w:rPr>
        <w:t xml:space="preserve"> albo czy wywierał jakąkolwiek presję na </w:t>
      </w:r>
      <w:r w:rsidR="008C1B45" w:rsidRPr="00246717">
        <w:rPr>
          <w:lang w:val="pl-PL"/>
        </w:rPr>
        <w:t>skarżąc</w:t>
      </w:r>
      <w:r w:rsidR="008C1B45">
        <w:rPr>
          <w:lang w:val="pl-PL"/>
        </w:rPr>
        <w:t>ą</w:t>
      </w:r>
      <w:r w:rsidR="008C1B45" w:rsidRPr="00246717">
        <w:rPr>
          <w:lang w:val="pl-PL"/>
        </w:rPr>
        <w:t xml:space="preserve"> </w:t>
      </w:r>
      <w:r w:rsidR="004F20D6" w:rsidRPr="00246717">
        <w:rPr>
          <w:lang w:val="pl-PL"/>
        </w:rPr>
        <w:t>i, wreszcie, czy jego zeznanie mogło</w:t>
      </w:r>
      <w:r w:rsidR="008C1B45">
        <w:rPr>
          <w:lang w:val="pl-PL"/>
        </w:rPr>
        <w:t xml:space="preserve"> przyczynić się do</w:t>
      </w:r>
      <w:r w:rsidR="004F20D6" w:rsidRPr="00246717">
        <w:rPr>
          <w:lang w:val="pl-PL"/>
        </w:rPr>
        <w:t xml:space="preserve"> oczyszczenia skarżącej z zarzutów lub, w ostatniej kolejności, wzmocnienia jej stanowiska w jakikolwiek sposób (zob. par.</w:t>
      </w:r>
      <w:r w:rsidR="00B46D09">
        <w:rPr>
          <w:lang w:val="pl-PL"/>
        </w:rPr>
        <w:t> </w:t>
      </w:r>
      <w:r w:rsidR="004F20D6" w:rsidRPr="00246717">
        <w:rPr>
          <w:lang w:val="pl-PL"/>
        </w:rPr>
        <w:t>87 wyroku Izby). W</w:t>
      </w:r>
      <w:r w:rsidR="00052E30">
        <w:rPr>
          <w:lang w:val="pl-PL"/>
        </w:rPr>
        <w:t> </w:t>
      </w:r>
      <w:r w:rsidR="004F20D6" w:rsidRPr="00246717">
        <w:rPr>
          <w:lang w:val="pl-PL"/>
        </w:rPr>
        <w:t xml:space="preserve">odniesieniu do zarzutów </w:t>
      </w:r>
      <w:r w:rsidR="004F20D6" w:rsidRPr="00246717">
        <w:rPr>
          <w:lang w:val="pl-PL"/>
        </w:rPr>
        <w:lastRenderedPageBreak/>
        <w:t xml:space="preserve">skarżącej </w:t>
      </w:r>
      <w:r w:rsidR="008C1B45">
        <w:rPr>
          <w:lang w:val="pl-PL"/>
        </w:rPr>
        <w:t>dotyczących</w:t>
      </w:r>
      <w:r w:rsidR="004F20D6" w:rsidRPr="00246717">
        <w:rPr>
          <w:lang w:val="pl-PL"/>
        </w:rPr>
        <w:t xml:space="preserve"> </w:t>
      </w:r>
      <w:r w:rsidR="00750259">
        <w:rPr>
          <w:lang w:val="pl-PL"/>
        </w:rPr>
        <w:t>prowokacj</w:t>
      </w:r>
      <w:r w:rsidR="008C1B45">
        <w:rPr>
          <w:lang w:val="pl-PL"/>
        </w:rPr>
        <w:t>i</w:t>
      </w:r>
      <w:r w:rsidR="004F20D6" w:rsidRPr="00246717">
        <w:rPr>
          <w:lang w:val="pl-PL"/>
        </w:rPr>
        <w:t xml:space="preserve"> Izba w szczególności zauważyła, że zarzuty te zostały po raz pierwszy wysunięte w uwagach skarżącej przed Trybunałem. W związku z tym stwierdziła, że skarżąca nie</w:t>
      </w:r>
      <w:r w:rsidR="008C1B45">
        <w:rPr>
          <w:lang w:val="pl-PL"/>
        </w:rPr>
        <w:t>dostatecznie</w:t>
      </w:r>
      <w:r w:rsidR="004F20D6" w:rsidRPr="00246717">
        <w:rPr>
          <w:lang w:val="pl-PL"/>
        </w:rPr>
        <w:t xml:space="preserve"> uzasadniła </w:t>
      </w:r>
      <w:r w:rsidR="008C1B45" w:rsidRPr="00246717">
        <w:rPr>
          <w:lang w:val="pl-PL"/>
        </w:rPr>
        <w:t>sw</w:t>
      </w:r>
      <w:r w:rsidR="008C1B45">
        <w:rPr>
          <w:lang w:val="pl-PL"/>
        </w:rPr>
        <w:t>ój</w:t>
      </w:r>
      <w:r w:rsidR="008C1B45" w:rsidRPr="00246717">
        <w:rPr>
          <w:lang w:val="pl-PL"/>
        </w:rPr>
        <w:t xml:space="preserve"> wnios</w:t>
      </w:r>
      <w:r w:rsidR="008C1B45">
        <w:rPr>
          <w:lang w:val="pl-PL"/>
        </w:rPr>
        <w:t>ek</w:t>
      </w:r>
      <w:r w:rsidR="008C1B45" w:rsidRPr="00246717">
        <w:rPr>
          <w:lang w:val="pl-PL"/>
        </w:rPr>
        <w:t xml:space="preserve"> </w:t>
      </w:r>
      <w:r w:rsidR="004F20D6" w:rsidRPr="00246717">
        <w:rPr>
          <w:lang w:val="pl-PL"/>
        </w:rPr>
        <w:t>o przesłuchanie A. (</w:t>
      </w:r>
      <w:r w:rsidR="004F20D6" w:rsidRPr="00246717">
        <w:rPr>
          <w:i/>
          <w:iCs/>
          <w:lang w:val="pl-PL"/>
        </w:rPr>
        <w:t>ibid.</w:t>
      </w:r>
      <w:r w:rsidR="004F20D6" w:rsidRPr="00246717">
        <w:rPr>
          <w:lang w:val="pl-PL"/>
        </w:rPr>
        <w:t xml:space="preserve">). Ponadto Izba </w:t>
      </w:r>
      <w:r w:rsidR="008C1B45">
        <w:rPr>
          <w:lang w:val="pl-PL"/>
        </w:rPr>
        <w:t>oceniła</w:t>
      </w:r>
      <w:r w:rsidR="008C1B45" w:rsidRPr="00246717">
        <w:rPr>
          <w:lang w:val="pl-PL"/>
        </w:rPr>
        <w:t xml:space="preserve"> </w:t>
      </w:r>
      <w:r w:rsidR="004F20D6" w:rsidRPr="00246717">
        <w:rPr>
          <w:lang w:val="pl-PL"/>
        </w:rPr>
        <w:t xml:space="preserve">ogólną rzetelność postępowania i stwierdziła, że </w:t>
      </w:r>
      <w:r w:rsidR="008C1B45">
        <w:rPr>
          <w:lang w:val="pl-PL"/>
        </w:rPr>
        <w:t xml:space="preserve">wydany wobec skarżącej </w:t>
      </w:r>
      <w:r w:rsidR="004F20D6" w:rsidRPr="00246717">
        <w:rPr>
          <w:lang w:val="pl-PL"/>
        </w:rPr>
        <w:t>wyrok skazujący opierał się na szeregu dowod</w:t>
      </w:r>
      <w:r w:rsidR="00662695">
        <w:rPr>
          <w:lang w:val="pl-PL"/>
        </w:rPr>
        <w:t>ach</w:t>
      </w:r>
      <w:r w:rsidR="004F20D6" w:rsidRPr="00246717">
        <w:rPr>
          <w:lang w:val="pl-PL"/>
        </w:rPr>
        <w:t xml:space="preserve">. Pomimo niestawiennictwa A. </w:t>
      </w:r>
      <w:r w:rsidR="00052E30">
        <w:rPr>
          <w:lang w:val="pl-PL"/>
        </w:rPr>
        <w:t>w procesie</w:t>
      </w:r>
      <w:r w:rsidR="004F20D6" w:rsidRPr="00246717">
        <w:rPr>
          <w:lang w:val="pl-PL"/>
        </w:rPr>
        <w:t xml:space="preserve">, jego zeznania </w:t>
      </w:r>
      <w:proofErr w:type="spellStart"/>
      <w:r w:rsidR="004F20D6" w:rsidRPr="00246717">
        <w:rPr>
          <w:lang w:val="pl-PL"/>
        </w:rPr>
        <w:t>przedprocesowe</w:t>
      </w:r>
      <w:proofErr w:type="spellEnd"/>
      <w:r w:rsidR="004F20D6" w:rsidRPr="00246717">
        <w:rPr>
          <w:lang w:val="pl-PL"/>
        </w:rPr>
        <w:t xml:space="preserve"> zostały odczytane na </w:t>
      </w:r>
      <w:r w:rsidR="00B46D09">
        <w:rPr>
          <w:lang w:val="pl-PL"/>
        </w:rPr>
        <w:t>rozprawie</w:t>
      </w:r>
      <w:r w:rsidR="004F20D6" w:rsidRPr="00246717">
        <w:rPr>
          <w:lang w:val="pl-PL"/>
        </w:rPr>
        <w:t xml:space="preserve"> i skarżąca miała możliwość przedstawienia </w:t>
      </w:r>
      <w:r w:rsidR="008C1B45">
        <w:rPr>
          <w:lang w:val="pl-PL"/>
        </w:rPr>
        <w:t>swojego stanowiska w ich przedmiocie</w:t>
      </w:r>
      <w:r w:rsidR="004F20D6" w:rsidRPr="00246717">
        <w:rPr>
          <w:lang w:val="pl-PL"/>
        </w:rPr>
        <w:t xml:space="preserve">, a także </w:t>
      </w:r>
      <w:r w:rsidR="008C1B45">
        <w:rPr>
          <w:lang w:val="pl-PL"/>
        </w:rPr>
        <w:t>w przedmiocie</w:t>
      </w:r>
      <w:r w:rsidR="004F20D6" w:rsidRPr="00246717">
        <w:rPr>
          <w:lang w:val="pl-PL"/>
        </w:rPr>
        <w:t xml:space="preserve"> innych dowodów.</w:t>
      </w:r>
    </w:p>
    <w:p w14:paraId="00E73EC7" w14:textId="6F87CCE3" w:rsidR="004F20D6" w:rsidRPr="00246717" w:rsidRDefault="00150576" w:rsidP="000957D3">
      <w:pPr>
        <w:pStyle w:val="ECHRPara"/>
        <w:rPr>
          <w:lang w:val="pl-PL"/>
        </w:rPr>
      </w:pPr>
      <w:r w:rsidRPr="00246717">
        <w:rPr>
          <w:lang w:val="pl-PL"/>
        </w:rPr>
        <w:fldChar w:fldCharType="begin"/>
      </w:r>
      <w:r w:rsidR="00F0085F" w:rsidRPr="00246717">
        <w:rPr>
          <w:lang w:val="pl-PL"/>
        </w:rPr>
        <w:instrText xml:space="preserve"> SEQ level0 \*arabic </w:instrText>
      </w:r>
      <w:r w:rsidRPr="00246717">
        <w:rPr>
          <w:lang w:val="pl-PL"/>
        </w:rPr>
        <w:fldChar w:fldCharType="separate"/>
      </w:r>
      <w:r w:rsidR="00F0085F" w:rsidRPr="00246717">
        <w:rPr>
          <w:lang w:val="pl-PL"/>
        </w:rPr>
        <w:t>100</w:t>
      </w:r>
      <w:r w:rsidRPr="00246717">
        <w:rPr>
          <w:lang w:val="pl-PL"/>
        </w:rPr>
        <w:fldChar w:fldCharType="end"/>
      </w:r>
      <w:r w:rsidR="00F0085F" w:rsidRPr="00246717">
        <w:rPr>
          <w:lang w:val="pl-PL"/>
        </w:rPr>
        <w:t xml:space="preserve">.  W związku z tym Izba </w:t>
      </w:r>
      <w:r w:rsidR="008C1B45">
        <w:rPr>
          <w:lang w:val="pl-PL"/>
        </w:rPr>
        <w:t>uznała</w:t>
      </w:r>
      <w:r w:rsidR="00F0085F" w:rsidRPr="00246717">
        <w:rPr>
          <w:lang w:val="pl-PL"/>
        </w:rPr>
        <w:t>, większością składu orzekającego, że nie doszło do naruszenia art.</w:t>
      </w:r>
      <w:r w:rsidR="00B46D09">
        <w:rPr>
          <w:lang w:val="pl-PL"/>
        </w:rPr>
        <w:t> </w:t>
      </w:r>
      <w:r w:rsidR="00F0085F" w:rsidRPr="00246717">
        <w:rPr>
          <w:lang w:val="pl-PL"/>
        </w:rPr>
        <w:t>6 ust.</w:t>
      </w:r>
      <w:r w:rsidR="00B46D09">
        <w:rPr>
          <w:lang w:val="pl-PL"/>
        </w:rPr>
        <w:t> </w:t>
      </w:r>
      <w:r w:rsidR="00F0085F" w:rsidRPr="00246717">
        <w:rPr>
          <w:lang w:val="pl-PL"/>
        </w:rPr>
        <w:t>1</w:t>
      </w:r>
      <w:r w:rsidR="008C1B45">
        <w:rPr>
          <w:lang w:val="pl-PL"/>
        </w:rPr>
        <w:t xml:space="preserve"> </w:t>
      </w:r>
      <w:r w:rsidR="00F0085F" w:rsidRPr="00246717">
        <w:rPr>
          <w:lang w:val="pl-PL"/>
        </w:rPr>
        <w:t>i 3 lit.</w:t>
      </w:r>
      <w:r w:rsidR="00B46D09">
        <w:rPr>
          <w:lang w:val="pl-PL"/>
        </w:rPr>
        <w:t> </w:t>
      </w:r>
      <w:r w:rsidR="00F0085F" w:rsidRPr="00246717">
        <w:rPr>
          <w:lang w:val="pl-PL"/>
        </w:rPr>
        <w:t>d Konwencji w odniesieniu do niestawiennictwa świadka A. (zob. par.</w:t>
      </w:r>
      <w:r w:rsidR="00B46D09">
        <w:rPr>
          <w:lang w:val="pl-PL"/>
        </w:rPr>
        <w:t> </w:t>
      </w:r>
      <w:r w:rsidR="00F0085F" w:rsidRPr="00246717">
        <w:rPr>
          <w:lang w:val="pl-PL"/>
        </w:rPr>
        <w:t>88</w:t>
      </w:r>
      <w:r w:rsidR="00B46D09">
        <w:rPr>
          <w:rFonts w:cstheme="minorHAnsi"/>
          <w:lang w:val="pl-PL"/>
        </w:rPr>
        <w:t>−</w:t>
      </w:r>
      <w:r w:rsidR="00F0085F" w:rsidRPr="00246717">
        <w:rPr>
          <w:lang w:val="pl-PL"/>
        </w:rPr>
        <w:t>89 wyroku Izby).</w:t>
      </w:r>
    </w:p>
    <w:p w14:paraId="42600720" w14:textId="1ED42E08" w:rsidR="00AB5796" w:rsidRPr="00246717" w:rsidRDefault="00EE2E05" w:rsidP="000957D3">
      <w:pPr>
        <w:pStyle w:val="ECHRHeading2"/>
        <w:rPr>
          <w:lang w:val="pl-PL"/>
        </w:rPr>
      </w:pPr>
      <w:bookmarkStart w:id="114" w:name="_Toc512401310"/>
      <w:bookmarkStart w:id="115" w:name="_Toc512345138"/>
      <w:r w:rsidRPr="00246717">
        <w:rPr>
          <w:lang w:val="pl-PL"/>
        </w:rPr>
        <w:t>B.</w:t>
      </w:r>
      <w:r w:rsidR="00B46D09">
        <w:rPr>
          <w:lang w:val="pl-PL"/>
        </w:rPr>
        <w:t>  </w:t>
      </w:r>
      <w:r w:rsidRPr="00246717">
        <w:rPr>
          <w:lang w:val="pl-PL"/>
        </w:rPr>
        <w:t>Uwagi stron przed Wielką Izbą</w:t>
      </w:r>
      <w:bookmarkEnd w:id="114"/>
      <w:bookmarkEnd w:id="115"/>
    </w:p>
    <w:p w14:paraId="78FE1E41" w14:textId="7AC4FFB1" w:rsidR="004F20D6" w:rsidRPr="00246717" w:rsidRDefault="00EE2E05" w:rsidP="000957D3">
      <w:pPr>
        <w:pStyle w:val="ECHRHeading3"/>
        <w:rPr>
          <w:lang w:val="pl-PL"/>
        </w:rPr>
      </w:pPr>
      <w:bookmarkStart w:id="116" w:name="_Toc512401311"/>
      <w:bookmarkStart w:id="117" w:name="_Toc512345139"/>
      <w:r w:rsidRPr="00246717">
        <w:rPr>
          <w:bCs w:val="0"/>
          <w:iCs/>
          <w:lang w:val="pl-PL"/>
        </w:rPr>
        <w:t>1.  Skarżąca</w:t>
      </w:r>
      <w:bookmarkEnd w:id="116"/>
      <w:bookmarkEnd w:id="117"/>
    </w:p>
    <w:p w14:paraId="47DBA1CB" w14:textId="59666DFF" w:rsidR="00AB5796" w:rsidRPr="00246717" w:rsidRDefault="00150576" w:rsidP="000957D3">
      <w:pPr>
        <w:pStyle w:val="ECHRPara"/>
        <w:rPr>
          <w:bCs/>
          <w:lang w:val="pl-PL"/>
        </w:rPr>
      </w:pPr>
      <w:r w:rsidRPr="00246717">
        <w:rPr>
          <w:lang w:val="pl-PL"/>
        </w:rPr>
        <w:fldChar w:fldCharType="begin"/>
      </w:r>
      <w:r w:rsidR="00AB5796" w:rsidRPr="00246717">
        <w:rPr>
          <w:lang w:val="pl-PL"/>
        </w:rPr>
        <w:instrText xml:space="preserve"> SEQ level0 \*arabic </w:instrText>
      </w:r>
      <w:r w:rsidRPr="00246717">
        <w:rPr>
          <w:lang w:val="pl-PL"/>
        </w:rPr>
        <w:fldChar w:fldCharType="separate"/>
      </w:r>
      <w:r w:rsidR="00AB5796" w:rsidRPr="00246717">
        <w:rPr>
          <w:lang w:val="pl-PL"/>
        </w:rPr>
        <w:t>101</w:t>
      </w:r>
      <w:r w:rsidRPr="00246717">
        <w:rPr>
          <w:lang w:val="pl-PL"/>
        </w:rPr>
        <w:fldChar w:fldCharType="end"/>
      </w:r>
      <w:r w:rsidR="00AB5796" w:rsidRPr="00246717">
        <w:rPr>
          <w:lang w:val="pl-PL"/>
        </w:rPr>
        <w:t xml:space="preserve">.  Skarżąca uznała, że A. był „kluczowym świadkiem” i jego działania doprowadziły do pozyskania </w:t>
      </w:r>
      <w:r w:rsidR="003B3C9C">
        <w:rPr>
          <w:lang w:val="pl-PL"/>
        </w:rPr>
        <w:t xml:space="preserve">obciążającego ją </w:t>
      </w:r>
      <w:r w:rsidR="00AB5796" w:rsidRPr="00246717">
        <w:rPr>
          <w:lang w:val="pl-PL"/>
        </w:rPr>
        <w:t xml:space="preserve">materiału dowodowego. W związku z tym jego działania można przyrównać do działań prowokatora. Skarżąca </w:t>
      </w:r>
      <w:r w:rsidR="003B3C9C">
        <w:rPr>
          <w:lang w:val="pl-PL"/>
        </w:rPr>
        <w:t>twierdził</w:t>
      </w:r>
      <w:r w:rsidR="003B3C9C" w:rsidRPr="00246717">
        <w:rPr>
          <w:lang w:val="pl-PL"/>
        </w:rPr>
        <w:t>a</w:t>
      </w:r>
      <w:r w:rsidR="00AB5796" w:rsidRPr="00246717">
        <w:rPr>
          <w:lang w:val="pl-PL"/>
        </w:rPr>
        <w:t xml:space="preserve">, że w sposób konsekwentny i wyraźny w swoich uwagach przed sądami krajowymi powoływała się na potencjalną </w:t>
      </w:r>
      <w:r w:rsidR="00750259">
        <w:rPr>
          <w:lang w:val="pl-PL"/>
        </w:rPr>
        <w:t>prowokację</w:t>
      </w:r>
      <w:r w:rsidR="00AB5796" w:rsidRPr="00246717">
        <w:rPr>
          <w:lang w:val="pl-PL"/>
        </w:rPr>
        <w:t xml:space="preserve">. Podkreśliła centralną rolę, jaką A. pełnił dla organów prowadzących </w:t>
      </w:r>
      <w:r w:rsidR="00B46D09">
        <w:rPr>
          <w:lang w:val="pl-PL"/>
        </w:rPr>
        <w:t>postępowanie przygotowawcze</w:t>
      </w:r>
      <w:r w:rsidR="00AB5796" w:rsidRPr="00246717">
        <w:rPr>
          <w:lang w:val="pl-PL"/>
        </w:rPr>
        <w:t xml:space="preserve"> i sądów oraz nalegała, aby został przesłuchany</w:t>
      </w:r>
      <w:r w:rsidR="003B3C9C">
        <w:rPr>
          <w:lang w:val="pl-PL"/>
        </w:rPr>
        <w:t xml:space="preserve"> osobiście</w:t>
      </w:r>
      <w:r w:rsidR="00AB5796" w:rsidRPr="00246717">
        <w:rPr>
          <w:lang w:val="pl-PL"/>
        </w:rPr>
        <w:t>.</w:t>
      </w:r>
    </w:p>
    <w:p w14:paraId="4FDABE17" w14:textId="59788A6A" w:rsidR="0062431E" w:rsidRPr="00246717" w:rsidRDefault="00150576" w:rsidP="000957D3">
      <w:pPr>
        <w:pStyle w:val="ECHRPara"/>
        <w:rPr>
          <w:bCs/>
          <w:lang w:val="pl-PL"/>
        </w:rPr>
      </w:pPr>
      <w:r w:rsidRPr="00246717">
        <w:rPr>
          <w:lang w:val="pl-PL"/>
        </w:rPr>
        <w:fldChar w:fldCharType="begin"/>
      </w:r>
      <w:r w:rsidR="00AB5796" w:rsidRPr="00246717">
        <w:rPr>
          <w:lang w:val="pl-PL"/>
        </w:rPr>
        <w:instrText xml:space="preserve"> SEQ level0 \*arabic </w:instrText>
      </w:r>
      <w:r w:rsidRPr="00246717">
        <w:rPr>
          <w:lang w:val="pl-PL"/>
        </w:rPr>
        <w:fldChar w:fldCharType="separate"/>
      </w:r>
      <w:r w:rsidR="00AB5796" w:rsidRPr="00246717">
        <w:rPr>
          <w:lang w:val="pl-PL"/>
        </w:rPr>
        <w:t>102</w:t>
      </w:r>
      <w:r w:rsidRPr="00246717">
        <w:rPr>
          <w:lang w:val="pl-PL"/>
        </w:rPr>
        <w:fldChar w:fldCharType="end"/>
      </w:r>
      <w:r w:rsidR="00AB5796" w:rsidRPr="00246717">
        <w:rPr>
          <w:lang w:val="pl-PL"/>
        </w:rPr>
        <w:t xml:space="preserve">.  Przyznając, że jej </w:t>
      </w:r>
      <w:r w:rsidR="003B3C9C">
        <w:rPr>
          <w:lang w:val="pl-PL"/>
        </w:rPr>
        <w:t>obrońca</w:t>
      </w:r>
      <w:r w:rsidR="003B3C9C" w:rsidRPr="00246717">
        <w:rPr>
          <w:lang w:val="pl-PL"/>
        </w:rPr>
        <w:t xml:space="preserve"> </w:t>
      </w:r>
      <w:r w:rsidR="00AB5796" w:rsidRPr="00246717">
        <w:rPr>
          <w:lang w:val="pl-PL"/>
        </w:rPr>
        <w:t xml:space="preserve">S. zwrócił się o przesłuchanie A. na </w:t>
      </w:r>
      <w:r w:rsidR="00B46D09">
        <w:rPr>
          <w:lang w:val="pl-PL"/>
        </w:rPr>
        <w:t>rozprawie</w:t>
      </w:r>
      <w:r w:rsidR="00AB5796" w:rsidRPr="00246717">
        <w:rPr>
          <w:lang w:val="pl-PL"/>
        </w:rPr>
        <w:t xml:space="preserve"> bez podawania konkretnych powodów </w:t>
      </w:r>
      <w:r w:rsidR="003B3C9C">
        <w:rPr>
          <w:lang w:val="pl-PL"/>
        </w:rPr>
        <w:t>twierdziła</w:t>
      </w:r>
      <w:r w:rsidR="00AB5796" w:rsidRPr="00246717">
        <w:rPr>
          <w:lang w:val="pl-PL"/>
        </w:rPr>
        <w:t xml:space="preserve">, że znaczenie i </w:t>
      </w:r>
      <w:r w:rsidR="0047124B">
        <w:rPr>
          <w:lang w:val="pl-PL"/>
        </w:rPr>
        <w:t>wagę</w:t>
      </w:r>
      <w:r w:rsidR="0047124B" w:rsidRPr="00246717">
        <w:rPr>
          <w:lang w:val="pl-PL"/>
        </w:rPr>
        <w:t xml:space="preserve"> </w:t>
      </w:r>
      <w:r w:rsidR="00AB5796" w:rsidRPr="00246717">
        <w:rPr>
          <w:lang w:val="pl-PL"/>
        </w:rPr>
        <w:t>zeznań A. można wywnioskować z odniesień do niego czynionych podczas jej własnego przesłuchania i wcześniejszego przesłuchania jej współlokatorek.</w:t>
      </w:r>
    </w:p>
    <w:p w14:paraId="15BB4DED" w14:textId="3DB10DE4" w:rsidR="00AB5796" w:rsidRPr="00246717" w:rsidRDefault="00150576" w:rsidP="000957D3">
      <w:pPr>
        <w:pStyle w:val="ECHRPara"/>
        <w:rPr>
          <w:bCs/>
          <w:lang w:val="pl-PL"/>
        </w:rPr>
      </w:pPr>
      <w:r w:rsidRPr="00246717">
        <w:rPr>
          <w:lang w:val="pl-PL"/>
        </w:rPr>
        <w:fldChar w:fldCharType="begin"/>
      </w:r>
      <w:r w:rsidR="00AB5796" w:rsidRPr="00246717">
        <w:rPr>
          <w:lang w:val="pl-PL"/>
        </w:rPr>
        <w:instrText xml:space="preserve"> SEQ level0 \*arabic </w:instrText>
      </w:r>
      <w:r w:rsidRPr="00246717">
        <w:rPr>
          <w:lang w:val="pl-PL"/>
        </w:rPr>
        <w:fldChar w:fldCharType="separate"/>
      </w:r>
      <w:r w:rsidR="00AB5796" w:rsidRPr="00246717">
        <w:rPr>
          <w:lang w:val="pl-PL"/>
        </w:rPr>
        <w:t>103</w:t>
      </w:r>
      <w:r w:rsidRPr="00246717">
        <w:rPr>
          <w:lang w:val="pl-PL"/>
        </w:rPr>
        <w:fldChar w:fldCharType="end"/>
      </w:r>
      <w:r w:rsidR="00AB5796" w:rsidRPr="00246717">
        <w:rPr>
          <w:lang w:val="pl-PL"/>
        </w:rPr>
        <w:t xml:space="preserve">.  W odniesieniu do mającej zastosowanie normy Konwencji skarżąca zwróciła się do Wielkiej Izby o </w:t>
      </w:r>
      <w:r w:rsidR="0047124B">
        <w:rPr>
          <w:lang w:val="pl-PL"/>
        </w:rPr>
        <w:t>ponowną ocenę</w:t>
      </w:r>
      <w:r w:rsidR="0047124B" w:rsidRPr="00246717">
        <w:rPr>
          <w:lang w:val="pl-PL"/>
        </w:rPr>
        <w:t xml:space="preserve"> </w:t>
      </w:r>
      <w:r w:rsidR="0047124B">
        <w:rPr>
          <w:lang w:val="pl-PL"/>
        </w:rPr>
        <w:t>stanowiska przedstawionego</w:t>
      </w:r>
      <w:r w:rsidR="0047124B" w:rsidRPr="00246717">
        <w:rPr>
          <w:lang w:val="pl-PL"/>
        </w:rPr>
        <w:t xml:space="preserve"> </w:t>
      </w:r>
      <w:r w:rsidR="00AB5796" w:rsidRPr="00246717">
        <w:rPr>
          <w:lang w:val="pl-PL"/>
        </w:rPr>
        <w:t xml:space="preserve">w sprawie </w:t>
      </w:r>
      <w:proofErr w:type="spellStart"/>
      <w:r w:rsidR="00AB5796" w:rsidRPr="00246717">
        <w:rPr>
          <w:i/>
          <w:iCs/>
          <w:lang w:val="pl-PL"/>
        </w:rPr>
        <w:t>Perna</w:t>
      </w:r>
      <w:proofErr w:type="spellEnd"/>
      <w:r w:rsidR="00AB5796" w:rsidRPr="00246717">
        <w:rPr>
          <w:i/>
          <w:iCs/>
          <w:lang w:val="pl-PL"/>
        </w:rPr>
        <w:t xml:space="preserve">, </w:t>
      </w:r>
      <w:r w:rsidR="00AB5796" w:rsidRPr="00246717">
        <w:rPr>
          <w:lang w:val="pl-PL"/>
        </w:rPr>
        <w:t xml:space="preserve">przynajmniej w przypadkach, w których obrona wnosi o przesłuchanie świadka, którego stawiennictwa nie była w stanie zapewnić, na przykład w przypadku funkcjonariuszy organów ścigania, i którego oskarżenie nie wzywa na przesłuchanie. Jej zdaniem </w:t>
      </w:r>
      <w:r w:rsidR="0047124B">
        <w:rPr>
          <w:lang w:val="pl-PL"/>
        </w:rPr>
        <w:t>stanowisko</w:t>
      </w:r>
      <w:r w:rsidR="0047124B" w:rsidRPr="00246717">
        <w:rPr>
          <w:lang w:val="pl-PL"/>
        </w:rPr>
        <w:t xml:space="preserve"> </w:t>
      </w:r>
      <w:r w:rsidR="00AB5796" w:rsidRPr="00246717">
        <w:rPr>
          <w:lang w:val="pl-PL"/>
        </w:rPr>
        <w:t xml:space="preserve">w sprawie </w:t>
      </w:r>
      <w:proofErr w:type="spellStart"/>
      <w:r w:rsidR="00AB5796" w:rsidRPr="00246717">
        <w:rPr>
          <w:i/>
          <w:iCs/>
          <w:lang w:val="pl-PL"/>
        </w:rPr>
        <w:t>Perna</w:t>
      </w:r>
      <w:proofErr w:type="spellEnd"/>
      <w:r w:rsidR="00AB5796" w:rsidRPr="00246717">
        <w:rPr>
          <w:i/>
          <w:iCs/>
          <w:lang w:val="pl-PL"/>
        </w:rPr>
        <w:t xml:space="preserve"> </w:t>
      </w:r>
      <w:r w:rsidR="00AB5796" w:rsidRPr="00246717">
        <w:rPr>
          <w:lang w:val="pl-PL"/>
        </w:rPr>
        <w:t xml:space="preserve">było </w:t>
      </w:r>
      <w:r w:rsidR="0047124B">
        <w:rPr>
          <w:lang w:val="pl-PL"/>
        </w:rPr>
        <w:t xml:space="preserve">niejako </w:t>
      </w:r>
      <w:r w:rsidR="00AB5796" w:rsidRPr="00246717">
        <w:rPr>
          <w:lang w:val="pl-PL"/>
        </w:rPr>
        <w:t xml:space="preserve">„mechaniczne”, pozbawione </w:t>
      </w:r>
      <w:r w:rsidR="0047124B">
        <w:rPr>
          <w:lang w:val="pl-PL"/>
        </w:rPr>
        <w:t xml:space="preserve">podstaw </w:t>
      </w:r>
      <w:r w:rsidR="00AB5796" w:rsidRPr="00246717">
        <w:rPr>
          <w:lang w:val="pl-PL"/>
        </w:rPr>
        <w:t xml:space="preserve">merytorycznych i nakładało </w:t>
      </w:r>
      <w:r w:rsidR="0047124B">
        <w:rPr>
          <w:lang w:val="pl-PL"/>
        </w:rPr>
        <w:t>bezzasadnie</w:t>
      </w:r>
      <w:r w:rsidR="0047124B" w:rsidRPr="00246717">
        <w:rPr>
          <w:lang w:val="pl-PL"/>
        </w:rPr>
        <w:t xml:space="preserve"> </w:t>
      </w:r>
      <w:r w:rsidR="00AB5796" w:rsidRPr="00246717">
        <w:rPr>
          <w:lang w:val="pl-PL"/>
        </w:rPr>
        <w:t>duż</w:t>
      </w:r>
      <w:r w:rsidR="0047124B">
        <w:rPr>
          <w:lang w:val="pl-PL"/>
        </w:rPr>
        <w:t>y</w:t>
      </w:r>
      <w:r w:rsidR="00AB5796" w:rsidRPr="00246717">
        <w:rPr>
          <w:lang w:val="pl-PL"/>
        </w:rPr>
        <w:t xml:space="preserve"> </w:t>
      </w:r>
      <w:r w:rsidR="0047124B">
        <w:rPr>
          <w:lang w:val="pl-PL"/>
        </w:rPr>
        <w:t>ciężar</w:t>
      </w:r>
      <w:r w:rsidR="0047124B" w:rsidRPr="00246717">
        <w:rPr>
          <w:lang w:val="pl-PL"/>
        </w:rPr>
        <w:t xml:space="preserve"> </w:t>
      </w:r>
      <w:r w:rsidR="00AB5796" w:rsidRPr="00246717">
        <w:rPr>
          <w:lang w:val="pl-PL"/>
        </w:rPr>
        <w:t>na obronę, od której wymagano uzasadnienia wezwania świadka, nad którym oskarżenie mogło mieć kontrolę.</w:t>
      </w:r>
    </w:p>
    <w:bookmarkStart w:id="118" w:name="AppsReferencesIntLaw"/>
    <w:p w14:paraId="4DA94135" w14:textId="69E4602D" w:rsidR="00AB5796" w:rsidRPr="00246717" w:rsidRDefault="00150576" w:rsidP="000957D3">
      <w:pPr>
        <w:pStyle w:val="ECHRPara"/>
        <w:rPr>
          <w:snapToGrid w:val="0"/>
          <w:lang w:val="pl-PL"/>
        </w:rPr>
      </w:pPr>
      <w:r w:rsidRPr="00246717">
        <w:rPr>
          <w:lang w:val="pl-PL"/>
        </w:rPr>
        <w:fldChar w:fldCharType="begin"/>
      </w:r>
      <w:r w:rsidR="00AB5796" w:rsidRPr="00246717">
        <w:rPr>
          <w:lang w:val="pl-PL"/>
        </w:rPr>
        <w:instrText xml:space="preserve"> SEQ level0 \*arabic </w:instrText>
      </w:r>
      <w:r w:rsidRPr="00246717">
        <w:rPr>
          <w:lang w:val="pl-PL"/>
        </w:rPr>
        <w:fldChar w:fldCharType="separate"/>
      </w:r>
      <w:r w:rsidR="00AB5796" w:rsidRPr="00246717">
        <w:rPr>
          <w:lang w:val="pl-PL"/>
        </w:rPr>
        <w:t>104</w:t>
      </w:r>
      <w:r w:rsidRPr="00246717">
        <w:rPr>
          <w:lang w:val="pl-PL"/>
        </w:rPr>
        <w:fldChar w:fldCharType="end"/>
      </w:r>
      <w:bookmarkEnd w:id="118"/>
      <w:r w:rsidR="00AB5796" w:rsidRPr="00246717">
        <w:rPr>
          <w:lang w:val="pl-PL"/>
        </w:rPr>
        <w:t>.  </w:t>
      </w:r>
      <w:r w:rsidR="0047124B">
        <w:rPr>
          <w:lang w:val="pl-PL"/>
        </w:rPr>
        <w:t>N</w:t>
      </w:r>
      <w:r w:rsidR="00AB5796" w:rsidRPr="00246717">
        <w:rPr>
          <w:lang w:val="pl-PL"/>
        </w:rPr>
        <w:t xml:space="preserve">a poparcie powyższego argumentu skarżąca powołała się na </w:t>
      </w:r>
      <w:r w:rsidR="0047124B">
        <w:rPr>
          <w:lang w:val="pl-PL"/>
        </w:rPr>
        <w:t>zmianę</w:t>
      </w:r>
      <w:r w:rsidR="0047124B" w:rsidRPr="00246717">
        <w:rPr>
          <w:lang w:val="pl-PL"/>
        </w:rPr>
        <w:t xml:space="preserve"> </w:t>
      </w:r>
      <w:r w:rsidR="00AB5796" w:rsidRPr="00246717">
        <w:rPr>
          <w:lang w:val="pl-PL"/>
        </w:rPr>
        <w:t xml:space="preserve">mającego zastosowanie kryterium dla świadków oskarżenia w sprawach </w:t>
      </w:r>
      <w:r w:rsidR="00AB5796" w:rsidRPr="00246717">
        <w:rPr>
          <w:i/>
          <w:iCs/>
          <w:lang w:val="pl-PL"/>
        </w:rPr>
        <w:t>Al</w:t>
      </w:r>
      <w:r w:rsidR="00AB5796" w:rsidRPr="00246717">
        <w:rPr>
          <w:i/>
          <w:iCs/>
          <w:lang w:val="pl-PL"/>
        </w:rPr>
        <w:noBreakHyphen/>
      </w:r>
      <w:proofErr w:type="spellStart"/>
      <w:r w:rsidR="00AB5796" w:rsidRPr="00246717">
        <w:rPr>
          <w:i/>
          <w:iCs/>
          <w:lang w:val="pl-PL"/>
        </w:rPr>
        <w:t>Khawaja</w:t>
      </w:r>
      <w:proofErr w:type="spellEnd"/>
      <w:r w:rsidR="00AB5796" w:rsidRPr="00246717">
        <w:rPr>
          <w:i/>
          <w:iCs/>
          <w:lang w:val="pl-PL"/>
        </w:rPr>
        <w:t xml:space="preserve"> i </w:t>
      </w:r>
      <w:proofErr w:type="spellStart"/>
      <w:r w:rsidR="00AB5796" w:rsidRPr="00246717">
        <w:rPr>
          <w:i/>
          <w:iCs/>
          <w:lang w:val="pl-PL"/>
        </w:rPr>
        <w:t>Tahery</w:t>
      </w:r>
      <w:proofErr w:type="spellEnd"/>
      <w:r w:rsidR="00AB5796" w:rsidRPr="00246717">
        <w:rPr>
          <w:i/>
          <w:iCs/>
          <w:lang w:val="pl-PL"/>
        </w:rPr>
        <w:t xml:space="preserve"> przeciwko Zjednoczonemu Królestwu </w:t>
      </w:r>
      <w:r w:rsidR="00AB5796" w:rsidRPr="00246717">
        <w:rPr>
          <w:lang w:val="pl-PL"/>
        </w:rPr>
        <w:t>[WI], skarga nr</w:t>
      </w:r>
      <w:r w:rsidR="00146D47">
        <w:rPr>
          <w:lang w:val="pl-PL"/>
        </w:rPr>
        <w:t> </w:t>
      </w:r>
      <w:r w:rsidR="00AB5796" w:rsidRPr="00246717">
        <w:rPr>
          <w:lang w:val="pl-PL"/>
        </w:rPr>
        <w:t xml:space="preserve">26766/05 i 22228/06, ETPCz 2011, oraz </w:t>
      </w:r>
      <w:proofErr w:type="spellStart"/>
      <w:r w:rsidR="00AB5796" w:rsidRPr="00246717">
        <w:rPr>
          <w:i/>
          <w:iCs/>
          <w:lang w:val="pl-PL"/>
        </w:rPr>
        <w:t>Schatschaschwili</w:t>
      </w:r>
      <w:proofErr w:type="spellEnd"/>
      <w:r w:rsidR="00AB5796" w:rsidRPr="00246717">
        <w:rPr>
          <w:i/>
          <w:iCs/>
          <w:lang w:val="pl-PL"/>
        </w:rPr>
        <w:t xml:space="preserve"> </w:t>
      </w:r>
      <w:r w:rsidR="00AB5796" w:rsidRPr="00246717">
        <w:rPr>
          <w:i/>
          <w:iCs/>
          <w:lang w:val="pl-PL"/>
        </w:rPr>
        <w:lastRenderedPageBreak/>
        <w:t xml:space="preserve">przeciwko Niemcom </w:t>
      </w:r>
      <w:r w:rsidR="00AB5796" w:rsidRPr="00246717">
        <w:rPr>
          <w:lang w:val="pl-PL"/>
        </w:rPr>
        <w:t>[WI], skarga</w:t>
      </w:r>
      <w:r w:rsidR="00836245">
        <w:rPr>
          <w:lang w:val="pl-PL"/>
        </w:rPr>
        <w:t> </w:t>
      </w:r>
      <w:r w:rsidR="00AB5796" w:rsidRPr="00246717">
        <w:rPr>
          <w:lang w:val="pl-PL"/>
        </w:rPr>
        <w:t xml:space="preserve">nr 9154/10, ETPCz 2015, a także na aktualne tendencje w orzecznictwie w sprawach dotyczących zastawiania </w:t>
      </w:r>
      <w:r w:rsidR="00313B78">
        <w:rPr>
          <w:lang w:val="pl-PL"/>
        </w:rPr>
        <w:t>prowokacji</w:t>
      </w:r>
      <w:r w:rsidR="00AB5796" w:rsidRPr="00246717">
        <w:rPr>
          <w:lang w:val="pl-PL"/>
        </w:rPr>
        <w:t xml:space="preserve"> i pokojowego gromadzenia się (powołała się na sprawę </w:t>
      </w:r>
      <w:proofErr w:type="spellStart"/>
      <w:r w:rsidR="00AB5796" w:rsidRPr="00246717">
        <w:rPr>
          <w:i/>
          <w:iCs/>
          <w:lang w:val="pl-PL"/>
        </w:rPr>
        <w:t>Bannikova</w:t>
      </w:r>
      <w:proofErr w:type="spellEnd"/>
      <w:r w:rsidR="00AB5796" w:rsidRPr="00246717">
        <w:rPr>
          <w:i/>
          <w:iCs/>
          <w:lang w:val="pl-PL"/>
        </w:rPr>
        <w:t xml:space="preserve"> prz</w:t>
      </w:r>
      <w:r w:rsidR="008237D4">
        <w:rPr>
          <w:i/>
          <w:iCs/>
          <w:lang w:val="pl-PL"/>
        </w:rPr>
        <w:t>e</w:t>
      </w:r>
      <w:r w:rsidR="00AB5796" w:rsidRPr="00246717">
        <w:rPr>
          <w:i/>
          <w:iCs/>
          <w:lang w:val="pl-PL"/>
        </w:rPr>
        <w:t>ciwko Rosji</w:t>
      </w:r>
      <w:r w:rsidR="00AB5796" w:rsidRPr="00246717">
        <w:rPr>
          <w:lang w:val="pl-PL"/>
        </w:rPr>
        <w:t>, skarga nr 18757/06, §</w:t>
      </w:r>
      <w:r w:rsidR="00836245">
        <w:rPr>
          <w:lang w:val="pl-PL"/>
        </w:rPr>
        <w:t> </w:t>
      </w:r>
      <w:r w:rsidR="00AB5796" w:rsidRPr="00246717">
        <w:rPr>
          <w:lang w:val="pl-PL"/>
        </w:rPr>
        <w:t xml:space="preserve">73, wyrok z </w:t>
      </w:r>
      <w:r w:rsidR="00957D77">
        <w:rPr>
          <w:lang w:val="pl-PL"/>
        </w:rPr>
        <w:t>dnia</w:t>
      </w:r>
      <w:r w:rsidR="00AB5796" w:rsidRPr="00246717">
        <w:rPr>
          <w:lang w:val="pl-PL"/>
        </w:rPr>
        <w:t xml:space="preserve"> 4 listopada 2010</w:t>
      </w:r>
      <w:r w:rsidR="00836245">
        <w:rPr>
          <w:lang w:val="pl-PL"/>
        </w:rPr>
        <w:t> </w:t>
      </w:r>
      <w:r w:rsidR="00AB5796" w:rsidRPr="00246717">
        <w:rPr>
          <w:lang w:val="pl-PL"/>
        </w:rPr>
        <w:t xml:space="preserve">r., oraz </w:t>
      </w:r>
      <w:proofErr w:type="spellStart"/>
      <w:r w:rsidR="00AB5796" w:rsidRPr="00246717">
        <w:rPr>
          <w:i/>
          <w:iCs/>
          <w:lang w:val="pl-PL"/>
        </w:rPr>
        <w:t>Navalnyy</w:t>
      </w:r>
      <w:proofErr w:type="spellEnd"/>
      <w:r w:rsidR="00AB5796" w:rsidRPr="00246717">
        <w:rPr>
          <w:i/>
          <w:iCs/>
          <w:lang w:val="pl-PL"/>
        </w:rPr>
        <w:t xml:space="preserve"> i </w:t>
      </w:r>
      <w:proofErr w:type="spellStart"/>
      <w:r w:rsidR="00AB5796" w:rsidRPr="00246717">
        <w:rPr>
          <w:i/>
          <w:iCs/>
          <w:lang w:val="pl-PL"/>
        </w:rPr>
        <w:t>Yashin</w:t>
      </w:r>
      <w:proofErr w:type="spellEnd"/>
      <w:r w:rsidR="00AB5796" w:rsidRPr="00246717">
        <w:rPr>
          <w:lang w:val="pl-PL"/>
        </w:rPr>
        <w:t xml:space="preserve"> </w:t>
      </w:r>
      <w:r w:rsidR="00AB5796" w:rsidRPr="00246717">
        <w:rPr>
          <w:i/>
          <w:iCs/>
          <w:lang w:val="pl-PL"/>
        </w:rPr>
        <w:t>przeciwko Rosji</w:t>
      </w:r>
      <w:r w:rsidR="00AB5796" w:rsidRPr="00246717">
        <w:rPr>
          <w:lang w:val="pl-PL"/>
        </w:rPr>
        <w:t>, skarga nr</w:t>
      </w:r>
      <w:r w:rsidR="00836245">
        <w:rPr>
          <w:lang w:val="pl-PL"/>
        </w:rPr>
        <w:t> </w:t>
      </w:r>
      <w:r w:rsidR="00AB5796" w:rsidRPr="00246717">
        <w:rPr>
          <w:lang w:val="pl-PL"/>
        </w:rPr>
        <w:t>76204/11</w:t>
      </w:r>
      <w:r w:rsidR="00AB5796" w:rsidRPr="00246717">
        <w:rPr>
          <w:snapToGrid w:val="0"/>
          <w:lang w:val="pl-PL"/>
        </w:rPr>
        <w:t>, §</w:t>
      </w:r>
      <w:r w:rsidR="00836245">
        <w:rPr>
          <w:snapToGrid w:val="0"/>
          <w:lang w:val="pl-PL"/>
        </w:rPr>
        <w:t> </w:t>
      </w:r>
      <w:r w:rsidR="00AB5796" w:rsidRPr="00246717">
        <w:rPr>
          <w:snapToGrid w:val="0"/>
          <w:lang w:val="pl-PL"/>
        </w:rPr>
        <w:t xml:space="preserve">83, wyrok z </w:t>
      </w:r>
      <w:r w:rsidR="00957D77">
        <w:rPr>
          <w:snapToGrid w:val="0"/>
          <w:lang w:val="pl-PL"/>
        </w:rPr>
        <w:t>dnia</w:t>
      </w:r>
      <w:r w:rsidR="00AB5796" w:rsidRPr="00246717">
        <w:rPr>
          <w:snapToGrid w:val="0"/>
          <w:lang w:val="pl-PL"/>
        </w:rPr>
        <w:t xml:space="preserve"> 4 grudnia 2014</w:t>
      </w:r>
      <w:r w:rsidR="00836245">
        <w:rPr>
          <w:snapToGrid w:val="0"/>
          <w:lang w:val="pl-PL"/>
        </w:rPr>
        <w:t> </w:t>
      </w:r>
      <w:r w:rsidR="00AB5796" w:rsidRPr="00246717">
        <w:rPr>
          <w:snapToGrid w:val="0"/>
          <w:lang w:val="pl-PL"/>
        </w:rPr>
        <w:t xml:space="preserve">r.). W opinii skarżącej </w:t>
      </w:r>
      <w:r w:rsidR="0047124B">
        <w:rPr>
          <w:snapToGrid w:val="0"/>
          <w:lang w:val="pl-PL"/>
        </w:rPr>
        <w:t>ze zmiany tej wynikało</w:t>
      </w:r>
      <w:r w:rsidR="00AB5796" w:rsidRPr="00246717">
        <w:rPr>
          <w:snapToGrid w:val="0"/>
          <w:lang w:val="pl-PL"/>
        </w:rPr>
        <w:t xml:space="preserve">, że na sądach krajowych spoczywał wymóg stosowania podwyższonego standardu kontroli przy weryfikowaniu </w:t>
      </w:r>
      <w:r w:rsidR="0047124B">
        <w:rPr>
          <w:snapToGrid w:val="0"/>
          <w:lang w:val="pl-PL"/>
        </w:rPr>
        <w:t xml:space="preserve">dowodów </w:t>
      </w:r>
      <w:r w:rsidR="00AB5796" w:rsidRPr="00246717">
        <w:rPr>
          <w:snapToGrid w:val="0"/>
          <w:lang w:val="pl-PL"/>
        </w:rPr>
        <w:t xml:space="preserve">obciążających. Powołując się na praktykę </w:t>
      </w:r>
      <w:proofErr w:type="spellStart"/>
      <w:r w:rsidR="00AB5796" w:rsidRPr="00246717">
        <w:rPr>
          <w:snapToGrid w:val="0"/>
          <w:lang w:val="pl-PL"/>
        </w:rPr>
        <w:t>Międzyamerykańskiego</w:t>
      </w:r>
      <w:proofErr w:type="spellEnd"/>
      <w:r w:rsidR="00AB5796" w:rsidRPr="00246717">
        <w:rPr>
          <w:snapToGrid w:val="0"/>
          <w:lang w:val="pl-PL"/>
        </w:rPr>
        <w:t xml:space="preserve"> Trybunału (</w:t>
      </w:r>
      <w:proofErr w:type="spellStart"/>
      <w:r w:rsidR="00AB5796" w:rsidRPr="00246717">
        <w:rPr>
          <w:i/>
          <w:iCs/>
          <w:snapToGrid w:val="0"/>
          <w:lang w:val="pl-PL"/>
        </w:rPr>
        <w:t>Canese</w:t>
      </w:r>
      <w:proofErr w:type="spellEnd"/>
      <w:r w:rsidR="00AB5796" w:rsidRPr="00246717">
        <w:rPr>
          <w:i/>
          <w:iCs/>
          <w:snapToGrid w:val="0"/>
          <w:lang w:val="pl-PL"/>
        </w:rPr>
        <w:t xml:space="preserve"> przeciwko Paragwajowi </w:t>
      </w:r>
      <w:r w:rsidR="00AB5796" w:rsidRPr="00246717">
        <w:rPr>
          <w:snapToGrid w:val="0"/>
          <w:lang w:val="pl-PL"/>
        </w:rPr>
        <w:t xml:space="preserve">i </w:t>
      </w:r>
      <w:proofErr w:type="spellStart"/>
      <w:r w:rsidR="00AB5796" w:rsidRPr="00246717">
        <w:rPr>
          <w:i/>
          <w:iCs/>
          <w:snapToGrid w:val="0"/>
          <w:lang w:val="pl-PL"/>
        </w:rPr>
        <w:t>Norín</w:t>
      </w:r>
      <w:proofErr w:type="spellEnd"/>
      <w:r w:rsidR="00AB5796" w:rsidRPr="00246717">
        <w:rPr>
          <w:i/>
          <w:iCs/>
          <w:snapToGrid w:val="0"/>
          <w:lang w:val="pl-PL"/>
        </w:rPr>
        <w:t xml:space="preserve"> </w:t>
      </w:r>
      <w:proofErr w:type="spellStart"/>
      <w:r w:rsidR="00AB5796" w:rsidRPr="00246717">
        <w:rPr>
          <w:i/>
          <w:iCs/>
          <w:snapToGrid w:val="0"/>
          <w:lang w:val="pl-PL"/>
        </w:rPr>
        <w:t>Catrimán</w:t>
      </w:r>
      <w:proofErr w:type="spellEnd"/>
      <w:r w:rsidR="00AB5796" w:rsidRPr="00246717">
        <w:rPr>
          <w:i/>
          <w:iCs/>
          <w:snapToGrid w:val="0"/>
          <w:lang w:val="pl-PL"/>
        </w:rPr>
        <w:t xml:space="preserve"> i </w:t>
      </w:r>
      <w:r w:rsidR="00836245">
        <w:rPr>
          <w:i/>
          <w:iCs/>
          <w:snapToGrid w:val="0"/>
          <w:lang w:val="pl-PL"/>
        </w:rPr>
        <w:t>Inni</w:t>
      </w:r>
      <w:r w:rsidR="00AB5796" w:rsidRPr="00246717">
        <w:rPr>
          <w:i/>
          <w:iCs/>
          <w:snapToGrid w:val="0"/>
          <w:lang w:val="pl-PL"/>
        </w:rPr>
        <w:t xml:space="preserve"> przeciwko Chile</w:t>
      </w:r>
      <w:r w:rsidR="00AB5796" w:rsidRPr="00246717">
        <w:rPr>
          <w:snapToGrid w:val="0"/>
          <w:lang w:val="pl-PL"/>
        </w:rPr>
        <w:t>, par.</w:t>
      </w:r>
      <w:r w:rsidR="00836245">
        <w:rPr>
          <w:snapToGrid w:val="0"/>
          <w:lang w:val="pl-PL"/>
        </w:rPr>
        <w:t> </w:t>
      </w:r>
      <w:r w:rsidR="00183E14">
        <w:fldChar w:fldCharType="begin"/>
      </w:r>
      <w:r w:rsidR="00183E14" w:rsidRPr="000473D0">
        <w:rPr>
          <w:lang w:val="pl-PL"/>
        </w:rPr>
        <w:instrText xml:space="preserve"> REF IntLCanese \h  \* MERGEFORMAT </w:instrText>
      </w:r>
      <w:r w:rsidR="00183E14">
        <w:fldChar w:fldCharType="separate"/>
      </w:r>
      <w:r w:rsidR="00AB5796" w:rsidRPr="00246717">
        <w:rPr>
          <w:lang w:val="pl-PL"/>
        </w:rPr>
        <w:t>80</w:t>
      </w:r>
      <w:r w:rsidR="00183E14">
        <w:fldChar w:fldCharType="end"/>
      </w:r>
      <w:r w:rsidR="00DF3823">
        <w:rPr>
          <w:rFonts w:cstheme="minorHAnsi"/>
          <w:snapToGrid w:val="0"/>
          <w:lang w:val="pl-PL"/>
        </w:rPr>
        <w:t>−</w:t>
      </w:r>
      <w:r w:rsidR="00183E14">
        <w:fldChar w:fldCharType="begin"/>
      </w:r>
      <w:r w:rsidR="00183E14" w:rsidRPr="000473D0">
        <w:rPr>
          <w:lang w:val="pl-PL"/>
        </w:rPr>
        <w:instrText xml:space="preserve"> REF IntLNorinCatriman \h  \* MERGEFORMAT </w:instrText>
      </w:r>
      <w:r w:rsidR="00183E14">
        <w:fldChar w:fldCharType="separate"/>
      </w:r>
      <w:r w:rsidR="00AB5796" w:rsidRPr="00246717">
        <w:rPr>
          <w:lang w:val="pl-PL"/>
        </w:rPr>
        <w:t>81</w:t>
      </w:r>
      <w:r w:rsidR="00183E14">
        <w:fldChar w:fldCharType="end"/>
      </w:r>
      <w:r w:rsidR="00AB5796" w:rsidRPr="00246717">
        <w:rPr>
          <w:snapToGrid w:val="0"/>
          <w:lang w:val="pl-PL"/>
        </w:rPr>
        <w:t xml:space="preserve"> powyżej), Izba Odwoławcza MTKJ (</w:t>
      </w:r>
      <w:r w:rsidR="00AB5796" w:rsidRPr="00246717">
        <w:rPr>
          <w:i/>
          <w:iCs/>
          <w:snapToGrid w:val="0"/>
          <w:lang w:val="pl-PL"/>
        </w:rPr>
        <w:t xml:space="preserve">Prokurator przeciwko </w:t>
      </w:r>
      <w:proofErr w:type="spellStart"/>
      <w:r w:rsidR="00AB5796" w:rsidRPr="00246717">
        <w:rPr>
          <w:i/>
          <w:iCs/>
          <w:snapToGrid w:val="0"/>
          <w:lang w:val="pl-PL"/>
        </w:rPr>
        <w:t>Martić</w:t>
      </w:r>
      <w:proofErr w:type="spellEnd"/>
      <w:r w:rsidR="00AB5796" w:rsidRPr="00246717">
        <w:rPr>
          <w:snapToGrid w:val="0"/>
          <w:lang w:val="pl-PL"/>
        </w:rPr>
        <w:t xml:space="preserve">; </w:t>
      </w:r>
      <w:r w:rsidR="00AB5796" w:rsidRPr="00246717">
        <w:rPr>
          <w:i/>
          <w:iCs/>
          <w:snapToGrid w:val="0"/>
          <w:lang w:val="pl-PL"/>
        </w:rPr>
        <w:t xml:space="preserve">v. </w:t>
      </w:r>
      <w:proofErr w:type="spellStart"/>
      <w:r w:rsidR="00AB5796" w:rsidRPr="00246717">
        <w:rPr>
          <w:i/>
          <w:iCs/>
          <w:snapToGrid w:val="0"/>
          <w:lang w:val="pl-PL"/>
        </w:rPr>
        <w:t>Halilović</w:t>
      </w:r>
      <w:proofErr w:type="spellEnd"/>
      <w:r w:rsidR="00AB5796" w:rsidRPr="00246717">
        <w:rPr>
          <w:i/>
          <w:iCs/>
          <w:snapToGrid w:val="0"/>
          <w:lang w:val="pl-PL"/>
        </w:rPr>
        <w:t>;</w:t>
      </w:r>
      <w:r w:rsidR="00AB5796" w:rsidRPr="00246717">
        <w:rPr>
          <w:snapToGrid w:val="0"/>
          <w:lang w:val="pl-PL"/>
        </w:rPr>
        <w:t xml:space="preserve"> oraz</w:t>
      </w:r>
      <w:r w:rsidR="00777C7B">
        <w:rPr>
          <w:snapToGrid w:val="0"/>
          <w:lang w:val="pl-PL"/>
        </w:rPr>
        <w:t xml:space="preserve"> </w:t>
      </w:r>
      <w:r w:rsidR="00777C7B">
        <w:rPr>
          <w:i/>
          <w:iCs/>
          <w:snapToGrid w:val="0"/>
          <w:lang w:val="pl-PL"/>
        </w:rPr>
        <w:t>Prokurator przeciwko</w:t>
      </w:r>
      <w:r w:rsidR="00AB5796" w:rsidRPr="00246717">
        <w:rPr>
          <w:i/>
          <w:iCs/>
          <w:snapToGrid w:val="0"/>
          <w:lang w:val="pl-PL"/>
        </w:rPr>
        <w:t> </w:t>
      </w:r>
      <w:proofErr w:type="spellStart"/>
      <w:r w:rsidR="00AB5796" w:rsidRPr="00246717">
        <w:rPr>
          <w:i/>
          <w:iCs/>
          <w:snapToGrid w:val="0"/>
          <w:lang w:val="pl-PL"/>
        </w:rPr>
        <w:t>Krstić</w:t>
      </w:r>
      <w:proofErr w:type="spellEnd"/>
      <w:r w:rsidR="00AB5796" w:rsidRPr="00246717">
        <w:rPr>
          <w:snapToGrid w:val="0"/>
          <w:lang w:val="pl-PL"/>
        </w:rPr>
        <w:t>, par.</w:t>
      </w:r>
      <w:r w:rsidR="00836245">
        <w:rPr>
          <w:snapToGrid w:val="0"/>
          <w:lang w:val="pl-PL"/>
        </w:rPr>
        <w:t> </w:t>
      </w:r>
      <w:r w:rsidR="00183E14">
        <w:fldChar w:fldCharType="begin"/>
      </w:r>
      <w:r w:rsidR="00183E14" w:rsidRPr="000473D0">
        <w:rPr>
          <w:lang w:val="pl-PL"/>
        </w:rPr>
        <w:instrText xml:space="preserve"> REF IntLKrstic \h  \* MERGEFORMAT </w:instrText>
      </w:r>
      <w:r w:rsidR="00183E14">
        <w:fldChar w:fldCharType="separate"/>
      </w:r>
      <w:r w:rsidR="00AB5796" w:rsidRPr="00246717">
        <w:rPr>
          <w:lang w:val="pl-PL"/>
        </w:rPr>
        <w:t>73</w:t>
      </w:r>
      <w:r w:rsidR="00183E14">
        <w:fldChar w:fldCharType="end"/>
      </w:r>
      <w:r w:rsidR="00DF3823">
        <w:rPr>
          <w:rFonts w:cstheme="minorHAnsi"/>
          <w:snapToGrid w:val="0"/>
          <w:lang w:val="pl-PL"/>
        </w:rPr>
        <w:t>−</w:t>
      </w:r>
      <w:r w:rsidR="00183E14">
        <w:fldChar w:fldCharType="begin"/>
      </w:r>
      <w:r w:rsidR="00183E14" w:rsidRPr="000473D0">
        <w:rPr>
          <w:lang w:val="pl-PL"/>
        </w:rPr>
        <w:instrText xml:space="preserve"> REF IntLMartic \h  \* MERGEFORMAT </w:instrText>
      </w:r>
      <w:r w:rsidR="00183E14">
        <w:fldChar w:fldCharType="separate"/>
      </w:r>
      <w:r w:rsidR="00AB5796" w:rsidRPr="00246717">
        <w:rPr>
          <w:lang w:val="pl-PL"/>
        </w:rPr>
        <w:t>75</w:t>
      </w:r>
      <w:r w:rsidR="00183E14">
        <w:fldChar w:fldCharType="end"/>
      </w:r>
      <w:r w:rsidR="00AB5796" w:rsidRPr="00246717">
        <w:rPr>
          <w:snapToGrid w:val="0"/>
          <w:lang w:val="pl-PL"/>
        </w:rPr>
        <w:t xml:space="preserve"> powyżej) oraz Sądu Najwyższego Stanów Zjednoczonych (</w:t>
      </w:r>
      <w:r w:rsidR="00AB5796" w:rsidRPr="00246717">
        <w:rPr>
          <w:i/>
          <w:iCs/>
          <w:snapToGrid w:val="0"/>
          <w:lang w:val="pl-PL"/>
        </w:rPr>
        <w:t>Cruz przeciwko Nowemu Jorkowi</w:t>
      </w:r>
      <w:r w:rsidR="00AB5796" w:rsidRPr="00246717">
        <w:rPr>
          <w:snapToGrid w:val="0"/>
          <w:lang w:val="pl-PL"/>
        </w:rPr>
        <w:t xml:space="preserve">, 481 US 186 (1987), oraz </w:t>
      </w:r>
      <w:proofErr w:type="spellStart"/>
      <w:r w:rsidR="00AB5796" w:rsidRPr="00246717">
        <w:rPr>
          <w:i/>
          <w:iCs/>
          <w:snapToGrid w:val="0"/>
          <w:lang w:val="pl-PL"/>
        </w:rPr>
        <w:t>Lilly</w:t>
      </w:r>
      <w:proofErr w:type="spellEnd"/>
      <w:r w:rsidR="00AB5796" w:rsidRPr="00246717">
        <w:rPr>
          <w:i/>
          <w:iCs/>
          <w:snapToGrid w:val="0"/>
          <w:lang w:val="pl-PL"/>
        </w:rPr>
        <w:t xml:space="preserve"> przeciwko Virginia</w:t>
      </w:r>
      <w:r w:rsidR="00AB5796" w:rsidRPr="00246717">
        <w:rPr>
          <w:snapToGrid w:val="0"/>
          <w:lang w:val="pl-PL"/>
        </w:rPr>
        <w:t xml:space="preserve"> 527 US 116 (1999)), twierdziła, że prawo międzynarodowe dotyczące przesłuchiwania świadków poczyniło postępy wykraczając poza kryterium </w:t>
      </w:r>
      <w:proofErr w:type="spellStart"/>
      <w:r w:rsidR="00AB5796" w:rsidRPr="00246717">
        <w:rPr>
          <w:i/>
          <w:iCs/>
          <w:snapToGrid w:val="0"/>
          <w:lang w:val="pl-PL"/>
        </w:rPr>
        <w:t>Perna</w:t>
      </w:r>
      <w:proofErr w:type="spellEnd"/>
      <w:r w:rsidR="00AB5796" w:rsidRPr="00246717">
        <w:rPr>
          <w:i/>
          <w:iCs/>
          <w:snapToGrid w:val="0"/>
          <w:lang w:val="pl-PL"/>
        </w:rPr>
        <w:t xml:space="preserve"> </w:t>
      </w:r>
      <w:r w:rsidR="00AB5796" w:rsidRPr="00246717">
        <w:rPr>
          <w:snapToGrid w:val="0"/>
          <w:lang w:val="pl-PL"/>
        </w:rPr>
        <w:t>i że konieczne było wezwanie nie tylko świadków, którzy mogli dostarczyć materiał dowodowy mogący doprowadzić do uniewinnienia, ale „ogólnie świadków faktycznych”.</w:t>
      </w:r>
    </w:p>
    <w:p w14:paraId="71376C5C" w14:textId="747D538C" w:rsidR="00AB5796" w:rsidRPr="00246717" w:rsidRDefault="00150576" w:rsidP="000957D3">
      <w:pPr>
        <w:pStyle w:val="ECHRPara"/>
        <w:rPr>
          <w:lang w:val="pl-PL"/>
        </w:rPr>
      </w:pPr>
      <w:r w:rsidRPr="00246717">
        <w:rPr>
          <w:lang w:val="pl-PL"/>
        </w:rPr>
        <w:fldChar w:fldCharType="begin"/>
      </w:r>
      <w:r w:rsidR="00AB5796" w:rsidRPr="00246717">
        <w:rPr>
          <w:lang w:val="pl-PL"/>
        </w:rPr>
        <w:instrText xml:space="preserve"> SEQ level0 \*arabic </w:instrText>
      </w:r>
      <w:r w:rsidRPr="00246717">
        <w:rPr>
          <w:lang w:val="pl-PL"/>
        </w:rPr>
        <w:fldChar w:fldCharType="separate"/>
      </w:r>
      <w:r w:rsidR="00AB5796" w:rsidRPr="00246717">
        <w:rPr>
          <w:lang w:val="pl-PL"/>
        </w:rPr>
        <w:t>105</w:t>
      </w:r>
      <w:r w:rsidRPr="00246717">
        <w:rPr>
          <w:lang w:val="pl-PL"/>
        </w:rPr>
        <w:fldChar w:fldCharType="end"/>
      </w:r>
      <w:r w:rsidR="00AB5796" w:rsidRPr="00246717">
        <w:rPr>
          <w:lang w:val="pl-PL"/>
        </w:rPr>
        <w:t xml:space="preserve">.  Skarżąca podniosła, że sądy krajowe nie zapewniły obecności świadka A. pomimo jego roli </w:t>
      </w:r>
      <w:r w:rsidR="0047124B">
        <w:rPr>
          <w:lang w:val="pl-PL"/>
        </w:rPr>
        <w:t xml:space="preserve">jako </w:t>
      </w:r>
      <w:r w:rsidR="00AB5796" w:rsidRPr="00246717">
        <w:rPr>
          <w:lang w:val="pl-PL"/>
        </w:rPr>
        <w:t>tajnego agenta. W sposób przekonujący wykazano, że jest kluczowym świadkiem i sądy krajowe opierały się na jego zeznaniu wydając wyrok skazujący</w:t>
      </w:r>
      <w:r w:rsidR="0047124B">
        <w:rPr>
          <w:lang w:val="pl-PL"/>
        </w:rPr>
        <w:t xml:space="preserve"> wobec skarżącej</w:t>
      </w:r>
      <w:r w:rsidR="00AB5796" w:rsidRPr="00246717">
        <w:rPr>
          <w:lang w:val="pl-PL"/>
        </w:rPr>
        <w:t xml:space="preserve">. W jej opinii A. był świadkiem zarówno obrony, jak i oskarżenia i sądy powinny </w:t>
      </w:r>
      <w:r w:rsidR="0047124B">
        <w:rPr>
          <w:lang w:val="pl-PL"/>
        </w:rPr>
        <w:t xml:space="preserve">były </w:t>
      </w:r>
      <w:r w:rsidR="00AB5796" w:rsidRPr="00246717">
        <w:rPr>
          <w:lang w:val="pl-PL"/>
        </w:rPr>
        <w:t>wymusić jego stawiennictwo.</w:t>
      </w:r>
    </w:p>
    <w:p w14:paraId="76450B04" w14:textId="7482BB7B" w:rsidR="00AB5796" w:rsidRPr="00246717" w:rsidRDefault="00EE2E05" w:rsidP="000957D3">
      <w:pPr>
        <w:pStyle w:val="ECHRHeading3"/>
        <w:rPr>
          <w:lang w:val="pl-PL"/>
        </w:rPr>
      </w:pPr>
      <w:bookmarkStart w:id="119" w:name="_Toc512401312"/>
      <w:bookmarkStart w:id="120" w:name="_Toc512345140"/>
      <w:r w:rsidRPr="00246717">
        <w:rPr>
          <w:bCs w:val="0"/>
          <w:iCs/>
          <w:lang w:val="pl-PL"/>
        </w:rPr>
        <w:t>2.  Rząd</w:t>
      </w:r>
      <w:bookmarkEnd w:id="119"/>
      <w:bookmarkEnd w:id="120"/>
    </w:p>
    <w:p w14:paraId="51C4938F" w14:textId="77777777" w:rsidR="009A0B63" w:rsidRPr="00246717" w:rsidRDefault="00150576" w:rsidP="000957D3">
      <w:pPr>
        <w:pStyle w:val="ECHRPara"/>
        <w:rPr>
          <w:bCs/>
          <w:lang w:val="pl-PL"/>
        </w:rPr>
      </w:pPr>
      <w:r w:rsidRPr="00246717">
        <w:rPr>
          <w:lang w:val="pl-PL"/>
        </w:rPr>
        <w:fldChar w:fldCharType="begin"/>
      </w:r>
      <w:r w:rsidR="009A0B63" w:rsidRPr="00246717">
        <w:rPr>
          <w:lang w:val="pl-PL"/>
        </w:rPr>
        <w:instrText xml:space="preserve"> SEQ level0 \*arabic </w:instrText>
      </w:r>
      <w:r w:rsidRPr="00246717">
        <w:rPr>
          <w:lang w:val="pl-PL"/>
        </w:rPr>
        <w:fldChar w:fldCharType="separate"/>
      </w:r>
      <w:r w:rsidR="009A0B63" w:rsidRPr="00246717">
        <w:rPr>
          <w:lang w:val="pl-PL"/>
        </w:rPr>
        <w:t>106</w:t>
      </w:r>
      <w:r w:rsidRPr="00246717">
        <w:rPr>
          <w:lang w:val="pl-PL"/>
        </w:rPr>
        <w:fldChar w:fldCharType="end"/>
      </w:r>
      <w:r w:rsidR="009A0B63" w:rsidRPr="00246717">
        <w:rPr>
          <w:lang w:val="pl-PL"/>
        </w:rPr>
        <w:t>.  Rząd poruszył dwie wstępne kwestie sporne ze skarżącą dotyczące sposobu, w jaki wniesiono o przesłuchanie A.</w:t>
      </w:r>
    </w:p>
    <w:p w14:paraId="7D5DBF92" w14:textId="06FB1122" w:rsidR="009A0B63" w:rsidRPr="00246717" w:rsidRDefault="00150576" w:rsidP="000957D3">
      <w:pPr>
        <w:pStyle w:val="ECHRPara"/>
        <w:rPr>
          <w:bCs/>
          <w:lang w:val="pl-PL"/>
        </w:rPr>
      </w:pPr>
      <w:r w:rsidRPr="00246717">
        <w:rPr>
          <w:lang w:val="pl-PL"/>
        </w:rPr>
        <w:fldChar w:fldCharType="begin"/>
      </w:r>
      <w:r w:rsidR="009A0B63" w:rsidRPr="00246717">
        <w:rPr>
          <w:lang w:val="pl-PL"/>
        </w:rPr>
        <w:instrText xml:space="preserve"> SEQ level0 \*arabic </w:instrText>
      </w:r>
      <w:r w:rsidRPr="00246717">
        <w:rPr>
          <w:lang w:val="pl-PL"/>
        </w:rPr>
        <w:fldChar w:fldCharType="separate"/>
      </w:r>
      <w:r w:rsidR="009A0B63" w:rsidRPr="00246717">
        <w:rPr>
          <w:lang w:val="pl-PL"/>
        </w:rPr>
        <w:t>107</w:t>
      </w:r>
      <w:r w:rsidRPr="00246717">
        <w:rPr>
          <w:lang w:val="pl-PL"/>
        </w:rPr>
        <w:fldChar w:fldCharType="end"/>
      </w:r>
      <w:r w:rsidR="009A0B63" w:rsidRPr="00246717">
        <w:rPr>
          <w:lang w:val="pl-PL"/>
        </w:rPr>
        <w:t>.  Po pierwsze Rząd stwierdził, że protokoły z rozprawy w sposób dokładny i adekwatny odzwierciedlają przebieg postępowania. Na poparcie tego argumentu Rząd powołał się na fakt, zgodnie z którym obrona nie podważyła protokołów z rozprawy w zakresie wniosku o przesłuchanie A, natomiast złożyła szczegółowe i złożone zastrzeżenia do treści protokołów z rozprawy dotyczące różnych innych kwestii. Ponadto jeden z p</w:t>
      </w:r>
      <w:r w:rsidR="00836245">
        <w:rPr>
          <w:lang w:val="pl-PL"/>
        </w:rPr>
        <w:t>ełnomocników</w:t>
      </w:r>
      <w:r w:rsidR="009A0B63" w:rsidRPr="00246717">
        <w:rPr>
          <w:lang w:val="pl-PL"/>
        </w:rPr>
        <w:t xml:space="preserve"> skarżącej w sposób wyraźny zgodził się z </w:t>
      </w:r>
      <w:r w:rsidR="0047124B" w:rsidRPr="00246717">
        <w:rPr>
          <w:lang w:val="pl-PL"/>
        </w:rPr>
        <w:t>nie</w:t>
      </w:r>
      <w:r w:rsidR="0047124B">
        <w:rPr>
          <w:lang w:val="pl-PL"/>
        </w:rPr>
        <w:t>zakwestionowanymi</w:t>
      </w:r>
      <w:r w:rsidR="0047124B" w:rsidRPr="00246717">
        <w:rPr>
          <w:lang w:val="pl-PL"/>
        </w:rPr>
        <w:t xml:space="preserve"> </w:t>
      </w:r>
      <w:r w:rsidR="009A0B63" w:rsidRPr="00246717">
        <w:rPr>
          <w:lang w:val="pl-PL"/>
        </w:rPr>
        <w:t>częściami protokołów.</w:t>
      </w:r>
    </w:p>
    <w:p w14:paraId="108B3017" w14:textId="786AFBCE" w:rsidR="009A0B63" w:rsidRPr="00246717" w:rsidRDefault="00150576" w:rsidP="000957D3">
      <w:pPr>
        <w:pStyle w:val="ECHRPara"/>
        <w:rPr>
          <w:bCs/>
          <w:lang w:val="pl-PL"/>
        </w:rPr>
      </w:pPr>
      <w:r w:rsidRPr="00246717">
        <w:rPr>
          <w:lang w:val="pl-PL"/>
        </w:rPr>
        <w:fldChar w:fldCharType="begin"/>
      </w:r>
      <w:r w:rsidR="009A0B63" w:rsidRPr="00246717">
        <w:rPr>
          <w:lang w:val="pl-PL"/>
        </w:rPr>
        <w:instrText xml:space="preserve"> SEQ level0 \*arabic </w:instrText>
      </w:r>
      <w:r w:rsidRPr="00246717">
        <w:rPr>
          <w:lang w:val="pl-PL"/>
        </w:rPr>
        <w:fldChar w:fldCharType="separate"/>
      </w:r>
      <w:r w:rsidR="009A0B63" w:rsidRPr="00246717">
        <w:rPr>
          <w:lang w:val="pl-PL"/>
        </w:rPr>
        <w:t>108</w:t>
      </w:r>
      <w:r w:rsidRPr="00246717">
        <w:rPr>
          <w:lang w:val="pl-PL"/>
        </w:rPr>
        <w:fldChar w:fldCharType="end"/>
      </w:r>
      <w:r w:rsidR="009A0B63" w:rsidRPr="00246717">
        <w:rPr>
          <w:lang w:val="pl-PL"/>
        </w:rPr>
        <w:t xml:space="preserve">.  Po drugie twierdzenie skarżącej, zgodnie z którym w sposób konsekwentny podnosiła argument </w:t>
      </w:r>
      <w:r w:rsidR="00750259">
        <w:rPr>
          <w:lang w:val="pl-PL"/>
        </w:rPr>
        <w:t>prowokacji</w:t>
      </w:r>
      <w:r w:rsidR="009A0B63" w:rsidRPr="00246717">
        <w:rPr>
          <w:lang w:val="pl-PL"/>
        </w:rPr>
        <w:t xml:space="preserve"> przed sądami na szczeblu krajowym, przeczy </w:t>
      </w:r>
      <w:r w:rsidR="00E550F2">
        <w:rPr>
          <w:lang w:val="pl-PL"/>
        </w:rPr>
        <w:t>treści wynikającej z materiałów</w:t>
      </w:r>
      <w:r w:rsidR="00E550F2" w:rsidRPr="00246717">
        <w:rPr>
          <w:lang w:val="pl-PL"/>
        </w:rPr>
        <w:t xml:space="preserve"> </w:t>
      </w:r>
      <w:r w:rsidR="009A0B63" w:rsidRPr="00246717">
        <w:rPr>
          <w:lang w:val="pl-PL"/>
        </w:rPr>
        <w:t xml:space="preserve">sprawy. Rząd stwierdził, że skarżąca nie podniosła kwestii prowokatora aż do czasu przedłożenia Trybunałowi uwag, a obrona nie wysunęła takiego stwierdzenia, wnosząc o stawiennictwo A. Rząd </w:t>
      </w:r>
      <w:r w:rsidR="00064257">
        <w:rPr>
          <w:lang w:val="pl-PL"/>
        </w:rPr>
        <w:t>twierdził</w:t>
      </w:r>
      <w:r w:rsidR="009A0B63" w:rsidRPr="00246717">
        <w:rPr>
          <w:lang w:val="pl-PL"/>
        </w:rPr>
        <w:t xml:space="preserve">, że wszelkie skargi dotyczące </w:t>
      </w:r>
      <w:r w:rsidR="00750259">
        <w:rPr>
          <w:lang w:val="pl-PL"/>
        </w:rPr>
        <w:t>prowokacji</w:t>
      </w:r>
      <w:r w:rsidR="009A0B63" w:rsidRPr="00246717">
        <w:rPr>
          <w:lang w:val="pl-PL"/>
        </w:rPr>
        <w:t xml:space="preserve"> były w każdym razie w sposób oczywisty nieuzasadnione, ponieważ skarżąca </w:t>
      </w:r>
      <w:r w:rsidR="009A0B63" w:rsidRPr="00246717">
        <w:rPr>
          <w:lang w:val="pl-PL"/>
        </w:rPr>
        <w:lastRenderedPageBreak/>
        <w:t xml:space="preserve">zaprzeczała swojemu udziałowi w przestępstwie, </w:t>
      </w:r>
      <w:r w:rsidR="00064257">
        <w:rPr>
          <w:lang w:val="pl-PL"/>
        </w:rPr>
        <w:t>której</w:t>
      </w:r>
      <w:r w:rsidR="009A0B63" w:rsidRPr="00246717">
        <w:rPr>
          <w:lang w:val="pl-PL"/>
        </w:rPr>
        <w:t xml:space="preserve"> popełnienie </w:t>
      </w:r>
      <w:r w:rsidR="00064257">
        <w:rPr>
          <w:lang w:val="pl-PL"/>
        </w:rPr>
        <w:t>jej zarzucono</w:t>
      </w:r>
      <w:r w:rsidR="009A0B63" w:rsidRPr="00246717">
        <w:rPr>
          <w:lang w:val="pl-PL"/>
        </w:rPr>
        <w:t xml:space="preserve">. Na poparcie stanowiska, na które powołano się w orzeczeniu Trybunału w sprawie </w:t>
      </w:r>
      <w:proofErr w:type="spellStart"/>
      <w:r w:rsidR="009A0B63" w:rsidRPr="00246717">
        <w:rPr>
          <w:i/>
          <w:iCs/>
          <w:lang w:val="pl-PL"/>
        </w:rPr>
        <w:t>Koromchakova</w:t>
      </w:r>
      <w:proofErr w:type="spellEnd"/>
      <w:r w:rsidR="009A0B63" w:rsidRPr="00246717">
        <w:rPr>
          <w:i/>
          <w:iCs/>
          <w:lang w:val="pl-PL"/>
        </w:rPr>
        <w:t xml:space="preserve"> przeciwko Rosji </w:t>
      </w:r>
      <w:r w:rsidR="009A0B63" w:rsidRPr="00246717">
        <w:rPr>
          <w:lang w:val="pl-PL"/>
        </w:rPr>
        <w:t>(</w:t>
      </w:r>
      <w:proofErr w:type="spellStart"/>
      <w:r w:rsidR="009A0B63" w:rsidRPr="00246717">
        <w:rPr>
          <w:lang w:val="pl-PL"/>
        </w:rPr>
        <w:t>dec</w:t>
      </w:r>
      <w:proofErr w:type="spellEnd"/>
      <w:r w:rsidR="009A0B63" w:rsidRPr="00246717">
        <w:rPr>
          <w:lang w:val="pl-PL"/>
        </w:rPr>
        <w:t>.) (wyrok z dn</w:t>
      </w:r>
      <w:r w:rsidR="00836245">
        <w:rPr>
          <w:lang w:val="pl-PL"/>
        </w:rPr>
        <w:t>ia </w:t>
      </w:r>
      <w:r w:rsidR="009A0B63" w:rsidRPr="00246717">
        <w:rPr>
          <w:lang w:val="pl-PL"/>
        </w:rPr>
        <w:t>13 grudnia 2016</w:t>
      </w:r>
      <w:r w:rsidR="00CC68C8">
        <w:rPr>
          <w:lang w:val="pl-PL"/>
        </w:rPr>
        <w:t> </w:t>
      </w:r>
      <w:r w:rsidR="009A0B63" w:rsidRPr="00246717">
        <w:rPr>
          <w:lang w:val="pl-PL"/>
        </w:rPr>
        <w:t>r., skarga nr</w:t>
      </w:r>
      <w:r w:rsidR="00CC68C8">
        <w:rPr>
          <w:lang w:val="pl-PL"/>
        </w:rPr>
        <w:t> </w:t>
      </w:r>
      <w:r w:rsidR="009A0B63" w:rsidRPr="00246717">
        <w:rPr>
          <w:lang w:val="pl-PL"/>
        </w:rPr>
        <w:t>19185/05, §</w:t>
      </w:r>
      <w:r w:rsidR="00CC68C8">
        <w:rPr>
          <w:lang w:val="pl-PL"/>
        </w:rPr>
        <w:t> </w:t>
      </w:r>
      <w:r w:rsidR="009A0B63" w:rsidRPr="00246717">
        <w:rPr>
          <w:lang w:val="pl-PL"/>
        </w:rPr>
        <w:t>19).</w:t>
      </w:r>
    </w:p>
    <w:p w14:paraId="46C09322" w14:textId="3B4B0041" w:rsidR="007E1943" w:rsidRPr="00246717" w:rsidRDefault="00150576" w:rsidP="000957D3">
      <w:pPr>
        <w:pStyle w:val="ECHRPara"/>
        <w:rPr>
          <w:lang w:val="pl-PL"/>
        </w:rPr>
      </w:pPr>
      <w:r w:rsidRPr="00246717">
        <w:rPr>
          <w:lang w:val="pl-PL"/>
        </w:rPr>
        <w:fldChar w:fldCharType="begin"/>
      </w:r>
      <w:r w:rsidR="007E1943" w:rsidRPr="00246717">
        <w:rPr>
          <w:lang w:val="pl-PL"/>
        </w:rPr>
        <w:instrText xml:space="preserve"> SEQ level0 \*arabic </w:instrText>
      </w:r>
      <w:r w:rsidRPr="00246717">
        <w:rPr>
          <w:lang w:val="pl-PL"/>
        </w:rPr>
        <w:fldChar w:fldCharType="separate"/>
      </w:r>
      <w:r w:rsidR="007E1943" w:rsidRPr="00246717">
        <w:rPr>
          <w:lang w:val="pl-PL"/>
        </w:rPr>
        <w:t>109</w:t>
      </w:r>
      <w:r w:rsidRPr="00246717">
        <w:rPr>
          <w:lang w:val="pl-PL"/>
        </w:rPr>
        <w:fldChar w:fldCharType="end"/>
      </w:r>
      <w:r w:rsidR="007E1943" w:rsidRPr="00246717">
        <w:rPr>
          <w:lang w:val="pl-PL"/>
        </w:rPr>
        <w:t xml:space="preserve">.  Co się tyczy przedmiotu niniejszej skargi, Rząd zasugerował, że rzetelność postępowania pod względem przesłuchania świadków obrony </w:t>
      </w:r>
      <w:r w:rsidR="00D239AE">
        <w:rPr>
          <w:lang w:val="pl-PL"/>
        </w:rPr>
        <w:t>należy</w:t>
      </w:r>
      <w:r w:rsidR="007E1943" w:rsidRPr="00246717">
        <w:rPr>
          <w:lang w:val="pl-PL"/>
        </w:rPr>
        <w:t xml:space="preserve"> </w:t>
      </w:r>
      <w:r w:rsidR="00D239AE" w:rsidRPr="00246717">
        <w:rPr>
          <w:lang w:val="pl-PL"/>
        </w:rPr>
        <w:t>oceni</w:t>
      </w:r>
      <w:r w:rsidR="00D239AE">
        <w:rPr>
          <w:lang w:val="pl-PL"/>
        </w:rPr>
        <w:t>ać</w:t>
      </w:r>
      <w:r w:rsidR="00D239AE" w:rsidRPr="00246717">
        <w:rPr>
          <w:lang w:val="pl-PL"/>
        </w:rPr>
        <w:t xml:space="preserve"> </w:t>
      </w:r>
      <w:r w:rsidR="007E1943" w:rsidRPr="00246717">
        <w:rPr>
          <w:lang w:val="pl-PL"/>
        </w:rPr>
        <w:t>za pomocą następującego testu:</w:t>
      </w:r>
    </w:p>
    <w:p w14:paraId="64D962B4" w14:textId="47557F2D" w:rsidR="007E1943" w:rsidRPr="00246717" w:rsidRDefault="00CC68C8" w:rsidP="000957D3">
      <w:pPr>
        <w:pStyle w:val="ECHRPara"/>
        <w:rPr>
          <w:lang w:val="pl-PL"/>
        </w:rPr>
      </w:pPr>
      <w:r>
        <w:rPr>
          <w:rFonts w:cstheme="minorHAnsi"/>
          <w:lang w:val="pl-PL"/>
        </w:rPr>
        <w:t>−</w:t>
      </w:r>
      <w:r w:rsidR="00F80ADE" w:rsidRPr="00246717">
        <w:rPr>
          <w:lang w:val="pl-PL"/>
        </w:rPr>
        <w:t xml:space="preserve"> Czy skarżąca w sposób jasny i wyraźny poinformowała organy o ż</w:t>
      </w:r>
      <w:r>
        <w:rPr>
          <w:lang w:val="pl-PL"/>
        </w:rPr>
        <w:t>ądaniu</w:t>
      </w:r>
      <w:r w:rsidR="00F80ADE" w:rsidRPr="00246717">
        <w:rPr>
          <w:lang w:val="pl-PL"/>
        </w:rPr>
        <w:t xml:space="preserve"> przesłuchania </w:t>
      </w:r>
      <w:r w:rsidR="00D239AE">
        <w:rPr>
          <w:lang w:val="pl-PL"/>
        </w:rPr>
        <w:t>określonych</w:t>
      </w:r>
      <w:r w:rsidR="00D239AE" w:rsidRPr="00246717">
        <w:rPr>
          <w:lang w:val="pl-PL"/>
        </w:rPr>
        <w:t xml:space="preserve"> </w:t>
      </w:r>
      <w:r w:rsidR="00F80ADE" w:rsidRPr="00246717">
        <w:rPr>
          <w:lang w:val="pl-PL"/>
        </w:rPr>
        <w:t>świadków poprzez złożenie odpowiedniego wniosku?</w:t>
      </w:r>
    </w:p>
    <w:p w14:paraId="02AC8E0D" w14:textId="60754E98" w:rsidR="007E1943" w:rsidRPr="00246717" w:rsidRDefault="00CC68C8" w:rsidP="000957D3">
      <w:pPr>
        <w:pStyle w:val="ECHRPara"/>
        <w:rPr>
          <w:lang w:val="pl-PL"/>
        </w:rPr>
      </w:pPr>
      <w:r>
        <w:rPr>
          <w:rFonts w:cstheme="minorHAnsi"/>
          <w:lang w:val="pl-PL"/>
        </w:rPr>
        <w:t>−</w:t>
      </w:r>
      <w:r w:rsidR="00F80ADE" w:rsidRPr="00246717">
        <w:rPr>
          <w:lang w:val="pl-PL"/>
        </w:rPr>
        <w:t xml:space="preserve"> Czy wniosek ten został wystarczająco uzasadniony, w odniesieniu do oskarżenia i umożliwiał wzmocnienie stanowiska obrony?</w:t>
      </w:r>
    </w:p>
    <w:p w14:paraId="30D24976" w14:textId="3B471661" w:rsidR="007E1943" w:rsidRPr="00246717" w:rsidRDefault="00CC68C8" w:rsidP="000957D3">
      <w:pPr>
        <w:pStyle w:val="ECHRPara"/>
        <w:rPr>
          <w:bCs/>
          <w:lang w:val="pl-PL"/>
        </w:rPr>
      </w:pPr>
      <w:r>
        <w:rPr>
          <w:rFonts w:cstheme="minorHAnsi"/>
          <w:lang w:val="pl-PL"/>
        </w:rPr>
        <w:t>−</w:t>
      </w:r>
      <w:r w:rsidR="00F80ADE" w:rsidRPr="00246717">
        <w:rPr>
          <w:lang w:val="pl-PL"/>
        </w:rPr>
        <w:t xml:space="preserve"> Czy sądy krajowe </w:t>
      </w:r>
      <w:r w:rsidR="00D239AE">
        <w:rPr>
          <w:lang w:val="pl-PL"/>
        </w:rPr>
        <w:t xml:space="preserve">dopuściły się </w:t>
      </w:r>
      <w:r w:rsidR="00D239AE" w:rsidRPr="00246717">
        <w:rPr>
          <w:lang w:val="pl-PL"/>
        </w:rPr>
        <w:t>narusz</w:t>
      </w:r>
      <w:r w:rsidR="00D239AE">
        <w:rPr>
          <w:lang w:val="pl-PL"/>
        </w:rPr>
        <w:t>enia</w:t>
      </w:r>
      <w:r w:rsidR="00D239AE" w:rsidRPr="00246717">
        <w:rPr>
          <w:lang w:val="pl-PL"/>
        </w:rPr>
        <w:t xml:space="preserve"> </w:t>
      </w:r>
      <w:r w:rsidR="00F80ADE" w:rsidRPr="00246717">
        <w:rPr>
          <w:lang w:val="pl-PL"/>
        </w:rPr>
        <w:t>art.</w:t>
      </w:r>
      <w:r>
        <w:rPr>
          <w:lang w:val="pl-PL"/>
        </w:rPr>
        <w:t> </w:t>
      </w:r>
      <w:r w:rsidR="00F80ADE" w:rsidRPr="00246717">
        <w:rPr>
          <w:lang w:val="pl-PL"/>
        </w:rPr>
        <w:t>6 ust.</w:t>
      </w:r>
      <w:r>
        <w:rPr>
          <w:lang w:val="pl-PL"/>
        </w:rPr>
        <w:t> </w:t>
      </w:r>
      <w:r w:rsidR="00F80ADE" w:rsidRPr="00246717">
        <w:rPr>
          <w:lang w:val="pl-PL"/>
        </w:rPr>
        <w:t>3 lit.</w:t>
      </w:r>
      <w:r>
        <w:rPr>
          <w:lang w:val="pl-PL"/>
        </w:rPr>
        <w:t> </w:t>
      </w:r>
      <w:r w:rsidR="00F80ADE" w:rsidRPr="00246717">
        <w:rPr>
          <w:lang w:val="pl-PL"/>
        </w:rPr>
        <w:t xml:space="preserve">d </w:t>
      </w:r>
      <w:r w:rsidR="00D239AE">
        <w:rPr>
          <w:lang w:val="pl-PL"/>
        </w:rPr>
        <w:t xml:space="preserve">polegającego na </w:t>
      </w:r>
      <w:r w:rsidR="00F80ADE" w:rsidRPr="00246717">
        <w:rPr>
          <w:lang w:val="pl-PL"/>
        </w:rPr>
        <w:t>nie</w:t>
      </w:r>
      <w:r w:rsidR="00D239AE" w:rsidRPr="00246717">
        <w:rPr>
          <w:lang w:val="pl-PL"/>
        </w:rPr>
        <w:t>za</w:t>
      </w:r>
      <w:r w:rsidR="00D239AE">
        <w:rPr>
          <w:lang w:val="pl-PL"/>
        </w:rPr>
        <w:t>pewnieniu</w:t>
      </w:r>
      <w:r w:rsidR="00D239AE" w:rsidRPr="00246717">
        <w:rPr>
          <w:lang w:val="pl-PL"/>
        </w:rPr>
        <w:t xml:space="preserve"> </w:t>
      </w:r>
      <w:r w:rsidR="00F80ADE" w:rsidRPr="00246717">
        <w:rPr>
          <w:lang w:val="pl-PL"/>
        </w:rPr>
        <w:t>stawiennictwa świadka?</w:t>
      </w:r>
    </w:p>
    <w:p w14:paraId="0E590B50" w14:textId="3CF6E1AA" w:rsidR="007E1943" w:rsidRPr="00246717" w:rsidRDefault="00150576" w:rsidP="000957D3">
      <w:pPr>
        <w:pStyle w:val="ECHRPara"/>
        <w:rPr>
          <w:lang w:val="pl-PL"/>
        </w:rPr>
      </w:pPr>
      <w:r w:rsidRPr="00246717">
        <w:rPr>
          <w:lang w:val="pl-PL"/>
        </w:rPr>
        <w:fldChar w:fldCharType="begin"/>
      </w:r>
      <w:r w:rsidR="007E1943" w:rsidRPr="00246717">
        <w:rPr>
          <w:lang w:val="pl-PL"/>
        </w:rPr>
        <w:instrText xml:space="preserve"> SEQ level0 \*arabic </w:instrText>
      </w:r>
      <w:r w:rsidRPr="00246717">
        <w:rPr>
          <w:lang w:val="pl-PL"/>
        </w:rPr>
        <w:fldChar w:fldCharType="separate"/>
      </w:r>
      <w:r w:rsidR="007E1943" w:rsidRPr="00246717">
        <w:rPr>
          <w:lang w:val="pl-PL"/>
        </w:rPr>
        <w:t>110</w:t>
      </w:r>
      <w:r w:rsidRPr="00246717">
        <w:rPr>
          <w:lang w:val="pl-PL"/>
        </w:rPr>
        <w:fldChar w:fldCharType="end"/>
      </w:r>
      <w:r w:rsidR="007E1943" w:rsidRPr="00246717">
        <w:rPr>
          <w:lang w:val="pl-PL"/>
        </w:rPr>
        <w:t xml:space="preserve">.  Rząd stwierdził, że skarżąca nie spełniła kryteriów </w:t>
      </w:r>
      <w:r w:rsidR="00D239AE">
        <w:rPr>
          <w:lang w:val="pl-PL"/>
        </w:rPr>
        <w:t>chociażby</w:t>
      </w:r>
      <w:r w:rsidR="00D239AE" w:rsidRPr="00246717">
        <w:rPr>
          <w:lang w:val="pl-PL"/>
        </w:rPr>
        <w:t xml:space="preserve"> </w:t>
      </w:r>
      <w:r w:rsidR="007E1943" w:rsidRPr="00246717">
        <w:rPr>
          <w:lang w:val="pl-PL"/>
        </w:rPr>
        <w:t xml:space="preserve">pierwszej części testu. Podkreślił, że obrona tylko jednokrotnie złożyła wniosek o przesłuchanie A., nie sprzeciwiła się odczytaniu jego zeznania </w:t>
      </w:r>
      <w:proofErr w:type="spellStart"/>
      <w:r w:rsidR="007E1943" w:rsidRPr="00246717">
        <w:rPr>
          <w:lang w:val="pl-PL"/>
        </w:rPr>
        <w:t>przedprocesowego</w:t>
      </w:r>
      <w:proofErr w:type="spellEnd"/>
      <w:r w:rsidR="007E1943" w:rsidRPr="00246717">
        <w:rPr>
          <w:lang w:val="pl-PL"/>
        </w:rPr>
        <w:t xml:space="preserve">, chociaż przepisy proceduralne taką możliwość </w:t>
      </w:r>
      <w:r w:rsidR="00D239AE">
        <w:rPr>
          <w:lang w:val="pl-PL"/>
        </w:rPr>
        <w:t xml:space="preserve">przewidywały </w:t>
      </w:r>
      <w:r w:rsidR="007E1943" w:rsidRPr="00246717">
        <w:rPr>
          <w:lang w:val="pl-PL"/>
        </w:rPr>
        <w:t xml:space="preserve">i, w rzeczy samej, obrona w dużej mierze zgodziła się z treścią odczytanych zeznań. Zważywszy na zgodę stron na odczytanie zeznań A. i w obliczu braku wniosków o odroczenie postępowania, sąd </w:t>
      </w:r>
      <w:r w:rsidR="00D239AE">
        <w:rPr>
          <w:lang w:val="pl-PL"/>
        </w:rPr>
        <w:t>orzekający</w:t>
      </w:r>
      <w:r w:rsidR="007E1943" w:rsidRPr="00246717">
        <w:rPr>
          <w:lang w:val="pl-PL"/>
        </w:rPr>
        <w:t xml:space="preserve"> </w:t>
      </w:r>
      <w:r w:rsidR="00D239AE">
        <w:rPr>
          <w:lang w:val="pl-PL"/>
        </w:rPr>
        <w:t>w dalszym ciągu prowadził</w:t>
      </w:r>
      <w:r w:rsidR="007E1943" w:rsidRPr="00246717">
        <w:rPr>
          <w:lang w:val="pl-PL"/>
        </w:rPr>
        <w:t xml:space="preserve"> spraw</w:t>
      </w:r>
      <w:r w:rsidR="00D239AE">
        <w:rPr>
          <w:lang w:val="pl-PL"/>
        </w:rPr>
        <w:t>ę</w:t>
      </w:r>
      <w:r w:rsidR="007E1943" w:rsidRPr="00246717">
        <w:rPr>
          <w:lang w:val="pl-PL"/>
        </w:rPr>
        <w:t xml:space="preserve">, jako że strony uznały to za stosowne. W związku z tym </w:t>
      </w:r>
      <w:r w:rsidR="00D239AE">
        <w:rPr>
          <w:lang w:val="pl-PL"/>
        </w:rPr>
        <w:t>zdaniem</w:t>
      </w:r>
      <w:r w:rsidR="007E1943" w:rsidRPr="00246717">
        <w:rPr>
          <w:lang w:val="pl-PL"/>
        </w:rPr>
        <w:t xml:space="preserve"> Rządu skarżąca nie podjęła minimalnych środków proceduralnych niezbędnych do wykonywania jej prawa do przesłuchania A.; ograniczyła się do przesłuchania </w:t>
      </w:r>
      <w:proofErr w:type="spellStart"/>
      <w:r w:rsidR="007E1943" w:rsidRPr="00246717">
        <w:rPr>
          <w:lang w:val="pl-PL"/>
        </w:rPr>
        <w:t>przedprocesowego</w:t>
      </w:r>
      <w:proofErr w:type="spellEnd"/>
      <w:r w:rsidR="007E1943" w:rsidRPr="00246717">
        <w:rPr>
          <w:lang w:val="pl-PL"/>
        </w:rPr>
        <w:t xml:space="preserve"> A. i w sposób jasny i wyraźny zrzekła się swojego prawa do przesłuchania go na </w:t>
      </w:r>
      <w:r w:rsidR="00D239AE">
        <w:rPr>
          <w:lang w:val="pl-PL"/>
        </w:rPr>
        <w:t>rozprawie</w:t>
      </w:r>
      <w:r w:rsidR="007E1943" w:rsidRPr="00246717">
        <w:rPr>
          <w:lang w:val="pl-PL"/>
        </w:rPr>
        <w:t>.</w:t>
      </w:r>
    </w:p>
    <w:p w14:paraId="0913C592" w14:textId="26A96E09" w:rsidR="0062431E" w:rsidRPr="00246717" w:rsidRDefault="00150576" w:rsidP="000957D3">
      <w:pPr>
        <w:pStyle w:val="ECHRPara"/>
        <w:rPr>
          <w:lang w:val="pl-PL"/>
        </w:rPr>
      </w:pPr>
      <w:r w:rsidRPr="00246717">
        <w:rPr>
          <w:lang w:val="pl-PL"/>
        </w:rPr>
        <w:fldChar w:fldCharType="begin"/>
      </w:r>
      <w:r w:rsidR="007E1943" w:rsidRPr="00246717">
        <w:rPr>
          <w:lang w:val="pl-PL"/>
        </w:rPr>
        <w:instrText xml:space="preserve"> SEQ level0 \*arabic </w:instrText>
      </w:r>
      <w:r w:rsidRPr="00246717">
        <w:rPr>
          <w:lang w:val="pl-PL"/>
        </w:rPr>
        <w:fldChar w:fldCharType="separate"/>
      </w:r>
      <w:r w:rsidR="007E1943" w:rsidRPr="00246717">
        <w:rPr>
          <w:lang w:val="pl-PL"/>
        </w:rPr>
        <w:t>111</w:t>
      </w:r>
      <w:r w:rsidRPr="00246717">
        <w:rPr>
          <w:lang w:val="pl-PL"/>
        </w:rPr>
        <w:fldChar w:fldCharType="end"/>
      </w:r>
      <w:r w:rsidR="007E1943" w:rsidRPr="00246717">
        <w:rPr>
          <w:lang w:val="pl-PL"/>
        </w:rPr>
        <w:t xml:space="preserve">.  Pomimo powyższego wniosku w sprawie pierwszego kryterium testu, Rząd przystąpił jednak do drugiego etapu testu i stwierdził, że skarżąca nie przedstawiła wystarczających powodów do przesłuchania A. Od strony merytorycznej Rząd podkreślił, że podczas postępowania przygotowawczego skarżąca złożyła wniosek o przesłuchanie A. siedem miesięcy po jej zatrzymaniu i </w:t>
      </w:r>
      <w:r w:rsidR="00D239AE">
        <w:rPr>
          <w:lang w:val="pl-PL"/>
        </w:rPr>
        <w:t>wszczęciu</w:t>
      </w:r>
      <w:r w:rsidR="00D239AE" w:rsidRPr="00246717">
        <w:rPr>
          <w:lang w:val="pl-PL"/>
        </w:rPr>
        <w:t xml:space="preserve"> </w:t>
      </w:r>
      <w:r w:rsidR="00D239AE">
        <w:rPr>
          <w:lang w:val="pl-PL"/>
        </w:rPr>
        <w:t>postępowania</w:t>
      </w:r>
      <w:r w:rsidR="007E1943" w:rsidRPr="00246717">
        <w:rPr>
          <w:lang w:val="pl-PL"/>
        </w:rPr>
        <w:t xml:space="preserve">. Zadała mu jedynie pytania dotyczące faktów, niepowiązane </w:t>
      </w:r>
      <w:r w:rsidR="00D239AE">
        <w:rPr>
          <w:lang w:val="pl-PL"/>
        </w:rPr>
        <w:t>z postawionymi</w:t>
      </w:r>
      <w:r w:rsidR="007E1943" w:rsidRPr="00246717">
        <w:rPr>
          <w:lang w:val="pl-PL"/>
        </w:rPr>
        <w:t xml:space="preserve"> jej zarzutami, a obrona nie zadała A. dalszych pytań po uzyskaniu odpowiedzi na pierwsze pytania.</w:t>
      </w:r>
    </w:p>
    <w:p w14:paraId="568F2CC8" w14:textId="502330C9" w:rsidR="007E1943" w:rsidRPr="00246717" w:rsidRDefault="00150576" w:rsidP="000957D3">
      <w:pPr>
        <w:pStyle w:val="ECHRPara"/>
        <w:rPr>
          <w:lang w:val="pl-PL"/>
        </w:rPr>
      </w:pPr>
      <w:r w:rsidRPr="00246717">
        <w:rPr>
          <w:lang w:val="pl-PL"/>
        </w:rPr>
        <w:fldChar w:fldCharType="begin"/>
      </w:r>
      <w:r w:rsidR="007E1943" w:rsidRPr="00246717">
        <w:rPr>
          <w:lang w:val="pl-PL"/>
        </w:rPr>
        <w:instrText xml:space="preserve"> SEQ level0 \*arabic </w:instrText>
      </w:r>
      <w:r w:rsidRPr="00246717">
        <w:rPr>
          <w:lang w:val="pl-PL"/>
        </w:rPr>
        <w:fldChar w:fldCharType="separate"/>
      </w:r>
      <w:r w:rsidR="007E1943" w:rsidRPr="00246717">
        <w:rPr>
          <w:lang w:val="pl-PL"/>
        </w:rPr>
        <w:t>112</w:t>
      </w:r>
      <w:r w:rsidRPr="00246717">
        <w:rPr>
          <w:lang w:val="pl-PL"/>
        </w:rPr>
        <w:fldChar w:fldCharType="end"/>
      </w:r>
      <w:r w:rsidR="007E1943" w:rsidRPr="00246717">
        <w:rPr>
          <w:lang w:val="pl-PL"/>
        </w:rPr>
        <w:t xml:space="preserve">.  Rząd stwierdził również, że w każdym razie na pytania skarżącej odpowiedzi mogli udzielić inni przesłuchiwani na </w:t>
      </w:r>
      <w:r w:rsidR="00D239AE">
        <w:rPr>
          <w:lang w:val="pl-PL"/>
        </w:rPr>
        <w:t>rozprawie świadkowie</w:t>
      </w:r>
      <w:r w:rsidR="007E1943" w:rsidRPr="00246717">
        <w:rPr>
          <w:lang w:val="pl-PL"/>
        </w:rPr>
        <w:t>. Ponadto oskarżenie nie powołało się na zeznanie A. i sądy nie opierały się na zeznaniu A. przy wydawaniu wyroku skazującego skarżąc</w:t>
      </w:r>
      <w:r w:rsidR="00D239AE">
        <w:rPr>
          <w:lang w:val="pl-PL"/>
        </w:rPr>
        <w:t>ej</w:t>
      </w:r>
      <w:r w:rsidR="007E1943" w:rsidRPr="00246717">
        <w:rPr>
          <w:lang w:val="pl-PL"/>
        </w:rPr>
        <w:t>.</w:t>
      </w:r>
    </w:p>
    <w:p w14:paraId="4DB5DE14" w14:textId="77777777" w:rsidR="007E1943" w:rsidRPr="00246717" w:rsidRDefault="00150576" w:rsidP="000957D3">
      <w:pPr>
        <w:pStyle w:val="ECHRPara"/>
        <w:rPr>
          <w:lang w:val="pl-PL"/>
        </w:rPr>
      </w:pPr>
      <w:r w:rsidRPr="00246717">
        <w:rPr>
          <w:lang w:val="pl-PL"/>
        </w:rPr>
        <w:fldChar w:fldCharType="begin"/>
      </w:r>
      <w:r w:rsidR="007E1943" w:rsidRPr="00246717">
        <w:rPr>
          <w:lang w:val="pl-PL"/>
        </w:rPr>
        <w:instrText xml:space="preserve"> SEQ level0 \*arabic </w:instrText>
      </w:r>
      <w:r w:rsidRPr="00246717">
        <w:rPr>
          <w:lang w:val="pl-PL"/>
        </w:rPr>
        <w:fldChar w:fldCharType="separate"/>
      </w:r>
      <w:r w:rsidR="007E1943" w:rsidRPr="00246717">
        <w:rPr>
          <w:lang w:val="pl-PL"/>
        </w:rPr>
        <w:t>113</w:t>
      </w:r>
      <w:r w:rsidRPr="00246717">
        <w:rPr>
          <w:lang w:val="pl-PL"/>
        </w:rPr>
        <w:fldChar w:fldCharType="end"/>
      </w:r>
      <w:r w:rsidR="007E1943" w:rsidRPr="00246717">
        <w:rPr>
          <w:lang w:val="pl-PL"/>
        </w:rPr>
        <w:t>.  Zważywszy na przeczące odpowiedzi udzielone na pierwsze dwa pytania testu Rząd uznał, że zbadanie trzeciego pytania nie jest konieczne.</w:t>
      </w:r>
    </w:p>
    <w:p w14:paraId="551594E8" w14:textId="0BFB394B" w:rsidR="00BB4172" w:rsidRPr="00246717" w:rsidRDefault="00BB4172" w:rsidP="000957D3">
      <w:pPr>
        <w:pStyle w:val="ECHRHeading2"/>
        <w:rPr>
          <w:lang w:val="pl-PL"/>
        </w:rPr>
      </w:pPr>
      <w:r w:rsidRPr="00246717">
        <w:rPr>
          <w:lang w:val="pl-PL"/>
        </w:rPr>
        <w:lastRenderedPageBreak/>
        <w:t>C.</w:t>
      </w:r>
      <w:r w:rsidR="008106CB">
        <w:rPr>
          <w:lang w:val="pl-PL"/>
        </w:rPr>
        <w:t>  </w:t>
      </w:r>
      <w:r w:rsidRPr="00246717">
        <w:rPr>
          <w:lang w:val="pl-PL"/>
        </w:rPr>
        <w:t>Ocena Trybunału</w:t>
      </w:r>
    </w:p>
    <w:p w14:paraId="37FE7AD9" w14:textId="135F526E"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114</w:t>
      </w:r>
      <w:r w:rsidRPr="00246717">
        <w:rPr>
          <w:lang w:val="pl-PL"/>
        </w:rPr>
        <w:fldChar w:fldCharType="end"/>
      </w:r>
      <w:r w:rsidR="00BB4172" w:rsidRPr="00246717">
        <w:rPr>
          <w:lang w:val="pl-PL"/>
        </w:rPr>
        <w:t xml:space="preserve">.  Trybunał odnotowuje argument Rządu, który twierdzi, że skarżąca zrzekła się prawa do przesłuchania świadka A. na </w:t>
      </w:r>
      <w:r w:rsidR="00823581">
        <w:rPr>
          <w:lang w:val="pl-PL"/>
        </w:rPr>
        <w:t>rozprawie</w:t>
      </w:r>
      <w:r w:rsidR="00BB4172" w:rsidRPr="00246717">
        <w:rPr>
          <w:lang w:val="pl-PL"/>
        </w:rPr>
        <w:t xml:space="preserve">. Uznaje, że argument ten </w:t>
      </w:r>
      <w:r w:rsidR="00823581">
        <w:rPr>
          <w:lang w:val="pl-PL"/>
        </w:rPr>
        <w:t>należy uznać za</w:t>
      </w:r>
      <w:r w:rsidR="00BB4172" w:rsidRPr="00246717">
        <w:rPr>
          <w:lang w:val="pl-PL"/>
        </w:rPr>
        <w:t xml:space="preserve"> zastrzeżenie wstępne co do dopuszczalności niniejszej skargi (zob., w tym względzie, </w:t>
      </w:r>
      <w:proofErr w:type="spellStart"/>
      <w:r w:rsidR="00BB4172" w:rsidRPr="00246717">
        <w:rPr>
          <w:i/>
          <w:iCs/>
          <w:lang w:val="pl-PL"/>
        </w:rPr>
        <w:t>Palchik</w:t>
      </w:r>
      <w:proofErr w:type="spellEnd"/>
      <w:r w:rsidR="00BB4172" w:rsidRPr="00246717">
        <w:rPr>
          <w:i/>
          <w:iCs/>
          <w:lang w:val="pl-PL"/>
        </w:rPr>
        <w:t xml:space="preserve"> przeciwko Ukrainie</w:t>
      </w:r>
      <w:r w:rsidR="00BB4172" w:rsidRPr="00246717">
        <w:rPr>
          <w:lang w:val="pl-PL"/>
        </w:rPr>
        <w:t>, wyrok z dn</w:t>
      </w:r>
      <w:r w:rsidR="008106CB">
        <w:rPr>
          <w:lang w:val="pl-PL"/>
        </w:rPr>
        <w:t>ia</w:t>
      </w:r>
      <w:r w:rsidR="00BB4172" w:rsidRPr="00246717">
        <w:rPr>
          <w:lang w:val="pl-PL"/>
        </w:rPr>
        <w:t xml:space="preserve"> 2 marca 2017</w:t>
      </w:r>
      <w:r w:rsidR="008106CB">
        <w:rPr>
          <w:lang w:val="pl-PL"/>
        </w:rPr>
        <w:t> </w:t>
      </w:r>
      <w:r w:rsidR="00BB4172" w:rsidRPr="00246717">
        <w:rPr>
          <w:lang w:val="pl-PL"/>
        </w:rPr>
        <w:t>r., skarga nr</w:t>
      </w:r>
      <w:r w:rsidR="008106CB">
        <w:rPr>
          <w:lang w:val="pl-PL"/>
        </w:rPr>
        <w:t> </w:t>
      </w:r>
      <w:r w:rsidR="00BB4172" w:rsidRPr="00246717">
        <w:rPr>
          <w:lang w:val="pl-PL"/>
        </w:rPr>
        <w:t>16980/06, §§ 36</w:t>
      </w:r>
      <w:r w:rsidR="008106CB">
        <w:rPr>
          <w:rFonts w:cstheme="minorHAnsi"/>
          <w:lang w:val="pl-PL"/>
        </w:rPr>
        <w:t>−</w:t>
      </w:r>
      <w:r w:rsidR="00BB4172" w:rsidRPr="00246717">
        <w:rPr>
          <w:lang w:val="pl-PL"/>
        </w:rPr>
        <w:t xml:space="preserve">38, oraz </w:t>
      </w:r>
      <w:r w:rsidR="00BB4172" w:rsidRPr="00246717">
        <w:rPr>
          <w:i/>
          <w:iCs/>
          <w:lang w:val="pl-PL"/>
        </w:rPr>
        <w:t>Giurgiu przeciwko Rumunii</w:t>
      </w:r>
      <w:r w:rsidR="00BB4172" w:rsidRPr="00246717">
        <w:rPr>
          <w:lang w:val="pl-PL"/>
        </w:rPr>
        <w:t xml:space="preserve"> (</w:t>
      </w:r>
      <w:proofErr w:type="spellStart"/>
      <w:r w:rsidR="00BB4172" w:rsidRPr="00246717">
        <w:rPr>
          <w:lang w:val="pl-PL"/>
        </w:rPr>
        <w:t>dec</w:t>
      </w:r>
      <w:proofErr w:type="spellEnd"/>
      <w:r w:rsidR="00BB4172" w:rsidRPr="00246717">
        <w:rPr>
          <w:lang w:val="pl-PL"/>
        </w:rPr>
        <w:t>.), wyrok z dn</w:t>
      </w:r>
      <w:r w:rsidR="008106CB">
        <w:rPr>
          <w:lang w:val="pl-PL"/>
        </w:rPr>
        <w:t>ia</w:t>
      </w:r>
      <w:r w:rsidR="00BB4172" w:rsidRPr="00246717">
        <w:rPr>
          <w:lang w:val="pl-PL"/>
        </w:rPr>
        <w:t xml:space="preserve"> 3 października 2017</w:t>
      </w:r>
      <w:r w:rsidR="008106CB">
        <w:rPr>
          <w:lang w:val="pl-PL"/>
        </w:rPr>
        <w:t> </w:t>
      </w:r>
      <w:r w:rsidR="00BB4172" w:rsidRPr="00246717">
        <w:rPr>
          <w:lang w:val="pl-PL"/>
        </w:rPr>
        <w:t>r., skarga nr</w:t>
      </w:r>
      <w:r w:rsidR="004A6E1E">
        <w:rPr>
          <w:lang w:val="pl-PL"/>
        </w:rPr>
        <w:t> </w:t>
      </w:r>
      <w:r w:rsidR="00BB4172" w:rsidRPr="00246717">
        <w:rPr>
          <w:lang w:val="pl-PL"/>
        </w:rPr>
        <w:t>26239/09, §</w:t>
      </w:r>
      <w:r w:rsidR="004A6E1E">
        <w:rPr>
          <w:lang w:val="pl-PL"/>
        </w:rPr>
        <w:t> </w:t>
      </w:r>
      <w:r w:rsidR="00BB4172" w:rsidRPr="00246717">
        <w:rPr>
          <w:lang w:val="pl-PL"/>
        </w:rPr>
        <w:t>99).</w:t>
      </w:r>
    </w:p>
    <w:p w14:paraId="38BBA642" w14:textId="0DA888A3"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115</w:t>
      </w:r>
      <w:r w:rsidRPr="00246717">
        <w:rPr>
          <w:lang w:val="pl-PL"/>
        </w:rPr>
        <w:fldChar w:fldCharType="end"/>
      </w:r>
      <w:r w:rsidR="00BB4172" w:rsidRPr="00246717">
        <w:rPr>
          <w:lang w:val="pl-PL"/>
        </w:rPr>
        <w:t>.  Trybunał przypomina, że na podstawie art.</w:t>
      </w:r>
      <w:r w:rsidR="004A6E1E">
        <w:rPr>
          <w:lang w:val="pl-PL"/>
        </w:rPr>
        <w:t> </w:t>
      </w:r>
      <w:r w:rsidR="00BB4172" w:rsidRPr="00246717">
        <w:rPr>
          <w:lang w:val="pl-PL"/>
        </w:rPr>
        <w:t>35 ust.</w:t>
      </w:r>
      <w:r w:rsidR="004A6E1E">
        <w:rPr>
          <w:lang w:val="pl-PL"/>
        </w:rPr>
        <w:t> </w:t>
      </w:r>
      <w:r w:rsidR="00BB4172" w:rsidRPr="00246717">
        <w:rPr>
          <w:lang w:val="pl-PL"/>
        </w:rPr>
        <w:t xml:space="preserve">4 </w:t>
      </w:r>
      <w:r w:rsidR="00823581" w:rsidRPr="00252514">
        <w:rPr>
          <w:i/>
          <w:iCs/>
          <w:lang w:val="pl-PL"/>
        </w:rPr>
        <w:t>in fine</w:t>
      </w:r>
      <w:r w:rsidR="00823581">
        <w:rPr>
          <w:lang w:val="pl-PL"/>
        </w:rPr>
        <w:t xml:space="preserve"> </w:t>
      </w:r>
      <w:r w:rsidR="00BB4172" w:rsidRPr="00246717">
        <w:rPr>
          <w:lang w:val="pl-PL"/>
        </w:rPr>
        <w:t>Konwencji może „oddalić skargi, które uzna za niedopuszczalne [...] na dowolnym etapie postępowania”. Zatem nawet na etapie badania przedmiotu skargi i z</w:t>
      </w:r>
      <w:r w:rsidR="004A6E1E">
        <w:rPr>
          <w:lang w:val="pl-PL"/>
        </w:rPr>
        <w:t> </w:t>
      </w:r>
      <w:r w:rsidR="00BB4172" w:rsidRPr="00246717">
        <w:rPr>
          <w:lang w:val="pl-PL"/>
        </w:rPr>
        <w:t xml:space="preserve">zastrzeżeniem Reguły 55 Regulaminu Trybunału, Wielka Izba może ponownie rozważyć decyzję o uznaniu skargi za dopuszczalną, jeżeli uzna, że powinna zostać uznana za niedopuszczalną z jednego z powodów podanych w pierwszych trzech ustępach art. 35 Konwencji (zob. </w:t>
      </w:r>
      <w:proofErr w:type="spellStart"/>
      <w:r w:rsidR="00BB4172" w:rsidRPr="00246717">
        <w:rPr>
          <w:i/>
          <w:iCs/>
          <w:lang w:val="pl-PL"/>
        </w:rPr>
        <w:t>Regner</w:t>
      </w:r>
      <w:proofErr w:type="spellEnd"/>
      <w:r w:rsidR="00BB4172" w:rsidRPr="00246717">
        <w:rPr>
          <w:i/>
          <w:iCs/>
          <w:lang w:val="pl-PL"/>
        </w:rPr>
        <w:t xml:space="preserve"> przeciwko Republice Czeskiej </w:t>
      </w:r>
      <w:r w:rsidR="00BB4172" w:rsidRPr="00246717">
        <w:rPr>
          <w:lang w:val="pl-PL"/>
        </w:rPr>
        <w:t>[WI], wyrok z dn</w:t>
      </w:r>
      <w:r w:rsidR="004A6E1E">
        <w:rPr>
          <w:lang w:val="pl-PL"/>
        </w:rPr>
        <w:t>ia</w:t>
      </w:r>
      <w:r w:rsidR="00BB4172" w:rsidRPr="00246717">
        <w:rPr>
          <w:lang w:val="pl-PL"/>
        </w:rPr>
        <w:t xml:space="preserve"> 19 września 2017</w:t>
      </w:r>
      <w:r w:rsidR="004A6E1E">
        <w:rPr>
          <w:lang w:val="pl-PL"/>
        </w:rPr>
        <w:t> </w:t>
      </w:r>
      <w:r w:rsidR="00BB4172" w:rsidRPr="00246717">
        <w:rPr>
          <w:lang w:val="pl-PL"/>
        </w:rPr>
        <w:t>r., skarga nr</w:t>
      </w:r>
      <w:r w:rsidR="004A6E1E">
        <w:rPr>
          <w:lang w:val="pl-PL"/>
        </w:rPr>
        <w:t> </w:t>
      </w:r>
      <w:r w:rsidR="00BB4172" w:rsidRPr="00246717">
        <w:rPr>
          <w:lang w:val="pl-PL"/>
        </w:rPr>
        <w:t>35289/11, §</w:t>
      </w:r>
      <w:r w:rsidR="004A6E1E" w:rsidRPr="000473D0">
        <w:rPr>
          <w:lang w:val="pl-PL"/>
        </w:rPr>
        <w:t> </w:t>
      </w:r>
      <w:r w:rsidR="00BB4172" w:rsidRPr="00246717">
        <w:rPr>
          <w:lang w:val="pl-PL"/>
        </w:rPr>
        <w:t xml:space="preserve">97, odwołująca się do </w:t>
      </w:r>
      <w:proofErr w:type="spellStart"/>
      <w:r w:rsidR="00BB4172" w:rsidRPr="00246717">
        <w:rPr>
          <w:i/>
          <w:iCs/>
          <w:lang w:val="pl-PL"/>
        </w:rPr>
        <w:t>Vučković</w:t>
      </w:r>
      <w:proofErr w:type="spellEnd"/>
      <w:r w:rsidR="00BB4172" w:rsidRPr="00246717">
        <w:rPr>
          <w:i/>
          <w:iCs/>
          <w:lang w:val="pl-PL"/>
        </w:rPr>
        <w:t xml:space="preserve"> i Inni przeciwko Serbii </w:t>
      </w:r>
      <w:r w:rsidR="00BB4172" w:rsidRPr="00246717">
        <w:rPr>
          <w:lang w:val="pl-PL"/>
        </w:rPr>
        <w:t>(zastrzeżenie wstępne) [WI], wyrok z dn</w:t>
      </w:r>
      <w:r w:rsidR="004A6E1E">
        <w:rPr>
          <w:lang w:val="pl-PL"/>
        </w:rPr>
        <w:t>ia</w:t>
      </w:r>
      <w:r w:rsidR="00BB4172" w:rsidRPr="00246717">
        <w:rPr>
          <w:lang w:val="pl-PL"/>
        </w:rPr>
        <w:t xml:space="preserve"> 25 marca 2014</w:t>
      </w:r>
      <w:r w:rsidR="004A6E1E">
        <w:rPr>
          <w:lang w:val="pl-PL"/>
        </w:rPr>
        <w:t> </w:t>
      </w:r>
      <w:r w:rsidR="00BB4172" w:rsidRPr="00246717">
        <w:rPr>
          <w:lang w:val="pl-PL"/>
        </w:rPr>
        <w:t>r., nr</w:t>
      </w:r>
      <w:r w:rsidR="004A6E1E">
        <w:rPr>
          <w:lang w:val="pl-PL"/>
        </w:rPr>
        <w:t> </w:t>
      </w:r>
      <w:r w:rsidR="00BB4172" w:rsidRPr="00246717">
        <w:rPr>
          <w:lang w:val="pl-PL"/>
        </w:rPr>
        <w:t>17153/11 i 29 innych, §</w:t>
      </w:r>
      <w:r w:rsidR="004A6E1E">
        <w:rPr>
          <w:lang w:val="pl-PL"/>
        </w:rPr>
        <w:t> </w:t>
      </w:r>
      <w:r w:rsidR="00BB4172" w:rsidRPr="00246717">
        <w:rPr>
          <w:lang w:val="pl-PL"/>
        </w:rPr>
        <w:t>56, i przytoczone tam orzecznictwo).</w:t>
      </w:r>
    </w:p>
    <w:p w14:paraId="11E5FA23" w14:textId="3A0BB8D4"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116</w:t>
      </w:r>
      <w:r w:rsidRPr="00246717">
        <w:rPr>
          <w:lang w:val="pl-PL"/>
        </w:rPr>
        <w:fldChar w:fldCharType="end"/>
      </w:r>
      <w:r w:rsidR="00BB4172" w:rsidRPr="00246717">
        <w:rPr>
          <w:lang w:val="pl-PL"/>
        </w:rPr>
        <w:t xml:space="preserve">.  W uwagach przedstawionych przed Trybunałem i Wielką Izbą Rząd stwierdził, że skarżąca i jej pełnomocnicy w sposób jasny i wyraźny zrzekli się prawa do </w:t>
      </w:r>
      <w:r w:rsidR="00823581">
        <w:rPr>
          <w:lang w:val="pl-PL"/>
        </w:rPr>
        <w:t>wnioskowania o</w:t>
      </w:r>
      <w:r w:rsidR="00823581" w:rsidRPr="00246717">
        <w:rPr>
          <w:lang w:val="pl-PL"/>
        </w:rPr>
        <w:t xml:space="preserve"> </w:t>
      </w:r>
      <w:r w:rsidR="00BB4172" w:rsidRPr="00246717">
        <w:rPr>
          <w:lang w:val="pl-PL"/>
        </w:rPr>
        <w:t>stawiennictw</w:t>
      </w:r>
      <w:r w:rsidR="00823581">
        <w:rPr>
          <w:lang w:val="pl-PL"/>
        </w:rPr>
        <w:t>o</w:t>
      </w:r>
      <w:r w:rsidR="00BB4172" w:rsidRPr="00246717">
        <w:rPr>
          <w:lang w:val="pl-PL"/>
        </w:rPr>
        <w:t xml:space="preserve"> </w:t>
      </w:r>
      <w:r w:rsidR="00823581">
        <w:rPr>
          <w:lang w:val="pl-PL"/>
        </w:rPr>
        <w:t xml:space="preserve">i przesłuchanie </w:t>
      </w:r>
      <w:r w:rsidR="00BB4172" w:rsidRPr="00246717">
        <w:rPr>
          <w:lang w:val="pl-PL"/>
        </w:rPr>
        <w:t xml:space="preserve">świadka A., zgadzając się na odczytanie jego zeznań </w:t>
      </w:r>
      <w:proofErr w:type="spellStart"/>
      <w:r w:rsidR="00BB4172" w:rsidRPr="00246717">
        <w:rPr>
          <w:lang w:val="pl-PL"/>
        </w:rPr>
        <w:t>przedprocesowych</w:t>
      </w:r>
      <w:proofErr w:type="spellEnd"/>
      <w:r w:rsidR="00823581">
        <w:rPr>
          <w:lang w:val="pl-PL"/>
        </w:rPr>
        <w:t xml:space="preserve"> na rozprawie</w:t>
      </w:r>
      <w:r w:rsidR="00BB4172" w:rsidRPr="00246717">
        <w:rPr>
          <w:lang w:val="pl-PL"/>
        </w:rPr>
        <w:t>.</w:t>
      </w:r>
    </w:p>
    <w:p w14:paraId="3EB9C11E" w14:textId="2B895B67"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117</w:t>
      </w:r>
      <w:r w:rsidRPr="00246717">
        <w:rPr>
          <w:lang w:val="pl-PL"/>
        </w:rPr>
        <w:fldChar w:fldCharType="end"/>
      </w:r>
      <w:r w:rsidR="00BB4172" w:rsidRPr="00246717">
        <w:rPr>
          <w:lang w:val="pl-PL"/>
        </w:rPr>
        <w:t>.  Ani litera, ani duch art.</w:t>
      </w:r>
      <w:r w:rsidR="004A6E1E">
        <w:rPr>
          <w:lang w:val="pl-PL"/>
        </w:rPr>
        <w:t> </w:t>
      </w:r>
      <w:r w:rsidR="00BB4172" w:rsidRPr="00246717">
        <w:rPr>
          <w:lang w:val="pl-PL"/>
        </w:rPr>
        <w:t>6 Konwencji nie uniemożliwia</w:t>
      </w:r>
      <w:r w:rsidR="00823581">
        <w:rPr>
          <w:lang w:val="pl-PL"/>
        </w:rPr>
        <w:t>ją</w:t>
      </w:r>
      <w:r w:rsidR="00BB4172" w:rsidRPr="00246717">
        <w:rPr>
          <w:lang w:val="pl-PL"/>
        </w:rPr>
        <w:t xml:space="preserve"> osobie zrzeczenia się przez nią z własnej woli, zarówno w sposób wyraźny, jak i</w:t>
      </w:r>
      <w:r w:rsidR="004A6E1E">
        <w:rPr>
          <w:lang w:val="pl-PL"/>
        </w:rPr>
        <w:t> </w:t>
      </w:r>
      <w:r w:rsidR="00BB4172" w:rsidRPr="00246717">
        <w:rPr>
          <w:lang w:val="pl-PL"/>
        </w:rPr>
        <w:t>dorozumiany, gwarancji do rzetelnego procesu. Jeśli jednak zrzeczenie się ma być skuteczne z punktu widzenia celów Konwencji, musi zostać dokonane w sposób jednoznaczny i być opatrzone minimalnymi zabezpieczeniami proporcjonalnymi do jego wagi. Zrzeczenie się nie musi być wyrażone wprost, ale musi być dobrowolne i stanowić świadome i</w:t>
      </w:r>
      <w:r w:rsidR="004A6E1E">
        <w:rPr>
          <w:lang w:val="pl-PL"/>
        </w:rPr>
        <w:t> </w:t>
      </w:r>
      <w:r w:rsidR="00BB4172" w:rsidRPr="00246717">
        <w:rPr>
          <w:lang w:val="pl-PL"/>
        </w:rPr>
        <w:t>ro</w:t>
      </w:r>
      <w:r w:rsidR="004A6E1E">
        <w:rPr>
          <w:lang w:val="pl-PL"/>
        </w:rPr>
        <w:t>zsądne</w:t>
      </w:r>
      <w:r w:rsidR="00BB4172" w:rsidRPr="00246717">
        <w:rPr>
          <w:lang w:val="pl-PL"/>
        </w:rPr>
        <w:t xml:space="preserve"> zrzeczenie się prawa. Przed stwierdzeniem, że oskarżony w</w:t>
      </w:r>
      <w:r w:rsidR="004A6E1E">
        <w:rPr>
          <w:lang w:val="pl-PL"/>
        </w:rPr>
        <w:t> </w:t>
      </w:r>
      <w:r w:rsidR="00BB4172" w:rsidRPr="00246717">
        <w:rPr>
          <w:lang w:val="pl-PL"/>
        </w:rPr>
        <w:t>sposób dorozumiany, poprzez swoje postępowanie, zrzekł się istotnego prawa przewidzianego w art.</w:t>
      </w:r>
      <w:r w:rsidR="00A53D73">
        <w:rPr>
          <w:lang w:val="pl-PL"/>
        </w:rPr>
        <w:t> </w:t>
      </w:r>
      <w:r w:rsidR="00BB4172" w:rsidRPr="00246717">
        <w:rPr>
          <w:lang w:val="pl-PL"/>
        </w:rPr>
        <w:t>6, konieczne jest wykazanie, że mógł on w sposób rozsądny przewidzieć, jakie następstwa będzie mieć jego postępowanie. Ponadto zrzeczenie się nie może być sprzeczne z</w:t>
      </w:r>
      <w:r w:rsidR="004A6E1E">
        <w:rPr>
          <w:lang w:val="pl-PL"/>
        </w:rPr>
        <w:t> </w:t>
      </w:r>
      <w:r w:rsidR="00BB4172" w:rsidRPr="00246717">
        <w:rPr>
          <w:lang w:val="pl-PL"/>
        </w:rPr>
        <w:t xml:space="preserve">jakimkolwiek istotnym interesem publicznym (zob. </w:t>
      </w:r>
      <w:proofErr w:type="spellStart"/>
      <w:r w:rsidR="00BB4172" w:rsidRPr="00246717">
        <w:rPr>
          <w:i/>
          <w:iCs/>
          <w:lang w:val="pl-PL"/>
        </w:rPr>
        <w:t>Simeonovi</w:t>
      </w:r>
      <w:proofErr w:type="spellEnd"/>
      <w:r w:rsidR="00BB4172" w:rsidRPr="00246717">
        <w:rPr>
          <w:lang w:val="pl-PL"/>
        </w:rPr>
        <w:t xml:space="preserve">, </w:t>
      </w:r>
      <w:r w:rsidR="00BB4172" w:rsidRPr="00246717">
        <w:rPr>
          <w:i/>
          <w:iCs/>
          <w:lang w:val="pl-PL"/>
        </w:rPr>
        <w:t>op.</w:t>
      </w:r>
      <w:r w:rsidR="00823581">
        <w:rPr>
          <w:i/>
          <w:iCs/>
          <w:lang w:val="pl-PL"/>
        </w:rPr>
        <w:t xml:space="preserve"> </w:t>
      </w:r>
      <w:r w:rsidR="00BB4172" w:rsidRPr="00246717">
        <w:rPr>
          <w:i/>
          <w:iCs/>
          <w:lang w:val="pl-PL"/>
        </w:rPr>
        <w:t>cit.</w:t>
      </w:r>
      <w:r w:rsidR="00BB4172" w:rsidRPr="00246717">
        <w:rPr>
          <w:lang w:val="pl-PL"/>
        </w:rPr>
        <w:t>, §</w:t>
      </w:r>
      <w:r w:rsidR="004A6E1E">
        <w:rPr>
          <w:lang w:val="pl-PL"/>
        </w:rPr>
        <w:t> </w:t>
      </w:r>
      <w:r w:rsidR="00BB4172" w:rsidRPr="00246717">
        <w:rPr>
          <w:lang w:val="pl-PL"/>
        </w:rPr>
        <w:t>115 i przytoczone tam orzecznictwo).</w:t>
      </w:r>
    </w:p>
    <w:p w14:paraId="773282C6" w14:textId="044DE7C4"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118</w:t>
      </w:r>
      <w:r w:rsidRPr="00246717">
        <w:rPr>
          <w:lang w:val="pl-PL"/>
        </w:rPr>
        <w:fldChar w:fldCharType="end"/>
      </w:r>
      <w:r w:rsidR="00BB4172" w:rsidRPr="00246717">
        <w:rPr>
          <w:lang w:val="pl-PL"/>
        </w:rPr>
        <w:t>.  Wynika stąd, że zrzeczenie się prawa do przesłuchania świadka, podstawowe prawo spośród wymienionych w art.</w:t>
      </w:r>
      <w:r w:rsidR="00A53D73">
        <w:rPr>
          <w:lang w:val="pl-PL"/>
        </w:rPr>
        <w:t> </w:t>
      </w:r>
      <w:r w:rsidR="00BB4172" w:rsidRPr="00246717">
        <w:rPr>
          <w:lang w:val="pl-PL"/>
        </w:rPr>
        <w:t>6 ust.</w:t>
      </w:r>
      <w:r w:rsidR="00A53D73">
        <w:rPr>
          <w:lang w:val="pl-PL"/>
        </w:rPr>
        <w:t> </w:t>
      </w:r>
      <w:r w:rsidR="00BB4172" w:rsidRPr="00246717">
        <w:rPr>
          <w:lang w:val="pl-PL"/>
        </w:rPr>
        <w:t>3, składających się na pojęcie rzetelnego procesu, musi być w ścisłej zgodności z powyższymi wymogami.</w:t>
      </w:r>
    </w:p>
    <w:p w14:paraId="67CFCED4" w14:textId="3B42FDB3"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119</w:t>
      </w:r>
      <w:r w:rsidRPr="00246717">
        <w:rPr>
          <w:lang w:val="pl-PL"/>
        </w:rPr>
        <w:fldChar w:fldCharType="end"/>
      </w:r>
      <w:r w:rsidR="00BB4172" w:rsidRPr="00246717">
        <w:rPr>
          <w:lang w:val="pl-PL"/>
        </w:rPr>
        <w:t>.  </w:t>
      </w:r>
      <w:r w:rsidR="00823581">
        <w:rPr>
          <w:lang w:val="pl-PL"/>
        </w:rPr>
        <w:t>Wracając na grunt</w:t>
      </w:r>
      <w:r w:rsidR="00BB4172" w:rsidRPr="00246717">
        <w:rPr>
          <w:lang w:val="pl-PL"/>
        </w:rPr>
        <w:t xml:space="preserve"> niniejszej sprawy Trybunał zauważa, że skarżąca, przy wsparciu swoich obrońców, zgodziła się na odczytanie zeznań </w:t>
      </w:r>
      <w:proofErr w:type="spellStart"/>
      <w:r w:rsidR="00BB4172" w:rsidRPr="00246717">
        <w:rPr>
          <w:lang w:val="pl-PL"/>
        </w:rPr>
        <w:lastRenderedPageBreak/>
        <w:t>przedprocesowych</w:t>
      </w:r>
      <w:proofErr w:type="spellEnd"/>
      <w:r w:rsidR="00BB4172" w:rsidRPr="00246717">
        <w:rPr>
          <w:lang w:val="pl-PL"/>
        </w:rPr>
        <w:t xml:space="preserve"> świadka A. na rozprawie w dniu 13 stycznia 2005</w:t>
      </w:r>
      <w:r w:rsidR="00A53D73">
        <w:rPr>
          <w:lang w:val="pl-PL"/>
        </w:rPr>
        <w:t> </w:t>
      </w:r>
      <w:r w:rsidR="00BB4172" w:rsidRPr="00246717">
        <w:rPr>
          <w:lang w:val="pl-PL"/>
        </w:rPr>
        <w:t>r. (zob. par.</w:t>
      </w:r>
      <w:r w:rsidR="00A53D73">
        <w:rPr>
          <w:lang w:val="pl-PL"/>
        </w:rPr>
        <w:t> </w:t>
      </w:r>
      <w:r w:rsidR="00183E14">
        <w:fldChar w:fldCharType="begin"/>
      </w:r>
      <w:r w:rsidR="00183E14" w:rsidRPr="000473D0">
        <w:rPr>
          <w:lang w:val="pl-PL"/>
        </w:rPr>
        <w:instrText xml:space="preserve"> REF MotionAttestingAndWitnessA \h  \* MERGEFORMAT </w:instrText>
      </w:r>
      <w:r w:rsidR="00183E14">
        <w:fldChar w:fldCharType="separate"/>
      </w:r>
      <w:r w:rsidR="00BB4172" w:rsidRPr="00246717">
        <w:rPr>
          <w:rFonts w:ascii="Times New Roman" w:hAnsi="Times New Roman"/>
          <w:szCs w:val="24"/>
          <w:lang w:val="pl-PL"/>
        </w:rPr>
        <w:t>52</w:t>
      </w:r>
      <w:r w:rsidR="00183E14">
        <w:fldChar w:fldCharType="end"/>
      </w:r>
      <w:r w:rsidR="00BB4172" w:rsidRPr="00246717">
        <w:rPr>
          <w:lang w:val="pl-PL"/>
        </w:rPr>
        <w:t xml:space="preserve"> powyżej). Należy zauważyć, że skarżąca nie zakwestionowała </w:t>
      </w:r>
      <w:r w:rsidR="008A037C">
        <w:rPr>
          <w:lang w:val="pl-PL"/>
        </w:rPr>
        <w:t>prawidłowości</w:t>
      </w:r>
      <w:r w:rsidR="008A037C" w:rsidRPr="00246717">
        <w:rPr>
          <w:lang w:val="pl-PL"/>
        </w:rPr>
        <w:t xml:space="preserve"> </w:t>
      </w:r>
      <w:r w:rsidR="00A53D73">
        <w:rPr>
          <w:lang w:val="pl-PL"/>
        </w:rPr>
        <w:t>rzeczonych</w:t>
      </w:r>
      <w:r w:rsidR="00BB4172" w:rsidRPr="00246717">
        <w:rPr>
          <w:lang w:val="pl-PL"/>
        </w:rPr>
        <w:t xml:space="preserve"> protokołów z rozprawy ani nie twierdziła, że nie miała możliwości skorzystania z odpowiednich porad w tej sprawie.</w:t>
      </w:r>
    </w:p>
    <w:p w14:paraId="2A3E803F" w14:textId="1BBAB4BC"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120</w:t>
      </w:r>
      <w:r w:rsidRPr="00246717">
        <w:rPr>
          <w:lang w:val="pl-PL"/>
        </w:rPr>
        <w:fldChar w:fldCharType="end"/>
      </w:r>
      <w:r w:rsidR="00BB4172" w:rsidRPr="00246717">
        <w:rPr>
          <w:lang w:val="pl-PL"/>
        </w:rPr>
        <w:t>.  Zauważa ponadto, że w kilku wcześniejszych sprawach dotyczących analogicznych sytuacji Trybunał uwzględnił różne okoliczności faktyczne i</w:t>
      </w:r>
      <w:r w:rsidR="007D72A5">
        <w:rPr>
          <w:lang w:val="pl-PL"/>
        </w:rPr>
        <w:t> </w:t>
      </w:r>
      <w:r w:rsidR="00BB4172" w:rsidRPr="00246717">
        <w:rPr>
          <w:lang w:val="pl-PL"/>
        </w:rPr>
        <w:t xml:space="preserve">prawne przy wyciąganiu wniosku co do tego, że skarżący zrzekli się (zob. na przykład </w:t>
      </w:r>
      <w:proofErr w:type="spellStart"/>
      <w:r w:rsidR="00BB4172" w:rsidRPr="00246717">
        <w:rPr>
          <w:i/>
          <w:iCs/>
          <w:lang w:val="pl-PL"/>
        </w:rPr>
        <w:t>Khametshin</w:t>
      </w:r>
      <w:proofErr w:type="spellEnd"/>
      <w:r w:rsidR="00BB4172" w:rsidRPr="00246717">
        <w:rPr>
          <w:i/>
          <w:iCs/>
          <w:lang w:val="pl-PL"/>
        </w:rPr>
        <w:t xml:space="preserve"> przeciwko Rosji,</w:t>
      </w:r>
      <w:r w:rsidR="00BB4172" w:rsidRPr="00246717">
        <w:rPr>
          <w:lang w:val="pl-PL"/>
        </w:rPr>
        <w:t xml:space="preserve"> wyrok z </w:t>
      </w:r>
      <w:r w:rsidR="00957D77">
        <w:rPr>
          <w:lang w:val="pl-PL"/>
        </w:rPr>
        <w:t>dnia</w:t>
      </w:r>
      <w:r w:rsidR="00BB4172" w:rsidRPr="00246717">
        <w:rPr>
          <w:lang w:val="pl-PL"/>
        </w:rPr>
        <w:t xml:space="preserve"> 4</w:t>
      </w:r>
      <w:r w:rsidR="008A037C">
        <w:rPr>
          <w:lang w:val="pl-PL"/>
        </w:rPr>
        <w:t xml:space="preserve"> </w:t>
      </w:r>
      <w:r w:rsidR="00BB4172" w:rsidRPr="00246717">
        <w:rPr>
          <w:lang w:val="pl-PL"/>
        </w:rPr>
        <w:t>marca 2010</w:t>
      </w:r>
      <w:r w:rsidR="007D72A5">
        <w:rPr>
          <w:lang w:val="pl-PL"/>
        </w:rPr>
        <w:t> </w:t>
      </w:r>
      <w:r w:rsidR="00BB4172" w:rsidRPr="00246717">
        <w:rPr>
          <w:lang w:val="pl-PL"/>
        </w:rPr>
        <w:t>r., skarga nr</w:t>
      </w:r>
      <w:r w:rsidR="007D72A5">
        <w:rPr>
          <w:lang w:val="pl-PL"/>
        </w:rPr>
        <w:t> </w:t>
      </w:r>
      <w:r w:rsidR="00BB4172" w:rsidRPr="00246717">
        <w:rPr>
          <w:lang w:val="pl-PL"/>
        </w:rPr>
        <w:t xml:space="preserve">18487/03, § 41; </w:t>
      </w:r>
      <w:proofErr w:type="spellStart"/>
      <w:r w:rsidR="00BB4172" w:rsidRPr="00246717">
        <w:rPr>
          <w:i/>
          <w:iCs/>
          <w:lang w:val="pl-PL"/>
        </w:rPr>
        <w:t>Poletan</w:t>
      </w:r>
      <w:proofErr w:type="spellEnd"/>
      <w:r w:rsidR="00BB4172" w:rsidRPr="00246717">
        <w:rPr>
          <w:i/>
          <w:iCs/>
          <w:lang w:val="pl-PL"/>
        </w:rPr>
        <w:t xml:space="preserve"> i </w:t>
      </w:r>
      <w:proofErr w:type="spellStart"/>
      <w:r w:rsidR="00BB4172" w:rsidRPr="00246717">
        <w:rPr>
          <w:i/>
          <w:iCs/>
          <w:lang w:val="pl-PL"/>
        </w:rPr>
        <w:t>Azirovik</w:t>
      </w:r>
      <w:proofErr w:type="spellEnd"/>
      <w:r w:rsidR="00BB4172" w:rsidRPr="00246717">
        <w:rPr>
          <w:i/>
          <w:iCs/>
          <w:lang w:val="pl-PL"/>
        </w:rPr>
        <w:t xml:space="preserve"> przeciwko Byłej Jugosłowiańskiej Republice Macedonii</w:t>
      </w:r>
      <w:r w:rsidR="00BB4172" w:rsidRPr="00246717">
        <w:rPr>
          <w:lang w:val="pl-PL"/>
        </w:rPr>
        <w:t>, wyrok z dn</w:t>
      </w:r>
      <w:r w:rsidR="007D72A5">
        <w:rPr>
          <w:lang w:val="pl-PL"/>
        </w:rPr>
        <w:t>ia</w:t>
      </w:r>
      <w:r w:rsidR="00BB4172" w:rsidRPr="00246717">
        <w:rPr>
          <w:lang w:val="pl-PL"/>
        </w:rPr>
        <w:t xml:space="preserve"> 12 maja 2016</w:t>
      </w:r>
      <w:r w:rsidR="007D72A5">
        <w:rPr>
          <w:lang w:val="pl-PL"/>
        </w:rPr>
        <w:t> </w:t>
      </w:r>
      <w:r w:rsidR="00BB4172" w:rsidRPr="00246717">
        <w:rPr>
          <w:lang w:val="pl-PL"/>
        </w:rPr>
        <w:t>r., skarga nr</w:t>
      </w:r>
      <w:r w:rsidR="007D72A5">
        <w:rPr>
          <w:lang w:val="pl-PL"/>
        </w:rPr>
        <w:t> </w:t>
      </w:r>
      <w:r w:rsidR="00BB4172" w:rsidRPr="00246717">
        <w:rPr>
          <w:lang w:val="pl-PL"/>
        </w:rPr>
        <w:t>26711/07 i 2 inne, §</w:t>
      </w:r>
      <w:r w:rsidR="007D72A5">
        <w:rPr>
          <w:lang w:val="pl-PL"/>
        </w:rPr>
        <w:t> </w:t>
      </w:r>
      <w:r w:rsidR="00BB4172" w:rsidRPr="00246717">
        <w:rPr>
          <w:lang w:val="pl-PL"/>
        </w:rPr>
        <w:t>87;</w:t>
      </w:r>
      <w:r w:rsidR="00BB4172" w:rsidRPr="00246717">
        <w:rPr>
          <w:i/>
          <w:iCs/>
          <w:lang w:val="pl-PL"/>
        </w:rPr>
        <w:t xml:space="preserve"> </w:t>
      </w:r>
      <w:r w:rsidR="00BB4172" w:rsidRPr="00246717">
        <w:rPr>
          <w:lang w:val="pl-PL"/>
        </w:rPr>
        <w:t xml:space="preserve">oraz </w:t>
      </w:r>
      <w:proofErr w:type="spellStart"/>
      <w:r w:rsidR="00BB4172" w:rsidRPr="00246717">
        <w:rPr>
          <w:i/>
          <w:iCs/>
          <w:lang w:val="pl-PL"/>
        </w:rPr>
        <w:t>Palchik</w:t>
      </w:r>
      <w:proofErr w:type="spellEnd"/>
      <w:r w:rsidR="00BB4172" w:rsidRPr="00246717">
        <w:rPr>
          <w:lang w:val="pl-PL"/>
        </w:rPr>
        <w:t xml:space="preserve">, </w:t>
      </w:r>
      <w:r w:rsidR="00BB4172" w:rsidRPr="00246717">
        <w:rPr>
          <w:i/>
          <w:iCs/>
          <w:lang w:val="pl-PL"/>
        </w:rPr>
        <w:t>op.</w:t>
      </w:r>
      <w:r w:rsidR="008A037C">
        <w:rPr>
          <w:i/>
          <w:iCs/>
          <w:lang w:val="pl-PL"/>
        </w:rPr>
        <w:t xml:space="preserve"> </w:t>
      </w:r>
      <w:r w:rsidR="00BB4172" w:rsidRPr="00246717">
        <w:rPr>
          <w:i/>
          <w:iCs/>
          <w:lang w:val="pl-PL"/>
        </w:rPr>
        <w:t>cit.</w:t>
      </w:r>
      <w:r w:rsidR="00BB4172" w:rsidRPr="00246717">
        <w:rPr>
          <w:lang w:val="pl-PL"/>
        </w:rPr>
        <w:t>, §</w:t>
      </w:r>
      <w:r w:rsidR="007D72A5">
        <w:rPr>
          <w:lang w:val="pl-PL"/>
        </w:rPr>
        <w:t> </w:t>
      </w:r>
      <w:r w:rsidR="00BB4172" w:rsidRPr="00246717">
        <w:rPr>
          <w:lang w:val="pl-PL"/>
        </w:rPr>
        <w:t xml:space="preserve">36) albo nie zrzekli się prawa do przesłuchania świadka (zob. na przykład </w:t>
      </w:r>
      <w:proofErr w:type="spellStart"/>
      <w:r w:rsidR="00BB4172" w:rsidRPr="00246717">
        <w:rPr>
          <w:i/>
          <w:iCs/>
          <w:lang w:val="pl-PL"/>
        </w:rPr>
        <w:t>Bocos-Cuesta</w:t>
      </w:r>
      <w:proofErr w:type="spellEnd"/>
      <w:r w:rsidR="00BB4172" w:rsidRPr="00246717">
        <w:rPr>
          <w:i/>
          <w:iCs/>
          <w:lang w:val="pl-PL"/>
        </w:rPr>
        <w:t xml:space="preserve"> przeciwko </w:t>
      </w:r>
      <w:r w:rsidR="007D72A5">
        <w:rPr>
          <w:i/>
          <w:iCs/>
          <w:lang w:val="pl-PL"/>
        </w:rPr>
        <w:t>Holandii</w:t>
      </w:r>
      <w:r w:rsidR="00BB4172" w:rsidRPr="00246717">
        <w:rPr>
          <w:lang w:val="pl-PL"/>
        </w:rPr>
        <w:t xml:space="preserve">, wyrok z </w:t>
      </w:r>
      <w:r w:rsidR="00957D77">
        <w:rPr>
          <w:lang w:val="pl-PL"/>
        </w:rPr>
        <w:t>dnia</w:t>
      </w:r>
      <w:r w:rsidR="00BB4172" w:rsidRPr="00246717">
        <w:rPr>
          <w:lang w:val="pl-PL"/>
        </w:rPr>
        <w:t xml:space="preserve"> 10 listopada 2005</w:t>
      </w:r>
      <w:r w:rsidR="007D72A5">
        <w:rPr>
          <w:lang w:val="pl-PL"/>
        </w:rPr>
        <w:t> </w:t>
      </w:r>
      <w:r w:rsidR="00BB4172" w:rsidRPr="00246717">
        <w:rPr>
          <w:lang w:val="pl-PL"/>
        </w:rPr>
        <w:t>r., skarga nr</w:t>
      </w:r>
      <w:r w:rsidR="007D72A5">
        <w:rPr>
          <w:lang w:val="pl-PL"/>
        </w:rPr>
        <w:t> </w:t>
      </w:r>
      <w:r w:rsidR="00BB4172" w:rsidRPr="00246717">
        <w:rPr>
          <w:lang w:val="pl-PL"/>
        </w:rPr>
        <w:t xml:space="preserve">54789/00, § 66; </w:t>
      </w:r>
      <w:proofErr w:type="spellStart"/>
      <w:r w:rsidR="00BB4172" w:rsidRPr="00246717">
        <w:rPr>
          <w:i/>
          <w:iCs/>
          <w:lang w:val="pl-PL"/>
        </w:rPr>
        <w:t>Makeyev</w:t>
      </w:r>
      <w:proofErr w:type="spellEnd"/>
      <w:r w:rsidR="00BB4172" w:rsidRPr="00246717">
        <w:rPr>
          <w:i/>
          <w:iCs/>
          <w:lang w:val="pl-PL"/>
        </w:rPr>
        <w:t xml:space="preserve"> przeciwko Rosji,</w:t>
      </w:r>
      <w:r w:rsidR="00BB4172" w:rsidRPr="00246717">
        <w:rPr>
          <w:lang w:val="pl-PL"/>
        </w:rPr>
        <w:t xml:space="preserve"> wyrok z dn</w:t>
      </w:r>
      <w:r w:rsidR="007D72A5">
        <w:rPr>
          <w:lang w:val="pl-PL"/>
        </w:rPr>
        <w:t>ia</w:t>
      </w:r>
      <w:r w:rsidR="00BB4172" w:rsidRPr="00246717">
        <w:rPr>
          <w:lang w:val="pl-PL"/>
        </w:rPr>
        <w:t xml:space="preserve"> 5</w:t>
      </w:r>
      <w:r w:rsidR="007D72A5">
        <w:rPr>
          <w:lang w:val="pl-PL"/>
        </w:rPr>
        <w:t xml:space="preserve"> </w:t>
      </w:r>
      <w:r w:rsidR="00BB4172" w:rsidRPr="00246717">
        <w:rPr>
          <w:lang w:val="pl-PL"/>
        </w:rPr>
        <w:t>lutego 2009</w:t>
      </w:r>
      <w:r w:rsidR="007D72A5">
        <w:rPr>
          <w:lang w:val="pl-PL"/>
        </w:rPr>
        <w:t> </w:t>
      </w:r>
      <w:r w:rsidR="00BB4172" w:rsidRPr="00246717">
        <w:rPr>
          <w:lang w:val="pl-PL"/>
        </w:rPr>
        <w:t>r., nr</w:t>
      </w:r>
      <w:r w:rsidR="007D72A5">
        <w:rPr>
          <w:lang w:val="pl-PL"/>
        </w:rPr>
        <w:t> </w:t>
      </w:r>
      <w:r w:rsidR="00BB4172" w:rsidRPr="00246717">
        <w:rPr>
          <w:lang w:val="pl-PL"/>
        </w:rPr>
        <w:t>13769/04, §</w:t>
      </w:r>
      <w:r w:rsidR="007D72A5">
        <w:rPr>
          <w:lang w:val="pl-PL"/>
        </w:rPr>
        <w:t> </w:t>
      </w:r>
      <w:r w:rsidR="00BB4172" w:rsidRPr="00246717">
        <w:rPr>
          <w:lang w:val="pl-PL"/>
        </w:rPr>
        <w:t xml:space="preserve">37; oraz </w:t>
      </w:r>
      <w:proofErr w:type="spellStart"/>
      <w:r w:rsidR="00BB4172" w:rsidRPr="00246717">
        <w:rPr>
          <w:i/>
          <w:iCs/>
          <w:lang w:val="pl-PL"/>
        </w:rPr>
        <w:t>Gabrielyan</w:t>
      </w:r>
      <w:proofErr w:type="spellEnd"/>
      <w:r w:rsidR="00BB4172" w:rsidRPr="00246717">
        <w:rPr>
          <w:i/>
          <w:iCs/>
          <w:lang w:val="pl-PL"/>
        </w:rPr>
        <w:t xml:space="preserve"> przeciwko Armenii</w:t>
      </w:r>
      <w:r w:rsidR="00BB4172" w:rsidRPr="00246717">
        <w:rPr>
          <w:lang w:val="pl-PL"/>
        </w:rPr>
        <w:t>, wyrok z dn</w:t>
      </w:r>
      <w:r w:rsidR="007D72A5">
        <w:rPr>
          <w:lang w:val="pl-PL"/>
        </w:rPr>
        <w:t>ia</w:t>
      </w:r>
      <w:r w:rsidR="00BB4172" w:rsidRPr="00246717">
        <w:rPr>
          <w:lang w:val="pl-PL"/>
        </w:rPr>
        <w:t xml:space="preserve"> 10 kwietnia 2012</w:t>
      </w:r>
      <w:r w:rsidR="007D72A5">
        <w:rPr>
          <w:lang w:val="pl-PL"/>
        </w:rPr>
        <w:t> </w:t>
      </w:r>
      <w:r w:rsidR="00BB4172" w:rsidRPr="00246717">
        <w:rPr>
          <w:lang w:val="pl-PL"/>
        </w:rPr>
        <w:t>r., skarga nr</w:t>
      </w:r>
      <w:r w:rsidR="007D72A5">
        <w:rPr>
          <w:lang w:val="pl-PL"/>
        </w:rPr>
        <w:t> </w:t>
      </w:r>
      <w:r w:rsidR="00BB4172" w:rsidRPr="00246717">
        <w:rPr>
          <w:lang w:val="pl-PL"/>
        </w:rPr>
        <w:t>8088/05, §</w:t>
      </w:r>
      <w:r w:rsidR="007D72A5">
        <w:rPr>
          <w:lang w:val="pl-PL"/>
        </w:rPr>
        <w:t> </w:t>
      </w:r>
      <w:r w:rsidR="00BB4172" w:rsidRPr="00246717">
        <w:rPr>
          <w:lang w:val="pl-PL"/>
        </w:rPr>
        <w:t>85).</w:t>
      </w:r>
    </w:p>
    <w:p w14:paraId="3ACAB393" w14:textId="776CDCFD" w:rsidR="00350C8E"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121</w:t>
      </w:r>
      <w:r w:rsidRPr="00246717">
        <w:rPr>
          <w:lang w:val="pl-PL"/>
        </w:rPr>
        <w:fldChar w:fldCharType="end"/>
      </w:r>
      <w:r w:rsidR="00BB4172" w:rsidRPr="00246717">
        <w:rPr>
          <w:lang w:val="pl-PL"/>
        </w:rPr>
        <w:t>.  Trybunał musi teraz ustalić, czy w okolicznościach niniejszej spraw</w:t>
      </w:r>
      <w:r w:rsidR="007D72A5">
        <w:rPr>
          <w:lang w:val="pl-PL"/>
        </w:rPr>
        <w:t>y</w:t>
      </w:r>
      <w:r w:rsidR="00BB4172" w:rsidRPr="00246717">
        <w:rPr>
          <w:lang w:val="pl-PL"/>
        </w:rPr>
        <w:t xml:space="preserve"> skarżąca zrzekła się swojego prawa do przesłuchania świadka A. Zauważa na wstępie, że nic w dostępnych aktach nie </w:t>
      </w:r>
      <w:r w:rsidR="008A037C">
        <w:rPr>
          <w:lang w:val="pl-PL"/>
        </w:rPr>
        <w:t>świadczy o tym, jakoby</w:t>
      </w:r>
      <w:r w:rsidR="00BB4172" w:rsidRPr="00246717">
        <w:rPr>
          <w:lang w:val="pl-PL"/>
        </w:rPr>
        <w:t xml:space="preserve"> jej działania nie były dobrowolne albo </w:t>
      </w:r>
      <w:r w:rsidR="008A037C">
        <w:rPr>
          <w:lang w:val="pl-PL"/>
        </w:rPr>
        <w:t xml:space="preserve">były </w:t>
      </w:r>
      <w:r w:rsidR="00BB4172" w:rsidRPr="00246717">
        <w:rPr>
          <w:lang w:val="pl-PL"/>
        </w:rPr>
        <w:t>sprzeczne z jakimkolwiek ważnym interesem publicznym.</w:t>
      </w:r>
    </w:p>
    <w:p w14:paraId="0D57DB35" w14:textId="09251DD1" w:rsidR="00350C8E"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122</w:t>
      </w:r>
      <w:r w:rsidRPr="00246717">
        <w:rPr>
          <w:lang w:val="pl-PL"/>
        </w:rPr>
        <w:fldChar w:fldCharType="end"/>
      </w:r>
      <w:r w:rsidR="00BB4172" w:rsidRPr="00246717">
        <w:rPr>
          <w:lang w:val="pl-PL"/>
        </w:rPr>
        <w:t xml:space="preserve">.  Zważywszy na protokoły </w:t>
      </w:r>
      <w:r w:rsidR="008A037C">
        <w:rPr>
          <w:lang w:val="pl-PL"/>
        </w:rPr>
        <w:t>z rozprawy</w:t>
      </w:r>
      <w:r w:rsidR="00BB4172" w:rsidRPr="00246717">
        <w:rPr>
          <w:lang w:val="pl-PL"/>
        </w:rPr>
        <w:t xml:space="preserve"> należy zauważyć, że obrona zgodziła się na odczytanie zeznań </w:t>
      </w:r>
      <w:proofErr w:type="spellStart"/>
      <w:r w:rsidR="00BB4172" w:rsidRPr="00246717">
        <w:rPr>
          <w:lang w:val="pl-PL"/>
        </w:rPr>
        <w:t>przedprocesowych</w:t>
      </w:r>
      <w:proofErr w:type="spellEnd"/>
      <w:r w:rsidR="00BB4172" w:rsidRPr="00246717">
        <w:rPr>
          <w:lang w:val="pl-PL"/>
        </w:rPr>
        <w:t xml:space="preserve"> A. </w:t>
      </w:r>
      <w:r w:rsidR="008A037C">
        <w:rPr>
          <w:lang w:val="pl-PL"/>
        </w:rPr>
        <w:t>W o</w:t>
      </w:r>
      <w:r w:rsidR="008A037C" w:rsidRPr="00246717">
        <w:rPr>
          <w:lang w:val="pl-PL"/>
        </w:rPr>
        <w:t>statni</w:t>
      </w:r>
      <w:r w:rsidR="008A037C">
        <w:rPr>
          <w:lang w:val="pl-PL"/>
        </w:rPr>
        <w:t>m</w:t>
      </w:r>
      <w:r w:rsidR="008A037C" w:rsidRPr="00246717">
        <w:rPr>
          <w:lang w:val="pl-PL"/>
        </w:rPr>
        <w:t xml:space="preserve"> </w:t>
      </w:r>
      <w:r w:rsidR="00BB4172" w:rsidRPr="00246717">
        <w:rPr>
          <w:lang w:val="pl-PL"/>
        </w:rPr>
        <w:t>dni</w:t>
      </w:r>
      <w:r w:rsidR="008A037C">
        <w:rPr>
          <w:lang w:val="pl-PL"/>
        </w:rPr>
        <w:t>u</w:t>
      </w:r>
      <w:r w:rsidR="00BB4172" w:rsidRPr="00246717">
        <w:rPr>
          <w:lang w:val="pl-PL"/>
        </w:rPr>
        <w:t xml:space="preserve"> </w:t>
      </w:r>
      <w:r w:rsidR="008A037C">
        <w:rPr>
          <w:lang w:val="pl-PL"/>
        </w:rPr>
        <w:t>postępowania dowodowego</w:t>
      </w:r>
      <w:r w:rsidR="00BB4172" w:rsidRPr="00246717">
        <w:rPr>
          <w:lang w:val="pl-PL"/>
        </w:rPr>
        <w:t xml:space="preserve"> p</w:t>
      </w:r>
      <w:r w:rsidR="007D72A5">
        <w:rPr>
          <w:lang w:val="pl-PL"/>
        </w:rPr>
        <w:t>ełnomocnik</w:t>
      </w:r>
      <w:r w:rsidR="00BB4172" w:rsidRPr="00246717">
        <w:rPr>
          <w:lang w:val="pl-PL"/>
        </w:rPr>
        <w:t xml:space="preserve"> S. zwrócił się do sądu o wezwanie na świadka A. Sędzia przewodniczący poinformował następnie strony, że świadek ten nie był dostępny, na co prokurator wniósł o odczytanie zeznań </w:t>
      </w:r>
      <w:proofErr w:type="spellStart"/>
      <w:r w:rsidR="00BB4172" w:rsidRPr="00246717">
        <w:rPr>
          <w:lang w:val="pl-PL"/>
        </w:rPr>
        <w:t>przedprocesowych</w:t>
      </w:r>
      <w:proofErr w:type="spellEnd"/>
      <w:r w:rsidR="00BB4172" w:rsidRPr="00246717">
        <w:rPr>
          <w:lang w:val="pl-PL"/>
        </w:rPr>
        <w:t xml:space="preserve"> A. P</w:t>
      </w:r>
      <w:r w:rsidR="007D72A5">
        <w:rPr>
          <w:lang w:val="pl-PL"/>
        </w:rPr>
        <w:t>ełnomocnik</w:t>
      </w:r>
      <w:r w:rsidR="00BB4172" w:rsidRPr="00246717">
        <w:rPr>
          <w:lang w:val="pl-PL"/>
        </w:rPr>
        <w:t xml:space="preserve"> U. nie sprzeciwił się odczytaniu, a p</w:t>
      </w:r>
      <w:r w:rsidR="007D72A5">
        <w:rPr>
          <w:lang w:val="pl-PL"/>
        </w:rPr>
        <w:t>ełnomocnik</w:t>
      </w:r>
      <w:r w:rsidR="00BB4172" w:rsidRPr="00246717">
        <w:rPr>
          <w:lang w:val="pl-PL"/>
        </w:rPr>
        <w:t xml:space="preserve"> S. </w:t>
      </w:r>
      <w:r w:rsidR="008A037C">
        <w:rPr>
          <w:lang w:val="pl-PL"/>
        </w:rPr>
        <w:t>wyraźnie</w:t>
      </w:r>
      <w:r w:rsidR="00BB4172" w:rsidRPr="00246717">
        <w:rPr>
          <w:lang w:val="pl-PL"/>
        </w:rPr>
        <w:t xml:space="preserve"> </w:t>
      </w:r>
      <w:r w:rsidR="008A037C">
        <w:rPr>
          <w:lang w:val="pl-PL"/>
        </w:rPr>
        <w:t>na to przystał</w:t>
      </w:r>
      <w:r w:rsidR="00BB4172" w:rsidRPr="00246717">
        <w:rPr>
          <w:lang w:val="pl-PL"/>
        </w:rPr>
        <w:t xml:space="preserve"> (zob. par.</w:t>
      </w:r>
      <w:r w:rsidR="007D72A5">
        <w:rPr>
          <w:lang w:val="pl-PL"/>
        </w:rPr>
        <w:t> </w:t>
      </w:r>
      <w:r w:rsidR="00183E14">
        <w:fldChar w:fldCharType="begin"/>
      </w:r>
      <w:r w:rsidR="00183E14" w:rsidRPr="000473D0">
        <w:rPr>
          <w:lang w:val="pl-PL"/>
        </w:rPr>
        <w:instrText xml:space="preserve"> REF MotionAttestingAndWitnessA \h  \* MERGEFORMAT </w:instrText>
      </w:r>
      <w:r w:rsidR="00183E14">
        <w:fldChar w:fldCharType="separate"/>
      </w:r>
      <w:r w:rsidR="00BB4172" w:rsidRPr="00246717">
        <w:rPr>
          <w:rFonts w:ascii="Times New Roman" w:hAnsi="Times New Roman"/>
          <w:szCs w:val="24"/>
          <w:lang w:val="pl-PL"/>
        </w:rPr>
        <w:t>52</w:t>
      </w:r>
      <w:r w:rsidR="00183E14">
        <w:fldChar w:fldCharType="end"/>
      </w:r>
      <w:r w:rsidR="00BB4172" w:rsidRPr="00246717">
        <w:rPr>
          <w:lang w:val="pl-PL"/>
        </w:rPr>
        <w:t xml:space="preserve"> powyżej).</w:t>
      </w:r>
    </w:p>
    <w:p w14:paraId="7E813AB2" w14:textId="4A71C4C6"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123</w:t>
      </w:r>
      <w:r w:rsidRPr="00246717">
        <w:rPr>
          <w:lang w:val="pl-PL"/>
        </w:rPr>
        <w:fldChar w:fldCharType="end"/>
      </w:r>
      <w:r w:rsidR="00BB4172" w:rsidRPr="00246717">
        <w:rPr>
          <w:lang w:val="pl-PL"/>
        </w:rPr>
        <w:t xml:space="preserve">.  Następnie sędzia przewodniczący, przed zakończeniem </w:t>
      </w:r>
      <w:r w:rsidR="00B45CE0">
        <w:rPr>
          <w:lang w:val="pl-PL"/>
        </w:rPr>
        <w:t>postępowania dowodowego</w:t>
      </w:r>
      <w:r w:rsidR="00BB4172" w:rsidRPr="00246717">
        <w:rPr>
          <w:lang w:val="pl-PL"/>
        </w:rPr>
        <w:t xml:space="preserve">, zapytał, czy strony </w:t>
      </w:r>
      <w:r w:rsidR="00B45CE0">
        <w:rPr>
          <w:lang w:val="pl-PL"/>
        </w:rPr>
        <w:t>są gotowe do zabrania głosów końcowych</w:t>
      </w:r>
      <w:r w:rsidR="00BB4172" w:rsidRPr="00246717">
        <w:rPr>
          <w:lang w:val="pl-PL"/>
        </w:rPr>
        <w:t xml:space="preserve"> w </w:t>
      </w:r>
      <w:r w:rsidR="00B45CE0">
        <w:rPr>
          <w:lang w:val="pl-PL"/>
        </w:rPr>
        <w:t>związku z</w:t>
      </w:r>
      <w:r w:rsidR="00B45CE0" w:rsidRPr="00246717">
        <w:rPr>
          <w:lang w:val="pl-PL"/>
        </w:rPr>
        <w:t xml:space="preserve"> </w:t>
      </w:r>
      <w:r w:rsidR="00E9323C">
        <w:rPr>
          <w:lang w:val="pl-PL"/>
        </w:rPr>
        <w:t>nieobecnością</w:t>
      </w:r>
      <w:r w:rsidR="00BB4172" w:rsidRPr="00246717">
        <w:rPr>
          <w:lang w:val="pl-PL"/>
        </w:rPr>
        <w:t xml:space="preserve"> tych świadków, którzy się nie stawili. Skarżąca nie wniosła żadnych zastrzeżeń, a w szczególności nie ponowiła swojego wniosku o przesłuchanie świadka A. na </w:t>
      </w:r>
      <w:r w:rsidR="00B45CE0">
        <w:rPr>
          <w:lang w:val="pl-PL"/>
        </w:rPr>
        <w:t>rozprawie</w:t>
      </w:r>
      <w:r w:rsidR="00B45CE0" w:rsidRPr="00246717">
        <w:rPr>
          <w:lang w:val="pl-PL"/>
        </w:rPr>
        <w:t xml:space="preserve"> </w:t>
      </w:r>
      <w:r w:rsidR="00BB4172" w:rsidRPr="00246717">
        <w:rPr>
          <w:lang w:val="pl-PL"/>
        </w:rPr>
        <w:t>(zob. par.</w:t>
      </w:r>
      <w:r w:rsidR="007D72A5">
        <w:rPr>
          <w:lang w:val="pl-PL"/>
        </w:rPr>
        <w:t> </w:t>
      </w:r>
      <w:r w:rsidR="00BB4172" w:rsidRPr="00246717">
        <w:rPr>
          <w:lang w:val="pl-PL"/>
        </w:rPr>
        <w:t>52</w:t>
      </w:r>
      <w:r w:rsidR="007D72A5">
        <w:rPr>
          <w:rFonts w:cstheme="minorHAnsi"/>
          <w:lang w:val="pl-PL"/>
        </w:rPr>
        <w:t>−</w:t>
      </w:r>
      <w:r w:rsidR="00183E14">
        <w:fldChar w:fldCharType="begin"/>
      </w:r>
      <w:r w:rsidR="00183E14" w:rsidRPr="000473D0">
        <w:rPr>
          <w:lang w:val="pl-PL"/>
        </w:rPr>
        <w:instrText xml:space="preserve"> REF CompletionExamOfEvidenceFinish \h  \* MERGEFORMAT </w:instrText>
      </w:r>
      <w:r w:rsidR="00183E14">
        <w:fldChar w:fldCharType="separate"/>
      </w:r>
      <w:r w:rsidR="00BB4172" w:rsidRPr="00246717">
        <w:rPr>
          <w:rFonts w:ascii="Times New Roman" w:hAnsi="Times New Roman"/>
          <w:szCs w:val="24"/>
          <w:lang w:val="pl-PL"/>
        </w:rPr>
        <w:t>55</w:t>
      </w:r>
      <w:r w:rsidR="00183E14">
        <w:fldChar w:fldCharType="end"/>
      </w:r>
      <w:r w:rsidR="00BB4172" w:rsidRPr="00246717">
        <w:rPr>
          <w:lang w:val="pl-PL"/>
        </w:rPr>
        <w:t xml:space="preserve"> powyżej).</w:t>
      </w:r>
    </w:p>
    <w:p w14:paraId="3EB5B294" w14:textId="7BC4194C"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124</w:t>
      </w:r>
      <w:r w:rsidRPr="00246717">
        <w:rPr>
          <w:lang w:val="pl-PL"/>
        </w:rPr>
        <w:fldChar w:fldCharType="end"/>
      </w:r>
      <w:r w:rsidR="00BB4172" w:rsidRPr="00246717">
        <w:rPr>
          <w:lang w:val="pl-PL"/>
        </w:rPr>
        <w:t xml:space="preserve">.  Niemniej przepisy rosyjskiego </w:t>
      </w:r>
      <w:r w:rsidR="00876D05">
        <w:rPr>
          <w:lang w:val="pl-PL"/>
        </w:rPr>
        <w:t>K</w:t>
      </w:r>
      <w:r w:rsidR="00BB4172" w:rsidRPr="00246717">
        <w:rPr>
          <w:lang w:val="pl-PL"/>
        </w:rPr>
        <w:t>odeksu postępowania karnego przyznawały skarżącej możliwość zgłoszenia sprzeciwu, nawet bez powoływania się na jakie</w:t>
      </w:r>
      <w:r w:rsidR="007F3DEB">
        <w:rPr>
          <w:lang w:val="pl-PL"/>
        </w:rPr>
        <w:t>kolwiek</w:t>
      </w:r>
      <w:r w:rsidR="00BB4172" w:rsidRPr="00246717">
        <w:rPr>
          <w:lang w:val="pl-PL"/>
        </w:rPr>
        <w:t xml:space="preserve"> powod</w:t>
      </w:r>
      <w:r w:rsidR="007F3DEB">
        <w:rPr>
          <w:lang w:val="pl-PL"/>
        </w:rPr>
        <w:t>y</w:t>
      </w:r>
      <w:r w:rsidR="00BB4172" w:rsidRPr="00246717">
        <w:rPr>
          <w:lang w:val="pl-PL"/>
        </w:rPr>
        <w:t xml:space="preserve">, wobec odczytania tych zeznań. Gdyby skorzystała z tej możliwości i nalegała na wezwanie A., wówczas sąd </w:t>
      </w:r>
      <w:r w:rsidR="00CD4595">
        <w:rPr>
          <w:lang w:val="pl-PL"/>
        </w:rPr>
        <w:t>orzekający</w:t>
      </w:r>
      <w:r w:rsidR="00BB4172" w:rsidRPr="00246717">
        <w:rPr>
          <w:lang w:val="pl-PL"/>
        </w:rPr>
        <w:t xml:space="preserve"> mógłby odczytać zeznania </w:t>
      </w:r>
      <w:proofErr w:type="spellStart"/>
      <w:r w:rsidR="00BB4172" w:rsidRPr="00246717">
        <w:rPr>
          <w:lang w:val="pl-PL"/>
        </w:rPr>
        <w:t>przedprocesowe</w:t>
      </w:r>
      <w:proofErr w:type="spellEnd"/>
      <w:r w:rsidR="00BB4172" w:rsidRPr="00246717">
        <w:rPr>
          <w:lang w:val="pl-PL"/>
        </w:rPr>
        <w:t xml:space="preserve"> A. jedynie w określonych okolicznościach przewidzianych w art.</w:t>
      </w:r>
      <w:r w:rsidR="007F3DEB">
        <w:rPr>
          <w:lang w:val="pl-PL"/>
        </w:rPr>
        <w:t> </w:t>
      </w:r>
      <w:r w:rsidR="00BB4172" w:rsidRPr="00246717">
        <w:rPr>
          <w:lang w:val="pl-PL"/>
        </w:rPr>
        <w:t>281</w:t>
      </w:r>
      <w:r w:rsidR="00CD4595">
        <w:rPr>
          <w:lang w:val="pl-PL"/>
        </w:rPr>
        <w:t xml:space="preserve"> </w:t>
      </w:r>
      <w:r w:rsidR="00BB4172" w:rsidRPr="00246717">
        <w:rPr>
          <w:lang w:val="pl-PL"/>
        </w:rPr>
        <w:t>§ 2 kodeksu postępowania karnego (zob. par.</w:t>
      </w:r>
      <w:r w:rsidR="007F3DEB">
        <w:rPr>
          <w:lang w:val="pl-PL"/>
        </w:rPr>
        <w:t> </w:t>
      </w:r>
      <w:r w:rsidR="00183E14">
        <w:fldChar w:fldCharType="begin"/>
      </w:r>
      <w:r w:rsidR="00183E14" w:rsidRPr="000473D0">
        <w:rPr>
          <w:lang w:val="pl-PL"/>
        </w:rPr>
        <w:instrText xml:space="preserve"> REF CCrP \h  \* MERGEFORMAT </w:instrText>
      </w:r>
      <w:r w:rsidR="00183E14">
        <w:fldChar w:fldCharType="separate"/>
      </w:r>
      <w:r w:rsidR="00BB4172" w:rsidRPr="00246717">
        <w:rPr>
          <w:lang w:val="pl-PL"/>
        </w:rPr>
        <w:t>71</w:t>
      </w:r>
      <w:r w:rsidR="00183E14">
        <w:fldChar w:fldCharType="end"/>
      </w:r>
      <w:r w:rsidR="00BB4172" w:rsidRPr="00246717">
        <w:rPr>
          <w:lang w:val="pl-PL"/>
        </w:rPr>
        <w:t xml:space="preserve"> powyżej). </w:t>
      </w:r>
      <w:r w:rsidR="00CD4595">
        <w:rPr>
          <w:lang w:val="pl-PL"/>
        </w:rPr>
        <w:t>Jeżeli</w:t>
      </w:r>
      <w:r w:rsidR="00BB4172" w:rsidRPr="00246717">
        <w:rPr>
          <w:lang w:val="pl-PL"/>
        </w:rPr>
        <w:t xml:space="preserve"> wymogi </w:t>
      </w:r>
      <w:r w:rsidR="00CD4595">
        <w:rPr>
          <w:lang w:val="pl-PL"/>
        </w:rPr>
        <w:t xml:space="preserve">te </w:t>
      </w:r>
      <w:r w:rsidR="00BB4172" w:rsidRPr="00246717">
        <w:rPr>
          <w:lang w:val="pl-PL"/>
        </w:rPr>
        <w:t>nie zostały</w:t>
      </w:r>
      <w:r w:rsidR="00CD4595">
        <w:rPr>
          <w:lang w:val="pl-PL"/>
        </w:rPr>
        <w:t>by</w:t>
      </w:r>
      <w:r w:rsidR="00BB4172" w:rsidRPr="00246717">
        <w:rPr>
          <w:lang w:val="pl-PL"/>
        </w:rPr>
        <w:t xml:space="preserve"> spełnione, możliwe byłoby odroczenie rozprawy i ponowne wezwanie świadka A.</w:t>
      </w:r>
    </w:p>
    <w:p w14:paraId="5B90B19A" w14:textId="2971D48E" w:rsidR="00BB4172" w:rsidRPr="00246717" w:rsidRDefault="00150576" w:rsidP="000957D3">
      <w:pPr>
        <w:pStyle w:val="ECHRPara"/>
        <w:rPr>
          <w:lang w:val="pl-PL"/>
        </w:rPr>
      </w:pPr>
      <w:r w:rsidRPr="00246717">
        <w:rPr>
          <w:lang w:val="pl-PL"/>
        </w:rPr>
        <w:lastRenderedPageBreak/>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125</w:t>
      </w:r>
      <w:r w:rsidRPr="00246717">
        <w:rPr>
          <w:lang w:val="pl-PL"/>
        </w:rPr>
        <w:fldChar w:fldCharType="end"/>
      </w:r>
      <w:r w:rsidR="00BB4172" w:rsidRPr="00246717">
        <w:rPr>
          <w:lang w:val="pl-PL"/>
        </w:rPr>
        <w:t xml:space="preserve">.  Skarżąca przed sądem </w:t>
      </w:r>
      <w:r w:rsidR="008A6517">
        <w:rPr>
          <w:lang w:val="pl-PL"/>
        </w:rPr>
        <w:t>orzekającym</w:t>
      </w:r>
      <w:r w:rsidR="00BB4172" w:rsidRPr="00246717">
        <w:rPr>
          <w:lang w:val="pl-PL"/>
        </w:rPr>
        <w:t xml:space="preserve"> była reprezentowana przez dwóch </w:t>
      </w:r>
      <w:r w:rsidR="008A6517">
        <w:rPr>
          <w:lang w:val="pl-PL"/>
        </w:rPr>
        <w:t>obrońców z wyboru</w:t>
      </w:r>
      <w:r w:rsidR="00BB4172" w:rsidRPr="00246717">
        <w:rPr>
          <w:lang w:val="pl-PL"/>
        </w:rPr>
        <w:t xml:space="preserve">. Nic nie wskazuje na to, że nie wiedzieli oni o </w:t>
      </w:r>
      <w:r w:rsidR="008A6517">
        <w:rPr>
          <w:lang w:val="pl-PL"/>
        </w:rPr>
        <w:t>skutkach</w:t>
      </w:r>
      <w:r w:rsidR="008A6517" w:rsidRPr="00246717">
        <w:rPr>
          <w:lang w:val="pl-PL"/>
        </w:rPr>
        <w:t xml:space="preserve"> </w:t>
      </w:r>
      <w:r w:rsidR="00BB4172" w:rsidRPr="00246717">
        <w:rPr>
          <w:lang w:val="pl-PL"/>
        </w:rPr>
        <w:t>wyrażenia zgody na odczytanie zezna</w:t>
      </w:r>
      <w:r w:rsidR="007F3DEB">
        <w:rPr>
          <w:lang w:val="pl-PL"/>
        </w:rPr>
        <w:t>ń</w:t>
      </w:r>
      <w:r w:rsidR="00BB4172" w:rsidRPr="00246717">
        <w:rPr>
          <w:lang w:val="pl-PL"/>
        </w:rPr>
        <w:t xml:space="preserve"> A., czyli o utracie możliwości przesłuchania świadka przed sądem prowadzącym postępowanie i o tym, że jego zeznania zostaną wzięte pod uwagę przez sąd przy orzekaniu w sprawie zarzutów przeciwko skarżącej.</w:t>
      </w:r>
    </w:p>
    <w:p w14:paraId="58FA58FB" w14:textId="79C36AB0" w:rsidR="00BB4172" w:rsidRPr="00246717" w:rsidRDefault="00150576" w:rsidP="000957D3">
      <w:pPr>
        <w:pStyle w:val="ECHRPara"/>
        <w:rPr>
          <w:rFonts w:eastAsia="Times New Roman" w:cs="Times New Roman"/>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126</w:t>
      </w:r>
      <w:r w:rsidRPr="00246717">
        <w:rPr>
          <w:lang w:val="pl-PL"/>
        </w:rPr>
        <w:fldChar w:fldCharType="end"/>
      </w:r>
      <w:r w:rsidR="00BB4172" w:rsidRPr="00246717">
        <w:rPr>
          <w:lang w:val="pl-PL"/>
        </w:rPr>
        <w:t xml:space="preserve">.  Ponadto mające zastosowanie przepisy prawa ani praktyka sądowa nie uniemożliwiały obronie składania dalszych wniosków w sprawie przesłuchania A. w postępowaniu odwoławczym. Jednak skarżąca, nadal </w:t>
      </w:r>
      <w:r w:rsidR="00D76D46">
        <w:rPr>
          <w:lang w:val="pl-PL"/>
        </w:rPr>
        <w:t>reprezentowana przez</w:t>
      </w:r>
      <w:r w:rsidR="00BB4172" w:rsidRPr="00246717">
        <w:rPr>
          <w:lang w:val="pl-PL"/>
        </w:rPr>
        <w:t xml:space="preserve"> dwóch p</w:t>
      </w:r>
      <w:r w:rsidR="007F3DEB">
        <w:rPr>
          <w:lang w:val="pl-PL"/>
        </w:rPr>
        <w:t>ełnomocników</w:t>
      </w:r>
      <w:r w:rsidR="00BB4172" w:rsidRPr="00246717">
        <w:rPr>
          <w:lang w:val="pl-PL"/>
        </w:rPr>
        <w:t xml:space="preserve">, postanowiła nie </w:t>
      </w:r>
      <w:r w:rsidR="00D76D46">
        <w:rPr>
          <w:lang w:val="pl-PL"/>
        </w:rPr>
        <w:t>s</w:t>
      </w:r>
      <w:r w:rsidR="00D76D46" w:rsidRPr="00246717">
        <w:rPr>
          <w:lang w:val="pl-PL"/>
        </w:rPr>
        <w:t xml:space="preserve">korzystać </w:t>
      </w:r>
      <w:r w:rsidR="00BB4172" w:rsidRPr="00246717">
        <w:rPr>
          <w:lang w:val="pl-PL"/>
        </w:rPr>
        <w:t xml:space="preserve">tej możliwości. Należy także zwrócić uwagę na fakt, że </w:t>
      </w:r>
      <w:r w:rsidR="00D76D46">
        <w:rPr>
          <w:lang w:val="pl-PL"/>
        </w:rPr>
        <w:t>na żadnym etapie</w:t>
      </w:r>
      <w:r w:rsidR="00BB4172" w:rsidRPr="00246717">
        <w:rPr>
          <w:lang w:val="pl-PL"/>
        </w:rPr>
        <w:t xml:space="preserve"> postępowania, ani przed sądami krajowymi, ani przed niniejszym Trybunałem, skarżąca nie podniosła, że usługi świadczone przez jej p</w:t>
      </w:r>
      <w:r w:rsidR="007F3DEB">
        <w:rPr>
          <w:lang w:val="pl-PL"/>
        </w:rPr>
        <w:t>ełnomocnikó</w:t>
      </w:r>
      <w:r w:rsidR="00BB4172" w:rsidRPr="00246717">
        <w:rPr>
          <w:lang w:val="pl-PL"/>
        </w:rPr>
        <w:t>w były niedostateczne.</w:t>
      </w:r>
    </w:p>
    <w:p w14:paraId="17346E93" w14:textId="431F1BEE"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127</w:t>
      </w:r>
      <w:r w:rsidRPr="00246717">
        <w:rPr>
          <w:lang w:val="pl-PL"/>
        </w:rPr>
        <w:fldChar w:fldCharType="end"/>
      </w:r>
      <w:r w:rsidR="00BB4172" w:rsidRPr="00246717">
        <w:rPr>
          <w:lang w:val="pl-PL"/>
        </w:rPr>
        <w:t xml:space="preserve">.  Powyższe rozważania są wystarczające, aby umożliwić Trybunałowi stwierdzenie, że zgadzając się na odczytanie zeznań </w:t>
      </w:r>
      <w:proofErr w:type="spellStart"/>
      <w:r w:rsidR="00BB4172" w:rsidRPr="00246717">
        <w:rPr>
          <w:lang w:val="pl-PL"/>
        </w:rPr>
        <w:t>przedprocesowych</w:t>
      </w:r>
      <w:proofErr w:type="spellEnd"/>
      <w:r w:rsidR="00BB4172" w:rsidRPr="00246717">
        <w:rPr>
          <w:lang w:val="pl-PL"/>
        </w:rPr>
        <w:t xml:space="preserve"> świadka A. i nie ponawiając wniosku o </w:t>
      </w:r>
      <w:r w:rsidR="00580DE5">
        <w:rPr>
          <w:lang w:val="pl-PL"/>
        </w:rPr>
        <w:t>przesłuchanie go</w:t>
      </w:r>
      <w:r w:rsidR="00BB4172" w:rsidRPr="00246717">
        <w:rPr>
          <w:lang w:val="pl-PL"/>
        </w:rPr>
        <w:t xml:space="preserve"> w sądzie, skarżąca zrzekła się swojego prawa do przesłuchania tego konkretnego świadka (zob. </w:t>
      </w:r>
      <w:proofErr w:type="spellStart"/>
      <w:r w:rsidR="00BB4172" w:rsidRPr="00246717">
        <w:rPr>
          <w:i/>
          <w:iCs/>
          <w:lang w:val="pl-PL"/>
        </w:rPr>
        <w:t>Palchik</w:t>
      </w:r>
      <w:proofErr w:type="spellEnd"/>
      <w:r w:rsidR="00BB4172" w:rsidRPr="00246717">
        <w:rPr>
          <w:i/>
          <w:iCs/>
          <w:lang w:val="pl-PL"/>
        </w:rPr>
        <w:t>, op.</w:t>
      </w:r>
      <w:r w:rsidR="00580DE5">
        <w:rPr>
          <w:i/>
          <w:iCs/>
          <w:lang w:val="pl-PL"/>
        </w:rPr>
        <w:t xml:space="preserve"> </w:t>
      </w:r>
      <w:r w:rsidR="00BB4172" w:rsidRPr="00246717">
        <w:rPr>
          <w:i/>
          <w:iCs/>
          <w:lang w:val="pl-PL"/>
        </w:rPr>
        <w:t xml:space="preserve">cit., </w:t>
      </w:r>
      <w:r w:rsidR="00BB4172" w:rsidRPr="00246717">
        <w:rPr>
          <w:lang w:val="pl-PL"/>
        </w:rPr>
        <w:t>§</w:t>
      </w:r>
      <w:r w:rsidR="007F3DEB">
        <w:rPr>
          <w:lang w:val="pl-PL"/>
        </w:rPr>
        <w:t> </w:t>
      </w:r>
      <w:r w:rsidR="00BB4172" w:rsidRPr="00246717">
        <w:rPr>
          <w:lang w:val="pl-PL"/>
        </w:rPr>
        <w:t>36). Zrzeczenie się zostało opatrzone minimalnymi zabezpieczeniami proporcjonalnymi do jego wagi. W tym względzie Trybunał powtarza, że skarżącej towarzyszyli dwaj p</w:t>
      </w:r>
      <w:r w:rsidR="007F3DEB">
        <w:rPr>
          <w:lang w:val="pl-PL"/>
        </w:rPr>
        <w:t>ełnomocnicy</w:t>
      </w:r>
      <w:r w:rsidR="00BB4172" w:rsidRPr="00246717">
        <w:rPr>
          <w:lang w:val="pl-PL"/>
        </w:rPr>
        <w:t xml:space="preserve"> i</w:t>
      </w:r>
      <w:r w:rsidR="007F3DEB">
        <w:rPr>
          <w:lang w:val="pl-PL"/>
        </w:rPr>
        <w:t> </w:t>
      </w:r>
      <w:r w:rsidR="00BB4172" w:rsidRPr="00246717">
        <w:rPr>
          <w:lang w:val="pl-PL"/>
        </w:rPr>
        <w:t xml:space="preserve">została </w:t>
      </w:r>
      <w:r w:rsidR="00580DE5">
        <w:rPr>
          <w:lang w:val="pl-PL"/>
        </w:rPr>
        <w:t xml:space="preserve">ona </w:t>
      </w:r>
      <w:r w:rsidR="00BB4172" w:rsidRPr="00246717">
        <w:rPr>
          <w:lang w:val="pl-PL"/>
        </w:rPr>
        <w:t xml:space="preserve">wprost zapytana przez sędziego przewodniczącego, czy była gotowa </w:t>
      </w:r>
      <w:r w:rsidR="00580DE5">
        <w:rPr>
          <w:lang w:val="pl-PL"/>
        </w:rPr>
        <w:t>na zamknięcie przewodu sądowego</w:t>
      </w:r>
      <w:r w:rsidR="00BB4172" w:rsidRPr="00246717">
        <w:rPr>
          <w:lang w:val="pl-PL"/>
        </w:rPr>
        <w:t xml:space="preserve"> w </w:t>
      </w:r>
      <w:r w:rsidR="00580DE5">
        <w:rPr>
          <w:lang w:val="pl-PL"/>
        </w:rPr>
        <w:t>związku z</w:t>
      </w:r>
      <w:r w:rsidR="00580DE5" w:rsidRPr="00246717">
        <w:rPr>
          <w:lang w:val="pl-PL"/>
        </w:rPr>
        <w:t xml:space="preserve"> </w:t>
      </w:r>
      <w:r w:rsidR="00BB4172" w:rsidRPr="00246717">
        <w:rPr>
          <w:lang w:val="pl-PL"/>
        </w:rPr>
        <w:t>niestawiennictw</w:t>
      </w:r>
      <w:r w:rsidR="00580DE5">
        <w:rPr>
          <w:lang w:val="pl-PL"/>
        </w:rPr>
        <w:t>em</w:t>
      </w:r>
      <w:r w:rsidR="00BB4172" w:rsidRPr="00246717">
        <w:rPr>
          <w:lang w:val="pl-PL"/>
        </w:rPr>
        <w:t xml:space="preserve"> świadka, czemu skarżąca się nie przeciwstawiła. Zauważa także, że skarżąca miała możliwość </w:t>
      </w:r>
      <w:r w:rsidR="00580DE5">
        <w:rPr>
          <w:lang w:val="pl-PL"/>
        </w:rPr>
        <w:t>wyrażenia stanowiska w przedmiocie</w:t>
      </w:r>
      <w:r w:rsidR="00BB4172" w:rsidRPr="00246717">
        <w:rPr>
          <w:lang w:val="pl-PL"/>
        </w:rPr>
        <w:t xml:space="preserve"> zeznań A., jednak nie zgłosiła żadnych istotnych zastrzeżeń do ich treści (zob. par.</w:t>
      </w:r>
      <w:r w:rsidR="007F3DEB">
        <w:rPr>
          <w:lang w:val="pl-PL"/>
        </w:rPr>
        <w:t> </w:t>
      </w:r>
      <w:r w:rsidR="00183E14">
        <w:fldChar w:fldCharType="begin"/>
      </w:r>
      <w:r w:rsidR="00183E14" w:rsidRPr="000473D0">
        <w:rPr>
          <w:lang w:val="pl-PL"/>
        </w:rPr>
        <w:instrText xml:space="preserve"> REF MotionAttestingAndWitnessA \h  \* MERGEFORMAT </w:instrText>
      </w:r>
      <w:r w:rsidR="00183E14">
        <w:fldChar w:fldCharType="separate"/>
      </w:r>
      <w:r w:rsidR="00BB4172" w:rsidRPr="00246717">
        <w:rPr>
          <w:rFonts w:ascii="Times New Roman" w:hAnsi="Times New Roman"/>
          <w:szCs w:val="24"/>
          <w:lang w:val="pl-PL"/>
        </w:rPr>
        <w:t>52</w:t>
      </w:r>
      <w:r w:rsidR="00183E14">
        <w:fldChar w:fldCharType="end"/>
      </w:r>
      <w:r w:rsidR="00BB4172" w:rsidRPr="00246717">
        <w:rPr>
          <w:lang w:val="pl-PL"/>
        </w:rPr>
        <w:t xml:space="preserve"> powyżej). Ponadto Trybunał nie uważa, że sprawa nie </w:t>
      </w:r>
      <w:r w:rsidR="00580DE5">
        <w:rPr>
          <w:lang w:val="pl-PL"/>
        </w:rPr>
        <w:t>wiąże się z</w:t>
      </w:r>
      <w:r w:rsidR="00580DE5" w:rsidRPr="00246717">
        <w:rPr>
          <w:lang w:val="pl-PL"/>
        </w:rPr>
        <w:t xml:space="preserve"> żadny</w:t>
      </w:r>
      <w:r w:rsidR="00580DE5">
        <w:rPr>
          <w:lang w:val="pl-PL"/>
        </w:rPr>
        <w:t>mi</w:t>
      </w:r>
      <w:r w:rsidR="00580DE5" w:rsidRPr="00246717">
        <w:rPr>
          <w:lang w:val="pl-PL"/>
        </w:rPr>
        <w:t xml:space="preserve"> </w:t>
      </w:r>
      <w:r w:rsidR="00BB4172" w:rsidRPr="00246717">
        <w:rPr>
          <w:lang w:val="pl-PL"/>
        </w:rPr>
        <w:t>kwesti</w:t>
      </w:r>
      <w:r w:rsidR="00580DE5">
        <w:rPr>
          <w:lang w:val="pl-PL"/>
        </w:rPr>
        <w:t>ami</w:t>
      </w:r>
      <w:r w:rsidR="00BB4172" w:rsidRPr="00246717">
        <w:rPr>
          <w:lang w:val="pl-PL"/>
        </w:rPr>
        <w:t xml:space="preserve"> interesu publicznego uniemożliwiających zrzeczenie się konkretnych gwarancji procesowych (zob. </w:t>
      </w:r>
      <w:proofErr w:type="spellStart"/>
      <w:r w:rsidR="00BB4172" w:rsidRPr="00246717">
        <w:rPr>
          <w:i/>
          <w:iCs/>
          <w:lang w:val="pl-PL"/>
        </w:rPr>
        <w:t>Hermi</w:t>
      </w:r>
      <w:proofErr w:type="spellEnd"/>
      <w:r w:rsidR="00BB4172" w:rsidRPr="00246717">
        <w:rPr>
          <w:i/>
          <w:iCs/>
          <w:lang w:val="pl-PL"/>
        </w:rPr>
        <w:t xml:space="preserve"> przeciwko Włochom</w:t>
      </w:r>
      <w:r w:rsidR="00BB4172" w:rsidRPr="00246717">
        <w:rPr>
          <w:lang w:val="pl-PL"/>
        </w:rPr>
        <w:t xml:space="preserve"> [WI], skarga nr</w:t>
      </w:r>
      <w:r w:rsidR="007F3DEB">
        <w:rPr>
          <w:lang w:val="pl-PL"/>
        </w:rPr>
        <w:t> </w:t>
      </w:r>
      <w:r w:rsidR="00BB4172" w:rsidRPr="00246717">
        <w:rPr>
          <w:lang w:val="pl-PL"/>
        </w:rPr>
        <w:t>18114/02, §</w:t>
      </w:r>
      <w:r w:rsidR="007F3DEB">
        <w:rPr>
          <w:lang w:val="pl-PL"/>
        </w:rPr>
        <w:t> </w:t>
      </w:r>
      <w:r w:rsidR="00BB4172" w:rsidRPr="00246717">
        <w:rPr>
          <w:lang w:val="pl-PL"/>
        </w:rPr>
        <w:t>79, ETPCz 2006</w:t>
      </w:r>
      <w:r w:rsidR="00BB4172" w:rsidRPr="00246717">
        <w:rPr>
          <w:lang w:val="pl-PL"/>
        </w:rPr>
        <w:noBreakHyphen/>
        <w:t>XII). Nie sposób dostrzec powodu, dla którego można by wątpić, iż zrzeczenie się przez skarżącą jej prawa stanowiło świadome i ro</w:t>
      </w:r>
      <w:r w:rsidR="007F3DEB">
        <w:rPr>
          <w:lang w:val="pl-PL"/>
        </w:rPr>
        <w:t>zsądne</w:t>
      </w:r>
      <w:r w:rsidR="00BB4172" w:rsidRPr="00246717">
        <w:rPr>
          <w:lang w:val="pl-PL"/>
        </w:rPr>
        <w:t xml:space="preserve"> zrzeczenie się prawa oraz że </w:t>
      </w:r>
      <w:r w:rsidR="00655461">
        <w:rPr>
          <w:lang w:val="pl-PL"/>
        </w:rPr>
        <w:t>miała ona możliwość</w:t>
      </w:r>
      <w:r w:rsidR="00BB4172" w:rsidRPr="00246717">
        <w:rPr>
          <w:lang w:val="pl-PL"/>
        </w:rPr>
        <w:t>, przy wsparciu swoich dwóch p</w:t>
      </w:r>
      <w:r w:rsidR="007F3DEB">
        <w:rPr>
          <w:lang w:val="pl-PL"/>
        </w:rPr>
        <w:t>ełnomocników</w:t>
      </w:r>
      <w:r w:rsidR="00BB4172" w:rsidRPr="00246717">
        <w:rPr>
          <w:lang w:val="pl-PL"/>
        </w:rPr>
        <w:t xml:space="preserve">, w sposób rozsądny przewidzieć konsekwencje swojego postępowania (zob. </w:t>
      </w:r>
      <w:proofErr w:type="spellStart"/>
      <w:r w:rsidR="00BB4172" w:rsidRPr="00246717">
        <w:rPr>
          <w:i/>
          <w:iCs/>
          <w:lang w:val="pl-PL"/>
        </w:rPr>
        <w:t>Khametshin</w:t>
      </w:r>
      <w:proofErr w:type="spellEnd"/>
      <w:r w:rsidR="00BB4172" w:rsidRPr="00246717">
        <w:rPr>
          <w:lang w:val="pl-PL"/>
        </w:rPr>
        <w:t xml:space="preserve">, </w:t>
      </w:r>
      <w:r w:rsidR="00BB4172" w:rsidRPr="00246717">
        <w:rPr>
          <w:i/>
          <w:iCs/>
          <w:lang w:val="pl-PL"/>
        </w:rPr>
        <w:t>op.</w:t>
      </w:r>
      <w:r w:rsidR="00655461">
        <w:rPr>
          <w:i/>
          <w:iCs/>
          <w:lang w:val="pl-PL"/>
        </w:rPr>
        <w:t xml:space="preserve"> </w:t>
      </w:r>
      <w:r w:rsidR="00BB4172" w:rsidRPr="00246717">
        <w:rPr>
          <w:i/>
          <w:iCs/>
          <w:lang w:val="pl-PL"/>
        </w:rPr>
        <w:t>cit.</w:t>
      </w:r>
      <w:r w:rsidR="00BB4172" w:rsidRPr="00246717">
        <w:rPr>
          <w:lang w:val="pl-PL"/>
        </w:rPr>
        <w:t>, §</w:t>
      </w:r>
      <w:r w:rsidR="007F3DEB">
        <w:rPr>
          <w:lang w:val="pl-PL"/>
        </w:rPr>
        <w:t> </w:t>
      </w:r>
      <w:r w:rsidR="00BB4172" w:rsidRPr="00246717">
        <w:rPr>
          <w:lang w:val="pl-PL"/>
        </w:rPr>
        <w:t xml:space="preserve">41, oraz </w:t>
      </w:r>
      <w:proofErr w:type="spellStart"/>
      <w:r w:rsidR="00BB4172" w:rsidRPr="00246717">
        <w:rPr>
          <w:i/>
          <w:iCs/>
          <w:lang w:val="pl-PL"/>
        </w:rPr>
        <w:t>Palchik</w:t>
      </w:r>
      <w:proofErr w:type="spellEnd"/>
      <w:r w:rsidR="00BB4172" w:rsidRPr="00246717">
        <w:rPr>
          <w:lang w:val="pl-PL"/>
        </w:rPr>
        <w:t xml:space="preserve">, </w:t>
      </w:r>
      <w:r w:rsidR="00BB4172" w:rsidRPr="00246717">
        <w:rPr>
          <w:i/>
          <w:iCs/>
          <w:lang w:val="pl-PL"/>
        </w:rPr>
        <w:t>op.</w:t>
      </w:r>
      <w:r w:rsidR="00655461">
        <w:rPr>
          <w:i/>
          <w:iCs/>
          <w:lang w:val="pl-PL"/>
        </w:rPr>
        <w:t xml:space="preserve"> </w:t>
      </w:r>
      <w:r w:rsidR="00BB4172" w:rsidRPr="00246717">
        <w:rPr>
          <w:i/>
          <w:iCs/>
          <w:lang w:val="pl-PL"/>
        </w:rPr>
        <w:t>cit.</w:t>
      </w:r>
      <w:r w:rsidR="00BB4172" w:rsidRPr="00246717">
        <w:rPr>
          <w:lang w:val="pl-PL"/>
        </w:rPr>
        <w:t>, §</w:t>
      </w:r>
      <w:r w:rsidR="007F3DEB">
        <w:rPr>
          <w:lang w:val="pl-PL"/>
        </w:rPr>
        <w:t> </w:t>
      </w:r>
      <w:r w:rsidR="00BB4172" w:rsidRPr="00246717">
        <w:rPr>
          <w:lang w:val="pl-PL"/>
        </w:rPr>
        <w:t xml:space="preserve">36; </w:t>
      </w:r>
      <w:r w:rsidR="00BB4172" w:rsidRPr="00246717">
        <w:rPr>
          <w:i/>
          <w:iCs/>
          <w:lang w:val="pl-PL"/>
        </w:rPr>
        <w:t>a contrario</w:t>
      </w:r>
      <w:r w:rsidR="00BB4172" w:rsidRPr="00246717">
        <w:rPr>
          <w:lang w:val="pl-PL"/>
        </w:rPr>
        <w:t xml:space="preserve">, </w:t>
      </w:r>
      <w:proofErr w:type="spellStart"/>
      <w:r w:rsidR="00BB4172" w:rsidRPr="00246717">
        <w:rPr>
          <w:i/>
          <w:iCs/>
          <w:lang w:val="pl-PL"/>
        </w:rPr>
        <w:t>Sakhnovskiy</w:t>
      </w:r>
      <w:proofErr w:type="spellEnd"/>
      <w:r w:rsidR="00BB4172" w:rsidRPr="00246717">
        <w:rPr>
          <w:i/>
          <w:iCs/>
          <w:lang w:val="pl-PL"/>
        </w:rPr>
        <w:t xml:space="preserve"> przeciwko Rosji </w:t>
      </w:r>
      <w:r w:rsidR="00BB4172" w:rsidRPr="00246717">
        <w:rPr>
          <w:lang w:val="pl-PL"/>
        </w:rPr>
        <w:t>[WI], wyrok z dn</w:t>
      </w:r>
      <w:r w:rsidR="007F3DEB">
        <w:rPr>
          <w:lang w:val="pl-PL"/>
        </w:rPr>
        <w:t>ia</w:t>
      </w:r>
      <w:r w:rsidR="007B22CE">
        <w:rPr>
          <w:lang w:val="pl-PL"/>
        </w:rPr>
        <w:t xml:space="preserve"> </w:t>
      </w:r>
      <w:r w:rsidR="00BB4172" w:rsidRPr="00246717">
        <w:rPr>
          <w:lang w:val="pl-PL"/>
        </w:rPr>
        <w:t>2 listopada 2010</w:t>
      </w:r>
      <w:r w:rsidR="007F3DEB">
        <w:rPr>
          <w:lang w:val="pl-PL"/>
        </w:rPr>
        <w:t> </w:t>
      </w:r>
      <w:r w:rsidR="00BB4172" w:rsidRPr="00246717">
        <w:rPr>
          <w:lang w:val="pl-PL"/>
        </w:rPr>
        <w:t>r., skarga nr 21272/03, §§ 91</w:t>
      </w:r>
      <w:r w:rsidR="007F3DEB">
        <w:rPr>
          <w:rFonts w:cstheme="minorHAnsi"/>
          <w:lang w:val="pl-PL"/>
        </w:rPr>
        <w:t>−</w:t>
      </w:r>
      <w:r w:rsidR="00BB4172" w:rsidRPr="00246717">
        <w:rPr>
          <w:lang w:val="pl-PL"/>
        </w:rPr>
        <w:t>92).</w:t>
      </w:r>
    </w:p>
    <w:p w14:paraId="5182CBA0" w14:textId="1B7F516E" w:rsidR="00BB4172" w:rsidRPr="00246717" w:rsidRDefault="00150576" w:rsidP="000957D3">
      <w:pPr>
        <w:pStyle w:val="ECHRPara"/>
        <w:rPr>
          <w:b/>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128</w:t>
      </w:r>
      <w:r w:rsidRPr="00246717">
        <w:rPr>
          <w:lang w:val="pl-PL"/>
        </w:rPr>
        <w:fldChar w:fldCharType="end"/>
      </w:r>
      <w:r w:rsidR="00BB4172" w:rsidRPr="00246717">
        <w:rPr>
          <w:lang w:val="pl-PL"/>
        </w:rPr>
        <w:t xml:space="preserve">.  W rezultacie Trybunał podtrzymuje wstępne zastrzeżenie Rządu i oddala skargę skarżącej dotyczącą niestawiennictwa świadka A. na </w:t>
      </w:r>
      <w:r w:rsidR="00E122E1">
        <w:rPr>
          <w:lang w:val="pl-PL"/>
        </w:rPr>
        <w:t>rozprawie</w:t>
      </w:r>
      <w:r w:rsidR="00BB4172" w:rsidRPr="00246717">
        <w:rPr>
          <w:lang w:val="pl-PL"/>
        </w:rPr>
        <w:t xml:space="preserve"> jako w sposób oczywisty nieuzasadnioną na gruncie art.</w:t>
      </w:r>
      <w:r w:rsidR="00E122E1">
        <w:rPr>
          <w:lang w:val="pl-PL"/>
        </w:rPr>
        <w:t> </w:t>
      </w:r>
      <w:r w:rsidR="00BB4172" w:rsidRPr="00246717">
        <w:rPr>
          <w:lang w:val="pl-PL"/>
        </w:rPr>
        <w:t>35 ust.</w:t>
      </w:r>
      <w:r w:rsidR="00E122E1">
        <w:rPr>
          <w:lang w:val="pl-PL"/>
        </w:rPr>
        <w:t> </w:t>
      </w:r>
      <w:r w:rsidR="00BB4172" w:rsidRPr="00246717">
        <w:rPr>
          <w:lang w:val="pl-PL"/>
        </w:rPr>
        <w:t>3 lit.</w:t>
      </w:r>
      <w:r w:rsidR="00E122E1">
        <w:rPr>
          <w:lang w:val="pl-PL"/>
        </w:rPr>
        <w:t> </w:t>
      </w:r>
      <w:r w:rsidR="00BB4172" w:rsidRPr="00246717">
        <w:rPr>
          <w:lang w:val="pl-PL"/>
        </w:rPr>
        <w:t>a Konwencji.</w:t>
      </w:r>
    </w:p>
    <w:p w14:paraId="21CAAB3E" w14:textId="4FDF7610" w:rsidR="00BB4172" w:rsidRPr="00246717" w:rsidRDefault="00BB4172" w:rsidP="000957D3">
      <w:pPr>
        <w:pStyle w:val="ECHRHeading1"/>
        <w:rPr>
          <w:lang w:val="pl-PL"/>
        </w:rPr>
      </w:pPr>
      <w:r w:rsidRPr="00246717">
        <w:rPr>
          <w:bCs w:val="0"/>
          <w:lang w:val="pl-PL"/>
        </w:rPr>
        <w:lastRenderedPageBreak/>
        <w:t xml:space="preserve">III. </w:t>
      </w:r>
      <w:r w:rsidR="007B22CE">
        <w:rPr>
          <w:bCs w:val="0"/>
          <w:lang w:val="pl-PL"/>
        </w:rPr>
        <w:t>ZARZUCANE</w:t>
      </w:r>
      <w:r w:rsidR="007B22CE" w:rsidRPr="00246717">
        <w:rPr>
          <w:bCs w:val="0"/>
          <w:lang w:val="pl-PL"/>
        </w:rPr>
        <w:t xml:space="preserve"> </w:t>
      </w:r>
      <w:r w:rsidRPr="00246717">
        <w:rPr>
          <w:bCs w:val="0"/>
          <w:lang w:val="pl-PL"/>
        </w:rPr>
        <w:t>NARUSZENIE ART. 6 UST. 1 I 3 LIT.</w:t>
      </w:r>
      <w:r w:rsidR="00E122E1">
        <w:rPr>
          <w:bCs w:val="0"/>
          <w:lang w:val="pl-PL"/>
        </w:rPr>
        <w:t> </w:t>
      </w:r>
      <w:r w:rsidRPr="00246717">
        <w:rPr>
          <w:bCs w:val="0"/>
          <w:lang w:val="pl-PL"/>
        </w:rPr>
        <w:t>d KONWENCJI W ODNIESIENIU DO ŚWIADKÓW B. I K.</w:t>
      </w:r>
    </w:p>
    <w:p w14:paraId="7718357F" w14:textId="0D11C298"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129</w:t>
      </w:r>
      <w:r w:rsidRPr="00246717">
        <w:rPr>
          <w:lang w:val="pl-PL"/>
        </w:rPr>
        <w:fldChar w:fldCharType="end"/>
      </w:r>
      <w:r w:rsidR="00BB4172" w:rsidRPr="00246717">
        <w:rPr>
          <w:lang w:val="pl-PL"/>
        </w:rPr>
        <w:t>.  Skarżąca złożyła skargę na gruncie art.</w:t>
      </w:r>
      <w:r w:rsidR="00E122E1">
        <w:rPr>
          <w:lang w:val="pl-PL"/>
        </w:rPr>
        <w:t> </w:t>
      </w:r>
      <w:r w:rsidR="00BB4172" w:rsidRPr="00246717">
        <w:rPr>
          <w:lang w:val="pl-PL"/>
        </w:rPr>
        <w:t>6 ust.</w:t>
      </w:r>
      <w:r w:rsidR="00E122E1">
        <w:rPr>
          <w:lang w:val="pl-PL"/>
        </w:rPr>
        <w:t> </w:t>
      </w:r>
      <w:r w:rsidR="00BB4172" w:rsidRPr="00246717">
        <w:rPr>
          <w:lang w:val="pl-PL"/>
        </w:rPr>
        <w:t>1 i 3 lit.</w:t>
      </w:r>
      <w:r w:rsidR="00E122E1">
        <w:rPr>
          <w:lang w:val="pl-PL"/>
        </w:rPr>
        <w:t> </w:t>
      </w:r>
      <w:r w:rsidR="00BB4172" w:rsidRPr="00246717">
        <w:rPr>
          <w:lang w:val="pl-PL"/>
        </w:rPr>
        <w:t xml:space="preserve">b Konwencji, zgodnie z którą ogólna rzetelność postępowania karnego w jej sprawie została naruszona, ponieważ </w:t>
      </w:r>
      <w:r w:rsidR="007B22CE">
        <w:rPr>
          <w:lang w:val="pl-PL"/>
        </w:rPr>
        <w:t>została pozbawiona możliwości</w:t>
      </w:r>
      <w:r w:rsidR="00BB4172" w:rsidRPr="00246717">
        <w:rPr>
          <w:lang w:val="pl-PL"/>
        </w:rPr>
        <w:t xml:space="preserve"> wezwa</w:t>
      </w:r>
      <w:r w:rsidR="007B22CE">
        <w:rPr>
          <w:lang w:val="pl-PL"/>
        </w:rPr>
        <w:t>nia</w:t>
      </w:r>
      <w:r w:rsidR="00BB4172" w:rsidRPr="00246717">
        <w:rPr>
          <w:lang w:val="pl-PL"/>
        </w:rPr>
        <w:t xml:space="preserve"> i przesłucha</w:t>
      </w:r>
      <w:r w:rsidR="007B22CE">
        <w:rPr>
          <w:lang w:val="pl-PL"/>
        </w:rPr>
        <w:t>nia</w:t>
      </w:r>
      <w:r w:rsidR="00BB4172" w:rsidRPr="00246717">
        <w:rPr>
          <w:lang w:val="pl-PL"/>
        </w:rPr>
        <w:t xml:space="preserve"> na </w:t>
      </w:r>
      <w:r w:rsidR="007B22CE">
        <w:rPr>
          <w:lang w:val="pl-PL"/>
        </w:rPr>
        <w:t>rozprawie</w:t>
      </w:r>
      <w:r w:rsidR="007B22CE" w:rsidRPr="00246717">
        <w:rPr>
          <w:lang w:val="pl-PL"/>
        </w:rPr>
        <w:t xml:space="preserve"> </w:t>
      </w:r>
      <w:r w:rsidR="00BB4172" w:rsidRPr="00246717">
        <w:rPr>
          <w:lang w:val="pl-PL"/>
        </w:rPr>
        <w:t xml:space="preserve">dwóch </w:t>
      </w:r>
      <w:r w:rsidR="007B22CE">
        <w:rPr>
          <w:lang w:val="pl-PL"/>
        </w:rPr>
        <w:t>przybranych</w:t>
      </w:r>
      <w:r w:rsidR="007B22CE" w:rsidRPr="00246717">
        <w:rPr>
          <w:lang w:val="pl-PL"/>
        </w:rPr>
        <w:t xml:space="preserve"> </w:t>
      </w:r>
      <w:r w:rsidR="00BB4172" w:rsidRPr="00246717">
        <w:rPr>
          <w:lang w:val="pl-PL"/>
        </w:rPr>
        <w:t>świadków B. i K.</w:t>
      </w:r>
    </w:p>
    <w:p w14:paraId="76C95061" w14:textId="77777777"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130</w:t>
      </w:r>
      <w:r w:rsidRPr="00246717">
        <w:rPr>
          <w:lang w:val="pl-PL"/>
        </w:rPr>
        <w:fldChar w:fldCharType="end"/>
      </w:r>
      <w:r w:rsidR="00BB4172" w:rsidRPr="00246717">
        <w:rPr>
          <w:lang w:val="pl-PL"/>
        </w:rPr>
        <w:t>.  Rząd zakwestionował ten argument.</w:t>
      </w:r>
    </w:p>
    <w:p w14:paraId="241D9433" w14:textId="775FA6CF" w:rsidR="00BB4172" w:rsidRPr="00246717" w:rsidRDefault="00BB4172" w:rsidP="000957D3">
      <w:pPr>
        <w:pStyle w:val="ECHRHeading2"/>
        <w:rPr>
          <w:lang w:val="pl-PL"/>
        </w:rPr>
      </w:pPr>
      <w:r w:rsidRPr="00246717">
        <w:rPr>
          <w:lang w:val="pl-PL"/>
        </w:rPr>
        <w:t>A.</w:t>
      </w:r>
      <w:r w:rsidR="00E122E1">
        <w:rPr>
          <w:lang w:val="pl-PL"/>
        </w:rPr>
        <w:t>  </w:t>
      </w:r>
      <w:r w:rsidRPr="00246717">
        <w:rPr>
          <w:lang w:val="pl-PL"/>
        </w:rPr>
        <w:t>Wyrok Izby</w:t>
      </w:r>
    </w:p>
    <w:p w14:paraId="1DCB1EDA" w14:textId="663952BD"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131</w:t>
      </w:r>
      <w:r w:rsidRPr="00246717">
        <w:rPr>
          <w:lang w:val="pl-PL"/>
        </w:rPr>
        <w:fldChar w:fldCharType="end"/>
      </w:r>
      <w:r w:rsidR="00BB4172" w:rsidRPr="00246717">
        <w:rPr>
          <w:lang w:val="pl-PL"/>
        </w:rPr>
        <w:t xml:space="preserve">.  Izba zauważyła, że na mocy rosyjskiego prawa </w:t>
      </w:r>
      <w:r w:rsidR="007B22CE">
        <w:rPr>
          <w:lang w:val="pl-PL"/>
        </w:rPr>
        <w:t>organ prowadzący postępowanie przygotowawcze wzywa przybranych</w:t>
      </w:r>
      <w:r w:rsidR="007B22CE" w:rsidRPr="00246717">
        <w:rPr>
          <w:lang w:val="pl-PL"/>
        </w:rPr>
        <w:t xml:space="preserve"> </w:t>
      </w:r>
      <w:r w:rsidR="00BB4172" w:rsidRPr="00246717">
        <w:rPr>
          <w:lang w:val="pl-PL"/>
        </w:rPr>
        <w:t>świadk</w:t>
      </w:r>
      <w:r w:rsidR="007B22CE">
        <w:rPr>
          <w:lang w:val="pl-PL"/>
        </w:rPr>
        <w:t>ów do</w:t>
      </w:r>
      <w:r w:rsidR="00BB4172" w:rsidRPr="00246717">
        <w:rPr>
          <w:lang w:val="pl-PL"/>
        </w:rPr>
        <w:t xml:space="preserve"> udział</w:t>
      </w:r>
      <w:r w:rsidR="007B22CE">
        <w:rPr>
          <w:lang w:val="pl-PL"/>
        </w:rPr>
        <w:t>u</w:t>
      </w:r>
      <w:r w:rsidR="00BB4172" w:rsidRPr="00246717">
        <w:rPr>
          <w:lang w:val="pl-PL"/>
        </w:rPr>
        <w:t xml:space="preserve"> w charakterze neutralnych obserwatorów </w:t>
      </w:r>
      <w:r w:rsidR="007B22CE">
        <w:rPr>
          <w:lang w:val="pl-PL"/>
        </w:rPr>
        <w:t xml:space="preserve">przy </w:t>
      </w:r>
      <w:r w:rsidR="00BB4172" w:rsidRPr="00246717">
        <w:rPr>
          <w:lang w:val="pl-PL"/>
        </w:rPr>
        <w:t>przeprowadzani</w:t>
      </w:r>
      <w:r w:rsidR="007B22CE">
        <w:rPr>
          <w:lang w:val="pl-PL"/>
        </w:rPr>
        <w:t>u</w:t>
      </w:r>
      <w:r w:rsidR="00BB4172" w:rsidRPr="00246717">
        <w:rPr>
          <w:lang w:val="pl-PL"/>
        </w:rPr>
        <w:t xml:space="preserve"> środka dowodowego. W odróżnieniu od świadków merytorycznych, nie oczekuje się od nich posiadania jakiejkolwiek wiedzy na temat sprawy i nie zeznają oni w odniesieniu do okoliczności sprawy lub winy </w:t>
      </w:r>
      <w:r w:rsidR="007B22CE">
        <w:rPr>
          <w:lang w:val="pl-PL"/>
        </w:rPr>
        <w:t>czy</w:t>
      </w:r>
      <w:r w:rsidR="007B22CE" w:rsidRPr="00246717">
        <w:rPr>
          <w:lang w:val="pl-PL"/>
        </w:rPr>
        <w:t xml:space="preserve"> </w:t>
      </w:r>
      <w:r w:rsidR="00BB4172" w:rsidRPr="00246717">
        <w:rPr>
          <w:lang w:val="pl-PL"/>
        </w:rPr>
        <w:t xml:space="preserve">niewinności oskarżonego (zob. </w:t>
      </w:r>
      <w:proofErr w:type="spellStart"/>
      <w:r w:rsidR="00BB4172" w:rsidRPr="00246717">
        <w:rPr>
          <w:i/>
          <w:iCs/>
          <w:lang w:val="pl-PL"/>
        </w:rPr>
        <w:t>Shumeyev</w:t>
      </w:r>
      <w:proofErr w:type="spellEnd"/>
      <w:r w:rsidR="00BB4172" w:rsidRPr="00246717">
        <w:rPr>
          <w:i/>
          <w:iCs/>
          <w:lang w:val="pl-PL"/>
        </w:rPr>
        <w:t xml:space="preserve"> i Inni przeciwko Rosji </w:t>
      </w:r>
      <w:r w:rsidR="00BB4172" w:rsidRPr="00246717">
        <w:rPr>
          <w:lang w:val="pl-PL"/>
        </w:rPr>
        <w:t>(</w:t>
      </w:r>
      <w:proofErr w:type="spellStart"/>
      <w:r w:rsidR="00BB4172" w:rsidRPr="00246717">
        <w:rPr>
          <w:lang w:val="pl-PL"/>
        </w:rPr>
        <w:t>dec</w:t>
      </w:r>
      <w:proofErr w:type="spellEnd"/>
      <w:r w:rsidR="00BB4172" w:rsidRPr="00246717">
        <w:rPr>
          <w:lang w:val="pl-PL"/>
        </w:rPr>
        <w:t>.), wyrok z dn</w:t>
      </w:r>
      <w:r w:rsidR="00E122E1">
        <w:rPr>
          <w:lang w:val="pl-PL"/>
        </w:rPr>
        <w:t>ia </w:t>
      </w:r>
      <w:r w:rsidR="00BB4172" w:rsidRPr="00246717">
        <w:rPr>
          <w:lang w:val="pl-PL"/>
        </w:rPr>
        <w:t>22 września 2015</w:t>
      </w:r>
      <w:r w:rsidR="00E122E1">
        <w:rPr>
          <w:lang w:val="pl-PL"/>
        </w:rPr>
        <w:t> </w:t>
      </w:r>
      <w:r w:rsidR="00BB4172" w:rsidRPr="00246717">
        <w:rPr>
          <w:lang w:val="pl-PL"/>
        </w:rPr>
        <w:t>r., skarga nr</w:t>
      </w:r>
      <w:r w:rsidR="00E122E1">
        <w:rPr>
          <w:lang w:val="pl-PL"/>
        </w:rPr>
        <w:t> </w:t>
      </w:r>
      <w:r w:rsidR="00BB4172" w:rsidRPr="00246717">
        <w:rPr>
          <w:lang w:val="pl-PL"/>
        </w:rPr>
        <w:t xml:space="preserve">29474/07 i </w:t>
      </w:r>
      <w:r w:rsidR="007B22CE">
        <w:rPr>
          <w:lang w:val="pl-PL"/>
        </w:rPr>
        <w:t>trzy</w:t>
      </w:r>
      <w:r w:rsidR="00BB4172" w:rsidRPr="00246717">
        <w:rPr>
          <w:lang w:val="pl-PL"/>
        </w:rPr>
        <w:t xml:space="preserve"> inne, §</w:t>
      </w:r>
      <w:r w:rsidR="00E122E1">
        <w:rPr>
          <w:lang w:val="pl-PL"/>
        </w:rPr>
        <w:t> </w:t>
      </w:r>
      <w:r w:rsidR="00BB4172" w:rsidRPr="00246717">
        <w:rPr>
          <w:lang w:val="pl-PL"/>
        </w:rPr>
        <w:t>31).</w:t>
      </w:r>
    </w:p>
    <w:p w14:paraId="146B5F20" w14:textId="7D660891"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132</w:t>
      </w:r>
      <w:r w:rsidRPr="00246717">
        <w:rPr>
          <w:lang w:val="pl-PL"/>
        </w:rPr>
        <w:fldChar w:fldCharType="end"/>
      </w:r>
      <w:r w:rsidR="00BB4172" w:rsidRPr="00246717">
        <w:rPr>
          <w:lang w:val="pl-PL"/>
        </w:rPr>
        <w:t xml:space="preserve">.  Po ustaleniu, że sąd </w:t>
      </w:r>
      <w:r w:rsidR="007B22CE">
        <w:rPr>
          <w:lang w:val="pl-PL"/>
        </w:rPr>
        <w:t>orzekający</w:t>
      </w:r>
      <w:r w:rsidR="00BB4172" w:rsidRPr="00246717">
        <w:rPr>
          <w:lang w:val="pl-PL"/>
        </w:rPr>
        <w:t xml:space="preserve"> nie opierał się na </w:t>
      </w:r>
      <w:r w:rsidR="007B22CE">
        <w:rPr>
          <w:lang w:val="pl-PL"/>
        </w:rPr>
        <w:t xml:space="preserve">żadnych </w:t>
      </w:r>
      <w:r w:rsidR="00BB4172" w:rsidRPr="00246717">
        <w:rPr>
          <w:lang w:val="pl-PL"/>
        </w:rPr>
        <w:t xml:space="preserve">zeznaniach złożonych przez B. i K. w toku postępowania, zarówno </w:t>
      </w:r>
      <w:r w:rsidR="00876D05">
        <w:rPr>
          <w:lang w:val="pl-PL"/>
        </w:rPr>
        <w:t>na korzyść skarżącej, jak i na niekorzyść,</w:t>
      </w:r>
      <w:r w:rsidR="00BB4172" w:rsidRPr="00246717">
        <w:rPr>
          <w:lang w:val="pl-PL"/>
        </w:rPr>
        <w:t xml:space="preserve"> oraz że mogli oni zeznawać tylko co do sposobu, w jaki przeprowadzono przeszukanie i jego </w:t>
      </w:r>
      <w:r w:rsidR="008F2E03">
        <w:rPr>
          <w:lang w:val="pl-PL"/>
        </w:rPr>
        <w:t>wyników</w:t>
      </w:r>
      <w:r w:rsidR="00BB4172" w:rsidRPr="00246717">
        <w:rPr>
          <w:lang w:val="pl-PL"/>
        </w:rPr>
        <w:t>, Izba uznała, że ich zeznania nie mogły wpłynąć na wynik procesu skarżącej (zob. par.</w:t>
      </w:r>
      <w:r w:rsidR="00E122E1">
        <w:rPr>
          <w:lang w:val="pl-PL"/>
        </w:rPr>
        <w:t> </w:t>
      </w:r>
      <w:r w:rsidR="00BB4172" w:rsidRPr="00246717">
        <w:rPr>
          <w:lang w:val="pl-PL"/>
        </w:rPr>
        <w:t>96</w:t>
      </w:r>
      <w:r w:rsidR="00E122E1">
        <w:rPr>
          <w:rFonts w:cstheme="minorHAnsi"/>
          <w:lang w:val="pl-PL"/>
        </w:rPr>
        <w:t>−</w:t>
      </w:r>
      <w:r w:rsidR="00BB4172" w:rsidRPr="00246717">
        <w:rPr>
          <w:lang w:val="pl-PL"/>
        </w:rPr>
        <w:t>97 wyroku Izby).</w:t>
      </w:r>
    </w:p>
    <w:p w14:paraId="762CFE80" w14:textId="0503642E"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133</w:t>
      </w:r>
      <w:r w:rsidRPr="00246717">
        <w:rPr>
          <w:lang w:val="pl-PL"/>
        </w:rPr>
        <w:fldChar w:fldCharType="end"/>
      </w:r>
      <w:r w:rsidR="00BB4172" w:rsidRPr="00246717">
        <w:rPr>
          <w:lang w:val="pl-PL"/>
        </w:rPr>
        <w:t>.  Izba stwierdziła, większością składu orzekającego, że nie doszło do naruszenia art.</w:t>
      </w:r>
      <w:r w:rsidR="00E122E1">
        <w:rPr>
          <w:lang w:val="pl-PL"/>
        </w:rPr>
        <w:t> </w:t>
      </w:r>
      <w:r w:rsidR="00BB4172" w:rsidRPr="00246717">
        <w:rPr>
          <w:lang w:val="pl-PL"/>
        </w:rPr>
        <w:t>6 ust.</w:t>
      </w:r>
      <w:r w:rsidR="00E122E1">
        <w:rPr>
          <w:lang w:val="pl-PL"/>
        </w:rPr>
        <w:t> </w:t>
      </w:r>
      <w:r w:rsidR="00BB4172" w:rsidRPr="00246717">
        <w:rPr>
          <w:lang w:val="pl-PL"/>
        </w:rPr>
        <w:t>1i 3 lit.</w:t>
      </w:r>
      <w:r w:rsidR="00E122E1">
        <w:rPr>
          <w:lang w:val="pl-PL"/>
        </w:rPr>
        <w:t> </w:t>
      </w:r>
      <w:r w:rsidR="00BB4172" w:rsidRPr="00246717">
        <w:rPr>
          <w:lang w:val="pl-PL"/>
        </w:rPr>
        <w:t>d (zob. par.</w:t>
      </w:r>
      <w:r w:rsidR="00E122E1">
        <w:rPr>
          <w:lang w:val="pl-PL"/>
        </w:rPr>
        <w:t> </w:t>
      </w:r>
      <w:r w:rsidR="00BB4172" w:rsidRPr="00246717">
        <w:rPr>
          <w:lang w:val="pl-PL"/>
        </w:rPr>
        <w:t>98 wyroku Izby).</w:t>
      </w:r>
    </w:p>
    <w:p w14:paraId="372C7753" w14:textId="132721E6" w:rsidR="00BB4172" w:rsidRPr="00246717" w:rsidRDefault="00BB4172" w:rsidP="000957D3">
      <w:pPr>
        <w:pStyle w:val="ECHRHeading2"/>
        <w:rPr>
          <w:lang w:val="pl-PL"/>
        </w:rPr>
      </w:pPr>
      <w:r w:rsidRPr="00246717">
        <w:rPr>
          <w:lang w:val="pl-PL"/>
        </w:rPr>
        <w:t>B.</w:t>
      </w:r>
      <w:r w:rsidR="00E122E1">
        <w:rPr>
          <w:lang w:val="pl-PL"/>
        </w:rPr>
        <w:t>  </w:t>
      </w:r>
      <w:r w:rsidRPr="00246717">
        <w:rPr>
          <w:lang w:val="pl-PL"/>
        </w:rPr>
        <w:t>Uwagi stron przed Wielką Izbą</w:t>
      </w:r>
    </w:p>
    <w:p w14:paraId="3FEA8AB0" w14:textId="77777777" w:rsidR="00BB4172" w:rsidRPr="00246717" w:rsidRDefault="00BB4172" w:rsidP="000957D3">
      <w:pPr>
        <w:pStyle w:val="ECHRHeading3"/>
        <w:rPr>
          <w:lang w:val="pl-PL"/>
        </w:rPr>
      </w:pPr>
      <w:r w:rsidRPr="00246717">
        <w:rPr>
          <w:bCs w:val="0"/>
          <w:iCs/>
          <w:lang w:val="pl-PL"/>
        </w:rPr>
        <w:t>1.  Skarżąca</w:t>
      </w:r>
    </w:p>
    <w:p w14:paraId="23D74C1E" w14:textId="044834A0" w:rsidR="00BB4172" w:rsidRPr="00246717" w:rsidRDefault="00150576" w:rsidP="000957D3">
      <w:pPr>
        <w:pStyle w:val="ECHRPara"/>
        <w:rPr>
          <w:bCs/>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134</w:t>
      </w:r>
      <w:r w:rsidRPr="00246717">
        <w:rPr>
          <w:lang w:val="pl-PL"/>
        </w:rPr>
        <w:fldChar w:fldCharType="end"/>
      </w:r>
      <w:r w:rsidR="00BB4172" w:rsidRPr="00246717">
        <w:rPr>
          <w:lang w:val="pl-PL"/>
        </w:rPr>
        <w:t xml:space="preserve">.  Skarżąca </w:t>
      </w:r>
      <w:r w:rsidR="008F2E03">
        <w:rPr>
          <w:lang w:val="pl-PL"/>
        </w:rPr>
        <w:t>twierdzi</w:t>
      </w:r>
      <w:r w:rsidR="00BB4172" w:rsidRPr="00246717">
        <w:rPr>
          <w:lang w:val="pl-PL"/>
        </w:rPr>
        <w:t xml:space="preserve">, że </w:t>
      </w:r>
      <w:r w:rsidR="008F2E03">
        <w:rPr>
          <w:lang w:val="pl-PL"/>
        </w:rPr>
        <w:t xml:space="preserve">wprawdzie </w:t>
      </w:r>
      <w:r w:rsidR="00BB4172" w:rsidRPr="00246717">
        <w:rPr>
          <w:lang w:val="pl-PL"/>
        </w:rPr>
        <w:t xml:space="preserve">ona </w:t>
      </w:r>
      <w:r w:rsidR="008F2E03">
        <w:rPr>
          <w:lang w:val="pl-PL"/>
        </w:rPr>
        <w:t xml:space="preserve">sama </w:t>
      </w:r>
      <w:r w:rsidR="00BB4172" w:rsidRPr="00246717">
        <w:rPr>
          <w:lang w:val="pl-PL"/>
        </w:rPr>
        <w:t xml:space="preserve">nie nalegała na przesłuchanie </w:t>
      </w:r>
      <w:r w:rsidR="000F7276">
        <w:rPr>
          <w:lang w:val="pl-PL"/>
        </w:rPr>
        <w:t>przybranych</w:t>
      </w:r>
      <w:r w:rsidR="000F7276" w:rsidRPr="00246717">
        <w:rPr>
          <w:lang w:val="pl-PL"/>
        </w:rPr>
        <w:t xml:space="preserve"> </w:t>
      </w:r>
      <w:r w:rsidR="00BB4172" w:rsidRPr="00246717">
        <w:rPr>
          <w:lang w:val="pl-PL"/>
        </w:rPr>
        <w:t xml:space="preserve">świadków, </w:t>
      </w:r>
      <w:r w:rsidR="000F7276">
        <w:rPr>
          <w:lang w:val="pl-PL"/>
        </w:rPr>
        <w:t xml:space="preserve">to </w:t>
      </w:r>
      <w:r w:rsidR="00BB4172" w:rsidRPr="00246717">
        <w:rPr>
          <w:lang w:val="pl-PL"/>
        </w:rPr>
        <w:t>uczynili to jej p</w:t>
      </w:r>
      <w:r w:rsidR="00E122E1">
        <w:rPr>
          <w:lang w:val="pl-PL"/>
        </w:rPr>
        <w:t>ełnomocnicy</w:t>
      </w:r>
      <w:r w:rsidR="00BB4172" w:rsidRPr="00246717">
        <w:rPr>
          <w:lang w:val="pl-PL"/>
        </w:rPr>
        <w:t xml:space="preserve">. Uznali, że zeznania tych świadków mają znaczenie dla ustalenia okoliczności przeszukania skarżącej na posterunku policji i wyjaśnienia, w jaki sposób </w:t>
      </w:r>
      <w:r w:rsidR="000F7276">
        <w:rPr>
          <w:lang w:val="pl-PL"/>
        </w:rPr>
        <w:t>wybrano przybranych</w:t>
      </w:r>
      <w:r w:rsidR="000F7276" w:rsidRPr="00246717">
        <w:rPr>
          <w:lang w:val="pl-PL"/>
        </w:rPr>
        <w:t xml:space="preserve"> </w:t>
      </w:r>
      <w:r w:rsidR="00BB4172" w:rsidRPr="00246717">
        <w:rPr>
          <w:lang w:val="pl-PL"/>
        </w:rPr>
        <w:t>świadk</w:t>
      </w:r>
      <w:r w:rsidR="000F7276">
        <w:rPr>
          <w:lang w:val="pl-PL"/>
        </w:rPr>
        <w:t>ów</w:t>
      </w:r>
      <w:r w:rsidR="00BB4172" w:rsidRPr="00246717">
        <w:rPr>
          <w:lang w:val="pl-PL"/>
        </w:rPr>
        <w:t xml:space="preserve">. W związku z tym </w:t>
      </w:r>
      <w:r w:rsidR="000F7276">
        <w:rPr>
          <w:lang w:val="pl-PL"/>
        </w:rPr>
        <w:t xml:space="preserve">jej zdaniem </w:t>
      </w:r>
      <w:r w:rsidR="00BB4172" w:rsidRPr="00246717">
        <w:rPr>
          <w:lang w:val="pl-PL"/>
        </w:rPr>
        <w:t>doszło do naruszenia art. 6 ust. 1 i 3 lit. d Konwencji.</w:t>
      </w:r>
    </w:p>
    <w:p w14:paraId="158FEDFF" w14:textId="77777777" w:rsidR="00BB4172" w:rsidRPr="00246717" w:rsidRDefault="00BB4172" w:rsidP="000957D3">
      <w:pPr>
        <w:pStyle w:val="ECHRHeading3"/>
        <w:rPr>
          <w:lang w:val="pl-PL"/>
        </w:rPr>
      </w:pPr>
      <w:r w:rsidRPr="00246717">
        <w:rPr>
          <w:bCs w:val="0"/>
          <w:iCs/>
          <w:lang w:val="pl-PL"/>
        </w:rPr>
        <w:t>2.  Rząd</w:t>
      </w:r>
    </w:p>
    <w:p w14:paraId="4DAA13F9" w14:textId="29629C9D"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135</w:t>
      </w:r>
      <w:r w:rsidRPr="00246717">
        <w:rPr>
          <w:lang w:val="pl-PL"/>
        </w:rPr>
        <w:fldChar w:fldCharType="end"/>
      </w:r>
      <w:r w:rsidR="00BB4172" w:rsidRPr="00246717">
        <w:rPr>
          <w:lang w:val="pl-PL"/>
        </w:rPr>
        <w:t xml:space="preserve">.  Rząd w tej kwestii </w:t>
      </w:r>
      <w:r w:rsidR="000F7276">
        <w:rPr>
          <w:lang w:val="pl-PL"/>
        </w:rPr>
        <w:t>podzielił stanowisko</w:t>
      </w:r>
      <w:r w:rsidR="00BB4172" w:rsidRPr="00246717">
        <w:rPr>
          <w:lang w:val="pl-PL"/>
        </w:rPr>
        <w:t xml:space="preserve"> Izby. Stwierdził, że wezwanie </w:t>
      </w:r>
      <w:r w:rsidR="000F7276">
        <w:rPr>
          <w:lang w:val="pl-PL"/>
        </w:rPr>
        <w:t>przybranych</w:t>
      </w:r>
      <w:r w:rsidR="000F7276" w:rsidRPr="00246717">
        <w:rPr>
          <w:lang w:val="pl-PL"/>
        </w:rPr>
        <w:t xml:space="preserve"> </w:t>
      </w:r>
      <w:r w:rsidR="00BB4172" w:rsidRPr="00246717">
        <w:rPr>
          <w:lang w:val="pl-PL"/>
        </w:rPr>
        <w:t xml:space="preserve">świadków nie było konieczne, zważywszy że ich zeznania nie zostały wykorzystane przez sądy krajowe. Te dwie osoby nie były w stanie </w:t>
      </w:r>
      <w:r w:rsidR="000F7276">
        <w:rPr>
          <w:lang w:val="pl-PL"/>
        </w:rPr>
        <w:t>przedstawić</w:t>
      </w:r>
      <w:r w:rsidR="000F7276" w:rsidRPr="00246717">
        <w:rPr>
          <w:lang w:val="pl-PL"/>
        </w:rPr>
        <w:t xml:space="preserve"> </w:t>
      </w:r>
      <w:r w:rsidR="00BB4172" w:rsidRPr="00246717">
        <w:rPr>
          <w:lang w:val="pl-PL"/>
        </w:rPr>
        <w:t xml:space="preserve">dowodów na </w:t>
      </w:r>
      <w:r w:rsidR="000F7276">
        <w:rPr>
          <w:lang w:val="pl-PL"/>
        </w:rPr>
        <w:t>okoliczność</w:t>
      </w:r>
      <w:r w:rsidR="000F7276" w:rsidRPr="00246717">
        <w:rPr>
          <w:lang w:val="pl-PL"/>
        </w:rPr>
        <w:t xml:space="preserve"> </w:t>
      </w:r>
      <w:r w:rsidR="00BB4172" w:rsidRPr="00246717">
        <w:rPr>
          <w:lang w:val="pl-PL"/>
        </w:rPr>
        <w:t>podrzuceni</w:t>
      </w:r>
      <w:r w:rsidR="000F7276">
        <w:rPr>
          <w:lang w:val="pl-PL"/>
        </w:rPr>
        <w:t>a</w:t>
      </w:r>
      <w:r w:rsidR="00BB4172" w:rsidRPr="00246717">
        <w:rPr>
          <w:lang w:val="pl-PL"/>
        </w:rPr>
        <w:t xml:space="preserve"> materiałów </w:t>
      </w:r>
      <w:r w:rsidR="00BB4172" w:rsidRPr="00246717">
        <w:rPr>
          <w:lang w:val="pl-PL"/>
        </w:rPr>
        <w:lastRenderedPageBreak/>
        <w:t xml:space="preserve">wybuchowych do torebki skarżącej, ponieważ zdarzenie </w:t>
      </w:r>
      <w:r w:rsidR="000F7276">
        <w:rPr>
          <w:lang w:val="pl-PL"/>
        </w:rPr>
        <w:t xml:space="preserve">to miało </w:t>
      </w:r>
      <w:r w:rsidR="00BB4172" w:rsidRPr="00246717">
        <w:rPr>
          <w:lang w:val="pl-PL"/>
        </w:rPr>
        <w:t>nastąpi</w:t>
      </w:r>
      <w:r w:rsidR="000F7276">
        <w:rPr>
          <w:lang w:val="pl-PL"/>
        </w:rPr>
        <w:t>ć</w:t>
      </w:r>
      <w:r w:rsidR="00BB4172" w:rsidRPr="00246717">
        <w:rPr>
          <w:lang w:val="pl-PL"/>
        </w:rPr>
        <w:t xml:space="preserve"> przed przeszukaniem skarżącej w ich obecności. Wniosek dotyczący ich wezwania został złożony tylko jednokrotnie. Wniosek został oddalony przez sądy krajowe, a obrona nie nalegała na jego ponowne złożenie. </w:t>
      </w:r>
      <w:r w:rsidR="00DB5997">
        <w:rPr>
          <w:lang w:val="pl-PL"/>
        </w:rPr>
        <w:t>Przytaczając</w:t>
      </w:r>
      <w:r w:rsidR="00BB4172" w:rsidRPr="00246717">
        <w:rPr>
          <w:lang w:val="pl-PL"/>
        </w:rPr>
        <w:t xml:space="preserve"> wyrok wydany w wyżej przytoczonej sprawie </w:t>
      </w:r>
      <w:proofErr w:type="spellStart"/>
      <w:r w:rsidR="00BB4172" w:rsidRPr="00246717">
        <w:rPr>
          <w:i/>
          <w:iCs/>
          <w:lang w:val="pl-PL"/>
        </w:rPr>
        <w:t>Shumeyev</w:t>
      </w:r>
      <w:proofErr w:type="spellEnd"/>
      <w:r w:rsidR="00BB4172" w:rsidRPr="00246717">
        <w:rPr>
          <w:i/>
          <w:iCs/>
          <w:lang w:val="pl-PL"/>
        </w:rPr>
        <w:t xml:space="preserve"> i Inni, </w:t>
      </w:r>
      <w:r w:rsidR="00BB4172" w:rsidRPr="00246717">
        <w:rPr>
          <w:lang w:val="pl-PL"/>
        </w:rPr>
        <w:t>Rz</w:t>
      </w:r>
      <w:r w:rsidR="00777C7B">
        <w:rPr>
          <w:lang w:val="pl-PL"/>
        </w:rPr>
        <w:t xml:space="preserve">ąd </w:t>
      </w:r>
      <w:r w:rsidR="00DB5997">
        <w:rPr>
          <w:lang w:val="pl-PL"/>
        </w:rPr>
        <w:t>nadal twierdził</w:t>
      </w:r>
      <w:r w:rsidR="00777C7B">
        <w:rPr>
          <w:lang w:val="pl-PL"/>
        </w:rPr>
        <w:t>, że nic nie</w:t>
      </w:r>
      <w:r w:rsidR="00BB4172" w:rsidRPr="00246717">
        <w:rPr>
          <w:lang w:val="pl-PL"/>
        </w:rPr>
        <w:t xml:space="preserve"> </w:t>
      </w:r>
      <w:r w:rsidR="00DB5997">
        <w:rPr>
          <w:lang w:val="pl-PL"/>
        </w:rPr>
        <w:t>świadczy</w:t>
      </w:r>
      <w:r w:rsidR="00BB4172" w:rsidRPr="00246717">
        <w:rPr>
          <w:lang w:val="pl-PL"/>
        </w:rPr>
        <w:t xml:space="preserve"> </w:t>
      </w:r>
      <w:r w:rsidR="00DB5997">
        <w:rPr>
          <w:lang w:val="pl-PL"/>
        </w:rPr>
        <w:t>o tym</w:t>
      </w:r>
      <w:r w:rsidR="00BB4172" w:rsidRPr="00246717">
        <w:rPr>
          <w:lang w:val="pl-PL"/>
        </w:rPr>
        <w:t xml:space="preserve">, że </w:t>
      </w:r>
      <w:r w:rsidR="00DB5997">
        <w:rPr>
          <w:lang w:val="pl-PL"/>
        </w:rPr>
        <w:t>przybrani</w:t>
      </w:r>
      <w:r w:rsidR="00DB5997" w:rsidRPr="00246717">
        <w:rPr>
          <w:lang w:val="pl-PL"/>
        </w:rPr>
        <w:t xml:space="preserve"> </w:t>
      </w:r>
      <w:r w:rsidR="00BB4172" w:rsidRPr="00246717">
        <w:rPr>
          <w:lang w:val="pl-PL"/>
        </w:rPr>
        <w:t xml:space="preserve">świadkowie byliby w stanie </w:t>
      </w:r>
      <w:r w:rsidR="00DB5997">
        <w:rPr>
          <w:lang w:val="pl-PL"/>
        </w:rPr>
        <w:t>przedstawić</w:t>
      </w:r>
      <w:r w:rsidR="00DB5997" w:rsidRPr="00246717">
        <w:rPr>
          <w:lang w:val="pl-PL"/>
        </w:rPr>
        <w:t xml:space="preserve"> </w:t>
      </w:r>
      <w:r w:rsidR="00BB4172" w:rsidRPr="00246717">
        <w:rPr>
          <w:lang w:val="pl-PL"/>
        </w:rPr>
        <w:t xml:space="preserve">jakiekolwiek dowody </w:t>
      </w:r>
      <w:r w:rsidR="00DB5997">
        <w:rPr>
          <w:lang w:val="pl-PL"/>
        </w:rPr>
        <w:t>inne niż</w:t>
      </w:r>
      <w:r w:rsidR="00DB5997" w:rsidRPr="00246717">
        <w:rPr>
          <w:lang w:val="pl-PL"/>
        </w:rPr>
        <w:t xml:space="preserve"> </w:t>
      </w:r>
      <w:r w:rsidR="00BB4172" w:rsidRPr="00246717">
        <w:rPr>
          <w:lang w:val="pl-PL"/>
        </w:rPr>
        <w:t>te, którymi</w:t>
      </w:r>
      <w:r w:rsidR="00DB5997">
        <w:rPr>
          <w:lang w:val="pl-PL"/>
        </w:rPr>
        <w:t xml:space="preserve"> sądy</w:t>
      </w:r>
      <w:r w:rsidR="00BB4172" w:rsidRPr="00246717">
        <w:rPr>
          <w:lang w:val="pl-PL"/>
        </w:rPr>
        <w:t xml:space="preserve"> już dysponowały.</w:t>
      </w:r>
    </w:p>
    <w:p w14:paraId="10CD041D" w14:textId="072CF225" w:rsidR="00BB4172" w:rsidRPr="00246717" w:rsidRDefault="00BB4172" w:rsidP="000957D3">
      <w:pPr>
        <w:pStyle w:val="ECHRHeading2"/>
        <w:rPr>
          <w:lang w:val="pl-PL"/>
        </w:rPr>
      </w:pPr>
      <w:r w:rsidRPr="00246717">
        <w:rPr>
          <w:lang w:val="pl-PL"/>
        </w:rPr>
        <w:t>C.</w:t>
      </w:r>
      <w:r w:rsidR="00C839E1">
        <w:rPr>
          <w:lang w:val="pl-PL"/>
        </w:rPr>
        <w:t>  </w:t>
      </w:r>
      <w:r w:rsidRPr="00246717">
        <w:rPr>
          <w:lang w:val="pl-PL"/>
        </w:rPr>
        <w:t>Ocena Trybunału</w:t>
      </w:r>
    </w:p>
    <w:p w14:paraId="2423790B" w14:textId="225355AD" w:rsidR="006352B2" w:rsidRPr="00246717" w:rsidRDefault="00150576" w:rsidP="000957D3">
      <w:pPr>
        <w:pStyle w:val="ECHRPara"/>
        <w:rPr>
          <w:lang w:val="pl-PL"/>
        </w:rPr>
      </w:pPr>
      <w:r w:rsidRPr="00246717">
        <w:rPr>
          <w:lang w:val="pl-PL"/>
        </w:rPr>
        <w:fldChar w:fldCharType="begin"/>
      </w:r>
      <w:r w:rsidR="006352B2" w:rsidRPr="00246717">
        <w:rPr>
          <w:lang w:val="pl-PL"/>
        </w:rPr>
        <w:instrText xml:space="preserve"> SEQ level0 \*arabic </w:instrText>
      </w:r>
      <w:r w:rsidRPr="00246717">
        <w:rPr>
          <w:lang w:val="pl-PL"/>
        </w:rPr>
        <w:fldChar w:fldCharType="separate"/>
      </w:r>
      <w:r w:rsidR="006352B2" w:rsidRPr="00246717">
        <w:rPr>
          <w:lang w:val="pl-PL"/>
        </w:rPr>
        <w:t>136</w:t>
      </w:r>
      <w:r w:rsidRPr="00246717">
        <w:rPr>
          <w:lang w:val="pl-PL"/>
        </w:rPr>
        <w:fldChar w:fldCharType="end"/>
      </w:r>
      <w:r w:rsidR="006352B2" w:rsidRPr="00246717">
        <w:rPr>
          <w:lang w:val="pl-PL"/>
        </w:rPr>
        <w:t xml:space="preserve">.  Trybunał zauważa, że </w:t>
      </w:r>
      <w:r w:rsidR="00DB5997">
        <w:rPr>
          <w:lang w:val="pl-PL"/>
        </w:rPr>
        <w:t xml:space="preserve">w ramach </w:t>
      </w:r>
      <w:r w:rsidR="006352B2" w:rsidRPr="00246717">
        <w:rPr>
          <w:lang w:val="pl-PL"/>
        </w:rPr>
        <w:t>rosyjskie</w:t>
      </w:r>
      <w:r w:rsidR="00DB5997">
        <w:rPr>
          <w:lang w:val="pl-PL"/>
        </w:rPr>
        <w:t>j</w:t>
      </w:r>
      <w:r w:rsidR="006352B2" w:rsidRPr="00246717">
        <w:rPr>
          <w:lang w:val="pl-PL"/>
        </w:rPr>
        <w:t xml:space="preserve"> </w:t>
      </w:r>
      <w:r w:rsidR="00DB5997">
        <w:rPr>
          <w:lang w:val="pl-PL"/>
        </w:rPr>
        <w:t>procedury karnej przyjęto</w:t>
      </w:r>
      <w:r w:rsidR="00DB5997" w:rsidRPr="00246717">
        <w:rPr>
          <w:lang w:val="pl-PL"/>
        </w:rPr>
        <w:t xml:space="preserve"> </w:t>
      </w:r>
      <w:r w:rsidR="006352B2" w:rsidRPr="00246717">
        <w:rPr>
          <w:lang w:val="pl-PL"/>
        </w:rPr>
        <w:t>odrębne przepisy dotyczące świadków merytorycznych (</w:t>
      </w:r>
      <w:proofErr w:type="spellStart"/>
      <w:r w:rsidR="006352B2" w:rsidRPr="00246717">
        <w:rPr>
          <w:i/>
          <w:iCs/>
          <w:lang w:val="pl-PL"/>
        </w:rPr>
        <w:t>видетели</w:t>
      </w:r>
      <w:proofErr w:type="spellEnd"/>
      <w:r w:rsidR="006352B2" w:rsidRPr="00246717">
        <w:rPr>
          <w:lang w:val="pl-PL"/>
        </w:rPr>
        <w:t xml:space="preserve">) i świadków </w:t>
      </w:r>
      <w:r w:rsidR="00DB5997">
        <w:rPr>
          <w:lang w:val="pl-PL"/>
        </w:rPr>
        <w:t>przybranych</w:t>
      </w:r>
      <w:r w:rsidR="00DB5997" w:rsidRPr="00246717">
        <w:rPr>
          <w:lang w:val="pl-PL"/>
        </w:rPr>
        <w:t xml:space="preserve"> </w:t>
      </w:r>
      <w:r w:rsidR="006352B2" w:rsidRPr="00246717">
        <w:rPr>
          <w:lang w:val="pl-PL"/>
        </w:rPr>
        <w:t>(</w:t>
      </w:r>
      <w:proofErr w:type="spellStart"/>
      <w:r w:rsidR="006352B2" w:rsidRPr="00246717">
        <w:rPr>
          <w:i/>
          <w:iCs/>
          <w:lang w:val="pl-PL"/>
        </w:rPr>
        <w:t>понятые</w:t>
      </w:r>
      <w:proofErr w:type="spellEnd"/>
      <w:r w:rsidR="006352B2" w:rsidRPr="00246717">
        <w:rPr>
          <w:lang w:val="pl-PL"/>
        </w:rPr>
        <w:t xml:space="preserve">) i </w:t>
      </w:r>
      <w:r w:rsidR="00C839E1">
        <w:rPr>
          <w:lang w:val="pl-PL"/>
        </w:rPr>
        <w:t>odmienne</w:t>
      </w:r>
      <w:r w:rsidR="006352B2" w:rsidRPr="00246717">
        <w:rPr>
          <w:lang w:val="pl-PL"/>
        </w:rPr>
        <w:t xml:space="preserve"> terminy w celu dokonania rozróżnienia pomiędzy nimi. </w:t>
      </w:r>
      <w:r w:rsidR="00DB5997">
        <w:rPr>
          <w:lang w:val="pl-PL"/>
        </w:rPr>
        <w:t>Przybran</w:t>
      </w:r>
      <w:r w:rsidR="00CD6492">
        <w:rPr>
          <w:lang w:val="pl-PL"/>
        </w:rPr>
        <w:t>ych</w:t>
      </w:r>
      <w:r w:rsidR="00DB5997" w:rsidRPr="00246717">
        <w:rPr>
          <w:lang w:val="pl-PL"/>
        </w:rPr>
        <w:t xml:space="preserve"> </w:t>
      </w:r>
      <w:r w:rsidR="00CD6492" w:rsidRPr="00246717">
        <w:rPr>
          <w:lang w:val="pl-PL"/>
        </w:rPr>
        <w:t>świadk</w:t>
      </w:r>
      <w:r w:rsidR="00CD6492">
        <w:rPr>
          <w:lang w:val="pl-PL"/>
        </w:rPr>
        <w:t>ów</w:t>
      </w:r>
      <w:r w:rsidR="00CD6492" w:rsidRPr="00246717">
        <w:rPr>
          <w:lang w:val="pl-PL"/>
        </w:rPr>
        <w:t xml:space="preserve"> </w:t>
      </w:r>
      <w:r w:rsidR="00CD6492">
        <w:rPr>
          <w:lang w:val="pl-PL"/>
        </w:rPr>
        <w:t>organ prowadzący postępowanie przygotowawcze wzywa</w:t>
      </w:r>
      <w:r w:rsidR="006352B2" w:rsidRPr="00246717">
        <w:rPr>
          <w:lang w:val="pl-PL"/>
        </w:rPr>
        <w:t xml:space="preserve"> </w:t>
      </w:r>
      <w:r w:rsidR="00CD6492">
        <w:rPr>
          <w:lang w:val="pl-PL"/>
        </w:rPr>
        <w:t>do stawiennictwa</w:t>
      </w:r>
      <w:r w:rsidR="006352B2" w:rsidRPr="00246717">
        <w:rPr>
          <w:lang w:val="pl-PL"/>
        </w:rPr>
        <w:t xml:space="preserve"> w charakterze neutralnych obserwatorów </w:t>
      </w:r>
      <w:r w:rsidR="00CD6492">
        <w:rPr>
          <w:lang w:val="pl-PL"/>
        </w:rPr>
        <w:t xml:space="preserve">przy przeprowadzaniu </w:t>
      </w:r>
      <w:r w:rsidR="006352B2" w:rsidRPr="00246717">
        <w:rPr>
          <w:lang w:val="pl-PL"/>
        </w:rPr>
        <w:t xml:space="preserve">środka dowodowego. Nie są </w:t>
      </w:r>
      <w:r w:rsidR="00CD6492">
        <w:rPr>
          <w:lang w:val="pl-PL"/>
        </w:rPr>
        <w:t xml:space="preserve">oni </w:t>
      </w:r>
      <w:r w:rsidR="006352B2" w:rsidRPr="00246717">
        <w:rPr>
          <w:lang w:val="pl-PL"/>
        </w:rPr>
        <w:t xml:space="preserve">uznawani za świadków oskarżenia ani obrony, ponieważ w odróżnieniu od świadków merytorycznych, nie posiadają </w:t>
      </w:r>
      <w:r w:rsidR="00CD6492">
        <w:rPr>
          <w:lang w:val="pl-PL"/>
        </w:rPr>
        <w:t xml:space="preserve">żadnej </w:t>
      </w:r>
      <w:r w:rsidR="006352B2" w:rsidRPr="00246717">
        <w:rPr>
          <w:lang w:val="pl-PL"/>
        </w:rPr>
        <w:t xml:space="preserve">wiedzy na temat sprawy i nie zeznają w odniesieniu do okoliczności sprawy lub winy </w:t>
      </w:r>
      <w:r w:rsidR="00CD6492">
        <w:rPr>
          <w:lang w:val="pl-PL"/>
        </w:rPr>
        <w:t>czy</w:t>
      </w:r>
      <w:r w:rsidR="00CD6492" w:rsidRPr="00246717">
        <w:rPr>
          <w:lang w:val="pl-PL"/>
        </w:rPr>
        <w:t xml:space="preserve"> </w:t>
      </w:r>
      <w:r w:rsidR="006352B2" w:rsidRPr="00246717">
        <w:rPr>
          <w:lang w:val="pl-PL"/>
        </w:rPr>
        <w:t xml:space="preserve">niewinności oskarżonego. Niestawiennictwo </w:t>
      </w:r>
      <w:r w:rsidR="00CD6492">
        <w:rPr>
          <w:lang w:val="pl-PL"/>
        </w:rPr>
        <w:t xml:space="preserve">przybranych </w:t>
      </w:r>
      <w:r w:rsidR="006352B2" w:rsidRPr="00246717">
        <w:rPr>
          <w:lang w:val="pl-PL"/>
        </w:rPr>
        <w:t>świadków w procesach karnych nie narusza gwarancji przewidzianych w art.</w:t>
      </w:r>
      <w:r w:rsidR="00C839E1">
        <w:rPr>
          <w:lang w:val="pl-PL"/>
        </w:rPr>
        <w:t> </w:t>
      </w:r>
      <w:r w:rsidR="006352B2" w:rsidRPr="00246717">
        <w:rPr>
          <w:lang w:val="pl-PL"/>
        </w:rPr>
        <w:t>6 ust.</w:t>
      </w:r>
      <w:r w:rsidR="00C839E1">
        <w:rPr>
          <w:lang w:val="pl-PL"/>
        </w:rPr>
        <w:t> </w:t>
      </w:r>
      <w:r w:rsidR="006352B2" w:rsidRPr="00246717">
        <w:rPr>
          <w:lang w:val="pl-PL"/>
        </w:rPr>
        <w:t>1 i 3 lit.</w:t>
      </w:r>
      <w:r w:rsidR="00C839E1">
        <w:rPr>
          <w:lang w:val="pl-PL"/>
        </w:rPr>
        <w:t> </w:t>
      </w:r>
      <w:r w:rsidR="006352B2" w:rsidRPr="00246717">
        <w:rPr>
          <w:lang w:val="pl-PL"/>
        </w:rPr>
        <w:t xml:space="preserve">d Konwencji w zakresie, w jakim ich zeznania ograniczają się do sposobu przeprowadzenia środków dowodowych i, w zasadzie, stanowi dowód zbędny (zob. </w:t>
      </w:r>
      <w:proofErr w:type="spellStart"/>
      <w:r w:rsidR="006352B2" w:rsidRPr="00246717">
        <w:rPr>
          <w:i/>
          <w:iCs/>
          <w:lang w:val="pl-PL"/>
        </w:rPr>
        <w:t>Shumeyev</w:t>
      </w:r>
      <w:proofErr w:type="spellEnd"/>
      <w:r w:rsidR="006352B2" w:rsidRPr="00246717">
        <w:rPr>
          <w:i/>
          <w:iCs/>
          <w:lang w:val="pl-PL"/>
        </w:rPr>
        <w:t xml:space="preserve"> </w:t>
      </w:r>
      <w:r w:rsidR="001A37A8">
        <w:rPr>
          <w:i/>
          <w:iCs/>
          <w:lang w:val="pl-PL"/>
        </w:rPr>
        <w:t>i Inni</w:t>
      </w:r>
      <w:r w:rsidR="006352B2" w:rsidRPr="00246717">
        <w:rPr>
          <w:i/>
          <w:iCs/>
          <w:lang w:val="pl-PL"/>
        </w:rPr>
        <w:t>,</w:t>
      </w:r>
      <w:r w:rsidR="006352B2" w:rsidRPr="00246717">
        <w:rPr>
          <w:lang w:val="pl-PL"/>
        </w:rPr>
        <w:t xml:space="preserve"> </w:t>
      </w:r>
      <w:r w:rsidR="006352B2" w:rsidRPr="00246717">
        <w:rPr>
          <w:i/>
          <w:iCs/>
          <w:lang w:val="pl-PL"/>
        </w:rPr>
        <w:t>op.</w:t>
      </w:r>
      <w:r w:rsidR="00CD6492">
        <w:rPr>
          <w:i/>
          <w:iCs/>
          <w:lang w:val="pl-PL"/>
        </w:rPr>
        <w:t xml:space="preserve"> </w:t>
      </w:r>
      <w:r w:rsidR="006352B2" w:rsidRPr="00246717">
        <w:rPr>
          <w:i/>
          <w:iCs/>
          <w:lang w:val="pl-PL"/>
        </w:rPr>
        <w:t>cit.</w:t>
      </w:r>
      <w:r w:rsidR="006352B2" w:rsidRPr="00246717">
        <w:rPr>
          <w:lang w:val="pl-PL"/>
        </w:rPr>
        <w:t>, § 37).</w:t>
      </w:r>
    </w:p>
    <w:p w14:paraId="7FE770C9" w14:textId="720A843E" w:rsidR="006352B2" w:rsidRPr="00246717" w:rsidRDefault="00150576" w:rsidP="000957D3">
      <w:pPr>
        <w:pStyle w:val="ECHRPara"/>
        <w:rPr>
          <w:lang w:val="pl-PL"/>
        </w:rPr>
      </w:pPr>
      <w:r w:rsidRPr="00246717">
        <w:rPr>
          <w:lang w:val="pl-PL"/>
        </w:rPr>
        <w:fldChar w:fldCharType="begin"/>
      </w:r>
      <w:r w:rsidR="006352B2" w:rsidRPr="00246717">
        <w:rPr>
          <w:lang w:val="pl-PL"/>
        </w:rPr>
        <w:instrText xml:space="preserve"> SEQ level0 \*arabic </w:instrText>
      </w:r>
      <w:r w:rsidRPr="00246717">
        <w:rPr>
          <w:lang w:val="pl-PL"/>
        </w:rPr>
        <w:fldChar w:fldCharType="separate"/>
      </w:r>
      <w:r w:rsidR="006352B2" w:rsidRPr="00246717">
        <w:rPr>
          <w:lang w:val="pl-PL"/>
        </w:rPr>
        <w:t>137</w:t>
      </w:r>
      <w:r w:rsidRPr="00246717">
        <w:rPr>
          <w:lang w:val="pl-PL"/>
        </w:rPr>
        <w:fldChar w:fldCharType="end"/>
      </w:r>
      <w:r w:rsidR="006352B2" w:rsidRPr="00246717">
        <w:rPr>
          <w:lang w:val="pl-PL"/>
        </w:rPr>
        <w:t>.  Należy jednak zauważyć, że powyższe zasady zostały opracowane w kontekście, w którym zeznani</w:t>
      </w:r>
      <w:r w:rsidR="00C839E1">
        <w:rPr>
          <w:lang w:val="pl-PL"/>
        </w:rPr>
        <w:t>a</w:t>
      </w:r>
      <w:r w:rsidR="006352B2" w:rsidRPr="00246717">
        <w:rPr>
          <w:lang w:val="pl-PL"/>
        </w:rPr>
        <w:t xml:space="preserve"> </w:t>
      </w:r>
      <w:r w:rsidR="00CD6492">
        <w:rPr>
          <w:lang w:val="pl-PL"/>
        </w:rPr>
        <w:t>przybranych</w:t>
      </w:r>
      <w:r w:rsidR="00CD6492" w:rsidRPr="00246717">
        <w:rPr>
          <w:lang w:val="pl-PL"/>
        </w:rPr>
        <w:t xml:space="preserve"> </w:t>
      </w:r>
      <w:r w:rsidR="006352B2" w:rsidRPr="00246717">
        <w:rPr>
          <w:lang w:val="pl-PL"/>
        </w:rPr>
        <w:t>świadków został</w:t>
      </w:r>
      <w:r w:rsidR="00C839E1">
        <w:rPr>
          <w:lang w:val="pl-PL"/>
        </w:rPr>
        <w:t>y</w:t>
      </w:r>
      <w:r w:rsidR="006352B2" w:rsidRPr="00246717">
        <w:rPr>
          <w:lang w:val="pl-PL"/>
        </w:rPr>
        <w:t xml:space="preserve"> przedstawione przez oskarżenie.</w:t>
      </w:r>
    </w:p>
    <w:p w14:paraId="6CDECE65" w14:textId="019781BF" w:rsidR="006352B2" w:rsidRPr="00246717" w:rsidRDefault="00150576" w:rsidP="000957D3">
      <w:pPr>
        <w:pStyle w:val="ECHRPara"/>
        <w:rPr>
          <w:lang w:val="pl-PL"/>
        </w:rPr>
      </w:pPr>
      <w:r w:rsidRPr="00246717">
        <w:rPr>
          <w:lang w:val="pl-PL"/>
        </w:rPr>
        <w:fldChar w:fldCharType="begin"/>
      </w:r>
      <w:r w:rsidR="006352B2" w:rsidRPr="00246717">
        <w:rPr>
          <w:lang w:val="pl-PL"/>
        </w:rPr>
        <w:instrText xml:space="preserve"> SEQ level0 \*arabic </w:instrText>
      </w:r>
      <w:r w:rsidRPr="00246717">
        <w:rPr>
          <w:lang w:val="pl-PL"/>
        </w:rPr>
        <w:fldChar w:fldCharType="separate"/>
      </w:r>
      <w:r w:rsidR="006352B2" w:rsidRPr="00246717">
        <w:rPr>
          <w:lang w:val="pl-PL"/>
        </w:rPr>
        <w:t>138</w:t>
      </w:r>
      <w:r w:rsidRPr="00246717">
        <w:rPr>
          <w:lang w:val="pl-PL"/>
        </w:rPr>
        <w:fldChar w:fldCharType="end"/>
      </w:r>
      <w:r w:rsidR="006352B2" w:rsidRPr="00246717">
        <w:rPr>
          <w:lang w:val="pl-PL"/>
        </w:rPr>
        <w:t>.  W niniejszej sprawie to obrona zamierzała oprzeć się na zeznani</w:t>
      </w:r>
      <w:r w:rsidR="00C839E1">
        <w:rPr>
          <w:lang w:val="pl-PL"/>
        </w:rPr>
        <w:t>ach</w:t>
      </w:r>
      <w:r w:rsidR="006352B2" w:rsidRPr="00246717">
        <w:rPr>
          <w:lang w:val="pl-PL"/>
        </w:rPr>
        <w:t xml:space="preserve"> </w:t>
      </w:r>
      <w:r w:rsidR="00CD6492">
        <w:rPr>
          <w:lang w:val="pl-PL"/>
        </w:rPr>
        <w:t>przybranych</w:t>
      </w:r>
      <w:r w:rsidR="00CD6492" w:rsidRPr="00246717">
        <w:rPr>
          <w:lang w:val="pl-PL"/>
        </w:rPr>
        <w:t xml:space="preserve"> </w:t>
      </w:r>
      <w:r w:rsidR="006352B2" w:rsidRPr="00246717">
        <w:rPr>
          <w:lang w:val="pl-PL"/>
        </w:rPr>
        <w:t xml:space="preserve">świadków B. i K. w celu poparcia swojej tezy, zgodnie z którą materiały wybuchowe zostały podrzucone do torebki skarżącej przed przeprowadzeniem przeszukania. </w:t>
      </w:r>
      <w:r w:rsidR="00CD6492">
        <w:rPr>
          <w:lang w:val="pl-PL"/>
        </w:rPr>
        <w:t>Oceniane</w:t>
      </w:r>
      <w:r w:rsidR="00CD6492" w:rsidRPr="00246717">
        <w:rPr>
          <w:lang w:val="pl-PL"/>
        </w:rPr>
        <w:t xml:space="preserve"> </w:t>
      </w:r>
      <w:r w:rsidR="006352B2" w:rsidRPr="00246717">
        <w:rPr>
          <w:lang w:val="pl-PL"/>
        </w:rPr>
        <w:t xml:space="preserve">w tym świetle zeznania B. i K. wykraczałyby poza zwykłe zasady przeszukania i poza informacje zawarte następnie w protokołach policyjnych. </w:t>
      </w:r>
      <w:r w:rsidR="00CD6492">
        <w:rPr>
          <w:lang w:val="pl-PL"/>
        </w:rPr>
        <w:t>Z tego względu</w:t>
      </w:r>
      <w:r w:rsidR="00CD6492" w:rsidRPr="00246717">
        <w:rPr>
          <w:lang w:val="pl-PL"/>
        </w:rPr>
        <w:t xml:space="preserve"> </w:t>
      </w:r>
      <w:r w:rsidR="006352B2" w:rsidRPr="00246717">
        <w:rPr>
          <w:lang w:val="pl-PL"/>
        </w:rPr>
        <w:t>K. i B. należy uznać za „świadków obrony” skarżącej w rozumieniu art.</w:t>
      </w:r>
      <w:r w:rsidR="00C839E1">
        <w:rPr>
          <w:lang w:val="pl-PL"/>
        </w:rPr>
        <w:t> </w:t>
      </w:r>
      <w:r w:rsidR="006352B2" w:rsidRPr="00246717">
        <w:rPr>
          <w:lang w:val="pl-PL"/>
        </w:rPr>
        <w:t>6 ust.</w:t>
      </w:r>
      <w:r w:rsidR="00C839E1">
        <w:rPr>
          <w:lang w:val="pl-PL"/>
        </w:rPr>
        <w:t> </w:t>
      </w:r>
      <w:r w:rsidR="006352B2" w:rsidRPr="00246717">
        <w:rPr>
          <w:lang w:val="pl-PL"/>
        </w:rPr>
        <w:t>3 lit.</w:t>
      </w:r>
      <w:r w:rsidR="00C839E1">
        <w:rPr>
          <w:lang w:val="pl-PL"/>
        </w:rPr>
        <w:t> </w:t>
      </w:r>
      <w:r w:rsidR="006352B2" w:rsidRPr="00246717">
        <w:rPr>
          <w:lang w:val="pl-PL"/>
        </w:rPr>
        <w:t>d Konwencji.</w:t>
      </w:r>
    </w:p>
    <w:p w14:paraId="3AA0F0CD" w14:textId="77777777" w:rsidR="005B6500" w:rsidRPr="00246717" w:rsidRDefault="005B6500" w:rsidP="000957D3">
      <w:pPr>
        <w:pStyle w:val="ECHRHeading3"/>
        <w:rPr>
          <w:lang w:val="pl-PL"/>
        </w:rPr>
      </w:pPr>
      <w:r w:rsidRPr="00246717">
        <w:rPr>
          <w:bCs w:val="0"/>
          <w:iCs/>
          <w:lang w:val="pl-PL"/>
        </w:rPr>
        <w:t>1.  Zasady ogólne ustanowione w orzecznictwie dotyczące przesłuchiwania świadków obrony</w:t>
      </w:r>
    </w:p>
    <w:p w14:paraId="4B42C8E8" w14:textId="23EE5039"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139</w:t>
      </w:r>
      <w:r w:rsidRPr="00246717">
        <w:rPr>
          <w:lang w:val="pl-PL"/>
        </w:rPr>
        <w:fldChar w:fldCharType="end"/>
      </w:r>
      <w:r w:rsidR="005B6500" w:rsidRPr="00246717">
        <w:rPr>
          <w:lang w:val="pl-PL"/>
        </w:rPr>
        <w:t>.  Trybunał przypomina, że na gruncie art.</w:t>
      </w:r>
      <w:r w:rsidR="00C839E1">
        <w:rPr>
          <w:lang w:val="pl-PL"/>
        </w:rPr>
        <w:t> </w:t>
      </w:r>
      <w:r w:rsidR="005B6500" w:rsidRPr="00246717">
        <w:rPr>
          <w:lang w:val="pl-PL"/>
        </w:rPr>
        <w:t xml:space="preserve">6 Konwencji dopuszczalność dowodów </w:t>
      </w:r>
      <w:r w:rsidR="00CD6492">
        <w:rPr>
          <w:lang w:val="pl-PL"/>
        </w:rPr>
        <w:t>podlega</w:t>
      </w:r>
      <w:r w:rsidR="00CD6492" w:rsidRPr="00246717">
        <w:rPr>
          <w:lang w:val="pl-PL"/>
        </w:rPr>
        <w:t xml:space="preserve"> </w:t>
      </w:r>
      <w:r w:rsidR="005B6500" w:rsidRPr="00246717">
        <w:rPr>
          <w:lang w:val="pl-PL"/>
        </w:rPr>
        <w:t>przede wszystkim uregulowa</w:t>
      </w:r>
      <w:r w:rsidR="00CD6492">
        <w:rPr>
          <w:lang w:val="pl-PL"/>
        </w:rPr>
        <w:t>niom przyjętym</w:t>
      </w:r>
      <w:r w:rsidR="005B6500" w:rsidRPr="00246717">
        <w:rPr>
          <w:lang w:val="pl-PL"/>
        </w:rPr>
        <w:t xml:space="preserve"> w prawie krajowym i zadaniem Trybunału nie jest </w:t>
      </w:r>
      <w:r w:rsidR="00CD6492">
        <w:rPr>
          <w:lang w:val="pl-PL"/>
        </w:rPr>
        <w:t>rozstrzyganie w</w:t>
      </w:r>
      <w:r w:rsidR="005B6500" w:rsidRPr="00246717">
        <w:rPr>
          <w:lang w:val="pl-PL"/>
        </w:rPr>
        <w:t xml:space="preserve"> przedmiocie tego, czy zeznania świadków zostały zgodnie z prawem dopuszczone jako dowód, lecz upewnienie się</w:t>
      </w:r>
      <w:r w:rsidR="007E48F0">
        <w:rPr>
          <w:lang w:val="pl-PL"/>
        </w:rPr>
        <w:t xml:space="preserve"> co do rzetelności</w:t>
      </w:r>
      <w:r w:rsidR="005B6500" w:rsidRPr="00246717">
        <w:rPr>
          <w:lang w:val="pl-PL"/>
        </w:rPr>
        <w:t xml:space="preserve"> </w:t>
      </w:r>
      <w:r w:rsidR="007E48F0">
        <w:rPr>
          <w:lang w:val="pl-PL"/>
        </w:rPr>
        <w:t xml:space="preserve">całego </w:t>
      </w:r>
      <w:r w:rsidR="005B6500" w:rsidRPr="00246717">
        <w:rPr>
          <w:lang w:val="pl-PL"/>
        </w:rPr>
        <w:t>postępowani</w:t>
      </w:r>
      <w:r w:rsidR="007E48F0">
        <w:rPr>
          <w:lang w:val="pl-PL"/>
        </w:rPr>
        <w:t>a</w:t>
      </w:r>
      <w:r w:rsidR="005B6500" w:rsidRPr="00246717">
        <w:rPr>
          <w:lang w:val="pl-PL"/>
        </w:rPr>
        <w:t>, w tym spos</w:t>
      </w:r>
      <w:r w:rsidR="007E48F0">
        <w:rPr>
          <w:lang w:val="pl-PL"/>
        </w:rPr>
        <w:t>obu przeprowadzenia</w:t>
      </w:r>
      <w:r w:rsidR="007E48F0" w:rsidRPr="00246717">
        <w:rPr>
          <w:lang w:val="pl-PL"/>
        </w:rPr>
        <w:t xml:space="preserve"> dowod</w:t>
      </w:r>
      <w:r w:rsidR="007E48F0">
        <w:rPr>
          <w:lang w:val="pl-PL"/>
        </w:rPr>
        <w:t>ów</w:t>
      </w:r>
      <w:r w:rsidR="005B6500" w:rsidRPr="00246717">
        <w:rPr>
          <w:lang w:val="pl-PL"/>
        </w:rPr>
        <w:t xml:space="preserve"> (zob. między innymi orzecznictwo w sprawie </w:t>
      </w:r>
      <w:r w:rsidR="005B6500" w:rsidRPr="00246717">
        <w:rPr>
          <w:i/>
          <w:iCs/>
          <w:lang w:val="pl-PL"/>
        </w:rPr>
        <w:t xml:space="preserve">Van Mechelen i Inni przeciwko </w:t>
      </w:r>
      <w:r w:rsidR="00C839E1">
        <w:rPr>
          <w:i/>
          <w:iCs/>
          <w:lang w:val="pl-PL"/>
        </w:rPr>
        <w:t>Holandii</w:t>
      </w:r>
      <w:r w:rsidR="005B6500" w:rsidRPr="00246717">
        <w:rPr>
          <w:lang w:val="pl-PL"/>
        </w:rPr>
        <w:t xml:space="preserve">, </w:t>
      </w:r>
      <w:r w:rsidR="005B6500" w:rsidRPr="00246717">
        <w:rPr>
          <w:lang w:val="pl-PL"/>
        </w:rPr>
        <w:lastRenderedPageBreak/>
        <w:t>§ 50, wyrok z dn</w:t>
      </w:r>
      <w:r w:rsidR="00C839E1">
        <w:rPr>
          <w:lang w:val="pl-PL"/>
        </w:rPr>
        <w:t>ia</w:t>
      </w:r>
      <w:r w:rsidR="005B6500" w:rsidRPr="00246717">
        <w:rPr>
          <w:lang w:val="pl-PL"/>
        </w:rPr>
        <w:t xml:space="preserve"> 23 kwietnia 1997</w:t>
      </w:r>
      <w:r w:rsidR="00C839E1">
        <w:rPr>
          <w:lang w:val="pl-PL"/>
        </w:rPr>
        <w:t> </w:t>
      </w:r>
      <w:r w:rsidR="005B6500" w:rsidRPr="00246717">
        <w:rPr>
          <w:lang w:val="pl-PL"/>
        </w:rPr>
        <w:t xml:space="preserve">r., </w:t>
      </w:r>
      <w:r w:rsidR="007E48F0">
        <w:rPr>
          <w:i/>
          <w:iCs/>
          <w:lang w:val="pl-PL"/>
        </w:rPr>
        <w:t>Zbiór</w:t>
      </w:r>
      <w:r w:rsidR="007E48F0" w:rsidRPr="00246717">
        <w:rPr>
          <w:i/>
          <w:iCs/>
          <w:lang w:val="pl-PL"/>
        </w:rPr>
        <w:t xml:space="preserve"> </w:t>
      </w:r>
      <w:r w:rsidR="005B6500" w:rsidRPr="00246717">
        <w:rPr>
          <w:lang w:val="pl-PL"/>
        </w:rPr>
        <w:t>1997</w:t>
      </w:r>
      <w:r w:rsidR="005B6500" w:rsidRPr="00246717">
        <w:rPr>
          <w:lang w:val="pl-PL"/>
        </w:rPr>
        <w:noBreakHyphen/>
        <w:t xml:space="preserve">III, oraz </w:t>
      </w:r>
      <w:proofErr w:type="spellStart"/>
      <w:r w:rsidR="005B6500" w:rsidRPr="00246717">
        <w:rPr>
          <w:i/>
          <w:iCs/>
          <w:lang w:val="pl-PL"/>
        </w:rPr>
        <w:t>Perna</w:t>
      </w:r>
      <w:proofErr w:type="spellEnd"/>
      <w:r w:rsidR="005B6500" w:rsidRPr="00246717">
        <w:rPr>
          <w:lang w:val="pl-PL"/>
        </w:rPr>
        <w:t xml:space="preserve">, </w:t>
      </w:r>
      <w:r w:rsidR="005B6500" w:rsidRPr="00246717">
        <w:rPr>
          <w:i/>
          <w:iCs/>
          <w:lang w:val="pl-PL"/>
        </w:rPr>
        <w:t>op.</w:t>
      </w:r>
      <w:r w:rsidR="007E48F0">
        <w:rPr>
          <w:i/>
          <w:iCs/>
          <w:lang w:val="pl-PL"/>
        </w:rPr>
        <w:t xml:space="preserve"> </w:t>
      </w:r>
      <w:r w:rsidR="005B6500" w:rsidRPr="00246717">
        <w:rPr>
          <w:i/>
          <w:iCs/>
          <w:lang w:val="pl-PL"/>
        </w:rPr>
        <w:t>cit.</w:t>
      </w:r>
      <w:r w:rsidR="005B6500" w:rsidRPr="00246717">
        <w:rPr>
          <w:lang w:val="pl-PL"/>
        </w:rPr>
        <w:t>, §</w:t>
      </w:r>
      <w:r w:rsidR="00FB69B4">
        <w:rPr>
          <w:lang w:val="pl-PL"/>
        </w:rPr>
        <w:t> </w:t>
      </w:r>
      <w:r w:rsidR="005B6500" w:rsidRPr="00246717">
        <w:rPr>
          <w:lang w:val="pl-PL"/>
        </w:rPr>
        <w:t>29). Artykuł</w:t>
      </w:r>
      <w:r w:rsidR="00FB69B4">
        <w:rPr>
          <w:lang w:val="pl-PL"/>
        </w:rPr>
        <w:t> </w:t>
      </w:r>
      <w:r w:rsidR="005B6500" w:rsidRPr="00246717">
        <w:rPr>
          <w:lang w:val="pl-PL"/>
        </w:rPr>
        <w:t>6 ust.</w:t>
      </w:r>
      <w:r w:rsidR="00FB69B4">
        <w:rPr>
          <w:lang w:val="pl-PL"/>
        </w:rPr>
        <w:t> </w:t>
      </w:r>
      <w:r w:rsidR="005B6500" w:rsidRPr="00246717">
        <w:rPr>
          <w:lang w:val="pl-PL"/>
        </w:rPr>
        <w:t>3 lit.</w:t>
      </w:r>
      <w:r w:rsidR="00FB69B4">
        <w:rPr>
          <w:lang w:val="pl-PL"/>
        </w:rPr>
        <w:t> </w:t>
      </w:r>
      <w:r w:rsidR="005B6500" w:rsidRPr="00246717">
        <w:rPr>
          <w:lang w:val="pl-PL"/>
        </w:rPr>
        <w:t xml:space="preserve">d Konwencji nie </w:t>
      </w:r>
      <w:r w:rsidR="007E48F0">
        <w:rPr>
          <w:lang w:val="pl-PL"/>
        </w:rPr>
        <w:t>wymaga</w:t>
      </w:r>
      <w:r w:rsidR="005B6500" w:rsidRPr="00246717">
        <w:rPr>
          <w:lang w:val="pl-PL"/>
        </w:rPr>
        <w:t xml:space="preserve"> obecności i przesłuchania każdego świadka oskarżenia, jako że podstawowym celem tego postanowienia, jak </w:t>
      </w:r>
      <w:r w:rsidR="007E48F0" w:rsidRPr="00246717">
        <w:rPr>
          <w:lang w:val="pl-PL"/>
        </w:rPr>
        <w:t>w</w:t>
      </w:r>
      <w:r w:rsidR="007E48F0">
        <w:rPr>
          <w:lang w:val="pl-PL"/>
        </w:rPr>
        <w:t>ynika z brzmienia</w:t>
      </w:r>
      <w:r w:rsidR="007E48F0" w:rsidRPr="00246717">
        <w:rPr>
          <w:lang w:val="pl-PL"/>
        </w:rPr>
        <w:t xml:space="preserve"> sł</w:t>
      </w:r>
      <w:r w:rsidR="007E48F0">
        <w:rPr>
          <w:lang w:val="pl-PL"/>
        </w:rPr>
        <w:t>ów</w:t>
      </w:r>
      <w:r w:rsidR="007E48F0" w:rsidRPr="00246717">
        <w:rPr>
          <w:lang w:val="pl-PL"/>
        </w:rPr>
        <w:t xml:space="preserve"> </w:t>
      </w:r>
      <w:r w:rsidR="005B6500" w:rsidRPr="00246717">
        <w:rPr>
          <w:lang w:val="pl-PL"/>
        </w:rPr>
        <w:t xml:space="preserve">„na takich samych warunkach”, jest zagwarantowanie pełnej „równości stron” w danej kwestii (zob. </w:t>
      </w:r>
      <w:proofErr w:type="spellStart"/>
      <w:r w:rsidR="005B6500" w:rsidRPr="00246717">
        <w:rPr>
          <w:i/>
          <w:iCs/>
          <w:lang w:val="pl-PL"/>
        </w:rPr>
        <w:t>Engel</w:t>
      </w:r>
      <w:proofErr w:type="spellEnd"/>
      <w:r w:rsidR="005B6500" w:rsidRPr="00246717">
        <w:rPr>
          <w:i/>
          <w:iCs/>
          <w:lang w:val="pl-PL"/>
        </w:rPr>
        <w:t xml:space="preserve"> i Inni przeciwko </w:t>
      </w:r>
      <w:r w:rsidR="00FB69B4">
        <w:rPr>
          <w:i/>
          <w:iCs/>
          <w:lang w:val="pl-PL"/>
        </w:rPr>
        <w:t>Holandii</w:t>
      </w:r>
      <w:r w:rsidR="005B6500" w:rsidRPr="00246717">
        <w:rPr>
          <w:lang w:val="pl-PL"/>
        </w:rPr>
        <w:t>, § 91, Seria</w:t>
      </w:r>
      <w:r w:rsidR="00FB69B4">
        <w:rPr>
          <w:lang w:val="pl-PL"/>
        </w:rPr>
        <w:t> </w:t>
      </w:r>
      <w:r w:rsidR="005B6500" w:rsidRPr="00246717">
        <w:rPr>
          <w:lang w:val="pl-PL"/>
        </w:rPr>
        <w:t>A nr</w:t>
      </w:r>
      <w:r w:rsidR="00FB69B4">
        <w:rPr>
          <w:lang w:val="pl-PL"/>
        </w:rPr>
        <w:t> </w:t>
      </w:r>
      <w:r w:rsidR="005B6500" w:rsidRPr="00246717">
        <w:rPr>
          <w:lang w:val="pl-PL"/>
        </w:rPr>
        <w:t>22, wyrok z dn</w:t>
      </w:r>
      <w:r w:rsidR="00FB69B4">
        <w:rPr>
          <w:lang w:val="pl-PL"/>
        </w:rPr>
        <w:t>ia</w:t>
      </w:r>
      <w:r w:rsidR="005B6500" w:rsidRPr="00246717">
        <w:rPr>
          <w:lang w:val="pl-PL"/>
        </w:rPr>
        <w:t xml:space="preserve"> 8</w:t>
      </w:r>
      <w:r w:rsidR="00FB69B4">
        <w:rPr>
          <w:lang w:val="pl-PL"/>
        </w:rPr>
        <w:t xml:space="preserve"> </w:t>
      </w:r>
      <w:r w:rsidR="005B6500" w:rsidRPr="00246717">
        <w:rPr>
          <w:lang w:val="pl-PL"/>
        </w:rPr>
        <w:t>czerwca 1976</w:t>
      </w:r>
      <w:r w:rsidR="00FB69B4">
        <w:rPr>
          <w:lang w:val="pl-PL"/>
        </w:rPr>
        <w:t> </w:t>
      </w:r>
      <w:r w:rsidR="005B6500" w:rsidRPr="00246717">
        <w:rPr>
          <w:lang w:val="pl-PL"/>
        </w:rPr>
        <w:t xml:space="preserve">r. oraz </w:t>
      </w:r>
      <w:r w:rsidR="005B6500" w:rsidRPr="00246717">
        <w:rPr>
          <w:i/>
          <w:iCs/>
          <w:lang w:val="pl-PL"/>
        </w:rPr>
        <w:t>Vidal przeciwko Belgii</w:t>
      </w:r>
      <w:r w:rsidR="005B6500" w:rsidRPr="00246717">
        <w:rPr>
          <w:lang w:val="pl-PL"/>
        </w:rPr>
        <w:t>, §</w:t>
      </w:r>
      <w:r w:rsidR="00FB69B4">
        <w:rPr>
          <w:lang w:val="pl-PL"/>
        </w:rPr>
        <w:t> </w:t>
      </w:r>
      <w:r w:rsidR="005B6500" w:rsidRPr="00246717">
        <w:rPr>
          <w:lang w:val="pl-PL"/>
        </w:rPr>
        <w:t>33, Seria</w:t>
      </w:r>
      <w:r w:rsidR="00FB69B4">
        <w:rPr>
          <w:lang w:val="pl-PL"/>
        </w:rPr>
        <w:t> </w:t>
      </w:r>
      <w:r w:rsidR="005B6500" w:rsidRPr="00246717">
        <w:rPr>
          <w:lang w:val="pl-PL"/>
        </w:rPr>
        <w:t>A nr</w:t>
      </w:r>
      <w:r w:rsidR="00FB69B4">
        <w:rPr>
          <w:lang w:val="pl-PL"/>
        </w:rPr>
        <w:t> </w:t>
      </w:r>
      <w:r w:rsidR="005B6500" w:rsidRPr="00246717">
        <w:rPr>
          <w:lang w:val="pl-PL"/>
        </w:rPr>
        <w:t>235</w:t>
      </w:r>
      <w:r w:rsidR="005B6500" w:rsidRPr="00246717">
        <w:rPr>
          <w:lang w:val="pl-PL"/>
        </w:rPr>
        <w:noBreakHyphen/>
        <w:t>B, wyrok z dn</w:t>
      </w:r>
      <w:r w:rsidR="00FB69B4">
        <w:rPr>
          <w:lang w:val="pl-PL"/>
        </w:rPr>
        <w:t>ia</w:t>
      </w:r>
      <w:r w:rsidR="005B6500" w:rsidRPr="00246717">
        <w:rPr>
          <w:lang w:val="pl-PL"/>
        </w:rPr>
        <w:t xml:space="preserve"> 22 kwietnia 1992</w:t>
      </w:r>
      <w:r w:rsidR="00FB69B4">
        <w:rPr>
          <w:lang w:val="pl-PL"/>
        </w:rPr>
        <w:t> </w:t>
      </w:r>
      <w:r w:rsidR="005B6500" w:rsidRPr="00246717">
        <w:rPr>
          <w:lang w:val="pl-PL"/>
        </w:rPr>
        <w:t>r.).</w:t>
      </w:r>
    </w:p>
    <w:p w14:paraId="5C223D5A" w14:textId="5FEB4B14"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140</w:t>
      </w:r>
      <w:r w:rsidRPr="00246717">
        <w:rPr>
          <w:lang w:val="pl-PL"/>
        </w:rPr>
        <w:fldChar w:fldCharType="end"/>
      </w:r>
      <w:r w:rsidR="005B6500" w:rsidRPr="00246717">
        <w:rPr>
          <w:lang w:val="pl-PL"/>
        </w:rPr>
        <w:t xml:space="preserve">.  W wyroku wydanym w sprawie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w:t>
      </w:r>
      <w:r w:rsidR="005B6500" w:rsidRPr="00246717">
        <w:rPr>
          <w:i/>
          <w:iCs/>
          <w:lang w:val="pl-PL"/>
        </w:rPr>
        <w:t>op.</w:t>
      </w:r>
      <w:r w:rsidR="007E48F0">
        <w:rPr>
          <w:i/>
          <w:iCs/>
          <w:lang w:val="pl-PL"/>
        </w:rPr>
        <w:t xml:space="preserve"> </w:t>
      </w:r>
      <w:r w:rsidR="005B6500" w:rsidRPr="00246717">
        <w:rPr>
          <w:i/>
          <w:iCs/>
          <w:lang w:val="pl-PL"/>
        </w:rPr>
        <w:t xml:space="preserve">cit., </w:t>
      </w:r>
      <w:r w:rsidR="005B6500" w:rsidRPr="00246717">
        <w:rPr>
          <w:lang w:val="pl-PL"/>
        </w:rPr>
        <w:t xml:space="preserve">§ 29), który strony i Izba </w:t>
      </w:r>
      <w:r w:rsidR="007E48F0">
        <w:rPr>
          <w:lang w:val="pl-PL"/>
        </w:rPr>
        <w:t>przytoczyły w obszernym zakresie,</w:t>
      </w:r>
      <w:r w:rsidR="005B6500" w:rsidRPr="00246717">
        <w:rPr>
          <w:lang w:val="pl-PL"/>
        </w:rPr>
        <w:t xml:space="preserve"> Trybunał streścił zasady mające zastosowanie do wzywania i przesłuchiwania świadków obrony. Po pierwsze, co do zasady, </w:t>
      </w:r>
      <w:r w:rsidR="007E48F0">
        <w:rPr>
          <w:lang w:val="pl-PL"/>
        </w:rPr>
        <w:t xml:space="preserve">to </w:t>
      </w:r>
      <w:r w:rsidR="005B6500" w:rsidRPr="00246717">
        <w:rPr>
          <w:lang w:val="pl-PL"/>
        </w:rPr>
        <w:t xml:space="preserve">do sądów krajowych należy ocena zgromadzonych dowodów, a także </w:t>
      </w:r>
      <w:r w:rsidR="007E48F0">
        <w:rPr>
          <w:lang w:val="pl-PL"/>
        </w:rPr>
        <w:t>znaczenie</w:t>
      </w:r>
      <w:r w:rsidR="007E48F0" w:rsidRPr="00246717">
        <w:rPr>
          <w:lang w:val="pl-PL"/>
        </w:rPr>
        <w:t xml:space="preserve"> </w:t>
      </w:r>
      <w:r w:rsidR="005B6500" w:rsidRPr="00246717">
        <w:rPr>
          <w:lang w:val="pl-PL"/>
        </w:rPr>
        <w:t xml:space="preserve">dowodów, które oskarżeni chcą przedstawić, </w:t>
      </w:r>
      <w:r w:rsidR="007E48F0">
        <w:rPr>
          <w:lang w:val="pl-PL"/>
        </w:rPr>
        <w:t>zaś</w:t>
      </w:r>
      <w:r w:rsidR="005B6500" w:rsidRPr="00246717">
        <w:rPr>
          <w:lang w:val="pl-PL"/>
        </w:rPr>
        <w:t xml:space="preserve"> art.</w:t>
      </w:r>
      <w:r w:rsidR="008130A4">
        <w:rPr>
          <w:lang w:val="pl-PL"/>
        </w:rPr>
        <w:t> </w:t>
      </w:r>
      <w:r w:rsidR="005B6500" w:rsidRPr="00246717">
        <w:rPr>
          <w:lang w:val="pl-PL"/>
        </w:rPr>
        <w:t>6 ust.</w:t>
      </w:r>
      <w:r w:rsidR="008130A4">
        <w:rPr>
          <w:lang w:val="pl-PL"/>
        </w:rPr>
        <w:t> </w:t>
      </w:r>
      <w:r w:rsidR="005B6500" w:rsidRPr="00246717">
        <w:rPr>
          <w:lang w:val="pl-PL"/>
        </w:rPr>
        <w:t>3 lit.</w:t>
      </w:r>
      <w:r w:rsidR="008130A4">
        <w:rPr>
          <w:lang w:val="pl-PL"/>
        </w:rPr>
        <w:t> </w:t>
      </w:r>
      <w:r w:rsidR="005B6500" w:rsidRPr="00246717">
        <w:rPr>
          <w:lang w:val="pl-PL"/>
        </w:rPr>
        <w:t xml:space="preserve">d pozostawia im, </w:t>
      </w:r>
      <w:r w:rsidR="007E48F0">
        <w:rPr>
          <w:lang w:val="pl-PL"/>
        </w:rPr>
        <w:t xml:space="preserve">ponownie </w:t>
      </w:r>
      <w:r w:rsidR="005B6500" w:rsidRPr="00246717">
        <w:rPr>
          <w:lang w:val="pl-PL"/>
        </w:rPr>
        <w:t>co do zasady, ocenę konieczności wezwania danego świadka. Po drugie</w:t>
      </w:r>
      <w:r w:rsidR="008130A4">
        <w:rPr>
          <w:lang w:val="pl-PL"/>
        </w:rPr>
        <w:t>,</w:t>
      </w:r>
      <w:r w:rsidR="005B6500" w:rsidRPr="00246717">
        <w:rPr>
          <w:lang w:val="pl-PL"/>
        </w:rPr>
        <w:t xml:space="preserve"> nie wystarczy, że oskarżony złoży skargę dotyczącą tego, że </w:t>
      </w:r>
      <w:r w:rsidR="007E48F0">
        <w:rPr>
          <w:lang w:val="pl-PL"/>
        </w:rPr>
        <w:t>pozbawiono go możliwości</w:t>
      </w:r>
      <w:r w:rsidR="005B6500" w:rsidRPr="00246717">
        <w:rPr>
          <w:lang w:val="pl-PL"/>
        </w:rPr>
        <w:t xml:space="preserve"> przesłuchani</w:t>
      </w:r>
      <w:r w:rsidR="007E48F0">
        <w:rPr>
          <w:lang w:val="pl-PL"/>
        </w:rPr>
        <w:t>a</w:t>
      </w:r>
      <w:r w:rsidR="005B6500" w:rsidRPr="00246717">
        <w:rPr>
          <w:lang w:val="pl-PL"/>
        </w:rPr>
        <w:t xml:space="preserve"> niektórych świadków; musi</w:t>
      </w:r>
      <w:r w:rsidR="008130A4">
        <w:rPr>
          <w:lang w:val="pl-PL"/>
        </w:rPr>
        <w:t xml:space="preserve"> on</w:t>
      </w:r>
      <w:r w:rsidR="005B6500" w:rsidRPr="00246717">
        <w:rPr>
          <w:lang w:val="pl-PL"/>
        </w:rPr>
        <w:t xml:space="preserve"> ponadto uzasadnić wniosek, wyjaśniając, dlaczego </w:t>
      </w:r>
      <w:r w:rsidR="008130A4">
        <w:rPr>
          <w:lang w:val="pl-PL"/>
        </w:rPr>
        <w:t>ważne jest</w:t>
      </w:r>
      <w:r w:rsidR="007E48F0">
        <w:rPr>
          <w:lang w:val="pl-PL"/>
        </w:rPr>
        <w:t xml:space="preserve"> przesłuchanie </w:t>
      </w:r>
      <w:r w:rsidR="005B6500" w:rsidRPr="00246717">
        <w:rPr>
          <w:lang w:val="pl-PL"/>
        </w:rPr>
        <w:t>odpowiedni</w:t>
      </w:r>
      <w:r w:rsidR="007E48F0">
        <w:rPr>
          <w:lang w:val="pl-PL"/>
        </w:rPr>
        <w:t>ch</w:t>
      </w:r>
      <w:r w:rsidR="005B6500" w:rsidRPr="00246717">
        <w:rPr>
          <w:lang w:val="pl-PL"/>
        </w:rPr>
        <w:t xml:space="preserve"> świadk</w:t>
      </w:r>
      <w:r w:rsidR="007E48F0">
        <w:rPr>
          <w:lang w:val="pl-PL"/>
        </w:rPr>
        <w:t>ów</w:t>
      </w:r>
      <w:r w:rsidR="005B6500" w:rsidRPr="00246717">
        <w:rPr>
          <w:lang w:val="pl-PL"/>
        </w:rPr>
        <w:t xml:space="preserve"> </w:t>
      </w:r>
      <w:r w:rsidR="007E48F0">
        <w:rPr>
          <w:lang w:val="pl-PL"/>
        </w:rPr>
        <w:t xml:space="preserve">i dlaczego </w:t>
      </w:r>
      <w:r w:rsidR="005B6500" w:rsidRPr="00246717">
        <w:rPr>
          <w:lang w:val="pl-PL"/>
        </w:rPr>
        <w:t>ich zeznania są niezbędne dla ustalenia prawdy.</w:t>
      </w:r>
    </w:p>
    <w:bookmarkStart w:id="121" w:name="PernaTest"/>
    <w:p w14:paraId="28989411" w14:textId="4619EA7D"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141</w:t>
      </w:r>
      <w:r w:rsidRPr="00246717">
        <w:rPr>
          <w:lang w:val="pl-PL"/>
        </w:rPr>
        <w:fldChar w:fldCharType="end"/>
      </w:r>
      <w:bookmarkEnd w:id="121"/>
      <w:r w:rsidR="005B6500" w:rsidRPr="00246717">
        <w:rPr>
          <w:lang w:val="pl-PL"/>
        </w:rPr>
        <w:t xml:space="preserve">.  Test sformułowany w sprawie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 xml:space="preserve">zasadniczo składa się z dwóch pytań: po pierwsze, czy skarżący uzasadnił swój wniosek dotyczący wezwania danego świadka </w:t>
      </w:r>
      <w:r w:rsidR="007E48F0">
        <w:rPr>
          <w:lang w:val="pl-PL"/>
        </w:rPr>
        <w:t>wskazując</w:t>
      </w:r>
      <w:r w:rsidR="005B6500" w:rsidRPr="00246717">
        <w:rPr>
          <w:lang w:val="pl-PL"/>
        </w:rPr>
        <w:t xml:space="preserve"> na znaczenie zeznania tej osoby </w:t>
      </w:r>
      <w:r w:rsidR="007E48F0">
        <w:rPr>
          <w:lang w:val="pl-PL"/>
        </w:rPr>
        <w:t>dla</w:t>
      </w:r>
      <w:r w:rsidR="005B6500" w:rsidRPr="00246717">
        <w:rPr>
          <w:lang w:val="pl-PL"/>
        </w:rPr>
        <w:t xml:space="preserve"> „ustalenia prawdy”, a po drugie, czy wyrażona przez sądy krajowe odmowa wezwania tego świadka naruszyła ogólną rzetelność postępowania (zob. </w:t>
      </w:r>
      <w:proofErr w:type="spellStart"/>
      <w:r w:rsidR="005B6500" w:rsidRPr="00246717">
        <w:rPr>
          <w:i/>
          <w:iCs/>
          <w:lang w:val="pl-PL"/>
        </w:rPr>
        <w:t>Perna</w:t>
      </w:r>
      <w:proofErr w:type="spellEnd"/>
      <w:r w:rsidR="005B6500" w:rsidRPr="00246717">
        <w:rPr>
          <w:lang w:val="pl-PL"/>
        </w:rPr>
        <w:t xml:space="preserve">, </w:t>
      </w:r>
      <w:r w:rsidR="005B6500" w:rsidRPr="00246717">
        <w:rPr>
          <w:i/>
          <w:iCs/>
          <w:lang w:val="pl-PL"/>
        </w:rPr>
        <w:t>op.</w:t>
      </w:r>
      <w:r w:rsidR="007E48F0">
        <w:rPr>
          <w:i/>
          <w:iCs/>
          <w:lang w:val="pl-PL"/>
        </w:rPr>
        <w:t xml:space="preserve"> </w:t>
      </w:r>
      <w:r w:rsidR="005B6500" w:rsidRPr="00246717">
        <w:rPr>
          <w:i/>
          <w:iCs/>
          <w:lang w:val="pl-PL"/>
        </w:rPr>
        <w:t>cit.</w:t>
      </w:r>
      <w:r w:rsidR="005B6500" w:rsidRPr="00246717">
        <w:rPr>
          <w:lang w:val="pl-PL"/>
        </w:rPr>
        <w:t>, §§</w:t>
      </w:r>
      <w:r w:rsidR="008130A4">
        <w:rPr>
          <w:lang w:val="pl-PL"/>
        </w:rPr>
        <w:t> </w:t>
      </w:r>
      <w:r w:rsidR="005B6500" w:rsidRPr="00246717">
        <w:rPr>
          <w:lang w:val="pl-PL"/>
        </w:rPr>
        <w:t>29, 32).</w:t>
      </w:r>
    </w:p>
    <w:p w14:paraId="00751903" w14:textId="466889E7"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142</w:t>
      </w:r>
      <w:r w:rsidRPr="00246717">
        <w:rPr>
          <w:lang w:val="pl-PL"/>
        </w:rPr>
        <w:fldChar w:fldCharType="end"/>
      </w:r>
      <w:r w:rsidR="005B6500" w:rsidRPr="00246717">
        <w:rPr>
          <w:lang w:val="pl-PL"/>
        </w:rPr>
        <w:t>.  </w:t>
      </w:r>
      <w:r w:rsidR="007E48F0">
        <w:rPr>
          <w:lang w:val="pl-PL"/>
        </w:rPr>
        <w:t xml:space="preserve">Wskazane </w:t>
      </w:r>
      <w:r w:rsidR="005B6500" w:rsidRPr="00246717">
        <w:rPr>
          <w:lang w:val="pl-PL"/>
        </w:rPr>
        <w:t xml:space="preserve">jest </w:t>
      </w:r>
      <w:r w:rsidR="007E48F0">
        <w:rPr>
          <w:lang w:val="pl-PL"/>
        </w:rPr>
        <w:t>prześledzenie zmian</w:t>
      </w:r>
      <w:r w:rsidR="005B6500" w:rsidRPr="00246717">
        <w:rPr>
          <w:lang w:val="pl-PL"/>
        </w:rPr>
        <w:t xml:space="preserve"> przyjętego w sprawie </w:t>
      </w:r>
      <w:proofErr w:type="spellStart"/>
      <w:r w:rsidR="005B6500" w:rsidRPr="00246717">
        <w:rPr>
          <w:i/>
          <w:iCs/>
          <w:lang w:val="pl-PL"/>
        </w:rPr>
        <w:t>Perna</w:t>
      </w:r>
      <w:proofErr w:type="spellEnd"/>
      <w:r w:rsidR="005B6500" w:rsidRPr="00246717">
        <w:rPr>
          <w:i/>
          <w:iCs/>
          <w:lang w:val="pl-PL"/>
        </w:rPr>
        <w:t xml:space="preserve"> </w:t>
      </w:r>
      <w:r w:rsidR="007E48F0">
        <w:rPr>
          <w:lang w:val="pl-PL"/>
        </w:rPr>
        <w:t>stanowiska</w:t>
      </w:r>
      <w:r w:rsidR="007E48F0" w:rsidRPr="00246717">
        <w:rPr>
          <w:lang w:val="pl-PL"/>
        </w:rPr>
        <w:t xml:space="preserve"> </w:t>
      </w:r>
      <w:r w:rsidR="005B6500" w:rsidRPr="00246717">
        <w:rPr>
          <w:lang w:val="pl-PL"/>
        </w:rPr>
        <w:t xml:space="preserve">w późniejszym orzecznictwie i trudności, jakie </w:t>
      </w:r>
      <w:r w:rsidR="007E48F0">
        <w:rPr>
          <w:lang w:val="pl-PL"/>
        </w:rPr>
        <w:t>wiązało się z</w:t>
      </w:r>
      <w:r w:rsidR="007E48F0" w:rsidRPr="00246717">
        <w:rPr>
          <w:lang w:val="pl-PL"/>
        </w:rPr>
        <w:t xml:space="preserve"> </w:t>
      </w:r>
      <w:r w:rsidR="005B6500" w:rsidRPr="00246717">
        <w:rPr>
          <w:lang w:val="pl-PL"/>
        </w:rPr>
        <w:t xml:space="preserve">jego </w:t>
      </w:r>
      <w:r w:rsidR="007E48F0">
        <w:rPr>
          <w:lang w:val="pl-PL"/>
        </w:rPr>
        <w:t>za</w:t>
      </w:r>
      <w:r w:rsidR="005B6500" w:rsidRPr="00246717">
        <w:rPr>
          <w:lang w:val="pl-PL"/>
        </w:rPr>
        <w:t>stosowanie</w:t>
      </w:r>
      <w:r w:rsidR="007E48F0">
        <w:rPr>
          <w:lang w:val="pl-PL"/>
        </w:rPr>
        <w:t>m w praktyce</w:t>
      </w:r>
      <w:r w:rsidR="005B6500" w:rsidRPr="00246717">
        <w:rPr>
          <w:lang w:val="pl-PL"/>
        </w:rPr>
        <w:t>.</w:t>
      </w:r>
    </w:p>
    <w:p w14:paraId="274D2A7C" w14:textId="63789896"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143</w:t>
      </w:r>
      <w:r w:rsidRPr="00246717">
        <w:rPr>
          <w:lang w:val="pl-PL"/>
        </w:rPr>
        <w:fldChar w:fldCharType="end"/>
      </w:r>
      <w:r w:rsidR="005B6500" w:rsidRPr="00246717">
        <w:rPr>
          <w:lang w:val="pl-PL"/>
        </w:rPr>
        <w:t xml:space="preserve">.  Trybunał wielokrotnie wyjaśniał, że w przypadku, gdy zeznanie świadka obrony może w sposób rozsądny zapewnić oskarżonemu alibi, wówczas świadek ten jest uznawany za istotnego </w:t>
      </w:r>
      <w:r w:rsidR="005B6500" w:rsidRPr="00246717">
        <w:rPr>
          <w:i/>
          <w:iCs/>
          <w:lang w:val="pl-PL"/>
        </w:rPr>
        <w:t xml:space="preserve">prima facie </w:t>
      </w:r>
      <w:r w:rsidR="005B6500" w:rsidRPr="00246717">
        <w:rPr>
          <w:lang w:val="pl-PL"/>
        </w:rPr>
        <w:t xml:space="preserve">(zob. np. </w:t>
      </w:r>
      <w:proofErr w:type="spellStart"/>
      <w:r w:rsidR="005B6500" w:rsidRPr="00246717">
        <w:rPr>
          <w:i/>
          <w:iCs/>
          <w:lang w:val="pl-PL"/>
        </w:rPr>
        <w:t>Polyakov</w:t>
      </w:r>
      <w:proofErr w:type="spellEnd"/>
      <w:r w:rsidR="005B6500" w:rsidRPr="00246717">
        <w:rPr>
          <w:i/>
          <w:iCs/>
          <w:lang w:val="pl-PL"/>
        </w:rPr>
        <w:t xml:space="preserve"> przeciwko Rosji</w:t>
      </w:r>
      <w:r w:rsidR="005B6500" w:rsidRPr="00246717">
        <w:rPr>
          <w:lang w:val="pl-PL"/>
        </w:rPr>
        <w:t>, wyrok z dn</w:t>
      </w:r>
      <w:r w:rsidR="000825CF">
        <w:rPr>
          <w:lang w:val="pl-PL"/>
        </w:rPr>
        <w:t>ia</w:t>
      </w:r>
      <w:r w:rsidR="005B6500" w:rsidRPr="00246717">
        <w:rPr>
          <w:lang w:val="pl-PL"/>
        </w:rPr>
        <w:t xml:space="preserve"> 29 stycznia 2009</w:t>
      </w:r>
      <w:r w:rsidR="000825CF">
        <w:rPr>
          <w:lang w:val="pl-PL"/>
        </w:rPr>
        <w:t> </w:t>
      </w:r>
      <w:r w:rsidR="005B6500" w:rsidRPr="00246717">
        <w:rPr>
          <w:lang w:val="pl-PL"/>
        </w:rPr>
        <w:t>r., skarga nr</w:t>
      </w:r>
      <w:r w:rsidR="000825CF">
        <w:rPr>
          <w:lang w:val="pl-PL"/>
        </w:rPr>
        <w:t> </w:t>
      </w:r>
      <w:r w:rsidR="005B6500" w:rsidRPr="00246717">
        <w:rPr>
          <w:lang w:val="pl-PL"/>
        </w:rPr>
        <w:t xml:space="preserve">77018/01, § 34). Natomiast w przypadku gdy wniesiono o przesłuchanie świadka obrony w celu ustalenia kwestii wykraczających poza zakres zarzutu lub </w:t>
      </w:r>
      <w:r w:rsidR="00961307">
        <w:rPr>
          <w:lang w:val="pl-PL"/>
        </w:rPr>
        <w:t xml:space="preserve">na podstawie danego </w:t>
      </w:r>
      <w:r w:rsidR="005B6500" w:rsidRPr="00246717">
        <w:rPr>
          <w:lang w:val="pl-PL"/>
        </w:rPr>
        <w:t>zeznani</w:t>
      </w:r>
      <w:r w:rsidR="00961307">
        <w:rPr>
          <w:lang w:val="pl-PL"/>
        </w:rPr>
        <w:t>a</w:t>
      </w:r>
      <w:r w:rsidR="005B6500" w:rsidRPr="00246717">
        <w:rPr>
          <w:lang w:val="pl-PL"/>
        </w:rPr>
        <w:t xml:space="preserve"> nie </w:t>
      </w:r>
      <w:r w:rsidR="00961307" w:rsidRPr="00246717">
        <w:rPr>
          <w:lang w:val="pl-PL"/>
        </w:rPr>
        <w:t>mo</w:t>
      </w:r>
      <w:r w:rsidR="00961307">
        <w:rPr>
          <w:lang w:val="pl-PL"/>
        </w:rPr>
        <w:t>żna było</w:t>
      </w:r>
      <w:r w:rsidR="00961307" w:rsidRPr="00246717">
        <w:rPr>
          <w:lang w:val="pl-PL"/>
        </w:rPr>
        <w:t xml:space="preserve"> </w:t>
      </w:r>
      <w:r w:rsidR="005B6500" w:rsidRPr="00246717">
        <w:rPr>
          <w:lang w:val="pl-PL"/>
        </w:rPr>
        <w:t xml:space="preserve">dowieść niewinności oskarżonego, wówczas nieobecność świadka nie naruszyła rzetelności postępowania karnego (zob. </w:t>
      </w:r>
      <w:proofErr w:type="spellStart"/>
      <w:r w:rsidR="005B6500" w:rsidRPr="00246717">
        <w:rPr>
          <w:i/>
          <w:iCs/>
          <w:lang w:val="pl-PL"/>
        </w:rPr>
        <w:t>Tymchenko</w:t>
      </w:r>
      <w:proofErr w:type="spellEnd"/>
      <w:r w:rsidR="005B6500" w:rsidRPr="00246717">
        <w:rPr>
          <w:i/>
          <w:iCs/>
          <w:lang w:val="pl-PL"/>
        </w:rPr>
        <w:t xml:space="preserve"> przeciwko Ukrainie</w:t>
      </w:r>
      <w:r w:rsidR="005B6500" w:rsidRPr="00246717">
        <w:rPr>
          <w:lang w:val="pl-PL"/>
        </w:rPr>
        <w:t xml:space="preserve">, wyrok z </w:t>
      </w:r>
      <w:r w:rsidR="00957D77">
        <w:rPr>
          <w:lang w:val="pl-PL"/>
        </w:rPr>
        <w:t>dnia</w:t>
      </w:r>
      <w:r w:rsidR="005B6500" w:rsidRPr="00246717">
        <w:rPr>
          <w:lang w:val="pl-PL"/>
        </w:rPr>
        <w:t xml:space="preserve"> 13 października 2016 r., skarga nr</w:t>
      </w:r>
      <w:r w:rsidR="000825CF">
        <w:rPr>
          <w:lang w:val="pl-PL"/>
        </w:rPr>
        <w:t> </w:t>
      </w:r>
      <w:r w:rsidR="005B6500" w:rsidRPr="00246717">
        <w:rPr>
          <w:lang w:val="pl-PL"/>
        </w:rPr>
        <w:t>47351/06, §</w:t>
      </w:r>
      <w:r w:rsidR="000825CF">
        <w:rPr>
          <w:lang w:val="pl-PL"/>
        </w:rPr>
        <w:t> </w:t>
      </w:r>
      <w:r w:rsidR="005B6500" w:rsidRPr="00246717">
        <w:rPr>
          <w:lang w:val="pl-PL"/>
        </w:rPr>
        <w:t xml:space="preserve">92). Trybunał podkreślił również, że sąd krajowy nie </w:t>
      </w:r>
      <w:r w:rsidR="00961307">
        <w:rPr>
          <w:lang w:val="pl-PL"/>
        </w:rPr>
        <w:t>ma obowiązku</w:t>
      </w:r>
      <w:r w:rsidR="005B6500" w:rsidRPr="00246717">
        <w:rPr>
          <w:lang w:val="pl-PL"/>
        </w:rPr>
        <w:t xml:space="preserve"> udzielania odpowiedzi na </w:t>
      </w:r>
      <w:r w:rsidR="00961307">
        <w:rPr>
          <w:lang w:val="pl-PL"/>
        </w:rPr>
        <w:t>wyraźnie nieuzasadnione</w:t>
      </w:r>
      <w:r w:rsidR="005B6500" w:rsidRPr="00246717">
        <w:rPr>
          <w:lang w:val="pl-PL"/>
        </w:rPr>
        <w:t xml:space="preserve"> wnioski o wezwanie świadków obrony (zob. </w:t>
      </w:r>
      <w:proofErr w:type="spellStart"/>
      <w:r w:rsidR="005B6500" w:rsidRPr="00246717">
        <w:rPr>
          <w:i/>
          <w:iCs/>
          <w:lang w:val="pl-PL"/>
        </w:rPr>
        <w:t>Dorokhov</w:t>
      </w:r>
      <w:proofErr w:type="spellEnd"/>
      <w:r w:rsidR="005B6500" w:rsidRPr="00246717">
        <w:rPr>
          <w:i/>
          <w:iCs/>
          <w:lang w:val="pl-PL"/>
        </w:rPr>
        <w:t xml:space="preserve"> przeciwko Rosji</w:t>
      </w:r>
      <w:r w:rsidR="005B6500" w:rsidRPr="00246717">
        <w:rPr>
          <w:lang w:val="pl-PL"/>
        </w:rPr>
        <w:t>, wyrok z dn</w:t>
      </w:r>
      <w:r w:rsidR="000825CF">
        <w:rPr>
          <w:lang w:val="pl-PL"/>
        </w:rPr>
        <w:t>ia</w:t>
      </w:r>
      <w:r w:rsidR="005B6500" w:rsidRPr="00246717">
        <w:rPr>
          <w:lang w:val="pl-PL"/>
        </w:rPr>
        <w:t xml:space="preserve"> 14</w:t>
      </w:r>
      <w:r w:rsidR="000825CF">
        <w:rPr>
          <w:lang w:val="pl-PL"/>
        </w:rPr>
        <w:t xml:space="preserve"> </w:t>
      </w:r>
      <w:r w:rsidR="005B6500" w:rsidRPr="00246717">
        <w:rPr>
          <w:lang w:val="pl-PL"/>
        </w:rPr>
        <w:t>lutego 2008</w:t>
      </w:r>
      <w:r w:rsidR="000825CF">
        <w:rPr>
          <w:lang w:val="pl-PL"/>
        </w:rPr>
        <w:t> </w:t>
      </w:r>
      <w:r w:rsidR="005B6500" w:rsidRPr="00246717">
        <w:rPr>
          <w:lang w:val="pl-PL"/>
        </w:rPr>
        <w:t>r., skarga nr 66802/01, § 72).</w:t>
      </w:r>
    </w:p>
    <w:p w14:paraId="566398D6" w14:textId="24828BA9"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144</w:t>
      </w:r>
      <w:r w:rsidRPr="00246717">
        <w:rPr>
          <w:lang w:val="pl-PL"/>
        </w:rPr>
        <w:fldChar w:fldCharType="end"/>
      </w:r>
      <w:r w:rsidR="005B6500" w:rsidRPr="00246717">
        <w:rPr>
          <w:lang w:val="pl-PL"/>
        </w:rPr>
        <w:t>.  Skarżący spełnia wymogi przewidziane w a</w:t>
      </w:r>
      <w:r w:rsidR="00BC10FA">
        <w:rPr>
          <w:lang w:val="pl-PL"/>
        </w:rPr>
        <w:t>r</w:t>
      </w:r>
      <w:r w:rsidR="005B6500" w:rsidRPr="00246717">
        <w:rPr>
          <w:lang w:val="pl-PL"/>
        </w:rPr>
        <w:t>t.</w:t>
      </w:r>
      <w:r w:rsidR="000825CF">
        <w:rPr>
          <w:lang w:val="pl-PL"/>
        </w:rPr>
        <w:t> </w:t>
      </w:r>
      <w:r w:rsidR="005B6500" w:rsidRPr="00246717">
        <w:rPr>
          <w:lang w:val="pl-PL"/>
        </w:rPr>
        <w:t>6 ust.</w:t>
      </w:r>
      <w:r w:rsidR="000825CF">
        <w:rPr>
          <w:lang w:val="pl-PL"/>
        </w:rPr>
        <w:t> </w:t>
      </w:r>
      <w:r w:rsidR="005B6500" w:rsidRPr="00246717">
        <w:rPr>
          <w:lang w:val="pl-PL"/>
        </w:rPr>
        <w:t>3 lit.</w:t>
      </w:r>
      <w:r w:rsidR="000825CF">
        <w:rPr>
          <w:lang w:val="pl-PL"/>
        </w:rPr>
        <w:t> </w:t>
      </w:r>
      <w:r w:rsidR="005B6500" w:rsidRPr="00246717">
        <w:rPr>
          <w:lang w:val="pl-PL"/>
        </w:rPr>
        <w:t xml:space="preserve">d, jeśli przedkłada wniosek, który jest wystarczająco uzasadniony, istotny dla </w:t>
      </w:r>
      <w:r w:rsidR="005B6500" w:rsidRPr="00246717">
        <w:rPr>
          <w:lang w:val="pl-PL"/>
        </w:rPr>
        <w:lastRenderedPageBreak/>
        <w:t xml:space="preserve">przedmiotu oskarżenia i który może wzmocnić stanowisko obrony lub doprowadzić do uniewinnienia (zob. </w:t>
      </w:r>
      <w:proofErr w:type="spellStart"/>
      <w:r w:rsidR="005B6500" w:rsidRPr="00246717">
        <w:rPr>
          <w:i/>
          <w:iCs/>
          <w:lang w:val="pl-PL"/>
        </w:rPr>
        <w:t>Dorokhov</w:t>
      </w:r>
      <w:proofErr w:type="spellEnd"/>
      <w:r w:rsidR="005B6500" w:rsidRPr="00246717">
        <w:rPr>
          <w:i/>
          <w:iCs/>
          <w:lang w:val="pl-PL"/>
        </w:rPr>
        <w:t>, op.</w:t>
      </w:r>
      <w:r w:rsidR="00D35816">
        <w:rPr>
          <w:i/>
          <w:iCs/>
          <w:lang w:val="pl-PL"/>
        </w:rPr>
        <w:t xml:space="preserve"> </w:t>
      </w:r>
      <w:r w:rsidR="005B6500" w:rsidRPr="00246717">
        <w:rPr>
          <w:i/>
          <w:iCs/>
          <w:lang w:val="pl-PL"/>
        </w:rPr>
        <w:t>cit.</w:t>
      </w:r>
      <w:r w:rsidR="005B6500" w:rsidRPr="00246717">
        <w:rPr>
          <w:lang w:val="pl-PL"/>
        </w:rPr>
        <w:t>, §§ 67</w:t>
      </w:r>
      <w:r w:rsidR="000825CF">
        <w:rPr>
          <w:rFonts w:cstheme="minorHAnsi"/>
          <w:lang w:val="pl-PL"/>
        </w:rPr>
        <w:t>−</w:t>
      </w:r>
      <w:r w:rsidR="005B6500" w:rsidRPr="00246717">
        <w:rPr>
          <w:lang w:val="pl-PL"/>
        </w:rPr>
        <w:t xml:space="preserve">72, oraz </w:t>
      </w:r>
      <w:proofErr w:type="spellStart"/>
      <w:r w:rsidR="005B6500" w:rsidRPr="00246717">
        <w:rPr>
          <w:i/>
          <w:iCs/>
          <w:lang w:val="pl-PL"/>
        </w:rPr>
        <w:t>Polyakov</w:t>
      </w:r>
      <w:proofErr w:type="spellEnd"/>
      <w:r w:rsidR="005B6500" w:rsidRPr="00246717">
        <w:rPr>
          <w:lang w:val="pl-PL"/>
        </w:rPr>
        <w:t xml:space="preserve">, </w:t>
      </w:r>
      <w:r w:rsidR="005B6500" w:rsidRPr="00246717">
        <w:rPr>
          <w:i/>
          <w:iCs/>
          <w:lang w:val="pl-PL"/>
        </w:rPr>
        <w:t>op.</w:t>
      </w:r>
      <w:r w:rsidR="00D35816">
        <w:rPr>
          <w:i/>
          <w:iCs/>
          <w:lang w:val="pl-PL"/>
        </w:rPr>
        <w:t xml:space="preserve"> </w:t>
      </w:r>
      <w:r w:rsidR="005B6500" w:rsidRPr="00246717">
        <w:rPr>
          <w:i/>
          <w:iCs/>
          <w:lang w:val="pl-PL"/>
        </w:rPr>
        <w:t>cit.</w:t>
      </w:r>
      <w:r w:rsidR="005B6500" w:rsidRPr="00246717">
        <w:rPr>
          <w:lang w:val="pl-PL"/>
        </w:rPr>
        <w:t xml:space="preserve">, § 34). Skarżący muszą z wystarczającą przejrzystością wyjaśnić sądom krajowym, dlaczego przesłuchanie danego świadka jest konieczne (zob. </w:t>
      </w:r>
      <w:proofErr w:type="spellStart"/>
      <w:r w:rsidR="005B6500" w:rsidRPr="00246717">
        <w:rPr>
          <w:i/>
          <w:iCs/>
          <w:lang w:val="pl-PL"/>
        </w:rPr>
        <w:t>Miminoshvili</w:t>
      </w:r>
      <w:proofErr w:type="spellEnd"/>
      <w:r w:rsidR="005B6500" w:rsidRPr="00246717">
        <w:rPr>
          <w:i/>
          <w:iCs/>
          <w:lang w:val="pl-PL"/>
        </w:rPr>
        <w:t xml:space="preserve"> przeciwko Rosji,</w:t>
      </w:r>
      <w:r w:rsidR="005B6500" w:rsidRPr="00246717">
        <w:rPr>
          <w:lang w:val="pl-PL"/>
        </w:rPr>
        <w:t xml:space="preserve"> wyrok z dn</w:t>
      </w:r>
      <w:r w:rsidR="000825CF">
        <w:rPr>
          <w:lang w:val="pl-PL"/>
        </w:rPr>
        <w:t>ia</w:t>
      </w:r>
      <w:r w:rsidR="005B6500" w:rsidRPr="00246717">
        <w:rPr>
          <w:lang w:val="pl-PL"/>
        </w:rPr>
        <w:t xml:space="preserve"> 28</w:t>
      </w:r>
      <w:r w:rsidR="000825CF">
        <w:rPr>
          <w:lang w:val="pl-PL"/>
        </w:rPr>
        <w:t xml:space="preserve"> </w:t>
      </w:r>
      <w:r w:rsidR="005B6500" w:rsidRPr="00246717">
        <w:rPr>
          <w:lang w:val="pl-PL"/>
        </w:rPr>
        <w:t>czerwca 2011</w:t>
      </w:r>
      <w:r w:rsidR="000825CF">
        <w:rPr>
          <w:lang w:val="pl-PL"/>
        </w:rPr>
        <w:t> </w:t>
      </w:r>
      <w:r w:rsidR="005B6500" w:rsidRPr="00246717">
        <w:rPr>
          <w:lang w:val="pl-PL"/>
        </w:rPr>
        <w:t>r., skarga nr</w:t>
      </w:r>
      <w:r w:rsidR="000825CF">
        <w:rPr>
          <w:lang w:val="pl-PL"/>
        </w:rPr>
        <w:t> </w:t>
      </w:r>
      <w:r w:rsidR="005B6500" w:rsidRPr="00246717">
        <w:rPr>
          <w:lang w:val="pl-PL"/>
        </w:rPr>
        <w:t>20197/03, §</w:t>
      </w:r>
      <w:r w:rsidR="000825CF">
        <w:rPr>
          <w:lang w:val="pl-PL"/>
        </w:rPr>
        <w:t> </w:t>
      </w:r>
      <w:r w:rsidR="005B6500" w:rsidRPr="00246717">
        <w:rPr>
          <w:lang w:val="pl-PL"/>
        </w:rPr>
        <w:t>122).</w:t>
      </w:r>
    </w:p>
    <w:p w14:paraId="45EB1B27" w14:textId="7473F189"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145</w:t>
      </w:r>
      <w:r w:rsidRPr="00246717">
        <w:rPr>
          <w:lang w:val="pl-PL"/>
        </w:rPr>
        <w:fldChar w:fldCharType="end"/>
      </w:r>
      <w:r w:rsidR="005B6500" w:rsidRPr="00246717">
        <w:rPr>
          <w:lang w:val="pl-PL"/>
        </w:rPr>
        <w:t xml:space="preserve">.  Znaczenie zeznania świadka obrony </w:t>
      </w:r>
      <w:r w:rsidR="00D35816">
        <w:rPr>
          <w:lang w:val="pl-PL"/>
        </w:rPr>
        <w:t>należy oceniać</w:t>
      </w:r>
      <w:r w:rsidR="005B6500" w:rsidRPr="00246717">
        <w:rPr>
          <w:lang w:val="pl-PL"/>
        </w:rPr>
        <w:t xml:space="preserve"> w świetle </w:t>
      </w:r>
      <w:r w:rsidR="00D35816">
        <w:rPr>
          <w:lang w:val="pl-PL"/>
        </w:rPr>
        <w:t xml:space="preserve">tego, czy może mieć wpływ </w:t>
      </w:r>
      <w:r w:rsidR="005B6500" w:rsidRPr="00246717">
        <w:rPr>
          <w:lang w:val="pl-PL"/>
        </w:rPr>
        <w:t xml:space="preserve">na wynik procesu. Na przykład wezwanie świadka, który, jak się uważa, może </w:t>
      </w:r>
      <w:r w:rsidR="00D35816">
        <w:rPr>
          <w:lang w:val="pl-PL"/>
        </w:rPr>
        <w:t>potwierdzić</w:t>
      </w:r>
      <w:r w:rsidR="00D35816" w:rsidRPr="00246717">
        <w:rPr>
          <w:lang w:val="pl-PL"/>
        </w:rPr>
        <w:t xml:space="preserve"> </w:t>
      </w:r>
      <w:r w:rsidR="00D35816">
        <w:rPr>
          <w:lang w:val="pl-PL"/>
        </w:rPr>
        <w:t>wersję oskarżonego</w:t>
      </w:r>
      <w:r w:rsidR="005B6500" w:rsidRPr="00246717">
        <w:rPr>
          <w:lang w:val="pl-PL"/>
        </w:rPr>
        <w:t>, zgodnie z którym był on źle traktowan</w:t>
      </w:r>
      <w:r w:rsidR="00D35816">
        <w:rPr>
          <w:lang w:val="pl-PL"/>
        </w:rPr>
        <w:t>y</w:t>
      </w:r>
      <w:r w:rsidR="005B6500" w:rsidRPr="00246717">
        <w:rPr>
          <w:lang w:val="pl-PL"/>
        </w:rPr>
        <w:t xml:space="preserve"> w celu wymuszenia przyznania się do popełnienia przestępstwa, może nie być konieczne, jeśli sporne przyznanie się nie odegrało kluczowej roli w ustaleniu winy skarżącej (zob. </w:t>
      </w:r>
      <w:proofErr w:type="spellStart"/>
      <w:r w:rsidR="005B6500" w:rsidRPr="00246717">
        <w:rPr>
          <w:i/>
          <w:iCs/>
          <w:lang w:val="pl-PL"/>
        </w:rPr>
        <w:t>Tarasov</w:t>
      </w:r>
      <w:proofErr w:type="spellEnd"/>
      <w:r w:rsidR="005B6500" w:rsidRPr="00246717">
        <w:rPr>
          <w:i/>
          <w:iCs/>
          <w:lang w:val="pl-PL"/>
        </w:rPr>
        <w:t xml:space="preserve"> przeciwko Ukrainie</w:t>
      </w:r>
      <w:r w:rsidR="005B6500" w:rsidRPr="00246717">
        <w:rPr>
          <w:lang w:val="pl-PL"/>
        </w:rPr>
        <w:t>, wyrok z dn</w:t>
      </w:r>
      <w:r w:rsidR="000825CF">
        <w:rPr>
          <w:lang w:val="pl-PL"/>
        </w:rPr>
        <w:t>ia</w:t>
      </w:r>
      <w:r w:rsidR="005B6500" w:rsidRPr="00246717">
        <w:rPr>
          <w:lang w:val="pl-PL"/>
        </w:rPr>
        <w:t xml:space="preserve"> 31 października 2013</w:t>
      </w:r>
      <w:r w:rsidR="000825CF">
        <w:rPr>
          <w:lang w:val="pl-PL"/>
        </w:rPr>
        <w:t> </w:t>
      </w:r>
      <w:r w:rsidR="005B6500" w:rsidRPr="00246717">
        <w:rPr>
          <w:lang w:val="pl-PL"/>
        </w:rPr>
        <w:t>r., skarga nr 17416/03, §</w:t>
      </w:r>
      <w:r w:rsidR="000825CF">
        <w:rPr>
          <w:lang w:val="pl-PL"/>
        </w:rPr>
        <w:t> </w:t>
      </w:r>
      <w:r w:rsidR="005B6500" w:rsidRPr="00246717">
        <w:rPr>
          <w:lang w:val="pl-PL"/>
        </w:rPr>
        <w:t xml:space="preserve">105). Kiedy organy krajowe same uznają znaczenie zeznania świadka obrony, na przykład powołując się na jego zeznania w akcie oskarżenia i kilkakrotnie uwzględniając wnioski o wezwanie tego świadka, wówczas w przypadku, gdy w dalszym toku postępowania świadek ten nie zostanie wezwany, obrona niekoniecznie musi dostarczyć sądom krajowym dalsze szczegółowe powody jego przesłuchania (zob. </w:t>
      </w:r>
      <w:proofErr w:type="spellStart"/>
      <w:r w:rsidR="005B6500" w:rsidRPr="00246717">
        <w:rPr>
          <w:i/>
          <w:iCs/>
          <w:lang w:val="pl-PL"/>
        </w:rPr>
        <w:t>Pello</w:t>
      </w:r>
      <w:proofErr w:type="spellEnd"/>
      <w:r w:rsidR="005B6500" w:rsidRPr="00246717">
        <w:rPr>
          <w:i/>
          <w:iCs/>
          <w:lang w:val="pl-PL"/>
        </w:rPr>
        <w:t xml:space="preserve"> przeciwko Estonii</w:t>
      </w:r>
      <w:r w:rsidR="005B6500" w:rsidRPr="00246717">
        <w:rPr>
          <w:lang w:val="pl-PL"/>
        </w:rPr>
        <w:t xml:space="preserve"> wyrok z dn</w:t>
      </w:r>
      <w:r w:rsidR="000825CF">
        <w:rPr>
          <w:lang w:val="pl-PL"/>
        </w:rPr>
        <w:t>ia</w:t>
      </w:r>
      <w:r w:rsidR="005B6500" w:rsidRPr="00246717">
        <w:rPr>
          <w:lang w:val="pl-PL"/>
        </w:rPr>
        <w:t xml:space="preserve"> 12</w:t>
      </w:r>
      <w:r w:rsidR="000825CF">
        <w:rPr>
          <w:lang w:val="pl-PL"/>
        </w:rPr>
        <w:t xml:space="preserve"> </w:t>
      </w:r>
      <w:r w:rsidR="005B6500" w:rsidRPr="00246717">
        <w:rPr>
          <w:lang w:val="pl-PL"/>
        </w:rPr>
        <w:t>kwietnia 2007</w:t>
      </w:r>
      <w:r w:rsidR="000825CF">
        <w:rPr>
          <w:lang w:val="pl-PL"/>
        </w:rPr>
        <w:t> </w:t>
      </w:r>
      <w:r w:rsidR="005B6500" w:rsidRPr="00246717">
        <w:rPr>
          <w:lang w:val="pl-PL"/>
        </w:rPr>
        <w:t>r., skarga nr</w:t>
      </w:r>
      <w:r w:rsidR="000825CF">
        <w:rPr>
          <w:lang w:val="pl-PL"/>
        </w:rPr>
        <w:t> </w:t>
      </w:r>
      <w:r w:rsidR="005B6500" w:rsidRPr="00246717">
        <w:rPr>
          <w:lang w:val="pl-PL"/>
        </w:rPr>
        <w:t>11423/03, §</w:t>
      </w:r>
      <w:r w:rsidR="000825CF">
        <w:rPr>
          <w:lang w:val="pl-PL"/>
        </w:rPr>
        <w:t> </w:t>
      </w:r>
      <w:r w:rsidR="005B6500" w:rsidRPr="00246717">
        <w:rPr>
          <w:lang w:val="pl-PL"/>
        </w:rPr>
        <w:t>33).</w:t>
      </w:r>
    </w:p>
    <w:p w14:paraId="677D7B63" w14:textId="43D5A9B3" w:rsidR="005B6500" w:rsidRPr="00246717" w:rsidRDefault="00150576" w:rsidP="000957D3">
      <w:pPr>
        <w:pStyle w:val="ECHRPara"/>
        <w:rPr>
          <w:snapToGrid w:val="0"/>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146</w:t>
      </w:r>
      <w:r w:rsidRPr="00246717">
        <w:rPr>
          <w:lang w:val="pl-PL"/>
        </w:rPr>
        <w:fldChar w:fldCharType="end"/>
      </w:r>
      <w:r w:rsidR="005B6500" w:rsidRPr="00246717">
        <w:rPr>
          <w:lang w:val="pl-PL"/>
        </w:rPr>
        <w:t xml:space="preserve">.  Jeżeli obrona wniesie o przesłuchanie świadka, który mógłby wzmocnić stanowisko obrony lub którego zeznanie mogłoby nawet </w:t>
      </w:r>
      <w:r w:rsidR="00CE506E">
        <w:rPr>
          <w:lang w:val="pl-PL"/>
        </w:rPr>
        <w:t>stanowić</w:t>
      </w:r>
      <w:r w:rsidR="00CE506E" w:rsidRPr="00246717">
        <w:rPr>
          <w:lang w:val="pl-PL"/>
        </w:rPr>
        <w:t xml:space="preserve"> </w:t>
      </w:r>
      <w:r w:rsidR="005B6500" w:rsidRPr="00246717">
        <w:rPr>
          <w:lang w:val="pl-PL"/>
        </w:rPr>
        <w:t xml:space="preserve">podstawę uniewinnienia, organy krajowe muszą </w:t>
      </w:r>
      <w:r w:rsidR="00CE506E">
        <w:rPr>
          <w:lang w:val="pl-PL"/>
        </w:rPr>
        <w:t>przedstawić</w:t>
      </w:r>
      <w:r w:rsidR="00CE506E" w:rsidRPr="00246717">
        <w:rPr>
          <w:lang w:val="pl-PL"/>
        </w:rPr>
        <w:t xml:space="preserve"> </w:t>
      </w:r>
      <w:r w:rsidR="005B6500" w:rsidRPr="00246717">
        <w:rPr>
          <w:lang w:val="pl-PL"/>
        </w:rPr>
        <w:t xml:space="preserve">istotne powody oddalenia takiego wniosku (zob. </w:t>
      </w:r>
      <w:r w:rsidR="005B6500" w:rsidRPr="00246717">
        <w:rPr>
          <w:i/>
          <w:iCs/>
          <w:lang w:val="pl-PL"/>
        </w:rPr>
        <w:t>Topić przeciwko Chorwacji</w:t>
      </w:r>
      <w:r w:rsidR="005B6500" w:rsidRPr="00246717">
        <w:rPr>
          <w:lang w:val="pl-PL"/>
        </w:rPr>
        <w:t>, wyrok z dn</w:t>
      </w:r>
      <w:r w:rsidR="000825CF">
        <w:rPr>
          <w:lang w:val="pl-PL"/>
        </w:rPr>
        <w:t>ia</w:t>
      </w:r>
      <w:r w:rsidR="005B6500" w:rsidRPr="00246717">
        <w:rPr>
          <w:lang w:val="pl-PL"/>
        </w:rPr>
        <w:t xml:space="preserve"> 10 października 2013</w:t>
      </w:r>
      <w:r w:rsidR="000825CF">
        <w:rPr>
          <w:lang w:val="pl-PL"/>
        </w:rPr>
        <w:t> </w:t>
      </w:r>
      <w:r w:rsidR="005B6500" w:rsidRPr="00246717">
        <w:rPr>
          <w:lang w:val="pl-PL"/>
        </w:rPr>
        <w:t>r., skarga nr</w:t>
      </w:r>
      <w:r w:rsidR="000825CF">
        <w:rPr>
          <w:lang w:val="pl-PL"/>
        </w:rPr>
        <w:t> </w:t>
      </w:r>
      <w:r w:rsidR="005B6500" w:rsidRPr="00246717">
        <w:rPr>
          <w:lang w:val="pl-PL"/>
        </w:rPr>
        <w:t>51355/10</w:t>
      </w:r>
      <w:r w:rsidR="005B6500" w:rsidRPr="00246717">
        <w:rPr>
          <w:snapToGrid w:val="0"/>
          <w:lang w:val="pl-PL"/>
        </w:rPr>
        <w:t>, §</w:t>
      </w:r>
      <w:r w:rsidR="000825CF">
        <w:rPr>
          <w:snapToGrid w:val="0"/>
          <w:lang w:val="pl-PL"/>
        </w:rPr>
        <w:t> </w:t>
      </w:r>
      <w:r w:rsidR="005B6500" w:rsidRPr="00246717">
        <w:rPr>
          <w:snapToGrid w:val="0"/>
          <w:lang w:val="pl-PL"/>
        </w:rPr>
        <w:t xml:space="preserve">42). W tym kontekście powołanie się przez sądy na inne fakty w sprawie, które wskazują, dlaczego świadek nie mógł dostarczyć nowych lub istotnych informacji, może być wystarczające (zob. </w:t>
      </w:r>
      <w:proofErr w:type="spellStart"/>
      <w:r w:rsidR="005B6500" w:rsidRPr="00246717">
        <w:rPr>
          <w:i/>
          <w:iCs/>
          <w:lang w:val="pl-PL"/>
        </w:rPr>
        <w:t>Sergey</w:t>
      </w:r>
      <w:proofErr w:type="spellEnd"/>
      <w:r w:rsidR="005B6500" w:rsidRPr="00246717">
        <w:rPr>
          <w:i/>
          <w:iCs/>
          <w:lang w:val="pl-PL"/>
        </w:rPr>
        <w:t xml:space="preserve"> </w:t>
      </w:r>
      <w:proofErr w:type="spellStart"/>
      <w:r w:rsidR="005B6500" w:rsidRPr="00246717">
        <w:rPr>
          <w:i/>
          <w:iCs/>
          <w:lang w:val="pl-PL"/>
        </w:rPr>
        <w:t>Afanasyev</w:t>
      </w:r>
      <w:proofErr w:type="spellEnd"/>
      <w:r w:rsidR="005B6500" w:rsidRPr="00246717">
        <w:rPr>
          <w:i/>
          <w:iCs/>
          <w:lang w:val="pl-PL"/>
        </w:rPr>
        <w:t xml:space="preserve"> przeciwko Ukrainie</w:t>
      </w:r>
      <w:r w:rsidR="005B6500" w:rsidRPr="00246717">
        <w:rPr>
          <w:lang w:val="pl-PL"/>
        </w:rPr>
        <w:t>, wyrok z dn</w:t>
      </w:r>
      <w:r w:rsidR="000825CF">
        <w:rPr>
          <w:lang w:val="pl-PL"/>
        </w:rPr>
        <w:t>ia</w:t>
      </w:r>
      <w:r w:rsidR="005B6500" w:rsidRPr="00246717">
        <w:rPr>
          <w:lang w:val="pl-PL"/>
        </w:rPr>
        <w:t xml:space="preserve"> 15 listopada 2012</w:t>
      </w:r>
      <w:r w:rsidR="000825CF">
        <w:rPr>
          <w:lang w:val="pl-PL"/>
        </w:rPr>
        <w:t> </w:t>
      </w:r>
      <w:r w:rsidR="005B6500" w:rsidRPr="00246717">
        <w:rPr>
          <w:lang w:val="pl-PL"/>
        </w:rPr>
        <w:t>r., skarga nr</w:t>
      </w:r>
      <w:r w:rsidR="000825CF">
        <w:rPr>
          <w:lang w:val="pl-PL"/>
        </w:rPr>
        <w:t> </w:t>
      </w:r>
      <w:r w:rsidR="005B6500" w:rsidRPr="00246717">
        <w:rPr>
          <w:lang w:val="pl-PL"/>
        </w:rPr>
        <w:t>48057/06</w:t>
      </w:r>
      <w:r w:rsidR="005B6500" w:rsidRPr="00246717">
        <w:rPr>
          <w:snapToGrid w:val="0"/>
          <w:lang w:val="pl-PL"/>
        </w:rPr>
        <w:t>, §</w:t>
      </w:r>
      <w:r w:rsidR="000825CF">
        <w:rPr>
          <w:snapToGrid w:val="0"/>
          <w:lang w:val="pl-PL"/>
        </w:rPr>
        <w:t> </w:t>
      </w:r>
      <w:r w:rsidR="005B6500" w:rsidRPr="00246717">
        <w:rPr>
          <w:snapToGrid w:val="0"/>
          <w:lang w:val="pl-PL"/>
        </w:rPr>
        <w:t xml:space="preserve">70, oraz </w:t>
      </w:r>
      <w:proofErr w:type="spellStart"/>
      <w:r w:rsidR="005B6500" w:rsidRPr="00246717">
        <w:rPr>
          <w:i/>
          <w:iCs/>
          <w:lang w:val="pl-PL"/>
        </w:rPr>
        <w:t>Janyr</w:t>
      </w:r>
      <w:proofErr w:type="spellEnd"/>
      <w:r w:rsidR="005B6500" w:rsidRPr="00246717">
        <w:rPr>
          <w:i/>
          <w:iCs/>
          <w:lang w:val="pl-PL"/>
        </w:rPr>
        <w:t xml:space="preserve"> przeciwko Republice Czeskiej</w:t>
      </w:r>
      <w:r w:rsidR="005B6500" w:rsidRPr="00246717">
        <w:rPr>
          <w:lang w:val="pl-PL"/>
        </w:rPr>
        <w:t>, wyrok z dn</w:t>
      </w:r>
      <w:r w:rsidR="000825CF">
        <w:rPr>
          <w:lang w:val="pl-PL"/>
        </w:rPr>
        <w:t>ia</w:t>
      </w:r>
      <w:r w:rsidR="005B6500" w:rsidRPr="00246717">
        <w:rPr>
          <w:lang w:val="pl-PL"/>
        </w:rPr>
        <w:t xml:space="preserve"> 31 października 2013</w:t>
      </w:r>
      <w:r w:rsidR="000825CF">
        <w:rPr>
          <w:lang w:val="pl-PL"/>
        </w:rPr>
        <w:t> </w:t>
      </w:r>
      <w:r w:rsidR="005B6500" w:rsidRPr="00246717">
        <w:rPr>
          <w:lang w:val="pl-PL"/>
        </w:rPr>
        <w:t>r., skarga nr</w:t>
      </w:r>
      <w:r w:rsidR="000825CF">
        <w:rPr>
          <w:lang w:val="pl-PL"/>
        </w:rPr>
        <w:t> </w:t>
      </w:r>
      <w:r w:rsidR="005B6500" w:rsidRPr="00246717">
        <w:rPr>
          <w:lang w:val="pl-PL"/>
        </w:rPr>
        <w:t>42937/08</w:t>
      </w:r>
      <w:r w:rsidR="005B6500" w:rsidRPr="00246717">
        <w:rPr>
          <w:snapToGrid w:val="0"/>
          <w:lang w:val="pl-PL"/>
        </w:rPr>
        <w:t>, §§</w:t>
      </w:r>
      <w:r w:rsidR="000825CF">
        <w:rPr>
          <w:snapToGrid w:val="0"/>
          <w:lang w:val="pl-PL"/>
        </w:rPr>
        <w:t> </w:t>
      </w:r>
      <w:r w:rsidR="005B6500" w:rsidRPr="00246717">
        <w:rPr>
          <w:snapToGrid w:val="0"/>
          <w:lang w:val="pl-PL"/>
        </w:rPr>
        <w:t>81</w:t>
      </w:r>
      <w:r w:rsidR="000825CF">
        <w:rPr>
          <w:rFonts w:cstheme="minorHAnsi"/>
          <w:snapToGrid w:val="0"/>
          <w:lang w:val="pl-PL"/>
        </w:rPr>
        <w:t>−</w:t>
      </w:r>
      <w:r w:rsidR="005B6500" w:rsidRPr="00246717">
        <w:rPr>
          <w:snapToGrid w:val="0"/>
          <w:lang w:val="pl-PL"/>
        </w:rPr>
        <w:t>82).</w:t>
      </w:r>
    </w:p>
    <w:p w14:paraId="53F36519" w14:textId="1B9E7A07"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147</w:t>
      </w:r>
      <w:r w:rsidRPr="00246717">
        <w:rPr>
          <w:lang w:val="pl-PL"/>
        </w:rPr>
        <w:fldChar w:fldCharType="end"/>
      </w:r>
      <w:r w:rsidR="005B6500" w:rsidRPr="00246717">
        <w:rPr>
          <w:lang w:val="pl-PL"/>
        </w:rPr>
        <w:t xml:space="preserve">.  Trybunał zauważył, że decyzja o wezwaniu świadka obrony </w:t>
      </w:r>
      <w:r w:rsidR="00CE506E">
        <w:rPr>
          <w:lang w:val="pl-PL"/>
        </w:rPr>
        <w:t>na pewnym etapie</w:t>
      </w:r>
      <w:r w:rsidR="005B6500" w:rsidRPr="00246717">
        <w:rPr>
          <w:lang w:val="pl-PL"/>
        </w:rPr>
        <w:t xml:space="preserve"> </w:t>
      </w:r>
      <w:r w:rsidR="00C97CD5">
        <w:rPr>
          <w:lang w:val="pl-PL"/>
        </w:rPr>
        <w:t>postępowania przygotowawczego</w:t>
      </w:r>
      <w:r w:rsidR="005B6500" w:rsidRPr="00246717">
        <w:rPr>
          <w:lang w:val="pl-PL"/>
        </w:rPr>
        <w:t xml:space="preserve"> lub </w:t>
      </w:r>
      <w:r w:rsidR="00CE506E">
        <w:rPr>
          <w:lang w:val="pl-PL"/>
        </w:rPr>
        <w:t>sądowego</w:t>
      </w:r>
      <w:r w:rsidR="00CE506E" w:rsidRPr="00246717">
        <w:rPr>
          <w:lang w:val="pl-PL"/>
        </w:rPr>
        <w:t xml:space="preserve"> </w:t>
      </w:r>
      <w:r w:rsidR="005B6500" w:rsidRPr="00246717">
        <w:rPr>
          <w:lang w:val="pl-PL"/>
        </w:rPr>
        <w:t xml:space="preserve">i późniejsza nieobecność tego świadka na </w:t>
      </w:r>
      <w:r w:rsidR="00C97CD5">
        <w:rPr>
          <w:lang w:val="pl-PL"/>
        </w:rPr>
        <w:t>rozprawie</w:t>
      </w:r>
      <w:r w:rsidR="005B6500" w:rsidRPr="00246717">
        <w:rPr>
          <w:lang w:val="pl-PL"/>
        </w:rPr>
        <w:t xml:space="preserve"> </w:t>
      </w:r>
      <w:r w:rsidR="00CE506E">
        <w:rPr>
          <w:lang w:val="pl-PL"/>
        </w:rPr>
        <w:t>wprawdzie</w:t>
      </w:r>
      <w:r w:rsidR="00CE506E" w:rsidRPr="00246717">
        <w:rPr>
          <w:lang w:val="pl-PL"/>
        </w:rPr>
        <w:t xml:space="preserve"> </w:t>
      </w:r>
      <w:r w:rsidR="00CE506E">
        <w:rPr>
          <w:lang w:val="pl-PL"/>
        </w:rPr>
        <w:t>ma znaczenie</w:t>
      </w:r>
      <w:r w:rsidR="005B6500" w:rsidRPr="00246717">
        <w:rPr>
          <w:lang w:val="pl-PL"/>
        </w:rPr>
        <w:t>, ale nie rozstrzygając</w:t>
      </w:r>
      <w:r w:rsidR="00CE506E">
        <w:rPr>
          <w:lang w:val="pl-PL"/>
        </w:rPr>
        <w:t>e</w:t>
      </w:r>
      <w:r w:rsidR="005B6500" w:rsidRPr="00246717">
        <w:rPr>
          <w:lang w:val="pl-PL"/>
        </w:rPr>
        <w:t xml:space="preserve"> (por. </w:t>
      </w:r>
      <w:proofErr w:type="spellStart"/>
      <w:r w:rsidR="005B6500" w:rsidRPr="00246717">
        <w:rPr>
          <w:i/>
          <w:iCs/>
          <w:lang w:val="pl-PL"/>
        </w:rPr>
        <w:t>Popov</w:t>
      </w:r>
      <w:proofErr w:type="spellEnd"/>
      <w:r w:rsidR="005B6500" w:rsidRPr="00246717">
        <w:rPr>
          <w:i/>
          <w:iCs/>
          <w:lang w:val="pl-PL"/>
        </w:rPr>
        <w:t xml:space="preserve"> przeciwko Rosji</w:t>
      </w:r>
      <w:r w:rsidR="005B6500" w:rsidRPr="00246717">
        <w:rPr>
          <w:lang w:val="pl-PL"/>
        </w:rPr>
        <w:t>, wyrok z dn</w:t>
      </w:r>
      <w:r w:rsidR="00C97CD5">
        <w:rPr>
          <w:lang w:val="pl-PL"/>
        </w:rPr>
        <w:t xml:space="preserve">ia </w:t>
      </w:r>
      <w:r w:rsidR="005B6500" w:rsidRPr="00246717">
        <w:rPr>
          <w:lang w:val="pl-PL"/>
        </w:rPr>
        <w:t>13 lipca 2006</w:t>
      </w:r>
      <w:r w:rsidR="00C97CD5">
        <w:rPr>
          <w:lang w:val="pl-PL"/>
        </w:rPr>
        <w:t> </w:t>
      </w:r>
      <w:r w:rsidR="005B6500" w:rsidRPr="00246717">
        <w:rPr>
          <w:lang w:val="pl-PL"/>
        </w:rPr>
        <w:t>r., skarga nr</w:t>
      </w:r>
      <w:r w:rsidR="00C97CD5">
        <w:rPr>
          <w:lang w:val="pl-PL"/>
        </w:rPr>
        <w:t> </w:t>
      </w:r>
      <w:r w:rsidR="005B6500" w:rsidRPr="00246717">
        <w:rPr>
          <w:lang w:val="pl-PL"/>
        </w:rPr>
        <w:t>26853/04, §</w:t>
      </w:r>
      <w:r w:rsidR="00C97CD5">
        <w:rPr>
          <w:lang w:val="pl-PL"/>
        </w:rPr>
        <w:t> </w:t>
      </w:r>
      <w:r w:rsidR="005B6500" w:rsidRPr="00246717">
        <w:rPr>
          <w:lang w:val="pl-PL"/>
        </w:rPr>
        <w:t>188, gdzie nieobecność świadka doprowadziła do naruszenia art.</w:t>
      </w:r>
      <w:r w:rsidR="00C97CD5">
        <w:rPr>
          <w:lang w:val="pl-PL"/>
        </w:rPr>
        <w:t> </w:t>
      </w:r>
      <w:r w:rsidR="005B6500" w:rsidRPr="00246717">
        <w:rPr>
          <w:lang w:val="pl-PL"/>
        </w:rPr>
        <w:t xml:space="preserve">6 Konwencji, oraz </w:t>
      </w:r>
      <w:proofErr w:type="spellStart"/>
      <w:r w:rsidR="005B6500" w:rsidRPr="00246717">
        <w:rPr>
          <w:i/>
          <w:iCs/>
          <w:lang w:val="pl-PL"/>
        </w:rPr>
        <w:t>Andrey</w:t>
      </w:r>
      <w:proofErr w:type="spellEnd"/>
      <w:r w:rsidR="005B6500" w:rsidRPr="00246717">
        <w:rPr>
          <w:i/>
          <w:iCs/>
          <w:lang w:val="pl-PL"/>
        </w:rPr>
        <w:t xml:space="preserve"> </w:t>
      </w:r>
      <w:proofErr w:type="spellStart"/>
      <w:r w:rsidR="005B6500" w:rsidRPr="00246717">
        <w:rPr>
          <w:i/>
          <w:iCs/>
          <w:lang w:val="pl-PL"/>
        </w:rPr>
        <w:t>Zakharov</w:t>
      </w:r>
      <w:proofErr w:type="spellEnd"/>
      <w:r w:rsidR="005B6500" w:rsidRPr="00246717">
        <w:rPr>
          <w:lang w:val="pl-PL"/>
        </w:rPr>
        <w:t xml:space="preserve"> </w:t>
      </w:r>
      <w:r w:rsidR="005B6500" w:rsidRPr="00246717">
        <w:rPr>
          <w:i/>
          <w:iCs/>
          <w:lang w:val="pl-PL"/>
        </w:rPr>
        <w:t>przeciwko Ukrainie</w:t>
      </w:r>
      <w:r w:rsidR="005B6500" w:rsidRPr="00246717">
        <w:rPr>
          <w:lang w:val="pl-PL"/>
        </w:rPr>
        <w:t>, wyrok z dn</w:t>
      </w:r>
      <w:r w:rsidR="00C97CD5">
        <w:rPr>
          <w:lang w:val="pl-PL"/>
        </w:rPr>
        <w:t>ia</w:t>
      </w:r>
      <w:r w:rsidR="005B6500" w:rsidRPr="00246717">
        <w:rPr>
          <w:lang w:val="pl-PL"/>
        </w:rPr>
        <w:t xml:space="preserve"> 7 stycznia 2016</w:t>
      </w:r>
      <w:r w:rsidR="00C97CD5">
        <w:rPr>
          <w:lang w:val="pl-PL"/>
        </w:rPr>
        <w:t> </w:t>
      </w:r>
      <w:r w:rsidR="005B6500" w:rsidRPr="00246717">
        <w:rPr>
          <w:lang w:val="pl-PL"/>
        </w:rPr>
        <w:t>r., skarga nr</w:t>
      </w:r>
      <w:r w:rsidR="00C97CD5">
        <w:rPr>
          <w:lang w:val="pl-PL"/>
        </w:rPr>
        <w:t> </w:t>
      </w:r>
      <w:r w:rsidR="005B6500" w:rsidRPr="00246717">
        <w:rPr>
          <w:lang w:val="pl-PL"/>
        </w:rPr>
        <w:t>26581/06, §§</w:t>
      </w:r>
      <w:r w:rsidR="00C97CD5">
        <w:rPr>
          <w:lang w:val="pl-PL"/>
        </w:rPr>
        <w:t> </w:t>
      </w:r>
      <w:r w:rsidR="005B6500" w:rsidRPr="00246717">
        <w:rPr>
          <w:lang w:val="pl-PL"/>
        </w:rPr>
        <w:t>61</w:t>
      </w:r>
      <w:r w:rsidR="00C97CD5">
        <w:rPr>
          <w:rFonts w:cstheme="minorHAnsi"/>
          <w:lang w:val="pl-PL"/>
        </w:rPr>
        <w:t>−</w:t>
      </w:r>
      <w:r w:rsidR="005B6500" w:rsidRPr="00246717">
        <w:rPr>
          <w:lang w:val="pl-PL"/>
        </w:rPr>
        <w:t xml:space="preserve">62, gdzie nieobecność do tego naruszenia nie doprowadziła). Kiedy jednak sądy krajowe przyjmą, przynajmniej co do zasady, że przesłuchanie świadka obrony było istotne, mają obowiązek podjęcia „skutecznych” środków w celu zagwarantowania obecności świadka na rozprawie, co najmniej poprzez wystosowanie wezwań (zob. </w:t>
      </w:r>
      <w:proofErr w:type="spellStart"/>
      <w:r w:rsidR="005B6500" w:rsidRPr="00246717">
        <w:rPr>
          <w:i/>
          <w:iCs/>
          <w:lang w:val="pl-PL"/>
        </w:rPr>
        <w:t>Polufakin</w:t>
      </w:r>
      <w:proofErr w:type="spellEnd"/>
      <w:r w:rsidR="005B6500" w:rsidRPr="00246717">
        <w:rPr>
          <w:i/>
          <w:iCs/>
          <w:lang w:val="pl-PL"/>
        </w:rPr>
        <w:t xml:space="preserve"> i</w:t>
      </w:r>
      <w:r w:rsidR="00AD63A9">
        <w:rPr>
          <w:i/>
          <w:iCs/>
          <w:lang w:val="pl-PL"/>
        </w:rPr>
        <w:t> </w:t>
      </w:r>
      <w:proofErr w:type="spellStart"/>
      <w:r w:rsidR="005B6500" w:rsidRPr="00246717">
        <w:rPr>
          <w:i/>
          <w:iCs/>
          <w:lang w:val="pl-PL"/>
        </w:rPr>
        <w:t>Chernyshev</w:t>
      </w:r>
      <w:proofErr w:type="spellEnd"/>
      <w:r w:rsidR="005B6500" w:rsidRPr="00246717">
        <w:rPr>
          <w:lang w:val="pl-PL"/>
        </w:rPr>
        <w:t xml:space="preserve"> </w:t>
      </w:r>
      <w:r w:rsidR="005B6500" w:rsidRPr="00246717">
        <w:rPr>
          <w:i/>
          <w:iCs/>
          <w:lang w:val="pl-PL"/>
        </w:rPr>
        <w:t>przeciwko Rosji</w:t>
      </w:r>
      <w:r w:rsidR="005B6500" w:rsidRPr="00246717">
        <w:rPr>
          <w:lang w:val="pl-PL"/>
        </w:rPr>
        <w:t>, wyrok z dn</w:t>
      </w:r>
      <w:r w:rsidR="00590728">
        <w:rPr>
          <w:lang w:val="pl-PL"/>
        </w:rPr>
        <w:t>ia</w:t>
      </w:r>
      <w:r w:rsidR="005B6500" w:rsidRPr="00246717">
        <w:rPr>
          <w:lang w:val="pl-PL"/>
        </w:rPr>
        <w:t xml:space="preserve"> 25września 2008</w:t>
      </w:r>
      <w:r w:rsidR="00590728">
        <w:rPr>
          <w:lang w:val="pl-PL"/>
        </w:rPr>
        <w:t> </w:t>
      </w:r>
      <w:r w:rsidR="005B6500" w:rsidRPr="00246717">
        <w:rPr>
          <w:lang w:val="pl-PL"/>
        </w:rPr>
        <w:t>r., skarga nr 30997/02, §</w:t>
      </w:r>
      <w:r w:rsidR="00590728">
        <w:rPr>
          <w:lang w:val="pl-PL"/>
        </w:rPr>
        <w:t> </w:t>
      </w:r>
      <w:r w:rsidR="005B6500" w:rsidRPr="00246717">
        <w:rPr>
          <w:lang w:val="pl-PL"/>
        </w:rPr>
        <w:t xml:space="preserve">207) lub poprzez </w:t>
      </w:r>
      <w:r w:rsidR="00CE506E">
        <w:rPr>
          <w:lang w:val="pl-PL"/>
        </w:rPr>
        <w:t>polecenie</w:t>
      </w:r>
      <w:r w:rsidR="00CE506E" w:rsidRPr="00246717">
        <w:rPr>
          <w:lang w:val="pl-PL"/>
        </w:rPr>
        <w:t xml:space="preserve"> </w:t>
      </w:r>
      <w:r w:rsidR="005B6500" w:rsidRPr="00246717">
        <w:rPr>
          <w:lang w:val="pl-PL"/>
        </w:rPr>
        <w:lastRenderedPageBreak/>
        <w:t xml:space="preserve">policji </w:t>
      </w:r>
      <w:r w:rsidR="00CE506E">
        <w:rPr>
          <w:lang w:val="pl-PL"/>
        </w:rPr>
        <w:t>przymusowego doprowadzenia</w:t>
      </w:r>
      <w:r w:rsidR="00CE506E" w:rsidRPr="00246717">
        <w:rPr>
          <w:lang w:val="pl-PL"/>
        </w:rPr>
        <w:t xml:space="preserve"> </w:t>
      </w:r>
      <w:r w:rsidR="005B6500" w:rsidRPr="00246717">
        <w:rPr>
          <w:lang w:val="pl-PL"/>
        </w:rPr>
        <w:t xml:space="preserve">świadka do </w:t>
      </w:r>
      <w:r w:rsidR="00CE506E" w:rsidRPr="00246717">
        <w:rPr>
          <w:lang w:val="pl-PL"/>
        </w:rPr>
        <w:t>sąd</w:t>
      </w:r>
      <w:r w:rsidR="00CE506E">
        <w:rPr>
          <w:lang w:val="pl-PL"/>
        </w:rPr>
        <w:t>u</w:t>
      </w:r>
      <w:r w:rsidR="00CE506E" w:rsidRPr="00246717">
        <w:rPr>
          <w:lang w:val="pl-PL"/>
        </w:rPr>
        <w:t xml:space="preserve"> </w:t>
      </w:r>
      <w:r w:rsidR="005B6500" w:rsidRPr="00246717">
        <w:rPr>
          <w:lang w:val="pl-PL"/>
        </w:rPr>
        <w:t xml:space="preserve">(zob. </w:t>
      </w:r>
      <w:proofErr w:type="spellStart"/>
      <w:r w:rsidR="005B6500" w:rsidRPr="00246717">
        <w:rPr>
          <w:i/>
          <w:iCs/>
          <w:lang w:val="pl-PL"/>
        </w:rPr>
        <w:t>Pello</w:t>
      </w:r>
      <w:proofErr w:type="spellEnd"/>
      <w:r w:rsidR="005B6500" w:rsidRPr="00246717">
        <w:rPr>
          <w:i/>
          <w:iCs/>
          <w:lang w:val="pl-PL"/>
        </w:rPr>
        <w:t>, op.</w:t>
      </w:r>
      <w:r w:rsidR="00CE506E">
        <w:rPr>
          <w:i/>
          <w:iCs/>
          <w:lang w:val="pl-PL"/>
        </w:rPr>
        <w:t xml:space="preserve"> </w:t>
      </w:r>
      <w:r w:rsidR="005B6500" w:rsidRPr="00246717">
        <w:rPr>
          <w:i/>
          <w:iCs/>
          <w:lang w:val="pl-PL"/>
        </w:rPr>
        <w:t>cit.</w:t>
      </w:r>
      <w:r w:rsidR="005B6500" w:rsidRPr="00246717">
        <w:rPr>
          <w:lang w:val="pl-PL"/>
        </w:rPr>
        <w:t>, §</w:t>
      </w:r>
      <w:r w:rsidR="00590728">
        <w:rPr>
          <w:lang w:val="pl-PL"/>
        </w:rPr>
        <w:t> </w:t>
      </w:r>
      <w:r w:rsidR="005B6500" w:rsidRPr="00246717">
        <w:rPr>
          <w:lang w:val="pl-PL"/>
        </w:rPr>
        <w:t>34).</w:t>
      </w:r>
    </w:p>
    <w:p w14:paraId="3B7A4BA5" w14:textId="2ED57DF2"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148</w:t>
      </w:r>
      <w:r w:rsidRPr="00246717">
        <w:rPr>
          <w:lang w:val="pl-PL"/>
        </w:rPr>
        <w:fldChar w:fldCharType="end"/>
      </w:r>
      <w:r w:rsidR="005B6500" w:rsidRPr="00246717">
        <w:rPr>
          <w:lang w:val="pl-PL"/>
        </w:rPr>
        <w:t xml:space="preserve">.  Jedynie </w:t>
      </w:r>
      <w:r w:rsidR="00D65A25" w:rsidRPr="00246717">
        <w:rPr>
          <w:lang w:val="pl-PL"/>
        </w:rPr>
        <w:t>wyjątkow</w:t>
      </w:r>
      <w:r w:rsidR="00D65A25">
        <w:rPr>
          <w:lang w:val="pl-PL"/>
        </w:rPr>
        <w:t>e</w:t>
      </w:r>
      <w:r w:rsidR="00D65A25" w:rsidRPr="00246717">
        <w:rPr>
          <w:lang w:val="pl-PL"/>
        </w:rPr>
        <w:t xml:space="preserve"> </w:t>
      </w:r>
      <w:r w:rsidR="005B6500" w:rsidRPr="00246717">
        <w:rPr>
          <w:lang w:val="pl-PL"/>
        </w:rPr>
        <w:t>okoliczności</w:t>
      </w:r>
      <w:r w:rsidR="00D65A25">
        <w:rPr>
          <w:lang w:val="pl-PL"/>
        </w:rPr>
        <w:t xml:space="preserve"> mogą skłonić</w:t>
      </w:r>
      <w:r w:rsidR="005B6500" w:rsidRPr="00246717">
        <w:rPr>
          <w:lang w:val="pl-PL"/>
        </w:rPr>
        <w:t xml:space="preserve"> Trybunał </w:t>
      </w:r>
      <w:r w:rsidR="00D65A25">
        <w:rPr>
          <w:lang w:val="pl-PL"/>
        </w:rPr>
        <w:t xml:space="preserve">do </w:t>
      </w:r>
      <w:r w:rsidR="005413A6" w:rsidRPr="00246717">
        <w:rPr>
          <w:lang w:val="pl-PL"/>
        </w:rPr>
        <w:t>stwierdz</w:t>
      </w:r>
      <w:r w:rsidR="00D65A25">
        <w:rPr>
          <w:lang w:val="pl-PL"/>
        </w:rPr>
        <w:t>enia</w:t>
      </w:r>
      <w:r w:rsidR="005B6500" w:rsidRPr="00246717">
        <w:rPr>
          <w:lang w:val="pl-PL"/>
        </w:rPr>
        <w:t>, że brak przesłuchania świadka był niezgodny z postanowieniami art.</w:t>
      </w:r>
      <w:r w:rsidR="00590728">
        <w:rPr>
          <w:lang w:val="pl-PL"/>
        </w:rPr>
        <w:t> </w:t>
      </w:r>
      <w:r w:rsidR="005B6500" w:rsidRPr="00246717">
        <w:rPr>
          <w:lang w:val="pl-PL"/>
        </w:rPr>
        <w:t xml:space="preserve">6 Konwencji (zob. </w:t>
      </w:r>
      <w:proofErr w:type="spellStart"/>
      <w:r w:rsidR="005B6500" w:rsidRPr="00246717">
        <w:rPr>
          <w:i/>
          <w:iCs/>
          <w:lang w:val="pl-PL"/>
        </w:rPr>
        <w:t>Bricmont</w:t>
      </w:r>
      <w:proofErr w:type="spellEnd"/>
      <w:r w:rsidR="005B6500" w:rsidRPr="00246717">
        <w:rPr>
          <w:i/>
          <w:iCs/>
          <w:lang w:val="pl-PL"/>
        </w:rPr>
        <w:t xml:space="preserve"> przeciwko Belgii</w:t>
      </w:r>
      <w:r w:rsidR="005B6500" w:rsidRPr="00246717">
        <w:rPr>
          <w:lang w:val="pl-PL"/>
        </w:rPr>
        <w:t>, wyrok z dn</w:t>
      </w:r>
      <w:r w:rsidR="00590728">
        <w:rPr>
          <w:lang w:val="pl-PL"/>
        </w:rPr>
        <w:t>ia</w:t>
      </w:r>
      <w:r w:rsidR="005B6500" w:rsidRPr="00246717">
        <w:rPr>
          <w:lang w:val="pl-PL"/>
        </w:rPr>
        <w:t xml:space="preserve"> 7 lipca 1989</w:t>
      </w:r>
      <w:r w:rsidR="00590728">
        <w:rPr>
          <w:lang w:val="pl-PL"/>
        </w:rPr>
        <w:t> </w:t>
      </w:r>
      <w:r w:rsidR="005B6500" w:rsidRPr="00246717">
        <w:rPr>
          <w:lang w:val="pl-PL"/>
        </w:rPr>
        <w:t>r., §</w:t>
      </w:r>
      <w:r w:rsidR="00590728">
        <w:rPr>
          <w:lang w:val="pl-PL"/>
        </w:rPr>
        <w:t> </w:t>
      </w:r>
      <w:r w:rsidR="005B6500" w:rsidRPr="00246717">
        <w:rPr>
          <w:lang w:val="pl-PL"/>
        </w:rPr>
        <w:t>89, Seria A nr 158). Oddalenie wniosku bez podania powodów albo „milczenie” sądów krajowych w odniesieniu do wystarczająco uzasadnionego i istotnego wniosku o wezwanie świadka obrony niekoniecznie prowadzi do stwierdzenia naruszenia art.</w:t>
      </w:r>
      <w:r w:rsidR="00C56EF9">
        <w:rPr>
          <w:lang w:val="pl-PL"/>
        </w:rPr>
        <w:t> </w:t>
      </w:r>
      <w:r w:rsidR="005B6500" w:rsidRPr="00246717">
        <w:rPr>
          <w:lang w:val="pl-PL"/>
        </w:rPr>
        <w:t xml:space="preserve">6 (zob. </w:t>
      </w:r>
      <w:proofErr w:type="spellStart"/>
      <w:r w:rsidR="005B6500" w:rsidRPr="00246717">
        <w:rPr>
          <w:i/>
          <w:iCs/>
          <w:lang w:val="pl-PL"/>
        </w:rPr>
        <w:t>Dorokhov</w:t>
      </w:r>
      <w:proofErr w:type="spellEnd"/>
      <w:r w:rsidR="005B6500" w:rsidRPr="00246717">
        <w:rPr>
          <w:lang w:val="pl-PL"/>
        </w:rPr>
        <w:t xml:space="preserve">, </w:t>
      </w:r>
      <w:r w:rsidR="005B6500" w:rsidRPr="00246717">
        <w:rPr>
          <w:i/>
          <w:iCs/>
          <w:lang w:val="pl-PL"/>
        </w:rPr>
        <w:t>op.</w:t>
      </w:r>
      <w:r w:rsidR="005413A6">
        <w:rPr>
          <w:i/>
          <w:iCs/>
          <w:lang w:val="pl-PL"/>
        </w:rPr>
        <w:t xml:space="preserve"> </w:t>
      </w:r>
      <w:r w:rsidR="005B6500" w:rsidRPr="00246717">
        <w:rPr>
          <w:i/>
          <w:iCs/>
          <w:lang w:val="pl-PL"/>
        </w:rPr>
        <w:t>cit.</w:t>
      </w:r>
      <w:r w:rsidR="005B6500" w:rsidRPr="00246717">
        <w:rPr>
          <w:lang w:val="pl-PL"/>
        </w:rPr>
        <w:t>, §§</w:t>
      </w:r>
      <w:r w:rsidR="00C56EF9">
        <w:rPr>
          <w:lang w:val="pl-PL"/>
        </w:rPr>
        <w:t> </w:t>
      </w:r>
      <w:r w:rsidR="005B6500" w:rsidRPr="00246717">
        <w:rPr>
          <w:lang w:val="pl-PL"/>
        </w:rPr>
        <w:t>74</w:t>
      </w:r>
      <w:r w:rsidR="00C56EF9">
        <w:rPr>
          <w:lang w:val="pl-PL"/>
        </w:rPr>
        <w:t xml:space="preserve"> </w:t>
      </w:r>
      <w:r w:rsidR="00C56EF9">
        <w:rPr>
          <w:rFonts w:cstheme="minorHAnsi"/>
          <w:lang w:val="pl-PL"/>
        </w:rPr>
        <w:t>−</w:t>
      </w:r>
      <w:r w:rsidR="005B6500" w:rsidRPr="00246717">
        <w:rPr>
          <w:lang w:val="pl-PL"/>
        </w:rPr>
        <w:t>75). Ogólna rzetelność postępowania stanowi nadrzędne kryterium na gruncie art.</w:t>
      </w:r>
      <w:r w:rsidR="00C56EF9">
        <w:rPr>
          <w:lang w:val="pl-PL"/>
        </w:rPr>
        <w:t> </w:t>
      </w:r>
      <w:r w:rsidR="005B6500" w:rsidRPr="00246717">
        <w:rPr>
          <w:lang w:val="pl-PL"/>
        </w:rPr>
        <w:t xml:space="preserve">6, dlatego skarżący musi wykazać nie tylko, że dany świadek obrony nie został przesłuchany, ale też że przesłuchanie tego świadka było konieczne </w:t>
      </w:r>
      <w:r w:rsidR="005B6500" w:rsidRPr="00246717">
        <w:rPr>
          <w:i/>
          <w:iCs/>
          <w:lang w:val="pl-PL"/>
        </w:rPr>
        <w:t xml:space="preserve">oraz </w:t>
      </w:r>
      <w:r w:rsidR="005B6500" w:rsidRPr="00246717">
        <w:rPr>
          <w:lang w:val="pl-PL"/>
        </w:rPr>
        <w:t xml:space="preserve">że odmowa wezwania świadka stanowiła naruszenie praw obrony (zob. </w:t>
      </w:r>
      <w:proofErr w:type="spellStart"/>
      <w:r w:rsidR="005B6500" w:rsidRPr="00246717">
        <w:rPr>
          <w:i/>
          <w:iCs/>
          <w:lang w:val="pl-PL"/>
        </w:rPr>
        <w:t>Guilloury</w:t>
      </w:r>
      <w:proofErr w:type="spellEnd"/>
      <w:r w:rsidR="005B6500" w:rsidRPr="00246717">
        <w:rPr>
          <w:i/>
          <w:iCs/>
          <w:lang w:val="pl-PL"/>
        </w:rPr>
        <w:t xml:space="preserve"> przeciwko Francji</w:t>
      </w:r>
      <w:r w:rsidR="005B6500" w:rsidRPr="00246717">
        <w:rPr>
          <w:lang w:val="pl-PL"/>
        </w:rPr>
        <w:t>, wyrok z dn</w:t>
      </w:r>
      <w:r w:rsidR="00C56EF9">
        <w:rPr>
          <w:lang w:val="pl-PL"/>
        </w:rPr>
        <w:t>ia</w:t>
      </w:r>
      <w:r w:rsidR="005B6500" w:rsidRPr="00246717">
        <w:rPr>
          <w:lang w:val="pl-PL"/>
        </w:rPr>
        <w:t xml:space="preserve"> 22 czerwca 2006</w:t>
      </w:r>
      <w:r w:rsidR="00C56EF9">
        <w:rPr>
          <w:lang w:val="pl-PL"/>
        </w:rPr>
        <w:t> </w:t>
      </w:r>
      <w:r w:rsidR="005B6500" w:rsidRPr="00246717">
        <w:rPr>
          <w:lang w:val="pl-PL"/>
        </w:rPr>
        <w:t>r., skarga nr</w:t>
      </w:r>
      <w:r w:rsidR="00C56EF9">
        <w:rPr>
          <w:lang w:val="pl-PL"/>
        </w:rPr>
        <w:t> </w:t>
      </w:r>
      <w:r w:rsidR="005B6500" w:rsidRPr="00246717">
        <w:rPr>
          <w:lang w:val="pl-PL"/>
        </w:rPr>
        <w:t>62236/00, §</w:t>
      </w:r>
      <w:r w:rsidR="00C56EF9">
        <w:rPr>
          <w:lang w:val="pl-PL"/>
        </w:rPr>
        <w:t> </w:t>
      </w:r>
      <w:r w:rsidR="005B6500" w:rsidRPr="00246717">
        <w:rPr>
          <w:lang w:val="pl-PL"/>
        </w:rPr>
        <w:t>55, i</w:t>
      </w:r>
      <w:r w:rsidR="00AD63A9">
        <w:rPr>
          <w:lang w:val="pl-PL"/>
        </w:rPr>
        <w:t> </w:t>
      </w:r>
      <w:r w:rsidR="005B6500" w:rsidRPr="00246717">
        <w:rPr>
          <w:lang w:val="pl-PL"/>
        </w:rPr>
        <w:t>przytoczone tam orzecznictwo).</w:t>
      </w:r>
    </w:p>
    <w:bookmarkStart w:id="122" w:name="RoleOfTheCourt"/>
    <w:p w14:paraId="5DB4D16E" w14:textId="42835869" w:rsidR="0016329D" w:rsidRPr="00246717" w:rsidRDefault="00150576" w:rsidP="000957D3">
      <w:pPr>
        <w:pStyle w:val="ECHRPara"/>
        <w:rPr>
          <w:lang w:val="pl-PL"/>
        </w:rPr>
      </w:pPr>
      <w:r w:rsidRPr="00246717">
        <w:rPr>
          <w:lang w:val="pl-PL"/>
        </w:rPr>
        <w:fldChar w:fldCharType="begin"/>
      </w:r>
      <w:r w:rsidR="0016329D" w:rsidRPr="00246717">
        <w:rPr>
          <w:lang w:val="pl-PL"/>
        </w:rPr>
        <w:instrText xml:space="preserve"> SEQ level0 \*arabic </w:instrText>
      </w:r>
      <w:r w:rsidRPr="00246717">
        <w:rPr>
          <w:lang w:val="pl-PL"/>
        </w:rPr>
        <w:fldChar w:fldCharType="separate"/>
      </w:r>
      <w:r w:rsidR="0016329D" w:rsidRPr="00246717">
        <w:rPr>
          <w:lang w:val="pl-PL"/>
        </w:rPr>
        <w:t>149</w:t>
      </w:r>
      <w:r w:rsidRPr="00246717">
        <w:rPr>
          <w:lang w:val="pl-PL"/>
        </w:rPr>
        <w:fldChar w:fldCharType="end"/>
      </w:r>
      <w:bookmarkEnd w:id="122"/>
      <w:r w:rsidR="0016329D" w:rsidRPr="00246717">
        <w:rPr>
          <w:lang w:val="pl-PL"/>
        </w:rPr>
        <w:t>.  Konieczne jest przypomnienie, że rolą Trybunału nie jest zajmowanie się błędami co do faktów lub błędami co do prawa</w:t>
      </w:r>
      <w:r w:rsidR="00465326">
        <w:rPr>
          <w:lang w:val="pl-PL"/>
        </w:rPr>
        <w:t>, których dopuścił się</w:t>
      </w:r>
      <w:r w:rsidR="0016329D" w:rsidRPr="00246717">
        <w:rPr>
          <w:lang w:val="pl-PL"/>
        </w:rPr>
        <w:t xml:space="preserve"> sąd krajowy, chyba że i w zakresie, w jakim mogło to spowodować naruszenie praw i wolności chronionych Konwencją (zob. </w:t>
      </w:r>
      <w:proofErr w:type="spellStart"/>
      <w:r w:rsidR="0016329D" w:rsidRPr="00246717">
        <w:rPr>
          <w:i/>
          <w:iCs/>
          <w:lang w:val="pl-PL"/>
        </w:rPr>
        <w:t>Gäfgen</w:t>
      </w:r>
      <w:proofErr w:type="spellEnd"/>
      <w:r w:rsidR="0016329D" w:rsidRPr="00246717">
        <w:rPr>
          <w:i/>
          <w:iCs/>
          <w:lang w:val="pl-PL"/>
        </w:rPr>
        <w:t xml:space="preserve"> przeciwko Niemcom</w:t>
      </w:r>
      <w:r w:rsidR="0016329D" w:rsidRPr="00246717">
        <w:rPr>
          <w:lang w:val="pl-PL"/>
        </w:rPr>
        <w:t xml:space="preserve"> [WI], skarga</w:t>
      </w:r>
      <w:r w:rsidR="00C56EF9">
        <w:rPr>
          <w:lang w:val="pl-PL"/>
        </w:rPr>
        <w:t> </w:t>
      </w:r>
      <w:r w:rsidR="0016329D" w:rsidRPr="00246717">
        <w:rPr>
          <w:lang w:val="pl-PL"/>
        </w:rPr>
        <w:t>nr 22978/05, §</w:t>
      </w:r>
      <w:r w:rsidR="00C56EF9">
        <w:rPr>
          <w:lang w:val="pl-PL"/>
        </w:rPr>
        <w:t> </w:t>
      </w:r>
      <w:r w:rsidR="0016329D" w:rsidRPr="00246717">
        <w:rPr>
          <w:lang w:val="pl-PL"/>
        </w:rPr>
        <w:t>162, ETPCz 2010). Przy ustalaniu, czy postępowanie było rzetelne, niniejszy Trybunał nie występuje w</w:t>
      </w:r>
      <w:r w:rsidR="00C56EF9">
        <w:rPr>
          <w:lang w:val="pl-PL"/>
        </w:rPr>
        <w:t> </w:t>
      </w:r>
      <w:r w:rsidR="0016329D" w:rsidRPr="00246717">
        <w:rPr>
          <w:lang w:val="pl-PL"/>
        </w:rPr>
        <w:t xml:space="preserve">charakterze sądu czwartej instancji orzekającego w przedmiocie pozyskania materiału dowodowego zgodnie z prawem, w ujęciu prawa krajowego, dopuszczalności materiału dowodowego czy winy skarżącego (zob. </w:t>
      </w:r>
      <w:r w:rsidR="0016329D" w:rsidRPr="00246717">
        <w:rPr>
          <w:i/>
          <w:iCs/>
          <w:lang w:val="pl-PL"/>
        </w:rPr>
        <w:t>mutatis mutandis</w:t>
      </w:r>
      <w:r w:rsidR="0016329D" w:rsidRPr="00246717">
        <w:rPr>
          <w:lang w:val="pl-PL"/>
        </w:rPr>
        <w:t xml:space="preserve">, </w:t>
      </w:r>
      <w:proofErr w:type="spellStart"/>
      <w:r w:rsidR="0016329D" w:rsidRPr="00246717">
        <w:rPr>
          <w:i/>
          <w:iCs/>
          <w:lang w:val="pl-PL"/>
        </w:rPr>
        <w:t>Gäfgen</w:t>
      </w:r>
      <w:proofErr w:type="spellEnd"/>
      <w:r w:rsidR="0016329D" w:rsidRPr="00246717">
        <w:rPr>
          <w:lang w:val="pl-PL"/>
        </w:rPr>
        <w:t xml:space="preserve">, </w:t>
      </w:r>
      <w:r w:rsidR="0016329D" w:rsidRPr="00246717">
        <w:rPr>
          <w:i/>
          <w:iCs/>
          <w:lang w:val="pl-PL"/>
        </w:rPr>
        <w:t>op.</w:t>
      </w:r>
      <w:r w:rsidR="00465326">
        <w:rPr>
          <w:i/>
          <w:iCs/>
          <w:lang w:val="pl-PL"/>
        </w:rPr>
        <w:t xml:space="preserve"> </w:t>
      </w:r>
      <w:r w:rsidR="0016329D" w:rsidRPr="00246717">
        <w:rPr>
          <w:i/>
          <w:iCs/>
          <w:lang w:val="pl-PL"/>
        </w:rPr>
        <w:t>cit.</w:t>
      </w:r>
      <w:r w:rsidR="0016329D" w:rsidRPr="00246717">
        <w:rPr>
          <w:lang w:val="pl-PL"/>
        </w:rPr>
        <w:t xml:space="preserve">, § 162; </w:t>
      </w:r>
      <w:proofErr w:type="spellStart"/>
      <w:r w:rsidR="0016329D" w:rsidRPr="00246717">
        <w:rPr>
          <w:i/>
          <w:iCs/>
          <w:lang w:val="pl-PL"/>
        </w:rPr>
        <w:t>Tseber</w:t>
      </w:r>
      <w:proofErr w:type="spellEnd"/>
      <w:r w:rsidR="0016329D" w:rsidRPr="00246717">
        <w:rPr>
          <w:i/>
          <w:iCs/>
          <w:lang w:val="pl-PL"/>
        </w:rPr>
        <w:t xml:space="preserve"> przeciwko Republice Czeskiej</w:t>
      </w:r>
      <w:r w:rsidR="0016329D" w:rsidRPr="00246717">
        <w:rPr>
          <w:lang w:val="pl-PL"/>
        </w:rPr>
        <w:t>, wyrok z dn</w:t>
      </w:r>
      <w:r w:rsidR="00C56EF9">
        <w:rPr>
          <w:lang w:val="pl-PL"/>
        </w:rPr>
        <w:t>ia</w:t>
      </w:r>
      <w:r w:rsidR="0016329D" w:rsidRPr="00246717">
        <w:rPr>
          <w:lang w:val="pl-PL"/>
        </w:rPr>
        <w:t xml:space="preserve"> 22 listopada 2012</w:t>
      </w:r>
      <w:r w:rsidR="00C56EF9">
        <w:rPr>
          <w:lang w:val="pl-PL"/>
        </w:rPr>
        <w:t> </w:t>
      </w:r>
      <w:r w:rsidR="0016329D" w:rsidRPr="00246717">
        <w:rPr>
          <w:lang w:val="pl-PL"/>
        </w:rPr>
        <w:t>r., skarga nr</w:t>
      </w:r>
      <w:r w:rsidR="00C56EF9">
        <w:rPr>
          <w:lang w:val="pl-PL"/>
        </w:rPr>
        <w:t> </w:t>
      </w:r>
      <w:r w:rsidR="0016329D" w:rsidRPr="00246717">
        <w:rPr>
          <w:lang w:val="pl-PL"/>
        </w:rPr>
        <w:t>46203/08, §</w:t>
      </w:r>
      <w:r w:rsidR="00C56EF9">
        <w:rPr>
          <w:lang w:val="pl-PL"/>
        </w:rPr>
        <w:t> </w:t>
      </w:r>
      <w:r w:rsidR="0016329D" w:rsidRPr="00246717">
        <w:rPr>
          <w:lang w:val="pl-PL"/>
        </w:rPr>
        <w:t xml:space="preserve">42; oraz </w:t>
      </w:r>
      <w:proofErr w:type="spellStart"/>
      <w:r w:rsidR="0016329D" w:rsidRPr="00246717">
        <w:rPr>
          <w:i/>
          <w:iCs/>
          <w:lang w:val="pl-PL"/>
        </w:rPr>
        <w:t>Nikolitsas</w:t>
      </w:r>
      <w:proofErr w:type="spellEnd"/>
      <w:r w:rsidR="0016329D" w:rsidRPr="00246717">
        <w:rPr>
          <w:i/>
          <w:iCs/>
          <w:lang w:val="pl-PL"/>
        </w:rPr>
        <w:t xml:space="preserve"> przeciwko Grecji</w:t>
      </w:r>
      <w:r w:rsidR="0016329D" w:rsidRPr="00246717">
        <w:rPr>
          <w:lang w:val="pl-PL"/>
        </w:rPr>
        <w:t>, wyrok z dn</w:t>
      </w:r>
      <w:r w:rsidR="00C56EF9">
        <w:rPr>
          <w:lang w:val="pl-PL"/>
        </w:rPr>
        <w:t>ia</w:t>
      </w:r>
      <w:r w:rsidR="0016329D" w:rsidRPr="00246717">
        <w:rPr>
          <w:lang w:val="pl-PL"/>
        </w:rPr>
        <w:t xml:space="preserve"> 3 lipca 2014</w:t>
      </w:r>
      <w:r w:rsidR="00C56EF9">
        <w:rPr>
          <w:lang w:val="pl-PL"/>
        </w:rPr>
        <w:t> </w:t>
      </w:r>
      <w:r w:rsidR="0016329D" w:rsidRPr="00246717">
        <w:rPr>
          <w:lang w:val="pl-PL"/>
        </w:rPr>
        <w:t>r., skarga nr</w:t>
      </w:r>
      <w:r w:rsidR="00C56EF9">
        <w:rPr>
          <w:lang w:val="pl-PL"/>
        </w:rPr>
        <w:t> </w:t>
      </w:r>
      <w:r w:rsidR="0016329D" w:rsidRPr="00246717">
        <w:rPr>
          <w:lang w:val="pl-PL"/>
        </w:rPr>
        <w:t>63117/09, §</w:t>
      </w:r>
      <w:r w:rsidR="00C56EF9">
        <w:rPr>
          <w:lang w:val="pl-PL"/>
        </w:rPr>
        <w:t> </w:t>
      </w:r>
      <w:r w:rsidR="0016329D" w:rsidRPr="00246717">
        <w:rPr>
          <w:lang w:val="pl-PL"/>
        </w:rPr>
        <w:t xml:space="preserve">30). Kwestie te, zgodnie z zasadą pomocniczości, wchodzą w zakres właściwości sądów krajowych. Zadaniem Trybunału nie jest orzekanie w przedmiocie tego, czy dostępne dowody były wystarczające do wydania </w:t>
      </w:r>
      <w:r w:rsidR="00465326">
        <w:rPr>
          <w:lang w:val="pl-PL"/>
        </w:rPr>
        <w:t xml:space="preserve">wobec skarżącej </w:t>
      </w:r>
      <w:r w:rsidR="0016329D" w:rsidRPr="00246717">
        <w:rPr>
          <w:lang w:val="pl-PL"/>
        </w:rPr>
        <w:t xml:space="preserve">wyroku skazującego i tym samym zastępowanie swoją oceną oceny okoliczności faktycznych </w:t>
      </w:r>
      <w:r w:rsidR="00465326">
        <w:rPr>
          <w:lang w:val="pl-PL"/>
        </w:rPr>
        <w:t>dokonanej</w:t>
      </w:r>
      <w:r w:rsidR="00465326" w:rsidRPr="00246717">
        <w:rPr>
          <w:lang w:val="pl-PL"/>
        </w:rPr>
        <w:t xml:space="preserve"> </w:t>
      </w:r>
      <w:r w:rsidR="0016329D" w:rsidRPr="00246717">
        <w:rPr>
          <w:lang w:val="pl-PL"/>
        </w:rPr>
        <w:t>przez sądy krajowe. Jedynym zadaniem Trybunału jest zbadanie, czy postępowanie przeprowadzono rzetelnie i czy w danej sprawie przestrzegano postanowień Konwencji, a zarazem uwzględnienie konkretnych okoliczności, charakteru i</w:t>
      </w:r>
      <w:r w:rsidR="00AD63A9">
        <w:rPr>
          <w:lang w:val="pl-PL"/>
        </w:rPr>
        <w:t> </w:t>
      </w:r>
      <w:r w:rsidR="0016329D" w:rsidRPr="00246717">
        <w:rPr>
          <w:lang w:val="pl-PL"/>
        </w:rPr>
        <w:t xml:space="preserve">złożoności sprawy (zob. </w:t>
      </w:r>
      <w:proofErr w:type="spellStart"/>
      <w:r w:rsidR="0016329D" w:rsidRPr="00246717">
        <w:rPr>
          <w:i/>
          <w:iCs/>
          <w:lang w:val="pl-PL"/>
        </w:rPr>
        <w:t>Taxquet</w:t>
      </w:r>
      <w:proofErr w:type="spellEnd"/>
      <w:r w:rsidR="0016329D" w:rsidRPr="00246717">
        <w:rPr>
          <w:i/>
          <w:iCs/>
          <w:lang w:val="pl-PL"/>
        </w:rPr>
        <w:t xml:space="preserve"> przeciwko Belgii </w:t>
      </w:r>
      <w:r w:rsidR="0016329D" w:rsidRPr="00246717">
        <w:rPr>
          <w:lang w:val="pl-PL"/>
        </w:rPr>
        <w:t>[WI], skarga nr</w:t>
      </w:r>
      <w:r w:rsidR="00C56EF9">
        <w:rPr>
          <w:lang w:val="pl-PL"/>
        </w:rPr>
        <w:t> </w:t>
      </w:r>
      <w:r w:rsidR="0016329D" w:rsidRPr="00246717">
        <w:rPr>
          <w:lang w:val="pl-PL"/>
        </w:rPr>
        <w:t>926/05, §</w:t>
      </w:r>
      <w:r w:rsidR="0038607C">
        <w:rPr>
          <w:lang w:val="pl-PL"/>
        </w:rPr>
        <w:t> </w:t>
      </w:r>
      <w:r w:rsidR="0016329D" w:rsidRPr="00246717">
        <w:rPr>
          <w:lang w:val="pl-PL"/>
        </w:rPr>
        <w:t xml:space="preserve">84, ETPCz 2010, oraz </w:t>
      </w:r>
      <w:r w:rsidR="0016329D" w:rsidRPr="00246717">
        <w:rPr>
          <w:i/>
          <w:iCs/>
          <w:lang w:val="pl-PL"/>
        </w:rPr>
        <w:t>Al-</w:t>
      </w:r>
      <w:proofErr w:type="spellStart"/>
      <w:r w:rsidR="0016329D" w:rsidRPr="00246717">
        <w:rPr>
          <w:i/>
          <w:iCs/>
          <w:lang w:val="pl-PL"/>
        </w:rPr>
        <w:t>Khawaja</w:t>
      </w:r>
      <w:proofErr w:type="spellEnd"/>
      <w:r w:rsidR="0016329D" w:rsidRPr="00246717">
        <w:rPr>
          <w:i/>
          <w:iCs/>
          <w:lang w:val="pl-PL"/>
        </w:rPr>
        <w:t xml:space="preserve"> i </w:t>
      </w:r>
      <w:proofErr w:type="spellStart"/>
      <w:r w:rsidR="0016329D" w:rsidRPr="00246717">
        <w:rPr>
          <w:i/>
          <w:iCs/>
          <w:lang w:val="pl-PL"/>
        </w:rPr>
        <w:t>Tahery</w:t>
      </w:r>
      <w:proofErr w:type="spellEnd"/>
      <w:r w:rsidR="0016329D" w:rsidRPr="00246717">
        <w:rPr>
          <w:lang w:val="pl-PL"/>
        </w:rPr>
        <w:t xml:space="preserve">, </w:t>
      </w:r>
      <w:r w:rsidR="0016329D" w:rsidRPr="00246717">
        <w:rPr>
          <w:i/>
          <w:iCs/>
          <w:lang w:val="pl-PL"/>
        </w:rPr>
        <w:t>op.</w:t>
      </w:r>
      <w:r w:rsidR="00465326">
        <w:rPr>
          <w:i/>
          <w:iCs/>
          <w:lang w:val="pl-PL"/>
        </w:rPr>
        <w:t xml:space="preserve"> </w:t>
      </w:r>
      <w:r w:rsidR="0016329D" w:rsidRPr="00246717">
        <w:rPr>
          <w:i/>
          <w:iCs/>
          <w:lang w:val="pl-PL"/>
        </w:rPr>
        <w:t>cit.</w:t>
      </w:r>
      <w:r w:rsidR="0016329D" w:rsidRPr="00246717">
        <w:rPr>
          <w:lang w:val="pl-PL"/>
        </w:rPr>
        <w:t>, §</w:t>
      </w:r>
      <w:r w:rsidR="00C56EF9">
        <w:rPr>
          <w:lang w:val="pl-PL"/>
        </w:rPr>
        <w:t> </w:t>
      </w:r>
      <w:r w:rsidR="0016329D" w:rsidRPr="00246717">
        <w:rPr>
          <w:lang w:val="pl-PL"/>
        </w:rPr>
        <w:t>118).</w:t>
      </w:r>
    </w:p>
    <w:p w14:paraId="7CD356A7" w14:textId="77777777" w:rsidR="00350C8E" w:rsidRPr="00246717" w:rsidRDefault="004545B4" w:rsidP="000957D3">
      <w:pPr>
        <w:pStyle w:val="ECHRHeading3"/>
        <w:rPr>
          <w:lang w:val="pl-PL"/>
        </w:rPr>
      </w:pPr>
      <w:r w:rsidRPr="00246717">
        <w:rPr>
          <w:bCs w:val="0"/>
          <w:iCs/>
          <w:lang w:val="pl-PL"/>
        </w:rPr>
        <w:t>2.  Objaśnienie zasad ogólnych</w:t>
      </w:r>
    </w:p>
    <w:p w14:paraId="52B041DF" w14:textId="02066F00"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150</w:t>
      </w:r>
      <w:r w:rsidRPr="00246717">
        <w:rPr>
          <w:lang w:val="pl-PL"/>
        </w:rPr>
        <w:fldChar w:fldCharType="end"/>
      </w:r>
      <w:r w:rsidR="005B6500" w:rsidRPr="00246717">
        <w:rPr>
          <w:lang w:val="pl-PL"/>
        </w:rPr>
        <w:t xml:space="preserve">.  Przed Wielką Izbą skarżąca wezwała Trybunał do zrewidowania standardu istniejącego w sprawie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 xml:space="preserve">ponieważ </w:t>
      </w:r>
      <w:r w:rsidR="00465326">
        <w:rPr>
          <w:lang w:val="pl-PL"/>
        </w:rPr>
        <w:t>jej zdaniem</w:t>
      </w:r>
      <w:r w:rsidR="005B6500" w:rsidRPr="00246717">
        <w:rPr>
          <w:lang w:val="pl-PL"/>
        </w:rPr>
        <w:t xml:space="preserve"> istniejące zasady były stosowane „mechanicznie”</w:t>
      </w:r>
      <w:r w:rsidR="00465326">
        <w:rPr>
          <w:lang w:val="pl-PL"/>
        </w:rPr>
        <w:t xml:space="preserve">, </w:t>
      </w:r>
      <w:r w:rsidR="005B6500" w:rsidRPr="00246717">
        <w:rPr>
          <w:lang w:val="pl-PL"/>
        </w:rPr>
        <w:t>pozbawione</w:t>
      </w:r>
      <w:r w:rsidR="009A1295">
        <w:rPr>
          <w:lang w:val="pl-PL"/>
        </w:rPr>
        <w:t xml:space="preserve"> były</w:t>
      </w:r>
      <w:r w:rsidR="005B6500" w:rsidRPr="00246717">
        <w:rPr>
          <w:lang w:val="pl-PL"/>
        </w:rPr>
        <w:t xml:space="preserve"> merytorycznych kryteriów i nakładały nadmierne obciążenie na obronę. Twierdziła, że </w:t>
      </w:r>
      <w:r w:rsidR="005B6500" w:rsidRPr="00246717">
        <w:rPr>
          <w:lang w:val="pl-PL"/>
        </w:rPr>
        <w:lastRenderedPageBreak/>
        <w:t xml:space="preserve">przepisy prawa międzynarodowego dotyczące przesłuchiwania świadków </w:t>
      </w:r>
      <w:r w:rsidR="00DC1FD1">
        <w:rPr>
          <w:lang w:val="pl-PL"/>
        </w:rPr>
        <w:t>uległy znaczącym zmianom</w:t>
      </w:r>
      <w:r w:rsidR="005B6500" w:rsidRPr="00246717">
        <w:rPr>
          <w:lang w:val="pl-PL"/>
        </w:rPr>
        <w:t xml:space="preserve"> wykraczając poza standard w sprawie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 xml:space="preserve">oraz że spoczywający na obronie ciężar wykazania konieczności wezwania konkretnego świadka do przesłuchania </w:t>
      </w:r>
      <w:r w:rsidR="00DC1FD1">
        <w:rPr>
          <w:lang w:val="pl-PL"/>
        </w:rPr>
        <w:t>uległ zmniejszeniu</w:t>
      </w:r>
      <w:r w:rsidR="005B6500" w:rsidRPr="00246717">
        <w:rPr>
          <w:lang w:val="pl-PL"/>
        </w:rPr>
        <w:t xml:space="preserve">, zaś większego znaczenia nabrało </w:t>
      </w:r>
      <w:r w:rsidR="00DC1FD1">
        <w:rPr>
          <w:lang w:val="pl-PL"/>
        </w:rPr>
        <w:t>dokonywana</w:t>
      </w:r>
      <w:r w:rsidR="00DC1FD1" w:rsidRPr="00246717">
        <w:rPr>
          <w:lang w:val="pl-PL"/>
        </w:rPr>
        <w:t xml:space="preserve"> </w:t>
      </w:r>
      <w:r w:rsidR="005B6500" w:rsidRPr="00246717">
        <w:rPr>
          <w:lang w:val="pl-PL"/>
        </w:rPr>
        <w:t xml:space="preserve">przez sąd </w:t>
      </w:r>
      <w:r w:rsidR="00DC1FD1">
        <w:rPr>
          <w:lang w:val="pl-PL"/>
        </w:rPr>
        <w:t>orzekający</w:t>
      </w:r>
      <w:r w:rsidR="005B6500" w:rsidRPr="00246717">
        <w:rPr>
          <w:lang w:val="pl-PL"/>
        </w:rPr>
        <w:t xml:space="preserve"> </w:t>
      </w:r>
      <w:r w:rsidR="00DC1FD1">
        <w:rPr>
          <w:lang w:val="pl-PL"/>
        </w:rPr>
        <w:t>ocena</w:t>
      </w:r>
      <w:r w:rsidR="00DC1FD1" w:rsidRPr="00246717">
        <w:rPr>
          <w:lang w:val="pl-PL"/>
        </w:rPr>
        <w:t xml:space="preserve"> p</w:t>
      </w:r>
      <w:r w:rsidR="00DC1FD1">
        <w:rPr>
          <w:lang w:val="pl-PL"/>
        </w:rPr>
        <w:t>rzyczyn</w:t>
      </w:r>
      <w:r w:rsidR="00DC1FD1" w:rsidRPr="00246717">
        <w:rPr>
          <w:lang w:val="pl-PL"/>
        </w:rPr>
        <w:t xml:space="preserve"> </w:t>
      </w:r>
      <w:r w:rsidR="005B6500" w:rsidRPr="00246717">
        <w:rPr>
          <w:lang w:val="pl-PL"/>
        </w:rPr>
        <w:t xml:space="preserve">niestawiennictwa i </w:t>
      </w:r>
      <w:r w:rsidR="00DC1FD1">
        <w:rPr>
          <w:lang w:val="pl-PL"/>
        </w:rPr>
        <w:t>wpływu</w:t>
      </w:r>
      <w:r w:rsidR="00DC1FD1" w:rsidRPr="00246717">
        <w:rPr>
          <w:lang w:val="pl-PL"/>
        </w:rPr>
        <w:t xml:space="preserve"> </w:t>
      </w:r>
      <w:r w:rsidR="005B6500" w:rsidRPr="00246717">
        <w:rPr>
          <w:lang w:val="pl-PL"/>
        </w:rPr>
        <w:t xml:space="preserve">niestawiennictwa </w:t>
      </w:r>
      <w:r w:rsidR="00DC1FD1">
        <w:rPr>
          <w:lang w:val="pl-PL"/>
        </w:rPr>
        <w:t>na</w:t>
      </w:r>
      <w:r w:rsidR="00DC1FD1" w:rsidRPr="00246717">
        <w:rPr>
          <w:lang w:val="pl-PL"/>
        </w:rPr>
        <w:t xml:space="preserve"> </w:t>
      </w:r>
      <w:r w:rsidR="005B6500" w:rsidRPr="00246717">
        <w:rPr>
          <w:lang w:val="pl-PL"/>
        </w:rPr>
        <w:t>ogóln</w:t>
      </w:r>
      <w:r w:rsidR="00DC1FD1">
        <w:rPr>
          <w:lang w:val="pl-PL"/>
        </w:rPr>
        <w:t>ą</w:t>
      </w:r>
      <w:r w:rsidR="005B6500" w:rsidRPr="00246717">
        <w:rPr>
          <w:lang w:val="pl-PL"/>
        </w:rPr>
        <w:t xml:space="preserve"> rzetelnoś</w:t>
      </w:r>
      <w:r w:rsidR="00DC1FD1">
        <w:rPr>
          <w:lang w:val="pl-PL"/>
        </w:rPr>
        <w:t>ć</w:t>
      </w:r>
      <w:r w:rsidR="005B6500" w:rsidRPr="00246717">
        <w:rPr>
          <w:lang w:val="pl-PL"/>
        </w:rPr>
        <w:t xml:space="preserve"> postępowania. Skarżąca powołała się między innymi na praktykę Izb Odwoławczych MTKJ i </w:t>
      </w:r>
      <w:proofErr w:type="spellStart"/>
      <w:r w:rsidR="005B6500" w:rsidRPr="00246717">
        <w:rPr>
          <w:lang w:val="pl-PL"/>
        </w:rPr>
        <w:t>Międzyamerykańskiego</w:t>
      </w:r>
      <w:proofErr w:type="spellEnd"/>
      <w:r w:rsidR="005B6500" w:rsidRPr="00246717">
        <w:rPr>
          <w:lang w:val="pl-PL"/>
        </w:rPr>
        <w:t xml:space="preserve"> Trybunału Praw Człowieka (zob. par.</w:t>
      </w:r>
      <w:r w:rsidR="009A1295">
        <w:rPr>
          <w:lang w:val="pl-PL"/>
        </w:rPr>
        <w:t> </w:t>
      </w:r>
      <w:r w:rsidR="00183E14">
        <w:fldChar w:fldCharType="begin"/>
      </w:r>
      <w:r w:rsidR="00183E14" w:rsidRPr="000473D0">
        <w:rPr>
          <w:lang w:val="pl-PL"/>
        </w:rPr>
        <w:instrText xml:space="preserve"> REF AppsReferencesIntLaw \h  \* MERGEFORMAT </w:instrText>
      </w:r>
      <w:r w:rsidR="00183E14">
        <w:fldChar w:fldCharType="separate"/>
      </w:r>
      <w:r w:rsidR="005B6500" w:rsidRPr="00246717">
        <w:rPr>
          <w:lang w:val="pl-PL"/>
        </w:rPr>
        <w:t>104</w:t>
      </w:r>
      <w:r w:rsidR="00183E14">
        <w:fldChar w:fldCharType="end"/>
      </w:r>
      <w:r w:rsidR="005B6500" w:rsidRPr="00246717">
        <w:rPr>
          <w:lang w:val="pl-PL"/>
        </w:rPr>
        <w:t xml:space="preserve"> powyżej).</w:t>
      </w:r>
    </w:p>
    <w:p w14:paraId="4EDBF5EE" w14:textId="30B8C8EC"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151</w:t>
      </w:r>
      <w:r w:rsidRPr="00246717">
        <w:rPr>
          <w:lang w:val="pl-PL"/>
        </w:rPr>
        <w:fldChar w:fldCharType="end"/>
      </w:r>
      <w:r w:rsidR="005B6500" w:rsidRPr="00246717">
        <w:rPr>
          <w:lang w:val="pl-PL"/>
        </w:rPr>
        <w:t xml:space="preserve">.  Po </w:t>
      </w:r>
      <w:r w:rsidR="00DC1FD1" w:rsidRPr="00246717">
        <w:rPr>
          <w:lang w:val="pl-PL"/>
        </w:rPr>
        <w:t>uważn</w:t>
      </w:r>
      <w:r w:rsidR="00DC1FD1">
        <w:rPr>
          <w:lang w:val="pl-PL"/>
        </w:rPr>
        <w:t>ej</w:t>
      </w:r>
      <w:r w:rsidR="00DC1FD1" w:rsidRPr="00246717">
        <w:rPr>
          <w:lang w:val="pl-PL"/>
        </w:rPr>
        <w:t xml:space="preserve"> </w:t>
      </w:r>
      <w:r w:rsidR="00DC1FD1">
        <w:rPr>
          <w:lang w:val="pl-PL"/>
        </w:rPr>
        <w:t>analizie</w:t>
      </w:r>
      <w:r w:rsidR="00DC1FD1" w:rsidRPr="00246717">
        <w:rPr>
          <w:lang w:val="pl-PL"/>
        </w:rPr>
        <w:t xml:space="preserve"> </w:t>
      </w:r>
      <w:r w:rsidR="005B6500" w:rsidRPr="00246717">
        <w:rPr>
          <w:lang w:val="pl-PL"/>
        </w:rPr>
        <w:t>praktyki innych sądów międzynarodowych, na któr</w:t>
      </w:r>
      <w:r w:rsidR="00DC1FD1">
        <w:rPr>
          <w:lang w:val="pl-PL"/>
        </w:rPr>
        <w:t>ą</w:t>
      </w:r>
      <w:r w:rsidR="005B6500" w:rsidRPr="00246717">
        <w:rPr>
          <w:lang w:val="pl-PL"/>
        </w:rPr>
        <w:t xml:space="preserve"> powołano się w uwagach, Trybunał nie stwierdził istnienia żadnych przesłanek</w:t>
      </w:r>
      <w:r w:rsidR="00DC1FD1">
        <w:rPr>
          <w:lang w:val="pl-PL"/>
        </w:rPr>
        <w:t>, które mogłyby potwierdzić</w:t>
      </w:r>
      <w:r w:rsidR="005B6500" w:rsidRPr="00246717">
        <w:rPr>
          <w:lang w:val="pl-PL"/>
        </w:rPr>
        <w:t xml:space="preserve"> </w:t>
      </w:r>
      <w:r w:rsidR="00DC1FD1">
        <w:rPr>
          <w:lang w:val="pl-PL"/>
        </w:rPr>
        <w:t xml:space="preserve">tezę </w:t>
      </w:r>
      <w:r w:rsidR="001A37A8">
        <w:rPr>
          <w:lang w:val="pl-PL"/>
        </w:rPr>
        <w:t>skarżącej. Przeciwni</w:t>
      </w:r>
      <w:r w:rsidR="005B6500" w:rsidRPr="00246717">
        <w:rPr>
          <w:lang w:val="pl-PL"/>
        </w:rPr>
        <w:t xml:space="preserve">e, </w:t>
      </w:r>
      <w:r w:rsidR="00DC1FD1">
        <w:rPr>
          <w:lang w:val="pl-PL"/>
        </w:rPr>
        <w:t xml:space="preserve">z </w:t>
      </w:r>
      <w:r w:rsidR="005B6500" w:rsidRPr="00246717">
        <w:rPr>
          <w:lang w:val="pl-PL"/>
        </w:rPr>
        <w:t>orzecznictw</w:t>
      </w:r>
      <w:r w:rsidR="00DC1FD1">
        <w:rPr>
          <w:lang w:val="pl-PL"/>
        </w:rPr>
        <w:t>a</w:t>
      </w:r>
      <w:r w:rsidR="005B6500" w:rsidRPr="00246717">
        <w:rPr>
          <w:lang w:val="pl-PL"/>
        </w:rPr>
        <w:t xml:space="preserve"> Izby Odwoławczej MTKJ i </w:t>
      </w:r>
      <w:proofErr w:type="spellStart"/>
      <w:r w:rsidR="005B6500" w:rsidRPr="00246717">
        <w:rPr>
          <w:lang w:val="pl-PL"/>
        </w:rPr>
        <w:t>Międzyamerykańskiego</w:t>
      </w:r>
      <w:proofErr w:type="spellEnd"/>
      <w:r w:rsidR="005B6500" w:rsidRPr="00246717">
        <w:rPr>
          <w:lang w:val="pl-PL"/>
        </w:rPr>
        <w:t xml:space="preserve"> Trybunału Praw Człowieka </w:t>
      </w:r>
      <w:r w:rsidR="00DC1FD1">
        <w:rPr>
          <w:lang w:val="pl-PL"/>
        </w:rPr>
        <w:t>wynika</w:t>
      </w:r>
      <w:r w:rsidR="005B6500" w:rsidRPr="00246717">
        <w:rPr>
          <w:lang w:val="pl-PL"/>
        </w:rPr>
        <w:t xml:space="preserve">, że ogólne zasady stosowane przez te trybunały </w:t>
      </w:r>
      <w:r w:rsidR="00DC1FD1">
        <w:rPr>
          <w:lang w:val="pl-PL"/>
        </w:rPr>
        <w:t>przy</w:t>
      </w:r>
      <w:r w:rsidR="00DC1FD1" w:rsidRPr="00246717">
        <w:rPr>
          <w:lang w:val="pl-PL"/>
        </w:rPr>
        <w:t xml:space="preserve"> </w:t>
      </w:r>
      <w:r w:rsidR="005B6500" w:rsidRPr="00246717">
        <w:rPr>
          <w:lang w:val="pl-PL"/>
        </w:rPr>
        <w:t>ocen</w:t>
      </w:r>
      <w:r w:rsidR="00DC1FD1">
        <w:rPr>
          <w:lang w:val="pl-PL"/>
        </w:rPr>
        <w:t>ie</w:t>
      </w:r>
      <w:r w:rsidR="005B6500" w:rsidRPr="00246717">
        <w:rPr>
          <w:lang w:val="pl-PL"/>
        </w:rPr>
        <w:t xml:space="preserve"> ogólnej rzetelności postępowań karnych są porównywalne, a nawet identyczne, z zasadami opracowanymi przez niniejszy</w:t>
      </w:r>
      <w:r w:rsidR="009A1295">
        <w:rPr>
          <w:lang w:val="pl-PL"/>
        </w:rPr>
        <w:t xml:space="preserve"> Trybunał. Ten</w:t>
      </w:r>
      <w:r w:rsidR="005B6500" w:rsidRPr="00246717">
        <w:rPr>
          <w:lang w:val="pl-PL"/>
        </w:rPr>
        <w:t xml:space="preserve"> zauważa także, że </w:t>
      </w:r>
      <w:r w:rsidR="00DC1FD1">
        <w:rPr>
          <w:lang w:val="pl-PL"/>
        </w:rPr>
        <w:t xml:space="preserve">wyżej </w:t>
      </w:r>
      <w:r w:rsidR="005B6500" w:rsidRPr="00246717">
        <w:rPr>
          <w:lang w:val="pl-PL"/>
        </w:rPr>
        <w:t>wspomniane międzynarodowe sądy obszernie powoływały się na orzecznictwo niniejszego Trybunału przy formułowaniu swoich zasad (zob. par.</w:t>
      </w:r>
      <w:r w:rsidR="009A1295">
        <w:rPr>
          <w:lang w:val="pl-PL"/>
        </w:rPr>
        <w:t> </w:t>
      </w:r>
      <w:r w:rsidR="00183E14">
        <w:fldChar w:fldCharType="begin"/>
      </w:r>
      <w:r w:rsidR="00183E14" w:rsidRPr="000473D0">
        <w:rPr>
          <w:lang w:val="pl-PL"/>
        </w:rPr>
        <w:instrText xml:space="preserve"> REF IntLMartic \h  \* MERGEFORMAT </w:instrText>
      </w:r>
      <w:r w:rsidR="00183E14">
        <w:fldChar w:fldCharType="separate"/>
      </w:r>
      <w:r w:rsidR="005B6500" w:rsidRPr="00246717">
        <w:rPr>
          <w:lang w:val="pl-PL"/>
        </w:rPr>
        <w:t>75</w:t>
      </w:r>
      <w:r w:rsidR="00183E14">
        <w:fldChar w:fldCharType="end"/>
      </w:r>
      <w:r w:rsidR="005B6500" w:rsidRPr="00246717">
        <w:rPr>
          <w:lang w:val="pl-PL"/>
        </w:rPr>
        <w:t xml:space="preserve"> i</w:t>
      </w:r>
      <w:r w:rsidR="009A1295">
        <w:rPr>
          <w:lang w:val="pl-PL"/>
        </w:rPr>
        <w:t xml:space="preserve"> </w:t>
      </w:r>
      <w:r w:rsidR="00183E14">
        <w:fldChar w:fldCharType="begin"/>
      </w:r>
      <w:r w:rsidR="00183E14" w:rsidRPr="000473D0">
        <w:rPr>
          <w:lang w:val="pl-PL"/>
        </w:rPr>
        <w:instrText xml:space="preserve"> REF IntLNorinCatriman \h  \* MERGEFORMAT </w:instrText>
      </w:r>
      <w:r w:rsidR="00183E14">
        <w:fldChar w:fldCharType="separate"/>
      </w:r>
      <w:r w:rsidR="005B6500" w:rsidRPr="00246717">
        <w:rPr>
          <w:lang w:val="pl-PL"/>
        </w:rPr>
        <w:t>81</w:t>
      </w:r>
      <w:r w:rsidR="00183E14">
        <w:fldChar w:fldCharType="end"/>
      </w:r>
      <w:r w:rsidR="005B6500" w:rsidRPr="00246717">
        <w:rPr>
          <w:lang w:val="pl-PL"/>
        </w:rPr>
        <w:t xml:space="preserve"> powyżej).</w:t>
      </w:r>
    </w:p>
    <w:p w14:paraId="67769735" w14:textId="07B0918A"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152</w:t>
      </w:r>
      <w:r w:rsidRPr="00246717">
        <w:rPr>
          <w:lang w:val="pl-PL"/>
        </w:rPr>
        <w:fldChar w:fldCharType="end"/>
      </w:r>
      <w:r w:rsidR="005B6500" w:rsidRPr="00246717">
        <w:rPr>
          <w:lang w:val="pl-PL"/>
        </w:rPr>
        <w:t xml:space="preserve">.  W związku z </w:t>
      </w:r>
      <w:r w:rsidR="00DC1FD1">
        <w:rPr>
          <w:lang w:val="pl-PL"/>
        </w:rPr>
        <w:t>powyższym</w:t>
      </w:r>
      <w:r w:rsidR="00DC1FD1" w:rsidRPr="00246717">
        <w:rPr>
          <w:lang w:val="pl-PL"/>
        </w:rPr>
        <w:t xml:space="preserve"> </w:t>
      </w:r>
      <w:r w:rsidR="005B6500" w:rsidRPr="00246717">
        <w:rPr>
          <w:lang w:val="pl-PL"/>
        </w:rPr>
        <w:t>Trybunał uznaje za stosowne w niniejszej sprawie objaśnienie ogólnych zasad dotyczących przesłuchiwania świadków obrony, sformułowanych w orzecznictwie na gruncie art.</w:t>
      </w:r>
      <w:r w:rsidR="009A1295">
        <w:rPr>
          <w:lang w:val="pl-PL"/>
        </w:rPr>
        <w:t> </w:t>
      </w:r>
      <w:r w:rsidR="005B6500" w:rsidRPr="00246717">
        <w:rPr>
          <w:lang w:val="pl-PL"/>
        </w:rPr>
        <w:t>6 ust.</w:t>
      </w:r>
      <w:r w:rsidR="009A1295">
        <w:rPr>
          <w:lang w:val="pl-PL"/>
        </w:rPr>
        <w:t> </w:t>
      </w:r>
      <w:r w:rsidR="005B6500" w:rsidRPr="00246717">
        <w:rPr>
          <w:lang w:val="pl-PL"/>
        </w:rPr>
        <w:t>1 i 3 lit.</w:t>
      </w:r>
      <w:r w:rsidR="009A1295">
        <w:rPr>
          <w:lang w:val="pl-PL"/>
        </w:rPr>
        <w:t> </w:t>
      </w:r>
      <w:r w:rsidR="005B6500" w:rsidRPr="00246717">
        <w:rPr>
          <w:lang w:val="pl-PL"/>
        </w:rPr>
        <w:t>d Konwencji.</w:t>
      </w:r>
    </w:p>
    <w:p w14:paraId="4B93ADBC" w14:textId="1BCC00E6"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153</w:t>
      </w:r>
      <w:r w:rsidRPr="00246717">
        <w:rPr>
          <w:lang w:val="pl-PL"/>
        </w:rPr>
        <w:fldChar w:fldCharType="end"/>
      </w:r>
      <w:r w:rsidR="005B6500" w:rsidRPr="00246717">
        <w:rPr>
          <w:lang w:val="pl-PL"/>
        </w:rPr>
        <w:t xml:space="preserve">.  Mający zastosowanie test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składa się z dwóch pytań: po pierwsze, czy skarżący w wystarczającym stopniu uzasadnił swój wniosek o</w:t>
      </w:r>
      <w:r w:rsidR="00AD63A9">
        <w:rPr>
          <w:lang w:val="pl-PL"/>
        </w:rPr>
        <w:t> </w:t>
      </w:r>
      <w:r w:rsidR="005B6500" w:rsidRPr="00246717">
        <w:rPr>
          <w:lang w:val="pl-PL"/>
        </w:rPr>
        <w:t xml:space="preserve">wezwanie danego świadka </w:t>
      </w:r>
      <w:r w:rsidR="00DC1FD1">
        <w:rPr>
          <w:lang w:val="pl-PL"/>
        </w:rPr>
        <w:t>powołując</w:t>
      </w:r>
      <w:r w:rsidR="005B6500" w:rsidRPr="00246717">
        <w:rPr>
          <w:lang w:val="pl-PL"/>
        </w:rPr>
        <w:t xml:space="preserve"> się na znaczenie zeznania tej osoby </w:t>
      </w:r>
      <w:r w:rsidR="009A1295">
        <w:rPr>
          <w:lang w:val="pl-PL"/>
        </w:rPr>
        <w:t>celem</w:t>
      </w:r>
      <w:r w:rsidR="005B6500" w:rsidRPr="00246717">
        <w:rPr>
          <w:lang w:val="pl-PL"/>
        </w:rPr>
        <w:t xml:space="preserve"> „ustalenia prawdy” i, po drugie, czy wyrażona przez sądy odmowa wezwania świadka naruszyła ogólną rzetelność postępowania (zob. par.</w:t>
      </w:r>
      <w:r w:rsidR="009A1295">
        <w:rPr>
          <w:lang w:val="pl-PL"/>
        </w:rPr>
        <w:t> </w:t>
      </w:r>
      <w:r w:rsidRPr="00246717">
        <w:rPr>
          <w:lang w:val="pl-PL"/>
        </w:rPr>
        <w:fldChar w:fldCharType="begin"/>
      </w:r>
      <w:r w:rsidR="005B6500" w:rsidRPr="00246717">
        <w:rPr>
          <w:lang w:val="pl-PL"/>
        </w:rPr>
        <w:instrText xml:space="preserve"> REF PernaTest \h </w:instrText>
      </w:r>
      <w:r w:rsidRPr="00246717">
        <w:rPr>
          <w:lang w:val="pl-PL"/>
        </w:rPr>
      </w:r>
      <w:r w:rsidRPr="00246717">
        <w:rPr>
          <w:lang w:val="pl-PL"/>
        </w:rPr>
        <w:fldChar w:fldCharType="separate"/>
      </w:r>
      <w:r w:rsidR="005B6500" w:rsidRPr="00246717">
        <w:rPr>
          <w:lang w:val="pl-PL"/>
        </w:rPr>
        <w:t>141</w:t>
      </w:r>
      <w:r w:rsidRPr="00246717">
        <w:rPr>
          <w:lang w:val="pl-PL"/>
        </w:rPr>
        <w:fldChar w:fldCharType="end"/>
      </w:r>
      <w:r w:rsidR="005B6500" w:rsidRPr="00246717">
        <w:rPr>
          <w:lang w:val="pl-PL"/>
        </w:rPr>
        <w:t xml:space="preserve"> powyżej).</w:t>
      </w:r>
    </w:p>
    <w:p w14:paraId="7B7CEB32" w14:textId="3DB5EFB7"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154</w:t>
      </w:r>
      <w:r w:rsidRPr="00246717">
        <w:rPr>
          <w:lang w:val="pl-PL"/>
        </w:rPr>
        <w:fldChar w:fldCharType="end"/>
      </w:r>
      <w:r w:rsidR="005B6500" w:rsidRPr="00246717">
        <w:rPr>
          <w:lang w:val="pl-PL"/>
        </w:rPr>
        <w:t xml:space="preserve">.   </w:t>
      </w:r>
      <w:r w:rsidR="00DC1FD1">
        <w:rPr>
          <w:lang w:val="pl-PL"/>
        </w:rPr>
        <w:t>Tymczasem z w</w:t>
      </w:r>
      <w:r w:rsidR="005B6500" w:rsidRPr="00246717">
        <w:rPr>
          <w:lang w:val="pl-PL"/>
        </w:rPr>
        <w:t>nikliwe</w:t>
      </w:r>
      <w:r w:rsidR="00DC1FD1">
        <w:rPr>
          <w:lang w:val="pl-PL"/>
        </w:rPr>
        <w:t>j analizy</w:t>
      </w:r>
      <w:r w:rsidR="005B6500" w:rsidRPr="00246717">
        <w:rPr>
          <w:lang w:val="pl-PL"/>
        </w:rPr>
        <w:t xml:space="preserve"> orzecznictwa </w:t>
      </w:r>
      <w:r w:rsidR="00DC1FD1">
        <w:rPr>
          <w:lang w:val="pl-PL"/>
        </w:rPr>
        <w:t>wynika</w:t>
      </w:r>
      <w:r w:rsidR="005B6500" w:rsidRPr="00246717">
        <w:rPr>
          <w:lang w:val="pl-PL"/>
        </w:rPr>
        <w:t>, że pomimo przyjmowania zazwyczaj powyższego podejścia Trybunał również systematycznie analizuje sposób, w jaki sądy krajowe orzekały w</w:t>
      </w:r>
      <w:r w:rsidR="009A1295">
        <w:rPr>
          <w:lang w:val="pl-PL"/>
        </w:rPr>
        <w:t> </w:t>
      </w:r>
      <w:r w:rsidR="005B6500" w:rsidRPr="00246717">
        <w:rPr>
          <w:lang w:val="pl-PL"/>
        </w:rPr>
        <w:t xml:space="preserve">przedmiocie wniosku dotyczącego wezwania danego świadka. </w:t>
      </w:r>
      <w:r w:rsidR="00D65A25">
        <w:rPr>
          <w:lang w:val="pl-PL"/>
        </w:rPr>
        <w:t>Sposób działania</w:t>
      </w:r>
      <w:r w:rsidR="00D65A25" w:rsidRPr="00246717">
        <w:rPr>
          <w:lang w:val="pl-PL"/>
        </w:rPr>
        <w:t xml:space="preserve"> </w:t>
      </w:r>
      <w:r w:rsidR="005B6500" w:rsidRPr="00246717">
        <w:rPr>
          <w:lang w:val="pl-PL"/>
        </w:rPr>
        <w:t>i</w:t>
      </w:r>
      <w:r w:rsidR="009A1295">
        <w:rPr>
          <w:lang w:val="pl-PL"/>
        </w:rPr>
        <w:t> </w:t>
      </w:r>
      <w:r w:rsidR="005B6500" w:rsidRPr="00246717">
        <w:rPr>
          <w:lang w:val="pl-PL"/>
        </w:rPr>
        <w:t>proces decyzyjny sądów krajowych były przedmiotem niezależnej kontroli i stanowiły istotne czynniki przeprowadzonej przez Trybunał analizy w</w:t>
      </w:r>
      <w:r w:rsidR="009A1295">
        <w:rPr>
          <w:lang w:val="pl-PL"/>
        </w:rPr>
        <w:t> </w:t>
      </w:r>
      <w:r w:rsidR="005B6500" w:rsidRPr="00246717">
        <w:rPr>
          <w:lang w:val="pl-PL"/>
        </w:rPr>
        <w:t xml:space="preserve">większości spraw przed sprawą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 xml:space="preserve">i po niej (zob. między innymi </w:t>
      </w:r>
      <w:proofErr w:type="spellStart"/>
      <w:r w:rsidR="005B6500" w:rsidRPr="00246717">
        <w:rPr>
          <w:i/>
          <w:iCs/>
          <w:lang w:val="pl-PL"/>
        </w:rPr>
        <w:t>Bricmont</w:t>
      </w:r>
      <w:proofErr w:type="spellEnd"/>
      <w:r w:rsidR="005B6500" w:rsidRPr="00246717">
        <w:rPr>
          <w:lang w:val="pl-PL"/>
        </w:rPr>
        <w:t xml:space="preserve">, </w:t>
      </w:r>
      <w:r w:rsidR="005B6500" w:rsidRPr="00246717">
        <w:rPr>
          <w:i/>
          <w:iCs/>
          <w:lang w:val="pl-PL"/>
        </w:rPr>
        <w:t>op.</w:t>
      </w:r>
      <w:r w:rsidR="00D65A25">
        <w:rPr>
          <w:i/>
          <w:iCs/>
          <w:lang w:val="pl-PL"/>
        </w:rPr>
        <w:t xml:space="preserve"> </w:t>
      </w:r>
      <w:r w:rsidR="005B6500" w:rsidRPr="00246717">
        <w:rPr>
          <w:i/>
          <w:iCs/>
          <w:lang w:val="pl-PL"/>
        </w:rPr>
        <w:t>cit.</w:t>
      </w:r>
      <w:r w:rsidR="005B6500" w:rsidRPr="00246717">
        <w:rPr>
          <w:lang w:val="pl-PL"/>
        </w:rPr>
        <w:t xml:space="preserve">, § 89; </w:t>
      </w:r>
      <w:proofErr w:type="spellStart"/>
      <w:r w:rsidR="005B6500" w:rsidRPr="00246717">
        <w:rPr>
          <w:i/>
          <w:iCs/>
          <w:lang w:val="pl-PL"/>
        </w:rPr>
        <w:t>Destrehem</w:t>
      </w:r>
      <w:proofErr w:type="spellEnd"/>
      <w:r w:rsidR="005B6500" w:rsidRPr="00246717">
        <w:rPr>
          <w:i/>
          <w:iCs/>
          <w:lang w:val="pl-PL"/>
        </w:rPr>
        <w:t xml:space="preserve"> przeciwko Francji</w:t>
      </w:r>
      <w:r w:rsidR="005B6500" w:rsidRPr="00246717">
        <w:rPr>
          <w:lang w:val="pl-PL"/>
        </w:rPr>
        <w:t>, wyrok z dn</w:t>
      </w:r>
      <w:r w:rsidR="009A1295">
        <w:rPr>
          <w:lang w:val="pl-PL"/>
        </w:rPr>
        <w:t>ia</w:t>
      </w:r>
      <w:r w:rsidR="005B6500" w:rsidRPr="00246717">
        <w:rPr>
          <w:lang w:val="pl-PL"/>
        </w:rPr>
        <w:t xml:space="preserve"> 18 maja 2004</w:t>
      </w:r>
      <w:r w:rsidR="009A1295">
        <w:rPr>
          <w:lang w:val="pl-PL"/>
        </w:rPr>
        <w:t> </w:t>
      </w:r>
      <w:r w:rsidR="005B6500" w:rsidRPr="00246717">
        <w:rPr>
          <w:lang w:val="pl-PL"/>
        </w:rPr>
        <w:t>r., skarga nr</w:t>
      </w:r>
      <w:r w:rsidR="009A1295">
        <w:rPr>
          <w:lang w:val="pl-PL"/>
        </w:rPr>
        <w:t> </w:t>
      </w:r>
      <w:r w:rsidR="005B6500" w:rsidRPr="00246717">
        <w:rPr>
          <w:lang w:val="pl-PL"/>
        </w:rPr>
        <w:t>56651/00, §§</w:t>
      </w:r>
      <w:r w:rsidR="009A1295">
        <w:rPr>
          <w:lang w:val="pl-PL"/>
        </w:rPr>
        <w:t> </w:t>
      </w:r>
      <w:r w:rsidR="005B6500" w:rsidRPr="00246717">
        <w:rPr>
          <w:lang w:val="pl-PL"/>
        </w:rPr>
        <w:t>41</w:t>
      </w:r>
      <w:r w:rsidR="009A1295">
        <w:rPr>
          <w:rFonts w:cstheme="minorHAnsi"/>
          <w:lang w:val="pl-PL"/>
        </w:rPr>
        <w:t>−</w:t>
      </w:r>
      <w:r w:rsidR="005B6500" w:rsidRPr="00246717">
        <w:rPr>
          <w:lang w:val="pl-PL"/>
        </w:rPr>
        <w:t xml:space="preserve">454; </w:t>
      </w:r>
      <w:r w:rsidR="005B6500" w:rsidRPr="00246717">
        <w:rPr>
          <w:i/>
          <w:iCs/>
          <w:lang w:val="pl-PL"/>
        </w:rPr>
        <w:t xml:space="preserve">Asci przeciwko Austrii </w:t>
      </w:r>
      <w:r w:rsidR="005B6500" w:rsidRPr="00246717">
        <w:rPr>
          <w:lang w:val="pl-PL"/>
        </w:rPr>
        <w:t>(</w:t>
      </w:r>
      <w:proofErr w:type="spellStart"/>
      <w:r w:rsidR="005B6500" w:rsidRPr="00246717">
        <w:rPr>
          <w:lang w:val="pl-PL"/>
        </w:rPr>
        <w:t>dec</w:t>
      </w:r>
      <w:proofErr w:type="spellEnd"/>
      <w:r w:rsidR="005B6500" w:rsidRPr="00246717">
        <w:rPr>
          <w:lang w:val="pl-PL"/>
        </w:rPr>
        <w:t>.), wyrok z dn</w:t>
      </w:r>
      <w:r w:rsidR="009A1295">
        <w:rPr>
          <w:lang w:val="pl-PL"/>
        </w:rPr>
        <w:t>ia</w:t>
      </w:r>
      <w:r w:rsidR="005B6500" w:rsidRPr="00246717">
        <w:rPr>
          <w:lang w:val="pl-PL"/>
        </w:rPr>
        <w:t xml:space="preserve"> 19 października 2006</w:t>
      </w:r>
      <w:r w:rsidR="009A1295">
        <w:rPr>
          <w:lang w:val="pl-PL"/>
        </w:rPr>
        <w:t> </w:t>
      </w:r>
      <w:r w:rsidR="005B6500" w:rsidRPr="00246717">
        <w:rPr>
          <w:lang w:val="pl-PL"/>
        </w:rPr>
        <w:t>r., skarga nr</w:t>
      </w:r>
      <w:r w:rsidR="009A1295">
        <w:rPr>
          <w:lang w:val="pl-PL"/>
        </w:rPr>
        <w:t> </w:t>
      </w:r>
      <w:r w:rsidR="005B6500" w:rsidRPr="00246717">
        <w:rPr>
          <w:lang w:val="pl-PL"/>
        </w:rPr>
        <w:t xml:space="preserve">4483/02; </w:t>
      </w:r>
      <w:proofErr w:type="spellStart"/>
      <w:r w:rsidR="005B6500" w:rsidRPr="00246717">
        <w:rPr>
          <w:i/>
          <w:iCs/>
          <w:lang w:val="pl-PL"/>
        </w:rPr>
        <w:t>Popov</w:t>
      </w:r>
      <w:proofErr w:type="spellEnd"/>
      <w:r w:rsidR="005B6500" w:rsidRPr="00246717">
        <w:rPr>
          <w:lang w:val="pl-PL"/>
        </w:rPr>
        <w:t xml:space="preserve">, </w:t>
      </w:r>
      <w:r w:rsidR="005B6500" w:rsidRPr="00246717">
        <w:rPr>
          <w:i/>
          <w:iCs/>
          <w:lang w:val="pl-PL"/>
        </w:rPr>
        <w:t>op.</w:t>
      </w:r>
      <w:r w:rsidR="00D65A25">
        <w:rPr>
          <w:i/>
          <w:iCs/>
          <w:lang w:val="pl-PL"/>
        </w:rPr>
        <w:t xml:space="preserve"> </w:t>
      </w:r>
      <w:r w:rsidR="005B6500" w:rsidRPr="00246717">
        <w:rPr>
          <w:i/>
          <w:iCs/>
          <w:lang w:val="pl-PL"/>
        </w:rPr>
        <w:t>cit.</w:t>
      </w:r>
      <w:r w:rsidR="005B6500" w:rsidRPr="00246717">
        <w:rPr>
          <w:lang w:val="pl-PL"/>
        </w:rPr>
        <w:t>, §</w:t>
      </w:r>
      <w:r w:rsidR="009A1295">
        <w:rPr>
          <w:lang w:val="pl-PL"/>
        </w:rPr>
        <w:t> </w:t>
      </w:r>
      <w:r w:rsidR="005B6500" w:rsidRPr="00246717">
        <w:rPr>
          <w:lang w:val="pl-PL"/>
        </w:rPr>
        <w:t xml:space="preserve">188; </w:t>
      </w:r>
      <w:proofErr w:type="spellStart"/>
      <w:r w:rsidR="005B6500" w:rsidRPr="00246717">
        <w:rPr>
          <w:i/>
          <w:iCs/>
          <w:lang w:val="pl-PL"/>
        </w:rPr>
        <w:t>Polyakov</w:t>
      </w:r>
      <w:proofErr w:type="spellEnd"/>
      <w:r w:rsidR="005B6500" w:rsidRPr="00246717">
        <w:rPr>
          <w:lang w:val="pl-PL"/>
        </w:rPr>
        <w:t xml:space="preserve">, </w:t>
      </w:r>
      <w:r w:rsidR="005B6500" w:rsidRPr="00246717">
        <w:rPr>
          <w:i/>
          <w:iCs/>
          <w:lang w:val="pl-PL"/>
        </w:rPr>
        <w:t>op.</w:t>
      </w:r>
      <w:r w:rsidR="005029D6">
        <w:rPr>
          <w:i/>
          <w:iCs/>
          <w:lang w:val="pl-PL"/>
        </w:rPr>
        <w:t xml:space="preserve"> </w:t>
      </w:r>
      <w:r w:rsidR="005B6500" w:rsidRPr="00246717">
        <w:rPr>
          <w:i/>
          <w:iCs/>
          <w:lang w:val="pl-PL"/>
        </w:rPr>
        <w:t>cit.</w:t>
      </w:r>
      <w:r w:rsidR="005B6500" w:rsidRPr="00246717">
        <w:rPr>
          <w:lang w:val="pl-PL"/>
        </w:rPr>
        <w:t>, §</w:t>
      </w:r>
      <w:r w:rsidR="009A1295">
        <w:rPr>
          <w:lang w:val="pl-PL"/>
        </w:rPr>
        <w:t> </w:t>
      </w:r>
      <w:r w:rsidR="005B6500" w:rsidRPr="00246717">
        <w:rPr>
          <w:lang w:val="pl-PL"/>
        </w:rPr>
        <w:t xml:space="preserve">35; </w:t>
      </w:r>
      <w:proofErr w:type="spellStart"/>
      <w:r w:rsidR="005B6500" w:rsidRPr="00246717">
        <w:rPr>
          <w:i/>
          <w:iCs/>
          <w:lang w:val="pl-PL"/>
        </w:rPr>
        <w:t>Tarău</w:t>
      </w:r>
      <w:proofErr w:type="spellEnd"/>
      <w:r w:rsidR="005B6500" w:rsidRPr="00246717">
        <w:rPr>
          <w:i/>
          <w:iCs/>
          <w:lang w:val="pl-PL"/>
        </w:rPr>
        <w:t xml:space="preserve"> przeciwko Rumunii</w:t>
      </w:r>
      <w:r w:rsidR="005B6500" w:rsidRPr="00246717">
        <w:rPr>
          <w:lang w:val="pl-PL"/>
        </w:rPr>
        <w:t>, wyrok z dn</w:t>
      </w:r>
      <w:r w:rsidR="009A1295">
        <w:rPr>
          <w:lang w:val="pl-PL"/>
        </w:rPr>
        <w:t>ia</w:t>
      </w:r>
      <w:r w:rsidR="005B6500" w:rsidRPr="00246717">
        <w:rPr>
          <w:lang w:val="pl-PL"/>
        </w:rPr>
        <w:t xml:space="preserve"> 24 lutego 2009</w:t>
      </w:r>
      <w:r w:rsidR="00AD63A9">
        <w:rPr>
          <w:lang w:val="pl-PL"/>
        </w:rPr>
        <w:t> </w:t>
      </w:r>
      <w:r w:rsidR="005B6500" w:rsidRPr="00246717">
        <w:rPr>
          <w:lang w:val="pl-PL"/>
        </w:rPr>
        <w:t>r., skarga nr</w:t>
      </w:r>
      <w:r w:rsidR="00AD63A9">
        <w:rPr>
          <w:lang w:val="pl-PL"/>
        </w:rPr>
        <w:t> </w:t>
      </w:r>
      <w:r w:rsidR="005B6500" w:rsidRPr="00246717">
        <w:rPr>
          <w:lang w:val="pl-PL"/>
        </w:rPr>
        <w:t xml:space="preserve">3584/02, </w:t>
      </w:r>
      <w:r w:rsidR="005B6500" w:rsidRPr="00246717">
        <w:rPr>
          <w:snapToGrid w:val="0"/>
          <w:lang w:val="pl-PL"/>
        </w:rPr>
        <w:t>§§</w:t>
      </w:r>
      <w:r w:rsidR="00AD63A9">
        <w:rPr>
          <w:snapToGrid w:val="0"/>
          <w:lang w:val="pl-PL"/>
        </w:rPr>
        <w:t> </w:t>
      </w:r>
      <w:r w:rsidR="005B6500" w:rsidRPr="00246717">
        <w:rPr>
          <w:snapToGrid w:val="0"/>
          <w:lang w:val="pl-PL"/>
        </w:rPr>
        <w:t>74</w:t>
      </w:r>
      <w:r w:rsidR="00AD63A9">
        <w:rPr>
          <w:rFonts w:cstheme="minorHAnsi"/>
          <w:snapToGrid w:val="0"/>
          <w:lang w:val="pl-PL"/>
        </w:rPr>
        <w:t>−</w:t>
      </w:r>
      <w:r w:rsidR="005B6500" w:rsidRPr="00246717">
        <w:rPr>
          <w:snapToGrid w:val="0"/>
          <w:lang w:val="pl-PL"/>
        </w:rPr>
        <w:t xml:space="preserve">76; oraz </w:t>
      </w:r>
      <w:r w:rsidR="005B6500" w:rsidRPr="00246717">
        <w:rPr>
          <w:i/>
          <w:iCs/>
          <w:lang w:val="pl-PL"/>
        </w:rPr>
        <w:t>Topić</w:t>
      </w:r>
      <w:r w:rsidR="005B6500" w:rsidRPr="00246717">
        <w:rPr>
          <w:lang w:val="pl-PL"/>
        </w:rPr>
        <w:t xml:space="preserve">, </w:t>
      </w:r>
      <w:r w:rsidR="005B6500" w:rsidRPr="00246717">
        <w:rPr>
          <w:i/>
          <w:iCs/>
          <w:lang w:val="pl-PL"/>
        </w:rPr>
        <w:t>op.</w:t>
      </w:r>
      <w:r w:rsidR="00D65A25">
        <w:rPr>
          <w:i/>
          <w:iCs/>
          <w:lang w:val="pl-PL"/>
        </w:rPr>
        <w:t xml:space="preserve"> </w:t>
      </w:r>
      <w:r w:rsidR="005B6500" w:rsidRPr="00246717">
        <w:rPr>
          <w:i/>
          <w:iCs/>
          <w:lang w:val="pl-PL"/>
        </w:rPr>
        <w:t>cit.</w:t>
      </w:r>
      <w:r w:rsidR="005B6500" w:rsidRPr="00246717">
        <w:rPr>
          <w:lang w:val="pl-PL"/>
        </w:rPr>
        <w:t>, §</w:t>
      </w:r>
      <w:r w:rsidR="00AD63A9">
        <w:rPr>
          <w:lang w:val="pl-PL"/>
        </w:rPr>
        <w:t> </w:t>
      </w:r>
      <w:r w:rsidR="005B6500" w:rsidRPr="00246717">
        <w:rPr>
          <w:lang w:val="pl-PL"/>
        </w:rPr>
        <w:t xml:space="preserve">42). </w:t>
      </w:r>
      <w:r w:rsidR="00D65A25">
        <w:rPr>
          <w:lang w:val="pl-PL"/>
        </w:rPr>
        <w:t>Przeprowadzona przez Trybunał w</w:t>
      </w:r>
      <w:r w:rsidR="005B6500" w:rsidRPr="00246717">
        <w:rPr>
          <w:lang w:val="pl-PL"/>
        </w:rPr>
        <w:t>nikliw</w:t>
      </w:r>
      <w:r w:rsidR="00D65A25">
        <w:rPr>
          <w:lang w:val="pl-PL"/>
        </w:rPr>
        <w:t>a</w:t>
      </w:r>
      <w:r w:rsidR="005B6500" w:rsidRPr="00246717">
        <w:rPr>
          <w:lang w:val="pl-PL"/>
        </w:rPr>
        <w:t xml:space="preserve"> i </w:t>
      </w:r>
      <w:r w:rsidR="00D65A25">
        <w:rPr>
          <w:lang w:val="pl-PL"/>
        </w:rPr>
        <w:t>uważna analiza</w:t>
      </w:r>
      <w:r w:rsidR="005B6500" w:rsidRPr="00246717">
        <w:rPr>
          <w:lang w:val="pl-PL"/>
        </w:rPr>
        <w:t xml:space="preserve"> uzasadnienia podanego przez sądy krajowe jest zgodn</w:t>
      </w:r>
      <w:r w:rsidR="00D65A25">
        <w:rPr>
          <w:lang w:val="pl-PL"/>
        </w:rPr>
        <w:t>a</w:t>
      </w:r>
      <w:r w:rsidR="005B6500" w:rsidRPr="00246717">
        <w:rPr>
          <w:lang w:val="pl-PL"/>
        </w:rPr>
        <w:t xml:space="preserve"> z</w:t>
      </w:r>
      <w:r w:rsidR="00AD63A9">
        <w:rPr>
          <w:lang w:val="pl-PL"/>
        </w:rPr>
        <w:t> </w:t>
      </w:r>
      <w:r w:rsidR="005B6500" w:rsidRPr="00246717">
        <w:rPr>
          <w:lang w:val="pl-PL"/>
        </w:rPr>
        <w:t xml:space="preserve">ustanowionymi zasadami: po pierwsze sądy te są najbardziej </w:t>
      </w:r>
      <w:r w:rsidR="00D65A25">
        <w:rPr>
          <w:lang w:val="pl-PL"/>
        </w:rPr>
        <w:t>właściwe do dokonania</w:t>
      </w:r>
      <w:r w:rsidR="005B6500" w:rsidRPr="00246717">
        <w:rPr>
          <w:lang w:val="pl-PL"/>
        </w:rPr>
        <w:t xml:space="preserve"> oceny znaczenia i </w:t>
      </w:r>
      <w:r w:rsidR="005B6500" w:rsidRPr="00246717">
        <w:rPr>
          <w:lang w:val="pl-PL"/>
        </w:rPr>
        <w:lastRenderedPageBreak/>
        <w:t>dopuszczalności materiału dowodowego</w:t>
      </w:r>
      <w:r w:rsidR="00D65A25">
        <w:rPr>
          <w:lang w:val="pl-PL"/>
        </w:rPr>
        <w:t xml:space="preserve"> a</w:t>
      </w:r>
      <w:r w:rsidR="005B6500" w:rsidRPr="00246717">
        <w:rPr>
          <w:lang w:val="pl-PL"/>
        </w:rPr>
        <w:t>, po drugie, jedynie nadzwyczajne okoliczności mogą skłonić Trybunał do stwierdzenia, że nieprzesłuchanie danej osoby jako świadka było niezgodne z art.</w:t>
      </w:r>
      <w:r w:rsidR="00AD63A9">
        <w:rPr>
          <w:lang w:val="pl-PL"/>
        </w:rPr>
        <w:t> </w:t>
      </w:r>
      <w:r w:rsidR="005B6500" w:rsidRPr="00246717">
        <w:rPr>
          <w:lang w:val="pl-PL"/>
        </w:rPr>
        <w:t>6 Konwencji.</w:t>
      </w:r>
    </w:p>
    <w:p w14:paraId="0257DE92" w14:textId="7B875381"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155</w:t>
      </w:r>
      <w:r w:rsidRPr="00246717">
        <w:rPr>
          <w:lang w:val="pl-PL"/>
        </w:rPr>
        <w:fldChar w:fldCharType="end"/>
      </w:r>
      <w:r w:rsidR="005B6500" w:rsidRPr="00246717">
        <w:rPr>
          <w:lang w:val="pl-PL"/>
        </w:rPr>
        <w:t>.  </w:t>
      </w:r>
      <w:r w:rsidR="00D65A25">
        <w:rPr>
          <w:lang w:val="pl-PL"/>
        </w:rPr>
        <w:t>Tym samym</w:t>
      </w:r>
      <w:r w:rsidR="00D65A25" w:rsidRPr="00246717">
        <w:rPr>
          <w:lang w:val="pl-PL"/>
        </w:rPr>
        <w:t xml:space="preserve"> </w:t>
      </w:r>
      <w:r w:rsidR="005B6500" w:rsidRPr="00246717">
        <w:rPr>
          <w:lang w:val="pl-PL"/>
        </w:rPr>
        <w:t xml:space="preserve">ustalenie, czy sądy krajowe uwzględniły znaczenie tego zeznania </w:t>
      </w:r>
      <w:r w:rsidR="00D65A25">
        <w:rPr>
          <w:lang w:val="pl-PL"/>
        </w:rPr>
        <w:t>danej</w:t>
      </w:r>
      <w:r w:rsidR="00D65A25" w:rsidRPr="00246717">
        <w:rPr>
          <w:lang w:val="pl-PL"/>
        </w:rPr>
        <w:t xml:space="preserve"> </w:t>
      </w:r>
      <w:r w:rsidR="005B6500" w:rsidRPr="00246717">
        <w:rPr>
          <w:lang w:val="pl-PL"/>
        </w:rPr>
        <w:t xml:space="preserve">osoby i </w:t>
      </w:r>
      <w:r w:rsidR="00894463">
        <w:rPr>
          <w:lang w:val="pl-PL"/>
        </w:rPr>
        <w:t>przedstawiły</w:t>
      </w:r>
      <w:r w:rsidR="00894463" w:rsidRPr="00246717">
        <w:rPr>
          <w:lang w:val="pl-PL"/>
        </w:rPr>
        <w:t xml:space="preserve"> </w:t>
      </w:r>
      <w:r w:rsidR="005B6500" w:rsidRPr="00246717">
        <w:rPr>
          <w:lang w:val="pl-PL"/>
        </w:rPr>
        <w:t xml:space="preserve">wystarczające powody do wydania orzeczenia bez przesłuchiwania świadka na </w:t>
      </w:r>
      <w:r w:rsidR="00AD63A9">
        <w:rPr>
          <w:lang w:val="pl-PL"/>
        </w:rPr>
        <w:t>rozprawie</w:t>
      </w:r>
      <w:r w:rsidR="005B6500" w:rsidRPr="00246717">
        <w:rPr>
          <w:lang w:val="pl-PL"/>
        </w:rPr>
        <w:t xml:space="preserve">, </w:t>
      </w:r>
      <w:r w:rsidR="00894463">
        <w:rPr>
          <w:lang w:val="pl-PL"/>
        </w:rPr>
        <w:t xml:space="preserve">należy </w:t>
      </w:r>
      <w:r w:rsidR="00894463" w:rsidRPr="00246717">
        <w:rPr>
          <w:lang w:val="pl-PL"/>
        </w:rPr>
        <w:t>uzna</w:t>
      </w:r>
      <w:r w:rsidR="00894463">
        <w:rPr>
          <w:lang w:val="pl-PL"/>
        </w:rPr>
        <w:t>ć</w:t>
      </w:r>
      <w:r w:rsidR="00894463" w:rsidRPr="00246717">
        <w:rPr>
          <w:lang w:val="pl-PL"/>
        </w:rPr>
        <w:t xml:space="preserve"> </w:t>
      </w:r>
      <w:r w:rsidR="005B6500" w:rsidRPr="00246717">
        <w:rPr>
          <w:lang w:val="pl-PL"/>
        </w:rPr>
        <w:t>za niezależny i integralny element testu na gruncie art.</w:t>
      </w:r>
      <w:r w:rsidR="00AD63A9">
        <w:rPr>
          <w:lang w:val="pl-PL"/>
        </w:rPr>
        <w:t> </w:t>
      </w:r>
      <w:r w:rsidR="005B6500" w:rsidRPr="00246717">
        <w:rPr>
          <w:lang w:val="pl-PL"/>
        </w:rPr>
        <w:t>6 ust. 3</w:t>
      </w:r>
      <w:r w:rsidR="00AD63A9">
        <w:rPr>
          <w:lang w:val="pl-PL"/>
        </w:rPr>
        <w:t> </w:t>
      </w:r>
      <w:r w:rsidR="005B6500" w:rsidRPr="00246717">
        <w:rPr>
          <w:lang w:val="pl-PL"/>
        </w:rPr>
        <w:t>lit. d</w:t>
      </w:r>
      <w:r w:rsidR="00AD63A9">
        <w:rPr>
          <w:lang w:val="pl-PL"/>
        </w:rPr>
        <w:t> </w:t>
      </w:r>
      <w:r w:rsidR="005B6500" w:rsidRPr="00246717">
        <w:rPr>
          <w:lang w:val="pl-PL"/>
        </w:rPr>
        <w:t>Konwencji.</w:t>
      </w:r>
    </w:p>
    <w:p w14:paraId="00022ED5" w14:textId="2DA83231"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156</w:t>
      </w:r>
      <w:r w:rsidRPr="00246717">
        <w:rPr>
          <w:lang w:val="pl-PL"/>
        </w:rPr>
        <w:fldChar w:fldCharType="end"/>
      </w:r>
      <w:r w:rsidR="005B6500" w:rsidRPr="00246717">
        <w:rPr>
          <w:lang w:val="pl-PL"/>
        </w:rPr>
        <w:t xml:space="preserve">.  Wydaje się, że sądowa </w:t>
      </w:r>
      <w:r w:rsidR="00894463">
        <w:rPr>
          <w:lang w:val="pl-PL"/>
        </w:rPr>
        <w:t xml:space="preserve">ocena </w:t>
      </w:r>
      <w:r w:rsidR="005B6500" w:rsidRPr="00246717">
        <w:rPr>
          <w:lang w:val="pl-PL"/>
        </w:rPr>
        <w:t>znaczenia zeznania świadka i</w:t>
      </w:r>
      <w:r w:rsidR="00AD63A9">
        <w:rPr>
          <w:lang w:val="pl-PL"/>
        </w:rPr>
        <w:t> </w:t>
      </w:r>
      <w:r w:rsidR="005B6500" w:rsidRPr="00246717">
        <w:rPr>
          <w:lang w:val="pl-PL"/>
        </w:rPr>
        <w:t xml:space="preserve">uzasadnienie przedstawione przez sądy krajowe w ich odpowiedzi na wniosek obrony o przesłuchanie świadka stanowią logiczny łącznik pomiędzy dwiema przesłankami testu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 xml:space="preserve">i </w:t>
      </w:r>
      <w:r w:rsidR="00894463">
        <w:rPr>
          <w:lang w:val="pl-PL"/>
        </w:rPr>
        <w:t xml:space="preserve">są </w:t>
      </w:r>
      <w:r w:rsidR="00701F92">
        <w:rPr>
          <w:lang w:val="pl-PL"/>
        </w:rPr>
        <w:t>stosowan</w:t>
      </w:r>
      <w:r w:rsidR="00894463">
        <w:rPr>
          <w:lang w:val="pl-PL"/>
        </w:rPr>
        <w:t>e</w:t>
      </w:r>
      <w:r w:rsidR="005B6500" w:rsidRPr="00246717">
        <w:rPr>
          <w:lang w:val="pl-PL"/>
        </w:rPr>
        <w:t xml:space="preserve"> jako dorozumiana przesłanka materialna tego testu. Trybunał uznaje za pożądane, w interesie przejrzystości i spójności praktyki, </w:t>
      </w:r>
      <w:r w:rsidR="00894463">
        <w:rPr>
          <w:lang w:val="pl-PL"/>
        </w:rPr>
        <w:t>by</w:t>
      </w:r>
      <w:r w:rsidR="005B6500" w:rsidRPr="00246717">
        <w:rPr>
          <w:lang w:val="pl-PL"/>
        </w:rPr>
        <w:t xml:space="preserve"> przesłank</w:t>
      </w:r>
      <w:r w:rsidR="00894463">
        <w:rPr>
          <w:lang w:val="pl-PL"/>
        </w:rPr>
        <w:t>a ta została</w:t>
      </w:r>
      <w:r w:rsidR="005B6500" w:rsidRPr="00246717">
        <w:rPr>
          <w:lang w:val="pl-PL"/>
        </w:rPr>
        <w:t xml:space="preserve"> wyrażon</w:t>
      </w:r>
      <w:r w:rsidR="00894463">
        <w:rPr>
          <w:lang w:val="pl-PL"/>
        </w:rPr>
        <w:t>a</w:t>
      </w:r>
      <w:r w:rsidR="005B6500" w:rsidRPr="00246717">
        <w:rPr>
          <w:lang w:val="pl-PL"/>
        </w:rPr>
        <w:t xml:space="preserve"> wprost (zob. podobnie </w:t>
      </w:r>
      <w:r w:rsidR="005B6500" w:rsidRPr="00246717">
        <w:rPr>
          <w:i/>
          <w:iCs/>
          <w:lang w:val="pl-PL"/>
        </w:rPr>
        <w:t xml:space="preserve">Perez przeciwko Francji </w:t>
      </w:r>
      <w:r w:rsidR="005B6500" w:rsidRPr="00246717">
        <w:rPr>
          <w:lang w:val="pl-PL"/>
        </w:rPr>
        <w:t>[WI], skarga nr</w:t>
      </w:r>
      <w:r w:rsidR="00AD63A9">
        <w:rPr>
          <w:lang w:val="pl-PL"/>
        </w:rPr>
        <w:t> </w:t>
      </w:r>
      <w:r w:rsidR="005B6500" w:rsidRPr="00246717">
        <w:rPr>
          <w:lang w:val="pl-PL"/>
        </w:rPr>
        <w:t>47287/99, §</w:t>
      </w:r>
      <w:r w:rsidR="00AD63A9">
        <w:rPr>
          <w:lang w:val="pl-PL"/>
        </w:rPr>
        <w:t> </w:t>
      </w:r>
      <w:r w:rsidR="005B6500" w:rsidRPr="00246717">
        <w:rPr>
          <w:lang w:val="pl-PL"/>
        </w:rPr>
        <w:t>54</w:t>
      </w:r>
      <w:r w:rsidR="00AD63A9">
        <w:rPr>
          <w:rFonts w:cstheme="minorHAnsi"/>
          <w:lang w:val="pl-PL"/>
        </w:rPr>
        <w:t>−</w:t>
      </w:r>
      <w:r w:rsidR="005B6500" w:rsidRPr="00246717">
        <w:rPr>
          <w:lang w:val="pl-PL"/>
        </w:rPr>
        <w:t>56, ETPCz 2004</w:t>
      </w:r>
      <w:r w:rsidR="005B6500" w:rsidRPr="00246717">
        <w:rPr>
          <w:lang w:val="pl-PL"/>
        </w:rPr>
        <w:noBreakHyphen/>
        <w:t>I).</w:t>
      </w:r>
    </w:p>
    <w:p w14:paraId="6ECB3FCD" w14:textId="123ECD37"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157</w:t>
      </w:r>
      <w:r w:rsidRPr="00246717">
        <w:rPr>
          <w:lang w:val="pl-PL"/>
        </w:rPr>
        <w:fldChar w:fldCharType="end"/>
      </w:r>
      <w:r w:rsidR="005B6500" w:rsidRPr="00246717">
        <w:rPr>
          <w:lang w:val="pl-PL"/>
        </w:rPr>
        <w:t xml:space="preserve">.   </w:t>
      </w:r>
      <w:r w:rsidR="00BD19A0">
        <w:rPr>
          <w:lang w:val="pl-PL"/>
        </w:rPr>
        <w:t>Z</w:t>
      </w:r>
      <w:r w:rsidR="005B6500" w:rsidRPr="00246717">
        <w:rPr>
          <w:lang w:val="pl-PL"/>
        </w:rPr>
        <w:t xml:space="preserve">miana </w:t>
      </w:r>
      <w:r w:rsidR="00BD19A0">
        <w:rPr>
          <w:lang w:val="pl-PL"/>
        </w:rPr>
        <w:t xml:space="preserve">ta </w:t>
      </w:r>
      <w:r w:rsidR="005B6500" w:rsidRPr="00246717">
        <w:rPr>
          <w:lang w:val="pl-PL"/>
        </w:rPr>
        <w:t xml:space="preserve">wydaje się być zgodna z </w:t>
      </w:r>
      <w:r w:rsidR="00BD19A0" w:rsidRPr="00246717">
        <w:rPr>
          <w:lang w:val="pl-PL"/>
        </w:rPr>
        <w:t>niedawn</w:t>
      </w:r>
      <w:r w:rsidR="00BD19A0">
        <w:rPr>
          <w:lang w:val="pl-PL"/>
        </w:rPr>
        <w:t>o przyjętym</w:t>
      </w:r>
      <w:r w:rsidR="00BD19A0" w:rsidRPr="00246717">
        <w:rPr>
          <w:lang w:val="pl-PL"/>
        </w:rPr>
        <w:t xml:space="preserve"> </w:t>
      </w:r>
      <w:r w:rsidR="005B6500" w:rsidRPr="00246717">
        <w:rPr>
          <w:lang w:val="pl-PL"/>
        </w:rPr>
        <w:t>orzecznictwem na gruncie art.</w:t>
      </w:r>
      <w:r w:rsidR="00701F92">
        <w:rPr>
          <w:lang w:val="pl-PL"/>
        </w:rPr>
        <w:t> </w:t>
      </w:r>
      <w:r w:rsidR="005B6500" w:rsidRPr="00246717">
        <w:rPr>
          <w:lang w:val="pl-PL"/>
        </w:rPr>
        <w:t>6 Konwencji</w:t>
      </w:r>
      <w:r w:rsidR="00BD19A0">
        <w:rPr>
          <w:lang w:val="pl-PL"/>
        </w:rPr>
        <w:t>, w którym</w:t>
      </w:r>
      <w:r w:rsidR="005B6500" w:rsidRPr="00246717">
        <w:rPr>
          <w:lang w:val="pl-PL"/>
        </w:rPr>
        <w:t xml:space="preserve"> </w:t>
      </w:r>
      <w:r w:rsidR="00BD19A0" w:rsidRPr="00246717">
        <w:rPr>
          <w:lang w:val="pl-PL"/>
        </w:rPr>
        <w:t>podkreśl</w:t>
      </w:r>
      <w:r w:rsidR="00BD19A0">
        <w:rPr>
          <w:lang w:val="pl-PL"/>
        </w:rPr>
        <w:t>ono</w:t>
      </w:r>
      <w:r w:rsidR="00BD19A0" w:rsidRPr="00246717">
        <w:rPr>
          <w:lang w:val="pl-PL"/>
        </w:rPr>
        <w:t xml:space="preserve"> </w:t>
      </w:r>
      <w:r w:rsidR="005B6500" w:rsidRPr="00246717">
        <w:rPr>
          <w:lang w:val="pl-PL"/>
        </w:rPr>
        <w:t xml:space="preserve">wagę spoczywającego na sądach krajowych obowiązku przeprowadzenia wnikliwego badania istotnych kwestii, jeżeli obrona </w:t>
      </w:r>
      <w:r w:rsidR="00BD19A0">
        <w:rPr>
          <w:lang w:val="pl-PL"/>
        </w:rPr>
        <w:t>złoży</w:t>
      </w:r>
      <w:r w:rsidR="00BD19A0" w:rsidRPr="00246717">
        <w:rPr>
          <w:lang w:val="pl-PL"/>
        </w:rPr>
        <w:t xml:space="preserve"> </w:t>
      </w:r>
      <w:r w:rsidR="005B6500" w:rsidRPr="00246717">
        <w:rPr>
          <w:lang w:val="pl-PL"/>
        </w:rPr>
        <w:t xml:space="preserve">wystarczająco uzasadniony wniosek. Na przykład Trybunał w wyroku Wielkiej Izby w sprawie </w:t>
      </w:r>
      <w:proofErr w:type="spellStart"/>
      <w:r w:rsidR="005B6500" w:rsidRPr="00246717">
        <w:rPr>
          <w:i/>
          <w:iCs/>
          <w:lang w:val="pl-PL"/>
        </w:rPr>
        <w:t>Dvorski</w:t>
      </w:r>
      <w:proofErr w:type="spellEnd"/>
      <w:r w:rsidR="005B6500" w:rsidRPr="00246717">
        <w:rPr>
          <w:i/>
          <w:iCs/>
          <w:lang w:val="pl-PL"/>
        </w:rPr>
        <w:t xml:space="preserve"> przeciwko Chorwacji </w:t>
      </w:r>
      <w:r w:rsidR="005B6500" w:rsidRPr="00246717">
        <w:rPr>
          <w:lang w:val="pl-PL"/>
        </w:rPr>
        <w:t>([WI], skarga nr 25703/11, §</w:t>
      </w:r>
      <w:r w:rsidR="00701F92">
        <w:rPr>
          <w:lang w:val="pl-PL"/>
        </w:rPr>
        <w:t> </w:t>
      </w:r>
      <w:r w:rsidR="005B6500" w:rsidRPr="00246717">
        <w:rPr>
          <w:lang w:val="pl-PL"/>
        </w:rPr>
        <w:t xml:space="preserve">109, ETPCz 2015) stwierdził, że kiedy </w:t>
      </w:r>
      <w:r w:rsidR="00BD19A0">
        <w:rPr>
          <w:lang w:val="pl-PL"/>
        </w:rPr>
        <w:t>wobec</w:t>
      </w:r>
      <w:r w:rsidR="00BD19A0" w:rsidRPr="00246717">
        <w:rPr>
          <w:lang w:val="pl-PL"/>
        </w:rPr>
        <w:t xml:space="preserve"> </w:t>
      </w:r>
      <w:r w:rsidR="005B6500" w:rsidRPr="00246717">
        <w:rPr>
          <w:lang w:val="pl-PL"/>
        </w:rPr>
        <w:t xml:space="preserve">organów krajowych </w:t>
      </w:r>
      <w:r w:rsidR="00BD19A0">
        <w:rPr>
          <w:lang w:val="pl-PL"/>
        </w:rPr>
        <w:t>skierowany zostanie zarzut</w:t>
      </w:r>
      <w:r w:rsidR="005B6500" w:rsidRPr="00246717">
        <w:rPr>
          <w:lang w:val="pl-PL"/>
        </w:rPr>
        <w:t>, któr</w:t>
      </w:r>
      <w:r w:rsidR="00553526">
        <w:rPr>
          <w:lang w:val="pl-PL"/>
        </w:rPr>
        <w:t>y</w:t>
      </w:r>
      <w:r w:rsidR="005B6500" w:rsidRPr="00246717">
        <w:rPr>
          <w:lang w:val="pl-PL"/>
        </w:rPr>
        <w:t xml:space="preserve"> może wpłynąć na ogólną rzetelność postępowania, muszą one przeprowadzić wnikliwe badanie kwestii, podjąć kroki w celu ustalenia znaczenia okoliczności, a także </w:t>
      </w:r>
      <w:r w:rsidR="00BD19A0">
        <w:rPr>
          <w:lang w:val="pl-PL"/>
        </w:rPr>
        <w:t>odpowiednio uzasadnić swoje rozstrzygnięcia</w:t>
      </w:r>
      <w:r w:rsidR="005B6500" w:rsidRPr="00246717">
        <w:rPr>
          <w:lang w:val="pl-PL"/>
        </w:rPr>
        <w:t xml:space="preserve">. Podobnie w sprawach </w:t>
      </w:r>
      <w:r w:rsidR="00BD19A0">
        <w:rPr>
          <w:lang w:val="pl-PL"/>
        </w:rPr>
        <w:t>związanych z</w:t>
      </w:r>
      <w:r w:rsidR="005B6500" w:rsidRPr="00246717">
        <w:rPr>
          <w:lang w:val="pl-PL"/>
        </w:rPr>
        <w:t xml:space="preserve"> prowokacj</w:t>
      </w:r>
      <w:r w:rsidR="00BD19A0">
        <w:rPr>
          <w:lang w:val="pl-PL"/>
        </w:rPr>
        <w:t>ą</w:t>
      </w:r>
      <w:r w:rsidR="005B6500" w:rsidRPr="00246717">
        <w:rPr>
          <w:lang w:val="pl-PL"/>
        </w:rPr>
        <w:t xml:space="preserve"> Trybunał orzekł, że w</w:t>
      </w:r>
      <w:r w:rsidR="00701F92">
        <w:rPr>
          <w:lang w:val="pl-PL"/>
        </w:rPr>
        <w:t> </w:t>
      </w:r>
      <w:r w:rsidR="005B6500" w:rsidRPr="00246717">
        <w:rPr>
          <w:lang w:val="pl-PL"/>
        </w:rPr>
        <w:t>przypadku „wiarygodnego</w:t>
      </w:r>
      <w:r w:rsidR="00701F92">
        <w:rPr>
          <w:lang w:val="pl-PL"/>
        </w:rPr>
        <w:t xml:space="preserve"> </w:t>
      </w:r>
      <w:r w:rsidR="00701F92">
        <w:rPr>
          <w:rFonts w:cstheme="minorHAnsi"/>
          <w:lang w:val="pl-PL"/>
        </w:rPr>
        <w:t>−</w:t>
      </w:r>
      <w:r w:rsidR="005B6500" w:rsidRPr="00246717">
        <w:rPr>
          <w:lang w:val="pl-PL"/>
        </w:rPr>
        <w:t xml:space="preserve"> a nawet </w:t>
      </w:r>
      <w:r w:rsidR="00BD19A0">
        <w:rPr>
          <w:lang w:val="pl-PL"/>
        </w:rPr>
        <w:t>dającego się uzasadnić</w:t>
      </w:r>
      <w:r w:rsidR="00701F92">
        <w:rPr>
          <w:lang w:val="pl-PL"/>
        </w:rPr>
        <w:t xml:space="preserve"> </w:t>
      </w:r>
      <w:r w:rsidR="00701F92">
        <w:rPr>
          <w:rFonts w:cstheme="minorHAnsi"/>
          <w:lang w:val="pl-PL"/>
        </w:rPr>
        <w:t>−</w:t>
      </w:r>
      <w:r w:rsidR="00701F92">
        <w:rPr>
          <w:lang w:val="pl-PL"/>
        </w:rPr>
        <w:t xml:space="preserve"> </w:t>
      </w:r>
      <w:r w:rsidR="005B6500" w:rsidRPr="00246717">
        <w:rPr>
          <w:lang w:val="pl-PL"/>
        </w:rPr>
        <w:t xml:space="preserve">zarzutu” </w:t>
      </w:r>
      <w:r w:rsidR="00750259">
        <w:rPr>
          <w:lang w:val="pl-PL"/>
        </w:rPr>
        <w:t>prowokacji</w:t>
      </w:r>
      <w:r w:rsidR="005B6500" w:rsidRPr="00246717">
        <w:rPr>
          <w:lang w:val="pl-PL"/>
        </w:rPr>
        <w:t xml:space="preserve"> sądy „powinny uwzględnić, czy rezultaty testowych zakupów były dopuszczalne jako dowód, w szczególności weryfikując, czy nie </w:t>
      </w:r>
      <w:r w:rsidR="00BD19A0">
        <w:rPr>
          <w:lang w:val="pl-PL"/>
        </w:rPr>
        <w:t>miało miejsce podżeganie</w:t>
      </w:r>
      <w:r w:rsidR="005B6500" w:rsidRPr="00246717">
        <w:rPr>
          <w:lang w:val="pl-PL"/>
        </w:rPr>
        <w:t xml:space="preserve">” (zob. </w:t>
      </w:r>
      <w:proofErr w:type="spellStart"/>
      <w:r w:rsidR="005B6500" w:rsidRPr="00246717">
        <w:rPr>
          <w:i/>
          <w:iCs/>
          <w:lang w:val="pl-PL"/>
        </w:rPr>
        <w:t>Lagutin</w:t>
      </w:r>
      <w:proofErr w:type="spellEnd"/>
      <w:r w:rsidR="005B6500" w:rsidRPr="00246717">
        <w:rPr>
          <w:i/>
          <w:iCs/>
          <w:lang w:val="pl-PL"/>
        </w:rPr>
        <w:t xml:space="preserve"> i Inni przeciwko Rosji, </w:t>
      </w:r>
      <w:r w:rsidR="005B6500" w:rsidRPr="00246717">
        <w:rPr>
          <w:lang w:val="pl-PL"/>
        </w:rPr>
        <w:t>wyrok z dn</w:t>
      </w:r>
      <w:r w:rsidR="00701F92">
        <w:rPr>
          <w:lang w:val="pl-PL"/>
        </w:rPr>
        <w:t>ia</w:t>
      </w:r>
      <w:r w:rsidR="005B6500" w:rsidRPr="00246717">
        <w:rPr>
          <w:lang w:val="pl-PL"/>
        </w:rPr>
        <w:t xml:space="preserve"> 24 kwietnia 2014</w:t>
      </w:r>
      <w:r w:rsidR="00701F92">
        <w:rPr>
          <w:lang w:val="pl-PL"/>
        </w:rPr>
        <w:t> </w:t>
      </w:r>
      <w:r w:rsidR="005B6500" w:rsidRPr="00246717">
        <w:rPr>
          <w:lang w:val="pl-PL"/>
        </w:rPr>
        <w:t>r., skarga nr</w:t>
      </w:r>
      <w:r w:rsidR="00701F92">
        <w:rPr>
          <w:lang w:val="pl-PL"/>
        </w:rPr>
        <w:t> </w:t>
      </w:r>
      <w:r w:rsidR="005B6500" w:rsidRPr="00246717">
        <w:rPr>
          <w:lang w:val="pl-PL"/>
        </w:rPr>
        <w:t xml:space="preserve">6228/09 i </w:t>
      </w:r>
      <w:r w:rsidR="00BD19A0">
        <w:rPr>
          <w:lang w:val="pl-PL"/>
        </w:rPr>
        <w:t>cztery</w:t>
      </w:r>
      <w:r w:rsidR="005B6500" w:rsidRPr="00246717">
        <w:rPr>
          <w:lang w:val="pl-PL"/>
        </w:rPr>
        <w:t> inne, §</w:t>
      </w:r>
      <w:r w:rsidR="00701F92">
        <w:rPr>
          <w:lang w:val="pl-PL"/>
        </w:rPr>
        <w:t> </w:t>
      </w:r>
      <w:r w:rsidR="005B6500" w:rsidRPr="00246717">
        <w:rPr>
          <w:lang w:val="pl-PL"/>
        </w:rPr>
        <w:t xml:space="preserve">118). </w:t>
      </w:r>
    </w:p>
    <w:p w14:paraId="065B8292" w14:textId="3770E1FE"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158</w:t>
      </w:r>
      <w:r w:rsidRPr="00246717">
        <w:rPr>
          <w:lang w:val="pl-PL"/>
        </w:rPr>
        <w:fldChar w:fldCharType="end"/>
      </w:r>
      <w:r w:rsidR="005B6500" w:rsidRPr="00246717">
        <w:rPr>
          <w:lang w:val="pl-PL"/>
        </w:rPr>
        <w:t>.  </w:t>
      </w:r>
      <w:r w:rsidR="00BD19A0">
        <w:rPr>
          <w:lang w:val="pl-PL"/>
        </w:rPr>
        <w:t>W przypadku złożenia</w:t>
      </w:r>
      <w:r w:rsidR="00BD19A0" w:rsidRPr="00246717">
        <w:rPr>
          <w:lang w:val="pl-PL"/>
        </w:rPr>
        <w:t xml:space="preserve"> wnios</w:t>
      </w:r>
      <w:r w:rsidR="00BD19A0">
        <w:rPr>
          <w:lang w:val="pl-PL"/>
        </w:rPr>
        <w:t>ku</w:t>
      </w:r>
      <w:r w:rsidR="00BD19A0" w:rsidRPr="00246717">
        <w:rPr>
          <w:lang w:val="pl-PL"/>
        </w:rPr>
        <w:t xml:space="preserve"> </w:t>
      </w:r>
      <w:r w:rsidR="005B6500" w:rsidRPr="00246717">
        <w:rPr>
          <w:lang w:val="pl-PL"/>
        </w:rPr>
        <w:t>o przesłuchanie świadka w imieniu oskarżonego</w:t>
      </w:r>
      <w:r w:rsidR="001B48BE">
        <w:rPr>
          <w:lang w:val="pl-PL"/>
        </w:rPr>
        <w:t xml:space="preserve">, które nastąpiło </w:t>
      </w:r>
      <w:r w:rsidR="005B6500" w:rsidRPr="00246717">
        <w:rPr>
          <w:lang w:val="pl-PL"/>
        </w:rPr>
        <w:t>zgodnie z przepisami prawa krajowego, Trybunał uwzględniwszy powyższe rozważania, formułuje następujący trzystopniowy test:</w:t>
      </w:r>
    </w:p>
    <w:p w14:paraId="7FACE1B1" w14:textId="009A92A9" w:rsidR="005B6500" w:rsidRPr="00246717" w:rsidRDefault="005B6500" w:rsidP="000957D3">
      <w:pPr>
        <w:pStyle w:val="ECHRPara"/>
        <w:rPr>
          <w:lang w:val="pl-PL"/>
        </w:rPr>
      </w:pPr>
      <w:r w:rsidRPr="00246717">
        <w:rPr>
          <w:lang w:val="pl-PL"/>
        </w:rPr>
        <w:t xml:space="preserve">1.  Czy wniosek dotyczący przesłuchania świadka był wystarczająco uzasadniony i </w:t>
      </w:r>
      <w:r w:rsidR="001B48BE">
        <w:rPr>
          <w:lang w:val="pl-PL"/>
        </w:rPr>
        <w:t>miał znaczenie</w:t>
      </w:r>
      <w:r w:rsidR="001B48BE" w:rsidRPr="00246717">
        <w:rPr>
          <w:lang w:val="pl-PL"/>
        </w:rPr>
        <w:t xml:space="preserve"> </w:t>
      </w:r>
      <w:r w:rsidRPr="00246717">
        <w:rPr>
          <w:lang w:val="pl-PL"/>
        </w:rPr>
        <w:t>dla przedmiotu oskarżenia?</w:t>
      </w:r>
    </w:p>
    <w:p w14:paraId="265B4E85" w14:textId="4046AB47" w:rsidR="005B6500" w:rsidRPr="00246717" w:rsidRDefault="005B6500" w:rsidP="000957D3">
      <w:pPr>
        <w:pStyle w:val="ECHRPara"/>
        <w:rPr>
          <w:lang w:val="pl-PL"/>
        </w:rPr>
      </w:pPr>
      <w:r w:rsidRPr="00246717">
        <w:rPr>
          <w:lang w:val="pl-PL"/>
        </w:rPr>
        <w:t xml:space="preserve">2.  Czy sądy krajowe uwzględniły znaczenie tego zeznania i </w:t>
      </w:r>
      <w:r w:rsidR="004048A3">
        <w:rPr>
          <w:lang w:val="pl-PL"/>
        </w:rPr>
        <w:t xml:space="preserve">wystarczająco uzasadniły </w:t>
      </w:r>
      <w:r w:rsidRPr="00246717">
        <w:rPr>
          <w:lang w:val="pl-PL"/>
        </w:rPr>
        <w:t xml:space="preserve"> </w:t>
      </w:r>
      <w:r w:rsidR="001B48BE">
        <w:rPr>
          <w:lang w:val="pl-PL"/>
        </w:rPr>
        <w:t>rozstrzygnięci</w:t>
      </w:r>
      <w:r w:rsidR="004048A3">
        <w:rPr>
          <w:lang w:val="pl-PL"/>
        </w:rPr>
        <w:t>e</w:t>
      </w:r>
      <w:r w:rsidR="001B48BE" w:rsidRPr="00246717">
        <w:rPr>
          <w:lang w:val="pl-PL"/>
        </w:rPr>
        <w:t xml:space="preserve"> </w:t>
      </w:r>
      <w:r w:rsidRPr="00246717">
        <w:rPr>
          <w:lang w:val="pl-PL"/>
        </w:rPr>
        <w:t xml:space="preserve">bez przesłuchiwania świadka na </w:t>
      </w:r>
      <w:r w:rsidR="001B48BE">
        <w:rPr>
          <w:lang w:val="pl-PL"/>
        </w:rPr>
        <w:t>rozprawie</w:t>
      </w:r>
      <w:r w:rsidRPr="00246717">
        <w:rPr>
          <w:lang w:val="pl-PL"/>
        </w:rPr>
        <w:t>?</w:t>
      </w:r>
    </w:p>
    <w:p w14:paraId="17E00AAD" w14:textId="0840EF16" w:rsidR="005B6500" w:rsidRPr="00246717" w:rsidRDefault="005B6500" w:rsidP="000957D3">
      <w:pPr>
        <w:pStyle w:val="ECHRPara"/>
        <w:rPr>
          <w:lang w:val="pl-PL"/>
        </w:rPr>
      </w:pPr>
      <w:r w:rsidRPr="00246717">
        <w:rPr>
          <w:lang w:val="pl-PL"/>
        </w:rPr>
        <w:t xml:space="preserve">3.  Czy </w:t>
      </w:r>
      <w:r w:rsidR="001B48BE">
        <w:rPr>
          <w:lang w:val="pl-PL"/>
        </w:rPr>
        <w:t>rozstrzygnięcie</w:t>
      </w:r>
      <w:r w:rsidR="001B48BE" w:rsidRPr="00246717">
        <w:rPr>
          <w:lang w:val="pl-PL"/>
        </w:rPr>
        <w:t xml:space="preserve"> </w:t>
      </w:r>
      <w:r w:rsidRPr="00246717">
        <w:rPr>
          <w:lang w:val="pl-PL"/>
        </w:rPr>
        <w:t xml:space="preserve">sądów krajowych </w:t>
      </w:r>
      <w:r w:rsidR="001B48BE">
        <w:rPr>
          <w:lang w:val="pl-PL"/>
        </w:rPr>
        <w:t>w przedmiocie</w:t>
      </w:r>
      <w:r w:rsidR="001B48BE" w:rsidRPr="00246717">
        <w:rPr>
          <w:lang w:val="pl-PL"/>
        </w:rPr>
        <w:t xml:space="preserve"> </w:t>
      </w:r>
      <w:r w:rsidRPr="00246717">
        <w:rPr>
          <w:lang w:val="pl-PL"/>
        </w:rPr>
        <w:t xml:space="preserve">nieprzesłuchiwania świadka </w:t>
      </w:r>
      <w:r w:rsidR="001B48BE">
        <w:rPr>
          <w:lang w:val="pl-PL"/>
        </w:rPr>
        <w:t>miało wpływ na</w:t>
      </w:r>
      <w:r w:rsidRPr="00246717">
        <w:rPr>
          <w:lang w:val="pl-PL"/>
        </w:rPr>
        <w:t xml:space="preserve"> ogólną rzetelność postępowania?</w:t>
      </w:r>
    </w:p>
    <w:p w14:paraId="090657D5" w14:textId="78C87A06"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159</w:t>
      </w:r>
      <w:r w:rsidRPr="00246717">
        <w:rPr>
          <w:lang w:val="pl-PL"/>
        </w:rPr>
        <w:fldChar w:fldCharType="end"/>
      </w:r>
      <w:r w:rsidR="005B6500" w:rsidRPr="00246717">
        <w:rPr>
          <w:lang w:val="pl-PL"/>
        </w:rPr>
        <w:t xml:space="preserve">.  Trybunał uznaje, że </w:t>
      </w:r>
      <w:r w:rsidR="001B48BE">
        <w:rPr>
          <w:lang w:val="pl-PL"/>
        </w:rPr>
        <w:t>już samo dotychczasowe</w:t>
      </w:r>
      <w:r w:rsidR="001B48BE" w:rsidRPr="00246717">
        <w:rPr>
          <w:lang w:val="pl-PL"/>
        </w:rPr>
        <w:t xml:space="preserve"> </w:t>
      </w:r>
      <w:r w:rsidR="005B6500" w:rsidRPr="00246717">
        <w:rPr>
          <w:lang w:val="pl-PL"/>
        </w:rPr>
        <w:t xml:space="preserve">orzecznictwo </w:t>
      </w:r>
      <w:r w:rsidR="001B48BE">
        <w:rPr>
          <w:lang w:val="pl-PL"/>
        </w:rPr>
        <w:t>stanowi</w:t>
      </w:r>
      <w:r w:rsidR="005B6500" w:rsidRPr="00246717">
        <w:rPr>
          <w:lang w:val="pl-PL"/>
        </w:rPr>
        <w:t xml:space="preserve"> solidną podstawę do </w:t>
      </w:r>
      <w:r w:rsidR="001B48BE">
        <w:rPr>
          <w:lang w:val="pl-PL"/>
        </w:rPr>
        <w:t>za</w:t>
      </w:r>
      <w:r w:rsidR="005B6500" w:rsidRPr="00246717">
        <w:rPr>
          <w:lang w:val="pl-PL"/>
        </w:rPr>
        <w:t xml:space="preserve">stosowania wszystkich trzech etapów testu, ale uznaje </w:t>
      </w:r>
      <w:r w:rsidR="005B6500" w:rsidRPr="00246717">
        <w:rPr>
          <w:lang w:val="pl-PL"/>
        </w:rPr>
        <w:lastRenderedPageBreak/>
        <w:t xml:space="preserve">za stosowne przekazanie poniższych wytycznych </w:t>
      </w:r>
      <w:r w:rsidR="001B48BE">
        <w:rPr>
          <w:lang w:val="pl-PL"/>
        </w:rPr>
        <w:t>na potrzeby</w:t>
      </w:r>
      <w:r w:rsidR="001B48BE" w:rsidRPr="00246717">
        <w:rPr>
          <w:lang w:val="pl-PL"/>
        </w:rPr>
        <w:t xml:space="preserve"> </w:t>
      </w:r>
      <w:r w:rsidR="001B48BE">
        <w:rPr>
          <w:lang w:val="pl-PL"/>
        </w:rPr>
        <w:t>rozpoznawania</w:t>
      </w:r>
      <w:r w:rsidR="001B48BE" w:rsidRPr="00246717">
        <w:rPr>
          <w:lang w:val="pl-PL"/>
        </w:rPr>
        <w:t xml:space="preserve"> </w:t>
      </w:r>
      <w:r w:rsidR="005B6500" w:rsidRPr="00246717">
        <w:rPr>
          <w:lang w:val="pl-PL"/>
        </w:rPr>
        <w:t>przyszłych spraw.</w:t>
      </w:r>
    </w:p>
    <w:p w14:paraId="536436B5" w14:textId="3DFE36CF" w:rsidR="005B6500" w:rsidRPr="00246717" w:rsidRDefault="004545B4" w:rsidP="000957D3">
      <w:pPr>
        <w:pStyle w:val="ECHRHeading4"/>
        <w:rPr>
          <w:lang w:val="pl-PL"/>
        </w:rPr>
      </w:pPr>
      <w:r w:rsidRPr="00246717">
        <w:rPr>
          <w:iCs w:val="0"/>
          <w:lang w:val="pl-PL"/>
        </w:rPr>
        <w:t>a)</w:t>
      </w:r>
      <w:r w:rsidR="00701F92">
        <w:rPr>
          <w:iCs w:val="0"/>
          <w:lang w:val="pl-PL"/>
        </w:rPr>
        <w:t>  </w:t>
      </w:r>
      <w:r w:rsidRPr="00246717">
        <w:rPr>
          <w:iCs w:val="0"/>
          <w:lang w:val="pl-PL"/>
        </w:rPr>
        <w:t xml:space="preserve">Czy wniosek dotyczący przesłuchania świadka był wystarczająco uzasadniony i </w:t>
      </w:r>
      <w:r w:rsidR="001B48BE">
        <w:rPr>
          <w:iCs w:val="0"/>
          <w:lang w:val="pl-PL"/>
        </w:rPr>
        <w:t xml:space="preserve">miał znaczenie </w:t>
      </w:r>
      <w:r w:rsidRPr="00246717">
        <w:rPr>
          <w:iCs w:val="0"/>
          <w:lang w:val="pl-PL"/>
        </w:rPr>
        <w:t>dla przedmiotu oskarżenia</w:t>
      </w:r>
      <w:r w:rsidR="00157C4D">
        <w:rPr>
          <w:iCs w:val="0"/>
          <w:lang w:val="pl-PL"/>
        </w:rPr>
        <w:t>?</w:t>
      </w:r>
    </w:p>
    <w:p w14:paraId="46939DA9" w14:textId="7951177B"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160</w:t>
      </w:r>
      <w:r w:rsidRPr="00246717">
        <w:rPr>
          <w:lang w:val="pl-PL"/>
        </w:rPr>
        <w:fldChar w:fldCharType="end"/>
      </w:r>
      <w:r w:rsidR="005B6500" w:rsidRPr="00246717">
        <w:rPr>
          <w:lang w:val="pl-PL"/>
        </w:rPr>
        <w:t>.  W odniesieniu do pierwszej przesłanki Trybunał zauważa, że w</w:t>
      </w:r>
      <w:r w:rsidR="00701F92">
        <w:rPr>
          <w:lang w:val="pl-PL"/>
        </w:rPr>
        <w:t> </w:t>
      </w:r>
      <w:r w:rsidR="005B6500" w:rsidRPr="00246717">
        <w:rPr>
          <w:lang w:val="pl-PL"/>
        </w:rPr>
        <w:t xml:space="preserve">ramach testu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kwesti</w:t>
      </w:r>
      <w:r w:rsidR="001B48BE">
        <w:rPr>
          <w:lang w:val="pl-PL"/>
        </w:rPr>
        <w:t>ę</w:t>
      </w:r>
      <w:r w:rsidR="005B6500" w:rsidRPr="00246717">
        <w:rPr>
          <w:lang w:val="pl-PL"/>
        </w:rPr>
        <w:t>, czy oskarżony uzasadnił swój wniosek dotyczący wezwania świadka obrony, rozstrzyga</w:t>
      </w:r>
      <w:r w:rsidR="001B48BE">
        <w:rPr>
          <w:lang w:val="pl-PL"/>
        </w:rPr>
        <w:t xml:space="preserve"> się</w:t>
      </w:r>
      <w:r w:rsidR="005B6500" w:rsidRPr="00246717">
        <w:rPr>
          <w:lang w:val="pl-PL"/>
        </w:rPr>
        <w:t xml:space="preserve"> </w:t>
      </w:r>
      <w:r w:rsidR="001B48BE">
        <w:rPr>
          <w:lang w:val="pl-PL"/>
        </w:rPr>
        <w:t>na podstawie</w:t>
      </w:r>
      <w:r w:rsidR="005B6500" w:rsidRPr="00246717">
        <w:rPr>
          <w:lang w:val="pl-PL"/>
        </w:rPr>
        <w:t xml:space="preserve"> znaczeni</w:t>
      </w:r>
      <w:r w:rsidR="001B48BE">
        <w:rPr>
          <w:lang w:val="pl-PL"/>
        </w:rPr>
        <w:t>a</w:t>
      </w:r>
      <w:r w:rsidR="005B6500" w:rsidRPr="00246717">
        <w:rPr>
          <w:lang w:val="pl-PL"/>
        </w:rPr>
        <w:t xml:space="preserve"> zeznania tej osoby </w:t>
      </w:r>
      <w:r w:rsidR="00701F92">
        <w:rPr>
          <w:lang w:val="pl-PL"/>
        </w:rPr>
        <w:t>celem</w:t>
      </w:r>
      <w:r w:rsidR="005B6500" w:rsidRPr="00246717">
        <w:rPr>
          <w:lang w:val="pl-PL"/>
        </w:rPr>
        <w:t xml:space="preserve"> „ustalenia prawdy”. O ile w</w:t>
      </w:r>
      <w:r w:rsidR="00701F92">
        <w:rPr>
          <w:lang w:val="pl-PL"/>
        </w:rPr>
        <w:t> </w:t>
      </w:r>
      <w:r w:rsidR="005B6500" w:rsidRPr="00246717">
        <w:rPr>
          <w:lang w:val="pl-PL"/>
        </w:rPr>
        <w:t>niektórych sprawach</w:t>
      </w:r>
      <w:r w:rsidR="001B48BE">
        <w:rPr>
          <w:lang w:val="pl-PL"/>
        </w:rPr>
        <w:t>, które rozpoznawano</w:t>
      </w:r>
      <w:r w:rsidR="005B6500" w:rsidRPr="00246717">
        <w:rPr>
          <w:lang w:val="pl-PL"/>
        </w:rPr>
        <w:t xml:space="preserve"> po sprawie </w:t>
      </w:r>
      <w:proofErr w:type="spellStart"/>
      <w:r w:rsidR="005B6500" w:rsidRPr="00246717">
        <w:rPr>
          <w:i/>
          <w:iCs/>
          <w:lang w:val="pl-PL"/>
        </w:rPr>
        <w:t>Perna</w:t>
      </w:r>
      <w:proofErr w:type="spellEnd"/>
      <w:r w:rsidR="005B6500" w:rsidRPr="00246717">
        <w:rPr>
          <w:i/>
          <w:iCs/>
          <w:lang w:val="pl-PL"/>
        </w:rPr>
        <w:t xml:space="preserve"> </w:t>
      </w:r>
      <w:r w:rsidR="005B6500" w:rsidRPr="00246717">
        <w:rPr>
          <w:lang w:val="pl-PL"/>
        </w:rPr>
        <w:t xml:space="preserve">badano, czy zeznanie świadka </w:t>
      </w:r>
      <w:r w:rsidR="003257EF">
        <w:rPr>
          <w:lang w:val="pl-PL"/>
        </w:rPr>
        <w:t>miało znaczenie</w:t>
      </w:r>
      <w:r w:rsidR="005B6500" w:rsidRPr="00246717">
        <w:rPr>
          <w:lang w:val="pl-PL"/>
        </w:rPr>
        <w:t xml:space="preserve"> dla „ustalenia prawdy”, w innych opierano się na możliwości </w:t>
      </w:r>
      <w:r w:rsidR="003257EF" w:rsidRPr="00246717">
        <w:rPr>
          <w:lang w:val="pl-PL"/>
        </w:rPr>
        <w:t>wpły</w:t>
      </w:r>
      <w:r w:rsidR="003257EF">
        <w:rPr>
          <w:lang w:val="pl-PL"/>
        </w:rPr>
        <w:t>wu</w:t>
      </w:r>
      <w:r w:rsidR="003257EF" w:rsidRPr="00246717">
        <w:rPr>
          <w:lang w:val="pl-PL"/>
        </w:rPr>
        <w:t xml:space="preserve"> </w:t>
      </w:r>
      <w:r w:rsidR="005B6500" w:rsidRPr="00246717">
        <w:rPr>
          <w:lang w:val="pl-PL"/>
        </w:rPr>
        <w:t xml:space="preserve">zeznania świadka na wynik sprawy (zob. </w:t>
      </w:r>
      <w:proofErr w:type="spellStart"/>
      <w:r w:rsidR="005B6500" w:rsidRPr="00246717">
        <w:rPr>
          <w:i/>
          <w:iCs/>
          <w:lang w:val="pl-PL"/>
        </w:rPr>
        <w:t>Tarasov</w:t>
      </w:r>
      <w:proofErr w:type="spellEnd"/>
      <w:r w:rsidR="005B6500" w:rsidRPr="00246717">
        <w:rPr>
          <w:i/>
          <w:iCs/>
          <w:lang w:val="pl-PL"/>
        </w:rPr>
        <w:t>, op.</w:t>
      </w:r>
      <w:r w:rsidR="003257EF">
        <w:rPr>
          <w:i/>
          <w:iCs/>
          <w:lang w:val="pl-PL"/>
        </w:rPr>
        <w:t xml:space="preserve"> </w:t>
      </w:r>
      <w:r w:rsidR="005B6500" w:rsidRPr="00246717">
        <w:rPr>
          <w:i/>
          <w:iCs/>
          <w:lang w:val="pl-PL"/>
        </w:rPr>
        <w:t xml:space="preserve">cit., </w:t>
      </w:r>
      <w:r w:rsidR="005B6500" w:rsidRPr="00246717">
        <w:rPr>
          <w:lang w:val="pl-PL"/>
        </w:rPr>
        <w:t>§</w:t>
      </w:r>
      <w:r w:rsidR="00701F92">
        <w:rPr>
          <w:lang w:val="pl-PL"/>
        </w:rPr>
        <w:t> </w:t>
      </w:r>
      <w:r w:rsidR="005B6500" w:rsidRPr="00246717">
        <w:rPr>
          <w:lang w:val="pl-PL"/>
        </w:rPr>
        <w:t>105), na rozsądnym usta</w:t>
      </w:r>
      <w:r w:rsidR="00157C4D">
        <w:rPr>
          <w:lang w:val="pl-PL"/>
        </w:rPr>
        <w:t>leniu</w:t>
      </w:r>
      <w:r w:rsidR="005B6500" w:rsidRPr="00246717">
        <w:rPr>
          <w:lang w:val="pl-PL"/>
        </w:rPr>
        <w:t xml:space="preserve"> alibi oskarżonego (zob. </w:t>
      </w:r>
      <w:proofErr w:type="spellStart"/>
      <w:r w:rsidR="005B6500" w:rsidRPr="00246717">
        <w:rPr>
          <w:i/>
          <w:iCs/>
          <w:lang w:val="pl-PL"/>
        </w:rPr>
        <w:t>Polyakov</w:t>
      </w:r>
      <w:proofErr w:type="spellEnd"/>
      <w:r w:rsidR="005B6500" w:rsidRPr="00246717">
        <w:rPr>
          <w:lang w:val="pl-PL"/>
        </w:rPr>
        <w:t xml:space="preserve">, </w:t>
      </w:r>
      <w:r w:rsidR="005B6500" w:rsidRPr="00246717">
        <w:rPr>
          <w:i/>
          <w:iCs/>
          <w:lang w:val="pl-PL"/>
        </w:rPr>
        <w:t>op.</w:t>
      </w:r>
      <w:r w:rsidR="003257EF">
        <w:rPr>
          <w:i/>
          <w:iCs/>
          <w:lang w:val="pl-PL"/>
        </w:rPr>
        <w:t xml:space="preserve"> </w:t>
      </w:r>
      <w:r w:rsidR="005B6500" w:rsidRPr="00246717">
        <w:rPr>
          <w:i/>
          <w:iCs/>
          <w:lang w:val="pl-PL"/>
        </w:rPr>
        <w:t>cit.</w:t>
      </w:r>
      <w:r w:rsidR="005B6500" w:rsidRPr="00246717">
        <w:rPr>
          <w:lang w:val="pl-PL"/>
        </w:rPr>
        <w:t>,§</w:t>
      </w:r>
      <w:r w:rsidR="00701F92">
        <w:rPr>
          <w:lang w:val="pl-PL"/>
        </w:rPr>
        <w:t> </w:t>
      </w:r>
      <w:r w:rsidR="005B6500" w:rsidRPr="00246717">
        <w:rPr>
          <w:lang w:val="pl-PL"/>
        </w:rPr>
        <w:t xml:space="preserve">34), </w:t>
      </w:r>
      <w:r w:rsidR="003257EF" w:rsidRPr="00246717">
        <w:rPr>
          <w:lang w:val="pl-PL"/>
        </w:rPr>
        <w:t>prawdopodob</w:t>
      </w:r>
      <w:r w:rsidR="003257EF">
        <w:rPr>
          <w:lang w:val="pl-PL"/>
        </w:rPr>
        <w:t>ieństwie</w:t>
      </w:r>
      <w:r w:rsidR="003257EF" w:rsidRPr="00246717">
        <w:rPr>
          <w:lang w:val="pl-PL"/>
        </w:rPr>
        <w:t xml:space="preserve"> </w:t>
      </w:r>
      <w:r w:rsidR="005B6500" w:rsidRPr="00246717">
        <w:rPr>
          <w:lang w:val="pl-PL"/>
        </w:rPr>
        <w:t>doprowadzeni</w:t>
      </w:r>
      <w:r w:rsidR="003257EF">
        <w:rPr>
          <w:lang w:val="pl-PL"/>
        </w:rPr>
        <w:t>a</w:t>
      </w:r>
      <w:r w:rsidR="005B6500" w:rsidRPr="00246717">
        <w:rPr>
          <w:lang w:val="pl-PL"/>
        </w:rPr>
        <w:t xml:space="preserve"> do uniewinnienia (zob. </w:t>
      </w:r>
      <w:proofErr w:type="spellStart"/>
      <w:r w:rsidR="005B6500" w:rsidRPr="00246717">
        <w:rPr>
          <w:i/>
          <w:iCs/>
          <w:lang w:val="pl-PL"/>
        </w:rPr>
        <w:t>Dorokhov</w:t>
      </w:r>
      <w:proofErr w:type="spellEnd"/>
      <w:r w:rsidR="005B6500" w:rsidRPr="00246717">
        <w:rPr>
          <w:i/>
          <w:iCs/>
          <w:lang w:val="pl-PL"/>
        </w:rPr>
        <w:t>, op.</w:t>
      </w:r>
      <w:r w:rsidR="003257EF">
        <w:rPr>
          <w:i/>
          <w:iCs/>
          <w:lang w:val="pl-PL"/>
        </w:rPr>
        <w:t xml:space="preserve"> </w:t>
      </w:r>
      <w:r w:rsidR="005B6500" w:rsidRPr="00246717">
        <w:rPr>
          <w:i/>
          <w:iCs/>
          <w:lang w:val="pl-PL"/>
        </w:rPr>
        <w:t xml:space="preserve">cit., </w:t>
      </w:r>
      <w:r w:rsidR="005B6500" w:rsidRPr="00246717">
        <w:rPr>
          <w:lang w:val="pl-PL"/>
        </w:rPr>
        <w:t xml:space="preserve">§ 72) lub </w:t>
      </w:r>
      <w:r w:rsidR="003257EF" w:rsidRPr="00246717">
        <w:rPr>
          <w:lang w:val="pl-PL"/>
        </w:rPr>
        <w:t>prawdopodob</w:t>
      </w:r>
      <w:r w:rsidR="003257EF">
        <w:rPr>
          <w:lang w:val="pl-PL"/>
        </w:rPr>
        <w:t>ieństwa</w:t>
      </w:r>
      <w:r w:rsidR="003257EF" w:rsidRPr="00246717">
        <w:rPr>
          <w:lang w:val="pl-PL"/>
        </w:rPr>
        <w:t xml:space="preserve"> </w:t>
      </w:r>
      <w:r w:rsidR="005B6500" w:rsidRPr="00246717">
        <w:rPr>
          <w:lang w:val="pl-PL"/>
        </w:rPr>
        <w:t>wzmocnieni</w:t>
      </w:r>
      <w:r w:rsidR="003257EF">
        <w:rPr>
          <w:lang w:val="pl-PL"/>
        </w:rPr>
        <w:t>a</w:t>
      </w:r>
      <w:r w:rsidR="005B6500" w:rsidRPr="00246717">
        <w:rPr>
          <w:lang w:val="pl-PL"/>
        </w:rPr>
        <w:t xml:space="preserve"> pozycji obrony, a nawet doprowadzeni</w:t>
      </w:r>
      <w:r w:rsidR="003257EF">
        <w:rPr>
          <w:lang w:val="pl-PL"/>
        </w:rPr>
        <w:t>a</w:t>
      </w:r>
      <w:r w:rsidR="005B6500" w:rsidRPr="00246717">
        <w:rPr>
          <w:lang w:val="pl-PL"/>
        </w:rPr>
        <w:t xml:space="preserve"> do uniewinnienia skarżącego (zob. </w:t>
      </w:r>
      <w:r w:rsidR="005B6500" w:rsidRPr="00246717">
        <w:rPr>
          <w:i/>
          <w:iCs/>
          <w:lang w:val="pl-PL"/>
        </w:rPr>
        <w:t>Topić</w:t>
      </w:r>
      <w:r w:rsidR="005B6500" w:rsidRPr="00246717">
        <w:rPr>
          <w:lang w:val="pl-PL"/>
        </w:rPr>
        <w:t xml:space="preserve">, </w:t>
      </w:r>
      <w:r w:rsidR="005B6500" w:rsidRPr="00246717">
        <w:rPr>
          <w:i/>
          <w:iCs/>
          <w:lang w:val="pl-PL"/>
        </w:rPr>
        <w:t>op.</w:t>
      </w:r>
      <w:r w:rsidR="003257EF">
        <w:rPr>
          <w:i/>
          <w:iCs/>
          <w:lang w:val="pl-PL"/>
        </w:rPr>
        <w:t xml:space="preserve"> </w:t>
      </w:r>
      <w:r w:rsidR="005B6500" w:rsidRPr="00246717">
        <w:rPr>
          <w:i/>
          <w:iCs/>
          <w:lang w:val="pl-PL"/>
        </w:rPr>
        <w:t>cit.</w:t>
      </w:r>
      <w:r w:rsidR="005B6500" w:rsidRPr="00246717">
        <w:rPr>
          <w:lang w:val="pl-PL"/>
        </w:rPr>
        <w:t>, §</w:t>
      </w:r>
      <w:r w:rsidR="00157C4D">
        <w:rPr>
          <w:lang w:val="pl-PL"/>
        </w:rPr>
        <w:t> </w:t>
      </w:r>
      <w:r w:rsidR="005B6500" w:rsidRPr="00246717">
        <w:rPr>
          <w:lang w:val="pl-PL"/>
        </w:rPr>
        <w:t xml:space="preserve">42). Elementem, który wydaje się łączyć wszystkie powyższe standardy jest znaczenie zeznania świadka dla przedmiotu oskarżenia i możliwość </w:t>
      </w:r>
      <w:r w:rsidR="004645E0">
        <w:rPr>
          <w:lang w:val="pl-PL"/>
        </w:rPr>
        <w:t xml:space="preserve">jego </w:t>
      </w:r>
      <w:r w:rsidR="004645E0" w:rsidRPr="00246717">
        <w:rPr>
          <w:lang w:val="pl-PL"/>
        </w:rPr>
        <w:t>wpły</w:t>
      </w:r>
      <w:r w:rsidR="004645E0">
        <w:rPr>
          <w:lang w:val="pl-PL"/>
        </w:rPr>
        <w:t>wu</w:t>
      </w:r>
      <w:r w:rsidR="004645E0" w:rsidRPr="00246717">
        <w:rPr>
          <w:lang w:val="pl-PL"/>
        </w:rPr>
        <w:t xml:space="preserve"> </w:t>
      </w:r>
      <w:r w:rsidR="005B6500" w:rsidRPr="00246717">
        <w:rPr>
          <w:lang w:val="pl-PL"/>
        </w:rPr>
        <w:t xml:space="preserve">na wynik postępowania. W świetle </w:t>
      </w:r>
      <w:r w:rsidR="004645E0">
        <w:rPr>
          <w:lang w:val="pl-PL"/>
        </w:rPr>
        <w:t>kształtowania się</w:t>
      </w:r>
      <w:r w:rsidR="004645E0" w:rsidRPr="00246717">
        <w:rPr>
          <w:lang w:val="pl-PL"/>
        </w:rPr>
        <w:t xml:space="preserve"> </w:t>
      </w:r>
      <w:r w:rsidR="005B6500" w:rsidRPr="00246717">
        <w:rPr>
          <w:lang w:val="pl-PL"/>
        </w:rPr>
        <w:t>tego orzecznictwa na gruncie art.</w:t>
      </w:r>
      <w:r w:rsidR="00157C4D">
        <w:rPr>
          <w:lang w:val="pl-PL"/>
        </w:rPr>
        <w:t> </w:t>
      </w:r>
      <w:r w:rsidR="005B6500" w:rsidRPr="00246717">
        <w:rPr>
          <w:lang w:val="pl-PL"/>
        </w:rPr>
        <w:t>6 Konwencji Trybunał uznaje za niezbędne do sprecyzowania tego kryterium objęcie jego zakresem nie tylko wniosków obrony dotyczących wzywania świadków</w:t>
      </w:r>
      <w:r w:rsidR="004645E0">
        <w:rPr>
          <w:lang w:val="pl-PL"/>
        </w:rPr>
        <w:t>, których zeznania</w:t>
      </w:r>
      <w:r w:rsidR="005B6500" w:rsidRPr="00246717">
        <w:rPr>
          <w:lang w:val="pl-PL"/>
        </w:rPr>
        <w:t xml:space="preserve"> mogą</w:t>
      </w:r>
      <w:r w:rsidR="004645E0">
        <w:rPr>
          <w:lang w:val="pl-PL"/>
        </w:rPr>
        <w:t xml:space="preserve"> mieć</w:t>
      </w:r>
      <w:r w:rsidR="005B6500" w:rsidRPr="00246717">
        <w:rPr>
          <w:lang w:val="pl-PL"/>
        </w:rPr>
        <w:t xml:space="preserve"> </w:t>
      </w:r>
      <w:r w:rsidR="004645E0" w:rsidRPr="00246717">
        <w:rPr>
          <w:lang w:val="pl-PL"/>
        </w:rPr>
        <w:t>wpły</w:t>
      </w:r>
      <w:r w:rsidR="004645E0">
        <w:rPr>
          <w:lang w:val="pl-PL"/>
        </w:rPr>
        <w:t>w</w:t>
      </w:r>
      <w:r w:rsidR="004645E0" w:rsidRPr="00246717">
        <w:rPr>
          <w:lang w:val="pl-PL"/>
        </w:rPr>
        <w:t xml:space="preserve"> </w:t>
      </w:r>
      <w:r w:rsidR="005B6500" w:rsidRPr="00246717">
        <w:rPr>
          <w:lang w:val="pl-PL"/>
        </w:rPr>
        <w:t xml:space="preserve">na wynik procesu, ale też innych świadków, których </w:t>
      </w:r>
      <w:r w:rsidR="004645E0">
        <w:rPr>
          <w:lang w:val="pl-PL"/>
        </w:rPr>
        <w:t xml:space="preserve">zeznania – jak </w:t>
      </w:r>
      <w:r w:rsidR="005B6500" w:rsidRPr="00246717">
        <w:rPr>
          <w:lang w:val="pl-PL"/>
        </w:rPr>
        <w:t xml:space="preserve">można </w:t>
      </w:r>
      <w:r w:rsidR="004645E0">
        <w:rPr>
          <w:lang w:val="pl-PL"/>
        </w:rPr>
        <w:t xml:space="preserve">zasadnie </w:t>
      </w:r>
      <w:r w:rsidR="005B6500" w:rsidRPr="00246717">
        <w:rPr>
          <w:lang w:val="pl-PL"/>
        </w:rPr>
        <w:t xml:space="preserve">oczekiwać </w:t>
      </w:r>
      <w:r w:rsidR="004645E0">
        <w:rPr>
          <w:lang w:val="pl-PL"/>
        </w:rPr>
        <w:t xml:space="preserve">– mogą </w:t>
      </w:r>
      <w:r w:rsidR="004645E0" w:rsidRPr="00246717">
        <w:rPr>
          <w:lang w:val="pl-PL"/>
        </w:rPr>
        <w:t>wzmocni</w:t>
      </w:r>
      <w:r w:rsidR="004645E0">
        <w:rPr>
          <w:lang w:val="pl-PL"/>
        </w:rPr>
        <w:t>ć</w:t>
      </w:r>
      <w:r w:rsidR="004645E0" w:rsidRPr="00246717">
        <w:rPr>
          <w:lang w:val="pl-PL"/>
        </w:rPr>
        <w:t xml:space="preserve"> </w:t>
      </w:r>
      <w:r w:rsidR="004645E0">
        <w:rPr>
          <w:lang w:val="pl-PL"/>
        </w:rPr>
        <w:t>stanowisko</w:t>
      </w:r>
      <w:r w:rsidR="004645E0" w:rsidRPr="00246717">
        <w:rPr>
          <w:lang w:val="pl-PL"/>
        </w:rPr>
        <w:t xml:space="preserve"> </w:t>
      </w:r>
      <w:r w:rsidR="005B6500" w:rsidRPr="00246717">
        <w:rPr>
          <w:lang w:val="pl-PL"/>
        </w:rPr>
        <w:t>obrony.</w:t>
      </w:r>
    </w:p>
    <w:p w14:paraId="2814496B" w14:textId="7075495C"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161</w:t>
      </w:r>
      <w:r w:rsidRPr="00246717">
        <w:rPr>
          <w:lang w:val="pl-PL"/>
        </w:rPr>
        <w:fldChar w:fldCharType="end"/>
      </w:r>
      <w:r w:rsidR="005B6500" w:rsidRPr="00246717">
        <w:rPr>
          <w:lang w:val="pl-PL"/>
        </w:rPr>
        <w:t xml:space="preserve">.  Znaczenie zeznania jest zatem również rozstrzygające </w:t>
      </w:r>
      <w:r w:rsidR="004645E0">
        <w:rPr>
          <w:lang w:val="pl-PL"/>
        </w:rPr>
        <w:t>przy</w:t>
      </w:r>
      <w:r w:rsidR="005B6500" w:rsidRPr="00246717">
        <w:rPr>
          <w:lang w:val="pl-PL"/>
        </w:rPr>
        <w:t xml:space="preserve"> ocenie tego, czy skarżący podał „wystarczające powody” swojego wniosku </w:t>
      </w:r>
      <w:r w:rsidR="004645E0">
        <w:rPr>
          <w:lang w:val="pl-PL"/>
        </w:rPr>
        <w:t xml:space="preserve">w przedmiocie </w:t>
      </w:r>
      <w:r w:rsidR="005B6500" w:rsidRPr="00246717">
        <w:rPr>
          <w:lang w:val="pl-PL"/>
        </w:rPr>
        <w:t xml:space="preserve">wezwania świadka, </w:t>
      </w:r>
      <w:r w:rsidR="004645E0">
        <w:rPr>
          <w:lang w:val="pl-PL"/>
        </w:rPr>
        <w:t>bowiem</w:t>
      </w:r>
      <w:r w:rsidR="004645E0" w:rsidRPr="00246717">
        <w:rPr>
          <w:lang w:val="pl-PL"/>
        </w:rPr>
        <w:t xml:space="preserve"> </w:t>
      </w:r>
      <w:r w:rsidR="004645E0">
        <w:rPr>
          <w:lang w:val="pl-PL"/>
        </w:rPr>
        <w:t>znaczenie</w:t>
      </w:r>
      <w:r w:rsidR="004645E0" w:rsidRPr="00246717">
        <w:rPr>
          <w:lang w:val="pl-PL"/>
        </w:rPr>
        <w:t xml:space="preserve"> </w:t>
      </w:r>
      <w:r w:rsidR="005B6500" w:rsidRPr="00246717">
        <w:rPr>
          <w:lang w:val="pl-PL"/>
        </w:rPr>
        <w:t xml:space="preserve">uzasadnienia </w:t>
      </w:r>
      <w:r w:rsidR="004645E0" w:rsidRPr="00246717">
        <w:rPr>
          <w:lang w:val="pl-PL"/>
        </w:rPr>
        <w:t>u</w:t>
      </w:r>
      <w:r w:rsidR="004645E0">
        <w:rPr>
          <w:lang w:val="pl-PL"/>
        </w:rPr>
        <w:t>znanego</w:t>
      </w:r>
      <w:r w:rsidR="004645E0" w:rsidRPr="00246717">
        <w:rPr>
          <w:lang w:val="pl-PL"/>
        </w:rPr>
        <w:t xml:space="preserve"> </w:t>
      </w:r>
      <w:r w:rsidR="005B6500" w:rsidRPr="00246717">
        <w:rPr>
          <w:lang w:val="pl-PL"/>
        </w:rPr>
        <w:t xml:space="preserve">za „wystarczające” zależy od roli, jaką </w:t>
      </w:r>
      <w:r w:rsidR="004645E0">
        <w:rPr>
          <w:lang w:val="pl-PL"/>
        </w:rPr>
        <w:t xml:space="preserve">dane zeznanie </w:t>
      </w:r>
      <w:r w:rsidR="005B6500" w:rsidRPr="00246717">
        <w:rPr>
          <w:lang w:val="pl-PL"/>
        </w:rPr>
        <w:t xml:space="preserve">odgrywa w okolicznościach </w:t>
      </w:r>
      <w:r w:rsidR="004645E0">
        <w:rPr>
          <w:lang w:val="pl-PL"/>
        </w:rPr>
        <w:t>danej</w:t>
      </w:r>
      <w:r w:rsidR="004645E0" w:rsidRPr="00246717">
        <w:rPr>
          <w:lang w:val="pl-PL"/>
        </w:rPr>
        <w:t xml:space="preserve"> </w:t>
      </w:r>
      <w:r w:rsidR="005B6500" w:rsidRPr="00246717">
        <w:rPr>
          <w:lang w:val="pl-PL"/>
        </w:rPr>
        <w:t xml:space="preserve">sprawy (zob. </w:t>
      </w:r>
      <w:proofErr w:type="spellStart"/>
      <w:r w:rsidR="005B6500" w:rsidRPr="00246717">
        <w:rPr>
          <w:i/>
          <w:iCs/>
          <w:lang w:val="pl-PL"/>
        </w:rPr>
        <w:t>Pello</w:t>
      </w:r>
      <w:proofErr w:type="spellEnd"/>
      <w:r w:rsidR="005B6500" w:rsidRPr="00246717">
        <w:rPr>
          <w:i/>
          <w:iCs/>
          <w:lang w:val="pl-PL"/>
        </w:rPr>
        <w:t>, op.</w:t>
      </w:r>
      <w:r w:rsidR="004645E0">
        <w:rPr>
          <w:i/>
          <w:iCs/>
          <w:lang w:val="pl-PL"/>
        </w:rPr>
        <w:t xml:space="preserve"> </w:t>
      </w:r>
      <w:r w:rsidR="005B6500" w:rsidRPr="00246717">
        <w:rPr>
          <w:i/>
          <w:iCs/>
          <w:lang w:val="pl-PL"/>
        </w:rPr>
        <w:t>cit.,</w:t>
      </w:r>
      <w:r w:rsidR="004645E0">
        <w:rPr>
          <w:i/>
          <w:iCs/>
          <w:lang w:val="pl-PL"/>
        </w:rPr>
        <w:t xml:space="preserve"> </w:t>
      </w:r>
      <w:r w:rsidR="005B6500" w:rsidRPr="00246717">
        <w:rPr>
          <w:lang w:val="pl-PL"/>
        </w:rPr>
        <w:t>§</w:t>
      </w:r>
      <w:r w:rsidR="00157C4D">
        <w:rPr>
          <w:lang w:val="pl-PL"/>
        </w:rPr>
        <w:t> </w:t>
      </w:r>
      <w:r w:rsidR="005B6500" w:rsidRPr="00246717">
        <w:rPr>
          <w:lang w:val="pl-PL"/>
        </w:rPr>
        <w:t xml:space="preserve">33, </w:t>
      </w:r>
      <w:r w:rsidR="004645E0">
        <w:rPr>
          <w:lang w:val="pl-PL"/>
        </w:rPr>
        <w:t xml:space="preserve">w którym </w:t>
      </w:r>
      <w:r w:rsidR="005B6500" w:rsidRPr="00246717">
        <w:rPr>
          <w:lang w:val="pl-PL"/>
        </w:rPr>
        <w:t xml:space="preserve">w dużej mierze </w:t>
      </w:r>
      <w:r w:rsidR="004645E0">
        <w:rPr>
          <w:lang w:val="pl-PL"/>
        </w:rPr>
        <w:t>przedstawiono to stanowisko</w:t>
      </w:r>
      <w:r w:rsidR="005B6500" w:rsidRPr="00246717">
        <w:rPr>
          <w:lang w:val="pl-PL"/>
        </w:rPr>
        <w:t>). Niemożliw</w:t>
      </w:r>
      <w:r w:rsidR="004645E0">
        <w:rPr>
          <w:lang w:val="pl-PL"/>
        </w:rPr>
        <w:t>e</w:t>
      </w:r>
      <w:r w:rsidR="005B6500" w:rsidRPr="00246717">
        <w:rPr>
          <w:lang w:val="pl-PL"/>
        </w:rPr>
        <w:t xml:space="preserve"> jest</w:t>
      </w:r>
      <w:r w:rsidR="004645E0">
        <w:rPr>
          <w:lang w:val="pl-PL"/>
        </w:rPr>
        <w:t xml:space="preserve"> dokonanie</w:t>
      </w:r>
      <w:r w:rsidR="005B6500" w:rsidRPr="00246717">
        <w:rPr>
          <w:lang w:val="pl-PL"/>
        </w:rPr>
        <w:t>, w</w:t>
      </w:r>
      <w:r w:rsidR="00157C4D">
        <w:rPr>
          <w:lang w:val="pl-PL"/>
        </w:rPr>
        <w:t> </w:t>
      </w:r>
      <w:r w:rsidR="005B6500" w:rsidRPr="00246717">
        <w:rPr>
          <w:lang w:val="pl-PL"/>
        </w:rPr>
        <w:t>oderwaniu od kontekstu, ocen</w:t>
      </w:r>
      <w:r w:rsidR="004645E0">
        <w:rPr>
          <w:lang w:val="pl-PL"/>
        </w:rPr>
        <w:t>y</w:t>
      </w:r>
      <w:r w:rsidR="005B6500" w:rsidRPr="00246717">
        <w:rPr>
          <w:lang w:val="pl-PL"/>
        </w:rPr>
        <w:t xml:space="preserve">, czy pewne powody przesłuchania świadka można uznać za wystarczające i istotne dla przedmiotu oskarżenia. Ocena ta </w:t>
      </w:r>
      <w:r w:rsidR="004645E0">
        <w:rPr>
          <w:lang w:val="pl-PL"/>
        </w:rPr>
        <w:t>automatycznie</w:t>
      </w:r>
      <w:r w:rsidR="005B6500" w:rsidRPr="00246717">
        <w:rPr>
          <w:lang w:val="pl-PL"/>
        </w:rPr>
        <w:t xml:space="preserve"> obejmuje uwzględnienie okoliczności w danej sprawie, w tym mających zastosowanie przepisów prawa krajowego, etapu i </w:t>
      </w:r>
      <w:r w:rsidR="004645E0">
        <w:rPr>
          <w:lang w:val="pl-PL"/>
        </w:rPr>
        <w:t xml:space="preserve">stopnia </w:t>
      </w:r>
      <w:r w:rsidR="005B6500" w:rsidRPr="00246717">
        <w:rPr>
          <w:lang w:val="pl-PL"/>
        </w:rPr>
        <w:t xml:space="preserve">zaawansowania postępowania, linii rozumowania i strategii przyjętych przez strony oraz ich zachowania w trakcie postępowania. </w:t>
      </w:r>
      <w:r w:rsidR="00157C4D">
        <w:rPr>
          <w:lang w:val="pl-PL"/>
        </w:rPr>
        <w:t>Prawdą jest</w:t>
      </w:r>
      <w:r w:rsidR="005B6500" w:rsidRPr="00246717">
        <w:rPr>
          <w:lang w:val="pl-PL"/>
        </w:rPr>
        <w:t>, że znaczenie zeznani</w:t>
      </w:r>
      <w:r w:rsidR="00553526">
        <w:rPr>
          <w:lang w:val="pl-PL"/>
        </w:rPr>
        <w:t>a</w:t>
      </w:r>
      <w:r w:rsidR="005B6500" w:rsidRPr="00246717">
        <w:rPr>
          <w:lang w:val="pl-PL"/>
        </w:rPr>
        <w:t xml:space="preserve"> świadka obrony może być tak oczywiste w niektórych przypadkach, że nawet </w:t>
      </w:r>
      <w:r w:rsidR="004645E0">
        <w:rPr>
          <w:lang w:val="pl-PL"/>
        </w:rPr>
        <w:t>minimalne</w:t>
      </w:r>
      <w:r w:rsidR="004645E0" w:rsidRPr="00246717">
        <w:rPr>
          <w:lang w:val="pl-PL"/>
        </w:rPr>
        <w:t xml:space="preserve"> </w:t>
      </w:r>
      <w:r w:rsidR="005B6500" w:rsidRPr="00246717">
        <w:rPr>
          <w:lang w:val="pl-PL"/>
        </w:rPr>
        <w:t xml:space="preserve">uzasadnienie podane przez obronę byłoby wystarczające do udzielenia twierdzącej odpowiedzi na pierwsze pytanie testu (por. </w:t>
      </w:r>
      <w:proofErr w:type="spellStart"/>
      <w:r w:rsidR="005B6500" w:rsidRPr="00246717">
        <w:rPr>
          <w:i/>
          <w:iCs/>
          <w:lang w:val="pl-PL"/>
        </w:rPr>
        <w:t>Pello</w:t>
      </w:r>
      <w:proofErr w:type="spellEnd"/>
      <w:r w:rsidR="005B6500" w:rsidRPr="00246717">
        <w:rPr>
          <w:i/>
          <w:iCs/>
          <w:lang w:val="pl-PL"/>
        </w:rPr>
        <w:t>, op.</w:t>
      </w:r>
      <w:r w:rsidR="00CF708F">
        <w:rPr>
          <w:i/>
          <w:iCs/>
          <w:lang w:val="pl-PL"/>
        </w:rPr>
        <w:t xml:space="preserve"> </w:t>
      </w:r>
      <w:r w:rsidR="005B6500" w:rsidRPr="00246717">
        <w:rPr>
          <w:i/>
          <w:iCs/>
          <w:lang w:val="pl-PL"/>
        </w:rPr>
        <w:t>cit.,</w:t>
      </w:r>
      <w:r w:rsidR="005B6500" w:rsidRPr="00246717">
        <w:rPr>
          <w:lang w:val="pl-PL"/>
        </w:rPr>
        <w:t xml:space="preserve"> §</w:t>
      </w:r>
      <w:r w:rsidR="00157C4D">
        <w:rPr>
          <w:lang w:val="pl-PL"/>
        </w:rPr>
        <w:t> </w:t>
      </w:r>
      <w:r w:rsidR="005B6500" w:rsidRPr="00246717">
        <w:rPr>
          <w:lang w:val="pl-PL"/>
        </w:rPr>
        <w:t>33).</w:t>
      </w:r>
    </w:p>
    <w:p w14:paraId="2D514C5D" w14:textId="7BCD4929" w:rsidR="005B6500" w:rsidRPr="00246717" w:rsidRDefault="008013B3" w:rsidP="000957D3">
      <w:pPr>
        <w:pStyle w:val="ECHRHeading4"/>
        <w:rPr>
          <w:lang w:val="pl-PL"/>
        </w:rPr>
      </w:pPr>
      <w:r w:rsidRPr="00246717">
        <w:rPr>
          <w:iCs w:val="0"/>
          <w:lang w:val="pl-PL"/>
        </w:rPr>
        <w:lastRenderedPageBreak/>
        <w:t>b)</w:t>
      </w:r>
      <w:r w:rsidR="00157C4D">
        <w:rPr>
          <w:iCs w:val="0"/>
          <w:lang w:val="pl-PL"/>
        </w:rPr>
        <w:t>  </w:t>
      </w:r>
      <w:r w:rsidRPr="00246717">
        <w:rPr>
          <w:iCs w:val="0"/>
          <w:lang w:val="pl-PL"/>
        </w:rPr>
        <w:t>Czy sądy krajowe uwzględniły znaczenie tego zeznania i wystarczając</w:t>
      </w:r>
      <w:r w:rsidR="004048A3">
        <w:rPr>
          <w:iCs w:val="0"/>
          <w:lang w:val="pl-PL"/>
        </w:rPr>
        <w:t xml:space="preserve">o uzasadniły </w:t>
      </w:r>
      <w:r w:rsidR="00CF708F">
        <w:rPr>
          <w:iCs w:val="0"/>
          <w:lang w:val="pl-PL"/>
        </w:rPr>
        <w:t>rozstrzygnięci</w:t>
      </w:r>
      <w:r w:rsidR="004048A3">
        <w:rPr>
          <w:iCs w:val="0"/>
          <w:lang w:val="pl-PL"/>
        </w:rPr>
        <w:t>e</w:t>
      </w:r>
      <w:r w:rsidR="00CF708F" w:rsidRPr="00246717">
        <w:rPr>
          <w:iCs w:val="0"/>
          <w:lang w:val="pl-PL"/>
        </w:rPr>
        <w:t xml:space="preserve"> </w:t>
      </w:r>
      <w:r w:rsidRPr="00246717">
        <w:rPr>
          <w:iCs w:val="0"/>
          <w:lang w:val="pl-PL"/>
        </w:rPr>
        <w:t xml:space="preserve">bez przesłuchiwania świadka na </w:t>
      </w:r>
      <w:r w:rsidR="00CF708F">
        <w:rPr>
          <w:iCs w:val="0"/>
          <w:lang w:val="pl-PL"/>
        </w:rPr>
        <w:t>rozprawie</w:t>
      </w:r>
      <w:r w:rsidR="00157C4D">
        <w:rPr>
          <w:iCs w:val="0"/>
          <w:lang w:val="pl-PL"/>
        </w:rPr>
        <w:t>?</w:t>
      </w:r>
    </w:p>
    <w:p w14:paraId="22EB51FF" w14:textId="0137A29C"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162</w:t>
      </w:r>
      <w:r w:rsidRPr="00246717">
        <w:rPr>
          <w:lang w:val="pl-PL"/>
        </w:rPr>
        <w:fldChar w:fldCharType="end"/>
      </w:r>
      <w:r w:rsidR="005B6500" w:rsidRPr="00246717">
        <w:rPr>
          <w:lang w:val="pl-PL"/>
        </w:rPr>
        <w:t xml:space="preserve">.  Druga przesłanka testu wymaga od sądów krajowych uwzględnienia znaczenia zeznania, o które </w:t>
      </w:r>
      <w:r w:rsidR="00CF708F">
        <w:rPr>
          <w:lang w:val="pl-PL"/>
        </w:rPr>
        <w:t>wnioskuje</w:t>
      </w:r>
      <w:r w:rsidR="005B6500" w:rsidRPr="00246717">
        <w:rPr>
          <w:lang w:val="pl-PL"/>
        </w:rPr>
        <w:t xml:space="preserve"> obrona i zobowiązuje do </w:t>
      </w:r>
      <w:r w:rsidR="004048A3">
        <w:rPr>
          <w:lang w:val="pl-PL"/>
        </w:rPr>
        <w:t>wystarczającego uzasadniania rozstrzygnięć</w:t>
      </w:r>
      <w:r w:rsidR="005B6500" w:rsidRPr="00246717">
        <w:rPr>
          <w:lang w:val="pl-PL"/>
        </w:rPr>
        <w:t xml:space="preserve">. Wymogi te są dobrze ugruntowane w orzecznictwie Trybunału (zob. na przykład </w:t>
      </w:r>
      <w:proofErr w:type="spellStart"/>
      <w:r w:rsidR="005B6500" w:rsidRPr="00246717">
        <w:rPr>
          <w:i/>
          <w:iCs/>
          <w:lang w:val="pl-PL"/>
        </w:rPr>
        <w:t>Popov</w:t>
      </w:r>
      <w:proofErr w:type="spellEnd"/>
      <w:r w:rsidR="005B6500" w:rsidRPr="00246717">
        <w:rPr>
          <w:i/>
          <w:iCs/>
          <w:lang w:val="pl-PL"/>
        </w:rPr>
        <w:t>, op.</w:t>
      </w:r>
      <w:r w:rsidR="004048A3">
        <w:rPr>
          <w:i/>
          <w:iCs/>
          <w:lang w:val="pl-PL"/>
        </w:rPr>
        <w:t xml:space="preserve"> </w:t>
      </w:r>
      <w:r w:rsidR="005B6500" w:rsidRPr="00246717">
        <w:rPr>
          <w:i/>
          <w:iCs/>
          <w:lang w:val="pl-PL"/>
        </w:rPr>
        <w:t xml:space="preserve">cit., </w:t>
      </w:r>
      <w:r w:rsidR="005B6500" w:rsidRPr="00246717">
        <w:rPr>
          <w:lang w:val="pl-PL"/>
        </w:rPr>
        <w:t xml:space="preserve">§ 188, oraz </w:t>
      </w:r>
      <w:r w:rsidR="005B6500" w:rsidRPr="00246717">
        <w:rPr>
          <w:i/>
          <w:iCs/>
          <w:lang w:val="pl-PL"/>
        </w:rPr>
        <w:t>Topić</w:t>
      </w:r>
      <w:r w:rsidR="005B6500" w:rsidRPr="00246717">
        <w:rPr>
          <w:lang w:val="pl-PL"/>
        </w:rPr>
        <w:t xml:space="preserve">, </w:t>
      </w:r>
      <w:r w:rsidR="005B6500" w:rsidRPr="00246717">
        <w:rPr>
          <w:i/>
          <w:iCs/>
          <w:lang w:val="pl-PL"/>
        </w:rPr>
        <w:t>op.</w:t>
      </w:r>
      <w:r w:rsidR="004048A3">
        <w:rPr>
          <w:i/>
          <w:iCs/>
          <w:lang w:val="pl-PL"/>
        </w:rPr>
        <w:t xml:space="preserve"> </w:t>
      </w:r>
      <w:r w:rsidR="005B6500" w:rsidRPr="00246717">
        <w:rPr>
          <w:i/>
          <w:iCs/>
          <w:lang w:val="pl-PL"/>
        </w:rPr>
        <w:t>cit.</w:t>
      </w:r>
      <w:r w:rsidR="005B6500" w:rsidRPr="00246717">
        <w:rPr>
          <w:lang w:val="pl-PL"/>
        </w:rPr>
        <w:t>, §</w:t>
      </w:r>
      <w:r w:rsidR="00157C4D">
        <w:rPr>
          <w:lang w:val="pl-PL"/>
        </w:rPr>
        <w:t> </w:t>
      </w:r>
      <w:r w:rsidR="005B6500" w:rsidRPr="00246717">
        <w:rPr>
          <w:lang w:val="pl-PL"/>
        </w:rPr>
        <w:t>42).</w:t>
      </w:r>
    </w:p>
    <w:p w14:paraId="38B55EAE" w14:textId="40FD6FC1"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163</w:t>
      </w:r>
      <w:r w:rsidRPr="00246717">
        <w:rPr>
          <w:lang w:val="pl-PL"/>
        </w:rPr>
        <w:fldChar w:fldCharType="end"/>
      </w:r>
      <w:r w:rsidR="005B6500" w:rsidRPr="00246717">
        <w:rPr>
          <w:lang w:val="pl-PL"/>
        </w:rPr>
        <w:t>.  Trybunał przypomina, że z jednej strony na gruncie art.</w:t>
      </w:r>
      <w:r w:rsidR="00157C4D">
        <w:rPr>
          <w:lang w:val="pl-PL"/>
        </w:rPr>
        <w:t> </w:t>
      </w:r>
      <w:r w:rsidR="005B6500" w:rsidRPr="00246717">
        <w:rPr>
          <w:lang w:val="pl-PL"/>
        </w:rPr>
        <w:t xml:space="preserve">6 Konwencji dopuszczalność materiału dowodowego jest głównie </w:t>
      </w:r>
      <w:r w:rsidR="004048A3">
        <w:rPr>
          <w:lang w:val="pl-PL"/>
        </w:rPr>
        <w:t>przedmiotem</w:t>
      </w:r>
      <w:r w:rsidR="004048A3" w:rsidRPr="00246717">
        <w:rPr>
          <w:lang w:val="pl-PL"/>
        </w:rPr>
        <w:t xml:space="preserve"> </w:t>
      </w:r>
      <w:r w:rsidR="005B6500" w:rsidRPr="00246717">
        <w:rPr>
          <w:lang w:val="pl-PL"/>
        </w:rPr>
        <w:t xml:space="preserve">regulacji w prawie krajowym i sądy krajowe są najbardziej </w:t>
      </w:r>
      <w:r w:rsidR="004048A3">
        <w:rPr>
          <w:lang w:val="pl-PL"/>
        </w:rPr>
        <w:t>właściwe do</w:t>
      </w:r>
      <w:r w:rsidR="005B6500" w:rsidRPr="00246717">
        <w:rPr>
          <w:lang w:val="pl-PL"/>
        </w:rPr>
        <w:t xml:space="preserve"> orzekania w </w:t>
      </w:r>
      <w:r w:rsidR="004048A3">
        <w:rPr>
          <w:lang w:val="pl-PL"/>
        </w:rPr>
        <w:t>tym zakresie, a</w:t>
      </w:r>
      <w:r w:rsidR="005B6500" w:rsidRPr="00246717">
        <w:rPr>
          <w:lang w:val="pl-PL"/>
        </w:rPr>
        <w:t xml:space="preserve"> z drugiej strony art.</w:t>
      </w:r>
      <w:r w:rsidR="004B5A30">
        <w:rPr>
          <w:lang w:val="pl-PL"/>
        </w:rPr>
        <w:t> </w:t>
      </w:r>
      <w:r w:rsidR="005B6500" w:rsidRPr="00246717">
        <w:rPr>
          <w:lang w:val="pl-PL"/>
        </w:rPr>
        <w:t>6 ust.</w:t>
      </w:r>
      <w:r w:rsidR="004B5A30">
        <w:rPr>
          <w:lang w:val="pl-PL"/>
        </w:rPr>
        <w:t> </w:t>
      </w:r>
      <w:r w:rsidR="005B6500" w:rsidRPr="00246717">
        <w:rPr>
          <w:lang w:val="pl-PL"/>
        </w:rPr>
        <w:t>3 lit.</w:t>
      </w:r>
      <w:r w:rsidR="004B5A30">
        <w:rPr>
          <w:lang w:val="pl-PL"/>
        </w:rPr>
        <w:t> </w:t>
      </w:r>
      <w:r w:rsidR="005B6500" w:rsidRPr="00246717">
        <w:rPr>
          <w:lang w:val="pl-PL"/>
        </w:rPr>
        <w:t xml:space="preserve">d Konwencji nie wymaga stawiennictwa i przesłuchania każdego świadka obrony, jednak ma na celu zapewnienie równości stron w tym zakresie. </w:t>
      </w:r>
      <w:r w:rsidR="004048A3">
        <w:rPr>
          <w:lang w:val="pl-PL"/>
        </w:rPr>
        <w:t>Tym samym to</w:t>
      </w:r>
      <w:r w:rsidR="005B6500" w:rsidRPr="00246717">
        <w:rPr>
          <w:lang w:val="pl-PL"/>
        </w:rPr>
        <w:t xml:space="preserve"> przede wszystkim do sądów krajowych należy wnikliwe zbadanie </w:t>
      </w:r>
      <w:r w:rsidR="004048A3">
        <w:rPr>
          <w:lang w:val="pl-PL"/>
        </w:rPr>
        <w:t>mających znaczenie</w:t>
      </w:r>
      <w:r w:rsidR="004048A3" w:rsidRPr="00246717">
        <w:rPr>
          <w:lang w:val="pl-PL"/>
        </w:rPr>
        <w:t xml:space="preserve"> </w:t>
      </w:r>
      <w:r w:rsidR="005B6500" w:rsidRPr="00246717">
        <w:rPr>
          <w:lang w:val="pl-PL"/>
        </w:rPr>
        <w:t xml:space="preserve">kwestii, jeśli obrona </w:t>
      </w:r>
      <w:r w:rsidR="004048A3">
        <w:rPr>
          <w:lang w:val="pl-PL"/>
        </w:rPr>
        <w:t xml:space="preserve">składa </w:t>
      </w:r>
      <w:r w:rsidR="005B6500" w:rsidRPr="00246717">
        <w:rPr>
          <w:lang w:val="pl-PL"/>
        </w:rPr>
        <w:t>wystarczająco</w:t>
      </w:r>
      <w:r w:rsidR="004048A3">
        <w:rPr>
          <w:lang w:val="pl-PL"/>
        </w:rPr>
        <w:t xml:space="preserve"> uzasadniony </w:t>
      </w:r>
      <w:r w:rsidR="005B6500" w:rsidRPr="00246717">
        <w:rPr>
          <w:lang w:val="pl-PL"/>
        </w:rPr>
        <w:t xml:space="preserve">wniosek </w:t>
      </w:r>
      <w:r w:rsidR="004048A3">
        <w:rPr>
          <w:lang w:val="pl-PL"/>
        </w:rPr>
        <w:t>o</w:t>
      </w:r>
      <w:r w:rsidR="004048A3" w:rsidRPr="00246717">
        <w:rPr>
          <w:lang w:val="pl-PL"/>
        </w:rPr>
        <w:t xml:space="preserve"> </w:t>
      </w:r>
      <w:r w:rsidR="005B6500" w:rsidRPr="00246717">
        <w:rPr>
          <w:lang w:val="pl-PL"/>
        </w:rPr>
        <w:t>przesłuchani</w:t>
      </w:r>
      <w:r w:rsidR="004048A3">
        <w:rPr>
          <w:lang w:val="pl-PL"/>
        </w:rPr>
        <w:t>e</w:t>
      </w:r>
      <w:r w:rsidR="005B6500" w:rsidRPr="00246717">
        <w:rPr>
          <w:lang w:val="pl-PL"/>
        </w:rPr>
        <w:t xml:space="preserve"> danego świadka.</w:t>
      </w:r>
    </w:p>
    <w:p w14:paraId="20FE1826" w14:textId="6AE16D01"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164</w:t>
      </w:r>
      <w:r w:rsidRPr="00246717">
        <w:rPr>
          <w:lang w:val="pl-PL"/>
        </w:rPr>
        <w:fldChar w:fldCharType="end"/>
      </w:r>
      <w:r w:rsidR="005B6500" w:rsidRPr="00246717">
        <w:rPr>
          <w:lang w:val="pl-PL"/>
        </w:rPr>
        <w:t>.  </w:t>
      </w:r>
      <w:r w:rsidR="004048A3">
        <w:rPr>
          <w:lang w:val="pl-PL"/>
        </w:rPr>
        <w:t>Jakakolwiek</w:t>
      </w:r>
      <w:r w:rsidR="004048A3" w:rsidRPr="00246717">
        <w:rPr>
          <w:lang w:val="pl-PL"/>
        </w:rPr>
        <w:t xml:space="preserve"> </w:t>
      </w:r>
      <w:r w:rsidR="005B6500" w:rsidRPr="00246717">
        <w:rPr>
          <w:lang w:val="pl-PL"/>
        </w:rPr>
        <w:t xml:space="preserve">tego rodzaju </w:t>
      </w:r>
      <w:r w:rsidR="004048A3">
        <w:rPr>
          <w:lang w:val="pl-PL"/>
        </w:rPr>
        <w:t>ocena automatycznie</w:t>
      </w:r>
      <w:r w:rsidR="005B6500" w:rsidRPr="00246717">
        <w:rPr>
          <w:lang w:val="pl-PL"/>
        </w:rPr>
        <w:t xml:space="preserve"> obejmuje uwzględnienie okoliczności w danej sprawie</w:t>
      </w:r>
      <w:r w:rsidR="004048A3">
        <w:rPr>
          <w:lang w:val="pl-PL"/>
        </w:rPr>
        <w:t>, a</w:t>
      </w:r>
      <w:r w:rsidR="005B6500" w:rsidRPr="00246717">
        <w:rPr>
          <w:lang w:val="pl-PL"/>
        </w:rPr>
        <w:t xml:space="preserve"> uzasadnieni</w:t>
      </w:r>
      <w:r w:rsidR="004048A3">
        <w:rPr>
          <w:lang w:val="pl-PL"/>
        </w:rPr>
        <w:t>e</w:t>
      </w:r>
      <w:r w:rsidR="005B6500" w:rsidRPr="00246717">
        <w:rPr>
          <w:lang w:val="pl-PL"/>
        </w:rPr>
        <w:t xml:space="preserve"> sądów mus</w:t>
      </w:r>
      <w:r w:rsidR="004B5A30">
        <w:rPr>
          <w:lang w:val="pl-PL"/>
        </w:rPr>
        <w:t>zą</w:t>
      </w:r>
      <w:r w:rsidR="005B6500" w:rsidRPr="00246717">
        <w:rPr>
          <w:lang w:val="pl-PL"/>
        </w:rPr>
        <w:t xml:space="preserve"> być proporcjonalne, czyli adekwatne pod względem zakresu i stopnia szczegółowości, do </w:t>
      </w:r>
      <w:r w:rsidR="00CA6340">
        <w:rPr>
          <w:lang w:val="pl-PL"/>
        </w:rPr>
        <w:t>uzasadnienia przytoczonego</w:t>
      </w:r>
      <w:r w:rsidR="005B6500" w:rsidRPr="00246717">
        <w:rPr>
          <w:lang w:val="pl-PL"/>
        </w:rPr>
        <w:t xml:space="preserve"> przez obronę.</w:t>
      </w:r>
    </w:p>
    <w:p w14:paraId="4EF1229A" w14:textId="08EC3EAE" w:rsidR="005B6500" w:rsidRPr="00246717" w:rsidRDefault="00150576" w:rsidP="000957D3">
      <w:pPr>
        <w:pStyle w:val="ECHRPara"/>
        <w:rPr>
          <w:i/>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165</w:t>
      </w:r>
      <w:r w:rsidRPr="00246717">
        <w:rPr>
          <w:lang w:val="pl-PL"/>
        </w:rPr>
        <w:fldChar w:fldCharType="end"/>
      </w:r>
      <w:r w:rsidR="005B6500" w:rsidRPr="00246717">
        <w:rPr>
          <w:lang w:val="pl-PL"/>
        </w:rPr>
        <w:t>.  </w:t>
      </w:r>
      <w:r w:rsidR="00CA6340">
        <w:rPr>
          <w:lang w:val="pl-PL"/>
        </w:rPr>
        <w:t xml:space="preserve">Skoro </w:t>
      </w:r>
      <w:r w:rsidR="005B6500" w:rsidRPr="00246717">
        <w:rPr>
          <w:lang w:val="pl-PL"/>
        </w:rPr>
        <w:t xml:space="preserve">Konwencja nie wymaga stawiennictwa i przesłuchania każdego świadka obrony, </w:t>
      </w:r>
      <w:r w:rsidR="00CA6340">
        <w:rPr>
          <w:lang w:val="pl-PL"/>
        </w:rPr>
        <w:t>to</w:t>
      </w:r>
      <w:r w:rsidR="00CA6340" w:rsidRPr="00246717">
        <w:rPr>
          <w:lang w:val="pl-PL"/>
        </w:rPr>
        <w:t xml:space="preserve"> </w:t>
      </w:r>
      <w:r w:rsidR="005B6500" w:rsidRPr="00246717">
        <w:rPr>
          <w:lang w:val="pl-PL"/>
        </w:rPr>
        <w:t xml:space="preserve">nie </w:t>
      </w:r>
      <w:r w:rsidR="00CA6340">
        <w:rPr>
          <w:lang w:val="pl-PL"/>
        </w:rPr>
        <w:t>należy</w:t>
      </w:r>
      <w:r w:rsidR="00CA6340" w:rsidRPr="00246717">
        <w:rPr>
          <w:lang w:val="pl-PL"/>
        </w:rPr>
        <w:t xml:space="preserve"> </w:t>
      </w:r>
      <w:r w:rsidR="005B6500" w:rsidRPr="00246717">
        <w:rPr>
          <w:lang w:val="pl-PL"/>
        </w:rPr>
        <w:t xml:space="preserve">oczekiwać od sądów udzielenia szczegółowej odpowiedzi na każdy wniosek obrony, </w:t>
      </w:r>
      <w:r w:rsidR="00CA6340">
        <w:rPr>
          <w:lang w:val="pl-PL"/>
        </w:rPr>
        <w:t>przy czym</w:t>
      </w:r>
      <w:r w:rsidR="00CA6340" w:rsidRPr="00246717">
        <w:rPr>
          <w:lang w:val="pl-PL"/>
        </w:rPr>
        <w:t xml:space="preserve"> </w:t>
      </w:r>
      <w:r w:rsidR="005B6500" w:rsidRPr="00246717">
        <w:rPr>
          <w:lang w:val="pl-PL"/>
        </w:rPr>
        <w:t xml:space="preserve">muszą </w:t>
      </w:r>
      <w:r w:rsidR="00CA6340">
        <w:rPr>
          <w:lang w:val="pl-PL"/>
        </w:rPr>
        <w:t>one przedstawić odpowiednie uzasadnienie</w:t>
      </w:r>
      <w:r w:rsidR="005B6500" w:rsidRPr="00246717">
        <w:rPr>
          <w:lang w:val="pl-PL"/>
        </w:rPr>
        <w:t xml:space="preserve"> (</w:t>
      </w:r>
      <w:r w:rsidR="00CA6340">
        <w:rPr>
          <w:lang w:val="pl-PL"/>
        </w:rPr>
        <w:t>podobny tok rozumowania przyjęto</w:t>
      </w:r>
      <w:r w:rsidR="005B6500" w:rsidRPr="00246717">
        <w:rPr>
          <w:lang w:val="pl-PL"/>
        </w:rPr>
        <w:t xml:space="preserve"> w </w:t>
      </w:r>
      <w:r w:rsidR="00CA6340">
        <w:rPr>
          <w:lang w:val="pl-PL"/>
        </w:rPr>
        <w:t>odniesieniu do</w:t>
      </w:r>
      <w:r w:rsidR="00CA6340" w:rsidRPr="00246717">
        <w:rPr>
          <w:lang w:val="pl-PL"/>
        </w:rPr>
        <w:t xml:space="preserve"> </w:t>
      </w:r>
      <w:r w:rsidR="005B6500" w:rsidRPr="00246717">
        <w:rPr>
          <w:lang w:val="pl-PL"/>
        </w:rPr>
        <w:t xml:space="preserve">spoczywającego na sądach obowiązku </w:t>
      </w:r>
      <w:r w:rsidR="00CA6340">
        <w:rPr>
          <w:lang w:val="pl-PL"/>
        </w:rPr>
        <w:t>oceny</w:t>
      </w:r>
      <w:r w:rsidR="00CA6340" w:rsidRPr="00246717">
        <w:rPr>
          <w:lang w:val="pl-PL"/>
        </w:rPr>
        <w:t xml:space="preserve"> </w:t>
      </w:r>
      <w:r w:rsidR="005B6500" w:rsidRPr="00246717">
        <w:rPr>
          <w:lang w:val="pl-PL"/>
        </w:rPr>
        <w:t xml:space="preserve">argumentów </w:t>
      </w:r>
      <w:r w:rsidR="00CA6340">
        <w:rPr>
          <w:lang w:val="pl-PL"/>
        </w:rPr>
        <w:t>przytoczonych w apelacji</w:t>
      </w:r>
      <w:r w:rsidR="005B6500" w:rsidRPr="00246717">
        <w:rPr>
          <w:lang w:val="pl-PL"/>
        </w:rPr>
        <w:t xml:space="preserve"> </w:t>
      </w:r>
      <w:r w:rsidR="004B5A30">
        <w:rPr>
          <w:lang w:val="pl-PL"/>
        </w:rPr>
        <w:t>(</w:t>
      </w:r>
      <w:r w:rsidR="005B6500" w:rsidRPr="00246717">
        <w:rPr>
          <w:lang w:val="pl-PL"/>
        </w:rPr>
        <w:t xml:space="preserve">zob. </w:t>
      </w:r>
      <w:r w:rsidR="005B6500" w:rsidRPr="00246717">
        <w:rPr>
          <w:i/>
          <w:iCs/>
          <w:lang w:val="pl-PL"/>
        </w:rPr>
        <w:t xml:space="preserve">Van de </w:t>
      </w:r>
      <w:proofErr w:type="spellStart"/>
      <w:r w:rsidR="005B6500" w:rsidRPr="00246717">
        <w:rPr>
          <w:i/>
          <w:iCs/>
          <w:lang w:val="pl-PL"/>
        </w:rPr>
        <w:t>Hurk</w:t>
      </w:r>
      <w:proofErr w:type="spellEnd"/>
      <w:r w:rsidR="005B6500" w:rsidRPr="00246717">
        <w:rPr>
          <w:i/>
          <w:iCs/>
          <w:lang w:val="pl-PL"/>
        </w:rPr>
        <w:t xml:space="preserve"> przeciwko </w:t>
      </w:r>
      <w:r w:rsidR="004B5A30">
        <w:rPr>
          <w:i/>
          <w:iCs/>
          <w:lang w:val="pl-PL"/>
        </w:rPr>
        <w:t>Holandii</w:t>
      </w:r>
      <w:r w:rsidR="005B6500" w:rsidRPr="00246717">
        <w:rPr>
          <w:lang w:val="pl-PL"/>
        </w:rPr>
        <w:t>, wyrok z dn</w:t>
      </w:r>
      <w:r w:rsidR="004B5A30">
        <w:rPr>
          <w:lang w:val="pl-PL"/>
        </w:rPr>
        <w:t>ia</w:t>
      </w:r>
      <w:r w:rsidR="005B6500" w:rsidRPr="00246717">
        <w:rPr>
          <w:lang w:val="pl-PL"/>
        </w:rPr>
        <w:t xml:space="preserve"> </w:t>
      </w:r>
      <w:r w:rsidR="001A37A8">
        <w:rPr>
          <w:lang w:val="pl-PL"/>
        </w:rPr>
        <w:t>19 kwietnia 1994</w:t>
      </w:r>
      <w:r w:rsidR="004B5A30">
        <w:rPr>
          <w:lang w:val="pl-PL"/>
        </w:rPr>
        <w:t> </w:t>
      </w:r>
      <w:r w:rsidR="001A37A8">
        <w:rPr>
          <w:lang w:val="pl-PL"/>
        </w:rPr>
        <w:t>r., §</w:t>
      </w:r>
      <w:r w:rsidR="004B5A30">
        <w:rPr>
          <w:lang w:val="pl-PL"/>
        </w:rPr>
        <w:t> </w:t>
      </w:r>
      <w:r w:rsidR="001A37A8">
        <w:rPr>
          <w:lang w:val="pl-PL"/>
        </w:rPr>
        <w:t>61, Seri</w:t>
      </w:r>
      <w:r w:rsidR="005B6500" w:rsidRPr="00246717">
        <w:rPr>
          <w:lang w:val="pl-PL"/>
        </w:rPr>
        <w:t>a</w:t>
      </w:r>
      <w:r w:rsidR="004B5A30">
        <w:rPr>
          <w:lang w:val="pl-PL"/>
        </w:rPr>
        <w:t> </w:t>
      </w:r>
      <w:r w:rsidR="005B6500" w:rsidRPr="00246717">
        <w:rPr>
          <w:lang w:val="pl-PL"/>
        </w:rPr>
        <w:t>A nr</w:t>
      </w:r>
      <w:r w:rsidR="004B5A30">
        <w:rPr>
          <w:lang w:val="pl-PL"/>
        </w:rPr>
        <w:t> </w:t>
      </w:r>
      <w:r w:rsidR="005B6500" w:rsidRPr="00246717">
        <w:rPr>
          <w:lang w:val="pl-PL"/>
        </w:rPr>
        <w:t xml:space="preserve">288, oraz </w:t>
      </w:r>
      <w:proofErr w:type="spellStart"/>
      <w:r w:rsidR="005B6500" w:rsidRPr="00246717">
        <w:rPr>
          <w:i/>
          <w:iCs/>
          <w:lang w:val="pl-PL"/>
        </w:rPr>
        <w:t>Boldea</w:t>
      </w:r>
      <w:proofErr w:type="spellEnd"/>
      <w:r w:rsidR="005B6500" w:rsidRPr="00246717">
        <w:rPr>
          <w:i/>
          <w:iCs/>
          <w:lang w:val="pl-PL"/>
        </w:rPr>
        <w:t xml:space="preserve"> przeciwko Rumunii</w:t>
      </w:r>
      <w:r w:rsidR="005B6500" w:rsidRPr="00246717">
        <w:rPr>
          <w:lang w:val="pl-PL"/>
        </w:rPr>
        <w:t>, wyrok z dn</w:t>
      </w:r>
      <w:r w:rsidR="004B5A30">
        <w:rPr>
          <w:lang w:val="pl-PL"/>
        </w:rPr>
        <w:t>ia</w:t>
      </w:r>
      <w:r w:rsidR="005B6500" w:rsidRPr="00246717">
        <w:rPr>
          <w:lang w:val="pl-PL"/>
        </w:rPr>
        <w:t xml:space="preserve"> 15 lutego 2007</w:t>
      </w:r>
      <w:r w:rsidR="004B5A30">
        <w:rPr>
          <w:lang w:val="pl-PL"/>
        </w:rPr>
        <w:t> </w:t>
      </w:r>
      <w:r w:rsidR="005B6500" w:rsidRPr="00246717">
        <w:rPr>
          <w:lang w:val="pl-PL"/>
        </w:rPr>
        <w:t>r., skarga nr</w:t>
      </w:r>
      <w:r w:rsidR="004B5A30">
        <w:rPr>
          <w:lang w:val="pl-PL"/>
        </w:rPr>
        <w:t> </w:t>
      </w:r>
      <w:r w:rsidR="005B6500" w:rsidRPr="00246717">
        <w:rPr>
          <w:lang w:val="pl-PL"/>
        </w:rPr>
        <w:t>19997/02, §</w:t>
      </w:r>
      <w:r w:rsidR="004B5A30">
        <w:rPr>
          <w:lang w:val="pl-PL"/>
        </w:rPr>
        <w:t> </w:t>
      </w:r>
      <w:r w:rsidR="005B6500" w:rsidRPr="00246717">
        <w:rPr>
          <w:lang w:val="pl-PL"/>
        </w:rPr>
        <w:t>30).</w:t>
      </w:r>
    </w:p>
    <w:p w14:paraId="13C93BA6" w14:textId="28E086D8"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166</w:t>
      </w:r>
      <w:r w:rsidRPr="00246717">
        <w:rPr>
          <w:lang w:val="pl-PL"/>
        </w:rPr>
        <w:fldChar w:fldCharType="end"/>
      </w:r>
      <w:r w:rsidR="005B6500" w:rsidRPr="00246717">
        <w:rPr>
          <w:lang w:val="pl-PL"/>
        </w:rPr>
        <w:t>.  </w:t>
      </w:r>
      <w:r w:rsidR="00CA6340">
        <w:rPr>
          <w:lang w:val="pl-PL"/>
        </w:rPr>
        <w:t>Co do zasady</w:t>
      </w:r>
      <w:r w:rsidR="00CA6340" w:rsidRPr="00246717">
        <w:rPr>
          <w:lang w:val="pl-PL"/>
        </w:rPr>
        <w:t xml:space="preserve"> </w:t>
      </w:r>
      <w:r w:rsidR="005B6500" w:rsidRPr="00246717">
        <w:rPr>
          <w:lang w:val="pl-PL"/>
        </w:rPr>
        <w:t>od znaczenia zeznania i wystarczających powodów przedstawionych przez obronę w okolicznościach spraw</w:t>
      </w:r>
      <w:r w:rsidR="006C3958">
        <w:rPr>
          <w:lang w:val="pl-PL"/>
        </w:rPr>
        <w:t>y</w:t>
      </w:r>
      <w:r w:rsidR="005B6500" w:rsidRPr="00246717">
        <w:rPr>
          <w:lang w:val="pl-PL"/>
        </w:rPr>
        <w:t xml:space="preserve"> zależeć będzie zakres i stopień szczegółowości przeprowadzonej przez sądy krajowe oceny konieczności zapewnienia obecności i przesłuchania świadka. W związku z</w:t>
      </w:r>
      <w:r w:rsidR="009443F7">
        <w:rPr>
          <w:lang w:val="pl-PL"/>
        </w:rPr>
        <w:t> </w:t>
      </w:r>
      <w:r w:rsidR="005B6500" w:rsidRPr="00246717">
        <w:rPr>
          <w:lang w:val="pl-PL"/>
        </w:rPr>
        <w:t>tym im silniejsze i lepiej uzasadnione argumenty wysuwane przez obronę, tym bardziej skrupulatna musi być kontrola i bardziej przekonujące uzasadnienie sądów krajowych, jeśli oddal</w:t>
      </w:r>
      <w:r w:rsidR="00CA6340">
        <w:rPr>
          <w:lang w:val="pl-PL"/>
        </w:rPr>
        <w:t>aj</w:t>
      </w:r>
      <w:r w:rsidR="005B6500" w:rsidRPr="00246717">
        <w:rPr>
          <w:lang w:val="pl-PL"/>
        </w:rPr>
        <w:t>ą wniosek obrony o przesłuchanie świadka.</w:t>
      </w:r>
    </w:p>
    <w:p w14:paraId="2A0210A5" w14:textId="4E09B9C1" w:rsidR="005B6500" w:rsidRPr="00246717" w:rsidRDefault="008013B3" w:rsidP="000957D3">
      <w:pPr>
        <w:pStyle w:val="ECHRHeading4"/>
        <w:rPr>
          <w:lang w:val="pl-PL"/>
        </w:rPr>
      </w:pPr>
      <w:r w:rsidRPr="00246717">
        <w:rPr>
          <w:iCs w:val="0"/>
          <w:lang w:val="pl-PL"/>
        </w:rPr>
        <w:t>c)</w:t>
      </w:r>
      <w:r w:rsidR="009443F7">
        <w:rPr>
          <w:iCs w:val="0"/>
          <w:lang w:val="pl-PL"/>
        </w:rPr>
        <w:t>  </w:t>
      </w:r>
      <w:r w:rsidRPr="00246717">
        <w:rPr>
          <w:iCs w:val="0"/>
          <w:lang w:val="pl-PL"/>
        </w:rPr>
        <w:t xml:space="preserve">Czy </w:t>
      </w:r>
      <w:r w:rsidR="00CA6340">
        <w:rPr>
          <w:iCs w:val="0"/>
          <w:lang w:val="pl-PL"/>
        </w:rPr>
        <w:t>rozstrzygnięcie</w:t>
      </w:r>
      <w:r w:rsidR="00CA6340" w:rsidRPr="00246717">
        <w:rPr>
          <w:iCs w:val="0"/>
          <w:lang w:val="pl-PL"/>
        </w:rPr>
        <w:t xml:space="preserve"> </w:t>
      </w:r>
      <w:r w:rsidRPr="00246717">
        <w:rPr>
          <w:iCs w:val="0"/>
          <w:lang w:val="pl-PL"/>
        </w:rPr>
        <w:t xml:space="preserve">sądów krajowych </w:t>
      </w:r>
      <w:r w:rsidR="00CA6340">
        <w:rPr>
          <w:iCs w:val="0"/>
          <w:lang w:val="pl-PL"/>
        </w:rPr>
        <w:t>w przedmiocie</w:t>
      </w:r>
      <w:r w:rsidR="00CA6340" w:rsidRPr="00246717">
        <w:rPr>
          <w:iCs w:val="0"/>
          <w:lang w:val="pl-PL"/>
        </w:rPr>
        <w:t xml:space="preserve"> </w:t>
      </w:r>
      <w:r w:rsidRPr="00246717">
        <w:rPr>
          <w:iCs w:val="0"/>
          <w:lang w:val="pl-PL"/>
        </w:rPr>
        <w:t xml:space="preserve">nieprzesłuchiwania świadka </w:t>
      </w:r>
      <w:r w:rsidR="00CA6340">
        <w:rPr>
          <w:iCs w:val="0"/>
          <w:lang w:val="pl-PL"/>
        </w:rPr>
        <w:t>miało wpływ na</w:t>
      </w:r>
      <w:r w:rsidR="00CA6340" w:rsidRPr="00246717">
        <w:rPr>
          <w:iCs w:val="0"/>
          <w:lang w:val="pl-PL"/>
        </w:rPr>
        <w:t xml:space="preserve"> </w:t>
      </w:r>
      <w:r w:rsidRPr="00246717">
        <w:rPr>
          <w:iCs w:val="0"/>
          <w:lang w:val="pl-PL"/>
        </w:rPr>
        <w:t>ogólną rzetelność postępowania</w:t>
      </w:r>
      <w:r w:rsidR="009443F7">
        <w:rPr>
          <w:iCs w:val="0"/>
          <w:lang w:val="pl-PL"/>
        </w:rPr>
        <w:t>?</w:t>
      </w:r>
    </w:p>
    <w:p w14:paraId="2C454C68" w14:textId="3000E5CD"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167</w:t>
      </w:r>
      <w:r w:rsidRPr="00246717">
        <w:rPr>
          <w:lang w:val="pl-PL"/>
        </w:rPr>
        <w:fldChar w:fldCharType="end"/>
      </w:r>
      <w:r w:rsidR="005B6500" w:rsidRPr="00246717">
        <w:rPr>
          <w:lang w:val="pl-PL"/>
        </w:rPr>
        <w:t xml:space="preserve">.  Trybunał uznaje, że </w:t>
      </w:r>
      <w:r w:rsidR="00CA6340">
        <w:rPr>
          <w:lang w:val="pl-PL"/>
        </w:rPr>
        <w:t>ocena</w:t>
      </w:r>
      <w:r w:rsidR="00CA6340" w:rsidRPr="00246717">
        <w:rPr>
          <w:lang w:val="pl-PL"/>
        </w:rPr>
        <w:t xml:space="preserve"> </w:t>
      </w:r>
      <w:r w:rsidR="005B6500" w:rsidRPr="00246717">
        <w:rPr>
          <w:lang w:val="pl-PL"/>
        </w:rPr>
        <w:t xml:space="preserve">wpływu, jaki </w:t>
      </w:r>
      <w:r w:rsidR="00CA6340">
        <w:rPr>
          <w:lang w:val="pl-PL"/>
        </w:rPr>
        <w:t>rozstrzygnięcie w przedmiocie oddalenia wniosku o</w:t>
      </w:r>
      <w:r w:rsidR="005B6500" w:rsidRPr="00246717">
        <w:rPr>
          <w:lang w:val="pl-PL"/>
        </w:rPr>
        <w:t xml:space="preserve"> przesłuchani</w:t>
      </w:r>
      <w:r w:rsidR="00CA6340">
        <w:rPr>
          <w:lang w:val="pl-PL"/>
        </w:rPr>
        <w:t>e</w:t>
      </w:r>
      <w:r w:rsidR="005B6500" w:rsidRPr="00246717">
        <w:rPr>
          <w:lang w:val="pl-PL"/>
        </w:rPr>
        <w:t xml:space="preserve"> świadka obrony na </w:t>
      </w:r>
      <w:r w:rsidR="00CA6340">
        <w:rPr>
          <w:lang w:val="pl-PL"/>
        </w:rPr>
        <w:t>rozprawie</w:t>
      </w:r>
      <w:r w:rsidR="00CA6340" w:rsidRPr="00246717">
        <w:rPr>
          <w:lang w:val="pl-PL"/>
        </w:rPr>
        <w:t xml:space="preserve"> </w:t>
      </w:r>
      <w:r w:rsidR="00CA6340">
        <w:rPr>
          <w:lang w:val="pl-PL"/>
        </w:rPr>
        <w:t>miało</w:t>
      </w:r>
      <w:r w:rsidR="00CA6340" w:rsidRPr="00246717">
        <w:rPr>
          <w:lang w:val="pl-PL"/>
        </w:rPr>
        <w:t xml:space="preserve"> </w:t>
      </w:r>
      <w:r w:rsidR="005B6500" w:rsidRPr="00246717">
        <w:rPr>
          <w:lang w:val="pl-PL"/>
        </w:rPr>
        <w:t xml:space="preserve">na ogólną rzetelność postępowania jest w każdej sprawie nieodzowne (zob. w różnych kontekstach, </w:t>
      </w:r>
      <w:r w:rsidR="005B6500" w:rsidRPr="00246717">
        <w:rPr>
          <w:i/>
          <w:iCs/>
          <w:lang w:val="pl-PL"/>
        </w:rPr>
        <w:t xml:space="preserve">Ibrahim i Inni przeciwko Zjednoczonemu Królestwu </w:t>
      </w:r>
      <w:r w:rsidR="005B6500" w:rsidRPr="00246717">
        <w:rPr>
          <w:lang w:val="pl-PL"/>
        </w:rPr>
        <w:t xml:space="preserve">[WI], wyrok z </w:t>
      </w:r>
      <w:r w:rsidR="00957D77">
        <w:rPr>
          <w:lang w:val="pl-PL"/>
        </w:rPr>
        <w:t>dnia</w:t>
      </w:r>
      <w:r w:rsidR="005B6500" w:rsidRPr="00246717">
        <w:rPr>
          <w:lang w:val="pl-PL"/>
        </w:rPr>
        <w:t xml:space="preserve"> 13 września 2016</w:t>
      </w:r>
      <w:r w:rsidR="009443F7">
        <w:rPr>
          <w:lang w:val="pl-PL"/>
        </w:rPr>
        <w:t> </w:t>
      </w:r>
      <w:r w:rsidR="005B6500" w:rsidRPr="00246717">
        <w:rPr>
          <w:lang w:val="pl-PL"/>
        </w:rPr>
        <w:t xml:space="preserve">r., skarga </w:t>
      </w:r>
      <w:r w:rsidR="005B6500" w:rsidRPr="00246717">
        <w:rPr>
          <w:lang w:val="pl-PL"/>
        </w:rPr>
        <w:lastRenderedPageBreak/>
        <w:t>nr</w:t>
      </w:r>
      <w:r w:rsidR="009443F7">
        <w:rPr>
          <w:lang w:val="pl-PL"/>
        </w:rPr>
        <w:t> </w:t>
      </w:r>
      <w:r w:rsidR="005B6500" w:rsidRPr="00246717">
        <w:rPr>
          <w:lang w:val="pl-PL"/>
        </w:rPr>
        <w:t xml:space="preserve">50541/08 i </w:t>
      </w:r>
      <w:r w:rsidR="00AE670A">
        <w:rPr>
          <w:lang w:val="pl-PL"/>
        </w:rPr>
        <w:t>trzy</w:t>
      </w:r>
      <w:r w:rsidR="005B6500" w:rsidRPr="00246717">
        <w:rPr>
          <w:lang w:val="pl-PL"/>
        </w:rPr>
        <w:t xml:space="preserve"> inne, §§ 250</w:t>
      </w:r>
      <w:r w:rsidR="009443F7">
        <w:rPr>
          <w:rFonts w:cstheme="minorHAnsi"/>
          <w:lang w:val="pl-PL"/>
        </w:rPr>
        <w:t>−</w:t>
      </w:r>
      <w:r w:rsidR="005B6500" w:rsidRPr="00246717">
        <w:rPr>
          <w:lang w:val="pl-PL"/>
        </w:rPr>
        <w:t xml:space="preserve">52; </w:t>
      </w:r>
      <w:proofErr w:type="spellStart"/>
      <w:r w:rsidR="005B6500" w:rsidRPr="00246717">
        <w:rPr>
          <w:i/>
          <w:iCs/>
          <w:lang w:val="pl-PL"/>
        </w:rPr>
        <w:t>Dvorski</w:t>
      </w:r>
      <w:proofErr w:type="spellEnd"/>
      <w:r w:rsidR="005B6500" w:rsidRPr="00246717">
        <w:rPr>
          <w:lang w:val="pl-PL"/>
        </w:rPr>
        <w:t xml:space="preserve">, </w:t>
      </w:r>
      <w:r w:rsidR="005B6500" w:rsidRPr="00246717">
        <w:rPr>
          <w:i/>
          <w:iCs/>
          <w:lang w:val="pl-PL"/>
        </w:rPr>
        <w:t>op.</w:t>
      </w:r>
      <w:r w:rsidR="00AE670A">
        <w:rPr>
          <w:i/>
          <w:iCs/>
          <w:lang w:val="pl-PL"/>
        </w:rPr>
        <w:t xml:space="preserve"> </w:t>
      </w:r>
      <w:r w:rsidR="005B6500" w:rsidRPr="00246717">
        <w:rPr>
          <w:i/>
          <w:iCs/>
          <w:lang w:val="pl-PL"/>
        </w:rPr>
        <w:t>cit.</w:t>
      </w:r>
      <w:r w:rsidR="005B6500" w:rsidRPr="00246717">
        <w:rPr>
          <w:lang w:val="pl-PL"/>
        </w:rPr>
        <w:t>, §</w:t>
      </w:r>
      <w:r w:rsidR="009443F7">
        <w:rPr>
          <w:lang w:val="pl-PL"/>
        </w:rPr>
        <w:t> </w:t>
      </w:r>
      <w:r w:rsidR="005B6500" w:rsidRPr="00246717">
        <w:rPr>
          <w:lang w:val="pl-PL"/>
        </w:rPr>
        <w:t xml:space="preserve">82; oraz </w:t>
      </w:r>
      <w:proofErr w:type="spellStart"/>
      <w:r w:rsidR="005B6500" w:rsidRPr="00246717">
        <w:rPr>
          <w:i/>
          <w:iCs/>
          <w:lang w:val="pl-PL"/>
        </w:rPr>
        <w:t>Schatschaschwili</w:t>
      </w:r>
      <w:proofErr w:type="spellEnd"/>
      <w:r w:rsidR="005B6500" w:rsidRPr="00246717">
        <w:rPr>
          <w:lang w:val="pl-PL"/>
        </w:rPr>
        <w:t xml:space="preserve">, </w:t>
      </w:r>
      <w:r w:rsidR="005B6500" w:rsidRPr="00246717">
        <w:rPr>
          <w:i/>
          <w:iCs/>
          <w:lang w:val="pl-PL"/>
        </w:rPr>
        <w:t>op.</w:t>
      </w:r>
      <w:r w:rsidR="00AE670A">
        <w:rPr>
          <w:i/>
          <w:iCs/>
          <w:lang w:val="pl-PL"/>
        </w:rPr>
        <w:t xml:space="preserve"> </w:t>
      </w:r>
      <w:r w:rsidR="005B6500" w:rsidRPr="00246717">
        <w:rPr>
          <w:i/>
          <w:iCs/>
          <w:lang w:val="pl-PL"/>
        </w:rPr>
        <w:t>cit.</w:t>
      </w:r>
      <w:r w:rsidR="005B6500" w:rsidRPr="00246717">
        <w:rPr>
          <w:lang w:val="pl-PL"/>
        </w:rPr>
        <w:t>, §</w:t>
      </w:r>
      <w:r w:rsidR="009443F7">
        <w:rPr>
          <w:lang w:val="pl-PL"/>
        </w:rPr>
        <w:t> </w:t>
      </w:r>
      <w:r w:rsidR="005B6500" w:rsidRPr="00246717">
        <w:rPr>
          <w:lang w:val="pl-PL"/>
        </w:rPr>
        <w:t xml:space="preserve">101). </w:t>
      </w:r>
      <w:r w:rsidR="00AE670A">
        <w:rPr>
          <w:lang w:val="pl-PL"/>
        </w:rPr>
        <w:t>Przestrzeganie</w:t>
      </w:r>
      <w:r w:rsidR="005B6500" w:rsidRPr="00246717">
        <w:rPr>
          <w:lang w:val="pl-PL"/>
        </w:rPr>
        <w:t xml:space="preserve"> </w:t>
      </w:r>
      <w:r w:rsidR="00AE670A" w:rsidRPr="00246717">
        <w:rPr>
          <w:lang w:val="pl-PL"/>
        </w:rPr>
        <w:t>wymog</w:t>
      </w:r>
      <w:r w:rsidR="00AE670A">
        <w:rPr>
          <w:lang w:val="pl-PL"/>
        </w:rPr>
        <w:t>ów</w:t>
      </w:r>
      <w:r w:rsidR="00AE670A" w:rsidRPr="00246717">
        <w:rPr>
          <w:lang w:val="pl-PL"/>
        </w:rPr>
        <w:t xml:space="preserve"> </w:t>
      </w:r>
      <w:r w:rsidR="005B6500" w:rsidRPr="00246717">
        <w:rPr>
          <w:lang w:val="pl-PL"/>
        </w:rPr>
        <w:t xml:space="preserve">rzetelnego procesu </w:t>
      </w:r>
      <w:r w:rsidR="00AE670A">
        <w:rPr>
          <w:lang w:val="pl-PL"/>
        </w:rPr>
        <w:t xml:space="preserve">należy </w:t>
      </w:r>
      <w:r w:rsidR="005B6500" w:rsidRPr="00246717">
        <w:rPr>
          <w:lang w:val="pl-PL"/>
        </w:rPr>
        <w:t xml:space="preserve">w każdym przypadku z uwzględnieniem przebiegu </w:t>
      </w:r>
      <w:r w:rsidR="005D7CC3">
        <w:rPr>
          <w:lang w:val="pl-PL"/>
        </w:rPr>
        <w:t xml:space="preserve">całego </w:t>
      </w:r>
      <w:r w:rsidR="005B6500" w:rsidRPr="00246717">
        <w:rPr>
          <w:lang w:val="pl-PL"/>
        </w:rPr>
        <w:t xml:space="preserve">postępowania, </w:t>
      </w:r>
      <w:r w:rsidR="005D7CC3">
        <w:rPr>
          <w:lang w:val="pl-PL"/>
        </w:rPr>
        <w:t xml:space="preserve">a </w:t>
      </w:r>
      <w:r w:rsidR="009443F7">
        <w:rPr>
          <w:lang w:val="pl-PL"/>
        </w:rPr>
        <w:t xml:space="preserve">nie </w:t>
      </w:r>
      <w:r w:rsidR="005B6500" w:rsidRPr="00246717">
        <w:rPr>
          <w:lang w:val="pl-PL"/>
        </w:rPr>
        <w:t xml:space="preserve">na podstawie pojedynczego uwzględnienia jednego konkretnego aspektu lub jednego konkretnego </w:t>
      </w:r>
      <w:r w:rsidR="005D7CC3">
        <w:rPr>
          <w:lang w:val="pl-PL"/>
        </w:rPr>
        <w:t>zdarzenia</w:t>
      </w:r>
      <w:r w:rsidR="005D7CC3" w:rsidRPr="00246717">
        <w:rPr>
          <w:lang w:val="pl-PL"/>
        </w:rPr>
        <w:t xml:space="preserve"> </w:t>
      </w:r>
      <w:r w:rsidR="005B6500" w:rsidRPr="00246717">
        <w:rPr>
          <w:lang w:val="pl-PL"/>
        </w:rPr>
        <w:t xml:space="preserve">(zob. </w:t>
      </w:r>
      <w:r w:rsidR="005B6500" w:rsidRPr="00246717">
        <w:rPr>
          <w:i/>
          <w:iCs/>
          <w:lang w:val="pl-PL"/>
        </w:rPr>
        <w:t>Ibrahim i Inni</w:t>
      </w:r>
      <w:r w:rsidR="005B6500" w:rsidRPr="00246717">
        <w:rPr>
          <w:lang w:val="pl-PL"/>
        </w:rPr>
        <w:t xml:space="preserve">, </w:t>
      </w:r>
      <w:r w:rsidR="005B6500" w:rsidRPr="00246717">
        <w:rPr>
          <w:i/>
          <w:iCs/>
          <w:lang w:val="pl-PL"/>
        </w:rPr>
        <w:t>op.</w:t>
      </w:r>
      <w:r w:rsidR="005D7CC3">
        <w:rPr>
          <w:i/>
          <w:iCs/>
          <w:lang w:val="pl-PL"/>
        </w:rPr>
        <w:t xml:space="preserve"> </w:t>
      </w:r>
      <w:r w:rsidR="005B6500" w:rsidRPr="00246717">
        <w:rPr>
          <w:i/>
          <w:iCs/>
          <w:lang w:val="pl-PL"/>
        </w:rPr>
        <w:t>cit.</w:t>
      </w:r>
      <w:r w:rsidR="005B6500" w:rsidRPr="00246717">
        <w:rPr>
          <w:lang w:val="pl-PL"/>
        </w:rPr>
        <w:t>, §</w:t>
      </w:r>
      <w:r w:rsidR="009443F7">
        <w:rPr>
          <w:lang w:val="pl-PL"/>
        </w:rPr>
        <w:t> </w:t>
      </w:r>
      <w:r w:rsidR="005B6500" w:rsidRPr="00246717">
        <w:rPr>
          <w:lang w:val="pl-PL"/>
        </w:rPr>
        <w:t>251).</w:t>
      </w:r>
    </w:p>
    <w:p w14:paraId="7990E9AD" w14:textId="10DCC380" w:rsidR="005B6500" w:rsidRPr="00246717" w:rsidRDefault="00150576" w:rsidP="000957D3">
      <w:pPr>
        <w:pStyle w:val="ECHRPara"/>
        <w:rPr>
          <w:lang w:val="pl-PL"/>
        </w:rPr>
      </w:pPr>
      <w:r w:rsidRPr="00246717">
        <w:rPr>
          <w:lang w:val="pl-PL"/>
        </w:rPr>
        <w:fldChar w:fldCharType="begin"/>
      </w:r>
      <w:r w:rsidR="005B6500" w:rsidRPr="00246717">
        <w:rPr>
          <w:lang w:val="pl-PL"/>
        </w:rPr>
        <w:instrText xml:space="preserve"> SEQ level0 \*arabic </w:instrText>
      </w:r>
      <w:r w:rsidRPr="00246717">
        <w:rPr>
          <w:lang w:val="pl-PL"/>
        </w:rPr>
        <w:fldChar w:fldCharType="separate"/>
      </w:r>
      <w:r w:rsidR="005B6500" w:rsidRPr="00246717">
        <w:rPr>
          <w:lang w:val="pl-PL"/>
        </w:rPr>
        <w:t>168</w:t>
      </w:r>
      <w:r w:rsidRPr="00246717">
        <w:rPr>
          <w:lang w:val="pl-PL"/>
        </w:rPr>
        <w:fldChar w:fldCharType="end"/>
      </w:r>
      <w:r w:rsidR="005B6500" w:rsidRPr="00246717">
        <w:rPr>
          <w:lang w:val="pl-PL"/>
        </w:rPr>
        <w:t>.  </w:t>
      </w:r>
      <w:r w:rsidR="005D7CC3">
        <w:rPr>
          <w:lang w:val="pl-PL"/>
        </w:rPr>
        <w:t>Zdaniem</w:t>
      </w:r>
      <w:r w:rsidR="005B6500" w:rsidRPr="00246717">
        <w:rPr>
          <w:lang w:val="pl-PL"/>
        </w:rPr>
        <w:t xml:space="preserve"> Trybunału zachowanie ogólnej rzetelności jako końcowy punkt odniesienia dla oceny postępowania gwarantuje, że stosowanie powyższego trzystopniowego testu nie stanie się </w:t>
      </w:r>
      <w:r w:rsidR="005D7CC3">
        <w:rPr>
          <w:lang w:val="pl-PL"/>
        </w:rPr>
        <w:t>nadto rygorystyczne czy</w:t>
      </w:r>
      <w:r w:rsidR="005D7CC3" w:rsidRPr="00246717">
        <w:rPr>
          <w:lang w:val="pl-PL"/>
        </w:rPr>
        <w:t xml:space="preserve"> </w:t>
      </w:r>
      <w:r w:rsidR="005B6500" w:rsidRPr="00246717">
        <w:rPr>
          <w:lang w:val="pl-PL"/>
        </w:rPr>
        <w:t xml:space="preserve">mechaniczne. O ile wnioski wyciągnięte na podstawie dwóch pierwszych etapów tego testu </w:t>
      </w:r>
      <w:r w:rsidR="005D7CC3">
        <w:rPr>
          <w:lang w:val="pl-PL"/>
        </w:rPr>
        <w:t>co do zasady dobitnie świadczą</w:t>
      </w:r>
      <w:r w:rsidR="005B6500" w:rsidRPr="00246717">
        <w:rPr>
          <w:lang w:val="pl-PL"/>
        </w:rPr>
        <w:t xml:space="preserve"> </w:t>
      </w:r>
      <w:r w:rsidR="005D7CC3">
        <w:rPr>
          <w:lang w:val="pl-PL"/>
        </w:rPr>
        <w:t>o</w:t>
      </w:r>
      <w:r w:rsidR="005D7CC3" w:rsidRPr="00246717">
        <w:rPr>
          <w:lang w:val="pl-PL"/>
        </w:rPr>
        <w:t xml:space="preserve"> </w:t>
      </w:r>
      <w:r w:rsidR="005B6500" w:rsidRPr="00246717">
        <w:rPr>
          <w:lang w:val="pl-PL"/>
        </w:rPr>
        <w:t>rzetelnoś</w:t>
      </w:r>
      <w:r w:rsidR="005D7CC3">
        <w:rPr>
          <w:lang w:val="pl-PL"/>
        </w:rPr>
        <w:t>ci</w:t>
      </w:r>
      <w:r w:rsidR="005B6500" w:rsidRPr="00246717">
        <w:rPr>
          <w:lang w:val="pl-PL"/>
        </w:rPr>
        <w:t xml:space="preserve"> postępowania, nie można wykluczyć, że w pewnych, oczywiście wyjątkowych, przypadkach względy rzetelności mogą</w:t>
      </w:r>
      <w:r w:rsidR="00964A10">
        <w:rPr>
          <w:lang w:val="pl-PL"/>
        </w:rPr>
        <w:t xml:space="preserve"> prowadzić do odmiennego</w:t>
      </w:r>
      <w:r w:rsidR="005B6500" w:rsidRPr="00246717">
        <w:rPr>
          <w:lang w:val="pl-PL"/>
        </w:rPr>
        <w:t xml:space="preserve"> </w:t>
      </w:r>
      <w:r w:rsidR="00964A10" w:rsidRPr="00246717">
        <w:rPr>
          <w:lang w:val="pl-PL"/>
        </w:rPr>
        <w:t>wnios</w:t>
      </w:r>
      <w:r w:rsidR="00964A10">
        <w:rPr>
          <w:lang w:val="pl-PL"/>
        </w:rPr>
        <w:t>ku</w:t>
      </w:r>
      <w:r w:rsidR="005B6500" w:rsidRPr="00246717">
        <w:rPr>
          <w:lang w:val="pl-PL"/>
        </w:rPr>
        <w:t>.</w:t>
      </w:r>
    </w:p>
    <w:p w14:paraId="47617F05" w14:textId="77777777" w:rsidR="00BB4172" w:rsidRPr="00246717" w:rsidRDefault="008013B3" w:rsidP="000957D3">
      <w:pPr>
        <w:pStyle w:val="ECHRHeading3"/>
        <w:rPr>
          <w:lang w:val="pl-PL"/>
        </w:rPr>
      </w:pPr>
      <w:r w:rsidRPr="00246717">
        <w:rPr>
          <w:bCs w:val="0"/>
          <w:iCs/>
          <w:lang w:val="pl-PL"/>
        </w:rPr>
        <w:t>3.  Zastosowanie tych zasad w niniejszej sprawie</w:t>
      </w:r>
    </w:p>
    <w:p w14:paraId="0252AF53" w14:textId="0044C99D" w:rsidR="00BB4172" w:rsidRPr="00246717" w:rsidRDefault="00BB4172" w:rsidP="000957D3">
      <w:pPr>
        <w:pStyle w:val="ECHRHeading4"/>
        <w:rPr>
          <w:lang w:val="pl-PL"/>
        </w:rPr>
      </w:pPr>
      <w:r w:rsidRPr="00246717">
        <w:rPr>
          <w:iCs w:val="0"/>
          <w:lang w:val="pl-PL"/>
        </w:rPr>
        <w:t>a)</w:t>
      </w:r>
      <w:r w:rsidR="009443F7">
        <w:rPr>
          <w:iCs w:val="0"/>
          <w:lang w:val="pl-PL"/>
        </w:rPr>
        <w:t>  </w:t>
      </w:r>
      <w:r w:rsidRPr="00246717">
        <w:rPr>
          <w:iCs w:val="0"/>
          <w:lang w:val="pl-PL"/>
        </w:rPr>
        <w:t xml:space="preserve">Czy wniosek dotyczący przesłuchania świadków B. i K. był wystarczająco uzasadniony i </w:t>
      </w:r>
      <w:r w:rsidR="00964A10">
        <w:rPr>
          <w:iCs w:val="0"/>
          <w:lang w:val="pl-PL"/>
        </w:rPr>
        <w:t>miał znaczenie</w:t>
      </w:r>
      <w:r w:rsidR="00964A10" w:rsidRPr="00246717">
        <w:rPr>
          <w:iCs w:val="0"/>
          <w:lang w:val="pl-PL"/>
        </w:rPr>
        <w:t xml:space="preserve"> </w:t>
      </w:r>
      <w:r w:rsidRPr="00246717">
        <w:rPr>
          <w:iCs w:val="0"/>
          <w:lang w:val="pl-PL"/>
        </w:rPr>
        <w:t>dla przedmiotu oskarżenia</w:t>
      </w:r>
      <w:r w:rsidR="009443F7">
        <w:rPr>
          <w:iCs w:val="0"/>
          <w:lang w:val="pl-PL"/>
        </w:rPr>
        <w:t>?</w:t>
      </w:r>
    </w:p>
    <w:p w14:paraId="391CA1B9" w14:textId="1243C3E3" w:rsidR="00BB4172" w:rsidRPr="00246717" w:rsidRDefault="00150576" w:rsidP="000957D3">
      <w:pPr>
        <w:pStyle w:val="ECHRPara"/>
        <w:rPr>
          <w:bCs/>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169</w:t>
      </w:r>
      <w:r w:rsidRPr="00246717">
        <w:rPr>
          <w:lang w:val="pl-PL"/>
        </w:rPr>
        <w:fldChar w:fldCharType="end"/>
      </w:r>
      <w:r w:rsidR="00BB4172" w:rsidRPr="00246717">
        <w:rPr>
          <w:lang w:val="pl-PL"/>
        </w:rPr>
        <w:t xml:space="preserve">.  Jak </w:t>
      </w:r>
      <w:r w:rsidR="00964A10" w:rsidRPr="00246717">
        <w:rPr>
          <w:lang w:val="pl-PL"/>
        </w:rPr>
        <w:t>w</w:t>
      </w:r>
      <w:r w:rsidR="00964A10">
        <w:rPr>
          <w:lang w:val="pl-PL"/>
        </w:rPr>
        <w:t>ynika z</w:t>
      </w:r>
      <w:r w:rsidR="00964A10" w:rsidRPr="00246717">
        <w:rPr>
          <w:lang w:val="pl-PL"/>
        </w:rPr>
        <w:t xml:space="preserve"> </w:t>
      </w:r>
      <w:r w:rsidR="00BB4172" w:rsidRPr="00246717">
        <w:rPr>
          <w:lang w:val="pl-PL"/>
        </w:rPr>
        <w:t>protokoł</w:t>
      </w:r>
      <w:r w:rsidR="00964A10">
        <w:rPr>
          <w:lang w:val="pl-PL"/>
        </w:rPr>
        <w:t>ów</w:t>
      </w:r>
      <w:r w:rsidR="00BB4172" w:rsidRPr="00246717">
        <w:rPr>
          <w:lang w:val="pl-PL"/>
        </w:rPr>
        <w:t xml:space="preserve"> z rozprawy, </w:t>
      </w:r>
      <w:r w:rsidR="00964A10">
        <w:rPr>
          <w:lang w:val="pl-PL"/>
        </w:rPr>
        <w:t>obrońcy</w:t>
      </w:r>
      <w:r w:rsidR="00964A10" w:rsidRPr="00246717">
        <w:rPr>
          <w:lang w:val="pl-PL"/>
        </w:rPr>
        <w:t xml:space="preserve"> </w:t>
      </w:r>
      <w:r w:rsidR="00BB4172" w:rsidRPr="00246717">
        <w:rPr>
          <w:lang w:val="pl-PL"/>
        </w:rPr>
        <w:t>skarżącej wnieśli do sądu</w:t>
      </w:r>
      <w:r w:rsidR="009443F7">
        <w:rPr>
          <w:lang w:val="pl-PL"/>
        </w:rPr>
        <w:t xml:space="preserve"> pismo</w:t>
      </w:r>
      <w:r w:rsidR="00BB4172" w:rsidRPr="00246717">
        <w:rPr>
          <w:lang w:val="pl-PL"/>
        </w:rPr>
        <w:t xml:space="preserve"> o wezwanie B. i K. w celu określenia dokładnych okoliczności przeszukania </w:t>
      </w:r>
      <w:r w:rsidR="009443F7">
        <w:rPr>
          <w:lang w:val="pl-PL"/>
        </w:rPr>
        <w:t>celem</w:t>
      </w:r>
      <w:r w:rsidR="00BB4172" w:rsidRPr="00246717">
        <w:rPr>
          <w:lang w:val="pl-PL"/>
        </w:rPr>
        <w:t xml:space="preserve"> ustalenia, czy materiały wybuchowe zostały podrzucone skarżącej. Skarżąca natomiast oświadczyła, że „nie nalegała” na ich obecność, ponieważ jej zdaniem materiały wybuchowe podrzucili funkcjonariusze policji jeszcze przed przeszukaniem. Jednak skarżąca poparła wniosek, ponieważ jej </w:t>
      </w:r>
      <w:r w:rsidR="00964A10">
        <w:rPr>
          <w:lang w:val="pl-PL"/>
        </w:rPr>
        <w:t>obrońcy</w:t>
      </w:r>
      <w:r w:rsidR="00964A10" w:rsidRPr="00246717">
        <w:rPr>
          <w:lang w:val="pl-PL"/>
        </w:rPr>
        <w:t xml:space="preserve"> </w:t>
      </w:r>
      <w:r w:rsidR="00BB4172" w:rsidRPr="00246717">
        <w:rPr>
          <w:lang w:val="pl-PL"/>
        </w:rPr>
        <w:t>uznali obecność B. i K. za konieczną (zob. par.</w:t>
      </w:r>
      <w:r w:rsidR="009443F7">
        <w:rPr>
          <w:lang w:val="pl-PL"/>
        </w:rPr>
        <w:t> </w:t>
      </w:r>
      <w:r w:rsidR="00183E14">
        <w:fldChar w:fldCharType="begin"/>
      </w:r>
      <w:r w:rsidR="00183E14" w:rsidRPr="000473D0">
        <w:rPr>
          <w:lang w:val="pl-PL"/>
        </w:rPr>
        <w:instrText xml:space="preserve"> REF MotionAttestingAndWitnessA \h  \* MERGEFORMAT </w:instrText>
      </w:r>
      <w:r w:rsidR="00183E14">
        <w:fldChar w:fldCharType="separate"/>
      </w:r>
      <w:r w:rsidR="00BB4172" w:rsidRPr="00246717">
        <w:rPr>
          <w:rFonts w:ascii="Times New Roman" w:hAnsi="Times New Roman"/>
          <w:szCs w:val="24"/>
          <w:lang w:val="pl-PL"/>
        </w:rPr>
        <w:t>52</w:t>
      </w:r>
      <w:r w:rsidR="00183E14">
        <w:fldChar w:fldCharType="end"/>
      </w:r>
      <w:r w:rsidR="00BB4172" w:rsidRPr="00246717">
        <w:rPr>
          <w:lang w:val="pl-PL"/>
        </w:rPr>
        <w:t xml:space="preserve"> powyżej).</w:t>
      </w:r>
    </w:p>
    <w:p w14:paraId="1A75143F" w14:textId="5DEA85F1" w:rsidR="00BB4172" w:rsidRPr="00246717" w:rsidRDefault="00150576" w:rsidP="000957D3">
      <w:pPr>
        <w:pStyle w:val="ECHRPara"/>
        <w:rPr>
          <w:bCs/>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170</w:t>
      </w:r>
      <w:r w:rsidRPr="00246717">
        <w:rPr>
          <w:lang w:val="pl-PL"/>
        </w:rPr>
        <w:fldChar w:fldCharType="end"/>
      </w:r>
      <w:r w:rsidR="00BB4172" w:rsidRPr="00246717">
        <w:rPr>
          <w:lang w:val="pl-PL"/>
        </w:rPr>
        <w:t>.  </w:t>
      </w:r>
      <w:r w:rsidR="006B10F0">
        <w:rPr>
          <w:lang w:val="pl-PL"/>
        </w:rPr>
        <w:t>Znamienne</w:t>
      </w:r>
      <w:r w:rsidR="006B10F0" w:rsidRPr="00246717">
        <w:rPr>
          <w:lang w:val="pl-PL"/>
        </w:rPr>
        <w:t xml:space="preserve"> </w:t>
      </w:r>
      <w:r w:rsidR="00BB4172" w:rsidRPr="00246717">
        <w:rPr>
          <w:lang w:val="pl-PL"/>
        </w:rPr>
        <w:t>jest</w:t>
      </w:r>
      <w:r w:rsidR="006B10F0">
        <w:rPr>
          <w:lang w:val="pl-PL"/>
        </w:rPr>
        <w:t xml:space="preserve"> to</w:t>
      </w:r>
      <w:r w:rsidR="00BB4172" w:rsidRPr="00246717">
        <w:rPr>
          <w:lang w:val="pl-PL"/>
        </w:rPr>
        <w:t>, że podczas procesu to oskarżenie</w:t>
      </w:r>
      <w:r w:rsidR="00BB4172" w:rsidRPr="00246717">
        <w:rPr>
          <w:rFonts w:ascii="Times New Roman" w:hAnsi="Times New Roman"/>
          <w:szCs w:val="24"/>
          <w:lang w:val="pl-PL"/>
        </w:rPr>
        <w:t xml:space="preserve"> obszernie przesłuchiwało funkcjonariuszy policji, którzy uczestniczyli w zatrzymaniu skarżącej, </w:t>
      </w:r>
      <w:r w:rsidR="009443F7">
        <w:rPr>
          <w:rFonts w:ascii="Times New Roman" w:hAnsi="Times New Roman"/>
          <w:szCs w:val="24"/>
          <w:lang w:val="pl-PL"/>
        </w:rPr>
        <w:t>przeprowadzeniu kontroli osobistej</w:t>
      </w:r>
      <w:r w:rsidR="00BB4172" w:rsidRPr="00246717">
        <w:rPr>
          <w:rFonts w:ascii="Times New Roman" w:hAnsi="Times New Roman"/>
          <w:szCs w:val="24"/>
          <w:lang w:val="pl-PL"/>
        </w:rPr>
        <w:t xml:space="preserve"> i pobraniu odcisków palców (zob. par</w:t>
      </w:r>
      <w:r w:rsidR="009443F7">
        <w:rPr>
          <w:rFonts w:ascii="Times New Roman" w:hAnsi="Times New Roman"/>
          <w:szCs w:val="24"/>
          <w:lang w:val="pl-PL"/>
        </w:rPr>
        <w:t> </w:t>
      </w:r>
      <w:r w:rsidR="00183E14">
        <w:fldChar w:fldCharType="begin"/>
      </w:r>
      <w:r w:rsidR="00183E14" w:rsidRPr="000473D0">
        <w:rPr>
          <w:lang w:val="pl-PL"/>
        </w:rPr>
        <w:instrText xml:space="preserve"> REF ProsecutionExamsPoliceOfficers \h  \* MERGEFORMAT </w:instrText>
      </w:r>
      <w:r w:rsidR="00183E14">
        <w:fldChar w:fldCharType="separate"/>
      </w:r>
      <w:r w:rsidR="00BB4172" w:rsidRPr="00246717">
        <w:rPr>
          <w:rFonts w:ascii="Times New Roman" w:hAnsi="Times New Roman"/>
          <w:szCs w:val="24"/>
          <w:lang w:val="pl-PL"/>
        </w:rPr>
        <w:t>42</w:t>
      </w:r>
      <w:r w:rsidR="00183E14">
        <w:fldChar w:fldCharType="end"/>
      </w:r>
      <w:r w:rsidR="00BB4172" w:rsidRPr="00246717">
        <w:rPr>
          <w:rFonts w:ascii="Times New Roman" w:hAnsi="Times New Roman"/>
          <w:szCs w:val="24"/>
          <w:lang w:val="pl-PL"/>
        </w:rPr>
        <w:t xml:space="preserve"> powyżej). Wszyscy funkcjonariusze policji zeznali, że skarżąca znajdowała się w posiadaniu swojej torebki przez cały czas przed przeszukaniem oraz że pobrano od niej odciski palców tylko </w:t>
      </w:r>
      <w:r w:rsidR="000B6695" w:rsidRPr="00246717">
        <w:rPr>
          <w:rFonts w:ascii="Times New Roman" w:hAnsi="Times New Roman"/>
          <w:szCs w:val="24"/>
          <w:lang w:val="pl-PL"/>
        </w:rPr>
        <w:t>jedno</w:t>
      </w:r>
      <w:r w:rsidR="000B6695">
        <w:rPr>
          <w:rFonts w:ascii="Times New Roman" w:hAnsi="Times New Roman"/>
          <w:szCs w:val="24"/>
          <w:lang w:val="pl-PL"/>
        </w:rPr>
        <w:t>razowo</w:t>
      </w:r>
      <w:r w:rsidR="000B6695" w:rsidRPr="00246717">
        <w:rPr>
          <w:rFonts w:ascii="Times New Roman" w:hAnsi="Times New Roman"/>
          <w:szCs w:val="24"/>
          <w:lang w:val="pl-PL"/>
        </w:rPr>
        <w:t xml:space="preserve"> </w:t>
      </w:r>
      <w:r w:rsidR="00BB4172" w:rsidRPr="00246717">
        <w:rPr>
          <w:rFonts w:ascii="Times New Roman" w:hAnsi="Times New Roman"/>
          <w:szCs w:val="24"/>
          <w:lang w:val="pl-PL"/>
        </w:rPr>
        <w:t xml:space="preserve">po </w:t>
      </w:r>
      <w:r w:rsidR="000B6695">
        <w:rPr>
          <w:rFonts w:ascii="Times New Roman" w:hAnsi="Times New Roman"/>
          <w:szCs w:val="24"/>
          <w:lang w:val="pl-PL"/>
        </w:rPr>
        <w:t>przeszukaniu</w:t>
      </w:r>
      <w:r w:rsidR="00BB4172" w:rsidRPr="00246717">
        <w:rPr>
          <w:rFonts w:ascii="Times New Roman" w:hAnsi="Times New Roman"/>
          <w:szCs w:val="24"/>
          <w:lang w:val="pl-PL"/>
        </w:rPr>
        <w:t xml:space="preserve">. Natomiast obrona pozostawała </w:t>
      </w:r>
      <w:r w:rsidR="000B6695">
        <w:rPr>
          <w:rFonts w:ascii="Times New Roman" w:hAnsi="Times New Roman"/>
          <w:szCs w:val="24"/>
          <w:lang w:val="pl-PL"/>
        </w:rPr>
        <w:t xml:space="preserve">zasadniczo </w:t>
      </w:r>
      <w:r w:rsidR="00BB4172" w:rsidRPr="00246717">
        <w:rPr>
          <w:rFonts w:ascii="Times New Roman" w:hAnsi="Times New Roman"/>
          <w:szCs w:val="24"/>
          <w:lang w:val="pl-PL"/>
        </w:rPr>
        <w:t>bierna podczas przesłuchania krzyżowego tych świadków i zadała im tylko dwa pytania mające na celu ujawni</w:t>
      </w:r>
      <w:r w:rsidR="000B6695">
        <w:rPr>
          <w:rFonts w:ascii="Times New Roman" w:hAnsi="Times New Roman"/>
          <w:szCs w:val="24"/>
          <w:lang w:val="pl-PL"/>
        </w:rPr>
        <w:t>e</w:t>
      </w:r>
      <w:r w:rsidR="00BB4172" w:rsidRPr="00246717">
        <w:rPr>
          <w:rFonts w:ascii="Times New Roman" w:hAnsi="Times New Roman"/>
          <w:szCs w:val="24"/>
          <w:lang w:val="pl-PL"/>
        </w:rPr>
        <w:t>nie dalszych szczegółów powyższych zdarzeń.</w:t>
      </w:r>
    </w:p>
    <w:p w14:paraId="18967DCB" w14:textId="0CCEEFBB"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171</w:t>
      </w:r>
      <w:r w:rsidRPr="00246717">
        <w:rPr>
          <w:lang w:val="pl-PL"/>
        </w:rPr>
        <w:fldChar w:fldCharType="end"/>
      </w:r>
      <w:r w:rsidR="00BB4172" w:rsidRPr="00246717">
        <w:rPr>
          <w:lang w:val="pl-PL"/>
        </w:rPr>
        <w:t>.  Trybunał zauważa, że obrona przedstawiła nieco więcej niż krótkie wskazanie znaczenia potencjalnego zeznania B. i K.</w:t>
      </w:r>
      <w:r w:rsidR="000B6695">
        <w:rPr>
          <w:lang w:val="pl-PL"/>
        </w:rPr>
        <w:t>, przy czym</w:t>
      </w:r>
      <w:r w:rsidR="00BB4172" w:rsidRPr="00246717">
        <w:rPr>
          <w:lang w:val="pl-PL"/>
        </w:rPr>
        <w:t xml:space="preserve"> nie </w:t>
      </w:r>
      <w:r w:rsidR="000B6695">
        <w:rPr>
          <w:lang w:val="pl-PL"/>
        </w:rPr>
        <w:t>przytoczyła</w:t>
      </w:r>
      <w:r w:rsidR="000B6695" w:rsidRPr="00246717">
        <w:rPr>
          <w:lang w:val="pl-PL"/>
        </w:rPr>
        <w:t xml:space="preserve"> </w:t>
      </w:r>
      <w:r w:rsidR="00BB4172" w:rsidRPr="00246717">
        <w:rPr>
          <w:lang w:val="pl-PL"/>
        </w:rPr>
        <w:t xml:space="preserve">żadnych konkretnych faktycznych lub prawnych argumentów i nie uzasadniła </w:t>
      </w:r>
      <w:r w:rsidR="003F78D3">
        <w:rPr>
          <w:lang w:val="pl-PL"/>
        </w:rPr>
        <w:t>należycie</w:t>
      </w:r>
      <w:r w:rsidR="00BB4172" w:rsidRPr="00246717">
        <w:rPr>
          <w:lang w:val="pl-PL"/>
        </w:rPr>
        <w:t>, w jaki sposób można rozsądnie oczekiwać, że zeznanie tych świadków mogłoby wzmocnić pozycję obrony. Obrona nie rozwinęła argumentów także w swoim odwołaniu (zob. par.</w:t>
      </w:r>
      <w:r w:rsidR="003F78D3">
        <w:rPr>
          <w:lang w:val="pl-PL"/>
        </w:rPr>
        <w:t> </w:t>
      </w:r>
      <w:r w:rsidR="00183E14">
        <w:fldChar w:fldCharType="begin"/>
      </w:r>
      <w:r w:rsidR="00183E14" w:rsidRPr="000473D0">
        <w:rPr>
          <w:lang w:val="pl-PL"/>
        </w:rPr>
        <w:instrText xml:space="preserve"> REF Request1Appeal \h  \* MERGEFORMAT </w:instrText>
      </w:r>
      <w:r w:rsidR="00183E14">
        <w:fldChar w:fldCharType="separate"/>
      </w:r>
      <w:r w:rsidR="00BB4172" w:rsidRPr="00246717">
        <w:rPr>
          <w:rFonts w:ascii="Times New Roman" w:hAnsi="Times New Roman"/>
          <w:szCs w:val="24"/>
          <w:lang w:val="pl-PL"/>
        </w:rPr>
        <w:t>63</w:t>
      </w:r>
      <w:r w:rsidR="00183E14">
        <w:fldChar w:fldCharType="end"/>
      </w:r>
      <w:r w:rsidR="00BB4172" w:rsidRPr="00246717">
        <w:rPr>
          <w:lang w:val="pl-PL"/>
        </w:rPr>
        <w:t xml:space="preserve"> powyżej). Zważywszy że sama skarżąca stwierdziła, że materiały wybuchowe zostały je</w:t>
      </w:r>
      <w:r w:rsidR="003F78D3">
        <w:rPr>
          <w:lang w:val="pl-PL"/>
        </w:rPr>
        <w:t>j</w:t>
      </w:r>
      <w:r w:rsidR="00BB4172" w:rsidRPr="00246717">
        <w:rPr>
          <w:lang w:val="pl-PL"/>
        </w:rPr>
        <w:t xml:space="preserve"> podrzucone przed przybyciem </w:t>
      </w:r>
      <w:r w:rsidR="000B6695">
        <w:rPr>
          <w:lang w:val="pl-PL"/>
        </w:rPr>
        <w:t>przybranych</w:t>
      </w:r>
      <w:r w:rsidR="000B6695" w:rsidRPr="00246717">
        <w:rPr>
          <w:lang w:val="pl-PL"/>
        </w:rPr>
        <w:t xml:space="preserve"> </w:t>
      </w:r>
      <w:r w:rsidR="00BB4172" w:rsidRPr="00246717">
        <w:rPr>
          <w:lang w:val="pl-PL"/>
        </w:rPr>
        <w:t>świadków (zob. par.</w:t>
      </w:r>
      <w:r w:rsidR="003F78D3">
        <w:rPr>
          <w:lang w:val="pl-PL"/>
        </w:rPr>
        <w:t> </w:t>
      </w:r>
      <w:r w:rsidR="00183E14">
        <w:fldChar w:fldCharType="begin"/>
      </w:r>
      <w:r w:rsidR="00183E14" w:rsidRPr="000473D0">
        <w:rPr>
          <w:lang w:val="pl-PL"/>
        </w:rPr>
        <w:instrText xml:space="preserve"> REF MotionAttestingAndWitnessA \h  \* MERGEFORMAT </w:instrText>
      </w:r>
      <w:r w:rsidR="00183E14">
        <w:fldChar w:fldCharType="separate"/>
      </w:r>
      <w:r w:rsidR="00BB4172" w:rsidRPr="00246717">
        <w:rPr>
          <w:rFonts w:ascii="Times New Roman" w:hAnsi="Times New Roman"/>
          <w:szCs w:val="24"/>
          <w:lang w:val="pl-PL"/>
        </w:rPr>
        <w:t>52</w:t>
      </w:r>
      <w:r w:rsidR="00183E14">
        <w:fldChar w:fldCharType="end"/>
      </w:r>
      <w:r w:rsidR="00BB4172" w:rsidRPr="00246717">
        <w:rPr>
          <w:lang w:val="pl-PL"/>
        </w:rPr>
        <w:t xml:space="preserve"> </w:t>
      </w:r>
      <w:r w:rsidR="00BB4172" w:rsidRPr="00246717">
        <w:rPr>
          <w:lang w:val="pl-PL"/>
        </w:rPr>
        <w:lastRenderedPageBreak/>
        <w:t>powyżej), konieczne byłoby przedstawienie dalszych powodów przesłuchania tych świadków.</w:t>
      </w:r>
    </w:p>
    <w:p w14:paraId="6064A478" w14:textId="2D63C620" w:rsidR="00BB4172" w:rsidRPr="00246717" w:rsidRDefault="00BB4172" w:rsidP="000957D3">
      <w:pPr>
        <w:pStyle w:val="ECHRHeading4"/>
        <w:rPr>
          <w:lang w:val="pl-PL"/>
        </w:rPr>
      </w:pPr>
      <w:r w:rsidRPr="00246717">
        <w:rPr>
          <w:iCs w:val="0"/>
          <w:lang w:val="pl-PL"/>
        </w:rPr>
        <w:t>b)</w:t>
      </w:r>
      <w:r w:rsidR="003F78D3">
        <w:rPr>
          <w:iCs w:val="0"/>
          <w:lang w:val="pl-PL"/>
        </w:rPr>
        <w:t>  </w:t>
      </w:r>
      <w:r w:rsidRPr="00246717">
        <w:rPr>
          <w:iCs w:val="0"/>
          <w:lang w:val="pl-PL"/>
        </w:rPr>
        <w:t>Czy sądy krajowe uwzględniły znaczenie każdego zeznania ze strony B. i K. i wystarczając</w:t>
      </w:r>
      <w:r w:rsidR="000B6695">
        <w:rPr>
          <w:iCs w:val="0"/>
          <w:lang w:val="pl-PL"/>
        </w:rPr>
        <w:t>o uzasadniły wydanie rozstrzygnięcia</w:t>
      </w:r>
      <w:r w:rsidRPr="00246717">
        <w:rPr>
          <w:iCs w:val="0"/>
          <w:lang w:val="pl-PL"/>
        </w:rPr>
        <w:t xml:space="preserve"> bez przesłuchiwania świadka na </w:t>
      </w:r>
      <w:r w:rsidR="000B6695">
        <w:rPr>
          <w:iCs w:val="0"/>
          <w:lang w:val="pl-PL"/>
        </w:rPr>
        <w:t>rozprawie</w:t>
      </w:r>
      <w:r w:rsidR="003F78D3">
        <w:rPr>
          <w:iCs w:val="0"/>
          <w:lang w:val="pl-PL"/>
        </w:rPr>
        <w:t>?</w:t>
      </w:r>
    </w:p>
    <w:p w14:paraId="100673A0" w14:textId="677E0D9B"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172</w:t>
      </w:r>
      <w:r w:rsidRPr="00246717">
        <w:rPr>
          <w:lang w:val="pl-PL"/>
        </w:rPr>
        <w:fldChar w:fldCharType="end"/>
      </w:r>
      <w:r w:rsidR="00BB4172" w:rsidRPr="00246717">
        <w:rPr>
          <w:lang w:val="pl-PL"/>
        </w:rPr>
        <w:t>.  Trybunał zauważa, że protokół z rozprawy nie zawiera wzmianki o</w:t>
      </w:r>
      <w:r w:rsidR="003F78D3">
        <w:rPr>
          <w:lang w:val="pl-PL"/>
        </w:rPr>
        <w:t> </w:t>
      </w:r>
      <w:r w:rsidR="00BB4172" w:rsidRPr="00246717">
        <w:rPr>
          <w:lang w:val="pl-PL"/>
        </w:rPr>
        <w:t xml:space="preserve">przedstawionych przez sąd </w:t>
      </w:r>
      <w:r w:rsidR="000B6695">
        <w:rPr>
          <w:lang w:val="pl-PL"/>
        </w:rPr>
        <w:t>orzekający</w:t>
      </w:r>
      <w:r w:rsidR="00BB4172" w:rsidRPr="00246717">
        <w:rPr>
          <w:lang w:val="pl-PL"/>
        </w:rPr>
        <w:t xml:space="preserve"> powodach oddalenia wniosku obrony o wezwanie </w:t>
      </w:r>
      <w:r w:rsidR="000B6695">
        <w:rPr>
          <w:lang w:val="pl-PL"/>
        </w:rPr>
        <w:t>przybranych</w:t>
      </w:r>
      <w:r w:rsidR="000B6695" w:rsidRPr="00246717">
        <w:rPr>
          <w:lang w:val="pl-PL"/>
        </w:rPr>
        <w:t xml:space="preserve"> </w:t>
      </w:r>
      <w:r w:rsidR="00BB4172" w:rsidRPr="00246717">
        <w:rPr>
          <w:lang w:val="pl-PL"/>
        </w:rPr>
        <w:t>świadków (zob. par.</w:t>
      </w:r>
      <w:r w:rsidR="003F78D3">
        <w:rPr>
          <w:lang w:val="pl-PL"/>
        </w:rPr>
        <w:t> </w:t>
      </w:r>
      <w:r w:rsidR="00183E14">
        <w:fldChar w:fldCharType="begin"/>
      </w:r>
      <w:r w:rsidR="00183E14" w:rsidRPr="000473D0">
        <w:rPr>
          <w:lang w:val="pl-PL"/>
        </w:rPr>
        <w:instrText xml:space="preserve"> REF MotionAttestingAndWitnessA \h  \* MERGEFORMAT </w:instrText>
      </w:r>
      <w:r w:rsidR="00183E14">
        <w:fldChar w:fldCharType="separate"/>
      </w:r>
      <w:r w:rsidR="00BB4172" w:rsidRPr="00246717">
        <w:rPr>
          <w:rFonts w:ascii="Times New Roman" w:hAnsi="Times New Roman"/>
          <w:szCs w:val="24"/>
          <w:lang w:val="pl-PL"/>
        </w:rPr>
        <w:t>52</w:t>
      </w:r>
      <w:r w:rsidR="00183E14">
        <w:fldChar w:fldCharType="end"/>
      </w:r>
      <w:r w:rsidR="00BB4172" w:rsidRPr="00246717">
        <w:rPr>
          <w:lang w:val="pl-PL"/>
        </w:rPr>
        <w:t xml:space="preserve"> powyżej). Jednak Sąd Najwyższy, </w:t>
      </w:r>
      <w:r w:rsidR="000B6695">
        <w:rPr>
          <w:lang w:val="pl-PL"/>
        </w:rPr>
        <w:t>orzekający</w:t>
      </w:r>
      <w:r w:rsidR="000B6695" w:rsidRPr="00246717">
        <w:rPr>
          <w:lang w:val="pl-PL"/>
        </w:rPr>
        <w:t xml:space="preserve"> </w:t>
      </w:r>
      <w:r w:rsidR="00BB4172" w:rsidRPr="00246717">
        <w:rPr>
          <w:lang w:val="pl-PL"/>
        </w:rPr>
        <w:t xml:space="preserve">jako sąd apelacyjny właściwy w przedmiocie kontroli </w:t>
      </w:r>
      <w:r w:rsidR="000B6695">
        <w:rPr>
          <w:lang w:val="pl-PL"/>
        </w:rPr>
        <w:t xml:space="preserve">zarówno </w:t>
      </w:r>
      <w:r w:rsidR="00BB4172" w:rsidRPr="00246717">
        <w:rPr>
          <w:lang w:val="pl-PL"/>
        </w:rPr>
        <w:t xml:space="preserve">okoliczności faktycznych, jak i </w:t>
      </w:r>
      <w:r w:rsidR="000B6695">
        <w:rPr>
          <w:lang w:val="pl-PL"/>
        </w:rPr>
        <w:t>kwestii</w:t>
      </w:r>
      <w:r w:rsidR="000B6695" w:rsidRPr="00246717">
        <w:rPr>
          <w:lang w:val="pl-PL"/>
        </w:rPr>
        <w:t xml:space="preserve"> </w:t>
      </w:r>
      <w:r w:rsidR="00BB4172" w:rsidRPr="00246717">
        <w:rPr>
          <w:lang w:val="pl-PL"/>
        </w:rPr>
        <w:t xml:space="preserve">prawnych, uzasadnił, że osobiste stawiennictwo nie było konieczne, ponieważ sama skarżąca twierdziła, że materiały wybuchowe zostały podrzucone do jej torebki przed </w:t>
      </w:r>
      <w:r w:rsidR="003F78D3">
        <w:rPr>
          <w:lang w:val="pl-PL"/>
        </w:rPr>
        <w:t>kontrolą osobistą</w:t>
      </w:r>
      <w:r w:rsidR="00BB4172" w:rsidRPr="00246717">
        <w:rPr>
          <w:lang w:val="pl-PL"/>
        </w:rPr>
        <w:t xml:space="preserve"> skarżącej. Ponadto zauważył, że obrona zgodziła się na przystąpienie do wygłoszenia mów końcowych i nie zgłosiła żadnych zastrzeżeń ani dodatkowych wniosków </w:t>
      </w:r>
      <w:r w:rsidR="000B6695">
        <w:rPr>
          <w:lang w:val="pl-PL"/>
        </w:rPr>
        <w:t xml:space="preserve">o przeprowadzenie </w:t>
      </w:r>
      <w:r w:rsidR="00BB4172" w:rsidRPr="00246717">
        <w:rPr>
          <w:lang w:val="pl-PL"/>
        </w:rPr>
        <w:t>dowodów (zob. par.</w:t>
      </w:r>
      <w:r w:rsidR="003F78D3">
        <w:rPr>
          <w:lang w:val="pl-PL"/>
        </w:rPr>
        <w:t> </w:t>
      </w:r>
      <w:r w:rsidR="00183E14">
        <w:fldChar w:fldCharType="begin"/>
      </w:r>
      <w:r w:rsidR="00183E14" w:rsidRPr="000473D0">
        <w:rPr>
          <w:lang w:val="pl-PL"/>
        </w:rPr>
        <w:instrText xml:space="preserve"> REF AppealJdgt \h  \* MERGEFORMAT </w:instrText>
      </w:r>
      <w:r w:rsidR="00183E14">
        <w:fldChar w:fldCharType="separate"/>
      </w:r>
      <w:r w:rsidR="00BB4172" w:rsidRPr="00246717">
        <w:rPr>
          <w:rFonts w:ascii="Times New Roman" w:hAnsi="Times New Roman"/>
          <w:szCs w:val="24"/>
          <w:lang w:val="pl-PL"/>
        </w:rPr>
        <w:t>67</w:t>
      </w:r>
      <w:r w:rsidR="00183E14">
        <w:fldChar w:fldCharType="end"/>
      </w:r>
      <w:r w:rsidR="00BB4172" w:rsidRPr="00246717">
        <w:rPr>
          <w:lang w:val="pl-PL"/>
        </w:rPr>
        <w:t xml:space="preserve"> powyżej).</w:t>
      </w:r>
    </w:p>
    <w:p w14:paraId="628E8768" w14:textId="66B99E0B"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173</w:t>
      </w:r>
      <w:r w:rsidRPr="00246717">
        <w:rPr>
          <w:lang w:val="pl-PL"/>
        </w:rPr>
        <w:fldChar w:fldCharType="end"/>
      </w:r>
      <w:r w:rsidR="00BB4172" w:rsidRPr="00246717">
        <w:rPr>
          <w:lang w:val="pl-PL"/>
        </w:rPr>
        <w:t xml:space="preserve">.  Chociaż sądy krajowe nie oddaliły wniosku skarżącej jako </w:t>
      </w:r>
      <w:r w:rsidR="000B6695">
        <w:rPr>
          <w:lang w:val="pl-PL"/>
        </w:rPr>
        <w:t>bezpodstawnego</w:t>
      </w:r>
      <w:r w:rsidR="00BB4172" w:rsidRPr="00246717">
        <w:rPr>
          <w:lang w:val="pl-PL"/>
        </w:rPr>
        <w:t xml:space="preserve"> </w:t>
      </w:r>
      <w:r w:rsidR="000B6695">
        <w:rPr>
          <w:lang w:val="pl-PL"/>
        </w:rPr>
        <w:t>czy</w:t>
      </w:r>
      <w:r w:rsidR="000B6695" w:rsidRPr="00246717">
        <w:rPr>
          <w:lang w:val="pl-PL"/>
        </w:rPr>
        <w:t xml:space="preserve"> nieu</w:t>
      </w:r>
      <w:r w:rsidR="000B6695">
        <w:rPr>
          <w:lang w:val="pl-PL"/>
        </w:rPr>
        <w:t>zasadnionego</w:t>
      </w:r>
      <w:r w:rsidR="00BB4172" w:rsidRPr="00246717">
        <w:rPr>
          <w:lang w:val="pl-PL"/>
        </w:rPr>
        <w:t xml:space="preserve">, jasno widać, że znaczenie potencjalnego zeznania złożonego przez świadków </w:t>
      </w:r>
      <w:r w:rsidR="000B6695">
        <w:rPr>
          <w:lang w:val="pl-PL"/>
        </w:rPr>
        <w:t>przybranych</w:t>
      </w:r>
      <w:r w:rsidR="00BB4172" w:rsidRPr="00246717">
        <w:rPr>
          <w:lang w:val="pl-PL"/>
        </w:rPr>
        <w:t xml:space="preserve">, którego żądała obrona, z perspektywy sądu </w:t>
      </w:r>
      <w:r w:rsidR="000B6695">
        <w:rPr>
          <w:lang w:val="pl-PL"/>
        </w:rPr>
        <w:t>orzekającego</w:t>
      </w:r>
      <w:r w:rsidR="00BB4172" w:rsidRPr="00246717">
        <w:rPr>
          <w:lang w:val="pl-PL"/>
        </w:rPr>
        <w:t xml:space="preserve"> </w:t>
      </w:r>
      <w:r w:rsidR="000B6695">
        <w:rPr>
          <w:lang w:val="pl-PL"/>
        </w:rPr>
        <w:t>miało jedynie niewielkie znaczenie</w:t>
      </w:r>
      <w:r w:rsidR="00BB4172" w:rsidRPr="00246717">
        <w:rPr>
          <w:lang w:val="pl-PL"/>
        </w:rPr>
        <w:t xml:space="preserve"> dla przedmiotu oskarżenia.</w:t>
      </w:r>
    </w:p>
    <w:p w14:paraId="10ED8929" w14:textId="28D58DF1" w:rsidR="00BB4172"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174</w:t>
      </w:r>
      <w:r w:rsidRPr="00246717">
        <w:rPr>
          <w:lang w:val="pl-PL"/>
        </w:rPr>
        <w:fldChar w:fldCharType="end"/>
      </w:r>
      <w:r w:rsidR="00BB4172" w:rsidRPr="00246717">
        <w:rPr>
          <w:lang w:val="pl-PL"/>
        </w:rPr>
        <w:t xml:space="preserve">.  Zważywszy na ogólną bierność obrony podczas przesłuchania funkcjonariuszy policji na temat zdarzeń stanowiących okoliczności </w:t>
      </w:r>
      <w:r w:rsidR="000B6695">
        <w:rPr>
          <w:lang w:val="pl-PL"/>
        </w:rPr>
        <w:t>zarzucanego</w:t>
      </w:r>
      <w:r w:rsidR="000B6695" w:rsidRPr="00246717">
        <w:rPr>
          <w:lang w:val="pl-PL"/>
        </w:rPr>
        <w:t xml:space="preserve"> </w:t>
      </w:r>
      <w:r w:rsidR="00BB4172" w:rsidRPr="00246717">
        <w:rPr>
          <w:lang w:val="pl-PL"/>
        </w:rPr>
        <w:t xml:space="preserve">podrzucenia materiałów wybuchowych i braku jakichkolwiek konkretnych argumentów </w:t>
      </w:r>
      <w:r w:rsidR="000B6695">
        <w:rPr>
          <w:lang w:val="pl-PL"/>
        </w:rPr>
        <w:t>o charakterze</w:t>
      </w:r>
      <w:r w:rsidR="000B6695" w:rsidRPr="00246717">
        <w:rPr>
          <w:lang w:val="pl-PL"/>
        </w:rPr>
        <w:t xml:space="preserve"> faktyczn</w:t>
      </w:r>
      <w:r w:rsidR="000B6695">
        <w:rPr>
          <w:lang w:val="pl-PL"/>
        </w:rPr>
        <w:t>ym</w:t>
      </w:r>
      <w:r w:rsidR="000B6695" w:rsidRPr="00246717">
        <w:rPr>
          <w:lang w:val="pl-PL"/>
        </w:rPr>
        <w:t xml:space="preserve"> </w:t>
      </w:r>
      <w:r w:rsidR="000B6695">
        <w:rPr>
          <w:lang w:val="pl-PL"/>
        </w:rPr>
        <w:t>czy</w:t>
      </w:r>
      <w:r w:rsidR="000B6695" w:rsidRPr="00246717">
        <w:rPr>
          <w:lang w:val="pl-PL"/>
        </w:rPr>
        <w:t xml:space="preserve"> prawn</w:t>
      </w:r>
      <w:r w:rsidR="000B6695">
        <w:rPr>
          <w:lang w:val="pl-PL"/>
        </w:rPr>
        <w:t>ym</w:t>
      </w:r>
      <w:r w:rsidR="000B6695" w:rsidRPr="00246717">
        <w:rPr>
          <w:lang w:val="pl-PL"/>
        </w:rPr>
        <w:t xml:space="preserve"> </w:t>
      </w:r>
      <w:r w:rsidR="00BB4172" w:rsidRPr="00246717">
        <w:rPr>
          <w:lang w:val="pl-PL"/>
        </w:rPr>
        <w:t xml:space="preserve">co do konieczności przesłuchania </w:t>
      </w:r>
      <w:r w:rsidR="00FF25B0">
        <w:rPr>
          <w:lang w:val="pl-PL"/>
        </w:rPr>
        <w:t xml:space="preserve">przybranych </w:t>
      </w:r>
      <w:r w:rsidR="00BB4172" w:rsidRPr="00246717">
        <w:rPr>
          <w:lang w:val="pl-PL"/>
        </w:rPr>
        <w:t>świadków, Trybunał uznaje, że Sąd Najwyższy wystarczając</w:t>
      </w:r>
      <w:r w:rsidR="00FF25B0">
        <w:rPr>
          <w:lang w:val="pl-PL"/>
        </w:rPr>
        <w:t>o</w:t>
      </w:r>
      <w:r w:rsidR="00BB4172" w:rsidRPr="00246717">
        <w:rPr>
          <w:lang w:val="pl-PL"/>
        </w:rPr>
        <w:t xml:space="preserve"> </w:t>
      </w:r>
      <w:r w:rsidR="00FF25B0">
        <w:rPr>
          <w:lang w:val="pl-PL"/>
        </w:rPr>
        <w:t>uzasadnił rozstrzygnięcie w przedmiocie</w:t>
      </w:r>
      <w:r w:rsidR="00BB4172" w:rsidRPr="00246717">
        <w:rPr>
          <w:lang w:val="pl-PL"/>
        </w:rPr>
        <w:t xml:space="preserve"> </w:t>
      </w:r>
      <w:r w:rsidR="00FF25B0">
        <w:rPr>
          <w:lang w:val="pl-PL"/>
        </w:rPr>
        <w:t>oddalenia wniosku o</w:t>
      </w:r>
      <w:r w:rsidR="00BB4172" w:rsidRPr="00246717">
        <w:rPr>
          <w:lang w:val="pl-PL"/>
        </w:rPr>
        <w:t xml:space="preserve"> ich przesłuchani</w:t>
      </w:r>
      <w:r w:rsidR="00FF25B0">
        <w:rPr>
          <w:lang w:val="pl-PL"/>
        </w:rPr>
        <w:t>e</w:t>
      </w:r>
      <w:r w:rsidR="00BB4172" w:rsidRPr="00246717">
        <w:rPr>
          <w:lang w:val="pl-PL"/>
        </w:rPr>
        <w:t xml:space="preserve"> na </w:t>
      </w:r>
      <w:r w:rsidR="00165CE4">
        <w:rPr>
          <w:lang w:val="pl-PL"/>
        </w:rPr>
        <w:t>rozprawie</w:t>
      </w:r>
      <w:r w:rsidR="00BB4172" w:rsidRPr="00246717">
        <w:rPr>
          <w:lang w:val="pl-PL"/>
        </w:rPr>
        <w:t xml:space="preserve">. </w:t>
      </w:r>
      <w:r w:rsidR="00FF25B0">
        <w:rPr>
          <w:lang w:val="pl-PL"/>
        </w:rPr>
        <w:t>Uzasadnienie</w:t>
      </w:r>
      <w:r w:rsidR="00BB4172" w:rsidRPr="00246717">
        <w:rPr>
          <w:lang w:val="pl-PL"/>
        </w:rPr>
        <w:t xml:space="preserve"> był</w:t>
      </w:r>
      <w:r w:rsidR="00FF25B0">
        <w:rPr>
          <w:lang w:val="pl-PL"/>
        </w:rPr>
        <w:t>o</w:t>
      </w:r>
      <w:r w:rsidR="00BB4172" w:rsidRPr="00246717">
        <w:rPr>
          <w:lang w:val="pl-PL"/>
        </w:rPr>
        <w:t xml:space="preserve"> odpowiednie do okoliczności sprawy i proporcjonalne, czyli </w:t>
      </w:r>
      <w:r w:rsidR="00165CE4">
        <w:rPr>
          <w:lang w:val="pl-PL"/>
        </w:rPr>
        <w:t>wystarczające</w:t>
      </w:r>
      <w:r w:rsidR="00BB4172" w:rsidRPr="00246717">
        <w:rPr>
          <w:lang w:val="pl-PL"/>
        </w:rPr>
        <w:t xml:space="preserve"> pod względem zakresu i stopnia szczegółowości, względem </w:t>
      </w:r>
      <w:r w:rsidR="00FF25B0">
        <w:rPr>
          <w:lang w:val="pl-PL"/>
        </w:rPr>
        <w:t>uzasadnienia</w:t>
      </w:r>
      <w:r w:rsidR="00FF25B0" w:rsidRPr="00246717">
        <w:rPr>
          <w:lang w:val="pl-PL"/>
        </w:rPr>
        <w:t xml:space="preserve"> p</w:t>
      </w:r>
      <w:r w:rsidR="00FF25B0">
        <w:rPr>
          <w:lang w:val="pl-PL"/>
        </w:rPr>
        <w:t>rzytoczonego</w:t>
      </w:r>
      <w:r w:rsidR="00FF25B0" w:rsidRPr="00246717">
        <w:rPr>
          <w:lang w:val="pl-PL"/>
        </w:rPr>
        <w:t xml:space="preserve"> </w:t>
      </w:r>
      <w:r w:rsidR="00BB4172" w:rsidRPr="00246717">
        <w:rPr>
          <w:lang w:val="pl-PL"/>
        </w:rPr>
        <w:t>przez obronę.</w:t>
      </w:r>
    </w:p>
    <w:p w14:paraId="03B39E59" w14:textId="065630F1" w:rsidR="00BB4172" w:rsidRPr="00246717" w:rsidRDefault="00BB4172" w:rsidP="000957D3">
      <w:pPr>
        <w:pStyle w:val="ECHRHeading4"/>
        <w:rPr>
          <w:lang w:val="pl-PL"/>
        </w:rPr>
      </w:pPr>
      <w:r w:rsidRPr="00246717">
        <w:rPr>
          <w:iCs w:val="0"/>
          <w:lang w:val="pl-PL"/>
        </w:rPr>
        <w:t>c)</w:t>
      </w:r>
      <w:r w:rsidR="00165CE4">
        <w:rPr>
          <w:iCs w:val="0"/>
          <w:lang w:val="pl-PL"/>
        </w:rPr>
        <w:t>  </w:t>
      </w:r>
      <w:r w:rsidRPr="00246717">
        <w:rPr>
          <w:iCs w:val="0"/>
          <w:lang w:val="pl-PL"/>
        </w:rPr>
        <w:t xml:space="preserve">Czy </w:t>
      </w:r>
      <w:r w:rsidR="00FF25B0">
        <w:rPr>
          <w:iCs w:val="0"/>
          <w:lang w:val="pl-PL"/>
        </w:rPr>
        <w:t>rozstrzygnięcie</w:t>
      </w:r>
      <w:r w:rsidR="00FF25B0" w:rsidRPr="00246717">
        <w:rPr>
          <w:iCs w:val="0"/>
          <w:lang w:val="pl-PL"/>
        </w:rPr>
        <w:t xml:space="preserve"> </w:t>
      </w:r>
      <w:r w:rsidRPr="00246717">
        <w:rPr>
          <w:iCs w:val="0"/>
          <w:lang w:val="pl-PL"/>
        </w:rPr>
        <w:t>sądów krajowych dotycząc</w:t>
      </w:r>
      <w:r w:rsidR="00FF25B0">
        <w:rPr>
          <w:iCs w:val="0"/>
          <w:lang w:val="pl-PL"/>
        </w:rPr>
        <w:t>e</w:t>
      </w:r>
      <w:r w:rsidRPr="00246717">
        <w:rPr>
          <w:iCs w:val="0"/>
          <w:lang w:val="pl-PL"/>
        </w:rPr>
        <w:t xml:space="preserve"> nieprzesłuchiwania B. i K. </w:t>
      </w:r>
      <w:r w:rsidR="00FF25B0">
        <w:rPr>
          <w:iCs w:val="0"/>
          <w:lang w:val="pl-PL"/>
        </w:rPr>
        <w:t>miało wpływ na</w:t>
      </w:r>
      <w:r w:rsidR="00FF25B0" w:rsidRPr="00246717">
        <w:rPr>
          <w:iCs w:val="0"/>
          <w:lang w:val="pl-PL"/>
        </w:rPr>
        <w:t xml:space="preserve"> </w:t>
      </w:r>
      <w:r w:rsidRPr="00246717">
        <w:rPr>
          <w:iCs w:val="0"/>
          <w:lang w:val="pl-PL"/>
        </w:rPr>
        <w:t>ogólną rzetelność postępowania</w:t>
      </w:r>
      <w:r w:rsidR="00165CE4">
        <w:rPr>
          <w:iCs w:val="0"/>
          <w:lang w:val="pl-PL"/>
        </w:rPr>
        <w:t>?</w:t>
      </w:r>
    </w:p>
    <w:p w14:paraId="1CCE7581" w14:textId="576F7824" w:rsidR="00350C8E"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175</w:t>
      </w:r>
      <w:r w:rsidRPr="00246717">
        <w:rPr>
          <w:lang w:val="pl-PL"/>
        </w:rPr>
        <w:fldChar w:fldCharType="end"/>
      </w:r>
      <w:r w:rsidR="00BB4172" w:rsidRPr="00246717">
        <w:rPr>
          <w:lang w:val="pl-PL"/>
        </w:rPr>
        <w:t xml:space="preserve">.  Trybunał podkreśla, że skarżąca, przy wsparciu dwóch </w:t>
      </w:r>
      <w:r w:rsidR="00406893">
        <w:rPr>
          <w:lang w:val="pl-PL"/>
        </w:rPr>
        <w:t>profesjonalnych pełnomocników</w:t>
      </w:r>
      <w:r w:rsidR="00BB4172" w:rsidRPr="00246717">
        <w:rPr>
          <w:lang w:val="pl-PL"/>
        </w:rPr>
        <w:t>, mogła przeprowadzić skutecznie swoją obronę, skonfrontować i</w:t>
      </w:r>
      <w:r w:rsidR="008D0DC0">
        <w:rPr>
          <w:lang w:val="pl-PL"/>
        </w:rPr>
        <w:t> </w:t>
      </w:r>
      <w:r w:rsidR="00BB4172" w:rsidRPr="00246717">
        <w:rPr>
          <w:lang w:val="pl-PL"/>
        </w:rPr>
        <w:t xml:space="preserve">przesłuchać </w:t>
      </w:r>
      <w:r w:rsidR="00F420C2">
        <w:rPr>
          <w:lang w:val="pl-PL"/>
        </w:rPr>
        <w:t>składających obciążające ją zeznania świadków</w:t>
      </w:r>
      <w:r w:rsidR="00BB4172" w:rsidRPr="00246717">
        <w:rPr>
          <w:lang w:val="pl-PL"/>
        </w:rPr>
        <w:t xml:space="preserve">, bez przeszkód </w:t>
      </w:r>
      <w:r w:rsidR="00F420C2">
        <w:rPr>
          <w:lang w:val="pl-PL"/>
        </w:rPr>
        <w:t>wyrazić stanowisko w przedmiocie</w:t>
      </w:r>
      <w:r w:rsidR="00BB4172" w:rsidRPr="00246717">
        <w:rPr>
          <w:lang w:val="pl-PL"/>
        </w:rPr>
        <w:t xml:space="preserve"> obciążających ją dowodów, przedstawić materiał dowodowy, który uznała za istotny i przedstawić swoją relację zdarzeń przed sądami krajowymi. </w:t>
      </w:r>
      <w:r w:rsidR="00F420C2">
        <w:rPr>
          <w:lang w:val="pl-PL"/>
        </w:rPr>
        <w:t>Wydany wobec niej wyrok</w:t>
      </w:r>
      <w:r w:rsidR="00F420C2" w:rsidRPr="00246717">
        <w:rPr>
          <w:lang w:val="pl-PL"/>
        </w:rPr>
        <w:t xml:space="preserve"> </w:t>
      </w:r>
      <w:r w:rsidR="00F420C2">
        <w:rPr>
          <w:lang w:val="pl-PL"/>
        </w:rPr>
        <w:t>skazujący</w:t>
      </w:r>
      <w:r w:rsidR="00F420C2" w:rsidRPr="00246717">
        <w:rPr>
          <w:lang w:val="pl-PL"/>
        </w:rPr>
        <w:t xml:space="preserve"> </w:t>
      </w:r>
      <w:r w:rsidR="00BB4172" w:rsidRPr="00246717">
        <w:rPr>
          <w:lang w:val="pl-PL"/>
        </w:rPr>
        <w:t xml:space="preserve">za przygotowanie </w:t>
      </w:r>
      <w:r w:rsidR="00F420C2">
        <w:rPr>
          <w:lang w:val="pl-PL"/>
        </w:rPr>
        <w:t>czynu o charakterze</w:t>
      </w:r>
      <w:r w:rsidR="00F420C2" w:rsidRPr="00246717">
        <w:rPr>
          <w:lang w:val="pl-PL"/>
        </w:rPr>
        <w:t xml:space="preserve"> terrorystyczn</w:t>
      </w:r>
      <w:r w:rsidR="00F420C2">
        <w:rPr>
          <w:lang w:val="pl-PL"/>
        </w:rPr>
        <w:t>ym</w:t>
      </w:r>
      <w:r w:rsidR="00F420C2" w:rsidRPr="00246717">
        <w:rPr>
          <w:lang w:val="pl-PL"/>
        </w:rPr>
        <w:t xml:space="preserve"> </w:t>
      </w:r>
      <w:r w:rsidR="00BB4172" w:rsidRPr="00246717">
        <w:rPr>
          <w:lang w:val="pl-PL"/>
        </w:rPr>
        <w:t xml:space="preserve">i podżeganie innych do popełnienia takiego </w:t>
      </w:r>
      <w:r w:rsidR="00F420C2">
        <w:rPr>
          <w:lang w:val="pl-PL"/>
        </w:rPr>
        <w:t>czynu</w:t>
      </w:r>
      <w:r w:rsidR="00F420C2" w:rsidRPr="00246717">
        <w:rPr>
          <w:lang w:val="pl-PL"/>
        </w:rPr>
        <w:t xml:space="preserve"> </w:t>
      </w:r>
      <w:r w:rsidR="00BB4172" w:rsidRPr="00246717">
        <w:rPr>
          <w:lang w:val="pl-PL"/>
        </w:rPr>
        <w:t xml:space="preserve">opierało się na obszernym materiale dowodowym przeciwko niej, w tym </w:t>
      </w:r>
      <w:r w:rsidR="008D0DC0">
        <w:rPr>
          <w:lang w:val="pl-PL"/>
        </w:rPr>
        <w:t>n</w:t>
      </w:r>
      <w:r w:rsidR="00BB4172" w:rsidRPr="00246717">
        <w:rPr>
          <w:lang w:val="pl-PL"/>
        </w:rPr>
        <w:t xml:space="preserve">a zeznaniach kilku świadków </w:t>
      </w:r>
      <w:r w:rsidR="00BB4172" w:rsidRPr="00246717">
        <w:rPr>
          <w:lang w:val="pl-PL"/>
        </w:rPr>
        <w:lastRenderedPageBreak/>
        <w:t>oskarżenia, materiałach (ekstremistyczna notatka i zdjęcia) zajętych w mieszkaniu skarżącej, raportach z badań kryminalistycznych i transkrypcjach taśm wideo z policyjnego monitoringu.</w:t>
      </w:r>
    </w:p>
    <w:p w14:paraId="377EA00B" w14:textId="6743DE8F" w:rsidR="00350C8E" w:rsidRPr="00246717" w:rsidRDefault="00150576" w:rsidP="000957D3">
      <w:pPr>
        <w:pStyle w:val="ECHRPara"/>
        <w:rPr>
          <w:lang w:val="pl-PL"/>
        </w:rPr>
      </w:pPr>
      <w:r w:rsidRPr="00246717">
        <w:rPr>
          <w:lang w:val="pl-PL"/>
        </w:rPr>
        <w:fldChar w:fldCharType="begin"/>
      </w:r>
      <w:r w:rsidR="00BB4172" w:rsidRPr="00246717">
        <w:rPr>
          <w:lang w:val="pl-PL"/>
        </w:rPr>
        <w:instrText xml:space="preserve"> SEQ level0 \*arabic </w:instrText>
      </w:r>
      <w:r w:rsidRPr="00246717">
        <w:rPr>
          <w:lang w:val="pl-PL"/>
        </w:rPr>
        <w:fldChar w:fldCharType="separate"/>
      </w:r>
      <w:r w:rsidR="00BB4172" w:rsidRPr="00246717">
        <w:rPr>
          <w:lang w:val="pl-PL"/>
        </w:rPr>
        <w:t>176</w:t>
      </w:r>
      <w:r w:rsidRPr="00246717">
        <w:rPr>
          <w:lang w:val="pl-PL"/>
        </w:rPr>
        <w:fldChar w:fldCharType="end"/>
      </w:r>
      <w:r w:rsidR="00BB4172" w:rsidRPr="00246717">
        <w:rPr>
          <w:lang w:val="pl-PL"/>
        </w:rPr>
        <w:t xml:space="preserve">.  Uwzględniając te rozważania Trybunał stwierdza, że </w:t>
      </w:r>
      <w:r w:rsidR="00F420C2">
        <w:rPr>
          <w:lang w:val="pl-PL"/>
        </w:rPr>
        <w:t>rozstrzygnięcie</w:t>
      </w:r>
      <w:r w:rsidR="00F420C2" w:rsidRPr="00246717">
        <w:rPr>
          <w:lang w:val="pl-PL"/>
        </w:rPr>
        <w:t xml:space="preserve"> </w:t>
      </w:r>
      <w:r w:rsidR="00BB4172" w:rsidRPr="00246717">
        <w:rPr>
          <w:lang w:val="pl-PL"/>
        </w:rPr>
        <w:t>sądów krajowych dotycząc</w:t>
      </w:r>
      <w:r w:rsidR="00F420C2">
        <w:rPr>
          <w:lang w:val="pl-PL"/>
        </w:rPr>
        <w:t>e</w:t>
      </w:r>
      <w:r w:rsidR="00BB4172" w:rsidRPr="00246717">
        <w:rPr>
          <w:lang w:val="pl-PL"/>
        </w:rPr>
        <w:t xml:space="preserve"> nieprzesłuchiwania B. i K. na </w:t>
      </w:r>
      <w:r w:rsidR="008D0DC0">
        <w:rPr>
          <w:lang w:val="pl-PL"/>
        </w:rPr>
        <w:t>rozprawie</w:t>
      </w:r>
      <w:r w:rsidR="00BB4172" w:rsidRPr="00246717">
        <w:rPr>
          <w:lang w:val="pl-PL"/>
        </w:rPr>
        <w:t xml:space="preserve"> nie</w:t>
      </w:r>
      <w:r w:rsidR="00933779">
        <w:rPr>
          <w:lang w:val="pl-PL"/>
        </w:rPr>
        <w:t xml:space="preserve"> </w:t>
      </w:r>
      <w:r w:rsidR="00F420C2">
        <w:rPr>
          <w:lang w:val="pl-PL"/>
        </w:rPr>
        <w:t xml:space="preserve">miało wpływu na </w:t>
      </w:r>
      <w:r w:rsidR="00F420C2" w:rsidRPr="00246717">
        <w:rPr>
          <w:lang w:val="pl-PL"/>
        </w:rPr>
        <w:t>ogóln</w:t>
      </w:r>
      <w:r w:rsidR="00F420C2">
        <w:rPr>
          <w:lang w:val="pl-PL"/>
        </w:rPr>
        <w:t>ą</w:t>
      </w:r>
      <w:r w:rsidR="00F420C2" w:rsidRPr="00246717">
        <w:rPr>
          <w:lang w:val="pl-PL"/>
        </w:rPr>
        <w:t xml:space="preserve"> </w:t>
      </w:r>
      <w:r w:rsidR="00BB4172" w:rsidRPr="00246717">
        <w:rPr>
          <w:lang w:val="pl-PL"/>
        </w:rPr>
        <w:t>rzetelnoś</w:t>
      </w:r>
      <w:r w:rsidR="00F420C2">
        <w:rPr>
          <w:lang w:val="pl-PL"/>
        </w:rPr>
        <w:t>ć</w:t>
      </w:r>
      <w:r w:rsidR="00BB4172" w:rsidRPr="00246717">
        <w:rPr>
          <w:lang w:val="pl-PL"/>
        </w:rPr>
        <w:t xml:space="preserve"> postępowania.</w:t>
      </w:r>
    </w:p>
    <w:p w14:paraId="0FCE9918" w14:textId="3BD19033" w:rsidR="00080312" w:rsidRPr="00246717" w:rsidRDefault="00080312" w:rsidP="000957D3">
      <w:pPr>
        <w:pStyle w:val="ECHRHeading4"/>
        <w:rPr>
          <w:lang w:val="pl-PL"/>
        </w:rPr>
      </w:pPr>
      <w:r w:rsidRPr="00246717">
        <w:rPr>
          <w:iCs w:val="0"/>
          <w:lang w:val="pl-PL"/>
        </w:rPr>
        <w:t>d)</w:t>
      </w:r>
      <w:r w:rsidR="008D0DC0">
        <w:rPr>
          <w:iCs w:val="0"/>
          <w:lang w:val="pl-PL"/>
        </w:rPr>
        <w:t>  </w:t>
      </w:r>
      <w:r w:rsidRPr="00246717">
        <w:rPr>
          <w:iCs w:val="0"/>
          <w:lang w:val="pl-PL"/>
        </w:rPr>
        <w:t>Wniosek</w:t>
      </w:r>
    </w:p>
    <w:p w14:paraId="03D3F20F" w14:textId="31D82CAA" w:rsidR="00080312" w:rsidRPr="00246717" w:rsidRDefault="00150576" w:rsidP="000957D3">
      <w:pPr>
        <w:pStyle w:val="ECHRPara"/>
        <w:rPr>
          <w:lang w:val="pl-PL"/>
        </w:rPr>
      </w:pPr>
      <w:r w:rsidRPr="00246717">
        <w:rPr>
          <w:lang w:val="pl-PL"/>
        </w:rPr>
        <w:fldChar w:fldCharType="begin"/>
      </w:r>
      <w:r w:rsidR="00E02A92" w:rsidRPr="00246717">
        <w:rPr>
          <w:lang w:val="pl-PL"/>
        </w:rPr>
        <w:instrText xml:space="preserve"> SEQ level0 \*arabic </w:instrText>
      </w:r>
      <w:r w:rsidRPr="00246717">
        <w:rPr>
          <w:lang w:val="pl-PL"/>
        </w:rPr>
        <w:fldChar w:fldCharType="separate"/>
      </w:r>
      <w:r w:rsidR="00E02A92" w:rsidRPr="00246717">
        <w:rPr>
          <w:lang w:val="pl-PL"/>
        </w:rPr>
        <w:t>177</w:t>
      </w:r>
      <w:r w:rsidRPr="00246717">
        <w:rPr>
          <w:lang w:val="pl-PL"/>
        </w:rPr>
        <w:fldChar w:fldCharType="end"/>
      </w:r>
      <w:r w:rsidR="00E02A92" w:rsidRPr="00246717">
        <w:rPr>
          <w:lang w:val="pl-PL"/>
        </w:rPr>
        <w:t xml:space="preserve">.  W związku z </w:t>
      </w:r>
      <w:r w:rsidR="00F420C2">
        <w:rPr>
          <w:lang w:val="pl-PL"/>
        </w:rPr>
        <w:t>powyższym</w:t>
      </w:r>
      <w:r w:rsidR="00F420C2" w:rsidRPr="00246717">
        <w:rPr>
          <w:lang w:val="pl-PL"/>
        </w:rPr>
        <w:t xml:space="preserve"> </w:t>
      </w:r>
      <w:r w:rsidR="00E02A92" w:rsidRPr="00246717">
        <w:rPr>
          <w:lang w:val="pl-PL"/>
        </w:rPr>
        <w:t>Trybunał, pamiętając o swojej roli, którą objaśniono powyżej (zob. par.</w:t>
      </w:r>
      <w:r w:rsidR="008D0DC0">
        <w:rPr>
          <w:lang w:val="pl-PL"/>
        </w:rPr>
        <w:t> </w:t>
      </w:r>
      <w:r w:rsidRPr="00246717">
        <w:rPr>
          <w:lang w:val="pl-PL"/>
        </w:rPr>
        <w:fldChar w:fldCharType="begin"/>
      </w:r>
      <w:r w:rsidR="00E02A92" w:rsidRPr="00246717">
        <w:rPr>
          <w:lang w:val="pl-PL"/>
        </w:rPr>
        <w:instrText xml:space="preserve"> REF RoleOfTheCourt \h </w:instrText>
      </w:r>
      <w:r w:rsidRPr="00246717">
        <w:rPr>
          <w:lang w:val="pl-PL"/>
        </w:rPr>
      </w:r>
      <w:r w:rsidRPr="00246717">
        <w:rPr>
          <w:lang w:val="pl-PL"/>
        </w:rPr>
        <w:fldChar w:fldCharType="separate"/>
      </w:r>
      <w:r w:rsidR="00E02A92" w:rsidRPr="00246717">
        <w:rPr>
          <w:lang w:val="pl-PL"/>
        </w:rPr>
        <w:t>149</w:t>
      </w:r>
      <w:r w:rsidRPr="00246717">
        <w:rPr>
          <w:lang w:val="pl-PL"/>
        </w:rPr>
        <w:fldChar w:fldCharType="end"/>
      </w:r>
      <w:r w:rsidR="00E02A92" w:rsidRPr="00246717">
        <w:rPr>
          <w:lang w:val="pl-PL"/>
        </w:rPr>
        <w:t xml:space="preserve"> powyżej), stwierdza, że nie doszło do naruszenia praw skarżącej na gruncie art. 6 ust.</w:t>
      </w:r>
      <w:r w:rsidR="008D0DC0">
        <w:rPr>
          <w:lang w:val="pl-PL"/>
        </w:rPr>
        <w:t> </w:t>
      </w:r>
      <w:r w:rsidR="00E02A92" w:rsidRPr="00246717">
        <w:rPr>
          <w:lang w:val="pl-PL"/>
        </w:rPr>
        <w:t>1 i 3 lit.</w:t>
      </w:r>
      <w:r w:rsidR="008D0DC0">
        <w:rPr>
          <w:lang w:val="pl-PL"/>
        </w:rPr>
        <w:t> </w:t>
      </w:r>
      <w:r w:rsidR="00E02A92" w:rsidRPr="00246717">
        <w:rPr>
          <w:lang w:val="pl-PL"/>
        </w:rPr>
        <w:t>d Konwencji w</w:t>
      </w:r>
      <w:r w:rsidR="008D0DC0">
        <w:rPr>
          <w:lang w:val="pl-PL"/>
        </w:rPr>
        <w:t> </w:t>
      </w:r>
      <w:r w:rsidR="00E02A92" w:rsidRPr="00246717">
        <w:rPr>
          <w:lang w:val="pl-PL"/>
        </w:rPr>
        <w:t>odniesieniu do świadków B. i K.</w:t>
      </w:r>
    </w:p>
    <w:p w14:paraId="74F9CFBC" w14:textId="77777777" w:rsidR="00080312" w:rsidRPr="00246717" w:rsidRDefault="00080312" w:rsidP="000957D3">
      <w:pPr>
        <w:pStyle w:val="ECHRPara"/>
        <w:rPr>
          <w:lang w:val="pl-PL"/>
        </w:rPr>
      </w:pPr>
    </w:p>
    <w:p w14:paraId="2EA35888" w14:textId="77777777" w:rsidR="001A099F" w:rsidRPr="00246717" w:rsidRDefault="00BB4172" w:rsidP="000957D3">
      <w:pPr>
        <w:pStyle w:val="ECHRTitle1"/>
        <w:rPr>
          <w:lang w:val="pl-PL"/>
        </w:rPr>
      </w:pPr>
      <w:r w:rsidRPr="00246717">
        <w:rPr>
          <w:lang w:val="pl-PL"/>
        </w:rPr>
        <w:t>ZWAŻYWSZY NA POWYŻSZE TRYBUNAŁ</w:t>
      </w:r>
    </w:p>
    <w:p w14:paraId="4B882F59" w14:textId="386D28AF" w:rsidR="00BB4172" w:rsidRPr="00246717" w:rsidRDefault="00BB4172" w:rsidP="000957D3">
      <w:pPr>
        <w:pStyle w:val="JuList"/>
        <w:rPr>
          <w:lang w:val="pl-PL"/>
        </w:rPr>
      </w:pPr>
      <w:r w:rsidRPr="00246717">
        <w:rPr>
          <w:lang w:val="pl-PL"/>
        </w:rPr>
        <w:t>1.  </w:t>
      </w:r>
      <w:r w:rsidR="00F420C2">
        <w:rPr>
          <w:i/>
          <w:iCs/>
          <w:lang w:val="pl-PL"/>
        </w:rPr>
        <w:t>Uwzględnia</w:t>
      </w:r>
      <w:r w:rsidRPr="00246717">
        <w:rPr>
          <w:i/>
          <w:iCs/>
          <w:lang w:val="pl-PL"/>
        </w:rPr>
        <w:t xml:space="preserve">, </w:t>
      </w:r>
      <w:r w:rsidRPr="00246717">
        <w:rPr>
          <w:lang w:val="pl-PL"/>
        </w:rPr>
        <w:t>większością składu orzekającego, wstępne zastrzeżenie Rządu, zgodnie z którym skarżąca zrzekła się swojego prawa do przesłuchania świadka A. i uznaje skargę dotyczącą obecności świadka A. na procesie skarżącej za niedopuszczalną;</w:t>
      </w:r>
    </w:p>
    <w:p w14:paraId="428D5049" w14:textId="77777777" w:rsidR="00BB4172" w:rsidRPr="00246717" w:rsidRDefault="00BB4172" w:rsidP="000957D3">
      <w:pPr>
        <w:pStyle w:val="JuList"/>
        <w:ind w:left="0" w:firstLine="0"/>
        <w:rPr>
          <w:lang w:val="pl-PL"/>
        </w:rPr>
      </w:pPr>
    </w:p>
    <w:p w14:paraId="424DCA06" w14:textId="01968099" w:rsidR="00BB4172" w:rsidRPr="00246717" w:rsidRDefault="00BB4172" w:rsidP="000957D3">
      <w:pPr>
        <w:pStyle w:val="JuList"/>
        <w:rPr>
          <w:lang w:val="pl-PL"/>
        </w:rPr>
      </w:pPr>
      <w:r w:rsidRPr="00246717">
        <w:rPr>
          <w:lang w:val="pl-PL"/>
        </w:rPr>
        <w:t>2.  </w:t>
      </w:r>
      <w:r w:rsidRPr="00246717">
        <w:rPr>
          <w:i/>
          <w:iCs/>
          <w:lang w:val="pl-PL"/>
        </w:rPr>
        <w:t>Orzeka</w:t>
      </w:r>
      <w:r w:rsidRPr="00246717">
        <w:rPr>
          <w:lang w:val="pl-PL"/>
        </w:rPr>
        <w:t>, jednogłośnie, że nie doszło do naruszenia art.</w:t>
      </w:r>
      <w:r w:rsidR="008D0DC0">
        <w:rPr>
          <w:lang w:val="pl-PL"/>
        </w:rPr>
        <w:t> </w:t>
      </w:r>
      <w:r w:rsidRPr="00246717">
        <w:rPr>
          <w:lang w:val="pl-PL"/>
        </w:rPr>
        <w:t>6 ust.</w:t>
      </w:r>
      <w:r w:rsidR="008D0DC0">
        <w:rPr>
          <w:lang w:val="pl-PL"/>
        </w:rPr>
        <w:t> </w:t>
      </w:r>
      <w:r w:rsidRPr="00246717">
        <w:rPr>
          <w:lang w:val="pl-PL"/>
        </w:rPr>
        <w:t>1 i 3 lit.</w:t>
      </w:r>
      <w:r w:rsidR="008D0DC0">
        <w:rPr>
          <w:lang w:val="pl-PL"/>
        </w:rPr>
        <w:t> </w:t>
      </w:r>
      <w:r w:rsidRPr="00246717">
        <w:rPr>
          <w:lang w:val="pl-PL"/>
        </w:rPr>
        <w:t xml:space="preserve">b Konwencji w </w:t>
      </w:r>
      <w:r w:rsidR="00F420C2">
        <w:rPr>
          <w:lang w:val="pl-PL"/>
        </w:rPr>
        <w:t>związku z</w:t>
      </w:r>
      <w:r w:rsidR="00F420C2" w:rsidRPr="00246717">
        <w:rPr>
          <w:lang w:val="pl-PL"/>
        </w:rPr>
        <w:t xml:space="preserve"> </w:t>
      </w:r>
      <w:r w:rsidRPr="00246717">
        <w:rPr>
          <w:lang w:val="pl-PL"/>
        </w:rPr>
        <w:t>oglądani</w:t>
      </w:r>
      <w:r w:rsidR="00F420C2">
        <w:rPr>
          <w:lang w:val="pl-PL"/>
        </w:rPr>
        <w:t>em</w:t>
      </w:r>
      <w:r w:rsidRPr="00246717">
        <w:rPr>
          <w:lang w:val="pl-PL"/>
        </w:rPr>
        <w:t xml:space="preserve"> taśmy wideo z tajnego monitoringu;</w:t>
      </w:r>
    </w:p>
    <w:p w14:paraId="3D4C294A" w14:textId="77777777" w:rsidR="00BB4172" w:rsidRPr="00246717" w:rsidRDefault="00BB4172" w:rsidP="000957D3">
      <w:pPr>
        <w:pStyle w:val="JuList"/>
        <w:rPr>
          <w:lang w:val="pl-PL"/>
        </w:rPr>
      </w:pPr>
    </w:p>
    <w:p w14:paraId="2DD8BEF2" w14:textId="05D01AEB" w:rsidR="00BB4172" w:rsidRPr="00246717" w:rsidRDefault="00BB4172" w:rsidP="000957D3">
      <w:pPr>
        <w:pStyle w:val="JuList"/>
        <w:rPr>
          <w:lang w:val="pl-PL"/>
        </w:rPr>
      </w:pPr>
      <w:r w:rsidRPr="00246717">
        <w:rPr>
          <w:lang w:val="pl-PL"/>
        </w:rPr>
        <w:t>3.  </w:t>
      </w:r>
      <w:r w:rsidRPr="00246717">
        <w:rPr>
          <w:i/>
          <w:iCs/>
          <w:lang w:val="pl-PL"/>
        </w:rPr>
        <w:t>Orzeka</w:t>
      </w:r>
      <w:r w:rsidRPr="00246717">
        <w:rPr>
          <w:lang w:val="pl-PL"/>
        </w:rPr>
        <w:t>, piętnastoma głosami do dwóch, że nie doszło do naruszenia art. 6 ust. 1 i 3 lit. d Konwencji w odniesieniu do świadków B. i K.</w:t>
      </w:r>
    </w:p>
    <w:p w14:paraId="6F221331" w14:textId="3DB139A9" w:rsidR="00014566" w:rsidRPr="00246717" w:rsidRDefault="00014566" w:rsidP="000957D3">
      <w:pPr>
        <w:pStyle w:val="JuParaLast"/>
        <w:rPr>
          <w:lang w:val="pl-PL"/>
        </w:rPr>
      </w:pPr>
      <w:r w:rsidRPr="00246717">
        <w:rPr>
          <w:lang w:val="pl-PL"/>
        </w:rPr>
        <w:t xml:space="preserve">Sporządzono w językach angielskim i francuskim, i obwieszczono na posiedzeniu jawnym w Budynku Praw Człowieka </w:t>
      </w:r>
      <w:r w:rsidR="00957D77">
        <w:rPr>
          <w:lang w:val="pl-PL"/>
        </w:rPr>
        <w:t>dnia</w:t>
      </w:r>
      <w:r w:rsidRPr="00246717">
        <w:rPr>
          <w:lang w:val="pl-PL"/>
        </w:rPr>
        <w:t xml:space="preserve"> 18 grudnia 2018 r. zgodnie z Regułą 77 §§ 2 i 3 Regulaminu Trybunału.</w:t>
      </w:r>
    </w:p>
    <w:p w14:paraId="0947315F" w14:textId="1D4222A9" w:rsidR="00980F6C" w:rsidRPr="00246717" w:rsidRDefault="00014566" w:rsidP="000957D3">
      <w:pPr>
        <w:pStyle w:val="JuSigned"/>
        <w:rPr>
          <w:lang w:val="pl-PL"/>
        </w:rPr>
      </w:pPr>
      <w:r w:rsidRPr="00246717">
        <w:rPr>
          <w:lang w:val="pl-PL"/>
        </w:rPr>
        <w:tab/>
        <w:t xml:space="preserve">Lawrence </w:t>
      </w:r>
      <w:proofErr w:type="spellStart"/>
      <w:r w:rsidRPr="00246717">
        <w:rPr>
          <w:lang w:val="pl-PL"/>
        </w:rPr>
        <w:t>Early</w:t>
      </w:r>
      <w:proofErr w:type="spellEnd"/>
      <w:r w:rsidRPr="00246717">
        <w:rPr>
          <w:lang w:val="pl-PL"/>
        </w:rPr>
        <w:tab/>
      </w:r>
      <w:r w:rsidRPr="00246717">
        <w:rPr>
          <w:szCs w:val="24"/>
          <w:lang w:val="pl-PL"/>
        </w:rPr>
        <w:t xml:space="preserve">Guido </w:t>
      </w:r>
      <w:proofErr w:type="spellStart"/>
      <w:r w:rsidRPr="00246717">
        <w:rPr>
          <w:szCs w:val="24"/>
          <w:lang w:val="pl-PL"/>
        </w:rPr>
        <w:t>Raimondi</w:t>
      </w:r>
      <w:proofErr w:type="spellEnd"/>
      <w:r w:rsidRPr="00246717">
        <w:rPr>
          <w:szCs w:val="24"/>
          <w:lang w:val="pl-PL"/>
        </w:rPr>
        <w:br/>
      </w:r>
      <w:r w:rsidRPr="00246717">
        <w:rPr>
          <w:lang w:val="pl-PL"/>
        </w:rPr>
        <w:tab/>
      </w:r>
      <w:r w:rsidR="008D0DC0">
        <w:rPr>
          <w:lang w:val="pl-PL"/>
        </w:rPr>
        <w:t xml:space="preserve"> </w:t>
      </w:r>
      <w:r w:rsidRPr="00246717">
        <w:rPr>
          <w:lang w:val="pl-PL"/>
        </w:rPr>
        <w:t>Doradca prawny [</w:t>
      </w:r>
      <w:proofErr w:type="spellStart"/>
      <w:r w:rsidRPr="00246717">
        <w:rPr>
          <w:lang w:val="pl-PL"/>
        </w:rPr>
        <w:t>Jurisconsult</w:t>
      </w:r>
      <w:proofErr w:type="spellEnd"/>
      <w:r w:rsidRPr="00246717">
        <w:rPr>
          <w:lang w:val="pl-PL"/>
        </w:rPr>
        <w:t>]</w:t>
      </w:r>
      <w:r w:rsidRPr="00246717">
        <w:rPr>
          <w:lang w:val="pl-PL"/>
        </w:rPr>
        <w:tab/>
        <w:t>Przewodniczący</w:t>
      </w:r>
    </w:p>
    <w:p w14:paraId="0B3DB2A7" w14:textId="77777777" w:rsidR="00980F6C" w:rsidRPr="00246717" w:rsidRDefault="00980F6C" w:rsidP="000957D3">
      <w:pPr>
        <w:rPr>
          <w:lang w:val="pl-PL"/>
        </w:rPr>
      </w:pPr>
    </w:p>
    <w:p w14:paraId="58FB596E" w14:textId="77777777" w:rsidR="009D6108" w:rsidRPr="00246717" w:rsidRDefault="009D6108" w:rsidP="000957D3">
      <w:pPr>
        <w:pStyle w:val="JuParaLast"/>
        <w:rPr>
          <w:lang w:val="pl-PL"/>
        </w:rPr>
      </w:pPr>
      <w:r w:rsidRPr="00246717">
        <w:rPr>
          <w:lang w:val="pl-PL"/>
        </w:rPr>
        <w:t>Zgodnie z art. 45 ust. 2 Konwencji i regułą 74 § 2 Regulaminu Trybunału do wyroku dołączono następujące opinie odrębne:</w:t>
      </w:r>
    </w:p>
    <w:p w14:paraId="3DA2A39B" w14:textId="1BA558BB" w:rsidR="00623AB9" w:rsidRPr="00246717" w:rsidRDefault="00422D2B" w:rsidP="000957D3">
      <w:pPr>
        <w:pStyle w:val="ECHRPara"/>
        <w:rPr>
          <w:lang w:val="pl-PL"/>
        </w:rPr>
      </w:pPr>
      <w:r w:rsidRPr="00246717">
        <w:rPr>
          <w:lang w:val="pl-PL"/>
        </w:rPr>
        <w:t>a)</w:t>
      </w:r>
      <w:r w:rsidR="008D0DC0">
        <w:rPr>
          <w:lang w:val="pl-PL"/>
        </w:rPr>
        <w:t> </w:t>
      </w:r>
      <w:r w:rsidRPr="00246717">
        <w:rPr>
          <w:lang w:val="pl-PL"/>
        </w:rPr>
        <w:t>częściowo rozbieżn</w:t>
      </w:r>
      <w:r w:rsidR="00F420C2">
        <w:rPr>
          <w:lang w:val="pl-PL"/>
        </w:rPr>
        <w:t>ą</w:t>
      </w:r>
      <w:r w:rsidRPr="00246717">
        <w:rPr>
          <w:lang w:val="pl-PL"/>
        </w:rPr>
        <w:t xml:space="preserve"> opini</w:t>
      </w:r>
      <w:r w:rsidR="00F420C2">
        <w:rPr>
          <w:lang w:val="pl-PL"/>
        </w:rPr>
        <w:t>ę</w:t>
      </w:r>
      <w:r w:rsidRPr="00246717">
        <w:rPr>
          <w:lang w:val="pl-PL"/>
        </w:rPr>
        <w:t xml:space="preserve"> sędziego </w:t>
      </w:r>
      <w:proofErr w:type="spellStart"/>
      <w:r w:rsidRPr="00246717">
        <w:rPr>
          <w:lang w:val="pl-PL"/>
        </w:rPr>
        <w:t>Bošnjaka</w:t>
      </w:r>
      <w:proofErr w:type="spellEnd"/>
    </w:p>
    <w:p w14:paraId="236B5890" w14:textId="3149B51D" w:rsidR="009D6108" w:rsidRPr="00246717" w:rsidRDefault="00422D2B" w:rsidP="000957D3">
      <w:pPr>
        <w:pStyle w:val="ECHRPara"/>
        <w:rPr>
          <w:lang w:val="pl-PL"/>
        </w:rPr>
      </w:pPr>
      <w:r w:rsidRPr="00246717">
        <w:rPr>
          <w:lang w:val="pl-PL"/>
        </w:rPr>
        <w:t>b)</w:t>
      </w:r>
      <w:r w:rsidR="008D0DC0">
        <w:rPr>
          <w:lang w:val="pl-PL"/>
        </w:rPr>
        <w:t> </w:t>
      </w:r>
      <w:r w:rsidRPr="00246717">
        <w:rPr>
          <w:lang w:val="pl-PL"/>
        </w:rPr>
        <w:t>rozbieżn</w:t>
      </w:r>
      <w:r w:rsidR="00F420C2">
        <w:rPr>
          <w:lang w:val="pl-PL"/>
        </w:rPr>
        <w:t>ą</w:t>
      </w:r>
      <w:r w:rsidRPr="00246717">
        <w:rPr>
          <w:lang w:val="pl-PL"/>
        </w:rPr>
        <w:t xml:space="preserve"> opini</w:t>
      </w:r>
      <w:r w:rsidR="00F420C2">
        <w:rPr>
          <w:lang w:val="pl-PL"/>
        </w:rPr>
        <w:t>ę</w:t>
      </w:r>
      <w:r w:rsidRPr="00246717">
        <w:rPr>
          <w:lang w:val="pl-PL"/>
        </w:rPr>
        <w:t xml:space="preserve"> sędziego </w:t>
      </w:r>
      <w:proofErr w:type="spellStart"/>
      <w:r w:rsidRPr="00246717">
        <w:rPr>
          <w:lang w:val="pl-PL"/>
        </w:rPr>
        <w:t>Pinto</w:t>
      </w:r>
      <w:proofErr w:type="spellEnd"/>
      <w:r w:rsidRPr="00246717">
        <w:rPr>
          <w:lang w:val="pl-PL"/>
        </w:rPr>
        <w:t xml:space="preserve"> de Albuquerque.</w:t>
      </w:r>
    </w:p>
    <w:p w14:paraId="68314B53" w14:textId="77777777" w:rsidR="008113A5" w:rsidRPr="00246717" w:rsidRDefault="00426041" w:rsidP="000957D3">
      <w:pPr>
        <w:pStyle w:val="JuInitialled"/>
        <w:rPr>
          <w:lang w:val="pl-PL"/>
        </w:rPr>
      </w:pPr>
      <w:r w:rsidRPr="00246717">
        <w:rPr>
          <w:lang w:val="pl-PL"/>
        </w:rPr>
        <w:lastRenderedPageBreak/>
        <w:t>G.R.</w:t>
      </w:r>
      <w:r w:rsidRPr="00246717">
        <w:rPr>
          <w:lang w:val="pl-PL"/>
        </w:rPr>
        <w:br/>
        <w:t>T.L.E.</w:t>
      </w:r>
    </w:p>
    <w:p w14:paraId="4623A623" w14:textId="77777777" w:rsidR="008113A5" w:rsidRPr="00246717" w:rsidRDefault="008113A5" w:rsidP="000957D3">
      <w:pPr>
        <w:jc w:val="left"/>
        <w:rPr>
          <w:lang w:val="pl-PL"/>
        </w:rPr>
      </w:pPr>
      <w:r w:rsidRPr="00246717">
        <w:rPr>
          <w:lang w:val="pl-PL"/>
        </w:rPr>
        <w:br w:type="page"/>
      </w:r>
    </w:p>
    <w:p w14:paraId="60A977A3" w14:textId="77777777" w:rsidR="008113A5" w:rsidRPr="00246717" w:rsidRDefault="008113A5" w:rsidP="000957D3">
      <w:pPr>
        <w:pStyle w:val="JuInitialled"/>
        <w:rPr>
          <w:lang w:val="pl-PL"/>
        </w:rPr>
        <w:sectPr w:rsidR="008113A5" w:rsidRPr="00246717" w:rsidSect="001A099F">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14:paraId="605F89C5" w14:textId="77777777" w:rsidR="00623AB9" w:rsidRPr="00246717" w:rsidRDefault="00623AB9" w:rsidP="000957D3">
      <w:pPr>
        <w:pStyle w:val="ECHRTitleCentre1"/>
        <w:rPr>
          <w:lang w:val="pl-PL"/>
        </w:rPr>
      </w:pPr>
      <w:r w:rsidRPr="00246717">
        <w:rPr>
          <w:lang w:val="pl-PL"/>
        </w:rPr>
        <w:lastRenderedPageBreak/>
        <w:t>CZĘŚCIOWO ROZBIEŻNA OPINIA SĘDZIEGO BOŠNJAKA</w:t>
      </w:r>
    </w:p>
    <w:p w14:paraId="4C353770" w14:textId="41410D01"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\r1 </w:instrText>
      </w:r>
      <w:r w:rsidRPr="00246717">
        <w:rPr>
          <w:lang w:val="pl-PL"/>
        </w:rPr>
        <w:fldChar w:fldCharType="separate"/>
      </w:r>
      <w:r w:rsidR="00623AB9" w:rsidRPr="00246717">
        <w:rPr>
          <w:lang w:val="pl-PL"/>
        </w:rPr>
        <w:t>1</w:t>
      </w:r>
      <w:r w:rsidRPr="00246717">
        <w:rPr>
          <w:lang w:val="pl-PL"/>
        </w:rPr>
        <w:fldChar w:fldCharType="end"/>
      </w:r>
      <w:r w:rsidR="00623AB9" w:rsidRPr="00246717">
        <w:rPr>
          <w:lang w:val="pl-PL"/>
        </w:rPr>
        <w:t>.  </w:t>
      </w:r>
      <w:r w:rsidR="00F420C2">
        <w:rPr>
          <w:lang w:val="pl-PL"/>
        </w:rPr>
        <w:t>Wprawdzie</w:t>
      </w:r>
      <w:r w:rsidR="00623AB9" w:rsidRPr="00246717">
        <w:rPr>
          <w:lang w:val="pl-PL"/>
        </w:rPr>
        <w:t xml:space="preserve"> zgadzam się z większością składu orzekającego co do sformułowanego przez ni</w:t>
      </w:r>
      <w:r w:rsidR="00F420C2">
        <w:rPr>
          <w:lang w:val="pl-PL"/>
        </w:rPr>
        <w:t>ego</w:t>
      </w:r>
      <w:r w:rsidR="00623AB9" w:rsidRPr="00246717">
        <w:rPr>
          <w:lang w:val="pl-PL"/>
        </w:rPr>
        <w:t xml:space="preserve"> trzystopniowego testu mającego zastosowanie do oceny sytuacji w przypadkach, w których sąd </w:t>
      </w:r>
      <w:r w:rsidR="00F420C2">
        <w:rPr>
          <w:lang w:val="pl-PL"/>
        </w:rPr>
        <w:t xml:space="preserve">orzekający </w:t>
      </w:r>
      <w:r w:rsidR="00623AB9" w:rsidRPr="00246717">
        <w:rPr>
          <w:lang w:val="pl-PL"/>
        </w:rPr>
        <w:t>odmówił przesłuchania świadka w imieniu obrony (zob. par.</w:t>
      </w:r>
      <w:r w:rsidR="000D3898">
        <w:rPr>
          <w:lang w:val="pl-PL"/>
        </w:rPr>
        <w:t> </w:t>
      </w:r>
      <w:r w:rsidR="00623AB9" w:rsidRPr="00246717">
        <w:rPr>
          <w:lang w:val="pl-PL"/>
        </w:rPr>
        <w:t xml:space="preserve">158 niniejszego wyroku), </w:t>
      </w:r>
      <w:r w:rsidR="00B22F31">
        <w:rPr>
          <w:lang w:val="pl-PL"/>
        </w:rPr>
        <w:t>to jednak z ubolewaniem</w:t>
      </w:r>
      <w:r w:rsidR="00623AB9" w:rsidRPr="00246717">
        <w:rPr>
          <w:lang w:val="pl-PL"/>
        </w:rPr>
        <w:t xml:space="preserve"> nie mogę zgodzić się z </w:t>
      </w:r>
      <w:r w:rsidR="000D3898">
        <w:rPr>
          <w:lang w:val="pl-PL"/>
        </w:rPr>
        <w:t>poczynionymi przezeń</w:t>
      </w:r>
      <w:r w:rsidR="00623AB9" w:rsidRPr="00246717">
        <w:rPr>
          <w:lang w:val="pl-PL"/>
        </w:rPr>
        <w:t xml:space="preserve"> wnioskami, zgodnie z którymi nie doszło do naruszenia art</w:t>
      </w:r>
      <w:r w:rsidR="008E6B06">
        <w:rPr>
          <w:lang w:val="pl-PL"/>
        </w:rPr>
        <w:t>.</w:t>
      </w:r>
      <w:r w:rsidR="000D3898">
        <w:rPr>
          <w:lang w:val="pl-PL"/>
        </w:rPr>
        <w:t> </w:t>
      </w:r>
      <w:r w:rsidR="00623AB9" w:rsidRPr="00246717">
        <w:rPr>
          <w:lang w:val="pl-PL"/>
        </w:rPr>
        <w:t>6 ust.</w:t>
      </w:r>
      <w:r w:rsidR="000D3898">
        <w:rPr>
          <w:lang w:val="pl-PL"/>
        </w:rPr>
        <w:t> </w:t>
      </w:r>
      <w:r w:rsidR="00623AB9" w:rsidRPr="00246717">
        <w:rPr>
          <w:lang w:val="pl-PL"/>
        </w:rPr>
        <w:t>1 i 3 lit.</w:t>
      </w:r>
      <w:r w:rsidR="000D3898">
        <w:rPr>
          <w:lang w:val="pl-PL"/>
        </w:rPr>
        <w:t> </w:t>
      </w:r>
      <w:r w:rsidR="00623AB9" w:rsidRPr="00246717">
        <w:rPr>
          <w:lang w:val="pl-PL"/>
        </w:rPr>
        <w:t xml:space="preserve">d Konwencji w odniesieniu do </w:t>
      </w:r>
      <w:r w:rsidR="00B22F31">
        <w:rPr>
          <w:lang w:val="pl-PL"/>
        </w:rPr>
        <w:t>oddalenia przez</w:t>
      </w:r>
      <w:r w:rsidR="00623AB9" w:rsidRPr="00246717">
        <w:rPr>
          <w:lang w:val="pl-PL"/>
        </w:rPr>
        <w:t xml:space="preserve"> sądy krajowe </w:t>
      </w:r>
      <w:r w:rsidR="00B22F31">
        <w:rPr>
          <w:lang w:val="pl-PL"/>
        </w:rPr>
        <w:t>wniosku o</w:t>
      </w:r>
      <w:r w:rsidR="00B22F31" w:rsidRPr="00246717">
        <w:rPr>
          <w:lang w:val="pl-PL"/>
        </w:rPr>
        <w:t xml:space="preserve"> </w:t>
      </w:r>
      <w:r w:rsidR="00623AB9" w:rsidRPr="00246717">
        <w:rPr>
          <w:lang w:val="pl-PL"/>
        </w:rPr>
        <w:t>przesłuchani</w:t>
      </w:r>
      <w:r w:rsidR="00B22F31">
        <w:rPr>
          <w:lang w:val="pl-PL"/>
        </w:rPr>
        <w:t>e</w:t>
      </w:r>
      <w:r w:rsidR="00623AB9" w:rsidRPr="00246717">
        <w:rPr>
          <w:lang w:val="pl-PL"/>
        </w:rPr>
        <w:t xml:space="preserve"> świadków B. i K. (dalej zwanych również świadkami</w:t>
      </w:r>
      <w:r w:rsidR="00B22F31">
        <w:rPr>
          <w:lang w:val="pl-PL"/>
        </w:rPr>
        <w:t xml:space="preserve"> przybranymi</w:t>
      </w:r>
      <w:r w:rsidR="00623AB9" w:rsidRPr="00246717">
        <w:rPr>
          <w:lang w:val="pl-PL"/>
        </w:rPr>
        <w:t>). W niniejszej odrębnej opinii pragnę a) wyjaśnić moje stanowisko w odniesieniu do przesłanek trzystopniowego testu i b) przedstawić powody, dla których zastosowanie tych przesłanek do niniejszej sprawy powinno prowadzić do stwierdzenia naruszenia.</w:t>
      </w:r>
    </w:p>
    <w:p w14:paraId="309C9A9B" w14:textId="3077635E" w:rsidR="00623AB9" w:rsidRPr="00246717" w:rsidRDefault="00623AB9" w:rsidP="000957D3">
      <w:pPr>
        <w:pStyle w:val="OpiH1"/>
        <w:rPr>
          <w:lang w:val="pl-PL"/>
        </w:rPr>
      </w:pPr>
      <w:r w:rsidRPr="00246717">
        <w:rPr>
          <w:lang w:val="pl-PL"/>
        </w:rPr>
        <w:t>I.</w:t>
      </w:r>
      <w:r w:rsidR="000D3898">
        <w:rPr>
          <w:lang w:val="pl-PL"/>
        </w:rPr>
        <w:t>  </w:t>
      </w:r>
      <w:r w:rsidRPr="00246717">
        <w:rPr>
          <w:lang w:val="pl-PL"/>
        </w:rPr>
        <w:t>Test trzystopniowy</w:t>
      </w:r>
    </w:p>
    <w:p w14:paraId="02E3FAC3" w14:textId="018728CA"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2</w:t>
      </w:r>
      <w:r w:rsidRPr="00246717">
        <w:rPr>
          <w:lang w:val="pl-PL"/>
        </w:rPr>
        <w:fldChar w:fldCharType="end"/>
      </w:r>
      <w:r w:rsidR="00623AB9" w:rsidRPr="00246717">
        <w:rPr>
          <w:lang w:val="pl-PL"/>
        </w:rPr>
        <w:t>.  Prawo do wezwania świadka w imieniu obrony jest jednym z</w:t>
      </w:r>
      <w:r w:rsidR="000D3898">
        <w:rPr>
          <w:lang w:val="pl-PL"/>
        </w:rPr>
        <w:t> </w:t>
      </w:r>
      <w:r w:rsidR="00623AB9" w:rsidRPr="00246717">
        <w:rPr>
          <w:lang w:val="pl-PL"/>
        </w:rPr>
        <w:t>kluczowych elementów wpisujących się w wymogi rzetelnego postępowania przewidzianego w art.</w:t>
      </w:r>
      <w:r w:rsidR="000D3898">
        <w:rPr>
          <w:lang w:val="pl-PL"/>
        </w:rPr>
        <w:t> </w:t>
      </w:r>
      <w:r w:rsidR="00623AB9" w:rsidRPr="00246717">
        <w:rPr>
          <w:lang w:val="pl-PL"/>
        </w:rPr>
        <w:t xml:space="preserve">6 jako całości. W swoim orzecznictwie nasz Trybunał kładzie nacisk na to, że prawo do rzetelnego procesu zajmuje w społeczeństwie demokratycznym tak </w:t>
      </w:r>
      <w:r w:rsidR="000D3898">
        <w:rPr>
          <w:lang w:val="pl-PL"/>
        </w:rPr>
        <w:t>istotne</w:t>
      </w:r>
      <w:r w:rsidR="00623AB9" w:rsidRPr="00246717">
        <w:rPr>
          <w:lang w:val="pl-PL"/>
        </w:rPr>
        <w:t xml:space="preserve"> miejsce, że nie ma uzasadnienia dla zawężającej wykładni art.</w:t>
      </w:r>
      <w:r w:rsidR="000D3898">
        <w:rPr>
          <w:lang w:val="pl-PL"/>
        </w:rPr>
        <w:t> </w:t>
      </w:r>
      <w:r w:rsidR="00623AB9" w:rsidRPr="00246717">
        <w:rPr>
          <w:lang w:val="pl-PL"/>
        </w:rPr>
        <w:t>6 ust.</w:t>
      </w:r>
      <w:r w:rsidR="000D3898">
        <w:rPr>
          <w:lang w:val="pl-PL"/>
        </w:rPr>
        <w:t> </w:t>
      </w:r>
      <w:r w:rsidR="00623AB9" w:rsidRPr="00246717">
        <w:rPr>
          <w:lang w:val="pl-PL"/>
        </w:rPr>
        <w:t>1 Konwencji.</w:t>
      </w:r>
      <w:r w:rsidR="00623AB9" w:rsidRPr="00246717">
        <w:rPr>
          <w:vertAlign w:val="superscript"/>
          <w:lang w:val="pl-PL"/>
        </w:rPr>
        <w:footnoteReference w:id="2"/>
      </w:r>
      <w:r w:rsidR="00623AB9" w:rsidRPr="00246717">
        <w:rPr>
          <w:lang w:val="pl-PL"/>
        </w:rPr>
        <w:t xml:space="preserve"> </w:t>
      </w:r>
      <w:r w:rsidR="00B22F31">
        <w:rPr>
          <w:lang w:val="pl-PL"/>
        </w:rPr>
        <w:t>Tym bardziej d</w:t>
      </w:r>
      <w:r w:rsidR="00B22F31" w:rsidRPr="00246717">
        <w:rPr>
          <w:lang w:val="pl-PL"/>
        </w:rPr>
        <w:t xml:space="preserve">otyczy </w:t>
      </w:r>
      <w:r w:rsidR="00623AB9" w:rsidRPr="00246717">
        <w:rPr>
          <w:lang w:val="pl-PL"/>
        </w:rPr>
        <w:t>to praw zagwarantowanych przez art.</w:t>
      </w:r>
      <w:r w:rsidR="000D3898">
        <w:rPr>
          <w:lang w:val="pl-PL"/>
        </w:rPr>
        <w:t> </w:t>
      </w:r>
      <w:r w:rsidR="00623AB9" w:rsidRPr="00246717">
        <w:rPr>
          <w:lang w:val="pl-PL"/>
        </w:rPr>
        <w:t>6 ust.</w:t>
      </w:r>
      <w:r w:rsidR="000D3898">
        <w:rPr>
          <w:lang w:val="pl-PL"/>
        </w:rPr>
        <w:t> </w:t>
      </w:r>
      <w:r w:rsidR="00623AB9" w:rsidRPr="00246717">
        <w:rPr>
          <w:lang w:val="pl-PL"/>
        </w:rPr>
        <w:t>3, ponieważ są one w sposób wyraźny uznawane za „prawa minimalne”. Oprócz tych praw Trybunał wpisuje w art.</w:t>
      </w:r>
      <w:r w:rsidR="000D3898">
        <w:rPr>
          <w:lang w:val="pl-PL"/>
        </w:rPr>
        <w:t> </w:t>
      </w:r>
      <w:r w:rsidR="00623AB9" w:rsidRPr="00246717">
        <w:rPr>
          <w:lang w:val="pl-PL"/>
        </w:rPr>
        <w:t>6 ust.</w:t>
      </w:r>
      <w:r w:rsidR="000D3898">
        <w:rPr>
          <w:lang w:val="pl-PL"/>
        </w:rPr>
        <w:t> </w:t>
      </w:r>
      <w:r w:rsidR="00623AB9" w:rsidRPr="00246717">
        <w:rPr>
          <w:lang w:val="pl-PL"/>
        </w:rPr>
        <w:t>1 kilka innych praw, które są uznawane za podstawowe dla koncepcji rzetelnego procesu, między innymi prawo do przedstawienia sprawy przed sądem i skutecznego uczestniczenia w rozprawie,</w:t>
      </w:r>
      <w:r w:rsidR="00623AB9" w:rsidRPr="00246717">
        <w:rPr>
          <w:vertAlign w:val="superscript"/>
          <w:lang w:val="pl-PL"/>
        </w:rPr>
        <w:footnoteReference w:id="3"/>
      </w:r>
      <w:r w:rsidR="00623AB9" w:rsidRPr="00246717">
        <w:rPr>
          <w:lang w:val="pl-PL"/>
        </w:rPr>
        <w:t xml:space="preserve"> równości stron i przywileju wolności od samooskarżenia</w:t>
      </w:r>
      <w:r w:rsidR="00623AB9" w:rsidRPr="00246717">
        <w:rPr>
          <w:rStyle w:val="Odwoanieprzypisudolnego"/>
          <w:lang w:val="pl-PL"/>
        </w:rPr>
        <w:footnoteReference w:id="4"/>
      </w:r>
      <w:r w:rsidR="00623AB9" w:rsidRPr="00246717">
        <w:rPr>
          <w:lang w:val="pl-PL"/>
        </w:rPr>
        <w:t>. W rezultacie prawu przewidzianemu w art.</w:t>
      </w:r>
      <w:r w:rsidR="000D3898">
        <w:rPr>
          <w:lang w:val="pl-PL"/>
        </w:rPr>
        <w:t> </w:t>
      </w:r>
      <w:r w:rsidR="00623AB9" w:rsidRPr="00246717">
        <w:rPr>
          <w:lang w:val="pl-PL"/>
        </w:rPr>
        <w:t>6 ust.</w:t>
      </w:r>
      <w:r w:rsidR="000D3898">
        <w:rPr>
          <w:lang w:val="pl-PL"/>
        </w:rPr>
        <w:t> </w:t>
      </w:r>
      <w:r w:rsidR="00623AB9" w:rsidRPr="00246717">
        <w:rPr>
          <w:lang w:val="pl-PL"/>
        </w:rPr>
        <w:t>3 lit.</w:t>
      </w:r>
      <w:r w:rsidR="000D3898">
        <w:rPr>
          <w:lang w:val="pl-PL"/>
        </w:rPr>
        <w:t> </w:t>
      </w:r>
      <w:r w:rsidR="00623AB9" w:rsidRPr="00246717">
        <w:rPr>
          <w:lang w:val="pl-PL"/>
        </w:rPr>
        <w:t>d nie należy nadawać wykładni zawężającej ani interpretować w oderwaniu od pozostałych gwarancji rzetelnego procesu.</w:t>
      </w:r>
    </w:p>
    <w:p w14:paraId="7F17C521" w14:textId="67556701" w:rsidR="00623AB9" w:rsidRPr="00246717" w:rsidRDefault="00623AB9" w:rsidP="000957D3">
      <w:pPr>
        <w:pStyle w:val="OpiHa0"/>
        <w:rPr>
          <w:lang w:val="pl-PL"/>
        </w:rPr>
      </w:pPr>
      <w:r w:rsidRPr="00246717">
        <w:rPr>
          <w:lang w:val="pl-PL"/>
        </w:rPr>
        <w:t>a)</w:t>
      </w:r>
      <w:r w:rsidR="000D3898">
        <w:rPr>
          <w:lang w:val="pl-PL"/>
        </w:rPr>
        <w:t>  </w:t>
      </w:r>
      <w:r w:rsidRPr="00246717">
        <w:rPr>
          <w:lang w:val="pl-PL"/>
        </w:rPr>
        <w:t>Wniosek obrony o przesłuchanie świadka</w:t>
      </w:r>
    </w:p>
    <w:p w14:paraId="4DF28F55" w14:textId="04782C22"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3</w:t>
      </w:r>
      <w:r w:rsidRPr="00246717">
        <w:rPr>
          <w:lang w:val="pl-PL"/>
        </w:rPr>
        <w:fldChar w:fldCharType="end"/>
      </w:r>
      <w:r w:rsidR="00623AB9" w:rsidRPr="00246717">
        <w:rPr>
          <w:lang w:val="pl-PL"/>
        </w:rPr>
        <w:t xml:space="preserve">.  Trzystopniowy test sformułowany przez Trybunał w niniejszej sprawie jako pierwsze zawiera pytanie o to, czy wniosek obrony dotyczący przesłuchania świadka był wystarczająco uzasadniony i </w:t>
      </w:r>
      <w:r w:rsidR="00B22F31">
        <w:rPr>
          <w:lang w:val="pl-PL"/>
        </w:rPr>
        <w:t>miał znaczenie</w:t>
      </w:r>
      <w:r w:rsidR="00B22F31" w:rsidRPr="00246717">
        <w:rPr>
          <w:lang w:val="pl-PL"/>
        </w:rPr>
        <w:t xml:space="preserve"> </w:t>
      </w:r>
      <w:r w:rsidR="00623AB9" w:rsidRPr="00246717">
        <w:rPr>
          <w:lang w:val="pl-PL"/>
        </w:rPr>
        <w:t xml:space="preserve">dla </w:t>
      </w:r>
      <w:r w:rsidR="00623AB9" w:rsidRPr="00246717">
        <w:rPr>
          <w:lang w:val="pl-PL"/>
        </w:rPr>
        <w:lastRenderedPageBreak/>
        <w:t>przedmiotu oskarżenia. Jak opisano w par.</w:t>
      </w:r>
      <w:r w:rsidR="00EB6BD0">
        <w:rPr>
          <w:lang w:val="pl-PL"/>
        </w:rPr>
        <w:t> </w:t>
      </w:r>
      <w:r w:rsidR="00623AB9" w:rsidRPr="00246717">
        <w:rPr>
          <w:lang w:val="pl-PL"/>
        </w:rPr>
        <w:t xml:space="preserve">160 wyroku, koncepcja znaczenia obejmuje nie tylko wnioski obrony dotyczące wzywania świadków mogących wpłynąć na wynik procesu, ale też innych świadków, których </w:t>
      </w:r>
      <w:r w:rsidR="00B22F31">
        <w:rPr>
          <w:lang w:val="pl-PL"/>
        </w:rPr>
        <w:t>zeznanie – jak można zasadnie</w:t>
      </w:r>
      <w:r w:rsidR="00623AB9" w:rsidRPr="00246717">
        <w:rPr>
          <w:lang w:val="pl-PL"/>
        </w:rPr>
        <w:t xml:space="preserve"> oczekiwać </w:t>
      </w:r>
      <w:r w:rsidR="00B22F31">
        <w:rPr>
          <w:lang w:val="pl-PL"/>
        </w:rPr>
        <w:t xml:space="preserve">– może </w:t>
      </w:r>
      <w:r w:rsidR="00B22F31" w:rsidRPr="00246717">
        <w:rPr>
          <w:lang w:val="pl-PL"/>
        </w:rPr>
        <w:t>wzmocn</w:t>
      </w:r>
      <w:r w:rsidR="00B22F31">
        <w:rPr>
          <w:lang w:val="pl-PL"/>
        </w:rPr>
        <w:t>ić</w:t>
      </w:r>
      <w:r w:rsidR="00B22F31" w:rsidRPr="00246717">
        <w:rPr>
          <w:lang w:val="pl-PL"/>
        </w:rPr>
        <w:t xml:space="preserve"> </w:t>
      </w:r>
      <w:r w:rsidR="00623AB9" w:rsidRPr="00246717">
        <w:rPr>
          <w:lang w:val="pl-PL"/>
        </w:rPr>
        <w:t>pozycj</w:t>
      </w:r>
      <w:r w:rsidR="00B22F31">
        <w:rPr>
          <w:lang w:val="pl-PL"/>
        </w:rPr>
        <w:t>ę</w:t>
      </w:r>
      <w:r w:rsidR="00623AB9" w:rsidRPr="00246717">
        <w:rPr>
          <w:lang w:val="pl-PL"/>
        </w:rPr>
        <w:t xml:space="preserve"> obrony. Z</w:t>
      </w:r>
      <w:r w:rsidR="00EB6BD0">
        <w:rPr>
          <w:lang w:val="pl-PL"/>
        </w:rPr>
        <w:t> </w:t>
      </w:r>
      <w:r w:rsidR="00623AB9" w:rsidRPr="00246717">
        <w:rPr>
          <w:lang w:val="pl-PL"/>
        </w:rPr>
        <w:t xml:space="preserve">zadowoleniem przyjmuję tę szerszą definicję znaczenia. W szczególności oskarżony może skorzystać na pewnych decyzjach wpływających na przebieg postępowania, chociaż ich potencjalny wpływ na wynik procesu lub ich związek z treścią zarzutu nie jest rozstrzygający (na przykład kwestia zdolności oskarżonego do wzięcia </w:t>
      </w:r>
      <w:r w:rsidR="00EB6BD0">
        <w:rPr>
          <w:lang w:val="pl-PL"/>
        </w:rPr>
        <w:t>uczestniczenia w procesie</w:t>
      </w:r>
      <w:r w:rsidR="00623AB9" w:rsidRPr="00246717">
        <w:rPr>
          <w:lang w:val="pl-PL"/>
        </w:rPr>
        <w:t>, dopuszczalności dowodów).</w:t>
      </w:r>
    </w:p>
    <w:p w14:paraId="6D718286" w14:textId="438F2E6A"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4</w:t>
      </w:r>
      <w:r w:rsidRPr="00246717">
        <w:rPr>
          <w:lang w:val="pl-PL"/>
        </w:rPr>
        <w:fldChar w:fldCharType="end"/>
      </w:r>
      <w:r w:rsidR="00623AB9" w:rsidRPr="00246717">
        <w:rPr>
          <w:lang w:val="pl-PL"/>
        </w:rPr>
        <w:t xml:space="preserve">.  Chociaż od sądu </w:t>
      </w:r>
      <w:r w:rsidR="00B22F31">
        <w:rPr>
          <w:lang w:val="pl-PL"/>
        </w:rPr>
        <w:t>orzekającego</w:t>
      </w:r>
      <w:r w:rsidR="00623AB9" w:rsidRPr="00246717">
        <w:rPr>
          <w:lang w:val="pl-PL"/>
        </w:rPr>
        <w:t xml:space="preserve"> nie należy oczekiwać, że wysłucha wszystkich zeznań, o które wnosi obrona, podejmowanie przez niego </w:t>
      </w:r>
      <w:r w:rsidR="00B22F31">
        <w:rPr>
          <w:lang w:val="pl-PL"/>
        </w:rPr>
        <w:t>rozstrzygnięć</w:t>
      </w:r>
      <w:r w:rsidR="00B22F31" w:rsidRPr="00246717">
        <w:rPr>
          <w:lang w:val="pl-PL"/>
        </w:rPr>
        <w:t xml:space="preserve"> </w:t>
      </w:r>
      <w:r w:rsidR="00623AB9" w:rsidRPr="00246717">
        <w:rPr>
          <w:lang w:val="pl-PL"/>
        </w:rPr>
        <w:t>w sprawie wniosków obrony powinno uwzględniać między innymi wymóg równości stron, skutecznego uczestnictwa i prawa do zachowania milczenia. Przedstawiając wniosek o zapoznanie się z dowodami obron</w:t>
      </w:r>
      <w:r w:rsidR="00D35F27">
        <w:rPr>
          <w:lang w:val="pl-PL"/>
        </w:rPr>
        <w:t>ę należy traktować</w:t>
      </w:r>
      <w:r w:rsidR="00623AB9" w:rsidRPr="00246717">
        <w:rPr>
          <w:lang w:val="pl-PL"/>
        </w:rPr>
        <w:t xml:space="preserve"> na równi z oskarżeniem. Wymóg ten musi zostać też wywiedziony z samego postanowienia </w:t>
      </w:r>
      <w:r w:rsidR="007F1665">
        <w:rPr>
          <w:lang w:val="pl-PL"/>
        </w:rPr>
        <w:t>art. </w:t>
      </w:r>
      <w:r w:rsidR="00623AB9" w:rsidRPr="00246717">
        <w:rPr>
          <w:lang w:val="pl-PL"/>
        </w:rPr>
        <w:t>6 ust.</w:t>
      </w:r>
      <w:r w:rsidR="007F1665">
        <w:rPr>
          <w:lang w:val="pl-PL"/>
        </w:rPr>
        <w:t> </w:t>
      </w:r>
      <w:r w:rsidR="00623AB9" w:rsidRPr="00246717">
        <w:rPr>
          <w:lang w:val="pl-PL"/>
        </w:rPr>
        <w:t>3 lit.</w:t>
      </w:r>
      <w:r w:rsidR="007F1665">
        <w:rPr>
          <w:lang w:val="pl-PL"/>
        </w:rPr>
        <w:t> </w:t>
      </w:r>
      <w:r w:rsidR="00623AB9" w:rsidRPr="00246717">
        <w:rPr>
          <w:lang w:val="pl-PL"/>
        </w:rPr>
        <w:t xml:space="preserve">d, </w:t>
      </w:r>
      <w:r w:rsidR="00D35F27">
        <w:rPr>
          <w:lang w:val="pl-PL"/>
        </w:rPr>
        <w:t>z którego wynika</w:t>
      </w:r>
      <w:r w:rsidR="00623AB9" w:rsidRPr="00246717">
        <w:rPr>
          <w:lang w:val="pl-PL"/>
        </w:rPr>
        <w:t xml:space="preserve">, że stawiennictwo świadków w imieniu obrony ma zostać zapewnione na takich samych warunkach, co w przypadku świadków oskarżenia. Przepisy prawa krajowego i praktyka sądów krajowych z pewnością nie powinny obarczać obrony ciężarem </w:t>
      </w:r>
      <w:r w:rsidR="00D35F27" w:rsidRPr="00246717">
        <w:rPr>
          <w:lang w:val="pl-PL"/>
        </w:rPr>
        <w:t>u</w:t>
      </w:r>
      <w:r w:rsidR="00D35F27">
        <w:rPr>
          <w:lang w:val="pl-PL"/>
        </w:rPr>
        <w:t>zasadnienia</w:t>
      </w:r>
      <w:r w:rsidR="00D35F27" w:rsidRPr="00246717">
        <w:rPr>
          <w:lang w:val="pl-PL"/>
        </w:rPr>
        <w:t xml:space="preserve"> </w:t>
      </w:r>
      <w:r w:rsidR="00623AB9" w:rsidRPr="00246717">
        <w:rPr>
          <w:lang w:val="pl-PL"/>
        </w:rPr>
        <w:t xml:space="preserve">znaczenia jej wniosku i dostarczenia powodów w szerszym zakresie, niż </w:t>
      </w:r>
      <w:r w:rsidR="00D35F27">
        <w:rPr>
          <w:lang w:val="pl-PL"/>
        </w:rPr>
        <w:t xml:space="preserve">jest to </w:t>
      </w:r>
      <w:r w:rsidR="00623AB9" w:rsidRPr="00246717">
        <w:rPr>
          <w:lang w:val="pl-PL"/>
        </w:rPr>
        <w:t>wymagan</w:t>
      </w:r>
      <w:r w:rsidR="00D35F27">
        <w:rPr>
          <w:lang w:val="pl-PL"/>
        </w:rPr>
        <w:t>e</w:t>
      </w:r>
      <w:r w:rsidR="00623AB9" w:rsidRPr="00246717">
        <w:rPr>
          <w:lang w:val="pl-PL"/>
        </w:rPr>
        <w:t xml:space="preserve"> od oskarżenia. Należy zauważyć, że w pewnych, a nawet w wielu, systemach prawnych od oskarżenia nie wymaga się uzasadniania wniosków dotyczących przesłuchań świadków (przynajmniej nie przed rozpoczęciem </w:t>
      </w:r>
      <w:r w:rsidR="00D35F27">
        <w:rPr>
          <w:lang w:val="pl-PL"/>
        </w:rPr>
        <w:t>przewodu sądowego</w:t>
      </w:r>
      <w:r w:rsidR="00623AB9" w:rsidRPr="00246717">
        <w:rPr>
          <w:lang w:val="pl-PL"/>
        </w:rPr>
        <w:t xml:space="preserve">), co z kolei powinno skłaniać do przyjęcia podobnego </w:t>
      </w:r>
      <w:r w:rsidR="00D35F27">
        <w:rPr>
          <w:lang w:val="pl-PL"/>
        </w:rPr>
        <w:t>stanowiska</w:t>
      </w:r>
      <w:r w:rsidR="00D35F27" w:rsidRPr="00246717">
        <w:rPr>
          <w:lang w:val="pl-PL"/>
        </w:rPr>
        <w:t xml:space="preserve"> </w:t>
      </w:r>
      <w:r w:rsidR="00623AB9" w:rsidRPr="00246717">
        <w:rPr>
          <w:lang w:val="pl-PL"/>
        </w:rPr>
        <w:t>w</w:t>
      </w:r>
      <w:r w:rsidR="007F1665">
        <w:rPr>
          <w:lang w:val="pl-PL"/>
        </w:rPr>
        <w:t> </w:t>
      </w:r>
      <w:r w:rsidR="00623AB9" w:rsidRPr="00246717">
        <w:rPr>
          <w:lang w:val="pl-PL"/>
        </w:rPr>
        <w:t>przypadku rozpatrywania wniosków obrony.</w:t>
      </w:r>
    </w:p>
    <w:p w14:paraId="36A935EF" w14:textId="78DF12CA"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5</w:t>
      </w:r>
      <w:r w:rsidRPr="00246717">
        <w:rPr>
          <w:lang w:val="pl-PL"/>
        </w:rPr>
        <w:fldChar w:fldCharType="end"/>
      </w:r>
      <w:r w:rsidR="00623AB9" w:rsidRPr="00246717">
        <w:rPr>
          <w:lang w:val="pl-PL"/>
        </w:rPr>
        <w:t>.  Chociaż zrozumiałe jest, że są</w:t>
      </w:r>
      <w:r w:rsidR="007F1665">
        <w:rPr>
          <w:lang w:val="pl-PL"/>
        </w:rPr>
        <w:t>d</w:t>
      </w:r>
      <w:r w:rsidR="00623AB9" w:rsidRPr="00246717">
        <w:rPr>
          <w:lang w:val="pl-PL"/>
        </w:rPr>
        <w:t xml:space="preserve"> </w:t>
      </w:r>
      <w:r w:rsidR="00D35F27">
        <w:rPr>
          <w:lang w:val="pl-PL"/>
        </w:rPr>
        <w:t>orzekający</w:t>
      </w:r>
      <w:r w:rsidR="00623AB9" w:rsidRPr="00246717">
        <w:rPr>
          <w:lang w:val="pl-PL"/>
        </w:rPr>
        <w:t xml:space="preserve"> powinien </w:t>
      </w:r>
      <w:r w:rsidR="00D35F27">
        <w:rPr>
          <w:lang w:val="pl-PL"/>
        </w:rPr>
        <w:t>przeprowadzać jedynie te dowody</w:t>
      </w:r>
      <w:r w:rsidR="00623AB9" w:rsidRPr="00246717">
        <w:rPr>
          <w:lang w:val="pl-PL"/>
        </w:rPr>
        <w:t xml:space="preserve">, które </w:t>
      </w:r>
      <w:r w:rsidR="00D35F27">
        <w:rPr>
          <w:lang w:val="pl-PL"/>
        </w:rPr>
        <w:t>mają znaczenie</w:t>
      </w:r>
      <w:r w:rsidR="00623AB9" w:rsidRPr="00246717">
        <w:rPr>
          <w:lang w:val="pl-PL"/>
        </w:rPr>
        <w:t xml:space="preserve"> i że od obrony można oczekiwać, z zastrzeżeniem punk</w:t>
      </w:r>
      <w:r w:rsidR="007F1665">
        <w:rPr>
          <w:lang w:val="pl-PL"/>
        </w:rPr>
        <w:t>tu</w:t>
      </w:r>
      <w:r w:rsidR="00623AB9" w:rsidRPr="00246717">
        <w:rPr>
          <w:lang w:val="pl-PL"/>
        </w:rPr>
        <w:t xml:space="preserve"> 4 rozbieżnej opinii, przedstawienia wystarczających powodów dla </w:t>
      </w:r>
      <w:r w:rsidR="007F1665">
        <w:rPr>
          <w:lang w:val="pl-PL"/>
        </w:rPr>
        <w:t>zgłoszonych przezeń</w:t>
      </w:r>
      <w:r w:rsidR="00623AB9" w:rsidRPr="00246717">
        <w:rPr>
          <w:lang w:val="pl-PL"/>
        </w:rPr>
        <w:t xml:space="preserve"> wniosków w tym względzie, nie należy ograniczać koncepcji znaczenia do tych dowodów, które </w:t>
      </w:r>
      <w:r w:rsidR="00D35F27">
        <w:rPr>
          <w:lang w:val="pl-PL"/>
        </w:rPr>
        <w:t xml:space="preserve">samodzielnie </w:t>
      </w:r>
      <w:r w:rsidR="00623AB9" w:rsidRPr="00246717">
        <w:rPr>
          <w:lang w:val="pl-PL"/>
        </w:rPr>
        <w:t xml:space="preserve">mogłyby </w:t>
      </w:r>
      <w:r w:rsidR="00D35F27">
        <w:rPr>
          <w:lang w:val="pl-PL"/>
        </w:rPr>
        <w:t>mieć wpływ na</w:t>
      </w:r>
      <w:r w:rsidR="00D35F27" w:rsidRPr="00246717">
        <w:rPr>
          <w:lang w:val="pl-PL"/>
        </w:rPr>
        <w:t xml:space="preserve"> </w:t>
      </w:r>
      <w:r w:rsidR="00D35F27">
        <w:rPr>
          <w:lang w:val="pl-PL"/>
        </w:rPr>
        <w:t>prze</w:t>
      </w:r>
      <w:r w:rsidR="00623AB9" w:rsidRPr="00246717">
        <w:rPr>
          <w:lang w:val="pl-PL"/>
        </w:rPr>
        <w:t xml:space="preserve">bieg lub wynik postępowania. W tym miejscu pragnę zwrócić uwagę czytelnika na </w:t>
      </w:r>
      <w:r w:rsidR="00D35F27">
        <w:rPr>
          <w:lang w:val="pl-PL"/>
        </w:rPr>
        <w:t>r</w:t>
      </w:r>
      <w:r w:rsidR="00623AB9" w:rsidRPr="00246717">
        <w:rPr>
          <w:lang w:val="pl-PL"/>
        </w:rPr>
        <w:t>egułę</w:t>
      </w:r>
      <w:r w:rsidR="007F1665">
        <w:rPr>
          <w:lang w:val="pl-PL"/>
        </w:rPr>
        <w:t> </w:t>
      </w:r>
      <w:r w:rsidR="00623AB9" w:rsidRPr="00246717">
        <w:rPr>
          <w:lang w:val="pl-PL"/>
        </w:rPr>
        <w:t xml:space="preserve">401 </w:t>
      </w:r>
      <w:r w:rsidR="00D35F27">
        <w:rPr>
          <w:lang w:val="pl-PL"/>
        </w:rPr>
        <w:t>f</w:t>
      </w:r>
      <w:r w:rsidR="00623AB9" w:rsidRPr="00246717">
        <w:rPr>
          <w:lang w:val="pl-PL"/>
        </w:rPr>
        <w:t xml:space="preserve">ederalnych </w:t>
      </w:r>
      <w:r w:rsidR="00D35F27">
        <w:rPr>
          <w:lang w:val="pl-PL"/>
        </w:rPr>
        <w:t>r</w:t>
      </w:r>
      <w:r w:rsidR="00623AB9" w:rsidRPr="00246717">
        <w:rPr>
          <w:lang w:val="pl-PL"/>
        </w:rPr>
        <w:t xml:space="preserve">eguł </w:t>
      </w:r>
      <w:r w:rsidR="00D35F27">
        <w:rPr>
          <w:lang w:val="pl-PL"/>
        </w:rPr>
        <w:t>d</w:t>
      </w:r>
      <w:r w:rsidR="00623AB9" w:rsidRPr="00246717">
        <w:rPr>
          <w:lang w:val="pl-PL"/>
        </w:rPr>
        <w:t>owodowych Stanów Zjednoczonych</w:t>
      </w:r>
      <w:r w:rsidR="00D35F27">
        <w:rPr>
          <w:lang w:val="pl-PL"/>
        </w:rPr>
        <w:t xml:space="preserve">, zgodnie z którą </w:t>
      </w:r>
      <w:r w:rsidR="00623AB9" w:rsidRPr="00246717">
        <w:rPr>
          <w:lang w:val="pl-PL"/>
        </w:rPr>
        <w:t xml:space="preserve">dowód jest </w:t>
      </w:r>
      <w:r w:rsidR="00D35F27">
        <w:rPr>
          <w:lang w:val="pl-PL"/>
        </w:rPr>
        <w:t>ma znaczenie</w:t>
      </w:r>
      <w:r w:rsidR="00623AB9" w:rsidRPr="00246717">
        <w:rPr>
          <w:lang w:val="pl-PL"/>
        </w:rPr>
        <w:t xml:space="preserve">, jeśli </w:t>
      </w:r>
      <w:r w:rsidR="00623AB9" w:rsidRPr="00246717">
        <w:rPr>
          <w:color w:val="333333"/>
          <w:lang w:val="pl-PL"/>
        </w:rPr>
        <w:t xml:space="preserve">a) </w:t>
      </w:r>
      <w:r w:rsidR="00E55514">
        <w:rPr>
          <w:color w:val="333333"/>
          <w:lang w:val="pl-PL"/>
        </w:rPr>
        <w:t>może</w:t>
      </w:r>
      <w:r w:rsidR="00623AB9" w:rsidRPr="00246717">
        <w:rPr>
          <w:color w:val="333333"/>
          <w:lang w:val="pl-PL"/>
        </w:rPr>
        <w:t xml:space="preserve"> </w:t>
      </w:r>
      <w:r w:rsidR="00E55514">
        <w:rPr>
          <w:color w:val="333333"/>
          <w:lang w:val="pl-PL"/>
        </w:rPr>
        <w:t>uprawdopodobnić daną</w:t>
      </w:r>
      <w:r w:rsidR="00623AB9" w:rsidRPr="00246717">
        <w:rPr>
          <w:color w:val="333333"/>
          <w:lang w:val="pl-PL"/>
        </w:rPr>
        <w:t xml:space="preserve"> </w:t>
      </w:r>
      <w:r w:rsidR="00E55514">
        <w:rPr>
          <w:color w:val="333333"/>
          <w:lang w:val="pl-PL"/>
        </w:rPr>
        <w:t>okoliczność w</w:t>
      </w:r>
      <w:r w:rsidR="00E55514" w:rsidRPr="00246717">
        <w:rPr>
          <w:color w:val="333333"/>
          <w:lang w:val="pl-PL"/>
        </w:rPr>
        <w:t xml:space="preserve"> </w:t>
      </w:r>
      <w:r w:rsidR="00EF05D2">
        <w:rPr>
          <w:color w:val="333333"/>
          <w:lang w:val="pl-PL"/>
        </w:rPr>
        <w:t xml:space="preserve">stopniu </w:t>
      </w:r>
      <w:r w:rsidR="00E55514">
        <w:rPr>
          <w:color w:val="333333"/>
          <w:lang w:val="pl-PL"/>
        </w:rPr>
        <w:t xml:space="preserve">większym niż mniejszym </w:t>
      </w:r>
      <w:r w:rsidR="00623AB9" w:rsidRPr="00246717">
        <w:rPr>
          <w:color w:val="333333"/>
          <w:lang w:val="pl-PL"/>
        </w:rPr>
        <w:t xml:space="preserve">niż </w:t>
      </w:r>
      <w:r w:rsidR="00E55514">
        <w:rPr>
          <w:color w:val="333333"/>
          <w:lang w:val="pl-PL"/>
        </w:rPr>
        <w:t>w braku</w:t>
      </w:r>
      <w:r w:rsidR="00623AB9" w:rsidRPr="00246717">
        <w:rPr>
          <w:color w:val="333333"/>
          <w:lang w:val="pl-PL"/>
        </w:rPr>
        <w:t xml:space="preserve"> tego dowodu; oraz b) fakt </w:t>
      </w:r>
      <w:r w:rsidR="00E55514">
        <w:rPr>
          <w:color w:val="333333"/>
          <w:lang w:val="pl-PL"/>
        </w:rPr>
        <w:t>wywołuje skutki przy rozstrzyganiu w przedmiocie powództwa</w:t>
      </w:r>
      <w:r w:rsidR="00623AB9" w:rsidRPr="00246717">
        <w:rPr>
          <w:color w:val="333333"/>
          <w:lang w:val="pl-PL"/>
        </w:rPr>
        <w:t xml:space="preserve">. Może to posłużyć </w:t>
      </w:r>
      <w:r w:rsidR="00E55514">
        <w:rPr>
          <w:color w:val="333333"/>
          <w:lang w:val="pl-PL"/>
        </w:rPr>
        <w:t>za</w:t>
      </w:r>
      <w:r w:rsidR="00E55514" w:rsidRPr="00246717">
        <w:rPr>
          <w:color w:val="333333"/>
          <w:lang w:val="pl-PL"/>
        </w:rPr>
        <w:t xml:space="preserve"> </w:t>
      </w:r>
      <w:r w:rsidR="00623AB9" w:rsidRPr="00246717">
        <w:rPr>
          <w:lang w:val="pl-PL"/>
        </w:rPr>
        <w:t>porównawcze źródło inspiracji w tej kwestii.</w:t>
      </w:r>
    </w:p>
    <w:p w14:paraId="1486D0FE" w14:textId="3BE63062" w:rsidR="00623AB9" w:rsidRPr="00246717" w:rsidRDefault="00150576" w:rsidP="000957D3">
      <w:pPr>
        <w:pStyle w:val="OpiPara"/>
        <w:rPr>
          <w:color w:val="333333"/>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6</w:t>
      </w:r>
      <w:r w:rsidRPr="00246717">
        <w:rPr>
          <w:lang w:val="pl-PL"/>
        </w:rPr>
        <w:fldChar w:fldCharType="end"/>
      </w:r>
      <w:r w:rsidR="00623AB9" w:rsidRPr="00246717">
        <w:rPr>
          <w:lang w:val="pl-PL"/>
        </w:rPr>
        <w:t xml:space="preserve">.  Co do zasady przy składaniu wniosku dowodowego obrona powinna </w:t>
      </w:r>
      <w:r w:rsidR="00E55514">
        <w:rPr>
          <w:lang w:val="pl-PL"/>
        </w:rPr>
        <w:t>sprecyzować</w:t>
      </w:r>
      <w:r w:rsidR="00E55514" w:rsidRPr="00246717">
        <w:rPr>
          <w:lang w:val="pl-PL"/>
        </w:rPr>
        <w:t xml:space="preserve"> </w:t>
      </w:r>
      <w:r w:rsidR="00623AB9" w:rsidRPr="00246717">
        <w:rPr>
          <w:lang w:val="pl-PL"/>
        </w:rPr>
        <w:t xml:space="preserve">fakt, którego chce dowieść (na przykład alibi, brak znamion przestępstwa, którego popełnienie </w:t>
      </w:r>
      <w:r w:rsidR="00623AB9" w:rsidRPr="00246717">
        <w:rPr>
          <w:color w:val="333333"/>
          <w:lang w:val="pl-PL"/>
        </w:rPr>
        <w:t xml:space="preserve">zarzuca się oskarżonemu, brak wiarygodności świadka oskarżenia, </w:t>
      </w:r>
      <w:r w:rsidR="00E55514">
        <w:rPr>
          <w:color w:val="333333"/>
          <w:lang w:val="pl-PL"/>
        </w:rPr>
        <w:t>okoliczności wyłączające przestępność czynu</w:t>
      </w:r>
      <w:r w:rsidR="00623AB9" w:rsidRPr="00246717">
        <w:rPr>
          <w:color w:val="333333"/>
          <w:lang w:val="pl-PL"/>
        </w:rPr>
        <w:t xml:space="preserve">, niedopuszczalność materiału dowodowego oskarżenia). Fakt ten, jak </w:t>
      </w:r>
      <w:r w:rsidR="00623AB9" w:rsidRPr="00246717">
        <w:rPr>
          <w:color w:val="333333"/>
          <w:lang w:val="pl-PL"/>
        </w:rPr>
        <w:lastRenderedPageBreak/>
        <w:t xml:space="preserve">w przykładach powyżej, będzie często mieć widoczne potencjalne </w:t>
      </w:r>
      <w:r w:rsidR="00E55514">
        <w:rPr>
          <w:color w:val="333333"/>
          <w:lang w:val="pl-PL"/>
        </w:rPr>
        <w:t>skutki</w:t>
      </w:r>
      <w:r w:rsidR="00E55514" w:rsidRPr="00246717">
        <w:rPr>
          <w:color w:val="333333"/>
          <w:lang w:val="pl-PL"/>
        </w:rPr>
        <w:t xml:space="preserve"> </w:t>
      </w:r>
      <w:r w:rsidR="00623AB9" w:rsidRPr="00246717">
        <w:rPr>
          <w:color w:val="333333"/>
          <w:lang w:val="pl-PL"/>
        </w:rPr>
        <w:t xml:space="preserve">dla </w:t>
      </w:r>
      <w:r w:rsidR="00E55514">
        <w:rPr>
          <w:color w:val="333333"/>
          <w:lang w:val="pl-PL"/>
        </w:rPr>
        <w:t>przebiegu</w:t>
      </w:r>
      <w:r w:rsidR="00E55514" w:rsidRPr="00246717">
        <w:rPr>
          <w:color w:val="333333"/>
          <w:lang w:val="pl-PL"/>
        </w:rPr>
        <w:t xml:space="preserve"> </w:t>
      </w:r>
      <w:r w:rsidR="00623AB9" w:rsidRPr="00246717">
        <w:rPr>
          <w:color w:val="333333"/>
          <w:lang w:val="pl-PL"/>
        </w:rPr>
        <w:t>lub wyniku postępowania. Rzeczywiście w</w:t>
      </w:r>
      <w:r w:rsidR="007F1665">
        <w:rPr>
          <w:color w:val="333333"/>
          <w:lang w:val="pl-PL"/>
        </w:rPr>
        <w:t> </w:t>
      </w:r>
      <w:r w:rsidR="00623AB9" w:rsidRPr="00246717">
        <w:rPr>
          <w:color w:val="333333"/>
          <w:lang w:val="pl-PL"/>
        </w:rPr>
        <w:t>pewnych sytuacjach ten potencjalny związek przyczynowy nie jest wystarczająco widoczny (na przykład fakt, że świadek A zna świadka B.). W</w:t>
      </w:r>
      <w:r w:rsidR="007F1665">
        <w:rPr>
          <w:color w:val="333333"/>
          <w:lang w:val="pl-PL"/>
        </w:rPr>
        <w:t> </w:t>
      </w:r>
      <w:r w:rsidR="00623AB9" w:rsidRPr="00246717">
        <w:rPr>
          <w:color w:val="333333"/>
          <w:lang w:val="pl-PL"/>
        </w:rPr>
        <w:t>takich sytuacjach od obrony można oczekiwać podjęcia dodatkowych starań w celu uzasadnienia tego związku.</w:t>
      </w:r>
    </w:p>
    <w:p w14:paraId="130C5879" w14:textId="723223B4"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7</w:t>
      </w:r>
      <w:r w:rsidRPr="00246717">
        <w:rPr>
          <w:lang w:val="pl-PL"/>
        </w:rPr>
        <w:fldChar w:fldCharType="end"/>
      </w:r>
      <w:r w:rsidR="00623AB9" w:rsidRPr="00246717">
        <w:rPr>
          <w:lang w:val="pl-PL"/>
        </w:rPr>
        <w:t xml:space="preserve">.  O ile wniosek o </w:t>
      </w:r>
      <w:r w:rsidR="00E55514">
        <w:rPr>
          <w:lang w:val="pl-PL"/>
        </w:rPr>
        <w:t>przeprowadzenie</w:t>
      </w:r>
      <w:r w:rsidR="00623AB9" w:rsidRPr="00246717">
        <w:rPr>
          <w:lang w:val="pl-PL"/>
        </w:rPr>
        <w:t xml:space="preserve"> </w:t>
      </w:r>
      <w:r w:rsidR="00E55514" w:rsidRPr="00246717">
        <w:rPr>
          <w:lang w:val="pl-PL"/>
        </w:rPr>
        <w:t>dowod</w:t>
      </w:r>
      <w:r w:rsidR="00E55514">
        <w:rPr>
          <w:lang w:val="pl-PL"/>
        </w:rPr>
        <w:t>u</w:t>
      </w:r>
      <w:r w:rsidR="00E55514" w:rsidRPr="00246717">
        <w:rPr>
          <w:lang w:val="pl-PL"/>
        </w:rPr>
        <w:t xml:space="preserve"> </w:t>
      </w:r>
      <w:r w:rsidR="00623AB9" w:rsidRPr="00246717">
        <w:rPr>
          <w:lang w:val="pl-PL"/>
        </w:rPr>
        <w:t xml:space="preserve">powinien także wykazywać </w:t>
      </w:r>
      <w:r w:rsidR="00EF05D2">
        <w:rPr>
          <w:lang w:val="pl-PL"/>
        </w:rPr>
        <w:t>możliwość</w:t>
      </w:r>
      <w:r w:rsidR="00623AB9" w:rsidRPr="00246717">
        <w:rPr>
          <w:lang w:val="pl-PL"/>
        </w:rPr>
        <w:t xml:space="preserve"> </w:t>
      </w:r>
      <w:r w:rsidR="00EF05D2">
        <w:rPr>
          <w:lang w:val="pl-PL"/>
        </w:rPr>
        <w:t>uprawdopodobnienia danego</w:t>
      </w:r>
      <w:r w:rsidR="00EF05D2" w:rsidRPr="00246717">
        <w:rPr>
          <w:lang w:val="pl-PL"/>
        </w:rPr>
        <w:t xml:space="preserve"> </w:t>
      </w:r>
      <w:r w:rsidR="00623AB9" w:rsidRPr="00246717">
        <w:rPr>
          <w:lang w:val="pl-PL"/>
        </w:rPr>
        <w:t xml:space="preserve">faktu </w:t>
      </w:r>
      <w:r w:rsidR="00EF05D2">
        <w:rPr>
          <w:lang w:val="pl-PL"/>
        </w:rPr>
        <w:t>w stopniu większym</w:t>
      </w:r>
      <w:r w:rsidR="00EF05D2" w:rsidRPr="00246717">
        <w:rPr>
          <w:lang w:val="pl-PL"/>
        </w:rPr>
        <w:t xml:space="preserve"> </w:t>
      </w:r>
      <w:r w:rsidR="00623AB9" w:rsidRPr="00246717">
        <w:rPr>
          <w:lang w:val="pl-PL"/>
        </w:rPr>
        <w:t>lub mniej</w:t>
      </w:r>
      <w:r w:rsidR="00EF05D2">
        <w:rPr>
          <w:lang w:val="pl-PL"/>
        </w:rPr>
        <w:t>szym</w:t>
      </w:r>
      <w:r w:rsidR="00623AB9" w:rsidRPr="00246717">
        <w:rPr>
          <w:lang w:val="pl-PL"/>
        </w:rPr>
        <w:t xml:space="preserve"> niż </w:t>
      </w:r>
      <w:r w:rsidR="00E55514">
        <w:rPr>
          <w:lang w:val="pl-PL"/>
        </w:rPr>
        <w:t>w braku</w:t>
      </w:r>
      <w:r w:rsidR="00623AB9" w:rsidRPr="00246717">
        <w:rPr>
          <w:lang w:val="pl-PL"/>
        </w:rPr>
        <w:t xml:space="preserve"> tego dowodu, istnieje kilka zastrzeżeń, które należy zasygnalizować w tym względzie:</w:t>
      </w:r>
    </w:p>
    <w:p w14:paraId="5BAAD646" w14:textId="0890A38F" w:rsidR="00623AB9" w:rsidRPr="00246717" w:rsidRDefault="00623AB9" w:rsidP="000957D3">
      <w:pPr>
        <w:pStyle w:val="OpiParaSub"/>
        <w:rPr>
          <w:lang w:val="pl-PL"/>
        </w:rPr>
      </w:pPr>
      <w:r w:rsidRPr="00246717">
        <w:rPr>
          <w:lang w:val="pl-PL"/>
        </w:rPr>
        <w:t>a)</w:t>
      </w:r>
      <w:r w:rsidR="007F1665">
        <w:rPr>
          <w:lang w:val="pl-PL"/>
        </w:rPr>
        <w:t>  </w:t>
      </w:r>
      <w:r w:rsidRPr="00246717">
        <w:rPr>
          <w:lang w:val="pl-PL"/>
        </w:rPr>
        <w:t>Po pierwsze należy powtórzyć, że zgodnie z zasadą równości stron, na obronie nie może spoczywać w tym względzie większy ciężar niż spoczywa na oskarżeniu.</w:t>
      </w:r>
    </w:p>
    <w:p w14:paraId="43EB1DBC" w14:textId="5D16D9E1" w:rsidR="00623AB9" w:rsidRPr="00246717" w:rsidRDefault="00623AB9" w:rsidP="000957D3">
      <w:pPr>
        <w:pStyle w:val="OpiParaSub"/>
        <w:rPr>
          <w:lang w:val="pl-PL"/>
        </w:rPr>
      </w:pPr>
      <w:r w:rsidRPr="00246717">
        <w:rPr>
          <w:lang w:val="pl-PL"/>
        </w:rPr>
        <w:t>b)</w:t>
      </w:r>
      <w:r w:rsidR="007F1665">
        <w:rPr>
          <w:lang w:val="pl-PL"/>
        </w:rPr>
        <w:t>  </w:t>
      </w:r>
      <w:r w:rsidRPr="00246717">
        <w:rPr>
          <w:lang w:val="pl-PL"/>
        </w:rPr>
        <w:t xml:space="preserve">Tym, co należy tu wykazać, jest zwykła </w:t>
      </w:r>
      <w:r w:rsidR="00EF05D2">
        <w:rPr>
          <w:lang w:val="pl-PL"/>
        </w:rPr>
        <w:t>możliwość</w:t>
      </w:r>
      <w:r w:rsidRPr="00246717">
        <w:rPr>
          <w:lang w:val="pl-PL"/>
        </w:rPr>
        <w:t xml:space="preserve"> </w:t>
      </w:r>
      <w:r w:rsidR="00EF05D2">
        <w:rPr>
          <w:lang w:val="pl-PL"/>
        </w:rPr>
        <w:t>u</w:t>
      </w:r>
      <w:r w:rsidR="00340768">
        <w:rPr>
          <w:lang w:val="pl-PL"/>
        </w:rPr>
        <w:t>prawdopodobnienia</w:t>
      </w:r>
      <w:r w:rsidRPr="00246717">
        <w:rPr>
          <w:lang w:val="pl-PL"/>
        </w:rPr>
        <w:t xml:space="preserve">, a nie ostateczne ustalenie faktu. Dla przykładu: </w:t>
      </w:r>
      <w:r w:rsidR="00EF05D2">
        <w:rPr>
          <w:lang w:val="pl-PL"/>
        </w:rPr>
        <w:t xml:space="preserve">zeznanie </w:t>
      </w:r>
      <w:r w:rsidR="00EF05D2" w:rsidRPr="00246717">
        <w:rPr>
          <w:lang w:val="pl-PL"/>
        </w:rPr>
        <w:t>świad</w:t>
      </w:r>
      <w:r w:rsidR="00EF05D2">
        <w:rPr>
          <w:lang w:val="pl-PL"/>
        </w:rPr>
        <w:t>ka</w:t>
      </w:r>
      <w:r w:rsidR="00EF05D2" w:rsidRPr="00246717">
        <w:rPr>
          <w:lang w:val="pl-PL"/>
        </w:rPr>
        <w:t xml:space="preserve"> </w:t>
      </w:r>
      <w:r w:rsidR="00EF05D2">
        <w:rPr>
          <w:lang w:val="pl-PL"/>
        </w:rPr>
        <w:t>ma</w:t>
      </w:r>
      <w:r w:rsidR="00EF05D2" w:rsidRPr="00246717">
        <w:rPr>
          <w:lang w:val="pl-PL"/>
        </w:rPr>
        <w:t xml:space="preserve"> </w:t>
      </w:r>
      <w:r w:rsidRPr="00246717">
        <w:rPr>
          <w:lang w:val="pl-PL"/>
        </w:rPr>
        <w:t>wystarczając</w:t>
      </w:r>
      <w:r w:rsidR="00EF05D2">
        <w:rPr>
          <w:lang w:val="pl-PL"/>
        </w:rPr>
        <w:t>e</w:t>
      </w:r>
      <w:r w:rsidRPr="00246717">
        <w:rPr>
          <w:lang w:val="pl-PL"/>
        </w:rPr>
        <w:t xml:space="preserve"> </w:t>
      </w:r>
      <w:r w:rsidR="00EF05D2">
        <w:rPr>
          <w:lang w:val="pl-PL"/>
        </w:rPr>
        <w:t>znaczenie</w:t>
      </w:r>
      <w:r w:rsidRPr="00246717">
        <w:rPr>
          <w:lang w:val="pl-PL"/>
        </w:rPr>
        <w:t>, jeśli jej</w:t>
      </w:r>
      <w:r w:rsidRPr="00246717">
        <w:rPr>
          <w:rStyle w:val="Odwoanieprzypisudolnego"/>
          <w:color w:val="333333"/>
          <w:lang w:val="pl-PL"/>
        </w:rPr>
        <w:footnoteReference w:id="5"/>
      </w:r>
      <w:r w:rsidRPr="00246717">
        <w:rPr>
          <w:lang w:val="pl-PL"/>
        </w:rPr>
        <w:t xml:space="preserve"> przesłuchanie może zwiększyć prawdopodobieństwo, że </w:t>
      </w:r>
      <w:r w:rsidR="00EF05D2">
        <w:rPr>
          <w:lang w:val="pl-PL"/>
        </w:rPr>
        <w:t>oskarżony</w:t>
      </w:r>
      <w:r w:rsidR="00EF05D2" w:rsidRPr="00246717">
        <w:rPr>
          <w:lang w:val="pl-PL"/>
        </w:rPr>
        <w:t xml:space="preserve"> </w:t>
      </w:r>
      <w:r w:rsidRPr="00246717">
        <w:rPr>
          <w:lang w:val="pl-PL"/>
        </w:rPr>
        <w:t xml:space="preserve">działał w obronie własnej, a nie tylko wtedy, gdy oczekuje się, że </w:t>
      </w:r>
      <w:r w:rsidR="008B5C0A">
        <w:rPr>
          <w:lang w:val="pl-PL"/>
        </w:rPr>
        <w:t>dane zeznanie potwierdzi</w:t>
      </w:r>
      <w:r w:rsidRPr="00246717">
        <w:rPr>
          <w:lang w:val="pl-PL"/>
        </w:rPr>
        <w:t xml:space="preserve">, iż oskarżony działał w obronie własnej. Przy dokonywaniu oceny, czy zeznanie danego świadka może zwiększyć prawdopodobieństwo konkretnego wyniku albo przynajmniej stanowić zwrot w postępowaniu, który byłby korzystny dla obrony, należy pamiętać, że często niemożliwe jest spekulowanie z wyprzedzeniem co do tego, w jaki sposób świadek będzie zeznawać i w jaki sposób zeznanie to może wpłynąć na ocenę danego faktu dokonywaną przez sąd. </w:t>
      </w:r>
      <w:r w:rsidR="008B5C0A">
        <w:rPr>
          <w:lang w:val="pl-PL"/>
        </w:rPr>
        <w:t>Dzieje się</w:t>
      </w:r>
      <w:r w:rsidR="008B5C0A" w:rsidRPr="00246717">
        <w:rPr>
          <w:lang w:val="pl-PL"/>
        </w:rPr>
        <w:t xml:space="preserve"> </w:t>
      </w:r>
      <w:r w:rsidRPr="00246717">
        <w:rPr>
          <w:lang w:val="pl-PL"/>
        </w:rPr>
        <w:t xml:space="preserve">tak tym bardziej wówczas, gdy dany świadek nie został </w:t>
      </w:r>
      <w:r w:rsidR="008B5C0A">
        <w:rPr>
          <w:lang w:val="pl-PL"/>
        </w:rPr>
        <w:t>uprzednio</w:t>
      </w:r>
      <w:r w:rsidR="008B5C0A" w:rsidRPr="00246717">
        <w:rPr>
          <w:lang w:val="pl-PL"/>
        </w:rPr>
        <w:t xml:space="preserve"> </w:t>
      </w:r>
      <w:r w:rsidR="008B5C0A">
        <w:rPr>
          <w:lang w:val="pl-PL"/>
        </w:rPr>
        <w:t>prze</w:t>
      </w:r>
      <w:r w:rsidR="008B5C0A" w:rsidRPr="00246717">
        <w:rPr>
          <w:lang w:val="pl-PL"/>
        </w:rPr>
        <w:t xml:space="preserve">słuchany </w:t>
      </w:r>
      <w:r w:rsidRPr="00246717">
        <w:rPr>
          <w:lang w:val="pl-PL"/>
        </w:rPr>
        <w:t xml:space="preserve">(na przykład na etapie </w:t>
      </w:r>
      <w:r w:rsidR="00340768">
        <w:rPr>
          <w:lang w:val="pl-PL"/>
        </w:rPr>
        <w:t>postępowania przygotowawczego</w:t>
      </w:r>
      <w:r w:rsidRPr="00246717">
        <w:rPr>
          <w:lang w:val="pl-PL"/>
        </w:rPr>
        <w:t>) ani nie złożył żadnego pisemnego oświadczenia dotyczącego treści przewidzianego zeznania.</w:t>
      </w:r>
    </w:p>
    <w:p w14:paraId="2DE09B20" w14:textId="0AC50FE9" w:rsidR="00623AB9" w:rsidRPr="00246717" w:rsidRDefault="00623AB9" w:rsidP="000957D3">
      <w:pPr>
        <w:pStyle w:val="OpiParaSub"/>
        <w:rPr>
          <w:lang w:val="pl-PL"/>
        </w:rPr>
      </w:pPr>
      <w:r w:rsidRPr="00246717">
        <w:rPr>
          <w:lang w:val="pl-PL"/>
        </w:rPr>
        <w:t>c)</w:t>
      </w:r>
      <w:r w:rsidR="00340768">
        <w:rPr>
          <w:lang w:val="pl-PL"/>
        </w:rPr>
        <w:t>  </w:t>
      </w:r>
      <w:r w:rsidRPr="00246717">
        <w:rPr>
          <w:lang w:val="pl-PL"/>
        </w:rPr>
        <w:t xml:space="preserve">Prawo skarżącego do wzywania świadków w jego imieniu jest wyrazem jego prawa do przedstawienia sprawy przed sądem. </w:t>
      </w:r>
      <w:r w:rsidR="008B5C0A">
        <w:rPr>
          <w:lang w:val="pl-PL"/>
        </w:rPr>
        <w:t>Rozstrzygając</w:t>
      </w:r>
      <w:r w:rsidR="008B5C0A" w:rsidRPr="00246717">
        <w:rPr>
          <w:lang w:val="pl-PL"/>
        </w:rPr>
        <w:t xml:space="preserve"> </w:t>
      </w:r>
      <w:r w:rsidRPr="00246717">
        <w:rPr>
          <w:lang w:val="pl-PL"/>
        </w:rPr>
        <w:t xml:space="preserve">w sprawie wniosku obrony o </w:t>
      </w:r>
      <w:r w:rsidR="008B5C0A">
        <w:rPr>
          <w:lang w:val="pl-PL"/>
        </w:rPr>
        <w:t>prze</w:t>
      </w:r>
      <w:r w:rsidR="008B5C0A" w:rsidRPr="00246717">
        <w:rPr>
          <w:lang w:val="pl-PL"/>
        </w:rPr>
        <w:t xml:space="preserve">słuchanie </w:t>
      </w:r>
      <w:r w:rsidRPr="00246717">
        <w:rPr>
          <w:lang w:val="pl-PL"/>
        </w:rPr>
        <w:t xml:space="preserve">danej osoby w charakterze świadka, sąd powinien ocenić, czy obrona już </w:t>
      </w:r>
      <w:r w:rsidR="008B5C0A">
        <w:rPr>
          <w:lang w:val="pl-PL"/>
        </w:rPr>
        <w:t>wcześniej</w:t>
      </w:r>
      <w:r w:rsidR="008B5C0A" w:rsidRPr="00246717">
        <w:rPr>
          <w:lang w:val="pl-PL"/>
        </w:rPr>
        <w:t xml:space="preserve"> </w:t>
      </w:r>
      <w:r w:rsidRPr="00246717">
        <w:rPr>
          <w:lang w:val="pl-PL"/>
        </w:rPr>
        <w:t>miała wystarczającą możliwość uargumentowania przedmiotowego faktu przed sądem</w:t>
      </w:r>
      <w:r w:rsidRPr="00246717">
        <w:rPr>
          <w:rStyle w:val="Odwoanieprzypisudolnego"/>
          <w:color w:val="333333"/>
          <w:lang w:val="pl-PL"/>
        </w:rPr>
        <w:footnoteReference w:id="6"/>
      </w:r>
      <w:r w:rsidRPr="00246717">
        <w:rPr>
          <w:lang w:val="pl-PL"/>
        </w:rPr>
        <w:t xml:space="preserve"> lub czy istnieje inna równoważna, albo nawet bardziej dogodna </w:t>
      </w:r>
      <w:r w:rsidRPr="00246717">
        <w:rPr>
          <w:lang w:val="pl-PL"/>
        </w:rPr>
        <w:lastRenderedPageBreak/>
        <w:t>możliwość w tym zakresie.</w:t>
      </w:r>
      <w:r w:rsidRPr="00246717">
        <w:rPr>
          <w:rStyle w:val="Odwoanieprzypisudolnego"/>
          <w:color w:val="333333"/>
          <w:lang w:val="pl-PL"/>
        </w:rPr>
        <w:footnoteReference w:id="7"/>
      </w:r>
      <w:r w:rsidRPr="00246717">
        <w:rPr>
          <w:lang w:val="pl-PL"/>
        </w:rPr>
        <w:t xml:space="preserve"> W tym względzie szczególnie istotne jest, aby sąd nie </w:t>
      </w:r>
      <w:r w:rsidR="008B5C0A">
        <w:rPr>
          <w:lang w:val="pl-PL"/>
        </w:rPr>
        <w:t>ograniczał się</w:t>
      </w:r>
      <w:r w:rsidR="008B5C0A" w:rsidRPr="00246717">
        <w:rPr>
          <w:lang w:val="pl-PL"/>
        </w:rPr>
        <w:t xml:space="preserve"> </w:t>
      </w:r>
      <w:r w:rsidRPr="00246717">
        <w:rPr>
          <w:lang w:val="pl-PL"/>
        </w:rPr>
        <w:t xml:space="preserve">w swoich ustaleniach </w:t>
      </w:r>
      <w:r w:rsidR="00340768">
        <w:rPr>
          <w:lang w:val="pl-PL"/>
        </w:rPr>
        <w:t>w przedmiocie istotnych faktów</w:t>
      </w:r>
      <w:r w:rsidRPr="00246717">
        <w:rPr>
          <w:lang w:val="pl-PL"/>
        </w:rPr>
        <w:t xml:space="preserve"> wyłącznie </w:t>
      </w:r>
      <w:r w:rsidR="008B5C0A">
        <w:rPr>
          <w:lang w:val="pl-PL"/>
        </w:rPr>
        <w:t xml:space="preserve">do </w:t>
      </w:r>
      <w:r w:rsidRPr="00246717">
        <w:rPr>
          <w:lang w:val="pl-PL"/>
        </w:rPr>
        <w:t xml:space="preserve">dowodów </w:t>
      </w:r>
      <w:r w:rsidR="008B5C0A">
        <w:rPr>
          <w:lang w:val="pl-PL"/>
        </w:rPr>
        <w:t xml:space="preserve">przedstawionych przez </w:t>
      </w:r>
      <w:r w:rsidRPr="00246717">
        <w:rPr>
          <w:lang w:val="pl-PL"/>
        </w:rPr>
        <w:t>oskarżeni</w:t>
      </w:r>
      <w:r w:rsidR="008B5C0A">
        <w:rPr>
          <w:lang w:val="pl-PL"/>
        </w:rPr>
        <w:t>e</w:t>
      </w:r>
      <w:r w:rsidRPr="00246717">
        <w:rPr>
          <w:lang w:val="pl-PL"/>
        </w:rPr>
        <w:t xml:space="preserve">, czyli przed </w:t>
      </w:r>
      <w:r w:rsidR="008B5C0A">
        <w:rPr>
          <w:lang w:val="pl-PL"/>
        </w:rPr>
        <w:t>przeprowadzeniem</w:t>
      </w:r>
      <w:r w:rsidRPr="00246717">
        <w:rPr>
          <w:lang w:val="pl-PL"/>
        </w:rPr>
        <w:t xml:space="preserve"> dowodów, które </w:t>
      </w:r>
      <w:r w:rsidR="008B5C0A">
        <w:rPr>
          <w:lang w:val="pl-PL"/>
        </w:rPr>
        <w:t>w danym celu</w:t>
      </w:r>
      <w:r w:rsidRPr="00246717">
        <w:rPr>
          <w:lang w:val="pl-PL"/>
        </w:rPr>
        <w:t xml:space="preserve"> chce przedstawić </w:t>
      </w:r>
      <w:r w:rsidR="008B5C0A">
        <w:rPr>
          <w:lang w:val="pl-PL"/>
        </w:rPr>
        <w:t>obrona</w:t>
      </w:r>
      <w:r w:rsidRPr="00246717">
        <w:rPr>
          <w:lang w:val="pl-PL"/>
        </w:rPr>
        <w:t xml:space="preserve">. </w:t>
      </w:r>
      <w:r w:rsidR="008B5C0A">
        <w:rPr>
          <w:lang w:val="pl-PL"/>
        </w:rPr>
        <w:t>Nieuzasadnione</w:t>
      </w:r>
      <w:r w:rsidR="008B5C0A" w:rsidRPr="00246717">
        <w:rPr>
          <w:lang w:val="pl-PL"/>
        </w:rPr>
        <w:t xml:space="preserve"> </w:t>
      </w:r>
      <w:r w:rsidRPr="00246717">
        <w:rPr>
          <w:lang w:val="pl-PL"/>
        </w:rPr>
        <w:t xml:space="preserve">byłoby </w:t>
      </w:r>
      <w:r w:rsidR="008B5C0A" w:rsidRPr="00246717">
        <w:rPr>
          <w:lang w:val="pl-PL"/>
        </w:rPr>
        <w:t>oczekiw</w:t>
      </w:r>
      <w:r w:rsidR="008B5C0A">
        <w:rPr>
          <w:lang w:val="pl-PL"/>
        </w:rPr>
        <w:t>anie</w:t>
      </w:r>
      <w:r w:rsidRPr="00246717">
        <w:rPr>
          <w:lang w:val="pl-PL"/>
        </w:rPr>
        <w:t xml:space="preserve">, że umysł sądu </w:t>
      </w:r>
      <w:r w:rsidR="008B5C0A">
        <w:rPr>
          <w:lang w:val="pl-PL"/>
        </w:rPr>
        <w:t>orzekającego</w:t>
      </w:r>
      <w:r w:rsidRPr="00246717">
        <w:rPr>
          <w:lang w:val="pl-PL"/>
        </w:rPr>
        <w:t xml:space="preserve"> (czy to sędziego, czy ławy przysięgłych) pozostanie </w:t>
      </w:r>
      <w:r w:rsidR="008B5C0A">
        <w:rPr>
          <w:lang w:val="pl-PL"/>
        </w:rPr>
        <w:t>jałowy</w:t>
      </w:r>
      <w:r w:rsidRPr="00246717">
        <w:rPr>
          <w:lang w:val="pl-PL"/>
        </w:rPr>
        <w:t xml:space="preserve">, pozbawiony jakichkolwiek wniosków co do istotnych faktów w toku </w:t>
      </w:r>
      <w:r w:rsidR="00ED1C13">
        <w:rPr>
          <w:lang w:val="pl-PL"/>
        </w:rPr>
        <w:t xml:space="preserve">rozprawy </w:t>
      </w:r>
      <w:r w:rsidRPr="00246717">
        <w:rPr>
          <w:lang w:val="pl-PL"/>
        </w:rPr>
        <w:t>głównej</w:t>
      </w:r>
      <w:r w:rsidR="00ED1C13">
        <w:rPr>
          <w:lang w:val="pl-PL"/>
        </w:rPr>
        <w:t>.</w:t>
      </w:r>
      <w:r w:rsidRPr="00246717">
        <w:rPr>
          <w:lang w:val="pl-PL"/>
        </w:rPr>
        <w:t xml:space="preserve"> Niemniej bez względu na to, jak mocne i przekonujące mogą być dowody oskarżenia, wnioski </w:t>
      </w:r>
      <w:r w:rsidR="008B5C0A">
        <w:rPr>
          <w:lang w:val="pl-PL"/>
        </w:rPr>
        <w:t xml:space="preserve">te </w:t>
      </w:r>
      <w:r w:rsidRPr="00246717">
        <w:rPr>
          <w:lang w:val="pl-PL"/>
        </w:rPr>
        <w:t>powinny pozostać jedynie wnioskami wstępnymi</w:t>
      </w:r>
      <w:r w:rsidR="00DB3A38">
        <w:rPr>
          <w:lang w:val="pl-PL"/>
        </w:rPr>
        <w:t>,</w:t>
      </w:r>
      <w:r w:rsidRPr="00246717">
        <w:rPr>
          <w:lang w:val="pl-PL"/>
        </w:rPr>
        <w:t xml:space="preserve"> nie mogą one </w:t>
      </w:r>
      <w:r w:rsidR="008B5C0A">
        <w:rPr>
          <w:lang w:val="pl-PL"/>
        </w:rPr>
        <w:t>pozbawiać</w:t>
      </w:r>
      <w:r w:rsidR="008B5C0A" w:rsidRPr="00246717">
        <w:rPr>
          <w:lang w:val="pl-PL"/>
        </w:rPr>
        <w:t xml:space="preserve"> obron</w:t>
      </w:r>
      <w:r w:rsidR="008B5C0A">
        <w:rPr>
          <w:lang w:val="pl-PL"/>
        </w:rPr>
        <w:t>y</w:t>
      </w:r>
      <w:r w:rsidR="008B5C0A" w:rsidRPr="00246717">
        <w:rPr>
          <w:lang w:val="pl-PL"/>
        </w:rPr>
        <w:t xml:space="preserve"> </w:t>
      </w:r>
      <w:r w:rsidR="008B5C0A">
        <w:rPr>
          <w:lang w:val="pl-PL"/>
        </w:rPr>
        <w:t xml:space="preserve">możliwości </w:t>
      </w:r>
      <w:r w:rsidRPr="00246717">
        <w:rPr>
          <w:lang w:val="pl-PL"/>
        </w:rPr>
        <w:t xml:space="preserve">przedstawienia podobnych argumentów </w:t>
      </w:r>
      <w:r w:rsidR="008B5C0A">
        <w:rPr>
          <w:lang w:val="pl-PL"/>
        </w:rPr>
        <w:t>lub</w:t>
      </w:r>
      <w:r w:rsidRPr="00246717">
        <w:rPr>
          <w:lang w:val="pl-PL"/>
        </w:rPr>
        <w:t xml:space="preserve"> inny</w:t>
      </w:r>
      <w:r w:rsidR="008B5C0A">
        <w:rPr>
          <w:lang w:val="pl-PL"/>
        </w:rPr>
        <w:t>ch</w:t>
      </w:r>
      <w:r w:rsidRPr="00246717">
        <w:rPr>
          <w:lang w:val="pl-PL"/>
        </w:rPr>
        <w:t xml:space="preserve"> </w:t>
      </w:r>
      <w:r w:rsidR="008B5C0A">
        <w:rPr>
          <w:lang w:val="pl-PL"/>
        </w:rPr>
        <w:t>mających znaczenie</w:t>
      </w:r>
      <w:r w:rsidR="008B5C0A" w:rsidRPr="00246717">
        <w:rPr>
          <w:lang w:val="pl-PL"/>
        </w:rPr>
        <w:t xml:space="preserve"> fakt</w:t>
      </w:r>
      <w:r w:rsidR="008B5C0A">
        <w:rPr>
          <w:lang w:val="pl-PL"/>
        </w:rPr>
        <w:t>ów ani możliwości kształtowania przebiegu</w:t>
      </w:r>
      <w:r w:rsidRPr="00246717">
        <w:rPr>
          <w:lang w:val="pl-PL"/>
        </w:rPr>
        <w:t xml:space="preserve"> lub wyniku postępowania.</w:t>
      </w:r>
    </w:p>
    <w:p w14:paraId="1CABEEB2" w14:textId="2CDD381C" w:rsidR="00623AB9" w:rsidRPr="00246717" w:rsidRDefault="00623AB9" w:rsidP="000957D3">
      <w:pPr>
        <w:pStyle w:val="OpiParaSub"/>
        <w:rPr>
          <w:lang w:val="pl-PL"/>
        </w:rPr>
      </w:pPr>
      <w:r w:rsidRPr="00246717">
        <w:rPr>
          <w:lang w:val="pl-PL"/>
        </w:rPr>
        <w:t>d)</w:t>
      </w:r>
      <w:r w:rsidR="00ED1C13">
        <w:rPr>
          <w:lang w:val="pl-PL"/>
        </w:rPr>
        <w:t>  </w:t>
      </w:r>
      <w:r w:rsidRPr="00246717">
        <w:rPr>
          <w:lang w:val="pl-PL"/>
        </w:rPr>
        <w:t>Przy przedstawianiu sprawy przed sądem, obronie trzeba przyznać wystarczającą autonomię w ustalaniu taktyki</w:t>
      </w:r>
      <w:r w:rsidRPr="00246717">
        <w:rPr>
          <w:rStyle w:val="Odwoanieprzypisudolnego"/>
          <w:color w:val="333333"/>
          <w:lang w:val="pl-PL"/>
        </w:rPr>
        <w:footnoteReference w:id="8"/>
      </w:r>
      <w:r w:rsidRPr="00246717">
        <w:rPr>
          <w:lang w:val="pl-PL"/>
        </w:rPr>
        <w:t xml:space="preserve">, która obejmuje wybór faktów, które obrona chce uargumentować i sposobu, w </w:t>
      </w:r>
      <w:r w:rsidR="00F80145">
        <w:rPr>
          <w:lang w:val="pl-PL"/>
        </w:rPr>
        <w:t>jaki</w:t>
      </w:r>
      <w:r w:rsidRPr="00246717">
        <w:rPr>
          <w:lang w:val="pl-PL"/>
        </w:rPr>
        <w:t xml:space="preserve"> chce je uargumentować. Chociaż zamiar obrony w niektórych sytuacjach jest jasny i prosty, niekoniecznie jest tak </w:t>
      </w:r>
      <w:r w:rsidR="009D4765">
        <w:rPr>
          <w:lang w:val="pl-PL"/>
        </w:rPr>
        <w:t>w każdym przypadku</w:t>
      </w:r>
      <w:r w:rsidRPr="00246717">
        <w:rPr>
          <w:lang w:val="pl-PL"/>
        </w:rPr>
        <w:t>. W odniesieniu do tych drugich sytuacji należy podkreślić, że od obrony nie powinno się wymagać ujawnienia pełnego kontekstu wniosku.</w:t>
      </w:r>
      <w:r w:rsidRPr="00246717">
        <w:rPr>
          <w:rStyle w:val="Odwoanieprzypisudolnego"/>
          <w:color w:val="333333"/>
          <w:lang w:val="pl-PL"/>
        </w:rPr>
        <w:footnoteReference w:id="9"/>
      </w:r>
      <w:r w:rsidRPr="00246717">
        <w:rPr>
          <w:lang w:val="pl-PL"/>
        </w:rPr>
        <w:t xml:space="preserve"> Ponadto wymóg, zgodnie z którym wniosek obrony o zapoznanie się z dowodami musi być uzasadniony, musi zostać zrównoważony z prawem do zachowania milczenia. Jeśli oskarżony musi wyjaśnić gruntownie, dlaczego przedmiotowy dowód może zwiększyć prawdopodobieństwo jego </w:t>
      </w:r>
      <w:r w:rsidRPr="00246717">
        <w:rPr>
          <w:lang w:val="pl-PL"/>
        </w:rPr>
        <w:lastRenderedPageBreak/>
        <w:t>uniewinnienia, w niektórych sytuacjach spowoduje to zrzeczenie się wyżej wspomnianego prawa. W szczególności może to nastąpić na wczesnych etapach postępowania przed wysłuchaniem samego oskarżonego. Dlatego należy unikać wszelkich nadmiernych wymogów w tym względzie.</w:t>
      </w:r>
    </w:p>
    <w:p w14:paraId="0AF0F4DD" w14:textId="4A99E993" w:rsidR="00623AB9" w:rsidRPr="00246717" w:rsidRDefault="00623AB9" w:rsidP="000957D3">
      <w:pPr>
        <w:pStyle w:val="OpiPara"/>
        <w:rPr>
          <w:lang w:val="pl-PL"/>
        </w:rPr>
      </w:pPr>
      <w:r w:rsidRPr="00246717">
        <w:rPr>
          <w:lang w:val="pl-PL"/>
        </w:rPr>
        <w:t>W wyroku w niniejszej sprawie nie poruszono tych konkretnych kwestii dotyczących postępowania karnego. Jest to zrozumiałe, przynajmniej w</w:t>
      </w:r>
      <w:r w:rsidR="00F80145">
        <w:rPr>
          <w:lang w:val="pl-PL"/>
        </w:rPr>
        <w:t> </w:t>
      </w:r>
      <w:r w:rsidRPr="00246717">
        <w:rPr>
          <w:lang w:val="pl-PL"/>
        </w:rPr>
        <w:t>pewnej mierze, ponieważ reguły dowodowe są głównie kwestią prawa krajowego. Gromadzenie dowodów i zapoznawanie się z nimi często dotyka jednak praw człowieka i podstawowych wolności zagwarantowanych w</w:t>
      </w:r>
      <w:r w:rsidR="00F80145">
        <w:rPr>
          <w:lang w:val="pl-PL"/>
        </w:rPr>
        <w:t> </w:t>
      </w:r>
      <w:r w:rsidRPr="00246717">
        <w:rPr>
          <w:lang w:val="pl-PL"/>
        </w:rPr>
        <w:t xml:space="preserve">Konwencji, dlatego uznałem za korzystne, zarówno </w:t>
      </w:r>
      <w:r w:rsidR="009D4765">
        <w:rPr>
          <w:lang w:val="pl-PL"/>
        </w:rPr>
        <w:t>na potrzeby</w:t>
      </w:r>
      <w:r w:rsidR="009D4765" w:rsidRPr="00246717">
        <w:rPr>
          <w:lang w:val="pl-PL"/>
        </w:rPr>
        <w:t xml:space="preserve"> </w:t>
      </w:r>
      <w:r w:rsidRPr="00246717">
        <w:rPr>
          <w:lang w:val="pl-PL"/>
        </w:rPr>
        <w:t xml:space="preserve">przyszłego </w:t>
      </w:r>
      <w:r w:rsidR="009D4765">
        <w:rPr>
          <w:lang w:val="pl-PL"/>
        </w:rPr>
        <w:t>kształtowania</w:t>
      </w:r>
      <w:r w:rsidR="009D4765" w:rsidRPr="00246717">
        <w:rPr>
          <w:lang w:val="pl-PL"/>
        </w:rPr>
        <w:t xml:space="preserve"> </w:t>
      </w:r>
      <w:r w:rsidRPr="00246717">
        <w:rPr>
          <w:lang w:val="pl-PL"/>
        </w:rPr>
        <w:t>orzecznictwa Trybunału, jak i dla prawników stosujących zasady niniejszego wyroku w krajowych systemach prawnych, zwrócenie ich uwagi na niniejsze rozważania. W każdym wypadku pokazują one, że w ogólności pierwsza przesłanka trzystopniowego testu powinna być stosowana w</w:t>
      </w:r>
      <w:r w:rsidR="00F80145">
        <w:rPr>
          <w:lang w:val="pl-PL"/>
        </w:rPr>
        <w:t> </w:t>
      </w:r>
      <w:r w:rsidRPr="00246717">
        <w:rPr>
          <w:lang w:val="pl-PL"/>
        </w:rPr>
        <w:t>rozsądnie liberalny sposób.</w:t>
      </w:r>
      <w:r w:rsidRPr="00246717">
        <w:rPr>
          <w:rStyle w:val="Odwoanieprzypisudolnego"/>
          <w:color w:val="333333"/>
          <w:lang w:val="pl-PL"/>
        </w:rPr>
        <w:footnoteReference w:id="10"/>
      </w:r>
    </w:p>
    <w:p w14:paraId="58EE7FBA" w14:textId="4E330F4D" w:rsidR="00623AB9" w:rsidRPr="00246717" w:rsidRDefault="00623AB9" w:rsidP="000957D3">
      <w:pPr>
        <w:pStyle w:val="OpiHa0"/>
        <w:rPr>
          <w:lang w:val="pl-PL"/>
        </w:rPr>
      </w:pPr>
      <w:r w:rsidRPr="00246717">
        <w:rPr>
          <w:lang w:val="pl-PL"/>
        </w:rPr>
        <w:t>b)</w:t>
      </w:r>
      <w:r w:rsidR="00F80145">
        <w:rPr>
          <w:lang w:val="pl-PL"/>
        </w:rPr>
        <w:t>  </w:t>
      </w:r>
      <w:r w:rsidRPr="00246717">
        <w:rPr>
          <w:lang w:val="pl-PL"/>
        </w:rPr>
        <w:t>Ocena i uzasadnienie sądów krajowych</w:t>
      </w:r>
    </w:p>
    <w:p w14:paraId="50A6DA50" w14:textId="0F33CC2E"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8</w:t>
      </w:r>
      <w:r w:rsidRPr="00246717">
        <w:rPr>
          <w:lang w:val="pl-PL"/>
        </w:rPr>
        <w:fldChar w:fldCharType="end"/>
      </w:r>
      <w:r w:rsidR="00623AB9" w:rsidRPr="00246717">
        <w:rPr>
          <w:lang w:val="pl-PL"/>
        </w:rPr>
        <w:t xml:space="preserve">.  Druga przesłanka testu wymaga od sądów krajowych oceny znaczenia zeznania, o które </w:t>
      </w:r>
      <w:r w:rsidR="009D4765">
        <w:rPr>
          <w:lang w:val="pl-PL"/>
        </w:rPr>
        <w:t>wnioskuje</w:t>
      </w:r>
      <w:r w:rsidR="00623AB9" w:rsidRPr="00246717">
        <w:rPr>
          <w:lang w:val="pl-PL"/>
        </w:rPr>
        <w:t xml:space="preserve"> obrona</w:t>
      </w:r>
      <w:r w:rsidR="009D4765">
        <w:rPr>
          <w:lang w:val="pl-PL"/>
        </w:rPr>
        <w:t>,</w:t>
      </w:r>
      <w:r w:rsidR="00623AB9" w:rsidRPr="00246717">
        <w:rPr>
          <w:lang w:val="pl-PL"/>
        </w:rPr>
        <w:t xml:space="preserve"> i </w:t>
      </w:r>
      <w:r w:rsidR="009D4765" w:rsidRPr="00246717">
        <w:rPr>
          <w:lang w:val="pl-PL"/>
        </w:rPr>
        <w:t>wystarczając</w:t>
      </w:r>
      <w:r w:rsidR="009D4765">
        <w:rPr>
          <w:lang w:val="pl-PL"/>
        </w:rPr>
        <w:t>ego</w:t>
      </w:r>
      <w:r w:rsidR="009D4765" w:rsidRPr="00246717">
        <w:rPr>
          <w:lang w:val="pl-PL"/>
        </w:rPr>
        <w:t xml:space="preserve"> </w:t>
      </w:r>
      <w:r w:rsidR="009D4765">
        <w:rPr>
          <w:lang w:val="pl-PL"/>
        </w:rPr>
        <w:t>uzasadnienia rozstrzygnięcia</w:t>
      </w:r>
      <w:r w:rsidR="00623AB9" w:rsidRPr="00246717">
        <w:rPr>
          <w:lang w:val="pl-PL"/>
        </w:rPr>
        <w:t>. Niewiele pozostaje do dodania w kwestii objaśnienia przez większość składu orzekającego tej przesłanki w par.</w:t>
      </w:r>
      <w:r w:rsidR="00F80145">
        <w:rPr>
          <w:lang w:val="pl-PL"/>
        </w:rPr>
        <w:t> </w:t>
      </w:r>
      <w:r w:rsidR="00623AB9" w:rsidRPr="00246717">
        <w:rPr>
          <w:lang w:val="pl-PL"/>
        </w:rPr>
        <w:t>162</w:t>
      </w:r>
      <w:r w:rsidR="00F80145">
        <w:rPr>
          <w:rFonts w:cstheme="minorHAnsi"/>
          <w:lang w:val="pl-PL"/>
        </w:rPr>
        <w:t>−</w:t>
      </w:r>
      <w:r w:rsidR="00623AB9" w:rsidRPr="00246717">
        <w:rPr>
          <w:lang w:val="pl-PL"/>
        </w:rPr>
        <w:t>66 niniejszego wyroku. Niemniej chcę położyć nacisk na jedną konkretną kwestię: ponieważ prawo przewidziane w art.</w:t>
      </w:r>
      <w:r w:rsidR="00F80145">
        <w:rPr>
          <w:lang w:val="pl-PL"/>
        </w:rPr>
        <w:t> </w:t>
      </w:r>
      <w:r w:rsidR="00623AB9" w:rsidRPr="00246717">
        <w:rPr>
          <w:lang w:val="pl-PL"/>
        </w:rPr>
        <w:t>6 ust.</w:t>
      </w:r>
      <w:r w:rsidR="00F80145">
        <w:rPr>
          <w:lang w:val="pl-PL"/>
        </w:rPr>
        <w:t> </w:t>
      </w:r>
      <w:r w:rsidR="00623AB9" w:rsidRPr="00246717">
        <w:rPr>
          <w:lang w:val="pl-PL"/>
        </w:rPr>
        <w:t>3 lit.</w:t>
      </w:r>
      <w:r w:rsidR="00F80145">
        <w:rPr>
          <w:lang w:val="pl-PL"/>
        </w:rPr>
        <w:t> </w:t>
      </w:r>
      <w:r w:rsidR="00623AB9" w:rsidRPr="00246717">
        <w:rPr>
          <w:lang w:val="pl-PL"/>
        </w:rPr>
        <w:t>d Konwencji jest jedną z gwarancji minimalnych rzetelnego procesu, uzasadnienie sądów krajowych przy oddaleniu wniosku obrony powinno być proporcjonalne do jego wagi.</w:t>
      </w:r>
    </w:p>
    <w:p w14:paraId="2C11FD70" w14:textId="07A20FE8" w:rsidR="00623AB9" w:rsidRPr="00246717" w:rsidRDefault="00623AB9" w:rsidP="000957D3">
      <w:pPr>
        <w:pStyle w:val="OpiHa0"/>
        <w:rPr>
          <w:lang w:val="pl-PL"/>
        </w:rPr>
      </w:pPr>
      <w:r w:rsidRPr="00246717">
        <w:rPr>
          <w:lang w:val="pl-PL"/>
        </w:rPr>
        <w:t>c)</w:t>
      </w:r>
      <w:r w:rsidR="00F80145">
        <w:rPr>
          <w:lang w:val="pl-PL"/>
        </w:rPr>
        <w:t>  </w:t>
      </w:r>
      <w:r w:rsidRPr="00246717">
        <w:rPr>
          <w:lang w:val="pl-PL"/>
        </w:rPr>
        <w:t>Ogólna rzetelność postępowania</w:t>
      </w:r>
    </w:p>
    <w:p w14:paraId="49348B60" w14:textId="512CC5F2"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9</w:t>
      </w:r>
      <w:r w:rsidRPr="00246717">
        <w:rPr>
          <w:lang w:val="pl-PL"/>
        </w:rPr>
        <w:fldChar w:fldCharType="end"/>
      </w:r>
      <w:r w:rsidR="00623AB9" w:rsidRPr="00246717">
        <w:rPr>
          <w:lang w:val="pl-PL"/>
        </w:rPr>
        <w:t xml:space="preserve">.  Trzecia przesłanka trzystopniowego testu </w:t>
      </w:r>
      <w:r w:rsidR="00955B41">
        <w:rPr>
          <w:lang w:val="pl-PL"/>
        </w:rPr>
        <w:t xml:space="preserve">dotyczy </w:t>
      </w:r>
      <w:r w:rsidR="00955B41" w:rsidRPr="00246717">
        <w:rPr>
          <w:lang w:val="pl-PL"/>
        </w:rPr>
        <w:t>ocen</w:t>
      </w:r>
      <w:r w:rsidR="00955B41">
        <w:rPr>
          <w:lang w:val="pl-PL"/>
        </w:rPr>
        <w:t>y</w:t>
      </w:r>
      <w:r w:rsidR="00955B41" w:rsidRPr="00246717">
        <w:rPr>
          <w:lang w:val="pl-PL"/>
        </w:rPr>
        <w:t xml:space="preserve"> </w:t>
      </w:r>
      <w:r w:rsidR="00623AB9" w:rsidRPr="00246717">
        <w:rPr>
          <w:lang w:val="pl-PL"/>
        </w:rPr>
        <w:t>ogóln</w:t>
      </w:r>
      <w:r w:rsidR="00955B41">
        <w:rPr>
          <w:lang w:val="pl-PL"/>
        </w:rPr>
        <w:t>ej</w:t>
      </w:r>
      <w:r w:rsidR="00623AB9" w:rsidRPr="00246717">
        <w:rPr>
          <w:lang w:val="pl-PL"/>
        </w:rPr>
        <w:t xml:space="preserve"> rzetelnoś</w:t>
      </w:r>
      <w:r w:rsidR="00955B41">
        <w:rPr>
          <w:lang w:val="pl-PL"/>
        </w:rPr>
        <w:t>ci</w:t>
      </w:r>
      <w:r w:rsidR="00623AB9" w:rsidRPr="00246717">
        <w:rPr>
          <w:lang w:val="pl-PL"/>
        </w:rPr>
        <w:t xml:space="preserve"> postępowania, przy czym jest to nadrzędne kryterium najnowszego orzecznictwa Trybunału w skargach na gruncie art.</w:t>
      </w:r>
      <w:r w:rsidR="008D6E96">
        <w:rPr>
          <w:lang w:val="pl-PL"/>
        </w:rPr>
        <w:t> </w:t>
      </w:r>
      <w:r w:rsidR="00623AB9" w:rsidRPr="00246717">
        <w:rPr>
          <w:lang w:val="pl-PL"/>
        </w:rPr>
        <w:t>6 ust.</w:t>
      </w:r>
      <w:r w:rsidR="008D6E96">
        <w:rPr>
          <w:lang w:val="pl-PL"/>
        </w:rPr>
        <w:t> </w:t>
      </w:r>
      <w:r w:rsidR="00623AB9" w:rsidRPr="00246717">
        <w:rPr>
          <w:lang w:val="pl-PL"/>
        </w:rPr>
        <w:t>3.</w:t>
      </w:r>
      <w:r w:rsidR="00623AB9" w:rsidRPr="00246717">
        <w:rPr>
          <w:rStyle w:val="Odwoanieprzypisudolnego"/>
          <w:szCs w:val="24"/>
          <w:lang w:val="pl-PL"/>
        </w:rPr>
        <w:footnoteReference w:id="11"/>
      </w:r>
      <w:r w:rsidR="00623AB9" w:rsidRPr="00246717">
        <w:rPr>
          <w:lang w:val="pl-PL"/>
        </w:rPr>
        <w:t xml:space="preserve"> Chociaż jest to zmiana logiczna i przyjmowana z zadowoleniem, zważywszy na kluczową zasad</w:t>
      </w:r>
      <w:r w:rsidR="008D6E96">
        <w:rPr>
          <w:lang w:val="pl-PL"/>
        </w:rPr>
        <w:t>ę</w:t>
      </w:r>
      <w:r w:rsidR="00623AB9" w:rsidRPr="00246717">
        <w:rPr>
          <w:lang w:val="pl-PL"/>
        </w:rPr>
        <w:t xml:space="preserve"> regulującą wykładnię art.</w:t>
      </w:r>
      <w:r w:rsidR="008D6E96">
        <w:rPr>
          <w:lang w:val="pl-PL"/>
        </w:rPr>
        <w:t> </w:t>
      </w:r>
      <w:r w:rsidR="00623AB9" w:rsidRPr="00246717">
        <w:rPr>
          <w:lang w:val="pl-PL"/>
        </w:rPr>
        <w:t>6</w:t>
      </w:r>
      <w:r w:rsidR="00955B41">
        <w:rPr>
          <w:lang w:val="pl-PL"/>
        </w:rPr>
        <w:t>, jaką</w:t>
      </w:r>
      <w:r w:rsidR="00623AB9" w:rsidRPr="00246717">
        <w:rPr>
          <w:lang w:val="pl-PL"/>
        </w:rPr>
        <w:t xml:space="preserve"> jest pojęcie rzetelności,</w:t>
      </w:r>
      <w:r w:rsidR="00623AB9" w:rsidRPr="00246717">
        <w:rPr>
          <w:rStyle w:val="Odwoanieprzypisudolnego"/>
          <w:szCs w:val="24"/>
          <w:lang w:val="pl-PL"/>
        </w:rPr>
        <w:footnoteReference w:id="12"/>
      </w:r>
      <w:r w:rsidR="00623AB9" w:rsidRPr="00246717">
        <w:rPr>
          <w:lang w:val="pl-PL"/>
        </w:rPr>
        <w:t xml:space="preserve"> orzecznictwo Trybunału pozostaje w pewnym sensie zmienne co do tego, czy kwestię rzetelności należy rozpatrywać jedynie w ujęciu </w:t>
      </w:r>
      <w:r w:rsidR="00623AB9" w:rsidRPr="00246717">
        <w:rPr>
          <w:lang w:val="pl-PL"/>
        </w:rPr>
        <w:lastRenderedPageBreak/>
        <w:t>procesowym, czy też materialnym. Innymi słowy: czy liczy się rzetelność postępowania, czy rzetelność wyniku, a może obydwie</w:t>
      </w:r>
      <w:r w:rsidR="00955B41">
        <w:rPr>
          <w:lang w:val="pl-PL"/>
        </w:rPr>
        <w:t xml:space="preserve"> te kwestie</w:t>
      </w:r>
      <w:r w:rsidR="00623AB9" w:rsidRPr="00246717">
        <w:rPr>
          <w:lang w:val="pl-PL"/>
        </w:rPr>
        <w:t>?</w:t>
      </w:r>
    </w:p>
    <w:p w14:paraId="7FD3CBF8" w14:textId="233A1C57"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10</w:t>
      </w:r>
      <w:r w:rsidRPr="00246717">
        <w:rPr>
          <w:lang w:val="pl-PL"/>
        </w:rPr>
        <w:fldChar w:fldCharType="end"/>
      </w:r>
      <w:r w:rsidR="00623AB9" w:rsidRPr="00246717">
        <w:rPr>
          <w:lang w:val="pl-PL"/>
        </w:rPr>
        <w:t xml:space="preserve">.  Ocena ogólnej rzetelności została opracowana w odniesieniu do sytuacji, w których rozsądne było pominięcie </w:t>
      </w:r>
      <w:r w:rsidR="00955B41">
        <w:rPr>
          <w:lang w:val="pl-PL"/>
        </w:rPr>
        <w:t>znikomych</w:t>
      </w:r>
      <w:r w:rsidR="00955B41" w:rsidRPr="00246717">
        <w:rPr>
          <w:lang w:val="pl-PL"/>
        </w:rPr>
        <w:t xml:space="preserve"> </w:t>
      </w:r>
      <w:r w:rsidR="00623AB9" w:rsidRPr="00246717">
        <w:rPr>
          <w:lang w:val="pl-PL"/>
        </w:rPr>
        <w:t xml:space="preserve">naruszeń, pod warunkiem że </w:t>
      </w:r>
      <w:r w:rsidR="00955B41">
        <w:rPr>
          <w:lang w:val="pl-PL"/>
        </w:rPr>
        <w:t xml:space="preserve">całe </w:t>
      </w:r>
      <w:r w:rsidR="00623AB9" w:rsidRPr="00246717">
        <w:rPr>
          <w:lang w:val="pl-PL"/>
        </w:rPr>
        <w:t>postępowanie było rzetelne.</w:t>
      </w:r>
      <w:r w:rsidR="00623AB9" w:rsidRPr="00246717">
        <w:rPr>
          <w:rStyle w:val="Odwoanieprzypisudolnego"/>
          <w:szCs w:val="24"/>
          <w:lang w:val="pl-PL"/>
        </w:rPr>
        <w:footnoteReference w:id="13"/>
      </w:r>
      <w:r w:rsidR="00623AB9" w:rsidRPr="00246717">
        <w:rPr>
          <w:lang w:val="pl-PL"/>
        </w:rPr>
        <w:t xml:space="preserve"> W takie</w:t>
      </w:r>
      <w:r w:rsidR="00CE113B">
        <w:rPr>
          <w:lang w:val="pl-PL"/>
        </w:rPr>
        <w:t>j</w:t>
      </w:r>
      <w:r w:rsidR="00623AB9" w:rsidRPr="00246717">
        <w:rPr>
          <w:lang w:val="pl-PL"/>
        </w:rPr>
        <w:t xml:space="preserve"> ocenie Trybunał musi zbadać zakres, w jakim </w:t>
      </w:r>
      <w:r w:rsidR="00CE113B">
        <w:rPr>
          <w:lang w:val="pl-PL"/>
        </w:rPr>
        <w:t>ograniczenie</w:t>
      </w:r>
      <w:r w:rsidR="00623AB9" w:rsidRPr="00246717">
        <w:rPr>
          <w:lang w:val="pl-PL"/>
        </w:rPr>
        <w:t xml:space="preserve"> gwarancji zapewnionych na jednym etapie mogł</w:t>
      </w:r>
      <w:r w:rsidR="00CE113B">
        <w:rPr>
          <w:lang w:val="pl-PL"/>
        </w:rPr>
        <w:t>o</w:t>
      </w:r>
      <w:r w:rsidR="00623AB9" w:rsidRPr="00246717">
        <w:rPr>
          <w:lang w:val="pl-PL"/>
        </w:rPr>
        <w:t xml:space="preserve"> zostać zrekompensowan</w:t>
      </w:r>
      <w:r w:rsidR="00CE113B">
        <w:rPr>
          <w:lang w:val="pl-PL"/>
        </w:rPr>
        <w:t>e</w:t>
      </w:r>
      <w:r w:rsidR="00623AB9" w:rsidRPr="00246717">
        <w:rPr>
          <w:lang w:val="pl-PL"/>
        </w:rPr>
        <w:t xml:space="preserve"> innymi gwarancjami.</w:t>
      </w:r>
      <w:r w:rsidR="00623AB9" w:rsidRPr="00246717">
        <w:rPr>
          <w:rStyle w:val="Odwoanieprzypisudolnego"/>
          <w:szCs w:val="24"/>
          <w:lang w:val="pl-PL"/>
        </w:rPr>
        <w:footnoteReference w:id="14"/>
      </w:r>
      <w:r w:rsidR="00623AB9" w:rsidRPr="00246717">
        <w:rPr>
          <w:lang w:val="pl-PL"/>
        </w:rPr>
        <w:t xml:space="preserve"> W swoim orzecznictwie Trybunał opracował kilka elementów składowych pojęcia rzetelności postępowania, a są nimi: a)</w:t>
      </w:r>
      <w:r w:rsidR="00CE113B">
        <w:rPr>
          <w:lang w:val="pl-PL"/>
        </w:rPr>
        <w:t> </w:t>
      </w:r>
      <w:r w:rsidR="00623AB9" w:rsidRPr="00246717">
        <w:rPr>
          <w:lang w:val="pl-PL"/>
        </w:rPr>
        <w:t>równość stron;</w:t>
      </w:r>
      <w:r w:rsidR="00623AB9" w:rsidRPr="00246717">
        <w:rPr>
          <w:rStyle w:val="Odwoanieprzypisudolnego"/>
          <w:szCs w:val="24"/>
          <w:lang w:val="pl-PL"/>
        </w:rPr>
        <w:footnoteReference w:id="15"/>
      </w:r>
      <w:r w:rsidR="00623AB9" w:rsidRPr="00246717">
        <w:rPr>
          <w:lang w:val="pl-PL"/>
        </w:rPr>
        <w:t xml:space="preserve"> b) kontradyktoryjny charakter postępowania;</w:t>
      </w:r>
      <w:r w:rsidR="00623AB9" w:rsidRPr="00246717">
        <w:rPr>
          <w:rStyle w:val="Odwoanieprzypisudolnego"/>
          <w:szCs w:val="24"/>
          <w:lang w:val="pl-PL"/>
        </w:rPr>
        <w:footnoteReference w:id="16"/>
      </w:r>
      <w:r w:rsidR="00623AB9" w:rsidRPr="00246717">
        <w:rPr>
          <w:lang w:val="pl-PL"/>
        </w:rPr>
        <w:t xml:space="preserve"> c)</w:t>
      </w:r>
      <w:r w:rsidR="00CE113B">
        <w:rPr>
          <w:lang w:val="pl-PL"/>
        </w:rPr>
        <w:t> </w:t>
      </w:r>
      <w:r w:rsidR="00623AB9" w:rsidRPr="00246717">
        <w:rPr>
          <w:lang w:val="pl-PL"/>
        </w:rPr>
        <w:t>skuteczne uczestnictwo w postępowaniu;</w:t>
      </w:r>
      <w:r w:rsidR="00623AB9" w:rsidRPr="00246717">
        <w:rPr>
          <w:rStyle w:val="Odwoanieprzypisudolnego"/>
          <w:szCs w:val="24"/>
          <w:lang w:val="pl-PL"/>
        </w:rPr>
        <w:footnoteReference w:id="17"/>
      </w:r>
      <w:r w:rsidR="00623AB9" w:rsidRPr="00246717">
        <w:rPr>
          <w:lang w:val="pl-PL"/>
        </w:rPr>
        <w:t xml:space="preserve"> d) wymóg uzasadnienia orzeczenia;</w:t>
      </w:r>
      <w:r w:rsidR="00623AB9" w:rsidRPr="00246717">
        <w:rPr>
          <w:rStyle w:val="Odwoanieprzypisudolnego"/>
          <w:szCs w:val="24"/>
          <w:lang w:val="pl-PL"/>
        </w:rPr>
        <w:footnoteReference w:id="18"/>
      </w:r>
      <w:r w:rsidR="00623AB9" w:rsidRPr="00246717">
        <w:rPr>
          <w:lang w:val="pl-PL"/>
        </w:rPr>
        <w:t xml:space="preserve"> e) zasada bezpośredniości;</w:t>
      </w:r>
      <w:r w:rsidR="00623AB9" w:rsidRPr="00246717">
        <w:rPr>
          <w:rStyle w:val="Odwoanieprzypisudolnego"/>
          <w:szCs w:val="24"/>
          <w:lang w:val="pl-PL"/>
        </w:rPr>
        <w:footnoteReference w:id="19"/>
      </w:r>
      <w:r w:rsidR="00623AB9" w:rsidRPr="00246717">
        <w:rPr>
          <w:lang w:val="pl-PL"/>
        </w:rPr>
        <w:t xml:space="preserve"> f) sprawiedliwy i prawidłowo funkcjonujący wymiar sprawiedliwości;</w:t>
      </w:r>
      <w:r w:rsidR="00623AB9" w:rsidRPr="00246717">
        <w:rPr>
          <w:rStyle w:val="Odwoanieprzypisudolnego"/>
          <w:szCs w:val="24"/>
          <w:lang w:val="pl-PL"/>
        </w:rPr>
        <w:footnoteReference w:id="20"/>
      </w:r>
      <w:r w:rsidR="00623AB9" w:rsidRPr="00246717">
        <w:rPr>
          <w:lang w:val="pl-PL"/>
        </w:rPr>
        <w:t xml:space="preserve"> g) zasada pewności prawa</w:t>
      </w:r>
      <w:r w:rsidR="00CE113B">
        <w:rPr>
          <w:lang w:val="pl-PL"/>
        </w:rPr>
        <w:t>.</w:t>
      </w:r>
      <w:r w:rsidR="00623AB9" w:rsidRPr="00246717">
        <w:rPr>
          <w:rStyle w:val="Odwoanieprzypisudolnego"/>
          <w:szCs w:val="24"/>
          <w:lang w:val="pl-PL"/>
        </w:rPr>
        <w:footnoteReference w:id="21"/>
      </w:r>
      <w:r w:rsidR="00623AB9" w:rsidRPr="00246717">
        <w:rPr>
          <w:rStyle w:val="Odwoanieprzypisudolnego"/>
          <w:rFonts w:ascii="Times New Roman" w:hAnsi="Times New Roman"/>
          <w:szCs w:val="24"/>
          <w:lang w:val="pl-PL"/>
        </w:rPr>
        <w:t>.</w:t>
      </w:r>
      <w:r w:rsidR="00623AB9" w:rsidRPr="00246717">
        <w:rPr>
          <w:lang w:val="pl-PL"/>
        </w:rPr>
        <w:t>Te elementy uzupełniają niewyczerpując</w:t>
      </w:r>
      <w:r w:rsidR="00955B41">
        <w:rPr>
          <w:lang w:val="pl-PL"/>
        </w:rPr>
        <w:t>y</w:t>
      </w:r>
      <w:r w:rsidR="00623AB9" w:rsidRPr="00246717">
        <w:rPr>
          <w:lang w:val="pl-PL"/>
        </w:rPr>
        <w:t xml:space="preserve"> </w:t>
      </w:r>
      <w:r w:rsidR="00955B41">
        <w:rPr>
          <w:lang w:val="pl-PL"/>
        </w:rPr>
        <w:t xml:space="preserve">katalog </w:t>
      </w:r>
      <w:r w:rsidR="00623AB9" w:rsidRPr="00246717">
        <w:rPr>
          <w:lang w:val="pl-PL"/>
        </w:rPr>
        <w:t>wymogów, które zostały wprost przewidziane w postanowieniach art.</w:t>
      </w:r>
      <w:r w:rsidR="00CE113B">
        <w:rPr>
          <w:lang w:val="pl-PL"/>
        </w:rPr>
        <w:t> </w:t>
      </w:r>
      <w:r w:rsidR="00623AB9" w:rsidRPr="00246717">
        <w:rPr>
          <w:lang w:val="pl-PL"/>
        </w:rPr>
        <w:t>6 Konwencji. Uwzględniłem i</w:t>
      </w:r>
      <w:r w:rsidR="00CE113B">
        <w:rPr>
          <w:lang w:val="pl-PL"/>
        </w:rPr>
        <w:t> </w:t>
      </w:r>
      <w:r w:rsidR="00623AB9" w:rsidRPr="00246717">
        <w:rPr>
          <w:lang w:val="pl-PL"/>
        </w:rPr>
        <w:t>omówiłem niektóre z nich powyżej, w ramach pierwszych dwóch przesłanek trzystopniowego testu.</w:t>
      </w:r>
    </w:p>
    <w:p w14:paraId="7B44F116" w14:textId="1FEF0F0D"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11</w:t>
      </w:r>
      <w:r w:rsidRPr="00246717">
        <w:rPr>
          <w:lang w:val="pl-PL"/>
        </w:rPr>
        <w:fldChar w:fldCharType="end"/>
      </w:r>
      <w:r w:rsidR="00623AB9" w:rsidRPr="00246717">
        <w:rPr>
          <w:lang w:val="pl-PL"/>
        </w:rPr>
        <w:t xml:space="preserve">.  W niektórych </w:t>
      </w:r>
      <w:r w:rsidR="00955B41">
        <w:rPr>
          <w:lang w:val="pl-PL"/>
        </w:rPr>
        <w:t>bezprecedensowych</w:t>
      </w:r>
      <w:r w:rsidR="00955B41" w:rsidRPr="00246717">
        <w:rPr>
          <w:lang w:val="pl-PL"/>
        </w:rPr>
        <w:t xml:space="preserve"> </w:t>
      </w:r>
      <w:r w:rsidR="00623AB9" w:rsidRPr="00246717">
        <w:rPr>
          <w:lang w:val="pl-PL"/>
        </w:rPr>
        <w:t xml:space="preserve">wyrokach, w których między innymi rozpatrywano braki związane z gromadzeniem dowodów, przyznano istotną wagę </w:t>
      </w:r>
      <w:r w:rsidR="00955B41" w:rsidRPr="00246717">
        <w:rPr>
          <w:lang w:val="pl-PL"/>
        </w:rPr>
        <w:t>wa</w:t>
      </w:r>
      <w:r w:rsidR="00955B41">
        <w:rPr>
          <w:lang w:val="pl-PL"/>
        </w:rPr>
        <w:t>lorowi</w:t>
      </w:r>
      <w:r w:rsidR="00955B41" w:rsidRPr="00246717">
        <w:rPr>
          <w:lang w:val="pl-PL"/>
        </w:rPr>
        <w:t xml:space="preserve"> </w:t>
      </w:r>
      <w:r w:rsidR="00623AB9" w:rsidRPr="00246717">
        <w:rPr>
          <w:lang w:val="pl-PL"/>
        </w:rPr>
        <w:t>dowodow</w:t>
      </w:r>
      <w:r w:rsidR="00955B41">
        <w:rPr>
          <w:lang w:val="pl-PL"/>
        </w:rPr>
        <w:t>emu</w:t>
      </w:r>
      <w:r w:rsidR="00623AB9" w:rsidRPr="00246717">
        <w:rPr>
          <w:lang w:val="pl-PL"/>
        </w:rPr>
        <w:t xml:space="preserve"> takich dowodów. </w:t>
      </w:r>
      <w:r w:rsidR="00CE113B">
        <w:rPr>
          <w:lang w:val="pl-PL"/>
        </w:rPr>
        <w:t>Stałoby</w:t>
      </w:r>
      <w:r w:rsidR="00623AB9" w:rsidRPr="00246717">
        <w:rPr>
          <w:lang w:val="pl-PL"/>
        </w:rPr>
        <w:t xml:space="preserve"> to w</w:t>
      </w:r>
      <w:r w:rsidR="00CE113B">
        <w:rPr>
          <w:lang w:val="pl-PL"/>
        </w:rPr>
        <w:t> </w:t>
      </w:r>
      <w:r w:rsidR="00623AB9" w:rsidRPr="00246717">
        <w:rPr>
          <w:lang w:val="pl-PL"/>
        </w:rPr>
        <w:t>sprzeczności z</w:t>
      </w:r>
      <w:r w:rsidR="00CE113B">
        <w:rPr>
          <w:lang w:val="pl-PL"/>
        </w:rPr>
        <w:t> </w:t>
      </w:r>
      <w:r w:rsidR="00623AB9" w:rsidRPr="00246717">
        <w:rPr>
          <w:lang w:val="pl-PL"/>
        </w:rPr>
        <w:t>„proceduralnym podejściem” do oceny rzetelności i</w:t>
      </w:r>
      <w:r w:rsidR="00CE113B">
        <w:rPr>
          <w:lang w:val="pl-PL"/>
        </w:rPr>
        <w:t> </w:t>
      </w:r>
      <w:r w:rsidR="00955B41">
        <w:rPr>
          <w:lang w:val="pl-PL"/>
        </w:rPr>
        <w:t>sprowadziło</w:t>
      </w:r>
      <w:r w:rsidR="00955B41" w:rsidRPr="00246717">
        <w:rPr>
          <w:lang w:val="pl-PL"/>
        </w:rPr>
        <w:t xml:space="preserve"> </w:t>
      </w:r>
      <w:r w:rsidR="00623AB9" w:rsidRPr="00246717">
        <w:rPr>
          <w:lang w:val="pl-PL"/>
        </w:rPr>
        <w:t xml:space="preserve">rozpoznanie </w:t>
      </w:r>
      <w:r w:rsidR="00955B41">
        <w:rPr>
          <w:lang w:val="pl-PL"/>
        </w:rPr>
        <w:t xml:space="preserve">sprawy do </w:t>
      </w:r>
      <w:r w:rsidR="00623AB9" w:rsidRPr="00246717">
        <w:rPr>
          <w:lang w:val="pl-PL"/>
        </w:rPr>
        <w:t>rozpoznani</w:t>
      </w:r>
      <w:r w:rsidR="00955B41">
        <w:rPr>
          <w:lang w:val="pl-PL"/>
        </w:rPr>
        <w:t>a</w:t>
      </w:r>
      <w:r w:rsidR="00623AB9" w:rsidRPr="00246717">
        <w:rPr>
          <w:lang w:val="pl-PL"/>
        </w:rPr>
        <w:t xml:space="preserve"> merytoryczne</w:t>
      </w:r>
      <w:r w:rsidR="00955B41">
        <w:rPr>
          <w:lang w:val="pl-PL"/>
        </w:rPr>
        <w:t>go</w:t>
      </w:r>
      <w:r w:rsidR="00623AB9" w:rsidRPr="00246717">
        <w:rPr>
          <w:lang w:val="pl-PL"/>
        </w:rPr>
        <w:t>. Na przykład w</w:t>
      </w:r>
      <w:r w:rsidR="00CE113B">
        <w:rPr>
          <w:lang w:val="pl-PL"/>
        </w:rPr>
        <w:t> </w:t>
      </w:r>
      <w:r w:rsidR="00623AB9" w:rsidRPr="00246717">
        <w:rPr>
          <w:lang w:val="pl-PL"/>
        </w:rPr>
        <w:t xml:space="preserve">sprawie </w:t>
      </w:r>
      <w:r w:rsidR="00623AB9" w:rsidRPr="00246717">
        <w:rPr>
          <w:i/>
          <w:iCs/>
          <w:lang w:val="pl-PL"/>
        </w:rPr>
        <w:t>Ibrahim i Inni</w:t>
      </w:r>
      <w:r w:rsidR="00623AB9" w:rsidRPr="00246717">
        <w:rPr>
          <w:rStyle w:val="Odwoanieprzypisudolnego"/>
          <w:szCs w:val="24"/>
          <w:lang w:val="pl-PL"/>
        </w:rPr>
        <w:footnoteReference w:id="22"/>
      </w:r>
      <w:r w:rsidR="00623AB9" w:rsidRPr="00246717">
        <w:rPr>
          <w:lang w:val="pl-PL"/>
        </w:rPr>
        <w:t xml:space="preserve"> przy badaniu wpływu uchybień proceduralnych na etapie postępowania przygotowawczego na ogólną </w:t>
      </w:r>
      <w:r w:rsidR="00623AB9" w:rsidRPr="00246717">
        <w:rPr>
          <w:lang w:val="pl-PL"/>
        </w:rPr>
        <w:lastRenderedPageBreak/>
        <w:t xml:space="preserve">rzetelność postępowania karnego Trybunał orzekł, że należy między innymi uwzględnić jakość materiału dowodowego </w:t>
      </w:r>
      <w:r w:rsidR="001D79CD">
        <w:rPr>
          <w:lang w:val="pl-PL"/>
        </w:rPr>
        <w:t xml:space="preserve">oraz to, </w:t>
      </w:r>
      <w:r w:rsidR="00623AB9" w:rsidRPr="00246717">
        <w:rPr>
          <w:lang w:val="pl-PL"/>
        </w:rPr>
        <w:t xml:space="preserve">czy okoliczności, w których został uzyskany budzą wątpliwość co do jego wiarygodności lub dokładności, biorąc pod uwagę stopień i charakter przymusu, a także wykorzystanie tych dowodów, w szczególności czy dowody stanowiły integralną lub znaczącą część materiału dowodowego, na którym opierał się wyrok skazujący, a także </w:t>
      </w:r>
      <w:r w:rsidR="00BC2D46">
        <w:rPr>
          <w:lang w:val="pl-PL"/>
        </w:rPr>
        <w:t>wartość</w:t>
      </w:r>
      <w:r w:rsidR="00BC2D46" w:rsidRPr="00246717">
        <w:rPr>
          <w:lang w:val="pl-PL"/>
        </w:rPr>
        <w:t xml:space="preserve"> </w:t>
      </w:r>
      <w:r w:rsidR="00623AB9" w:rsidRPr="00246717">
        <w:rPr>
          <w:lang w:val="pl-PL"/>
        </w:rPr>
        <w:t xml:space="preserve">pozostałych dowodów w sprawie. Niemniej </w:t>
      </w:r>
      <w:r w:rsidR="00BC2D46">
        <w:rPr>
          <w:lang w:val="pl-PL"/>
        </w:rPr>
        <w:t xml:space="preserve">nad </w:t>
      </w:r>
      <w:r w:rsidR="00623AB9" w:rsidRPr="00246717">
        <w:rPr>
          <w:lang w:val="pl-PL"/>
        </w:rPr>
        <w:t>t</w:t>
      </w:r>
      <w:r w:rsidR="00BC2D46">
        <w:rPr>
          <w:lang w:val="pl-PL"/>
        </w:rPr>
        <w:t>ymi</w:t>
      </w:r>
      <w:r w:rsidR="00623AB9" w:rsidRPr="00246717">
        <w:rPr>
          <w:lang w:val="pl-PL"/>
        </w:rPr>
        <w:t xml:space="preserve"> element</w:t>
      </w:r>
      <w:r w:rsidR="00BC2D46">
        <w:rPr>
          <w:lang w:val="pl-PL"/>
        </w:rPr>
        <w:t>ami</w:t>
      </w:r>
      <w:r w:rsidR="00623AB9" w:rsidRPr="00246717">
        <w:rPr>
          <w:lang w:val="pl-PL"/>
        </w:rPr>
        <w:t xml:space="preserve"> materialn</w:t>
      </w:r>
      <w:r w:rsidR="00BC2D46">
        <w:rPr>
          <w:lang w:val="pl-PL"/>
        </w:rPr>
        <w:t>ymi</w:t>
      </w:r>
      <w:r w:rsidR="00623AB9" w:rsidRPr="00246717">
        <w:rPr>
          <w:lang w:val="pl-PL"/>
        </w:rPr>
        <w:t xml:space="preserve"> oceny ogólnej rzetelności </w:t>
      </w:r>
      <w:r w:rsidR="00BC2D46">
        <w:rPr>
          <w:lang w:val="pl-PL"/>
        </w:rPr>
        <w:t>przeważyła</w:t>
      </w:r>
      <w:r w:rsidR="00623AB9" w:rsidRPr="00246717">
        <w:rPr>
          <w:lang w:val="pl-PL"/>
        </w:rPr>
        <w:t xml:space="preserve"> </w:t>
      </w:r>
      <w:r w:rsidR="00BC2D46">
        <w:rPr>
          <w:lang w:val="pl-PL"/>
        </w:rPr>
        <w:t>znaczna</w:t>
      </w:r>
      <w:r w:rsidR="00BC2D46" w:rsidRPr="00246717">
        <w:rPr>
          <w:lang w:val="pl-PL"/>
        </w:rPr>
        <w:t xml:space="preserve"> </w:t>
      </w:r>
      <w:r w:rsidR="00623AB9" w:rsidRPr="00246717">
        <w:rPr>
          <w:lang w:val="pl-PL"/>
        </w:rPr>
        <w:t>iloś</w:t>
      </w:r>
      <w:r w:rsidR="00BC2D46">
        <w:rPr>
          <w:lang w:val="pl-PL"/>
        </w:rPr>
        <w:t>ć</w:t>
      </w:r>
      <w:r w:rsidR="00623AB9" w:rsidRPr="00246717">
        <w:rPr>
          <w:lang w:val="pl-PL"/>
        </w:rPr>
        <w:t xml:space="preserve"> elementów czysto proceduralnych. Nie można tego powiedzieć w przypadku badania skarg dotyczących wykorzystywania dowodów uzyskanych z naruszeniem praw przewidzianych w Konwencji. W sprawie </w:t>
      </w:r>
      <w:proofErr w:type="spellStart"/>
      <w:r w:rsidR="00623AB9" w:rsidRPr="00246717">
        <w:rPr>
          <w:i/>
          <w:iCs/>
          <w:lang w:val="pl-PL"/>
        </w:rPr>
        <w:t>Bykov</w:t>
      </w:r>
      <w:proofErr w:type="spellEnd"/>
      <w:r w:rsidR="00623AB9" w:rsidRPr="00246717">
        <w:rPr>
          <w:rStyle w:val="Odwoanieprzypisudolnego"/>
          <w:szCs w:val="24"/>
          <w:lang w:val="pl-PL"/>
        </w:rPr>
        <w:footnoteReference w:id="23"/>
      </w:r>
      <w:r w:rsidR="00623AB9" w:rsidRPr="00246717">
        <w:rPr>
          <w:lang w:val="pl-PL"/>
        </w:rPr>
        <w:t xml:space="preserve"> Trybunał podkreślił, że konieczne było zbadanie, czy istniały jakiekolwiek wątpliwości co do jakości materiału dowodowego, w tym czy okoliczności, w jakich uzyskano dowód budzą wątpliwości co do jego wiarygodności lub dokładności, i czy istniały dowody na poparcie wyroku skazującego oskarżonego. Takie podejście było krytykowane przed i po wydaniu wyżej wspomnianego wyroku.</w:t>
      </w:r>
      <w:r w:rsidR="00623AB9" w:rsidRPr="00246717">
        <w:rPr>
          <w:rStyle w:val="Odwoanieprzypisudolnego"/>
          <w:szCs w:val="24"/>
          <w:lang w:val="pl-PL"/>
        </w:rPr>
        <w:footnoteReference w:id="24"/>
      </w:r>
    </w:p>
    <w:p w14:paraId="1EE1CCE9" w14:textId="13022528"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12</w:t>
      </w:r>
      <w:r w:rsidRPr="00246717">
        <w:rPr>
          <w:lang w:val="pl-PL"/>
        </w:rPr>
        <w:fldChar w:fldCharType="end"/>
      </w:r>
      <w:r w:rsidR="00623AB9" w:rsidRPr="00246717">
        <w:rPr>
          <w:lang w:val="pl-PL"/>
        </w:rPr>
        <w:t>.  Tym niemniej orzecznictwo Trybunału w tej kwestii jest niespójne i</w:t>
      </w:r>
      <w:r w:rsidR="001D79CD">
        <w:rPr>
          <w:lang w:val="pl-PL"/>
        </w:rPr>
        <w:t> </w:t>
      </w:r>
      <w:r w:rsidR="00623AB9" w:rsidRPr="00246717">
        <w:rPr>
          <w:lang w:val="pl-PL"/>
        </w:rPr>
        <w:t xml:space="preserve">, wydając niniejszy wyrok, </w:t>
      </w:r>
      <w:r w:rsidR="00BC2D46" w:rsidRPr="00246717">
        <w:rPr>
          <w:lang w:val="pl-PL"/>
        </w:rPr>
        <w:t xml:space="preserve">Wielka Izba nie </w:t>
      </w:r>
      <w:r w:rsidR="00BC2D46">
        <w:rPr>
          <w:lang w:val="pl-PL"/>
        </w:rPr>
        <w:t>skorzystała</w:t>
      </w:r>
      <w:r w:rsidR="00BC2D46" w:rsidRPr="00246717">
        <w:rPr>
          <w:lang w:val="pl-PL"/>
        </w:rPr>
        <w:t xml:space="preserve"> </w:t>
      </w:r>
      <w:r w:rsidR="00623AB9" w:rsidRPr="00246717">
        <w:rPr>
          <w:lang w:val="pl-PL"/>
        </w:rPr>
        <w:t>z możliwości sprecyzowania swojego stanowiska w tym względzie. O ile można doskonale zrozumieć, że Trybunał nie może stanąć po stronie jakiejkolwiek konkretnej teorii prawnej sprawiedliwości i</w:t>
      </w:r>
      <w:r w:rsidR="001D79CD">
        <w:rPr>
          <w:lang w:val="pl-PL"/>
        </w:rPr>
        <w:t> </w:t>
      </w:r>
      <w:r w:rsidR="00623AB9" w:rsidRPr="00246717">
        <w:rPr>
          <w:lang w:val="pl-PL"/>
        </w:rPr>
        <w:t xml:space="preserve">rzetelności, chciałbym stwierdzić, że to podejście powinno pozostać proceduralne i, w miarę możliwości, powinno unikać oceny rzetelności wyniku. </w:t>
      </w:r>
      <w:r w:rsidR="00BC2D46">
        <w:rPr>
          <w:lang w:val="pl-PL"/>
        </w:rPr>
        <w:t>Przemawiają za tym liczne przesłanki</w:t>
      </w:r>
      <w:r w:rsidR="00623AB9" w:rsidRPr="00246717">
        <w:rPr>
          <w:lang w:val="pl-PL"/>
        </w:rPr>
        <w:t>. Po pierwsze</w:t>
      </w:r>
      <w:r w:rsidR="001D79CD">
        <w:rPr>
          <w:lang w:val="pl-PL"/>
        </w:rPr>
        <w:t>,</w:t>
      </w:r>
      <w:r w:rsidR="00623AB9" w:rsidRPr="00246717">
        <w:rPr>
          <w:lang w:val="pl-PL"/>
        </w:rPr>
        <w:t xml:space="preserve"> nadrzędnym elementem uwzględnianym przy orzekaniu w przedmiocie skarg na gruncie art.</w:t>
      </w:r>
      <w:r w:rsidR="001D79CD">
        <w:rPr>
          <w:lang w:val="pl-PL"/>
        </w:rPr>
        <w:t> </w:t>
      </w:r>
      <w:r w:rsidR="00623AB9" w:rsidRPr="00246717">
        <w:rPr>
          <w:lang w:val="pl-PL"/>
        </w:rPr>
        <w:t>6</w:t>
      </w:r>
      <w:r w:rsidR="001D79CD">
        <w:rPr>
          <w:lang w:val="pl-PL"/>
        </w:rPr>
        <w:t> </w:t>
      </w:r>
      <w:r w:rsidR="00623AB9" w:rsidRPr="00246717">
        <w:rPr>
          <w:lang w:val="pl-PL"/>
        </w:rPr>
        <w:t>ust.</w:t>
      </w:r>
      <w:r w:rsidR="001D79CD">
        <w:rPr>
          <w:lang w:val="pl-PL"/>
        </w:rPr>
        <w:t> </w:t>
      </w:r>
      <w:r w:rsidR="00623AB9" w:rsidRPr="00246717">
        <w:rPr>
          <w:lang w:val="pl-PL"/>
        </w:rPr>
        <w:t>3</w:t>
      </w:r>
      <w:r w:rsidR="001D79CD">
        <w:rPr>
          <w:lang w:val="pl-PL"/>
        </w:rPr>
        <w:t> </w:t>
      </w:r>
      <w:r w:rsidR="00623AB9" w:rsidRPr="00246717">
        <w:rPr>
          <w:lang w:val="pl-PL"/>
        </w:rPr>
        <w:t>Konwencji jest (ogólna) rzetelność postępowania, a nie jego wynik. Po drugie</w:t>
      </w:r>
      <w:r w:rsidR="001D79CD">
        <w:rPr>
          <w:lang w:val="pl-PL"/>
        </w:rPr>
        <w:t>,</w:t>
      </w:r>
      <w:r w:rsidR="00623AB9" w:rsidRPr="00246717">
        <w:rPr>
          <w:lang w:val="pl-PL"/>
        </w:rPr>
        <w:t xml:space="preserve"> jest to logiczna konsekwencja faktu, zgodnie z którym art.</w:t>
      </w:r>
      <w:r w:rsidR="001D79CD">
        <w:rPr>
          <w:lang w:val="pl-PL"/>
        </w:rPr>
        <w:t> </w:t>
      </w:r>
      <w:r w:rsidR="00623AB9" w:rsidRPr="00246717">
        <w:rPr>
          <w:lang w:val="pl-PL"/>
        </w:rPr>
        <w:t>6 gwarantuje podstawowe prawa proceduralne. Z drugiej strony nie ma prawa przewidzianego w Konwencji ani w protokołach</w:t>
      </w:r>
      <w:r w:rsidR="001D79CD">
        <w:rPr>
          <w:lang w:val="pl-PL"/>
        </w:rPr>
        <w:t xml:space="preserve"> do niej</w:t>
      </w:r>
      <w:r w:rsidR="00623AB9" w:rsidRPr="00246717">
        <w:rPr>
          <w:lang w:val="pl-PL"/>
        </w:rPr>
        <w:t xml:space="preserve"> gwarantującego jakikolwiek określony wynik w postępowaniu karnym. Po trzecie, jak stale podkreśla Trybunał, nie jest on sądem czwartej instancji i</w:t>
      </w:r>
      <w:r w:rsidR="001D79CD">
        <w:rPr>
          <w:lang w:val="pl-PL"/>
        </w:rPr>
        <w:t> </w:t>
      </w:r>
      <w:r w:rsidR="00623AB9" w:rsidRPr="00246717">
        <w:rPr>
          <w:lang w:val="pl-PL"/>
        </w:rPr>
        <w:t>nie może, co do zasady, orzekać w kwestiach błędów faktycznych.</w:t>
      </w:r>
      <w:r w:rsidR="00623AB9" w:rsidRPr="00246717">
        <w:rPr>
          <w:vertAlign w:val="superscript"/>
          <w:lang w:val="pl-PL"/>
        </w:rPr>
        <w:footnoteReference w:id="25"/>
      </w:r>
      <w:r w:rsidR="00623AB9" w:rsidRPr="00246717">
        <w:rPr>
          <w:lang w:val="pl-PL"/>
        </w:rPr>
        <w:t xml:space="preserve"> </w:t>
      </w:r>
      <w:r w:rsidR="00BC2D46">
        <w:rPr>
          <w:lang w:val="pl-PL"/>
        </w:rPr>
        <w:t>Tym samym Trybunał</w:t>
      </w:r>
      <w:r w:rsidR="00623AB9" w:rsidRPr="00246717">
        <w:rPr>
          <w:lang w:val="pl-PL"/>
        </w:rPr>
        <w:t xml:space="preserve"> nie może i nie wolno mu dokonywać oceny tego, czy dowody przedstawione przeciwko oskarżonemu w danym postępowaniu karnym na szczeblu krajowym były wystarczające, wiarygodne i dokładne </w:t>
      </w:r>
      <w:r w:rsidR="001D79CD">
        <w:rPr>
          <w:lang w:val="pl-PL"/>
        </w:rPr>
        <w:t>oraz</w:t>
      </w:r>
      <w:r w:rsidR="00623AB9" w:rsidRPr="00246717">
        <w:rPr>
          <w:lang w:val="pl-PL"/>
        </w:rPr>
        <w:t xml:space="preserve"> czy wydanie wyroku skazującego było sprawiedliwe. Może natomiast zweryfikować, czy postępowanie karne jako takie było rzetelne. Elementy składowe pojęcia rzetelności opisane w punkcie </w:t>
      </w:r>
      <w:r w:rsidR="00623AB9" w:rsidRPr="00246717">
        <w:rPr>
          <w:lang w:val="pl-PL"/>
        </w:rPr>
        <w:lastRenderedPageBreak/>
        <w:t>10 niniejszej rozbieżnej opinii mogą posłużyć jako przydatne źródło inspiracji.</w:t>
      </w:r>
    </w:p>
    <w:p w14:paraId="577EBA1F" w14:textId="0AA3644F" w:rsidR="00623AB9" w:rsidRPr="00246717" w:rsidRDefault="00623AB9" w:rsidP="000957D3">
      <w:pPr>
        <w:pStyle w:val="OpiH1"/>
        <w:rPr>
          <w:lang w:val="pl-PL"/>
        </w:rPr>
      </w:pPr>
      <w:r w:rsidRPr="00246717">
        <w:rPr>
          <w:lang w:val="pl-PL"/>
        </w:rPr>
        <w:t>II.</w:t>
      </w:r>
      <w:r w:rsidR="009901AB">
        <w:rPr>
          <w:lang w:val="pl-PL"/>
        </w:rPr>
        <w:t>  </w:t>
      </w:r>
      <w:r w:rsidRPr="00246717">
        <w:rPr>
          <w:lang w:val="pl-PL"/>
        </w:rPr>
        <w:t>Zastosowanie testu trzystopniowego w niniejszej sprawie</w:t>
      </w:r>
    </w:p>
    <w:p w14:paraId="33B708EF" w14:textId="394BCEBE" w:rsidR="00623AB9" w:rsidRPr="00246717" w:rsidRDefault="00623AB9" w:rsidP="000957D3">
      <w:pPr>
        <w:pStyle w:val="OpiHa0"/>
        <w:rPr>
          <w:lang w:val="pl-PL"/>
        </w:rPr>
      </w:pPr>
      <w:r w:rsidRPr="00246717">
        <w:rPr>
          <w:lang w:val="pl-PL"/>
        </w:rPr>
        <w:t>a)</w:t>
      </w:r>
      <w:r w:rsidR="009901AB">
        <w:rPr>
          <w:lang w:val="pl-PL"/>
        </w:rPr>
        <w:t>  </w:t>
      </w:r>
      <w:r w:rsidRPr="00246717">
        <w:rPr>
          <w:lang w:val="pl-PL"/>
        </w:rPr>
        <w:t>Kontekst wniosku skarżącej</w:t>
      </w:r>
    </w:p>
    <w:p w14:paraId="0FDE9238" w14:textId="73F18628"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13</w:t>
      </w:r>
      <w:r w:rsidRPr="00246717">
        <w:rPr>
          <w:lang w:val="pl-PL"/>
        </w:rPr>
        <w:fldChar w:fldCharType="end"/>
      </w:r>
      <w:r w:rsidR="00623AB9" w:rsidRPr="00246717">
        <w:rPr>
          <w:lang w:val="pl-PL"/>
        </w:rPr>
        <w:t>.  </w:t>
      </w:r>
      <w:r w:rsidR="00BC2D46">
        <w:rPr>
          <w:lang w:val="pl-PL"/>
        </w:rPr>
        <w:t>Na gruncie</w:t>
      </w:r>
      <w:r w:rsidR="00623AB9" w:rsidRPr="00246717">
        <w:rPr>
          <w:lang w:val="pl-PL"/>
        </w:rPr>
        <w:t xml:space="preserve"> okoliczności niniejszej sprawy zauważamy, że co najmniej począwszy od złożenia pisemnego wniosku na etapie postępowania przygotowawczego w dniu 12 października 2004</w:t>
      </w:r>
      <w:r w:rsidR="009901AB">
        <w:rPr>
          <w:lang w:val="pl-PL"/>
        </w:rPr>
        <w:t> </w:t>
      </w:r>
      <w:r w:rsidR="00623AB9" w:rsidRPr="00246717">
        <w:rPr>
          <w:lang w:val="pl-PL"/>
        </w:rPr>
        <w:t xml:space="preserve">r. skarżąca twierdziła, że plastyczne materiały wybuchowe znalezione w jej torebce podczas przeszukania na posterunku policji zostały jej podrzucone przez policję. </w:t>
      </w:r>
      <w:r w:rsidR="00BC2D46">
        <w:rPr>
          <w:lang w:val="pl-PL"/>
        </w:rPr>
        <w:t>Na rozprawie</w:t>
      </w:r>
      <w:r w:rsidR="00623AB9" w:rsidRPr="00246717">
        <w:rPr>
          <w:lang w:val="pl-PL"/>
        </w:rPr>
        <w:t xml:space="preserve"> skarżąca nie przyznała się do </w:t>
      </w:r>
      <w:r w:rsidR="00BC2D46" w:rsidRPr="00246717">
        <w:rPr>
          <w:lang w:val="pl-PL"/>
        </w:rPr>
        <w:t>zarzu</w:t>
      </w:r>
      <w:r w:rsidR="00BC2D46">
        <w:rPr>
          <w:lang w:val="pl-PL"/>
        </w:rPr>
        <w:t>canych jej czynów</w:t>
      </w:r>
      <w:r w:rsidR="00BC2D46" w:rsidRPr="00246717">
        <w:rPr>
          <w:lang w:val="pl-PL"/>
        </w:rPr>
        <w:t xml:space="preserve"> </w:t>
      </w:r>
      <w:r w:rsidR="00623AB9" w:rsidRPr="00246717">
        <w:rPr>
          <w:lang w:val="pl-PL"/>
        </w:rPr>
        <w:t xml:space="preserve">i </w:t>
      </w:r>
      <w:r w:rsidR="00BC2D46">
        <w:rPr>
          <w:lang w:val="pl-PL"/>
        </w:rPr>
        <w:t>konsekwentnie twierdziła</w:t>
      </w:r>
      <w:r w:rsidR="00623AB9" w:rsidRPr="00246717">
        <w:rPr>
          <w:lang w:val="pl-PL"/>
        </w:rPr>
        <w:t xml:space="preserve">, że materiały wybuchowe zostały jej podrzucone. Szczegółowo opisała przebieg zdarzeń na posterunku policji. Jej relacja znacząco różniła się od relacji przedstawionej przez funkcjonariuszy policji, w szczególności w kwestii tego, czy przed rozpoczęciem przeszukania, pozostawiła torebkę i kurtkę bez </w:t>
      </w:r>
      <w:r w:rsidR="00BC2D46">
        <w:rPr>
          <w:lang w:val="pl-PL"/>
        </w:rPr>
        <w:t>nadzoru</w:t>
      </w:r>
      <w:r w:rsidR="00BC2D46" w:rsidRPr="00246717">
        <w:rPr>
          <w:lang w:val="pl-PL"/>
        </w:rPr>
        <w:t xml:space="preserve"> </w:t>
      </w:r>
      <w:r w:rsidR="00623AB9" w:rsidRPr="00246717">
        <w:rPr>
          <w:lang w:val="pl-PL"/>
        </w:rPr>
        <w:t>w innym pomieszczeniu.</w:t>
      </w:r>
    </w:p>
    <w:p w14:paraId="689C1634" w14:textId="2D58865C"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14</w:t>
      </w:r>
      <w:r w:rsidRPr="00246717">
        <w:rPr>
          <w:lang w:val="pl-PL"/>
        </w:rPr>
        <w:fldChar w:fldCharType="end"/>
      </w:r>
      <w:r w:rsidR="00623AB9" w:rsidRPr="00246717">
        <w:rPr>
          <w:lang w:val="pl-PL"/>
        </w:rPr>
        <w:t>.  W dniu 13 stycznia 2005</w:t>
      </w:r>
      <w:r w:rsidR="009901AB">
        <w:rPr>
          <w:lang w:val="pl-PL"/>
        </w:rPr>
        <w:t> </w:t>
      </w:r>
      <w:r w:rsidR="00623AB9" w:rsidRPr="00246717">
        <w:rPr>
          <w:lang w:val="pl-PL"/>
        </w:rPr>
        <w:t>r., na cztery dni przed zakończeniem postępowania przed sądem pierwszej instancji, jeden z</w:t>
      </w:r>
      <w:r w:rsidR="009901AB">
        <w:rPr>
          <w:lang w:val="pl-PL"/>
        </w:rPr>
        <w:t> </w:t>
      </w:r>
      <w:r w:rsidR="0008454A">
        <w:rPr>
          <w:lang w:val="pl-PL"/>
        </w:rPr>
        <w:t>obrońców</w:t>
      </w:r>
      <w:r w:rsidR="0008454A" w:rsidRPr="00246717">
        <w:rPr>
          <w:lang w:val="pl-PL"/>
        </w:rPr>
        <w:t xml:space="preserve"> </w:t>
      </w:r>
      <w:r w:rsidR="00623AB9" w:rsidRPr="00246717">
        <w:rPr>
          <w:lang w:val="pl-PL"/>
        </w:rPr>
        <w:t xml:space="preserve">skarżącej, wspierany przez innych, przedłożył wniosek o wezwanie </w:t>
      </w:r>
      <w:r w:rsidR="0008454A">
        <w:rPr>
          <w:lang w:val="pl-PL"/>
        </w:rPr>
        <w:t>przybranych</w:t>
      </w:r>
      <w:r w:rsidR="0008454A" w:rsidRPr="00246717">
        <w:rPr>
          <w:lang w:val="pl-PL"/>
        </w:rPr>
        <w:t xml:space="preserve"> </w:t>
      </w:r>
      <w:r w:rsidR="00623AB9" w:rsidRPr="00246717">
        <w:rPr>
          <w:lang w:val="pl-PL"/>
        </w:rPr>
        <w:t xml:space="preserve">świadków, którzy byli obecni podczas przeszukania torebki skarżącej, w celu ustalenia, czy plastyczne materiały wybuchowe zostały podrzucone. Sama skarżąca, najwyraźniej nie chcąc pozostawać w cieniu podczas prowadzenia jej obrony, postanowiła podkreślić, że materiały wybuchowe zostały podrzucone przez funkcjonariuszy policji przed przeszukaniem oraz że nie nalegała na </w:t>
      </w:r>
      <w:r w:rsidR="0008454A" w:rsidRPr="00246717">
        <w:rPr>
          <w:lang w:val="pl-PL"/>
        </w:rPr>
        <w:t>w</w:t>
      </w:r>
      <w:r w:rsidR="0008454A">
        <w:rPr>
          <w:lang w:val="pl-PL"/>
        </w:rPr>
        <w:t>ez</w:t>
      </w:r>
      <w:r w:rsidR="0008454A" w:rsidRPr="00246717">
        <w:rPr>
          <w:lang w:val="pl-PL"/>
        </w:rPr>
        <w:t xml:space="preserve">wanie </w:t>
      </w:r>
      <w:r w:rsidR="0008454A">
        <w:rPr>
          <w:lang w:val="pl-PL"/>
        </w:rPr>
        <w:t>przybranych</w:t>
      </w:r>
      <w:r w:rsidR="0008454A" w:rsidRPr="00246717">
        <w:rPr>
          <w:lang w:val="pl-PL"/>
        </w:rPr>
        <w:t xml:space="preserve"> </w:t>
      </w:r>
      <w:r w:rsidR="00623AB9" w:rsidRPr="00246717">
        <w:rPr>
          <w:lang w:val="pl-PL"/>
        </w:rPr>
        <w:t xml:space="preserve">świadków. Niemniej zgodziła się na przesłuchanie ich, </w:t>
      </w:r>
      <w:r w:rsidR="0008454A">
        <w:rPr>
          <w:lang w:val="pl-PL"/>
        </w:rPr>
        <w:t>gdyby jej obrońcy na to</w:t>
      </w:r>
      <w:r w:rsidR="00623AB9" w:rsidRPr="00246717">
        <w:rPr>
          <w:lang w:val="pl-PL"/>
        </w:rPr>
        <w:t xml:space="preserve"> nalega</w:t>
      </w:r>
      <w:r w:rsidR="0008454A">
        <w:rPr>
          <w:lang w:val="pl-PL"/>
        </w:rPr>
        <w:t>li</w:t>
      </w:r>
      <w:r w:rsidR="00623AB9" w:rsidRPr="00246717">
        <w:rPr>
          <w:lang w:val="pl-PL"/>
        </w:rPr>
        <w:t>.</w:t>
      </w:r>
    </w:p>
    <w:p w14:paraId="470CBB02" w14:textId="38274772" w:rsidR="00623AB9" w:rsidRPr="00246717" w:rsidRDefault="00623AB9" w:rsidP="000957D3">
      <w:pPr>
        <w:pStyle w:val="OpiHa0"/>
        <w:rPr>
          <w:lang w:val="pl-PL"/>
        </w:rPr>
      </w:pPr>
      <w:r w:rsidRPr="00246717">
        <w:rPr>
          <w:lang w:val="pl-PL"/>
        </w:rPr>
        <w:t>b)  </w:t>
      </w:r>
      <w:r w:rsidR="0008454A">
        <w:rPr>
          <w:lang w:val="pl-PL"/>
        </w:rPr>
        <w:t>P</w:t>
      </w:r>
      <w:r w:rsidRPr="00246717">
        <w:rPr>
          <w:lang w:val="pl-PL"/>
        </w:rPr>
        <w:t>ierwsza przesłanka: wniosek skarżącej</w:t>
      </w:r>
    </w:p>
    <w:p w14:paraId="4E6F07B4" w14:textId="120282C4"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15</w:t>
      </w:r>
      <w:r w:rsidRPr="00246717">
        <w:rPr>
          <w:lang w:val="pl-PL"/>
        </w:rPr>
        <w:fldChar w:fldCharType="end"/>
      </w:r>
      <w:r w:rsidR="00623AB9" w:rsidRPr="00246717">
        <w:rPr>
          <w:lang w:val="pl-PL"/>
        </w:rPr>
        <w:t xml:space="preserve">.  Rozpatrując niniejszą sytuację proceduralną pod kątem pierwszej przesłanki trzystopniowego testu (tj., czy wniosek o przesłuchanie </w:t>
      </w:r>
      <w:r w:rsidR="003B1DCC">
        <w:rPr>
          <w:lang w:val="pl-PL"/>
        </w:rPr>
        <w:t>przybranych</w:t>
      </w:r>
      <w:r w:rsidR="003B1DCC" w:rsidRPr="00246717">
        <w:rPr>
          <w:lang w:val="pl-PL"/>
        </w:rPr>
        <w:t xml:space="preserve"> </w:t>
      </w:r>
      <w:r w:rsidR="00623AB9" w:rsidRPr="00246717">
        <w:rPr>
          <w:lang w:val="pl-PL"/>
        </w:rPr>
        <w:t xml:space="preserve">świadków był wystarczająco uzasadniony i </w:t>
      </w:r>
      <w:r w:rsidR="003B1DCC">
        <w:rPr>
          <w:lang w:val="pl-PL"/>
        </w:rPr>
        <w:t>miał znaczenie</w:t>
      </w:r>
      <w:r w:rsidR="003B1DCC" w:rsidRPr="00246717">
        <w:rPr>
          <w:lang w:val="pl-PL"/>
        </w:rPr>
        <w:t xml:space="preserve"> </w:t>
      </w:r>
      <w:r w:rsidR="00623AB9" w:rsidRPr="00246717">
        <w:rPr>
          <w:lang w:val="pl-PL"/>
        </w:rPr>
        <w:t xml:space="preserve">dla przedmiotu oskarżenia), zauważa się </w:t>
      </w:r>
      <w:r w:rsidR="00623AB9" w:rsidRPr="00246717">
        <w:rPr>
          <w:i/>
          <w:iCs/>
          <w:lang w:val="pl-PL"/>
        </w:rPr>
        <w:t xml:space="preserve">ab initio, </w:t>
      </w:r>
      <w:r w:rsidR="00623AB9" w:rsidRPr="00246717">
        <w:rPr>
          <w:lang w:val="pl-PL"/>
        </w:rPr>
        <w:t>że zarzut skarżącej dotyczący podrzucenia materiałów wybuchowych stanowił najważniejszą kwestię w</w:t>
      </w:r>
      <w:r w:rsidR="009901AB">
        <w:rPr>
          <w:lang w:val="pl-PL"/>
        </w:rPr>
        <w:t> </w:t>
      </w:r>
      <w:r w:rsidR="003B1DCC">
        <w:rPr>
          <w:lang w:val="pl-PL"/>
        </w:rPr>
        <w:t xml:space="preserve">prowadzonym wobec niej </w:t>
      </w:r>
      <w:r w:rsidR="00623AB9" w:rsidRPr="00246717">
        <w:rPr>
          <w:lang w:val="pl-PL"/>
        </w:rPr>
        <w:t xml:space="preserve">postępowaniu karnym. Gdyby udało się jej </w:t>
      </w:r>
      <w:r w:rsidR="003B1DCC">
        <w:rPr>
          <w:lang w:val="pl-PL"/>
        </w:rPr>
        <w:t>wywołać</w:t>
      </w:r>
      <w:r w:rsidR="003B1DCC" w:rsidRPr="00246717">
        <w:rPr>
          <w:lang w:val="pl-PL"/>
        </w:rPr>
        <w:t xml:space="preserve"> </w:t>
      </w:r>
      <w:r w:rsidR="00623AB9" w:rsidRPr="00246717">
        <w:rPr>
          <w:lang w:val="pl-PL"/>
        </w:rPr>
        <w:t xml:space="preserve">wątpliwość co do sposobu, w jaki przeprowadzono przeszukanie, niewątpliwie wpłynęłoby to na dopuszczalność tego rozstrzygającego materiału dowodowego i podważyło wiarygodność </w:t>
      </w:r>
      <w:r w:rsidR="003B1DCC">
        <w:rPr>
          <w:lang w:val="pl-PL"/>
        </w:rPr>
        <w:t>skierowanych wobec</w:t>
      </w:r>
      <w:r w:rsidR="00623AB9" w:rsidRPr="00246717">
        <w:rPr>
          <w:lang w:val="pl-PL"/>
        </w:rPr>
        <w:t xml:space="preserve"> skarżącej</w:t>
      </w:r>
      <w:r w:rsidR="003B1DCC">
        <w:rPr>
          <w:lang w:val="pl-PL"/>
        </w:rPr>
        <w:t xml:space="preserve"> zarzutów</w:t>
      </w:r>
      <w:r w:rsidR="00623AB9" w:rsidRPr="00246717">
        <w:rPr>
          <w:lang w:val="pl-PL"/>
        </w:rPr>
        <w:t>. W</w:t>
      </w:r>
      <w:r w:rsidR="003B1DCC">
        <w:rPr>
          <w:lang w:val="pl-PL"/>
        </w:rPr>
        <w:t>e w</w:t>
      </w:r>
      <w:r w:rsidR="003B1DCC" w:rsidRPr="00246717">
        <w:rPr>
          <w:lang w:val="pl-PL"/>
        </w:rPr>
        <w:t>nios</w:t>
      </w:r>
      <w:r w:rsidR="003B1DCC">
        <w:rPr>
          <w:lang w:val="pl-PL"/>
        </w:rPr>
        <w:t>ku</w:t>
      </w:r>
      <w:r w:rsidR="003B1DCC" w:rsidRPr="00246717">
        <w:rPr>
          <w:lang w:val="pl-PL"/>
        </w:rPr>
        <w:t xml:space="preserve"> </w:t>
      </w:r>
      <w:r w:rsidR="00623AB9" w:rsidRPr="00246717">
        <w:rPr>
          <w:lang w:val="pl-PL"/>
        </w:rPr>
        <w:t>złożony</w:t>
      </w:r>
      <w:r w:rsidR="003B1DCC">
        <w:rPr>
          <w:lang w:val="pl-PL"/>
        </w:rPr>
        <w:t>m</w:t>
      </w:r>
      <w:r w:rsidR="00623AB9" w:rsidRPr="00246717">
        <w:rPr>
          <w:lang w:val="pl-PL"/>
        </w:rPr>
        <w:t xml:space="preserve"> przez </w:t>
      </w:r>
      <w:r w:rsidR="003B1DCC">
        <w:rPr>
          <w:lang w:val="pl-PL"/>
        </w:rPr>
        <w:t>obrońców</w:t>
      </w:r>
      <w:r w:rsidR="003B1DCC" w:rsidRPr="00246717">
        <w:rPr>
          <w:lang w:val="pl-PL"/>
        </w:rPr>
        <w:t xml:space="preserve"> </w:t>
      </w:r>
      <w:r w:rsidR="00623AB9" w:rsidRPr="00246717">
        <w:rPr>
          <w:lang w:val="pl-PL"/>
        </w:rPr>
        <w:t xml:space="preserve">skarżącej jasno </w:t>
      </w:r>
      <w:r w:rsidR="003B1DCC">
        <w:rPr>
          <w:lang w:val="pl-PL"/>
        </w:rPr>
        <w:t>sprecyzowano</w:t>
      </w:r>
      <w:r w:rsidR="003B1DCC" w:rsidRPr="00246717">
        <w:rPr>
          <w:lang w:val="pl-PL"/>
        </w:rPr>
        <w:t xml:space="preserve"> </w:t>
      </w:r>
      <w:r w:rsidR="003B1DCC">
        <w:rPr>
          <w:lang w:val="pl-PL"/>
        </w:rPr>
        <w:t>tezę dowodową</w:t>
      </w:r>
      <w:r w:rsidR="00623AB9" w:rsidRPr="00246717">
        <w:rPr>
          <w:lang w:val="pl-PL"/>
        </w:rPr>
        <w:t xml:space="preserve"> (tj. podrzucenie materiałów wybuchowych), co z kolei mogłoby mieć </w:t>
      </w:r>
      <w:r w:rsidR="003B1DCC">
        <w:rPr>
          <w:lang w:val="pl-PL"/>
        </w:rPr>
        <w:t>wpływ na</w:t>
      </w:r>
      <w:r w:rsidR="00623AB9" w:rsidRPr="00246717">
        <w:rPr>
          <w:lang w:val="pl-PL"/>
        </w:rPr>
        <w:t xml:space="preserve"> </w:t>
      </w:r>
      <w:r w:rsidR="003B1DCC" w:rsidRPr="00246717">
        <w:rPr>
          <w:lang w:val="pl-PL"/>
        </w:rPr>
        <w:t>dalsz</w:t>
      </w:r>
      <w:r w:rsidR="003B1DCC">
        <w:rPr>
          <w:lang w:val="pl-PL"/>
        </w:rPr>
        <w:t>y</w:t>
      </w:r>
      <w:r w:rsidR="003B1DCC" w:rsidRPr="00246717">
        <w:rPr>
          <w:lang w:val="pl-PL"/>
        </w:rPr>
        <w:t xml:space="preserve"> </w:t>
      </w:r>
      <w:r w:rsidR="003B1DCC">
        <w:rPr>
          <w:lang w:val="pl-PL"/>
        </w:rPr>
        <w:t>przebieg</w:t>
      </w:r>
      <w:r w:rsidR="003B1DCC" w:rsidRPr="00246717">
        <w:rPr>
          <w:lang w:val="pl-PL"/>
        </w:rPr>
        <w:t xml:space="preserve"> </w:t>
      </w:r>
      <w:r w:rsidR="00623AB9" w:rsidRPr="00246717">
        <w:rPr>
          <w:lang w:val="pl-PL"/>
        </w:rPr>
        <w:t>lub wynik sprawy.</w:t>
      </w:r>
    </w:p>
    <w:p w14:paraId="14876547" w14:textId="0F2F046B"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16</w:t>
      </w:r>
      <w:r w:rsidRPr="00246717">
        <w:rPr>
          <w:lang w:val="pl-PL"/>
        </w:rPr>
        <w:fldChar w:fldCharType="end"/>
      </w:r>
      <w:r w:rsidR="00623AB9" w:rsidRPr="00246717">
        <w:rPr>
          <w:lang w:val="pl-PL"/>
        </w:rPr>
        <w:t xml:space="preserve">.  Wersji zdarzeń przedstawionej przez skarżącą nie można oddalić jako </w:t>
      </w:r>
      <w:r w:rsidR="00623AB9" w:rsidRPr="00246717">
        <w:rPr>
          <w:i/>
          <w:iCs/>
          <w:lang w:val="pl-PL"/>
        </w:rPr>
        <w:t>prima facie</w:t>
      </w:r>
      <w:r w:rsidR="00623AB9" w:rsidRPr="00246717">
        <w:rPr>
          <w:lang w:val="pl-PL"/>
        </w:rPr>
        <w:t xml:space="preserve"> nieprawdopodobnej. Skarżąca została zatrzymana </w:t>
      </w:r>
      <w:r w:rsidR="00623AB9" w:rsidRPr="00246717">
        <w:rPr>
          <w:lang w:val="pl-PL"/>
        </w:rPr>
        <w:lastRenderedPageBreak/>
        <w:t>w</w:t>
      </w:r>
      <w:r w:rsidR="009901AB">
        <w:rPr>
          <w:lang w:val="pl-PL"/>
        </w:rPr>
        <w:t> </w:t>
      </w:r>
      <w:r w:rsidR="00623AB9" w:rsidRPr="00246717">
        <w:rPr>
          <w:lang w:val="pl-PL"/>
        </w:rPr>
        <w:t xml:space="preserve">okolicznościach i z </w:t>
      </w:r>
      <w:r w:rsidR="00D14C5D" w:rsidRPr="00246717">
        <w:rPr>
          <w:lang w:val="pl-PL"/>
        </w:rPr>
        <w:t>p</w:t>
      </w:r>
      <w:r w:rsidR="00D14C5D">
        <w:rPr>
          <w:lang w:val="pl-PL"/>
        </w:rPr>
        <w:t>rzyczyn</w:t>
      </w:r>
      <w:r w:rsidR="00623AB9" w:rsidRPr="00246717">
        <w:rPr>
          <w:lang w:val="pl-PL"/>
        </w:rPr>
        <w:t>, które pozostają w dużej mierze niejasne i</w:t>
      </w:r>
      <w:r w:rsidR="009901AB">
        <w:rPr>
          <w:lang w:val="pl-PL"/>
        </w:rPr>
        <w:t> </w:t>
      </w:r>
      <w:r w:rsidR="00623AB9" w:rsidRPr="00246717">
        <w:rPr>
          <w:lang w:val="pl-PL"/>
        </w:rPr>
        <w:t>kontrowersyjne. Zeznania funkcjonariuszy policji w tej sprawie różniły się znacząco i były trudne do pogodzenia z kryteriami w sytuacjach „zatrzymania i przeszukania” regulowanych praworządnością. Według funkcjonariuszy policji skarżąca została zatrzymana „ponieważ szła opieszale” (funkcjonariusz policji P.) albo „ponieważ szła szybkim krokiem” (funkcjonariusz policji S</w:t>
      </w:r>
      <w:r w:rsidR="005C45A6">
        <w:rPr>
          <w:lang w:val="pl-PL"/>
        </w:rPr>
        <w:t>.</w:t>
      </w:r>
      <w:r w:rsidR="00623AB9" w:rsidRPr="00246717">
        <w:rPr>
          <w:lang w:val="pl-PL"/>
        </w:rPr>
        <w:t xml:space="preserve">). Niektórzy funkcjonariusze policji zeznali, że została zatrzymana „ponieważ nie było jasne, dokąd zmierzała”, „ponieważ była osobą pochodzenia kaukaskiego” i „ponieważ była ubrana na czarno”. W mojej opinii jedynym </w:t>
      </w:r>
      <w:r w:rsidR="005C45A6">
        <w:rPr>
          <w:lang w:val="pl-PL"/>
        </w:rPr>
        <w:t xml:space="preserve">ewentualnie </w:t>
      </w:r>
      <w:r w:rsidR="00623AB9" w:rsidRPr="00246717">
        <w:rPr>
          <w:lang w:val="pl-PL"/>
        </w:rPr>
        <w:t>akceptowalnym powodem byłoby stwierdzenie, że „przypominała dziewczynę z informacji o osobach poszukiwanych”, co zeznał tylko jeden z pięciu funkcjonariuszy policji, którzy uczestniczyli w jej zatrzymaniu i przeszukaniu. Jednak później policjanci sami ustalili, że skarżąca nie była osobą poszukiwaną. Pomimo że skarżąca nie złożyła przed Trybunałem skargi dotyczącej zatrzymania, okoliczności te budzą pewne wątpliwości co do tego, czy w niniejszej sprawie policja działała w dobrej wierze. Wątpliwości te nie zostały rozwiane przez wersję policji, która sama w sobie nie wydaje się szczególnie wiarygodna. W</w:t>
      </w:r>
      <w:r w:rsidR="009D0CCE">
        <w:rPr>
          <w:lang w:val="pl-PL"/>
        </w:rPr>
        <w:t> </w:t>
      </w:r>
      <w:r w:rsidR="00623AB9" w:rsidRPr="00246717">
        <w:rPr>
          <w:lang w:val="pl-PL"/>
        </w:rPr>
        <w:t>wersji policji policjanci przypadkowo zatrzymali kobietę na ulicy Moskwy bez żadnego przekonującego powodu, zaprowadzili ją na posterunek policji i dokonali przeszukania jej torebki (</w:t>
      </w:r>
      <w:r w:rsidR="009D0CCE">
        <w:rPr>
          <w:lang w:val="pl-PL"/>
        </w:rPr>
        <w:t>ponownie</w:t>
      </w:r>
      <w:r w:rsidR="00623AB9" w:rsidRPr="00246717">
        <w:rPr>
          <w:lang w:val="pl-PL"/>
        </w:rPr>
        <w:t xml:space="preserve"> bez przekonującego powodu dotyczącego przedmiotowej sytuacji), gdzie znaleźli dwa pak</w:t>
      </w:r>
      <w:r w:rsidR="009D0CCE">
        <w:rPr>
          <w:lang w:val="pl-PL"/>
        </w:rPr>
        <w:t>unki</w:t>
      </w:r>
      <w:r w:rsidR="00623AB9" w:rsidRPr="00246717">
        <w:rPr>
          <w:lang w:val="pl-PL"/>
        </w:rPr>
        <w:t xml:space="preserve"> materiałów wybuchowych. Przebieg zdarzeń jest albo </w:t>
      </w:r>
      <w:r w:rsidR="005C45A6">
        <w:rPr>
          <w:lang w:val="pl-PL"/>
        </w:rPr>
        <w:t>zdumiewającym</w:t>
      </w:r>
      <w:r w:rsidR="005C45A6" w:rsidRPr="00246717">
        <w:rPr>
          <w:lang w:val="pl-PL"/>
        </w:rPr>
        <w:t xml:space="preserve"> </w:t>
      </w:r>
      <w:r w:rsidR="00623AB9" w:rsidRPr="00246717">
        <w:rPr>
          <w:lang w:val="pl-PL"/>
        </w:rPr>
        <w:t>zbiegiem okoliczności, albo wskazówką, że można podejrzewać, iż doszło do poważnego uchybienia ze strony policji.</w:t>
      </w:r>
    </w:p>
    <w:p w14:paraId="294502F3" w14:textId="4785E192"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17</w:t>
      </w:r>
      <w:r w:rsidRPr="00246717">
        <w:rPr>
          <w:lang w:val="pl-PL"/>
        </w:rPr>
        <w:fldChar w:fldCharType="end"/>
      </w:r>
      <w:r w:rsidR="00623AB9" w:rsidRPr="00246717">
        <w:rPr>
          <w:lang w:val="pl-PL"/>
        </w:rPr>
        <w:t xml:space="preserve">.  Kontrast pomiędzy relacją skarżącej a relacjami funkcjonariuszy policji powinien w mojej opinii zostać połączony za pomocą pewnych równoległych okoliczności faktycznych. </w:t>
      </w:r>
      <w:r w:rsidR="005C45A6">
        <w:rPr>
          <w:lang w:val="pl-PL"/>
        </w:rPr>
        <w:t>Nie ma wątpliwości co do tego</w:t>
      </w:r>
      <w:r w:rsidR="00623AB9" w:rsidRPr="00246717">
        <w:rPr>
          <w:lang w:val="pl-PL"/>
        </w:rPr>
        <w:t xml:space="preserve">, że po przeszukaniu torebki skarżąca nie została zbadana na obecność pozostałości materiałów wybuchowych, chociaż jest to test rutynowy. Podobnie folia zawierająca materiały wybuchowe nigdy nie została zbadana pod kątem odcisków palców i DNA, zarówno skarżącej, jak i jakiejkolwiek innej osoby. Nie podano żadnego wyjaśnienia tych zaniechań, chociaż można by </w:t>
      </w:r>
      <w:r w:rsidR="005C45A6">
        <w:rPr>
          <w:lang w:val="pl-PL"/>
        </w:rPr>
        <w:t>zasadnie oczekiwać</w:t>
      </w:r>
      <w:r w:rsidR="00623AB9" w:rsidRPr="00246717">
        <w:rPr>
          <w:lang w:val="pl-PL"/>
        </w:rPr>
        <w:t xml:space="preserve">, że przeprowadzone w dobrej wierze </w:t>
      </w:r>
      <w:r w:rsidR="009D0CCE">
        <w:rPr>
          <w:lang w:val="pl-PL"/>
        </w:rPr>
        <w:t>postępowanie przygotowawcze</w:t>
      </w:r>
      <w:r w:rsidR="00623AB9" w:rsidRPr="00246717">
        <w:rPr>
          <w:lang w:val="pl-PL"/>
        </w:rPr>
        <w:t xml:space="preserve"> uwzględni te kroki w celu </w:t>
      </w:r>
      <w:r w:rsidR="005C45A6">
        <w:rPr>
          <w:lang w:val="pl-PL"/>
        </w:rPr>
        <w:t xml:space="preserve">dokładnego </w:t>
      </w:r>
      <w:r w:rsidR="00623AB9" w:rsidRPr="00246717">
        <w:rPr>
          <w:lang w:val="pl-PL"/>
        </w:rPr>
        <w:t xml:space="preserve">ustalenia </w:t>
      </w:r>
      <w:r w:rsidR="005C45A6">
        <w:rPr>
          <w:lang w:val="pl-PL"/>
        </w:rPr>
        <w:t>ewentualnej</w:t>
      </w:r>
      <w:r w:rsidR="005C45A6" w:rsidRPr="00246717">
        <w:rPr>
          <w:lang w:val="pl-PL"/>
        </w:rPr>
        <w:t xml:space="preserve"> </w:t>
      </w:r>
      <w:r w:rsidR="00623AB9" w:rsidRPr="00246717">
        <w:rPr>
          <w:lang w:val="pl-PL"/>
        </w:rPr>
        <w:t xml:space="preserve">roli skarżącej i szukania </w:t>
      </w:r>
      <w:r w:rsidR="005C45A6">
        <w:rPr>
          <w:lang w:val="pl-PL"/>
        </w:rPr>
        <w:t>ewentualnych</w:t>
      </w:r>
      <w:r w:rsidR="005C45A6" w:rsidRPr="00246717">
        <w:rPr>
          <w:lang w:val="pl-PL"/>
        </w:rPr>
        <w:t xml:space="preserve"> </w:t>
      </w:r>
      <w:r w:rsidR="00623AB9" w:rsidRPr="00246717">
        <w:rPr>
          <w:lang w:val="pl-PL"/>
        </w:rPr>
        <w:t xml:space="preserve">współsprawców, ponieważ jest mało prawdopodobne, aby 21-letnia kobieta samodzielnie zorganizowała atak terrorystyczny. Policja natomiast zbadała pod kątem pozostałości materiałów wybuchowych jej kurtkę i torebkę, które zgodnie z wersją skarżącej były przez pewien czas pozostawione bez </w:t>
      </w:r>
      <w:r w:rsidR="005C45A6">
        <w:rPr>
          <w:lang w:val="pl-PL"/>
        </w:rPr>
        <w:t>nadzoru</w:t>
      </w:r>
      <w:r w:rsidR="00623AB9" w:rsidRPr="00246717">
        <w:rPr>
          <w:lang w:val="pl-PL"/>
        </w:rPr>
        <w:t xml:space="preserve">. </w:t>
      </w:r>
      <w:r w:rsidR="00676BBF">
        <w:rPr>
          <w:lang w:val="pl-PL"/>
        </w:rPr>
        <w:t>Wprawdzie</w:t>
      </w:r>
      <w:r w:rsidR="00676BBF" w:rsidRPr="00246717">
        <w:rPr>
          <w:lang w:val="pl-PL"/>
        </w:rPr>
        <w:t xml:space="preserve"> </w:t>
      </w:r>
      <w:r w:rsidR="00623AB9" w:rsidRPr="00246717">
        <w:rPr>
          <w:lang w:val="pl-PL"/>
        </w:rPr>
        <w:t xml:space="preserve">policja zaprzecza, </w:t>
      </w:r>
      <w:r w:rsidR="009D0CCE">
        <w:rPr>
          <w:lang w:val="pl-PL"/>
        </w:rPr>
        <w:t>jakoby</w:t>
      </w:r>
      <w:r w:rsidR="00623AB9" w:rsidRPr="00246717">
        <w:rPr>
          <w:lang w:val="pl-PL"/>
        </w:rPr>
        <w:t xml:space="preserve"> skarżącą zaprowadzono do innego pomieszczenia, by wykonać jej zdjęcia i pobrać odciski palców przed przeszukaniem torebki, twierdząc, że skarżąca przez cały czas miała swoją kurtkę i torebkę przy sobie, </w:t>
      </w:r>
      <w:r w:rsidR="00676BBF">
        <w:rPr>
          <w:lang w:val="pl-PL"/>
        </w:rPr>
        <w:t xml:space="preserve">to jednak </w:t>
      </w:r>
      <w:r w:rsidR="00623AB9" w:rsidRPr="00246717">
        <w:rPr>
          <w:lang w:val="pl-PL"/>
        </w:rPr>
        <w:t xml:space="preserve">relacja skarżącej w tej kwestii </w:t>
      </w:r>
      <w:r w:rsidR="00623AB9" w:rsidRPr="00246717">
        <w:rPr>
          <w:lang w:val="pl-PL"/>
        </w:rPr>
        <w:lastRenderedPageBreak/>
        <w:t xml:space="preserve">niekoniecznie jest </w:t>
      </w:r>
      <w:r w:rsidR="00623AB9" w:rsidRPr="00246717">
        <w:rPr>
          <w:i/>
          <w:iCs/>
          <w:lang w:val="pl-PL"/>
        </w:rPr>
        <w:t xml:space="preserve">prima facie </w:t>
      </w:r>
      <w:r w:rsidR="00623AB9" w:rsidRPr="00246717">
        <w:rPr>
          <w:lang w:val="pl-PL"/>
        </w:rPr>
        <w:t xml:space="preserve">niewiarygodna, ponieważ w wersji przedstawionej przez policję skarżąca została zaprowadzona na posterunek w celu </w:t>
      </w:r>
      <w:r w:rsidR="00676BBF">
        <w:rPr>
          <w:lang w:val="pl-PL"/>
        </w:rPr>
        <w:t>ustalenia</w:t>
      </w:r>
      <w:r w:rsidR="00623AB9" w:rsidRPr="00246717">
        <w:rPr>
          <w:lang w:val="pl-PL"/>
        </w:rPr>
        <w:t xml:space="preserve"> tożsamości, pobrani</w:t>
      </w:r>
      <w:r w:rsidR="009D0CCE">
        <w:rPr>
          <w:lang w:val="pl-PL"/>
        </w:rPr>
        <w:t>a</w:t>
      </w:r>
      <w:r w:rsidR="00623AB9" w:rsidRPr="00246717">
        <w:rPr>
          <w:lang w:val="pl-PL"/>
        </w:rPr>
        <w:t xml:space="preserve"> odcisków palców i sfotografowani</w:t>
      </w:r>
      <w:r w:rsidR="009D0CCE">
        <w:rPr>
          <w:lang w:val="pl-PL"/>
        </w:rPr>
        <w:t>a</w:t>
      </w:r>
      <w:r w:rsidR="00623AB9" w:rsidRPr="00246717">
        <w:rPr>
          <w:lang w:val="pl-PL"/>
        </w:rPr>
        <w:t xml:space="preserve"> byłoby najbardziej logicznym pierwszym krokiem. Policja zazwyczaj </w:t>
      </w:r>
      <w:r w:rsidR="009D0CCE">
        <w:rPr>
          <w:lang w:val="pl-PL"/>
        </w:rPr>
        <w:t xml:space="preserve">wykonuje </w:t>
      </w:r>
      <w:r w:rsidR="00623AB9" w:rsidRPr="00246717">
        <w:rPr>
          <w:lang w:val="pl-PL"/>
        </w:rPr>
        <w:t>zdjęcia podejrzanego bez kurtki i bez torby.</w:t>
      </w:r>
    </w:p>
    <w:p w14:paraId="578EF9EB" w14:textId="2A18967E" w:rsidR="00623AB9" w:rsidRPr="00246717" w:rsidRDefault="00150576" w:rsidP="000957D3">
      <w:pPr>
        <w:pStyle w:val="Opi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623AB9"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623AB9" w:rsidRPr="00246717">
        <w:rPr>
          <w:rFonts w:ascii="Times New Roman" w:hAnsi="Times New Roman" w:cs="Times New Roman"/>
          <w:szCs w:val="24"/>
          <w:lang w:val="pl-PL"/>
        </w:rPr>
        <w:t>18</w:t>
      </w:r>
      <w:r w:rsidRPr="00246717">
        <w:rPr>
          <w:rFonts w:ascii="Times New Roman" w:hAnsi="Times New Roman" w:cs="Times New Roman"/>
          <w:szCs w:val="24"/>
          <w:lang w:val="pl-PL"/>
        </w:rPr>
        <w:fldChar w:fldCharType="end"/>
      </w:r>
      <w:r w:rsidR="00623AB9" w:rsidRPr="00246717">
        <w:rPr>
          <w:rFonts w:ascii="Times New Roman" w:hAnsi="Times New Roman" w:cs="Times New Roman"/>
          <w:szCs w:val="24"/>
          <w:lang w:val="pl-PL"/>
        </w:rPr>
        <w:t xml:space="preserve">.  Przy omawianiu tych okoliczności moim zamiarem nie jest wykazanie, że plastyczne materiały wybuchowe zostały faktycznie podrzucone przez policję (w żadnym wypadku nie byłoby to zgodne z rolą Trybunału), lecz wykazanie, że fakt przedstawiany przez obronę skarżącej miał znaczenie i </w:t>
      </w:r>
      <w:r w:rsidR="00676BBF">
        <w:rPr>
          <w:rFonts w:ascii="Times New Roman" w:hAnsi="Times New Roman" w:cs="Times New Roman"/>
          <w:szCs w:val="24"/>
          <w:lang w:val="pl-PL"/>
        </w:rPr>
        <w:t>stanowił</w:t>
      </w:r>
      <w:r w:rsidR="00676BBF" w:rsidRPr="00246717">
        <w:rPr>
          <w:rFonts w:ascii="Times New Roman" w:hAnsi="Times New Roman" w:cs="Times New Roman"/>
          <w:szCs w:val="24"/>
          <w:lang w:val="pl-PL"/>
        </w:rPr>
        <w:t xml:space="preserve"> </w:t>
      </w:r>
      <w:r w:rsidR="00676BBF">
        <w:rPr>
          <w:rFonts w:ascii="Times New Roman" w:hAnsi="Times New Roman" w:cs="Times New Roman"/>
          <w:szCs w:val="24"/>
          <w:lang w:val="pl-PL"/>
        </w:rPr>
        <w:t>niejako</w:t>
      </w:r>
      <w:r w:rsidR="00676BBF"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wiarygodn</w:t>
      </w:r>
      <w:r w:rsidR="00676BBF">
        <w:rPr>
          <w:rFonts w:ascii="Times New Roman" w:hAnsi="Times New Roman" w:cs="Times New Roman"/>
          <w:szCs w:val="24"/>
          <w:lang w:val="pl-PL"/>
        </w:rPr>
        <w:t>ą</w:t>
      </w:r>
      <w:r w:rsidR="00623AB9" w:rsidRPr="00246717">
        <w:rPr>
          <w:rFonts w:ascii="Times New Roman" w:hAnsi="Times New Roman" w:cs="Times New Roman"/>
          <w:szCs w:val="24"/>
          <w:lang w:val="pl-PL"/>
        </w:rPr>
        <w:t xml:space="preserve"> podstaw</w:t>
      </w:r>
      <w:r w:rsidR="00676BBF">
        <w:rPr>
          <w:rFonts w:ascii="Times New Roman" w:hAnsi="Times New Roman" w:cs="Times New Roman"/>
          <w:szCs w:val="24"/>
          <w:lang w:val="pl-PL"/>
        </w:rPr>
        <w:t>ę</w:t>
      </w:r>
      <w:r w:rsidR="00623AB9" w:rsidRPr="00246717">
        <w:rPr>
          <w:rFonts w:ascii="Times New Roman" w:hAnsi="Times New Roman" w:cs="Times New Roman"/>
          <w:szCs w:val="24"/>
          <w:lang w:val="pl-PL"/>
        </w:rPr>
        <w:t xml:space="preserve"> do dalszego </w:t>
      </w:r>
      <w:r w:rsidR="00676BBF">
        <w:rPr>
          <w:rFonts w:ascii="Times New Roman" w:hAnsi="Times New Roman" w:cs="Times New Roman"/>
          <w:szCs w:val="24"/>
          <w:lang w:val="pl-PL"/>
        </w:rPr>
        <w:t xml:space="preserve">prowadzenia </w:t>
      </w:r>
      <w:r w:rsidR="009D0CCE">
        <w:rPr>
          <w:rFonts w:ascii="Times New Roman" w:hAnsi="Times New Roman" w:cs="Times New Roman"/>
          <w:szCs w:val="24"/>
          <w:lang w:val="pl-PL"/>
        </w:rPr>
        <w:t>postępowania</w:t>
      </w:r>
      <w:r w:rsidR="00676BBF">
        <w:rPr>
          <w:rFonts w:ascii="Times New Roman" w:hAnsi="Times New Roman" w:cs="Times New Roman"/>
          <w:szCs w:val="24"/>
          <w:lang w:val="pl-PL"/>
        </w:rPr>
        <w:t xml:space="preserve"> przygotowawczego</w:t>
      </w:r>
      <w:r w:rsidR="00623AB9" w:rsidRPr="00246717">
        <w:rPr>
          <w:rFonts w:ascii="Times New Roman" w:hAnsi="Times New Roman" w:cs="Times New Roman"/>
          <w:szCs w:val="24"/>
          <w:lang w:val="pl-PL"/>
        </w:rPr>
        <w:t xml:space="preserve">. Rozważając, czy przesłuchanie </w:t>
      </w:r>
      <w:r w:rsidR="00676BBF">
        <w:rPr>
          <w:rFonts w:ascii="Times New Roman" w:hAnsi="Times New Roman" w:cs="Times New Roman"/>
          <w:szCs w:val="24"/>
          <w:lang w:val="pl-PL"/>
        </w:rPr>
        <w:t>przybranych</w:t>
      </w:r>
      <w:r w:rsidR="00676BBF"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 xml:space="preserve">świadków mogłoby </w:t>
      </w:r>
      <w:r w:rsidR="00676BBF">
        <w:rPr>
          <w:rFonts w:ascii="Times New Roman" w:hAnsi="Times New Roman" w:cs="Times New Roman"/>
          <w:szCs w:val="24"/>
          <w:lang w:val="pl-PL"/>
        </w:rPr>
        <w:t>uprawdopodobnić</w:t>
      </w:r>
      <w:r w:rsidR="00623AB9" w:rsidRPr="00246717">
        <w:rPr>
          <w:rFonts w:ascii="Times New Roman" w:hAnsi="Times New Roman" w:cs="Times New Roman"/>
          <w:szCs w:val="24"/>
          <w:lang w:val="pl-PL"/>
        </w:rPr>
        <w:t xml:space="preserve"> twierdzenie o podrzuceniu materiału dowodowego</w:t>
      </w:r>
      <w:r w:rsidR="00676BBF">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 xml:space="preserve">zauważamy, że obrona nie dostarczyła uściśleń tego konkretnego aspektu, nie tylko na rozprawie głównej, ale też w postępowaniu odwoławczym, w skardze dotyczącej oceny sądowej i w postępowaniu przed Trybunałem. Ponadto sama skarżąca, interweniując, </w:t>
      </w:r>
      <w:r w:rsidR="00676BBF">
        <w:rPr>
          <w:rFonts w:ascii="Times New Roman" w:hAnsi="Times New Roman" w:cs="Times New Roman"/>
          <w:szCs w:val="24"/>
          <w:lang w:val="pl-PL"/>
        </w:rPr>
        <w:t>wywołała</w:t>
      </w:r>
      <w:r w:rsidR="00676BBF"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wątpliwoś</w:t>
      </w:r>
      <w:r w:rsidR="00676BBF">
        <w:rPr>
          <w:rFonts w:ascii="Times New Roman" w:hAnsi="Times New Roman" w:cs="Times New Roman"/>
          <w:szCs w:val="24"/>
          <w:lang w:val="pl-PL"/>
        </w:rPr>
        <w:t>ci</w:t>
      </w:r>
      <w:r w:rsidR="00623AB9" w:rsidRPr="00246717">
        <w:rPr>
          <w:rFonts w:ascii="Times New Roman" w:hAnsi="Times New Roman" w:cs="Times New Roman"/>
          <w:szCs w:val="24"/>
          <w:lang w:val="pl-PL"/>
        </w:rPr>
        <w:t xml:space="preserve"> co do znaczenia wniosku. Jest to niewątpliwie słaby punkt w prawie skarżącej przed Trybunałem. Niemniej trzeba pamiętać o specyfice jej sytuacji proceduralnej.</w:t>
      </w:r>
      <w:r w:rsidR="00623AB9" w:rsidRPr="00246717">
        <w:rPr>
          <w:rStyle w:val="Odwoanieprzypisudolnego"/>
          <w:rFonts w:ascii="Times New Roman" w:hAnsi="Times New Roman" w:cs="Times New Roman"/>
          <w:szCs w:val="24"/>
          <w:lang w:val="pl-PL"/>
        </w:rPr>
        <w:footnoteReference w:id="26"/>
      </w:r>
      <w:r w:rsidR="00623AB9" w:rsidRPr="00246717">
        <w:rPr>
          <w:rFonts w:ascii="Times New Roman" w:hAnsi="Times New Roman" w:cs="Times New Roman"/>
          <w:szCs w:val="24"/>
          <w:lang w:val="pl-PL"/>
        </w:rPr>
        <w:t xml:space="preserve"> Obrona nie dysponowała żadnymi alternatywnymi dowodami, by dowieść twierdzenia skarżącej. </w:t>
      </w:r>
      <w:r w:rsidR="00676BBF">
        <w:rPr>
          <w:rFonts w:ascii="Times New Roman" w:hAnsi="Times New Roman" w:cs="Times New Roman"/>
          <w:szCs w:val="24"/>
          <w:lang w:val="pl-PL"/>
        </w:rPr>
        <w:t>Wprawdzie</w:t>
      </w:r>
      <w:r w:rsidR="00623AB9" w:rsidRPr="00246717">
        <w:rPr>
          <w:rFonts w:ascii="Times New Roman" w:hAnsi="Times New Roman" w:cs="Times New Roman"/>
          <w:szCs w:val="24"/>
          <w:lang w:val="pl-PL"/>
        </w:rPr>
        <w:t xml:space="preserve"> sąd krajowy </w:t>
      </w:r>
      <w:r w:rsidR="00676BBF">
        <w:rPr>
          <w:rFonts w:ascii="Times New Roman" w:hAnsi="Times New Roman" w:cs="Times New Roman"/>
          <w:szCs w:val="24"/>
          <w:lang w:val="pl-PL"/>
        </w:rPr>
        <w:t>prze</w:t>
      </w:r>
      <w:r w:rsidR="00676BBF" w:rsidRPr="00246717">
        <w:rPr>
          <w:rFonts w:ascii="Times New Roman" w:hAnsi="Times New Roman" w:cs="Times New Roman"/>
          <w:szCs w:val="24"/>
          <w:lang w:val="pl-PL"/>
        </w:rPr>
        <w:t xml:space="preserve">słuchał </w:t>
      </w:r>
      <w:r w:rsidR="00623AB9" w:rsidRPr="00246717">
        <w:rPr>
          <w:rFonts w:ascii="Times New Roman" w:hAnsi="Times New Roman" w:cs="Times New Roman"/>
          <w:szCs w:val="24"/>
          <w:lang w:val="pl-PL"/>
        </w:rPr>
        <w:t xml:space="preserve">funkcjonariuszy policji biorących udział w zatrzymaniu i przeszukaniu, </w:t>
      </w:r>
      <w:r w:rsidR="00676BBF">
        <w:rPr>
          <w:rFonts w:ascii="Times New Roman" w:hAnsi="Times New Roman" w:cs="Times New Roman"/>
          <w:szCs w:val="24"/>
          <w:lang w:val="pl-PL"/>
        </w:rPr>
        <w:t>a</w:t>
      </w:r>
      <w:r w:rsidR="00623AB9" w:rsidRPr="00246717">
        <w:rPr>
          <w:rFonts w:ascii="Times New Roman" w:hAnsi="Times New Roman" w:cs="Times New Roman"/>
          <w:szCs w:val="24"/>
          <w:lang w:val="pl-PL"/>
        </w:rPr>
        <w:t xml:space="preserve"> oskarżenie przesłuchało ich na rozprawie </w:t>
      </w:r>
      <w:r w:rsidR="00676BBF">
        <w:rPr>
          <w:rFonts w:ascii="Times New Roman" w:hAnsi="Times New Roman" w:cs="Times New Roman"/>
          <w:szCs w:val="24"/>
          <w:lang w:val="pl-PL"/>
        </w:rPr>
        <w:t>głównej w zakresie</w:t>
      </w:r>
      <w:r w:rsidR="00676BBF"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 xml:space="preserve">istotnych okoliczności sprawy, </w:t>
      </w:r>
      <w:r w:rsidR="00676BBF">
        <w:rPr>
          <w:rFonts w:ascii="Times New Roman" w:hAnsi="Times New Roman" w:cs="Times New Roman"/>
          <w:szCs w:val="24"/>
          <w:lang w:val="pl-PL"/>
        </w:rPr>
        <w:t xml:space="preserve">to jednak </w:t>
      </w:r>
      <w:r w:rsidR="00623AB9" w:rsidRPr="00246717">
        <w:rPr>
          <w:rFonts w:ascii="Times New Roman" w:hAnsi="Times New Roman" w:cs="Times New Roman"/>
          <w:szCs w:val="24"/>
          <w:lang w:val="pl-PL"/>
        </w:rPr>
        <w:t>nie byli oni jedynie świadkami zeznającymi przeciwko oskarżonej w rozumieniu art.</w:t>
      </w:r>
      <w:r w:rsidR="00B624C1">
        <w:rPr>
          <w:rFonts w:ascii="Times New Roman" w:hAnsi="Times New Roman" w:cs="Times New Roman"/>
          <w:szCs w:val="24"/>
          <w:lang w:val="pl-PL"/>
        </w:rPr>
        <w:t> </w:t>
      </w:r>
      <w:r w:rsidR="00623AB9" w:rsidRPr="00246717">
        <w:rPr>
          <w:rFonts w:ascii="Times New Roman" w:hAnsi="Times New Roman" w:cs="Times New Roman"/>
          <w:szCs w:val="24"/>
          <w:lang w:val="pl-PL"/>
        </w:rPr>
        <w:t>6 ust.</w:t>
      </w:r>
      <w:r w:rsidR="00B624C1">
        <w:rPr>
          <w:rFonts w:ascii="Times New Roman" w:hAnsi="Times New Roman" w:cs="Times New Roman"/>
          <w:szCs w:val="24"/>
          <w:lang w:val="pl-PL"/>
        </w:rPr>
        <w:t> </w:t>
      </w:r>
      <w:r w:rsidR="00623AB9" w:rsidRPr="00246717">
        <w:rPr>
          <w:rFonts w:ascii="Times New Roman" w:hAnsi="Times New Roman" w:cs="Times New Roman"/>
          <w:szCs w:val="24"/>
          <w:lang w:val="pl-PL"/>
        </w:rPr>
        <w:t>3 lit.</w:t>
      </w:r>
      <w:r w:rsidR="00B624C1">
        <w:rPr>
          <w:rFonts w:ascii="Times New Roman" w:hAnsi="Times New Roman" w:cs="Times New Roman"/>
          <w:szCs w:val="24"/>
          <w:lang w:val="pl-PL"/>
        </w:rPr>
        <w:t> </w:t>
      </w:r>
      <w:r w:rsidR="00623AB9" w:rsidRPr="00246717">
        <w:rPr>
          <w:rFonts w:ascii="Times New Roman" w:hAnsi="Times New Roman" w:cs="Times New Roman"/>
          <w:szCs w:val="24"/>
          <w:lang w:val="pl-PL"/>
        </w:rPr>
        <w:t xml:space="preserve">d Konwencji, ale też </w:t>
      </w:r>
      <w:r w:rsidR="00623AB9" w:rsidRPr="00246717">
        <w:rPr>
          <w:rFonts w:ascii="Times New Roman" w:hAnsi="Times New Roman" w:cs="Times New Roman"/>
          <w:i/>
          <w:iCs/>
          <w:szCs w:val="24"/>
          <w:lang w:val="pl-PL"/>
        </w:rPr>
        <w:t xml:space="preserve">prima facie </w:t>
      </w:r>
      <w:r w:rsidR="00623AB9" w:rsidRPr="00246717">
        <w:rPr>
          <w:rFonts w:ascii="Times New Roman" w:hAnsi="Times New Roman" w:cs="Times New Roman"/>
          <w:szCs w:val="24"/>
          <w:lang w:val="pl-PL"/>
        </w:rPr>
        <w:t>wrogo nastawionymi wobec skarżącej w tej konkretnej kwestii. Przyjmując</w:t>
      </w:r>
      <w:r w:rsidR="00676BBF">
        <w:rPr>
          <w:rFonts w:ascii="Times New Roman" w:hAnsi="Times New Roman" w:cs="Times New Roman"/>
          <w:szCs w:val="24"/>
          <w:lang w:val="pl-PL"/>
        </w:rPr>
        <w:t xml:space="preserve"> twierdzenia </w:t>
      </w:r>
      <w:r w:rsidR="00623AB9" w:rsidRPr="00246717">
        <w:rPr>
          <w:rFonts w:ascii="Times New Roman" w:hAnsi="Times New Roman" w:cs="Times New Roman"/>
          <w:szCs w:val="24"/>
          <w:lang w:val="pl-PL"/>
        </w:rPr>
        <w:t>skarżąc</w:t>
      </w:r>
      <w:r w:rsidR="00676BBF">
        <w:rPr>
          <w:rFonts w:ascii="Times New Roman" w:hAnsi="Times New Roman" w:cs="Times New Roman"/>
          <w:szCs w:val="24"/>
          <w:lang w:val="pl-PL"/>
        </w:rPr>
        <w:t>ej</w:t>
      </w:r>
      <w:r w:rsidR="00623AB9" w:rsidRPr="00246717">
        <w:rPr>
          <w:rFonts w:ascii="Times New Roman" w:hAnsi="Times New Roman" w:cs="Times New Roman"/>
          <w:szCs w:val="24"/>
          <w:lang w:val="pl-PL"/>
        </w:rPr>
        <w:t xml:space="preserve"> </w:t>
      </w:r>
      <w:r w:rsidR="00676BBF">
        <w:rPr>
          <w:rFonts w:ascii="Times New Roman" w:hAnsi="Times New Roman" w:cs="Times New Roman"/>
          <w:szCs w:val="24"/>
          <w:lang w:val="pl-PL"/>
        </w:rPr>
        <w:t xml:space="preserve">za prawdziwe – </w:t>
      </w:r>
      <w:r w:rsidR="00623AB9" w:rsidRPr="00246717">
        <w:rPr>
          <w:rFonts w:ascii="Times New Roman" w:hAnsi="Times New Roman" w:cs="Times New Roman"/>
          <w:szCs w:val="24"/>
          <w:lang w:val="pl-PL"/>
        </w:rPr>
        <w:t xml:space="preserve">jakie było prawdopodobieństwo, że funkcjonariusze policji przyznają się do podłożenia materiału dowodowego? Nierozsądne jest weryfikowanie twierdzeń dotyczących podłożenia materiału dowodowego wyłącznie poprzez przesłuchanie tych, którzy są potencjalnie odpowiedzialni za takie nadużycie. Żaden sąd </w:t>
      </w:r>
      <w:r w:rsidR="00676BBF">
        <w:rPr>
          <w:rFonts w:ascii="Times New Roman" w:hAnsi="Times New Roman" w:cs="Times New Roman"/>
          <w:szCs w:val="24"/>
          <w:lang w:val="pl-PL"/>
        </w:rPr>
        <w:t>w żadnym razie</w:t>
      </w:r>
      <w:r w:rsidR="00676BBF"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 xml:space="preserve">nie uniewinniłby oskarżonego wyłącznie na podstawie zanegowania przez niego winy. Jeśli równe traktowanie jest kluczową zasadą w rozpatrywaniu wniosków obrony, nie mogą one być oddalane tylko dlatego, że policja zaprzecza twierdzeniom obrony. Zatem uznaję za zdumiewające, że większość składu orzekającego </w:t>
      </w:r>
      <w:r w:rsidR="00676BBF">
        <w:rPr>
          <w:rFonts w:ascii="Times New Roman" w:hAnsi="Times New Roman" w:cs="Times New Roman"/>
          <w:szCs w:val="24"/>
          <w:lang w:val="pl-PL"/>
        </w:rPr>
        <w:t>podkreśla, że</w:t>
      </w:r>
      <w:r w:rsidR="00676BBF"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 xml:space="preserve">przesłuchanie funkcjonariuszy policji </w:t>
      </w:r>
      <w:r w:rsidR="00676BBF">
        <w:rPr>
          <w:rFonts w:ascii="Times New Roman" w:hAnsi="Times New Roman" w:cs="Times New Roman"/>
          <w:szCs w:val="24"/>
          <w:lang w:val="pl-PL"/>
        </w:rPr>
        <w:t>stanowiło</w:t>
      </w:r>
      <w:r w:rsidR="00676BBF"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 xml:space="preserve">znaczący element w odrzuceniu znaczenia wniosku obrony dotyczącego wezwania </w:t>
      </w:r>
      <w:r w:rsidR="00676BBF">
        <w:rPr>
          <w:rFonts w:ascii="Times New Roman" w:hAnsi="Times New Roman" w:cs="Times New Roman"/>
          <w:szCs w:val="24"/>
          <w:lang w:val="pl-PL"/>
        </w:rPr>
        <w:t>przybranych</w:t>
      </w:r>
      <w:r w:rsidR="00676BBF"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świadków (zob. par.</w:t>
      </w:r>
      <w:r w:rsidR="00B624C1">
        <w:rPr>
          <w:rFonts w:ascii="Times New Roman" w:hAnsi="Times New Roman" w:cs="Times New Roman"/>
          <w:szCs w:val="24"/>
          <w:lang w:val="pl-PL"/>
        </w:rPr>
        <w:t> </w:t>
      </w:r>
      <w:r w:rsidR="00623AB9" w:rsidRPr="00246717">
        <w:rPr>
          <w:rFonts w:ascii="Times New Roman" w:hAnsi="Times New Roman" w:cs="Times New Roman"/>
          <w:szCs w:val="24"/>
          <w:lang w:val="pl-PL"/>
        </w:rPr>
        <w:t>170 wyroku).</w:t>
      </w:r>
    </w:p>
    <w:p w14:paraId="23169DD1" w14:textId="1A201B22"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19</w:t>
      </w:r>
      <w:r w:rsidRPr="00246717">
        <w:rPr>
          <w:lang w:val="pl-PL"/>
        </w:rPr>
        <w:fldChar w:fldCharType="end"/>
      </w:r>
      <w:r w:rsidR="00623AB9" w:rsidRPr="00246717">
        <w:rPr>
          <w:lang w:val="pl-PL"/>
        </w:rPr>
        <w:t xml:space="preserve">.  Badając, czy wniosek obrony był wystarczająco uzasadniony należy wziąć pod uwagę fakt, że </w:t>
      </w:r>
      <w:r w:rsidR="00676BBF">
        <w:rPr>
          <w:lang w:val="pl-PL"/>
        </w:rPr>
        <w:t>przybrani</w:t>
      </w:r>
      <w:r w:rsidR="00676BBF" w:rsidRPr="00246717">
        <w:rPr>
          <w:lang w:val="pl-PL"/>
        </w:rPr>
        <w:t xml:space="preserve"> </w:t>
      </w:r>
      <w:r w:rsidR="00623AB9" w:rsidRPr="00246717">
        <w:rPr>
          <w:lang w:val="pl-PL"/>
        </w:rPr>
        <w:t xml:space="preserve">świadkowie ani nie zostali przesłuchani podczas postępowania przygotowawczego, ani nie złożyli żadnych </w:t>
      </w:r>
      <w:r w:rsidR="00623AB9" w:rsidRPr="00246717">
        <w:rPr>
          <w:lang w:val="pl-PL"/>
        </w:rPr>
        <w:lastRenderedPageBreak/>
        <w:t xml:space="preserve">pisemnych oświadczeń, jakie obrona mogłaby przedłożyć albo na których mogłaby się oprzeć. W tych okolicznościach niemożliwe było spekulowanie na temat dokładnej treści ich </w:t>
      </w:r>
      <w:r w:rsidR="00676BBF">
        <w:rPr>
          <w:lang w:val="pl-PL"/>
        </w:rPr>
        <w:t>ewentualnych</w:t>
      </w:r>
      <w:r w:rsidR="00676BBF" w:rsidRPr="00246717">
        <w:rPr>
          <w:lang w:val="pl-PL"/>
        </w:rPr>
        <w:t xml:space="preserve"> </w:t>
      </w:r>
      <w:r w:rsidR="00623AB9" w:rsidRPr="00246717">
        <w:rPr>
          <w:lang w:val="pl-PL"/>
        </w:rPr>
        <w:t>zeznań. Niemniej rozsądnie należało przyjąć, że z</w:t>
      </w:r>
      <w:r w:rsidR="00B624C1">
        <w:rPr>
          <w:lang w:val="pl-PL"/>
        </w:rPr>
        <w:t>n</w:t>
      </w:r>
      <w:r w:rsidR="00623AB9" w:rsidRPr="00246717">
        <w:rPr>
          <w:lang w:val="pl-PL"/>
        </w:rPr>
        <w:t xml:space="preserve">ali okoliczności przeszukania torebki skarżącej i przebieg zdarzeń bezpośrednio poprzedzających przeszukanie. Czy którekolwiek z tych okoliczności zwiększyłyby prawdopodobieństwo wersji skarżącej, było to kwestią oceny </w:t>
      </w:r>
      <w:r w:rsidR="00092951">
        <w:rPr>
          <w:lang w:val="pl-PL"/>
        </w:rPr>
        <w:t>stanu faktycznego</w:t>
      </w:r>
      <w:r w:rsidR="00623AB9" w:rsidRPr="00246717">
        <w:rPr>
          <w:lang w:val="pl-PL"/>
        </w:rPr>
        <w:t xml:space="preserve">, </w:t>
      </w:r>
      <w:r w:rsidR="00092951" w:rsidRPr="00246717">
        <w:rPr>
          <w:lang w:val="pl-PL"/>
        </w:rPr>
        <w:t>któr</w:t>
      </w:r>
      <w:r w:rsidR="00092951">
        <w:rPr>
          <w:lang w:val="pl-PL"/>
        </w:rPr>
        <w:t>ą</w:t>
      </w:r>
      <w:r w:rsidR="00092951" w:rsidRPr="00246717">
        <w:rPr>
          <w:lang w:val="pl-PL"/>
        </w:rPr>
        <w:t xml:space="preserve"> </w:t>
      </w:r>
      <w:r w:rsidR="00623AB9" w:rsidRPr="00246717">
        <w:rPr>
          <w:lang w:val="pl-PL"/>
        </w:rPr>
        <w:t xml:space="preserve">z kolei można było dokonać dopiero po </w:t>
      </w:r>
      <w:r w:rsidR="00092951">
        <w:rPr>
          <w:lang w:val="pl-PL"/>
        </w:rPr>
        <w:t>odebraniu</w:t>
      </w:r>
      <w:r w:rsidR="00092951" w:rsidRPr="00246717">
        <w:rPr>
          <w:lang w:val="pl-PL"/>
        </w:rPr>
        <w:t xml:space="preserve"> </w:t>
      </w:r>
      <w:r w:rsidR="00623AB9" w:rsidRPr="00246717">
        <w:rPr>
          <w:lang w:val="pl-PL"/>
        </w:rPr>
        <w:t>ich zeznań.</w:t>
      </w:r>
    </w:p>
    <w:p w14:paraId="35B10E8D" w14:textId="752AF7AC" w:rsidR="00623AB9" w:rsidRPr="00246717" w:rsidRDefault="00623AB9" w:rsidP="000957D3">
      <w:pPr>
        <w:pStyle w:val="OpiHa0"/>
        <w:rPr>
          <w:lang w:val="pl-PL"/>
        </w:rPr>
      </w:pPr>
      <w:r w:rsidRPr="00246717">
        <w:rPr>
          <w:lang w:val="pl-PL"/>
        </w:rPr>
        <w:t>c)</w:t>
      </w:r>
      <w:r w:rsidR="00B624C1">
        <w:rPr>
          <w:lang w:val="pl-PL"/>
        </w:rPr>
        <w:t>  </w:t>
      </w:r>
      <w:r w:rsidR="00092951">
        <w:rPr>
          <w:lang w:val="pl-PL"/>
        </w:rPr>
        <w:t>D</w:t>
      </w:r>
      <w:r w:rsidRPr="00246717">
        <w:rPr>
          <w:lang w:val="pl-PL"/>
        </w:rPr>
        <w:t>ruga przesłanka: ocena i uzasadnienie sądów krajowych</w:t>
      </w:r>
    </w:p>
    <w:p w14:paraId="648816D4" w14:textId="0C6C65E4"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20</w:t>
      </w:r>
      <w:r w:rsidRPr="00246717">
        <w:rPr>
          <w:lang w:val="pl-PL"/>
        </w:rPr>
        <w:fldChar w:fldCharType="end"/>
      </w:r>
      <w:r w:rsidR="00623AB9" w:rsidRPr="00246717">
        <w:rPr>
          <w:lang w:val="pl-PL"/>
        </w:rPr>
        <w:t xml:space="preserve">.  Sąd krajowy pierwszej instancji oddalił wniosek dotyczący przesłuchania </w:t>
      </w:r>
      <w:r w:rsidR="00092951">
        <w:rPr>
          <w:lang w:val="pl-PL"/>
        </w:rPr>
        <w:t>przybranych</w:t>
      </w:r>
      <w:r w:rsidR="00092951" w:rsidRPr="00246717">
        <w:rPr>
          <w:lang w:val="pl-PL"/>
        </w:rPr>
        <w:t xml:space="preserve"> </w:t>
      </w:r>
      <w:r w:rsidR="00623AB9" w:rsidRPr="00246717">
        <w:rPr>
          <w:lang w:val="pl-PL"/>
        </w:rPr>
        <w:t>świadków. Zgodnie z drugą przesłanką testu sąd był zobowiązany do dostarczenia wystarczających powodów do wydania tej decyzji. Nie dostarczył jednak żadnych powodów, ani na rozprawie, ani w</w:t>
      </w:r>
      <w:r w:rsidR="00B624C1">
        <w:rPr>
          <w:lang w:val="pl-PL"/>
        </w:rPr>
        <w:t> </w:t>
      </w:r>
      <w:r w:rsidR="00623AB9" w:rsidRPr="00246717">
        <w:rPr>
          <w:lang w:val="pl-PL"/>
        </w:rPr>
        <w:t>późniejszym wyroku. Chociaż Sąd Najwyższy dostarczył pewne uzasadnienia w tym względzie, nie mogę jednak zgodzić się z większością składu orzekającego, że powody te były odpowiednie i dostateczne.</w:t>
      </w:r>
    </w:p>
    <w:p w14:paraId="53E0BA86" w14:textId="5536B7D2"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21</w:t>
      </w:r>
      <w:r w:rsidRPr="00246717">
        <w:rPr>
          <w:lang w:val="pl-PL"/>
        </w:rPr>
        <w:fldChar w:fldCharType="end"/>
      </w:r>
      <w:r w:rsidR="00623AB9" w:rsidRPr="00246717">
        <w:rPr>
          <w:lang w:val="pl-PL"/>
        </w:rPr>
        <w:t>.  Jak jasno wynika z par.</w:t>
      </w:r>
      <w:r w:rsidR="00B624C1">
        <w:rPr>
          <w:lang w:val="pl-PL"/>
        </w:rPr>
        <w:t> </w:t>
      </w:r>
      <w:r w:rsidR="00623AB9" w:rsidRPr="00246717">
        <w:rPr>
          <w:lang w:val="pl-PL"/>
        </w:rPr>
        <w:t xml:space="preserve">67 niniejszego wyroku, Sąd Najwyższy uznał, że osobiste stawiennictwo </w:t>
      </w:r>
      <w:r w:rsidR="00092951">
        <w:rPr>
          <w:lang w:val="pl-PL"/>
        </w:rPr>
        <w:t>przybranych</w:t>
      </w:r>
      <w:r w:rsidR="00092951" w:rsidRPr="00246717">
        <w:rPr>
          <w:lang w:val="pl-PL"/>
        </w:rPr>
        <w:t xml:space="preserve"> </w:t>
      </w:r>
      <w:r w:rsidR="00623AB9" w:rsidRPr="00246717">
        <w:rPr>
          <w:lang w:val="pl-PL"/>
        </w:rPr>
        <w:t xml:space="preserve">świadków nie było konieczne, ponieważ a) skarżąca sama twierdziła, że materiały wybuchowe zostały podrzucone do jej torebki przed ich przybyciem; b) obrona nie zgłosiła żadnych zastrzeżeń po odmowie przesłuchania </w:t>
      </w:r>
      <w:r w:rsidR="004A2273">
        <w:rPr>
          <w:lang w:val="pl-PL"/>
        </w:rPr>
        <w:t>przybranych</w:t>
      </w:r>
      <w:r w:rsidR="004A2273" w:rsidRPr="00246717">
        <w:rPr>
          <w:lang w:val="pl-PL"/>
        </w:rPr>
        <w:t xml:space="preserve"> </w:t>
      </w:r>
      <w:r w:rsidR="00623AB9" w:rsidRPr="00246717">
        <w:rPr>
          <w:lang w:val="pl-PL"/>
        </w:rPr>
        <w:t xml:space="preserve">świadków; ani c) nie złożyła dodatkowych wniosków </w:t>
      </w:r>
      <w:r w:rsidR="004A2273">
        <w:rPr>
          <w:lang w:val="pl-PL"/>
        </w:rPr>
        <w:t>o</w:t>
      </w:r>
      <w:r w:rsidR="004A2273" w:rsidRPr="00246717">
        <w:rPr>
          <w:lang w:val="pl-PL"/>
        </w:rPr>
        <w:t xml:space="preserve"> </w:t>
      </w:r>
      <w:r w:rsidR="004A2273">
        <w:rPr>
          <w:lang w:val="pl-PL"/>
        </w:rPr>
        <w:t xml:space="preserve"> przeprowadzenie</w:t>
      </w:r>
      <w:r w:rsidR="00B624C1">
        <w:rPr>
          <w:lang w:val="pl-PL"/>
        </w:rPr>
        <w:t> </w:t>
      </w:r>
      <w:r w:rsidR="004A2273" w:rsidRPr="00246717">
        <w:rPr>
          <w:lang w:val="pl-PL"/>
        </w:rPr>
        <w:t>dowod</w:t>
      </w:r>
      <w:r w:rsidR="004A2273">
        <w:rPr>
          <w:lang w:val="pl-PL"/>
        </w:rPr>
        <w:t>ów</w:t>
      </w:r>
      <w:r w:rsidR="00623AB9" w:rsidRPr="00246717">
        <w:rPr>
          <w:lang w:val="pl-PL"/>
        </w:rPr>
        <w:t xml:space="preserve">. Pomimo że reakcja skarżącej na wniosek jej </w:t>
      </w:r>
      <w:r w:rsidR="004A2273">
        <w:rPr>
          <w:lang w:val="pl-PL"/>
        </w:rPr>
        <w:t>obrońców</w:t>
      </w:r>
      <w:r w:rsidR="004A2273" w:rsidRPr="00246717">
        <w:rPr>
          <w:lang w:val="pl-PL"/>
        </w:rPr>
        <w:t xml:space="preserve"> </w:t>
      </w:r>
      <w:r w:rsidR="00623AB9" w:rsidRPr="00246717">
        <w:rPr>
          <w:lang w:val="pl-PL"/>
        </w:rPr>
        <w:t xml:space="preserve">bynajmniej nie pomogła </w:t>
      </w:r>
      <w:r w:rsidR="00B624C1">
        <w:rPr>
          <w:lang w:val="pl-PL"/>
        </w:rPr>
        <w:t>w</w:t>
      </w:r>
      <w:r w:rsidR="00623AB9" w:rsidRPr="00246717">
        <w:rPr>
          <w:lang w:val="pl-PL"/>
        </w:rPr>
        <w:t xml:space="preserve"> sprawie, relacja Sądu Najwyższego z jej zeznania nie odpowiada jego rzeczywistej </w:t>
      </w:r>
      <w:r w:rsidR="004A2273">
        <w:rPr>
          <w:lang w:val="pl-PL"/>
        </w:rPr>
        <w:t>tre</w:t>
      </w:r>
      <w:r w:rsidR="004A2273" w:rsidRPr="00246717">
        <w:rPr>
          <w:lang w:val="pl-PL"/>
        </w:rPr>
        <w:t>ści</w:t>
      </w:r>
      <w:r w:rsidR="00623AB9" w:rsidRPr="00246717">
        <w:rPr>
          <w:lang w:val="pl-PL"/>
        </w:rPr>
        <w:t xml:space="preserve">. W szczególności skarżąca nie twierdziła, że materiały wybuchowe zostały podrzucone przed przybyciem </w:t>
      </w:r>
      <w:r w:rsidR="004A2273">
        <w:rPr>
          <w:lang w:val="pl-PL"/>
        </w:rPr>
        <w:t>przybranych</w:t>
      </w:r>
      <w:r w:rsidR="004A2273" w:rsidRPr="00246717">
        <w:rPr>
          <w:lang w:val="pl-PL"/>
        </w:rPr>
        <w:t xml:space="preserve"> </w:t>
      </w:r>
      <w:r w:rsidR="00623AB9" w:rsidRPr="00246717">
        <w:rPr>
          <w:lang w:val="pl-PL"/>
        </w:rPr>
        <w:t xml:space="preserve">świadków, lecz przed </w:t>
      </w:r>
      <w:r w:rsidR="004A2273">
        <w:rPr>
          <w:lang w:val="pl-PL"/>
        </w:rPr>
        <w:t>przystąpieniem do</w:t>
      </w:r>
      <w:r w:rsidR="004A2273" w:rsidRPr="00246717">
        <w:rPr>
          <w:lang w:val="pl-PL"/>
        </w:rPr>
        <w:t xml:space="preserve"> </w:t>
      </w:r>
      <w:r w:rsidR="00623AB9" w:rsidRPr="00246717">
        <w:rPr>
          <w:lang w:val="pl-PL"/>
        </w:rPr>
        <w:t xml:space="preserve">przeszukania. Ta różnica jest istotna. Ponadto z </w:t>
      </w:r>
      <w:r w:rsidR="004A2273">
        <w:rPr>
          <w:lang w:val="pl-PL"/>
        </w:rPr>
        <w:t>przyczyn wskazanych</w:t>
      </w:r>
      <w:r w:rsidR="00623AB9" w:rsidRPr="00246717">
        <w:rPr>
          <w:lang w:val="pl-PL"/>
        </w:rPr>
        <w:t xml:space="preserve"> w punktach 18 i 19 powyżej istniały wystarczające podstawy, żeby uznać wniosek za istotny, pomimo interwencji skarżącej.</w:t>
      </w:r>
    </w:p>
    <w:p w14:paraId="6F609C04" w14:textId="1A6A0D2B"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22</w:t>
      </w:r>
      <w:r w:rsidRPr="00246717">
        <w:rPr>
          <w:lang w:val="pl-PL"/>
        </w:rPr>
        <w:fldChar w:fldCharType="end"/>
      </w:r>
      <w:r w:rsidR="00623AB9" w:rsidRPr="00246717">
        <w:rPr>
          <w:lang w:val="pl-PL"/>
        </w:rPr>
        <w:t xml:space="preserve">.  Chociaż pierwszy powód przedstawiony przez Sąd Najwyższy nie odzwierciedla rzeczywistego przebiegu zdarzeń na sali sądowej, dwa pozostałe są niewiele bardziej </w:t>
      </w:r>
      <w:r w:rsidR="004A2273" w:rsidRPr="00246717">
        <w:rPr>
          <w:lang w:val="pl-PL"/>
        </w:rPr>
        <w:t>przekon</w:t>
      </w:r>
      <w:r w:rsidR="004A2273">
        <w:rPr>
          <w:lang w:val="pl-PL"/>
        </w:rPr>
        <w:t>u</w:t>
      </w:r>
      <w:r w:rsidR="004A2273" w:rsidRPr="00246717">
        <w:rPr>
          <w:lang w:val="pl-PL"/>
        </w:rPr>
        <w:t>jące</w:t>
      </w:r>
      <w:r w:rsidR="00623AB9" w:rsidRPr="00246717">
        <w:rPr>
          <w:lang w:val="pl-PL"/>
        </w:rPr>
        <w:t>. O ile od stron w</w:t>
      </w:r>
      <w:r w:rsidR="008B183D">
        <w:rPr>
          <w:lang w:val="pl-PL"/>
        </w:rPr>
        <w:t> </w:t>
      </w:r>
      <w:r w:rsidR="00623AB9" w:rsidRPr="00246717">
        <w:rPr>
          <w:lang w:val="pl-PL"/>
        </w:rPr>
        <w:t>postępowaniu sądowym można oczekiwać zgłaszania sprzeciw</w:t>
      </w:r>
      <w:r w:rsidR="004A2273">
        <w:rPr>
          <w:lang w:val="pl-PL"/>
        </w:rPr>
        <w:t>u</w:t>
      </w:r>
      <w:r w:rsidR="00623AB9" w:rsidRPr="00246717">
        <w:rPr>
          <w:lang w:val="pl-PL"/>
        </w:rPr>
        <w:t xml:space="preserve"> wobec wniosków strony przeciwnej lub w stopniu przewidywanym przez sąd, trudno wyobrazić sobie sprzeciw wobec </w:t>
      </w:r>
      <w:r w:rsidR="004A2273">
        <w:rPr>
          <w:lang w:val="pl-PL"/>
        </w:rPr>
        <w:t>rozstrzygnięcia</w:t>
      </w:r>
      <w:r w:rsidR="004A2273" w:rsidRPr="00246717">
        <w:rPr>
          <w:lang w:val="pl-PL"/>
        </w:rPr>
        <w:t xml:space="preserve"> </w:t>
      </w:r>
      <w:r w:rsidR="00623AB9" w:rsidRPr="00246717">
        <w:rPr>
          <w:lang w:val="pl-PL"/>
        </w:rPr>
        <w:t>procesowe</w:t>
      </w:r>
      <w:r w:rsidR="004A2273">
        <w:rPr>
          <w:lang w:val="pl-PL"/>
        </w:rPr>
        <w:t>go</w:t>
      </w:r>
      <w:r w:rsidR="00623AB9" w:rsidRPr="00246717">
        <w:rPr>
          <w:lang w:val="pl-PL"/>
        </w:rPr>
        <w:t xml:space="preserve"> sądu w toku samego postępowania: takie </w:t>
      </w:r>
      <w:r w:rsidR="004A2273">
        <w:rPr>
          <w:lang w:val="pl-PL"/>
        </w:rPr>
        <w:t>rozstrzygnięcia</w:t>
      </w:r>
      <w:r w:rsidR="004A2273" w:rsidRPr="00246717">
        <w:rPr>
          <w:lang w:val="pl-PL"/>
        </w:rPr>
        <w:t xml:space="preserve"> </w:t>
      </w:r>
      <w:r w:rsidR="00623AB9" w:rsidRPr="00246717">
        <w:rPr>
          <w:lang w:val="pl-PL"/>
        </w:rPr>
        <w:t>zazwyczaj są przedmiotem „sprzeciwu” w</w:t>
      </w:r>
      <w:r w:rsidR="008B183D">
        <w:rPr>
          <w:lang w:val="pl-PL"/>
        </w:rPr>
        <w:t> </w:t>
      </w:r>
      <w:r w:rsidR="00623AB9" w:rsidRPr="00246717">
        <w:rPr>
          <w:lang w:val="pl-PL"/>
        </w:rPr>
        <w:t xml:space="preserve">drodze środków odwoławczych wobec tych </w:t>
      </w:r>
      <w:r w:rsidR="004A2273">
        <w:rPr>
          <w:lang w:val="pl-PL"/>
        </w:rPr>
        <w:t>rozstrzygnięć</w:t>
      </w:r>
      <w:r w:rsidR="00623AB9" w:rsidRPr="00246717">
        <w:rPr>
          <w:lang w:val="pl-PL"/>
        </w:rPr>
        <w:t>. Trybunał nie zna żadnych środków odwoławczych w tej konkretnej sytuacji. Wreszcie, w</w:t>
      </w:r>
      <w:r w:rsidR="00586F71">
        <w:rPr>
          <w:lang w:val="pl-PL"/>
        </w:rPr>
        <w:t> </w:t>
      </w:r>
      <w:r w:rsidR="00623AB9" w:rsidRPr="00246717">
        <w:rPr>
          <w:lang w:val="pl-PL"/>
        </w:rPr>
        <w:t xml:space="preserve">świetle faktu, zgodnie z którym obrona skarżącej nie dysponowała żadnymi alternatywnymi dowodami dla uzasadnienia zarzutu podrzuconego materiału dowodowego, oczekiwanie Sądu Najwyższego, że obrona złoży dodatkowe wnioski o </w:t>
      </w:r>
      <w:r w:rsidR="004A2273">
        <w:rPr>
          <w:lang w:val="pl-PL"/>
        </w:rPr>
        <w:t>przeprowadzenie dowodów</w:t>
      </w:r>
      <w:r w:rsidR="00623AB9" w:rsidRPr="00246717">
        <w:rPr>
          <w:lang w:val="pl-PL"/>
        </w:rPr>
        <w:t xml:space="preserve">, nie ma mocy </w:t>
      </w:r>
      <w:r w:rsidR="00623AB9" w:rsidRPr="00246717">
        <w:rPr>
          <w:lang w:val="pl-PL"/>
        </w:rPr>
        <w:lastRenderedPageBreak/>
        <w:t>przekonującej. Podsumowując, uważam, że uzasadnienie przedstawione przez Sąd Najwyższy było niedostateczne oraz że w konsekwencji decyzje sądów krajowych w niniejszej sprawie nie spełniają drugiej przesłanki trzystopniowego testu.</w:t>
      </w:r>
    </w:p>
    <w:p w14:paraId="684E3086" w14:textId="04534757" w:rsidR="00623AB9" w:rsidRPr="00246717" w:rsidRDefault="00623AB9" w:rsidP="000957D3">
      <w:pPr>
        <w:pStyle w:val="OpiHa0"/>
        <w:rPr>
          <w:lang w:val="pl-PL"/>
        </w:rPr>
      </w:pPr>
      <w:r w:rsidRPr="00246717">
        <w:rPr>
          <w:lang w:val="pl-PL"/>
        </w:rPr>
        <w:t>d)</w:t>
      </w:r>
      <w:r w:rsidR="00586F71">
        <w:rPr>
          <w:lang w:val="pl-PL"/>
        </w:rPr>
        <w:t>  </w:t>
      </w:r>
      <w:r w:rsidR="004A2273">
        <w:rPr>
          <w:lang w:val="pl-PL"/>
        </w:rPr>
        <w:t>T</w:t>
      </w:r>
      <w:r w:rsidRPr="00246717">
        <w:rPr>
          <w:lang w:val="pl-PL"/>
        </w:rPr>
        <w:t>rzecia przesłanka: Ogólna rzetelność postępowania</w:t>
      </w:r>
    </w:p>
    <w:p w14:paraId="1AA87440" w14:textId="1F1D211D" w:rsidR="00623AB9" w:rsidRPr="00246717" w:rsidRDefault="00150576" w:rsidP="000957D3">
      <w:pPr>
        <w:pStyle w:val="OpiPara"/>
        <w:rPr>
          <w:lang w:val="pl-PL"/>
        </w:rPr>
      </w:pPr>
      <w:r w:rsidRPr="00246717">
        <w:rPr>
          <w:lang w:val="pl-PL"/>
        </w:rPr>
        <w:fldChar w:fldCharType="begin"/>
      </w:r>
      <w:r w:rsidR="00623AB9" w:rsidRPr="00246717">
        <w:rPr>
          <w:lang w:val="pl-PL"/>
        </w:rPr>
        <w:instrText xml:space="preserve"> SEQ level0 \*arabic </w:instrText>
      </w:r>
      <w:r w:rsidRPr="00246717">
        <w:rPr>
          <w:lang w:val="pl-PL"/>
        </w:rPr>
        <w:fldChar w:fldCharType="separate"/>
      </w:r>
      <w:r w:rsidR="00623AB9" w:rsidRPr="00246717">
        <w:rPr>
          <w:lang w:val="pl-PL"/>
        </w:rPr>
        <w:t>23</w:t>
      </w:r>
      <w:r w:rsidRPr="00246717">
        <w:rPr>
          <w:lang w:val="pl-PL"/>
        </w:rPr>
        <w:fldChar w:fldCharType="end"/>
      </w:r>
      <w:r w:rsidR="00623AB9" w:rsidRPr="00246717">
        <w:rPr>
          <w:lang w:val="pl-PL"/>
        </w:rPr>
        <w:t xml:space="preserve">.  W mojej opinii przeprowadzona przez większość składu orzekającego ocena ogólnej rzetelności jest raczej lapidarna. Ponadto większość składu orzekającego w dużej mierze skupiła </w:t>
      </w:r>
      <w:r w:rsidR="004A2273">
        <w:rPr>
          <w:lang w:val="pl-PL"/>
        </w:rPr>
        <w:t>się</w:t>
      </w:r>
      <w:r w:rsidR="004A2273" w:rsidRPr="00246717">
        <w:rPr>
          <w:lang w:val="pl-PL"/>
        </w:rPr>
        <w:t xml:space="preserve"> </w:t>
      </w:r>
      <w:r w:rsidR="00623AB9" w:rsidRPr="00246717">
        <w:rPr>
          <w:lang w:val="pl-PL"/>
        </w:rPr>
        <w:t xml:space="preserve">na </w:t>
      </w:r>
      <w:r w:rsidR="004A2273">
        <w:rPr>
          <w:lang w:val="pl-PL"/>
        </w:rPr>
        <w:t>walorze</w:t>
      </w:r>
      <w:r w:rsidR="004A2273" w:rsidRPr="00246717">
        <w:rPr>
          <w:lang w:val="pl-PL"/>
        </w:rPr>
        <w:t xml:space="preserve"> </w:t>
      </w:r>
      <w:r w:rsidR="00623AB9" w:rsidRPr="00246717">
        <w:rPr>
          <w:lang w:val="pl-PL"/>
        </w:rPr>
        <w:t>i ilości dowodów, na których opiera się wydanie wyroku skazującego skarżącą. Z powodów, które przedstawiłem w punkcie 12 odrębnej opinii uważam, że takiego podejścia należało uniknąć. Jak słusznie podkreślono w par.</w:t>
      </w:r>
      <w:r w:rsidR="00586F71">
        <w:rPr>
          <w:lang w:val="pl-PL"/>
        </w:rPr>
        <w:t> </w:t>
      </w:r>
      <w:r w:rsidR="00623AB9" w:rsidRPr="00246717">
        <w:rPr>
          <w:lang w:val="pl-PL"/>
        </w:rPr>
        <w:t>149 niniejszego wyroku, rolą Trybunału nie jest orzekanie w przedmiocie tego, czy dostępne dowody były wystarczające do wydania wyroku skazującego skarżącą.</w:t>
      </w:r>
    </w:p>
    <w:p w14:paraId="4B80807C" w14:textId="53231059" w:rsidR="00B16313" w:rsidRPr="00246717" w:rsidRDefault="00150576" w:rsidP="000957D3">
      <w:pPr>
        <w:pStyle w:val="OpiPara"/>
        <w:rPr>
          <w:rFonts w:ascii="Times New Roman" w:hAnsi="Times New Roman" w:cs="Times New Roman"/>
          <w:szCs w:val="24"/>
          <w:lang w:val="pl-PL"/>
        </w:rPr>
      </w:pPr>
      <w:r w:rsidRPr="00246717">
        <w:rPr>
          <w:rFonts w:ascii="Times New Roman" w:hAnsi="Times New Roman" w:cs="Times New Roman"/>
          <w:szCs w:val="24"/>
          <w:lang w:val="pl-PL"/>
        </w:rPr>
        <w:fldChar w:fldCharType="begin"/>
      </w:r>
      <w:r w:rsidR="00623AB9" w:rsidRPr="00246717">
        <w:rPr>
          <w:rFonts w:ascii="Times New Roman" w:hAnsi="Times New Roman" w:cs="Times New Roman"/>
          <w:szCs w:val="24"/>
          <w:lang w:val="pl-PL"/>
        </w:rPr>
        <w:instrText xml:space="preserve"> SEQ level0 \*arabic </w:instrText>
      </w:r>
      <w:r w:rsidRPr="00246717">
        <w:rPr>
          <w:rFonts w:ascii="Times New Roman" w:hAnsi="Times New Roman" w:cs="Times New Roman"/>
          <w:szCs w:val="24"/>
          <w:lang w:val="pl-PL"/>
        </w:rPr>
        <w:fldChar w:fldCharType="separate"/>
      </w:r>
      <w:r w:rsidR="00623AB9" w:rsidRPr="00246717">
        <w:rPr>
          <w:rFonts w:ascii="Times New Roman" w:hAnsi="Times New Roman" w:cs="Times New Roman"/>
          <w:szCs w:val="24"/>
          <w:lang w:val="pl-PL"/>
        </w:rPr>
        <w:t>24</w:t>
      </w:r>
      <w:r w:rsidRPr="00246717">
        <w:rPr>
          <w:rFonts w:ascii="Times New Roman" w:hAnsi="Times New Roman" w:cs="Times New Roman"/>
          <w:szCs w:val="24"/>
          <w:lang w:val="pl-PL"/>
        </w:rPr>
        <w:fldChar w:fldCharType="end"/>
      </w:r>
      <w:r w:rsidR="00623AB9" w:rsidRPr="00246717">
        <w:rPr>
          <w:rFonts w:ascii="Times New Roman" w:hAnsi="Times New Roman" w:cs="Times New Roman"/>
          <w:szCs w:val="24"/>
          <w:lang w:val="pl-PL"/>
        </w:rPr>
        <w:t xml:space="preserve">.  W swojej ocenie rzetelności większość składu orzekającego również podkreśla kilka elementów proceduralnych, które </w:t>
      </w:r>
      <w:r w:rsidR="004A2273">
        <w:rPr>
          <w:rFonts w:ascii="Times New Roman" w:hAnsi="Times New Roman" w:cs="Times New Roman"/>
          <w:szCs w:val="24"/>
          <w:lang w:val="pl-PL"/>
        </w:rPr>
        <w:t>jego zdaniem</w:t>
      </w:r>
      <w:r w:rsidR="00623AB9" w:rsidRPr="00246717">
        <w:rPr>
          <w:rFonts w:ascii="Times New Roman" w:hAnsi="Times New Roman" w:cs="Times New Roman"/>
          <w:szCs w:val="24"/>
          <w:lang w:val="pl-PL"/>
        </w:rPr>
        <w:t xml:space="preserve"> czynią </w:t>
      </w:r>
      <w:r w:rsidR="004A2273">
        <w:rPr>
          <w:rFonts w:ascii="Times New Roman" w:hAnsi="Times New Roman" w:cs="Times New Roman"/>
          <w:szCs w:val="24"/>
          <w:lang w:val="pl-PL"/>
        </w:rPr>
        <w:t xml:space="preserve">całe </w:t>
      </w:r>
      <w:r w:rsidR="00623AB9" w:rsidRPr="00246717">
        <w:rPr>
          <w:rFonts w:ascii="Times New Roman" w:hAnsi="Times New Roman" w:cs="Times New Roman"/>
          <w:szCs w:val="24"/>
          <w:lang w:val="pl-PL"/>
        </w:rPr>
        <w:t>postępowanie</w:t>
      </w:r>
      <w:r w:rsidR="004A2273">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 xml:space="preserve">rzetelnym. O ile zgadzam się z niektórymi </w:t>
      </w:r>
      <w:r w:rsidR="004A2273" w:rsidRPr="00246717">
        <w:rPr>
          <w:rFonts w:ascii="Times New Roman" w:hAnsi="Times New Roman" w:cs="Times New Roman"/>
          <w:szCs w:val="24"/>
          <w:lang w:val="pl-PL"/>
        </w:rPr>
        <w:t>argument</w:t>
      </w:r>
      <w:r w:rsidR="004A2273">
        <w:rPr>
          <w:rFonts w:ascii="Times New Roman" w:hAnsi="Times New Roman" w:cs="Times New Roman"/>
          <w:szCs w:val="24"/>
          <w:lang w:val="pl-PL"/>
        </w:rPr>
        <w:t>ami składu</w:t>
      </w:r>
      <w:r w:rsidR="004A2273"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 xml:space="preserve">w tym względzie, ze wszystkich powyższych </w:t>
      </w:r>
      <w:r w:rsidR="004A2273">
        <w:rPr>
          <w:rFonts w:ascii="Times New Roman" w:hAnsi="Times New Roman" w:cs="Times New Roman"/>
          <w:szCs w:val="24"/>
          <w:lang w:val="pl-PL"/>
        </w:rPr>
        <w:t>względów</w:t>
      </w:r>
      <w:r w:rsidR="004A2273"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zachowuję moje przekonanie w odniesieniu do kluczowego aspektu, tj. że rozstrzygający w niniejszej sprawie materiał dowodowy został podrzucony, że skarżącej uniemożliwiono przedstawienie wszelkich istotnych argumentów i dowodów przed sądem krajowym oraz że</w:t>
      </w:r>
      <w:r w:rsidR="004A2273">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sądy krajowe zbadały to konkretne twierdzenie w sposób niedostateczny. Uwzględniając wagę zarzutów skarżącej, w połączeniu z okolicznościami jej zatrzymania i przeszukania, uchybienia tego nie można było naprawić ani zrekompensować poprzez prawidłowe przeprowadzenie postępowania w</w:t>
      </w:r>
      <w:r w:rsidR="00586F71">
        <w:rPr>
          <w:rFonts w:ascii="Times New Roman" w:hAnsi="Times New Roman" w:cs="Times New Roman"/>
          <w:szCs w:val="24"/>
          <w:lang w:val="pl-PL"/>
        </w:rPr>
        <w:t> </w:t>
      </w:r>
      <w:r w:rsidR="00623AB9" w:rsidRPr="00246717">
        <w:rPr>
          <w:rFonts w:ascii="Times New Roman" w:hAnsi="Times New Roman" w:cs="Times New Roman"/>
          <w:szCs w:val="24"/>
          <w:lang w:val="pl-PL"/>
        </w:rPr>
        <w:t xml:space="preserve">odniesieniu do innych kwestii. </w:t>
      </w:r>
      <w:r w:rsidR="004A2273">
        <w:rPr>
          <w:rFonts w:ascii="Times New Roman" w:hAnsi="Times New Roman" w:cs="Times New Roman"/>
          <w:szCs w:val="24"/>
          <w:lang w:val="pl-PL"/>
        </w:rPr>
        <w:t>Z tego względu</w:t>
      </w:r>
      <w:r w:rsidR="004A2273" w:rsidRPr="00246717">
        <w:rPr>
          <w:rFonts w:ascii="Times New Roman" w:hAnsi="Times New Roman" w:cs="Times New Roman"/>
          <w:szCs w:val="24"/>
          <w:lang w:val="pl-PL"/>
        </w:rPr>
        <w:t xml:space="preserve"> </w:t>
      </w:r>
      <w:r w:rsidR="00623AB9" w:rsidRPr="00246717">
        <w:rPr>
          <w:rFonts w:ascii="Times New Roman" w:hAnsi="Times New Roman" w:cs="Times New Roman"/>
          <w:szCs w:val="24"/>
          <w:lang w:val="pl-PL"/>
        </w:rPr>
        <w:t>uważam, że doszło do naruszenia art. 6 ust. 1 i 3 lit. d Konwencji.</w:t>
      </w:r>
    </w:p>
    <w:p w14:paraId="1BCDE898" w14:textId="77777777" w:rsidR="00B16313" w:rsidRPr="00246717" w:rsidRDefault="00623AB9" w:rsidP="000957D3">
      <w:pPr>
        <w:pStyle w:val="OpiPara"/>
        <w:rPr>
          <w:rFonts w:ascii="Times New Roman" w:hAnsi="Times New Roman" w:cs="Times New Roman"/>
          <w:szCs w:val="24"/>
          <w:lang w:val="pl-PL"/>
        </w:rPr>
        <w:sectPr w:rsidR="00B16313" w:rsidRPr="00246717">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1906" w:h="16838"/>
          <w:pgMar w:top="2274" w:right="2274" w:bottom="2274" w:left="2274" w:header="1701" w:footer="720" w:gutter="0"/>
          <w:cols w:space="720"/>
        </w:sectPr>
      </w:pPr>
      <w:r w:rsidRPr="00246717">
        <w:rPr>
          <w:rFonts w:ascii="Times New Roman" w:hAnsi="Times New Roman" w:cs="Times New Roman"/>
          <w:szCs w:val="24"/>
          <w:lang w:val="pl-PL"/>
        </w:rPr>
        <w:t xml:space="preserve"> </w:t>
      </w:r>
      <w:r w:rsidRPr="00246717">
        <w:rPr>
          <w:rFonts w:ascii="Times New Roman" w:hAnsi="Times New Roman" w:cs="Times New Roman"/>
          <w:szCs w:val="24"/>
          <w:lang w:val="pl-PL"/>
        </w:rPr>
        <w:br w:type="page"/>
      </w:r>
    </w:p>
    <w:p w14:paraId="4560D700" w14:textId="77777777" w:rsidR="008113A5" w:rsidRPr="00246717" w:rsidRDefault="008113A5" w:rsidP="000957D3">
      <w:pPr>
        <w:pStyle w:val="ECHRTitleCentre1"/>
        <w:rPr>
          <w:lang w:val="pl-PL"/>
        </w:rPr>
      </w:pPr>
      <w:r w:rsidRPr="00246717">
        <w:rPr>
          <w:lang w:val="pl-PL"/>
        </w:rPr>
        <w:lastRenderedPageBreak/>
        <w:t>ROZBIEŻNA OPINIA SĘDZIEGO PINTO DE ALBUQUERQUE</w:t>
      </w:r>
    </w:p>
    <w:p w14:paraId="2F24F54A" w14:textId="72016D83" w:rsidR="008113A5" w:rsidRPr="00246717" w:rsidRDefault="00150576" w:rsidP="000957D3">
      <w:pPr>
        <w:pStyle w:val="OpiPara"/>
        <w:rPr>
          <w:rFonts w:ascii="Times New Roman" w:eastAsia="Calibri" w:hAnsi="Times New Roman" w:cs="Times New Roman"/>
          <w:szCs w:val="24"/>
          <w:lang w:val="pl-PL"/>
        </w:rPr>
      </w:pPr>
      <w:r w:rsidRPr="00246717">
        <w:rPr>
          <w:lang w:val="pl-PL"/>
        </w:rPr>
        <w:fldChar w:fldCharType="begin"/>
      </w:r>
      <w:r w:rsidR="007F3EF3" w:rsidRPr="00246717">
        <w:rPr>
          <w:lang w:val="pl-PL"/>
        </w:rPr>
        <w:instrText xml:space="preserve"> SEQ level0 \*arabic \r1</w:instrText>
      </w:r>
      <w:r w:rsidRPr="00246717">
        <w:rPr>
          <w:lang w:val="pl-PL"/>
        </w:rPr>
        <w:fldChar w:fldCharType="begin"/>
      </w:r>
      <w:r w:rsidR="007F3EF3" w:rsidRPr="00246717">
        <w:rPr>
          <w:lang w:val="pl-PL"/>
        </w:rPr>
        <w:instrText xml:space="preserve"> .  SEQ level0 \*arabic </w:instrText>
      </w:r>
      <w:r w:rsidRPr="00246717">
        <w:rPr>
          <w:lang w:val="pl-PL"/>
        </w:rPr>
        <w:fldChar w:fldCharType="separate"/>
      </w:r>
      <w:r w:rsidR="007F3EF3" w:rsidRPr="00246717">
        <w:rPr>
          <w:lang w:val="pl-PL"/>
        </w:rPr>
        <w:instrText>25</w:instrText>
      </w:r>
      <w:r w:rsidRPr="00246717">
        <w:rPr>
          <w:lang w:val="pl-PL"/>
        </w:rPr>
        <w:fldChar w:fldCharType="end"/>
      </w:r>
      <w:r w:rsidR="007F3EF3" w:rsidRPr="00246717">
        <w:rPr>
          <w:lang w:val="pl-PL"/>
        </w:rPr>
        <w:instrText xml:space="preserve"> </w:instrText>
      </w:r>
      <w:r w:rsidRPr="00246717">
        <w:rPr>
          <w:lang w:val="pl-PL"/>
        </w:rPr>
        <w:fldChar w:fldCharType="separate"/>
      </w:r>
      <w:r w:rsidR="007F3EF3" w:rsidRPr="00246717">
        <w:rPr>
          <w:lang w:val="pl-PL"/>
        </w:rPr>
        <w:t>1</w:t>
      </w:r>
      <w:r w:rsidRPr="00246717">
        <w:rPr>
          <w:lang w:val="pl-PL"/>
        </w:rPr>
        <w:fldChar w:fldCharType="end"/>
      </w:r>
      <w:r w:rsidR="007F3EF3" w:rsidRPr="00246717">
        <w:rPr>
          <w:lang w:val="pl-PL"/>
        </w:rPr>
        <w:t xml:space="preserve">.  Sprawa </w:t>
      </w:r>
      <w:proofErr w:type="spellStart"/>
      <w:r w:rsidR="007F3EF3" w:rsidRPr="00246717">
        <w:rPr>
          <w:i/>
          <w:iCs/>
          <w:lang w:val="pl-PL"/>
        </w:rPr>
        <w:t>Murtazaliyeva</w:t>
      </w:r>
      <w:proofErr w:type="spellEnd"/>
      <w:r w:rsidR="007F3EF3" w:rsidRPr="00246717">
        <w:rPr>
          <w:lang w:val="pl-PL"/>
        </w:rPr>
        <w:t xml:space="preserve"> stanowiła </w:t>
      </w:r>
      <w:r w:rsidR="004A2273">
        <w:rPr>
          <w:lang w:val="pl-PL"/>
        </w:rPr>
        <w:t>niebywałą</w:t>
      </w:r>
      <w:r w:rsidR="004A2273" w:rsidRPr="00246717">
        <w:rPr>
          <w:lang w:val="pl-PL"/>
        </w:rPr>
        <w:t xml:space="preserve"> </w:t>
      </w:r>
      <w:r w:rsidR="007F3EF3" w:rsidRPr="00246717">
        <w:rPr>
          <w:lang w:val="pl-PL"/>
        </w:rPr>
        <w:t>okazję do przywrócenia zasad</w:t>
      </w:r>
      <w:r w:rsidR="00A61E9E">
        <w:rPr>
          <w:lang w:val="pl-PL"/>
        </w:rPr>
        <w:t>zie</w:t>
      </w:r>
      <w:r w:rsidR="007F3EF3" w:rsidRPr="00246717">
        <w:rPr>
          <w:lang w:val="pl-PL"/>
        </w:rPr>
        <w:t xml:space="preserve"> bezpośredniości jej miejsca w orzecznictwie Trybunału. Niestety doszło do odwrotnej sytuacji. Oddalam wstępne zastrzeżenie Rządu co do skargi skarżącej dotyczącej nieobecności świadka A. Po oddaleniu zastrzeżenia wstępnego niniejsza opinia będzie skupiać się na początkowym znaczeniu tak zwanego dwuczęściowego testu </w:t>
      </w:r>
      <w:proofErr w:type="spellStart"/>
      <w:r w:rsidR="007F3EF3" w:rsidRPr="00246717">
        <w:rPr>
          <w:i/>
          <w:iCs/>
          <w:lang w:val="pl-PL"/>
        </w:rPr>
        <w:t>Perna</w:t>
      </w:r>
      <w:proofErr w:type="spellEnd"/>
      <w:r w:rsidR="007F3EF3" w:rsidRPr="00246717">
        <w:rPr>
          <w:vertAlign w:val="superscript"/>
          <w:lang w:val="pl-PL"/>
        </w:rPr>
        <w:footnoteReference w:id="27"/>
      </w:r>
      <w:r w:rsidR="007F3EF3" w:rsidRPr="00246717">
        <w:rPr>
          <w:i/>
          <w:iCs/>
          <w:lang w:val="pl-PL"/>
        </w:rPr>
        <w:t xml:space="preserve"> </w:t>
      </w:r>
      <w:r w:rsidR="007F3EF3" w:rsidRPr="00246717">
        <w:rPr>
          <w:lang w:val="pl-PL"/>
        </w:rPr>
        <w:t xml:space="preserve">i na jego nowej trzyczęściowej wersji w sprawie </w:t>
      </w:r>
      <w:proofErr w:type="spellStart"/>
      <w:r w:rsidR="007F3EF3" w:rsidRPr="00246717">
        <w:rPr>
          <w:i/>
          <w:iCs/>
          <w:lang w:val="pl-PL"/>
        </w:rPr>
        <w:t>Murtazaliyeva</w:t>
      </w:r>
      <w:proofErr w:type="spellEnd"/>
      <w:r w:rsidR="007F3EF3" w:rsidRPr="00246717">
        <w:rPr>
          <w:i/>
          <w:iCs/>
          <w:lang w:val="pl-PL"/>
        </w:rPr>
        <w:t xml:space="preserve">, </w:t>
      </w:r>
      <w:r w:rsidR="007F3EF3" w:rsidRPr="00246717">
        <w:rPr>
          <w:lang w:val="pl-PL"/>
        </w:rPr>
        <w:t>poprzez analizę każdej z</w:t>
      </w:r>
      <w:r w:rsidR="00F93F04">
        <w:rPr>
          <w:lang w:val="pl-PL"/>
        </w:rPr>
        <w:t> </w:t>
      </w:r>
      <w:r w:rsidR="007F3EF3" w:rsidRPr="00246717">
        <w:rPr>
          <w:lang w:val="pl-PL"/>
        </w:rPr>
        <w:t>tych trzech części z osobna. Logiczna, filozoficzna i prawna krytyka tego testu i, co ważniejsze, jego oceny „ogólnej rzetelności” kładzie podwaliny moich ustaleń w niniejszej sprawie w odniesieniu do nieobecności świadków obrony. Na tej podstawie stwierdzam, że doszło do naruszenia art.</w:t>
      </w:r>
      <w:r w:rsidR="00F93F04">
        <w:rPr>
          <w:lang w:val="pl-PL"/>
        </w:rPr>
        <w:t> </w:t>
      </w:r>
      <w:r w:rsidR="007F3EF3" w:rsidRPr="00246717">
        <w:rPr>
          <w:lang w:val="pl-PL"/>
        </w:rPr>
        <w:t>6 ust.</w:t>
      </w:r>
      <w:r w:rsidR="00F93F04">
        <w:rPr>
          <w:lang w:val="pl-PL"/>
        </w:rPr>
        <w:t> </w:t>
      </w:r>
      <w:r w:rsidR="007F3EF3" w:rsidRPr="00246717">
        <w:rPr>
          <w:lang w:val="pl-PL"/>
        </w:rPr>
        <w:t>3 lit.</w:t>
      </w:r>
      <w:r w:rsidR="00F93F04">
        <w:rPr>
          <w:lang w:val="pl-PL"/>
        </w:rPr>
        <w:t> </w:t>
      </w:r>
      <w:r w:rsidR="007F3EF3" w:rsidRPr="00246717">
        <w:rPr>
          <w:lang w:val="pl-PL"/>
        </w:rPr>
        <w:t>d Konwencji w odniesieniu do nieobecności świadków A., B. i K.</w:t>
      </w:r>
    </w:p>
    <w:p w14:paraId="37E2ED01" w14:textId="77777777" w:rsidR="008113A5" w:rsidRPr="00246717" w:rsidRDefault="008113A5" w:rsidP="000957D3">
      <w:pPr>
        <w:pStyle w:val="OpiHA"/>
        <w:rPr>
          <w:rFonts w:ascii="Times New Roman" w:eastAsia="Calibri" w:hAnsi="Times New Roman" w:cs="Times New Roman"/>
          <w:szCs w:val="24"/>
          <w:lang w:val="pl-PL"/>
        </w:rPr>
      </w:pPr>
      <w:r w:rsidRPr="00246717">
        <w:rPr>
          <w:rFonts w:eastAsia="Calibri"/>
          <w:lang w:val="pl-PL"/>
        </w:rPr>
        <w:t>Zastrzeżenie wstępne Rządu</w:t>
      </w:r>
    </w:p>
    <w:p w14:paraId="17AB0007" w14:textId="0E503D86"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w:t>
      </w:r>
      <w:r w:rsidRPr="00246717">
        <w:rPr>
          <w:rFonts w:eastAsia="Calibri"/>
          <w:lang w:val="pl-PL"/>
        </w:rPr>
        <w:fldChar w:fldCharType="end"/>
      </w:r>
      <w:r w:rsidR="008113A5" w:rsidRPr="00246717">
        <w:rPr>
          <w:rFonts w:eastAsia="Calibri"/>
          <w:lang w:val="pl-PL"/>
        </w:rPr>
        <w:t xml:space="preserve">.  Rząd </w:t>
      </w:r>
      <w:r w:rsidR="00577D39">
        <w:rPr>
          <w:rFonts w:eastAsia="Calibri"/>
          <w:lang w:val="pl-PL"/>
        </w:rPr>
        <w:t>twierdzi</w:t>
      </w:r>
      <w:r w:rsidR="008113A5" w:rsidRPr="00246717">
        <w:rPr>
          <w:rFonts w:eastAsia="Calibri"/>
          <w:lang w:val="pl-PL"/>
        </w:rPr>
        <w:t xml:space="preserve">, że obrona zrzekła się swojego prawa do przesłuchania świadka A. na </w:t>
      </w:r>
      <w:r w:rsidR="006D3E64">
        <w:rPr>
          <w:rFonts w:eastAsia="Calibri"/>
          <w:lang w:val="pl-PL"/>
        </w:rPr>
        <w:t>rozprawie</w:t>
      </w:r>
      <w:r w:rsidR="008113A5" w:rsidRPr="00246717">
        <w:rPr>
          <w:rFonts w:eastAsia="Calibri"/>
          <w:lang w:val="pl-PL"/>
        </w:rPr>
        <w:t xml:space="preserve">. </w:t>
      </w:r>
      <w:r w:rsidR="00577D39">
        <w:rPr>
          <w:rFonts w:eastAsia="Calibri"/>
          <w:lang w:val="pl-PL"/>
        </w:rPr>
        <w:t>Wprawdzie</w:t>
      </w:r>
      <w:r w:rsidR="008113A5" w:rsidRPr="00246717">
        <w:rPr>
          <w:rFonts w:eastAsia="Calibri"/>
          <w:lang w:val="pl-PL"/>
        </w:rPr>
        <w:t xml:space="preserve"> skarżąca i jeden z jej </w:t>
      </w:r>
      <w:r w:rsidR="00577D39">
        <w:rPr>
          <w:rFonts w:eastAsia="Calibri"/>
          <w:lang w:val="pl-PL"/>
        </w:rPr>
        <w:t>obrońców</w:t>
      </w:r>
      <w:r w:rsidR="00577D39" w:rsidRPr="00246717">
        <w:rPr>
          <w:rFonts w:eastAsia="Calibri"/>
          <w:lang w:val="pl-PL"/>
        </w:rPr>
        <w:t xml:space="preserve"> </w:t>
      </w:r>
      <w:r w:rsidR="008113A5" w:rsidRPr="00246717">
        <w:rPr>
          <w:rFonts w:eastAsia="Calibri"/>
          <w:lang w:val="pl-PL"/>
        </w:rPr>
        <w:t xml:space="preserve">stwierdzili, że nie mieli zastrzeżeń co do odczytania </w:t>
      </w:r>
      <w:r w:rsidR="00577D39" w:rsidRPr="00246717">
        <w:rPr>
          <w:rFonts w:eastAsia="Calibri"/>
          <w:lang w:val="pl-PL"/>
        </w:rPr>
        <w:t>zezna</w:t>
      </w:r>
      <w:r w:rsidR="00577D39">
        <w:rPr>
          <w:rFonts w:eastAsia="Calibri"/>
          <w:lang w:val="pl-PL"/>
        </w:rPr>
        <w:t>ń</w:t>
      </w:r>
      <w:r w:rsidR="00577D39" w:rsidRPr="00246717">
        <w:rPr>
          <w:rFonts w:eastAsia="Calibri"/>
          <w:lang w:val="pl-PL"/>
        </w:rPr>
        <w:t xml:space="preserve"> </w:t>
      </w:r>
      <w:r w:rsidR="008113A5" w:rsidRPr="00246717">
        <w:rPr>
          <w:rFonts w:eastAsia="Calibri"/>
          <w:lang w:val="pl-PL"/>
        </w:rPr>
        <w:t xml:space="preserve">A., </w:t>
      </w:r>
      <w:r w:rsidR="00577D39">
        <w:rPr>
          <w:rFonts w:eastAsia="Calibri"/>
          <w:lang w:val="pl-PL"/>
        </w:rPr>
        <w:t>na co przystał</w:t>
      </w:r>
      <w:r w:rsidR="008113A5" w:rsidRPr="00246717">
        <w:rPr>
          <w:rFonts w:eastAsia="Calibri"/>
          <w:lang w:val="pl-PL"/>
        </w:rPr>
        <w:t xml:space="preserve"> drugi obrońca</w:t>
      </w:r>
      <w:r w:rsidR="00577D39">
        <w:rPr>
          <w:rFonts w:eastAsia="Calibri"/>
          <w:lang w:val="pl-PL"/>
        </w:rPr>
        <w:t>, to jednak</w:t>
      </w:r>
      <w:r w:rsidR="008113A5" w:rsidRPr="00246717">
        <w:rPr>
          <w:rFonts w:eastAsia="Calibri"/>
          <w:lang w:val="pl-PL"/>
        </w:rPr>
        <w:t xml:space="preserve"> miało to miejsce po tym, jak sędzia przewodnicząca poinformowała, że A. </w:t>
      </w:r>
      <w:r w:rsidR="00577D39">
        <w:rPr>
          <w:rFonts w:eastAsia="Calibri"/>
          <w:lang w:val="pl-PL"/>
        </w:rPr>
        <w:t>wypełniał zadania służbowe i w związku z tym</w:t>
      </w:r>
      <w:r w:rsidR="008113A5" w:rsidRPr="00246717">
        <w:rPr>
          <w:rFonts w:eastAsia="Calibri"/>
          <w:lang w:val="pl-PL"/>
        </w:rPr>
        <w:t xml:space="preserve"> nie mógł stawić się w sądzie. Żadne źródło tej informacji dostarczone sądowi </w:t>
      </w:r>
      <w:r w:rsidR="00577D39">
        <w:rPr>
          <w:rFonts w:eastAsia="Calibri"/>
          <w:lang w:val="pl-PL"/>
        </w:rPr>
        <w:t>orzekającemu</w:t>
      </w:r>
      <w:r w:rsidR="008113A5" w:rsidRPr="00246717">
        <w:rPr>
          <w:rFonts w:eastAsia="Calibri"/>
          <w:lang w:val="pl-PL"/>
        </w:rPr>
        <w:t xml:space="preserve"> nie zostało przedstawione przed niniejszym Trybunałem. W dniu, w którym sąd </w:t>
      </w:r>
      <w:r w:rsidR="00577D39">
        <w:rPr>
          <w:rFonts w:eastAsia="Calibri"/>
          <w:lang w:val="pl-PL"/>
        </w:rPr>
        <w:t>orzekający</w:t>
      </w:r>
      <w:r w:rsidR="008113A5" w:rsidRPr="00246717">
        <w:rPr>
          <w:rFonts w:eastAsia="Calibri"/>
          <w:lang w:val="pl-PL"/>
        </w:rPr>
        <w:t xml:space="preserve"> postanowił nie przesłuchiwać świadka A.</w:t>
      </w:r>
      <w:r w:rsidR="0051784B">
        <w:rPr>
          <w:rFonts w:eastAsia="Calibri"/>
          <w:lang w:val="pl-PL"/>
        </w:rPr>
        <w:t> </w:t>
      </w:r>
      <w:r w:rsidR="008113A5" w:rsidRPr="00246717">
        <w:rPr>
          <w:rFonts w:eastAsia="Calibri"/>
          <w:lang w:val="pl-PL"/>
        </w:rPr>
        <w:t xml:space="preserve">osobiście, sąd odroczył rozprawę, aby umożliwić stronom przygotowanie ich mów końcowych. </w:t>
      </w:r>
      <w:r w:rsidR="00577D39">
        <w:rPr>
          <w:rFonts w:eastAsia="Calibri"/>
          <w:lang w:val="pl-PL"/>
        </w:rPr>
        <w:t>Tym samym</w:t>
      </w:r>
      <w:r w:rsidR="008113A5" w:rsidRPr="00246717">
        <w:rPr>
          <w:rFonts w:eastAsia="Calibri"/>
          <w:lang w:val="pl-PL"/>
        </w:rPr>
        <w:t xml:space="preserve"> konieczność zagwarantowania sprawności postępowania nie posłużyła jako uzasadnienie </w:t>
      </w:r>
      <w:r w:rsidR="0014257B">
        <w:rPr>
          <w:rFonts w:eastAsia="Calibri"/>
          <w:lang w:val="pl-PL"/>
        </w:rPr>
        <w:t>oddalenia wniosku o</w:t>
      </w:r>
      <w:r w:rsidR="008113A5" w:rsidRPr="00246717">
        <w:rPr>
          <w:rFonts w:eastAsia="Calibri"/>
          <w:lang w:val="pl-PL"/>
        </w:rPr>
        <w:t xml:space="preserve"> przesłuchanie świadka A. </w:t>
      </w:r>
      <w:r w:rsidR="0014257B">
        <w:rPr>
          <w:rFonts w:eastAsia="Calibri"/>
          <w:lang w:val="pl-PL"/>
        </w:rPr>
        <w:t>na rozprawie</w:t>
      </w:r>
      <w:r w:rsidR="008113A5" w:rsidRPr="00246717">
        <w:rPr>
          <w:rFonts w:eastAsia="Calibri"/>
          <w:lang w:val="pl-PL"/>
        </w:rPr>
        <w:t xml:space="preserve">. W tych okolicznościach i w obliczu braku jakichkolwiek bezpośrednich odniesień do odmowy prawa do przesłuchania świadka A., </w:t>
      </w:r>
      <w:r w:rsidR="0014257B" w:rsidRPr="00246717">
        <w:rPr>
          <w:rFonts w:eastAsia="Calibri"/>
          <w:lang w:val="pl-PL"/>
        </w:rPr>
        <w:t>spos</w:t>
      </w:r>
      <w:r w:rsidR="0014257B">
        <w:rPr>
          <w:rFonts w:eastAsia="Calibri"/>
          <w:lang w:val="pl-PL"/>
        </w:rPr>
        <w:t>obu</w:t>
      </w:r>
      <w:r w:rsidR="008113A5" w:rsidRPr="00246717">
        <w:rPr>
          <w:rFonts w:eastAsia="Calibri"/>
          <w:lang w:val="pl-PL"/>
        </w:rPr>
        <w:t xml:space="preserve">, w jaki obrona wyraziła swoje stanowisko, nie </w:t>
      </w:r>
      <w:r w:rsidR="0014257B">
        <w:rPr>
          <w:rFonts w:eastAsia="Calibri"/>
          <w:lang w:val="pl-PL"/>
        </w:rPr>
        <w:t>należy uznawać za</w:t>
      </w:r>
      <w:r w:rsidR="008113A5" w:rsidRPr="00246717">
        <w:rPr>
          <w:rFonts w:eastAsia="Calibri"/>
          <w:lang w:val="pl-PL"/>
        </w:rPr>
        <w:t xml:space="preserve"> jednoznaczne zrzeczenie się prawa na gruncie art. 6</w:t>
      </w:r>
      <w:r w:rsidR="0051784B">
        <w:rPr>
          <w:rFonts w:eastAsia="Calibri"/>
          <w:lang w:val="pl-PL"/>
        </w:rPr>
        <w:t> </w:t>
      </w:r>
      <w:r w:rsidR="008113A5" w:rsidRPr="00246717">
        <w:rPr>
          <w:rFonts w:eastAsia="Calibri"/>
          <w:lang w:val="pl-PL"/>
        </w:rPr>
        <w:t>ust.</w:t>
      </w:r>
      <w:r w:rsidR="0051784B">
        <w:rPr>
          <w:rFonts w:eastAsia="Calibri"/>
          <w:lang w:val="pl-PL"/>
        </w:rPr>
        <w:t> </w:t>
      </w:r>
      <w:r w:rsidR="008113A5" w:rsidRPr="00246717">
        <w:rPr>
          <w:rFonts w:eastAsia="Calibri"/>
          <w:lang w:val="pl-PL"/>
        </w:rPr>
        <w:t>3 lit.</w:t>
      </w:r>
      <w:r w:rsidR="0051784B">
        <w:rPr>
          <w:rFonts w:eastAsia="Calibri"/>
          <w:lang w:val="pl-PL"/>
        </w:rPr>
        <w:t> </w:t>
      </w:r>
      <w:r w:rsidR="008113A5" w:rsidRPr="00246717">
        <w:rPr>
          <w:rFonts w:eastAsia="Calibri"/>
          <w:lang w:val="pl-PL"/>
        </w:rPr>
        <w:t>d Konwencji.</w:t>
      </w:r>
      <w:r w:rsidR="008113A5" w:rsidRPr="00246717">
        <w:rPr>
          <w:rFonts w:eastAsia="Calibri"/>
          <w:vertAlign w:val="superscript"/>
          <w:lang w:val="pl-PL"/>
        </w:rPr>
        <w:footnoteReference w:id="28"/>
      </w:r>
    </w:p>
    <w:p w14:paraId="162CDD05" w14:textId="4229F774"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w:t>
      </w:r>
      <w:r w:rsidRPr="00246717">
        <w:rPr>
          <w:rFonts w:eastAsia="Calibri"/>
          <w:lang w:val="pl-PL"/>
        </w:rPr>
        <w:fldChar w:fldCharType="end"/>
      </w:r>
      <w:r w:rsidR="008113A5" w:rsidRPr="00246717">
        <w:rPr>
          <w:rFonts w:eastAsia="Calibri"/>
          <w:lang w:val="pl-PL"/>
        </w:rPr>
        <w:t xml:space="preserve">.  W rzeczy samej </w:t>
      </w:r>
      <w:r w:rsidR="0014257B">
        <w:rPr>
          <w:rFonts w:eastAsia="Calibri"/>
          <w:lang w:val="pl-PL"/>
        </w:rPr>
        <w:t>zarzuty apelacyjne</w:t>
      </w:r>
      <w:r w:rsidR="0014257B" w:rsidRPr="00246717">
        <w:rPr>
          <w:rFonts w:eastAsia="Calibri"/>
          <w:lang w:val="pl-PL"/>
        </w:rPr>
        <w:t xml:space="preserve"> </w:t>
      </w:r>
      <w:r w:rsidR="008113A5" w:rsidRPr="00246717">
        <w:rPr>
          <w:rFonts w:eastAsia="Calibri"/>
          <w:lang w:val="pl-PL"/>
        </w:rPr>
        <w:t xml:space="preserve">skarżącej, zgodnie z którymi </w:t>
      </w:r>
      <w:r w:rsidR="0014257B">
        <w:rPr>
          <w:rFonts w:eastAsia="Calibri"/>
          <w:lang w:val="pl-PL"/>
        </w:rPr>
        <w:t xml:space="preserve">sąd pierwszej instancji </w:t>
      </w:r>
      <w:r w:rsidR="008113A5" w:rsidRPr="00246717">
        <w:rPr>
          <w:rFonts w:eastAsia="Calibri"/>
          <w:lang w:val="pl-PL"/>
        </w:rPr>
        <w:t xml:space="preserve">nie </w:t>
      </w:r>
      <w:r w:rsidR="0014257B">
        <w:rPr>
          <w:rFonts w:eastAsia="Calibri"/>
          <w:lang w:val="pl-PL"/>
        </w:rPr>
        <w:t>rozstrzygnął</w:t>
      </w:r>
      <w:r w:rsidR="008113A5" w:rsidRPr="00246717">
        <w:rPr>
          <w:rFonts w:eastAsia="Calibri"/>
          <w:lang w:val="pl-PL"/>
        </w:rPr>
        <w:t xml:space="preserve"> w </w:t>
      </w:r>
      <w:r w:rsidR="0014257B">
        <w:rPr>
          <w:rFonts w:eastAsia="Calibri"/>
          <w:lang w:val="pl-PL"/>
        </w:rPr>
        <w:t>przedmiocie</w:t>
      </w:r>
      <w:r w:rsidR="0014257B" w:rsidRPr="00246717">
        <w:rPr>
          <w:rFonts w:eastAsia="Calibri"/>
          <w:lang w:val="pl-PL"/>
        </w:rPr>
        <w:t xml:space="preserve"> </w:t>
      </w:r>
      <w:r w:rsidR="008113A5" w:rsidRPr="00246717">
        <w:rPr>
          <w:rFonts w:eastAsia="Calibri"/>
          <w:lang w:val="pl-PL"/>
        </w:rPr>
        <w:t>wniosku o</w:t>
      </w:r>
      <w:r w:rsidR="00052E30">
        <w:rPr>
          <w:rFonts w:eastAsia="Calibri"/>
          <w:lang w:val="pl-PL"/>
        </w:rPr>
        <w:t> </w:t>
      </w:r>
      <w:r w:rsidR="008113A5" w:rsidRPr="00246717">
        <w:rPr>
          <w:rFonts w:eastAsia="Calibri"/>
          <w:lang w:val="pl-PL"/>
        </w:rPr>
        <w:t>przesłuchanie A. i nie dostarczył żadnych dowodów na nieobecność A.</w:t>
      </w:r>
      <w:r w:rsidR="00052E30">
        <w:rPr>
          <w:rFonts w:eastAsia="Calibri"/>
          <w:lang w:val="pl-PL"/>
        </w:rPr>
        <w:t> </w:t>
      </w:r>
      <w:r w:rsidR="008113A5" w:rsidRPr="00246717">
        <w:rPr>
          <w:rFonts w:eastAsia="Calibri"/>
          <w:lang w:val="pl-PL"/>
        </w:rPr>
        <w:t xml:space="preserve">przebywającego na misji </w:t>
      </w:r>
      <w:r w:rsidR="0014257B">
        <w:rPr>
          <w:rFonts w:eastAsia="Calibri"/>
          <w:lang w:val="pl-PL"/>
        </w:rPr>
        <w:t>służbowej</w:t>
      </w:r>
      <w:r w:rsidR="008113A5" w:rsidRPr="00246717">
        <w:rPr>
          <w:rFonts w:eastAsia="Calibri"/>
          <w:lang w:val="pl-PL"/>
        </w:rPr>
        <w:t>, jasno wskazują, że obrona nie zrzekła się swojego prawa do przesłuchania A.</w:t>
      </w:r>
      <w:r w:rsidR="008113A5" w:rsidRPr="00246717">
        <w:rPr>
          <w:rFonts w:eastAsia="Calibri"/>
          <w:vertAlign w:val="superscript"/>
          <w:lang w:val="pl-PL"/>
        </w:rPr>
        <w:footnoteReference w:id="29"/>
      </w:r>
      <w:r w:rsidR="008113A5" w:rsidRPr="00246717">
        <w:rPr>
          <w:rFonts w:eastAsia="Calibri"/>
          <w:lang w:val="pl-PL"/>
        </w:rPr>
        <w:t xml:space="preserve"> </w:t>
      </w:r>
      <w:r w:rsidR="0014257B">
        <w:rPr>
          <w:rFonts w:eastAsia="Calibri"/>
          <w:lang w:val="pl-PL"/>
        </w:rPr>
        <w:t xml:space="preserve">Podobnie </w:t>
      </w:r>
      <w:r w:rsidR="008113A5" w:rsidRPr="00246717">
        <w:rPr>
          <w:rFonts w:eastAsia="Calibri"/>
          <w:lang w:val="pl-PL"/>
        </w:rPr>
        <w:t xml:space="preserve">Sąd Najwyższy, </w:t>
      </w:r>
      <w:r w:rsidR="00750259">
        <w:rPr>
          <w:rFonts w:eastAsia="Calibri"/>
          <w:lang w:val="pl-PL"/>
        </w:rPr>
        <w:t>procedując</w:t>
      </w:r>
      <w:r w:rsidR="008113A5" w:rsidRPr="00246717">
        <w:rPr>
          <w:rFonts w:eastAsia="Calibri"/>
          <w:lang w:val="pl-PL"/>
        </w:rPr>
        <w:t xml:space="preserve"> jako sąd apelacyjny, </w:t>
      </w:r>
      <w:r w:rsidR="008113A5" w:rsidRPr="00246717">
        <w:rPr>
          <w:rFonts w:eastAsia="Calibri"/>
          <w:lang w:val="pl-PL"/>
        </w:rPr>
        <w:lastRenderedPageBreak/>
        <w:t xml:space="preserve">nie uznał w sposób wyraźny, że zrzeczono się tego prawa. Sąd Najwyższy powołał się w swoim wyroku </w:t>
      </w:r>
      <w:r w:rsidR="008E6B06">
        <w:rPr>
          <w:rFonts w:eastAsia="Calibri"/>
          <w:lang w:val="pl-PL"/>
        </w:rPr>
        <w:t>nie</w:t>
      </w:r>
      <w:r w:rsidR="008113A5" w:rsidRPr="00246717">
        <w:rPr>
          <w:rFonts w:eastAsia="Calibri"/>
          <w:lang w:val="pl-PL"/>
        </w:rPr>
        <w:t xml:space="preserve"> tylko na zgodę obrony na odczytanie zeznań A., ale też na powody jego nieobecności na </w:t>
      </w:r>
      <w:r w:rsidR="0014257B">
        <w:rPr>
          <w:rFonts w:eastAsia="Calibri"/>
          <w:lang w:val="pl-PL"/>
        </w:rPr>
        <w:t>rozprawie</w:t>
      </w:r>
      <w:r w:rsidR="008113A5" w:rsidRPr="00246717">
        <w:rPr>
          <w:rFonts w:eastAsia="Calibri"/>
          <w:lang w:val="pl-PL"/>
        </w:rPr>
        <w:t>.</w:t>
      </w:r>
      <w:r w:rsidR="008113A5" w:rsidRPr="00246717">
        <w:rPr>
          <w:rFonts w:eastAsia="Calibri"/>
          <w:vertAlign w:val="superscript"/>
          <w:lang w:val="pl-PL"/>
        </w:rPr>
        <w:footnoteReference w:id="30"/>
      </w:r>
    </w:p>
    <w:p w14:paraId="5227BF70" w14:textId="0CDE5F65"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w:t>
      </w:r>
      <w:r w:rsidRPr="00246717">
        <w:rPr>
          <w:rFonts w:eastAsia="Calibri"/>
          <w:lang w:val="pl-PL"/>
        </w:rPr>
        <w:fldChar w:fldCharType="end"/>
      </w:r>
      <w:r w:rsidR="008113A5" w:rsidRPr="00246717">
        <w:rPr>
          <w:rFonts w:eastAsia="Calibri"/>
          <w:lang w:val="pl-PL"/>
        </w:rPr>
        <w:t xml:space="preserve">.  Ponadto większość składu orzekającego nie uważa, że sprawa nie </w:t>
      </w:r>
      <w:r w:rsidR="0014257B">
        <w:rPr>
          <w:rFonts w:eastAsia="Calibri"/>
          <w:lang w:val="pl-PL"/>
        </w:rPr>
        <w:t>budzi wątpliwości na gruncie</w:t>
      </w:r>
      <w:r w:rsidR="008113A5" w:rsidRPr="00246717">
        <w:rPr>
          <w:rFonts w:eastAsia="Calibri"/>
          <w:lang w:val="pl-PL"/>
        </w:rPr>
        <w:t xml:space="preserve"> interesu publicznego uniemożliwiających zrzeczenie się istotnych gwarancji procesowych.</w:t>
      </w:r>
      <w:r w:rsidR="008113A5" w:rsidRPr="00246717">
        <w:rPr>
          <w:rFonts w:eastAsia="Calibri"/>
          <w:vertAlign w:val="superscript"/>
          <w:lang w:val="pl-PL"/>
        </w:rPr>
        <w:footnoteReference w:id="31"/>
      </w:r>
      <w:r w:rsidR="008113A5" w:rsidRPr="00246717">
        <w:rPr>
          <w:rFonts w:eastAsia="Calibri"/>
          <w:lang w:val="pl-PL"/>
        </w:rPr>
        <w:t xml:space="preserve"> Zauważam, że jedną z</w:t>
      </w:r>
      <w:r w:rsidR="00750259">
        <w:rPr>
          <w:rFonts w:eastAsia="Calibri"/>
          <w:lang w:val="pl-PL"/>
        </w:rPr>
        <w:t> </w:t>
      </w:r>
      <w:r w:rsidR="008113A5" w:rsidRPr="00246717">
        <w:rPr>
          <w:rFonts w:eastAsia="Calibri"/>
          <w:lang w:val="pl-PL"/>
        </w:rPr>
        <w:t xml:space="preserve">głównych kwestii spornych pomiędzy stronami jest ustalenie, czy skarżąca wysunęła w postępowaniu przed sądem krajowym skargę dotyczącą </w:t>
      </w:r>
      <w:r w:rsidR="00750259">
        <w:rPr>
          <w:rFonts w:eastAsia="Calibri"/>
          <w:lang w:val="pl-PL"/>
        </w:rPr>
        <w:t>prowokacji</w:t>
      </w:r>
      <w:r w:rsidR="008113A5" w:rsidRPr="00246717">
        <w:rPr>
          <w:rFonts w:eastAsia="Calibri"/>
          <w:lang w:val="pl-PL"/>
        </w:rPr>
        <w:t>. Kwestia ta ma duże znaczenie w</w:t>
      </w:r>
      <w:r w:rsidR="000C1A49">
        <w:rPr>
          <w:rFonts w:eastAsia="Calibri"/>
          <w:lang w:val="pl-PL"/>
        </w:rPr>
        <w:t> </w:t>
      </w:r>
      <w:r w:rsidR="008113A5" w:rsidRPr="00246717">
        <w:rPr>
          <w:rFonts w:eastAsia="Calibri"/>
          <w:lang w:val="pl-PL"/>
        </w:rPr>
        <w:t xml:space="preserve">rozpoznaniu przez Trybunał skargi skarżącej dotyczącej braku wezwania i przesłuchania świadka A. </w:t>
      </w:r>
      <w:r w:rsidR="0014257B">
        <w:rPr>
          <w:rFonts w:eastAsia="Calibri"/>
          <w:lang w:val="pl-PL"/>
        </w:rPr>
        <w:t xml:space="preserve">Obrońca skarżącej </w:t>
      </w:r>
      <w:r w:rsidR="008113A5" w:rsidRPr="00246717">
        <w:rPr>
          <w:rFonts w:eastAsia="Calibri"/>
          <w:lang w:val="pl-PL"/>
        </w:rPr>
        <w:t xml:space="preserve">U. jasno </w:t>
      </w:r>
      <w:r w:rsidR="0014257B">
        <w:rPr>
          <w:rFonts w:eastAsia="Calibri"/>
          <w:lang w:val="pl-PL"/>
        </w:rPr>
        <w:t xml:space="preserve">bowiem </w:t>
      </w:r>
      <w:r w:rsidR="008113A5" w:rsidRPr="00246717">
        <w:rPr>
          <w:rFonts w:eastAsia="Calibri"/>
          <w:lang w:val="pl-PL"/>
        </w:rPr>
        <w:t xml:space="preserve">stwierdził podczas wymiany argumentów końcowych, że „cała ta sprawa karna została </w:t>
      </w:r>
      <w:r w:rsidR="0014257B">
        <w:rPr>
          <w:rFonts w:eastAsia="Calibri"/>
          <w:lang w:val="pl-PL"/>
        </w:rPr>
        <w:t>sfingowana</w:t>
      </w:r>
      <w:r w:rsidR="0014257B" w:rsidRPr="00246717">
        <w:rPr>
          <w:rFonts w:eastAsia="Calibri"/>
          <w:lang w:val="pl-PL"/>
        </w:rPr>
        <w:t xml:space="preserve"> </w:t>
      </w:r>
      <w:r w:rsidR="008113A5" w:rsidRPr="00246717">
        <w:rPr>
          <w:rFonts w:eastAsia="Calibri"/>
          <w:lang w:val="pl-PL"/>
        </w:rPr>
        <w:t xml:space="preserve">przeciwko </w:t>
      </w:r>
      <w:proofErr w:type="spellStart"/>
      <w:r w:rsidR="008113A5" w:rsidRPr="00246717">
        <w:rPr>
          <w:rFonts w:eastAsia="Calibri"/>
          <w:lang w:val="pl-PL"/>
        </w:rPr>
        <w:t>Murtazaliyevej</w:t>
      </w:r>
      <w:proofErr w:type="spellEnd"/>
      <w:r w:rsidR="008113A5" w:rsidRPr="00246717">
        <w:rPr>
          <w:rFonts w:eastAsia="Calibri"/>
          <w:lang w:val="pl-PL"/>
        </w:rPr>
        <w:t xml:space="preserve"> przez funkcjonariuszy organów ścigania”.</w:t>
      </w:r>
      <w:r w:rsidR="008113A5" w:rsidRPr="00246717">
        <w:rPr>
          <w:rFonts w:eastAsia="Calibri"/>
          <w:vertAlign w:val="superscript"/>
          <w:lang w:val="pl-PL"/>
        </w:rPr>
        <w:footnoteReference w:id="32"/>
      </w:r>
      <w:r w:rsidR="008113A5" w:rsidRPr="00246717">
        <w:rPr>
          <w:rFonts w:eastAsia="Calibri"/>
          <w:lang w:val="pl-PL"/>
        </w:rPr>
        <w:t xml:space="preserve"> </w:t>
      </w:r>
      <w:r w:rsidR="0014257B">
        <w:rPr>
          <w:rFonts w:eastAsia="Calibri"/>
          <w:lang w:val="pl-PL"/>
        </w:rPr>
        <w:t>S</w:t>
      </w:r>
      <w:r w:rsidR="008113A5" w:rsidRPr="00246717">
        <w:rPr>
          <w:rFonts w:eastAsia="Calibri"/>
          <w:lang w:val="pl-PL"/>
        </w:rPr>
        <w:t xml:space="preserve">twierdzenie </w:t>
      </w:r>
      <w:r w:rsidR="0014257B">
        <w:rPr>
          <w:rFonts w:eastAsia="Calibri"/>
          <w:lang w:val="pl-PL"/>
        </w:rPr>
        <w:t xml:space="preserve">to </w:t>
      </w:r>
      <w:r w:rsidR="008113A5" w:rsidRPr="00246717">
        <w:rPr>
          <w:rFonts w:eastAsia="Calibri"/>
          <w:lang w:val="pl-PL"/>
        </w:rPr>
        <w:t xml:space="preserve">należy interpretować jako należycie podniesiony argument obrony dotyczący </w:t>
      </w:r>
      <w:r w:rsidR="00750259">
        <w:rPr>
          <w:rFonts w:eastAsia="Calibri"/>
          <w:lang w:val="pl-PL"/>
        </w:rPr>
        <w:t>prowokacji</w:t>
      </w:r>
      <w:r w:rsidR="008113A5" w:rsidRPr="00246717">
        <w:rPr>
          <w:rFonts w:eastAsia="Calibri"/>
          <w:lang w:val="pl-PL"/>
        </w:rPr>
        <w:t xml:space="preserve">, jeśli rozpatruje się </w:t>
      </w:r>
      <w:r w:rsidR="000C1A49">
        <w:rPr>
          <w:rFonts w:eastAsia="Calibri"/>
          <w:lang w:val="pl-PL"/>
        </w:rPr>
        <w:t>go</w:t>
      </w:r>
      <w:r w:rsidR="008113A5" w:rsidRPr="00246717">
        <w:rPr>
          <w:rFonts w:eastAsia="Calibri"/>
          <w:lang w:val="pl-PL"/>
        </w:rPr>
        <w:t xml:space="preserve"> w kontekście całego materiału dowodowego w</w:t>
      </w:r>
      <w:r w:rsidR="000C1A49">
        <w:rPr>
          <w:rFonts w:eastAsia="Calibri"/>
          <w:lang w:val="pl-PL"/>
        </w:rPr>
        <w:t> </w:t>
      </w:r>
      <w:r w:rsidR="008113A5" w:rsidRPr="00246717">
        <w:rPr>
          <w:rFonts w:eastAsia="Calibri"/>
          <w:lang w:val="pl-PL"/>
        </w:rPr>
        <w:t>sprawie, co pokazuje, że strategia skarżącej i linia obrony przed sądami krajowymi polegała zasadniczo na utrzymywaniu niewinności skarżącej i</w:t>
      </w:r>
      <w:r w:rsidR="000C1A49">
        <w:rPr>
          <w:rFonts w:eastAsia="Calibri"/>
          <w:lang w:val="pl-PL"/>
        </w:rPr>
        <w:t> </w:t>
      </w:r>
      <w:r w:rsidR="008113A5" w:rsidRPr="00246717">
        <w:rPr>
          <w:rFonts w:eastAsia="Calibri"/>
          <w:lang w:val="pl-PL"/>
        </w:rPr>
        <w:t>w</w:t>
      </w:r>
      <w:r w:rsidR="000C1A49">
        <w:rPr>
          <w:rFonts w:eastAsia="Calibri"/>
          <w:lang w:val="pl-PL"/>
        </w:rPr>
        <w:t> </w:t>
      </w:r>
      <w:r w:rsidR="008113A5" w:rsidRPr="00246717">
        <w:rPr>
          <w:rFonts w:eastAsia="Calibri"/>
          <w:lang w:val="pl-PL"/>
        </w:rPr>
        <w:t>szczególności położeniu nacisku na jej twierdzenie, zgodnie z którym policja podrzuciła materiały wybuchowe do torebki skarżącej. W tym względzie należy podkreślić, w przeciwieństwie do argumentu Rządu,</w:t>
      </w:r>
      <w:r w:rsidR="008113A5" w:rsidRPr="00246717">
        <w:rPr>
          <w:rFonts w:eastAsia="Calibri"/>
          <w:vertAlign w:val="superscript"/>
          <w:lang w:val="pl-PL"/>
        </w:rPr>
        <w:footnoteReference w:id="33"/>
      </w:r>
      <w:r w:rsidR="008113A5" w:rsidRPr="00246717">
        <w:rPr>
          <w:rFonts w:eastAsia="Calibri"/>
          <w:lang w:val="pl-PL"/>
        </w:rPr>
        <w:t xml:space="preserve"> że wyparcie się winy przez skarżąc</w:t>
      </w:r>
      <w:r w:rsidR="000C1A49">
        <w:rPr>
          <w:rFonts w:eastAsia="Calibri"/>
          <w:lang w:val="pl-PL"/>
        </w:rPr>
        <w:t>ą</w:t>
      </w:r>
      <w:r w:rsidR="008113A5" w:rsidRPr="00246717">
        <w:rPr>
          <w:rFonts w:eastAsia="Calibri"/>
          <w:lang w:val="pl-PL"/>
        </w:rPr>
        <w:t xml:space="preserve"> w sposób logiczny nie przeszkadza sądzić, że </w:t>
      </w:r>
      <w:r w:rsidR="000C1A49">
        <w:rPr>
          <w:rFonts w:eastAsia="Calibri"/>
          <w:lang w:val="pl-PL"/>
        </w:rPr>
        <w:t>miała miejsce</w:t>
      </w:r>
      <w:r w:rsidR="008113A5" w:rsidRPr="00246717">
        <w:rPr>
          <w:rFonts w:eastAsia="Calibri"/>
          <w:lang w:val="pl-PL"/>
        </w:rPr>
        <w:t xml:space="preserve"> policyjna prowokacja. Ponadto zgodnie z</w:t>
      </w:r>
      <w:r w:rsidR="000C1A49">
        <w:rPr>
          <w:rFonts w:eastAsia="Calibri"/>
          <w:lang w:val="pl-PL"/>
        </w:rPr>
        <w:t> </w:t>
      </w:r>
      <w:r w:rsidR="008113A5" w:rsidRPr="00246717">
        <w:rPr>
          <w:rFonts w:eastAsia="Calibri"/>
          <w:lang w:val="pl-PL"/>
        </w:rPr>
        <w:t xml:space="preserve">zasadą </w:t>
      </w:r>
      <w:proofErr w:type="spellStart"/>
      <w:r w:rsidR="008113A5" w:rsidRPr="00246717">
        <w:rPr>
          <w:rFonts w:eastAsia="Calibri"/>
          <w:i/>
          <w:iCs/>
          <w:lang w:val="pl-PL"/>
        </w:rPr>
        <w:t>nemo</w:t>
      </w:r>
      <w:proofErr w:type="spellEnd"/>
      <w:r w:rsidR="008113A5" w:rsidRPr="00246717">
        <w:rPr>
          <w:rFonts w:eastAsia="Calibri"/>
          <w:i/>
          <w:iCs/>
          <w:lang w:val="pl-PL"/>
        </w:rPr>
        <w:t xml:space="preserve"> </w:t>
      </w:r>
      <w:proofErr w:type="spellStart"/>
      <w:r w:rsidR="008113A5" w:rsidRPr="00246717">
        <w:rPr>
          <w:rFonts w:eastAsia="Calibri"/>
          <w:i/>
          <w:iCs/>
          <w:lang w:val="pl-PL"/>
        </w:rPr>
        <w:t>tenetur</w:t>
      </w:r>
      <w:proofErr w:type="spellEnd"/>
      <w:r w:rsidR="008113A5" w:rsidRPr="00246717">
        <w:rPr>
          <w:rFonts w:eastAsia="Calibri"/>
          <w:i/>
          <w:iCs/>
          <w:lang w:val="pl-PL"/>
        </w:rPr>
        <w:t xml:space="preserve"> </w:t>
      </w:r>
      <w:r w:rsidR="008113A5" w:rsidRPr="00246717">
        <w:rPr>
          <w:rFonts w:eastAsia="Calibri"/>
          <w:lang w:val="pl-PL"/>
        </w:rPr>
        <w:t xml:space="preserve">oskarżony nie może zostać zmuszony do dokonania wyboru pomiędzy obroną swojej niewinności a powoływaniem się w obronie na argument </w:t>
      </w:r>
      <w:r w:rsidR="00750259">
        <w:rPr>
          <w:rFonts w:eastAsia="Calibri"/>
          <w:lang w:val="pl-PL"/>
        </w:rPr>
        <w:t>prowokacji</w:t>
      </w:r>
      <w:r w:rsidR="008113A5" w:rsidRPr="00246717">
        <w:rPr>
          <w:rFonts w:eastAsia="Calibri"/>
          <w:lang w:val="pl-PL"/>
        </w:rPr>
        <w:t xml:space="preserve">. Oskarżony może jednocześnie twierdzić, że nie popełnił zarzucanego czynu (ponieważ przestępstwo to </w:t>
      </w:r>
      <w:r w:rsidR="00BA17F2">
        <w:rPr>
          <w:rFonts w:eastAsia="Calibri"/>
          <w:lang w:val="pl-PL"/>
        </w:rPr>
        <w:t xml:space="preserve">nigdy </w:t>
      </w:r>
      <w:r w:rsidR="008113A5" w:rsidRPr="00246717">
        <w:rPr>
          <w:rFonts w:eastAsia="Calibri"/>
          <w:lang w:val="pl-PL"/>
        </w:rPr>
        <w:t>nie zostało dokonane albo dlatego, że zostało popełnione przez inną osobę) oraz że został uwikłany w jego popełnienie.</w:t>
      </w:r>
      <w:r w:rsidR="008113A5" w:rsidRPr="00246717">
        <w:rPr>
          <w:rFonts w:eastAsia="Calibri"/>
          <w:vertAlign w:val="superscript"/>
          <w:lang w:val="pl-PL"/>
        </w:rPr>
        <w:footnoteReference w:id="34"/>
      </w:r>
    </w:p>
    <w:p w14:paraId="59E8157C" w14:textId="10281215"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w:t>
      </w:r>
      <w:r w:rsidRPr="00246717">
        <w:rPr>
          <w:rFonts w:eastAsia="Calibri"/>
          <w:lang w:val="pl-PL"/>
        </w:rPr>
        <w:fldChar w:fldCharType="end"/>
      </w:r>
      <w:r w:rsidR="008113A5" w:rsidRPr="00246717">
        <w:rPr>
          <w:rFonts w:eastAsia="Calibri"/>
          <w:lang w:val="pl-PL"/>
        </w:rPr>
        <w:t xml:space="preserve">.  Jako że sformułowano skargę dotyczącą </w:t>
      </w:r>
      <w:r w:rsidR="00750259">
        <w:rPr>
          <w:rFonts w:eastAsia="Calibri"/>
          <w:lang w:val="pl-PL"/>
        </w:rPr>
        <w:t>prowokacji</w:t>
      </w:r>
      <w:r w:rsidR="008113A5" w:rsidRPr="00246717">
        <w:rPr>
          <w:rFonts w:eastAsia="Calibri"/>
          <w:lang w:val="pl-PL"/>
        </w:rPr>
        <w:t xml:space="preserve"> i </w:t>
      </w:r>
      <w:r w:rsidR="000C1A49">
        <w:rPr>
          <w:rFonts w:eastAsia="Calibri"/>
          <w:lang w:val="pl-PL"/>
        </w:rPr>
        <w:t>istniały</w:t>
      </w:r>
      <w:r w:rsidR="008113A5" w:rsidRPr="00246717">
        <w:rPr>
          <w:rFonts w:eastAsia="Calibri"/>
          <w:lang w:val="pl-PL"/>
        </w:rPr>
        <w:t xml:space="preserve"> </w:t>
      </w:r>
      <w:r w:rsidR="008113A5" w:rsidRPr="00246717">
        <w:rPr>
          <w:rFonts w:eastAsia="Calibri"/>
          <w:i/>
          <w:iCs/>
          <w:lang w:val="pl-PL"/>
        </w:rPr>
        <w:t>prima facie</w:t>
      </w:r>
      <w:r w:rsidR="008113A5" w:rsidRPr="00246717">
        <w:rPr>
          <w:rFonts w:eastAsia="Calibri"/>
          <w:lang w:val="pl-PL"/>
        </w:rPr>
        <w:t xml:space="preserve"> pewne potwierdzające</w:t>
      </w:r>
      <w:r w:rsidR="000C1A49">
        <w:rPr>
          <w:rFonts w:eastAsia="Calibri"/>
          <w:lang w:val="pl-PL"/>
        </w:rPr>
        <w:t xml:space="preserve"> ją</w:t>
      </w:r>
      <w:r w:rsidR="00BA17F2">
        <w:rPr>
          <w:rFonts w:eastAsia="Calibri"/>
          <w:lang w:val="pl-PL"/>
        </w:rPr>
        <w:t xml:space="preserve"> dowody</w:t>
      </w:r>
      <w:r w:rsidR="008113A5" w:rsidRPr="00246717">
        <w:rPr>
          <w:rFonts w:eastAsia="Calibri"/>
          <w:lang w:val="pl-PL"/>
        </w:rPr>
        <w:t>, organy sądowe powinny były zbadać powiązane fakty i</w:t>
      </w:r>
      <w:r w:rsidR="000C1A49">
        <w:rPr>
          <w:rFonts w:eastAsia="Calibri"/>
          <w:lang w:val="pl-PL"/>
        </w:rPr>
        <w:t> </w:t>
      </w:r>
      <w:r w:rsidR="008113A5" w:rsidRPr="00246717">
        <w:rPr>
          <w:rFonts w:eastAsia="Calibri"/>
          <w:lang w:val="pl-PL"/>
        </w:rPr>
        <w:t xml:space="preserve">podjąć kroki niezbędne do ujawnienia prawdy w celu ustalenia, czy </w:t>
      </w:r>
      <w:r w:rsidR="00BA17F2">
        <w:rPr>
          <w:rFonts w:eastAsia="Calibri"/>
          <w:lang w:val="pl-PL"/>
        </w:rPr>
        <w:t xml:space="preserve">w jakikolwiek sposób </w:t>
      </w:r>
      <w:r w:rsidR="008113A5" w:rsidRPr="00246717">
        <w:rPr>
          <w:rFonts w:eastAsia="Calibri"/>
          <w:lang w:val="pl-PL"/>
        </w:rPr>
        <w:t xml:space="preserve">doszło do podżegania. Uwzględniając jasne przesłanki policyjnej </w:t>
      </w:r>
      <w:r w:rsidR="00750259">
        <w:rPr>
          <w:rFonts w:eastAsia="Calibri"/>
          <w:lang w:val="pl-PL"/>
        </w:rPr>
        <w:t>prowokacji</w:t>
      </w:r>
      <w:r w:rsidR="008113A5" w:rsidRPr="00246717">
        <w:rPr>
          <w:rFonts w:eastAsia="Calibri"/>
          <w:lang w:val="pl-PL"/>
        </w:rPr>
        <w:t xml:space="preserve"> i kluczową rolę świadka A. w strategii policji, sąd </w:t>
      </w:r>
      <w:r w:rsidR="00BA17F2">
        <w:rPr>
          <w:rFonts w:eastAsia="Calibri"/>
          <w:lang w:val="pl-PL"/>
        </w:rPr>
        <w:t>orzekający w pierwszej instancji</w:t>
      </w:r>
      <w:r w:rsidR="008113A5" w:rsidRPr="00246717">
        <w:rPr>
          <w:rFonts w:eastAsia="Calibri"/>
          <w:lang w:val="pl-PL"/>
        </w:rPr>
        <w:t xml:space="preserve"> miał obowiązek jego przesłuchania. W świetle powyższego nie mogę zgodzić się z większością składu orzekającego uznającą zastrzeżenie Rządu za zasadne.</w:t>
      </w:r>
    </w:p>
    <w:p w14:paraId="378D222B" w14:textId="77777777" w:rsidR="008113A5" w:rsidRPr="00246717" w:rsidRDefault="008113A5" w:rsidP="000957D3">
      <w:pPr>
        <w:pStyle w:val="OpiHA"/>
        <w:rPr>
          <w:rFonts w:eastAsia="Calibri"/>
          <w:lang w:val="pl-PL"/>
        </w:rPr>
      </w:pPr>
      <w:r w:rsidRPr="00246717">
        <w:rPr>
          <w:rFonts w:eastAsia="Calibri"/>
          <w:lang w:val="pl-PL"/>
        </w:rPr>
        <w:lastRenderedPageBreak/>
        <w:t>Podwójne standardy dla świadków oskarżenia i obrony</w:t>
      </w:r>
    </w:p>
    <w:p w14:paraId="3C64A995" w14:textId="72CFB0B7"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w:t>
      </w:r>
      <w:r w:rsidRPr="00246717">
        <w:rPr>
          <w:rFonts w:eastAsia="Calibri"/>
          <w:lang w:val="pl-PL"/>
        </w:rPr>
        <w:fldChar w:fldCharType="end"/>
      </w:r>
      <w:r w:rsidR="008113A5" w:rsidRPr="00246717">
        <w:rPr>
          <w:rFonts w:eastAsia="Calibri"/>
          <w:lang w:val="pl-PL"/>
        </w:rPr>
        <w:t>.  Większość składu orzekającego Wielkie</w:t>
      </w:r>
      <w:r w:rsidR="000C1A49">
        <w:rPr>
          <w:rFonts w:eastAsia="Calibri"/>
          <w:lang w:val="pl-PL"/>
        </w:rPr>
        <w:t>j</w:t>
      </w:r>
      <w:r w:rsidR="008113A5" w:rsidRPr="00246717">
        <w:rPr>
          <w:rFonts w:eastAsia="Calibri"/>
          <w:lang w:val="pl-PL"/>
        </w:rPr>
        <w:t xml:space="preserve"> Izby zasadniczo polega na </w:t>
      </w:r>
      <w:r w:rsidR="00FD71F2">
        <w:rPr>
          <w:rFonts w:eastAsia="Calibri"/>
          <w:lang w:val="pl-PL"/>
        </w:rPr>
        <w:t xml:space="preserve">jakoby </w:t>
      </w:r>
      <w:r w:rsidR="008113A5" w:rsidRPr="00246717">
        <w:rPr>
          <w:rFonts w:eastAsia="Calibri"/>
          <w:lang w:val="pl-PL"/>
        </w:rPr>
        <w:t>dwuczęściowym</w:t>
      </w:r>
      <w:r w:rsidR="00FD71F2">
        <w:rPr>
          <w:rFonts w:eastAsia="Calibri"/>
          <w:lang w:val="pl-PL"/>
        </w:rPr>
        <w:t xml:space="preserve"> </w:t>
      </w:r>
      <w:r w:rsidR="008113A5" w:rsidRPr="00246717">
        <w:rPr>
          <w:rFonts w:eastAsia="Calibri"/>
          <w:lang w:val="pl-PL"/>
        </w:rPr>
        <w:t xml:space="preserve">teście wywodzącym się ze sprawy </w:t>
      </w:r>
      <w:proofErr w:type="spellStart"/>
      <w:r w:rsidR="008113A5" w:rsidRPr="00246717">
        <w:rPr>
          <w:rFonts w:eastAsia="Calibri"/>
          <w:i/>
          <w:iCs/>
          <w:lang w:val="pl-PL"/>
        </w:rPr>
        <w:t>Perna</w:t>
      </w:r>
      <w:proofErr w:type="spellEnd"/>
      <w:r w:rsidR="008113A5" w:rsidRPr="00246717">
        <w:rPr>
          <w:rFonts w:eastAsia="Calibri"/>
          <w:vertAlign w:val="superscript"/>
          <w:lang w:val="pl-PL"/>
        </w:rPr>
        <w:footnoteReference w:id="35"/>
      </w:r>
      <w:r w:rsidR="008113A5" w:rsidRPr="00246717">
        <w:rPr>
          <w:rFonts w:eastAsia="Calibri"/>
          <w:i/>
          <w:iCs/>
          <w:lang w:val="pl-PL"/>
        </w:rPr>
        <w:t xml:space="preserve">, </w:t>
      </w:r>
      <w:r w:rsidR="00FD71F2" w:rsidRPr="00252514">
        <w:rPr>
          <w:rFonts w:eastAsia="Calibri"/>
          <w:lang w:val="pl-PL"/>
        </w:rPr>
        <w:t>który</w:t>
      </w:r>
      <w:r w:rsidR="00FD71F2">
        <w:rPr>
          <w:rFonts w:eastAsia="Calibri"/>
          <w:i/>
          <w:iCs/>
          <w:lang w:val="pl-PL"/>
        </w:rPr>
        <w:t xml:space="preserve"> </w:t>
      </w:r>
      <w:r w:rsidR="008113A5" w:rsidRPr="00246717">
        <w:rPr>
          <w:rFonts w:eastAsia="Calibri"/>
          <w:lang w:val="pl-PL"/>
        </w:rPr>
        <w:t>wymaga</w:t>
      </w:r>
      <w:r w:rsidR="00FD71F2">
        <w:rPr>
          <w:rFonts w:eastAsia="Calibri"/>
          <w:lang w:val="pl-PL"/>
        </w:rPr>
        <w:t>,</w:t>
      </w:r>
      <w:r w:rsidR="008113A5" w:rsidRPr="00246717">
        <w:rPr>
          <w:rFonts w:eastAsia="Calibri"/>
          <w:lang w:val="pl-PL"/>
        </w:rPr>
        <w:t xml:space="preserve"> po pierwsze</w:t>
      </w:r>
      <w:r w:rsidR="000C1A49">
        <w:rPr>
          <w:rFonts w:eastAsia="Calibri"/>
          <w:lang w:val="pl-PL"/>
        </w:rPr>
        <w:t>,</w:t>
      </w:r>
      <w:r w:rsidR="008113A5" w:rsidRPr="00246717">
        <w:rPr>
          <w:rFonts w:eastAsia="Calibri"/>
          <w:lang w:val="pl-PL"/>
        </w:rPr>
        <w:t xml:space="preserve"> uzasadnionego wniosku złożonego przez oskarżonego, wskazującego na znaczenie zeznania dla „ustalenia prawdy”, a</w:t>
      </w:r>
      <w:r w:rsidR="000C1A49">
        <w:rPr>
          <w:rFonts w:eastAsia="Calibri"/>
          <w:lang w:val="pl-PL"/>
        </w:rPr>
        <w:t> </w:t>
      </w:r>
      <w:r w:rsidR="008113A5" w:rsidRPr="00246717">
        <w:rPr>
          <w:rFonts w:eastAsia="Calibri"/>
          <w:lang w:val="pl-PL"/>
        </w:rPr>
        <w:t>po drugie</w:t>
      </w:r>
      <w:r w:rsidR="000C1A49">
        <w:rPr>
          <w:rFonts w:eastAsia="Calibri"/>
          <w:lang w:val="pl-PL"/>
        </w:rPr>
        <w:t>,</w:t>
      </w:r>
      <w:r w:rsidR="008113A5" w:rsidRPr="00246717">
        <w:rPr>
          <w:rFonts w:eastAsia="Calibri"/>
          <w:lang w:val="pl-PL"/>
        </w:rPr>
        <w:t xml:space="preserve"> dowodu </w:t>
      </w:r>
      <w:r w:rsidR="00FD71F2">
        <w:rPr>
          <w:rFonts w:eastAsia="Calibri"/>
          <w:lang w:val="pl-PL"/>
        </w:rPr>
        <w:t>świadcząc</w:t>
      </w:r>
      <w:r w:rsidR="009F4C05">
        <w:rPr>
          <w:rFonts w:eastAsia="Calibri"/>
          <w:lang w:val="pl-PL"/>
        </w:rPr>
        <w:t>ego</w:t>
      </w:r>
      <w:r w:rsidR="00FD71F2">
        <w:rPr>
          <w:rFonts w:eastAsia="Calibri"/>
          <w:lang w:val="pl-PL"/>
        </w:rPr>
        <w:t xml:space="preserve"> o tym</w:t>
      </w:r>
      <w:r w:rsidR="008113A5" w:rsidRPr="00246717">
        <w:rPr>
          <w:rFonts w:eastAsia="Calibri"/>
          <w:lang w:val="pl-PL"/>
        </w:rPr>
        <w:t xml:space="preserve">, że odmowa wezwania danego świadka </w:t>
      </w:r>
      <w:r w:rsidR="00FD71F2">
        <w:rPr>
          <w:rFonts w:eastAsia="Calibri"/>
          <w:lang w:val="pl-PL"/>
        </w:rPr>
        <w:t>miała negatywny wpływ na</w:t>
      </w:r>
      <w:r w:rsidR="00FD71F2" w:rsidRPr="00246717">
        <w:rPr>
          <w:rFonts w:eastAsia="Calibri"/>
          <w:lang w:val="pl-PL"/>
        </w:rPr>
        <w:t xml:space="preserve"> </w:t>
      </w:r>
      <w:r w:rsidR="008113A5" w:rsidRPr="00246717">
        <w:rPr>
          <w:rFonts w:eastAsia="Calibri"/>
          <w:lang w:val="pl-PL"/>
        </w:rPr>
        <w:t xml:space="preserve">ogólną rzetelność postępowania. W związku z tym kryteria prawne </w:t>
      </w:r>
      <w:r w:rsidR="00FD71F2">
        <w:rPr>
          <w:rFonts w:eastAsia="Calibri"/>
          <w:lang w:val="pl-PL"/>
        </w:rPr>
        <w:t>wy</w:t>
      </w:r>
      <w:r w:rsidR="008113A5" w:rsidRPr="00246717">
        <w:rPr>
          <w:rFonts w:eastAsia="Calibri"/>
          <w:lang w:val="pl-PL"/>
        </w:rPr>
        <w:t xml:space="preserve">pracowane przez Trybunał w sprawie </w:t>
      </w:r>
      <w:r w:rsidR="008113A5" w:rsidRPr="00246717">
        <w:rPr>
          <w:rFonts w:eastAsia="Calibri"/>
          <w:i/>
          <w:iCs/>
          <w:lang w:val="pl-PL"/>
        </w:rPr>
        <w:t>Al-</w:t>
      </w:r>
      <w:proofErr w:type="spellStart"/>
      <w:r w:rsidR="008113A5" w:rsidRPr="00246717">
        <w:rPr>
          <w:rFonts w:eastAsia="Calibri"/>
          <w:i/>
          <w:iCs/>
          <w:lang w:val="pl-PL"/>
        </w:rPr>
        <w:t>Khawaja</w:t>
      </w:r>
      <w:proofErr w:type="spellEnd"/>
      <w:r w:rsidR="008113A5" w:rsidRPr="00246717">
        <w:rPr>
          <w:rFonts w:eastAsia="Calibri"/>
          <w:i/>
          <w:iCs/>
          <w:lang w:val="pl-PL"/>
        </w:rPr>
        <w:t xml:space="preserve"> i </w:t>
      </w:r>
      <w:proofErr w:type="spellStart"/>
      <w:r w:rsidR="008113A5" w:rsidRPr="00246717">
        <w:rPr>
          <w:rFonts w:eastAsia="Calibri"/>
          <w:i/>
          <w:iCs/>
          <w:lang w:val="pl-PL"/>
        </w:rPr>
        <w:t>Tahery</w:t>
      </w:r>
      <w:proofErr w:type="spellEnd"/>
      <w:r w:rsidR="008113A5" w:rsidRPr="00246717">
        <w:rPr>
          <w:rFonts w:eastAsia="Calibri"/>
          <w:i/>
          <w:iCs/>
          <w:lang w:val="pl-PL"/>
        </w:rPr>
        <w:t xml:space="preserve"> </w:t>
      </w:r>
      <w:r w:rsidR="008113A5" w:rsidRPr="00246717">
        <w:rPr>
          <w:rFonts w:eastAsia="Calibri"/>
          <w:lang w:val="pl-PL"/>
        </w:rPr>
        <w:t>[WI]</w:t>
      </w:r>
      <w:r w:rsidR="008113A5" w:rsidRPr="00246717">
        <w:rPr>
          <w:rFonts w:eastAsia="Calibri"/>
          <w:vertAlign w:val="superscript"/>
          <w:lang w:val="pl-PL"/>
        </w:rPr>
        <w:footnoteReference w:id="36"/>
      </w:r>
      <w:r w:rsidR="008113A5" w:rsidRPr="00246717">
        <w:rPr>
          <w:rFonts w:eastAsia="Calibri"/>
          <w:lang w:val="pl-PL"/>
        </w:rPr>
        <w:t xml:space="preserve"> oraz </w:t>
      </w:r>
      <w:proofErr w:type="spellStart"/>
      <w:r w:rsidR="008113A5" w:rsidRPr="00246717">
        <w:rPr>
          <w:rFonts w:eastAsia="Calibri"/>
          <w:i/>
          <w:iCs/>
          <w:lang w:val="pl-PL"/>
        </w:rPr>
        <w:t>Schatschaschwili</w:t>
      </w:r>
      <w:proofErr w:type="spellEnd"/>
      <w:r w:rsidR="008113A5" w:rsidRPr="00246717">
        <w:rPr>
          <w:rFonts w:eastAsia="Calibri"/>
          <w:i/>
          <w:iCs/>
          <w:lang w:val="pl-PL"/>
        </w:rPr>
        <w:t xml:space="preserve"> </w:t>
      </w:r>
      <w:r w:rsidR="008113A5" w:rsidRPr="00246717">
        <w:rPr>
          <w:rFonts w:eastAsia="Calibri"/>
          <w:lang w:val="pl-PL"/>
        </w:rPr>
        <w:t>[WI]</w:t>
      </w:r>
      <w:r w:rsidR="008113A5" w:rsidRPr="00246717">
        <w:rPr>
          <w:rFonts w:eastAsia="Calibri"/>
          <w:vertAlign w:val="superscript"/>
          <w:lang w:val="pl-PL"/>
        </w:rPr>
        <w:footnoteReference w:id="37"/>
      </w:r>
      <w:r w:rsidR="008113A5" w:rsidRPr="00246717">
        <w:rPr>
          <w:rFonts w:eastAsia="Calibri"/>
          <w:lang w:val="pl-PL"/>
        </w:rPr>
        <w:t xml:space="preserve"> </w:t>
      </w:r>
      <w:r w:rsidR="000C1A49">
        <w:rPr>
          <w:rFonts w:eastAsia="Calibri"/>
          <w:lang w:val="pl-PL"/>
        </w:rPr>
        <w:t>w zakresie</w:t>
      </w:r>
      <w:r w:rsidR="008113A5" w:rsidRPr="00246717">
        <w:rPr>
          <w:rFonts w:eastAsia="Calibri"/>
          <w:lang w:val="pl-PL"/>
        </w:rPr>
        <w:t xml:space="preserve"> nieprzesłuchiwania świadków oskarżenia na </w:t>
      </w:r>
      <w:r w:rsidR="000C1A49">
        <w:rPr>
          <w:rFonts w:eastAsia="Calibri"/>
          <w:lang w:val="pl-PL"/>
        </w:rPr>
        <w:t>rozprawie</w:t>
      </w:r>
      <w:r w:rsidR="008113A5" w:rsidRPr="00246717">
        <w:rPr>
          <w:rFonts w:eastAsia="Calibri"/>
          <w:lang w:val="pl-PL"/>
        </w:rPr>
        <w:t xml:space="preserve"> nie mają zastosowania do rozpoznawanej sprawy</w:t>
      </w:r>
      <w:r w:rsidR="00A050BD">
        <w:rPr>
          <w:rStyle w:val="Odwoanieprzypisudolnego"/>
          <w:rFonts w:eastAsia="Calibri"/>
          <w:lang w:val="pl-PL"/>
        </w:rPr>
        <w:footnoteReference w:id="38"/>
      </w:r>
      <w:r w:rsidR="00966403">
        <w:rPr>
          <w:rFonts w:eastAsia="Calibri"/>
          <w:lang w:val="pl-PL"/>
        </w:rPr>
        <w:t>.</w:t>
      </w:r>
    </w:p>
    <w:p w14:paraId="7CCA8A6C" w14:textId="6BE105C6" w:rsidR="008113A5" w:rsidRPr="00246717" w:rsidRDefault="00150576" w:rsidP="000957D3">
      <w:pPr>
        <w:pStyle w:val="OpiPara"/>
        <w:rPr>
          <w:rFonts w:eastAsia="Calibri"/>
          <w:lang w:val="pl-PL"/>
        </w:rPr>
      </w:pPr>
      <w:r w:rsidRPr="00246717">
        <w:rPr>
          <w:lang w:val="pl-PL"/>
        </w:rPr>
        <w:fldChar w:fldCharType="begin"/>
      </w:r>
      <w:r w:rsidR="008113A5" w:rsidRPr="00246717">
        <w:rPr>
          <w:lang w:val="pl-PL"/>
        </w:rPr>
        <w:instrText xml:space="preserve"> SEQ level0 \*arabic </w:instrText>
      </w:r>
      <w:r w:rsidRPr="00246717">
        <w:rPr>
          <w:lang w:val="pl-PL"/>
        </w:rPr>
        <w:fldChar w:fldCharType="separate"/>
      </w:r>
      <w:r w:rsidR="008113A5" w:rsidRPr="00246717">
        <w:rPr>
          <w:lang w:val="pl-PL"/>
        </w:rPr>
        <w:t>7</w:t>
      </w:r>
      <w:r w:rsidRPr="00246717">
        <w:rPr>
          <w:lang w:val="pl-PL"/>
        </w:rPr>
        <w:fldChar w:fldCharType="end"/>
      </w:r>
      <w:r w:rsidR="008113A5" w:rsidRPr="00246717">
        <w:rPr>
          <w:lang w:val="pl-PL"/>
        </w:rPr>
        <w:t>.  </w:t>
      </w:r>
      <w:r w:rsidR="00EA2105">
        <w:rPr>
          <w:lang w:val="pl-PL"/>
        </w:rPr>
        <w:t>Chociaż</w:t>
      </w:r>
      <w:r w:rsidR="008113A5" w:rsidRPr="00246717">
        <w:rPr>
          <w:lang w:val="pl-PL"/>
        </w:rPr>
        <w:t xml:space="preserve"> art.</w:t>
      </w:r>
      <w:r w:rsidR="000C1A49">
        <w:rPr>
          <w:lang w:val="pl-PL"/>
        </w:rPr>
        <w:t> </w:t>
      </w:r>
      <w:r w:rsidR="008113A5" w:rsidRPr="00246717">
        <w:rPr>
          <w:lang w:val="pl-PL"/>
        </w:rPr>
        <w:t>6 ust.</w:t>
      </w:r>
      <w:r w:rsidR="000C1A49">
        <w:rPr>
          <w:lang w:val="pl-PL"/>
        </w:rPr>
        <w:t> </w:t>
      </w:r>
      <w:r w:rsidR="008113A5" w:rsidRPr="00246717">
        <w:rPr>
          <w:lang w:val="pl-PL"/>
        </w:rPr>
        <w:t>3 lit.</w:t>
      </w:r>
      <w:r w:rsidR="000C1A49">
        <w:rPr>
          <w:lang w:val="pl-PL"/>
        </w:rPr>
        <w:t> </w:t>
      </w:r>
      <w:r w:rsidR="008113A5" w:rsidRPr="00246717">
        <w:rPr>
          <w:lang w:val="pl-PL"/>
        </w:rPr>
        <w:t>d ustanawia dla każdej osoby, na której ciąży zarzut popełnienia przestępstwa, prawo do przesłuchania „świadków obrony na takich samych warunkach jak świadków oskarżenia”, klasyfikacja osoby jako świadka obrony lub oskarżenia prowadzi do innego zestawu kryteriów prawnych w praktyce Trybunału. Takie podwójne standardy są bardzo problematyczne w świetle jasnego postanowienia Konwencji, zgodnie z którym obydw</w:t>
      </w:r>
      <w:r w:rsidR="00AD49FA">
        <w:rPr>
          <w:lang w:val="pl-PL"/>
        </w:rPr>
        <w:t>ie grupy</w:t>
      </w:r>
      <w:r w:rsidR="008113A5" w:rsidRPr="00246717">
        <w:rPr>
          <w:lang w:val="pl-PL"/>
        </w:rPr>
        <w:t xml:space="preserve"> świadków mają być przesłuchiwane „na takich samych warunkach”.</w:t>
      </w:r>
      <w:r w:rsidR="008113A5" w:rsidRPr="00246717">
        <w:rPr>
          <w:vertAlign w:val="superscript"/>
          <w:lang w:val="pl-PL"/>
        </w:rPr>
        <w:footnoteReference w:id="39"/>
      </w:r>
    </w:p>
    <w:p w14:paraId="012D5483" w14:textId="7CE7B58D"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8</w:t>
      </w:r>
      <w:r w:rsidRPr="00246717">
        <w:rPr>
          <w:rFonts w:eastAsia="Calibri"/>
          <w:lang w:val="pl-PL"/>
        </w:rPr>
        <w:fldChar w:fldCharType="end"/>
      </w:r>
      <w:r w:rsidR="008113A5" w:rsidRPr="00246717">
        <w:rPr>
          <w:rFonts w:eastAsia="Calibri"/>
          <w:lang w:val="pl-PL"/>
        </w:rPr>
        <w:t xml:space="preserve">.  Ponadto jest kwestią wysoce </w:t>
      </w:r>
      <w:r w:rsidR="00EA2105">
        <w:rPr>
          <w:rFonts w:eastAsia="Calibri"/>
          <w:lang w:val="pl-PL"/>
        </w:rPr>
        <w:t>wątpliwą</w:t>
      </w:r>
      <w:r w:rsidR="008113A5" w:rsidRPr="00246717">
        <w:rPr>
          <w:rFonts w:eastAsia="Calibri"/>
          <w:lang w:val="pl-PL"/>
        </w:rPr>
        <w:t xml:space="preserve">, czy te podwójne standardy można utrzymać w świetle </w:t>
      </w:r>
      <w:r w:rsidR="00AD49FA">
        <w:rPr>
          <w:rFonts w:eastAsia="Calibri"/>
          <w:lang w:val="pl-PL"/>
        </w:rPr>
        <w:t>szeregu</w:t>
      </w:r>
      <w:r w:rsidR="008113A5" w:rsidRPr="00246717">
        <w:rPr>
          <w:rFonts w:eastAsia="Calibri"/>
          <w:lang w:val="pl-PL"/>
        </w:rPr>
        <w:t xml:space="preserve"> okoliczności, w jakich świadek może zeznawać lub </w:t>
      </w:r>
      <w:r w:rsidR="00EA2105">
        <w:rPr>
          <w:rFonts w:eastAsia="Calibri"/>
          <w:lang w:val="pl-PL"/>
        </w:rPr>
        <w:t>zostać wezwany do złożenia</w:t>
      </w:r>
      <w:r w:rsidR="008113A5" w:rsidRPr="00246717">
        <w:rPr>
          <w:rFonts w:eastAsia="Calibri"/>
          <w:lang w:val="pl-PL"/>
        </w:rPr>
        <w:t xml:space="preserve"> </w:t>
      </w:r>
      <w:r w:rsidR="00EA2105" w:rsidRPr="00246717">
        <w:rPr>
          <w:rFonts w:eastAsia="Calibri"/>
          <w:lang w:val="pl-PL"/>
        </w:rPr>
        <w:t>zezna</w:t>
      </w:r>
      <w:r w:rsidR="00EA2105">
        <w:rPr>
          <w:rFonts w:eastAsia="Calibri"/>
          <w:lang w:val="pl-PL"/>
        </w:rPr>
        <w:t>ń</w:t>
      </w:r>
      <w:r w:rsidR="00EA2105" w:rsidRPr="00246717">
        <w:rPr>
          <w:rFonts w:eastAsia="Calibri"/>
          <w:lang w:val="pl-PL"/>
        </w:rPr>
        <w:t xml:space="preserve"> </w:t>
      </w:r>
      <w:r w:rsidR="00AD49FA">
        <w:rPr>
          <w:rFonts w:eastAsia="Calibri"/>
          <w:lang w:val="pl-PL"/>
        </w:rPr>
        <w:t>w</w:t>
      </w:r>
      <w:r w:rsidR="008113A5" w:rsidRPr="00246717">
        <w:rPr>
          <w:rFonts w:eastAsia="Calibri"/>
          <w:lang w:val="pl-PL"/>
        </w:rPr>
        <w:t xml:space="preserve"> procesie. Po pierwsze </w:t>
      </w:r>
      <w:r w:rsidR="00EA2105">
        <w:rPr>
          <w:rFonts w:eastAsia="Calibri"/>
          <w:lang w:val="pl-PL"/>
        </w:rPr>
        <w:t>uznanie</w:t>
      </w:r>
      <w:r w:rsidR="00EA2105" w:rsidRPr="00246717">
        <w:rPr>
          <w:rFonts w:eastAsia="Calibri"/>
          <w:lang w:val="pl-PL"/>
        </w:rPr>
        <w:t xml:space="preserve"> </w:t>
      </w:r>
      <w:r w:rsidR="008113A5" w:rsidRPr="00246717">
        <w:rPr>
          <w:rFonts w:eastAsia="Calibri"/>
          <w:lang w:val="pl-PL"/>
        </w:rPr>
        <w:t xml:space="preserve">świadka </w:t>
      </w:r>
      <w:r w:rsidR="00EA2105">
        <w:rPr>
          <w:rFonts w:eastAsia="Calibri"/>
          <w:lang w:val="pl-PL"/>
        </w:rPr>
        <w:t>za</w:t>
      </w:r>
      <w:r w:rsidR="00EA2105" w:rsidRPr="00246717">
        <w:rPr>
          <w:rFonts w:eastAsia="Calibri"/>
          <w:lang w:val="pl-PL"/>
        </w:rPr>
        <w:t xml:space="preserve"> </w:t>
      </w:r>
      <w:r w:rsidR="008113A5" w:rsidRPr="00246717">
        <w:rPr>
          <w:rFonts w:eastAsia="Calibri"/>
          <w:lang w:val="pl-PL"/>
        </w:rPr>
        <w:t xml:space="preserve">stawiającego się w imieniu „obrony” albo „oskarżenia” nie jest prostym zadaniem, jeżeli świadek będący świadkiem oskarżenia składa zeznania sprzyjające oskarżonemu i, </w:t>
      </w:r>
      <w:r w:rsidR="008113A5" w:rsidRPr="00246717">
        <w:rPr>
          <w:rFonts w:eastAsia="Calibri"/>
          <w:i/>
          <w:iCs/>
          <w:lang w:val="pl-PL"/>
        </w:rPr>
        <w:t>vice versa</w:t>
      </w:r>
      <w:r w:rsidR="008113A5" w:rsidRPr="00246717">
        <w:rPr>
          <w:rFonts w:eastAsia="Calibri"/>
          <w:lang w:val="pl-PL"/>
        </w:rPr>
        <w:t xml:space="preserve">, kiedy świadek </w:t>
      </w:r>
      <w:r w:rsidR="008113A5" w:rsidRPr="00246717">
        <w:rPr>
          <w:rFonts w:eastAsia="Calibri"/>
          <w:lang w:val="pl-PL"/>
        </w:rPr>
        <w:lastRenderedPageBreak/>
        <w:t xml:space="preserve">wezwany przez oskarżonego składa zeznania przeciwko niemu. Po drugie </w:t>
      </w:r>
      <w:r w:rsidR="00EA2105">
        <w:rPr>
          <w:rFonts w:eastAsia="Calibri"/>
          <w:lang w:val="pl-PL"/>
        </w:rPr>
        <w:t>o wezwanie</w:t>
      </w:r>
      <w:r w:rsidR="00EA2105" w:rsidRPr="00246717">
        <w:rPr>
          <w:rFonts w:eastAsia="Calibri"/>
          <w:lang w:val="pl-PL"/>
        </w:rPr>
        <w:t xml:space="preserve"> </w:t>
      </w:r>
      <w:r w:rsidR="008113A5" w:rsidRPr="00246717">
        <w:rPr>
          <w:rFonts w:eastAsia="Calibri"/>
          <w:lang w:val="pl-PL"/>
        </w:rPr>
        <w:t xml:space="preserve">świadka </w:t>
      </w:r>
      <w:r w:rsidR="00EA2105">
        <w:rPr>
          <w:rFonts w:eastAsia="Calibri"/>
          <w:lang w:val="pl-PL"/>
        </w:rPr>
        <w:t>może wnioskować</w:t>
      </w:r>
      <w:r w:rsidR="008113A5" w:rsidRPr="00246717">
        <w:rPr>
          <w:rFonts w:eastAsia="Calibri"/>
          <w:lang w:val="pl-PL"/>
        </w:rPr>
        <w:t xml:space="preserve"> zarówno oskarżony, jak i</w:t>
      </w:r>
      <w:r w:rsidR="00027586">
        <w:rPr>
          <w:rFonts w:eastAsia="Calibri"/>
          <w:lang w:val="pl-PL"/>
        </w:rPr>
        <w:t> </w:t>
      </w:r>
      <w:r w:rsidR="008113A5" w:rsidRPr="00246717">
        <w:rPr>
          <w:rFonts w:eastAsia="Calibri"/>
          <w:lang w:val="pl-PL"/>
        </w:rPr>
        <w:t xml:space="preserve">prokurator, w którym to przypadku ani kryterium </w:t>
      </w:r>
      <w:r w:rsidR="008113A5" w:rsidRPr="00246717">
        <w:rPr>
          <w:rFonts w:eastAsia="Calibri"/>
          <w:i/>
          <w:iCs/>
          <w:lang w:val="pl-PL"/>
        </w:rPr>
        <w:t>Al-</w:t>
      </w:r>
      <w:proofErr w:type="spellStart"/>
      <w:r w:rsidR="008113A5" w:rsidRPr="00246717">
        <w:rPr>
          <w:rFonts w:eastAsia="Calibri"/>
          <w:i/>
          <w:iCs/>
          <w:lang w:val="pl-PL"/>
        </w:rPr>
        <w:t>Khawaja</w:t>
      </w:r>
      <w:proofErr w:type="spellEnd"/>
      <w:r w:rsidR="008113A5" w:rsidRPr="00246717">
        <w:rPr>
          <w:rFonts w:eastAsia="Calibri"/>
          <w:i/>
          <w:iCs/>
          <w:lang w:val="pl-PL"/>
        </w:rPr>
        <w:t xml:space="preserve"> i </w:t>
      </w:r>
      <w:proofErr w:type="spellStart"/>
      <w:r w:rsidR="008113A5" w:rsidRPr="00246717">
        <w:rPr>
          <w:rFonts w:eastAsia="Calibri"/>
          <w:i/>
          <w:iCs/>
          <w:lang w:val="pl-PL"/>
        </w:rPr>
        <w:t>Tahery</w:t>
      </w:r>
      <w:proofErr w:type="spellEnd"/>
      <w:r w:rsidR="008113A5" w:rsidRPr="00246717">
        <w:rPr>
          <w:rFonts w:ascii="Sylfaen" w:eastAsia="Calibri" w:hAnsi="Sylfaen"/>
          <w:i/>
          <w:iCs/>
          <w:lang w:val="pl-PL"/>
        </w:rPr>
        <w:t xml:space="preserve"> </w:t>
      </w:r>
      <w:r w:rsidR="008113A5" w:rsidRPr="00246717">
        <w:rPr>
          <w:rFonts w:eastAsia="Calibri"/>
          <w:lang w:val="pl-PL"/>
        </w:rPr>
        <w:t>i</w:t>
      </w:r>
      <w:r w:rsidR="00027586">
        <w:rPr>
          <w:rFonts w:ascii="Sylfaen" w:eastAsia="Calibri" w:hAnsi="Sylfaen"/>
          <w:i/>
          <w:iCs/>
          <w:lang w:val="pl-PL"/>
        </w:rPr>
        <w:t> </w:t>
      </w:r>
      <w:proofErr w:type="spellStart"/>
      <w:r w:rsidR="008113A5" w:rsidRPr="00246717">
        <w:rPr>
          <w:rFonts w:eastAsia="Calibri"/>
          <w:i/>
          <w:iCs/>
          <w:lang w:val="pl-PL"/>
        </w:rPr>
        <w:t>Schatschaschwili</w:t>
      </w:r>
      <w:proofErr w:type="spellEnd"/>
      <w:r w:rsidR="008113A5" w:rsidRPr="00246717">
        <w:rPr>
          <w:rFonts w:eastAsia="Calibri"/>
          <w:lang w:val="pl-PL"/>
        </w:rPr>
        <w:t xml:space="preserve">, ani kryteria sformułowane w wyroku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8113A5" w:rsidRPr="00246717">
        <w:rPr>
          <w:rFonts w:eastAsia="Calibri"/>
          <w:lang w:val="pl-PL"/>
        </w:rPr>
        <w:t>nie mają, ściśle</w:t>
      </w:r>
      <w:r w:rsidR="00027586">
        <w:rPr>
          <w:rFonts w:eastAsia="Calibri"/>
          <w:lang w:val="pl-PL"/>
        </w:rPr>
        <w:t>j</w:t>
      </w:r>
      <w:r w:rsidR="008113A5" w:rsidRPr="00246717">
        <w:rPr>
          <w:rFonts w:eastAsia="Calibri"/>
          <w:lang w:val="pl-PL"/>
        </w:rPr>
        <w:t xml:space="preserve"> mówiąc, zastosowania. Po trzecie</w:t>
      </w:r>
      <w:r w:rsidR="00027586">
        <w:rPr>
          <w:rFonts w:eastAsia="Calibri"/>
          <w:lang w:val="pl-PL"/>
        </w:rPr>
        <w:t>,</w:t>
      </w:r>
      <w:r w:rsidR="008113A5" w:rsidRPr="00246717">
        <w:rPr>
          <w:rFonts w:eastAsia="Calibri"/>
          <w:lang w:val="pl-PL"/>
        </w:rPr>
        <w:t xml:space="preserve"> świadek wezwany </w:t>
      </w:r>
      <w:r w:rsidR="00EA2105">
        <w:rPr>
          <w:rFonts w:eastAsia="Calibri"/>
          <w:lang w:val="pl-PL"/>
        </w:rPr>
        <w:t xml:space="preserve">z urzędu </w:t>
      </w:r>
      <w:r w:rsidR="008113A5" w:rsidRPr="00246717">
        <w:rPr>
          <w:rFonts w:eastAsia="Calibri"/>
          <w:lang w:val="pl-PL"/>
        </w:rPr>
        <w:t>przez sam sąd nie wpisywałby się w tę podwójną klasyfikację. Po czwarte</w:t>
      </w:r>
      <w:r w:rsidR="00027586">
        <w:rPr>
          <w:rFonts w:eastAsia="Calibri"/>
          <w:lang w:val="pl-PL"/>
        </w:rPr>
        <w:t>,</w:t>
      </w:r>
      <w:r w:rsidR="008113A5" w:rsidRPr="00246717">
        <w:rPr>
          <w:rFonts w:eastAsia="Calibri"/>
          <w:lang w:val="pl-PL"/>
        </w:rPr>
        <w:t xml:space="preserve"> świadek, który został przesłuchany przez oskarżenie na etapie postępowania przygotowawczego i którego zeznanie na </w:t>
      </w:r>
      <w:r w:rsidR="00027586">
        <w:rPr>
          <w:rFonts w:eastAsia="Calibri"/>
          <w:lang w:val="pl-PL"/>
        </w:rPr>
        <w:t>rozprawie</w:t>
      </w:r>
      <w:r w:rsidR="008113A5" w:rsidRPr="00246717">
        <w:rPr>
          <w:rFonts w:eastAsia="Calibri"/>
          <w:lang w:val="pl-PL"/>
        </w:rPr>
        <w:t xml:space="preserve"> jest przedmiotem wniosku obrony, może odmówić </w:t>
      </w:r>
      <w:r w:rsidR="00EA2105">
        <w:rPr>
          <w:rFonts w:eastAsia="Calibri"/>
          <w:lang w:val="pl-PL"/>
        </w:rPr>
        <w:t xml:space="preserve">składania zeznań </w:t>
      </w:r>
      <w:r w:rsidR="008113A5" w:rsidRPr="00246717">
        <w:rPr>
          <w:rFonts w:eastAsia="Calibri"/>
          <w:lang w:val="pl-PL"/>
        </w:rPr>
        <w:t xml:space="preserve">albo nie być w stanie zeznawać na </w:t>
      </w:r>
      <w:r w:rsidR="00027586">
        <w:rPr>
          <w:rFonts w:eastAsia="Calibri"/>
          <w:lang w:val="pl-PL"/>
        </w:rPr>
        <w:t>rozprawie</w:t>
      </w:r>
      <w:r w:rsidR="008113A5" w:rsidRPr="00246717">
        <w:rPr>
          <w:rFonts w:eastAsia="Calibri"/>
          <w:lang w:val="pl-PL"/>
        </w:rPr>
        <w:t>.</w:t>
      </w:r>
      <w:r w:rsidR="008113A5" w:rsidRPr="00246717">
        <w:rPr>
          <w:rFonts w:eastAsia="Calibri"/>
          <w:vertAlign w:val="superscript"/>
          <w:lang w:val="pl-PL"/>
        </w:rPr>
        <w:footnoteReference w:id="40"/>
      </w:r>
      <w:r w:rsidR="008113A5" w:rsidRPr="00246717">
        <w:rPr>
          <w:rFonts w:eastAsia="Calibri"/>
          <w:lang w:val="pl-PL"/>
        </w:rPr>
        <w:t xml:space="preserve"> Po piąte</w:t>
      </w:r>
      <w:r w:rsidR="00027586">
        <w:rPr>
          <w:rFonts w:eastAsia="Calibri"/>
          <w:lang w:val="pl-PL"/>
        </w:rPr>
        <w:t>,</w:t>
      </w:r>
      <w:r w:rsidR="008113A5" w:rsidRPr="00246717">
        <w:rPr>
          <w:rFonts w:eastAsia="Calibri"/>
          <w:lang w:val="pl-PL"/>
        </w:rPr>
        <w:t xml:space="preserve"> świadek będący </w:t>
      </w:r>
      <w:r w:rsidR="00EA2105">
        <w:rPr>
          <w:rFonts w:eastAsia="Calibri"/>
          <w:lang w:val="pl-PL"/>
        </w:rPr>
        <w:t>biegłym z zakresu</w:t>
      </w:r>
      <w:r w:rsidR="00EA2105" w:rsidRPr="00246717">
        <w:rPr>
          <w:rFonts w:eastAsia="Calibri"/>
          <w:lang w:val="pl-PL"/>
        </w:rPr>
        <w:t xml:space="preserve"> </w:t>
      </w:r>
      <w:r w:rsidR="008113A5" w:rsidRPr="00246717">
        <w:rPr>
          <w:rFonts w:eastAsia="Calibri"/>
          <w:lang w:val="pl-PL"/>
        </w:rPr>
        <w:t xml:space="preserve">medycyny sądowej jest zazwyczaj świadkiem niezależnym, wzywanym w celu złożenia </w:t>
      </w:r>
      <w:r w:rsidR="00EA2105" w:rsidRPr="00246717">
        <w:rPr>
          <w:rFonts w:eastAsia="Calibri"/>
          <w:lang w:val="pl-PL"/>
        </w:rPr>
        <w:t>zezna</w:t>
      </w:r>
      <w:r w:rsidR="00EA2105">
        <w:rPr>
          <w:rFonts w:eastAsia="Calibri"/>
          <w:lang w:val="pl-PL"/>
        </w:rPr>
        <w:t>ń</w:t>
      </w:r>
      <w:r w:rsidR="008113A5" w:rsidRPr="00246717">
        <w:rPr>
          <w:rFonts w:eastAsia="Calibri"/>
          <w:lang w:val="pl-PL"/>
        </w:rPr>
        <w:t>, które nie jest składane ani w imieniu „obrony”, ani przeciwko oskarżonemu.</w:t>
      </w:r>
    </w:p>
    <w:p w14:paraId="430FE20F" w14:textId="78D3160B"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9</w:t>
      </w:r>
      <w:r w:rsidRPr="00246717">
        <w:rPr>
          <w:rFonts w:eastAsia="Calibri"/>
          <w:lang w:val="pl-PL"/>
        </w:rPr>
        <w:fldChar w:fldCharType="end"/>
      </w:r>
      <w:r w:rsidR="008113A5" w:rsidRPr="00246717">
        <w:rPr>
          <w:rFonts w:eastAsia="Calibri"/>
          <w:lang w:val="pl-PL"/>
        </w:rPr>
        <w:t>.  W świetle tej różnorodności okoliczności, zgodnie z orzecznictwem Trybunału termin „świadek” ma autonomiczne znaczenie w systemie Konwencji, niezależnie od klasyfikacji w prawie krajowym,</w:t>
      </w:r>
      <w:r w:rsidR="008113A5" w:rsidRPr="00246717">
        <w:rPr>
          <w:rFonts w:eastAsia="Calibri"/>
          <w:vertAlign w:val="superscript"/>
          <w:lang w:val="pl-PL"/>
        </w:rPr>
        <w:footnoteReference w:id="41"/>
      </w:r>
      <w:r w:rsidR="008113A5" w:rsidRPr="00246717">
        <w:rPr>
          <w:rFonts w:eastAsia="Calibri"/>
          <w:lang w:val="pl-PL"/>
        </w:rPr>
        <w:t xml:space="preserve"> i świadek uznawany jest za świadka oskarżenia, jeśli jego zeznania służą „w istotnym stopniu” jako podstawa wydania wyroku skazującego.</w:t>
      </w:r>
      <w:r w:rsidR="008113A5" w:rsidRPr="00246717">
        <w:rPr>
          <w:rFonts w:eastAsia="Calibri"/>
          <w:vertAlign w:val="superscript"/>
          <w:lang w:val="pl-PL"/>
        </w:rPr>
        <w:footnoteReference w:id="42"/>
      </w:r>
      <w:r w:rsidR="008113A5" w:rsidRPr="00246717">
        <w:rPr>
          <w:rFonts w:eastAsia="Calibri"/>
          <w:lang w:val="pl-PL"/>
        </w:rPr>
        <w:t xml:space="preserve"> W każdej indywidualnej sprawie należy ustalić, czy oskarżenie, czy obrona wniosła o</w:t>
      </w:r>
      <w:r w:rsidR="00E05B99">
        <w:rPr>
          <w:rFonts w:eastAsia="Calibri"/>
          <w:lang w:val="pl-PL"/>
        </w:rPr>
        <w:t> </w:t>
      </w:r>
      <w:r w:rsidR="00EA2105">
        <w:rPr>
          <w:rFonts w:eastAsia="Calibri"/>
          <w:lang w:val="pl-PL"/>
        </w:rPr>
        <w:t xml:space="preserve">wezwania do </w:t>
      </w:r>
      <w:r w:rsidR="008113A5" w:rsidRPr="00246717">
        <w:rPr>
          <w:rFonts w:eastAsia="Calibri"/>
          <w:lang w:val="pl-PL"/>
        </w:rPr>
        <w:t>stawiennictw</w:t>
      </w:r>
      <w:r w:rsidR="00EA2105">
        <w:rPr>
          <w:rFonts w:eastAsia="Calibri"/>
          <w:lang w:val="pl-PL"/>
        </w:rPr>
        <w:t>a</w:t>
      </w:r>
      <w:r w:rsidR="008113A5" w:rsidRPr="00246717">
        <w:rPr>
          <w:rFonts w:eastAsia="Calibri"/>
          <w:lang w:val="pl-PL"/>
        </w:rPr>
        <w:t xml:space="preserve"> i przesłuchanie danego świadka, dzięki czemu uzyskuje się punkt wyjścia do oceny Trybunału. Jednakże nie jest to dla Trybunału rozstrzygające. Ocena Trybunału będzie zależeć od wysokiej wartości dowodowej („w istotnym stopniu”) zeznań świadka dla ustalenia winy oskarżonego przez sądy krajowe. To kryterium kwalifikacji świadków, które bierze pod uwagę ustalenia co do przedmiotu sprawy, nastręcza sądom krajowym poważnych trudności, w świetle jego nieprecyzyjnego charakteru </w:t>
      </w:r>
      <w:r w:rsidR="008113A5" w:rsidRPr="00246717">
        <w:rPr>
          <w:rFonts w:eastAsia="Calibri"/>
          <w:i/>
          <w:iCs/>
          <w:lang w:val="pl-PL"/>
        </w:rPr>
        <w:t>ex post facto.</w:t>
      </w:r>
      <w:r w:rsidR="008113A5" w:rsidRPr="00246717">
        <w:rPr>
          <w:rFonts w:eastAsia="Calibri"/>
          <w:lang w:val="pl-PL"/>
        </w:rPr>
        <w:t xml:space="preserve"> Dla tych sądów test pozwalający ocenić, czy świadka należy wezwać na </w:t>
      </w:r>
      <w:r w:rsidR="00FE05E2">
        <w:rPr>
          <w:rFonts w:eastAsia="Calibri"/>
          <w:lang w:val="pl-PL"/>
        </w:rPr>
        <w:t xml:space="preserve">rozprawę </w:t>
      </w:r>
      <w:r w:rsidR="008113A5" w:rsidRPr="00246717">
        <w:rPr>
          <w:rFonts w:eastAsia="Calibri"/>
          <w:lang w:val="pl-PL"/>
        </w:rPr>
        <w:t xml:space="preserve">i przesłuchać, musi być precyzyjnym testem </w:t>
      </w:r>
      <w:r w:rsidR="008113A5" w:rsidRPr="00246717">
        <w:rPr>
          <w:rFonts w:eastAsia="Calibri"/>
          <w:i/>
          <w:iCs/>
          <w:lang w:val="pl-PL"/>
        </w:rPr>
        <w:t xml:space="preserve">ex </w:t>
      </w:r>
      <w:proofErr w:type="spellStart"/>
      <w:r w:rsidR="008113A5" w:rsidRPr="00246717">
        <w:rPr>
          <w:rFonts w:eastAsia="Calibri"/>
          <w:i/>
          <w:iCs/>
          <w:lang w:val="pl-PL"/>
        </w:rPr>
        <w:t>ante</w:t>
      </w:r>
      <w:proofErr w:type="spellEnd"/>
      <w:r w:rsidR="008113A5" w:rsidRPr="00246717">
        <w:rPr>
          <w:rFonts w:eastAsia="Calibri"/>
          <w:i/>
          <w:iCs/>
          <w:lang w:val="pl-PL"/>
        </w:rPr>
        <w:t xml:space="preserve">, </w:t>
      </w:r>
      <w:r w:rsidR="008113A5" w:rsidRPr="00246717">
        <w:rPr>
          <w:rFonts w:eastAsia="Calibri"/>
          <w:lang w:val="pl-PL"/>
        </w:rPr>
        <w:t>zakotwiczonym w punkcie w czasie, w</w:t>
      </w:r>
      <w:r w:rsidR="00E05B99">
        <w:rPr>
          <w:rFonts w:eastAsia="Calibri"/>
          <w:lang w:val="pl-PL"/>
        </w:rPr>
        <w:t> </w:t>
      </w:r>
      <w:r w:rsidR="008113A5" w:rsidRPr="00246717">
        <w:rPr>
          <w:rFonts w:eastAsia="Calibri"/>
          <w:lang w:val="pl-PL"/>
        </w:rPr>
        <w:t>którym odnośny są</w:t>
      </w:r>
      <w:r w:rsidR="00356CE2">
        <w:rPr>
          <w:rFonts w:eastAsia="Calibri"/>
          <w:lang w:val="pl-PL"/>
        </w:rPr>
        <w:t>d</w:t>
      </w:r>
      <w:r w:rsidR="008113A5" w:rsidRPr="00246717">
        <w:rPr>
          <w:rFonts w:eastAsia="Calibri"/>
          <w:lang w:val="pl-PL"/>
        </w:rPr>
        <w:t xml:space="preserve"> zostaje wezwany do przeprowadzenia oceny wniosku dotyczącego stawiennictwa świadka.</w:t>
      </w:r>
      <w:r w:rsidR="008113A5" w:rsidRPr="00246717">
        <w:rPr>
          <w:rFonts w:eastAsia="Calibri"/>
          <w:vertAlign w:val="superscript"/>
          <w:lang w:val="pl-PL"/>
        </w:rPr>
        <w:footnoteReference w:id="43"/>
      </w:r>
    </w:p>
    <w:p w14:paraId="53602354" w14:textId="1EB424C2" w:rsidR="008113A5" w:rsidRPr="00246717" w:rsidRDefault="00150576" w:rsidP="000957D3">
      <w:pPr>
        <w:pStyle w:val="OpiPara"/>
        <w:rPr>
          <w:rFonts w:eastAsia="Calibri"/>
          <w:lang w:val="pl-PL"/>
        </w:rPr>
      </w:pPr>
      <w:r w:rsidRPr="00246717">
        <w:rPr>
          <w:rFonts w:eastAsia="Calibri"/>
          <w:lang w:val="pl-PL"/>
        </w:rPr>
        <w:lastRenderedPageBreak/>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10</w:t>
      </w:r>
      <w:r w:rsidRPr="00246717">
        <w:rPr>
          <w:rFonts w:eastAsia="Calibri"/>
          <w:lang w:val="pl-PL"/>
        </w:rPr>
        <w:fldChar w:fldCharType="end"/>
      </w:r>
      <w:r w:rsidR="008113A5" w:rsidRPr="00246717">
        <w:rPr>
          <w:rFonts w:eastAsia="Calibri"/>
          <w:lang w:val="pl-PL"/>
        </w:rPr>
        <w:t xml:space="preserve">.  Okoliczności niniejszej </w:t>
      </w:r>
      <w:r w:rsidR="00FE05E2" w:rsidRPr="00246717">
        <w:rPr>
          <w:rFonts w:eastAsia="Calibri"/>
          <w:lang w:val="pl-PL"/>
        </w:rPr>
        <w:t>spraw</w:t>
      </w:r>
      <w:r w:rsidR="00FE05E2">
        <w:rPr>
          <w:rFonts w:eastAsia="Calibri"/>
          <w:lang w:val="pl-PL"/>
        </w:rPr>
        <w:t>y</w:t>
      </w:r>
      <w:r w:rsidR="00FE05E2" w:rsidRPr="00246717">
        <w:rPr>
          <w:rFonts w:eastAsia="Calibri"/>
          <w:lang w:val="pl-PL"/>
        </w:rPr>
        <w:t xml:space="preserve"> </w:t>
      </w:r>
      <w:r w:rsidR="008113A5" w:rsidRPr="00246717">
        <w:rPr>
          <w:rFonts w:eastAsia="Calibri"/>
          <w:lang w:val="pl-PL"/>
        </w:rPr>
        <w:t xml:space="preserve">są pod tym względem znamienne. Zauważam, że pomimo początkowego </w:t>
      </w:r>
      <w:r w:rsidR="00FE05E2">
        <w:rPr>
          <w:rFonts w:eastAsia="Calibri"/>
          <w:lang w:val="pl-PL"/>
        </w:rPr>
        <w:t>wskazania</w:t>
      </w:r>
      <w:r w:rsidR="00FE05E2" w:rsidRPr="00246717">
        <w:rPr>
          <w:rFonts w:eastAsia="Calibri"/>
          <w:lang w:val="pl-PL"/>
        </w:rPr>
        <w:t xml:space="preserve"> </w:t>
      </w:r>
      <w:r w:rsidR="008113A5" w:rsidRPr="00246717">
        <w:rPr>
          <w:rFonts w:eastAsia="Calibri"/>
          <w:lang w:val="pl-PL"/>
        </w:rPr>
        <w:t>świadka A. w akcie oskarżenia jako jednego ze świadków oskarżenia, a także jako świadka obrony, nie został on wezwany przez oskarżenie; niemniej jego zeznanie</w:t>
      </w:r>
      <w:r w:rsidR="00FE05E2">
        <w:rPr>
          <w:rFonts w:eastAsia="Calibri"/>
          <w:lang w:val="pl-PL"/>
        </w:rPr>
        <w:t xml:space="preserve">, </w:t>
      </w:r>
      <w:r w:rsidR="00FE05E2" w:rsidRPr="00246717">
        <w:rPr>
          <w:rFonts w:eastAsia="Calibri"/>
          <w:lang w:val="pl-PL"/>
        </w:rPr>
        <w:t>wraz z</w:t>
      </w:r>
      <w:r w:rsidR="00FE05E2">
        <w:rPr>
          <w:rFonts w:eastAsia="Calibri"/>
          <w:lang w:val="pl-PL"/>
        </w:rPr>
        <w:t> </w:t>
      </w:r>
      <w:r w:rsidR="00FE05E2" w:rsidRPr="00246717">
        <w:rPr>
          <w:rFonts w:eastAsia="Calibri"/>
          <w:lang w:val="pl-PL"/>
        </w:rPr>
        <w:t>innymi dowodami</w:t>
      </w:r>
      <w:r w:rsidR="00FE05E2">
        <w:rPr>
          <w:rFonts w:eastAsia="Calibri"/>
          <w:lang w:val="pl-PL"/>
        </w:rPr>
        <w:t>,</w:t>
      </w:r>
      <w:r w:rsidR="008113A5" w:rsidRPr="00246717">
        <w:rPr>
          <w:rFonts w:eastAsia="Calibri"/>
          <w:lang w:val="pl-PL"/>
        </w:rPr>
        <w:t xml:space="preserve"> posłużyło jako podstawa do wydania wyroku skazującego skarżącą. Złożone przez A. zeznania </w:t>
      </w:r>
      <w:proofErr w:type="spellStart"/>
      <w:r w:rsidR="008113A5" w:rsidRPr="00246717">
        <w:rPr>
          <w:rFonts w:eastAsia="Calibri"/>
          <w:lang w:val="pl-PL"/>
        </w:rPr>
        <w:t>przedprocesowe</w:t>
      </w:r>
      <w:proofErr w:type="spellEnd"/>
      <w:r w:rsidR="008113A5" w:rsidRPr="00246717">
        <w:rPr>
          <w:rFonts w:eastAsia="Calibri"/>
          <w:lang w:val="pl-PL"/>
        </w:rPr>
        <w:t xml:space="preserve">, odczytane na </w:t>
      </w:r>
      <w:r w:rsidR="0091571F">
        <w:rPr>
          <w:rFonts w:eastAsia="Calibri"/>
          <w:lang w:val="pl-PL"/>
        </w:rPr>
        <w:t>rozprawie</w:t>
      </w:r>
      <w:r w:rsidR="008113A5" w:rsidRPr="00246717">
        <w:rPr>
          <w:rFonts w:eastAsia="Calibri"/>
          <w:lang w:val="pl-PL"/>
        </w:rPr>
        <w:t xml:space="preserve"> i na które powołały się sądy krajowe w wyrokach, zawierały </w:t>
      </w:r>
      <w:r w:rsidR="00FE05E2">
        <w:rPr>
          <w:rFonts w:eastAsia="Calibri"/>
          <w:lang w:val="pl-PL"/>
        </w:rPr>
        <w:t>twierdzenia</w:t>
      </w:r>
      <w:r w:rsidR="008113A5" w:rsidRPr="00246717">
        <w:rPr>
          <w:rFonts w:eastAsia="Calibri"/>
          <w:lang w:val="pl-PL"/>
        </w:rPr>
        <w:t xml:space="preserve"> faktyczne, jednak sądy nie zweryfikowały zeznań A. z zeznaniami innych świadków. Pomimo tego A. był traktowany przez sądy krajowe jako świadek obrony, ponieważ to obrona wniosła o jego przesłuchanie, zarówno na etapie </w:t>
      </w:r>
      <w:proofErr w:type="spellStart"/>
      <w:r w:rsidR="008113A5" w:rsidRPr="00246717">
        <w:rPr>
          <w:rFonts w:eastAsia="Calibri"/>
          <w:lang w:val="pl-PL"/>
        </w:rPr>
        <w:t>przedprocesowym</w:t>
      </w:r>
      <w:proofErr w:type="spellEnd"/>
      <w:r w:rsidR="008113A5" w:rsidRPr="00246717">
        <w:rPr>
          <w:rFonts w:eastAsia="Calibri"/>
          <w:lang w:val="pl-PL"/>
        </w:rPr>
        <w:t>, jak i na późniejszych etapach postępowania.</w:t>
      </w:r>
    </w:p>
    <w:p w14:paraId="2A383691" w14:textId="7FF2EB8F"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11</w:t>
      </w:r>
      <w:r w:rsidRPr="00246717">
        <w:rPr>
          <w:rFonts w:eastAsia="Calibri"/>
          <w:lang w:val="pl-PL"/>
        </w:rPr>
        <w:fldChar w:fldCharType="end"/>
      </w:r>
      <w:r w:rsidR="008113A5" w:rsidRPr="00246717">
        <w:rPr>
          <w:rFonts w:eastAsia="Calibri"/>
          <w:lang w:val="pl-PL"/>
        </w:rPr>
        <w:t xml:space="preserve">.  Ponadto zeznania świadków B. i K. zostały przedstawione przez oskarżenie, jednak to obrona chciała się na </w:t>
      </w:r>
      <w:r w:rsidR="00FE05E2">
        <w:rPr>
          <w:rFonts w:eastAsia="Calibri"/>
          <w:lang w:val="pl-PL"/>
        </w:rPr>
        <w:t>n</w:t>
      </w:r>
      <w:r w:rsidR="008113A5" w:rsidRPr="00246717">
        <w:rPr>
          <w:rFonts w:eastAsia="Calibri"/>
          <w:lang w:val="pl-PL"/>
        </w:rPr>
        <w:t xml:space="preserve">ich </w:t>
      </w:r>
      <w:r w:rsidR="00FE05E2">
        <w:rPr>
          <w:rFonts w:eastAsia="Calibri"/>
          <w:lang w:val="pl-PL"/>
        </w:rPr>
        <w:t>opierać</w:t>
      </w:r>
      <w:r w:rsidR="008113A5" w:rsidRPr="00246717">
        <w:rPr>
          <w:rFonts w:eastAsia="Calibri"/>
          <w:lang w:val="pl-PL"/>
        </w:rPr>
        <w:t>.</w:t>
      </w:r>
      <w:r w:rsidR="008113A5" w:rsidRPr="00246717">
        <w:rPr>
          <w:rFonts w:eastAsia="Calibri"/>
          <w:vertAlign w:val="superscript"/>
          <w:lang w:val="pl-PL"/>
        </w:rPr>
        <w:footnoteReference w:id="44"/>
      </w:r>
    </w:p>
    <w:p w14:paraId="4992257A" w14:textId="0CF6AB74" w:rsidR="008113A5" w:rsidRPr="00246717" w:rsidRDefault="00150576" w:rsidP="000957D3">
      <w:pPr>
        <w:pStyle w:val="OpiPara"/>
        <w:rPr>
          <w:rFonts w:ascii="Times New Roman" w:eastAsia="Calibri" w:hAnsi="Times New Roman" w:cs="Times New Roman"/>
          <w:szCs w:val="24"/>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12</w:t>
      </w:r>
      <w:r w:rsidRPr="00246717">
        <w:rPr>
          <w:rFonts w:eastAsia="Calibri"/>
          <w:lang w:val="pl-PL"/>
        </w:rPr>
        <w:fldChar w:fldCharType="end"/>
      </w:r>
      <w:r w:rsidR="008113A5" w:rsidRPr="00246717">
        <w:rPr>
          <w:rFonts w:eastAsia="Calibri"/>
          <w:lang w:val="pl-PL"/>
        </w:rPr>
        <w:t>.  Podsumowując ten wstępny aspekt, podwójne standardy Trybunału w</w:t>
      </w:r>
      <w:r w:rsidR="0091571F">
        <w:rPr>
          <w:rFonts w:eastAsia="Calibri"/>
          <w:lang w:val="pl-PL"/>
        </w:rPr>
        <w:t> </w:t>
      </w:r>
      <w:r w:rsidR="008113A5" w:rsidRPr="00246717">
        <w:rPr>
          <w:rFonts w:eastAsia="Calibri"/>
          <w:lang w:val="pl-PL"/>
        </w:rPr>
        <w:t xml:space="preserve">traktowaniu świadków obrony i oskarżenia, a także nieprecyzyjna, </w:t>
      </w:r>
      <w:r w:rsidR="008113A5" w:rsidRPr="00246717">
        <w:rPr>
          <w:rFonts w:eastAsia="Calibri"/>
          <w:i/>
          <w:iCs/>
          <w:lang w:val="pl-PL"/>
        </w:rPr>
        <w:t>ex post facto,</w:t>
      </w:r>
      <w:r w:rsidR="008113A5" w:rsidRPr="00246717">
        <w:rPr>
          <w:rFonts w:eastAsia="Calibri"/>
          <w:lang w:val="pl-PL"/>
        </w:rPr>
        <w:t xml:space="preserve"> koncepcja świadka oskarżenia, na której standardy te się opierają, przeczy literze i duchowi </w:t>
      </w:r>
      <w:r w:rsidR="0091571F">
        <w:rPr>
          <w:rFonts w:eastAsia="Calibri"/>
          <w:lang w:val="pl-PL"/>
        </w:rPr>
        <w:t>K</w:t>
      </w:r>
      <w:r w:rsidR="008113A5" w:rsidRPr="00246717">
        <w:rPr>
          <w:rFonts w:eastAsia="Calibri"/>
          <w:lang w:val="pl-PL"/>
        </w:rPr>
        <w:t>onwencji, tworzy zbędne trudności praktyczne dla sądów krajowych i powoduje niepotrzebnie niepewność w dziedzinie prawa, dla której jasność i precyzja mają największe znaczenie.</w:t>
      </w:r>
    </w:p>
    <w:p w14:paraId="06B49A22" w14:textId="77777777" w:rsidR="008113A5" w:rsidRPr="00246717" w:rsidRDefault="008113A5" w:rsidP="000957D3">
      <w:pPr>
        <w:pStyle w:val="OpiHA"/>
        <w:rPr>
          <w:rFonts w:eastAsia="Calibri"/>
          <w:lang w:val="pl-PL"/>
        </w:rPr>
      </w:pPr>
      <w:r w:rsidRPr="00246717">
        <w:rPr>
          <w:rFonts w:eastAsia="Calibri"/>
          <w:lang w:val="pl-PL"/>
        </w:rPr>
        <w:t xml:space="preserve">Oryginalny test </w:t>
      </w:r>
      <w:proofErr w:type="spellStart"/>
      <w:r w:rsidRPr="00246717">
        <w:rPr>
          <w:rFonts w:eastAsia="Calibri"/>
          <w:i/>
          <w:iCs/>
          <w:lang w:val="pl-PL"/>
        </w:rPr>
        <w:t>Perna</w:t>
      </w:r>
      <w:proofErr w:type="spellEnd"/>
    </w:p>
    <w:p w14:paraId="5989B18A" w14:textId="321A05D5"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13</w:t>
      </w:r>
      <w:r w:rsidRPr="00246717">
        <w:rPr>
          <w:rFonts w:eastAsia="Calibri"/>
          <w:lang w:val="pl-PL"/>
        </w:rPr>
        <w:fldChar w:fldCharType="end"/>
      </w:r>
      <w:r w:rsidR="008113A5" w:rsidRPr="00246717">
        <w:rPr>
          <w:rFonts w:eastAsia="Calibri"/>
          <w:lang w:val="pl-PL"/>
        </w:rPr>
        <w:t>.  </w:t>
      </w:r>
      <w:r w:rsidR="00FE05E2">
        <w:rPr>
          <w:rFonts w:eastAsia="Calibri"/>
          <w:lang w:val="pl-PL"/>
        </w:rPr>
        <w:t>Przyjęte w sprawie</w:t>
      </w:r>
      <w:r w:rsidR="00FE05E2" w:rsidRPr="00246717">
        <w:rPr>
          <w:rFonts w:eastAsia="Calibri"/>
          <w:lang w:val="pl-PL"/>
        </w:rPr>
        <w:t xml:space="preserve">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FE05E2">
        <w:rPr>
          <w:rFonts w:eastAsia="Calibri"/>
          <w:lang w:val="pl-PL"/>
        </w:rPr>
        <w:t>stanowisko</w:t>
      </w:r>
      <w:r w:rsidR="00FE05E2" w:rsidRPr="00966403">
        <w:rPr>
          <w:lang w:val="pl-PL"/>
        </w:rPr>
        <w:t xml:space="preserve"> </w:t>
      </w:r>
      <w:r w:rsidR="008113A5" w:rsidRPr="00246717">
        <w:rPr>
          <w:rFonts w:eastAsia="Calibri"/>
          <w:lang w:val="pl-PL"/>
        </w:rPr>
        <w:t>zostało opart</w:t>
      </w:r>
      <w:r w:rsidR="008E6B06">
        <w:rPr>
          <w:rFonts w:eastAsia="Calibri"/>
          <w:lang w:val="pl-PL"/>
        </w:rPr>
        <w:t>e</w:t>
      </w:r>
      <w:r w:rsidR="008113A5" w:rsidRPr="00246717">
        <w:rPr>
          <w:rFonts w:eastAsia="Calibri"/>
          <w:lang w:val="pl-PL"/>
        </w:rPr>
        <w:t xml:space="preserve"> na przejrzystym rozróżnieniu pomiędzy świadkami obrony i oskarżenia, dokonanym wyłącznie na podstawie tego, która strona wniosła o ich przesłuchanie przed sądem </w:t>
      </w:r>
      <w:r w:rsidR="00FE05E2">
        <w:rPr>
          <w:rFonts w:eastAsia="Calibri"/>
          <w:lang w:val="pl-PL"/>
        </w:rPr>
        <w:t>orzekającym w pierwszej instancji</w:t>
      </w:r>
      <w:r w:rsidR="008113A5" w:rsidRPr="00246717">
        <w:rPr>
          <w:rFonts w:eastAsia="Calibri"/>
          <w:lang w:val="pl-PL"/>
        </w:rPr>
        <w:t xml:space="preserve"> i niezależnie od merytorycznej treści zeznania, jakie mieli złożyć poszczególni świadkowie.</w:t>
      </w:r>
    </w:p>
    <w:p w14:paraId="126CD4E6" w14:textId="67B58881"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14</w:t>
      </w:r>
      <w:r w:rsidRPr="00246717">
        <w:rPr>
          <w:rFonts w:eastAsia="Calibri"/>
          <w:lang w:val="pl-PL"/>
        </w:rPr>
        <w:fldChar w:fldCharType="end"/>
      </w:r>
      <w:r w:rsidR="008113A5" w:rsidRPr="00246717">
        <w:rPr>
          <w:rFonts w:eastAsia="Calibri"/>
          <w:lang w:val="pl-PL"/>
        </w:rPr>
        <w:t xml:space="preserve">.  Oryginalny test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8113A5" w:rsidRPr="00246717">
        <w:rPr>
          <w:rFonts w:eastAsia="Calibri"/>
          <w:lang w:val="pl-PL"/>
        </w:rPr>
        <w:t>ustanawiał ścisłe merytoryczne kryterium oceny wniosku obrony dotyczącego dowodu w postaci zeznań, w oparciu o</w:t>
      </w:r>
      <w:r w:rsidR="00D90083">
        <w:rPr>
          <w:rFonts w:eastAsia="Calibri"/>
          <w:lang w:val="pl-PL"/>
        </w:rPr>
        <w:t> </w:t>
      </w:r>
      <w:r w:rsidR="008113A5" w:rsidRPr="00246717">
        <w:rPr>
          <w:rFonts w:eastAsia="Calibri"/>
          <w:lang w:val="pl-PL"/>
        </w:rPr>
        <w:t xml:space="preserve">obowiązek „uzasadnienia wniosku, wyjaśniając, dlaczego jest ważne, aby odpowiedni świadkowie zostali wysłuchani, a ich zeznania są niezbędne </w:t>
      </w:r>
      <w:r w:rsidR="00D90083">
        <w:rPr>
          <w:rFonts w:eastAsia="Calibri"/>
          <w:lang w:val="pl-PL"/>
        </w:rPr>
        <w:t>do</w:t>
      </w:r>
      <w:r w:rsidR="008113A5" w:rsidRPr="00246717">
        <w:rPr>
          <w:rFonts w:eastAsia="Calibri"/>
          <w:lang w:val="pl-PL"/>
        </w:rPr>
        <w:t xml:space="preserve"> ustalenia prawdy”.</w:t>
      </w:r>
      <w:r w:rsidR="008113A5" w:rsidRPr="00246717">
        <w:rPr>
          <w:rFonts w:eastAsia="Calibri"/>
          <w:vertAlign w:val="superscript"/>
          <w:lang w:val="pl-PL"/>
        </w:rPr>
        <w:footnoteReference w:id="45"/>
      </w:r>
      <w:r w:rsidR="008113A5" w:rsidRPr="00246717">
        <w:rPr>
          <w:rFonts w:eastAsia="Calibri"/>
          <w:lang w:val="pl-PL"/>
        </w:rPr>
        <w:t xml:space="preserve"> </w:t>
      </w:r>
      <w:r w:rsidR="00FE05E2">
        <w:rPr>
          <w:rFonts w:eastAsia="Calibri"/>
          <w:lang w:val="pl-PL"/>
        </w:rPr>
        <w:t>Wbrew stanowisku</w:t>
      </w:r>
      <w:r w:rsidR="008113A5" w:rsidRPr="00246717">
        <w:rPr>
          <w:rFonts w:eastAsia="Calibri"/>
          <w:lang w:val="pl-PL"/>
        </w:rPr>
        <w:t xml:space="preserve"> większoś</w:t>
      </w:r>
      <w:r w:rsidR="00FE05E2">
        <w:rPr>
          <w:rFonts w:eastAsia="Calibri"/>
          <w:lang w:val="pl-PL"/>
        </w:rPr>
        <w:t>ci</w:t>
      </w:r>
      <w:r w:rsidR="008113A5" w:rsidRPr="00246717">
        <w:rPr>
          <w:rFonts w:eastAsia="Calibri"/>
          <w:lang w:val="pl-PL"/>
        </w:rPr>
        <w:t xml:space="preserve"> składu orzekającego,</w:t>
      </w:r>
      <w:r w:rsidR="008113A5" w:rsidRPr="00246717">
        <w:rPr>
          <w:rFonts w:eastAsia="Calibri"/>
          <w:vertAlign w:val="superscript"/>
          <w:lang w:val="pl-PL"/>
        </w:rPr>
        <w:footnoteReference w:id="46"/>
      </w:r>
      <w:r w:rsidR="008113A5" w:rsidRPr="00246717">
        <w:rPr>
          <w:rFonts w:eastAsia="Calibri"/>
          <w:lang w:val="pl-PL"/>
        </w:rPr>
        <w:t xml:space="preserve"> wyrok w sprawie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8113A5" w:rsidRPr="00246717">
        <w:rPr>
          <w:rFonts w:eastAsia="Calibri"/>
          <w:lang w:val="pl-PL"/>
        </w:rPr>
        <w:t>nie wymagał nadrzędnej oceny „ogólnej rzetelności”, ponieważ rzetelność oceniono jedynie w świetle art.</w:t>
      </w:r>
      <w:r w:rsidR="002F0564">
        <w:rPr>
          <w:rFonts w:eastAsia="Calibri"/>
          <w:lang w:val="pl-PL"/>
        </w:rPr>
        <w:t> </w:t>
      </w:r>
      <w:r w:rsidR="008113A5" w:rsidRPr="00246717">
        <w:rPr>
          <w:rFonts w:eastAsia="Calibri"/>
          <w:lang w:val="pl-PL"/>
        </w:rPr>
        <w:t>6 ust.</w:t>
      </w:r>
      <w:r w:rsidR="002F0564">
        <w:rPr>
          <w:rFonts w:eastAsia="Calibri"/>
          <w:lang w:val="pl-PL"/>
        </w:rPr>
        <w:t> </w:t>
      </w:r>
      <w:r w:rsidR="008113A5" w:rsidRPr="00246717">
        <w:rPr>
          <w:rFonts w:eastAsia="Calibri"/>
          <w:lang w:val="pl-PL"/>
        </w:rPr>
        <w:t>1 lit.</w:t>
      </w:r>
      <w:r w:rsidR="002F0564">
        <w:rPr>
          <w:rFonts w:eastAsia="Calibri"/>
          <w:lang w:val="pl-PL"/>
        </w:rPr>
        <w:t> </w:t>
      </w:r>
      <w:r w:rsidR="008113A5" w:rsidRPr="00246717">
        <w:rPr>
          <w:rFonts w:eastAsia="Calibri"/>
          <w:lang w:val="pl-PL"/>
        </w:rPr>
        <w:t>e Konwencji i pod kątem sposobu uzyskania dowodu. Należy tu przypomnieć od</w:t>
      </w:r>
      <w:r w:rsidR="002F0564">
        <w:rPr>
          <w:rFonts w:eastAsia="Calibri"/>
          <w:lang w:val="pl-PL"/>
        </w:rPr>
        <w:t>powiedni</w:t>
      </w:r>
      <w:r w:rsidR="008113A5" w:rsidRPr="00246717">
        <w:rPr>
          <w:rFonts w:eastAsia="Calibri"/>
          <w:lang w:val="pl-PL"/>
        </w:rPr>
        <w:t xml:space="preserve"> fragment wyroku </w:t>
      </w:r>
      <w:proofErr w:type="spellStart"/>
      <w:r w:rsidR="008113A5" w:rsidRPr="00246717">
        <w:rPr>
          <w:rFonts w:eastAsia="Calibri"/>
          <w:i/>
          <w:iCs/>
          <w:lang w:val="pl-PL"/>
        </w:rPr>
        <w:t>Perna</w:t>
      </w:r>
      <w:proofErr w:type="spellEnd"/>
      <w:r w:rsidR="008113A5" w:rsidRPr="00246717">
        <w:rPr>
          <w:rFonts w:eastAsia="Calibri"/>
          <w:lang w:val="pl-PL"/>
        </w:rPr>
        <w:t>:</w:t>
      </w:r>
    </w:p>
    <w:p w14:paraId="74304641" w14:textId="5FF205D4" w:rsidR="00664804" w:rsidRPr="00246717" w:rsidRDefault="008113A5" w:rsidP="000957D3">
      <w:pPr>
        <w:pStyle w:val="OpiQuot"/>
        <w:rPr>
          <w:rFonts w:eastAsia="Calibri"/>
          <w:lang w:val="pl-PL"/>
        </w:rPr>
      </w:pPr>
      <w:r w:rsidRPr="00246717">
        <w:rPr>
          <w:rFonts w:eastAsia="Calibri"/>
          <w:lang w:val="pl-PL"/>
        </w:rPr>
        <w:t>„Trybunał uznaje, że decyzje, w których władze krajowe oddaliły wnioski skarżącego, nie podlegają otwartej krytyce na gruncie art.</w:t>
      </w:r>
      <w:r w:rsidR="002F0564">
        <w:rPr>
          <w:rFonts w:eastAsia="Calibri"/>
          <w:lang w:val="pl-PL"/>
        </w:rPr>
        <w:t> </w:t>
      </w:r>
      <w:r w:rsidRPr="00246717">
        <w:rPr>
          <w:rFonts w:eastAsia="Calibri"/>
          <w:lang w:val="pl-PL"/>
        </w:rPr>
        <w:t>6, ponieważ Trybunał nie ustalił, czy wniosek dotyczący przedstawienia dowodów w postaci dokumentów i</w:t>
      </w:r>
      <w:r w:rsidR="002F0564">
        <w:rPr>
          <w:rFonts w:eastAsia="Calibri"/>
          <w:lang w:val="pl-PL"/>
        </w:rPr>
        <w:t> </w:t>
      </w:r>
      <w:r w:rsidRPr="00246717">
        <w:rPr>
          <w:rFonts w:eastAsia="Calibri"/>
          <w:lang w:val="pl-PL"/>
        </w:rPr>
        <w:t xml:space="preserve">uzyskania dowodów od skarżącego i świadków, byłby pomocny w dowiedzeniu, </w:t>
      </w:r>
      <w:r w:rsidR="002F0564">
        <w:rPr>
          <w:rFonts w:eastAsia="Calibri"/>
          <w:lang w:val="pl-PL"/>
        </w:rPr>
        <w:t>ż</w:t>
      </w:r>
      <w:r w:rsidRPr="00246717">
        <w:rPr>
          <w:rFonts w:eastAsia="Calibri"/>
          <w:lang w:val="pl-PL"/>
        </w:rPr>
        <w:t xml:space="preserve">e </w:t>
      </w:r>
      <w:r w:rsidRPr="00246717">
        <w:rPr>
          <w:rFonts w:eastAsia="Calibri"/>
          <w:lang w:val="pl-PL"/>
        </w:rPr>
        <w:lastRenderedPageBreak/>
        <w:t>konkretne postępowanie zarzucane panu Caselli faktycznie miało miejsce. Z tego punktu widzenia nie można więc uznać, że postępowanie o zniesławienie wytoczone przez p</w:t>
      </w:r>
      <w:r w:rsidR="002F0564">
        <w:rPr>
          <w:rFonts w:eastAsia="Calibri"/>
          <w:lang w:val="pl-PL"/>
        </w:rPr>
        <w:t>.</w:t>
      </w:r>
      <w:r w:rsidRPr="00246717">
        <w:rPr>
          <w:rFonts w:eastAsia="Calibri"/>
          <w:lang w:val="pl-PL"/>
        </w:rPr>
        <w:t xml:space="preserve"> Caselli przeciwko skarżącemu było niesprawiedliwe pod względem sposobu, w jaki przedstawiono dowody”.</w:t>
      </w:r>
      <w:r w:rsidRPr="00246717">
        <w:rPr>
          <w:rFonts w:eastAsia="Calibri"/>
          <w:vertAlign w:val="superscript"/>
          <w:lang w:val="pl-PL"/>
        </w:rPr>
        <w:footnoteReference w:id="47"/>
      </w:r>
    </w:p>
    <w:p w14:paraId="7B042F7C" w14:textId="2A11CCBE" w:rsidR="008113A5" w:rsidRPr="00246717" w:rsidRDefault="00150576" w:rsidP="000957D3">
      <w:pPr>
        <w:pStyle w:val="OpiPara"/>
        <w:rPr>
          <w:rFonts w:ascii="Times New Roman" w:eastAsia="Calibri" w:hAnsi="Times New Roman" w:cs="Times New Roman"/>
          <w:szCs w:val="24"/>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15</w:t>
      </w:r>
      <w:r w:rsidRPr="00246717">
        <w:rPr>
          <w:rFonts w:eastAsia="Calibri"/>
          <w:lang w:val="pl-PL"/>
        </w:rPr>
        <w:fldChar w:fldCharType="end"/>
      </w:r>
      <w:r w:rsidR="008113A5" w:rsidRPr="00246717">
        <w:rPr>
          <w:rFonts w:eastAsia="Calibri"/>
          <w:lang w:val="pl-PL"/>
        </w:rPr>
        <w:t xml:space="preserve">.  Zatem ogólna rzetelność postępowania nie jest, w świetle zarówno litery, jak i ducha wyroku w sprawie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8113A5" w:rsidRPr="00246717">
        <w:rPr>
          <w:rFonts w:eastAsia="Calibri"/>
          <w:lang w:val="pl-PL"/>
        </w:rPr>
        <w:t xml:space="preserve">nadrzędnym kryterium, na podstawie którego skarżący </w:t>
      </w:r>
      <w:r w:rsidR="00FE05E2">
        <w:rPr>
          <w:rFonts w:eastAsia="Calibri"/>
          <w:lang w:val="pl-PL"/>
        </w:rPr>
        <w:t>powinien</w:t>
      </w:r>
      <w:r w:rsidR="00FE05E2" w:rsidRPr="00246717">
        <w:rPr>
          <w:rFonts w:eastAsia="Calibri"/>
          <w:lang w:val="pl-PL"/>
        </w:rPr>
        <w:t xml:space="preserve"> </w:t>
      </w:r>
      <w:r w:rsidR="008113A5" w:rsidRPr="00246717">
        <w:rPr>
          <w:rFonts w:eastAsia="Calibri"/>
          <w:lang w:val="pl-PL"/>
        </w:rPr>
        <w:t xml:space="preserve">wykazać, że odmowa wezwania świadka </w:t>
      </w:r>
      <w:r w:rsidR="00FE05E2">
        <w:rPr>
          <w:rFonts w:eastAsia="Calibri"/>
          <w:lang w:val="pl-PL"/>
        </w:rPr>
        <w:t>miała negatywny wpływ na</w:t>
      </w:r>
      <w:r w:rsidR="00FE05E2" w:rsidRPr="00246717">
        <w:rPr>
          <w:rFonts w:eastAsia="Calibri"/>
          <w:lang w:val="pl-PL"/>
        </w:rPr>
        <w:t xml:space="preserve"> </w:t>
      </w:r>
      <w:r w:rsidR="008113A5" w:rsidRPr="00246717">
        <w:rPr>
          <w:rFonts w:eastAsia="Calibri"/>
          <w:lang w:val="pl-PL"/>
        </w:rPr>
        <w:t>ogólną rzetelność postępowania.</w:t>
      </w:r>
      <w:r w:rsidR="008113A5" w:rsidRPr="00246717">
        <w:rPr>
          <w:rFonts w:eastAsia="Calibri"/>
          <w:vertAlign w:val="superscript"/>
          <w:lang w:val="pl-PL"/>
        </w:rPr>
        <w:footnoteReference w:id="48"/>
      </w:r>
      <w:r w:rsidR="008113A5" w:rsidRPr="00246717">
        <w:rPr>
          <w:rFonts w:eastAsia="Calibri"/>
          <w:lang w:val="pl-PL"/>
        </w:rPr>
        <w:t xml:space="preserve"> Niemniej test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8113A5" w:rsidRPr="00246717">
        <w:rPr>
          <w:rFonts w:eastAsia="Calibri"/>
          <w:lang w:val="pl-PL"/>
        </w:rPr>
        <w:t>był zbyt restrykcyjny, a zatem niesprawiedliwy dla obrony. Konieczne było wprowadzenie jego nowej wersji z perspektywy przyjaznej prawom człowieka, czyli wersji, która zbliżyłaby test do zasad Konwencji dotyczących przesłuchiwania w postępowaniu karnym, ale większość składu orzekającego nie dokonała tego, jak zostanie wykazane poniżej.</w:t>
      </w:r>
    </w:p>
    <w:p w14:paraId="6A9E9C42" w14:textId="77777777" w:rsidR="008113A5" w:rsidRPr="00246717" w:rsidRDefault="008113A5" w:rsidP="000957D3">
      <w:pPr>
        <w:pStyle w:val="OpiHA"/>
        <w:rPr>
          <w:rFonts w:ascii="Times New Roman" w:eastAsia="Calibri" w:hAnsi="Times New Roman" w:cs="Times New Roman"/>
          <w:szCs w:val="24"/>
          <w:lang w:val="pl-PL"/>
        </w:rPr>
      </w:pPr>
      <w:r w:rsidRPr="00246717">
        <w:rPr>
          <w:rFonts w:eastAsia="Calibri"/>
          <w:lang w:val="pl-PL"/>
        </w:rPr>
        <w:t xml:space="preserve">Pierwsze kryterium w sprawie </w:t>
      </w:r>
      <w:proofErr w:type="spellStart"/>
      <w:r w:rsidRPr="00246717">
        <w:rPr>
          <w:rFonts w:eastAsia="Calibri"/>
          <w:i/>
          <w:iCs/>
          <w:lang w:val="pl-PL"/>
        </w:rPr>
        <w:t>Murtazaliyeva</w:t>
      </w:r>
      <w:proofErr w:type="spellEnd"/>
    </w:p>
    <w:p w14:paraId="61DD85B0" w14:textId="376C0176"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16</w:t>
      </w:r>
      <w:r w:rsidRPr="00246717">
        <w:rPr>
          <w:rFonts w:eastAsia="Calibri"/>
          <w:lang w:val="pl-PL"/>
        </w:rPr>
        <w:fldChar w:fldCharType="end"/>
      </w:r>
      <w:r w:rsidR="008113A5" w:rsidRPr="00246717">
        <w:rPr>
          <w:rFonts w:eastAsia="Calibri"/>
          <w:lang w:val="pl-PL"/>
        </w:rPr>
        <w:t xml:space="preserve">.  Oryginalny test </w:t>
      </w:r>
      <w:proofErr w:type="spellStart"/>
      <w:r w:rsidR="008113A5" w:rsidRPr="00246717">
        <w:rPr>
          <w:rFonts w:eastAsia="Calibri"/>
          <w:i/>
          <w:iCs/>
          <w:lang w:val="pl-PL"/>
        </w:rPr>
        <w:t>Perna</w:t>
      </w:r>
      <w:proofErr w:type="spellEnd"/>
      <w:r w:rsidR="008113A5" w:rsidRPr="00246717">
        <w:rPr>
          <w:rFonts w:eastAsia="Calibri"/>
          <w:lang w:val="pl-PL"/>
        </w:rPr>
        <w:t xml:space="preserve"> został sformułowany w restrykcyjny sposób: kryterium ustanowione dla dopuszczenia świadków obrony było kryterium zeznania „koniecznego” dla ustalenia prawdy. Praktyka Trybunału </w:t>
      </w:r>
      <w:r w:rsidR="00D058A4">
        <w:rPr>
          <w:rFonts w:eastAsia="Calibri"/>
          <w:lang w:val="pl-PL"/>
        </w:rPr>
        <w:t>traktuje</w:t>
      </w:r>
      <w:r w:rsidR="008113A5" w:rsidRPr="00246717">
        <w:rPr>
          <w:rFonts w:eastAsia="Calibri"/>
          <w:lang w:val="pl-PL"/>
        </w:rPr>
        <w:t xml:space="preserve"> tę surowość</w:t>
      </w:r>
      <w:r w:rsidR="00D058A4">
        <w:rPr>
          <w:rFonts w:eastAsia="Calibri"/>
          <w:lang w:val="pl-PL"/>
        </w:rPr>
        <w:t xml:space="preserve"> mniej restrykcyjnie</w:t>
      </w:r>
      <w:r w:rsidR="008113A5" w:rsidRPr="00246717">
        <w:rPr>
          <w:rFonts w:eastAsia="Calibri"/>
          <w:lang w:val="pl-PL"/>
        </w:rPr>
        <w:t xml:space="preserve">, zwracając się ku bardziej liberalnemu kryterium „znaczenia </w:t>
      </w:r>
      <w:r w:rsidR="008113A5" w:rsidRPr="000473D0">
        <w:rPr>
          <w:rFonts w:eastAsia="Calibri"/>
          <w:i/>
          <w:lang w:val="pl-PL"/>
        </w:rPr>
        <w:t>prima facie</w:t>
      </w:r>
      <w:r w:rsidR="008113A5" w:rsidRPr="00246717">
        <w:rPr>
          <w:rFonts w:eastAsia="Calibri"/>
          <w:lang w:val="pl-PL"/>
        </w:rPr>
        <w:t>” dowodu, sformułowanym wielorako na przestrzeni lat.</w:t>
      </w:r>
      <w:r w:rsidR="008113A5" w:rsidRPr="00246717">
        <w:rPr>
          <w:rFonts w:eastAsia="Calibri"/>
          <w:vertAlign w:val="superscript"/>
          <w:lang w:val="pl-PL"/>
        </w:rPr>
        <w:footnoteReference w:id="49"/>
      </w:r>
      <w:r w:rsidR="008113A5" w:rsidRPr="00246717">
        <w:rPr>
          <w:rFonts w:eastAsia="Calibri"/>
          <w:lang w:val="pl-PL"/>
        </w:rPr>
        <w:t xml:space="preserve"> Pomiędzy tymi dwoma rozbieżnymi kryteriami, większość składu orzekającego obecnie wybiera kryterium świadków „mogących </w:t>
      </w:r>
      <w:r w:rsidR="000F0EC1">
        <w:rPr>
          <w:rFonts w:eastAsia="Calibri"/>
          <w:lang w:val="pl-PL"/>
        </w:rPr>
        <w:t xml:space="preserve">mieć </w:t>
      </w:r>
      <w:r w:rsidR="000F0EC1" w:rsidRPr="00246717">
        <w:rPr>
          <w:rFonts w:eastAsia="Calibri"/>
          <w:lang w:val="pl-PL"/>
        </w:rPr>
        <w:t>wpły</w:t>
      </w:r>
      <w:r w:rsidR="000F0EC1">
        <w:rPr>
          <w:rFonts w:eastAsia="Calibri"/>
          <w:lang w:val="pl-PL"/>
        </w:rPr>
        <w:t>w</w:t>
      </w:r>
      <w:r w:rsidR="000F0EC1" w:rsidRPr="00246717">
        <w:rPr>
          <w:rFonts w:eastAsia="Calibri"/>
          <w:lang w:val="pl-PL"/>
        </w:rPr>
        <w:t xml:space="preserve"> </w:t>
      </w:r>
      <w:r w:rsidR="008113A5" w:rsidRPr="00246717">
        <w:rPr>
          <w:rFonts w:eastAsia="Calibri"/>
          <w:lang w:val="pl-PL"/>
        </w:rPr>
        <w:t>na wynik procesu” albo „świadków, od których w sposób uzasadniony można oczekiwać wzmocnienia pozycji obrony”.</w:t>
      </w:r>
      <w:r w:rsidR="008113A5" w:rsidRPr="00246717">
        <w:rPr>
          <w:rFonts w:eastAsia="Calibri"/>
          <w:vertAlign w:val="superscript"/>
          <w:lang w:val="pl-PL"/>
        </w:rPr>
        <w:footnoteReference w:id="50"/>
      </w:r>
      <w:r w:rsidR="008113A5" w:rsidRPr="00246717">
        <w:rPr>
          <w:rFonts w:eastAsia="Calibri"/>
          <w:lang w:val="pl-PL"/>
        </w:rPr>
        <w:t xml:space="preserve"> Na pierwszy rzut oka wydaje się, że większość składu orzekającego wybrała </w:t>
      </w:r>
      <w:r w:rsidR="00D058A4">
        <w:rPr>
          <w:rFonts w:eastAsia="Calibri"/>
          <w:lang w:val="pl-PL"/>
        </w:rPr>
        <w:t>mniej restrykcyjne i bardziej</w:t>
      </w:r>
      <w:r w:rsidR="008113A5" w:rsidRPr="00246717">
        <w:rPr>
          <w:rFonts w:eastAsia="Calibri"/>
          <w:lang w:val="pl-PL"/>
        </w:rPr>
        <w:t xml:space="preserve"> liberalne kryterium. </w:t>
      </w:r>
      <w:r w:rsidR="000F0EC1">
        <w:rPr>
          <w:rFonts w:eastAsia="Calibri"/>
          <w:lang w:val="pl-PL"/>
        </w:rPr>
        <w:t>Świadczy o tym</w:t>
      </w:r>
      <w:r w:rsidR="008113A5" w:rsidRPr="00246717">
        <w:rPr>
          <w:rFonts w:eastAsia="Calibri"/>
          <w:lang w:val="pl-PL"/>
        </w:rPr>
        <w:t xml:space="preserve"> także dalsze stanowisko większości składu orzekającego, zgodnie z którym to </w:t>
      </w:r>
      <w:r w:rsidR="00D058A4">
        <w:rPr>
          <w:rFonts w:eastAsia="Calibri"/>
          <w:lang w:val="pl-PL"/>
        </w:rPr>
        <w:t>niedostateczne</w:t>
      </w:r>
      <w:r w:rsidR="008113A5" w:rsidRPr="00246717">
        <w:rPr>
          <w:rFonts w:eastAsia="Calibri"/>
          <w:lang w:val="pl-PL"/>
        </w:rPr>
        <w:t xml:space="preserve"> uzasadnienie obrony może być wystarczające do udzielenia twierdzącej odpowiedzi na pierwsze pytanie testu.</w:t>
      </w:r>
      <w:r w:rsidR="008113A5" w:rsidRPr="00246717">
        <w:rPr>
          <w:rFonts w:eastAsia="Calibri"/>
          <w:vertAlign w:val="superscript"/>
          <w:lang w:val="pl-PL"/>
        </w:rPr>
        <w:footnoteReference w:id="51"/>
      </w:r>
      <w:r w:rsidR="008113A5" w:rsidRPr="00246717">
        <w:rPr>
          <w:rFonts w:eastAsia="Calibri"/>
          <w:lang w:val="pl-PL"/>
        </w:rPr>
        <w:t xml:space="preserve"> Wybór ten jest także zgodny z orzecznictwem Izby Odwoławczej MTKJ, gdzie skarżący musi wykazać uzasadnioną podstawę dla swojego przekonania, zgodnie z którym istnieje duże prawdopodobieństwo, że ewentualny świadek będzie w stanie udzielić </w:t>
      </w:r>
      <w:r w:rsidR="008113A5" w:rsidRPr="00246717">
        <w:rPr>
          <w:rFonts w:eastAsia="Calibri"/>
          <w:lang w:val="pl-PL"/>
        </w:rPr>
        <w:lastRenderedPageBreak/>
        <w:t>informacji, które w sposób istotny pomogą w jego sprawie, w odniesieniu do jasno zidentyfikowanych kwestii istotnych dla zbliżającego się procesu.</w:t>
      </w:r>
      <w:r w:rsidR="008113A5" w:rsidRPr="00246717">
        <w:rPr>
          <w:rFonts w:eastAsia="Calibri"/>
          <w:vertAlign w:val="superscript"/>
          <w:lang w:val="pl-PL"/>
        </w:rPr>
        <w:footnoteReference w:id="52"/>
      </w:r>
    </w:p>
    <w:p w14:paraId="0A5E987E" w14:textId="0D4E4241" w:rsidR="00664804" w:rsidRPr="00246717" w:rsidRDefault="00150576" w:rsidP="000957D3">
      <w:pPr>
        <w:pStyle w:val="OpiPara"/>
        <w:rPr>
          <w:rFonts w:eastAsia="Calibri"/>
          <w:vertAlign w:val="superscript"/>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17</w:t>
      </w:r>
      <w:r w:rsidRPr="00246717">
        <w:rPr>
          <w:rFonts w:eastAsia="Calibri"/>
          <w:lang w:val="pl-PL"/>
        </w:rPr>
        <w:fldChar w:fldCharType="end"/>
      </w:r>
      <w:r w:rsidR="008113A5" w:rsidRPr="00246717">
        <w:rPr>
          <w:rFonts w:eastAsia="Calibri"/>
          <w:lang w:val="pl-PL"/>
        </w:rPr>
        <w:t xml:space="preserve">.  Liberalny, jak się wydaje, punkt widzenia nie ogranicza się do stopnia znaczenia </w:t>
      </w:r>
      <w:r w:rsidR="000F0EC1">
        <w:rPr>
          <w:rFonts w:eastAsia="Calibri"/>
          <w:lang w:val="pl-PL"/>
        </w:rPr>
        <w:t>czy</w:t>
      </w:r>
      <w:r w:rsidR="000F0EC1" w:rsidRPr="00246717">
        <w:rPr>
          <w:rFonts w:eastAsia="Calibri"/>
          <w:lang w:val="pl-PL"/>
        </w:rPr>
        <w:t xml:space="preserve"> </w:t>
      </w:r>
      <w:r w:rsidR="008113A5" w:rsidRPr="00246717">
        <w:rPr>
          <w:rFonts w:eastAsia="Calibri"/>
          <w:lang w:val="pl-PL"/>
        </w:rPr>
        <w:t>nieodzowności dowodu, ale też do jego zakresu, co obejmuje dowody, które są zarówno istotne dla wyniku procesu, jak i w ogólności dla „pozycji obrony”. Ma to oczywiście swoje następstwo. Każde zeznanie świadka obrony dotyczące zgodności z prawem, rzetelności lub wiarygodności pozostałych dowodów, a także zgodności z prawem postępowania władz publicznych w sprawie, w tym sędziów, prokuratorów i</w:t>
      </w:r>
      <w:r w:rsidR="006271F9">
        <w:rPr>
          <w:rFonts w:eastAsia="Calibri"/>
          <w:lang w:val="pl-PL"/>
        </w:rPr>
        <w:t> </w:t>
      </w:r>
      <w:r w:rsidR="008113A5" w:rsidRPr="00246717">
        <w:rPr>
          <w:rFonts w:eastAsia="Calibri"/>
          <w:lang w:val="pl-PL"/>
        </w:rPr>
        <w:t xml:space="preserve">organów ścigania, które podejmowały lub powinny były podjąć </w:t>
      </w:r>
      <w:r w:rsidR="006F5B29">
        <w:rPr>
          <w:rFonts w:eastAsia="Calibri"/>
          <w:lang w:val="pl-PL"/>
        </w:rPr>
        <w:t>czynności</w:t>
      </w:r>
      <w:r w:rsidR="008113A5" w:rsidRPr="00246717">
        <w:rPr>
          <w:rFonts w:eastAsia="Calibri"/>
          <w:lang w:val="pl-PL"/>
        </w:rPr>
        <w:t xml:space="preserve"> w sprawie oskarżonego, mogą wzmocnić pozycję obrony, nawet jeśli ostatecznie nie wpłyną na wynik procesu. Na przykład obowiązkowe jest wezwanie świadka, który, jak się uważa, może </w:t>
      </w:r>
      <w:r w:rsidR="000F0EC1">
        <w:rPr>
          <w:rFonts w:eastAsia="Calibri"/>
          <w:lang w:val="pl-PL"/>
        </w:rPr>
        <w:t>potwierdzić</w:t>
      </w:r>
      <w:r w:rsidR="000F0EC1" w:rsidRPr="00246717">
        <w:rPr>
          <w:rFonts w:eastAsia="Calibri"/>
          <w:lang w:val="pl-PL"/>
        </w:rPr>
        <w:t xml:space="preserve"> </w:t>
      </w:r>
      <w:r w:rsidR="008113A5" w:rsidRPr="00246717">
        <w:rPr>
          <w:rFonts w:eastAsia="Calibri"/>
          <w:lang w:val="pl-PL"/>
        </w:rPr>
        <w:t xml:space="preserve">twierdzenie skarżącej, zgodnie z którym była ona </w:t>
      </w:r>
      <w:r w:rsidR="006F5B29">
        <w:rPr>
          <w:rFonts w:eastAsia="Calibri"/>
          <w:lang w:val="pl-PL"/>
        </w:rPr>
        <w:t>w sposób niewłaściwy</w:t>
      </w:r>
      <w:r w:rsidR="008113A5" w:rsidRPr="00246717">
        <w:rPr>
          <w:rFonts w:eastAsia="Calibri"/>
          <w:lang w:val="pl-PL"/>
        </w:rPr>
        <w:t xml:space="preserve"> traktowana </w:t>
      </w:r>
      <w:r w:rsidR="006F5B29">
        <w:rPr>
          <w:rFonts w:eastAsia="Calibri"/>
          <w:lang w:val="pl-PL"/>
        </w:rPr>
        <w:t>celem</w:t>
      </w:r>
      <w:r w:rsidR="008113A5" w:rsidRPr="00246717">
        <w:rPr>
          <w:rFonts w:eastAsia="Calibri"/>
          <w:lang w:val="pl-PL"/>
        </w:rPr>
        <w:t xml:space="preserve"> wymuszenia przyznania się do popełnienia przestępstwa, nawet jeśli sporne przyznanie się nie odegrało kluczowej roli w ustaleniu winy skarżącej.</w:t>
      </w:r>
      <w:r w:rsidR="008113A5" w:rsidRPr="00246717">
        <w:rPr>
          <w:rFonts w:eastAsia="Calibri"/>
          <w:vertAlign w:val="superscript"/>
          <w:lang w:val="pl-PL"/>
        </w:rPr>
        <w:footnoteReference w:id="53"/>
      </w:r>
      <w:r w:rsidR="008113A5" w:rsidRPr="00246717">
        <w:rPr>
          <w:rFonts w:eastAsia="Calibri"/>
          <w:lang w:val="pl-PL"/>
        </w:rPr>
        <w:t xml:space="preserve"> Jest tak z dwóch powodów: po pierwsze</w:t>
      </w:r>
      <w:r w:rsidR="006F5B29">
        <w:rPr>
          <w:rFonts w:eastAsia="Calibri"/>
          <w:lang w:val="pl-PL"/>
        </w:rPr>
        <w:t>,</w:t>
      </w:r>
      <w:r w:rsidR="008113A5" w:rsidRPr="00246717">
        <w:rPr>
          <w:rFonts w:eastAsia="Calibri"/>
          <w:lang w:val="pl-PL"/>
        </w:rPr>
        <w:t xml:space="preserve"> dlatego, że dowody </w:t>
      </w:r>
      <w:r w:rsidR="006F5B29">
        <w:rPr>
          <w:rFonts w:eastAsia="Calibri"/>
          <w:lang w:val="pl-PL"/>
        </w:rPr>
        <w:t xml:space="preserve">w sprawie stosowania </w:t>
      </w:r>
      <w:r w:rsidR="008113A5" w:rsidRPr="00246717">
        <w:rPr>
          <w:rFonts w:eastAsia="Calibri"/>
          <w:lang w:val="pl-PL"/>
        </w:rPr>
        <w:t>tortur lub złego traktowania mogą wpływać na pozycję obrony, ponieważ na gruncie art.</w:t>
      </w:r>
      <w:r w:rsidR="006F5B29">
        <w:rPr>
          <w:rFonts w:eastAsia="Calibri"/>
          <w:lang w:val="pl-PL"/>
        </w:rPr>
        <w:t> </w:t>
      </w:r>
      <w:r w:rsidR="008113A5" w:rsidRPr="00246717">
        <w:rPr>
          <w:rFonts w:eastAsia="Calibri"/>
          <w:lang w:val="pl-PL"/>
        </w:rPr>
        <w:t>6 ust.</w:t>
      </w:r>
      <w:r w:rsidR="006F5B29">
        <w:rPr>
          <w:rFonts w:eastAsia="Calibri"/>
          <w:lang w:val="pl-PL"/>
        </w:rPr>
        <w:t> </w:t>
      </w:r>
      <w:r w:rsidR="008113A5" w:rsidRPr="00246717">
        <w:rPr>
          <w:rFonts w:eastAsia="Calibri"/>
          <w:lang w:val="pl-PL"/>
        </w:rPr>
        <w:t>1 mo</w:t>
      </w:r>
      <w:r w:rsidR="000F0EC1">
        <w:rPr>
          <w:rFonts w:eastAsia="Calibri"/>
          <w:lang w:val="pl-PL"/>
        </w:rPr>
        <w:t xml:space="preserve">gą powstać wątpliwości w zakresie </w:t>
      </w:r>
      <w:r w:rsidR="008113A5" w:rsidRPr="00246717">
        <w:rPr>
          <w:rFonts w:eastAsia="Calibri"/>
          <w:lang w:val="pl-PL"/>
        </w:rPr>
        <w:t>dowodów uzyskanych z naruszeniem art.</w:t>
      </w:r>
      <w:r w:rsidR="006F5B29">
        <w:rPr>
          <w:rFonts w:eastAsia="Calibri"/>
          <w:lang w:val="pl-PL"/>
        </w:rPr>
        <w:t> </w:t>
      </w:r>
      <w:r w:rsidR="008113A5" w:rsidRPr="00246717">
        <w:rPr>
          <w:rFonts w:eastAsia="Calibri"/>
          <w:lang w:val="pl-PL"/>
        </w:rPr>
        <w:t xml:space="preserve">3 Konwencji, nawet jeśli dopuszczenie takich dowodów nie było rozstrzygające ani kluczowe </w:t>
      </w:r>
      <w:r w:rsidR="000F0EC1">
        <w:rPr>
          <w:rFonts w:eastAsia="Calibri"/>
          <w:lang w:val="pl-PL"/>
        </w:rPr>
        <w:t>przy wydawaniu</w:t>
      </w:r>
      <w:r w:rsidR="008113A5" w:rsidRPr="00246717">
        <w:rPr>
          <w:rFonts w:eastAsia="Calibri"/>
          <w:lang w:val="pl-PL"/>
        </w:rPr>
        <w:t xml:space="preserve"> wyroku skazującego;</w:t>
      </w:r>
      <w:r w:rsidR="008113A5" w:rsidRPr="00246717">
        <w:rPr>
          <w:rFonts w:eastAsia="Calibri"/>
          <w:vertAlign w:val="superscript"/>
          <w:lang w:val="pl-PL"/>
        </w:rPr>
        <w:footnoteReference w:id="54"/>
      </w:r>
      <w:r w:rsidR="008113A5" w:rsidRPr="00246717">
        <w:rPr>
          <w:rFonts w:eastAsia="Calibri"/>
          <w:lang w:val="pl-PL"/>
        </w:rPr>
        <w:t xml:space="preserve"> i po drugie dlatego, że mające zastosowanie kryterium oceny wniosku dotyczącego wezwania świadków obrony, a także świadków oskarżenia, powinno </w:t>
      </w:r>
      <w:r w:rsidR="000F0EC1">
        <w:rPr>
          <w:rFonts w:eastAsia="Calibri"/>
          <w:lang w:val="pl-PL"/>
        </w:rPr>
        <w:t>stanowić</w:t>
      </w:r>
      <w:r w:rsidR="000F0EC1" w:rsidRPr="00246717">
        <w:rPr>
          <w:rFonts w:eastAsia="Calibri"/>
          <w:lang w:val="pl-PL"/>
        </w:rPr>
        <w:t xml:space="preserve"> </w:t>
      </w:r>
      <w:r w:rsidR="008113A5" w:rsidRPr="00246717">
        <w:rPr>
          <w:rFonts w:eastAsia="Calibri"/>
          <w:lang w:val="pl-PL"/>
        </w:rPr>
        <w:t xml:space="preserve">kryterium </w:t>
      </w:r>
      <w:r w:rsidR="008113A5" w:rsidRPr="00246717">
        <w:rPr>
          <w:rFonts w:eastAsia="Calibri"/>
          <w:i/>
          <w:iCs/>
          <w:lang w:val="pl-PL"/>
        </w:rPr>
        <w:t xml:space="preserve">ex </w:t>
      </w:r>
      <w:proofErr w:type="spellStart"/>
      <w:r w:rsidR="008113A5" w:rsidRPr="00246717">
        <w:rPr>
          <w:rFonts w:eastAsia="Calibri"/>
          <w:i/>
          <w:iCs/>
          <w:lang w:val="pl-PL"/>
        </w:rPr>
        <w:t>ante</w:t>
      </w:r>
      <w:proofErr w:type="spellEnd"/>
      <w:r w:rsidR="008113A5" w:rsidRPr="00246717">
        <w:rPr>
          <w:rFonts w:eastAsia="Calibri"/>
          <w:i/>
          <w:iCs/>
          <w:lang w:val="pl-PL"/>
        </w:rPr>
        <w:t xml:space="preserve">, </w:t>
      </w:r>
      <w:r w:rsidR="008113A5" w:rsidRPr="00246717">
        <w:rPr>
          <w:rFonts w:eastAsia="Calibri"/>
          <w:lang w:val="pl-PL"/>
        </w:rPr>
        <w:t>niezależnym od ustaleń sądu krajowego.</w:t>
      </w:r>
    </w:p>
    <w:p w14:paraId="6A0CCE4C" w14:textId="7C525CEA" w:rsidR="008113A5" w:rsidRPr="00246717" w:rsidRDefault="00150576" w:rsidP="000957D3">
      <w:pPr>
        <w:pStyle w:val="OpiPara"/>
        <w:rPr>
          <w:rFonts w:ascii="Times New Roman" w:eastAsia="Calibri" w:hAnsi="Times New Roman" w:cs="Times New Roman"/>
          <w:snapToGrid w:val="0"/>
          <w:szCs w:val="24"/>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18</w:t>
      </w:r>
      <w:r w:rsidRPr="00246717">
        <w:rPr>
          <w:rFonts w:eastAsia="Calibri"/>
          <w:lang w:val="pl-PL"/>
        </w:rPr>
        <w:fldChar w:fldCharType="end"/>
      </w:r>
      <w:r w:rsidR="008113A5" w:rsidRPr="00246717">
        <w:rPr>
          <w:rFonts w:eastAsia="Calibri"/>
          <w:lang w:val="pl-PL"/>
        </w:rPr>
        <w:t xml:space="preserve">.  W istocie większość składu orzekającego stosuje pierwsze kryterium w bardzo liberalny sposób, ponieważ </w:t>
      </w:r>
      <w:r w:rsidR="000F0EC1" w:rsidRPr="00246717">
        <w:rPr>
          <w:rFonts w:eastAsia="Calibri"/>
          <w:lang w:val="pl-PL"/>
        </w:rPr>
        <w:t>krytykuj</w:t>
      </w:r>
      <w:r w:rsidR="000F0EC1">
        <w:rPr>
          <w:rFonts w:eastAsia="Calibri"/>
          <w:lang w:val="pl-PL"/>
        </w:rPr>
        <w:t>e</w:t>
      </w:r>
      <w:r w:rsidR="000F0EC1" w:rsidRPr="00246717">
        <w:rPr>
          <w:rFonts w:eastAsia="Calibri"/>
          <w:lang w:val="pl-PL"/>
        </w:rPr>
        <w:t xml:space="preserve"> </w:t>
      </w:r>
      <w:r w:rsidR="008113A5" w:rsidRPr="00246717">
        <w:rPr>
          <w:rFonts w:eastAsia="Calibri"/>
          <w:lang w:val="pl-PL"/>
        </w:rPr>
        <w:t>wniosek obrony dotyczący stawiennictwa świadków B. i K. na podstawie tego, że „nie zawierał żadnych konkretnych faktycznych lub prawnych argumentów i nie uzasadni</w:t>
      </w:r>
      <w:r w:rsidR="000F0EC1">
        <w:rPr>
          <w:rFonts w:eastAsia="Calibri"/>
          <w:lang w:val="pl-PL"/>
        </w:rPr>
        <w:t>ał</w:t>
      </w:r>
      <w:r w:rsidR="008113A5" w:rsidRPr="00246717">
        <w:rPr>
          <w:rFonts w:eastAsia="Calibri"/>
          <w:lang w:val="pl-PL"/>
        </w:rPr>
        <w:t xml:space="preserve"> bardziej konkretnie, w jaki sposób można </w:t>
      </w:r>
      <w:r w:rsidR="006F5B29">
        <w:rPr>
          <w:rFonts w:eastAsia="Calibri"/>
          <w:lang w:val="pl-PL"/>
        </w:rPr>
        <w:t>w sposób uzasadniony</w:t>
      </w:r>
      <w:r w:rsidR="008113A5" w:rsidRPr="00246717">
        <w:rPr>
          <w:rFonts w:eastAsia="Calibri"/>
          <w:lang w:val="pl-PL"/>
        </w:rPr>
        <w:t xml:space="preserve"> oczekiwać, że zeznanie tych świadków mogłoby wzmocnić pozycję obrony”.</w:t>
      </w:r>
      <w:r w:rsidR="008113A5" w:rsidRPr="00246717">
        <w:rPr>
          <w:rFonts w:eastAsia="Calibri"/>
          <w:vertAlign w:val="superscript"/>
          <w:lang w:val="pl-PL"/>
        </w:rPr>
        <w:footnoteReference w:id="55"/>
      </w:r>
      <w:r w:rsidR="006F5B29">
        <w:rPr>
          <w:rFonts w:eastAsia="Calibri"/>
          <w:lang w:val="pl-PL"/>
        </w:rPr>
        <w:t xml:space="preserve"> W dalszej części po</w:t>
      </w:r>
      <w:r w:rsidR="008113A5" w:rsidRPr="00246717">
        <w:rPr>
          <w:rFonts w:eastAsia="Calibri"/>
          <w:lang w:val="pl-PL"/>
        </w:rPr>
        <w:t>wrócę do tej kwestii.</w:t>
      </w:r>
    </w:p>
    <w:p w14:paraId="0853201D" w14:textId="0E5500AA" w:rsidR="008113A5" w:rsidRPr="00246717" w:rsidRDefault="008113A5" w:rsidP="000957D3">
      <w:pPr>
        <w:pStyle w:val="OpiHA"/>
        <w:rPr>
          <w:rFonts w:ascii="Times New Roman" w:eastAsia="Calibri" w:hAnsi="Times New Roman" w:cs="Times New Roman"/>
          <w:szCs w:val="24"/>
          <w:lang w:val="pl-PL"/>
        </w:rPr>
      </w:pPr>
      <w:r w:rsidRPr="00246717">
        <w:rPr>
          <w:rFonts w:eastAsia="Calibri"/>
          <w:lang w:val="pl-PL"/>
        </w:rPr>
        <w:lastRenderedPageBreak/>
        <w:t xml:space="preserve">Drugie kryterium w sprawie </w:t>
      </w:r>
      <w:proofErr w:type="spellStart"/>
      <w:r w:rsidRPr="00246717">
        <w:rPr>
          <w:rFonts w:eastAsia="Calibri"/>
          <w:i/>
          <w:iCs/>
          <w:lang w:val="pl-PL"/>
        </w:rPr>
        <w:t>Murtazaliyev</w:t>
      </w:r>
      <w:r w:rsidR="00113D58">
        <w:rPr>
          <w:rFonts w:eastAsia="Calibri"/>
          <w:i/>
          <w:iCs/>
          <w:lang w:val="pl-PL"/>
        </w:rPr>
        <w:t>ej</w:t>
      </w:r>
      <w:proofErr w:type="spellEnd"/>
    </w:p>
    <w:p w14:paraId="7803BE97" w14:textId="2E0042D9" w:rsidR="008113A5" w:rsidRPr="00246717" w:rsidRDefault="00150576" w:rsidP="000957D3">
      <w:pPr>
        <w:pStyle w:val="OpiPara"/>
        <w:rPr>
          <w:rFonts w:eastAsia="Calibri"/>
          <w:snapToGrid w:val="0"/>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19</w:t>
      </w:r>
      <w:r w:rsidRPr="00246717">
        <w:rPr>
          <w:rFonts w:eastAsia="Calibri"/>
          <w:lang w:val="pl-PL"/>
        </w:rPr>
        <w:fldChar w:fldCharType="end"/>
      </w:r>
      <w:r w:rsidR="008113A5" w:rsidRPr="00246717">
        <w:rPr>
          <w:rFonts w:eastAsia="Calibri"/>
          <w:lang w:val="pl-PL"/>
        </w:rPr>
        <w:t xml:space="preserve">.  Ustalenie, czy sądy krajowe uwzględniły znaczenie zeznania danej osoby i dostarczyły wystarczające powody do wydania orzeczenia bez przesłuchiwania świadka na </w:t>
      </w:r>
      <w:r w:rsidR="00113D58">
        <w:rPr>
          <w:rFonts w:eastAsia="Calibri"/>
          <w:lang w:val="pl-PL"/>
        </w:rPr>
        <w:t>rozprawie</w:t>
      </w:r>
      <w:r w:rsidR="008113A5" w:rsidRPr="00246717">
        <w:rPr>
          <w:rFonts w:eastAsia="Calibri"/>
          <w:lang w:val="pl-PL"/>
        </w:rPr>
        <w:t>, nie jest nowe.</w:t>
      </w:r>
      <w:r w:rsidR="008113A5" w:rsidRPr="00246717">
        <w:rPr>
          <w:rFonts w:eastAsia="Calibri"/>
          <w:vertAlign w:val="superscript"/>
          <w:lang w:val="pl-PL"/>
        </w:rPr>
        <w:footnoteReference w:id="56"/>
      </w:r>
      <w:r w:rsidR="008113A5" w:rsidRPr="00246717">
        <w:rPr>
          <w:rFonts w:eastAsia="Calibri"/>
          <w:lang w:val="pl-PL"/>
        </w:rPr>
        <w:t xml:space="preserve"> W</w:t>
      </w:r>
      <w:r w:rsidR="00113D58">
        <w:rPr>
          <w:rFonts w:eastAsia="Calibri"/>
          <w:lang w:val="pl-PL"/>
        </w:rPr>
        <w:t> </w:t>
      </w:r>
      <w:r w:rsidR="008113A5" w:rsidRPr="00246717">
        <w:rPr>
          <w:rFonts w:eastAsia="Calibri"/>
          <w:lang w:val="pl-PL"/>
        </w:rPr>
        <w:t xml:space="preserve">rzeczywistości było już częścią składową pierwotnego testu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8113A5" w:rsidRPr="00246717">
        <w:rPr>
          <w:rFonts w:eastAsia="Calibri"/>
          <w:lang w:val="pl-PL"/>
        </w:rPr>
        <w:t xml:space="preserve">ponieważ Trybunał w tej sprawie ocenił </w:t>
      </w:r>
      <w:r w:rsidR="00EA40E7">
        <w:rPr>
          <w:rFonts w:eastAsia="Calibri"/>
          <w:lang w:val="pl-PL"/>
        </w:rPr>
        <w:t>uzasadnienie</w:t>
      </w:r>
      <w:r w:rsidR="00EA40E7" w:rsidRPr="00246717">
        <w:rPr>
          <w:rFonts w:eastAsia="Calibri"/>
          <w:lang w:val="pl-PL"/>
        </w:rPr>
        <w:t xml:space="preserve"> </w:t>
      </w:r>
      <w:r w:rsidR="008113A5" w:rsidRPr="00246717">
        <w:rPr>
          <w:rFonts w:eastAsia="Calibri"/>
          <w:lang w:val="pl-PL"/>
        </w:rPr>
        <w:t>sądów krajowych i uznał, że „postanowienia, w których władze krajowe oddaliły wnioski skarżącego nie podlegają otwartej krytyce na gruncie art.</w:t>
      </w:r>
      <w:r w:rsidR="00113D58">
        <w:rPr>
          <w:rFonts w:eastAsia="Calibri"/>
          <w:lang w:val="pl-PL"/>
        </w:rPr>
        <w:t> </w:t>
      </w:r>
      <w:r w:rsidR="008113A5" w:rsidRPr="00246717">
        <w:rPr>
          <w:rFonts w:eastAsia="Calibri"/>
          <w:lang w:val="pl-PL"/>
        </w:rPr>
        <w:t>6”.</w:t>
      </w:r>
      <w:r w:rsidR="008113A5" w:rsidRPr="00246717">
        <w:rPr>
          <w:rFonts w:eastAsia="Calibri"/>
          <w:vertAlign w:val="superscript"/>
          <w:lang w:val="pl-PL"/>
        </w:rPr>
        <w:footnoteReference w:id="57"/>
      </w:r>
      <w:r w:rsidR="008113A5" w:rsidRPr="00246717">
        <w:rPr>
          <w:rFonts w:eastAsia="Calibri"/>
          <w:lang w:val="pl-PL"/>
        </w:rPr>
        <w:t xml:space="preserve"> W sprawie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8113A5" w:rsidRPr="00246717">
        <w:rPr>
          <w:rFonts w:eastAsia="Calibri"/>
          <w:lang w:val="pl-PL"/>
        </w:rPr>
        <w:t xml:space="preserve">powodem odrzucenia zeznań świadka było ustalenie przez sąd </w:t>
      </w:r>
      <w:r w:rsidR="00EA40E7">
        <w:rPr>
          <w:rFonts w:eastAsia="Calibri"/>
          <w:lang w:val="pl-PL"/>
        </w:rPr>
        <w:t>orzekający</w:t>
      </w:r>
      <w:r w:rsidR="008113A5" w:rsidRPr="00246717">
        <w:rPr>
          <w:rFonts w:eastAsia="Calibri"/>
          <w:lang w:val="pl-PL"/>
        </w:rPr>
        <w:t>, że chociaż dowiedziono ich prawdy, fakty nie miały znaczenia z perspektywy prawnej.</w:t>
      </w:r>
    </w:p>
    <w:p w14:paraId="42B3A0B0" w14:textId="3F61BFC0"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20</w:t>
      </w:r>
      <w:r w:rsidRPr="00246717">
        <w:rPr>
          <w:rFonts w:eastAsia="Calibri"/>
          <w:lang w:val="pl-PL"/>
        </w:rPr>
        <w:fldChar w:fldCharType="end"/>
      </w:r>
      <w:r w:rsidR="008113A5" w:rsidRPr="00246717">
        <w:rPr>
          <w:rFonts w:eastAsia="Calibri"/>
          <w:lang w:val="pl-PL"/>
        </w:rPr>
        <w:t>.  W niniejszym wyroku większość składu orzekającego dodaje, że uzasadnienie sądów musi być „proporcjonalne”, czyli adekwatne pod względem zakresu i stopnia szczegółowości, do powodów przedstawionych przez obronę.</w:t>
      </w:r>
      <w:r w:rsidR="008113A5" w:rsidRPr="00246717">
        <w:rPr>
          <w:rFonts w:eastAsia="Calibri"/>
          <w:vertAlign w:val="superscript"/>
          <w:lang w:val="pl-PL"/>
        </w:rPr>
        <w:footnoteReference w:id="58"/>
      </w:r>
      <w:r w:rsidR="008113A5" w:rsidRPr="00246717">
        <w:rPr>
          <w:rFonts w:eastAsia="Calibri"/>
          <w:lang w:val="pl-PL"/>
        </w:rPr>
        <w:t xml:space="preserve"> Ten pozornie prosty pomysł nie wystarcza w postępowaniu karnym podlegającym zasadzie legalizmu i w państwie</w:t>
      </w:r>
      <w:r w:rsidR="00EA40E7">
        <w:rPr>
          <w:rFonts w:eastAsia="Calibri"/>
          <w:lang w:val="pl-PL"/>
        </w:rPr>
        <w:t xml:space="preserve"> opartym na praworządności</w:t>
      </w:r>
      <w:r w:rsidR="008113A5" w:rsidRPr="00246717">
        <w:rPr>
          <w:rFonts w:eastAsia="Calibri"/>
          <w:lang w:val="pl-PL"/>
        </w:rPr>
        <w:t>.</w:t>
      </w:r>
    </w:p>
    <w:p w14:paraId="00286745" w14:textId="2405F029"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21</w:t>
      </w:r>
      <w:r w:rsidRPr="00246717">
        <w:rPr>
          <w:rFonts w:eastAsia="Calibri"/>
          <w:lang w:val="pl-PL"/>
        </w:rPr>
        <w:fldChar w:fldCharType="end"/>
      </w:r>
      <w:r w:rsidR="008113A5" w:rsidRPr="00246717">
        <w:rPr>
          <w:rFonts w:eastAsia="Calibri"/>
          <w:lang w:val="pl-PL"/>
        </w:rPr>
        <w:t xml:space="preserve">.  Co do zasady sąd </w:t>
      </w:r>
      <w:r w:rsidR="00EA40E7">
        <w:rPr>
          <w:rFonts w:eastAsia="Calibri"/>
          <w:lang w:val="pl-PL"/>
        </w:rPr>
        <w:t>orzekający</w:t>
      </w:r>
      <w:r w:rsidR="008113A5" w:rsidRPr="00246717">
        <w:rPr>
          <w:rFonts w:eastAsia="Calibri"/>
          <w:lang w:val="pl-PL"/>
        </w:rPr>
        <w:t xml:space="preserve"> nie może odmówić przesłuchania świadka bez ważnego lub wystarczającego powodu,</w:t>
      </w:r>
      <w:r w:rsidR="008113A5" w:rsidRPr="00246717">
        <w:rPr>
          <w:rFonts w:eastAsia="Calibri"/>
          <w:vertAlign w:val="superscript"/>
          <w:lang w:val="pl-PL"/>
        </w:rPr>
        <w:footnoteReference w:id="59"/>
      </w:r>
      <w:r w:rsidR="008113A5" w:rsidRPr="00246717">
        <w:rPr>
          <w:rFonts w:eastAsia="Calibri"/>
          <w:lang w:val="pl-PL"/>
        </w:rPr>
        <w:t xml:space="preserve"> który stanowi też kryterium minimalne oddalenia wezwania lub przesłuchania krzyżowego świadków oskarżenia, jak przewidziano w </w:t>
      </w:r>
      <w:r w:rsidR="008113A5" w:rsidRPr="00246717">
        <w:rPr>
          <w:rFonts w:eastAsia="Calibri"/>
          <w:i/>
          <w:iCs/>
          <w:lang w:val="pl-PL"/>
        </w:rPr>
        <w:t>Al-</w:t>
      </w:r>
      <w:proofErr w:type="spellStart"/>
      <w:r w:rsidR="008113A5" w:rsidRPr="00246717">
        <w:rPr>
          <w:rFonts w:eastAsia="Calibri"/>
          <w:i/>
          <w:iCs/>
          <w:lang w:val="pl-PL"/>
        </w:rPr>
        <w:t>Khawaja</w:t>
      </w:r>
      <w:proofErr w:type="spellEnd"/>
      <w:r w:rsidR="008113A5" w:rsidRPr="00246717">
        <w:rPr>
          <w:rFonts w:eastAsia="Calibri"/>
          <w:i/>
          <w:iCs/>
          <w:lang w:val="pl-PL"/>
        </w:rPr>
        <w:t xml:space="preserve"> i </w:t>
      </w:r>
      <w:proofErr w:type="spellStart"/>
      <w:r w:rsidR="008113A5" w:rsidRPr="00246717">
        <w:rPr>
          <w:rFonts w:eastAsia="Calibri"/>
          <w:i/>
          <w:iCs/>
          <w:lang w:val="pl-PL"/>
        </w:rPr>
        <w:t>Tahery</w:t>
      </w:r>
      <w:proofErr w:type="spellEnd"/>
      <w:r w:rsidR="008E6B06">
        <w:rPr>
          <w:rFonts w:eastAsia="Calibri"/>
          <w:i/>
          <w:iCs/>
          <w:lang w:val="pl-PL"/>
        </w:rPr>
        <w:t xml:space="preserve"> </w:t>
      </w:r>
      <w:r w:rsidR="008113A5" w:rsidRPr="00246717">
        <w:rPr>
          <w:rFonts w:eastAsia="Calibri"/>
          <w:lang w:val="pl-PL"/>
        </w:rPr>
        <w:t>oraz</w:t>
      </w:r>
      <w:r w:rsidR="008E6B06">
        <w:rPr>
          <w:rFonts w:eastAsia="Calibri"/>
          <w:lang w:val="pl-PL"/>
        </w:rPr>
        <w:t xml:space="preserve"> </w:t>
      </w:r>
      <w:proofErr w:type="spellStart"/>
      <w:r w:rsidR="008113A5" w:rsidRPr="00246717">
        <w:rPr>
          <w:rFonts w:eastAsia="Calibri"/>
          <w:i/>
          <w:iCs/>
          <w:lang w:val="pl-PL"/>
        </w:rPr>
        <w:t>Schatschaschwili</w:t>
      </w:r>
      <w:proofErr w:type="spellEnd"/>
      <w:r w:rsidR="008113A5" w:rsidRPr="00246717">
        <w:rPr>
          <w:rFonts w:eastAsia="Calibri"/>
          <w:lang w:val="pl-PL"/>
        </w:rPr>
        <w:t>.</w:t>
      </w:r>
      <w:r w:rsidR="008113A5" w:rsidRPr="00246717">
        <w:rPr>
          <w:rFonts w:eastAsia="Calibri"/>
          <w:vertAlign w:val="superscript"/>
          <w:lang w:val="pl-PL"/>
        </w:rPr>
        <w:footnoteReference w:id="60"/>
      </w:r>
      <w:r w:rsidR="008113A5" w:rsidRPr="00246717">
        <w:rPr>
          <w:rFonts w:eastAsia="Calibri"/>
          <w:lang w:val="pl-PL"/>
        </w:rPr>
        <w:t xml:space="preserve"> Świadkowie obrony nie mogą być traktowani inaczej niż świadkowie oskarżenia, co przewidziano w nadrzędnej zasadzie równości stron.</w:t>
      </w:r>
      <w:r w:rsidR="008113A5" w:rsidRPr="00246717">
        <w:rPr>
          <w:rFonts w:eastAsia="Calibri"/>
          <w:vertAlign w:val="superscript"/>
          <w:lang w:val="pl-PL"/>
        </w:rPr>
        <w:footnoteReference w:id="61"/>
      </w:r>
      <w:r w:rsidR="008113A5" w:rsidRPr="00246717">
        <w:rPr>
          <w:rFonts w:eastAsia="Calibri"/>
          <w:lang w:val="pl-PL"/>
        </w:rPr>
        <w:t xml:space="preserve"> Musi istnieć ważny lub wystarczający powód dla niestawiennictwa świadka obrony.</w:t>
      </w:r>
      <w:r w:rsidR="008113A5" w:rsidRPr="00246717">
        <w:rPr>
          <w:rFonts w:eastAsia="Calibri"/>
          <w:vertAlign w:val="superscript"/>
          <w:lang w:val="pl-PL"/>
        </w:rPr>
        <w:footnoteReference w:id="62"/>
      </w:r>
    </w:p>
    <w:p w14:paraId="290E61B0" w14:textId="5C18385A" w:rsidR="00664804" w:rsidRPr="00246717" w:rsidRDefault="00150576" w:rsidP="000957D3">
      <w:pPr>
        <w:pStyle w:val="OpiPara"/>
        <w:rPr>
          <w:rFonts w:eastAsia="Calibri"/>
          <w:lang w:val="pl-PL"/>
        </w:rPr>
      </w:pPr>
      <w:r w:rsidRPr="00246717">
        <w:rPr>
          <w:rFonts w:eastAsia="Calibri"/>
          <w:lang w:val="pl-PL"/>
        </w:rPr>
        <w:lastRenderedPageBreak/>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22</w:t>
      </w:r>
      <w:r w:rsidRPr="00246717">
        <w:rPr>
          <w:rFonts w:eastAsia="Calibri"/>
          <w:lang w:val="pl-PL"/>
        </w:rPr>
        <w:fldChar w:fldCharType="end"/>
      </w:r>
      <w:r w:rsidR="008113A5" w:rsidRPr="00246717">
        <w:rPr>
          <w:rFonts w:eastAsia="Calibri"/>
          <w:lang w:val="pl-PL"/>
        </w:rPr>
        <w:t>.  Wobec tego oddalenie wniosku bez podania powodów albo „milczenie” sądów krajowych w odniesieniu do wystarczająco uzasadnionego i istotnego wniosku o wezwanie świadka obrony automatycznie prowadzi do stwierdzenia naruszenia art.</w:t>
      </w:r>
      <w:r w:rsidR="00E7062F">
        <w:rPr>
          <w:rFonts w:eastAsia="Calibri"/>
          <w:lang w:val="pl-PL"/>
        </w:rPr>
        <w:t> </w:t>
      </w:r>
      <w:r w:rsidR="008113A5" w:rsidRPr="00246717">
        <w:rPr>
          <w:rFonts w:eastAsia="Calibri"/>
          <w:lang w:val="pl-PL"/>
        </w:rPr>
        <w:t>6.</w:t>
      </w:r>
      <w:r w:rsidR="008113A5" w:rsidRPr="00246717">
        <w:rPr>
          <w:rFonts w:eastAsia="Calibri"/>
          <w:vertAlign w:val="superscript"/>
          <w:lang w:val="pl-PL"/>
        </w:rPr>
        <w:footnoteReference w:id="63"/>
      </w:r>
      <w:r w:rsidR="008113A5" w:rsidRPr="00246717">
        <w:rPr>
          <w:rFonts w:eastAsia="Calibri"/>
          <w:lang w:val="pl-PL"/>
        </w:rPr>
        <w:t xml:space="preserve"> Powody powinny odnosić się do konkretnych okoliczności sytuacji każdego świadka.</w:t>
      </w:r>
      <w:r w:rsidR="008113A5" w:rsidRPr="00246717">
        <w:rPr>
          <w:rFonts w:eastAsia="Calibri"/>
          <w:vertAlign w:val="superscript"/>
          <w:lang w:val="pl-PL"/>
        </w:rPr>
        <w:footnoteReference w:id="64"/>
      </w:r>
      <w:r w:rsidR="008113A5" w:rsidRPr="00246717">
        <w:rPr>
          <w:rFonts w:eastAsia="Calibri"/>
          <w:lang w:val="pl-PL"/>
        </w:rPr>
        <w:t xml:space="preserve"> Fakt, że świadek obrony nie jest w stanie dowieść niewinności skarżącego nie je</w:t>
      </w:r>
      <w:r w:rsidR="008E6B06">
        <w:rPr>
          <w:rFonts w:eastAsia="Calibri"/>
          <w:lang w:val="pl-PL"/>
        </w:rPr>
        <w:t>s</w:t>
      </w:r>
      <w:r w:rsidR="008113A5" w:rsidRPr="00246717">
        <w:rPr>
          <w:rFonts w:eastAsia="Calibri"/>
          <w:lang w:val="pl-PL"/>
        </w:rPr>
        <w:t xml:space="preserve">t </w:t>
      </w:r>
      <w:r w:rsidR="008E6B06">
        <w:rPr>
          <w:rFonts w:eastAsia="Calibri"/>
          <w:lang w:val="pl-PL"/>
        </w:rPr>
        <w:t>ważnym powodem odmowy</w:t>
      </w:r>
      <w:r w:rsidR="008113A5" w:rsidRPr="00246717">
        <w:rPr>
          <w:rFonts w:eastAsia="Calibri"/>
          <w:lang w:val="pl-PL"/>
        </w:rPr>
        <w:t xml:space="preserve"> jego przesłuchania</w:t>
      </w:r>
      <w:r w:rsidR="008113A5" w:rsidRPr="00246717">
        <w:rPr>
          <w:rFonts w:eastAsia="Calibri"/>
          <w:vertAlign w:val="superscript"/>
          <w:lang w:val="pl-PL"/>
        </w:rPr>
        <w:footnoteReference w:id="65"/>
      </w:r>
      <w:r w:rsidR="008113A5" w:rsidRPr="00246717">
        <w:rPr>
          <w:rFonts w:eastAsia="Calibri"/>
          <w:lang w:val="pl-PL"/>
        </w:rPr>
        <w:t xml:space="preserve">, </w:t>
      </w:r>
      <w:r w:rsidR="00EA40E7">
        <w:rPr>
          <w:rFonts w:eastAsia="Calibri"/>
          <w:lang w:val="pl-PL"/>
        </w:rPr>
        <w:t xml:space="preserve">wyłącznie </w:t>
      </w:r>
      <w:r w:rsidR="008113A5" w:rsidRPr="00246717">
        <w:rPr>
          <w:rFonts w:eastAsia="Calibri"/>
          <w:lang w:val="pl-PL"/>
        </w:rPr>
        <w:t xml:space="preserve">z tego </w:t>
      </w:r>
      <w:r w:rsidR="00EA40E7" w:rsidRPr="00246717">
        <w:rPr>
          <w:rFonts w:eastAsia="Calibri"/>
          <w:lang w:val="pl-PL"/>
        </w:rPr>
        <w:t xml:space="preserve"> </w:t>
      </w:r>
      <w:r w:rsidR="008113A5" w:rsidRPr="00246717">
        <w:rPr>
          <w:rFonts w:eastAsia="Calibri"/>
          <w:lang w:val="pl-PL"/>
        </w:rPr>
        <w:t xml:space="preserve">powodu, że oskarżony nie musi dowodzić własnej niewinności. Wystarczy, że oskarżony stwierdzi, że świadek może </w:t>
      </w:r>
      <w:r w:rsidR="00D35C8E">
        <w:rPr>
          <w:rFonts w:eastAsia="Calibri"/>
          <w:lang w:val="pl-PL"/>
        </w:rPr>
        <w:t>wzbudzić</w:t>
      </w:r>
      <w:r w:rsidR="00D35C8E" w:rsidRPr="00246717">
        <w:rPr>
          <w:rFonts w:eastAsia="Calibri"/>
          <w:lang w:val="pl-PL"/>
        </w:rPr>
        <w:t xml:space="preserve"> </w:t>
      </w:r>
      <w:r w:rsidR="008113A5" w:rsidRPr="00246717">
        <w:rPr>
          <w:rFonts w:eastAsia="Calibri"/>
          <w:lang w:val="pl-PL"/>
        </w:rPr>
        <w:t>wątpliwoś</w:t>
      </w:r>
      <w:r w:rsidR="00D35C8E">
        <w:rPr>
          <w:rFonts w:eastAsia="Calibri"/>
          <w:lang w:val="pl-PL"/>
        </w:rPr>
        <w:t>ci</w:t>
      </w:r>
      <w:r w:rsidR="008113A5" w:rsidRPr="00246717">
        <w:rPr>
          <w:rFonts w:eastAsia="Calibri"/>
          <w:lang w:val="pl-PL"/>
        </w:rPr>
        <w:t xml:space="preserve"> co do okoliczności faktycznych oskarżenia.</w:t>
      </w:r>
      <w:r w:rsidR="008113A5" w:rsidRPr="00246717">
        <w:rPr>
          <w:rFonts w:eastAsia="Calibri"/>
          <w:vertAlign w:val="superscript"/>
          <w:lang w:val="pl-PL"/>
        </w:rPr>
        <w:footnoteReference w:id="66"/>
      </w:r>
      <w:r w:rsidR="008113A5" w:rsidRPr="00246717">
        <w:rPr>
          <w:rFonts w:eastAsia="Calibri"/>
          <w:lang w:val="pl-PL"/>
        </w:rPr>
        <w:t xml:space="preserve"> Wnosząc o stawiennictwo świadka obrony, obrona może mieć inne interesy niż uniewinnienie, na przykład uzyskanie wyroku skazującego z tytułu lżejszego przestępstwa niż to, z tytułu którego początkowo postawiono oskarżone</w:t>
      </w:r>
      <w:r w:rsidR="00E7062F">
        <w:rPr>
          <w:rFonts w:eastAsia="Calibri"/>
          <w:lang w:val="pl-PL"/>
        </w:rPr>
        <w:t>j</w:t>
      </w:r>
      <w:r w:rsidR="008113A5" w:rsidRPr="00246717">
        <w:rPr>
          <w:rFonts w:eastAsia="Calibri"/>
          <w:lang w:val="pl-PL"/>
        </w:rPr>
        <w:t xml:space="preserve"> zarzuty, ustalenie okoliczności łagodzących, </w:t>
      </w:r>
      <w:r w:rsidR="00C562B5">
        <w:rPr>
          <w:rFonts w:eastAsia="Calibri"/>
          <w:lang w:val="pl-PL"/>
        </w:rPr>
        <w:t xml:space="preserve">podważanie </w:t>
      </w:r>
      <w:r w:rsidR="008113A5" w:rsidRPr="00246717">
        <w:rPr>
          <w:rFonts w:eastAsia="Calibri"/>
          <w:lang w:val="pl-PL"/>
        </w:rPr>
        <w:t>wiarygodności sprawy oskarżenia, itd.</w:t>
      </w:r>
    </w:p>
    <w:p w14:paraId="27C66971" w14:textId="3D6FDB46"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23</w:t>
      </w:r>
      <w:r w:rsidRPr="00246717">
        <w:rPr>
          <w:rFonts w:eastAsia="Calibri"/>
          <w:lang w:val="pl-PL"/>
        </w:rPr>
        <w:fldChar w:fldCharType="end"/>
      </w:r>
      <w:r w:rsidR="008113A5" w:rsidRPr="00246717">
        <w:rPr>
          <w:rFonts w:eastAsia="Calibri"/>
          <w:lang w:val="pl-PL"/>
        </w:rPr>
        <w:t xml:space="preserve">.  Co ważniejsze, sąd </w:t>
      </w:r>
      <w:r w:rsidR="0079158C">
        <w:rPr>
          <w:rFonts w:eastAsia="Calibri"/>
          <w:lang w:val="pl-PL"/>
        </w:rPr>
        <w:t>orzekający</w:t>
      </w:r>
      <w:r w:rsidR="008113A5" w:rsidRPr="00246717">
        <w:rPr>
          <w:rFonts w:eastAsia="Calibri"/>
          <w:lang w:val="pl-PL"/>
        </w:rPr>
        <w:t xml:space="preserve"> nie tylko musi podać jedynie ważne lub wystarczające powody swojej decyzji odmowy przesłuchania świadka obrony, ale też nie wolno mu </w:t>
      </w:r>
      <w:r w:rsidR="0079158C">
        <w:rPr>
          <w:rFonts w:eastAsia="Calibri"/>
          <w:lang w:val="pl-PL"/>
        </w:rPr>
        <w:t>przewidywać</w:t>
      </w:r>
      <w:r w:rsidR="0079158C" w:rsidRPr="00246717">
        <w:rPr>
          <w:rFonts w:eastAsia="Calibri"/>
          <w:lang w:val="pl-PL"/>
        </w:rPr>
        <w:t xml:space="preserve"> </w:t>
      </w:r>
      <w:r w:rsidR="008113A5" w:rsidRPr="00246717">
        <w:rPr>
          <w:rFonts w:eastAsia="Calibri"/>
          <w:lang w:val="pl-PL"/>
        </w:rPr>
        <w:t>wyniku oceny przedmiotowych dowodów (</w:t>
      </w:r>
      <w:proofErr w:type="spellStart"/>
      <w:r w:rsidR="008113A5" w:rsidRPr="00246717">
        <w:rPr>
          <w:rFonts w:eastAsia="Calibri"/>
          <w:i/>
          <w:iCs/>
          <w:lang w:val="pl-PL"/>
        </w:rPr>
        <w:t>Verbot</w:t>
      </w:r>
      <w:proofErr w:type="spellEnd"/>
      <w:r w:rsidR="008113A5" w:rsidRPr="00246717">
        <w:rPr>
          <w:rFonts w:eastAsia="Calibri"/>
          <w:i/>
          <w:iCs/>
          <w:lang w:val="pl-PL"/>
        </w:rPr>
        <w:t xml:space="preserve"> der </w:t>
      </w:r>
      <w:proofErr w:type="spellStart"/>
      <w:r w:rsidR="008113A5" w:rsidRPr="00246717">
        <w:rPr>
          <w:rFonts w:eastAsia="Calibri"/>
          <w:i/>
          <w:iCs/>
          <w:lang w:val="pl-PL"/>
        </w:rPr>
        <w:t>Beweisantizipation</w:t>
      </w:r>
      <w:proofErr w:type="spellEnd"/>
      <w:r w:rsidR="008113A5" w:rsidRPr="00246717">
        <w:rPr>
          <w:rFonts w:eastAsia="Calibri"/>
          <w:lang w:val="pl-PL"/>
        </w:rPr>
        <w:t xml:space="preserve">) – </w:t>
      </w:r>
      <w:r w:rsidR="0079158C">
        <w:rPr>
          <w:rFonts w:eastAsia="Calibri"/>
          <w:lang w:val="pl-PL"/>
        </w:rPr>
        <w:t>chyba że</w:t>
      </w:r>
      <w:r w:rsidR="008113A5" w:rsidRPr="00246717">
        <w:rPr>
          <w:rFonts w:eastAsia="Calibri"/>
          <w:lang w:val="pl-PL"/>
        </w:rPr>
        <w:t xml:space="preserve"> na korzyść oskarżonego. Podejmując decyzję dotyczącą tego, czy uzyskać dowody, o które wnosi obrona, sąd </w:t>
      </w:r>
      <w:r w:rsidR="0079158C">
        <w:rPr>
          <w:rFonts w:eastAsia="Calibri"/>
          <w:lang w:val="pl-PL"/>
        </w:rPr>
        <w:t>powinien przyjąć</w:t>
      </w:r>
      <w:r w:rsidR="008113A5" w:rsidRPr="00246717">
        <w:rPr>
          <w:rFonts w:eastAsia="Calibri"/>
          <w:lang w:val="pl-PL"/>
        </w:rPr>
        <w:t xml:space="preserve">, że ocena tych dowodów obróci się na korzyść oskarżonego. Z tej perspektywy sąd może </w:t>
      </w:r>
      <w:r w:rsidR="0079158C">
        <w:rPr>
          <w:rFonts w:eastAsia="Calibri"/>
          <w:lang w:val="pl-PL"/>
        </w:rPr>
        <w:t>postanowić</w:t>
      </w:r>
      <w:r w:rsidR="0079158C" w:rsidRPr="00246717">
        <w:rPr>
          <w:rFonts w:eastAsia="Calibri"/>
          <w:lang w:val="pl-PL"/>
        </w:rPr>
        <w:t xml:space="preserve"> </w:t>
      </w:r>
      <w:r w:rsidR="008113A5" w:rsidRPr="00246717">
        <w:rPr>
          <w:rFonts w:eastAsia="Calibri"/>
          <w:lang w:val="pl-PL"/>
        </w:rPr>
        <w:t xml:space="preserve">o niewzywaniu świadka obrony, jeśli a) przyjmie, że fakt, który zostałby dowiedziony dzięki takiemu przesłuchaniu już został dowiedziony z korzyścią dla oskarżonego lub </w:t>
      </w:r>
      <w:r w:rsidR="00F07555">
        <w:rPr>
          <w:rFonts w:eastAsia="Calibri"/>
          <w:lang w:val="pl-PL"/>
        </w:rPr>
        <w:t>b</w:t>
      </w:r>
      <w:r w:rsidR="008113A5" w:rsidRPr="00246717">
        <w:rPr>
          <w:rFonts w:eastAsia="Calibri"/>
          <w:lang w:val="pl-PL"/>
        </w:rPr>
        <w:t xml:space="preserve">) może wykazać, że fakt, który zostałby dowiedziony dzięki takiemu przesłuchaniu </w:t>
      </w:r>
      <w:r w:rsidR="0079158C">
        <w:rPr>
          <w:rFonts w:eastAsia="Calibri"/>
          <w:lang w:val="pl-PL"/>
        </w:rPr>
        <w:t>ma znikome znaczenie</w:t>
      </w:r>
      <w:r w:rsidR="008113A5" w:rsidRPr="00246717">
        <w:rPr>
          <w:rFonts w:eastAsia="Calibri"/>
          <w:vertAlign w:val="superscript"/>
          <w:lang w:val="pl-PL"/>
        </w:rPr>
        <w:footnoteReference w:id="67"/>
      </w:r>
      <w:r w:rsidR="008113A5" w:rsidRPr="00246717">
        <w:rPr>
          <w:rFonts w:eastAsia="Calibri"/>
          <w:lang w:val="pl-PL"/>
        </w:rPr>
        <w:t xml:space="preserve"> dla rozstrzygnięcia sprawy.</w:t>
      </w:r>
    </w:p>
    <w:p w14:paraId="01C7E760" w14:textId="3C17CEF9" w:rsidR="008113A5" w:rsidRPr="00246717" w:rsidRDefault="00150576" w:rsidP="000957D3">
      <w:pPr>
        <w:pStyle w:val="OpiPara"/>
        <w:rPr>
          <w:rFonts w:eastAsia="Calibri"/>
          <w:snapToGrid w:val="0"/>
          <w:lang w:val="pl-PL"/>
        </w:rPr>
      </w:pPr>
      <w:r w:rsidRPr="00246717">
        <w:rPr>
          <w:lang w:val="pl-PL"/>
        </w:rPr>
        <w:lastRenderedPageBreak/>
        <w:fldChar w:fldCharType="begin"/>
      </w:r>
      <w:r w:rsidR="008113A5" w:rsidRPr="00246717">
        <w:rPr>
          <w:lang w:val="pl-PL"/>
        </w:rPr>
        <w:instrText xml:space="preserve"> SEQ level0 \*arabic </w:instrText>
      </w:r>
      <w:r w:rsidRPr="00246717">
        <w:rPr>
          <w:lang w:val="pl-PL"/>
        </w:rPr>
        <w:fldChar w:fldCharType="separate"/>
      </w:r>
      <w:r w:rsidR="008113A5" w:rsidRPr="00246717">
        <w:rPr>
          <w:lang w:val="pl-PL"/>
        </w:rPr>
        <w:t>24</w:t>
      </w:r>
      <w:r w:rsidRPr="00246717">
        <w:rPr>
          <w:lang w:val="pl-PL"/>
        </w:rPr>
        <w:fldChar w:fldCharType="end"/>
      </w:r>
      <w:r w:rsidR="008113A5" w:rsidRPr="00246717">
        <w:rPr>
          <w:lang w:val="pl-PL"/>
        </w:rPr>
        <w:t xml:space="preserve">.  W tym drugim przypadku sąd </w:t>
      </w:r>
      <w:r w:rsidR="0079158C">
        <w:rPr>
          <w:lang w:val="pl-PL"/>
        </w:rPr>
        <w:t xml:space="preserve">orzekający </w:t>
      </w:r>
      <w:r w:rsidR="008113A5" w:rsidRPr="00246717">
        <w:rPr>
          <w:lang w:val="pl-PL"/>
        </w:rPr>
        <w:t xml:space="preserve">jest ograniczony </w:t>
      </w:r>
      <w:r w:rsidR="0079158C">
        <w:rPr>
          <w:lang w:val="pl-PL"/>
        </w:rPr>
        <w:t>dwojako</w:t>
      </w:r>
      <w:r w:rsidR="008113A5" w:rsidRPr="00246717">
        <w:rPr>
          <w:lang w:val="pl-PL"/>
        </w:rPr>
        <w:t xml:space="preserve">. </w:t>
      </w:r>
      <w:r w:rsidR="00F07555">
        <w:rPr>
          <w:lang w:val="pl-PL"/>
        </w:rPr>
        <w:t>Nie</w:t>
      </w:r>
      <w:r w:rsidR="008113A5" w:rsidRPr="00246717">
        <w:rPr>
          <w:lang w:val="pl-PL"/>
        </w:rPr>
        <w:t xml:space="preserve"> może </w:t>
      </w:r>
      <w:r w:rsidR="00F07555">
        <w:rPr>
          <w:lang w:val="pl-PL"/>
        </w:rPr>
        <w:t xml:space="preserve">bowiem </w:t>
      </w:r>
      <w:r w:rsidR="008113A5" w:rsidRPr="00246717">
        <w:rPr>
          <w:lang w:val="pl-PL"/>
        </w:rPr>
        <w:t>powoływać się na inne dowody na poparcie argumentu, że stawiennictwo świadka obrony nie jest znaczące dla rozstrzygnięcia w</w:t>
      </w:r>
      <w:r w:rsidR="00F07555">
        <w:rPr>
          <w:lang w:val="pl-PL"/>
        </w:rPr>
        <w:t> </w:t>
      </w:r>
      <w:r w:rsidR="008113A5" w:rsidRPr="00246717">
        <w:rPr>
          <w:lang w:val="pl-PL"/>
        </w:rPr>
        <w:t xml:space="preserve">sprawie. </w:t>
      </w:r>
      <w:r w:rsidR="008113A5" w:rsidRPr="00246717">
        <w:rPr>
          <w:snapToGrid w:val="0"/>
          <w:lang w:val="pl-PL"/>
        </w:rPr>
        <w:t xml:space="preserve">Powołanie się przez sąd </w:t>
      </w:r>
      <w:r w:rsidR="0079158C">
        <w:rPr>
          <w:snapToGrid w:val="0"/>
          <w:lang w:val="pl-PL"/>
        </w:rPr>
        <w:t>orzekające</w:t>
      </w:r>
      <w:r w:rsidR="008113A5" w:rsidRPr="00246717">
        <w:rPr>
          <w:snapToGrid w:val="0"/>
          <w:lang w:val="pl-PL"/>
        </w:rPr>
        <w:t xml:space="preserve"> na inne dowody, tak że świadek nie mógł </w:t>
      </w:r>
      <w:r w:rsidR="0079158C">
        <w:rPr>
          <w:snapToGrid w:val="0"/>
          <w:lang w:val="pl-PL"/>
        </w:rPr>
        <w:t>przedstawić</w:t>
      </w:r>
      <w:r w:rsidR="0079158C" w:rsidRPr="00246717">
        <w:rPr>
          <w:snapToGrid w:val="0"/>
          <w:lang w:val="pl-PL"/>
        </w:rPr>
        <w:t xml:space="preserve"> </w:t>
      </w:r>
      <w:r w:rsidR="008113A5" w:rsidRPr="00246717">
        <w:rPr>
          <w:snapToGrid w:val="0"/>
          <w:lang w:val="pl-PL"/>
        </w:rPr>
        <w:t>nowych, ważnych lub znaczących informacji, nigdy nie jest ważnym powodem niewzywania świadka.</w:t>
      </w:r>
      <w:r w:rsidR="008113A5" w:rsidRPr="00246717">
        <w:rPr>
          <w:snapToGrid w:val="0"/>
          <w:vertAlign w:val="superscript"/>
          <w:lang w:val="pl-PL"/>
        </w:rPr>
        <w:footnoteReference w:id="68"/>
      </w:r>
      <w:r w:rsidR="008113A5" w:rsidRPr="00246717">
        <w:rPr>
          <w:snapToGrid w:val="0"/>
          <w:lang w:val="pl-PL"/>
        </w:rPr>
        <w:t xml:space="preserve"> Byłoby to poważne naruszenie zakazu antycypacji oceny dowodu. Ponadto</w:t>
      </w:r>
      <w:r w:rsidR="008113A5" w:rsidRPr="00246717">
        <w:rPr>
          <w:lang w:val="pl-PL"/>
        </w:rPr>
        <w:t xml:space="preserve"> po odmowie stawiennictwa świadka obrony na tej podstawie, że fakt, którego dowiedziono by w drodze jego zeznania jest nieznaczący dla rozstrzygnięcia w sprawie, sąd </w:t>
      </w:r>
      <w:r w:rsidR="0079158C">
        <w:rPr>
          <w:lang w:val="pl-PL"/>
        </w:rPr>
        <w:t>orzekający</w:t>
      </w:r>
      <w:r w:rsidR="008113A5" w:rsidRPr="00246717">
        <w:rPr>
          <w:lang w:val="pl-PL"/>
        </w:rPr>
        <w:t xml:space="preserve"> zostaje następnie związany tą decyzją co do przedmiotu i </w:t>
      </w:r>
      <w:r w:rsidR="008E6B06">
        <w:rPr>
          <w:lang w:val="pl-PL"/>
        </w:rPr>
        <w:t>nie</w:t>
      </w:r>
      <w:r w:rsidR="008113A5" w:rsidRPr="00246717">
        <w:rPr>
          <w:lang w:val="pl-PL"/>
        </w:rPr>
        <w:t xml:space="preserve"> może </w:t>
      </w:r>
      <w:r w:rsidR="008E6B06">
        <w:rPr>
          <w:lang w:val="pl-PL"/>
        </w:rPr>
        <w:t>n</w:t>
      </w:r>
      <w:r w:rsidR="008113A5" w:rsidRPr="00246717">
        <w:rPr>
          <w:lang w:val="pl-PL"/>
        </w:rPr>
        <w:t>a tym konkretnym fakcie oprzeć żadnego argumentu.</w:t>
      </w:r>
      <w:r w:rsidR="008113A5" w:rsidRPr="00246717">
        <w:rPr>
          <w:vertAlign w:val="superscript"/>
          <w:lang w:val="pl-PL"/>
        </w:rPr>
        <w:footnoteReference w:id="69"/>
      </w:r>
    </w:p>
    <w:p w14:paraId="6D0400C0" w14:textId="7A9C536E" w:rsidR="008113A5" w:rsidRPr="00246717" w:rsidRDefault="00150576" w:rsidP="000957D3">
      <w:pPr>
        <w:pStyle w:val="OpiPara"/>
        <w:rPr>
          <w:rFonts w:ascii="Times New Roman" w:eastAsia="Calibri" w:hAnsi="Times New Roman" w:cs="Times New Roman"/>
          <w:b/>
          <w:szCs w:val="24"/>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25</w:t>
      </w:r>
      <w:r w:rsidRPr="00246717">
        <w:rPr>
          <w:rFonts w:eastAsia="Calibri"/>
          <w:lang w:val="pl-PL"/>
        </w:rPr>
        <w:fldChar w:fldCharType="end"/>
      </w:r>
      <w:r w:rsidR="008113A5" w:rsidRPr="00246717">
        <w:rPr>
          <w:rFonts w:eastAsia="Calibri"/>
          <w:lang w:val="pl-PL"/>
        </w:rPr>
        <w:t xml:space="preserve">.  Podsumowując, drugie kryterium w sprawie </w:t>
      </w:r>
      <w:proofErr w:type="spellStart"/>
      <w:r w:rsidR="008113A5" w:rsidRPr="00246717">
        <w:rPr>
          <w:rFonts w:eastAsia="Calibri"/>
          <w:i/>
          <w:iCs/>
          <w:lang w:val="pl-PL"/>
        </w:rPr>
        <w:t>Murtazaliyeva</w:t>
      </w:r>
      <w:proofErr w:type="spellEnd"/>
      <w:r w:rsidR="008113A5" w:rsidRPr="00246717">
        <w:rPr>
          <w:rFonts w:eastAsia="Calibri"/>
          <w:lang w:val="pl-PL"/>
        </w:rPr>
        <w:t xml:space="preserve"> jest dalekie od bycia kompletnym i oferuje standard ochrony niższy niż przyznany prawu do stawiennictwa świadków oskarżenia.</w:t>
      </w:r>
      <w:r w:rsidR="008113A5" w:rsidRPr="00246717">
        <w:rPr>
          <w:rFonts w:eastAsia="Calibri"/>
          <w:i/>
          <w:iCs/>
          <w:lang w:val="pl-PL"/>
        </w:rPr>
        <w:t xml:space="preserve"> </w:t>
      </w:r>
      <w:r w:rsidR="0079158C">
        <w:rPr>
          <w:rFonts w:eastAsia="Calibri"/>
          <w:lang w:val="pl-PL"/>
        </w:rPr>
        <w:t>W</w:t>
      </w:r>
      <w:r w:rsidR="008113A5" w:rsidRPr="00246717">
        <w:rPr>
          <w:rFonts w:eastAsia="Calibri"/>
          <w:lang w:val="pl-PL"/>
        </w:rPr>
        <w:t xml:space="preserve">iększość składu orzekającego błędnie </w:t>
      </w:r>
      <w:r w:rsidR="0079158C">
        <w:rPr>
          <w:rFonts w:eastAsia="Calibri"/>
          <w:lang w:val="pl-PL"/>
        </w:rPr>
        <w:t xml:space="preserve">bowiem </w:t>
      </w:r>
      <w:r w:rsidR="008113A5" w:rsidRPr="00246717">
        <w:rPr>
          <w:rFonts w:eastAsia="Calibri"/>
          <w:lang w:val="pl-PL"/>
        </w:rPr>
        <w:t>nalega, że tylko w nadzwyczajnych okolicznościach stwie</w:t>
      </w:r>
      <w:r w:rsidR="008E6B06">
        <w:rPr>
          <w:rFonts w:eastAsia="Calibri"/>
          <w:lang w:val="pl-PL"/>
        </w:rPr>
        <w:t>r</w:t>
      </w:r>
      <w:r w:rsidR="008113A5" w:rsidRPr="00246717">
        <w:rPr>
          <w:rFonts w:eastAsia="Calibri"/>
          <w:lang w:val="pl-PL"/>
        </w:rPr>
        <w:t xml:space="preserve">dzi, że odmowa </w:t>
      </w:r>
      <w:r w:rsidR="0079158C">
        <w:rPr>
          <w:rFonts w:eastAsia="Calibri"/>
          <w:lang w:val="pl-PL"/>
        </w:rPr>
        <w:t>prze</w:t>
      </w:r>
      <w:r w:rsidR="008113A5" w:rsidRPr="00246717">
        <w:rPr>
          <w:rFonts w:eastAsia="Calibri"/>
          <w:lang w:val="pl-PL"/>
        </w:rPr>
        <w:t>słuchania świadka obrony stanowi naruszenie art.</w:t>
      </w:r>
      <w:r w:rsidR="003C3832">
        <w:rPr>
          <w:rFonts w:eastAsia="Calibri"/>
          <w:lang w:val="pl-PL"/>
        </w:rPr>
        <w:t> </w:t>
      </w:r>
      <w:r w:rsidR="008113A5" w:rsidRPr="00246717">
        <w:rPr>
          <w:rFonts w:eastAsia="Calibri"/>
          <w:lang w:val="pl-PL"/>
        </w:rPr>
        <w:t>6.</w:t>
      </w:r>
      <w:r w:rsidR="008113A5" w:rsidRPr="00246717">
        <w:rPr>
          <w:rFonts w:eastAsia="Calibri"/>
          <w:vertAlign w:val="superscript"/>
          <w:lang w:val="pl-PL"/>
        </w:rPr>
        <w:footnoteReference w:id="70"/>
      </w:r>
      <w:r w:rsidR="008113A5" w:rsidRPr="00246717">
        <w:rPr>
          <w:rFonts w:eastAsia="Calibri"/>
          <w:lang w:val="pl-PL"/>
        </w:rPr>
        <w:t xml:space="preserve"> Nie ma powodu dla tak nierównego traktowania. Artykuł</w:t>
      </w:r>
      <w:r w:rsidR="003C3832">
        <w:rPr>
          <w:rFonts w:eastAsia="Calibri"/>
          <w:lang w:val="pl-PL"/>
        </w:rPr>
        <w:t> </w:t>
      </w:r>
      <w:r w:rsidR="008113A5" w:rsidRPr="00246717">
        <w:rPr>
          <w:rFonts w:eastAsia="Calibri"/>
          <w:lang w:val="pl-PL"/>
        </w:rPr>
        <w:t>6 ust.</w:t>
      </w:r>
      <w:r w:rsidR="003C3832">
        <w:rPr>
          <w:rFonts w:eastAsia="Calibri"/>
          <w:lang w:val="pl-PL"/>
        </w:rPr>
        <w:t> </w:t>
      </w:r>
      <w:r w:rsidR="008113A5" w:rsidRPr="00246717">
        <w:rPr>
          <w:rFonts w:eastAsia="Calibri"/>
          <w:lang w:val="pl-PL"/>
        </w:rPr>
        <w:t>1 i 3 lit.</w:t>
      </w:r>
      <w:r w:rsidR="003C3832">
        <w:rPr>
          <w:rFonts w:eastAsia="Calibri"/>
          <w:lang w:val="pl-PL"/>
        </w:rPr>
        <w:t> </w:t>
      </w:r>
      <w:r w:rsidR="008113A5" w:rsidRPr="00246717">
        <w:rPr>
          <w:rFonts w:eastAsia="Calibri"/>
          <w:lang w:val="pl-PL"/>
        </w:rPr>
        <w:t xml:space="preserve">d Konwencji </w:t>
      </w:r>
      <w:r w:rsidR="0079158C">
        <w:rPr>
          <w:rFonts w:eastAsia="Calibri"/>
          <w:lang w:val="pl-PL"/>
        </w:rPr>
        <w:t>zakazuje</w:t>
      </w:r>
      <w:r w:rsidR="008113A5" w:rsidRPr="00246717">
        <w:rPr>
          <w:rFonts w:eastAsia="Calibri"/>
          <w:lang w:val="pl-PL"/>
        </w:rPr>
        <w:t xml:space="preserve"> </w:t>
      </w:r>
      <w:r w:rsidR="0079158C">
        <w:rPr>
          <w:rFonts w:eastAsia="Calibri"/>
          <w:lang w:val="pl-PL"/>
        </w:rPr>
        <w:t>przeprowadzania</w:t>
      </w:r>
      <w:r w:rsidR="0079158C" w:rsidRPr="00246717">
        <w:rPr>
          <w:rFonts w:eastAsia="Calibri"/>
          <w:lang w:val="pl-PL"/>
        </w:rPr>
        <w:t xml:space="preserve"> </w:t>
      </w:r>
      <w:r w:rsidR="008113A5" w:rsidRPr="00246717">
        <w:rPr>
          <w:rFonts w:eastAsia="Calibri"/>
          <w:lang w:val="pl-PL"/>
        </w:rPr>
        <w:t xml:space="preserve">dowodów ze słyszenia przeciwko skarżącej w postępowaniu karnym, ale wyłączenie </w:t>
      </w:r>
      <w:r w:rsidR="0079158C">
        <w:rPr>
          <w:rFonts w:eastAsia="Calibri"/>
          <w:lang w:val="pl-PL"/>
        </w:rPr>
        <w:t xml:space="preserve">przeprowadzania </w:t>
      </w:r>
      <w:r w:rsidR="008113A5" w:rsidRPr="00246717">
        <w:rPr>
          <w:rFonts w:eastAsia="Calibri"/>
          <w:lang w:val="pl-PL"/>
        </w:rPr>
        <w:t>dowodów ze słyszenia jest także uzasadnione, jeśli dowody mogą zostać uznane za pomocne obronie.</w:t>
      </w:r>
      <w:r w:rsidR="008113A5" w:rsidRPr="00246717">
        <w:rPr>
          <w:rFonts w:eastAsia="Calibri"/>
          <w:vertAlign w:val="superscript"/>
          <w:lang w:val="pl-PL"/>
        </w:rPr>
        <w:footnoteReference w:id="71"/>
      </w:r>
      <w:r w:rsidR="008113A5" w:rsidRPr="00246717">
        <w:rPr>
          <w:rFonts w:eastAsia="Calibri"/>
          <w:lang w:val="pl-PL"/>
        </w:rPr>
        <w:t xml:space="preserve"> Inaczej mówiąc a</w:t>
      </w:r>
      <w:r w:rsidR="00BC10FA">
        <w:rPr>
          <w:rFonts w:eastAsia="Calibri"/>
          <w:lang w:val="pl-PL"/>
        </w:rPr>
        <w:t>r</w:t>
      </w:r>
      <w:r w:rsidR="008113A5" w:rsidRPr="00246717">
        <w:rPr>
          <w:rFonts w:eastAsia="Calibri"/>
          <w:lang w:val="pl-PL"/>
        </w:rPr>
        <w:t>t.</w:t>
      </w:r>
      <w:r w:rsidR="003C3832">
        <w:rPr>
          <w:rFonts w:eastAsia="Calibri"/>
          <w:lang w:val="pl-PL"/>
        </w:rPr>
        <w:t> </w:t>
      </w:r>
      <w:r w:rsidR="008113A5" w:rsidRPr="00246717">
        <w:rPr>
          <w:rFonts w:eastAsia="Calibri"/>
          <w:lang w:val="pl-PL"/>
        </w:rPr>
        <w:t>6 ust.</w:t>
      </w:r>
      <w:r w:rsidR="003C3832">
        <w:rPr>
          <w:rFonts w:eastAsia="Calibri"/>
          <w:lang w:val="pl-PL"/>
        </w:rPr>
        <w:t> </w:t>
      </w:r>
      <w:r w:rsidR="008113A5" w:rsidRPr="00246717">
        <w:rPr>
          <w:rFonts w:eastAsia="Calibri"/>
          <w:lang w:val="pl-PL"/>
        </w:rPr>
        <w:t>1 i 3 lit.</w:t>
      </w:r>
      <w:r w:rsidR="003C3832">
        <w:rPr>
          <w:rFonts w:eastAsia="Calibri"/>
          <w:lang w:val="pl-PL"/>
        </w:rPr>
        <w:t> </w:t>
      </w:r>
      <w:r w:rsidR="008113A5" w:rsidRPr="00246717">
        <w:rPr>
          <w:rFonts w:eastAsia="Calibri"/>
          <w:lang w:val="pl-PL"/>
        </w:rPr>
        <w:t xml:space="preserve">d nie tylko </w:t>
      </w:r>
      <w:r w:rsidR="0079158C">
        <w:rPr>
          <w:rFonts w:eastAsia="Calibri"/>
          <w:lang w:val="pl-PL"/>
        </w:rPr>
        <w:t>przewiduje</w:t>
      </w:r>
      <w:r w:rsidR="008113A5" w:rsidRPr="00246717">
        <w:rPr>
          <w:rFonts w:eastAsia="Calibri"/>
          <w:lang w:val="pl-PL"/>
        </w:rPr>
        <w:t xml:space="preserve"> prawo oskarżonego do konfrontacji świadków </w:t>
      </w:r>
      <w:r w:rsidR="008113A5" w:rsidRPr="00246717">
        <w:rPr>
          <w:rFonts w:eastAsia="Calibri"/>
          <w:lang w:val="pl-PL"/>
        </w:rPr>
        <w:lastRenderedPageBreak/>
        <w:t xml:space="preserve">oskarżenia i przesłuchania świadków obrony, ale </w:t>
      </w:r>
      <w:r w:rsidR="0079158C">
        <w:rPr>
          <w:rFonts w:eastAsia="Calibri"/>
          <w:lang w:val="pl-PL"/>
        </w:rPr>
        <w:t>również</w:t>
      </w:r>
      <w:r w:rsidR="0079158C" w:rsidRPr="00246717">
        <w:rPr>
          <w:rFonts w:eastAsia="Calibri"/>
          <w:lang w:val="pl-PL"/>
        </w:rPr>
        <w:t xml:space="preserve"> </w:t>
      </w:r>
      <w:r w:rsidR="008113A5" w:rsidRPr="00246717">
        <w:rPr>
          <w:rFonts w:eastAsia="Calibri"/>
          <w:lang w:val="pl-PL"/>
        </w:rPr>
        <w:t>gwarantuje zasadę bezpośredniości,</w:t>
      </w:r>
      <w:r w:rsidR="008113A5" w:rsidRPr="00246717">
        <w:rPr>
          <w:rFonts w:eastAsia="Calibri"/>
          <w:vertAlign w:val="superscript"/>
          <w:lang w:val="pl-PL"/>
        </w:rPr>
        <w:footnoteReference w:id="72"/>
      </w:r>
      <w:r w:rsidR="008113A5" w:rsidRPr="00246717">
        <w:rPr>
          <w:rFonts w:eastAsia="Calibri"/>
          <w:lang w:val="pl-PL"/>
        </w:rPr>
        <w:t xml:space="preserve"> która wymaga, aby sąd </w:t>
      </w:r>
      <w:r w:rsidR="0079158C">
        <w:rPr>
          <w:rFonts w:eastAsia="Calibri"/>
          <w:lang w:val="pl-PL"/>
        </w:rPr>
        <w:t>orzekający</w:t>
      </w:r>
      <w:r w:rsidR="008113A5" w:rsidRPr="00246717">
        <w:rPr>
          <w:rFonts w:eastAsia="Calibri"/>
          <w:lang w:val="pl-PL"/>
        </w:rPr>
        <w:t xml:space="preserve"> mógł obserwować zachowania świadków i tym samym wyrobił sobie zdanie na temat ich wiarygodności.</w:t>
      </w:r>
      <w:r w:rsidR="008113A5" w:rsidRPr="00246717">
        <w:rPr>
          <w:rFonts w:eastAsia="Calibri"/>
          <w:vertAlign w:val="superscript"/>
          <w:lang w:val="pl-PL"/>
        </w:rPr>
        <w:footnoteReference w:id="73"/>
      </w:r>
    </w:p>
    <w:p w14:paraId="4D9DAC67" w14:textId="77777777" w:rsidR="008113A5" w:rsidRPr="00246717" w:rsidRDefault="008113A5" w:rsidP="000957D3">
      <w:pPr>
        <w:pStyle w:val="OpiHA"/>
        <w:rPr>
          <w:rFonts w:ascii="Times New Roman" w:eastAsia="Calibri" w:hAnsi="Times New Roman" w:cs="Times New Roman"/>
          <w:szCs w:val="24"/>
          <w:lang w:val="pl-PL"/>
        </w:rPr>
      </w:pPr>
      <w:r w:rsidRPr="00246717">
        <w:rPr>
          <w:rFonts w:eastAsia="Calibri"/>
          <w:lang w:val="pl-PL"/>
        </w:rPr>
        <w:t xml:space="preserve">Trzecie kryterium w sprawie </w:t>
      </w:r>
      <w:proofErr w:type="spellStart"/>
      <w:r w:rsidRPr="00246717">
        <w:rPr>
          <w:rFonts w:eastAsia="Calibri"/>
          <w:i/>
          <w:iCs/>
          <w:lang w:val="pl-PL"/>
        </w:rPr>
        <w:t>Murtazaliyeva</w:t>
      </w:r>
      <w:proofErr w:type="spellEnd"/>
    </w:p>
    <w:p w14:paraId="34EBD67E" w14:textId="659C0B64"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26</w:t>
      </w:r>
      <w:r w:rsidRPr="00246717">
        <w:rPr>
          <w:rFonts w:eastAsia="Calibri"/>
          <w:lang w:val="pl-PL"/>
        </w:rPr>
        <w:fldChar w:fldCharType="end"/>
      </w:r>
      <w:r w:rsidR="008113A5" w:rsidRPr="00246717">
        <w:rPr>
          <w:rFonts w:eastAsia="Calibri"/>
          <w:lang w:val="pl-PL"/>
        </w:rPr>
        <w:t xml:space="preserve">.  W opinii większości składu orzekającego Trybunał musi ocenić, czy sąd prowadzący postępowanie wprowadził gwarancje dla zabezpieczenia, że nawet w przypadku </w:t>
      </w:r>
      <w:r w:rsidR="0079158C">
        <w:rPr>
          <w:rFonts w:eastAsia="Calibri"/>
          <w:lang w:val="pl-PL"/>
        </w:rPr>
        <w:t>oczywistego</w:t>
      </w:r>
      <w:r w:rsidR="0079158C" w:rsidRPr="00246717">
        <w:rPr>
          <w:rFonts w:eastAsia="Calibri"/>
          <w:lang w:val="pl-PL"/>
        </w:rPr>
        <w:t xml:space="preserve"> </w:t>
      </w:r>
      <w:r w:rsidR="008113A5" w:rsidRPr="00246717">
        <w:rPr>
          <w:rFonts w:eastAsia="Calibri"/>
          <w:lang w:val="pl-PL"/>
        </w:rPr>
        <w:t>odejścia od postanowień przewidzianych w</w:t>
      </w:r>
      <w:r w:rsidR="00D46EFD">
        <w:rPr>
          <w:rFonts w:eastAsia="Calibri"/>
          <w:lang w:val="pl-PL"/>
        </w:rPr>
        <w:t> </w:t>
      </w:r>
      <w:r w:rsidR="008113A5" w:rsidRPr="00246717">
        <w:rPr>
          <w:rFonts w:eastAsia="Calibri"/>
          <w:lang w:val="pl-PL"/>
        </w:rPr>
        <w:t>art.</w:t>
      </w:r>
      <w:r w:rsidR="00D46EFD">
        <w:rPr>
          <w:rFonts w:eastAsia="Calibri"/>
          <w:lang w:val="pl-PL"/>
        </w:rPr>
        <w:t> </w:t>
      </w:r>
      <w:r w:rsidR="008113A5" w:rsidRPr="00246717">
        <w:rPr>
          <w:rFonts w:eastAsia="Calibri"/>
          <w:lang w:val="pl-PL"/>
        </w:rPr>
        <w:t>6 ust.</w:t>
      </w:r>
      <w:r w:rsidR="00D46EFD">
        <w:rPr>
          <w:rFonts w:eastAsia="Calibri"/>
          <w:lang w:val="pl-PL"/>
        </w:rPr>
        <w:t> </w:t>
      </w:r>
      <w:r w:rsidR="008113A5" w:rsidRPr="00246717">
        <w:rPr>
          <w:rFonts w:eastAsia="Calibri"/>
          <w:lang w:val="pl-PL"/>
        </w:rPr>
        <w:t xml:space="preserve">3 Konwencji, utrzymana zostaje ogólna rzetelność, i większość składu orzekającego sugeruje, że takie gwarancje zapobiegłyby mechanicznemu stosowaniu testu </w:t>
      </w:r>
      <w:proofErr w:type="spellStart"/>
      <w:r w:rsidR="008113A5" w:rsidRPr="00246717">
        <w:rPr>
          <w:rFonts w:eastAsia="Calibri"/>
          <w:i/>
          <w:iCs/>
          <w:lang w:val="pl-PL"/>
        </w:rPr>
        <w:t>Perna</w:t>
      </w:r>
      <w:proofErr w:type="spellEnd"/>
      <w:r w:rsidR="008113A5" w:rsidRPr="00246717">
        <w:rPr>
          <w:rFonts w:eastAsia="Calibri"/>
          <w:i/>
          <w:iCs/>
          <w:lang w:val="pl-PL"/>
        </w:rPr>
        <w:t>.</w:t>
      </w:r>
      <w:r w:rsidR="008113A5" w:rsidRPr="00246717">
        <w:rPr>
          <w:rFonts w:eastAsia="Calibri"/>
          <w:vertAlign w:val="superscript"/>
          <w:lang w:val="pl-PL"/>
        </w:rPr>
        <w:footnoteReference w:id="74"/>
      </w:r>
      <w:r w:rsidR="008113A5" w:rsidRPr="00246717">
        <w:rPr>
          <w:rFonts w:eastAsia="Calibri"/>
          <w:lang w:val="pl-PL"/>
        </w:rPr>
        <w:t xml:space="preserve"> Dla jasności: </w:t>
      </w:r>
      <w:r w:rsidR="0079158C">
        <w:rPr>
          <w:rFonts w:eastAsia="Calibri"/>
          <w:lang w:val="pl-PL"/>
        </w:rPr>
        <w:t>w tym</w:t>
      </w:r>
      <w:r w:rsidR="0079158C" w:rsidRPr="00246717">
        <w:rPr>
          <w:rFonts w:eastAsia="Calibri"/>
          <w:lang w:val="pl-PL"/>
        </w:rPr>
        <w:t xml:space="preserve"> </w:t>
      </w:r>
      <w:r w:rsidR="008113A5" w:rsidRPr="00246717">
        <w:rPr>
          <w:rFonts w:eastAsia="Calibri"/>
          <w:lang w:val="pl-PL"/>
        </w:rPr>
        <w:t xml:space="preserve">właśnie tkwi sedno i </w:t>
      </w:r>
      <w:r w:rsidR="003D5301" w:rsidRPr="00252514">
        <w:rPr>
          <w:rFonts w:eastAsia="Calibri"/>
          <w:i/>
          <w:iCs/>
          <w:lang w:val="pl-PL"/>
        </w:rPr>
        <w:t>novum</w:t>
      </w:r>
      <w:r w:rsidR="003D5301" w:rsidRPr="00246717">
        <w:rPr>
          <w:rFonts w:eastAsia="Calibri"/>
          <w:lang w:val="pl-PL"/>
        </w:rPr>
        <w:t xml:space="preserve"> </w:t>
      </w:r>
      <w:r w:rsidR="008113A5" w:rsidRPr="00246717">
        <w:rPr>
          <w:rFonts w:eastAsia="Calibri"/>
          <w:lang w:val="pl-PL"/>
        </w:rPr>
        <w:t xml:space="preserve">niniejszej sprawy, a nie rzekomo w drugim kryterium, jak </w:t>
      </w:r>
      <w:r w:rsidR="003D5301">
        <w:rPr>
          <w:rFonts w:eastAsia="Calibri"/>
          <w:lang w:val="pl-PL"/>
        </w:rPr>
        <w:t>twierdzi</w:t>
      </w:r>
      <w:r w:rsidR="003D5301" w:rsidRPr="00246717">
        <w:rPr>
          <w:rFonts w:eastAsia="Calibri"/>
          <w:lang w:val="pl-PL"/>
        </w:rPr>
        <w:t xml:space="preserve"> </w:t>
      </w:r>
      <w:r w:rsidR="008113A5" w:rsidRPr="00246717">
        <w:rPr>
          <w:rFonts w:eastAsia="Calibri"/>
          <w:lang w:val="pl-PL"/>
        </w:rPr>
        <w:t>większość składu orzekającego.</w:t>
      </w:r>
      <w:r w:rsidR="008113A5" w:rsidRPr="00246717">
        <w:rPr>
          <w:rFonts w:eastAsia="Calibri"/>
          <w:vertAlign w:val="superscript"/>
          <w:lang w:val="pl-PL"/>
        </w:rPr>
        <w:footnoteReference w:id="75"/>
      </w:r>
    </w:p>
    <w:p w14:paraId="569068E7" w14:textId="4BB38973" w:rsidR="008113A5" w:rsidRPr="00246717" w:rsidRDefault="00150576" w:rsidP="000957D3">
      <w:pPr>
        <w:pStyle w:val="OpiPara"/>
        <w:rPr>
          <w:rFonts w:eastAsia="Calibri"/>
          <w:vertAlign w:val="superscript"/>
          <w:lang w:val="pl-PL"/>
        </w:rPr>
      </w:pPr>
      <w:r w:rsidRPr="006B2220">
        <w:rPr>
          <w:lang w:val="pl-PL"/>
        </w:rPr>
        <w:fldChar w:fldCharType="begin"/>
      </w:r>
      <w:r w:rsidR="008113A5" w:rsidRPr="006B2220">
        <w:rPr>
          <w:lang w:val="pl-PL"/>
        </w:rPr>
        <w:instrText xml:space="preserve"> SEQ level0 \*arabic </w:instrText>
      </w:r>
      <w:r w:rsidRPr="006B2220">
        <w:rPr>
          <w:lang w:val="pl-PL"/>
        </w:rPr>
        <w:fldChar w:fldCharType="separate"/>
      </w:r>
      <w:r w:rsidR="008113A5" w:rsidRPr="006B2220">
        <w:rPr>
          <w:lang w:val="pl-PL"/>
        </w:rPr>
        <w:t>27</w:t>
      </w:r>
      <w:r w:rsidRPr="006B2220">
        <w:rPr>
          <w:lang w:val="pl-PL"/>
        </w:rPr>
        <w:fldChar w:fldCharType="end"/>
      </w:r>
      <w:r w:rsidR="008113A5" w:rsidRPr="00B24444">
        <w:rPr>
          <w:lang w:val="pl-PL"/>
        </w:rPr>
        <w:t>.  Jeśli ogólna rzetelność postępowania</w:t>
      </w:r>
      <w:r w:rsidR="008113A5" w:rsidRPr="00246717">
        <w:rPr>
          <w:lang w:val="pl-PL"/>
        </w:rPr>
        <w:t xml:space="preserve"> na gruncie a</w:t>
      </w:r>
      <w:r w:rsidR="00BC10FA">
        <w:rPr>
          <w:lang w:val="pl-PL"/>
        </w:rPr>
        <w:t>r</w:t>
      </w:r>
      <w:r w:rsidR="008113A5" w:rsidRPr="00246717">
        <w:rPr>
          <w:lang w:val="pl-PL"/>
        </w:rPr>
        <w:t>t.</w:t>
      </w:r>
      <w:r w:rsidR="0076750E">
        <w:rPr>
          <w:lang w:val="pl-PL"/>
        </w:rPr>
        <w:t> </w:t>
      </w:r>
      <w:r w:rsidR="008113A5" w:rsidRPr="00246717">
        <w:rPr>
          <w:lang w:val="pl-PL"/>
        </w:rPr>
        <w:t>6 ust.</w:t>
      </w:r>
      <w:r w:rsidR="0076750E">
        <w:rPr>
          <w:lang w:val="pl-PL"/>
        </w:rPr>
        <w:t> </w:t>
      </w:r>
      <w:r w:rsidR="008113A5" w:rsidRPr="00246717">
        <w:rPr>
          <w:lang w:val="pl-PL"/>
        </w:rPr>
        <w:t>1 zostaje zaakceptowana jako korekta oceny zgodności z postanowieniami art.</w:t>
      </w:r>
      <w:r w:rsidR="0076750E">
        <w:rPr>
          <w:lang w:val="pl-PL"/>
        </w:rPr>
        <w:t> </w:t>
      </w:r>
      <w:r w:rsidR="008113A5" w:rsidRPr="00246717">
        <w:rPr>
          <w:lang w:val="pl-PL"/>
        </w:rPr>
        <w:t>6</w:t>
      </w:r>
      <w:r w:rsidR="0076750E">
        <w:rPr>
          <w:lang w:val="pl-PL"/>
        </w:rPr>
        <w:t> </w:t>
      </w:r>
      <w:r w:rsidR="008113A5" w:rsidRPr="00246717">
        <w:rPr>
          <w:lang w:val="pl-PL"/>
        </w:rPr>
        <w:t>ust.</w:t>
      </w:r>
      <w:r w:rsidR="0076750E">
        <w:rPr>
          <w:lang w:val="pl-PL"/>
        </w:rPr>
        <w:t> </w:t>
      </w:r>
      <w:r w:rsidR="008113A5" w:rsidRPr="00246717">
        <w:rPr>
          <w:lang w:val="pl-PL"/>
        </w:rPr>
        <w:t xml:space="preserve">3, wówczas należy ją rozumieć jako gwarancję </w:t>
      </w:r>
      <w:r w:rsidR="006B2220">
        <w:rPr>
          <w:lang w:val="pl-PL"/>
        </w:rPr>
        <w:t>uzupełniającą</w:t>
      </w:r>
      <w:r w:rsidR="006B2220" w:rsidRPr="00246717">
        <w:rPr>
          <w:lang w:val="pl-PL"/>
        </w:rPr>
        <w:t xml:space="preserve"> indywidualn</w:t>
      </w:r>
      <w:r w:rsidR="006B2220">
        <w:rPr>
          <w:lang w:val="pl-PL"/>
        </w:rPr>
        <w:t>e</w:t>
      </w:r>
      <w:r w:rsidR="006B2220" w:rsidRPr="00246717">
        <w:rPr>
          <w:lang w:val="pl-PL"/>
        </w:rPr>
        <w:t xml:space="preserve"> </w:t>
      </w:r>
      <w:r w:rsidR="008113A5" w:rsidRPr="00246717">
        <w:rPr>
          <w:lang w:val="pl-PL"/>
        </w:rPr>
        <w:t>gwarancj</w:t>
      </w:r>
      <w:r w:rsidR="006B2220">
        <w:rPr>
          <w:lang w:val="pl-PL"/>
        </w:rPr>
        <w:t>e</w:t>
      </w:r>
      <w:r w:rsidR="008113A5" w:rsidRPr="00246717">
        <w:rPr>
          <w:lang w:val="pl-PL"/>
        </w:rPr>
        <w:t xml:space="preserve"> </w:t>
      </w:r>
      <w:r w:rsidR="006B2220" w:rsidRPr="00246717">
        <w:rPr>
          <w:lang w:val="pl-PL"/>
        </w:rPr>
        <w:t>przewidzian</w:t>
      </w:r>
      <w:r w:rsidR="006B2220">
        <w:rPr>
          <w:lang w:val="pl-PL"/>
        </w:rPr>
        <w:t>e</w:t>
      </w:r>
      <w:r w:rsidR="006B2220" w:rsidRPr="00246717">
        <w:rPr>
          <w:lang w:val="pl-PL"/>
        </w:rPr>
        <w:t xml:space="preserve"> </w:t>
      </w:r>
      <w:r w:rsidR="008113A5" w:rsidRPr="00246717">
        <w:rPr>
          <w:lang w:val="pl-PL"/>
        </w:rPr>
        <w:t>w art.</w:t>
      </w:r>
      <w:r w:rsidR="0076750E">
        <w:rPr>
          <w:lang w:val="pl-PL"/>
        </w:rPr>
        <w:t> </w:t>
      </w:r>
      <w:r w:rsidR="008113A5" w:rsidRPr="00246717">
        <w:rPr>
          <w:lang w:val="pl-PL"/>
        </w:rPr>
        <w:t>6 ust.</w:t>
      </w:r>
      <w:r w:rsidR="0076750E">
        <w:rPr>
          <w:lang w:val="pl-PL"/>
        </w:rPr>
        <w:t> </w:t>
      </w:r>
      <w:r w:rsidR="008113A5" w:rsidRPr="00246717">
        <w:rPr>
          <w:lang w:val="pl-PL"/>
        </w:rPr>
        <w:t>3. Są one ze sobą powiązane i wywodzą się z zasady rzetelności określonej w art.</w:t>
      </w:r>
      <w:r w:rsidR="0076750E">
        <w:rPr>
          <w:lang w:val="pl-PL"/>
        </w:rPr>
        <w:t> </w:t>
      </w:r>
      <w:r w:rsidR="008113A5" w:rsidRPr="00246717">
        <w:rPr>
          <w:lang w:val="pl-PL"/>
        </w:rPr>
        <w:t>6 ust.</w:t>
      </w:r>
      <w:r w:rsidR="0076750E">
        <w:rPr>
          <w:lang w:val="pl-PL"/>
        </w:rPr>
        <w:t> </w:t>
      </w:r>
      <w:r w:rsidR="008113A5" w:rsidRPr="00246717">
        <w:rPr>
          <w:lang w:val="pl-PL"/>
        </w:rPr>
        <w:t>1.</w:t>
      </w:r>
      <w:r w:rsidR="008113A5" w:rsidRPr="00246717">
        <w:rPr>
          <w:vertAlign w:val="superscript"/>
          <w:lang w:val="pl-PL"/>
        </w:rPr>
        <w:footnoteReference w:id="76"/>
      </w:r>
      <w:r w:rsidR="008113A5" w:rsidRPr="00246717">
        <w:rPr>
          <w:lang w:val="pl-PL"/>
        </w:rPr>
        <w:t xml:space="preserve"> Jednak test </w:t>
      </w:r>
      <w:r w:rsidR="00005443">
        <w:rPr>
          <w:lang w:val="pl-PL"/>
        </w:rPr>
        <w:t>ogólnej rzetelności</w:t>
      </w:r>
      <w:r w:rsidR="008113A5" w:rsidRPr="00246717">
        <w:rPr>
          <w:lang w:val="pl-PL"/>
        </w:rPr>
        <w:t xml:space="preserve"> nie powinien być rozumiany jako niepowiązany z gwarancjami określonymi w art.</w:t>
      </w:r>
      <w:r w:rsidR="00005443">
        <w:rPr>
          <w:lang w:val="pl-PL"/>
        </w:rPr>
        <w:t> </w:t>
      </w:r>
      <w:r w:rsidR="008113A5" w:rsidRPr="00246717">
        <w:rPr>
          <w:lang w:val="pl-PL"/>
        </w:rPr>
        <w:t>6 ust.</w:t>
      </w:r>
      <w:r w:rsidR="00005443">
        <w:rPr>
          <w:lang w:val="pl-PL"/>
        </w:rPr>
        <w:t> </w:t>
      </w:r>
      <w:r w:rsidR="008113A5" w:rsidRPr="00246717">
        <w:rPr>
          <w:lang w:val="pl-PL"/>
        </w:rPr>
        <w:t>3, lecz nadrzędny wobec nich, mogący naprawić naruszenia praw opisanych w</w:t>
      </w:r>
      <w:r w:rsidR="00005443">
        <w:rPr>
          <w:lang w:val="pl-PL"/>
        </w:rPr>
        <w:t> </w:t>
      </w:r>
      <w:r w:rsidR="008113A5" w:rsidRPr="00246717">
        <w:rPr>
          <w:lang w:val="pl-PL"/>
        </w:rPr>
        <w:t>tym ustępie.</w:t>
      </w:r>
      <w:r w:rsidR="008113A5" w:rsidRPr="00246717">
        <w:rPr>
          <w:vertAlign w:val="superscript"/>
          <w:lang w:val="pl-PL"/>
        </w:rPr>
        <w:footnoteReference w:id="77"/>
      </w:r>
    </w:p>
    <w:p w14:paraId="7D154A8B" w14:textId="43826CB2" w:rsidR="008113A5" w:rsidRPr="00246717" w:rsidRDefault="00150576" w:rsidP="000957D3">
      <w:pPr>
        <w:pStyle w:val="OpiPara"/>
        <w:rPr>
          <w:rFonts w:eastAsia="Calibri"/>
          <w:lang w:val="pl-PL"/>
        </w:rPr>
      </w:pPr>
      <w:r w:rsidRPr="00246717">
        <w:rPr>
          <w:rFonts w:eastAsia="Calibri"/>
          <w:lang w:val="pl-PL"/>
        </w:rPr>
        <w:lastRenderedPageBreak/>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28</w:t>
      </w:r>
      <w:r w:rsidRPr="00246717">
        <w:rPr>
          <w:rFonts w:eastAsia="Calibri"/>
          <w:lang w:val="pl-PL"/>
        </w:rPr>
        <w:fldChar w:fldCharType="end"/>
      </w:r>
      <w:r w:rsidR="008113A5" w:rsidRPr="00246717">
        <w:rPr>
          <w:rFonts w:eastAsia="Calibri"/>
          <w:lang w:val="pl-PL"/>
        </w:rPr>
        <w:t xml:space="preserve">.  Niezdecydowanie, jakie towarzyszy niejednoznacznemu </w:t>
      </w:r>
      <w:r w:rsidR="00FF556B">
        <w:rPr>
          <w:rFonts w:eastAsia="Calibri"/>
          <w:lang w:val="pl-PL"/>
        </w:rPr>
        <w:t>stanowisku</w:t>
      </w:r>
      <w:r w:rsidR="00FF556B" w:rsidRPr="00246717">
        <w:rPr>
          <w:rFonts w:eastAsia="Calibri"/>
          <w:lang w:val="pl-PL"/>
        </w:rPr>
        <w:t xml:space="preserve"> </w:t>
      </w:r>
      <w:r w:rsidR="008113A5" w:rsidRPr="00246717">
        <w:rPr>
          <w:rFonts w:eastAsia="Calibri"/>
          <w:lang w:val="pl-PL"/>
        </w:rPr>
        <w:t>większości składu orzekającego do nadrzędnego testu ogólnej rzetelności w</w:t>
      </w:r>
      <w:r w:rsidR="00005443">
        <w:rPr>
          <w:rFonts w:eastAsia="Calibri"/>
          <w:lang w:val="pl-PL"/>
        </w:rPr>
        <w:t> </w:t>
      </w:r>
      <w:r w:rsidR="008113A5" w:rsidRPr="00246717">
        <w:rPr>
          <w:rFonts w:eastAsia="Calibri"/>
          <w:lang w:val="pl-PL"/>
        </w:rPr>
        <w:t>pełni pozbawia art.</w:t>
      </w:r>
      <w:r w:rsidR="00005443">
        <w:rPr>
          <w:rFonts w:eastAsia="Calibri"/>
          <w:lang w:val="pl-PL"/>
        </w:rPr>
        <w:t> </w:t>
      </w:r>
      <w:r w:rsidR="008113A5" w:rsidRPr="00246717">
        <w:rPr>
          <w:rFonts w:eastAsia="Calibri"/>
          <w:lang w:val="pl-PL"/>
        </w:rPr>
        <w:t>6 ust.</w:t>
      </w:r>
      <w:r w:rsidR="00005443">
        <w:rPr>
          <w:rFonts w:eastAsia="Calibri"/>
          <w:lang w:val="pl-PL"/>
        </w:rPr>
        <w:t> </w:t>
      </w:r>
      <w:r w:rsidR="008113A5" w:rsidRPr="00246717">
        <w:rPr>
          <w:rFonts w:eastAsia="Calibri"/>
          <w:lang w:val="pl-PL"/>
        </w:rPr>
        <w:t>3 lit.</w:t>
      </w:r>
      <w:r w:rsidR="00005443">
        <w:rPr>
          <w:rFonts w:eastAsia="Calibri"/>
          <w:lang w:val="pl-PL"/>
        </w:rPr>
        <w:t> </w:t>
      </w:r>
      <w:r w:rsidR="008113A5" w:rsidRPr="00246717">
        <w:rPr>
          <w:rFonts w:eastAsia="Calibri"/>
          <w:lang w:val="pl-PL"/>
        </w:rPr>
        <w:t xml:space="preserve">d jego znaczenia. Przyjęta przez większość składu orzekającego nowa wersja testu </w:t>
      </w:r>
      <w:proofErr w:type="spellStart"/>
      <w:r w:rsidR="008113A5" w:rsidRPr="00246717">
        <w:rPr>
          <w:rFonts w:eastAsia="Calibri"/>
          <w:i/>
          <w:iCs/>
          <w:lang w:val="pl-PL"/>
        </w:rPr>
        <w:t>Perna</w:t>
      </w:r>
      <w:proofErr w:type="spellEnd"/>
      <w:r w:rsidR="008113A5" w:rsidRPr="00246717">
        <w:rPr>
          <w:rFonts w:eastAsia="Calibri"/>
          <w:i/>
          <w:iCs/>
          <w:lang w:val="pl-PL"/>
        </w:rPr>
        <w:t xml:space="preserve"> </w:t>
      </w:r>
      <w:r w:rsidR="008113A5" w:rsidRPr="00246717">
        <w:rPr>
          <w:rFonts w:eastAsia="Calibri"/>
          <w:lang w:val="pl-PL"/>
        </w:rPr>
        <w:t>jest celowo skonstruowana w taki sposób, aby umożliwić Trybunałowi, nawet w</w:t>
      </w:r>
      <w:r w:rsidR="00005443">
        <w:rPr>
          <w:rFonts w:eastAsia="Calibri"/>
          <w:lang w:val="pl-PL"/>
        </w:rPr>
        <w:t> </w:t>
      </w:r>
      <w:r w:rsidR="008113A5" w:rsidRPr="00246717">
        <w:rPr>
          <w:rFonts w:eastAsia="Calibri"/>
          <w:lang w:val="pl-PL"/>
        </w:rPr>
        <w:t xml:space="preserve">przypadku gdy odpowiedzi na dwa pierwsze pytania uznaje się za mocną wskazówkę naruszenia, wydanie </w:t>
      </w:r>
      <w:r w:rsidR="00FF556B">
        <w:rPr>
          <w:rFonts w:eastAsia="Calibri"/>
          <w:lang w:val="pl-PL"/>
        </w:rPr>
        <w:t>odmiennego rozstrzygnięcia</w:t>
      </w:r>
      <w:r w:rsidR="008113A5" w:rsidRPr="00246717">
        <w:rPr>
          <w:rFonts w:eastAsia="Calibri"/>
          <w:lang w:val="pl-PL"/>
        </w:rPr>
        <w:t>. Przejrzyste wyliczenie minimalnych praw jako wyraz zasady rzetelności zostaje poświęcone na rzecz zachowania marginesu uznaniowości sądów krajowych. Chociaż większość składu orzekającego zauważa możliwość uzyskania wniosków, które różnią się, bez względu na ich kierunek, od wskazań dostarczonych przez dwa pierwsze kroki, naruszenie minimalnego prawa do obrony w konsekwencji będzie coraz częściej prowadzić do zbędnego obciążenia obrony.</w:t>
      </w:r>
    </w:p>
    <w:p w14:paraId="34D9B487" w14:textId="0D21A5D7"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29</w:t>
      </w:r>
      <w:r w:rsidRPr="00246717">
        <w:rPr>
          <w:rFonts w:eastAsia="Calibri"/>
          <w:lang w:val="pl-PL"/>
        </w:rPr>
        <w:fldChar w:fldCharType="end"/>
      </w:r>
      <w:r w:rsidR="008113A5" w:rsidRPr="00246717">
        <w:rPr>
          <w:rFonts w:eastAsia="Calibri"/>
          <w:lang w:val="pl-PL"/>
        </w:rPr>
        <w:t xml:space="preserve">.  Co prawda Trybunał, podobnie jak wcześniej Europejska Komisja Praw Człowieka, </w:t>
      </w:r>
      <w:r w:rsidR="00FF556B">
        <w:rPr>
          <w:rFonts w:eastAsia="Calibri"/>
          <w:lang w:val="pl-PL"/>
        </w:rPr>
        <w:t xml:space="preserve">przy ocenie </w:t>
      </w:r>
      <w:r w:rsidR="00FF556B" w:rsidRPr="00246717">
        <w:rPr>
          <w:rFonts w:eastAsia="Calibri"/>
          <w:lang w:val="pl-PL"/>
        </w:rPr>
        <w:t>zgodnoś</w:t>
      </w:r>
      <w:r w:rsidR="00FF556B">
        <w:rPr>
          <w:rFonts w:eastAsia="Calibri"/>
          <w:lang w:val="pl-PL"/>
        </w:rPr>
        <w:t>ci</w:t>
      </w:r>
      <w:r w:rsidR="00FF556B" w:rsidRPr="00246717">
        <w:rPr>
          <w:rFonts w:eastAsia="Calibri"/>
          <w:lang w:val="pl-PL"/>
        </w:rPr>
        <w:t xml:space="preserve"> z</w:t>
      </w:r>
      <w:r w:rsidR="00FF556B">
        <w:rPr>
          <w:rFonts w:eastAsia="Calibri"/>
          <w:lang w:val="pl-PL"/>
        </w:rPr>
        <w:t> </w:t>
      </w:r>
      <w:r w:rsidR="00FF556B" w:rsidRPr="00246717">
        <w:rPr>
          <w:rFonts w:eastAsia="Calibri"/>
          <w:lang w:val="pl-PL"/>
        </w:rPr>
        <w:t>art.</w:t>
      </w:r>
      <w:r w:rsidR="00FF556B">
        <w:rPr>
          <w:rFonts w:eastAsia="Calibri"/>
          <w:lang w:val="pl-PL"/>
        </w:rPr>
        <w:t> </w:t>
      </w:r>
      <w:r w:rsidR="00FF556B" w:rsidRPr="00246717">
        <w:rPr>
          <w:rFonts w:eastAsia="Calibri"/>
          <w:lang w:val="pl-PL"/>
        </w:rPr>
        <w:t>6 ust.</w:t>
      </w:r>
      <w:r w:rsidR="00FF556B">
        <w:rPr>
          <w:rFonts w:eastAsia="Calibri"/>
          <w:lang w:val="pl-PL"/>
        </w:rPr>
        <w:t> </w:t>
      </w:r>
      <w:r w:rsidR="00FF556B" w:rsidRPr="00246717">
        <w:rPr>
          <w:rFonts w:eastAsia="Calibri"/>
          <w:lang w:val="pl-PL"/>
        </w:rPr>
        <w:t xml:space="preserve">1 Konwencji </w:t>
      </w:r>
      <w:r w:rsidR="008113A5" w:rsidRPr="00246717">
        <w:rPr>
          <w:rFonts w:eastAsia="Calibri"/>
          <w:lang w:val="pl-PL"/>
        </w:rPr>
        <w:t xml:space="preserve">regularnie ocenia ogólną rzetelność postępowania lub rzetelność </w:t>
      </w:r>
      <w:r w:rsidR="00FF556B">
        <w:rPr>
          <w:rFonts w:eastAsia="Calibri"/>
          <w:lang w:val="pl-PL"/>
        </w:rPr>
        <w:t xml:space="preserve">całego </w:t>
      </w:r>
      <w:r w:rsidR="008113A5" w:rsidRPr="00246717">
        <w:rPr>
          <w:rFonts w:eastAsia="Calibri"/>
          <w:lang w:val="pl-PL"/>
        </w:rPr>
        <w:t xml:space="preserve">postępowania. Niemniej do wyroku w sprawie </w:t>
      </w:r>
      <w:proofErr w:type="spellStart"/>
      <w:r w:rsidR="008113A5" w:rsidRPr="00246717">
        <w:rPr>
          <w:rFonts w:eastAsia="Calibri"/>
          <w:i/>
          <w:iCs/>
          <w:lang w:val="pl-PL"/>
        </w:rPr>
        <w:t>Dvorski</w:t>
      </w:r>
      <w:proofErr w:type="spellEnd"/>
      <w:r w:rsidR="008113A5" w:rsidRPr="00246717">
        <w:rPr>
          <w:rFonts w:eastAsia="Calibri"/>
          <w:i/>
          <w:iCs/>
          <w:lang w:val="pl-PL"/>
        </w:rPr>
        <w:t>,</w:t>
      </w:r>
      <w:r w:rsidR="008113A5" w:rsidRPr="00246717">
        <w:rPr>
          <w:rFonts w:eastAsia="Calibri"/>
          <w:vertAlign w:val="superscript"/>
          <w:lang w:val="pl-PL"/>
        </w:rPr>
        <w:footnoteReference w:id="78"/>
      </w:r>
      <w:r w:rsidR="008113A5" w:rsidRPr="00246717">
        <w:rPr>
          <w:rFonts w:eastAsia="Calibri"/>
          <w:i/>
          <w:iCs/>
          <w:lang w:val="pl-PL"/>
        </w:rPr>
        <w:t xml:space="preserve"> </w:t>
      </w:r>
      <w:r w:rsidR="008113A5" w:rsidRPr="00246717">
        <w:rPr>
          <w:rFonts w:eastAsia="Calibri"/>
          <w:lang w:val="pl-PL"/>
        </w:rPr>
        <w:t>zadanie to było wykonywane w celu oceny rzetelności procedur, które i tak były zgodne z minimalnymi prawami określonymi w art.</w:t>
      </w:r>
      <w:r w:rsidR="00005443">
        <w:rPr>
          <w:rFonts w:eastAsia="Calibri"/>
          <w:lang w:val="pl-PL"/>
        </w:rPr>
        <w:t> </w:t>
      </w:r>
      <w:r w:rsidR="008113A5" w:rsidRPr="00246717">
        <w:rPr>
          <w:rFonts w:eastAsia="Calibri"/>
          <w:lang w:val="pl-PL"/>
        </w:rPr>
        <w:t>6 ust.</w:t>
      </w:r>
      <w:r w:rsidR="00005443">
        <w:rPr>
          <w:rFonts w:eastAsia="Calibri"/>
          <w:lang w:val="pl-PL"/>
        </w:rPr>
        <w:t> </w:t>
      </w:r>
      <w:r w:rsidR="008113A5" w:rsidRPr="00246717">
        <w:rPr>
          <w:rFonts w:eastAsia="Calibri"/>
          <w:lang w:val="pl-PL"/>
        </w:rPr>
        <w:t>3 lit.</w:t>
      </w:r>
      <w:r w:rsidR="00005443">
        <w:rPr>
          <w:rFonts w:eastAsia="Calibri"/>
          <w:lang w:val="pl-PL"/>
        </w:rPr>
        <w:t> </w:t>
      </w:r>
      <w:r w:rsidR="008113A5" w:rsidRPr="00246717">
        <w:rPr>
          <w:rFonts w:eastAsia="Calibri"/>
          <w:lang w:val="pl-PL"/>
        </w:rPr>
        <w:t xml:space="preserve">c Konwencji. Zgodnie z tradycyjnym </w:t>
      </w:r>
      <w:r w:rsidR="00FF556B">
        <w:rPr>
          <w:rFonts w:eastAsia="Calibri"/>
          <w:lang w:val="pl-PL"/>
        </w:rPr>
        <w:t>stanowiskiem</w:t>
      </w:r>
      <w:r w:rsidR="00FF556B" w:rsidRPr="00246717">
        <w:rPr>
          <w:rFonts w:eastAsia="Calibri"/>
          <w:lang w:val="pl-PL"/>
        </w:rPr>
        <w:t xml:space="preserve"> </w:t>
      </w:r>
      <w:r w:rsidR="008113A5" w:rsidRPr="00246717">
        <w:rPr>
          <w:rFonts w:eastAsia="Calibri"/>
          <w:lang w:val="pl-PL"/>
        </w:rPr>
        <w:t>przyjętym przez Trybunał, postępowanie może być ogólnie nierzetelne, nawet jeśli jest zgodne z</w:t>
      </w:r>
      <w:r w:rsidR="00005443">
        <w:rPr>
          <w:rFonts w:eastAsia="Calibri"/>
          <w:lang w:val="pl-PL"/>
        </w:rPr>
        <w:t> </w:t>
      </w:r>
      <w:r w:rsidR="008113A5" w:rsidRPr="00246717">
        <w:rPr>
          <w:rFonts w:eastAsia="Calibri"/>
          <w:lang w:val="pl-PL"/>
        </w:rPr>
        <w:t>postanowieniami art.</w:t>
      </w:r>
      <w:r w:rsidR="0016267E">
        <w:rPr>
          <w:rFonts w:eastAsia="Calibri"/>
          <w:lang w:val="pl-PL"/>
        </w:rPr>
        <w:t> </w:t>
      </w:r>
      <w:r w:rsidR="008113A5" w:rsidRPr="00246717">
        <w:rPr>
          <w:rFonts w:eastAsia="Calibri"/>
          <w:lang w:val="pl-PL"/>
        </w:rPr>
        <w:t>6 ust.</w:t>
      </w:r>
      <w:r w:rsidR="0016267E">
        <w:rPr>
          <w:rFonts w:eastAsia="Calibri"/>
          <w:lang w:val="pl-PL"/>
        </w:rPr>
        <w:t> </w:t>
      </w:r>
      <w:r w:rsidR="008113A5" w:rsidRPr="00246717">
        <w:rPr>
          <w:rFonts w:eastAsia="Calibri"/>
          <w:lang w:val="pl-PL"/>
        </w:rPr>
        <w:t xml:space="preserve">3. Wnioskowanie, </w:t>
      </w:r>
      <w:r w:rsidR="008113A5" w:rsidRPr="00246717">
        <w:rPr>
          <w:rFonts w:eastAsia="Calibri"/>
          <w:i/>
          <w:iCs/>
          <w:lang w:val="pl-PL"/>
        </w:rPr>
        <w:t xml:space="preserve">a contrario sensu, </w:t>
      </w:r>
      <w:r w:rsidR="008113A5" w:rsidRPr="00246717">
        <w:rPr>
          <w:rFonts w:eastAsia="Calibri"/>
          <w:lang w:val="pl-PL"/>
        </w:rPr>
        <w:t>że postępowanie może być ogólnie rzetelne, nawet jeśli nie spełnia postanowień art.</w:t>
      </w:r>
      <w:r w:rsidR="0016267E">
        <w:rPr>
          <w:rFonts w:eastAsia="Calibri"/>
          <w:lang w:val="pl-PL"/>
        </w:rPr>
        <w:t> </w:t>
      </w:r>
      <w:r w:rsidR="008113A5" w:rsidRPr="00246717">
        <w:rPr>
          <w:rFonts w:eastAsia="Calibri"/>
          <w:lang w:val="pl-PL"/>
        </w:rPr>
        <w:t>6 ust.</w:t>
      </w:r>
      <w:r w:rsidR="0016267E">
        <w:rPr>
          <w:rFonts w:eastAsia="Calibri"/>
          <w:lang w:val="pl-PL"/>
        </w:rPr>
        <w:t> </w:t>
      </w:r>
      <w:r w:rsidR="008113A5" w:rsidRPr="00246717">
        <w:rPr>
          <w:rFonts w:eastAsia="Calibri"/>
          <w:lang w:val="pl-PL"/>
        </w:rPr>
        <w:t>3, albo mówiąc inaczej, że ogólna rzetelność postępowania może umożliwić zignorowanie naruszeń art.</w:t>
      </w:r>
      <w:r w:rsidR="0016267E">
        <w:rPr>
          <w:rFonts w:eastAsia="Calibri"/>
          <w:lang w:val="pl-PL"/>
        </w:rPr>
        <w:t> </w:t>
      </w:r>
      <w:r w:rsidR="008113A5" w:rsidRPr="00246717">
        <w:rPr>
          <w:rFonts w:eastAsia="Calibri"/>
          <w:lang w:val="pl-PL"/>
        </w:rPr>
        <w:t>6 ust.</w:t>
      </w:r>
      <w:r w:rsidR="0016267E">
        <w:rPr>
          <w:rFonts w:eastAsia="Calibri"/>
          <w:lang w:val="pl-PL"/>
        </w:rPr>
        <w:t> </w:t>
      </w:r>
      <w:r w:rsidR="008113A5" w:rsidRPr="00246717">
        <w:rPr>
          <w:rFonts w:eastAsia="Calibri"/>
          <w:lang w:val="pl-PL"/>
        </w:rPr>
        <w:t xml:space="preserve">3, jest nie tylko logicznie błędne, ale też </w:t>
      </w:r>
      <w:r w:rsidR="00FF556B">
        <w:rPr>
          <w:rFonts w:eastAsia="Calibri"/>
          <w:lang w:val="pl-PL"/>
        </w:rPr>
        <w:t>zniekształca</w:t>
      </w:r>
      <w:r w:rsidR="00FF556B" w:rsidRPr="00246717">
        <w:rPr>
          <w:rFonts w:eastAsia="Calibri"/>
          <w:lang w:val="pl-PL"/>
        </w:rPr>
        <w:t xml:space="preserve"> </w:t>
      </w:r>
      <w:r w:rsidR="008113A5" w:rsidRPr="00246717">
        <w:rPr>
          <w:rFonts w:eastAsia="Calibri"/>
          <w:lang w:val="pl-PL"/>
        </w:rPr>
        <w:t>samą istotę art.</w:t>
      </w:r>
      <w:r w:rsidR="0016267E">
        <w:rPr>
          <w:rFonts w:eastAsia="Calibri"/>
          <w:lang w:val="pl-PL"/>
        </w:rPr>
        <w:t> </w:t>
      </w:r>
      <w:r w:rsidR="008113A5" w:rsidRPr="00246717">
        <w:rPr>
          <w:rFonts w:eastAsia="Calibri"/>
          <w:lang w:val="pl-PL"/>
        </w:rPr>
        <w:t>6 ust.</w:t>
      </w:r>
      <w:r w:rsidR="0016267E">
        <w:rPr>
          <w:rFonts w:eastAsia="Calibri"/>
          <w:lang w:val="pl-PL"/>
        </w:rPr>
        <w:t> </w:t>
      </w:r>
      <w:r w:rsidR="008113A5" w:rsidRPr="00246717">
        <w:rPr>
          <w:rFonts w:eastAsia="Calibri"/>
          <w:lang w:val="pl-PL"/>
        </w:rPr>
        <w:t>3. Gruntowny przegląd orzecznictwa Trybunału ostatecznie wyjaśni tę kwestię.</w:t>
      </w:r>
    </w:p>
    <w:p w14:paraId="1EEF669A" w14:textId="69FBEA7C"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30</w:t>
      </w:r>
      <w:r w:rsidRPr="00246717">
        <w:rPr>
          <w:rFonts w:eastAsia="Calibri"/>
          <w:lang w:val="pl-PL"/>
        </w:rPr>
        <w:fldChar w:fldCharType="end"/>
      </w:r>
      <w:r w:rsidR="008113A5" w:rsidRPr="00246717">
        <w:rPr>
          <w:rFonts w:eastAsia="Calibri"/>
          <w:lang w:val="pl-PL"/>
        </w:rPr>
        <w:t xml:space="preserve">.  Po raz pierwszy w historii </w:t>
      </w:r>
      <w:r w:rsidR="00FF556B">
        <w:rPr>
          <w:rFonts w:eastAsia="Calibri"/>
          <w:lang w:val="pl-PL"/>
        </w:rPr>
        <w:t xml:space="preserve">z przedmiotowego </w:t>
      </w:r>
      <w:r w:rsidR="008113A5" w:rsidRPr="00246717">
        <w:rPr>
          <w:rFonts w:eastAsia="Calibri"/>
          <w:lang w:val="pl-PL"/>
        </w:rPr>
        <w:t xml:space="preserve">testu </w:t>
      </w:r>
      <w:r w:rsidR="00FF556B">
        <w:rPr>
          <w:rFonts w:eastAsia="Calibri"/>
          <w:lang w:val="pl-PL"/>
        </w:rPr>
        <w:t xml:space="preserve">skorzystano </w:t>
      </w:r>
      <w:r w:rsidR="008113A5" w:rsidRPr="00246717">
        <w:rPr>
          <w:rFonts w:eastAsia="Calibri"/>
          <w:lang w:val="pl-PL"/>
        </w:rPr>
        <w:t xml:space="preserve">w Strasburgu w sprawie </w:t>
      </w:r>
      <w:r w:rsidR="008113A5" w:rsidRPr="00246717">
        <w:rPr>
          <w:rFonts w:eastAsia="Calibri"/>
          <w:i/>
          <w:iCs/>
          <w:lang w:val="pl-PL"/>
        </w:rPr>
        <w:t>Nielsen przeciwko Danii.</w:t>
      </w:r>
      <w:r w:rsidR="008113A5" w:rsidRPr="00246717">
        <w:rPr>
          <w:rFonts w:eastAsia="Calibri"/>
          <w:lang w:val="pl-PL"/>
        </w:rPr>
        <w:t xml:space="preserve"> Była to sprawa, w której Komisja rozpatrywała skargę dotyczącą rzekomo błędnego dopuszczenia medycznych dowodów w procesie karnym. W sprawie tej Komisja stwierdziła:</w:t>
      </w:r>
    </w:p>
    <w:p w14:paraId="613FE754" w14:textId="2475771C" w:rsidR="008113A5" w:rsidRPr="00246717" w:rsidRDefault="008113A5" w:rsidP="000957D3">
      <w:pPr>
        <w:pStyle w:val="OpiQuot"/>
        <w:rPr>
          <w:rFonts w:eastAsia="Calibri"/>
          <w:lang w:val="pl-PL"/>
        </w:rPr>
      </w:pPr>
      <w:r w:rsidRPr="00246717">
        <w:rPr>
          <w:rFonts w:eastAsia="Calibri"/>
          <w:lang w:val="pl-PL"/>
        </w:rPr>
        <w:t>„Artykuł</w:t>
      </w:r>
      <w:r w:rsidR="0016267E">
        <w:rPr>
          <w:rFonts w:eastAsia="Calibri"/>
          <w:lang w:val="pl-PL"/>
        </w:rPr>
        <w:t> </w:t>
      </w:r>
      <w:r w:rsidRPr="00246717">
        <w:rPr>
          <w:rFonts w:eastAsia="Calibri"/>
          <w:lang w:val="pl-PL"/>
        </w:rPr>
        <w:t>6 Konwencji nie definiuje pojęcia „rzetelnego procesu” w sprawie karnej. W ust.</w:t>
      </w:r>
      <w:r w:rsidR="0016267E">
        <w:rPr>
          <w:rFonts w:eastAsia="Calibri"/>
          <w:lang w:val="pl-PL"/>
        </w:rPr>
        <w:t> </w:t>
      </w:r>
      <w:r w:rsidRPr="00246717">
        <w:rPr>
          <w:rFonts w:eastAsia="Calibri"/>
          <w:lang w:val="pl-PL"/>
        </w:rPr>
        <w:t>3 artykułu wymieniono pewne określone prawa, które stanowią zasadnicze elementy tego ogólnego pojęcia [...] Słowa „minimalne prawa” jasno wskazują, że sześć praw wymienionych w ust.</w:t>
      </w:r>
      <w:r w:rsidR="0016267E">
        <w:rPr>
          <w:rFonts w:eastAsia="Calibri"/>
          <w:lang w:val="pl-PL"/>
        </w:rPr>
        <w:t> </w:t>
      </w:r>
      <w:r w:rsidRPr="00246717">
        <w:rPr>
          <w:rFonts w:eastAsia="Calibri"/>
          <w:lang w:val="pl-PL"/>
        </w:rPr>
        <w:t>3 nie ma charakteru wyczerpującego oraz że proces może nie spełniać ogólnego kryterium „rzetelnego procesu”, nawet jeśli przestrzegane są minimalne prawa zagwarantowane w ust.</w:t>
      </w:r>
      <w:r w:rsidR="0016267E">
        <w:rPr>
          <w:rFonts w:eastAsia="Calibri"/>
          <w:lang w:val="pl-PL"/>
        </w:rPr>
        <w:t> </w:t>
      </w:r>
      <w:r w:rsidRPr="00246717">
        <w:rPr>
          <w:rFonts w:eastAsia="Calibri"/>
          <w:lang w:val="pl-PL"/>
        </w:rPr>
        <w:t>3, a także prawa określone w ust.</w:t>
      </w:r>
      <w:r w:rsidR="0016267E">
        <w:rPr>
          <w:rFonts w:eastAsia="Calibri"/>
          <w:lang w:val="pl-PL"/>
        </w:rPr>
        <w:t> </w:t>
      </w:r>
      <w:r w:rsidRPr="00246717">
        <w:rPr>
          <w:rFonts w:eastAsia="Calibri"/>
          <w:lang w:val="pl-PL"/>
        </w:rPr>
        <w:t>2”.</w:t>
      </w:r>
      <w:r w:rsidRPr="00246717">
        <w:rPr>
          <w:rFonts w:eastAsia="Calibri"/>
          <w:vertAlign w:val="superscript"/>
          <w:lang w:val="pl-PL"/>
        </w:rPr>
        <w:footnoteReference w:id="79"/>
      </w:r>
    </w:p>
    <w:p w14:paraId="6B9A62FF" w14:textId="77777777"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31</w:t>
      </w:r>
      <w:r w:rsidRPr="00246717">
        <w:rPr>
          <w:rFonts w:eastAsia="Calibri"/>
          <w:lang w:val="pl-PL"/>
        </w:rPr>
        <w:fldChar w:fldCharType="end"/>
      </w:r>
      <w:r w:rsidR="008113A5" w:rsidRPr="00246717">
        <w:rPr>
          <w:rFonts w:eastAsia="Calibri"/>
          <w:lang w:val="pl-PL"/>
        </w:rPr>
        <w:t>.  Jak gdyby nie było to wystarczająco jasne, Komisja uznała za pomocne sprecyzowanie, że:</w:t>
      </w:r>
    </w:p>
    <w:p w14:paraId="1CD4B68B" w14:textId="697F4BB0" w:rsidR="008113A5" w:rsidRPr="00246717" w:rsidRDefault="008113A5" w:rsidP="000957D3">
      <w:pPr>
        <w:pStyle w:val="OpiQuot"/>
        <w:rPr>
          <w:rFonts w:eastAsia="Calibri"/>
          <w:lang w:val="pl-PL"/>
        </w:rPr>
      </w:pPr>
      <w:r w:rsidRPr="00246717">
        <w:rPr>
          <w:rFonts w:eastAsia="Calibri"/>
          <w:lang w:val="pl-PL"/>
        </w:rPr>
        <w:lastRenderedPageBreak/>
        <w:t>„[r]</w:t>
      </w:r>
      <w:proofErr w:type="spellStart"/>
      <w:r w:rsidRPr="00246717">
        <w:rPr>
          <w:rFonts w:eastAsia="Calibri"/>
          <w:lang w:val="pl-PL"/>
        </w:rPr>
        <w:t>elacja</w:t>
      </w:r>
      <w:proofErr w:type="spellEnd"/>
      <w:r w:rsidRPr="00246717">
        <w:rPr>
          <w:rFonts w:eastAsia="Calibri"/>
          <w:lang w:val="pl-PL"/>
        </w:rPr>
        <w:t xml:space="preserve"> pomiędzy ogólnym postanowieniem ust.</w:t>
      </w:r>
      <w:r w:rsidR="0016267E">
        <w:rPr>
          <w:rFonts w:eastAsia="Calibri"/>
          <w:lang w:val="pl-PL"/>
        </w:rPr>
        <w:t> </w:t>
      </w:r>
      <w:r w:rsidRPr="00246717">
        <w:rPr>
          <w:rFonts w:eastAsia="Calibri"/>
          <w:lang w:val="pl-PL"/>
        </w:rPr>
        <w:t>1 a szczegółowymi postanowieniami ust.</w:t>
      </w:r>
      <w:r w:rsidR="00E21745">
        <w:rPr>
          <w:rFonts w:eastAsia="Calibri"/>
          <w:lang w:val="pl-PL"/>
        </w:rPr>
        <w:t> </w:t>
      </w:r>
      <w:r w:rsidRPr="00246717">
        <w:rPr>
          <w:rFonts w:eastAsia="Calibri"/>
          <w:lang w:val="pl-PL"/>
        </w:rPr>
        <w:t>3 wydaje się być następująca: W przypadku, w którym nie stwierdzono wystąpienia naruszenia ust.</w:t>
      </w:r>
      <w:r w:rsidR="00E21745">
        <w:rPr>
          <w:rFonts w:eastAsia="Calibri"/>
          <w:lang w:val="pl-PL"/>
        </w:rPr>
        <w:t> </w:t>
      </w:r>
      <w:r w:rsidRPr="00246717">
        <w:rPr>
          <w:rFonts w:eastAsia="Calibri"/>
          <w:lang w:val="pl-PL"/>
        </w:rPr>
        <w:t>3, ustalenia, czy proces spełnia kryterium przedstawione w ust.</w:t>
      </w:r>
      <w:r w:rsidR="00E21745">
        <w:rPr>
          <w:rFonts w:eastAsia="Calibri"/>
          <w:lang w:val="pl-PL"/>
        </w:rPr>
        <w:t> </w:t>
      </w:r>
      <w:r w:rsidRPr="00246717">
        <w:rPr>
          <w:rFonts w:eastAsia="Calibri"/>
          <w:lang w:val="pl-PL"/>
        </w:rPr>
        <w:t>1 należy dokonać na podstawie uwzględnienia procesu jako całości [...]”.</w:t>
      </w:r>
      <w:r w:rsidRPr="00246717">
        <w:rPr>
          <w:rFonts w:eastAsia="Calibri"/>
          <w:vertAlign w:val="superscript"/>
          <w:lang w:val="pl-PL"/>
        </w:rPr>
        <w:footnoteReference w:id="80"/>
      </w:r>
    </w:p>
    <w:p w14:paraId="276BA72C" w14:textId="1381B913"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32</w:t>
      </w:r>
      <w:r w:rsidRPr="00246717">
        <w:rPr>
          <w:rFonts w:eastAsia="Calibri"/>
          <w:lang w:val="pl-PL"/>
        </w:rPr>
        <w:fldChar w:fldCharType="end"/>
      </w:r>
      <w:r w:rsidR="008113A5" w:rsidRPr="00246717">
        <w:rPr>
          <w:rFonts w:eastAsia="Calibri"/>
          <w:lang w:val="pl-PL"/>
        </w:rPr>
        <w:t>.  Asymetrię pomiędzy art.</w:t>
      </w:r>
      <w:r w:rsidR="00E21745">
        <w:rPr>
          <w:rFonts w:eastAsia="Calibri"/>
          <w:lang w:val="pl-PL"/>
        </w:rPr>
        <w:t> </w:t>
      </w:r>
      <w:r w:rsidR="008113A5" w:rsidRPr="00246717">
        <w:rPr>
          <w:rFonts w:eastAsia="Calibri"/>
          <w:lang w:val="pl-PL"/>
        </w:rPr>
        <w:t>6 ust. 1 i art.</w:t>
      </w:r>
      <w:r w:rsidR="00E21745">
        <w:rPr>
          <w:rFonts w:eastAsia="Calibri"/>
          <w:lang w:val="pl-PL"/>
        </w:rPr>
        <w:t> </w:t>
      </w:r>
      <w:r w:rsidR="008113A5" w:rsidRPr="00246717">
        <w:rPr>
          <w:rFonts w:eastAsia="Calibri"/>
          <w:lang w:val="pl-PL"/>
        </w:rPr>
        <w:t>6 ust.</w:t>
      </w:r>
      <w:r w:rsidR="00E21745">
        <w:rPr>
          <w:rFonts w:eastAsia="Calibri"/>
          <w:lang w:val="pl-PL"/>
        </w:rPr>
        <w:t> </w:t>
      </w:r>
      <w:r w:rsidR="008113A5" w:rsidRPr="00246717">
        <w:rPr>
          <w:rFonts w:eastAsia="Calibri"/>
          <w:lang w:val="pl-PL"/>
        </w:rPr>
        <w:t xml:space="preserve">3 podkreślił Trybunał w sprawie </w:t>
      </w:r>
      <w:proofErr w:type="spellStart"/>
      <w:r w:rsidR="008113A5" w:rsidRPr="00246717">
        <w:rPr>
          <w:rFonts w:eastAsia="Calibri"/>
          <w:i/>
          <w:iCs/>
          <w:lang w:val="pl-PL"/>
        </w:rPr>
        <w:t>Deweer</w:t>
      </w:r>
      <w:proofErr w:type="spellEnd"/>
      <w:r w:rsidR="008113A5" w:rsidRPr="00246717">
        <w:rPr>
          <w:rFonts w:eastAsia="Calibri"/>
          <w:i/>
          <w:iCs/>
          <w:lang w:val="pl-PL"/>
        </w:rPr>
        <w:t xml:space="preserve"> przeciwko Belgii, </w:t>
      </w:r>
      <w:r w:rsidR="008113A5" w:rsidRPr="00246717">
        <w:rPr>
          <w:rFonts w:eastAsia="Calibri"/>
          <w:lang w:val="pl-PL"/>
        </w:rPr>
        <w:t>gdzie Trybunał uznał, że o ile „poszczególne prawa, których niewyczerpująca lista znajduje się w</w:t>
      </w:r>
      <w:r w:rsidR="00E21745">
        <w:rPr>
          <w:rFonts w:eastAsia="Calibri"/>
          <w:lang w:val="pl-PL"/>
        </w:rPr>
        <w:t> </w:t>
      </w:r>
      <w:r w:rsidR="008113A5" w:rsidRPr="00246717">
        <w:rPr>
          <w:rFonts w:eastAsia="Calibri"/>
          <w:lang w:val="pl-PL"/>
        </w:rPr>
        <w:t>[art.</w:t>
      </w:r>
      <w:r w:rsidR="00E21745">
        <w:rPr>
          <w:rFonts w:eastAsia="Calibri"/>
          <w:lang w:val="pl-PL"/>
        </w:rPr>
        <w:t> </w:t>
      </w:r>
      <w:r w:rsidR="008113A5" w:rsidRPr="00246717">
        <w:rPr>
          <w:rFonts w:eastAsia="Calibri"/>
          <w:lang w:val="pl-PL"/>
        </w:rPr>
        <w:t>6</w:t>
      </w:r>
      <w:r w:rsidR="00E21745">
        <w:rPr>
          <w:rFonts w:eastAsia="Calibri"/>
          <w:lang w:val="pl-PL"/>
        </w:rPr>
        <w:t> </w:t>
      </w:r>
      <w:r w:rsidR="008113A5" w:rsidRPr="00246717">
        <w:rPr>
          <w:rFonts w:eastAsia="Calibri"/>
          <w:lang w:val="pl-PL"/>
        </w:rPr>
        <w:t>ust.</w:t>
      </w:r>
      <w:r w:rsidR="00E21745">
        <w:rPr>
          <w:rFonts w:eastAsia="Calibri"/>
          <w:lang w:val="pl-PL"/>
        </w:rPr>
        <w:t> </w:t>
      </w:r>
      <w:r w:rsidR="008113A5" w:rsidRPr="00246717">
        <w:rPr>
          <w:rFonts w:eastAsia="Calibri"/>
          <w:lang w:val="pl-PL"/>
        </w:rPr>
        <w:t>3] stanowią elementy składowe, między innymi, pojęcia rzetelnego procesu sądowego w postępowaniu karnym”, ponieważ skarżący w niniejszej sprawie „został całkowicie pozbawiony takiego procesu [...] ustalenie, czy przestrzegano [art.</w:t>
      </w:r>
      <w:r w:rsidR="00615397">
        <w:rPr>
          <w:rFonts w:eastAsia="Calibri"/>
          <w:lang w:val="pl-PL"/>
        </w:rPr>
        <w:t> </w:t>
      </w:r>
      <w:r w:rsidR="008113A5" w:rsidRPr="00246717">
        <w:rPr>
          <w:rFonts w:eastAsia="Calibri"/>
          <w:lang w:val="pl-PL"/>
        </w:rPr>
        <w:t>6 ust.</w:t>
      </w:r>
      <w:r w:rsidR="00615397">
        <w:rPr>
          <w:rFonts w:eastAsia="Calibri"/>
          <w:lang w:val="pl-PL"/>
        </w:rPr>
        <w:t> </w:t>
      </w:r>
      <w:r w:rsidR="008113A5" w:rsidRPr="00246717">
        <w:rPr>
          <w:rFonts w:eastAsia="Calibri"/>
          <w:lang w:val="pl-PL"/>
        </w:rPr>
        <w:t>2 i art.</w:t>
      </w:r>
      <w:r w:rsidR="00615397">
        <w:rPr>
          <w:rFonts w:eastAsia="Calibri"/>
          <w:lang w:val="pl-PL"/>
        </w:rPr>
        <w:t> </w:t>
      </w:r>
      <w:r w:rsidR="008113A5" w:rsidRPr="00246717">
        <w:rPr>
          <w:rFonts w:eastAsia="Calibri"/>
          <w:lang w:val="pl-PL"/>
        </w:rPr>
        <w:t>6 ust.</w:t>
      </w:r>
      <w:r w:rsidR="00615397">
        <w:rPr>
          <w:rFonts w:eastAsia="Calibri"/>
          <w:lang w:val="pl-PL"/>
        </w:rPr>
        <w:t> </w:t>
      </w:r>
      <w:r w:rsidR="008113A5" w:rsidRPr="00246717">
        <w:rPr>
          <w:rFonts w:eastAsia="Calibri"/>
          <w:lang w:val="pl-PL"/>
        </w:rPr>
        <w:t>3] nie ma realnego znaczenia w tym względzie: zostaje ono całkowicie zawarte w ustaleniu, czy zastosowano się do [art</w:t>
      </w:r>
      <w:r w:rsidR="00615397">
        <w:rPr>
          <w:rFonts w:eastAsia="Calibri"/>
          <w:lang w:val="pl-PL"/>
        </w:rPr>
        <w:t>. </w:t>
      </w:r>
      <w:r w:rsidR="008113A5" w:rsidRPr="00246717">
        <w:rPr>
          <w:rFonts w:eastAsia="Calibri"/>
          <w:lang w:val="pl-PL"/>
        </w:rPr>
        <w:t>6 ust.</w:t>
      </w:r>
      <w:r w:rsidR="00615397">
        <w:rPr>
          <w:rFonts w:eastAsia="Calibri"/>
          <w:lang w:val="pl-PL"/>
        </w:rPr>
        <w:t> </w:t>
      </w:r>
      <w:r w:rsidR="008113A5" w:rsidRPr="00246717">
        <w:rPr>
          <w:rFonts w:eastAsia="Calibri"/>
          <w:lang w:val="pl-PL"/>
        </w:rPr>
        <w:t>1]”.</w:t>
      </w:r>
      <w:r w:rsidR="008113A5" w:rsidRPr="00246717">
        <w:rPr>
          <w:rFonts w:eastAsia="Calibri"/>
          <w:vertAlign w:val="superscript"/>
          <w:lang w:val="pl-PL"/>
        </w:rPr>
        <w:footnoteReference w:id="81"/>
      </w:r>
      <w:r w:rsidR="008113A5" w:rsidRPr="00246717">
        <w:rPr>
          <w:rFonts w:eastAsia="Calibri"/>
          <w:lang w:val="pl-PL"/>
        </w:rPr>
        <w:t xml:space="preserve"> Raz jeszcze: proces może być nierzetelny, nawet jeśli jest </w:t>
      </w:r>
      <w:r w:rsidR="00E97262">
        <w:rPr>
          <w:rFonts w:eastAsia="Calibri"/>
          <w:lang w:val="pl-PL"/>
        </w:rPr>
        <w:t>w pełni</w:t>
      </w:r>
      <w:r w:rsidR="008113A5" w:rsidRPr="00246717">
        <w:rPr>
          <w:rFonts w:eastAsia="Calibri"/>
          <w:lang w:val="pl-PL"/>
        </w:rPr>
        <w:t xml:space="preserve"> zgodny z art.</w:t>
      </w:r>
      <w:r w:rsidR="00E97262">
        <w:rPr>
          <w:rFonts w:eastAsia="Calibri"/>
          <w:lang w:val="pl-PL"/>
        </w:rPr>
        <w:t> </w:t>
      </w:r>
      <w:r w:rsidR="008113A5" w:rsidRPr="00246717">
        <w:rPr>
          <w:rFonts w:eastAsia="Calibri"/>
          <w:lang w:val="pl-PL"/>
        </w:rPr>
        <w:t>6 ust.</w:t>
      </w:r>
      <w:r w:rsidR="00E97262">
        <w:rPr>
          <w:rFonts w:eastAsia="Calibri"/>
          <w:lang w:val="pl-PL"/>
        </w:rPr>
        <w:t> </w:t>
      </w:r>
      <w:r w:rsidR="008113A5" w:rsidRPr="00246717">
        <w:rPr>
          <w:rFonts w:eastAsia="Calibri"/>
          <w:lang w:val="pl-PL"/>
        </w:rPr>
        <w:t xml:space="preserve">3, </w:t>
      </w:r>
      <w:r w:rsidR="00B5329C">
        <w:rPr>
          <w:rFonts w:eastAsia="Calibri"/>
          <w:lang w:val="pl-PL"/>
        </w:rPr>
        <w:t>przy czym</w:t>
      </w:r>
      <w:r w:rsidR="00B5329C" w:rsidRPr="00246717">
        <w:rPr>
          <w:rFonts w:eastAsia="Calibri"/>
          <w:lang w:val="pl-PL"/>
        </w:rPr>
        <w:t xml:space="preserve"> </w:t>
      </w:r>
      <w:r w:rsidR="008113A5" w:rsidRPr="00246717">
        <w:rPr>
          <w:rFonts w:eastAsia="Calibri"/>
          <w:lang w:val="pl-PL"/>
        </w:rPr>
        <w:t xml:space="preserve">nic </w:t>
      </w:r>
      <w:r w:rsidR="00B5329C">
        <w:rPr>
          <w:rFonts w:eastAsia="Calibri"/>
          <w:lang w:val="pl-PL"/>
        </w:rPr>
        <w:t>nie świadczy o tym</w:t>
      </w:r>
      <w:r w:rsidR="008113A5" w:rsidRPr="00246717">
        <w:rPr>
          <w:rFonts w:eastAsia="Calibri"/>
          <w:lang w:val="pl-PL"/>
        </w:rPr>
        <w:t>, że proces może być rzetelny, jeśli te prawa minimalne nie są przestrzegane.</w:t>
      </w:r>
    </w:p>
    <w:p w14:paraId="67F9110F" w14:textId="14473EF3"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33</w:t>
      </w:r>
      <w:r w:rsidRPr="00246717">
        <w:rPr>
          <w:rFonts w:eastAsia="Calibri"/>
          <w:lang w:val="pl-PL"/>
        </w:rPr>
        <w:fldChar w:fldCharType="end"/>
      </w:r>
      <w:r w:rsidR="008113A5" w:rsidRPr="00246717">
        <w:rPr>
          <w:rFonts w:eastAsia="Calibri"/>
          <w:lang w:val="pl-PL"/>
        </w:rPr>
        <w:t>.  Odtąd Trybunał stosował ogólną rzetelność postępowania do wielu celów, jednak relacja pomiędzy</w:t>
      </w:r>
      <w:r w:rsidR="00E97262">
        <w:rPr>
          <w:rFonts w:eastAsia="Calibri"/>
          <w:lang w:val="pl-PL"/>
        </w:rPr>
        <w:t xml:space="preserve"> art. 6 ust. 1 a art. 6 ust. 3</w:t>
      </w:r>
      <w:r w:rsidR="008113A5" w:rsidRPr="00246717">
        <w:rPr>
          <w:rFonts w:eastAsia="Calibri"/>
          <w:lang w:val="pl-PL"/>
        </w:rPr>
        <w:t xml:space="preserve">, wyrażona w sprawie </w:t>
      </w:r>
      <w:r w:rsidR="008113A5" w:rsidRPr="00246717">
        <w:rPr>
          <w:rFonts w:eastAsia="Calibri"/>
          <w:i/>
          <w:iCs/>
          <w:lang w:val="pl-PL"/>
        </w:rPr>
        <w:t xml:space="preserve">Nielsen, </w:t>
      </w:r>
      <w:r w:rsidR="008113A5" w:rsidRPr="00246717">
        <w:rPr>
          <w:rFonts w:eastAsia="Calibri"/>
          <w:lang w:val="pl-PL"/>
        </w:rPr>
        <w:t xml:space="preserve">wydaje się stanowić sedno rozumowania Trybunału, aż do wyroku w sprawie </w:t>
      </w:r>
      <w:proofErr w:type="spellStart"/>
      <w:r w:rsidR="008113A5" w:rsidRPr="00246717">
        <w:rPr>
          <w:rFonts w:eastAsia="Calibri"/>
          <w:i/>
          <w:iCs/>
          <w:lang w:val="pl-PL"/>
        </w:rPr>
        <w:t>Dvorski</w:t>
      </w:r>
      <w:proofErr w:type="spellEnd"/>
      <w:r w:rsidR="008113A5" w:rsidRPr="00246717">
        <w:rPr>
          <w:rFonts w:eastAsia="Calibri"/>
          <w:i/>
          <w:iCs/>
          <w:lang w:val="pl-PL"/>
        </w:rPr>
        <w:t>.</w:t>
      </w:r>
      <w:r w:rsidR="008113A5" w:rsidRPr="00246717">
        <w:rPr>
          <w:rFonts w:eastAsia="Calibri"/>
          <w:lang w:val="pl-PL"/>
        </w:rPr>
        <w:t xml:space="preserve"> Krokiem milowym w tym orzecznictwie jest często cytowany wyrok w sprawie </w:t>
      </w:r>
      <w:proofErr w:type="spellStart"/>
      <w:r w:rsidR="008113A5" w:rsidRPr="00246717">
        <w:rPr>
          <w:rFonts w:eastAsia="Calibri"/>
          <w:i/>
          <w:iCs/>
          <w:lang w:val="pl-PL"/>
        </w:rPr>
        <w:t>Barberà</w:t>
      </w:r>
      <w:proofErr w:type="spellEnd"/>
      <w:r w:rsidR="008113A5" w:rsidRPr="00246717">
        <w:rPr>
          <w:rFonts w:eastAsia="Calibri"/>
          <w:i/>
          <w:iCs/>
          <w:lang w:val="pl-PL"/>
        </w:rPr>
        <w:t xml:space="preserve">, </w:t>
      </w:r>
      <w:proofErr w:type="spellStart"/>
      <w:r w:rsidR="008113A5" w:rsidRPr="00246717">
        <w:rPr>
          <w:rFonts w:eastAsia="Calibri"/>
          <w:i/>
          <w:iCs/>
          <w:lang w:val="pl-PL"/>
        </w:rPr>
        <w:t>Messegué</w:t>
      </w:r>
      <w:proofErr w:type="spellEnd"/>
      <w:r w:rsidR="008113A5" w:rsidRPr="00246717">
        <w:rPr>
          <w:rFonts w:eastAsia="Calibri"/>
          <w:i/>
          <w:iCs/>
          <w:lang w:val="pl-PL"/>
        </w:rPr>
        <w:t xml:space="preserve"> i </w:t>
      </w:r>
      <w:proofErr w:type="spellStart"/>
      <w:r w:rsidR="008113A5" w:rsidRPr="00246717">
        <w:rPr>
          <w:rFonts w:eastAsia="Calibri"/>
          <w:i/>
          <w:iCs/>
          <w:lang w:val="pl-PL"/>
        </w:rPr>
        <w:t>Jabardo</w:t>
      </w:r>
      <w:proofErr w:type="spellEnd"/>
      <w:r w:rsidR="008113A5" w:rsidRPr="00246717">
        <w:rPr>
          <w:rFonts w:eastAsia="Calibri"/>
          <w:lang w:val="pl-PL"/>
        </w:rPr>
        <w:t>,</w:t>
      </w:r>
      <w:r w:rsidR="008113A5" w:rsidRPr="00246717">
        <w:rPr>
          <w:rFonts w:eastAsia="Calibri"/>
          <w:vertAlign w:val="superscript"/>
          <w:lang w:val="pl-PL"/>
        </w:rPr>
        <w:footnoteReference w:id="82"/>
      </w:r>
      <w:r w:rsidR="008113A5" w:rsidRPr="00246717">
        <w:rPr>
          <w:rFonts w:eastAsia="Calibri"/>
          <w:lang w:val="pl-PL"/>
        </w:rPr>
        <w:t xml:space="preserve"> w którym Trybunał orzekł, że nagromadzenie uchybień proceduralnych (z których żadne samo w sobie nie stanowiło naruszenia jednego z praw wyraźnie wymienionych w art.</w:t>
      </w:r>
      <w:r w:rsidR="00ED5DD4">
        <w:rPr>
          <w:rFonts w:eastAsia="Calibri"/>
          <w:lang w:val="pl-PL"/>
        </w:rPr>
        <w:t> </w:t>
      </w:r>
      <w:r w:rsidR="008113A5" w:rsidRPr="00246717">
        <w:rPr>
          <w:rFonts w:eastAsia="Calibri"/>
          <w:lang w:val="pl-PL"/>
        </w:rPr>
        <w:t>6 ust.</w:t>
      </w:r>
      <w:r w:rsidR="00ED5DD4">
        <w:rPr>
          <w:rFonts w:eastAsia="Calibri"/>
          <w:lang w:val="pl-PL"/>
        </w:rPr>
        <w:t> </w:t>
      </w:r>
      <w:r w:rsidR="008113A5" w:rsidRPr="00246717">
        <w:rPr>
          <w:rFonts w:eastAsia="Calibri"/>
          <w:lang w:val="pl-PL"/>
        </w:rPr>
        <w:t>2 i art.</w:t>
      </w:r>
      <w:r w:rsidR="00ED5DD4">
        <w:rPr>
          <w:rFonts w:eastAsia="Calibri"/>
          <w:lang w:val="pl-PL"/>
        </w:rPr>
        <w:t> </w:t>
      </w:r>
      <w:r w:rsidR="008113A5" w:rsidRPr="00246717">
        <w:rPr>
          <w:rFonts w:eastAsia="Calibri"/>
          <w:lang w:val="pl-PL"/>
        </w:rPr>
        <w:t>6 ust.</w:t>
      </w:r>
      <w:r w:rsidR="00ED5DD4">
        <w:rPr>
          <w:rFonts w:ascii="Sylfaen" w:eastAsia="Calibri" w:hAnsi="Sylfaen"/>
          <w:lang w:val="pl-PL"/>
        </w:rPr>
        <w:t> </w:t>
      </w:r>
      <w:r w:rsidR="008113A5" w:rsidRPr="00246717">
        <w:rPr>
          <w:rFonts w:eastAsia="Calibri"/>
          <w:lang w:val="pl-PL"/>
        </w:rPr>
        <w:t>3) oznaczało, że „przedmiotowe postępowanie, rozpatrywane jako całość, nie spełnia wymogów rzetelnego i jawnego posiedzenia”.</w:t>
      </w:r>
      <w:r w:rsidR="008113A5" w:rsidRPr="00246717">
        <w:rPr>
          <w:rFonts w:eastAsia="Calibri"/>
          <w:vertAlign w:val="superscript"/>
          <w:lang w:val="pl-PL"/>
        </w:rPr>
        <w:footnoteReference w:id="83"/>
      </w:r>
    </w:p>
    <w:p w14:paraId="591050A1" w14:textId="1D410EC6"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34</w:t>
      </w:r>
      <w:r w:rsidRPr="00246717">
        <w:rPr>
          <w:rFonts w:eastAsia="Calibri"/>
          <w:lang w:val="pl-PL"/>
        </w:rPr>
        <w:fldChar w:fldCharType="end"/>
      </w:r>
      <w:r w:rsidR="008113A5" w:rsidRPr="00246717">
        <w:rPr>
          <w:rFonts w:eastAsia="Calibri"/>
          <w:lang w:val="pl-PL"/>
        </w:rPr>
        <w:t>.  W tym świetle analiza ogólnej rzetelności stopniowo stała się powszechna, nawet w przypadku rozpatrywania roszczeń na gruncie art.</w:t>
      </w:r>
      <w:r w:rsidR="00ED5DD4">
        <w:rPr>
          <w:rFonts w:eastAsia="Calibri"/>
          <w:lang w:val="pl-PL"/>
        </w:rPr>
        <w:t> </w:t>
      </w:r>
      <w:r w:rsidR="008113A5" w:rsidRPr="00246717">
        <w:rPr>
          <w:rFonts w:eastAsia="Calibri"/>
          <w:lang w:val="pl-PL"/>
        </w:rPr>
        <w:t>6</w:t>
      </w:r>
      <w:r w:rsidR="00ED5DD4">
        <w:rPr>
          <w:rFonts w:eastAsia="Calibri"/>
          <w:lang w:val="pl-PL"/>
        </w:rPr>
        <w:t> </w:t>
      </w:r>
      <w:r w:rsidR="008113A5" w:rsidRPr="00246717">
        <w:rPr>
          <w:rFonts w:eastAsia="Calibri"/>
          <w:lang w:val="pl-PL"/>
        </w:rPr>
        <w:t>ust.</w:t>
      </w:r>
      <w:r w:rsidR="00ED5DD4">
        <w:rPr>
          <w:rFonts w:eastAsia="Calibri"/>
          <w:lang w:val="pl-PL"/>
        </w:rPr>
        <w:t> </w:t>
      </w:r>
      <w:r w:rsidR="008113A5" w:rsidRPr="00246717">
        <w:rPr>
          <w:rFonts w:eastAsia="Calibri"/>
          <w:lang w:val="pl-PL"/>
        </w:rPr>
        <w:t>3. Na przykład w niektórych przypadkach Trybunał analizował sprawy dotyczące art.</w:t>
      </w:r>
      <w:r w:rsidR="00ED5DD4">
        <w:rPr>
          <w:rFonts w:eastAsia="Calibri"/>
          <w:lang w:val="pl-PL"/>
        </w:rPr>
        <w:t> </w:t>
      </w:r>
      <w:r w:rsidR="008113A5" w:rsidRPr="00246717">
        <w:rPr>
          <w:rFonts w:eastAsia="Calibri"/>
          <w:lang w:val="pl-PL"/>
        </w:rPr>
        <w:t>6 ust.</w:t>
      </w:r>
      <w:r w:rsidR="00ED5DD4">
        <w:rPr>
          <w:rFonts w:eastAsia="Calibri"/>
          <w:lang w:val="pl-PL"/>
        </w:rPr>
        <w:t> </w:t>
      </w:r>
      <w:r w:rsidR="008113A5" w:rsidRPr="00246717">
        <w:rPr>
          <w:rFonts w:eastAsia="Calibri"/>
          <w:lang w:val="pl-PL"/>
        </w:rPr>
        <w:t xml:space="preserve">3 w kontekście ogólnej oceny postępowania. </w:t>
      </w:r>
      <w:r w:rsidR="00ED5DD4">
        <w:rPr>
          <w:rFonts w:eastAsia="Calibri"/>
          <w:lang w:val="pl-PL"/>
        </w:rPr>
        <w:t>Przykładowo</w:t>
      </w:r>
      <w:r w:rsidR="008113A5" w:rsidRPr="00246717">
        <w:rPr>
          <w:rFonts w:eastAsia="Calibri"/>
          <w:lang w:val="pl-PL"/>
        </w:rPr>
        <w:t xml:space="preserve"> w sprawie </w:t>
      </w:r>
      <w:proofErr w:type="spellStart"/>
      <w:r w:rsidR="008113A5" w:rsidRPr="00246717">
        <w:rPr>
          <w:rFonts w:eastAsia="Calibri"/>
          <w:i/>
          <w:iCs/>
          <w:lang w:val="pl-PL"/>
        </w:rPr>
        <w:t>Goddi</w:t>
      </w:r>
      <w:proofErr w:type="spellEnd"/>
      <w:r w:rsidR="008113A5" w:rsidRPr="00246717">
        <w:rPr>
          <w:rFonts w:eastAsia="Calibri"/>
          <w:lang w:val="pl-PL"/>
        </w:rPr>
        <w:t>,</w:t>
      </w:r>
      <w:r w:rsidR="008113A5" w:rsidRPr="00246717">
        <w:rPr>
          <w:rFonts w:eastAsia="Calibri"/>
          <w:vertAlign w:val="superscript"/>
          <w:lang w:val="pl-PL"/>
        </w:rPr>
        <w:footnoteReference w:id="84"/>
      </w:r>
      <w:r w:rsidR="008113A5" w:rsidRPr="00246717">
        <w:rPr>
          <w:rFonts w:eastAsia="Calibri"/>
          <w:lang w:val="pl-PL"/>
        </w:rPr>
        <w:t xml:space="preserve"> Trybunał orzekł, że gwarancje przewidziane w art.</w:t>
      </w:r>
      <w:r w:rsidR="00ED5DD4">
        <w:rPr>
          <w:rFonts w:eastAsia="Calibri"/>
          <w:lang w:val="pl-PL"/>
        </w:rPr>
        <w:t> </w:t>
      </w:r>
      <w:r w:rsidR="008113A5" w:rsidRPr="00246717">
        <w:rPr>
          <w:rFonts w:eastAsia="Calibri"/>
          <w:lang w:val="pl-PL"/>
        </w:rPr>
        <w:t>6 ust.</w:t>
      </w:r>
      <w:r w:rsidR="00ED5DD4">
        <w:rPr>
          <w:rFonts w:eastAsia="Calibri"/>
          <w:lang w:val="pl-PL"/>
        </w:rPr>
        <w:t> </w:t>
      </w:r>
      <w:r w:rsidR="008113A5" w:rsidRPr="00246717">
        <w:rPr>
          <w:rFonts w:eastAsia="Calibri"/>
          <w:lang w:val="pl-PL"/>
        </w:rPr>
        <w:t>3 są „elementami składowymi” „ogólnego pojęcia rzetelnego procesu zawartego w ust.</w:t>
      </w:r>
      <w:r w:rsidR="00ED5DD4">
        <w:rPr>
          <w:rFonts w:eastAsia="Calibri"/>
          <w:lang w:val="pl-PL"/>
        </w:rPr>
        <w:t> </w:t>
      </w:r>
      <w:r w:rsidR="008113A5" w:rsidRPr="00246717">
        <w:rPr>
          <w:rFonts w:eastAsia="Calibri"/>
          <w:lang w:val="pl-PL"/>
        </w:rPr>
        <w:t xml:space="preserve">1” oraz że w związku z tym „Trybunał rozpoznał odrębnie każdą z części skargi, a następnie dokonał </w:t>
      </w:r>
      <w:r w:rsidR="00ED5DD4">
        <w:rPr>
          <w:rFonts w:eastAsia="Calibri"/>
          <w:lang w:val="pl-PL"/>
        </w:rPr>
        <w:t xml:space="preserve">jej </w:t>
      </w:r>
      <w:r w:rsidR="008113A5" w:rsidRPr="00246717">
        <w:rPr>
          <w:rFonts w:eastAsia="Calibri"/>
          <w:lang w:val="pl-PL"/>
        </w:rPr>
        <w:t>ogólnej oceny”.</w:t>
      </w:r>
      <w:r w:rsidR="008113A5" w:rsidRPr="00246717">
        <w:rPr>
          <w:rFonts w:eastAsia="Calibri"/>
          <w:vertAlign w:val="superscript"/>
          <w:lang w:val="pl-PL"/>
        </w:rPr>
        <w:footnoteReference w:id="85"/>
      </w:r>
      <w:r w:rsidR="008113A5" w:rsidRPr="00246717">
        <w:rPr>
          <w:rFonts w:eastAsia="Calibri"/>
          <w:lang w:val="pl-PL"/>
        </w:rPr>
        <w:t xml:space="preserve"> W innych sprawach Trybunał podkreślił konieczność interpretowania ust.</w:t>
      </w:r>
      <w:r w:rsidR="00ED5DD4">
        <w:rPr>
          <w:rFonts w:eastAsia="Calibri"/>
          <w:lang w:val="pl-PL"/>
        </w:rPr>
        <w:t> </w:t>
      </w:r>
      <w:r w:rsidR="008113A5" w:rsidRPr="00246717">
        <w:rPr>
          <w:rFonts w:eastAsia="Calibri"/>
          <w:lang w:val="pl-PL"/>
        </w:rPr>
        <w:t>3 art.</w:t>
      </w:r>
      <w:r w:rsidR="00ED5DD4">
        <w:rPr>
          <w:rFonts w:eastAsia="Calibri"/>
          <w:lang w:val="pl-PL"/>
        </w:rPr>
        <w:t> </w:t>
      </w:r>
      <w:r w:rsidR="008113A5" w:rsidRPr="00246717">
        <w:rPr>
          <w:rFonts w:eastAsia="Calibri"/>
          <w:lang w:val="pl-PL"/>
        </w:rPr>
        <w:t xml:space="preserve">6 w świetle ogólnego celu normy, jakim jest </w:t>
      </w:r>
      <w:r w:rsidR="008113A5" w:rsidRPr="00246717">
        <w:rPr>
          <w:rFonts w:eastAsia="Calibri"/>
          <w:lang w:val="pl-PL"/>
        </w:rPr>
        <w:lastRenderedPageBreak/>
        <w:t>zabezpieczenie rzetelnej procedury. Jest to widoczne w cytacie, który Trybunał często przywołuje:</w:t>
      </w:r>
    </w:p>
    <w:p w14:paraId="61F204B5" w14:textId="72A5C3FF" w:rsidR="008113A5" w:rsidRPr="00246717" w:rsidRDefault="008113A5" w:rsidP="000957D3">
      <w:pPr>
        <w:pStyle w:val="OpiQuot"/>
        <w:rPr>
          <w:rFonts w:eastAsia="Calibri"/>
          <w:lang w:val="pl-PL"/>
        </w:rPr>
      </w:pPr>
      <w:r w:rsidRPr="00246717">
        <w:rPr>
          <w:rFonts w:eastAsia="Calibri"/>
          <w:lang w:val="pl-PL"/>
        </w:rPr>
        <w:t>„Poszczególne prawa, których niewyczerpująca lista znajduje się w ust.</w:t>
      </w:r>
      <w:r w:rsidR="00ED5DD4">
        <w:rPr>
          <w:rFonts w:eastAsia="Calibri"/>
          <w:lang w:val="pl-PL"/>
        </w:rPr>
        <w:t> </w:t>
      </w:r>
      <w:r w:rsidRPr="00246717">
        <w:rPr>
          <w:rFonts w:eastAsia="Calibri"/>
          <w:lang w:val="pl-PL"/>
        </w:rPr>
        <w:t>3 odzwierciedlają pewne aspekty pojęcia rzetelnego procesu sądowego w postępowaniu karnym [...] Przy przeprowadzaniu kontroli zgodności z ust.</w:t>
      </w:r>
      <w:r w:rsidR="00ED5DD4">
        <w:rPr>
          <w:rFonts w:eastAsia="Calibri"/>
          <w:lang w:val="pl-PL"/>
        </w:rPr>
        <w:t> </w:t>
      </w:r>
      <w:r w:rsidRPr="00246717">
        <w:rPr>
          <w:rFonts w:eastAsia="Calibri"/>
          <w:lang w:val="pl-PL"/>
        </w:rPr>
        <w:t>3 nie można zapominać o jego podstawowym celu ani odcinać go od jego korzeni”.</w:t>
      </w:r>
      <w:r w:rsidRPr="00246717">
        <w:rPr>
          <w:rFonts w:eastAsia="Calibri"/>
          <w:vertAlign w:val="superscript"/>
          <w:lang w:val="pl-PL"/>
        </w:rPr>
        <w:footnoteReference w:id="86"/>
      </w:r>
    </w:p>
    <w:p w14:paraId="1CAB73E4" w14:textId="5C5D1362"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35</w:t>
      </w:r>
      <w:r w:rsidRPr="00246717">
        <w:rPr>
          <w:rFonts w:eastAsia="Calibri"/>
          <w:lang w:val="pl-PL"/>
        </w:rPr>
        <w:fldChar w:fldCharType="end"/>
      </w:r>
      <w:r w:rsidR="008113A5" w:rsidRPr="00246717">
        <w:rPr>
          <w:rFonts w:eastAsia="Calibri"/>
          <w:lang w:val="pl-PL"/>
        </w:rPr>
        <w:t>.  Niemniej, jak ujawnia treść wyroku, w którym sformułowano te zdania, uzasadnienie to było w zamierzeniu przeciwne do uzasadnienia większości składu orzekającego w niniejszym wyroku. Zapisując te zdania</w:t>
      </w:r>
      <w:r w:rsidR="008113A5" w:rsidRPr="00246717">
        <w:rPr>
          <w:rFonts w:eastAsia="Calibri"/>
          <w:vertAlign w:val="superscript"/>
          <w:lang w:val="pl-PL"/>
        </w:rPr>
        <w:footnoteReference w:id="87"/>
      </w:r>
      <w:r w:rsidR="008113A5" w:rsidRPr="00246717">
        <w:rPr>
          <w:rFonts w:eastAsia="Calibri"/>
          <w:i/>
          <w:iCs/>
          <w:lang w:val="pl-PL"/>
        </w:rPr>
        <w:t xml:space="preserve"> </w:t>
      </w:r>
      <w:r w:rsidR="008113A5" w:rsidRPr="000473D0">
        <w:rPr>
          <w:rFonts w:eastAsia="Calibri"/>
          <w:iCs/>
          <w:lang w:val="pl-PL"/>
        </w:rPr>
        <w:t>w wyroku w sprawie</w:t>
      </w:r>
      <w:r w:rsidR="008113A5" w:rsidRPr="00246717">
        <w:rPr>
          <w:rFonts w:eastAsia="Calibri"/>
          <w:i/>
          <w:iCs/>
          <w:lang w:val="pl-PL"/>
        </w:rPr>
        <w:t xml:space="preserve"> </w:t>
      </w:r>
      <w:proofErr w:type="spellStart"/>
      <w:r w:rsidR="008113A5" w:rsidRPr="00246717">
        <w:rPr>
          <w:rFonts w:eastAsia="Calibri"/>
          <w:i/>
          <w:iCs/>
          <w:lang w:val="pl-PL"/>
        </w:rPr>
        <w:t>Artico</w:t>
      </w:r>
      <w:proofErr w:type="spellEnd"/>
      <w:r w:rsidR="008113A5" w:rsidRPr="00246717">
        <w:rPr>
          <w:rFonts w:eastAsia="Calibri"/>
          <w:i/>
          <w:iCs/>
          <w:lang w:val="pl-PL"/>
        </w:rPr>
        <w:t xml:space="preserve"> przeciwko Włochom, </w:t>
      </w:r>
      <w:r w:rsidR="008113A5" w:rsidRPr="00246717">
        <w:rPr>
          <w:rFonts w:eastAsia="Calibri"/>
          <w:lang w:val="pl-PL"/>
        </w:rPr>
        <w:t xml:space="preserve">Trybunał, jak się wydaje, miał na myśli dokładne ich przeciwieństwo. W sprawie </w:t>
      </w:r>
      <w:proofErr w:type="spellStart"/>
      <w:r w:rsidR="008113A5" w:rsidRPr="00246717">
        <w:rPr>
          <w:rFonts w:eastAsia="Calibri"/>
          <w:i/>
          <w:iCs/>
          <w:lang w:val="pl-PL"/>
        </w:rPr>
        <w:t>Artico</w:t>
      </w:r>
      <w:proofErr w:type="spellEnd"/>
      <w:r w:rsidR="008113A5" w:rsidRPr="00246717">
        <w:rPr>
          <w:rFonts w:eastAsia="Calibri"/>
          <w:i/>
          <w:iCs/>
          <w:lang w:val="pl-PL"/>
        </w:rPr>
        <w:t xml:space="preserve"> </w:t>
      </w:r>
      <w:r w:rsidR="008113A5" w:rsidRPr="00246717">
        <w:rPr>
          <w:rFonts w:eastAsia="Calibri"/>
          <w:lang w:val="pl-PL"/>
        </w:rPr>
        <w:t>Trybunał upewniał się, że pomoc prawna, co do której Rząd twierdził, że zapewnił ją skarżącemu, była w istocie skuteczna do celów art.</w:t>
      </w:r>
      <w:r w:rsidR="00ED5DD4">
        <w:rPr>
          <w:rFonts w:eastAsia="Calibri"/>
          <w:lang w:val="pl-PL"/>
        </w:rPr>
        <w:t> </w:t>
      </w:r>
      <w:r w:rsidR="008113A5" w:rsidRPr="00246717">
        <w:rPr>
          <w:rFonts w:eastAsia="Calibri"/>
          <w:lang w:val="pl-PL"/>
        </w:rPr>
        <w:t>6, a nie stanowiła jedynie „iluzoryczne</w:t>
      </w:r>
      <w:r w:rsidR="00FE5296">
        <w:rPr>
          <w:rFonts w:eastAsia="Calibri"/>
          <w:lang w:val="pl-PL"/>
        </w:rPr>
        <w:t>go</w:t>
      </w:r>
      <w:r w:rsidR="008113A5" w:rsidRPr="00246717">
        <w:rPr>
          <w:rFonts w:eastAsia="Calibri"/>
          <w:lang w:val="pl-PL"/>
        </w:rPr>
        <w:t>” praw</w:t>
      </w:r>
      <w:r w:rsidR="00FE5296">
        <w:rPr>
          <w:rFonts w:eastAsia="Calibri"/>
          <w:lang w:val="pl-PL"/>
        </w:rPr>
        <w:t>a</w:t>
      </w:r>
      <w:r w:rsidR="008113A5" w:rsidRPr="00246717">
        <w:rPr>
          <w:rFonts w:eastAsia="Calibri"/>
          <w:lang w:val="pl-PL"/>
        </w:rPr>
        <w:t>. Trybunał stwierdził w tymże wyroku, że pomoc ta nie była skuteczna: pomimo wyznaczonego pełnomocnika skarżący nie otrzymał żadnej istotnej pomocy prawnej.</w:t>
      </w:r>
      <w:r w:rsidR="008113A5" w:rsidRPr="00246717">
        <w:rPr>
          <w:rFonts w:eastAsia="Calibri"/>
          <w:vertAlign w:val="superscript"/>
          <w:lang w:val="pl-PL"/>
        </w:rPr>
        <w:footnoteReference w:id="88"/>
      </w:r>
    </w:p>
    <w:p w14:paraId="7889A706" w14:textId="79BD7947"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36</w:t>
      </w:r>
      <w:r w:rsidRPr="00246717">
        <w:rPr>
          <w:rFonts w:eastAsia="Calibri"/>
          <w:lang w:val="pl-PL"/>
        </w:rPr>
        <w:fldChar w:fldCharType="end"/>
      </w:r>
      <w:r w:rsidR="008113A5" w:rsidRPr="00246717">
        <w:rPr>
          <w:rFonts w:eastAsia="Calibri"/>
          <w:lang w:val="pl-PL"/>
        </w:rPr>
        <w:t xml:space="preserve">.  Tradycyjnie dziedziną, w której najczęściej stosowano test na ogólną rzetelność była dziedzina pomocy prawnej. Pod pretekstem dokonywania oceny ogólnej rzetelności postępowania Trybunał dystansował się względem swoich wcześniejszych przyjaznych oskarżonym standardów na rzecz stanowiska bardziej przychylnego oskarżeniu. Aż do wyroku w sprawie </w:t>
      </w:r>
      <w:proofErr w:type="spellStart"/>
      <w:r w:rsidR="008113A5" w:rsidRPr="00246717">
        <w:rPr>
          <w:rFonts w:eastAsia="Calibri"/>
          <w:i/>
          <w:iCs/>
          <w:lang w:val="pl-PL"/>
        </w:rPr>
        <w:t>Dvorski</w:t>
      </w:r>
      <w:proofErr w:type="spellEnd"/>
      <w:r w:rsidR="008113A5" w:rsidRPr="00246717">
        <w:rPr>
          <w:rFonts w:eastAsia="Calibri"/>
          <w:i/>
          <w:iCs/>
          <w:lang w:val="pl-PL"/>
        </w:rPr>
        <w:t xml:space="preserve"> </w:t>
      </w:r>
      <w:r w:rsidR="008113A5" w:rsidRPr="00246717">
        <w:rPr>
          <w:rFonts w:eastAsia="Calibri"/>
          <w:lang w:val="pl-PL"/>
        </w:rPr>
        <w:t>Trybunał zawsze uwzględniał art.</w:t>
      </w:r>
      <w:r w:rsidR="00922D39">
        <w:rPr>
          <w:rFonts w:eastAsia="Calibri"/>
          <w:lang w:val="pl-PL"/>
        </w:rPr>
        <w:t> </w:t>
      </w:r>
      <w:r w:rsidR="008113A5" w:rsidRPr="00246717">
        <w:rPr>
          <w:rFonts w:eastAsia="Calibri"/>
          <w:lang w:val="pl-PL"/>
        </w:rPr>
        <w:t>6 ust.</w:t>
      </w:r>
      <w:r w:rsidR="00922D39">
        <w:rPr>
          <w:rFonts w:eastAsia="Calibri"/>
          <w:lang w:val="pl-PL"/>
        </w:rPr>
        <w:t> </w:t>
      </w:r>
      <w:r w:rsidR="008113A5" w:rsidRPr="00246717">
        <w:rPr>
          <w:rFonts w:eastAsia="Calibri"/>
          <w:lang w:val="pl-PL"/>
        </w:rPr>
        <w:t>3 lit</w:t>
      </w:r>
      <w:r w:rsidR="00922D39">
        <w:rPr>
          <w:rFonts w:eastAsia="Calibri"/>
          <w:lang w:val="pl-PL"/>
        </w:rPr>
        <w:t> </w:t>
      </w:r>
      <w:r w:rsidR="008113A5" w:rsidRPr="00246717">
        <w:rPr>
          <w:rFonts w:eastAsia="Calibri"/>
          <w:lang w:val="pl-PL"/>
        </w:rPr>
        <w:t>c Konwencji w</w:t>
      </w:r>
      <w:r w:rsidR="00922D39">
        <w:rPr>
          <w:rFonts w:eastAsia="Calibri"/>
          <w:lang w:val="pl-PL"/>
        </w:rPr>
        <w:t> </w:t>
      </w:r>
      <w:r w:rsidR="008113A5" w:rsidRPr="00246717">
        <w:rPr>
          <w:rFonts w:eastAsia="Calibri"/>
          <w:lang w:val="pl-PL"/>
        </w:rPr>
        <w:t xml:space="preserve">sposób zgodny z zasadami opisanymi powyżej. Co prawda w pewnych sprawach Trybunał dokonywał swoistego równoważenia powodów, które uzasadniały pewne ograniczenia swobodnie wybranej pomocy prawnej i ich następstw dla ogólnej rzetelności postępowania postrzeganego w całości, jednak Trybunał czynił tak wyłącznie po stwierdzeniu istnienia takich powodów. Krokiem milowym w tej linii orzeczniczej jest wyrok w sprawie </w:t>
      </w:r>
      <w:r w:rsidR="008113A5" w:rsidRPr="00246717">
        <w:rPr>
          <w:rFonts w:eastAsia="Calibri"/>
          <w:i/>
          <w:iCs/>
          <w:lang w:val="pl-PL"/>
        </w:rPr>
        <w:t>John Murray</w:t>
      </w:r>
      <w:r w:rsidR="008113A5" w:rsidRPr="00246717">
        <w:rPr>
          <w:rFonts w:eastAsia="Calibri"/>
          <w:lang w:val="pl-PL"/>
        </w:rPr>
        <w:t>,</w:t>
      </w:r>
      <w:r w:rsidR="008113A5" w:rsidRPr="00246717">
        <w:rPr>
          <w:rFonts w:eastAsia="Calibri"/>
          <w:vertAlign w:val="superscript"/>
          <w:lang w:val="pl-PL"/>
        </w:rPr>
        <w:footnoteReference w:id="89"/>
      </w:r>
      <w:r w:rsidR="008113A5" w:rsidRPr="00246717">
        <w:rPr>
          <w:rFonts w:eastAsia="Calibri"/>
          <w:lang w:val="pl-PL"/>
        </w:rPr>
        <w:t xml:space="preserve"> w którym Trybunał stwierdził:</w:t>
      </w:r>
    </w:p>
    <w:p w14:paraId="53D99008" w14:textId="57AD2DB0" w:rsidR="008113A5" w:rsidRPr="00246717" w:rsidRDefault="008113A5" w:rsidP="000957D3">
      <w:pPr>
        <w:pStyle w:val="OpiQuot"/>
        <w:rPr>
          <w:rFonts w:eastAsia="Calibri"/>
          <w:lang w:val="pl-PL"/>
        </w:rPr>
      </w:pPr>
      <w:r w:rsidRPr="00246717">
        <w:rPr>
          <w:rFonts w:eastAsia="Calibri"/>
          <w:lang w:val="pl-PL"/>
        </w:rPr>
        <w:t>„[prawo] do korzystania z pomocy prawnika już na wczesnych etapach przesłuchania przez policję [...] które nie jest wyraźnie określone w Konwencji, może podlegać ograniczeniom z ważnych przyczyn. W każdej sprawie należy ustalić, czy ograniczenie, w świetle całości postępowania, pozbawiło oskarżonego rzetelnego procesu sądowego”.</w:t>
      </w:r>
      <w:r w:rsidR="004A53FF">
        <w:rPr>
          <w:rStyle w:val="Odwoanieprzypisudolnego"/>
          <w:rFonts w:eastAsia="Calibri"/>
          <w:lang w:val="pl-PL"/>
        </w:rPr>
        <w:footnoteReference w:id="90"/>
      </w:r>
    </w:p>
    <w:p w14:paraId="5C7770AD" w14:textId="3A7E1C5A"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37</w:t>
      </w:r>
      <w:r w:rsidRPr="00246717">
        <w:rPr>
          <w:rFonts w:eastAsia="Calibri"/>
          <w:lang w:val="pl-PL"/>
        </w:rPr>
        <w:fldChar w:fldCharType="end"/>
      </w:r>
      <w:r w:rsidR="008113A5" w:rsidRPr="00246717">
        <w:rPr>
          <w:rFonts w:eastAsia="Calibri"/>
          <w:lang w:val="pl-PL"/>
        </w:rPr>
        <w:t xml:space="preserve">.  Natychmiast przychodzi na myśl podstawowa różnica: ponieważ prawo do obrońcy można ograniczyć wyłącznie „z ważnych przyczyn”, holistyczna ocena Trybunału w sprawie </w:t>
      </w:r>
      <w:r w:rsidR="008113A5" w:rsidRPr="00246717">
        <w:rPr>
          <w:rFonts w:eastAsia="Calibri"/>
          <w:i/>
          <w:iCs/>
          <w:lang w:val="pl-PL"/>
        </w:rPr>
        <w:t xml:space="preserve">John Murray </w:t>
      </w:r>
      <w:r w:rsidR="008113A5" w:rsidRPr="00246717">
        <w:rPr>
          <w:rFonts w:eastAsia="Calibri"/>
          <w:lang w:val="pl-PL"/>
        </w:rPr>
        <w:t xml:space="preserve">następuje dopiero po </w:t>
      </w:r>
      <w:r w:rsidR="008113A5" w:rsidRPr="00246717">
        <w:rPr>
          <w:rFonts w:eastAsia="Calibri"/>
          <w:lang w:val="pl-PL"/>
        </w:rPr>
        <w:lastRenderedPageBreak/>
        <w:t>tym, kiedy takie powody wykazano, ponieważ „nawet wykonywane zgodnie z prawem uprawnienie do ograniczenia może w pewnych okolicznościach pozbawić oskarżonego rzetelnego postępowania”</w:t>
      </w:r>
      <w:r w:rsidR="008113A5" w:rsidRPr="00246717">
        <w:rPr>
          <w:rFonts w:eastAsia="Calibri"/>
          <w:vertAlign w:val="superscript"/>
          <w:lang w:val="pl-PL"/>
        </w:rPr>
        <w:footnoteReference w:id="91"/>
      </w:r>
      <w:r w:rsidR="008113A5" w:rsidRPr="00246717">
        <w:rPr>
          <w:rFonts w:eastAsia="Calibri"/>
          <w:lang w:val="pl-PL"/>
        </w:rPr>
        <w:t>. Trybunał ponadto okazał się skrajnie ostrożny w swojej ocenie ogólnej rzetelności w niniejszej sprawie, ostatecznie stwierdzając naruszenie: „zadaniem Trybunału nie jest spekulowanie na temat tego, jaka byłaby reakcja skarżącego albo porada jego</w:t>
      </w:r>
      <w:r w:rsidR="00922D39">
        <w:rPr>
          <w:rFonts w:eastAsia="Calibri"/>
          <w:lang w:val="pl-PL"/>
        </w:rPr>
        <w:t xml:space="preserve"> obrońcy</w:t>
      </w:r>
      <w:r w:rsidR="008113A5" w:rsidRPr="00246717">
        <w:rPr>
          <w:rFonts w:eastAsia="Calibri"/>
          <w:lang w:val="pl-PL"/>
        </w:rPr>
        <w:t>, gdyby nie odmówiono mu dostępu podczas tego początkowego okresu”.</w:t>
      </w:r>
      <w:r w:rsidR="008113A5" w:rsidRPr="00246717">
        <w:rPr>
          <w:rFonts w:eastAsia="Calibri"/>
          <w:vertAlign w:val="superscript"/>
          <w:lang w:val="pl-PL"/>
        </w:rPr>
        <w:footnoteReference w:id="92"/>
      </w:r>
    </w:p>
    <w:p w14:paraId="6D2A7AA8" w14:textId="1C7EC1A8"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38</w:t>
      </w:r>
      <w:r w:rsidRPr="00246717">
        <w:rPr>
          <w:rFonts w:eastAsia="Calibri"/>
          <w:lang w:val="pl-PL"/>
        </w:rPr>
        <w:fldChar w:fldCharType="end"/>
      </w:r>
      <w:r w:rsidR="008113A5" w:rsidRPr="00246717">
        <w:rPr>
          <w:rFonts w:eastAsia="Calibri"/>
          <w:lang w:val="pl-PL"/>
        </w:rPr>
        <w:t xml:space="preserve">.  Trybunał doprecyzował i rozwinął swoje stanowisko w sprawie nieważności nieumotywowanych ograniczeń prawa do obrońcy w sprawie </w:t>
      </w:r>
      <w:proofErr w:type="spellStart"/>
      <w:r w:rsidR="008113A5" w:rsidRPr="00246717">
        <w:rPr>
          <w:rFonts w:eastAsia="Calibri"/>
          <w:i/>
          <w:iCs/>
          <w:lang w:val="pl-PL"/>
        </w:rPr>
        <w:t>Salduz</w:t>
      </w:r>
      <w:proofErr w:type="spellEnd"/>
      <w:r w:rsidR="008113A5" w:rsidRPr="00246717">
        <w:rPr>
          <w:rFonts w:eastAsia="Calibri"/>
          <w:i/>
          <w:iCs/>
          <w:lang w:val="pl-PL"/>
        </w:rPr>
        <w:t xml:space="preserve"> </w:t>
      </w:r>
      <w:r w:rsidR="008113A5" w:rsidRPr="00246717">
        <w:rPr>
          <w:rFonts w:eastAsia="Calibri"/>
          <w:lang w:val="pl-PL"/>
        </w:rPr>
        <w:t>[WI].</w:t>
      </w:r>
      <w:r w:rsidR="008113A5" w:rsidRPr="00246717">
        <w:rPr>
          <w:rFonts w:eastAsia="Calibri"/>
          <w:vertAlign w:val="superscript"/>
          <w:lang w:val="pl-PL"/>
        </w:rPr>
        <w:footnoteReference w:id="93"/>
      </w:r>
      <w:r w:rsidR="008113A5" w:rsidRPr="00246717">
        <w:rPr>
          <w:rFonts w:eastAsia="Calibri"/>
          <w:lang w:val="pl-PL"/>
        </w:rPr>
        <w:t xml:space="preserve"> Skarżącemu w tej pamiętnej sprawie przed Wielką Izbą odmówiono pomocy prawnej podczas pobytu w policyjnej izbie zatrzymań, podczas którego w ramach przesłuchania złożył on zeznania, które następnie wycofał przed sędzią śledczym i prokuratorem. Trybunał powtórzył swoje uzasadnienie z wyroku w sprawie </w:t>
      </w:r>
      <w:r w:rsidR="008113A5" w:rsidRPr="00246717">
        <w:rPr>
          <w:rFonts w:eastAsia="Calibri"/>
          <w:i/>
          <w:iCs/>
          <w:lang w:val="pl-PL"/>
        </w:rPr>
        <w:t xml:space="preserve">John Murray, </w:t>
      </w:r>
      <w:r w:rsidR="008113A5" w:rsidRPr="00246717">
        <w:rPr>
          <w:rFonts w:eastAsia="Calibri"/>
          <w:lang w:val="pl-PL"/>
        </w:rPr>
        <w:t>twierdząc</w:t>
      </w:r>
      <w:r w:rsidR="0019257F">
        <w:rPr>
          <w:rFonts w:eastAsia="Calibri"/>
          <w:lang w:val="pl-PL"/>
        </w:rPr>
        <w:t xml:space="preserve"> poniższe</w:t>
      </w:r>
      <w:r w:rsidR="008113A5" w:rsidRPr="00246717">
        <w:rPr>
          <w:rFonts w:eastAsia="Calibri"/>
          <w:lang w:val="pl-PL"/>
        </w:rPr>
        <w:t>:</w:t>
      </w:r>
    </w:p>
    <w:p w14:paraId="11B068C2" w14:textId="77777777" w:rsidR="008113A5" w:rsidRPr="00246717" w:rsidRDefault="008113A5" w:rsidP="000957D3">
      <w:pPr>
        <w:pStyle w:val="OpiQuot"/>
        <w:rPr>
          <w:rFonts w:eastAsia="Calibri"/>
          <w:lang w:val="pl-PL"/>
        </w:rPr>
      </w:pPr>
      <w:r w:rsidRPr="00246717">
        <w:rPr>
          <w:rFonts w:eastAsia="Calibri"/>
          <w:lang w:val="pl-PL"/>
        </w:rPr>
        <w:t>„niniejsze prawo [do korzystania z pomocy prawnej już na wczesnych etapach przesłuchania przez policję] dotąd było uznawane za mogące podlegać ograniczeniom z ważnych przyczyn. W każdej sprawie należało więc ustalić, czy ograniczenie było uzasadnione, a jeśli tak, czy w świetle całości postępowania, nie pozbawiło oskarżonego rzetelnego procesu sądowego”.</w:t>
      </w:r>
      <w:r w:rsidRPr="00246717">
        <w:rPr>
          <w:rFonts w:eastAsia="Calibri"/>
          <w:vertAlign w:val="superscript"/>
          <w:lang w:val="pl-PL"/>
        </w:rPr>
        <w:footnoteReference w:id="94"/>
      </w:r>
    </w:p>
    <w:p w14:paraId="37AF9958" w14:textId="0FFA94EA"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39</w:t>
      </w:r>
      <w:r w:rsidRPr="00246717">
        <w:rPr>
          <w:rFonts w:eastAsia="Calibri"/>
          <w:lang w:val="pl-PL"/>
        </w:rPr>
        <w:fldChar w:fldCharType="end"/>
      </w:r>
      <w:r w:rsidR="008113A5" w:rsidRPr="00246717">
        <w:rPr>
          <w:rFonts w:eastAsia="Calibri"/>
          <w:lang w:val="pl-PL"/>
        </w:rPr>
        <w:t xml:space="preserve">.  Z podkreślonej klauzuli niezaprzeczalnie wynika, że oceny ogólnej rzetelności można dokonać dopiero po stwierdzeniu, że ograniczenie jest uzasadnione. Sam Trybunał przypominał wielokrotnie, że każde ograniczenie prawa do obrony musi być uzasadnione, aby mógł </w:t>
      </w:r>
      <w:r w:rsidR="0019257F">
        <w:rPr>
          <w:rFonts w:eastAsia="Calibri"/>
          <w:lang w:val="pl-PL"/>
        </w:rPr>
        <w:t xml:space="preserve">on </w:t>
      </w:r>
      <w:r w:rsidR="008113A5" w:rsidRPr="00246717">
        <w:rPr>
          <w:rFonts w:eastAsia="Calibri"/>
          <w:lang w:val="pl-PL"/>
        </w:rPr>
        <w:t>przeanalizować jego wpływ na ogólną rzetelność postępowania:</w:t>
      </w:r>
    </w:p>
    <w:p w14:paraId="669A87A7" w14:textId="437A214F" w:rsidR="008113A5" w:rsidRPr="00246717" w:rsidRDefault="008113A5" w:rsidP="000957D3">
      <w:pPr>
        <w:pStyle w:val="OpiQuot"/>
        <w:rPr>
          <w:rFonts w:eastAsia="Calibri"/>
          <w:lang w:val="pl-PL"/>
        </w:rPr>
      </w:pPr>
      <w:r w:rsidRPr="00246717">
        <w:rPr>
          <w:rFonts w:eastAsia="Calibri"/>
          <w:lang w:val="pl-PL"/>
        </w:rPr>
        <w:t>„Artykuł 6 ust.</w:t>
      </w:r>
      <w:r w:rsidR="0019257F">
        <w:rPr>
          <w:rFonts w:eastAsia="Calibri"/>
          <w:lang w:val="pl-PL"/>
        </w:rPr>
        <w:t> </w:t>
      </w:r>
      <w:r w:rsidRPr="00246717">
        <w:rPr>
          <w:rFonts w:eastAsia="Calibri"/>
          <w:lang w:val="pl-PL"/>
        </w:rPr>
        <w:t xml:space="preserve">1 wymaga, by – co do zasady – prawo dostępu do </w:t>
      </w:r>
      <w:r w:rsidR="006B687D">
        <w:rPr>
          <w:rFonts w:eastAsia="Calibri"/>
          <w:lang w:val="pl-PL"/>
        </w:rPr>
        <w:t>obrońcy</w:t>
      </w:r>
      <w:r w:rsidRPr="00246717">
        <w:rPr>
          <w:rFonts w:eastAsia="Calibri"/>
          <w:lang w:val="pl-PL"/>
        </w:rPr>
        <w:t xml:space="preserve"> przysługiwało począwszy od pierwszego przesłuchania podejrzanego przez policję, chyba że w świetle szczególnych okoliczności wykazano, że istnieją przekonujące podstawy ograniczenia takiego prawa. Jeśli nawet przekonujące powody mogą wyjątkowo uzasadniać odmowę dostępu do </w:t>
      </w:r>
      <w:r w:rsidR="006B687D">
        <w:rPr>
          <w:rFonts w:eastAsia="Calibri"/>
          <w:lang w:val="pl-PL"/>
        </w:rPr>
        <w:t>obrońcy</w:t>
      </w:r>
      <w:r w:rsidRPr="00246717">
        <w:rPr>
          <w:rFonts w:eastAsia="Calibri"/>
          <w:lang w:val="pl-PL"/>
        </w:rPr>
        <w:t>, takie ograniczenie, bez względu na jego uzasadnienie, nie może w sposób nieuzasadniony naruszać praw oskarżonego na gruncie art.</w:t>
      </w:r>
      <w:r w:rsidR="006B687D">
        <w:rPr>
          <w:rFonts w:eastAsia="Calibri"/>
          <w:lang w:val="pl-PL"/>
        </w:rPr>
        <w:t> </w:t>
      </w:r>
      <w:r w:rsidRPr="00246717">
        <w:rPr>
          <w:rFonts w:eastAsia="Calibri"/>
          <w:lang w:val="pl-PL"/>
        </w:rPr>
        <w:t>6”.</w:t>
      </w:r>
      <w:r w:rsidRPr="00246717">
        <w:rPr>
          <w:rFonts w:eastAsia="Calibri"/>
          <w:vertAlign w:val="superscript"/>
          <w:lang w:val="pl-PL"/>
        </w:rPr>
        <w:footnoteReference w:id="95"/>
      </w:r>
    </w:p>
    <w:p w14:paraId="515304D5" w14:textId="77777777"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40</w:t>
      </w:r>
      <w:r w:rsidRPr="00246717">
        <w:rPr>
          <w:rFonts w:eastAsia="Calibri"/>
          <w:lang w:val="pl-PL"/>
        </w:rPr>
        <w:fldChar w:fldCharType="end"/>
      </w:r>
      <w:r w:rsidR="008113A5" w:rsidRPr="00246717">
        <w:rPr>
          <w:rFonts w:eastAsia="Calibri"/>
          <w:lang w:val="pl-PL"/>
        </w:rPr>
        <w:t>.  Zgodnie z tym tokiem rozumowania przy stosowaniu ogólnych zasad do rozpoznawanej sprawy, Trybunał zauważył:</w:t>
      </w:r>
    </w:p>
    <w:p w14:paraId="78ED402F" w14:textId="3F5CAA8B" w:rsidR="00664804" w:rsidRPr="00246717" w:rsidRDefault="008113A5" w:rsidP="000957D3">
      <w:pPr>
        <w:pStyle w:val="OpiQuot"/>
        <w:rPr>
          <w:rFonts w:eastAsia="Calibri"/>
          <w:lang w:val="pl-PL"/>
        </w:rPr>
      </w:pPr>
      <w:r w:rsidRPr="00246717">
        <w:rPr>
          <w:rFonts w:eastAsia="Calibri"/>
          <w:lang w:val="pl-PL"/>
        </w:rPr>
        <w:t xml:space="preserve">„[...] nie przedstawiono żadnego innego uzasadnienia dla odmowy umożliwienia skarżącemu dostępu do adwokata ze względu na fakt, iż tak w sposób systemowy </w:t>
      </w:r>
      <w:r w:rsidRPr="00246717">
        <w:rPr>
          <w:rFonts w:eastAsia="Calibri"/>
          <w:lang w:val="pl-PL"/>
        </w:rPr>
        <w:lastRenderedPageBreak/>
        <w:t>przewidywały odpowiednie przepisy prawa. W tym względzie już samo to wystarczy to stwierdzenia niespełnienia wymogów przewidzianych w art.</w:t>
      </w:r>
      <w:r w:rsidR="00743D36">
        <w:rPr>
          <w:rFonts w:eastAsia="Calibri"/>
          <w:lang w:val="pl-PL"/>
        </w:rPr>
        <w:t> </w:t>
      </w:r>
      <w:r w:rsidRPr="00246717">
        <w:rPr>
          <w:rFonts w:eastAsia="Calibri"/>
          <w:lang w:val="pl-PL"/>
        </w:rPr>
        <w:t>6”.</w:t>
      </w:r>
      <w:r w:rsidRPr="00246717">
        <w:rPr>
          <w:rFonts w:eastAsia="Calibri"/>
          <w:vertAlign w:val="superscript"/>
          <w:lang w:val="pl-PL"/>
        </w:rPr>
        <w:footnoteReference w:id="96"/>
      </w:r>
    </w:p>
    <w:p w14:paraId="40C43EFD" w14:textId="01EEDB9B"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41</w:t>
      </w:r>
      <w:r w:rsidRPr="00246717">
        <w:rPr>
          <w:rFonts w:eastAsia="Calibri"/>
          <w:lang w:val="pl-PL"/>
        </w:rPr>
        <w:fldChar w:fldCharType="end"/>
      </w:r>
      <w:r w:rsidR="008113A5" w:rsidRPr="00246717">
        <w:rPr>
          <w:rFonts w:eastAsia="Calibri"/>
          <w:lang w:val="pl-PL"/>
        </w:rPr>
        <w:t xml:space="preserve">.  Wyroki w sprawach </w:t>
      </w:r>
      <w:r w:rsidR="008113A5" w:rsidRPr="00246717">
        <w:rPr>
          <w:rFonts w:eastAsia="Calibri"/>
          <w:i/>
          <w:iCs/>
          <w:lang w:val="pl-PL"/>
        </w:rPr>
        <w:t xml:space="preserve">John Murray </w:t>
      </w:r>
      <w:r w:rsidR="008113A5" w:rsidRPr="00246717">
        <w:rPr>
          <w:rFonts w:eastAsia="Calibri"/>
          <w:lang w:val="pl-PL"/>
        </w:rPr>
        <w:t xml:space="preserve">i </w:t>
      </w:r>
      <w:proofErr w:type="spellStart"/>
      <w:r w:rsidR="008113A5" w:rsidRPr="00246717">
        <w:rPr>
          <w:rFonts w:eastAsia="Calibri"/>
          <w:i/>
          <w:iCs/>
          <w:lang w:val="pl-PL"/>
        </w:rPr>
        <w:t>Salduz</w:t>
      </w:r>
      <w:proofErr w:type="spellEnd"/>
      <w:r w:rsidR="008113A5" w:rsidRPr="00246717">
        <w:rPr>
          <w:rFonts w:eastAsia="Calibri"/>
          <w:i/>
          <w:iCs/>
          <w:lang w:val="pl-PL"/>
        </w:rPr>
        <w:t xml:space="preserve">, </w:t>
      </w:r>
      <w:r w:rsidR="008113A5" w:rsidRPr="00246717">
        <w:rPr>
          <w:rFonts w:eastAsia="Calibri"/>
          <w:lang w:val="pl-PL"/>
        </w:rPr>
        <w:t xml:space="preserve">jasno pokazują, że państwa nie mogą w sposób legalny ograniczać dostępu do pomocy prawnej bez podania ważnych powodów. Jak pokazują powyższe cytaty, w istocie trudno jest pomyśleć o jakiejkolwiek innej interpretacji </w:t>
      </w:r>
      <w:r w:rsidR="008113A5" w:rsidRPr="00246717">
        <w:rPr>
          <w:rFonts w:eastAsia="Calibri"/>
          <w:i/>
          <w:iCs/>
          <w:lang w:val="pl-PL"/>
        </w:rPr>
        <w:t xml:space="preserve">ratio </w:t>
      </w:r>
      <w:proofErr w:type="spellStart"/>
      <w:r w:rsidR="008113A5" w:rsidRPr="00246717">
        <w:rPr>
          <w:rFonts w:eastAsia="Calibri"/>
          <w:i/>
          <w:iCs/>
          <w:lang w:val="pl-PL"/>
        </w:rPr>
        <w:t>decidendi</w:t>
      </w:r>
      <w:proofErr w:type="spellEnd"/>
      <w:r w:rsidR="008113A5" w:rsidRPr="00246717">
        <w:rPr>
          <w:rFonts w:eastAsia="Calibri"/>
          <w:i/>
          <w:iCs/>
          <w:lang w:val="pl-PL"/>
        </w:rPr>
        <w:t xml:space="preserve"> </w:t>
      </w:r>
      <w:r w:rsidR="008113A5" w:rsidRPr="00246717">
        <w:rPr>
          <w:rFonts w:eastAsia="Calibri"/>
          <w:lang w:val="pl-PL"/>
        </w:rPr>
        <w:t>w</w:t>
      </w:r>
      <w:r w:rsidR="00743D36">
        <w:rPr>
          <w:rFonts w:eastAsia="Calibri"/>
          <w:lang w:val="pl-PL"/>
        </w:rPr>
        <w:t> </w:t>
      </w:r>
      <w:r w:rsidR="008113A5" w:rsidRPr="00246717">
        <w:rPr>
          <w:rFonts w:eastAsia="Calibri"/>
          <w:lang w:val="pl-PL"/>
        </w:rPr>
        <w:t>tych sprawach. Jeszcze w 2010</w:t>
      </w:r>
      <w:r w:rsidR="00743D36">
        <w:rPr>
          <w:rFonts w:eastAsia="Calibri"/>
          <w:lang w:val="pl-PL"/>
        </w:rPr>
        <w:t> </w:t>
      </w:r>
      <w:r w:rsidR="008113A5" w:rsidRPr="00246717">
        <w:rPr>
          <w:rFonts w:eastAsia="Calibri"/>
          <w:lang w:val="pl-PL"/>
        </w:rPr>
        <w:t xml:space="preserve">r. Trybunał stosował ten tok rozumowania stwierdzając, że brak ważnych powodów ograniczenia dostępu skarżącego do </w:t>
      </w:r>
      <w:r w:rsidR="00743D36">
        <w:rPr>
          <w:rFonts w:eastAsia="Calibri"/>
          <w:lang w:val="pl-PL"/>
        </w:rPr>
        <w:t>obrońcy</w:t>
      </w:r>
      <w:r w:rsidR="008113A5" w:rsidRPr="00246717">
        <w:rPr>
          <w:rFonts w:eastAsia="Calibri"/>
          <w:lang w:val="pl-PL"/>
        </w:rPr>
        <w:t xml:space="preserve"> był wystarczający dla stwierdzenia naruszenia art.</w:t>
      </w:r>
      <w:r w:rsidR="00743D36">
        <w:rPr>
          <w:rFonts w:eastAsia="Calibri"/>
          <w:lang w:val="pl-PL"/>
        </w:rPr>
        <w:t> </w:t>
      </w:r>
      <w:r w:rsidR="008113A5" w:rsidRPr="00246717">
        <w:rPr>
          <w:rFonts w:eastAsia="Calibri"/>
          <w:lang w:val="pl-PL"/>
        </w:rPr>
        <w:t>6:</w:t>
      </w:r>
    </w:p>
    <w:p w14:paraId="43B149C0" w14:textId="436B8194" w:rsidR="00664804" w:rsidRPr="00246717" w:rsidRDefault="008113A5" w:rsidP="000957D3">
      <w:pPr>
        <w:pStyle w:val="OpiQuot"/>
        <w:rPr>
          <w:rFonts w:eastAsia="Calibri"/>
          <w:lang w:val="pl-PL"/>
        </w:rPr>
      </w:pPr>
      <w:r w:rsidRPr="00246717">
        <w:rPr>
          <w:rFonts w:eastAsia="Calibri"/>
          <w:lang w:val="pl-PL"/>
        </w:rPr>
        <w:t>„W każdym razie, żadne dalsze stwierdzenia nie są wymagane w tym względzie w</w:t>
      </w:r>
      <w:r w:rsidR="00743D36">
        <w:rPr>
          <w:rFonts w:eastAsia="Calibri"/>
          <w:lang w:val="pl-PL"/>
        </w:rPr>
        <w:t> </w:t>
      </w:r>
      <w:r w:rsidRPr="00246717">
        <w:rPr>
          <w:rFonts w:eastAsia="Calibri"/>
          <w:lang w:val="pl-PL"/>
        </w:rPr>
        <w:t>niniejszej sprawie, ponieważ ustaliwszy, że ograniczenie prawa skarżącego do obrońcy na etapie przygotowawczym postępowania nie miało uzasadnienia, Trybunał nie musi rozpatrywać dalej, jaki skutek to ograniczenie miało dla ogólnej rzetelności postępowania karnego przeciwko skarżącemu”.</w:t>
      </w:r>
      <w:r w:rsidRPr="00246717">
        <w:rPr>
          <w:rFonts w:eastAsia="Calibri"/>
          <w:vertAlign w:val="superscript"/>
          <w:lang w:val="pl-PL"/>
        </w:rPr>
        <w:footnoteReference w:id="97"/>
      </w:r>
    </w:p>
    <w:p w14:paraId="03671C6D" w14:textId="0E56F46C"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42</w:t>
      </w:r>
      <w:r w:rsidRPr="00246717">
        <w:rPr>
          <w:rFonts w:eastAsia="Calibri"/>
          <w:lang w:val="pl-PL"/>
        </w:rPr>
        <w:fldChar w:fldCharType="end"/>
      </w:r>
      <w:r w:rsidR="008113A5" w:rsidRPr="00246717">
        <w:rPr>
          <w:rFonts w:eastAsia="Calibri"/>
          <w:lang w:val="pl-PL"/>
        </w:rPr>
        <w:t xml:space="preserve">.  Równie bezpośrednie stwierdzenie wystosował Trybunał w sprawie </w:t>
      </w:r>
      <w:proofErr w:type="spellStart"/>
      <w:r w:rsidR="008113A5" w:rsidRPr="00246717">
        <w:rPr>
          <w:rFonts w:eastAsia="Calibri"/>
          <w:i/>
          <w:iCs/>
          <w:lang w:val="pl-PL"/>
        </w:rPr>
        <w:t>Pishchalnikov</w:t>
      </w:r>
      <w:proofErr w:type="spellEnd"/>
      <w:r w:rsidR="008113A5" w:rsidRPr="00246717">
        <w:rPr>
          <w:rFonts w:eastAsia="Calibri"/>
          <w:i/>
          <w:iCs/>
          <w:lang w:val="pl-PL"/>
        </w:rPr>
        <w:t xml:space="preserve"> przeciwko Rosji</w:t>
      </w:r>
      <w:r w:rsidR="008113A5" w:rsidRPr="00246717">
        <w:rPr>
          <w:rFonts w:eastAsia="Calibri"/>
          <w:lang w:val="pl-PL"/>
        </w:rPr>
        <w:t xml:space="preserve">, dotyczącej zeznań złożonych na etapie postępowania przygotowawczego po odmówieniu skarżącemu wsparcia </w:t>
      </w:r>
      <w:r w:rsidR="00743D36">
        <w:rPr>
          <w:rFonts w:eastAsia="Calibri"/>
          <w:lang w:val="pl-PL"/>
        </w:rPr>
        <w:t>obrońcy</w:t>
      </w:r>
      <w:r w:rsidR="008113A5" w:rsidRPr="00246717">
        <w:rPr>
          <w:rFonts w:eastAsia="Calibri"/>
          <w:lang w:val="pl-PL"/>
        </w:rPr>
        <w:t>.</w:t>
      </w:r>
      <w:r w:rsidR="008113A5" w:rsidRPr="00246717">
        <w:rPr>
          <w:rFonts w:eastAsia="Calibri"/>
          <w:vertAlign w:val="superscript"/>
          <w:lang w:val="pl-PL"/>
        </w:rPr>
        <w:footnoteReference w:id="98"/>
      </w:r>
      <w:r w:rsidR="008113A5" w:rsidRPr="00246717">
        <w:rPr>
          <w:rFonts w:eastAsia="Calibri"/>
          <w:lang w:val="pl-PL"/>
        </w:rPr>
        <w:t xml:space="preserve"> W niniejszej sprawie Trybunał przeanalizował, czy „dostęp skarżącej do pełnomocnika był ograniczony” i czy „ograniczenie praw do obrony było uzasadnione”. Bezpośrednio po przeprowadzeniu tej podwójnej oceny Trybunał zauważył:</w:t>
      </w:r>
    </w:p>
    <w:p w14:paraId="25BA34A0" w14:textId="2690E1D9" w:rsidR="008113A5" w:rsidRPr="00246717" w:rsidRDefault="008113A5" w:rsidP="000957D3">
      <w:pPr>
        <w:pStyle w:val="OpiQuot"/>
        <w:rPr>
          <w:rFonts w:eastAsia="Calibri"/>
          <w:lang w:val="pl-PL"/>
        </w:rPr>
      </w:pPr>
      <w:r w:rsidRPr="00246717">
        <w:rPr>
          <w:rFonts w:eastAsia="Calibri"/>
          <w:lang w:val="pl-PL"/>
        </w:rPr>
        <w:t>„[u]</w:t>
      </w:r>
      <w:proofErr w:type="spellStart"/>
      <w:r w:rsidRPr="00246717">
        <w:rPr>
          <w:rFonts w:eastAsia="Calibri"/>
          <w:lang w:val="pl-PL"/>
        </w:rPr>
        <w:t>staliwszy</w:t>
      </w:r>
      <w:proofErr w:type="spellEnd"/>
      <w:r w:rsidRPr="00246717">
        <w:rPr>
          <w:rFonts w:eastAsia="Calibri"/>
          <w:lang w:val="pl-PL"/>
        </w:rPr>
        <w:t>, że ograniczenie prawa skarżącego do obrońcy nie miało uzasadnienia, Trybunał, co do zasady, nie musi rozpatrywać dalej, jaki skutek to ograniczenie miało dla ogólnej rzetelności postępowania karnego przeciwko skarżącemu, ponieważ sama koncepcja rzetelności wpisana w art.</w:t>
      </w:r>
      <w:r w:rsidR="00743D36">
        <w:rPr>
          <w:rFonts w:eastAsia="Calibri"/>
          <w:lang w:val="pl-PL"/>
        </w:rPr>
        <w:t> </w:t>
      </w:r>
      <w:r w:rsidRPr="00246717">
        <w:rPr>
          <w:rFonts w:eastAsia="Calibri"/>
          <w:lang w:val="pl-PL"/>
        </w:rPr>
        <w:t xml:space="preserve">6 wymaga, aby oskarżony korzystał z pomocy </w:t>
      </w:r>
      <w:r w:rsidR="00743D36">
        <w:rPr>
          <w:rFonts w:eastAsia="Calibri"/>
          <w:lang w:val="pl-PL"/>
        </w:rPr>
        <w:t>obrońcy</w:t>
      </w:r>
      <w:r w:rsidRPr="00246717">
        <w:rPr>
          <w:rFonts w:eastAsia="Calibri"/>
          <w:lang w:val="pl-PL"/>
        </w:rPr>
        <w:t xml:space="preserve"> już na pierwszych etapach przesłuchania policyjnego, chyba że ograniczenie prawa do </w:t>
      </w:r>
      <w:r w:rsidR="00743D36">
        <w:rPr>
          <w:rFonts w:eastAsia="Calibri"/>
          <w:lang w:val="pl-PL"/>
        </w:rPr>
        <w:t>obrońcy</w:t>
      </w:r>
      <w:r w:rsidRPr="00246717">
        <w:rPr>
          <w:rFonts w:eastAsia="Calibri"/>
          <w:lang w:val="pl-PL"/>
        </w:rPr>
        <w:t xml:space="preserve"> zostaje w drodze wyjątku nałożone z ważnych przyczyn”.</w:t>
      </w:r>
      <w:r w:rsidRPr="00246717">
        <w:rPr>
          <w:rFonts w:eastAsia="Calibri"/>
          <w:vertAlign w:val="superscript"/>
          <w:lang w:val="pl-PL"/>
        </w:rPr>
        <w:footnoteReference w:id="99"/>
      </w:r>
    </w:p>
    <w:p w14:paraId="7381AC59" w14:textId="1F34FF5A"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43</w:t>
      </w:r>
      <w:r w:rsidRPr="00246717">
        <w:rPr>
          <w:rFonts w:eastAsia="Calibri"/>
          <w:lang w:val="pl-PL"/>
        </w:rPr>
        <w:fldChar w:fldCharType="end"/>
      </w:r>
      <w:r w:rsidR="008113A5" w:rsidRPr="00246717">
        <w:rPr>
          <w:rFonts w:eastAsia="Calibri"/>
          <w:lang w:val="pl-PL"/>
        </w:rPr>
        <w:t>.  Sprawa</w:t>
      </w:r>
      <w:r w:rsidR="008113A5" w:rsidRPr="00246717">
        <w:rPr>
          <w:rFonts w:eastAsia="Calibri"/>
          <w:i/>
          <w:iCs/>
          <w:lang w:val="pl-PL"/>
        </w:rPr>
        <w:t xml:space="preserve"> </w:t>
      </w:r>
      <w:proofErr w:type="spellStart"/>
      <w:r w:rsidR="008113A5" w:rsidRPr="00246717">
        <w:rPr>
          <w:rFonts w:eastAsia="Calibri"/>
          <w:i/>
          <w:iCs/>
          <w:lang w:val="pl-PL"/>
        </w:rPr>
        <w:t>Dvorski</w:t>
      </w:r>
      <w:proofErr w:type="spellEnd"/>
      <w:r w:rsidR="008113A5" w:rsidRPr="00246717">
        <w:rPr>
          <w:rFonts w:eastAsia="Calibri"/>
          <w:i/>
          <w:iCs/>
          <w:lang w:val="pl-PL"/>
        </w:rPr>
        <w:t xml:space="preserve"> przeciwko Chorwacji </w:t>
      </w:r>
      <w:r w:rsidR="008113A5" w:rsidRPr="00246717">
        <w:rPr>
          <w:rFonts w:eastAsia="Calibri"/>
          <w:lang w:val="pl-PL"/>
        </w:rPr>
        <w:t>dotyczyła „odmowy wyboru” obrońcy, nie zaś otwartej odmowy dostępu do niego. Nie powołując się na jakikolwiek precedens Trybunału na poparcie tego wniosku, większość składu orzekającego stwierdziła:</w:t>
      </w:r>
    </w:p>
    <w:p w14:paraId="50BDC472" w14:textId="77777777" w:rsidR="00664804" w:rsidRPr="00246717" w:rsidRDefault="008113A5" w:rsidP="000957D3">
      <w:pPr>
        <w:pStyle w:val="OpiQuot"/>
        <w:rPr>
          <w:rFonts w:eastAsia="Calibri"/>
          <w:lang w:val="pl-PL"/>
        </w:rPr>
      </w:pPr>
      <w:r w:rsidRPr="00246717">
        <w:rPr>
          <w:rFonts w:eastAsia="Calibri"/>
          <w:lang w:val="pl-PL"/>
        </w:rPr>
        <w:t>„[...] pierwszym krokiem powinna być ocena, czy [...] istniały istotne i wystarczające podstawy dla zastąpienia lub zablokowania życzenia oskarżonego co do jego wyboru przedstawicieli prawnych. Jeżeli nie istnieją takie powody, Trybunał powinien dokonać oceny ogólnej rzetelności postępowania karnego”.</w:t>
      </w:r>
      <w:r w:rsidRPr="00246717">
        <w:rPr>
          <w:rFonts w:eastAsia="Calibri"/>
          <w:vertAlign w:val="superscript"/>
          <w:lang w:val="pl-PL"/>
        </w:rPr>
        <w:footnoteReference w:id="100"/>
      </w:r>
    </w:p>
    <w:p w14:paraId="1B263BD5" w14:textId="74E2A176"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44</w:t>
      </w:r>
      <w:r w:rsidRPr="00246717">
        <w:rPr>
          <w:rFonts w:eastAsia="Calibri"/>
          <w:lang w:val="pl-PL"/>
        </w:rPr>
        <w:fldChar w:fldCharType="end"/>
      </w:r>
      <w:r w:rsidR="008113A5" w:rsidRPr="00246717">
        <w:rPr>
          <w:rFonts w:eastAsia="Calibri"/>
          <w:lang w:val="pl-PL"/>
        </w:rPr>
        <w:t xml:space="preserve">.  Wtedy po raz pierwszy Trybunał </w:t>
      </w:r>
      <w:r w:rsidR="00140493">
        <w:rPr>
          <w:rFonts w:eastAsia="Calibri"/>
          <w:lang w:val="pl-PL"/>
        </w:rPr>
        <w:t xml:space="preserve">odstąpił od </w:t>
      </w:r>
      <w:r w:rsidR="008113A5" w:rsidRPr="00246717">
        <w:rPr>
          <w:rFonts w:eastAsia="Calibri"/>
          <w:lang w:val="pl-PL"/>
        </w:rPr>
        <w:t>uzasadnieni</w:t>
      </w:r>
      <w:r w:rsidR="00140493">
        <w:rPr>
          <w:rFonts w:eastAsia="Calibri"/>
          <w:lang w:val="pl-PL"/>
        </w:rPr>
        <w:t>a</w:t>
      </w:r>
      <w:r w:rsidR="008113A5" w:rsidRPr="00246717">
        <w:rPr>
          <w:rFonts w:eastAsia="Calibri"/>
          <w:lang w:val="pl-PL"/>
        </w:rPr>
        <w:t xml:space="preserve"> przyjęte</w:t>
      </w:r>
      <w:r w:rsidR="00140493">
        <w:rPr>
          <w:rFonts w:eastAsia="Calibri"/>
          <w:lang w:val="pl-PL"/>
        </w:rPr>
        <w:t>go</w:t>
      </w:r>
      <w:r w:rsidR="008113A5" w:rsidRPr="00246717">
        <w:rPr>
          <w:rFonts w:eastAsia="Calibri"/>
          <w:lang w:val="pl-PL"/>
        </w:rPr>
        <w:t xml:space="preserve"> w</w:t>
      </w:r>
      <w:r w:rsidR="00743D36">
        <w:rPr>
          <w:rFonts w:eastAsia="Calibri"/>
          <w:lang w:val="pl-PL"/>
        </w:rPr>
        <w:t> </w:t>
      </w:r>
      <w:r w:rsidR="008113A5" w:rsidRPr="00246717">
        <w:rPr>
          <w:rFonts w:eastAsia="Calibri"/>
          <w:lang w:val="pl-PL"/>
        </w:rPr>
        <w:t xml:space="preserve">sprawie </w:t>
      </w:r>
      <w:r w:rsidR="008113A5" w:rsidRPr="00246717">
        <w:rPr>
          <w:rFonts w:eastAsia="Calibri"/>
          <w:i/>
          <w:iCs/>
          <w:lang w:val="pl-PL"/>
        </w:rPr>
        <w:t xml:space="preserve">John Murray </w:t>
      </w:r>
      <w:r w:rsidR="008113A5" w:rsidRPr="00246717">
        <w:rPr>
          <w:rFonts w:eastAsia="Calibri"/>
          <w:lang w:val="pl-PL"/>
        </w:rPr>
        <w:t xml:space="preserve">i </w:t>
      </w:r>
      <w:proofErr w:type="spellStart"/>
      <w:r w:rsidR="008113A5" w:rsidRPr="00246717">
        <w:rPr>
          <w:rFonts w:eastAsia="Calibri"/>
          <w:i/>
          <w:iCs/>
          <w:lang w:val="pl-PL"/>
        </w:rPr>
        <w:t>Salduz</w:t>
      </w:r>
      <w:proofErr w:type="spellEnd"/>
      <w:r w:rsidR="008113A5" w:rsidRPr="00246717">
        <w:rPr>
          <w:rFonts w:eastAsia="Calibri"/>
          <w:lang w:val="pl-PL"/>
        </w:rPr>
        <w:t xml:space="preserve">. Niemniej należy tu uwzględnić dwa kryteria. Po pierwsze, w odróżnieniu od wcześniejszych spraw, w których rozpatrywano „odmowę dostępu” do </w:t>
      </w:r>
      <w:r w:rsidR="00743D36">
        <w:rPr>
          <w:rFonts w:eastAsia="Calibri"/>
          <w:lang w:val="pl-PL"/>
        </w:rPr>
        <w:t>obrońcy</w:t>
      </w:r>
      <w:r w:rsidR="008113A5" w:rsidRPr="00246717">
        <w:rPr>
          <w:rFonts w:eastAsia="Calibri"/>
          <w:lang w:val="pl-PL"/>
        </w:rPr>
        <w:t xml:space="preserve">, w sprawie </w:t>
      </w:r>
      <w:proofErr w:type="spellStart"/>
      <w:r w:rsidR="008113A5" w:rsidRPr="00246717">
        <w:rPr>
          <w:rFonts w:eastAsia="Calibri"/>
          <w:i/>
          <w:iCs/>
          <w:lang w:val="pl-PL"/>
        </w:rPr>
        <w:t>Dvorski</w:t>
      </w:r>
      <w:proofErr w:type="spellEnd"/>
      <w:r w:rsidR="008113A5" w:rsidRPr="00246717">
        <w:rPr>
          <w:rFonts w:eastAsia="Calibri"/>
          <w:i/>
          <w:iCs/>
          <w:lang w:val="pl-PL"/>
        </w:rPr>
        <w:t xml:space="preserve"> </w:t>
      </w:r>
      <w:r w:rsidR="008113A5" w:rsidRPr="00246717">
        <w:rPr>
          <w:rFonts w:eastAsia="Calibri"/>
          <w:lang w:val="pl-PL"/>
        </w:rPr>
        <w:lastRenderedPageBreak/>
        <w:t>rozpatrywano „odmowę wyboru”, którą Trybunał uznał za kwestię „mniejszej wagi”.</w:t>
      </w:r>
      <w:r w:rsidR="008113A5" w:rsidRPr="00246717">
        <w:rPr>
          <w:rFonts w:eastAsia="Calibri"/>
          <w:vertAlign w:val="superscript"/>
          <w:lang w:val="pl-PL"/>
        </w:rPr>
        <w:footnoteReference w:id="101"/>
      </w:r>
      <w:r w:rsidR="008113A5" w:rsidRPr="00246717">
        <w:rPr>
          <w:rFonts w:eastAsia="Calibri"/>
          <w:lang w:val="pl-PL"/>
        </w:rPr>
        <w:t xml:space="preserve"> Po drugie, i ważniejsze, wydaje się, że ocena ogólnej rzetelności postępowania została przeprowadzona na podstawie poważnego domniemania, zgodnie z którym początkowe zeznanie skarżącego, złożone bez obecności swobodnie wybranego </w:t>
      </w:r>
      <w:r w:rsidR="00743D36">
        <w:rPr>
          <w:rFonts w:eastAsia="Calibri"/>
          <w:lang w:val="pl-PL"/>
        </w:rPr>
        <w:t>obrońcy</w:t>
      </w:r>
      <w:r w:rsidR="008113A5" w:rsidRPr="00246717">
        <w:rPr>
          <w:rFonts w:eastAsia="Calibri"/>
          <w:lang w:val="pl-PL"/>
        </w:rPr>
        <w:t>, miało „prawdopodobny znaczący wpływ” na przebieg postępowania karnego.</w:t>
      </w:r>
      <w:r w:rsidR="008113A5" w:rsidRPr="00246717">
        <w:rPr>
          <w:rFonts w:eastAsia="Calibri"/>
          <w:vertAlign w:val="superscript"/>
          <w:lang w:val="pl-PL"/>
        </w:rPr>
        <w:footnoteReference w:id="102"/>
      </w:r>
      <w:r w:rsidR="008113A5" w:rsidRPr="00246717">
        <w:rPr>
          <w:rFonts w:eastAsia="Calibri"/>
          <w:lang w:val="pl-PL"/>
        </w:rPr>
        <w:t xml:space="preserve"> Charakter tego „prawdopodobieństwa” nie jest jasny, ale bez dokonywania nadużycia treści, można je odczytywać jako uznanie, że każda odmowa wyboru adwokata na kluczowym etapie postępowania karnego może wywrzeć wpływ zagrażający rzetelności postępowania jako całości.</w:t>
      </w:r>
      <w:r w:rsidR="008113A5" w:rsidRPr="00246717">
        <w:rPr>
          <w:rFonts w:eastAsia="Calibri"/>
          <w:vertAlign w:val="superscript"/>
          <w:lang w:val="pl-PL"/>
        </w:rPr>
        <w:footnoteReference w:id="103"/>
      </w:r>
      <w:r w:rsidR="008113A5" w:rsidRPr="00246717">
        <w:rPr>
          <w:rFonts w:eastAsia="Calibri"/>
          <w:lang w:val="pl-PL"/>
        </w:rPr>
        <w:t xml:space="preserve"> Taka interpretacja wyroku w sprawie </w:t>
      </w:r>
      <w:proofErr w:type="spellStart"/>
      <w:r w:rsidR="008113A5" w:rsidRPr="00246717">
        <w:rPr>
          <w:rFonts w:eastAsia="Calibri"/>
          <w:i/>
          <w:iCs/>
          <w:lang w:val="pl-PL"/>
        </w:rPr>
        <w:t>Dvorski</w:t>
      </w:r>
      <w:proofErr w:type="spellEnd"/>
      <w:r w:rsidR="008113A5" w:rsidRPr="00246717">
        <w:rPr>
          <w:rFonts w:eastAsia="Calibri"/>
          <w:i/>
          <w:iCs/>
          <w:lang w:val="pl-PL"/>
        </w:rPr>
        <w:t xml:space="preserve"> </w:t>
      </w:r>
      <w:r w:rsidR="008113A5" w:rsidRPr="00246717">
        <w:rPr>
          <w:rFonts w:eastAsia="Calibri"/>
          <w:lang w:val="pl-PL"/>
        </w:rPr>
        <w:t xml:space="preserve">byłaby zgodna z </w:t>
      </w:r>
      <w:proofErr w:type="spellStart"/>
      <w:r w:rsidR="008113A5" w:rsidRPr="00246717">
        <w:rPr>
          <w:rFonts w:eastAsia="Calibri"/>
          <w:i/>
          <w:iCs/>
          <w:lang w:val="pl-PL"/>
        </w:rPr>
        <w:t>Salduz</w:t>
      </w:r>
      <w:proofErr w:type="spellEnd"/>
      <w:r w:rsidR="008113A5" w:rsidRPr="00246717">
        <w:rPr>
          <w:rFonts w:eastAsia="Calibri"/>
          <w:lang w:val="pl-PL"/>
        </w:rPr>
        <w:t>, chociaż w</w:t>
      </w:r>
      <w:r w:rsidR="00743D36">
        <w:rPr>
          <w:rFonts w:eastAsia="Calibri"/>
          <w:lang w:val="pl-PL"/>
        </w:rPr>
        <w:t> </w:t>
      </w:r>
      <w:r w:rsidR="008113A5" w:rsidRPr="00246717">
        <w:rPr>
          <w:rFonts w:eastAsia="Calibri"/>
          <w:lang w:val="pl-PL"/>
        </w:rPr>
        <w:t>sposób niedoskonały.</w:t>
      </w:r>
    </w:p>
    <w:p w14:paraId="24D21BDE" w14:textId="2900B75E"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45</w:t>
      </w:r>
      <w:r w:rsidRPr="00246717">
        <w:rPr>
          <w:rFonts w:eastAsia="Calibri"/>
          <w:lang w:val="pl-PL"/>
        </w:rPr>
        <w:fldChar w:fldCharType="end"/>
      </w:r>
      <w:r w:rsidR="008113A5" w:rsidRPr="00246717">
        <w:rPr>
          <w:rFonts w:eastAsia="Calibri"/>
          <w:lang w:val="pl-PL"/>
        </w:rPr>
        <w:t xml:space="preserve">.  Dopiero w sprawie </w:t>
      </w:r>
      <w:r w:rsidR="008113A5" w:rsidRPr="00246717">
        <w:rPr>
          <w:rFonts w:eastAsia="Calibri"/>
          <w:i/>
          <w:iCs/>
          <w:lang w:val="pl-PL"/>
        </w:rPr>
        <w:t xml:space="preserve">Ibrahim i Inni przeciwko Zjednoczonemu Królestwu, </w:t>
      </w:r>
      <w:r w:rsidR="008113A5" w:rsidRPr="00246717">
        <w:rPr>
          <w:rFonts w:eastAsia="Calibri"/>
          <w:lang w:val="pl-PL"/>
        </w:rPr>
        <w:t xml:space="preserve">pod pretekstem „objaśnienia” wyroku w sprawie </w:t>
      </w:r>
      <w:proofErr w:type="spellStart"/>
      <w:r w:rsidR="008113A5" w:rsidRPr="00246717">
        <w:rPr>
          <w:rFonts w:eastAsia="Calibri"/>
          <w:i/>
          <w:iCs/>
          <w:lang w:val="pl-PL"/>
        </w:rPr>
        <w:t>Salduz</w:t>
      </w:r>
      <w:proofErr w:type="spellEnd"/>
      <w:r w:rsidR="008113A5" w:rsidRPr="00246717">
        <w:rPr>
          <w:rFonts w:eastAsia="Calibri"/>
          <w:vertAlign w:val="superscript"/>
          <w:lang w:val="pl-PL"/>
        </w:rPr>
        <w:footnoteReference w:id="104"/>
      </w:r>
      <w:r w:rsidR="008113A5" w:rsidRPr="00246717">
        <w:rPr>
          <w:rFonts w:eastAsia="Calibri"/>
          <w:lang w:val="pl-PL"/>
        </w:rPr>
        <w:t>, Wielka Izba w rzeczywistości zupełnie wprost odchodzi od poprzedniego orzecznictwa na gruncie art.</w:t>
      </w:r>
      <w:r w:rsidR="00743D36">
        <w:rPr>
          <w:rFonts w:eastAsia="Calibri"/>
          <w:lang w:val="pl-PL"/>
        </w:rPr>
        <w:t> </w:t>
      </w:r>
      <w:r w:rsidR="008113A5" w:rsidRPr="00246717">
        <w:rPr>
          <w:rFonts w:eastAsia="Calibri"/>
          <w:lang w:val="pl-PL"/>
        </w:rPr>
        <w:t>6 ust.</w:t>
      </w:r>
      <w:r w:rsidR="00743D36">
        <w:rPr>
          <w:rFonts w:eastAsia="Calibri"/>
          <w:lang w:val="pl-PL"/>
        </w:rPr>
        <w:t> </w:t>
      </w:r>
      <w:r w:rsidR="008113A5" w:rsidRPr="00246717">
        <w:rPr>
          <w:rFonts w:eastAsia="Calibri"/>
          <w:lang w:val="pl-PL"/>
        </w:rPr>
        <w:t>3 lit.</w:t>
      </w:r>
      <w:r w:rsidR="00743D36">
        <w:rPr>
          <w:rFonts w:eastAsia="Calibri"/>
          <w:lang w:val="pl-PL"/>
        </w:rPr>
        <w:t> </w:t>
      </w:r>
      <w:r w:rsidR="008113A5" w:rsidRPr="00246717">
        <w:rPr>
          <w:rFonts w:eastAsia="Calibri"/>
          <w:lang w:val="pl-PL"/>
        </w:rPr>
        <w:t>c Konwencji. Trybunał stwierdza, że „brak przekonujących powodów (ograniczenia prawa oskarżonej do pełnomocnika) nie [...] prowadzi sam w sobie do stwierdzenia naruszenia art.</w:t>
      </w:r>
      <w:r w:rsidR="00743D36">
        <w:rPr>
          <w:rFonts w:eastAsia="Calibri"/>
          <w:lang w:val="pl-PL"/>
        </w:rPr>
        <w:t> </w:t>
      </w:r>
      <w:r w:rsidR="008113A5" w:rsidRPr="00246717">
        <w:rPr>
          <w:rFonts w:eastAsia="Calibri"/>
          <w:lang w:val="pl-PL"/>
        </w:rPr>
        <w:t>6”.</w:t>
      </w:r>
      <w:r w:rsidR="008113A5" w:rsidRPr="00246717">
        <w:rPr>
          <w:rFonts w:eastAsia="Calibri"/>
          <w:vertAlign w:val="superscript"/>
          <w:lang w:val="pl-PL"/>
        </w:rPr>
        <w:footnoteReference w:id="105"/>
      </w:r>
      <w:r w:rsidR="008113A5" w:rsidRPr="00246717">
        <w:rPr>
          <w:rFonts w:eastAsia="Calibri"/>
          <w:lang w:val="pl-PL"/>
        </w:rPr>
        <w:t xml:space="preserve"> W rzeczy samej, podobnie jak w wyrokach w sprawach </w:t>
      </w:r>
      <w:r w:rsidR="008113A5" w:rsidRPr="00246717">
        <w:rPr>
          <w:rFonts w:eastAsia="Calibri"/>
          <w:i/>
          <w:iCs/>
          <w:lang w:val="pl-PL"/>
        </w:rPr>
        <w:t xml:space="preserve">John Murray </w:t>
      </w:r>
      <w:r w:rsidR="008113A5" w:rsidRPr="00246717">
        <w:rPr>
          <w:rFonts w:eastAsia="Calibri"/>
          <w:lang w:val="pl-PL"/>
        </w:rPr>
        <w:t xml:space="preserve">i </w:t>
      </w:r>
      <w:proofErr w:type="spellStart"/>
      <w:r w:rsidR="008113A5" w:rsidRPr="00246717">
        <w:rPr>
          <w:rFonts w:eastAsia="Calibri"/>
          <w:i/>
          <w:iCs/>
          <w:lang w:val="pl-PL"/>
        </w:rPr>
        <w:t>Salduz</w:t>
      </w:r>
      <w:proofErr w:type="spellEnd"/>
      <w:r w:rsidR="008113A5" w:rsidRPr="00246717">
        <w:rPr>
          <w:rFonts w:eastAsia="Calibri"/>
          <w:i/>
          <w:iCs/>
          <w:lang w:val="pl-PL"/>
        </w:rPr>
        <w:t xml:space="preserve">, </w:t>
      </w:r>
      <w:r w:rsidR="008113A5" w:rsidRPr="00246717">
        <w:rPr>
          <w:rFonts w:eastAsia="Calibri"/>
          <w:lang w:val="pl-PL"/>
        </w:rPr>
        <w:t>jeżeli „stwierdzono ustalenie przekonujących powodów, holistyczna ocena całości postępowania musi zostać przeprowadzona w celu ustalenia, czy było ono „rzetelne” w rozumieniu art.</w:t>
      </w:r>
      <w:r w:rsidR="005A5E49">
        <w:rPr>
          <w:rFonts w:eastAsia="Calibri"/>
          <w:lang w:val="pl-PL"/>
        </w:rPr>
        <w:t> </w:t>
      </w:r>
      <w:r w:rsidR="008113A5" w:rsidRPr="00246717">
        <w:rPr>
          <w:rFonts w:eastAsia="Calibri"/>
          <w:lang w:val="pl-PL"/>
        </w:rPr>
        <w:t>6 ust.</w:t>
      </w:r>
      <w:r w:rsidR="005A5E49">
        <w:rPr>
          <w:rFonts w:eastAsia="Calibri"/>
          <w:lang w:val="pl-PL"/>
        </w:rPr>
        <w:t> </w:t>
      </w:r>
      <w:r w:rsidR="008113A5" w:rsidRPr="00246717">
        <w:rPr>
          <w:rFonts w:eastAsia="Calibri"/>
          <w:lang w:val="pl-PL"/>
        </w:rPr>
        <w:t>1”.</w:t>
      </w:r>
      <w:r w:rsidR="008113A5" w:rsidRPr="00246717">
        <w:rPr>
          <w:rFonts w:eastAsia="Calibri"/>
          <w:vertAlign w:val="superscript"/>
          <w:lang w:val="pl-PL"/>
        </w:rPr>
        <w:footnoteReference w:id="106"/>
      </w:r>
      <w:r w:rsidR="008113A5" w:rsidRPr="00246717">
        <w:rPr>
          <w:rFonts w:eastAsia="Calibri"/>
          <w:lang w:val="pl-PL"/>
        </w:rPr>
        <w:t xml:space="preserve"> Jednakże, jeśli „nie ma przekonujących powodów dla ograniczenia dostępu do </w:t>
      </w:r>
      <w:r w:rsidR="00140493">
        <w:rPr>
          <w:rFonts w:eastAsia="Calibri"/>
          <w:lang w:val="pl-PL"/>
        </w:rPr>
        <w:t>pomocy</w:t>
      </w:r>
      <w:r w:rsidR="00140493" w:rsidRPr="00246717">
        <w:rPr>
          <w:rFonts w:eastAsia="Calibri"/>
          <w:lang w:val="pl-PL"/>
        </w:rPr>
        <w:t xml:space="preserve"> prawne</w:t>
      </w:r>
      <w:r w:rsidR="00140493">
        <w:rPr>
          <w:rFonts w:eastAsia="Calibri"/>
          <w:lang w:val="pl-PL"/>
        </w:rPr>
        <w:t>j</w:t>
      </w:r>
      <w:r w:rsidR="008113A5" w:rsidRPr="00246717">
        <w:rPr>
          <w:rFonts w:eastAsia="Calibri"/>
          <w:lang w:val="pl-PL"/>
        </w:rPr>
        <w:t>, Trybunał musi zastosować bardzo surową kontrolę oceny rzetelności”.</w:t>
      </w:r>
      <w:r w:rsidR="008113A5" w:rsidRPr="00246717">
        <w:rPr>
          <w:rFonts w:eastAsia="Calibri"/>
          <w:vertAlign w:val="superscript"/>
          <w:lang w:val="pl-PL"/>
        </w:rPr>
        <w:footnoteReference w:id="107"/>
      </w:r>
      <w:r w:rsidR="008113A5" w:rsidRPr="00246717">
        <w:rPr>
          <w:rFonts w:eastAsia="Calibri"/>
          <w:lang w:val="pl-PL"/>
        </w:rPr>
        <w:t xml:space="preserve"> Co ciekawe, Trybunał nie przedstawia tego jako innowacji, ale jako poprawne odczytanie </w:t>
      </w:r>
      <w:proofErr w:type="spellStart"/>
      <w:r w:rsidR="008113A5" w:rsidRPr="00246717">
        <w:rPr>
          <w:rFonts w:eastAsia="Calibri"/>
          <w:i/>
          <w:iCs/>
          <w:lang w:val="pl-PL"/>
        </w:rPr>
        <w:t>Salduz</w:t>
      </w:r>
      <w:proofErr w:type="spellEnd"/>
      <w:r w:rsidR="008113A5" w:rsidRPr="00246717">
        <w:rPr>
          <w:rFonts w:eastAsia="Calibri"/>
          <w:lang w:val="pl-PL"/>
        </w:rPr>
        <w:t>.</w:t>
      </w:r>
      <w:r w:rsidR="008113A5" w:rsidRPr="00246717">
        <w:rPr>
          <w:rFonts w:eastAsia="Calibri"/>
          <w:vertAlign w:val="superscript"/>
          <w:lang w:val="pl-PL"/>
        </w:rPr>
        <w:footnoteReference w:id="108"/>
      </w:r>
      <w:r w:rsidR="008113A5" w:rsidRPr="00246717">
        <w:rPr>
          <w:rFonts w:eastAsia="Calibri"/>
          <w:lang w:val="pl-PL"/>
        </w:rPr>
        <w:t xml:space="preserve"> Jak dobitnie wykazano w</w:t>
      </w:r>
      <w:r w:rsidR="005A5E49">
        <w:rPr>
          <w:rFonts w:eastAsia="Calibri"/>
          <w:lang w:val="pl-PL"/>
        </w:rPr>
        <w:t> </w:t>
      </w:r>
      <w:r w:rsidR="008113A5" w:rsidRPr="00246717">
        <w:rPr>
          <w:rFonts w:eastAsia="Calibri"/>
          <w:lang w:val="pl-PL"/>
        </w:rPr>
        <w:t xml:space="preserve">odrębnej opinii sędziów </w:t>
      </w:r>
      <w:proofErr w:type="spellStart"/>
      <w:r w:rsidR="008113A5" w:rsidRPr="00246717">
        <w:rPr>
          <w:rFonts w:eastAsia="Calibri"/>
          <w:lang w:val="pl-PL"/>
        </w:rPr>
        <w:t>Sajó</w:t>
      </w:r>
      <w:proofErr w:type="spellEnd"/>
      <w:r w:rsidR="008113A5" w:rsidRPr="00246717">
        <w:rPr>
          <w:rFonts w:eastAsia="Calibri"/>
          <w:lang w:val="pl-PL"/>
        </w:rPr>
        <w:t xml:space="preserve"> i </w:t>
      </w:r>
      <w:proofErr w:type="spellStart"/>
      <w:r w:rsidR="008113A5" w:rsidRPr="00246717">
        <w:rPr>
          <w:rFonts w:eastAsia="Calibri"/>
          <w:lang w:val="pl-PL"/>
        </w:rPr>
        <w:t>Laffranque</w:t>
      </w:r>
      <w:proofErr w:type="spellEnd"/>
      <w:r w:rsidR="008113A5" w:rsidRPr="00246717">
        <w:rPr>
          <w:rFonts w:eastAsia="Calibri"/>
          <w:lang w:val="pl-PL"/>
        </w:rPr>
        <w:t xml:space="preserve"> w sprawie </w:t>
      </w:r>
      <w:r w:rsidR="008113A5" w:rsidRPr="00246717">
        <w:rPr>
          <w:rFonts w:eastAsia="Calibri"/>
          <w:i/>
          <w:iCs/>
          <w:lang w:val="pl-PL"/>
        </w:rPr>
        <w:t>Ibrahim i Inni</w:t>
      </w:r>
      <w:r w:rsidR="008113A5" w:rsidRPr="00246717">
        <w:rPr>
          <w:rFonts w:eastAsia="Calibri"/>
          <w:vertAlign w:val="superscript"/>
          <w:lang w:val="pl-PL"/>
        </w:rPr>
        <w:footnoteReference w:id="109"/>
      </w:r>
      <w:r w:rsidR="008113A5" w:rsidRPr="00246717">
        <w:rPr>
          <w:rFonts w:eastAsia="Calibri"/>
          <w:lang w:val="pl-PL"/>
        </w:rPr>
        <w:t xml:space="preserve">, trudno </w:t>
      </w:r>
      <w:r w:rsidR="00140493">
        <w:rPr>
          <w:rFonts w:eastAsia="Calibri"/>
          <w:lang w:val="pl-PL"/>
        </w:rPr>
        <w:t>stanowisko to podzielić</w:t>
      </w:r>
      <w:r w:rsidR="008113A5" w:rsidRPr="00246717">
        <w:rPr>
          <w:rFonts w:eastAsia="Calibri"/>
          <w:lang w:val="pl-PL"/>
        </w:rPr>
        <w:t>.</w:t>
      </w:r>
    </w:p>
    <w:p w14:paraId="2B83E40C" w14:textId="3040B5B6"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46</w:t>
      </w:r>
      <w:r w:rsidRPr="00246717">
        <w:rPr>
          <w:rFonts w:eastAsia="Calibri"/>
          <w:lang w:val="pl-PL"/>
        </w:rPr>
        <w:fldChar w:fldCharType="end"/>
      </w:r>
      <w:r w:rsidR="008113A5" w:rsidRPr="00246717">
        <w:rPr>
          <w:rFonts w:eastAsia="Calibri"/>
          <w:lang w:val="pl-PL"/>
        </w:rPr>
        <w:t xml:space="preserve">.  Poprzednie paragrafy pokazują, że w przeciwieństwie do tego, co twierdzi Trybunał, uzasadnienie wyroku w sprawie </w:t>
      </w:r>
      <w:r w:rsidR="008113A5" w:rsidRPr="00246717">
        <w:rPr>
          <w:rFonts w:eastAsia="Calibri"/>
          <w:i/>
          <w:iCs/>
          <w:lang w:val="pl-PL"/>
        </w:rPr>
        <w:t xml:space="preserve">Ibrahim i Inni </w:t>
      </w:r>
      <w:r w:rsidR="008113A5" w:rsidRPr="00246717">
        <w:rPr>
          <w:rFonts w:eastAsia="Calibri"/>
          <w:lang w:val="pl-PL"/>
        </w:rPr>
        <w:t>jest sprzeczne z utrwalonym orzecznictwem, które zakończyło się wraz z</w:t>
      </w:r>
      <w:r w:rsidR="005A5E49">
        <w:rPr>
          <w:rFonts w:eastAsia="Calibri"/>
          <w:lang w:val="pl-PL"/>
        </w:rPr>
        <w:t> </w:t>
      </w:r>
      <w:r w:rsidR="008113A5" w:rsidRPr="00246717">
        <w:rPr>
          <w:rFonts w:eastAsia="Calibri"/>
          <w:lang w:val="pl-PL"/>
        </w:rPr>
        <w:t xml:space="preserve">wyrokiem w sprawie </w:t>
      </w:r>
      <w:proofErr w:type="spellStart"/>
      <w:r w:rsidR="008113A5" w:rsidRPr="00246717">
        <w:rPr>
          <w:rFonts w:eastAsia="Calibri"/>
          <w:i/>
          <w:iCs/>
          <w:lang w:val="pl-PL"/>
        </w:rPr>
        <w:t>Dvorski</w:t>
      </w:r>
      <w:proofErr w:type="spellEnd"/>
      <w:r w:rsidR="008113A5" w:rsidRPr="00246717">
        <w:rPr>
          <w:rFonts w:eastAsia="Calibri"/>
          <w:i/>
          <w:iCs/>
          <w:lang w:val="pl-PL"/>
        </w:rPr>
        <w:t>.</w:t>
      </w:r>
      <w:r w:rsidR="008113A5" w:rsidRPr="00246717">
        <w:rPr>
          <w:rFonts w:eastAsia="Calibri"/>
          <w:lang w:val="pl-PL"/>
        </w:rPr>
        <w:t xml:space="preserve"> Pomimo twierdzenia, że wyrok w sprawie </w:t>
      </w:r>
      <w:r w:rsidR="008113A5" w:rsidRPr="00246717">
        <w:rPr>
          <w:rFonts w:eastAsia="Calibri"/>
          <w:i/>
          <w:iCs/>
          <w:lang w:val="pl-PL"/>
        </w:rPr>
        <w:t xml:space="preserve">Ibrahim i Inni </w:t>
      </w:r>
      <w:r w:rsidR="008113A5" w:rsidRPr="00246717">
        <w:rPr>
          <w:rFonts w:eastAsia="Calibri"/>
          <w:lang w:val="pl-PL"/>
        </w:rPr>
        <w:t xml:space="preserve">był „objaśnianiem” albo „rozwinięciem” kryterium z wyroku </w:t>
      </w:r>
      <w:proofErr w:type="spellStart"/>
      <w:r w:rsidR="008113A5" w:rsidRPr="00246717">
        <w:rPr>
          <w:rFonts w:eastAsia="Calibri"/>
          <w:i/>
          <w:iCs/>
          <w:lang w:val="pl-PL"/>
        </w:rPr>
        <w:t>Salduz</w:t>
      </w:r>
      <w:proofErr w:type="spellEnd"/>
      <w:r w:rsidR="008113A5" w:rsidRPr="00246717">
        <w:rPr>
          <w:rFonts w:eastAsia="Calibri"/>
          <w:i/>
          <w:iCs/>
          <w:lang w:val="pl-PL"/>
        </w:rPr>
        <w:t xml:space="preserve">, </w:t>
      </w:r>
      <w:r w:rsidR="008113A5" w:rsidRPr="00246717">
        <w:rPr>
          <w:rFonts w:eastAsia="Calibri"/>
          <w:lang w:val="pl-PL"/>
        </w:rPr>
        <w:t xml:space="preserve">było to w rzeczywistości zarzucenie orzecznictwa, a wraz z nim logiki wyznawanej przez Trybunał przez pięć dekad, które dzielą sprawę </w:t>
      </w:r>
      <w:r w:rsidR="008113A5" w:rsidRPr="00246717">
        <w:rPr>
          <w:rFonts w:eastAsia="Calibri"/>
          <w:i/>
          <w:iCs/>
          <w:lang w:val="pl-PL"/>
        </w:rPr>
        <w:t xml:space="preserve">Nielsen przeciwko Danii </w:t>
      </w:r>
      <w:r w:rsidR="008113A5" w:rsidRPr="00246717">
        <w:rPr>
          <w:rFonts w:eastAsia="Calibri"/>
          <w:lang w:val="pl-PL"/>
        </w:rPr>
        <w:t xml:space="preserve">od sprawy </w:t>
      </w:r>
      <w:r w:rsidR="008113A5" w:rsidRPr="00246717">
        <w:rPr>
          <w:rFonts w:eastAsia="Calibri"/>
          <w:i/>
          <w:iCs/>
          <w:lang w:val="pl-PL"/>
        </w:rPr>
        <w:t>Ibrahim i Inni.</w:t>
      </w:r>
      <w:r w:rsidR="008113A5" w:rsidRPr="00246717">
        <w:rPr>
          <w:rFonts w:eastAsia="Calibri"/>
          <w:lang w:val="pl-PL"/>
        </w:rPr>
        <w:t xml:space="preserve"> Co gorsza, ten zwrot </w:t>
      </w:r>
      <w:r w:rsidR="008113A5" w:rsidRPr="00246717">
        <w:rPr>
          <w:rFonts w:eastAsia="Calibri"/>
          <w:lang w:val="pl-PL"/>
        </w:rPr>
        <w:lastRenderedPageBreak/>
        <w:t>w</w:t>
      </w:r>
      <w:r w:rsidR="005A5E49">
        <w:rPr>
          <w:rFonts w:eastAsia="Calibri"/>
          <w:lang w:val="pl-PL"/>
        </w:rPr>
        <w:t> </w:t>
      </w:r>
      <w:r w:rsidR="008113A5" w:rsidRPr="00246717">
        <w:rPr>
          <w:rFonts w:eastAsia="Calibri"/>
          <w:lang w:val="pl-PL"/>
        </w:rPr>
        <w:t xml:space="preserve">orzecznictwie Trybunału nie ograniczał się do </w:t>
      </w:r>
      <w:r w:rsidR="005A5E49">
        <w:rPr>
          <w:rFonts w:eastAsia="Calibri"/>
          <w:lang w:val="pl-PL"/>
        </w:rPr>
        <w:t xml:space="preserve">treści </w:t>
      </w:r>
      <w:r w:rsidR="008113A5" w:rsidRPr="00246717">
        <w:rPr>
          <w:rFonts w:eastAsia="Calibri"/>
          <w:lang w:val="pl-PL"/>
        </w:rPr>
        <w:t>art.</w:t>
      </w:r>
      <w:r w:rsidR="005A5E49">
        <w:rPr>
          <w:rFonts w:eastAsia="Calibri"/>
          <w:lang w:val="pl-PL"/>
        </w:rPr>
        <w:t> </w:t>
      </w:r>
      <w:r w:rsidR="008113A5" w:rsidRPr="00246717">
        <w:rPr>
          <w:rFonts w:eastAsia="Calibri"/>
          <w:lang w:val="pl-PL"/>
        </w:rPr>
        <w:t>6 ust.</w:t>
      </w:r>
      <w:r w:rsidR="005A5E49">
        <w:rPr>
          <w:rFonts w:eastAsia="Calibri"/>
          <w:lang w:val="pl-PL"/>
        </w:rPr>
        <w:t> </w:t>
      </w:r>
      <w:r w:rsidR="008113A5" w:rsidRPr="00246717">
        <w:rPr>
          <w:rFonts w:eastAsia="Calibri"/>
          <w:lang w:val="pl-PL"/>
        </w:rPr>
        <w:t>3 lit.</w:t>
      </w:r>
      <w:r w:rsidR="005A5E49">
        <w:rPr>
          <w:rFonts w:eastAsia="Calibri"/>
          <w:lang w:val="pl-PL"/>
        </w:rPr>
        <w:t> </w:t>
      </w:r>
      <w:r w:rsidR="008113A5" w:rsidRPr="00246717">
        <w:rPr>
          <w:rFonts w:eastAsia="Calibri"/>
          <w:lang w:val="pl-PL"/>
        </w:rPr>
        <w:t>c, ale także rozszerzał na lit.</w:t>
      </w:r>
      <w:r w:rsidR="005A5E49">
        <w:rPr>
          <w:rFonts w:eastAsia="Calibri"/>
          <w:lang w:val="pl-PL"/>
        </w:rPr>
        <w:t> </w:t>
      </w:r>
      <w:r w:rsidR="008113A5" w:rsidRPr="00246717">
        <w:rPr>
          <w:rFonts w:eastAsia="Calibri"/>
          <w:lang w:val="pl-PL"/>
        </w:rPr>
        <w:t>d.</w:t>
      </w:r>
    </w:p>
    <w:p w14:paraId="7DD07660" w14:textId="1E8F028B"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47</w:t>
      </w:r>
      <w:r w:rsidRPr="00246717">
        <w:rPr>
          <w:rFonts w:eastAsia="Calibri"/>
          <w:lang w:val="pl-PL"/>
        </w:rPr>
        <w:fldChar w:fldCharType="end"/>
      </w:r>
      <w:r w:rsidR="008113A5" w:rsidRPr="00246717">
        <w:rPr>
          <w:rFonts w:eastAsia="Calibri"/>
          <w:lang w:val="pl-PL"/>
        </w:rPr>
        <w:t>.  W orzecznictwie dotyczącym dopuszczania dowodów uzyskanych w</w:t>
      </w:r>
      <w:r w:rsidR="005A5E49">
        <w:rPr>
          <w:rFonts w:eastAsia="Calibri"/>
          <w:lang w:val="pl-PL"/>
        </w:rPr>
        <w:t> </w:t>
      </w:r>
      <w:r w:rsidR="008113A5" w:rsidRPr="00246717">
        <w:rPr>
          <w:rFonts w:eastAsia="Calibri"/>
          <w:lang w:val="pl-PL"/>
        </w:rPr>
        <w:t>drodze naruszenia art.</w:t>
      </w:r>
      <w:r w:rsidR="005A5E49">
        <w:rPr>
          <w:rFonts w:eastAsia="Calibri"/>
          <w:lang w:val="pl-PL"/>
        </w:rPr>
        <w:t> </w:t>
      </w:r>
      <w:r w:rsidR="008113A5" w:rsidRPr="00246717">
        <w:rPr>
          <w:rFonts w:eastAsia="Calibri"/>
          <w:lang w:val="pl-PL"/>
        </w:rPr>
        <w:t>3 Trybunał niezmiennie stosował zasadę bezwzględną, unieważniającą postępowania, które opierają się na takich dowodach.</w:t>
      </w:r>
      <w:r w:rsidR="008113A5" w:rsidRPr="00246717">
        <w:rPr>
          <w:rFonts w:eastAsia="Calibri"/>
          <w:vertAlign w:val="superscript"/>
          <w:lang w:val="pl-PL"/>
        </w:rPr>
        <w:footnoteReference w:id="110"/>
      </w:r>
      <w:r w:rsidR="008113A5" w:rsidRPr="00246717">
        <w:rPr>
          <w:rFonts w:eastAsia="Calibri"/>
          <w:lang w:val="pl-PL"/>
        </w:rPr>
        <w:t xml:space="preserve"> Mniej jasne jest stanowisko Trybunału w sprawie dopuszczenia dowodu z naruszeniem art.</w:t>
      </w:r>
      <w:r w:rsidR="005A5E49">
        <w:rPr>
          <w:rFonts w:eastAsia="Calibri"/>
          <w:lang w:val="pl-PL"/>
        </w:rPr>
        <w:t> </w:t>
      </w:r>
      <w:r w:rsidR="008113A5" w:rsidRPr="00246717">
        <w:rPr>
          <w:rFonts w:eastAsia="Calibri"/>
          <w:lang w:val="pl-PL"/>
        </w:rPr>
        <w:t>8 Konwencji.</w:t>
      </w:r>
      <w:r w:rsidR="008113A5" w:rsidRPr="00246717">
        <w:rPr>
          <w:rFonts w:eastAsia="Calibri"/>
          <w:vertAlign w:val="superscript"/>
          <w:lang w:val="pl-PL"/>
        </w:rPr>
        <w:footnoteReference w:id="111"/>
      </w:r>
      <w:r w:rsidR="008113A5" w:rsidRPr="00246717">
        <w:rPr>
          <w:rFonts w:eastAsia="Calibri"/>
          <w:lang w:val="pl-PL"/>
        </w:rPr>
        <w:t xml:space="preserve"> W sprawach dotyczących przesłuchania świadków na gruncie art</w:t>
      </w:r>
      <w:r w:rsidR="005A5E49">
        <w:rPr>
          <w:rFonts w:eastAsia="Calibri"/>
          <w:lang w:val="pl-PL"/>
        </w:rPr>
        <w:t>. </w:t>
      </w:r>
      <w:r w:rsidR="008113A5" w:rsidRPr="00246717">
        <w:rPr>
          <w:rFonts w:eastAsia="Calibri"/>
          <w:lang w:val="pl-PL"/>
        </w:rPr>
        <w:t>6 ust.</w:t>
      </w:r>
      <w:r w:rsidR="005A5E49">
        <w:rPr>
          <w:rFonts w:eastAsia="Calibri"/>
          <w:lang w:val="pl-PL"/>
        </w:rPr>
        <w:t> </w:t>
      </w:r>
      <w:r w:rsidR="008113A5" w:rsidRPr="00246717">
        <w:rPr>
          <w:rFonts w:eastAsia="Calibri"/>
          <w:lang w:val="pl-PL"/>
        </w:rPr>
        <w:t>3 lit.</w:t>
      </w:r>
      <w:r w:rsidR="005A5E49">
        <w:rPr>
          <w:rFonts w:eastAsia="Calibri"/>
          <w:lang w:val="pl-PL"/>
        </w:rPr>
        <w:t> </w:t>
      </w:r>
      <w:r w:rsidR="008113A5" w:rsidRPr="00246717">
        <w:rPr>
          <w:rFonts w:eastAsia="Calibri"/>
          <w:lang w:val="pl-PL"/>
        </w:rPr>
        <w:t xml:space="preserve">d Trybunał czasem jednak </w:t>
      </w:r>
      <w:r w:rsidR="005A5E49">
        <w:rPr>
          <w:rFonts w:eastAsia="Calibri"/>
          <w:lang w:val="pl-PL"/>
        </w:rPr>
        <w:t>wykorzystywał</w:t>
      </w:r>
      <w:r w:rsidR="008113A5" w:rsidRPr="00246717">
        <w:rPr>
          <w:rFonts w:eastAsia="Calibri"/>
          <w:lang w:val="pl-PL"/>
        </w:rPr>
        <w:t xml:space="preserve"> ocenę ogólnej rzetelności.</w:t>
      </w:r>
      <w:r w:rsidR="008113A5" w:rsidRPr="00246717">
        <w:rPr>
          <w:rFonts w:eastAsia="Calibri"/>
          <w:vertAlign w:val="superscript"/>
          <w:lang w:val="pl-PL"/>
        </w:rPr>
        <w:footnoteReference w:id="112"/>
      </w:r>
      <w:r w:rsidR="008113A5" w:rsidRPr="00246717">
        <w:rPr>
          <w:rFonts w:eastAsia="Calibri"/>
          <w:lang w:val="pl-PL"/>
        </w:rPr>
        <w:t xml:space="preserve"> Co prawda w</w:t>
      </w:r>
      <w:r w:rsidR="005A5E49">
        <w:rPr>
          <w:rFonts w:eastAsia="Calibri"/>
          <w:lang w:val="pl-PL"/>
        </w:rPr>
        <w:t> </w:t>
      </w:r>
      <w:r w:rsidR="008113A5" w:rsidRPr="00246717">
        <w:rPr>
          <w:rFonts w:eastAsia="Calibri"/>
          <w:lang w:val="pl-PL"/>
        </w:rPr>
        <w:t>celu ocalenia ustawy o wymiarze sprawiedliwości z 2003</w:t>
      </w:r>
      <w:r w:rsidR="005A5E49">
        <w:rPr>
          <w:rFonts w:eastAsia="Calibri"/>
          <w:lang w:val="pl-PL"/>
        </w:rPr>
        <w:t> </w:t>
      </w:r>
      <w:r w:rsidR="008113A5" w:rsidRPr="00246717">
        <w:rPr>
          <w:rFonts w:eastAsia="Calibri"/>
          <w:lang w:val="pl-PL"/>
        </w:rPr>
        <w:t xml:space="preserve">r. i odpowiedzi na „prowokacyjną” krytykę ze strony Sądu Najwyższego Zjednoczonego Królestwa w wyroku sprawie </w:t>
      </w:r>
      <w:proofErr w:type="spellStart"/>
      <w:r w:rsidR="008113A5" w:rsidRPr="00246717">
        <w:rPr>
          <w:rFonts w:eastAsia="Calibri"/>
          <w:i/>
          <w:iCs/>
          <w:lang w:val="pl-PL"/>
        </w:rPr>
        <w:t>Horncastle</w:t>
      </w:r>
      <w:proofErr w:type="spellEnd"/>
      <w:r w:rsidR="008113A5" w:rsidRPr="00246717">
        <w:rPr>
          <w:rFonts w:eastAsia="Calibri"/>
          <w:lang w:val="pl-PL"/>
        </w:rPr>
        <w:t>,</w:t>
      </w:r>
      <w:r w:rsidR="008113A5" w:rsidRPr="00246717">
        <w:rPr>
          <w:rFonts w:eastAsia="Calibri"/>
          <w:vertAlign w:val="superscript"/>
          <w:lang w:val="pl-PL"/>
        </w:rPr>
        <w:footnoteReference w:id="113"/>
      </w:r>
      <w:r w:rsidR="008113A5" w:rsidRPr="00246717">
        <w:rPr>
          <w:rFonts w:eastAsia="Calibri"/>
          <w:lang w:val="pl-PL"/>
        </w:rPr>
        <w:t xml:space="preserve"> </w:t>
      </w:r>
      <w:r w:rsidR="008113A5" w:rsidRPr="00246717">
        <w:rPr>
          <w:rFonts w:eastAsia="Calibri"/>
          <w:i/>
          <w:iCs/>
          <w:lang w:val="pl-PL"/>
        </w:rPr>
        <w:t>Al-</w:t>
      </w:r>
      <w:proofErr w:type="spellStart"/>
      <w:r w:rsidR="008113A5" w:rsidRPr="00246717">
        <w:rPr>
          <w:rFonts w:eastAsia="Calibri"/>
          <w:i/>
          <w:iCs/>
          <w:lang w:val="pl-PL"/>
        </w:rPr>
        <w:t>Khawaja</w:t>
      </w:r>
      <w:proofErr w:type="spellEnd"/>
      <w:r w:rsidR="008113A5" w:rsidRPr="00246717">
        <w:rPr>
          <w:rFonts w:eastAsia="Calibri"/>
          <w:i/>
          <w:iCs/>
          <w:lang w:val="pl-PL"/>
        </w:rPr>
        <w:t xml:space="preserve"> i </w:t>
      </w:r>
      <w:proofErr w:type="spellStart"/>
      <w:r w:rsidR="008113A5" w:rsidRPr="00246717">
        <w:rPr>
          <w:rFonts w:eastAsia="Calibri"/>
          <w:i/>
          <w:iCs/>
          <w:lang w:val="pl-PL"/>
        </w:rPr>
        <w:t>Tahery</w:t>
      </w:r>
      <w:proofErr w:type="spellEnd"/>
      <w:r w:rsidR="008113A5" w:rsidRPr="00246717">
        <w:rPr>
          <w:rFonts w:eastAsia="Calibri"/>
          <w:i/>
          <w:iCs/>
          <w:lang w:val="pl-PL"/>
        </w:rPr>
        <w:t xml:space="preserve"> </w:t>
      </w:r>
      <w:r w:rsidR="008113A5" w:rsidRPr="00246717">
        <w:rPr>
          <w:rFonts w:eastAsia="Calibri"/>
          <w:lang w:val="pl-PL"/>
        </w:rPr>
        <w:t>od</w:t>
      </w:r>
      <w:r w:rsidR="0052786A">
        <w:rPr>
          <w:rFonts w:eastAsia="Calibri"/>
          <w:lang w:val="pl-PL"/>
        </w:rPr>
        <w:t>woła</w:t>
      </w:r>
      <w:r w:rsidR="008113A5" w:rsidRPr="00246717">
        <w:rPr>
          <w:rFonts w:eastAsia="Calibri"/>
          <w:lang w:val="pl-PL"/>
        </w:rPr>
        <w:t xml:space="preserve">no się od zasady „jedynego lub rozstrzygającego” dowodu, zgodnie z którą proces był nierzetelny, jeśli wyrok skazujący był oparty wyłącznie albo w rozstrzygającym stopniu na zeznaniu dostarczonym przez świadka, którego oskarżony nie mógł przesłuchać na żadnym etapie postępowania. </w:t>
      </w:r>
      <w:r w:rsidR="008113A5" w:rsidRPr="00246717">
        <w:rPr>
          <w:rFonts w:eastAsia="Calibri"/>
          <w:i/>
          <w:iCs/>
          <w:lang w:val="pl-PL"/>
        </w:rPr>
        <w:t>De facto</w:t>
      </w:r>
      <w:r w:rsidR="008113A5" w:rsidRPr="00246717">
        <w:rPr>
          <w:rFonts w:eastAsia="Calibri"/>
          <w:lang w:val="pl-PL"/>
        </w:rPr>
        <w:t xml:space="preserve"> Wielka Izba zaprzeczała utrwalonemu orzecznictwu w przedmiocie bezwzględnego charakteru zasady „jedynego i</w:t>
      </w:r>
      <w:r w:rsidR="0052786A">
        <w:rPr>
          <w:rFonts w:eastAsia="Calibri"/>
          <w:lang w:val="pl-PL"/>
        </w:rPr>
        <w:t> </w:t>
      </w:r>
      <w:r w:rsidR="008113A5" w:rsidRPr="00246717">
        <w:rPr>
          <w:rFonts w:eastAsia="Calibri"/>
          <w:lang w:val="pl-PL"/>
        </w:rPr>
        <w:t xml:space="preserve">rozstrzygającego” dowodu, obowiązującej od wyroku w sprawie </w:t>
      </w:r>
      <w:proofErr w:type="spellStart"/>
      <w:r w:rsidR="008113A5" w:rsidRPr="00246717">
        <w:rPr>
          <w:rFonts w:eastAsia="Calibri"/>
          <w:i/>
          <w:iCs/>
          <w:lang w:val="pl-PL"/>
        </w:rPr>
        <w:t>Doorson</w:t>
      </w:r>
      <w:proofErr w:type="spellEnd"/>
      <w:r w:rsidR="008113A5" w:rsidRPr="00246717">
        <w:rPr>
          <w:rFonts w:eastAsia="Calibri"/>
          <w:i/>
          <w:iCs/>
          <w:lang w:val="pl-PL"/>
        </w:rPr>
        <w:t>.</w:t>
      </w:r>
      <w:r w:rsidR="008113A5" w:rsidRPr="00246717">
        <w:rPr>
          <w:rFonts w:eastAsia="Calibri"/>
          <w:vertAlign w:val="superscript"/>
          <w:lang w:val="pl-PL"/>
        </w:rPr>
        <w:footnoteReference w:id="114"/>
      </w:r>
      <w:r w:rsidR="008113A5" w:rsidRPr="00246717">
        <w:rPr>
          <w:rFonts w:eastAsia="Calibri"/>
          <w:lang w:val="pl-PL"/>
        </w:rPr>
        <w:t xml:space="preserve"> Takie „nieelastyczne” podejście powołujące się na niestawiennictwo świadków oskarżenia na </w:t>
      </w:r>
      <w:r w:rsidR="00C212B9">
        <w:rPr>
          <w:rFonts w:eastAsia="Calibri"/>
          <w:lang w:val="pl-PL"/>
        </w:rPr>
        <w:t>rozprawie</w:t>
      </w:r>
      <w:r w:rsidR="00C212B9" w:rsidRPr="00246717">
        <w:rPr>
          <w:rFonts w:eastAsia="Calibri"/>
          <w:lang w:val="pl-PL"/>
        </w:rPr>
        <w:t xml:space="preserve"> </w:t>
      </w:r>
      <w:r w:rsidR="008113A5" w:rsidRPr="00246717">
        <w:rPr>
          <w:rFonts w:eastAsia="Calibri"/>
          <w:lang w:val="pl-PL"/>
        </w:rPr>
        <w:t>i późniejsze dopuszczenie jako dowodu niezweryfikowanego zeznania nieobecnego świadka zdaniem Trybunału byłoby sprzeczne z tradycyjnym stanowiskiem Trybunału w sprawie konieczności dokonania oceny rzetelności postępowania jako całości.</w:t>
      </w:r>
      <w:r w:rsidR="008113A5" w:rsidRPr="00246717">
        <w:rPr>
          <w:rFonts w:eastAsia="Calibri"/>
          <w:vertAlign w:val="superscript"/>
          <w:lang w:val="pl-PL"/>
        </w:rPr>
        <w:footnoteReference w:id="115"/>
      </w:r>
      <w:r w:rsidR="008113A5" w:rsidRPr="00246717">
        <w:rPr>
          <w:rFonts w:eastAsia="Calibri"/>
          <w:lang w:val="pl-PL"/>
        </w:rPr>
        <w:t xml:space="preserve"> Ponieważ wszystko jest teraz możliwe do wynegocjowania, Trybunał nie ustanawia przejrzystego pułapu, poza którym wyrok skazujący staje się w sposób niedopuszczalny oparty na niezweryfikowanych dowodach w postaci zeznań uzyskanych na etapie postępowania przygotowawczego. Nawet dowody zabronione </w:t>
      </w:r>
      <w:r w:rsidR="008113A5" w:rsidRPr="00246717">
        <w:rPr>
          <w:rFonts w:eastAsia="Calibri"/>
          <w:lang w:val="pl-PL"/>
        </w:rPr>
        <w:lastRenderedPageBreak/>
        <w:t>w</w:t>
      </w:r>
      <w:r w:rsidR="0052786A">
        <w:rPr>
          <w:rFonts w:eastAsia="Calibri"/>
          <w:lang w:val="pl-PL"/>
        </w:rPr>
        <w:t> </w:t>
      </w:r>
      <w:r w:rsidR="008113A5" w:rsidRPr="00246717">
        <w:rPr>
          <w:rFonts w:eastAsia="Calibri"/>
          <w:lang w:val="pl-PL"/>
        </w:rPr>
        <w:t>Średniowieczu, takie jak zeznanie umierającej osoby, nadal mogą zostać użyte.</w:t>
      </w:r>
      <w:r w:rsidR="008113A5" w:rsidRPr="00246717">
        <w:rPr>
          <w:rFonts w:eastAsia="Calibri"/>
          <w:vertAlign w:val="superscript"/>
          <w:lang w:val="pl-PL"/>
        </w:rPr>
        <w:footnoteReference w:id="116"/>
      </w:r>
    </w:p>
    <w:p w14:paraId="415A2ECC" w14:textId="03E45FD6"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48</w:t>
      </w:r>
      <w:r w:rsidRPr="00246717">
        <w:rPr>
          <w:rFonts w:eastAsia="Calibri"/>
          <w:lang w:val="pl-PL"/>
        </w:rPr>
        <w:fldChar w:fldCharType="end"/>
      </w:r>
      <w:r w:rsidR="008113A5" w:rsidRPr="00246717">
        <w:rPr>
          <w:rFonts w:eastAsia="Calibri"/>
          <w:lang w:val="pl-PL"/>
        </w:rPr>
        <w:t xml:space="preserve">.  Mniej niż cztery lata po wydaniu przez Wielką Izbę wyroku w sprawie </w:t>
      </w:r>
      <w:r w:rsidR="008113A5" w:rsidRPr="00246717">
        <w:rPr>
          <w:rFonts w:eastAsia="Calibri"/>
          <w:i/>
          <w:iCs/>
          <w:lang w:val="pl-PL"/>
        </w:rPr>
        <w:t>Al-</w:t>
      </w:r>
      <w:proofErr w:type="spellStart"/>
      <w:r w:rsidR="008113A5" w:rsidRPr="00246717">
        <w:rPr>
          <w:rFonts w:eastAsia="Calibri"/>
          <w:i/>
          <w:iCs/>
          <w:lang w:val="pl-PL"/>
        </w:rPr>
        <w:t>Khawaja</w:t>
      </w:r>
      <w:proofErr w:type="spellEnd"/>
      <w:r w:rsidR="008113A5" w:rsidRPr="00246717">
        <w:rPr>
          <w:rFonts w:eastAsia="Calibri"/>
          <w:i/>
          <w:iCs/>
          <w:lang w:val="pl-PL"/>
        </w:rPr>
        <w:t xml:space="preserve"> i </w:t>
      </w:r>
      <w:proofErr w:type="spellStart"/>
      <w:r w:rsidR="008113A5" w:rsidRPr="00246717">
        <w:rPr>
          <w:rFonts w:eastAsia="Calibri"/>
          <w:i/>
          <w:iCs/>
          <w:lang w:val="pl-PL"/>
        </w:rPr>
        <w:t>Tahery</w:t>
      </w:r>
      <w:proofErr w:type="spellEnd"/>
      <w:r w:rsidR="008113A5" w:rsidRPr="00246717">
        <w:rPr>
          <w:rFonts w:eastAsia="Calibri"/>
          <w:lang w:val="pl-PL"/>
        </w:rPr>
        <w:t xml:space="preserve">, musiała ona interweniować ponowie w sprawie </w:t>
      </w:r>
      <w:proofErr w:type="spellStart"/>
      <w:r w:rsidR="008113A5" w:rsidRPr="00246717">
        <w:rPr>
          <w:rFonts w:eastAsia="Calibri"/>
          <w:i/>
          <w:iCs/>
          <w:lang w:val="pl-PL"/>
        </w:rPr>
        <w:t>Schatschaschwili</w:t>
      </w:r>
      <w:proofErr w:type="spellEnd"/>
      <w:r w:rsidR="008113A5" w:rsidRPr="00246717">
        <w:rPr>
          <w:rFonts w:eastAsia="Calibri"/>
          <w:i/>
          <w:iCs/>
          <w:lang w:val="pl-PL"/>
        </w:rPr>
        <w:t xml:space="preserve"> przeciwko Niemcom, </w:t>
      </w:r>
      <w:r w:rsidR="008113A5" w:rsidRPr="00246717">
        <w:rPr>
          <w:rFonts w:eastAsia="Calibri"/>
          <w:lang w:val="pl-PL"/>
        </w:rPr>
        <w:t>ponieważ pozostawało niejasne, czy proces zostanie uznany za nierzetelny, jeśli nie było ważnych powodów dla samego niestawiennictwa świadka oskarżenia, nawet jeśli niezweryfikowane dowody nie były ani jedyne, ani rozstrzygające. Lekarstwo było bardziej szkodliwe od samej choroby. W głęboko podzielonym wyroku Wielka Izba orzekła, że brak ważnych powodów niestawiennictwa świadka oskarżenia nie może sam w sobie prowadzić do stwierdzenia nierzetelności procesu.</w:t>
      </w:r>
      <w:r w:rsidR="008113A5" w:rsidRPr="00246717">
        <w:rPr>
          <w:rFonts w:eastAsia="Calibri"/>
          <w:vertAlign w:val="superscript"/>
          <w:lang w:val="pl-PL"/>
        </w:rPr>
        <w:footnoteReference w:id="117"/>
      </w:r>
      <w:r w:rsidR="008113A5" w:rsidRPr="00246717">
        <w:rPr>
          <w:rFonts w:eastAsia="Calibri"/>
          <w:lang w:val="pl-PL"/>
        </w:rPr>
        <w:t xml:space="preserve"> Jak ujawnili sędziowie </w:t>
      </w:r>
      <w:proofErr w:type="spellStart"/>
      <w:r w:rsidR="008113A5" w:rsidRPr="00246717">
        <w:rPr>
          <w:rFonts w:eastAsia="Calibri"/>
          <w:lang w:val="pl-PL"/>
        </w:rPr>
        <w:t>Spielmann</w:t>
      </w:r>
      <w:proofErr w:type="spellEnd"/>
      <w:r w:rsidR="008113A5" w:rsidRPr="00246717">
        <w:rPr>
          <w:rFonts w:eastAsia="Calibri"/>
          <w:lang w:val="pl-PL"/>
        </w:rPr>
        <w:t xml:space="preserve">, </w:t>
      </w:r>
      <w:proofErr w:type="spellStart"/>
      <w:r w:rsidR="008113A5" w:rsidRPr="00246717">
        <w:rPr>
          <w:rFonts w:eastAsia="Calibri"/>
          <w:lang w:val="pl-PL"/>
        </w:rPr>
        <w:t>Karakaş</w:t>
      </w:r>
      <w:proofErr w:type="spellEnd"/>
      <w:r w:rsidR="008113A5" w:rsidRPr="00246717">
        <w:rPr>
          <w:rFonts w:eastAsia="Calibri"/>
          <w:lang w:val="pl-PL"/>
        </w:rPr>
        <w:t xml:space="preserve">, </w:t>
      </w:r>
      <w:proofErr w:type="spellStart"/>
      <w:r w:rsidR="008113A5" w:rsidRPr="00246717">
        <w:rPr>
          <w:rFonts w:eastAsia="Calibri"/>
          <w:lang w:val="pl-PL"/>
        </w:rPr>
        <w:t>Sajó</w:t>
      </w:r>
      <w:proofErr w:type="spellEnd"/>
      <w:r w:rsidR="008113A5" w:rsidRPr="00246717">
        <w:rPr>
          <w:rFonts w:eastAsia="Calibri"/>
          <w:lang w:val="pl-PL"/>
        </w:rPr>
        <w:t xml:space="preserve"> i Keller, takie zastosowanie trzystopniowego przesłuchania wskazywałoby na jego zbędny charakter, o</w:t>
      </w:r>
      <w:r w:rsidR="002C0B9B">
        <w:rPr>
          <w:rFonts w:eastAsia="Calibri"/>
          <w:lang w:val="pl-PL"/>
        </w:rPr>
        <w:t> </w:t>
      </w:r>
      <w:r w:rsidR="008113A5" w:rsidRPr="00246717">
        <w:rPr>
          <w:rFonts w:eastAsia="Calibri"/>
          <w:lang w:val="pl-PL"/>
        </w:rPr>
        <w:t xml:space="preserve">ile spełnione zostały kryteria testu na ogólną rzetelność, co nie tylko nie dostarczyłoby żadnych wytycznych władzom krajowym co do odpowiedniego stosowania testu </w:t>
      </w:r>
      <w:r w:rsidR="008113A5" w:rsidRPr="00246717">
        <w:rPr>
          <w:rFonts w:eastAsia="Calibri"/>
          <w:i/>
          <w:iCs/>
          <w:lang w:val="pl-PL"/>
        </w:rPr>
        <w:t>Al-</w:t>
      </w:r>
      <w:proofErr w:type="spellStart"/>
      <w:r w:rsidR="008113A5" w:rsidRPr="00246717">
        <w:rPr>
          <w:rFonts w:eastAsia="Calibri"/>
          <w:i/>
          <w:iCs/>
          <w:lang w:val="pl-PL"/>
        </w:rPr>
        <w:t>Khawaja</w:t>
      </w:r>
      <w:proofErr w:type="spellEnd"/>
      <w:r w:rsidR="008113A5" w:rsidRPr="00246717">
        <w:rPr>
          <w:rFonts w:eastAsia="Calibri"/>
          <w:i/>
          <w:iCs/>
          <w:lang w:val="pl-PL"/>
        </w:rPr>
        <w:t xml:space="preserve"> i </w:t>
      </w:r>
      <w:proofErr w:type="spellStart"/>
      <w:r w:rsidR="008113A5" w:rsidRPr="00246717">
        <w:rPr>
          <w:rFonts w:eastAsia="Calibri"/>
          <w:i/>
          <w:iCs/>
          <w:lang w:val="pl-PL"/>
        </w:rPr>
        <w:t>Tahery</w:t>
      </w:r>
      <w:proofErr w:type="spellEnd"/>
      <w:r w:rsidR="008113A5" w:rsidRPr="00246717">
        <w:rPr>
          <w:rFonts w:eastAsia="Calibri"/>
          <w:lang w:val="pl-PL"/>
        </w:rPr>
        <w:t>, ale w istocie nadałoby im zbyt dużą swobodę.</w:t>
      </w:r>
      <w:r w:rsidR="008113A5" w:rsidRPr="00246717">
        <w:rPr>
          <w:rFonts w:eastAsia="Calibri"/>
          <w:vertAlign w:val="superscript"/>
          <w:lang w:val="pl-PL"/>
        </w:rPr>
        <w:footnoteReference w:id="118"/>
      </w:r>
      <w:r w:rsidR="008113A5" w:rsidRPr="00246717">
        <w:rPr>
          <w:rFonts w:eastAsia="Calibri"/>
          <w:lang w:val="pl-PL"/>
        </w:rPr>
        <w:t xml:space="preserve"> Żeby skomplikować sprawy, ówczesna większość składu orzekającego dodała, że wystarczające czynniki równoważące były nadal konieczne, jeśli niezweryfikowane dowody w</w:t>
      </w:r>
      <w:r w:rsidR="002C0B9B">
        <w:rPr>
          <w:rFonts w:eastAsia="Calibri"/>
          <w:lang w:val="pl-PL"/>
        </w:rPr>
        <w:t> </w:t>
      </w:r>
      <w:r w:rsidR="008113A5" w:rsidRPr="00246717">
        <w:rPr>
          <w:rFonts w:eastAsia="Calibri"/>
          <w:lang w:val="pl-PL"/>
        </w:rPr>
        <w:t xml:space="preserve">postaci zeznań </w:t>
      </w:r>
      <w:proofErr w:type="spellStart"/>
      <w:r w:rsidR="008113A5" w:rsidRPr="00246717">
        <w:rPr>
          <w:rFonts w:eastAsia="Calibri"/>
          <w:lang w:val="pl-PL"/>
        </w:rPr>
        <w:t>przedprocesowych</w:t>
      </w:r>
      <w:proofErr w:type="spellEnd"/>
      <w:r w:rsidR="008113A5" w:rsidRPr="00246717">
        <w:rPr>
          <w:rFonts w:eastAsia="Calibri"/>
          <w:lang w:val="pl-PL"/>
        </w:rPr>
        <w:t xml:space="preserve"> mają istotną wagę.</w:t>
      </w:r>
      <w:r w:rsidR="008113A5" w:rsidRPr="00246717">
        <w:rPr>
          <w:rFonts w:eastAsia="Calibri"/>
          <w:vertAlign w:val="superscript"/>
          <w:lang w:val="pl-PL"/>
        </w:rPr>
        <w:footnoteReference w:id="119"/>
      </w:r>
      <w:r w:rsidR="008113A5" w:rsidRPr="00246717">
        <w:rPr>
          <w:rFonts w:eastAsia="Calibri"/>
          <w:lang w:val="pl-PL"/>
        </w:rPr>
        <w:t xml:space="preserve"> Niniejszy wyrok domyka koło, w zakresie w jakim przyjmuje ogólne podejście do badania rzetelności postępowania w przypadku niestawiennictwa świadków obrony.</w:t>
      </w:r>
    </w:p>
    <w:p w14:paraId="3BC20D92" w14:textId="493E390F"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49</w:t>
      </w:r>
      <w:r w:rsidRPr="00246717">
        <w:rPr>
          <w:rFonts w:eastAsia="Calibri"/>
          <w:lang w:val="pl-PL"/>
        </w:rPr>
        <w:fldChar w:fldCharType="end"/>
      </w:r>
      <w:r w:rsidR="008113A5" w:rsidRPr="00246717">
        <w:rPr>
          <w:rFonts w:eastAsia="Calibri"/>
          <w:lang w:val="pl-PL"/>
        </w:rPr>
        <w:t>.  Nawet jeśli, dla dobra argumentacji, można by się zgodzić z</w:t>
      </w:r>
      <w:r w:rsidR="00305AA6">
        <w:rPr>
          <w:rFonts w:eastAsia="Calibri"/>
          <w:lang w:val="pl-PL"/>
        </w:rPr>
        <w:t> </w:t>
      </w:r>
      <w:r w:rsidR="008113A5" w:rsidRPr="00246717">
        <w:rPr>
          <w:rFonts w:eastAsia="Calibri"/>
          <w:lang w:val="pl-PL"/>
        </w:rPr>
        <w:t>większością składu orzekającego co do potrzeby elastyczności orzecznictwa Trybunału w kwestii art.</w:t>
      </w:r>
      <w:r w:rsidR="00305AA6">
        <w:rPr>
          <w:rFonts w:ascii="Sylfaen" w:eastAsia="Calibri" w:hAnsi="Sylfaen"/>
          <w:lang w:val="pl-PL"/>
        </w:rPr>
        <w:t> </w:t>
      </w:r>
      <w:r w:rsidR="008113A5" w:rsidRPr="00246717">
        <w:rPr>
          <w:rFonts w:eastAsia="Calibri"/>
          <w:lang w:val="pl-PL"/>
        </w:rPr>
        <w:t xml:space="preserve">6 Konwencji, całemu przedsięwzięciu grozi brak spójności logicznej. Rzetelność postępowania może być tylko oceną proceduralną: procedura nie jest rzetelna dlatego, że winny został skazany albo niewinny został uniewinniony, z tego prostego powodu, </w:t>
      </w:r>
      <w:r w:rsidR="007335FE">
        <w:rPr>
          <w:rFonts w:eastAsia="Calibri"/>
          <w:lang w:val="pl-PL"/>
        </w:rPr>
        <w:t xml:space="preserve">że nie można pod względem prawnym </w:t>
      </w:r>
      <w:r w:rsidR="008113A5" w:rsidRPr="00246717">
        <w:rPr>
          <w:rFonts w:eastAsia="Calibri"/>
          <w:lang w:val="pl-PL"/>
        </w:rPr>
        <w:t xml:space="preserve">upewnić się, że winny był winny, </w:t>
      </w:r>
      <w:r w:rsidR="007335FE">
        <w:rPr>
          <w:rFonts w:eastAsia="Calibri"/>
          <w:lang w:val="pl-PL"/>
        </w:rPr>
        <w:t>poza samym postępowaniem</w:t>
      </w:r>
      <w:r w:rsidR="008113A5" w:rsidRPr="00246717">
        <w:rPr>
          <w:rFonts w:eastAsia="Calibri"/>
          <w:lang w:val="pl-PL"/>
        </w:rPr>
        <w:t>. Wymiar sprawiedliwości nie polega na sprawiedliwości ontologicznej, a sędziowie w procesach karnych nie są b</w:t>
      </w:r>
      <w:r w:rsidR="007335FE">
        <w:rPr>
          <w:rFonts w:eastAsia="Calibri"/>
          <w:lang w:val="pl-PL"/>
        </w:rPr>
        <w:t>óstwami</w:t>
      </w:r>
      <w:r w:rsidR="008113A5" w:rsidRPr="00246717">
        <w:rPr>
          <w:rFonts w:eastAsia="Calibri"/>
          <w:lang w:val="pl-PL"/>
        </w:rPr>
        <w:t xml:space="preserve">. Postępowanie jest rzetelne, jeśli przestrzega się podstawowych przepisów proceduralnych. W tym sensie trudno jest ustalić, co może oznaczać w praktyce ocena ogólnej rzetelności postępowania. Może oznaczać, że Trybunał ma zbadać, czy sporne ograniczenie prawa </w:t>
      </w:r>
      <w:r w:rsidR="008113A5" w:rsidRPr="00246717">
        <w:rPr>
          <w:rFonts w:eastAsia="Calibri"/>
          <w:lang w:val="pl-PL"/>
        </w:rPr>
        <w:lastRenderedPageBreak/>
        <w:t xml:space="preserve">przeszkodziło w ujawnieniu prawdy faktycznej, jednak z konieczności oznaczałoby to, </w:t>
      </w:r>
      <w:r w:rsidR="007335FE">
        <w:rPr>
          <w:rFonts w:eastAsia="Calibri"/>
          <w:lang w:val="pl-PL"/>
        </w:rPr>
        <w:t>ż</w:t>
      </w:r>
      <w:r w:rsidR="008113A5" w:rsidRPr="00246717">
        <w:rPr>
          <w:rFonts w:eastAsia="Calibri"/>
          <w:lang w:val="pl-PL"/>
        </w:rPr>
        <w:t xml:space="preserve">e Trybunał </w:t>
      </w:r>
      <w:r w:rsidR="007335FE">
        <w:rPr>
          <w:rFonts w:eastAsia="Calibri"/>
          <w:lang w:val="pl-PL"/>
        </w:rPr>
        <w:t>jest w posiadaniu</w:t>
      </w:r>
      <w:r w:rsidR="008113A5" w:rsidRPr="00246717">
        <w:rPr>
          <w:rFonts w:eastAsia="Calibri"/>
          <w:lang w:val="pl-PL"/>
        </w:rPr>
        <w:t xml:space="preserve"> </w:t>
      </w:r>
      <w:proofErr w:type="spellStart"/>
      <w:r w:rsidR="008113A5" w:rsidRPr="00246717">
        <w:rPr>
          <w:rFonts w:eastAsia="Calibri"/>
          <w:lang w:val="pl-PL"/>
        </w:rPr>
        <w:t>pozaproceduraln</w:t>
      </w:r>
      <w:r w:rsidR="007335FE">
        <w:rPr>
          <w:rFonts w:eastAsia="Calibri"/>
          <w:lang w:val="pl-PL"/>
        </w:rPr>
        <w:t>ej</w:t>
      </w:r>
      <w:proofErr w:type="spellEnd"/>
      <w:r w:rsidR="008113A5" w:rsidRPr="00246717">
        <w:rPr>
          <w:rFonts w:eastAsia="Calibri"/>
          <w:lang w:val="pl-PL"/>
        </w:rPr>
        <w:t xml:space="preserve"> wersj</w:t>
      </w:r>
      <w:r w:rsidR="007335FE">
        <w:rPr>
          <w:rFonts w:eastAsia="Calibri"/>
          <w:lang w:val="pl-PL"/>
        </w:rPr>
        <w:t>i</w:t>
      </w:r>
      <w:r w:rsidR="008113A5" w:rsidRPr="00246717">
        <w:rPr>
          <w:rFonts w:eastAsia="Calibri"/>
          <w:lang w:val="pl-PL"/>
        </w:rPr>
        <w:t xml:space="preserve"> prawdy faktycznej, która pod względem prawnym jest niemożliwa.</w:t>
      </w:r>
    </w:p>
    <w:p w14:paraId="1E8F5C21" w14:textId="3103FFF7"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50</w:t>
      </w:r>
      <w:r w:rsidRPr="00246717">
        <w:rPr>
          <w:rFonts w:eastAsia="Calibri"/>
          <w:lang w:val="pl-PL"/>
        </w:rPr>
        <w:fldChar w:fldCharType="end"/>
      </w:r>
      <w:r w:rsidR="008113A5" w:rsidRPr="00246717">
        <w:rPr>
          <w:rFonts w:eastAsia="Calibri"/>
          <w:lang w:val="pl-PL"/>
        </w:rPr>
        <w:t>.  </w:t>
      </w:r>
      <w:r w:rsidR="00D0562B">
        <w:rPr>
          <w:rFonts w:eastAsia="Calibri"/>
          <w:lang w:val="pl-PL"/>
        </w:rPr>
        <w:t>Mniej szczegółowe</w:t>
      </w:r>
      <w:r w:rsidR="008113A5" w:rsidRPr="00246717">
        <w:rPr>
          <w:rFonts w:eastAsia="Calibri"/>
          <w:lang w:val="pl-PL"/>
        </w:rPr>
        <w:t xml:space="preserve"> badanie ogólnej rzetelności </w:t>
      </w:r>
      <w:r w:rsidR="00CD10D5">
        <w:rPr>
          <w:rFonts w:eastAsia="Calibri"/>
          <w:lang w:val="pl-PL"/>
        </w:rPr>
        <w:t>jest równie nietrafne</w:t>
      </w:r>
      <w:r w:rsidR="008113A5" w:rsidRPr="00246717">
        <w:rPr>
          <w:rFonts w:eastAsia="Calibri"/>
          <w:lang w:val="pl-PL"/>
        </w:rPr>
        <w:t>. Można by rzec, że naruszenie zostaje</w:t>
      </w:r>
      <w:r w:rsidR="00CD10D5">
        <w:rPr>
          <w:rFonts w:eastAsia="Calibri"/>
          <w:lang w:val="pl-PL"/>
        </w:rPr>
        <w:t xml:space="preserve"> niejako</w:t>
      </w:r>
      <w:r w:rsidR="008113A5" w:rsidRPr="00246717">
        <w:rPr>
          <w:rFonts w:eastAsia="Calibri"/>
          <w:lang w:val="pl-PL"/>
        </w:rPr>
        <w:t xml:space="preserve"> „uleczone”, jeśli nie zmieniło końcowego wyniku postępowania, jeśli skarżący zostałby skazany wyrokiem w ten sam sposób, gdyby procedura była pozbawiona wad. Jednak jest to logicznie niemożliwe, nawet jeśli przyjmiemy, że ocenę tę można przeprowadzić bez niezgodnej z prawem </w:t>
      </w:r>
      <w:proofErr w:type="spellStart"/>
      <w:r w:rsidR="008113A5" w:rsidRPr="00246717">
        <w:rPr>
          <w:rFonts w:eastAsia="Calibri"/>
          <w:lang w:val="pl-PL"/>
        </w:rPr>
        <w:t>pozaproceduralnej</w:t>
      </w:r>
      <w:proofErr w:type="spellEnd"/>
      <w:r w:rsidR="008113A5" w:rsidRPr="00246717">
        <w:rPr>
          <w:rFonts w:eastAsia="Calibri"/>
          <w:lang w:val="pl-PL"/>
        </w:rPr>
        <w:t xml:space="preserve"> wersji prawdy faktycznej. Wykonując ten test Trybunał zostaje poproszony o zbadanie rzetelności postępowania, która nie powinna istnieć w sposób, w jaki istniała: na przykład, jeśli oskarżony miałby obrońcę </w:t>
      </w:r>
      <w:r w:rsidR="00CD10D5">
        <w:rPr>
          <w:rFonts w:eastAsia="Calibri"/>
          <w:lang w:val="pl-PL"/>
        </w:rPr>
        <w:t xml:space="preserve">z wyboru </w:t>
      </w:r>
      <w:r w:rsidR="008113A5" w:rsidRPr="00246717">
        <w:rPr>
          <w:rFonts w:eastAsia="Calibri"/>
          <w:lang w:val="pl-PL"/>
        </w:rPr>
        <w:t xml:space="preserve">albo gdyby oskarżony </w:t>
      </w:r>
      <w:r w:rsidR="00CD10D5">
        <w:rPr>
          <w:rFonts w:eastAsia="Calibri"/>
          <w:lang w:val="pl-PL"/>
        </w:rPr>
        <w:t>występował bez obrońcy</w:t>
      </w:r>
      <w:r w:rsidR="008113A5" w:rsidRPr="00246717">
        <w:rPr>
          <w:rFonts w:eastAsia="Calibri"/>
          <w:lang w:val="pl-PL"/>
        </w:rPr>
        <w:t xml:space="preserve">, wówczas postępowanie </w:t>
      </w:r>
      <w:r w:rsidR="004F202B">
        <w:rPr>
          <w:rFonts w:eastAsia="Calibri"/>
          <w:lang w:val="pl-PL"/>
        </w:rPr>
        <w:t>naj</w:t>
      </w:r>
      <w:r w:rsidR="008113A5" w:rsidRPr="00246717">
        <w:rPr>
          <w:rFonts w:eastAsia="Calibri"/>
          <w:lang w:val="pl-PL"/>
        </w:rPr>
        <w:t>prawdopodobnie</w:t>
      </w:r>
      <w:r w:rsidR="004F202B">
        <w:rPr>
          <w:rFonts w:eastAsia="Calibri"/>
          <w:lang w:val="pl-PL"/>
        </w:rPr>
        <w:t>j miałoby</w:t>
      </w:r>
      <w:r w:rsidR="008113A5" w:rsidRPr="00246717">
        <w:rPr>
          <w:rFonts w:eastAsia="Calibri"/>
          <w:lang w:val="pl-PL"/>
        </w:rPr>
        <w:t xml:space="preserve"> </w:t>
      </w:r>
      <w:r w:rsidR="004F202B">
        <w:rPr>
          <w:rFonts w:eastAsia="Calibri"/>
          <w:lang w:val="pl-PL"/>
        </w:rPr>
        <w:t>inny kierunek</w:t>
      </w:r>
      <w:r w:rsidR="008113A5" w:rsidRPr="00246717">
        <w:rPr>
          <w:rFonts w:eastAsia="Calibri"/>
          <w:lang w:val="pl-PL"/>
        </w:rPr>
        <w:t>, oskarżony złożyłby inne zeznania, dopuszczono by inne materiały dowodowe, itd. Ostatecznie, jak zauważył Sąd Najwyższy Stanów Zjednoczonych, „[a]</w:t>
      </w:r>
      <w:proofErr w:type="spellStart"/>
      <w:r w:rsidR="008113A5" w:rsidRPr="00246717">
        <w:rPr>
          <w:rFonts w:eastAsia="Calibri"/>
          <w:lang w:val="pl-PL"/>
        </w:rPr>
        <w:t>naliza</w:t>
      </w:r>
      <w:proofErr w:type="spellEnd"/>
      <w:r w:rsidR="008113A5" w:rsidRPr="00246717">
        <w:rPr>
          <w:rFonts w:eastAsia="Calibri"/>
          <w:lang w:val="pl-PL"/>
        </w:rPr>
        <w:t xml:space="preserve"> nieszkodliwego błędu [lub w żargonie Trybunału, </w:t>
      </w:r>
      <w:r w:rsidR="00D0562B">
        <w:rPr>
          <w:rFonts w:eastAsia="Calibri" w:cstheme="minorHAnsi"/>
          <w:lang w:val="pl-PL"/>
        </w:rPr>
        <w:t>«</w:t>
      </w:r>
      <w:r w:rsidR="00D0562B" w:rsidRPr="00246717">
        <w:rPr>
          <w:rFonts w:eastAsia="Calibri"/>
          <w:lang w:val="pl-PL"/>
        </w:rPr>
        <w:t>ogólnej rzetelności</w:t>
      </w:r>
      <w:r w:rsidR="00D0562B">
        <w:rPr>
          <w:rFonts w:eastAsia="Calibri" w:cstheme="minorHAnsi"/>
          <w:lang w:val="pl-PL"/>
        </w:rPr>
        <w:t>»</w:t>
      </w:r>
      <w:r w:rsidR="008113A5" w:rsidRPr="00246717">
        <w:rPr>
          <w:rFonts w:eastAsia="Calibri"/>
          <w:lang w:val="pl-PL"/>
        </w:rPr>
        <w:t>] w takim kontekście byłaby spekulac</w:t>
      </w:r>
      <w:r w:rsidR="004F202B">
        <w:rPr>
          <w:rFonts w:eastAsia="Calibri"/>
          <w:lang w:val="pl-PL"/>
        </w:rPr>
        <w:t>ją na temat tego</w:t>
      </w:r>
      <w:r w:rsidR="008113A5" w:rsidRPr="00246717">
        <w:rPr>
          <w:rFonts w:eastAsia="Calibri"/>
          <w:lang w:val="pl-PL"/>
        </w:rPr>
        <w:t>, co mogłoby się wydarzyć w</w:t>
      </w:r>
      <w:r w:rsidR="00D0562B">
        <w:rPr>
          <w:rFonts w:eastAsia="Calibri"/>
          <w:lang w:val="pl-PL"/>
        </w:rPr>
        <w:t> </w:t>
      </w:r>
      <w:r w:rsidR="008113A5" w:rsidRPr="00246717">
        <w:rPr>
          <w:rFonts w:eastAsia="Calibri"/>
          <w:lang w:val="pl-PL"/>
        </w:rPr>
        <w:t>alternatywnym uniwersum”.</w:t>
      </w:r>
      <w:r w:rsidR="008113A5" w:rsidRPr="00246717">
        <w:rPr>
          <w:rFonts w:eastAsia="Calibri"/>
          <w:vertAlign w:val="superscript"/>
          <w:lang w:val="pl-PL"/>
        </w:rPr>
        <w:footnoteReference w:id="120"/>
      </w:r>
    </w:p>
    <w:p w14:paraId="7CCE1967" w14:textId="63CF8CD8"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51</w:t>
      </w:r>
      <w:r w:rsidRPr="00246717">
        <w:rPr>
          <w:rFonts w:eastAsia="Calibri"/>
          <w:lang w:val="pl-PL"/>
        </w:rPr>
        <w:fldChar w:fldCharType="end"/>
      </w:r>
      <w:r w:rsidR="008113A5" w:rsidRPr="00246717">
        <w:rPr>
          <w:rFonts w:eastAsia="Calibri"/>
          <w:lang w:val="pl-PL"/>
        </w:rPr>
        <w:t>.  W rzeczy samej</w:t>
      </w:r>
      <w:r w:rsidR="00D0562B">
        <w:rPr>
          <w:rFonts w:eastAsia="Calibri"/>
          <w:lang w:val="pl-PL"/>
        </w:rPr>
        <w:t>,</w:t>
      </w:r>
      <w:r w:rsidR="008113A5" w:rsidRPr="00246717">
        <w:rPr>
          <w:rFonts w:eastAsia="Calibri"/>
          <w:lang w:val="pl-PL"/>
        </w:rPr>
        <w:t xml:space="preserve"> Trybunał sam od dawna uznaje logiczne przeszkody w tego rodzaju ocenie. Już w 1980</w:t>
      </w:r>
      <w:r w:rsidR="00D0562B">
        <w:rPr>
          <w:rFonts w:eastAsia="Calibri"/>
          <w:lang w:val="pl-PL"/>
        </w:rPr>
        <w:t> </w:t>
      </w:r>
      <w:r w:rsidR="008113A5" w:rsidRPr="00246717">
        <w:rPr>
          <w:rFonts w:eastAsia="Calibri"/>
          <w:lang w:val="pl-PL"/>
        </w:rPr>
        <w:t xml:space="preserve">r. Trybunał rozpatrywał sprawę osoby skazanej, która nie otrzymała żadnej skutecznej pomocy od </w:t>
      </w:r>
      <w:r w:rsidR="004F202B">
        <w:rPr>
          <w:rFonts w:eastAsia="Calibri"/>
          <w:lang w:val="pl-PL"/>
        </w:rPr>
        <w:t>obrońcy z urzędu</w:t>
      </w:r>
      <w:r w:rsidR="008113A5" w:rsidRPr="00246717">
        <w:rPr>
          <w:rFonts w:eastAsia="Calibri"/>
          <w:lang w:val="pl-PL"/>
        </w:rPr>
        <w:t xml:space="preserve">. Rząd w tej sprawie </w:t>
      </w:r>
      <w:r w:rsidR="004F202B">
        <w:rPr>
          <w:rFonts w:eastAsia="Calibri"/>
          <w:lang w:val="pl-PL"/>
        </w:rPr>
        <w:t>twierdził</w:t>
      </w:r>
      <w:r w:rsidR="008113A5" w:rsidRPr="00246717">
        <w:rPr>
          <w:rFonts w:eastAsia="Calibri"/>
          <w:lang w:val="pl-PL"/>
        </w:rPr>
        <w:t>, że brak pomocy prawnej był bez znaczenia, ponieważ nie zmieniłby losu skarżącego. Jak stwierdziło pozwane państwo, „żeby doszło do naruszenia art.</w:t>
      </w:r>
      <w:r w:rsidR="00D0562B">
        <w:rPr>
          <w:rFonts w:eastAsia="Calibri"/>
          <w:lang w:val="pl-PL"/>
        </w:rPr>
        <w:t> </w:t>
      </w:r>
      <w:r w:rsidR="008113A5" w:rsidRPr="00246717">
        <w:rPr>
          <w:rFonts w:eastAsia="Calibri"/>
          <w:lang w:val="pl-PL"/>
        </w:rPr>
        <w:t>6 ust.</w:t>
      </w:r>
      <w:r w:rsidR="00D0562B">
        <w:rPr>
          <w:rFonts w:eastAsia="Calibri"/>
          <w:lang w:val="pl-PL"/>
        </w:rPr>
        <w:t> </w:t>
      </w:r>
      <w:r w:rsidR="008113A5" w:rsidRPr="00246717">
        <w:rPr>
          <w:rFonts w:eastAsia="Calibri"/>
          <w:lang w:val="pl-PL"/>
        </w:rPr>
        <w:t>3 lit.</w:t>
      </w:r>
      <w:r w:rsidR="00D0562B">
        <w:rPr>
          <w:rFonts w:eastAsia="Calibri"/>
          <w:lang w:val="pl-PL"/>
        </w:rPr>
        <w:t> </w:t>
      </w:r>
      <w:r w:rsidR="008113A5" w:rsidRPr="00246717">
        <w:rPr>
          <w:rFonts w:eastAsia="Calibri"/>
          <w:lang w:val="pl-PL"/>
        </w:rPr>
        <w:t>c [...] brak pomocy musi faktycznie zaszkodzić osobie, której zarzuca się popełnienie czynu zagrożonego karą”.</w:t>
      </w:r>
      <w:r w:rsidR="008113A5" w:rsidRPr="00246717">
        <w:rPr>
          <w:rFonts w:eastAsia="Calibri"/>
          <w:vertAlign w:val="superscript"/>
          <w:lang w:val="pl-PL"/>
        </w:rPr>
        <w:footnoteReference w:id="121"/>
      </w:r>
      <w:r w:rsidR="008113A5" w:rsidRPr="00246717">
        <w:rPr>
          <w:rFonts w:eastAsia="Calibri"/>
          <w:lang w:val="pl-PL"/>
        </w:rPr>
        <w:t xml:space="preserve"> Trybunał wyraził brak zgody w sposób ogólny: „żadne postanowienie art.</w:t>
      </w:r>
      <w:r w:rsidR="00D0562B">
        <w:rPr>
          <w:rFonts w:eastAsia="Calibri"/>
          <w:lang w:val="pl-PL"/>
        </w:rPr>
        <w:t> </w:t>
      </w:r>
      <w:r w:rsidR="008113A5" w:rsidRPr="00246717">
        <w:rPr>
          <w:rFonts w:eastAsia="Calibri"/>
          <w:lang w:val="pl-PL"/>
        </w:rPr>
        <w:t>6</w:t>
      </w:r>
      <w:r w:rsidR="00D0562B" w:rsidRPr="000473D0">
        <w:rPr>
          <w:lang w:val="pl-PL"/>
        </w:rPr>
        <w:t> </w:t>
      </w:r>
      <w:r w:rsidR="008113A5" w:rsidRPr="00246717">
        <w:rPr>
          <w:rFonts w:eastAsia="Calibri"/>
          <w:lang w:val="pl-PL"/>
        </w:rPr>
        <w:t>ust.</w:t>
      </w:r>
      <w:r w:rsidR="00D0562B">
        <w:rPr>
          <w:rFonts w:eastAsia="Calibri"/>
          <w:lang w:val="pl-PL"/>
        </w:rPr>
        <w:t> </w:t>
      </w:r>
      <w:r w:rsidR="008113A5" w:rsidRPr="00246717">
        <w:rPr>
          <w:rFonts w:eastAsia="Calibri"/>
          <w:lang w:val="pl-PL"/>
        </w:rPr>
        <w:t>3 lit.</w:t>
      </w:r>
      <w:r w:rsidR="00D0562B">
        <w:rPr>
          <w:rFonts w:eastAsia="Calibri"/>
          <w:lang w:val="pl-PL"/>
        </w:rPr>
        <w:t> </w:t>
      </w:r>
      <w:r w:rsidR="008113A5" w:rsidRPr="00246717">
        <w:rPr>
          <w:rFonts w:eastAsia="Calibri"/>
          <w:lang w:val="pl-PL"/>
        </w:rPr>
        <w:t xml:space="preserve">c nie wskazuje na to, że taki dowód [zgodnie z którym skuteczna pomoc </w:t>
      </w:r>
      <w:r w:rsidR="004F202B">
        <w:rPr>
          <w:rFonts w:eastAsia="Calibri"/>
          <w:lang w:val="pl-PL"/>
        </w:rPr>
        <w:t>obrońca</w:t>
      </w:r>
      <w:r w:rsidR="008113A5" w:rsidRPr="00246717">
        <w:rPr>
          <w:rFonts w:eastAsia="Calibri"/>
          <w:lang w:val="pl-PL"/>
        </w:rPr>
        <w:t xml:space="preserve"> byłaby korzystna dla skarżącej] jest konieczny; wykładnia, która wprowadziła ten wymóg do tego akapitu pozbawiłaby go w dużej mierze </w:t>
      </w:r>
      <w:r w:rsidR="004F202B">
        <w:rPr>
          <w:rFonts w:eastAsia="Calibri"/>
          <w:lang w:val="pl-PL"/>
        </w:rPr>
        <w:t xml:space="preserve">treści </w:t>
      </w:r>
      <w:r w:rsidR="008113A5" w:rsidRPr="00246717">
        <w:rPr>
          <w:rFonts w:eastAsia="Calibri"/>
          <w:lang w:val="pl-PL"/>
        </w:rPr>
        <w:t>merytorycznej. W bardziej ogólnym ujęciu istnienie naruszenia można sobie wyobrazić nawet w przypadku braku uszczerbku”.</w:t>
      </w:r>
      <w:r w:rsidR="008113A5" w:rsidRPr="00246717">
        <w:rPr>
          <w:rFonts w:eastAsia="Calibri"/>
          <w:vertAlign w:val="superscript"/>
          <w:lang w:val="pl-PL"/>
        </w:rPr>
        <w:footnoteReference w:id="122"/>
      </w:r>
      <w:r w:rsidR="008113A5" w:rsidRPr="00246717">
        <w:rPr>
          <w:rFonts w:eastAsia="Calibri"/>
          <w:lang w:val="pl-PL"/>
        </w:rPr>
        <w:t xml:space="preserve"> Nawet bardziej wprost, w sprawie </w:t>
      </w:r>
      <w:r w:rsidR="008113A5" w:rsidRPr="00246717">
        <w:rPr>
          <w:rFonts w:eastAsia="Calibri"/>
          <w:i/>
          <w:iCs/>
          <w:lang w:val="pl-PL"/>
        </w:rPr>
        <w:t xml:space="preserve">John Murray </w:t>
      </w:r>
      <w:r w:rsidR="008113A5" w:rsidRPr="00246717">
        <w:rPr>
          <w:rFonts w:eastAsia="Calibri"/>
          <w:lang w:val="pl-PL"/>
        </w:rPr>
        <w:t xml:space="preserve">Trybunał odpowiedział na podobny argument Rządu, wyjaśniając, że „zadaniem Trybunału nie jest spekulowanie na temat tego, jaka byłaby reakcja skarżącego albo porada jego </w:t>
      </w:r>
      <w:r w:rsidR="004F202B">
        <w:rPr>
          <w:rFonts w:eastAsia="Calibri"/>
          <w:lang w:val="pl-PL"/>
        </w:rPr>
        <w:t>obrońcy</w:t>
      </w:r>
      <w:r w:rsidR="008113A5" w:rsidRPr="00246717">
        <w:rPr>
          <w:rFonts w:eastAsia="Calibri"/>
          <w:lang w:val="pl-PL"/>
        </w:rPr>
        <w:t xml:space="preserve">, gdyby nie odmówiono mu dostępu </w:t>
      </w:r>
      <w:r w:rsidR="008113A5" w:rsidRPr="00246717">
        <w:rPr>
          <w:rFonts w:eastAsia="Calibri"/>
          <w:lang w:val="pl-PL"/>
        </w:rPr>
        <w:lastRenderedPageBreak/>
        <w:t>podczas tego początkowego okresu”.</w:t>
      </w:r>
      <w:r w:rsidR="008113A5" w:rsidRPr="00246717">
        <w:rPr>
          <w:rFonts w:eastAsia="Calibri"/>
          <w:vertAlign w:val="superscript"/>
          <w:lang w:val="pl-PL"/>
        </w:rPr>
        <w:footnoteReference w:id="123"/>
      </w:r>
      <w:r w:rsidR="008113A5" w:rsidRPr="00246717">
        <w:rPr>
          <w:rFonts w:eastAsia="Calibri"/>
          <w:lang w:val="pl-PL"/>
        </w:rPr>
        <w:t xml:space="preserve"> Wielka Izba powieliła to rozumowanie niemal </w:t>
      </w:r>
      <w:r w:rsidR="00975E0E">
        <w:rPr>
          <w:rFonts w:eastAsia="Calibri"/>
          <w:lang w:val="pl-PL"/>
        </w:rPr>
        <w:t>wprost</w:t>
      </w:r>
      <w:r w:rsidR="008113A5" w:rsidRPr="00246717">
        <w:rPr>
          <w:rFonts w:eastAsia="Calibri"/>
          <w:lang w:val="pl-PL"/>
        </w:rPr>
        <w:t xml:space="preserve"> w sprawie </w:t>
      </w:r>
      <w:proofErr w:type="spellStart"/>
      <w:r w:rsidR="008113A5" w:rsidRPr="00246717">
        <w:rPr>
          <w:rFonts w:eastAsia="Calibri"/>
          <w:i/>
          <w:iCs/>
          <w:lang w:val="pl-PL"/>
        </w:rPr>
        <w:t>Salduz</w:t>
      </w:r>
      <w:proofErr w:type="spellEnd"/>
      <w:r w:rsidR="008113A5" w:rsidRPr="00246717">
        <w:rPr>
          <w:rFonts w:eastAsia="Calibri"/>
          <w:lang w:val="pl-PL"/>
        </w:rPr>
        <w:t>.</w:t>
      </w:r>
      <w:r w:rsidR="008113A5" w:rsidRPr="00246717">
        <w:rPr>
          <w:rFonts w:eastAsia="Calibri"/>
          <w:vertAlign w:val="superscript"/>
          <w:lang w:val="pl-PL"/>
        </w:rPr>
        <w:footnoteReference w:id="124"/>
      </w:r>
    </w:p>
    <w:p w14:paraId="09B18633" w14:textId="6B584881"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52</w:t>
      </w:r>
      <w:r w:rsidRPr="00246717">
        <w:rPr>
          <w:rFonts w:eastAsia="Calibri"/>
          <w:lang w:val="pl-PL"/>
        </w:rPr>
        <w:fldChar w:fldCharType="end"/>
      </w:r>
      <w:r w:rsidR="008113A5" w:rsidRPr="00246717">
        <w:rPr>
          <w:rFonts w:eastAsia="Calibri"/>
          <w:lang w:val="pl-PL"/>
        </w:rPr>
        <w:t xml:space="preserve">.  Jeśli nawet zignorujemy te fatalne błędy logiczne w rozumowaniu większości składu orzekającego w niniejszym wyroku, test na ogólną rzetelność jest </w:t>
      </w:r>
      <w:r w:rsidR="004F202B">
        <w:rPr>
          <w:rFonts w:eastAsia="Calibri"/>
          <w:lang w:val="pl-PL"/>
        </w:rPr>
        <w:t>siłą rzeczy</w:t>
      </w:r>
      <w:r w:rsidR="004F202B" w:rsidRPr="00246717">
        <w:rPr>
          <w:rFonts w:eastAsia="Calibri"/>
          <w:lang w:val="pl-PL"/>
        </w:rPr>
        <w:t xml:space="preserve"> </w:t>
      </w:r>
      <w:r w:rsidR="008113A5" w:rsidRPr="00246717">
        <w:rPr>
          <w:rFonts w:eastAsia="Calibri"/>
          <w:lang w:val="pl-PL"/>
        </w:rPr>
        <w:t xml:space="preserve">subiektywny, a zatem skrajnie </w:t>
      </w:r>
      <w:r w:rsidR="004F202B">
        <w:rPr>
          <w:rFonts w:eastAsia="Calibri"/>
          <w:lang w:val="pl-PL"/>
        </w:rPr>
        <w:t>podatny na kształtowanie</w:t>
      </w:r>
      <w:r w:rsidR="008113A5" w:rsidRPr="00246717">
        <w:rPr>
          <w:rFonts w:eastAsia="Calibri"/>
          <w:lang w:val="pl-PL"/>
        </w:rPr>
        <w:t>. Właściwość ta sprawia, że jest to bardzo niedostosowana norma do wykorzystania przez Trybunał w jeszcze mniej przewidywalny sposób. Z</w:t>
      </w:r>
      <w:r w:rsidR="00936B38">
        <w:rPr>
          <w:rFonts w:eastAsia="Calibri"/>
          <w:lang w:val="pl-PL"/>
        </w:rPr>
        <w:t> </w:t>
      </w:r>
      <w:r w:rsidR="008113A5" w:rsidRPr="00246717">
        <w:rPr>
          <w:rFonts w:eastAsia="Calibri"/>
          <w:lang w:val="pl-PL"/>
        </w:rPr>
        <w:t>tego samego powodu norma ta jest szczególnie niedostosowana do wskazywania drogi sądom krajowym przy ocenie zgodności z Konwencją: mówienie sądowi, że procedury należy przeprowadzać w sposób „ogólnie rzetelny” niewiele wprowadza do dobrej woli sędziów krajowych. Mogą istnieć uzasadnione nieporozumienia pomiędzy sądami krajowymi, pomiędzy tymi, które prowadzą postępowanie i tymi, które je kontrolują, a</w:t>
      </w:r>
      <w:r w:rsidR="00936B38">
        <w:rPr>
          <w:rFonts w:eastAsia="Calibri"/>
          <w:lang w:val="pl-PL"/>
        </w:rPr>
        <w:t> </w:t>
      </w:r>
      <w:r w:rsidR="008113A5" w:rsidRPr="00246717">
        <w:rPr>
          <w:rFonts w:eastAsia="Calibri"/>
          <w:lang w:val="pl-PL"/>
        </w:rPr>
        <w:t xml:space="preserve">także pomiędzy tymi sądami a Trybunałem co do „rzetelnych” środków stosowanych w każdym danym kontekście albo w ogólności. Wykluczenie ocen „rzetelności” na szczeblu krajowym wydaje się mniej zgodne z zasadą pomocniczości niż zwykłe ustalenie naruszeń konkretnych praw proceduralnych, przewidzianych w Konwencji, którą państwa członkowskie ratyfikowały. Umożliwienie państwom naruszenia ścisłych norm, takich jak </w:t>
      </w:r>
      <w:r w:rsidR="00936B38">
        <w:rPr>
          <w:rFonts w:eastAsia="Calibri"/>
          <w:lang w:val="pl-PL"/>
        </w:rPr>
        <w:t xml:space="preserve">te </w:t>
      </w:r>
      <w:r w:rsidR="008113A5" w:rsidRPr="00246717">
        <w:rPr>
          <w:rFonts w:eastAsia="Calibri"/>
          <w:lang w:val="pl-PL"/>
        </w:rPr>
        <w:t>przewidziane w</w:t>
      </w:r>
      <w:r w:rsidR="00936B38">
        <w:rPr>
          <w:rFonts w:eastAsia="Calibri"/>
          <w:lang w:val="pl-PL"/>
        </w:rPr>
        <w:t> </w:t>
      </w:r>
      <w:r w:rsidR="008113A5" w:rsidRPr="00246717">
        <w:rPr>
          <w:rFonts w:eastAsia="Calibri"/>
          <w:lang w:val="pl-PL"/>
        </w:rPr>
        <w:t>art. 6 ust.</w:t>
      </w:r>
      <w:r w:rsidR="00936B38">
        <w:rPr>
          <w:rFonts w:eastAsia="Calibri"/>
          <w:lang w:val="pl-PL"/>
        </w:rPr>
        <w:t> </w:t>
      </w:r>
      <w:r w:rsidR="008113A5" w:rsidRPr="00246717">
        <w:rPr>
          <w:rFonts w:eastAsia="Calibri"/>
          <w:lang w:val="pl-PL"/>
        </w:rPr>
        <w:t>3 z korzyścią dla rozmytej koncepcji bardziej zachęca niż zapobiega naruszaniu art.</w:t>
      </w:r>
      <w:r w:rsidR="00936B38">
        <w:rPr>
          <w:rFonts w:eastAsia="Calibri"/>
          <w:lang w:val="pl-PL"/>
        </w:rPr>
        <w:t> </w:t>
      </w:r>
      <w:r w:rsidR="008113A5" w:rsidRPr="00246717">
        <w:rPr>
          <w:rFonts w:eastAsia="Calibri"/>
          <w:lang w:val="pl-PL"/>
        </w:rPr>
        <w:t>6.</w:t>
      </w:r>
    </w:p>
    <w:p w14:paraId="7A75F6B7" w14:textId="2E7B4A60"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53</w:t>
      </w:r>
      <w:r w:rsidRPr="00246717">
        <w:rPr>
          <w:rFonts w:eastAsia="Calibri"/>
          <w:lang w:val="pl-PL"/>
        </w:rPr>
        <w:fldChar w:fldCharType="end"/>
      </w:r>
      <w:r w:rsidR="008113A5" w:rsidRPr="00246717">
        <w:rPr>
          <w:rFonts w:eastAsia="Calibri"/>
          <w:lang w:val="pl-PL"/>
        </w:rPr>
        <w:t xml:space="preserve">.  Jeżeli jakiekolwiek dowody na elastyczność koncepcji „ogólnej rzetelności” są konieczne, można odwołać się do </w:t>
      </w:r>
      <w:r w:rsidR="008113A5" w:rsidRPr="00246717">
        <w:rPr>
          <w:rFonts w:eastAsia="Calibri"/>
          <w:i/>
          <w:iCs/>
          <w:lang w:val="pl-PL"/>
        </w:rPr>
        <w:t xml:space="preserve">Ibrahim i Inni, </w:t>
      </w:r>
      <w:r w:rsidR="008113A5" w:rsidRPr="00246717">
        <w:rPr>
          <w:rFonts w:eastAsia="Calibri"/>
          <w:lang w:val="pl-PL"/>
        </w:rPr>
        <w:t>gdzie Trybunał uwzględnił „niewyczerpującą listę czynników”</w:t>
      </w:r>
      <w:r w:rsidR="008113A5" w:rsidRPr="00246717">
        <w:rPr>
          <w:rFonts w:eastAsia="Calibri"/>
          <w:vertAlign w:val="superscript"/>
          <w:lang w:val="pl-PL"/>
        </w:rPr>
        <w:footnoteReference w:id="125"/>
      </w:r>
      <w:r w:rsidR="008113A5" w:rsidRPr="00246717">
        <w:rPr>
          <w:rFonts w:eastAsia="Calibri"/>
          <w:lang w:val="pl-PL"/>
        </w:rPr>
        <w:t xml:space="preserve"> mających znaczenie dla analizy rzetelności. Czynniki te obejmują między innymi „[i]</w:t>
      </w:r>
      <w:proofErr w:type="spellStart"/>
      <w:r w:rsidR="008113A5" w:rsidRPr="00246717">
        <w:rPr>
          <w:rFonts w:eastAsia="Calibri"/>
          <w:lang w:val="pl-PL"/>
        </w:rPr>
        <w:t>nne</w:t>
      </w:r>
      <w:proofErr w:type="spellEnd"/>
      <w:r w:rsidR="008113A5" w:rsidRPr="00246717">
        <w:rPr>
          <w:rFonts w:eastAsia="Calibri"/>
          <w:lang w:val="pl-PL"/>
        </w:rPr>
        <w:t xml:space="preserve"> istotne zabezpieczenia proceduralne przyznane przez prawo krajowe i praktykę”, konkretne względy (takie jak wiek oskarżonych i ich zdolności umysłowe), ale też inne „czynniki”, których zakres jest tak szeroki, jak sama ocena rzetelności. Trybunał stwierdza na przykład, że uwzględni „ramy prawne regulujące postępowania </w:t>
      </w:r>
      <w:proofErr w:type="spellStart"/>
      <w:r w:rsidR="008113A5" w:rsidRPr="00246717">
        <w:rPr>
          <w:rFonts w:eastAsia="Calibri"/>
          <w:lang w:val="pl-PL"/>
        </w:rPr>
        <w:t>przedprocesowe</w:t>
      </w:r>
      <w:proofErr w:type="spellEnd"/>
      <w:r w:rsidR="008113A5" w:rsidRPr="00246717">
        <w:rPr>
          <w:rFonts w:eastAsia="Calibri"/>
          <w:lang w:val="pl-PL"/>
        </w:rPr>
        <w:t>” i „jakość dowodów [...] z</w:t>
      </w:r>
      <w:r w:rsidR="00936B38">
        <w:rPr>
          <w:rFonts w:eastAsia="Calibri"/>
          <w:lang w:val="pl-PL"/>
        </w:rPr>
        <w:t> </w:t>
      </w:r>
      <w:r w:rsidR="008113A5" w:rsidRPr="00246717">
        <w:rPr>
          <w:rFonts w:eastAsia="Calibri"/>
          <w:lang w:val="pl-PL"/>
        </w:rPr>
        <w:t xml:space="preserve">uwzględnieniem stopnia i charakteru wszelkiego przymusu”. Jest to mapa wielkości terytorium: pozornie dokładna, ale w rzeczywistości nieużyteczna pod względem dostarczania jakichkolwiek wytycznych. Świadczy o tym fakt, że nawet sam Trybunał nie dokonał kontroli tych elementów przy przeprowadzaniu oceny rzetelności rok później w </w:t>
      </w:r>
      <w:r w:rsidR="00936B38">
        <w:rPr>
          <w:rFonts w:eastAsia="Calibri"/>
          <w:lang w:val="pl-PL"/>
        </w:rPr>
        <w:t xml:space="preserve">sprawie </w:t>
      </w:r>
      <w:proofErr w:type="spellStart"/>
      <w:r w:rsidR="008113A5" w:rsidRPr="00246717">
        <w:rPr>
          <w:rFonts w:eastAsia="Calibri"/>
          <w:i/>
          <w:iCs/>
          <w:lang w:val="pl-PL"/>
        </w:rPr>
        <w:t>Simeonovi</w:t>
      </w:r>
      <w:proofErr w:type="spellEnd"/>
      <w:r w:rsidR="008113A5" w:rsidRPr="00246717">
        <w:rPr>
          <w:rFonts w:eastAsia="Calibri"/>
          <w:i/>
          <w:iCs/>
          <w:lang w:val="pl-PL"/>
        </w:rPr>
        <w:t xml:space="preserve"> przeciwko</w:t>
      </w:r>
      <w:r w:rsidR="008113A5" w:rsidRPr="00246717">
        <w:rPr>
          <w:rFonts w:ascii="Sylfaen" w:eastAsia="Calibri" w:hAnsi="Sylfaen"/>
          <w:i/>
          <w:iCs/>
          <w:lang w:val="pl-PL"/>
        </w:rPr>
        <w:t> </w:t>
      </w:r>
      <w:r w:rsidR="008113A5" w:rsidRPr="00246717">
        <w:rPr>
          <w:rFonts w:eastAsia="Calibri"/>
          <w:i/>
          <w:iCs/>
          <w:lang w:val="pl-PL"/>
        </w:rPr>
        <w:t>Bułgarii.</w:t>
      </w:r>
      <w:r w:rsidR="008113A5" w:rsidRPr="00246717">
        <w:rPr>
          <w:rFonts w:eastAsia="Calibri"/>
          <w:vertAlign w:val="superscript"/>
          <w:lang w:val="pl-PL"/>
        </w:rPr>
        <w:footnoteReference w:id="126"/>
      </w:r>
      <w:r w:rsidR="008113A5" w:rsidRPr="00246717">
        <w:rPr>
          <w:rFonts w:eastAsia="Calibri"/>
          <w:lang w:val="pl-PL"/>
        </w:rPr>
        <w:t xml:space="preserve"> Brak pewności prawa nasila się w przypadku odmowy stawiennictwa świadków obrony, ponieważ lista w wyroku w sprawie </w:t>
      </w:r>
      <w:r w:rsidR="008113A5" w:rsidRPr="00246717">
        <w:rPr>
          <w:rFonts w:eastAsia="Calibri"/>
          <w:i/>
          <w:iCs/>
          <w:lang w:val="pl-PL"/>
        </w:rPr>
        <w:t xml:space="preserve">Ibrahim i Inni </w:t>
      </w:r>
      <w:r w:rsidR="008113A5" w:rsidRPr="00246717">
        <w:rPr>
          <w:rFonts w:eastAsia="Calibri"/>
          <w:lang w:val="pl-PL"/>
        </w:rPr>
        <w:t xml:space="preserve">zawierająca dziesięć istotnych czynników oceny ogólnej </w:t>
      </w:r>
      <w:r w:rsidR="008113A5" w:rsidRPr="00246717">
        <w:rPr>
          <w:rFonts w:eastAsia="Calibri"/>
          <w:lang w:val="pl-PL"/>
        </w:rPr>
        <w:lastRenderedPageBreak/>
        <w:t>rzetelności postępowania</w:t>
      </w:r>
      <w:r w:rsidR="008113A5" w:rsidRPr="00246717">
        <w:rPr>
          <w:rFonts w:eastAsia="Calibri"/>
          <w:vertAlign w:val="superscript"/>
          <w:lang w:val="pl-PL"/>
        </w:rPr>
        <w:footnoteReference w:id="127"/>
      </w:r>
      <w:r w:rsidR="008113A5" w:rsidRPr="00246717">
        <w:rPr>
          <w:rFonts w:eastAsia="Calibri"/>
          <w:lang w:val="pl-PL"/>
        </w:rPr>
        <w:t xml:space="preserve"> została całkowicie zignorowana w niniejszej sprawie i nie podjęto żadnego starania, żeby zastąpić ją alternatywną listą.</w:t>
      </w:r>
    </w:p>
    <w:p w14:paraId="1A86C06C" w14:textId="701B648A"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54</w:t>
      </w:r>
      <w:r w:rsidRPr="00246717">
        <w:rPr>
          <w:rFonts w:eastAsia="Calibri"/>
          <w:lang w:val="pl-PL"/>
        </w:rPr>
        <w:fldChar w:fldCharType="end"/>
      </w:r>
      <w:r w:rsidR="008113A5" w:rsidRPr="00246717">
        <w:rPr>
          <w:rFonts w:eastAsia="Calibri"/>
          <w:lang w:val="pl-PL"/>
        </w:rPr>
        <w:t xml:space="preserve">.  Jeżeli brak jasności dla sądów krajowych już czyni test na ogólną rzetelność niebezpiecznym czekiem </w:t>
      </w:r>
      <w:r w:rsidR="008113A5" w:rsidRPr="00246717">
        <w:rPr>
          <w:rFonts w:eastAsia="Calibri"/>
          <w:i/>
          <w:iCs/>
          <w:lang w:val="pl-PL"/>
        </w:rPr>
        <w:t xml:space="preserve">in blanco, </w:t>
      </w:r>
      <w:r w:rsidR="008113A5" w:rsidRPr="00246717">
        <w:rPr>
          <w:rFonts w:eastAsia="Calibri"/>
          <w:lang w:val="pl-PL"/>
        </w:rPr>
        <w:t>istnieje jednak jeden szczególnie niebezpieczny czynnik, który zasługuje na specjalną uwagę: „[w]aga interesu publicznego w śledztwie i karze z tytułu konkretnego popełnionego przestępstwa”.</w:t>
      </w:r>
      <w:r w:rsidR="008113A5" w:rsidRPr="00246717">
        <w:rPr>
          <w:rFonts w:eastAsia="Calibri"/>
          <w:vertAlign w:val="superscript"/>
          <w:lang w:val="pl-PL"/>
        </w:rPr>
        <w:footnoteReference w:id="128"/>
      </w:r>
      <w:r w:rsidR="008113A5" w:rsidRPr="00246717">
        <w:rPr>
          <w:rFonts w:eastAsia="Calibri"/>
          <w:lang w:val="pl-PL"/>
        </w:rPr>
        <w:t xml:space="preserve"> Nie należy zajmować skrajnie deontologicznego stanowiska, żeby zrozumieć, dlaczego ten rodzaj rozumowania powinien być zabroniony w sądzie. Powaga i charakter przestępstw </w:t>
      </w:r>
      <w:r w:rsidR="009510C1" w:rsidRPr="00246717">
        <w:rPr>
          <w:rFonts w:eastAsia="Calibri"/>
          <w:lang w:val="pl-PL"/>
        </w:rPr>
        <w:t>mogą</w:t>
      </w:r>
      <w:r w:rsidR="008113A5" w:rsidRPr="00246717">
        <w:rPr>
          <w:rFonts w:eastAsia="Calibri"/>
          <w:lang w:val="pl-PL"/>
        </w:rPr>
        <w:t xml:space="preserve"> skłonić państwa do przyjęcia szczególnych przepisów proceduralnych, oraz, w szczególności, żadnych postanowień Konwencji nie należy rozumieć jako uniemożliwiających krajom walki z terroryzmem, zorganizowaną przestępczością i innymi poważnymi formami przestępczości. Niemniej umieszczenie tego czynnika wśród tych, które mają znaczenie dla oceny rzetelności postępowania jest bardzo niepokojące. Zauważam, że w wyroku w sprawie </w:t>
      </w:r>
      <w:r w:rsidR="008113A5" w:rsidRPr="00246717">
        <w:rPr>
          <w:rFonts w:eastAsia="Calibri"/>
          <w:i/>
          <w:iCs/>
          <w:lang w:val="pl-PL"/>
        </w:rPr>
        <w:t xml:space="preserve">Ibrahim i Inni </w:t>
      </w:r>
      <w:r w:rsidR="008113A5" w:rsidRPr="00246717">
        <w:rPr>
          <w:rFonts w:eastAsia="Calibri"/>
          <w:lang w:val="pl-PL"/>
        </w:rPr>
        <w:t xml:space="preserve">nie powołano się na interes publiczny w </w:t>
      </w:r>
      <w:r w:rsidR="00936B38">
        <w:rPr>
          <w:rFonts w:eastAsia="Calibri"/>
          <w:lang w:val="pl-PL"/>
        </w:rPr>
        <w:t>postępowaniu przygotowawczym</w:t>
      </w:r>
      <w:r w:rsidR="008113A5" w:rsidRPr="00246717">
        <w:rPr>
          <w:rFonts w:eastAsia="Calibri"/>
          <w:lang w:val="pl-PL"/>
        </w:rPr>
        <w:t xml:space="preserve"> i karze z tytułu „tego rodzaju popełnionego przestępstwa”, ale na „konkretne popełnione przestępstwo”. Można to interpretować jako oznaczające, że oskarżeni mają prawo do różnych poziomów rzetelności w toczącym się przeciwko nim procesie, nie tylko z powodu rodzaju przestępstwa, o którego popełnienie są oskarżeni, ale też z powodu „interesu publicznego”, jaki budzi ich sprawa. Byłby to najwyższy paradygmat „sprawiedliwości ulicy”, bardziej przypominający samosąd niż zgodny z prawem</w:t>
      </w:r>
      <w:r w:rsidR="009510C1">
        <w:rPr>
          <w:rFonts w:eastAsia="Calibri"/>
          <w:lang w:val="pl-PL"/>
        </w:rPr>
        <w:t xml:space="preserve"> proces</w:t>
      </w:r>
      <w:r w:rsidR="008113A5" w:rsidRPr="00246717">
        <w:rPr>
          <w:rFonts w:eastAsia="Calibri"/>
          <w:lang w:val="pl-PL"/>
        </w:rPr>
        <w:t>. Nawet jeśli uważam, że Trybunał nie mógł mieć na myśli takiego znaczenia, znamienne jest to, że w ustępie, który ma w zamierzeniu dydaktyczny wydźwięk, można znaleźć ten rodzaj niejednoznaczności. Nie wiadomo, co jeszcze miał na myśli Trybunał. Mógł przez to rozumieć, że państwom przyznaje się pewną uznaniowość w nakładaniu bardziej restrykcyjnych przepisów proceduralnych na przestępstwa dotyczące szczególnie delikatnych kwestii. Gdyby tak jednak było, niniejszą kwestię należało ocenić na poprzednim etapie, czyli przy ocenie powodów, które Rząd dostarczył dla ograniczenia. Dwukrotne uwzględnienie interesu publicznego oznacza podwójne liczenie, albo mówiąc inaczej, „połowiczne liczenie” wagi rzetelności procesu.</w:t>
      </w:r>
    </w:p>
    <w:p w14:paraId="3E909F1D" w14:textId="34BC9CBC"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55</w:t>
      </w:r>
      <w:r w:rsidRPr="00246717">
        <w:rPr>
          <w:rFonts w:eastAsia="Calibri"/>
          <w:lang w:val="pl-PL"/>
        </w:rPr>
        <w:fldChar w:fldCharType="end"/>
      </w:r>
      <w:r w:rsidR="008113A5" w:rsidRPr="00246717">
        <w:rPr>
          <w:rFonts w:eastAsia="Calibri"/>
          <w:lang w:val="pl-PL"/>
        </w:rPr>
        <w:t xml:space="preserve">.  Podobnie, ocena ogólnej rzetelności postępowania oznacza, zgodnie z logiką w sprawie </w:t>
      </w:r>
      <w:r w:rsidR="008113A5" w:rsidRPr="00246717">
        <w:rPr>
          <w:rFonts w:eastAsia="Calibri"/>
          <w:i/>
          <w:iCs/>
          <w:lang w:val="pl-PL"/>
        </w:rPr>
        <w:t xml:space="preserve">Ibrahim i Inni, </w:t>
      </w:r>
      <w:r w:rsidR="008113A5" w:rsidRPr="00246717">
        <w:rPr>
          <w:rFonts w:eastAsia="Calibri"/>
          <w:lang w:val="pl-PL"/>
        </w:rPr>
        <w:t>że Trybunał powinien analizować materiały akt sprawy,</w:t>
      </w:r>
      <w:r w:rsidR="008113A5" w:rsidRPr="00246717">
        <w:rPr>
          <w:rFonts w:eastAsia="Calibri"/>
          <w:vertAlign w:val="superscript"/>
          <w:lang w:val="pl-PL"/>
        </w:rPr>
        <w:footnoteReference w:id="129"/>
      </w:r>
      <w:r w:rsidR="008113A5" w:rsidRPr="00246717">
        <w:rPr>
          <w:rFonts w:eastAsia="Calibri"/>
          <w:lang w:val="pl-PL"/>
        </w:rPr>
        <w:t xml:space="preserve"> szczególnie dowody </w:t>
      </w:r>
      <w:r w:rsidR="009510C1">
        <w:rPr>
          <w:rFonts w:eastAsia="Calibri"/>
          <w:lang w:val="pl-PL"/>
        </w:rPr>
        <w:t>stanowiące podstawę</w:t>
      </w:r>
      <w:r w:rsidR="008113A5" w:rsidRPr="00246717">
        <w:rPr>
          <w:rFonts w:eastAsia="Calibri"/>
          <w:lang w:val="pl-PL"/>
        </w:rPr>
        <w:t xml:space="preserve"> wydania wyroku skazującego i dokonać dwojakiej oceny. Po pierwsze, czy dowody w aktach znalazłyby się tam, gdyby prawo skarżącej do </w:t>
      </w:r>
      <w:r w:rsidR="009510C1">
        <w:rPr>
          <w:rFonts w:eastAsia="Calibri"/>
          <w:lang w:val="pl-PL"/>
        </w:rPr>
        <w:t>obrońcy</w:t>
      </w:r>
      <w:r w:rsidR="009510C1" w:rsidRPr="00246717">
        <w:rPr>
          <w:rFonts w:eastAsia="Calibri"/>
          <w:lang w:val="pl-PL"/>
        </w:rPr>
        <w:t xml:space="preserve"> </w:t>
      </w:r>
      <w:r w:rsidR="008113A5" w:rsidRPr="00246717">
        <w:rPr>
          <w:rFonts w:eastAsia="Calibri"/>
          <w:lang w:val="pl-PL"/>
        </w:rPr>
        <w:t xml:space="preserve">nie zostało naruszone. I po drugie, czy dowody te mogłyby w sposób uzasadniony prowadzić do wyroku skazującego, nawet jeśli oskarżony dysponował </w:t>
      </w:r>
      <w:r w:rsidR="008113A5" w:rsidRPr="00246717">
        <w:rPr>
          <w:rFonts w:eastAsia="Calibri"/>
          <w:lang w:val="pl-PL"/>
        </w:rPr>
        <w:lastRenderedPageBreak/>
        <w:t xml:space="preserve">wybraną przez siebie pomocą prawną. Te hipotetyczne oceny nie mogą być </w:t>
      </w:r>
      <w:r w:rsidR="009510C1">
        <w:rPr>
          <w:rFonts w:eastAsia="Calibri"/>
          <w:lang w:val="pl-PL"/>
        </w:rPr>
        <w:t>prze</w:t>
      </w:r>
      <w:r w:rsidR="008113A5" w:rsidRPr="00246717">
        <w:rPr>
          <w:rFonts w:eastAsia="Calibri"/>
          <w:lang w:val="pl-PL"/>
        </w:rPr>
        <w:t>prowadz</w:t>
      </w:r>
      <w:r w:rsidR="009510C1">
        <w:rPr>
          <w:rFonts w:eastAsia="Calibri"/>
          <w:lang w:val="pl-PL"/>
        </w:rPr>
        <w:t>a</w:t>
      </w:r>
      <w:r w:rsidR="008113A5" w:rsidRPr="00246717">
        <w:rPr>
          <w:rFonts w:eastAsia="Calibri"/>
          <w:lang w:val="pl-PL"/>
        </w:rPr>
        <w:t>ne bez znaczącej znajomości krajowego prawa procesowego, czyli obejmującego przepisy dowodowe i dopuszczalność dowodów. Wydaje się, że jest to zadanie, do wykonania którego Trybunał nie jest najlepiej wyposażony, chcąc respektować przy tym prawo państw członkowskich do opracowywania własnych systemów procesowych.</w:t>
      </w:r>
    </w:p>
    <w:p w14:paraId="4D34F7FF" w14:textId="7F0E1A66" w:rsidR="00FA55DF"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56</w:t>
      </w:r>
      <w:r w:rsidRPr="00246717">
        <w:rPr>
          <w:rFonts w:eastAsia="Calibri"/>
          <w:lang w:val="pl-PL"/>
        </w:rPr>
        <w:fldChar w:fldCharType="end"/>
      </w:r>
      <w:r w:rsidR="008113A5" w:rsidRPr="00246717">
        <w:rPr>
          <w:rFonts w:eastAsia="Calibri"/>
          <w:lang w:val="pl-PL"/>
        </w:rPr>
        <w:t xml:space="preserve">.  Wreszcie, jeśli postanowienia Trybunału mają dostarczać jakiekolwiek wytyczne organom krajowym, nie jest pomocne zwracanie się do sądów krajowych o prowadzenie postępowania na podstawie ogólnej rzetelności. Jest tak nie tylko z powodu nieokreśloności koncepcji, ale, co bardziej zasadnicze, dlatego, że sądy nie mogą w danym momencie wiedzieć, w jaki sposób dane postępowanie będzie kontynuowane w przyszłości, ponieważ różnym organom powierzone są różne zadania w różnych momentach. Na przykład sędzia lub prokurator, który nie zezwala oskarżonemu na dostęp do wybranego przez </w:t>
      </w:r>
      <w:r w:rsidR="00232317">
        <w:rPr>
          <w:rFonts w:eastAsia="Calibri"/>
          <w:lang w:val="pl-PL"/>
        </w:rPr>
        <w:t>siebie</w:t>
      </w:r>
      <w:r w:rsidR="008113A5" w:rsidRPr="00246717">
        <w:rPr>
          <w:rFonts w:eastAsia="Calibri"/>
          <w:lang w:val="pl-PL"/>
        </w:rPr>
        <w:t xml:space="preserve"> </w:t>
      </w:r>
      <w:r w:rsidR="00232317">
        <w:rPr>
          <w:rFonts w:eastAsia="Calibri"/>
          <w:lang w:val="pl-PL"/>
        </w:rPr>
        <w:t>obrońcy</w:t>
      </w:r>
      <w:r w:rsidR="008113A5" w:rsidRPr="00246717">
        <w:rPr>
          <w:rFonts w:eastAsia="Calibri"/>
          <w:lang w:val="pl-PL"/>
        </w:rPr>
        <w:t xml:space="preserve">, prowadząc postępowanie przygotowawcze, nie może wiedzieć z wyprzedzeniem, czy reszta postępowania, prowadzonego po części przez różne organy, zostanie przeprowadzona „wystarczająco rzetelnie” dla zrekompensowania domniemanego naruszenia Konwencji. Brak możliwości oceny ogólnej rzetelności postępowania z perspektywy samej procedury powinien być </w:t>
      </w:r>
      <w:r w:rsidR="00232317">
        <w:rPr>
          <w:rFonts w:eastAsia="Calibri"/>
          <w:lang w:val="pl-PL"/>
        </w:rPr>
        <w:t>istotnym</w:t>
      </w:r>
      <w:r w:rsidR="008113A5" w:rsidRPr="00246717">
        <w:rPr>
          <w:rFonts w:eastAsia="Calibri"/>
          <w:lang w:val="pl-PL"/>
        </w:rPr>
        <w:t xml:space="preserve"> wskazaniem tego, że standard utrzymywany przez Trybunał jest </w:t>
      </w:r>
      <w:r w:rsidR="00232317">
        <w:rPr>
          <w:rFonts w:eastAsia="Calibri"/>
          <w:lang w:val="pl-PL"/>
        </w:rPr>
        <w:t>niedostateczny</w:t>
      </w:r>
      <w:r w:rsidR="008113A5" w:rsidRPr="00246717">
        <w:rPr>
          <w:rFonts w:eastAsia="Calibri"/>
          <w:lang w:val="pl-PL"/>
        </w:rPr>
        <w:t>.</w:t>
      </w:r>
    </w:p>
    <w:p w14:paraId="041AD106" w14:textId="77777777" w:rsidR="008113A5" w:rsidRPr="00246717" w:rsidRDefault="008113A5" w:rsidP="000957D3">
      <w:pPr>
        <w:pStyle w:val="OpiHA"/>
        <w:rPr>
          <w:rFonts w:ascii="Times New Roman" w:eastAsia="Calibri" w:hAnsi="Times New Roman" w:cs="Times New Roman"/>
          <w:szCs w:val="24"/>
          <w:lang w:val="pl-PL"/>
        </w:rPr>
      </w:pPr>
      <w:r w:rsidRPr="00246717">
        <w:rPr>
          <w:rFonts w:eastAsia="Calibri"/>
          <w:lang w:val="pl-PL"/>
        </w:rPr>
        <w:t>Zasada bezpośredniości Konwencji</w:t>
      </w:r>
    </w:p>
    <w:p w14:paraId="13D18F6D" w14:textId="1B537810" w:rsidR="008113A5" w:rsidRPr="00246717" w:rsidRDefault="00150576" w:rsidP="000957D3">
      <w:pPr>
        <w:pStyle w:val="OpiPara"/>
        <w:rPr>
          <w:rFonts w:ascii="Times New Roman" w:eastAsia="Calibri" w:hAnsi="Times New Roman" w:cs="Times New Roman"/>
          <w:szCs w:val="24"/>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57</w:t>
      </w:r>
      <w:r w:rsidRPr="00246717">
        <w:rPr>
          <w:rFonts w:eastAsia="Calibri"/>
          <w:lang w:val="pl-PL"/>
        </w:rPr>
        <w:fldChar w:fldCharType="end"/>
      </w:r>
      <w:r w:rsidR="008113A5" w:rsidRPr="00246717">
        <w:rPr>
          <w:rFonts w:eastAsia="Calibri"/>
          <w:lang w:val="pl-PL"/>
        </w:rPr>
        <w:t>.  Wszystkie powyższe stwierdzenia mają zastosowanie do praw ustanowionych w art.</w:t>
      </w:r>
      <w:r w:rsidR="00232317">
        <w:rPr>
          <w:rFonts w:eastAsia="Calibri"/>
          <w:lang w:val="pl-PL"/>
        </w:rPr>
        <w:t> </w:t>
      </w:r>
      <w:r w:rsidR="008113A5" w:rsidRPr="00246717">
        <w:rPr>
          <w:rFonts w:eastAsia="Calibri"/>
          <w:lang w:val="pl-PL"/>
        </w:rPr>
        <w:t>6 ust.</w:t>
      </w:r>
      <w:r w:rsidR="00232317">
        <w:rPr>
          <w:rFonts w:eastAsia="Calibri"/>
          <w:lang w:val="pl-PL"/>
        </w:rPr>
        <w:t> </w:t>
      </w:r>
      <w:r w:rsidR="008113A5" w:rsidRPr="00246717">
        <w:rPr>
          <w:rFonts w:eastAsia="Calibri"/>
          <w:lang w:val="pl-PL"/>
        </w:rPr>
        <w:t>3 lit.</w:t>
      </w:r>
      <w:r w:rsidR="00232317">
        <w:rPr>
          <w:rFonts w:eastAsia="Calibri"/>
          <w:lang w:val="pl-PL"/>
        </w:rPr>
        <w:t> </w:t>
      </w:r>
      <w:r w:rsidR="008113A5" w:rsidRPr="00246717">
        <w:rPr>
          <w:rFonts w:eastAsia="Calibri"/>
          <w:lang w:val="pl-PL"/>
        </w:rPr>
        <w:t>d.</w:t>
      </w:r>
      <w:r w:rsidR="008113A5" w:rsidRPr="00246717">
        <w:rPr>
          <w:rFonts w:eastAsia="Calibri"/>
          <w:vertAlign w:val="superscript"/>
          <w:lang w:val="pl-PL"/>
        </w:rPr>
        <w:footnoteReference w:id="130"/>
      </w:r>
      <w:r w:rsidR="008113A5" w:rsidRPr="00246717">
        <w:rPr>
          <w:rFonts w:eastAsia="Calibri"/>
          <w:lang w:val="pl-PL"/>
        </w:rPr>
        <w:t xml:space="preserve"> Systematycznie prawa te są przejawami zasady rzetelności, </w:t>
      </w:r>
      <w:r w:rsidR="009510C1">
        <w:rPr>
          <w:rFonts w:eastAsia="Calibri"/>
          <w:lang w:val="pl-PL"/>
        </w:rPr>
        <w:t xml:space="preserve">a </w:t>
      </w:r>
      <w:r w:rsidR="008113A5" w:rsidRPr="00246717">
        <w:rPr>
          <w:rFonts w:eastAsia="Calibri"/>
          <w:lang w:val="pl-PL"/>
        </w:rPr>
        <w:t xml:space="preserve">nie </w:t>
      </w:r>
      <w:r w:rsidR="009510C1">
        <w:rPr>
          <w:rFonts w:eastAsia="Calibri"/>
          <w:lang w:val="pl-PL"/>
        </w:rPr>
        <w:t>jedynie</w:t>
      </w:r>
      <w:r w:rsidR="009510C1" w:rsidRPr="00246717">
        <w:rPr>
          <w:rFonts w:eastAsia="Calibri"/>
          <w:lang w:val="pl-PL"/>
        </w:rPr>
        <w:t xml:space="preserve"> </w:t>
      </w:r>
      <w:r w:rsidR="008113A5" w:rsidRPr="00246717">
        <w:rPr>
          <w:rFonts w:eastAsia="Calibri"/>
          <w:lang w:val="pl-PL"/>
        </w:rPr>
        <w:t>zwykłymi zaleceniami. Są także zakorzenione w europejskim konsensusie w sprawie zasady bezpośredniości dowodów (</w:t>
      </w:r>
      <w:proofErr w:type="spellStart"/>
      <w:r w:rsidR="008113A5" w:rsidRPr="00246717">
        <w:rPr>
          <w:rFonts w:eastAsia="Calibri"/>
          <w:i/>
          <w:iCs/>
          <w:lang w:val="pl-PL"/>
        </w:rPr>
        <w:t>Unmittelbarkeitsgrundsatz</w:t>
      </w:r>
      <w:proofErr w:type="spellEnd"/>
      <w:r w:rsidR="008113A5" w:rsidRPr="00246717">
        <w:rPr>
          <w:rFonts w:eastAsia="Calibri"/>
          <w:lang w:val="pl-PL"/>
        </w:rPr>
        <w:t xml:space="preserve">), z którego wywodzi się zasada przeciwko dowodom ze słyszenia. W świetle zasady bezpośredniości bliskie powiązanie pomiędzy dowodem w postaci zeznań a sądem jest postrzegane </w:t>
      </w:r>
      <w:r w:rsidR="00232317">
        <w:rPr>
          <w:rFonts w:eastAsia="Calibri"/>
          <w:lang w:val="pl-PL"/>
        </w:rPr>
        <w:t xml:space="preserve">w sposób </w:t>
      </w:r>
      <w:r w:rsidR="008113A5" w:rsidRPr="00246717">
        <w:rPr>
          <w:rFonts w:eastAsia="Calibri"/>
          <w:lang w:val="pl-PL"/>
        </w:rPr>
        <w:t>filozoficzn</w:t>
      </w:r>
      <w:r w:rsidR="00232317">
        <w:rPr>
          <w:rFonts w:eastAsia="Calibri"/>
          <w:lang w:val="pl-PL"/>
        </w:rPr>
        <w:t>y</w:t>
      </w:r>
      <w:r w:rsidR="008113A5" w:rsidRPr="00246717">
        <w:rPr>
          <w:rFonts w:eastAsia="Calibri"/>
          <w:lang w:val="pl-PL"/>
        </w:rPr>
        <w:t xml:space="preserve">, aby możliwie jak najbardziej zbliżyć się do prawdy. Zasady te są akceptowane w Europie i poza nią, w różnych rodzajach systemów prawa karnego, niezależnie od tego, czy i w jakim stopniu są one kontradyktoryjne albo inkwizycyjne. Pomimo że sposób, w jaki wdrażana </w:t>
      </w:r>
      <w:r w:rsidR="008113A5" w:rsidRPr="00246717">
        <w:rPr>
          <w:rFonts w:eastAsia="Calibri"/>
          <w:lang w:val="pl-PL"/>
        </w:rPr>
        <w:lastRenderedPageBreak/>
        <w:t>jest zasada bezpośredniości w każdym z systemów krajowych różni się, zasada jako taka jest akceptowana.</w:t>
      </w:r>
      <w:r w:rsidR="008113A5" w:rsidRPr="00246717">
        <w:rPr>
          <w:rFonts w:eastAsia="Calibri"/>
          <w:vertAlign w:val="superscript"/>
          <w:lang w:val="pl-PL"/>
        </w:rPr>
        <w:footnoteReference w:id="131"/>
      </w:r>
      <w:r w:rsidR="008113A5" w:rsidRPr="00246717">
        <w:rPr>
          <w:rFonts w:eastAsia="Calibri"/>
          <w:lang w:val="pl-PL"/>
        </w:rPr>
        <w:t xml:space="preserve"> W świetle niniejszego konsensusu i</w:t>
      </w:r>
      <w:r w:rsidR="00232317">
        <w:rPr>
          <w:rFonts w:eastAsia="Calibri"/>
          <w:lang w:val="pl-PL"/>
        </w:rPr>
        <w:t> </w:t>
      </w:r>
      <w:r w:rsidR="008113A5" w:rsidRPr="00246717">
        <w:rPr>
          <w:rFonts w:eastAsia="Calibri"/>
          <w:lang w:val="pl-PL"/>
        </w:rPr>
        <w:t>utrwalonego orzecznictwa Trybunału w tej kwestii, zasada bezpośredniości nakłada następujące wytyczne na sądy prowadzące postępowanie, dając im nie tylko retrospektywny standard oceny, ale też standard dopuszczalności ewentualnych dowodów na procesie:</w:t>
      </w:r>
    </w:p>
    <w:p w14:paraId="6977FD92" w14:textId="6C31B362" w:rsidR="00664804" w:rsidRPr="00246717" w:rsidRDefault="008113A5" w:rsidP="000957D3">
      <w:pPr>
        <w:pStyle w:val="OpiParaSub"/>
        <w:rPr>
          <w:rFonts w:eastAsia="Calibri"/>
          <w:lang w:val="pl-PL"/>
        </w:rPr>
      </w:pPr>
      <w:r w:rsidRPr="00246717">
        <w:rPr>
          <w:rFonts w:eastAsia="Calibri"/>
          <w:lang w:val="pl-PL"/>
        </w:rPr>
        <w:t xml:space="preserve">Wytyczna 1: Zasada bezpośredniości wymaga, aby dowód w postaci zeznania został przedstawiony w postępowaniu przed właściwym sądem </w:t>
      </w:r>
      <w:r w:rsidR="009510C1">
        <w:rPr>
          <w:rFonts w:eastAsia="Calibri"/>
          <w:lang w:val="pl-PL"/>
        </w:rPr>
        <w:t>orzekającym</w:t>
      </w:r>
      <w:r w:rsidRPr="00246717">
        <w:rPr>
          <w:rFonts w:eastAsia="Calibri"/>
          <w:lang w:val="pl-PL"/>
        </w:rPr>
        <w:t>, a zatem wszelkie wykonalne środki, i w razie potrzeby stanowcze środki, powinny zostać podjęte w celu przesłuchania świadków na rozprawie.</w:t>
      </w:r>
      <w:r w:rsidRPr="00246717">
        <w:rPr>
          <w:rFonts w:eastAsia="Calibri"/>
          <w:vertAlign w:val="superscript"/>
          <w:lang w:val="pl-PL"/>
        </w:rPr>
        <w:footnoteReference w:id="132"/>
      </w:r>
    </w:p>
    <w:p w14:paraId="3B47B3FD" w14:textId="40A5F710" w:rsidR="00664804" w:rsidRPr="00246717" w:rsidRDefault="008113A5" w:rsidP="000957D3">
      <w:pPr>
        <w:pStyle w:val="OpiParaSub"/>
        <w:rPr>
          <w:rFonts w:eastAsia="Calibri"/>
          <w:lang w:val="pl-PL"/>
        </w:rPr>
      </w:pPr>
      <w:r w:rsidRPr="00246717">
        <w:rPr>
          <w:rFonts w:eastAsia="Calibri"/>
          <w:lang w:val="pl-PL"/>
        </w:rPr>
        <w:t>Wytyczna 2: Test oceny wniosku dotyczącego stawiennictwa albo przesłuchania krzyżowego świadków, który jest identyczny dla obrony i</w:t>
      </w:r>
      <w:r w:rsidR="008073FC">
        <w:rPr>
          <w:rFonts w:eastAsia="Calibri"/>
          <w:lang w:val="pl-PL"/>
        </w:rPr>
        <w:t> </w:t>
      </w:r>
      <w:r w:rsidRPr="00246717">
        <w:rPr>
          <w:rFonts w:eastAsia="Calibri"/>
          <w:lang w:val="pl-PL"/>
        </w:rPr>
        <w:t xml:space="preserve">oskarżenia, opiera się na indywidualnym znaczeniu świadka </w:t>
      </w:r>
      <w:r w:rsidRPr="00246717">
        <w:rPr>
          <w:rFonts w:eastAsia="Calibri"/>
          <w:i/>
          <w:iCs/>
          <w:lang w:val="pl-PL"/>
        </w:rPr>
        <w:t xml:space="preserve">prima facie </w:t>
      </w:r>
      <w:r w:rsidRPr="00246717">
        <w:rPr>
          <w:rFonts w:eastAsia="Calibri"/>
          <w:lang w:val="pl-PL"/>
        </w:rPr>
        <w:t xml:space="preserve">dla wyniku procesu i pozycji strony wnioskującej. Jest to test wyłącznie </w:t>
      </w:r>
      <w:r w:rsidRPr="00246717">
        <w:rPr>
          <w:rFonts w:eastAsia="Calibri"/>
          <w:i/>
          <w:iCs/>
          <w:lang w:val="pl-PL"/>
        </w:rPr>
        <w:t xml:space="preserve">ex </w:t>
      </w:r>
      <w:proofErr w:type="spellStart"/>
      <w:r w:rsidRPr="00246717">
        <w:rPr>
          <w:rFonts w:eastAsia="Calibri"/>
          <w:i/>
          <w:iCs/>
          <w:lang w:val="pl-PL"/>
        </w:rPr>
        <w:t>ante</w:t>
      </w:r>
      <w:proofErr w:type="spellEnd"/>
      <w:r w:rsidRPr="00246717">
        <w:rPr>
          <w:rFonts w:eastAsia="Calibri"/>
          <w:i/>
          <w:iCs/>
          <w:lang w:val="pl-PL"/>
        </w:rPr>
        <w:t>.</w:t>
      </w:r>
      <w:r w:rsidRPr="00246717">
        <w:rPr>
          <w:rFonts w:eastAsia="Calibri"/>
          <w:lang w:val="pl-PL"/>
        </w:rPr>
        <w:t xml:space="preserve"> Wobec tego dokonując oceny każdego wniosku dotyczącego stawiennictwa albo przesłuchania krzyżowego świadków, sąd </w:t>
      </w:r>
      <w:r w:rsidR="009510C1">
        <w:rPr>
          <w:rFonts w:eastAsia="Calibri"/>
          <w:lang w:val="pl-PL"/>
        </w:rPr>
        <w:t>orzekający</w:t>
      </w:r>
      <w:r w:rsidRPr="00246717">
        <w:rPr>
          <w:rFonts w:eastAsia="Calibri"/>
          <w:lang w:val="pl-PL"/>
        </w:rPr>
        <w:t xml:space="preserve"> nie może </w:t>
      </w:r>
      <w:r w:rsidR="009510C1">
        <w:rPr>
          <w:rFonts w:eastAsia="Calibri"/>
          <w:lang w:val="pl-PL"/>
        </w:rPr>
        <w:t>przewidywać</w:t>
      </w:r>
      <w:r w:rsidR="009510C1" w:rsidRPr="00246717">
        <w:rPr>
          <w:rFonts w:eastAsia="Calibri"/>
          <w:lang w:val="pl-PL"/>
        </w:rPr>
        <w:t xml:space="preserve"> </w:t>
      </w:r>
      <w:r w:rsidRPr="00246717">
        <w:rPr>
          <w:rFonts w:eastAsia="Calibri"/>
          <w:lang w:val="pl-PL"/>
        </w:rPr>
        <w:t>wyniku oceny dowodu, za wyjątkiem oceny na korzyść oskarżonego.</w:t>
      </w:r>
    </w:p>
    <w:p w14:paraId="48D0C49B" w14:textId="553CFE23" w:rsidR="00664804" w:rsidRPr="00246717" w:rsidRDefault="008113A5" w:rsidP="000957D3">
      <w:pPr>
        <w:pStyle w:val="OpiParaSub"/>
        <w:rPr>
          <w:rFonts w:eastAsia="Calibri"/>
          <w:lang w:val="pl-PL"/>
        </w:rPr>
      </w:pPr>
      <w:r w:rsidRPr="00246717">
        <w:rPr>
          <w:rFonts w:eastAsia="Calibri"/>
          <w:lang w:val="pl-PL"/>
        </w:rPr>
        <w:t xml:space="preserve">Wytyczna 3: Jedynie wyjątkowo dowody w postaci zeznań uzyskane na etapie </w:t>
      </w:r>
      <w:proofErr w:type="spellStart"/>
      <w:r w:rsidRPr="00246717">
        <w:rPr>
          <w:rFonts w:eastAsia="Calibri"/>
          <w:lang w:val="pl-PL"/>
        </w:rPr>
        <w:t>przedprocesowym</w:t>
      </w:r>
      <w:proofErr w:type="spellEnd"/>
      <w:r w:rsidRPr="00246717">
        <w:rPr>
          <w:rFonts w:eastAsia="Calibri"/>
          <w:lang w:val="pl-PL"/>
        </w:rPr>
        <w:t xml:space="preserve"> mogą być odczytane w sądzie i </w:t>
      </w:r>
      <w:r w:rsidR="008553DB">
        <w:rPr>
          <w:rFonts w:eastAsia="Calibri"/>
          <w:lang w:val="pl-PL"/>
        </w:rPr>
        <w:t xml:space="preserve">stanowić </w:t>
      </w:r>
      <w:r w:rsidRPr="00246717">
        <w:rPr>
          <w:rFonts w:eastAsia="Calibri"/>
          <w:lang w:val="pl-PL"/>
        </w:rPr>
        <w:t>podstaw</w:t>
      </w:r>
      <w:r w:rsidR="008553DB">
        <w:rPr>
          <w:rFonts w:eastAsia="Calibri"/>
          <w:lang w:val="pl-PL"/>
        </w:rPr>
        <w:t>ę</w:t>
      </w:r>
      <w:r w:rsidRPr="00246717">
        <w:rPr>
          <w:rFonts w:eastAsia="Calibri"/>
          <w:lang w:val="pl-PL"/>
        </w:rPr>
        <w:t xml:space="preserve"> wydania wyroku. Zasada legalności w postępowaniu karnym wymaga wyczerpującego prawnego katalogu ważnych powodów do niewzywania lub nieprzesłuchiwania krzyżowego świadka </w:t>
      </w:r>
      <w:r w:rsidR="008553DB">
        <w:rPr>
          <w:rFonts w:eastAsia="Calibri"/>
          <w:lang w:val="pl-PL"/>
        </w:rPr>
        <w:t>na rozprawie</w:t>
      </w:r>
      <w:r w:rsidRPr="00246717">
        <w:rPr>
          <w:rFonts w:eastAsia="Calibri"/>
          <w:lang w:val="pl-PL"/>
        </w:rPr>
        <w:t xml:space="preserve"> oraz do odczytania </w:t>
      </w:r>
      <w:r w:rsidR="008553DB" w:rsidRPr="00246717">
        <w:rPr>
          <w:rFonts w:eastAsia="Calibri"/>
          <w:lang w:val="pl-PL"/>
        </w:rPr>
        <w:t>zezna</w:t>
      </w:r>
      <w:r w:rsidR="008553DB">
        <w:rPr>
          <w:rFonts w:eastAsia="Calibri"/>
          <w:lang w:val="pl-PL"/>
        </w:rPr>
        <w:t>ń</w:t>
      </w:r>
      <w:r w:rsidR="008553DB" w:rsidRPr="00246717">
        <w:rPr>
          <w:rFonts w:eastAsia="Calibri"/>
          <w:lang w:val="pl-PL"/>
        </w:rPr>
        <w:t xml:space="preserve"> </w:t>
      </w:r>
      <w:r w:rsidRPr="00246717">
        <w:rPr>
          <w:rFonts w:eastAsia="Calibri"/>
          <w:lang w:val="pl-PL"/>
        </w:rPr>
        <w:t xml:space="preserve">nieobecnego świadka na </w:t>
      </w:r>
      <w:r w:rsidR="008553DB">
        <w:rPr>
          <w:rFonts w:eastAsia="Calibri"/>
          <w:lang w:val="pl-PL"/>
        </w:rPr>
        <w:t>rozprawie</w:t>
      </w:r>
      <w:r w:rsidRPr="00246717">
        <w:rPr>
          <w:rFonts w:eastAsia="Calibri"/>
          <w:lang w:val="pl-PL"/>
        </w:rPr>
        <w:t xml:space="preserve">. Ten katalog ważnych powodów obejmuje dwie kategorie świadków: świadkowie niedostępni i świadkowie wymagający objęcia ochroną. Kategoria niedostępnych świadków </w:t>
      </w:r>
      <w:r w:rsidR="008073FC">
        <w:rPr>
          <w:rFonts w:eastAsia="Calibri"/>
          <w:lang w:val="pl-PL"/>
        </w:rPr>
        <w:t>składa się z następujących</w:t>
      </w:r>
      <w:r w:rsidRPr="00246717">
        <w:rPr>
          <w:rFonts w:eastAsia="Calibri"/>
          <w:lang w:val="pl-PL"/>
        </w:rPr>
        <w:t xml:space="preserve"> podkategori</w:t>
      </w:r>
      <w:r w:rsidR="008073FC">
        <w:rPr>
          <w:rFonts w:eastAsia="Calibri"/>
          <w:lang w:val="pl-PL"/>
        </w:rPr>
        <w:t>i</w:t>
      </w:r>
      <w:r w:rsidRPr="00246717">
        <w:rPr>
          <w:rFonts w:eastAsia="Calibri"/>
          <w:lang w:val="pl-PL"/>
        </w:rPr>
        <w:t>: 1)</w:t>
      </w:r>
      <w:r w:rsidR="008073FC">
        <w:rPr>
          <w:rFonts w:eastAsia="Calibri"/>
          <w:lang w:val="pl-PL"/>
        </w:rPr>
        <w:t> </w:t>
      </w:r>
      <w:r w:rsidRPr="00246717">
        <w:rPr>
          <w:rFonts w:eastAsia="Calibri"/>
          <w:lang w:val="pl-PL"/>
        </w:rPr>
        <w:t>świadek nieżyjący</w:t>
      </w:r>
      <w:r w:rsidRPr="00246717">
        <w:rPr>
          <w:rFonts w:eastAsia="Calibri"/>
          <w:vertAlign w:val="superscript"/>
          <w:lang w:val="pl-PL"/>
        </w:rPr>
        <w:footnoteReference w:id="133"/>
      </w:r>
      <w:r w:rsidRPr="00246717">
        <w:rPr>
          <w:rFonts w:eastAsia="Calibri"/>
          <w:lang w:val="pl-PL"/>
        </w:rPr>
        <w:t>; 2)</w:t>
      </w:r>
      <w:r w:rsidR="008073FC">
        <w:rPr>
          <w:rFonts w:eastAsia="Calibri"/>
          <w:lang w:val="pl-PL"/>
        </w:rPr>
        <w:t> </w:t>
      </w:r>
      <w:r w:rsidRPr="00246717">
        <w:rPr>
          <w:rFonts w:eastAsia="Calibri"/>
          <w:lang w:val="pl-PL"/>
        </w:rPr>
        <w:t>fizyczna lub psychiczna niezdolność lub choroba świadka</w:t>
      </w:r>
      <w:r w:rsidRPr="00246717">
        <w:rPr>
          <w:rFonts w:eastAsia="Calibri"/>
          <w:vertAlign w:val="superscript"/>
          <w:lang w:val="pl-PL"/>
        </w:rPr>
        <w:footnoteReference w:id="134"/>
      </w:r>
      <w:r w:rsidRPr="00246717">
        <w:rPr>
          <w:rFonts w:eastAsia="Calibri"/>
          <w:lang w:val="pl-PL"/>
        </w:rPr>
        <w:t>; 3)</w:t>
      </w:r>
      <w:r w:rsidR="008073FC">
        <w:rPr>
          <w:rFonts w:eastAsia="Calibri"/>
          <w:lang w:val="pl-PL"/>
        </w:rPr>
        <w:t> </w:t>
      </w:r>
      <w:r w:rsidRPr="00246717">
        <w:rPr>
          <w:rFonts w:eastAsia="Calibri"/>
          <w:lang w:val="pl-PL"/>
        </w:rPr>
        <w:t>zaginięcie świadka</w:t>
      </w:r>
      <w:r w:rsidRPr="00246717">
        <w:rPr>
          <w:rFonts w:eastAsia="Calibri"/>
          <w:vertAlign w:val="superscript"/>
          <w:lang w:val="pl-PL"/>
        </w:rPr>
        <w:footnoteReference w:id="135"/>
      </w:r>
      <w:r w:rsidRPr="00246717">
        <w:rPr>
          <w:rFonts w:eastAsia="Calibri"/>
          <w:lang w:val="pl-PL"/>
        </w:rPr>
        <w:t>; 4)</w:t>
      </w:r>
      <w:r w:rsidR="008073FC">
        <w:rPr>
          <w:rFonts w:eastAsia="Calibri"/>
          <w:lang w:val="pl-PL"/>
        </w:rPr>
        <w:t> </w:t>
      </w:r>
      <w:r w:rsidRPr="00246717">
        <w:rPr>
          <w:rFonts w:eastAsia="Calibri"/>
          <w:lang w:val="pl-PL"/>
        </w:rPr>
        <w:t xml:space="preserve">miejsce pobytu </w:t>
      </w:r>
      <w:r w:rsidR="008073FC">
        <w:rPr>
          <w:rFonts w:eastAsia="Calibri"/>
          <w:lang w:val="pl-PL"/>
        </w:rPr>
        <w:t xml:space="preserve">świadka za granicą </w:t>
      </w:r>
      <w:r w:rsidRPr="00246717">
        <w:rPr>
          <w:rFonts w:eastAsia="Calibri"/>
          <w:lang w:val="pl-PL"/>
        </w:rPr>
        <w:t xml:space="preserve">lub </w:t>
      </w:r>
      <w:r w:rsidR="008073FC">
        <w:rPr>
          <w:rFonts w:eastAsia="Calibri"/>
          <w:lang w:val="pl-PL"/>
        </w:rPr>
        <w:t xml:space="preserve">odbyta </w:t>
      </w:r>
      <w:r w:rsidRPr="00246717">
        <w:rPr>
          <w:rFonts w:eastAsia="Calibri"/>
          <w:lang w:val="pl-PL"/>
        </w:rPr>
        <w:t xml:space="preserve">podróż za granicę </w:t>
      </w:r>
      <w:r w:rsidRPr="00246717">
        <w:rPr>
          <w:rFonts w:eastAsia="Calibri"/>
          <w:vertAlign w:val="superscript"/>
          <w:lang w:val="pl-PL"/>
        </w:rPr>
        <w:footnoteReference w:id="136"/>
      </w:r>
      <w:r w:rsidRPr="00246717">
        <w:rPr>
          <w:rFonts w:eastAsia="Calibri"/>
          <w:lang w:val="pl-PL"/>
        </w:rPr>
        <w:t>; 5)</w:t>
      </w:r>
      <w:r w:rsidR="008073FC">
        <w:rPr>
          <w:rFonts w:eastAsia="Calibri"/>
          <w:lang w:val="pl-PL"/>
        </w:rPr>
        <w:t> </w:t>
      </w:r>
      <w:r w:rsidRPr="00246717">
        <w:rPr>
          <w:rFonts w:eastAsia="Calibri"/>
          <w:lang w:val="pl-PL"/>
        </w:rPr>
        <w:t xml:space="preserve">ustawowe </w:t>
      </w:r>
      <w:r w:rsidRPr="00246717">
        <w:rPr>
          <w:rFonts w:eastAsia="Calibri"/>
          <w:lang w:val="pl-PL"/>
        </w:rPr>
        <w:lastRenderedPageBreak/>
        <w:t>prawo do zachowania milczenia jako współoskarżony</w:t>
      </w:r>
      <w:r w:rsidRPr="00246717">
        <w:rPr>
          <w:rFonts w:eastAsia="Calibri"/>
          <w:vertAlign w:val="superscript"/>
          <w:lang w:val="pl-PL"/>
        </w:rPr>
        <w:footnoteReference w:id="137"/>
      </w:r>
      <w:r w:rsidRPr="00246717">
        <w:rPr>
          <w:rFonts w:eastAsia="Calibri"/>
          <w:lang w:val="pl-PL"/>
        </w:rPr>
        <w:t>; 6)</w:t>
      </w:r>
      <w:r w:rsidR="008073FC">
        <w:rPr>
          <w:rFonts w:eastAsia="Calibri"/>
          <w:lang w:val="pl-PL"/>
        </w:rPr>
        <w:t> </w:t>
      </w:r>
      <w:r w:rsidRPr="00246717">
        <w:rPr>
          <w:rFonts w:eastAsia="Calibri"/>
          <w:lang w:val="pl-PL"/>
        </w:rPr>
        <w:t>wolność od samooskarżenia</w:t>
      </w:r>
      <w:r w:rsidRPr="00246717">
        <w:rPr>
          <w:rFonts w:eastAsia="Calibri"/>
          <w:vertAlign w:val="superscript"/>
          <w:lang w:val="pl-PL"/>
        </w:rPr>
        <w:footnoteReference w:id="138"/>
      </w:r>
      <w:r w:rsidRPr="00246717">
        <w:rPr>
          <w:rFonts w:eastAsia="Calibri"/>
          <w:lang w:val="pl-PL"/>
        </w:rPr>
        <w:t>; oraz 7)</w:t>
      </w:r>
      <w:r w:rsidR="008073FC">
        <w:rPr>
          <w:rFonts w:eastAsia="Calibri"/>
          <w:lang w:val="pl-PL"/>
        </w:rPr>
        <w:t> </w:t>
      </w:r>
      <w:r w:rsidRPr="00246717">
        <w:rPr>
          <w:rFonts w:eastAsia="Calibri"/>
          <w:lang w:val="pl-PL"/>
        </w:rPr>
        <w:t>ustawowe zwolnienie dotyczące relacji rodzinnych świadka.</w:t>
      </w:r>
      <w:r w:rsidRPr="00246717">
        <w:rPr>
          <w:rFonts w:eastAsia="Calibri"/>
          <w:vertAlign w:val="superscript"/>
          <w:lang w:val="pl-PL"/>
        </w:rPr>
        <w:footnoteReference w:id="139"/>
      </w:r>
      <w:r w:rsidRPr="00246717">
        <w:rPr>
          <w:rFonts w:eastAsia="Calibri"/>
          <w:lang w:val="pl-PL"/>
        </w:rPr>
        <w:t xml:space="preserve"> Kategoria świadków wymagających objęcia ochroną posiada następujące dwie podkategorie: 1)</w:t>
      </w:r>
      <w:r w:rsidR="008073FC">
        <w:rPr>
          <w:rFonts w:eastAsia="Calibri"/>
          <w:lang w:val="pl-PL"/>
        </w:rPr>
        <w:t> </w:t>
      </w:r>
      <w:r w:rsidRPr="00246717">
        <w:rPr>
          <w:rFonts w:eastAsia="Calibri"/>
          <w:lang w:val="pl-PL"/>
        </w:rPr>
        <w:t>konieczność ochrony życia lub zdrowia świadka</w:t>
      </w:r>
      <w:r w:rsidRPr="00246717">
        <w:rPr>
          <w:rFonts w:eastAsia="Calibri"/>
          <w:vertAlign w:val="superscript"/>
          <w:lang w:val="pl-PL"/>
        </w:rPr>
        <w:footnoteReference w:id="140"/>
      </w:r>
      <w:r w:rsidRPr="00246717">
        <w:rPr>
          <w:rFonts w:eastAsia="Calibri"/>
          <w:lang w:val="pl-PL"/>
        </w:rPr>
        <w:t>; albo 2)</w:t>
      </w:r>
      <w:r w:rsidR="008073FC">
        <w:rPr>
          <w:rFonts w:eastAsia="Calibri"/>
          <w:lang w:val="pl-PL"/>
        </w:rPr>
        <w:t> </w:t>
      </w:r>
      <w:r w:rsidRPr="00246717">
        <w:rPr>
          <w:rFonts w:eastAsia="Calibri"/>
          <w:lang w:val="pl-PL"/>
        </w:rPr>
        <w:t>zdrowie świadka wymagającego szczególnego traktowania.</w:t>
      </w:r>
      <w:r w:rsidRPr="00246717">
        <w:rPr>
          <w:rFonts w:eastAsia="Calibri"/>
          <w:vertAlign w:val="superscript"/>
          <w:lang w:val="pl-PL"/>
        </w:rPr>
        <w:footnoteReference w:id="141"/>
      </w:r>
      <w:r w:rsidRPr="00246717">
        <w:rPr>
          <w:rFonts w:eastAsia="Calibri"/>
          <w:lang w:val="pl-PL"/>
        </w:rPr>
        <w:t xml:space="preserve"> Katalog tych podstaw musi rozróżniać pomiędzy dowodami w postaci zeznań przedstawionymi przed sądem, prokuraturą lub policją, ponieważ dowody przedstawione przed policją lub prokuraturą na etapie </w:t>
      </w:r>
      <w:proofErr w:type="spellStart"/>
      <w:r w:rsidRPr="00246717">
        <w:rPr>
          <w:rFonts w:eastAsia="Calibri"/>
          <w:lang w:val="pl-PL"/>
        </w:rPr>
        <w:t>przedprocesowym</w:t>
      </w:r>
      <w:proofErr w:type="spellEnd"/>
      <w:r w:rsidRPr="00246717">
        <w:rPr>
          <w:rFonts w:eastAsia="Calibri"/>
          <w:lang w:val="pl-PL"/>
        </w:rPr>
        <w:t xml:space="preserve"> nie mogą być uznane za równoważne, pod względem wiarygodności i</w:t>
      </w:r>
      <w:r w:rsidR="008073FC">
        <w:rPr>
          <w:rFonts w:eastAsia="Calibri"/>
          <w:lang w:val="pl-PL"/>
        </w:rPr>
        <w:t> </w:t>
      </w:r>
      <w:r w:rsidRPr="00246717">
        <w:rPr>
          <w:rFonts w:eastAsia="Calibri"/>
          <w:lang w:val="pl-PL"/>
        </w:rPr>
        <w:t xml:space="preserve">dokładności, z dowodami przedstawionymi przed sądem na etapie </w:t>
      </w:r>
      <w:proofErr w:type="spellStart"/>
      <w:r w:rsidRPr="00246717">
        <w:rPr>
          <w:rFonts w:eastAsia="Calibri"/>
          <w:lang w:val="pl-PL"/>
        </w:rPr>
        <w:t>przedprocesowym</w:t>
      </w:r>
      <w:proofErr w:type="spellEnd"/>
      <w:r w:rsidRPr="00246717">
        <w:rPr>
          <w:rFonts w:eastAsia="Calibri"/>
          <w:lang w:val="pl-PL"/>
        </w:rPr>
        <w:t xml:space="preserve">. Katalog ważnych powodów do odczytania zeznania nieobecnego świadka na </w:t>
      </w:r>
      <w:r w:rsidR="00652397">
        <w:rPr>
          <w:rFonts w:eastAsia="Calibri"/>
          <w:lang w:val="pl-PL"/>
        </w:rPr>
        <w:t>rozprawie</w:t>
      </w:r>
      <w:r w:rsidRPr="00246717">
        <w:rPr>
          <w:rFonts w:eastAsia="Calibri"/>
          <w:lang w:val="pl-PL"/>
        </w:rPr>
        <w:t xml:space="preserve"> musi być bardziej ekspansywny, jeżeli sędzia zgromadził dowody na etapie </w:t>
      </w:r>
      <w:proofErr w:type="spellStart"/>
      <w:r w:rsidRPr="00246717">
        <w:rPr>
          <w:rFonts w:eastAsia="Calibri"/>
          <w:lang w:val="pl-PL"/>
        </w:rPr>
        <w:t>przedprocesowym</w:t>
      </w:r>
      <w:proofErr w:type="spellEnd"/>
      <w:r w:rsidRPr="00246717">
        <w:rPr>
          <w:rFonts w:eastAsia="Calibri"/>
          <w:lang w:val="pl-PL"/>
        </w:rPr>
        <w:t>, i mniej ekspansywny, jeśli zostały one zgromadzone przez prokuratora lub policję.</w:t>
      </w:r>
    </w:p>
    <w:p w14:paraId="0C134408" w14:textId="1FEE569D" w:rsidR="008113A5" w:rsidRPr="00246717" w:rsidRDefault="008113A5" w:rsidP="000957D3">
      <w:pPr>
        <w:pStyle w:val="OpiParaSub"/>
        <w:rPr>
          <w:rFonts w:eastAsia="Calibri"/>
          <w:lang w:val="pl-PL"/>
        </w:rPr>
      </w:pPr>
      <w:r w:rsidRPr="00246717">
        <w:rPr>
          <w:rFonts w:eastAsia="Calibri"/>
          <w:lang w:val="pl-PL"/>
        </w:rPr>
        <w:t xml:space="preserve">Wytyczna 4: Jeżeli istnieje ważny powód niewzywania lub nieprzesłuchiwania krzyżowego świadka i powód odczytania </w:t>
      </w:r>
      <w:proofErr w:type="spellStart"/>
      <w:r w:rsidRPr="00246717">
        <w:rPr>
          <w:rFonts w:eastAsia="Calibri"/>
          <w:lang w:val="pl-PL"/>
        </w:rPr>
        <w:t>przedprocesowego</w:t>
      </w:r>
      <w:proofErr w:type="spellEnd"/>
      <w:r w:rsidRPr="00246717">
        <w:rPr>
          <w:rFonts w:eastAsia="Calibri"/>
          <w:lang w:val="pl-PL"/>
        </w:rPr>
        <w:t xml:space="preserve"> zeznania świadka w sądzie, sąd </w:t>
      </w:r>
      <w:r w:rsidR="008553DB">
        <w:rPr>
          <w:rFonts w:eastAsia="Calibri"/>
          <w:lang w:val="pl-PL"/>
        </w:rPr>
        <w:t>orzekający</w:t>
      </w:r>
      <w:r w:rsidRPr="00246717">
        <w:rPr>
          <w:rFonts w:eastAsia="Calibri"/>
          <w:lang w:val="pl-PL"/>
        </w:rPr>
        <w:t xml:space="preserve"> musi zagwarantować, że </w:t>
      </w:r>
      <w:r w:rsidR="00652397" w:rsidRPr="00246717">
        <w:rPr>
          <w:rFonts w:eastAsia="Calibri"/>
          <w:lang w:val="pl-PL"/>
        </w:rPr>
        <w:t xml:space="preserve">zostały podjęte lub są podejmowane </w:t>
      </w:r>
      <w:r w:rsidRPr="00246717">
        <w:rPr>
          <w:rFonts w:eastAsia="Calibri"/>
          <w:lang w:val="pl-PL"/>
        </w:rPr>
        <w:t>wystarczające środki równoważące w celu zrekompensowania utrudnień nałożonych na obronę, na przykład specjaln</w:t>
      </w:r>
      <w:r w:rsidR="00652397">
        <w:rPr>
          <w:rFonts w:eastAsia="Calibri"/>
          <w:lang w:val="pl-PL"/>
        </w:rPr>
        <w:t>e posiedzenie</w:t>
      </w:r>
      <w:r w:rsidRPr="00246717">
        <w:rPr>
          <w:rFonts w:eastAsia="Calibri"/>
          <w:lang w:val="pl-PL"/>
        </w:rPr>
        <w:t xml:space="preserve"> </w:t>
      </w:r>
      <w:proofErr w:type="spellStart"/>
      <w:r w:rsidRPr="00246717">
        <w:rPr>
          <w:rFonts w:eastAsia="Calibri"/>
          <w:lang w:val="pl-PL"/>
        </w:rPr>
        <w:t>przedprocesow</w:t>
      </w:r>
      <w:r w:rsidR="00652397">
        <w:rPr>
          <w:rFonts w:eastAsia="Calibri"/>
          <w:lang w:val="pl-PL"/>
        </w:rPr>
        <w:t>e</w:t>
      </w:r>
      <w:proofErr w:type="spellEnd"/>
      <w:r w:rsidRPr="00246717">
        <w:rPr>
          <w:rFonts w:eastAsia="Calibri"/>
          <w:lang w:val="pl-PL"/>
        </w:rPr>
        <w:t>, na któr</w:t>
      </w:r>
      <w:r w:rsidR="00652397">
        <w:rPr>
          <w:rFonts w:eastAsia="Calibri"/>
          <w:lang w:val="pl-PL"/>
        </w:rPr>
        <w:t>ym</w:t>
      </w:r>
      <w:r w:rsidRPr="00246717">
        <w:rPr>
          <w:rFonts w:eastAsia="Calibri"/>
          <w:lang w:val="pl-PL"/>
        </w:rPr>
        <w:t xml:space="preserve"> dowody świadka zosta</w:t>
      </w:r>
      <w:r w:rsidR="00652397">
        <w:rPr>
          <w:rFonts w:eastAsia="Calibri"/>
          <w:lang w:val="pl-PL"/>
        </w:rPr>
        <w:t>ną</w:t>
      </w:r>
      <w:r w:rsidRPr="00246717">
        <w:rPr>
          <w:rFonts w:eastAsia="Calibri"/>
          <w:lang w:val="pl-PL"/>
        </w:rPr>
        <w:t xml:space="preserve"> rozpatrzone w warunkach kontradyktoryjności.</w:t>
      </w:r>
      <w:r w:rsidRPr="00246717">
        <w:rPr>
          <w:rFonts w:eastAsia="Calibri"/>
          <w:vertAlign w:val="superscript"/>
          <w:lang w:val="pl-PL"/>
        </w:rPr>
        <w:footnoteReference w:id="142"/>
      </w:r>
      <w:r w:rsidRPr="00246717">
        <w:rPr>
          <w:rFonts w:eastAsia="Calibri"/>
          <w:lang w:val="pl-PL"/>
        </w:rPr>
        <w:t xml:space="preserve"> Ani wytyczna dla ławy przysięgłych, zgodnie z</w:t>
      </w:r>
      <w:r w:rsidR="00652397">
        <w:rPr>
          <w:rFonts w:eastAsia="Calibri"/>
          <w:lang w:val="pl-PL"/>
        </w:rPr>
        <w:t> </w:t>
      </w:r>
      <w:r w:rsidRPr="00246717">
        <w:rPr>
          <w:rFonts w:eastAsia="Calibri"/>
          <w:lang w:val="pl-PL"/>
        </w:rPr>
        <w:t>którą niezweryfikowane zeznanie powinno mieć mniejszą wagę,</w:t>
      </w:r>
      <w:r w:rsidRPr="00246717">
        <w:rPr>
          <w:rFonts w:eastAsia="Calibri"/>
          <w:vertAlign w:val="superscript"/>
          <w:lang w:val="pl-PL"/>
        </w:rPr>
        <w:footnoteReference w:id="143"/>
      </w:r>
      <w:r w:rsidRPr="00246717">
        <w:rPr>
          <w:rFonts w:eastAsia="Calibri"/>
          <w:lang w:val="pl-PL"/>
        </w:rPr>
        <w:t xml:space="preserve"> ani możliwość, zgodnie z którą oskarżony podważa albo oddala zeznanie nieobecnego świadka, zeznając samemu albo przesłuchując innego świadka, nie wystarczy.</w:t>
      </w:r>
      <w:r w:rsidRPr="00246717">
        <w:rPr>
          <w:rFonts w:eastAsia="Calibri"/>
          <w:vertAlign w:val="superscript"/>
          <w:lang w:val="pl-PL"/>
        </w:rPr>
        <w:footnoteReference w:id="144"/>
      </w:r>
    </w:p>
    <w:p w14:paraId="5A259297" w14:textId="157D8CF8" w:rsidR="008113A5" w:rsidRPr="00246717" w:rsidRDefault="008113A5" w:rsidP="000957D3">
      <w:pPr>
        <w:pStyle w:val="OpiParaSub"/>
        <w:rPr>
          <w:rFonts w:eastAsia="Calibri"/>
          <w:lang w:val="pl-PL"/>
        </w:rPr>
      </w:pPr>
      <w:r w:rsidRPr="00246717">
        <w:rPr>
          <w:rFonts w:eastAsia="Calibri"/>
          <w:lang w:val="pl-PL"/>
        </w:rPr>
        <w:t xml:space="preserve">Wytyczna 5: Jeżeli nawet wystarczające środki równoważące podjęto w celu zrekompensowania utrudnień nałożonych na oskarżonego, sąd </w:t>
      </w:r>
      <w:r w:rsidR="008553DB">
        <w:rPr>
          <w:rFonts w:eastAsia="Calibri"/>
          <w:lang w:val="pl-PL"/>
        </w:rPr>
        <w:t>orzekający</w:t>
      </w:r>
      <w:r w:rsidRPr="00246717">
        <w:rPr>
          <w:rFonts w:eastAsia="Calibri"/>
          <w:lang w:val="pl-PL"/>
        </w:rPr>
        <w:t xml:space="preserve"> nie może opierać wyroku, całego lub w</w:t>
      </w:r>
      <w:r w:rsidR="00652397">
        <w:rPr>
          <w:rFonts w:eastAsia="Calibri"/>
          <w:lang w:val="pl-PL"/>
        </w:rPr>
        <w:t> </w:t>
      </w:r>
      <w:r w:rsidRPr="00246717">
        <w:rPr>
          <w:rFonts w:eastAsia="Calibri"/>
          <w:lang w:val="pl-PL"/>
        </w:rPr>
        <w:t xml:space="preserve">rozstrzygającym </w:t>
      </w:r>
      <w:r w:rsidRPr="00246717">
        <w:rPr>
          <w:rFonts w:eastAsia="Calibri"/>
          <w:lang w:val="pl-PL"/>
        </w:rPr>
        <w:lastRenderedPageBreak/>
        <w:t xml:space="preserve">zakresie, na zeznaniu </w:t>
      </w:r>
      <w:proofErr w:type="spellStart"/>
      <w:r w:rsidRPr="00246717">
        <w:rPr>
          <w:rFonts w:eastAsia="Calibri"/>
          <w:lang w:val="pl-PL"/>
        </w:rPr>
        <w:t>przedprocesowym</w:t>
      </w:r>
      <w:proofErr w:type="spellEnd"/>
      <w:r w:rsidRPr="00246717">
        <w:rPr>
          <w:rFonts w:eastAsia="Calibri"/>
          <w:lang w:val="pl-PL"/>
        </w:rPr>
        <w:t xml:space="preserve"> nieobecnego świadka.</w:t>
      </w:r>
      <w:r w:rsidRPr="00246717">
        <w:rPr>
          <w:rFonts w:eastAsia="Calibri"/>
          <w:vertAlign w:val="superscript"/>
          <w:lang w:val="pl-PL"/>
        </w:rPr>
        <w:footnoteReference w:id="145"/>
      </w:r>
      <w:r w:rsidRPr="00246717">
        <w:rPr>
          <w:rFonts w:eastAsia="Calibri"/>
          <w:lang w:val="pl-PL"/>
        </w:rPr>
        <w:t xml:space="preserve"> Takie rozumowanie przeczyłoby istocie zasady bezpośredniości.</w:t>
      </w:r>
    </w:p>
    <w:p w14:paraId="6E7580B9" w14:textId="0C95C7F6" w:rsidR="008113A5" w:rsidRPr="00246717" w:rsidRDefault="008113A5" w:rsidP="000957D3">
      <w:pPr>
        <w:pStyle w:val="OpiParaSub"/>
        <w:rPr>
          <w:rFonts w:eastAsia="Calibri"/>
          <w:lang w:val="pl-PL"/>
        </w:rPr>
      </w:pPr>
      <w:r w:rsidRPr="00246717">
        <w:rPr>
          <w:rFonts w:eastAsia="Calibri"/>
          <w:lang w:val="pl-PL"/>
        </w:rPr>
        <w:t xml:space="preserve">Wytyczna 6: Jeżeli sąd </w:t>
      </w:r>
      <w:r w:rsidR="008553DB">
        <w:rPr>
          <w:rFonts w:eastAsia="Calibri"/>
          <w:lang w:val="pl-PL"/>
        </w:rPr>
        <w:t>orzekający</w:t>
      </w:r>
      <w:r w:rsidRPr="00246717">
        <w:rPr>
          <w:rFonts w:eastAsia="Calibri"/>
          <w:lang w:val="pl-PL"/>
        </w:rPr>
        <w:t xml:space="preserve"> mierzy się ze sprzecznością pomiędzy zeznaniami </w:t>
      </w:r>
      <w:proofErr w:type="spellStart"/>
      <w:r w:rsidRPr="00246717">
        <w:rPr>
          <w:rFonts w:eastAsia="Calibri"/>
          <w:lang w:val="pl-PL"/>
        </w:rPr>
        <w:t>przedprocesowymi</w:t>
      </w:r>
      <w:proofErr w:type="spellEnd"/>
      <w:r w:rsidRPr="00246717">
        <w:rPr>
          <w:rFonts w:eastAsia="Calibri"/>
          <w:lang w:val="pl-PL"/>
        </w:rPr>
        <w:t xml:space="preserve"> i procesowymi świadka, zasada bezpośredniości wymaga, aby t</w:t>
      </w:r>
      <w:r w:rsidR="00652397">
        <w:rPr>
          <w:rFonts w:eastAsia="Calibri"/>
          <w:lang w:val="pl-PL"/>
        </w:rPr>
        <w:t>e drugie nałożono</w:t>
      </w:r>
      <w:r w:rsidRPr="00246717">
        <w:rPr>
          <w:rFonts w:eastAsia="Calibri"/>
          <w:lang w:val="pl-PL"/>
        </w:rPr>
        <w:t xml:space="preserve"> większy ciężar.</w:t>
      </w:r>
    </w:p>
    <w:p w14:paraId="2CD81931" w14:textId="44217584" w:rsidR="008113A5" w:rsidRPr="00246717" w:rsidRDefault="008113A5" w:rsidP="000957D3">
      <w:pPr>
        <w:pStyle w:val="OpiParaSub"/>
        <w:rPr>
          <w:rFonts w:ascii="Times New Roman" w:eastAsia="Calibri" w:hAnsi="Times New Roman" w:cs="Times New Roman"/>
          <w:szCs w:val="24"/>
          <w:lang w:val="pl-PL"/>
        </w:rPr>
      </w:pPr>
      <w:r w:rsidRPr="00246717">
        <w:rPr>
          <w:rFonts w:eastAsia="Calibri"/>
          <w:lang w:val="pl-PL"/>
        </w:rPr>
        <w:t xml:space="preserve">Wytyczna 7: Są to bezwzględne zasady, poza które sąd </w:t>
      </w:r>
      <w:r w:rsidR="008553DB">
        <w:rPr>
          <w:rFonts w:eastAsia="Calibri"/>
          <w:lang w:val="pl-PL"/>
        </w:rPr>
        <w:t>orzekający</w:t>
      </w:r>
      <w:r w:rsidRPr="00246717">
        <w:rPr>
          <w:rFonts w:eastAsia="Calibri"/>
          <w:lang w:val="pl-PL"/>
        </w:rPr>
        <w:t xml:space="preserve"> nie może wykraczać, pod rygorem doprowadzenia do naruszenia zasady bezpośredniości, a w konsekwencji do nierzetelności procesu. Żadne dowody nie mogą być uwzględniane przez sąd </w:t>
      </w:r>
      <w:r w:rsidR="008553DB">
        <w:rPr>
          <w:rFonts w:eastAsia="Calibri"/>
          <w:lang w:val="pl-PL"/>
        </w:rPr>
        <w:t>orzekający</w:t>
      </w:r>
      <w:r w:rsidRPr="00246717">
        <w:rPr>
          <w:rFonts w:eastAsia="Calibri"/>
          <w:lang w:val="pl-PL"/>
        </w:rPr>
        <w:t xml:space="preserve"> z naruszeniem powyższych wytycznych, chyba że prawo krajowe dopuszcza możliwość ugody pomiędzy oskarżeniem a</w:t>
      </w:r>
      <w:r w:rsidR="00652397">
        <w:rPr>
          <w:rFonts w:eastAsia="Calibri"/>
          <w:lang w:val="pl-PL"/>
        </w:rPr>
        <w:t> </w:t>
      </w:r>
      <w:r w:rsidRPr="00246717">
        <w:rPr>
          <w:rFonts w:eastAsia="Calibri"/>
          <w:lang w:val="pl-PL"/>
        </w:rPr>
        <w:t xml:space="preserve">obroną w zakresie odczytania dowodu w postaci </w:t>
      </w:r>
      <w:proofErr w:type="spellStart"/>
      <w:r w:rsidRPr="00246717">
        <w:rPr>
          <w:rFonts w:eastAsia="Calibri"/>
          <w:lang w:val="pl-PL"/>
        </w:rPr>
        <w:t>przedprocesowego</w:t>
      </w:r>
      <w:proofErr w:type="spellEnd"/>
      <w:r w:rsidRPr="00246717">
        <w:rPr>
          <w:rFonts w:eastAsia="Calibri"/>
          <w:lang w:val="pl-PL"/>
        </w:rPr>
        <w:t xml:space="preserve"> zeznania i obie strony zgadzają się na takie odczytanie.</w:t>
      </w:r>
    </w:p>
    <w:p w14:paraId="794B3A80" w14:textId="77777777" w:rsidR="008113A5" w:rsidRPr="00246717" w:rsidRDefault="008113A5" w:rsidP="000957D3">
      <w:pPr>
        <w:pStyle w:val="OpiHA"/>
        <w:rPr>
          <w:rFonts w:eastAsia="Calibri"/>
          <w:lang w:val="pl-PL"/>
        </w:rPr>
      </w:pPr>
      <w:r w:rsidRPr="00246717">
        <w:rPr>
          <w:rFonts w:eastAsia="Calibri"/>
          <w:lang w:val="pl-PL"/>
        </w:rPr>
        <w:t>Stosowanie norm Konwencji do świadka A.</w:t>
      </w:r>
    </w:p>
    <w:p w14:paraId="56102833" w14:textId="24965E4D"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58</w:t>
      </w:r>
      <w:r w:rsidRPr="00246717">
        <w:rPr>
          <w:rFonts w:eastAsia="Calibri"/>
          <w:lang w:val="pl-PL"/>
        </w:rPr>
        <w:fldChar w:fldCharType="end"/>
      </w:r>
      <w:r w:rsidR="008113A5" w:rsidRPr="00246717">
        <w:rPr>
          <w:rFonts w:eastAsia="Calibri"/>
          <w:lang w:val="pl-PL"/>
        </w:rPr>
        <w:t xml:space="preserve">.  Świadek A. był funkcjonariuszem wydziału przestępczości zorganizowanej i zawsze postępował zgodnie z wytycznymi swoich przełożonych. Sam </w:t>
      </w:r>
      <w:r w:rsidR="00652397">
        <w:rPr>
          <w:rFonts w:eastAsia="Calibri"/>
          <w:lang w:val="pl-PL"/>
        </w:rPr>
        <w:t>R</w:t>
      </w:r>
      <w:r w:rsidR="008113A5" w:rsidRPr="00246717">
        <w:rPr>
          <w:rFonts w:eastAsia="Calibri"/>
          <w:lang w:val="pl-PL"/>
        </w:rPr>
        <w:t>ząd opisał jego rolę następująco: „Rola, jaką p</w:t>
      </w:r>
      <w:r w:rsidR="00652397">
        <w:rPr>
          <w:rFonts w:eastAsia="Calibri"/>
          <w:lang w:val="pl-PL"/>
        </w:rPr>
        <w:t>.</w:t>
      </w:r>
      <w:r w:rsidR="008113A5" w:rsidRPr="00246717">
        <w:rPr>
          <w:rFonts w:eastAsia="Calibri"/>
          <w:lang w:val="pl-PL"/>
        </w:rPr>
        <w:t xml:space="preserve"> A. odegrał w przedmiotowych zdarzeniach, ograniczała się do technicznego ułatwienia działalności operacyjno-</w:t>
      </w:r>
      <w:proofErr w:type="spellStart"/>
      <w:r w:rsidR="008113A5" w:rsidRPr="00246717">
        <w:rPr>
          <w:rFonts w:eastAsia="Calibri"/>
          <w:lang w:val="pl-PL"/>
        </w:rPr>
        <w:t>przeszukiwawczych</w:t>
      </w:r>
      <w:proofErr w:type="spellEnd"/>
      <w:r w:rsidR="008113A5" w:rsidRPr="00246717">
        <w:rPr>
          <w:rFonts w:eastAsia="Calibri"/>
          <w:lang w:val="pl-PL"/>
        </w:rPr>
        <w:t xml:space="preserve"> w odniesieniu do skarżącej”.</w:t>
      </w:r>
      <w:r w:rsidR="008113A5" w:rsidRPr="00246717">
        <w:rPr>
          <w:rFonts w:eastAsia="Calibri"/>
          <w:vertAlign w:val="superscript"/>
          <w:lang w:val="pl-PL"/>
        </w:rPr>
        <w:footnoteReference w:id="146"/>
      </w:r>
      <w:r w:rsidR="008113A5" w:rsidRPr="00246717">
        <w:rPr>
          <w:rFonts w:eastAsia="Calibri"/>
          <w:lang w:val="pl-PL"/>
        </w:rPr>
        <w:t xml:space="preserve"> W istocie przeprowadzono tajną operację przeciwko skarżącej, a świadek A. występował w charakterze tajnego agenta, którego działania doprowadziły do zgromadzenia całego materiału dowodowego przeciwko niej, głównie poprzez nagrania wideo wykonane w miejscu noclegu, które skarżąca dzieliła z V. i Ku.</w:t>
      </w:r>
    </w:p>
    <w:p w14:paraId="44E3155A" w14:textId="1DA2E529"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59</w:t>
      </w:r>
      <w:r w:rsidRPr="00246717">
        <w:rPr>
          <w:rFonts w:eastAsia="Calibri"/>
          <w:lang w:val="pl-PL"/>
        </w:rPr>
        <w:fldChar w:fldCharType="end"/>
      </w:r>
      <w:r w:rsidR="008113A5" w:rsidRPr="00246717">
        <w:rPr>
          <w:rFonts w:eastAsia="Calibri"/>
          <w:lang w:val="pl-PL"/>
        </w:rPr>
        <w:t>.  Przypisanie świadka A</w:t>
      </w:r>
      <w:r w:rsidR="00652397">
        <w:rPr>
          <w:rFonts w:eastAsia="Calibri"/>
          <w:lang w:val="pl-PL"/>
        </w:rPr>
        <w:t>.</w:t>
      </w:r>
      <w:r w:rsidR="008113A5" w:rsidRPr="00246717">
        <w:rPr>
          <w:rFonts w:eastAsia="Calibri"/>
          <w:lang w:val="pl-PL"/>
        </w:rPr>
        <w:t xml:space="preserve"> do kategorii świadka obrony jest problematyczne. Chociaż to w imieniu skarżącej A. został przesłuchany jako świadek na etapie postępowania przygotowawczego, to prokurator doprowadził do odczytania jego </w:t>
      </w:r>
      <w:r w:rsidR="008553DB" w:rsidRPr="00246717">
        <w:rPr>
          <w:rFonts w:eastAsia="Calibri"/>
          <w:lang w:val="pl-PL"/>
        </w:rPr>
        <w:t>zezna</w:t>
      </w:r>
      <w:r w:rsidR="008553DB">
        <w:rPr>
          <w:rFonts w:eastAsia="Calibri"/>
          <w:lang w:val="pl-PL"/>
        </w:rPr>
        <w:t>ń</w:t>
      </w:r>
      <w:r w:rsidR="008553DB" w:rsidRPr="00246717">
        <w:rPr>
          <w:rFonts w:eastAsia="Calibri"/>
          <w:lang w:val="pl-PL"/>
        </w:rPr>
        <w:t xml:space="preserve"> </w:t>
      </w:r>
      <w:r w:rsidR="008113A5" w:rsidRPr="00246717">
        <w:rPr>
          <w:rFonts w:eastAsia="Calibri"/>
          <w:lang w:val="pl-PL"/>
        </w:rPr>
        <w:t xml:space="preserve">na </w:t>
      </w:r>
      <w:r w:rsidR="00652397">
        <w:rPr>
          <w:rFonts w:eastAsia="Calibri"/>
          <w:lang w:val="pl-PL"/>
        </w:rPr>
        <w:t>rozprawie</w:t>
      </w:r>
      <w:r w:rsidR="008113A5" w:rsidRPr="00246717">
        <w:rPr>
          <w:rFonts w:eastAsia="Calibri"/>
          <w:lang w:val="pl-PL"/>
        </w:rPr>
        <w:t xml:space="preserve">, a sąd </w:t>
      </w:r>
      <w:r w:rsidR="008553DB">
        <w:rPr>
          <w:rFonts w:eastAsia="Calibri"/>
          <w:lang w:val="pl-PL"/>
        </w:rPr>
        <w:t>orzekający</w:t>
      </w:r>
      <w:r w:rsidR="008113A5" w:rsidRPr="00246717">
        <w:rPr>
          <w:rFonts w:eastAsia="Calibri"/>
          <w:lang w:val="pl-PL"/>
        </w:rPr>
        <w:t xml:space="preserve"> </w:t>
      </w:r>
      <w:r w:rsidR="004C7DBF">
        <w:rPr>
          <w:rFonts w:eastAsia="Calibri"/>
          <w:lang w:val="pl-PL"/>
        </w:rPr>
        <w:t xml:space="preserve">przyjął te </w:t>
      </w:r>
      <w:r w:rsidR="004C7DBF" w:rsidRPr="00246717">
        <w:rPr>
          <w:rFonts w:eastAsia="Calibri"/>
          <w:lang w:val="pl-PL"/>
        </w:rPr>
        <w:t>pisemn</w:t>
      </w:r>
      <w:r w:rsidR="004C7DBF">
        <w:rPr>
          <w:rFonts w:eastAsia="Calibri"/>
          <w:lang w:val="pl-PL"/>
        </w:rPr>
        <w:t>e</w:t>
      </w:r>
      <w:r w:rsidR="004C7DBF" w:rsidRPr="00246717">
        <w:rPr>
          <w:rFonts w:eastAsia="Calibri"/>
          <w:lang w:val="pl-PL"/>
        </w:rPr>
        <w:t xml:space="preserve"> </w:t>
      </w:r>
      <w:r w:rsidR="008113A5" w:rsidRPr="00246717">
        <w:rPr>
          <w:rFonts w:eastAsia="Calibri"/>
          <w:lang w:val="pl-PL"/>
        </w:rPr>
        <w:t>zeznani</w:t>
      </w:r>
      <w:r w:rsidR="004C7DBF">
        <w:rPr>
          <w:rFonts w:eastAsia="Calibri"/>
          <w:lang w:val="pl-PL"/>
        </w:rPr>
        <w:t>a</w:t>
      </w:r>
      <w:r w:rsidR="008113A5" w:rsidRPr="00246717">
        <w:rPr>
          <w:rFonts w:eastAsia="Calibri"/>
          <w:lang w:val="pl-PL"/>
        </w:rPr>
        <w:t xml:space="preserve"> </w:t>
      </w:r>
      <w:r w:rsidR="004C7DBF">
        <w:rPr>
          <w:rFonts w:eastAsia="Calibri"/>
          <w:lang w:val="pl-PL"/>
        </w:rPr>
        <w:t xml:space="preserve">za podstawę </w:t>
      </w:r>
      <w:r w:rsidR="008113A5" w:rsidRPr="00246717">
        <w:rPr>
          <w:rFonts w:eastAsia="Calibri"/>
          <w:lang w:val="pl-PL"/>
        </w:rPr>
        <w:t>przy wydawaniu wyroku skazującego skarżącą. Problematyczn</w:t>
      </w:r>
      <w:r w:rsidR="004C7DBF">
        <w:rPr>
          <w:rFonts w:eastAsia="Calibri"/>
          <w:lang w:val="pl-PL"/>
        </w:rPr>
        <w:t>ej</w:t>
      </w:r>
      <w:r w:rsidR="008113A5" w:rsidRPr="00246717">
        <w:rPr>
          <w:rFonts w:eastAsia="Calibri"/>
          <w:lang w:val="pl-PL"/>
        </w:rPr>
        <w:t xml:space="preserve"> kategoryzacj</w:t>
      </w:r>
      <w:r w:rsidR="004C7DBF">
        <w:rPr>
          <w:rFonts w:eastAsia="Calibri"/>
          <w:lang w:val="pl-PL"/>
        </w:rPr>
        <w:t>i</w:t>
      </w:r>
      <w:r w:rsidR="008113A5" w:rsidRPr="00246717">
        <w:rPr>
          <w:rFonts w:eastAsia="Calibri"/>
          <w:lang w:val="pl-PL"/>
        </w:rPr>
        <w:t xml:space="preserve"> nie wyklucz</w:t>
      </w:r>
      <w:r w:rsidR="004C7DBF">
        <w:rPr>
          <w:rFonts w:eastAsia="Calibri"/>
          <w:lang w:val="pl-PL"/>
        </w:rPr>
        <w:t xml:space="preserve">a </w:t>
      </w:r>
      <w:r w:rsidR="008113A5" w:rsidRPr="00246717">
        <w:rPr>
          <w:rFonts w:eastAsia="Calibri"/>
          <w:lang w:val="pl-PL"/>
        </w:rPr>
        <w:t>fakt, że sądy krajowe nie zbadały znaczenia dowodowego zeznania złożonego przez A. Specyfika sytuacji w niniejszej sp</w:t>
      </w:r>
      <w:r w:rsidR="00BC10FA">
        <w:rPr>
          <w:rFonts w:eastAsia="Calibri"/>
          <w:lang w:val="pl-PL"/>
        </w:rPr>
        <w:t>r</w:t>
      </w:r>
      <w:r w:rsidR="008113A5" w:rsidRPr="00246717">
        <w:rPr>
          <w:rFonts w:eastAsia="Calibri"/>
          <w:lang w:val="pl-PL"/>
        </w:rPr>
        <w:t xml:space="preserve">awie polega na tym, że wyrok skazujący opierał się na założeniu, że nie miała miejsca żadna </w:t>
      </w:r>
      <w:r w:rsidR="0033275A">
        <w:rPr>
          <w:rFonts w:eastAsia="Calibri"/>
          <w:lang w:val="pl-PL"/>
        </w:rPr>
        <w:t>prowokacja</w:t>
      </w:r>
      <w:r w:rsidR="008113A5" w:rsidRPr="00246717">
        <w:rPr>
          <w:rFonts w:eastAsia="Calibri"/>
          <w:lang w:val="pl-PL"/>
        </w:rPr>
        <w:t xml:space="preserve"> ani sp</w:t>
      </w:r>
      <w:r w:rsidR="0033275A">
        <w:rPr>
          <w:rFonts w:eastAsia="Calibri"/>
          <w:lang w:val="pl-PL"/>
        </w:rPr>
        <w:t>reparowana</w:t>
      </w:r>
      <w:r w:rsidR="008113A5" w:rsidRPr="00246717">
        <w:rPr>
          <w:rFonts w:eastAsia="Calibri"/>
          <w:lang w:val="pl-PL"/>
        </w:rPr>
        <w:t xml:space="preserve"> przez policję okoliczność, która mogłaby spowodować uniewinnienie skarżącej lub oczyszczenie jej z zarzutów.</w:t>
      </w:r>
    </w:p>
    <w:p w14:paraId="56B6FBF4" w14:textId="1BB10F1B"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60</w:t>
      </w:r>
      <w:r w:rsidRPr="00246717">
        <w:rPr>
          <w:rFonts w:eastAsia="Calibri"/>
          <w:lang w:val="pl-PL"/>
        </w:rPr>
        <w:fldChar w:fldCharType="end"/>
      </w:r>
      <w:r w:rsidR="008113A5" w:rsidRPr="00246717">
        <w:rPr>
          <w:rFonts w:eastAsia="Calibri"/>
          <w:lang w:val="pl-PL"/>
        </w:rPr>
        <w:t xml:space="preserve">.  Sama skarżąca powtarzała </w:t>
      </w:r>
      <w:r w:rsidR="004C7DBF">
        <w:rPr>
          <w:rFonts w:eastAsia="Calibri"/>
          <w:lang w:val="pl-PL"/>
        </w:rPr>
        <w:t>na rozprawie</w:t>
      </w:r>
      <w:r w:rsidR="008113A5" w:rsidRPr="00246717">
        <w:rPr>
          <w:rFonts w:eastAsia="Calibri"/>
          <w:lang w:val="pl-PL"/>
        </w:rPr>
        <w:t xml:space="preserve">, że </w:t>
      </w:r>
      <w:r w:rsidR="004C7DBF">
        <w:rPr>
          <w:rFonts w:eastAsia="Calibri"/>
          <w:lang w:val="pl-PL"/>
        </w:rPr>
        <w:t xml:space="preserve">bezskutecznie </w:t>
      </w:r>
      <w:r w:rsidR="008113A5" w:rsidRPr="00246717">
        <w:rPr>
          <w:rFonts w:eastAsia="Calibri"/>
          <w:lang w:val="pl-PL"/>
        </w:rPr>
        <w:t>nalegała na konfrontację ze świadkiem A..</w:t>
      </w:r>
      <w:r w:rsidR="008113A5" w:rsidRPr="00246717">
        <w:rPr>
          <w:rFonts w:eastAsia="Calibri"/>
          <w:vertAlign w:val="superscript"/>
          <w:lang w:val="pl-PL"/>
        </w:rPr>
        <w:footnoteReference w:id="147"/>
      </w:r>
      <w:r w:rsidR="008113A5" w:rsidRPr="00246717">
        <w:rPr>
          <w:rFonts w:eastAsia="Calibri"/>
          <w:lang w:val="pl-PL"/>
        </w:rPr>
        <w:t xml:space="preserve"> Nie podjęto żadnych kroków w celu </w:t>
      </w:r>
      <w:r w:rsidR="008113A5" w:rsidRPr="00246717">
        <w:rPr>
          <w:rFonts w:eastAsia="Calibri"/>
          <w:lang w:val="pl-PL"/>
        </w:rPr>
        <w:lastRenderedPageBreak/>
        <w:t>ustalenia miejsca pobytu świadka A., który uczestniczył w</w:t>
      </w:r>
      <w:r w:rsidR="0033275A">
        <w:rPr>
          <w:rFonts w:eastAsia="Calibri"/>
          <w:lang w:val="pl-PL"/>
        </w:rPr>
        <w:t> </w:t>
      </w:r>
      <w:r w:rsidR="008113A5" w:rsidRPr="00246717">
        <w:rPr>
          <w:rFonts w:eastAsia="Calibri"/>
          <w:lang w:val="pl-PL"/>
        </w:rPr>
        <w:t xml:space="preserve">tajnej operacji przeciwko skarżącej oraz zapewnienia jego stawiennictwa na </w:t>
      </w:r>
      <w:r w:rsidR="004C7DBF">
        <w:rPr>
          <w:rFonts w:eastAsia="Calibri"/>
          <w:lang w:val="pl-PL"/>
        </w:rPr>
        <w:t>rozprawie</w:t>
      </w:r>
      <w:r w:rsidR="008113A5" w:rsidRPr="00246717">
        <w:rPr>
          <w:rFonts w:eastAsia="Calibri"/>
          <w:lang w:val="pl-PL"/>
        </w:rPr>
        <w:t>.</w:t>
      </w:r>
      <w:r w:rsidR="008113A5" w:rsidRPr="00246717">
        <w:rPr>
          <w:rFonts w:eastAsia="Calibri"/>
          <w:vertAlign w:val="superscript"/>
          <w:lang w:val="pl-PL"/>
        </w:rPr>
        <w:footnoteReference w:id="148"/>
      </w:r>
      <w:r w:rsidR="008113A5" w:rsidRPr="00246717">
        <w:rPr>
          <w:rFonts w:eastAsia="Calibri"/>
          <w:lang w:val="pl-PL"/>
        </w:rPr>
        <w:t xml:space="preserve"> Sąd </w:t>
      </w:r>
      <w:r w:rsidR="004C7DBF">
        <w:rPr>
          <w:rFonts w:eastAsia="Calibri"/>
          <w:lang w:val="pl-PL"/>
        </w:rPr>
        <w:t>orzekający</w:t>
      </w:r>
      <w:r w:rsidR="008113A5" w:rsidRPr="00246717">
        <w:rPr>
          <w:rFonts w:eastAsia="Calibri"/>
          <w:lang w:val="pl-PL"/>
        </w:rPr>
        <w:t xml:space="preserve"> stwierdził tylko, że wszystkie dowody przeciwko skarżącej były dopuszczalne, a rosyjski Sąd Najwyższy podtrzymał to ustalenie w postępowaniu odwoławczym bez dalszego uzasadniania. W odniesieniu do stwierdzenia skarżącej dotyczącego </w:t>
      </w:r>
      <w:r w:rsidR="00750259">
        <w:rPr>
          <w:rFonts w:eastAsia="Calibri"/>
          <w:lang w:val="pl-PL"/>
        </w:rPr>
        <w:t>prowokacji</w:t>
      </w:r>
      <w:r w:rsidR="008113A5" w:rsidRPr="00246717">
        <w:rPr>
          <w:rFonts w:eastAsia="Calibri"/>
          <w:lang w:val="pl-PL"/>
        </w:rPr>
        <w:t xml:space="preserve">, Sąd Najwyższy jedynie stwierdził, że skład sądu apelacyjnego „nie mógł zgodzić się” z oskarżoną, bez </w:t>
      </w:r>
      <w:r w:rsidR="0033275A">
        <w:rPr>
          <w:rFonts w:eastAsia="Calibri"/>
          <w:lang w:val="pl-PL"/>
        </w:rPr>
        <w:t>przedkładania</w:t>
      </w:r>
      <w:r w:rsidR="008113A5" w:rsidRPr="00246717">
        <w:rPr>
          <w:rFonts w:eastAsia="Calibri"/>
          <w:lang w:val="pl-PL"/>
        </w:rPr>
        <w:t xml:space="preserve"> jakichkolwiek dalszych uwag.</w:t>
      </w:r>
      <w:r w:rsidR="008113A5" w:rsidRPr="00246717">
        <w:rPr>
          <w:rFonts w:eastAsia="Calibri"/>
          <w:vertAlign w:val="superscript"/>
          <w:lang w:val="pl-PL"/>
        </w:rPr>
        <w:footnoteReference w:id="149"/>
      </w:r>
    </w:p>
    <w:p w14:paraId="44ECACD0" w14:textId="2D7DDCE9" w:rsidR="00664804" w:rsidRPr="00246717" w:rsidRDefault="008113A5" w:rsidP="000957D3">
      <w:pPr>
        <w:pStyle w:val="OpiPara"/>
        <w:rPr>
          <w:rFonts w:eastAsia="Calibri"/>
          <w:lang w:val="pl-PL"/>
        </w:rPr>
      </w:pPr>
      <w:r w:rsidRPr="00246717">
        <w:rPr>
          <w:rFonts w:eastAsia="Calibri"/>
          <w:lang w:val="pl-PL"/>
        </w:rPr>
        <w:t xml:space="preserve">Ani skarżąca, ani jej </w:t>
      </w:r>
      <w:r w:rsidR="004C7DBF">
        <w:rPr>
          <w:rFonts w:eastAsia="Calibri"/>
          <w:lang w:val="pl-PL"/>
        </w:rPr>
        <w:t>obrońcy</w:t>
      </w:r>
      <w:r w:rsidR="004C7DBF" w:rsidRPr="00246717">
        <w:rPr>
          <w:rFonts w:eastAsia="Calibri"/>
          <w:lang w:val="pl-PL"/>
        </w:rPr>
        <w:t xml:space="preserve"> </w:t>
      </w:r>
      <w:r w:rsidRPr="00246717">
        <w:rPr>
          <w:rFonts w:eastAsia="Calibri"/>
          <w:lang w:val="pl-PL"/>
        </w:rPr>
        <w:t xml:space="preserve">nie byli obecni na przesłuchaniu świadka A. na etapie postępowania przygotowawczego. Obronie nie zapewniono możliwości skonfrontowania A. na etapie postępowania przygotowawczego </w:t>
      </w:r>
      <w:r w:rsidR="004C7DBF">
        <w:rPr>
          <w:rFonts w:eastAsia="Calibri"/>
          <w:lang w:val="pl-PL"/>
        </w:rPr>
        <w:t>ani na rozprawie</w:t>
      </w:r>
      <w:r w:rsidRPr="00246717">
        <w:rPr>
          <w:rFonts w:eastAsia="Calibri"/>
          <w:lang w:val="pl-PL"/>
        </w:rPr>
        <w:t>. Jako że nie dokonano zrzeczenia się przesłuchania świadka A. ani nie przedstawiono ważnej zgody na odczytanie zeznania na podstawie art.</w:t>
      </w:r>
      <w:r w:rsidR="0033275A">
        <w:rPr>
          <w:rFonts w:eastAsia="Calibri"/>
          <w:lang w:val="pl-PL"/>
        </w:rPr>
        <w:t> </w:t>
      </w:r>
      <w:r w:rsidRPr="00246717">
        <w:rPr>
          <w:rFonts w:eastAsia="Calibri"/>
          <w:lang w:val="pl-PL"/>
        </w:rPr>
        <w:t>281 ust.</w:t>
      </w:r>
      <w:r w:rsidR="0033275A">
        <w:rPr>
          <w:rFonts w:eastAsia="Calibri"/>
          <w:lang w:val="pl-PL"/>
        </w:rPr>
        <w:t> </w:t>
      </w:r>
      <w:r w:rsidRPr="00246717">
        <w:rPr>
          <w:rFonts w:eastAsia="Calibri"/>
          <w:lang w:val="pl-PL"/>
        </w:rPr>
        <w:t>1</w:t>
      </w:r>
      <w:r w:rsidR="0033275A">
        <w:rPr>
          <w:rFonts w:eastAsia="Calibri"/>
          <w:lang w:val="pl-PL"/>
        </w:rPr>
        <w:t> </w:t>
      </w:r>
      <w:r w:rsidRPr="00246717">
        <w:rPr>
          <w:rFonts w:eastAsia="Calibri"/>
          <w:lang w:val="pl-PL"/>
        </w:rPr>
        <w:t xml:space="preserve">rosyjskiego </w:t>
      </w:r>
      <w:r w:rsidR="0033275A">
        <w:rPr>
          <w:rFonts w:eastAsia="Calibri"/>
          <w:lang w:val="pl-PL"/>
        </w:rPr>
        <w:t>k</w:t>
      </w:r>
      <w:r w:rsidRPr="00246717">
        <w:rPr>
          <w:rFonts w:eastAsia="Calibri"/>
          <w:lang w:val="pl-PL"/>
        </w:rPr>
        <w:t xml:space="preserve">odeksu postępowania karnego, zastosowanie miała sekcja druga tego </w:t>
      </w:r>
      <w:r w:rsidR="0033275A">
        <w:rPr>
          <w:rFonts w:eastAsia="Calibri"/>
          <w:lang w:val="pl-PL"/>
        </w:rPr>
        <w:t>k</w:t>
      </w:r>
      <w:r w:rsidRPr="00246717">
        <w:rPr>
          <w:rFonts w:eastAsia="Calibri"/>
          <w:lang w:val="pl-PL"/>
        </w:rPr>
        <w:t>odeksu. Zadaniem sądu prowadzącego postępowanie było zweryfikowanie, czy powody niestawiennictwa świadka A. były uzasadnione i, jeśli nie, zagwarantowanie, że świadek A. stawił się przed tymże sądem, na przykład poprzez wydanie nakazu zmuszającego go do stawiennictwa.</w:t>
      </w:r>
    </w:p>
    <w:p w14:paraId="46AE73FD" w14:textId="25AD89B8"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61</w:t>
      </w:r>
      <w:r w:rsidRPr="00246717">
        <w:rPr>
          <w:rFonts w:eastAsia="Calibri"/>
          <w:lang w:val="pl-PL"/>
        </w:rPr>
        <w:fldChar w:fldCharType="end"/>
      </w:r>
      <w:r w:rsidR="008113A5" w:rsidRPr="00246717">
        <w:rPr>
          <w:rFonts w:eastAsia="Calibri"/>
          <w:lang w:val="pl-PL"/>
        </w:rPr>
        <w:t>.  Wyraźnie widać, że nie można podać żadnego ważnego powodu dla uzasadnienia braku wezwania świadka S. do zeznawania na rozprawie, czego wymagają przepisy sekcji drugiej art.</w:t>
      </w:r>
      <w:r w:rsidR="0033275A">
        <w:rPr>
          <w:rFonts w:eastAsia="Calibri"/>
          <w:lang w:val="pl-PL"/>
        </w:rPr>
        <w:t> </w:t>
      </w:r>
      <w:r w:rsidR="008113A5" w:rsidRPr="00246717">
        <w:rPr>
          <w:rFonts w:eastAsia="Calibri"/>
          <w:lang w:val="pl-PL"/>
        </w:rPr>
        <w:t xml:space="preserve">281. Rosyjski </w:t>
      </w:r>
      <w:r w:rsidR="0033275A">
        <w:rPr>
          <w:rFonts w:eastAsia="Calibri"/>
          <w:lang w:val="pl-PL"/>
        </w:rPr>
        <w:t>k</w:t>
      </w:r>
      <w:r w:rsidR="008113A5" w:rsidRPr="00246717">
        <w:rPr>
          <w:rFonts w:eastAsia="Calibri"/>
          <w:lang w:val="pl-PL"/>
        </w:rPr>
        <w:t xml:space="preserve">odeks postępowania karnego wprost podaje przykłady ważnych powodów, a także zawiera klauzulę zbiorczą odnoszącą się do „innych nadzwyczajnych okoliczności”. Są one zbliżone do kryteriów ustanowionych przez Trybunał w sprawie </w:t>
      </w:r>
      <w:r w:rsidR="008113A5" w:rsidRPr="00246717">
        <w:rPr>
          <w:rFonts w:eastAsia="Calibri"/>
          <w:i/>
          <w:iCs/>
          <w:lang w:val="pl-PL"/>
        </w:rPr>
        <w:t>Al</w:t>
      </w:r>
      <w:r w:rsidR="0033275A">
        <w:rPr>
          <w:rFonts w:eastAsia="Calibri"/>
          <w:i/>
          <w:iCs/>
          <w:lang w:val="pl-PL"/>
        </w:rPr>
        <w:t> </w:t>
      </w:r>
      <w:proofErr w:type="spellStart"/>
      <w:r w:rsidR="008113A5" w:rsidRPr="00246717">
        <w:rPr>
          <w:rFonts w:eastAsia="Calibri"/>
          <w:i/>
          <w:iCs/>
          <w:lang w:val="pl-PL"/>
        </w:rPr>
        <w:t>Khawaja</w:t>
      </w:r>
      <w:proofErr w:type="spellEnd"/>
      <w:r w:rsidR="008113A5" w:rsidRPr="00246717">
        <w:rPr>
          <w:rFonts w:eastAsia="Calibri"/>
          <w:i/>
          <w:iCs/>
          <w:lang w:val="pl-PL"/>
        </w:rPr>
        <w:t xml:space="preserve"> i </w:t>
      </w:r>
      <w:proofErr w:type="spellStart"/>
      <w:r w:rsidR="008113A5" w:rsidRPr="00246717">
        <w:rPr>
          <w:rFonts w:eastAsia="Calibri"/>
          <w:i/>
          <w:iCs/>
          <w:lang w:val="pl-PL"/>
        </w:rPr>
        <w:t>Tahery</w:t>
      </w:r>
      <w:proofErr w:type="spellEnd"/>
      <w:r w:rsidR="008113A5" w:rsidRPr="00246717">
        <w:rPr>
          <w:rFonts w:eastAsia="Calibri"/>
          <w:lang w:val="pl-PL"/>
        </w:rPr>
        <w:t>. Ponadto, podobnie jak w przypadku wielu innych przepisów w europejskich kodeksach postępowania karnego, w przepisie w</w:t>
      </w:r>
      <w:r w:rsidR="0033275A">
        <w:rPr>
          <w:rFonts w:eastAsia="Calibri"/>
          <w:lang w:val="pl-PL"/>
        </w:rPr>
        <w:t> </w:t>
      </w:r>
      <w:r w:rsidR="008113A5" w:rsidRPr="00246717">
        <w:rPr>
          <w:rFonts w:eastAsia="Calibri"/>
          <w:lang w:val="pl-PL"/>
        </w:rPr>
        <w:t>kodeksie rosyjskim nie dokonuje się rozróżnienia pomiędzy świadkami zeznającymi w imieniu obrony i świadkami stawiającymi się w imieniu oskarżenia.</w:t>
      </w:r>
    </w:p>
    <w:p w14:paraId="2DA4953E" w14:textId="7653A60E" w:rsidR="00664804"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62</w:t>
      </w:r>
      <w:r w:rsidRPr="00246717">
        <w:rPr>
          <w:rFonts w:eastAsia="Calibri"/>
          <w:lang w:val="pl-PL"/>
        </w:rPr>
        <w:fldChar w:fldCharType="end"/>
      </w:r>
      <w:r w:rsidR="008113A5" w:rsidRPr="00246717">
        <w:rPr>
          <w:rFonts w:eastAsia="Calibri"/>
          <w:lang w:val="pl-PL"/>
        </w:rPr>
        <w:t>.  W tym kontekście Trybunał uznał, „że skoro oskarżona twierdzi, iż była podżegana do popełnienia przestępstwa, sądy karne muszą przeprowadzić wnikliwe rozpoznanie materiału w aktach sprawy, ponieważ dla zapewnienia rzetelności procesu w rozumieniu art.</w:t>
      </w:r>
      <w:r w:rsidR="0033275A">
        <w:rPr>
          <w:rFonts w:eastAsia="Calibri"/>
          <w:lang w:val="pl-PL"/>
        </w:rPr>
        <w:t> </w:t>
      </w:r>
      <w:r w:rsidR="008113A5" w:rsidRPr="00246717">
        <w:rPr>
          <w:rFonts w:eastAsia="Calibri"/>
          <w:lang w:val="pl-PL"/>
        </w:rPr>
        <w:t>6 ust.</w:t>
      </w:r>
      <w:r w:rsidR="0033275A">
        <w:rPr>
          <w:rFonts w:eastAsia="Calibri"/>
          <w:lang w:val="pl-PL"/>
        </w:rPr>
        <w:t> </w:t>
      </w:r>
      <w:r w:rsidR="008113A5" w:rsidRPr="00246717">
        <w:rPr>
          <w:rFonts w:eastAsia="Calibri"/>
          <w:lang w:val="pl-PL"/>
        </w:rPr>
        <w:t>1 Konwencji wszelkie dowody uzyskane w wyniku podżegania przez policję muszą zostać wyłączone”.</w:t>
      </w:r>
      <w:r w:rsidR="008113A5" w:rsidRPr="00246717">
        <w:rPr>
          <w:rFonts w:eastAsia="Calibri"/>
          <w:vertAlign w:val="superscript"/>
          <w:lang w:val="pl-PL"/>
        </w:rPr>
        <w:footnoteReference w:id="150"/>
      </w:r>
      <w:r w:rsidR="008113A5" w:rsidRPr="00246717">
        <w:rPr>
          <w:rFonts w:eastAsia="Calibri"/>
          <w:lang w:val="pl-PL"/>
        </w:rPr>
        <w:t xml:space="preserve"> Stosowanie tych zasad do niniejszej sprawy nakłada na sąd krajowy specjalny obowiązek dokładnego zbadania dowodów na to, czy podżeganie przez policję miało miejsce w celu późniejszego wyłączenia </w:t>
      </w:r>
      <w:r w:rsidR="0033275A">
        <w:rPr>
          <w:rFonts w:eastAsia="Calibri"/>
          <w:lang w:val="pl-PL"/>
        </w:rPr>
        <w:t>rzeczonej</w:t>
      </w:r>
      <w:r w:rsidR="008113A5" w:rsidRPr="00246717">
        <w:rPr>
          <w:rFonts w:eastAsia="Calibri"/>
          <w:lang w:val="pl-PL"/>
        </w:rPr>
        <w:t xml:space="preserve"> części dowodu. Obowiązek ten nie jest wynikiem samej obrony </w:t>
      </w:r>
      <w:r w:rsidR="008113A5" w:rsidRPr="00246717">
        <w:rPr>
          <w:rFonts w:eastAsia="Calibri"/>
          <w:lang w:val="pl-PL"/>
        </w:rPr>
        <w:lastRenderedPageBreak/>
        <w:t>skarżącej dotyczącej jej postrzegania „prowokacji” przez funkcjonariuszy organów ścigania, ale też mocnego zaangażowania A.</w:t>
      </w:r>
      <w:r w:rsidR="0033275A">
        <w:rPr>
          <w:rFonts w:eastAsia="Calibri"/>
          <w:lang w:val="pl-PL"/>
        </w:rPr>
        <w:t> </w:t>
      </w:r>
      <w:r w:rsidR="008113A5" w:rsidRPr="00246717">
        <w:rPr>
          <w:rFonts w:eastAsia="Calibri"/>
          <w:lang w:val="pl-PL"/>
        </w:rPr>
        <w:t>w</w:t>
      </w:r>
      <w:r w:rsidR="0033275A">
        <w:rPr>
          <w:rFonts w:eastAsia="Calibri"/>
          <w:lang w:val="pl-PL"/>
        </w:rPr>
        <w:t> </w:t>
      </w:r>
      <w:r w:rsidR="008113A5" w:rsidRPr="00246717">
        <w:rPr>
          <w:rFonts w:eastAsia="Calibri"/>
          <w:lang w:val="pl-PL"/>
        </w:rPr>
        <w:t xml:space="preserve">sprawę, na co jasno wskazują jego własne zeznania </w:t>
      </w:r>
      <w:proofErr w:type="spellStart"/>
      <w:r w:rsidR="008113A5" w:rsidRPr="00246717">
        <w:rPr>
          <w:rFonts w:eastAsia="Calibri"/>
          <w:lang w:val="pl-PL"/>
        </w:rPr>
        <w:t>przedprocesowe</w:t>
      </w:r>
      <w:proofErr w:type="spellEnd"/>
      <w:r w:rsidR="008113A5" w:rsidRPr="00246717">
        <w:rPr>
          <w:rFonts w:eastAsia="Calibri"/>
          <w:lang w:val="pl-PL"/>
        </w:rPr>
        <w:t>, a</w:t>
      </w:r>
      <w:r w:rsidR="0033275A">
        <w:rPr>
          <w:rFonts w:eastAsia="Calibri"/>
          <w:lang w:val="pl-PL"/>
        </w:rPr>
        <w:t> </w:t>
      </w:r>
      <w:r w:rsidR="008113A5" w:rsidRPr="00246717">
        <w:rPr>
          <w:rFonts w:eastAsia="Calibri"/>
          <w:lang w:val="pl-PL"/>
        </w:rPr>
        <w:t>także taśmy wideo zgromadzone z ukrytej kamery monitoringu w</w:t>
      </w:r>
      <w:r w:rsidR="0033275A">
        <w:rPr>
          <w:rFonts w:eastAsia="Calibri"/>
          <w:lang w:val="pl-PL"/>
        </w:rPr>
        <w:t> </w:t>
      </w:r>
      <w:r w:rsidR="008113A5" w:rsidRPr="00246717">
        <w:rPr>
          <w:rFonts w:eastAsia="Calibri"/>
          <w:lang w:val="pl-PL"/>
        </w:rPr>
        <w:t xml:space="preserve">mieszkaniu skarżącej. Inną ważną wskazówką, która klarownie ukazała obowiązek przeprowadzenia </w:t>
      </w:r>
      <w:r w:rsidR="0033275A">
        <w:rPr>
          <w:rFonts w:eastAsia="Calibri"/>
          <w:lang w:val="pl-PL"/>
        </w:rPr>
        <w:t>postępowania przygotowawczego</w:t>
      </w:r>
      <w:r w:rsidR="008113A5" w:rsidRPr="00246717">
        <w:rPr>
          <w:rFonts w:eastAsia="Calibri"/>
          <w:lang w:val="pl-PL"/>
        </w:rPr>
        <w:t xml:space="preserve"> wobec możliwości udziału świadka A. w popełnianych przestępstwach, było zeznanie świadka V., który stwierdził, że niektóre książki poświęcone „drodze dżihadu” zostały podarowane skarżącej przez jej znajomego, A.</w:t>
      </w:r>
      <w:r w:rsidR="008113A5" w:rsidRPr="00246717">
        <w:rPr>
          <w:rFonts w:eastAsia="Calibri"/>
          <w:vertAlign w:val="superscript"/>
          <w:lang w:val="pl-PL"/>
        </w:rPr>
        <w:footnoteReference w:id="151"/>
      </w:r>
    </w:p>
    <w:p w14:paraId="1DFE2752" w14:textId="562920C0"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63</w:t>
      </w:r>
      <w:r w:rsidRPr="00246717">
        <w:rPr>
          <w:rFonts w:eastAsia="Calibri"/>
          <w:lang w:val="pl-PL"/>
        </w:rPr>
        <w:fldChar w:fldCharType="end"/>
      </w:r>
      <w:r w:rsidR="008113A5" w:rsidRPr="00246717">
        <w:rPr>
          <w:rFonts w:eastAsia="Calibri"/>
          <w:lang w:val="pl-PL"/>
        </w:rPr>
        <w:t xml:space="preserve">.  Wreszcie świadek V. złożyła sprzeczne zeznania na etapie postępowania przygotowawczego i przesłuchania na </w:t>
      </w:r>
      <w:r w:rsidR="00B61CC9">
        <w:rPr>
          <w:rFonts w:eastAsia="Calibri"/>
          <w:lang w:val="pl-PL"/>
        </w:rPr>
        <w:t>rozprawie</w:t>
      </w:r>
      <w:r w:rsidR="008113A5" w:rsidRPr="00246717">
        <w:rPr>
          <w:rFonts w:eastAsia="Calibri"/>
          <w:vertAlign w:val="superscript"/>
          <w:lang w:val="pl-PL"/>
        </w:rPr>
        <w:footnoteReference w:id="152"/>
      </w:r>
      <w:r w:rsidR="008113A5" w:rsidRPr="00246717">
        <w:rPr>
          <w:rFonts w:eastAsia="Calibri"/>
          <w:lang w:val="pl-PL"/>
        </w:rPr>
        <w:t>, a</w:t>
      </w:r>
      <w:r w:rsidR="00B61CC9">
        <w:rPr>
          <w:rFonts w:eastAsia="Calibri"/>
          <w:lang w:val="pl-PL"/>
        </w:rPr>
        <w:t> </w:t>
      </w:r>
      <w:r w:rsidR="008113A5" w:rsidRPr="00246717">
        <w:rPr>
          <w:rFonts w:eastAsia="Calibri"/>
          <w:lang w:val="pl-PL"/>
        </w:rPr>
        <w:t xml:space="preserve">świadek Ku. wycofała swoje zeznania złożone przez nią na etapie postępowania przygotowawczego, stwierdzając, że skarżąca nie podżegała jej do </w:t>
      </w:r>
      <w:r w:rsidR="00B61CC9">
        <w:rPr>
          <w:rFonts w:eastAsia="Calibri"/>
          <w:lang w:val="pl-PL"/>
        </w:rPr>
        <w:t>bycia</w:t>
      </w:r>
      <w:r w:rsidR="008113A5" w:rsidRPr="00246717">
        <w:rPr>
          <w:rFonts w:eastAsia="Calibri"/>
          <w:lang w:val="pl-PL"/>
        </w:rPr>
        <w:t xml:space="preserve"> zamachowcem samobójczynią.</w:t>
      </w:r>
      <w:r w:rsidR="008113A5" w:rsidRPr="00246717">
        <w:rPr>
          <w:rFonts w:eastAsia="Calibri"/>
          <w:vertAlign w:val="superscript"/>
          <w:lang w:val="pl-PL"/>
        </w:rPr>
        <w:footnoteReference w:id="153"/>
      </w:r>
      <w:r w:rsidR="008113A5" w:rsidRPr="00246717">
        <w:rPr>
          <w:rFonts w:eastAsia="Calibri"/>
          <w:lang w:val="pl-PL"/>
        </w:rPr>
        <w:t xml:space="preserve"> Podsumowując, świadek V. zeznała na </w:t>
      </w:r>
      <w:r w:rsidR="00B61CC9">
        <w:rPr>
          <w:rFonts w:eastAsia="Calibri"/>
          <w:lang w:val="pl-PL"/>
        </w:rPr>
        <w:t>rozprawie</w:t>
      </w:r>
      <w:r w:rsidR="008113A5" w:rsidRPr="00246717">
        <w:rPr>
          <w:rFonts w:eastAsia="Calibri"/>
          <w:lang w:val="pl-PL"/>
        </w:rPr>
        <w:t>, że skarżąca przygotowywała ją i</w:t>
      </w:r>
      <w:r w:rsidR="00B61CC9">
        <w:rPr>
          <w:rFonts w:eastAsia="Calibri"/>
          <w:lang w:val="pl-PL"/>
        </w:rPr>
        <w:t> </w:t>
      </w:r>
      <w:r w:rsidR="008113A5" w:rsidRPr="00246717">
        <w:rPr>
          <w:rFonts w:eastAsia="Calibri"/>
          <w:lang w:val="pl-PL"/>
        </w:rPr>
        <w:t xml:space="preserve">Ku. do </w:t>
      </w:r>
      <w:r w:rsidR="00B61CC9">
        <w:rPr>
          <w:rFonts w:eastAsia="Calibri"/>
          <w:lang w:val="pl-PL"/>
        </w:rPr>
        <w:t>bycia</w:t>
      </w:r>
      <w:r w:rsidR="008113A5" w:rsidRPr="00246717">
        <w:rPr>
          <w:rFonts w:eastAsia="Calibri"/>
          <w:lang w:val="pl-PL"/>
        </w:rPr>
        <w:t xml:space="preserve"> zamachowcami samobójczyniami, a świadek Ku.</w:t>
      </w:r>
      <w:r w:rsidR="00B61CC9">
        <w:rPr>
          <w:rFonts w:eastAsia="Calibri"/>
          <w:lang w:val="pl-PL"/>
        </w:rPr>
        <w:t> </w:t>
      </w:r>
      <w:r w:rsidR="008113A5" w:rsidRPr="00246717">
        <w:rPr>
          <w:rFonts w:eastAsia="Calibri"/>
          <w:lang w:val="pl-PL"/>
        </w:rPr>
        <w:t xml:space="preserve">zaprzeczyła zeznaniu świadka V. twierdząc, że skarżąca nie podżegała jej do </w:t>
      </w:r>
      <w:r w:rsidR="00B61CC9">
        <w:rPr>
          <w:rFonts w:eastAsia="Calibri"/>
          <w:lang w:val="pl-PL"/>
        </w:rPr>
        <w:t>bycia</w:t>
      </w:r>
      <w:r w:rsidR="008113A5" w:rsidRPr="00246717">
        <w:rPr>
          <w:rFonts w:eastAsia="Calibri"/>
          <w:lang w:val="pl-PL"/>
        </w:rPr>
        <w:t xml:space="preserve"> zamachowcem samobójczynią. W świetle tych niespójności zeznania </w:t>
      </w:r>
      <w:proofErr w:type="spellStart"/>
      <w:r w:rsidR="008113A5" w:rsidRPr="00246717">
        <w:rPr>
          <w:rFonts w:eastAsia="Calibri"/>
          <w:lang w:val="pl-PL"/>
        </w:rPr>
        <w:t>przedprocesowe</w:t>
      </w:r>
      <w:proofErr w:type="spellEnd"/>
      <w:r w:rsidR="008113A5" w:rsidRPr="00246717">
        <w:rPr>
          <w:rFonts w:eastAsia="Calibri"/>
          <w:lang w:val="pl-PL"/>
        </w:rPr>
        <w:t xml:space="preserve"> obydwu świadków zostały odczytane na </w:t>
      </w:r>
      <w:r w:rsidR="00B61CC9">
        <w:rPr>
          <w:rFonts w:eastAsia="Calibri"/>
          <w:lang w:val="pl-PL"/>
        </w:rPr>
        <w:t>rozprawie</w:t>
      </w:r>
      <w:r w:rsidR="008113A5" w:rsidRPr="00246717">
        <w:rPr>
          <w:rFonts w:eastAsia="Calibri"/>
          <w:lang w:val="pl-PL"/>
        </w:rPr>
        <w:t xml:space="preserve">. Ostatecznie sąd </w:t>
      </w:r>
      <w:r w:rsidR="006E7F3D">
        <w:rPr>
          <w:rFonts w:eastAsia="Calibri"/>
          <w:lang w:val="pl-PL"/>
        </w:rPr>
        <w:t>orzekający</w:t>
      </w:r>
      <w:r w:rsidR="008113A5" w:rsidRPr="00246717">
        <w:rPr>
          <w:rFonts w:eastAsia="Calibri"/>
          <w:lang w:val="pl-PL"/>
        </w:rPr>
        <w:t xml:space="preserve"> wykorzystał zeznania </w:t>
      </w:r>
      <w:proofErr w:type="spellStart"/>
      <w:r w:rsidR="008113A5" w:rsidRPr="00246717">
        <w:rPr>
          <w:rFonts w:eastAsia="Calibri"/>
          <w:lang w:val="pl-PL"/>
        </w:rPr>
        <w:t>przedprocesowe</w:t>
      </w:r>
      <w:proofErr w:type="spellEnd"/>
      <w:r w:rsidR="008113A5" w:rsidRPr="00246717">
        <w:rPr>
          <w:rFonts w:eastAsia="Calibri"/>
          <w:lang w:val="pl-PL"/>
        </w:rPr>
        <w:t xml:space="preserve"> świadka V. i zeznania świadka V.</w:t>
      </w:r>
      <w:r w:rsidR="00B61CC9">
        <w:rPr>
          <w:rFonts w:eastAsia="Calibri"/>
          <w:lang w:val="pl-PL"/>
        </w:rPr>
        <w:t> </w:t>
      </w:r>
      <w:r w:rsidR="008113A5" w:rsidRPr="00246717">
        <w:rPr>
          <w:rFonts w:eastAsia="Calibri"/>
          <w:lang w:val="pl-PL"/>
        </w:rPr>
        <w:t xml:space="preserve">złożone na </w:t>
      </w:r>
      <w:r w:rsidR="00B61CC9">
        <w:rPr>
          <w:rFonts w:eastAsia="Calibri"/>
          <w:lang w:val="pl-PL"/>
        </w:rPr>
        <w:t>rozprawie</w:t>
      </w:r>
      <w:r w:rsidR="008113A5" w:rsidRPr="00246717">
        <w:rPr>
          <w:rFonts w:eastAsia="Calibri"/>
          <w:lang w:val="pl-PL"/>
        </w:rPr>
        <w:t>.</w:t>
      </w:r>
      <w:r w:rsidR="008113A5" w:rsidRPr="00246717">
        <w:rPr>
          <w:rFonts w:eastAsia="Calibri"/>
          <w:vertAlign w:val="superscript"/>
          <w:lang w:val="pl-PL"/>
        </w:rPr>
        <w:footnoteReference w:id="154"/>
      </w:r>
    </w:p>
    <w:p w14:paraId="3A372651" w14:textId="20C4DD03" w:rsidR="008113A5" w:rsidRPr="00246717" w:rsidRDefault="00150576" w:rsidP="000957D3">
      <w:pPr>
        <w:pStyle w:val="OpiPara"/>
        <w:rPr>
          <w:rFonts w:ascii="Times New Roman" w:eastAsia="Calibri" w:hAnsi="Times New Roman" w:cs="Times New Roman"/>
          <w:szCs w:val="24"/>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64</w:t>
      </w:r>
      <w:r w:rsidRPr="00246717">
        <w:rPr>
          <w:rFonts w:eastAsia="Calibri"/>
          <w:lang w:val="pl-PL"/>
        </w:rPr>
        <w:fldChar w:fldCharType="end"/>
      </w:r>
      <w:r w:rsidR="008113A5" w:rsidRPr="00246717">
        <w:rPr>
          <w:rFonts w:eastAsia="Calibri"/>
          <w:lang w:val="pl-PL"/>
        </w:rPr>
        <w:t xml:space="preserve">.  Większość składu orzekającego stwierdza, że skarżąca </w:t>
      </w:r>
      <w:r w:rsidR="006E7F3D">
        <w:rPr>
          <w:rFonts w:eastAsia="Calibri"/>
          <w:lang w:val="pl-PL"/>
        </w:rPr>
        <w:t>miała możliwość przeprowadzenia</w:t>
      </w:r>
      <w:r w:rsidR="008113A5" w:rsidRPr="00246717">
        <w:rPr>
          <w:rFonts w:eastAsia="Calibri"/>
          <w:lang w:val="pl-PL"/>
        </w:rPr>
        <w:t xml:space="preserve"> różn</w:t>
      </w:r>
      <w:r w:rsidR="006E7F3D">
        <w:rPr>
          <w:rFonts w:eastAsia="Calibri"/>
          <w:lang w:val="pl-PL"/>
        </w:rPr>
        <w:t>ych</w:t>
      </w:r>
      <w:r w:rsidR="008113A5" w:rsidRPr="00246717">
        <w:rPr>
          <w:rFonts w:eastAsia="Calibri"/>
          <w:lang w:val="pl-PL"/>
        </w:rPr>
        <w:t xml:space="preserve"> </w:t>
      </w:r>
      <w:r w:rsidR="00B25EDE">
        <w:rPr>
          <w:rFonts w:eastAsia="Calibri"/>
          <w:lang w:val="pl-PL"/>
        </w:rPr>
        <w:t>czynności</w:t>
      </w:r>
      <w:r w:rsidR="008113A5" w:rsidRPr="00246717">
        <w:rPr>
          <w:rFonts w:eastAsia="Calibri"/>
          <w:lang w:val="pl-PL"/>
        </w:rPr>
        <w:t xml:space="preserve"> proceduraln</w:t>
      </w:r>
      <w:r w:rsidR="006E7F3D">
        <w:rPr>
          <w:rFonts w:eastAsia="Calibri"/>
          <w:lang w:val="pl-PL"/>
        </w:rPr>
        <w:t>ych</w:t>
      </w:r>
      <w:r w:rsidR="008113A5" w:rsidRPr="00246717">
        <w:rPr>
          <w:rFonts w:eastAsia="Calibri"/>
          <w:lang w:val="pl-PL"/>
        </w:rPr>
        <w:t>, bez powoływania się na ważną kwestię, co znaczyłoby przesłuchanie krzyżowe świadka A.</w:t>
      </w:r>
      <w:r w:rsidR="00B25EDE">
        <w:rPr>
          <w:rFonts w:eastAsia="Calibri"/>
          <w:lang w:val="pl-PL"/>
        </w:rPr>
        <w:t> </w:t>
      </w:r>
      <w:r w:rsidR="008113A5" w:rsidRPr="00246717">
        <w:rPr>
          <w:rFonts w:eastAsia="Calibri"/>
          <w:lang w:val="pl-PL"/>
        </w:rPr>
        <w:t>w</w:t>
      </w:r>
      <w:r w:rsidR="00B25EDE">
        <w:rPr>
          <w:rFonts w:eastAsia="Calibri"/>
          <w:lang w:val="pl-PL"/>
        </w:rPr>
        <w:t> </w:t>
      </w:r>
      <w:r w:rsidR="008113A5" w:rsidRPr="00246717">
        <w:rPr>
          <w:rFonts w:eastAsia="Calibri"/>
          <w:lang w:val="pl-PL"/>
        </w:rPr>
        <w:t xml:space="preserve">najlepszym razie, dla obrony skarżącej. Cel proceduralny konfrontacji nie może zostać osiągnięty poprzez komentowanie zeznań </w:t>
      </w:r>
      <w:proofErr w:type="spellStart"/>
      <w:r w:rsidR="008113A5" w:rsidRPr="00246717">
        <w:rPr>
          <w:rFonts w:eastAsia="Calibri"/>
          <w:lang w:val="pl-PL"/>
        </w:rPr>
        <w:t>przedprocesowych</w:t>
      </w:r>
      <w:proofErr w:type="spellEnd"/>
      <w:r w:rsidR="008113A5" w:rsidRPr="00246717">
        <w:rPr>
          <w:rFonts w:eastAsia="Calibri"/>
          <w:lang w:val="pl-PL"/>
        </w:rPr>
        <w:t xml:space="preserve"> ani na przykład poprzez przesłuchiwanie innych świadków na temat zdarzeń, których A. brał udział, jak twierdzi większość składu orzekającego.</w:t>
      </w:r>
      <w:r w:rsidR="008113A5" w:rsidRPr="00246717">
        <w:rPr>
          <w:rFonts w:eastAsia="Calibri"/>
          <w:vertAlign w:val="superscript"/>
          <w:lang w:val="pl-PL"/>
        </w:rPr>
        <w:footnoteReference w:id="155"/>
      </w:r>
      <w:r w:rsidR="008113A5" w:rsidRPr="00246717">
        <w:rPr>
          <w:rFonts w:eastAsia="Calibri"/>
          <w:lang w:val="pl-PL"/>
        </w:rPr>
        <w:t xml:space="preserve"> Fakt, że inne prawa proceduralne oskarżonej zostały podtrzymane przez sąd, powinien być uznawany za oczywisty, a nie za argument na rzecz obniżenia progu oceny tego, czy sąd naruszył inne prawa oskarżonej. Praw tych nie należy mylić z gwarancjami proceduralnymi w odniesieniu do dowodów, które nie mogły zostać podważone przez oskarżoną. Stosując ten argument większość składu orzekającego, pomimo ich przekonania, że sąd krajowy jest bardziej właściwy niż Trybunał w przedmiocie orzekania o nieodzowności materiału dowodowego, narusza zakaz antycypacji oceny dowodu (</w:t>
      </w:r>
      <w:proofErr w:type="spellStart"/>
      <w:r w:rsidR="008113A5" w:rsidRPr="00246717">
        <w:rPr>
          <w:rFonts w:eastAsia="Calibri"/>
          <w:i/>
          <w:iCs/>
          <w:lang w:val="pl-PL"/>
        </w:rPr>
        <w:t>Verbot</w:t>
      </w:r>
      <w:proofErr w:type="spellEnd"/>
      <w:r w:rsidR="008113A5" w:rsidRPr="00246717">
        <w:rPr>
          <w:rFonts w:eastAsia="Calibri"/>
          <w:i/>
          <w:iCs/>
          <w:lang w:val="pl-PL"/>
        </w:rPr>
        <w:t xml:space="preserve"> der </w:t>
      </w:r>
      <w:proofErr w:type="spellStart"/>
      <w:r w:rsidR="008113A5" w:rsidRPr="00246717">
        <w:rPr>
          <w:rFonts w:eastAsia="Calibri"/>
          <w:i/>
          <w:iCs/>
          <w:lang w:val="pl-PL"/>
        </w:rPr>
        <w:t>Beweisantizipation</w:t>
      </w:r>
      <w:proofErr w:type="spellEnd"/>
      <w:r w:rsidR="008113A5" w:rsidRPr="00246717">
        <w:rPr>
          <w:rFonts w:eastAsia="Calibri"/>
          <w:lang w:val="pl-PL"/>
        </w:rPr>
        <w:t xml:space="preserve">). </w:t>
      </w:r>
      <w:r w:rsidR="009E5DE4" w:rsidRPr="00246717">
        <w:rPr>
          <w:rFonts w:eastAsia="Calibri"/>
          <w:lang w:val="pl-PL"/>
        </w:rPr>
        <w:t>P</w:t>
      </w:r>
      <w:r w:rsidR="009E5DE4">
        <w:rPr>
          <w:rFonts w:eastAsia="Calibri"/>
          <w:lang w:val="pl-PL"/>
        </w:rPr>
        <w:t>rzytaczając</w:t>
      </w:r>
      <w:r w:rsidR="009E5DE4" w:rsidRPr="00246717">
        <w:rPr>
          <w:rFonts w:eastAsia="Calibri"/>
          <w:lang w:val="pl-PL"/>
        </w:rPr>
        <w:t xml:space="preserve"> </w:t>
      </w:r>
      <w:r w:rsidR="008113A5" w:rsidRPr="00246717">
        <w:rPr>
          <w:rFonts w:eastAsia="Calibri"/>
          <w:lang w:val="pl-PL"/>
        </w:rPr>
        <w:t xml:space="preserve">argument, zgodnie z którym skarżąca mogła wykorzystać te lub inne rodzaje dowodów, antycypują oni, że wynik przesłuchania krzyżowego </w:t>
      </w:r>
      <w:r w:rsidR="008113A5" w:rsidRPr="00246717">
        <w:rPr>
          <w:rFonts w:eastAsia="Calibri"/>
          <w:lang w:val="pl-PL"/>
        </w:rPr>
        <w:lastRenderedPageBreak/>
        <w:t>świadka A. nie zmieni treści jego zeznań w</w:t>
      </w:r>
      <w:r w:rsidR="00B25EDE">
        <w:rPr>
          <w:rFonts w:eastAsia="Calibri"/>
          <w:lang w:val="pl-PL"/>
        </w:rPr>
        <w:t> </w:t>
      </w:r>
      <w:r w:rsidR="008113A5" w:rsidRPr="00246717">
        <w:rPr>
          <w:rFonts w:eastAsia="Calibri"/>
          <w:lang w:val="pl-PL"/>
        </w:rPr>
        <w:t xml:space="preserve">odniesieniu do etapu </w:t>
      </w:r>
      <w:proofErr w:type="spellStart"/>
      <w:r w:rsidR="008113A5" w:rsidRPr="00246717">
        <w:rPr>
          <w:rFonts w:eastAsia="Calibri"/>
          <w:lang w:val="pl-PL"/>
        </w:rPr>
        <w:t>przedprocesowego</w:t>
      </w:r>
      <w:proofErr w:type="spellEnd"/>
      <w:r w:rsidR="008113A5" w:rsidRPr="00246717">
        <w:rPr>
          <w:rFonts w:eastAsia="Calibri"/>
          <w:lang w:val="pl-PL"/>
        </w:rPr>
        <w:t>.</w:t>
      </w:r>
    </w:p>
    <w:p w14:paraId="70C5CDBC" w14:textId="77777777" w:rsidR="008113A5" w:rsidRPr="00246717" w:rsidRDefault="008113A5" w:rsidP="000957D3">
      <w:pPr>
        <w:pStyle w:val="OpiHA"/>
        <w:rPr>
          <w:rFonts w:eastAsia="Calibri"/>
          <w:lang w:val="pl-PL"/>
        </w:rPr>
      </w:pPr>
      <w:r w:rsidRPr="00246717">
        <w:rPr>
          <w:rFonts w:eastAsia="Calibri"/>
          <w:lang w:val="pl-PL"/>
        </w:rPr>
        <w:t>Stosowanie norm Konwencji do świadków B. i K.</w:t>
      </w:r>
    </w:p>
    <w:p w14:paraId="6F729D1B" w14:textId="5084B10E"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65</w:t>
      </w:r>
      <w:r w:rsidRPr="00246717">
        <w:rPr>
          <w:rFonts w:eastAsia="Calibri"/>
          <w:lang w:val="pl-PL"/>
        </w:rPr>
        <w:fldChar w:fldCharType="end"/>
      </w:r>
      <w:r w:rsidR="008113A5" w:rsidRPr="00246717">
        <w:rPr>
          <w:rFonts w:eastAsia="Calibri"/>
          <w:lang w:val="pl-PL"/>
        </w:rPr>
        <w:t xml:space="preserve">.  B. i K. byli </w:t>
      </w:r>
      <w:r w:rsidR="009E5DE4">
        <w:rPr>
          <w:rFonts w:eastAsia="Calibri"/>
          <w:lang w:val="pl-PL"/>
        </w:rPr>
        <w:t xml:space="preserve">przybranymi </w:t>
      </w:r>
      <w:r w:rsidR="008113A5" w:rsidRPr="00246717">
        <w:rPr>
          <w:rFonts w:eastAsia="Calibri"/>
          <w:lang w:val="pl-PL"/>
        </w:rPr>
        <w:t xml:space="preserve">świadkami. Co do zasady status </w:t>
      </w:r>
      <w:r w:rsidR="009E5DE4">
        <w:rPr>
          <w:rFonts w:eastAsia="Calibri"/>
          <w:lang w:val="pl-PL"/>
        </w:rPr>
        <w:t>przybranego</w:t>
      </w:r>
      <w:r w:rsidR="009E5DE4" w:rsidRPr="00246717">
        <w:rPr>
          <w:rFonts w:eastAsia="Calibri"/>
          <w:lang w:val="pl-PL"/>
        </w:rPr>
        <w:t xml:space="preserve"> </w:t>
      </w:r>
      <w:r w:rsidR="008113A5" w:rsidRPr="00246717">
        <w:rPr>
          <w:rFonts w:eastAsia="Calibri"/>
          <w:lang w:val="pl-PL"/>
        </w:rPr>
        <w:t>świadka jest problematyczny w świetle Konwencji. Zgodnie z art.</w:t>
      </w:r>
      <w:r w:rsidR="00B25EDE">
        <w:rPr>
          <w:rFonts w:eastAsia="Calibri"/>
          <w:lang w:val="pl-PL"/>
        </w:rPr>
        <w:t> </w:t>
      </w:r>
      <w:r w:rsidR="008113A5" w:rsidRPr="00246717">
        <w:rPr>
          <w:rFonts w:eastAsia="Calibri"/>
          <w:lang w:val="pl-PL"/>
        </w:rPr>
        <w:t xml:space="preserve">60 </w:t>
      </w:r>
      <w:r w:rsidR="00B25EDE">
        <w:rPr>
          <w:rFonts w:eastAsia="Calibri"/>
          <w:lang w:val="pl-PL"/>
        </w:rPr>
        <w:t>k</w:t>
      </w:r>
      <w:r w:rsidR="008113A5" w:rsidRPr="00246717">
        <w:rPr>
          <w:rFonts w:eastAsia="Calibri"/>
          <w:lang w:val="pl-PL"/>
        </w:rPr>
        <w:t xml:space="preserve">odeksu postępowania karnego Federacji Rosyjskiej </w:t>
      </w:r>
      <w:r w:rsidR="009E5DE4">
        <w:rPr>
          <w:rFonts w:eastAsia="Calibri"/>
          <w:lang w:val="pl-PL"/>
        </w:rPr>
        <w:t>przybranym</w:t>
      </w:r>
      <w:r w:rsidR="009E5DE4" w:rsidRPr="00246717">
        <w:rPr>
          <w:rFonts w:eastAsia="Calibri"/>
          <w:lang w:val="pl-PL"/>
        </w:rPr>
        <w:t xml:space="preserve"> świad</w:t>
      </w:r>
      <w:r w:rsidR="009E5DE4">
        <w:rPr>
          <w:rFonts w:eastAsia="Calibri"/>
          <w:lang w:val="pl-PL"/>
        </w:rPr>
        <w:t>kiem</w:t>
      </w:r>
      <w:r w:rsidR="009E5DE4" w:rsidRPr="00246717">
        <w:rPr>
          <w:rFonts w:eastAsia="Calibri"/>
          <w:lang w:val="pl-PL"/>
        </w:rPr>
        <w:t xml:space="preserve"> </w:t>
      </w:r>
      <w:r w:rsidR="008113A5" w:rsidRPr="00246717">
        <w:rPr>
          <w:rFonts w:eastAsia="Calibri"/>
          <w:lang w:val="pl-PL"/>
        </w:rPr>
        <w:t>jest „osob</w:t>
      </w:r>
      <w:r w:rsidR="009E5DE4">
        <w:rPr>
          <w:rFonts w:eastAsia="Calibri"/>
          <w:lang w:val="pl-PL"/>
        </w:rPr>
        <w:t>a</w:t>
      </w:r>
      <w:r w:rsidR="008113A5" w:rsidRPr="00246717">
        <w:rPr>
          <w:rFonts w:eastAsia="Calibri"/>
          <w:lang w:val="pl-PL"/>
        </w:rPr>
        <w:t xml:space="preserve"> niezainteresowan</w:t>
      </w:r>
      <w:r w:rsidR="009E5DE4">
        <w:rPr>
          <w:rFonts w:eastAsia="Calibri"/>
          <w:lang w:val="pl-PL"/>
        </w:rPr>
        <w:t>a</w:t>
      </w:r>
      <w:r w:rsidR="008113A5" w:rsidRPr="00246717">
        <w:rPr>
          <w:rFonts w:eastAsia="Calibri"/>
          <w:lang w:val="pl-PL"/>
        </w:rPr>
        <w:t xml:space="preserve"> wynikiem sprawy karnej”; ma </w:t>
      </w:r>
      <w:r w:rsidR="009E5DE4">
        <w:rPr>
          <w:rFonts w:eastAsia="Calibri"/>
          <w:lang w:val="pl-PL"/>
        </w:rPr>
        <w:t xml:space="preserve">on </w:t>
      </w:r>
      <w:r w:rsidR="008113A5" w:rsidRPr="00246717">
        <w:rPr>
          <w:rFonts w:eastAsia="Calibri"/>
          <w:lang w:val="pl-PL"/>
        </w:rPr>
        <w:t xml:space="preserve">prawo do uczestnictwa w czynnościach </w:t>
      </w:r>
      <w:r w:rsidR="009E5DE4">
        <w:rPr>
          <w:rFonts w:eastAsia="Calibri"/>
          <w:lang w:val="pl-PL"/>
        </w:rPr>
        <w:t>procesowych</w:t>
      </w:r>
      <w:r w:rsidR="008113A5" w:rsidRPr="00246717">
        <w:rPr>
          <w:rFonts w:eastAsia="Calibri"/>
          <w:lang w:val="pl-PL"/>
        </w:rPr>
        <w:t xml:space="preserve"> i </w:t>
      </w:r>
      <w:r w:rsidR="009E5DE4">
        <w:rPr>
          <w:rFonts w:eastAsia="Calibri"/>
          <w:lang w:val="pl-PL"/>
        </w:rPr>
        <w:t>wyrażania stanowiska w ich sprawie</w:t>
      </w:r>
      <w:r w:rsidR="008113A5" w:rsidRPr="00246717">
        <w:rPr>
          <w:rFonts w:eastAsia="Calibri"/>
          <w:lang w:val="pl-PL"/>
        </w:rPr>
        <w:t xml:space="preserve">, </w:t>
      </w:r>
      <w:r w:rsidR="009E5DE4">
        <w:rPr>
          <w:rFonts w:eastAsia="Calibri"/>
          <w:lang w:val="pl-PL"/>
        </w:rPr>
        <w:t>które to stanowisko odnotowuje się w</w:t>
      </w:r>
      <w:r w:rsidR="008113A5" w:rsidRPr="00246717">
        <w:rPr>
          <w:rFonts w:eastAsia="Calibri"/>
          <w:lang w:val="pl-PL"/>
        </w:rPr>
        <w:t xml:space="preserve"> </w:t>
      </w:r>
      <w:r w:rsidR="009E5DE4" w:rsidRPr="00246717">
        <w:rPr>
          <w:rFonts w:eastAsia="Calibri"/>
          <w:lang w:val="pl-PL"/>
        </w:rPr>
        <w:t>protoko</w:t>
      </w:r>
      <w:r w:rsidR="009E5DE4">
        <w:rPr>
          <w:rFonts w:eastAsia="Calibri"/>
          <w:lang w:val="pl-PL"/>
        </w:rPr>
        <w:t>le</w:t>
      </w:r>
      <w:r w:rsidR="008113A5" w:rsidRPr="00246717">
        <w:rPr>
          <w:rFonts w:eastAsia="Calibri"/>
          <w:lang w:val="pl-PL"/>
        </w:rPr>
        <w:t xml:space="preserve">. </w:t>
      </w:r>
      <w:r w:rsidR="009E5DE4">
        <w:rPr>
          <w:rFonts w:eastAsia="Calibri"/>
          <w:lang w:val="pl-PL"/>
        </w:rPr>
        <w:t>Przybrany</w:t>
      </w:r>
      <w:r w:rsidR="009E5DE4" w:rsidRPr="00246717">
        <w:rPr>
          <w:rFonts w:eastAsia="Calibri"/>
          <w:lang w:val="pl-PL"/>
        </w:rPr>
        <w:t xml:space="preserve"> </w:t>
      </w:r>
      <w:r w:rsidR="008113A5" w:rsidRPr="00246717">
        <w:rPr>
          <w:rFonts w:eastAsia="Calibri"/>
          <w:lang w:val="pl-PL"/>
        </w:rPr>
        <w:t xml:space="preserve">świadek ma też prawo </w:t>
      </w:r>
      <w:r w:rsidR="009E5DE4">
        <w:rPr>
          <w:rFonts w:eastAsia="Calibri"/>
          <w:lang w:val="pl-PL"/>
        </w:rPr>
        <w:t>wglądu do</w:t>
      </w:r>
      <w:r w:rsidR="008113A5" w:rsidRPr="00246717">
        <w:rPr>
          <w:rFonts w:eastAsia="Calibri"/>
          <w:lang w:val="pl-PL"/>
        </w:rPr>
        <w:t xml:space="preserve"> </w:t>
      </w:r>
      <w:r w:rsidR="009E5DE4" w:rsidRPr="00246717">
        <w:rPr>
          <w:rFonts w:eastAsia="Calibri"/>
          <w:lang w:val="pl-PL"/>
        </w:rPr>
        <w:t>t</w:t>
      </w:r>
      <w:r w:rsidR="009E5DE4">
        <w:rPr>
          <w:rFonts w:eastAsia="Calibri"/>
          <w:lang w:val="pl-PL"/>
        </w:rPr>
        <w:t>ego</w:t>
      </w:r>
      <w:r w:rsidR="009E5DE4" w:rsidRPr="00246717">
        <w:rPr>
          <w:rFonts w:eastAsia="Calibri"/>
          <w:lang w:val="pl-PL"/>
        </w:rPr>
        <w:t xml:space="preserve"> protokoł</w:t>
      </w:r>
      <w:r w:rsidR="009E5DE4">
        <w:rPr>
          <w:rFonts w:eastAsia="Calibri"/>
          <w:lang w:val="pl-PL"/>
        </w:rPr>
        <w:t>u</w:t>
      </w:r>
      <w:r w:rsidR="008113A5" w:rsidRPr="00246717">
        <w:rPr>
          <w:rFonts w:eastAsia="Calibri"/>
          <w:lang w:val="pl-PL"/>
        </w:rPr>
        <w:t>.</w:t>
      </w:r>
      <w:r w:rsidR="008113A5" w:rsidRPr="00246717">
        <w:rPr>
          <w:rFonts w:eastAsia="Calibri"/>
          <w:vertAlign w:val="superscript"/>
          <w:lang w:val="pl-PL"/>
        </w:rPr>
        <w:footnoteReference w:id="156"/>
      </w:r>
      <w:r w:rsidR="008113A5" w:rsidRPr="00246717">
        <w:rPr>
          <w:rFonts w:eastAsia="Calibri"/>
          <w:lang w:val="pl-PL"/>
        </w:rPr>
        <w:t xml:space="preserve"> Jako że nie ma żadnych wymogów prawnych co do prawnej kwalifikacji </w:t>
      </w:r>
      <w:r w:rsidR="009E5DE4">
        <w:rPr>
          <w:rFonts w:eastAsia="Calibri"/>
          <w:lang w:val="pl-PL"/>
        </w:rPr>
        <w:t>przybranych</w:t>
      </w:r>
      <w:r w:rsidR="009E5DE4" w:rsidRPr="00246717">
        <w:rPr>
          <w:rFonts w:eastAsia="Calibri"/>
          <w:lang w:val="pl-PL"/>
        </w:rPr>
        <w:t xml:space="preserve"> </w:t>
      </w:r>
      <w:r w:rsidR="008113A5" w:rsidRPr="00246717">
        <w:rPr>
          <w:rFonts w:eastAsia="Calibri"/>
          <w:lang w:val="pl-PL"/>
        </w:rPr>
        <w:t xml:space="preserve">świadków, może </w:t>
      </w:r>
      <w:r w:rsidR="00B25EDE">
        <w:rPr>
          <w:rFonts w:eastAsia="Calibri"/>
          <w:lang w:val="pl-PL"/>
        </w:rPr>
        <w:t xml:space="preserve">on </w:t>
      </w:r>
      <w:r w:rsidR="008113A5" w:rsidRPr="00246717">
        <w:rPr>
          <w:rFonts w:eastAsia="Calibri"/>
          <w:lang w:val="pl-PL"/>
        </w:rPr>
        <w:t xml:space="preserve">nie </w:t>
      </w:r>
      <w:r w:rsidR="00B25EDE">
        <w:rPr>
          <w:rFonts w:eastAsia="Calibri"/>
          <w:lang w:val="pl-PL"/>
        </w:rPr>
        <w:t>mieć uprawnień do</w:t>
      </w:r>
      <w:r w:rsidR="008113A5" w:rsidRPr="00246717">
        <w:rPr>
          <w:rFonts w:eastAsia="Calibri"/>
          <w:lang w:val="pl-PL"/>
        </w:rPr>
        <w:t xml:space="preserve"> komentowa</w:t>
      </w:r>
      <w:r w:rsidR="00B25EDE">
        <w:rPr>
          <w:rFonts w:eastAsia="Calibri"/>
          <w:lang w:val="pl-PL"/>
        </w:rPr>
        <w:t>nia</w:t>
      </w:r>
      <w:r w:rsidR="008113A5" w:rsidRPr="00246717">
        <w:rPr>
          <w:rFonts w:eastAsia="Calibri"/>
          <w:lang w:val="pl-PL"/>
        </w:rPr>
        <w:t>, a co dopiero weryfikowa</w:t>
      </w:r>
      <w:r w:rsidR="00B25EDE">
        <w:rPr>
          <w:rFonts w:eastAsia="Calibri"/>
          <w:lang w:val="pl-PL"/>
        </w:rPr>
        <w:t>nia</w:t>
      </w:r>
      <w:r w:rsidR="008113A5" w:rsidRPr="00246717">
        <w:rPr>
          <w:rFonts w:eastAsia="Calibri"/>
          <w:lang w:val="pl-PL"/>
        </w:rPr>
        <w:t xml:space="preserve">, legalności postępowania przyjętego przez śledczego. To ewidentnie pozbawia rolę </w:t>
      </w:r>
      <w:r w:rsidR="009E5DE4">
        <w:rPr>
          <w:rFonts w:eastAsia="Calibri"/>
          <w:lang w:val="pl-PL"/>
        </w:rPr>
        <w:t>przybranego</w:t>
      </w:r>
      <w:r w:rsidR="009E5DE4" w:rsidRPr="00246717">
        <w:rPr>
          <w:rFonts w:eastAsia="Calibri"/>
          <w:lang w:val="pl-PL"/>
        </w:rPr>
        <w:t xml:space="preserve"> </w:t>
      </w:r>
      <w:r w:rsidR="008113A5" w:rsidRPr="00246717">
        <w:rPr>
          <w:rFonts w:eastAsia="Calibri"/>
          <w:lang w:val="pl-PL"/>
        </w:rPr>
        <w:t xml:space="preserve">świadka większości jej znaczenia. Nawet jeśli nie posiada on kwalifikacji prawnej, </w:t>
      </w:r>
      <w:r w:rsidR="00DC7A03">
        <w:rPr>
          <w:rFonts w:eastAsia="Calibri"/>
          <w:lang w:val="pl-PL"/>
        </w:rPr>
        <w:t>przybrany</w:t>
      </w:r>
      <w:r w:rsidR="00DC7A03" w:rsidRPr="00246717">
        <w:rPr>
          <w:rFonts w:eastAsia="Calibri"/>
          <w:lang w:val="pl-PL"/>
        </w:rPr>
        <w:t xml:space="preserve"> </w:t>
      </w:r>
      <w:r w:rsidR="008113A5" w:rsidRPr="00246717">
        <w:rPr>
          <w:rFonts w:eastAsia="Calibri"/>
          <w:lang w:val="pl-PL"/>
        </w:rPr>
        <w:t>świadek w sposób oczywisty nie może zastąpić gwarancji pomocy prawnej przyznanej oskarżonej lub podejrzanym, którym nie postawiono zarzutów, z tego oczywistego powodu, że świadek te</w:t>
      </w:r>
      <w:r w:rsidR="00DC7A03">
        <w:rPr>
          <w:rFonts w:eastAsia="Calibri"/>
          <w:lang w:val="pl-PL"/>
        </w:rPr>
        <w:t>n</w:t>
      </w:r>
      <w:r w:rsidR="008113A5" w:rsidRPr="00246717">
        <w:rPr>
          <w:rFonts w:eastAsia="Calibri"/>
          <w:lang w:val="pl-PL"/>
        </w:rPr>
        <w:t xml:space="preserve"> został wybrany przez śledczego. Ponadto istnieje poważne ryzyko nadużywania tego świadka przez stronę oskarżenia, ponieważ można z łatwością przewidzieć, że śledczy wybierze osoby, które cieszą się jego zaufaniem i które nie będą stwarzać problemów. Ponadto</w:t>
      </w:r>
      <w:r w:rsidR="00DC7A03">
        <w:rPr>
          <w:rFonts w:eastAsia="Calibri"/>
          <w:lang w:val="pl-PL"/>
        </w:rPr>
        <w:t>,</w:t>
      </w:r>
      <w:r w:rsidR="008113A5" w:rsidRPr="00246717">
        <w:rPr>
          <w:rFonts w:eastAsia="Calibri"/>
          <w:lang w:val="pl-PL"/>
        </w:rPr>
        <w:t xml:space="preserve"> kiedy stawia się i jest przesłuchiwany przed sądem </w:t>
      </w:r>
      <w:r w:rsidR="00DC7A03">
        <w:rPr>
          <w:rFonts w:eastAsia="Calibri"/>
          <w:lang w:val="pl-PL"/>
        </w:rPr>
        <w:t>orzekającym</w:t>
      </w:r>
      <w:r w:rsidR="008113A5" w:rsidRPr="00246717">
        <w:rPr>
          <w:rFonts w:eastAsia="Calibri"/>
          <w:lang w:val="pl-PL"/>
        </w:rPr>
        <w:t xml:space="preserve">, </w:t>
      </w:r>
      <w:r w:rsidR="00DC7A03">
        <w:rPr>
          <w:rFonts w:eastAsia="Calibri"/>
          <w:lang w:val="pl-PL"/>
        </w:rPr>
        <w:t>przybrany</w:t>
      </w:r>
      <w:r w:rsidR="00DC7A03" w:rsidRPr="00246717">
        <w:rPr>
          <w:rFonts w:eastAsia="Calibri"/>
          <w:lang w:val="pl-PL"/>
        </w:rPr>
        <w:t xml:space="preserve"> </w:t>
      </w:r>
      <w:r w:rsidR="008113A5" w:rsidRPr="00246717">
        <w:rPr>
          <w:rFonts w:eastAsia="Calibri"/>
          <w:lang w:val="pl-PL"/>
        </w:rPr>
        <w:t xml:space="preserve">świadek może zostać skłoniony do powtórzenia tego, co słyszał od świadków merytorycznych, oskarżonego lub podejrzanego w trakcie czynności na etapie śledztwa. Takie przesłuchanie odpowiadałoby niewłaściwemu użyciu zeznań </w:t>
      </w:r>
      <w:r w:rsidR="00DC7A03">
        <w:rPr>
          <w:rFonts w:eastAsia="Calibri"/>
          <w:lang w:val="pl-PL"/>
        </w:rPr>
        <w:t>przybranego</w:t>
      </w:r>
      <w:r w:rsidR="00DC7A03" w:rsidRPr="00246717">
        <w:rPr>
          <w:rFonts w:eastAsia="Calibri"/>
          <w:lang w:val="pl-PL"/>
        </w:rPr>
        <w:t xml:space="preserve"> </w:t>
      </w:r>
      <w:r w:rsidR="008113A5" w:rsidRPr="00246717">
        <w:rPr>
          <w:rFonts w:eastAsia="Calibri"/>
          <w:lang w:val="pl-PL"/>
        </w:rPr>
        <w:t>świadka jako świadka</w:t>
      </w:r>
      <w:r w:rsidR="00DC7A03">
        <w:rPr>
          <w:rFonts w:eastAsia="Calibri"/>
          <w:lang w:val="pl-PL"/>
        </w:rPr>
        <w:t xml:space="preserve">, który na rozprawie składa zeznania </w:t>
      </w:r>
      <w:r w:rsidR="008113A5" w:rsidRPr="00246717">
        <w:rPr>
          <w:rFonts w:eastAsia="Calibri"/>
          <w:lang w:val="pl-PL"/>
        </w:rPr>
        <w:t xml:space="preserve">ze słyszenia. W celu zastosowania się do zakazu dowodów ze słyszenia, przesłuchanie </w:t>
      </w:r>
      <w:r w:rsidR="00DC7A03">
        <w:rPr>
          <w:rFonts w:eastAsia="Calibri"/>
          <w:lang w:val="pl-PL"/>
        </w:rPr>
        <w:t>przybranych</w:t>
      </w:r>
      <w:r w:rsidR="00DC7A03" w:rsidRPr="00246717">
        <w:rPr>
          <w:rFonts w:eastAsia="Calibri"/>
          <w:lang w:val="pl-PL"/>
        </w:rPr>
        <w:t xml:space="preserve"> </w:t>
      </w:r>
      <w:r w:rsidR="008113A5" w:rsidRPr="00246717">
        <w:rPr>
          <w:rFonts w:eastAsia="Calibri"/>
          <w:lang w:val="pl-PL"/>
        </w:rPr>
        <w:t>świadków ograniczałoby się do okoliczności w kontekście czynności prowadzonych w</w:t>
      </w:r>
      <w:r w:rsidR="00B25EDE">
        <w:rPr>
          <w:rFonts w:eastAsia="Calibri"/>
          <w:lang w:val="pl-PL"/>
        </w:rPr>
        <w:t> </w:t>
      </w:r>
      <w:r w:rsidR="008113A5" w:rsidRPr="00246717">
        <w:rPr>
          <w:rFonts w:eastAsia="Calibri"/>
          <w:lang w:val="pl-PL"/>
        </w:rPr>
        <w:t>toku postępowania wyjaśniającego i jego przeprowadzenia. Wreszcie Trybunał już sam orzekł, że nieobecność zaświadczających świadków w</w:t>
      </w:r>
      <w:r w:rsidR="00B25EDE">
        <w:rPr>
          <w:rFonts w:eastAsia="Calibri"/>
          <w:lang w:val="pl-PL"/>
        </w:rPr>
        <w:t> </w:t>
      </w:r>
      <w:r w:rsidR="008113A5" w:rsidRPr="00246717">
        <w:rPr>
          <w:rFonts w:eastAsia="Calibri"/>
          <w:lang w:val="pl-PL"/>
        </w:rPr>
        <w:t>sądzie nie narusza art.</w:t>
      </w:r>
      <w:r w:rsidR="00B25EDE">
        <w:rPr>
          <w:rFonts w:eastAsia="Calibri"/>
          <w:lang w:val="pl-PL"/>
        </w:rPr>
        <w:t> </w:t>
      </w:r>
      <w:r w:rsidR="008113A5" w:rsidRPr="00246717">
        <w:rPr>
          <w:rFonts w:eastAsia="Calibri"/>
          <w:lang w:val="pl-PL"/>
        </w:rPr>
        <w:t>6 ust.</w:t>
      </w:r>
      <w:r w:rsidR="00B25EDE">
        <w:rPr>
          <w:rFonts w:eastAsia="Calibri"/>
          <w:lang w:val="pl-PL"/>
        </w:rPr>
        <w:t> </w:t>
      </w:r>
      <w:r w:rsidR="008113A5" w:rsidRPr="00246717">
        <w:rPr>
          <w:rFonts w:eastAsia="Calibri"/>
          <w:lang w:val="pl-PL"/>
        </w:rPr>
        <w:t>1 i 3 lit.</w:t>
      </w:r>
      <w:r w:rsidR="00B25EDE">
        <w:rPr>
          <w:rFonts w:eastAsia="Calibri"/>
          <w:lang w:val="pl-PL"/>
        </w:rPr>
        <w:t> </w:t>
      </w:r>
      <w:r w:rsidR="008113A5" w:rsidRPr="00246717">
        <w:rPr>
          <w:rFonts w:eastAsia="Calibri"/>
          <w:lang w:val="pl-PL"/>
        </w:rPr>
        <w:t xml:space="preserve">d Konwencji, ponieważ „wydaje się, że wkład </w:t>
      </w:r>
      <w:r w:rsidR="00DC7A03">
        <w:rPr>
          <w:rFonts w:eastAsia="Calibri"/>
          <w:lang w:val="pl-PL"/>
        </w:rPr>
        <w:t>przybranych</w:t>
      </w:r>
      <w:r w:rsidR="00DC7A03" w:rsidRPr="00246717">
        <w:rPr>
          <w:rFonts w:eastAsia="Calibri"/>
          <w:lang w:val="pl-PL"/>
        </w:rPr>
        <w:t xml:space="preserve"> </w:t>
      </w:r>
      <w:r w:rsidR="008113A5" w:rsidRPr="00246717">
        <w:rPr>
          <w:rFonts w:eastAsia="Calibri"/>
          <w:lang w:val="pl-PL"/>
        </w:rPr>
        <w:t>świadków w postępowanie ograniczał się do zeznań dotyczących sposobu przeprowadzenia środków dowodowych” i „ich zeznania nie posłużyły w istotnym stopniu za podstawę dla wydania wyroków skazujących skarżących”.</w:t>
      </w:r>
      <w:r w:rsidR="008113A5" w:rsidRPr="00246717">
        <w:rPr>
          <w:rFonts w:eastAsia="Calibri"/>
          <w:vertAlign w:val="superscript"/>
          <w:lang w:val="pl-PL"/>
        </w:rPr>
        <w:footnoteReference w:id="157"/>
      </w:r>
    </w:p>
    <w:p w14:paraId="1B01FFBC" w14:textId="2C3215AD"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66</w:t>
      </w:r>
      <w:r w:rsidRPr="00246717">
        <w:rPr>
          <w:rFonts w:eastAsia="Calibri"/>
          <w:lang w:val="pl-PL"/>
        </w:rPr>
        <w:fldChar w:fldCharType="end"/>
      </w:r>
      <w:r w:rsidR="008113A5" w:rsidRPr="00246717">
        <w:rPr>
          <w:rFonts w:eastAsia="Calibri"/>
          <w:lang w:val="pl-PL"/>
        </w:rPr>
        <w:t xml:space="preserve">.  W rozpoznawanej sprawie </w:t>
      </w:r>
      <w:r w:rsidR="00DC7A03">
        <w:rPr>
          <w:rFonts w:eastAsia="Calibri"/>
          <w:lang w:val="pl-PL"/>
        </w:rPr>
        <w:t>przybrani</w:t>
      </w:r>
      <w:r w:rsidR="00DC7A03" w:rsidRPr="00246717">
        <w:rPr>
          <w:rFonts w:eastAsia="Calibri"/>
          <w:lang w:val="pl-PL"/>
        </w:rPr>
        <w:t xml:space="preserve"> </w:t>
      </w:r>
      <w:r w:rsidR="008113A5" w:rsidRPr="00246717">
        <w:rPr>
          <w:rFonts w:eastAsia="Calibri"/>
          <w:lang w:val="pl-PL"/>
        </w:rPr>
        <w:t xml:space="preserve">świadkowie B. i K. zostali poproszeni o obecność przy przeszukaniu torebki skarżącej. Kryteria </w:t>
      </w:r>
      <w:r w:rsidR="008113A5" w:rsidRPr="00246717">
        <w:rPr>
          <w:rFonts w:eastAsia="Calibri"/>
          <w:lang w:val="pl-PL"/>
        </w:rPr>
        <w:lastRenderedPageBreak/>
        <w:t>wezwania tych określonych osób są nieznane, podobnie jak ich kwalifikacje do tego celu i to, czy złożyli przysięgę. Nie zostali przesłuchani na etapie postępowania przygotowawczego i nie przeprowadzono między nimi a</w:t>
      </w:r>
      <w:r w:rsidR="00B25EDE">
        <w:rPr>
          <w:rFonts w:eastAsia="Calibri"/>
          <w:lang w:val="pl-PL"/>
        </w:rPr>
        <w:t> </w:t>
      </w:r>
      <w:r w:rsidR="008113A5" w:rsidRPr="00246717">
        <w:rPr>
          <w:rFonts w:eastAsia="Calibri"/>
          <w:lang w:val="pl-PL"/>
        </w:rPr>
        <w:t xml:space="preserve">skarżącą żadnej konfrontacji. W odpowiednim czasie obrońcy wnieśli o ich stawiennictwo na </w:t>
      </w:r>
      <w:r w:rsidR="00B25EDE">
        <w:rPr>
          <w:rFonts w:eastAsia="Calibri"/>
          <w:lang w:val="pl-PL"/>
        </w:rPr>
        <w:t>rozprawie</w:t>
      </w:r>
      <w:r w:rsidR="008113A5" w:rsidRPr="00246717">
        <w:rPr>
          <w:rFonts w:eastAsia="Calibri"/>
          <w:lang w:val="pl-PL"/>
        </w:rPr>
        <w:t xml:space="preserve"> w celu ustalenia dokładnych okoliczności przeszukania torebki skarżącej. Skarżąca nie nalegała na przesłuchanie tych świadków, ale uwzględniła wniosek p</w:t>
      </w:r>
      <w:r w:rsidR="00B25EDE">
        <w:rPr>
          <w:rFonts w:eastAsia="Calibri"/>
          <w:lang w:val="pl-PL"/>
        </w:rPr>
        <w:t>ełnomocników</w:t>
      </w:r>
      <w:r w:rsidR="008113A5" w:rsidRPr="00246717">
        <w:rPr>
          <w:rFonts w:eastAsia="Calibri"/>
          <w:lang w:val="pl-PL"/>
        </w:rPr>
        <w:t>, którzy twierdzili, że przesłuchanie jest konieczne.</w:t>
      </w:r>
      <w:r w:rsidR="008113A5" w:rsidRPr="00246717">
        <w:rPr>
          <w:rFonts w:eastAsia="Calibri"/>
          <w:vertAlign w:val="superscript"/>
          <w:lang w:val="pl-PL"/>
        </w:rPr>
        <w:footnoteReference w:id="158"/>
      </w:r>
      <w:r w:rsidR="008113A5" w:rsidRPr="00246717">
        <w:rPr>
          <w:rFonts w:eastAsia="Calibri"/>
          <w:lang w:val="pl-PL"/>
        </w:rPr>
        <w:t xml:space="preserve"> Bez jakiegokolwiek uzasadnienia sąd </w:t>
      </w:r>
      <w:r w:rsidR="00DC7A03">
        <w:rPr>
          <w:rFonts w:eastAsia="Calibri"/>
          <w:lang w:val="pl-PL"/>
        </w:rPr>
        <w:t>orzekający</w:t>
      </w:r>
      <w:r w:rsidR="008113A5" w:rsidRPr="00246717">
        <w:rPr>
          <w:rFonts w:eastAsia="Calibri"/>
          <w:lang w:val="pl-PL"/>
        </w:rPr>
        <w:t xml:space="preserve"> oddalił wniosek obrony. W swoim wyroku sąd </w:t>
      </w:r>
      <w:r w:rsidR="00DC7A03">
        <w:rPr>
          <w:rFonts w:eastAsia="Calibri"/>
          <w:lang w:val="pl-PL"/>
        </w:rPr>
        <w:t>orzekający</w:t>
      </w:r>
      <w:r w:rsidR="008113A5" w:rsidRPr="00246717">
        <w:rPr>
          <w:rFonts w:eastAsia="Calibri"/>
          <w:lang w:val="pl-PL"/>
        </w:rPr>
        <w:t xml:space="preserve"> nie wspomniał o świadkach B. i K., a jedynie powołał się na zeznanie funkcjonariuszy z patrolu i funkcjonariuszy na posterunku policji, którzy zaprzeczyli z</w:t>
      </w:r>
      <w:r w:rsidR="00DC7A03">
        <w:rPr>
          <w:rFonts w:eastAsia="Calibri"/>
          <w:lang w:val="pl-PL"/>
        </w:rPr>
        <w:t>a</w:t>
      </w:r>
      <w:r w:rsidR="008113A5" w:rsidRPr="00246717">
        <w:rPr>
          <w:rFonts w:eastAsia="Calibri"/>
          <w:lang w:val="pl-PL"/>
        </w:rPr>
        <w:t xml:space="preserve">rzutowi, zgodnie z którym materiały wybuchowe zostały podrzucone do torebki skarżącej i oficjalnemu </w:t>
      </w:r>
      <w:r w:rsidR="00DC7A03">
        <w:rPr>
          <w:rFonts w:eastAsia="Calibri"/>
          <w:lang w:val="pl-PL"/>
        </w:rPr>
        <w:t>protokołowi</w:t>
      </w:r>
      <w:r w:rsidR="008113A5" w:rsidRPr="00246717">
        <w:rPr>
          <w:rFonts w:eastAsia="Calibri"/>
          <w:lang w:val="pl-PL"/>
        </w:rPr>
        <w:t>, zgodnie z którym przeszukanie skarżącej zostało poprzedzone pobraniem od niej odcisków palców.</w:t>
      </w:r>
      <w:r w:rsidR="008113A5" w:rsidRPr="00246717">
        <w:rPr>
          <w:rFonts w:eastAsia="Calibri"/>
          <w:vertAlign w:val="superscript"/>
          <w:lang w:val="pl-PL"/>
        </w:rPr>
        <w:footnoteReference w:id="159"/>
      </w:r>
      <w:r w:rsidR="008113A5" w:rsidRPr="00246717">
        <w:rPr>
          <w:rFonts w:eastAsia="Calibri"/>
          <w:lang w:val="pl-PL"/>
        </w:rPr>
        <w:t xml:space="preserve"> Sąd Najwyższy nie uznał wniosku obrony za </w:t>
      </w:r>
      <w:r w:rsidR="00DC7A03">
        <w:rPr>
          <w:rFonts w:eastAsia="Calibri"/>
          <w:lang w:val="pl-PL"/>
        </w:rPr>
        <w:t>bezzasadny</w:t>
      </w:r>
      <w:r w:rsidR="008113A5" w:rsidRPr="00246717">
        <w:rPr>
          <w:rFonts w:eastAsia="Calibri"/>
          <w:lang w:val="pl-PL"/>
        </w:rPr>
        <w:t xml:space="preserve"> </w:t>
      </w:r>
      <w:r w:rsidR="00DC7A03">
        <w:rPr>
          <w:rFonts w:eastAsia="Calibri"/>
          <w:lang w:val="pl-PL"/>
        </w:rPr>
        <w:t>czy</w:t>
      </w:r>
      <w:r w:rsidR="00DC7A03" w:rsidRPr="00246717">
        <w:rPr>
          <w:rFonts w:eastAsia="Calibri"/>
          <w:lang w:val="pl-PL"/>
        </w:rPr>
        <w:t xml:space="preserve"> nieu</w:t>
      </w:r>
      <w:r w:rsidR="00DC7A03">
        <w:rPr>
          <w:rFonts w:eastAsia="Calibri"/>
          <w:lang w:val="pl-PL"/>
        </w:rPr>
        <w:t>zasadniony</w:t>
      </w:r>
      <w:r w:rsidR="008113A5" w:rsidRPr="00246717">
        <w:rPr>
          <w:rFonts w:eastAsia="Calibri"/>
          <w:lang w:val="pl-PL"/>
        </w:rPr>
        <w:t xml:space="preserve">, ale twierdził, że stawiennictwo </w:t>
      </w:r>
      <w:r w:rsidR="00DC7A03">
        <w:rPr>
          <w:rFonts w:eastAsia="Calibri"/>
          <w:lang w:val="pl-PL"/>
        </w:rPr>
        <w:t>przybranych</w:t>
      </w:r>
      <w:r w:rsidR="00DC7A03" w:rsidRPr="00246717">
        <w:rPr>
          <w:rFonts w:eastAsia="Calibri"/>
          <w:lang w:val="pl-PL"/>
        </w:rPr>
        <w:t xml:space="preserve"> </w:t>
      </w:r>
      <w:r w:rsidR="008113A5" w:rsidRPr="00246717">
        <w:rPr>
          <w:rFonts w:eastAsia="Calibri"/>
          <w:lang w:val="pl-PL"/>
        </w:rPr>
        <w:t>świadków B. i K. nie było konieczne, ponieważ skarżąca uważała, że materiały wybuchowe zostały podrzucone do jej torebki przed ich przybyciem.</w:t>
      </w:r>
      <w:r w:rsidR="008113A5" w:rsidRPr="00246717">
        <w:rPr>
          <w:rFonts w:eastAsia="Calibri"/>
          <w:vertAlign w:val="superscript"/>
          <w:lang w:val="pl-PL"/>
        </w:rPr>
        <w:footnoteReference w:id="160"/>
      </w:r>
      <w:r w:rsidR="008113A5" w:rsidRPr="00246717">
        <w:rPr>
          <w:rFonts w:eastAsia="Calibri"/>
          <w:lang w:val="pl-PL"/>
        </w:rPr>
        <w:t xml:space="preserve"> Podobnie jak Rząd,</w:t>
      </w:r>
      <w:r w:rsidR="008113A5" w:rsidRPr="00246717">
        <w:rPr>
          <w:rFonts w:eastAsia="Calibri"/>
          <w:vertAlign w:val="superscript"/>
          <w:lang w:val="pl-PL"/>
        </w:rPr>
        <w:footnoteReference w:id="161"/>
      </w:r>
      <w:r w:rsidR="008113A5" w:rsidRPr="00246717">
        <w:rPr>
          <w:rFonts w:eastAsia="Calibri"/>
          <w:lang w:val="pl-PL"/>
        </w:rPr>
        <w:t xml:space="preserve"> rosyjskie sądy przesądziły o </w:t>
      </w:r>
      <w:r w:rsidR="00DC7A03">
        <w:rPr>
          <w:rFonts w:eastAsia="Calibri"/>
          <w:lang w:val="pl-PL"/>
        </w:rPr>
        <w:t>wnioskowanym</w:t>
      </w:r>
      <w:r w:rsidR="00DC7A03" w:rsidRPr="00246717">
        <w:rPr>
          <w:rFonts w:eastAsia="Calibri"/>
          <w:lang w:val="pl-PL"/>
        </w:rPr>
        <w:t xml:space="preserve"> </w:t>
      </w:r>
      <w:r w:rsidR="008113A5" w:rsidRPr="00246717">
        <w:rPr>
          <w:rFonts w:eastAsia="Calibri"/>
          <w:lang w:val="pl-PL"/>
        </w:rPr>
        <w:t>zeznaniu świadków twierdząc, że w żadnym razie nie byliby oni w stanie dostarczyć jakichkolwiek dowodów wykraczających poza dowody już dostępne sądom.</w:t>
      </w:r>
      <w:r w:rsidR="008113A5" w:rsidRPr="00246717">
        <w:rPr>
          <w:rFonts w:eastAsia="Calibri"/>
          <w:vertAlign w:val="superscript"/>
          <w:lang w:val="pl-PL"/>
        </w:rPr>
        <w:footnoteReference w:id="162"/>
      </w:r>
    </w:p>
    <w:p w14:paraId="36BC8A91" w14:textId="0CB6E36F" w:rsidR="00FA55DF"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67</w:t>
      </w:r>
      <w:r w:rsidRPr="00246717">
        <w:rPr>
          <w:rFonts w:eastAsia="Calibri"/>
          <w:lang w:val="pl-PL"/>
        </w:rPr>
        <w:fldChar w:fldCharType="end"/>
      </w:r>
      <w:r w:rsidR="008113A5" w:rsidRPr="00246717">
        <w:rPr>
          <w:rFonts w:eastAsia="Calibri"/>
          <w:lang w:val="pl-PL"/>
        </w:rPr>
        <w:t>.  </w:t>
      </w:r>
      <w:r w:rsidR="00DC7A03">
        <w:rPr>
          <w:rFonts w:eastAsia="Calibri"/>
          <w:lang w:val="pl-PL"/>
        </w:rPr>
        <w:t>Wbrew temu</w:t>
      </w:r>
      <w:r w:rsidR="008113A5" w:rsidRPr="00246717">
        <w:rPr>
          <w:rFonts w:eastAsia="Calibri"/>
          <w:lang w:val="pl-PL"/>
        </w:rPr>
        <w:t>, co twierdzi większość składu orzekającego</w:t>
      </w:r>
      <w:r w:rsidR="008113A5" w:rsidRPr="00246717">
        <w:rPr>
          <w:rFonts w:eastAsia="Calibri"/>
          <w:vertAlign w:val="superscript"/>
          <w:lang w:val="pl-PL"/>
        </w:rPr>
        <w:footnoteReference w:id="163"/>
      </w:r>
      <w:r w:rsidR="008113A5" w:rsidRPr="00246717">
        <w:rPr>
          <w:rFonts w:eastAsia="Calibri"/>
          <w:lang w:val="pl-PL"/>
        </w:rPr>
        <w:t xml:space="preserve"> nieprawdą jest, jakoby wniosek obrony o przesłuchanie świadków B. i K. w trakcie procesu „nie zawierał żadnych konkretnych argumentów faktycznych lub prawnych”: zawierał </w:t>
      </w:r>
      <w:r w:rsidR="00DC7A03" w:rsidRPr="00246717">
        <w:rPr>
          <w:rFonts w:eastAsia="Calibri"/>
          <w:lang w:val="pl-PL"/>
        </w:rPr>
        <w:t>p</w:t>
      </w:r>
      <w:r w:rsidR="00DC7A03">
        <w:rPr>
          <w:rFonts w:eastAsia="Calibri"/>
          <w:lang w:val="pl-PL"/>
        </w:rPr>
        <w:t>odstawę</w:t>
      </w:r>
      <w:r w:rsidR="00DC7A03" w:rsidRPr="00246717">
        <w:rPr>
          <w:rFonts w:eastAsia="Calibri"/>
          <w:lang w:val="pl-PL"/>
        </w:rPr>
        <w:t xml:space="preserve"> </w:t>
      </w:r>
      <w:r w:rsidR="008113A5" w:rsidRPr="00246717">
        <w:rPr>
          <w:rFonts w:eastAsia="Calibri"/>
          <w:lang w:val="pl-PL"/>
        </w:rPr>
        <w:t>faktyczn</w:t>
      </w:r>
      <w:r w:rsidR="00DC7A03">
        <w:rPr>
          <w:rFonts w:eastAsia="Calibri"/>
          <w:lang w:val="pl-PL"/>
        </w:rPr>
        <w:t>ą</w:t>
      </w:r>
      <w:r w:rsidR="008113A5" w:rsidRPr="00246717">
        <w:rPr>
          <w:rFonts w:eastAsia="Calibri"/>
          <w:lang w:val="pl-PL"/>
        </w:rPr>
        <w:t xml:space="preserve"> przesłuchania (dokładne okoliczności przeszukania) oraz cel prawny (ustalenie, czy materiały wybuchowe zostały podrzucone do torebki skarżącej)</w:t>
      </w:r>
      <w:r w:rsidR="008113A5" w:rsidRPr="00246717">
        <w:rPr>
          <w:rStyle w:val="Odwoanieprzypisudolnego"/>
          <w:rFonts w:eastAsia="Calibri"/>
          <w:szCs w:val="24"/>
          <w:lang w:val="pl-PL"/>
        </w:rPr>
        <w:footnoteReference w:id="164"/>
      </w:r>
      <w:r w:rsidR="008113A5" w:rsidRPr="00246717">
        <w:rPr>
          <w:rFonts w:eastAsia="Calibri"/>
          <w:lang w:val="pl-PL"/>
        </w:rPr>
        <w:t>. Ponadto</w:t>
      </w:r>
      <w:r w:rsidR="002336CD">
        <w:rPr>
          <w:rFonts w:eastAsia="Calibri"/>
          <w:lang w:val="pl-PL"/>
        </w:rPr>
        <w:t>,</w:t>
      </w:r>
      <w:r w:rsidR="008113A5" w:rsidRPr="00246717">
        <w:rPr>
          <w:rFonts w:eastAsia="Calibri"/>
          <w:lang w:val="pl-PL"/>
        </w:rPr>
        <w:t xml:space="preserve"> wnosząc o stawiennictwo świadków obrony, obrona nie musiała „uzasadniać konkretnie”, w jaki sposób ich zeznanie miałoby pomóc stanowisku obrony.</w:t>
      </w:r>
      <w:r w:rsidR="008113A5" w:rsidRPr="00246717">
        <w:rPr>
          <w:rFonts w:eastAsia="Calibri"/>
          <w:vertAlign w:val="superscript"/>
          <w:lang w:val="pl-PL"/>
        </w:rPr>
        <w:footnoteReference w:id="165"/>
      </w:r>
      <w:r w:rsidR="008113A5" w:rsidRPr="00246717">
        <w:rPr>
          <w:rFonts w:eastAsia="Calibri"/>
          <w:lang w:val="pl-PL"/>
        </w:rPr>
        <w:t xml:space="preserve"> Takie uzasadnienie byłoby równoważne ze zwróceniem się do obrony o ujawnienie jej strategii procesowej i</w:t>
      </w:r>
      <w:r w:rsidR="008A01F5">
        <w:rPr>
          <w:rFonts w:eastAsia="Calibri"/>
          <w:lang w:val="pl-PL"/>
        </w:rPr>
        <w:t> </w:t>
      </w:r>
      <w:r w:rsidR="008113A5" w:rsidRPr="00246717">
        <w:rPr>
          <w:rFonts w:eastAsia="Calibri"/>
          <w:lang w:val="pl-PL"/>
        </w:rPr>
        <w:t>w</w:t>
      </w:r>
      <w:r w:rsidR="008A01F5">
        <w:rPr>
          <w:rFonts w:eastAsia="Calibri"/>
          <w:lang w:val="pl-PL"/>
        </w:rPr>
        <w:t> </w:t>
      </w:r>
      <w:r w:rsidR="008113A5" w:rsidRPr="00246717">
        <w:rPr>
          <w:rFonts w:eastAsia="Calibri"/>
          <w:lang w:val="pl-PL"/>
        </w:rPr>
        <w:t>szczególności jej strategii przesłuchiwania. Co jeszcze bardziej niepokojące, żadnego takiego wyjaśnienia nie zażądano od oskarżenia.</w:t>
      </w:r>
      <w:r w:rsidR="008113A5" w:rsidRPr="00246717">
        <w:rPr>
          <w:rFonts w:eastAsia="Calibri"/>
          <w:vertAlign w:val="superscript"/>
          <w:lang w:val="pl-PL"/>
        </w:rPr>
        <w:footnoteReference w:id="166"/>
      </w:r>
      <w:r w:rsidR="008113A5" w:rsidRPr="00246717">
        <w:rPr>
          <w:rFonts w:eastAsia="Calibri"/>
          <w:lang w:val="pl-PL"/>
        </w:rPr>
        <w:t xml:space="preserve"> Jest ewidentne, że większość </w:t>
      </w:r>
      <w:r w:rsidR="008113A5" w:rsidRPr="00246717">
        <w:rPr>
          <w:rFonts w:eastAsia="Calibri"/>
          <w:lang w:val="pl-PL"/>
        </w:rPr>
        <w:lastRenderedPageBreak/>
        <w:t>składu orzekającego żąda od obrony o wiele więcej, niż wymaga od oskarżenia. Ostatecznie większość składu orzekającego przeczy samej sobie, ponieważ przyznaje, że na podstawie samego wniosku obrony zeznanie zaświadczających świadków „wykraczałoby poza zwykłe zasady przeszukania i informacji następnie wprowadzonych do protokołu policyjnego”,</w:t>
      </w:r>
      <w:r w:rsidR="008113A5" w:rsidRPr="00246717">
        <w:rPr>
          <w:rFonts w:eastAsia="Calibri"/>
          <w:vertAlign w:val="superscript"/>
          <w:lang w:val="pl-PL"/>
        </w:rPr>
        <w:footnoteReference w:id="167"/>
      </w:r>
      <w:r w:rsidR="008113A5" w:rsidRPr="00246717">
        <w:rPr>
          <w:rFonts w:eastAsia="Calibri"/>
          <w:lang w:val="pl-PL"/>
        </w:rPr>
        <w:t xml:space="preserve"> a zatem uznaje ich znaczenie jako świadków obrony; zarazem jednak twierdzi, że „wymagane byłyby dalsze powody przesłuchiwania tych świadków”.</w:t>
      </w:r>
      <w:r w:rsidR="008113A5" w:rsidRPr="00246717">
        <w:rPr>
          <w:rFonts w:eastAsia="Calibri"/>
          <w:vertAlign w:val="superscript"/>
          <w:lang w:val="pl-PL"/>
        </w:rPr>
        <w:footnoteReference w:id="168"/>
      </w:r>
    </w:p>
    <w:p w14:paraId="7A1CAA26" w14:textId="529A7AC5" w:rsidR="008113A5" w:rsidRPr="00246717" w:rsidRDefault="00150576" w:rsidP="000957D3">
      <w:pPr>
        <w:pStyle w:val="OpiPara"/>
        <w:rPr>
          <w:rFonts w:eastAsia="Calibri"/>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68</w:t>
      </w:r>
      <w:r w:rsidRPr="00246717">
        <w:rPr>
          <w:rFonts w:eastAsia="Calibri"/>
          <w:lang w:val="pl-PL"/>
        </w:rPr>
        <w:fldChar w:fldCharType="end"/>
      </w:r>
      <w:r w:rsidR="008113A5" w:rsidRPr="00246717">
        <w:rPr>
          <w:rFonts w:eastAsia="Calibri"/>
          <w:lang w:val="pl-PL"/>
        </w:rPr>
        <w:t>.  </w:t>
      </w:r>
      <w:r w:rsidR="00DC7A03">
        <w:rPr>
          <w:rFonts w:eastAsia="Calibri"/>
          <w:lang w:val="pl-PL"/>
        </w:rPr>
        <w:t>Niejednomyślne stanowisko</w:t>
      </w:r>
      <w:r w:rsidR="008113A5" w:rsidRPr="00246717">
        <w:rPr>
          <w:rFonts w:eastAsia="Calibri"/>
          <w:lang w:val="pl-PL"/>
        </w:rPr>
        <w:t xml:space="preserve"> większości składu orzekającego staje się </w:t>
      </w:r>
      <w:r w:rsidR="00DC7A03">
        <w:rPr>
          <w:rFonts w:eastAsia="Calibri"/>
          <w:lang w:val="pl-PL"/>
        </w:rPr>
        <w:t xml:space="preserve">tym </w:t>
      </w:r>
      <w:r w:rsidR="008113A5" w:rsidRPr="00246717">
        <w:rPr>
          <w:rFonts w:eastAsia="Calibri"/>
          <w:lang w:val="pl-PL"/>
        </w:rPr>
        <w:t>bardziej wątpliwe, kiedy w celu uzasadnienia niestawiennictwa świadków B.</w:t>
      </w:r>
      <w:r w:rsidR="008A01F5">
        <w:rPr>
          <w:rFonts w:eastAsia="Calibri"/>
          <w:lang w:val="pl-PL"/>
        </w:rPr>
        <w:t> </w:t>
      </w:r>
      <w:r w:rsidR="008113A5" w:rsidRPr="00246717">
        <w:rPr>
          <w:rFonts w:eastAsia="Calibri"/>
          <w:lang w:val="pl-PL"/>
        </w:rPr>
        <w:t>i K. podejmują się otwartej krytyki strategii obrony, dwukrotnie wytykając „ogólną bierność” obrony</w:t>
      </w:r>
      <w:r w:rsidR="008113A5" w:rsidRPr="00246717">
        <w:rPr>
          <w:rFonts w:eastAsia="Calibri"/>
          <w:vertAlign w:val="superscript"/>
          <w:lang w:val="pl-PL"/>
        </w:rPr>
        <w:footnoteReference w:id="169"/>
      </w:r>
      <w:r w:rsidR="008113A5" w:rsidRPr="00246717">
        <w:rPr>
          <w:rFonts w:eastAsia="Calibri"/>
          <w:lang w:val="pl-PL"/>
        </w:rPr>
        <w:t xml:space="preserve"> podczas przesłuchiwania funkcjonariuszy policji. Taka zajadła krytyka, która znacznie wykracza </w:t>
      </w:r>
      <w:r w:rsidR="008113A5" w:rsidRPr="00246717">
        <w:rPr>
          <w:rFonts w:eastAsia="Calibri"/>
          <w:i/>
          <w:iCs/>
          <w:lang w:val="pl-PL"/>
        </w:rPr>
        <w:t xml:space="preserve">prima facie </w:t>
      </w:r>
      <w:r w:rsidR="008113A5" w:rsidRPr="00246717">
        <w:rPr>
          <w:rFonts w:eastAsia="Calibri"/>
          <w:lang w:val="pl-PL"/>
        </w:rPr>
        <w:t xml:space="preserve">poza test istotności, jest nie do przyjęcia. Przy dokonywaniu oceny wniosku dotyczącego stawiennictwa świadków bezwzględnie </w:t>
      </w:r>
      <w:r w:rsidR="00210889" w:rsidRPr="00246717">
        <w:rPr>
          <w:rFonts w:eastAsia="Calibri"/>
          <w:lang w:val="pl-PL"/>
        </w:rPr>
        <w:t>nie</w:t>
      </w:r>
      <w:r w:rsidR="00210889">
        <w:rPr>
          <w:rFonts w:eastAsia="Calibri"/>
          <w:lang w:val="pl-PL"/>
        </w:rPr>
        <w:t>uprawnione</w:t>
      </w:r>
      <w:r w:rsidR="00210889" w:rsidRPr="00246717">
        <w:rPr>
          <w:rFonts w:eastAsia="Calibri"/>
          <w:lang w:val="pl-PL"/>
        </w:rPr>
        <w:t xml:space="preserve"> </w:t>
      </w:r>
      <w:r w:rsidR="008113A5" w:rsidRPr="00246717">
        <w:rPr>
          <w:rFonts w:eastAsia="Calibri"/>
          <w:lang w:val="pl-PL"/>
        </w:rPr>
        <w:t>jest ekstrapolowanie wniosków, które są negatywne dla obrony z jej strategii w</w:t>
      </w:r>
      <w:r w:rsidR="008A01F5">
        <w:rPr>
          <w:rFonts w:eastAsia="Calibri"/>
          <w:lang w:val="pl-PL"/>
        </w:rPr>
        <w:t> </w:t>
      </w:r>
      <w:r w:rsidR="008113A5" w:rsidRPr="00246717">
        <w:rPr>
          <w:rFonts w:eastAsia="Calibri"/>
          <w:lang w:val="pl-PL"/>
        </w:rPr>
        <w:t>przepytaniu krzyżowym świadków oskarżenia. Większość składu orzekającego dokonuje tu pomieszania odległych pojęć. Czyniąc tak przyjmują, że „znaczenie potencjalnego zeznania złożonego przez świadków [...] z perspektywy sądu prowadzącego postępowanie było mało istotne dla przedmiotu oskarżenia”.</w:t>
      </w:r>
      <w:r w:rsidR="008113A5" w:rsidRPr="00246717">
        <w:rPr>
          <w:rFonts w:eastAsia="Calibri"/>
          <w:vertAlign w:val="superscript"/>
          <w:lang w:val="pl-PL"/>
        </w:rPr>
        <w:footnoteReference w:id="170"/>
      </w:r>
      <w:r w:rsidR="008113A5" w:rsidRPr="00246717">
        <w:rPr>
          <w:rFonts w:eastAsia="Calibri"/>
          <w:lang w:val="pl-PL"/>
        </w:rPr>
        <w:t xml:space="preserve"> Inaczej mówiąc, naruszają zakaz antycypacji oceny dowodu. Co gorsza, czyniąc tak, większość składu orzekającego weryfikuje zarzut podrzuconego materiału dowodowego jedynie dając wiarę funkcjonariuszom policji, którzy potencjalnie mogli odpowiadać za podłożenie dowodu. To po prostu niesprawiedliwe. Takie rażąco niesprawiedliwe traktowanie obrony nie zostaje zrekompensowane przez obiecaną ocenę „ogólnej rzetelności”.</w:t>
      </w:r>
    </w:p>
    <w:p w14:paraId="38B86CF7" w14:textId="33103C45" w:rsidR="008113A5" w:rsidRPr="00246717" w:rsidRDefault="00150576" w:rsidP="000957D3">
      <w:pPr>
        <w:pStyle w:val="OpiPara"/>
        <w:rPr>
          <w:rFonts w:eastAsia="Calibri"/>
          <w:lang w:val="pl-PL"/>
        </w:rPr>
      </w:pPr>
      <w:r w:rsidRPr="00246717">
        <w:rPr>
          <w:lang w:val="pl-PL"/>
        </w:rPr>
        <w:fldChar w:fldCharType="begin"/>
      </w:r>
      <w:r w:rsidR="008113A5" w:rsidRPr="00246717">
        <w:rPr>
          <w:lang w:val="pl-PL"/>
        </w:rPr>
        <w:instrText xml:space="preserve"> SEQ level0 \*arabic </w:instrText>
      </w:r>
      <w:r w:rsidRPr="00246717">
        <w:rPr>
          <w:lang w:val="pl-PL"/>
        </w:rPr>
        <w:fldChar w:fldCharType="separate"/>
      </w:r>
      <w:r w:rsidR="008113A5" w:rsidRPr="00246717">
        <w:rPr>
          <w:lang w:val="pl-PL"/>
        </w:rPr>
        <w:t>69</w:t>
      </w:r>
      <w:r w:rsidRPr="00246717">
        <w:rPr>
          <w:lang w:val="pl-PL"/>
        </w:rPr>
        <w:fldChar w:fldCharType="end"/>
      </w:r>
      <w:r w:rsidR="008113A5" w:rsidRPr="00246717">
        <w:rPr>
          <w:lang w:val="pl-PL"/>
        </w:rPr>
        <w:t>.  </w:t>
      </w:r>
      <w:r w:rsidR="008113A5" w:rsidRPr="00246717">
        <w:rPr>
          <w:i/>
          <w:iCs/>
          <w:lang w:val="pl-PL"/>
        </w:rPr>
        <w:t xml:space="preserve">De facto </w:t>
      </w:r>
      <w:r w:rsidR="008113A5" w:rsidRPr="00246717">
        <w:rPr>
          <w:lang w:val="pl-PL"/>
        </w:rPr>
        <w:t xml:space="preserve">w opinii większości składu orzekającego test </w:t>
      </w:r>
      <w:r w:rsidR="008A01F5">
        <w:rPr>
          <w:lang w:val="pl-PL"/>
        </w:rPr>
        <w:t>ogólnej</w:t>
      </w:r>
      <w:r w:rsidR="008113A5" w:rsidRPr="00246717">
        <w:rPr>
          <w:lang w:val="pl-PL"/>
        </w:rPr>
        <w:t xml:space="preserve"> rzetelnoś</w:t>
      </w:r>
      <w:r w:rsidR="008A01F5">
        <w:rPr>
          <w:lang w:val="pl-PL"/>
        </w:rPr>
        <w:t>ci</w:t>
      </w:r>
      <w:r w:rsidR="008113A5" w:rsidRPr="00246717">
        <w:rPr>
          <w:lang w:val="pl-PL"/>
        </w:rPr>
        <w:t xml:space="preserve"> jest ostatecznie stosowany nie do postępowania, ale do </w:t>
      </w:r>
      <w:r w:rsidR="00210889">
        <w:rPr>
          <w:lang w:val="pl-PL"/>
        </w:rPr>
        <w:t>istoty</w:t>
      </w:r>
      <w:r w:rsidR="00210889" w:rsidRPr="00246717">
        <w:rPr>
          <w:lang w:val="pl-PL"/>
        </w:rPr>
        <w:t xml:space="preserve"> </w:t>
      </w:r>
      <w:r w:rsidR="008113A5" w:rsidRPr="00246717">
        <w:rPr>
          <w:lang w:val="pl-PL"/>
        </w:rPr>
        <w:t xml:space="preserve">wyroku sądu prowadzącego postępowanie. Aprobując </w:t>
      </w:r>
      <w:r w:rsidR="008A01F5">
        <w:rPr>
          <w:lang w:val="pl-PL"/>
        </w:rPr>
        <w:t>postanowienie</w:t>
      </w:r>
      <w:r w:rsidR="008113A5" w:rsidRPr="00246717">
        <w:rPr>
          <w:lang w:val="pl-PL"/>
        </w:rPr>
        <w:t xml:space="preserve"> o</w:t>
      </w:r>
      <w:r w:rsidR="008A01F5">
        <w:rPr>
          <w:lang w:val="pl-PL"/>
        </w:rPr>
        <w:t> </w:t>
      </w:r>
      <w:r w:rsidR="008113A5" w:rsidRPr="00246717">
        <w:rPr>
          <w:lang w:val="pl-PL"/>
        </w:rPr>
        <w:t>nieprzesłuchiwaniu świadków B. i K. większość składu orzekającego powołuje się na fakt, zgodnie z którym wyrok skazujący opierał się na „obszernym materiale dowodowym”.</w:t>
      </w:r>
      <w:r w:rsidR="008113A5" w:rsidRPr="00246717">
        <w:rPr>
          <w:vertAlign w:val="superscript"/>
          <w:lang w:val="pl-PL"/>
        </w:rPr>
        <w:footnoteReference w:id="171"/>
      </w:r>
      <w:r w:rsidR="008113A5" w:rsidRPr="00246717">
        <w:rPr>
          <w:lang w:val="pl-PL"/>
        </w:rPr>
        <w:t xml:space="preserve"> Domniemana rzetelność wyniku postępowania uzasadnia braki w procedurze. Cel uświęca środki. Trybunał cofa się w czasie o setki lat, ignorując fakt, że krótkofalowe korzyści powiązane z bardziej osiągalnymi wyrokami skazującymi w</w:t>
      </w:r>
      <w:r w:rsidR="008A01F5">
        <w:rPr>
          <w:lang w:val="pl-PL"/>
        </w:rPr>
        <w:t> </w:t>
      </w:r>
      <w:r w:rsidR="008113A5" w:rsidRPr="00246717">
        <w:rPr>
          <w:lang w:val="pl-PL"/>
        </w:rPr>
        <w:t xml:space="preserve">pewnych </w:t>
      </w:r>
      <w:r w:rsidR="008113A5" w:rsidRPr="00246717">
        <w:rPr>
          <w:lang w:val="pl-PL"/>
        </w:rPr>
        <w:lastRenderedPageBreak/>
        <w:t>sprawach o wysokim priorytecie, takich jak niniejsza, muszą być oceniane względem długofalowych systemowych strat.</w:t>
      </w:r>
    </w:p>
    <w:p w14:paraId="16390EA2" w14:textId="6795250B" w:rsidR="008113A5" w:rsidRPr="00246717" w:rsidRDefault="00150576" w:rsidP="000957D3">
      <w:pPr>
        <w:pStyle w:val="OpiPara"/>
        <w:rPr>
          <w:rFonts w:ascii="Times New Roman" w:eastAsia="Calibri" w:hAnsi="Times New Roman" w:cs="Times New Roman"/>
          <w:szCs w:val="24"/>
          <w:lang w:val="pl-PL"/>
        </w:rPr>
      </w:pPr>
      <w:r w:rsidRPr="00246717">
        <w:rPr>
          <w:rFonts w:eastAsia="Calibri"/>
          <w:lang w:val="pl-PL"/>
        </w:rPr>
        <w:fldChar w:fldCharType="begin"/>
      </w:r>
      <w:r w:rsidR="008113A5" w:rsidRPr="00246717">
        <w:rPr>
          <w:rFonts w:eastAsia="Calibri"/>
          <w:lang w:val="pl-PL"/>
        </w:rPr>
        <w:instrText xml:space="preserve"> SEQ level0 \*arabic </w:instrText>
      </w:r>
      <w:r w:rsidRPr="00246717">
        <w:rPr>
          <w:rFonts w:eastAsia="Calibri"/>
          <w:lang w:val="pl-PL"/>
        </w:rPr>
        <w:fldChar w:fldCharType="separate"/>
      </w:r>
      <w:r w:rsidR="008113A5" w:rsidRPr="00246717">
        <w:rPr>
          <w:rFonts w:eastAsia="Calibri"/>
          <w:lang w:val="pl-PL"/>
        </w:rPr>
        <w:t>70</w:t>
      </w:r>
      <w:r w:rsidRPr="00246717">
        <w:rPr>
          <w:rFonts w:eastAsia="Calibri"/>
          <w:lang w:val="pl-PL"/>
        </w:rPr>
        <w:fldChar w:fldCharType="end"/>
      </w:r>
      <w:r w:rsidR="008113A5" w:rsidRPr="00246717">
        <w:rPr>
          <w:rFonts w:eastAsia="Calibri"/>
          <w:lang w:val="pl-PL"/>
        </w:rPr>
        <w:t>.  W tym kontekście późniejszy zarzut, zgodnie z którym skarżąca „przy wsparciu dwóch zawodowych prawników, mogła przeprowadzić skutecznie swoją obronę, skonfrontować i przesłuchać świadków zeznających przeciwko niej, bez przeszkód przedstawić uwagi dotyczące obciążających ją dowodów, przedstawić materiał dowodowy, który uznała za istotny i</w:t>
      </w:r>
      <w:r w:rsidR="008A01F5">
        <w:rPr>
          <w:rFonts w:eastAsia="Calibri"/>
          <w:lang w:val="pl-PL"/>
        </w:rPr>
        <w:t> </w:t>
      </w:r>
      <w:r w:rsidR="008113A5" w:rsidRPr="00246717">
        <w:rPr>
          <w:rFonts w:eastAsia="Calibri"/>
          <w:lang w:val="pl-PL"/>
        </w:rPr>
        <w:t>przedstawić swoją relację zdarzeń przed sądami krajowymi” znaczy niewiele, ale to, co znaczy, jest niebezpieczne. Niebezpieczne jest to, że przestrzeganie pewnych innych zasad proceduralnych może zostać wykorzystane jako wymówka uzasadniająca niestosowanie się do postanowień art.</w:t>
      </w:r>
      <w:r w:rsidR="008A01F5">
        <w:rPr>
          <w:rFonts w:eastAsia="Calibri"/>
          <w:lang w:val="pl-PL"/>
        </w:rPr>
        <w:t> </w:t>
      </w:r>
      <w:r w:rsidR="008113A5" w:rsidRPr="00246717">
        <w:rPr>
          <w:rFonts w:eastAsia="Calibri"/>
          <w:lang w:val="pl-PL"/>
        </w:rPr>
        <w:t>6 ust.</w:t>
      </w:r>
      <w:r w:rsidR="008A01F5">
        <w:rPr>
          <w:rFonts w:eastAsia="Calibri"/>
          <w:lang w:val="pl-PL"/>
        </w:rPr>
        <w:t> </w:t>
      </w:r>
      <w:r w:rsidR="008113A5" w:rsidRPr="00246717">
        <w:rPr>
          <w:rFonts w:eastAsia="Calibri"/>
          <w:lang w:val="pl-PL"/>
        </w:rPr>
        <w:t>1 lit.</w:t>
      </w:r>
      <w:r w:rsidR="008A01F5">
        <w:rPr>
          <w:rFonts w:eastAsia="Calibri"/>
          <w:lang w:val="pl-PL"/>
        </w:rPr>
        <w:t> </w:t>
      </w:r>
      <w:r w:rsidR="008113A5" w:rsidRPr="00246717">
        <w:rPr>
          <w:rFonts w:eastAsia="Calibri"/>
          <w:lang w:val="pl-PL"/>
        </w:rPr>
        <w:t xml:space="preserve">d). Jest niebezpieczne, ponieważ zakłada, że </w:t>
      </w:r>
      <w:r w:rsidR="008E6B06">
        <w:rPr>
          <w:rFonts w:eastAsia="Calibri"/>
          <w:lang w:val="pl-PL"/>
        </w:rPr>
        <w:t>przestrzeganie art.</w:t>
      </w:r>
      <w:r w:rsidR="008A01F5">
        <w:rPr>
          <w:rFonts w:eastAsia="Calibri"/>
          <w:lang w:val="pl-PL"/>
        </w:rPr>
        <w:t> </w:t>
      </w:r>
      <w:r w:rsidR="008E6B06">
        <w:rPr>
          <w:rFonts w:eastAsia="Calibri"/>
          <w:lang w:val="pl-PL"/>
        </w:rPr>
        <w:t>6 ust.</w:t>
      </w:r>
      <w:r w:rsidR="008A01F5">
        <w:rPr>
          <w:rFonts w:eastAsia="Calibri"/>
          <w:lang w:val="pl-PL"/>
        </w:rPr>
        <w:t> </w:t>
      </w:r>
      <w:r w:rsidR="008E6B06">
        <w:rPr>
          <w:rFonts w:eastAsia="Calibri"/>
          <w:lang w:val="pl-PL"/>
        </w:rPr>
        <w:t>1 lit</w:t>
      </w:r>
      <w:r w:rsidR="008113A5" w:rsidRPr="00246717">
        <w:rPr>
          <w:rFonts w:eastAsia="Calibri"/>
          <w:lang w:val="pl-PL"/>
        </w:rPr>
        <w:t>.</w:t>
      </w:r>
      <w:r w:rsidR="008A01F5">
        <w:rPr>
          <w:rFonts w:eastAsia="Calibri"/>
          <w:lang w:val="pl-PL"/>
        </w:rPr>
        <w:t> </w:t>
      </w:r>
      <w:r w:rsidR="008113A5" w:rsidRPr="00246717">
        <w:rPr>
          <w:rFonts w:eastAsia="Calibri"/>
          <w:lang w:val="pl-PL"/>
        </w:rPr>
        <w:t>d) nie zmieniłoby wyniku postępowania. Jak gdyby większość składu orzekającego miała moc wróżenia, mogąc postrzegać prawdę faktyczną wykraczającą poza granice postępowania i</w:t>
      </w:r>
      <w:r w:rsidR="008A01F5">
        <w:rPr>
          <w:rFonts w:eastAsia="Calibri"/>
          <w:lang w:val="pl-PL"/>
        </w:rPr>
        <w:t> </w:t>
      </w:r>
      <w:r w:rsidR="008113A5" w:rsidRPr="00246717">
        <w:rPr>
          <w:rFonts w:eastAsia="Calibri"/>
          <w:lang w:val="pl-PL"/>
        </w:rPr>
        <w:t>mogła ustalić, w całej niewytłumaczalności, transcendentalnej uznaniowości, który regulamin należy zastosować w każdej indywidualnej sprawie. Ludzka sprawiedliwość zabawiająca się w sprawiedliwość boską to sprawiedliwość w najgorszym wydaniu.</w:t>
      </w:r>
    </w:p>
    <w:p w14:paraId="25F31A98" w14:textId="77777777" w:rsidR="008113A5" w:rsidRPr="00246717" w:rsidRDefault="008113A5" w:rsidP="000957D3">
      <w:pPr>
        <w:pStyle w:val="OpiHA"/>
        <w:rPr>
          <w:rFonts w:eastAsia="Calibri"/>
          <w:lang w:val="pl-PL"/>
        </w:rPr>
      </w:pPr>
      <w:r w:rsidRPr="00246717">
        <w:rPr>
          <w:rFonts w:eastAsia="Calibri"/>
          <w:lang w:val="pl-PL"/>
        </w:rPr>
        <w:t>Wniosek</w:t>
      </w:r>
    </w:p>
    <w:p w14:paraId="7A500677" w14:textId="1E9C44F9" w:rsidR="00E76AB8" w:rsidRPr="00246717" w:rsidRDefault="00150576" w:rsidP="000957D3">
      <w:pPr>
        <w:pStyle w:val="OpiPara"/>
        <w:rPr>
          <w:rFonts w:eastAsia="Times New Roman"/>
          <w:lang w:val="pl-PL"/>
        </w:rPr>
      </w:pPr>
      <w:r w:rsidRPr="00246717">
        <w:rPr>
          <w:lang w:val="pl-PL"/>
        </w:rPr>
        <w:fldChar w:fldCharType="begin"/>
      </w:r>
      <w:r w:rsidR="008113A5" w:rsidRPr="00246717">
        <w:rPr>
          <w:lang w:val="pl-PL"/>
        </w:rPr>
        <w:instrText xml:space="preserve"> SEQ level0 \*arabic </w:instrText>
      </w:r>
      <w:r w:rsidRPr="00246717">
        <w:rPr>
          <w:lang w:val="pl-PL"/>
        </w:rPr>
        <w:fldChar w:fldCharType="separate"/>
      </w:r>
      <w:r w:rsidR="008113A5" w:rsidRPr="00246717">
        <w:rPr>
          <w:lang w:val="pl-PL"/>
        </w:rPr>
        <w:t>71</w:t>
      </w:r>
      <w:r w:rsidRPr="00246717">
        <w:rPr>
          <w:lang w:val="pl-PL"/>
        </w:rPr>
        <w:fldChar w:fldCharType="end"/>
      </w:r>
      <w:r w:rsidR="008113A5" w:rsidRPr="00246717">
        <w:rPr>
          <w:lang w:val="pl-PL"/>
        </w:rPr>
        <w:t>.  Prawnicy powinni czuć się zaalarmowani w wyniku tego wyroku. Szczególnie uderzające jest to, że większość twierdzi, że skarżąca była w</w:t>
      </w:r>
      <w:r w:rsidR="008A01F5">
        <w:rPr>
          <w:lang w:val="pl-PL"/>
        </w:rPr>
        <w:t> </w:t>
      </w:r>
      <w:r w:rsidR="008113A5" w:rsidRPr="00246717">
        <w:rPr>
          <w:lang w:val="pl-PL"/>
        </w:rPr>
        <w:t>stanie „przedstawić dowody, które uznała za istotne”,</w:t>
      </w:r>
      <w:r w:rsidR="008113A5" w:rsidRPr="00246717">
        <w:rPr>
          <w:vertAlign w:val="superscript"/>
          <w:lang w:val="pl-PL"/>
        </w:rPr>
        <w:footnoteReference w:id="172"/>
      </w:r>
      <w:r w:rsidR="008113A5" w:rsidRPr="00246717">
        <w:rPr>
          <w:lang w:val="pl-PL"/>
        </w:rPr>
        <w:t xml:space="preserve"> jak gdyby to był najbardziej nieskazitelny z procesów. Prawdziwa nowość tego wyroku jest dwojaka: wzmocniony nałożony na obronę obowiązek „konkretnego uzasadnienia” sposobu, w jaki zeznanie świadków obrony mogłoby pomóc stanowisku obrony, a także destrukcyjne rozszerzenie testu </w:t>
      </w:r>
      <w:r w:rsidR="003449F8">
        <w:rPr>
          <w:lang w:val="pl-PL"/>
        </w:rPr>
        <w:t>ogólnej rzetelności</w:t>
      </w:r>
      <w:r w:rsidR="008113A5" w:rsidRPr="00246717">
        <w:rPr>
          <w:lang w:val="pl-PL"/>
        </w:rPr>
        <w:t xml:space="preserve"> do oceny domniemanych naruszeń prawa do przesłuchania świadków obrony. Test ten jest niczym więcej, jak tylko czekiem </w:t>
      </w:r>
      <w:r w:rsidR="008113A5" w:rsidRPr="00246717">
        <w:rPr>
          <w:i/>
          <w:iCs/>
          <w:lang w:val="pl-PL"/>
        </w:rPr>
        <w:t xml:space="preserve">in blanco </w:t>
      </w:r>
      <w:r w:rsidR="008113A5" w:rsidRPr="00246717">
        <w:rPr>
          <w:lang w:val="pl-PL"/>
        </w:rPr>
        <w:t>dla sądów krajowych, umożliwiającym im zrobienie, czego chcą z prawami przewidzianymi w art.</w:t>
      </w:r>
      <w:r w:rsidR="003449F8">
        <w:rPr>
          <w:lang w:val="pl-PL"/>
        </w:rPr>
        <w:t> </w:t>
      </w:r>
      <w:r w:rsidR="008113A5" w:rsidRPr="00246717">
        <w:rPr>
          <w:lang w:val="pl-PL"/>
        </w:rPr>
        <w:t>6 ust.</w:t>
      </w:r>
      <w:r w:rsidR="003449F8">
        <w:rPr>
          <w:lang w:val="pl-PL"/>
        </w:rPr>
        <w:t> </w:t>
      </w:r>
      <w:r w:rsidR="008113A5" w:rsidRPr="00246717">
        <w:rPr>
          <w:lang w:val="pl-PL"/>
        </w:rPr>
        <w:t xml:space="preserve">3 i pozwalającym Trybunałowi potwierdzić wynik postępowania. Po osłabieniu prawa do konfrontacji ze świadkiem oskarżenia w wyrokach w sprawach </w:t>
      </w:r>
      <w:r w:rsidR="008113A5" w:rsidRPr="00246717">
        <w:rPr>
          <w:i/>
          <w:iCs/>
          <w:lang w:val="pl-PL"/>
        </w:rPr>
        <w:t>Al-</w:t>
      </w:r>
      <w:proofErr w:type="spellStart"/>
      <w:r w:rsidR="008113A5" w:rsidRPr="00246717">
        <w:rPr>
          <w:i/>
          <w:iCs/>
          <w:lang w:val="pl-PL"/>
        </w:rPr>
        <w:t>Khawaja</w:t>
      </w:r>
      <w:proofErr w:type="spellEnd"/>
      <w:r w:rsidR="008113A5" w:rsidRPr="00246717">
        <w:rPr>
          <w:i/>
          <w:iCs/>
          <w:lang w:val="pl-PL"/>
        </w:rPr>
        <w:t xml:space="preserve"> i </w:t>
      </w:r>
      <w:proofErr w:type="spellStart"/>
      <w:r w:rsidR="008113A5" w:rsidRPr="00246717">
        <w:rPr>
          <w:i/>
          <w:iCs/>
          <w:lang w:val="pl-PL"/>
        </w:rPr>
        <w:t>Tahery</w:t>
      </w:r>
      <w:proofErr w:type="spellEnd"/>
      <w:r w:rsidR="008113A5" w:rsidRPr="00246717">
        <w:rPr>
          <w:i/>
          <w:iCs/>
          <w:lang w:val="pl-PL"/>
        </w:rPr>
        <w:t xml:space="preserve"> </w:t>
      </w:r>
      <w:r w:rsidR="008113A5" w:rsidRPr="00246717">
        <w:rPr>
          <w:lang w:val="pl-PL"/>
        </w:rPr>
        <w:t xml:space="preserve">oraz </w:t>
      </w:r>
      <w:proofErr w:type="spellStart"/>
      <w:r w:rsidR="008113A5" w:rsidRPr="00246717">
        <w:rPr>
          <w:i/>
          <w:iCs/>
          <w:lang w:val="pl-PL"/>
        </w:rPr>
        <w:t>Schatschaschwili</w:t>
      </w:r>
      <w:proofErr w:type="spellEnd"/>
      <w:r w:rsidR="008113A5" w:rsidRPr="00246717">
        <w:rPr>
          <w:i/>
          <w:iCs/>
          <w:lang w:val="pl-PL"/>
        </w:rPr>
        <w:t xml:space="preserve"> </w:t>
      </w:r>
      <w:r w:rsidR="008113A5" w:rsidRPr="00246717">
        <w:rPr>
          <w:lang w:val="pl-PL"/>
        </w:rPr>
        <w:t xml:space="preserve">oraz po podkopaniu prawa do reprezentacji prawnej w </w:t>
      </w:r>
      <w:r w:rsidR="008113A5" w:rsidRPr="00246717">
        <w:rPr>
          <w:i/>
          <w:iCs/>
          <w:lang w:val="pl-PL"/>
        </w:rPr>
        <w:t xml:space="preserve">Ibrahim i Inni, </w:t>
      </w:r>
      <w:r w:rsidR="008113A5" w:rsidRPr="00246717">
        <w:rPr>
          <w:lang w:val="pl-PL"/>
        </w:rPr>
        <w:t xml:space="preserve">niniejszy wyrok dotyczący niestawiennictwa świadków obrony stanowi domknięcie koła, poprzez powrót do testu </w:t>
      </w:r>
      <w:proofErr w:type="spellStart"/>
      <w:r w:rsidR="008113A5" w:rsidRPr="00246717">
        <w:rPr>
          <w:i/>
          <w:iCs/>
          <w:lang w:val="pl-PL"/>
        </w:rPr>
        <w:t>Perna</w:t>
      </w:r>
      <w:proofErr w:type="spellEnd"/>
      <w:r w:rsidR="008113A5" w:rsidRPr="00246717">
        <w:rPr>
          <w:i/>
          <w:iCs/>
          <w:lang w:val="pl-PL"/>
        </w:rPr>
        <w:t xml:space="preserve"> </w:t>
      </w:r>
      <w:r w:rsidR="008113A5" w:rsidRPr="00246717">
        <w:rPr>
          <w:lang w:val="pl-PL"/>
        </w:rPr>
        <w:t xml:space="preserve">na podstawie testu ogólnej rzetelności. W owym niefortunnym trio </w:t>
      </w:r>
      <w:proofErr w:type="spellStart"/>
      <w:r w:rsidR="008113A5" w:rsidRPr="00246717">
        <w:rPr>
          <w:i/>
          <w:iCs/>
          <w:lang w:val="pl-PL"/>
        </w:rPr>
        <w:t>Schatschaschwili</w:t>
      </w:r>
      <w:proofErr w:type="spellEnd"/>
      <w:r w:rsidR="008113A5" w:rsidRPr="00246717">
        <w:rPr>
          <w:i/>
          <w:iCs/>
          <w:lang w:val="pl-PL"/>
        </w:rPr>
        <w:t>/Ibrahim i Inni/</w:t>
      </w:r>
      <w:proofErr w:type="spellStart"/>
      <w:r w:rsidR="008113A5" w:rsidRPr="00246717">
        <w:rPr>
          <w:i/>
          <w:iCs/>
          <w:lang w:val="pl-PL"/>
        </w:rPr>
        <w:t>Murtazaliyeva</w:t>
      </w:r>
      <w:proofErr w:type="spellEnd"/>
      <w:r w:rsidR="008113A5" w:rsidRPr="00246717">
        <w:rPr>
          <w:lang w:val="pl-PL"/>
        </w:rPr>
        <w:t xml:space="preserve">, Trybunał błędnie kroczy podwójną ścieżką wytrwałego osłabiania praw obrony i </w:t>
      </w:r>
      <w:r w:rsidR="008113A5" w:rsidRPr="00246717">
        <w:rPr>
          <w:vertAlign w:val="superscript"/>
          <w:lang w:val="pl-PL"/>
        </w:rPr>
        <w:footnoteReference w:id="173"/>
      </w:r>
      <w:r w:rsidR="008113A5" w:rsidRPr="00246717">
        <w:rPr>
          <w:lang w:val="pl-PL"/>
        </w:rPr>
        <w:t xml:space="preserve"> zarzucania </w:t>
      </w:r>
      <w:r w:rsidR="008113A5" w:rsidRPr="00246717">
        <w:rPr>
          <w:rStyle w:val="ECHRRed"/>
          <w:color w:val="auto"/>
          <w:lang w:val="pl-PL"/>
        </w:rPr>
        <w:lastRenderedPageBreak/>
        <w:t>„z</w:t>
      </w:r>
      <w:r w:rsidR="003449F8">
        <w:rPr>
          <w:rStyle w:val="ECHRRed"/>
          <w:color w:val="auto"/>
          <w:lang w:val="pl-PL"/>
        </w:rPr>
        <w:t> </w:t>
      </w:r>
      <w:r w:rsidR="008113A5" w:rsidRPr="00246717">
        <w:rPr>
          <w:rStyle w:val="ECHRRed"/>
          <w:color w:val="auto"/>
          <w:lang w:val="pl-PL"/>
        </w:rPr>
        <w:t>szacunkiem” jej nadzorczych</w:t>
      </w:r>
      <w:r w:rsidR="008113A5" w:rsidRPr="00246717">
        <w:rPr>
          <w:lang w:val="pl-PL"/>
        </w:rPr>
        <w:t xml:space="preserve"> uprawnień kontrolnych w sądach krajowych. Milczący atak na prawa obrony w postępowaniu karnym został w sposób niepodważalny zintensyfikowany do tego stopnia, że należy się zastanowić, kiedy się zakończy.</w:t>
      </w:r>
    </w:p>
    <w:sectPr w:rsidR="00E76AB8" w:rsidRPr="00246717" w:rsidSect="00150576">
      <w:footnotePr>
        <w:numRestart w:val="eachSect"/>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D7019A" w14:textId="77777777" w:rsidR="00876D05" w:rsidRPr="003152BA" w:rsidRDefault="00876D05" w:rsidP="00014566">
      <w:r>
        <w:separator/>
      </w:r>
    </w:p>
  </w:endnote>
  <w:endnote w:type="continuationSeparator" w:id="0">
    <w:p w14:paraId="2018DF0D" w14:textId="77777777" w:rsidR="00876D05" w:rsidRPr="003152BA" w:rsidRDefault="00876D05" w:rsidP="00014566">
      <w:r>
        <w:continuationSeparator/>
      </w:r>
    </w:p>
  </w:endnote>
  <w:endnote w:type="continuationNotice" w:id="1">
    <w:p w14:paraId="120043FB" w14:textId="77777777" w:rsidR="00876D05" w:rsidRDefault="00876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BA7D2" w14:textId="77777777" w:rsidR="00876D05" w:rsidRPr="00150BFA" w:rsidRDefault="00876D05" w:rsidP="001A099F">
    <w:pPr>
      <w:jc w:val="center"/>
    </w:pPr>
    <w:r>
      <w:rPr>
        <w:noProof/>
        <w:lang w:val="pl-PL" w:eastAsia="pl-PL"/>
      </w:rPr>
      <w:drawing>
        <wp:inline distT="0" distB="0" distL="0" distR="0" wp14:anchorId="529D1FC0" wp14:editId="70D7F33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3F1ED3F" w14:textId="77777777" w:rsidR="00876D05" w:rsidRDefault="00876D05">
    <w:pPr>
      <w:pStyle w:val="Stopka"/>
    </w:pPr>
  </w:p>
  <w:p w14:paraId="63274813" w14:textId="77777777" w:rsidR="00876D05" w:rsidRDefault="00876D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7DEC1" w14:textId="77777777" w:rsidR="00876D05" w:rsidRDefault="00876D0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6E3EA" w14:textId="77777777" w:rsidR="00876D05" w:rsidRDefault="00876D05">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B7D14" w14:textId="77777777" w:rsidR="00876D05" w:rsidRDefault="00876D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67C12" w14:textId="77777777" w:rsidR="00876D05" w:rsidRPr="003152BA" w:rsidRDefault="00876D05" w:rsidP="00014566">
      <w:r>
        <w:separator/>
      </w:r>
    </w:p>
  </w:footnote>
  <w:footnote w:type="continuationSeparator" w:id="0">
    <w:p w14:paraId="7688AFE0" w14:textId="77777777" w:rsidR="00876D05" w:rsidRPr="003152BA" w:rsidRDefault="00876D05" w:rsidP="00014566">
      <w:r>
        <w:continuationSeparator/>
      </w:r>
    </w:p>
  </w:footnote>
  <w:footnote w:type="continuationNotice" w:id="1">
    <w:p w14:paraId="7062D026" w14:textId="77777777" w:rsidR="00876D05" w:rsidRDefault="00876D05"/>
  </w:footnote>
  <w:footnote w:id="2">
    <w:p w14:paraId="279AAFD2" w14:textId="3B34888D" w:rsidR="00876D05" w:rsidRPr="00E76AB8" w:rsidRDefault="00876D05" w:rsidP="00623AB9">
      <w:pPr>
        <w:pStyle w:val="Tekstprzypisudolnego"/>
        <w:rPr>
          <w:rStyle w:val="Odwoanieprzypisudolnego"/>
          <w:rFonts w:ascii="Times New Roman" w:hAnsi="Times New Roman" w:cs="Times New Roman"/>
          <w:vertAlign w:val="baseline"/>
        </w:rPr>
      </w:pPr>
      <w:r>
        <w:rPr>
          <w:rStyle w:val="Odwoanieprzypisudolnego"/>
          <w:rFonts w:ascii="Times New Roman" w:hAnsi="Times New Roman" w:cs="Times New Roman"/>
          <w:vertAlign w:val="baseline"/>
        </w:rPr>
        <w:footnoteRef/>
      </w:r>
      <w:r>
        <w:rPr>
          <w:rStyle w:val="Odwoanieprzypisudolnego"/>
          <w:rFonts w:ascii="Times New Roman" w:hAnsi="Times New Roman" w:cs="Times New Roman"/>
          <w:vertAlign w:val="baseline"/>
        </w:rPr>
        <w:t xml:space="preserve">.  Zob. </w:t>
      </w:r>
      <w:r>
        <w:rPr>
          <w:rStyle w:val="Odwoanieprzypisudolnego"/>
          <w:rFonts w:ascii="Times New Roman" w:hAnsi="Times New Roman" w:cs="Times New Roman"/>
          <w:i/>
          <w:iCs/>
          <w:vertAlign w:val="baseline"/>
        </w:rPr>
        <w:t xml:space="preserve">Perez przeciwko Francji </w:t>
      </w:r>
      <w:r>
        <w:rPr>
          <w:rStyle w:val="Odwoanieprzypisudolnego"/>
          <w:rFonts w:ascii="Times New Roman" w:hAnsi="Times New Roman" w:cs="Times New Roman"/>
          <w:vertAlign w:val="baseline"/>
        </w:rPr>
        <w:t>[WI], skarga nr</w:t>
      </w:r>
      <w:r>
        <w:rPr>
          <w:rFonts w:ascii="Times New Roman" w:hAnsi="Times New Roman" w:cs="Times New Roman"/>
        </w:rPr>
        <w:t> </w:t>
      </w:r>
      <w:r>
        <w:rPr>
          <w:rStyle w:val="Odwoanieprzypisudolnego"/>
          <w:rFonts w:ascii="Times New Roman" w:hAnsi="Times New Roman" w:cs="Times New Roman"/>
          <w:vertAlign w:val="baseline"/>
        </w:rPr>
        <w:t>47287/99, ETPCz 2004</w:t>
      </w:r>
      <w:r>
        <w:rPr>
          <w:rStyle w:val="Odwoanieprzypisudolnego"/>
          <w:rFonts w:ascii="Times New Roman" w:hAnsi="Times New Roman" w:cs="Times New Roman"/>
          <w:vertAlign w:val="baseline"/>
        </w:rPr>
        <w:noBreakHyphen/>
        <w:t>I.</w:t>
      </w:r>
    </w:p>
  </w:footnote>
  <w:footnote w:id="3">
    <w:p w14:paraId="7457C428" w14:textId="5EEBC6C0" w:rsidR="00876D05" w:rsidRPr="00E76AB8" w:rsidRDefault="00876D05" w:rsidP="00623AB9">
      <w:pPr>
        <w:pStyle w:val="Tekstprzypisudolnego"/>
        <w:rPr>
          <w:rStyle w:val="Odwoanieprzypisudolnego"/>
          <w:rFonts w:ascii="Times New Roman" w:hAnsi="Times New Roman" w:cs="Times New Roman"/>
          <w:vertAlign w:val="baseline"/>
        </w:rPr>
      </w:pPr>
      <w:r>
        <w:rPr>
          <w:rStyle w:val="Odwoanieprzypisudolnego"/>
          <w:rFonts w:ascii="Times New Roman" w:hAnsi="Times New Roman" w:cs="Times New Roman"/>
          <w:vertAlign w:val="baseline"/>
        </w:rPr>
        <w:footnoteRef/>
      </w:r>
      <w:r>
        <w:rPr>
          <w:rStyle w:val="Odwoanieprzypisudolnego"/>
          <w:rFonts w:ascii="Times New Roman" w:hAnsi="Times New Roman" w:cs="Times New Roman"/>
          <w:vertAlign w:val="baseline"/>
        </w:rPr>
        <w:t xml:space="preserve">.  Zob. na przykład </w:t>
      </w:r>
      <w:r>
        <w:rPr>
          <w:rStyle w:val="Odwoanieprzypisudolnego"/>
          <w:rFonts w:ascii="Times New Roman" w:hAnsi="Times New Roman" w:cs="Times New Roman"/>
          <w:i/>
          <w:iCs/>
          <w:vertAlign w:val="baseline"/>
        </w:rPr>
        <w:t xml:space="preserve">Stanford przeciwko Zjednoczonemu Królestwu, </w:t>
      </w:r>
      <w:r>
        <w:rPr>
          <w:rStyle w:val="Odwoanieprzypisudolnego"/>
          <w:rFonts w:ascii="Times New Roman" w:hAnsi="Times New Roman" w:cs="Times New Roman"/>
          <w:vertAlign w:val="baseline"/>
        </w:rPr>
        <w:t>wyrok z dnia 23 lutego 1994</w:t>
      </w:r>
      <w:r>
        <w:rPr>
          <w:rFonts w:ascii="Times New Roman" w:hAnsi="Times New Roman" w:cs="Times New Roman"/>
        </w:rPr>
        <w:t> </w:t>
      </w:r>
      <w:r>
        <w:rPr>
          <w:rStyle w:val="Odwoanieprzypisudolnego"/>
          <w:rFonts w:ascii="Times New Roman" w:hAnsi="Times New Roman" w:cs="Times New Roman"/>
          <w:vertAlign w:val="baseline"/>
        </w:rPr>
        <w:t>r., Seria A nr 282-A.</w:t>
      </w:r>
    </w:p>
  </w:footnote>
  <w:footnote w:id="4">
    <w:p w14:paraId="660D2D90" w14:textId="69674E9B" w:rsidR="00876D05" w:rsidRPr="00966403" w:rsidRDefault="00876D05" w:rsidP="00623AB9">
      <w:pPr>
        <w:pStyle w:val="Tekstprzypisudolnego"/>
        <w:rPr>
          <w:rStyle w:val="Odwoanieprzypisudolnego"/>
          <w:rFonts w:ascii="Times New Roman" w:hAnsi="Times New Roman"/>
          <w:vertAlign w:val="baseline"/>
          <w:lang w:val="pl-PL"/>
        </w:rPr>
      </w:pPr>
      <w:r>
        <w:rPr>
          <w:rStyle w:val="Odwoanieprzypisudolnego"/>
          <w:rFonts w:ascii="Times New Roman" w:hAnsi="Times New Roman" w:cs="Times New Roman"/>
          <w:vertAlign w:val="baseline"/>
        </w:rPr>
        <w:footnoteRef/>
      </w:r>
      <w:r w:rsidRPr="00966403">
        <w:rPr>
          <w:rStyle w:val="Odwoanieprzypisudolnego"/>
          <w:rFonts w:ascii="Times New Roman" w:hAnsi="Times New Roman"/>
          <w:vertAlign w:val="baseline"/>
          <w:lang w:val="pl-PL"/>
        </w:rPr>
        <w:t xml:space="preserve">.  Zob. na przykład </w:t>
      </w:r>
      <w:r w:rsidRPr="00966403">
        <w:rPr>
          <w:rStyle w:val="Odwoanieprzypisudolnego"/>
          <w:rFonts w:ascii="Times New Roman" w:hAnsi="Times New Roman"/>
          <w:i/>
          <w:vertAlign w:val="baseline"/>
          <w:lang w:val="pl-PL"/>
        </w:rPr>
        <w:t xml:space="preserve">Saunders przeciwko Zjednoczonemu Królestwu, </w:t>
      </w:r>
      <w:r w:rsidRPr="00966403">
        <w:rPr>
          <w:rStyle w:val="Odwoanieprzypisudolnego"/>
          <w:rFonts w:ascii="Times New Roman" w:hAnsi="Times New Roman"/>
          <w:vertAlign w:val="baseline"/>
          <w:lang w:val="pl-PL"/>
        </w:rPr>
        <w:t>wyrok z dnia 17 grudnia 1996</w:t>
      </w:r>
      <w:r w:rsidRPr="00966403">
        <w:rPr>
          <w:rFonts w:ascii="Times New Roman" w:hAnsi="Times New Roman"/>
          <w:lang w:val="pl-PL"/>
        </w:rPr>
        <w:t> </w:t>
      </w:r>
      <w:r w:rsidRPr="00966403">
        <w:rPr>
          <w:rStyle w:val="Odwoanieprzypisudolnego"/>
          <w:rFonts w:ascii="Times New Roman" w:hAnsi="Times New Roman"/>
          <w:vertAlign w:val="baseline"/>
          <w:lang w:val="pl-PL"/>
        </w:rPr>
        <w:t xml:space="preserve">r., Zbiór Wyroków i Decyzji 1996-VI, gdzie Trybunał orzekł, że prawo do milczenia wpisane jest w </w:t>
      </w:r>
      <w:r w:rsidRPr="00252514">
        <w:rPr>
          <w:rStyle w:val="Odwoanieprzypisudolnego"/>
          <w:rFonts w:ascii="Times New Roman" w:hAnsi="Times New Roman" w:cs="Times New Roman"/>
          <w:vertAlign w:val="baseline"/>
          <w:lang w:val="pl-PL"/>
        </w:rPr>
        <w:t>i</w:t>
      </w:r>
      <w:r w:rsidRPr="00252514">
        <w:rPr>
          <w:rFonts w:ascii="Times New Roman" w:hAnsi="Times New Roman" w:cs="Times New Roman"/>
          <w:lang w:val="pl-PL"/>
        </w:rPr>
        <w:t>sto</w:t>
      </w:r>
      <w:r>
        <w:rPr>
          <w:rFonts w:ascii="Times New Roman" w:hAnsi="Times New Roman" w:cs="Times New Roman"/>
          <w:lang w:val="pl-PL"/>
        </w:rPr>
        <w:t>tę</w:t>
      </w:r>
      <w:r w:rsidRPr="00966403">
        <w:rPr>
          <w:rStyle w:val="Odwoanieprzypisudolnego"/>
          <w:rFonts w:ascii="Times New Roman" w:hAnsi="Times New Roman"/>
          <w:vertAlign w:val="baseline"/>
          <w:lang w:val="pl-PL"/>
        </w:rPr>
        <w:t xml:space="preserve"> pojęcia rzetelnego postępowania przewidzianego w art. 6.</w:t>
      </w:r>
    </w:p>
    <w:p w14:paraId="2299D10B" w14:textId="77777777" w:rsidR="00876D05" w:rsidRPr="00966403" w:rsidRDefault="00876D05" w:rsidP="00623AB9">
      <w:pPr>
        <w:pStyle w:val="Tekstprzypisudolnego"/>
        <w:rPr>
          <w:lang w:val="pl-PL"/>
        </w:rPr>
      </w:pPr>
    </w:p>
  </w:footnote>
  <w:footnote w:id="5">
    <w:p w14:paraId="01F563C6" w14:textId="0BFD384A" w:rsidR="00876D05" w:rsidRPr="000473D0" w:rsidRDefault="00876D05" w:rsidP="00623AB9">
      <w:pPr>
        <w:pStyle w:val="Tekstprzypisudolnego"/>
        <w:rPr>
          <w:lang w:val="pl-PL"/>
        </w:rPr>
      </w:pPr>
      <w:r>
        <w:rPr>
          <w:rStyle w:val="Odwoanieprzypisudolnego"/>
          <w:vertAlign w:val="baseline"/>
        </w:rPr>
        <w:footnoteRef/>
      </w:r>
      <w:r w:rsidRPr="000473D0">
        <w:rPr>
          <w:lang w:val="pl-PL"/>
        </w:rPr>
        <w:t xml:space="preserve">.  W niniejszej rozbieżnej opinii odnoszę się do świadka w formie żeńskiej i w związku z tym określam przesłuchanie „jej”, natomiast odnosząc się do oskarżonego używam regularnie formy męskiej i w związku z tym określam prawa „jego”. Wybór ten został dokonany wyłącznie w celu zapewnienia czytelności rozbieżnej opinii, ponieważ </w:t>
      </w:r>
      <w:r>
        <w:rPr>
          <w:lang w:val="pl-PL"/>
        </w:rPr>
        <w:t>powtórne</w:t>
      </w:r>
      <w:r w:rsidRPr="000473D0">
        <w:rPr>
          <w:lang w:val="pl-PL"/>
        </w:rPr>
        <w:t xml:space="preserve"> odwoływanie się do „jego lub jej” praw lub „jej lub jego” praw utrudniłoby czytelność opinii.</w:t>
      </w:r>
    </w:p>
  </w:footnote>
  <w:footnote w:id="6">
    <w:p w14:paraId="3E014F10" w14:textId="1F11F307" w:rsidR="00876D05" w:rsidRPr="000473D0" w:rsidRDefault="00876D05" w:rsidP="00623AB9">
      <w:pPr>
        <w:pStyle w:val="Tekstprzypisudolnego"/>
        <w:rPr>
          <w:lang w:val="pl-PL"/>
        </w:rPr>
      </w:pPr>
      <w:r>
        <w:rPr>
          <w:rStyle w:val="Odwoanieprzypisudolnego"/>
          <w:vertAlign w:val="baseline"/>
        </w:rPr>
        <w:footnoteRef/>
      </w:r>
      <w:r w:rsidRPr="000473D0">
        <w:rPr>
          <w:lang w:val="pl-PL"/>
        </w:rPr>
        <w:t xml:space="preserve">.  Jeśli na przykład obrona </w:t>
      </w:r>
      <w:r>
        <w:rPr>
          <w:lang w:val="pl-PL"/>
        </w:rPr>
        <w:t>twierdzi</w:t>
      </w:r>
      <w:r w:rsidRPr="000473D0">
        <w:rPr>
          <w:lang w:val="pl-PL"/>
        </w:rPr>
        <w:t>, że obecnych było 10 osób, które mogą potwierdzić alibi oskarżonego i trzy z nich już zostały przesłuchane na jej wniosek w tym względzie, przesłuchanie pozostałych siedmiu</w:t>
      </w:r>
      <w:r>
        <w:rPr>
          <w:lang w:val="pl-PL"/>
        </w:rPr>
        <w:t xml:space="preserve"> osób nie będzie konieczne</w:t>
      </w:r>
      <w:r w:rsidRPr="000473D0">
        <w:rPr>
          <w:lang w:val="pl-PL"/>
        </w:rPr>
        <w:t>.</w:t>
      </w:r>
    </w:p>
  </w:footnote>
  <w:footnote w:id="7">
    <w:p w14:paraId="5342F221" w14:textId="1D1A7B7C" w:rsidR="00876D05" w:rsidRPr="000473D0" w:rsidRDefault="00876D05" w:rsidP="00623AB9">
      <w:pPr>
        <w:pStyle w:val="Tekstprzypisudolnego"/>
        <w:rPr>
          <w:lang w:val="pl-PL"/>
        </w:rPr>
      </w:pPr>
      <w:r>
        <w:rPr>
          <w:rStyle w:val="Odwoanieprzypisudolnego"/>
          <w:vertAlign w:val="baseline"/>
        </w:rPr>
        <w:footnoteRef/>
      </w:r>
      <w:r w:rsidRPr="000473D0">
        <w:rPr>
          <w:lang w:val="pl-PL"/>
        </w:rPr>
        <w:t xml:space="preserve">.  Na przykład przesłuchanie osoby, która </w:t>
      </w:r>
      <w:r>
        <w:rPr>
          <w:lang w:val="pl-PL"/>
        </w:rPr>
        <w:t>miała uczestniczyć w</w:t>
      </w:r>
      <w:r w:rsidRPr="000473D0">
        <w:rPr>
          <w:lang w:val="pl-PL"/>
        </w:rPr>
        <w:t xml:space="preserve"> zdarzeni</w:t>
      </w:r>
      <w:r>
        <w:rPr>
          <w:lang w:val="pl-PL"/>
        </w:rPr>
        <w:t>u,</w:t>
      </w:r>
      <w:r w:rsidRPr="000473D0">
        <w:rPr>
          <w:lang w:val="pl-PL"/>
        </w:rPr>
        <w:t xml:space="preserve"> będzie bardziej </w:t>
      </w:r>
      <w:r>
        <w:rPr>
          <w:lang w:val="pl-PL"/>
        </w:rPr>
        <w:t>wskazane</w:t>
      </w:r>
      <w:r w:rsidRPr="000473D0">
        <w:rPr>
          <w:lang w:val="pl-PL"/>
        </w:rPr>
        <w:t xml:space="preserve"> dla ustalenia przebiegu zdarzeń niż przesłuchanie osoby, któr</w:t>
      </w:r>
      <w:r>
        <w:rPr>
          <w:lang w:val="pl-PL"/>
        </w:rPr>
        <w:t>ej</w:t>
      </w:r>
      <w:r w:rsidRPr="000473D0">
        <w:rPr>
          <w:lang w:val="pl-PL"/>
        </w:rPr>
        <w:t xml:space="preserve"> rzekomo </w:t>
      </w:r>
      <w:r>
        <w:rPr>
          <w:lang w:val="pl-PL"/>
        </w:rPr>
        <w:t xml:space="preserve">znane są jedynie </w:t>
      </w:r>
      <w:r w:rsidRPr="000473D0">
        <w:rPr>
          <w:lang w:val="pl-PL"/>
        </w:rPr>
        <w:t xml:space="preserve">niektóre z </w:t>
      </w:r>
      <w:r>
        <w:rPr>
          <w:lang w:val="pl-PL"/>
        </w:rPr>
        <w:t>pośrednich skutków</w:t>
      </w:r>
      <w:r w:rsidRPr="000473D0">
        <w:rPr>
          <w:lang w:val="pl-PL"/>
        </w:rPr>
        <w:t xml:space="preserve"> zdarzenia.</w:t>
      </w:r>
    </w:p>
  </w:footnote>
  <w:footnote w:id="8">
    <w:p w14:paraId="4A4FBA3F" w14:textId="14A5FBED"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W odniesieniu do argumentów dotyczących autonomii obrony powołuję się na moją rozbieżną opinię w sprawie </w:t>
      </w:r>
      <w:r w:rsidRPr="000473D0">
        <w:rPr>
          <w:rStyle w:val="Odwoanieprzypisudolnego"/>
          <w:i/>
          <w:iCs/>
          <w:vertAlign w:val="baseline"/>
          <w:lang w:val="pl-PL"/>
        </w:rPr>
        <w:t xml:space="preserve">Correia de Matos przeciwko Portugalii </w:t>
      </w:r>
      <w:r w:rsidRPr="000473D0">
        <w:rPr>
          <w:rStyle w:val="Odwoanieprzypisudolnego"/>
          <w:vertAlign w:val="baseline"/>
          <w:lang w:val="pl-PL"/>
        </w:rPr>
        <w:t>[WI], wyrok z dnia 4</w:t>
      </w:r>
      <w:r w:rsidRPr="000473D0">
        <w:rPr>
          <w:lang w:val="pl-PL"/>
        </w:rPr>
        <w:t> </w:t>
      </w:r>
      <w:r w:rsidRPr="000473D0">
        <w:rPr>
          <w:rStyle w:val="Odwoanieprzypisudolnego"/>
          <w:vertAlign w:val="baseline"/>
          <w:lang w:val="pl-PL"/>
        </w:rPr>
        <w:t xml:space="preserve">kwietnia 2018 r., skarga </w:t>
      </w:r>
      <w:r>
        <w:rPr>
          <w:lang w:val="pl-PL"/>
        </w:rPr>
        <w:t>n</w:t>
      </w:r>
      <w:r w:rsidRPr="000473D0">
        <w:rPr>
          <w:rStyle w:val="Odwoanieprzypisudolnego"/>
          <w:vertAlign w:val="baseline"/>
          <w:lang w:val="pl-PL"/>
        </w:rPr>
        <w:t>r</w:t>
      </w:r>
      <w:r>
        <w:rPr>
          <w:lang w:val="pl-PL"/>
        </w:rPr>
        <w:t> </w:t>
      </w:r>
      <w:r w:rsidRPr="000473D0">
        <w:rPr>
          <w:rStyle w:val="Odwoanieprzypisudolnego"/>
          <w:vertAlign w:val="baseline"/>
          <w:lang w:val="pl-PL"/>
        </w:rPr>
        <w:t>56402/12.</w:t>
      </w:r>
    </w:p>
  </w:footnote>
  <w:footnote w:id="9">
    <w:p w14:paraId="6FA8F00E" w14:textId="1C001725" w:rsidR="00876D05" w:rsidRPr="000473D0" w:rsidRDefault="00876D05" w:rsidP="00623AB9">
      <w:pPr>
        <w:pStyle w:val="Tekstprzypisudolnego"/>
        <w:rPr>
          <w:lang w:val="pl-PL"/>
        </w:rPr>
      </w:pPr>
      <w:r>
        <w:rPr>
          <w:rStyle w:val="Odwoanieprzypisudolnego"/>
          <w:vertAlign w:val="baseline"/>
        </w:rPr>
        <w:footnoteRef/>
      </w:r>
      <w:r w:rsidRPr="000473D0">
        <w:rPr>
          <w:rStyle w:val="Odwoanieprzypisudolnego"/>
          <w:vertAlign w:val="baseline"/>
          <w:lang w:val="pl-PL"/>
        </w:rPr>
        <w:t xml:space="preserve">.   </w:t>
      </w:r>
      <w:r>
        <w:rPr>
          <w:lang w:val="pl-PL"/>
        </w:rPr>
        <w:t>O</w:t>
      </w:r>
      <w:r w:rsidRPr="000473D0">
        <w:rPr>
          <w:rStyle w:val="Odwoanieprzypisudolnego"/>
          <w:vertAlign w:val="baseline"/>
          <w:lang w:val="pl-PL"/>
        </w:rPr>
        <w:t>czekiwani</w:t>
      </w:r>
      <w:r>
        <w:rPr>
          <w:lang w:val="pl-PL"/>
        </w:rPr>
        <w:t>e</w:t>
      </w:r>
      <w:r w:rsidRPr="000473D0">
        <w:rPr>
          <w:rStyle w:val="Odwoanieprzypisudolnego"/>
          <w:vertAlign w:val="baseline"/>
          <w:lang w:val="pl-PL"/>
        </w:rPr>
        <w:t>, zgodnie z którymi wniosek obrony o przesłuchanie świadków w</w:t>
      </w:r>
      <w:r>
        <w:rPr>
          <w:lang w:val="pl-PL"/>
        </w:rPr>
        <w:t> </w:t>
      </w:r>
      <w:r w:rsidRPr="000473D0">
        <w:rPr>
          <w:rStyle w:val="Odwoanieprzypisudolnego"/>
          <w:vertAlign w:val="baseline"/>
          <w:lang w:val="pl-PL"/>
        </w:rPr>
        <w:t>imieniu obrony musi być gruntownie uzasadniony, są ściśle powiązane z kwestią ujawniania obrony, to znaczy</w:t>
      </w:r>
      <w:r w:rsidRPr="000473D0">
        <w:rPr>
          <w:lang w:val="pl-PL"/>
        </w:rPr>
        <w:t xml:space="preserve"> z obowiązkiem ujawniania przez obronę kontekstu i wszelkich innych informacji, w których posiadaniu może się znajdować, dotyczących dowodów, z</w:t>
      </w:r>
      <w:r>
        <w:rPr>
          <w:lang w:val="pl-PL"/>
        </w:rPr>
        <w:t> </w:t>
      </w:r>
      <w:r w:rsidRPr="000473D0">
        <w:rPr>
          <w:lang w:val="pl-PL"/>
        </w:rPr>
        <w:t>którymi ma zapoznać się sąd. Wszelki taki obowiązek jest mocno kontrowersyjny i</w:t>
      </w:r>
      <w:r>
        <w:rPr>
          <w:lang w:val="pl-PL"/>
        </w:rPr>
        <w:t> </w:t>
      </w:r>
      <w:r w:rsidRPr="000473D0">
        <w:rPr>
          <w:lang w:val="pl-PL"/>
        </w:rPr>
        <w:t xml:space="preserve">uznawany za problematyczny zarówno w teorii, jak i w praktyce międzynarodowych sądów karnych, z punktu widzenia podstawowych zasad prawa karnego, między innymi prawa do zachowania milczenia i domniemania niewinności. </w:t>
      </w:r>
      <w:r>
        <w:t xml:space="preserve">Zob. np. A. L.-T. Choo, </w:t>
      </w:r>
      <w:r>
        <w:rPr>
          <w:i/>
          <w:iCs/>
        </w:rPr>
        <w:t>Give Us What You Have—Information, Compulsion and the Privilege against Self-incrimination as a Human Right</w:t>
      </w:r>
      <w:r>
        <w:t xml:space="preserve">’ w: P. Roberts i J. Hunter, </w:t>
      </w:r>
      <w:r>
        <w:rPr>
          <w:i/>
          <w:iCs/>
        </w:rPr>
        <w:t xml:space="preserve">Criminal Evidence and Human Rights: Reimagining Common Law Procedural Traditions </w:t>
      </w:r>
      <w:r>
        <w:t xml:space="preserve">(Hart: Oxford, 2012); oraz </w:t>
      </w:r>
      <w:r>
        <w:rPr>
          <w:color w:val="333333"/>
        </w:rPr>
        <w:t xml:space="preserve">Masha Fedorova, </w:t>
      </w:r>
      <w:r>
        <w:rPr>
          <w:i/>
          <w:iCs/>
          <w:color w:val="333333"/>
        </w:rPr>
        <w:t>Disclosure of Information as an Instrument Ensuring Equality of Arms in International Criminal Proceedings</w:t>
      </w:r>
      <w:r>
        <w:rPr>
          <w:color w:val="333333"/>
        </w:rPr>
        <w:t xml:space="preserve">, w: Mayeul Hiéramente, Patricia Schneider (pod red.) </w:t>
      </w:r>
      <w:r>
        <w:rPr>
          <w:i/>
          <w:iCs/>
          <w:color w:val="333333"/>
        </w:rPr>
        <w:t>The Defense in International Criminal Trials:</w:t>
      </w:r>
      <w:r>
        <w:rPr>
          <w:b/>
          <w:bCs/>
          <w:color w:val="333333"/>
        </w:rPr>
        <w:t xml:space="preserve"> </w:t>
      </w:r>
      <w:r>
        <w:rPr>
          <w:i/>
          <w:iCs/>
          <w:color w:val="333333"/>
        </w:rPr>
        <w:t>Observations on the Role of the Defense at the ICTY, ICTR and ICC</w:t>
      </w:r>
      <w:r>
        <w:rPr>
          <w:color w:val="333333"/>
        </w:rPr>
        <w:t xml:space="preserve"> (wydanie pierwsze, 2016). </w:t>
      </w:r>
      <w:r w:rsidRPr="000473D0">
        <w:rPr>
          <w:color w:val="333333"/>
          <w:lang w:val="pl-PL"/>
        </w:rPr>
        <w:t xml:space="preserve">W odniesieniu do międzynarodowego orzecznictwa, zob. np. </w:t>
      </w:r>
      <w:r w:rsidRPr="000473D0">
        <w:rPr>
          <w:lang w:val="pl-PL"/>
        </w:rPr>
        <w:t xml:space="preserve">orzeczenie Międzynarodowego Trybunału Karnego dla byłej Jugosławii </w:t>
      </w:r>
      <w:r w:rsidRPr="000473D0">
        <w:rPr>
          <w:i/>
          <w:iCs/>
          <w:lang w:val="pl-PL"/>
        </w:rPr>
        <w:t>Prokurator przeciwko Tadić</w:t>
      </w:r>
      <w:r w:rsidRPr="000473D0">
        <w:rPr>
          <w:lang w:val="pl-PL"/>
        </w:rPr>
        <w:t>, (decyzja w sprawie wniosku oskarżenia o</w:t>
      </w:r>
      <w:r>
        <w:rPr>
          <w:lang w:val="pl-PL"/>
        </w:rPr>
        <w:t> </w:t>
      </w:r>
      <w:r w:rsidRPr="000473D0">
        <w:rPr>
          <w:lang w:val="pl-PL"/>
        </w:rPr>
        <w:t>przedstawienie zeznań świadka obrony, IT-94-I-T, 27 listopada 1996</w:t>
      </w:r>
      <w:r>
        <w:rPr>
          <w:lang w:val="pl-PL"/>
        </w:rPr>
        <w:t> r.</w:t>
      </w:r>
      <w:r w:rsidRPr="000473D0">
        <w:rPr>
          <w:lang w:val="pl-PL"/>
        </w:rPr>
        <w:t>).</w:t>
      </w:r>
    </w:p>
  </w:footnote>
  <w:footnote w:id="10">
    <w:p w14:paraId="3F0E3BE0" w14:textId="73CD8006"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Por. orzeczenie Izby Odwoławczej Międzynarodowego Trybunału Karnego dla byłej Jugosławii w sprawie </w:t>
      </w:r>
      <w:r w:rsidRPr="000473D0">
        <w:rPr>
          <w:rStyle w:val="Odwoanieprzypisudolnego"/>
          <w:i/>
          <w:iCs/>
          <w:vertAlign w:val="baseline"/>
          <w:lang w:val="pl-PL"/>
        </w:rPr>
        <w:t>Prokurator przeciwko Krstić</w:t>
      </w:r>
      <w:r w:rsidRPr="000473D0">
        <w:rPr>
          <w:rStyle w:val="Odwoanieprzypisudolnego"/>
          <w:vertAlign w:val="baseline"/>
          <w:lang w:val="pl-PL"/>
        </w:rPr>
        <w:t xml:space="preserve"> (decyzja w sprawie stosowania wezwań, sprawa nr IT-98-33-A, 1 lipca 2003 r., §</w:t>
      </w:r>
      <w:r w:rsidRPr="000473D0">
        <w:rPr>
          <w:lang w:val="pl-PL"/>
        </w:rPr>
        <w:t> </w:t>
      </w:r>
      <w:r w:rsidRPr="000473D0">
        <w:rPr>
          <w:rStyle w:val="Odwoanieprzypisudolnego"/>
          <w:vertAlign w:val="baseline"/>
          <w:lang w:val="pl-PL"/>
        </w:rPr>
        <w:t>11).</w:t>
      </w:r>
    </w:p>
  </w:footnote>
  <w:footnote w:id="11">
    <w:p w14:paraId="201BE4B5" w14:textId="07BA1F2B"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Zob. między innymi orzecznictwo </w:t>
      </w:r>
      <w:bookmarkStart w:id="123" w:name="File4"/>
      <w:r w:rsidRPr="000473D0">
        <w:rPr>
          <w:rStyle w:val="Odwoanieprzypisudolnego"/>
          <w:i/>
          <w:iCs/>
          <w:vertAlign w:val="baseline"/>
          <w:lang w:val="pl-PL"/>
        </w:rPr>
        <w:t xml:space="preserve">Ibrahim </w:t>
      </w:r>
      <w:bookmarkEnd w:id="123"/>
      <w:r w:rsidRPr="000473D0">
        <w:rPr>
          <w:rStyle w:val="Odwoanieprzypisudolnego"/>
          <w:i/>
          <w:iCs/>
          <w:vertAlign w:val="baseline"/>
          <w:lang w:val="pl-PL"/>
        </w:rPr>
        <w:t xml:space="preserve">i Inni przeciwko Zjednoczonemu Królestwu </w:t>
      </w:r>
      <w:r w:rsidRPr="000473D0">
        <w:rPr>
          <w:rStyle w:val="Odwoanieprzypisudolnego"/>
          <w:vertAlign w:val="baseline"/>
          <w:lang w:val="pl-PL"/>
        </w:rPr>
        <w:t>[WI], wyrok z dnia 13 września 2016 r., skarga nr 50541/08 i 3 inne;</w:t>
      </w:r>
      <w:r>
        <w:rPr>
          <w:lang w:val="pl-PL"/>
        </w:rPr>
        <w:t xml:space="preserve"> </w:t>
      </w:r>
      <w:r w:rsidRPr="000473D0">
        <w:rPr>
          <w:rStyle w:val="Odwoanieprzypisudolnego"/>
          <w:i/>
          <w:iCs/>
          <w:vertAlign w:val="baseline"/>
          <w:lang w:val="pl-PL"/>
        </w:rPr>
        <w:t xml:space="preserve">Schatschaschwili przeciwko Niemcom </w:t>
      </w:r>
      <w:r w:rsidRPr="000473D0">
        <w:rPr>
          <w:rStyle w:val="Odwoanieprzypisudolnego"/>
          <w:vertAlign w:val="baseline"/>
          <w:lang w:val="pl-PL"/>
        </w:rPr>
        <w:t xml:space="preserve">[WI], skarga nr 9154/10, ETPCz 2015; </w:t>
      </w:r>
      <w:r w:rsidRPr="000473D0">
        <w:rPr>
          <w:rStyle w:val="Odwoanieprzypisudolnego"/>
          <w:i/>
          <w:iCs/>
          <w:vertAlign w:val="baseline"/>
          <w:lang w:val="pl-PL"/>
        </w:rPr>
        <w:t>Simeonovi przeciwko Bułgarii</w:t>
      </w:r>
      <w:r w:rsidRPr="000473D0">
        <w:rPr>
          <w:rStyle w:val="Odwoanieprzypisudolnego"/>
          <w:vertAlign w:val="baseline"/>
          <w:lang w:val="pl-PL"/>
        </w:rPr>
        <w:t xml:space="preserve"> [WI], wyrok z dnia 12 maja 2017 r., skarga nr</w:t>
      </w:r>
      <w:r w:rsidRPr="000473D0">
        <w:rPr>
          <w:lang w:val="pl-PL"/>
        </w:rPr>
        <w:t> </w:t>
      </w:r>
      <w:r w:rsidRPr="000473D0">
        <w:rPr>
          <w:rStyle w:val="Odwoanieprzypisudolnego"/>
          <w:vertAlign w:val="baseline"/>
          <w:lang w:val="pl-PL"/>
        </w:rPr>
        <w:t>21980/04.</w:t>
      </w:r>
    </w:p>
  </w:footnote>
  <w:footnote w:id="12">
    <w:p w14:paraId="6921AF8B" w14:textId="6986030A"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Zob. na przykład </w:t>
      </w:r>
      <w:r w:rsidRPr="000473D0">
        <w:rPr>
          <w:rStyle w:val="Odwoanieprzypisudolnego"/>
          <w:i/>
          <w:iCs/>
          <w:vertAlign w:val="baseline"/>
          <w:lang w:val="pl-PL"/>
        </w:rPr>
        <w:t>Kamasinski przeciwko Austrii,</w:t>
      </w:r>
      <w:r w:rsidRPr="000473D0">
        <w:rPr>
          <w:rStyle w:val="Odwoanieprzypisudolnego"/>
          <w:vertAlign w:val="baseline"/>
          <w:lang w:val="pl-PL"/>
        </w:rPr>
        <w:t xml:space="preserve"> </w:t>
      </w:r>
      <w:r w:rsidRPr="000473D0">
        <w:rPr>
          <w:lang w:val="pl-PL"/>
        </w:rPr>
        <w:t xml:space="preserve">z dnia </w:t>
      </w:r>
      <w:r w:rsidRPr="000473D0">
        <w:rPr>
          <w:rStyle w:val="Odwoanieprzypisudolnego"/>
          <w:vertAlign w:val="baseline"/>
          <w:lang w:val="pl-PL"/>
        </w:rPr>
        <w:t>19 grudnia 1989 r., Seria A nr</w:t>
      </w:r>
      <w:r>
        <w:rPr>
          <w:lang w:val="pl-PL"/>
        </w:rPr>
        <w:t> </w:t>
      </w:r>
      <w:r w:rsidRPr="000473D0">
        <w:rPr>
          <w:rStyle w:val="Odwoanieprzypisudolnego"/>
          <w:vertAlign w:val="baseline"/>
          <w:lang w:val="pl-PL"/>
        </w:rPr>
        <w:t xml:space="preserve">168; </w:t>
      </w:r>
      <w:r w:rsidRPr="000473D0">
        <w:rPr>
          <w:rStyle w:val="Odwoanieprzypisudolnego"/>
          <w:i/>
          <w:iCs/>
          <w:vertAlign w:val="baseline"/>
          <w:lang w:val="pl-PL"/>
        </w:rPr>
        <w:t>Hadjianastassiou przeciwko Grecji,</w:t>
      </w:r>
      <w:r w:rsidRPr="000473D0">
        <w:rPr>
          <w:rStyle w:val="Odwoanieprzypisudolnego"/>
          <w:vertAlign w:val="baseline"/>
          <w:lang w:val="pl-PL"/>
        </w:rPr>
        <w:t xml:space="preserve"> </w:t>
      </w:r>
      <w:r>
        <w:rPr>
          <w:lang w:val="pl-PL"/>
        </w:rPr>
        <w:t xml:space="preserve">z dnia </w:t>
      </w:r>
      <w:r w:rsidRPr="000473D0">
        <w:rPr>
          <w:rStyle w:val="Odwoanieprzypisudolnego"/>
          <w:vertAlign w:val="baseline"/>
          <w:lang w:val="pl-PL"/>
        </w:rPr>
        <w:t>16 grudnia 1992 r., Seria A nr</w:t>
      </w:r>
      <w:r>
        <w:rPr>
          <w:lang w:val="pl-PL"/>
        </w:rPr>
        <w:t> </w:t>
      </w:r>
      <w:r w:rsidRPr="000473D0">
        <w:rPr>
          <w:rStyle w:val="Odwoanieprzypisudolnego"/>
          <w:vertAlign w:val="baseline"/>
          <w:lang w:val="pl-PL"/>
        </w:rPr>
        <w:t xml:space="preserve">252; oraz </w:t>
      </w:r>
      <w:r w:rsidRPr="000473D0">
        <w:rPr>
          <w:rStyle w:val="Odwoanieprzypisudolnego"/>
          <w:i/>
          <w:iCs/>
          <w:vertAlign w:val="baseline"/>
          <w:lang w:val="pl-PL"/>
        </w:rPr>
        <w:t>Vacher przeciwko Francji</w:t>
      </w:r>
      <w:r w:rsidRPr="000473D0">
        <w:rPr>
          <w:rStyle w:val="Odwoanieprzypisudolnego"/>
          <w:vertAlign w:val="baseline"/>
          <w:lang w:val="pl-PL"/>
        </w:rPr>
        <w:t xml:space="preserve">, 17 grudnia 1996 r., </w:t>
      </w:r>
      <w:r>
        <w:rPr>
          <w:lang w:val="pl-PL"/>
        </w:rPr>
        <w:t>Sprawozdania</w:t>
      </w:r>
      <w:r w:rsidRPr="000473D0">
        <w:rPr>
          <w:rStyle w:val="Odwoanieprzypisudolnego"/>
          <w:vertAlign w:val="baseline"/>
          <w:lang w:val="pl-PL"/>
        </w:rPr>
        <w:t xml:space="preserve"> 1996</w:t>
      </w:r>
      <w:r w:rsidRPr="000473D0">
        <w:rPr>
          <w:rStyle w:val="Odwoanieprzypisudolnego"/>
          <w:vertAlign w:val="baseline"/>
          <w:lang w:val="pl-PL"/>
        </w:rPr>
        <w:noBreakHyphen/>
        <w:t>VI.</w:t>
      </w:r>
    </w:p>
  </w:footnote>
  <w:footnote w:id="13">
    <w:p w14:paraId="4C5865C0" w14:textId="18A43C00"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Zob. na przykład </w:t>
      </w:r>
      <w:r w:rsidRPr="000473D0">
        <w:rPr>
          <w:rStyle w:val="Odwoanieprzypisudolnego"/>
          <w:i/>
          <w:iCs/>
          <w:vertAlign w:val="baseline"/>
          <w:lang w:val="pl-PL"/>
        </w:rPr>
        <w:t>Barberà, Messegué i Jabardo przeciwko Hiszpanii</w:t>
      </w:r>
      <w:r w:rsidRPr="000473D0">
        <w:rPr>
          <w:rStyle w:val="Odwoanieprzypisudolnego"/>
          <w:vertAlign w:val="baseline"/>
          <w:lang w:val="pl-PL"/>
        </w:rPr>
        <w:t xml:space="preserve">, </w:t>
      </w:r>
      <w:r w:rsidRPr="000473D0">
        <w:rPr>
          <w:lang w:val="pl-PL"/>
        </w:rPr>
        <w:t xml:space="preserve">z dnia </w:t>
      </w:r>
      <w:r w:rsidRPr="000473D0">
        <w:rPr>
          <w:rStyle w:val="Odwoanieprzypisudolnego"/>
          <w:vertAlign w:val="baseline"/>
          <w:lang w:val="pl-PL"/>
        </w:rPr>
        <w:t>6 grudnia 1988 r., Seria A nr</w:t>
      </w:r>
      <w:r>
        <w:rPr>
          <w:lang w:val="pl-PL"/>
        </w:rPr>
        <w:t> </w:t>
      </w:r>
      <w:r w:rsidRPr="000473D0">
        <w:rPr>
          <w:rStyle w:val="Odwoanieprzypisudolnego"/>
          <w:vertAlign w:val="baseline"/>
          <w:lang w:val="pl-PL"/>
        </w:rPr>
        <w:t>146.</w:t>
      </w:r>
    </w:p>
  </w:footnote>
  <w:footnote w:id="14">
    <w:p w14:paraId="7644530F" w14:textId="324A71EE"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Zob. na przykład </w:t>
      </w:r>
      <w:r w:rsidRPr="000473D0">
        <w:rPr>
          <w:rStyle w:val="Odwoanieprzypisudolnego"/>
          <w:i/>
          <w:iCs/>
          <w:vertAlign w:val="baseline"/>
          <w:lang w:val="pl-PL"/>
        </w:rPr>
        <w:t>Pullicino przeciwko Malcie</w:t>
      </w:r>
      <w:r w:rsidRPr="000473D0">
        <w:rPr>
          <w:rStyle w:val="Odwoanieprzypisudolnego"/>
          <w:vertAlign w:val="baseline"/>
          <w:lang w:val="pl-PL"/>
        </w:rPr>
        <w:t xml:space="preserve">, (dec.), </w:t>
      </w:r>
      <w:r>
        <w:rPr>
          <w:lang w:val="pl-PL"/>
        </w:rPr>
        <w:t xml:space="preserve">skarga nr </w:t>
      </w:r>
      <w:r w:rsidRPr="000473D0">
        <w:rPr>
          <w:rStyle w:val="Odwoanieprzypisudolnego"/>
          <w:vertAlign w:val="baseline"/>
          <w:lang w:val="pl-PL"/>
        </w:rPr>
        <w:t>nr</w:t>
      </w:r>
      <w:r w:rsidRPr="000473D0">
        <w:rPr>
          <w:lang w:val="pl-PL"/>
        </w:rPr>
        <w:t> </w:t>
      </w:r>
      <w:r w:rsidRPr="000473D0">
        <w:rPr>
          <w:rStyle w:val="Odwoanieprzypisudolnego"/>
          <w:vertAlign w:val="baseline"/>
          <w:lang w:val="pl-PL"/>
        </w:rPr>
        <w:t>45441/99, ETPCz 2000</w:t>
      </w:r>
      <w:r w:rsidRPr="000473D0">
        <w:rPr>
          <w:rFonts w:cstheme="minorHAnsi"/>
          <w:lang w:val="pl-PL"/>
        </w:rPr>
        <w:t>−</w:t>
      </w:r>
      <w:r w:rsidRPr="000473D0">
        <w:rPr>
          <w:rStyle w:val="Odwoanieprzypisudolnego"/>
          <w:vertAlign w:val="baseline"/>
          <w:lang w:val="pl-PL"/>
        </w:rPr>
        <w:t>II.</w:t>
      </w:r>
    </w:p>
  </w:footnote>
  <w:footnote w:id="15">
    <w:p w14:paraId="36335E43" w14:textId="2FC30737" w:rsidR="00876D05" w:rsidRPr="00D94B39" w:rsidRDefault="00876D05" w:rsidP="00623AB9">
      <w:pPr>
        <w:pStyle w:val="Tekstprzypisudolnego"/>
      </w:pPr>
      <w:r>
        <w:rPr>
          <w:rStyle w:val="Odwoanieprzypisudolnego"/>
          <w:vertAlign w:val="baseline"/>
        </w:rPr>
        <w:footnoteRef/>
      </w:r>
      <w:r>
        <w:rPr>
          <w:rStyle w:val="Odwoanieprzypisudolnego"/>
          <w:vertAlign w:val="baseline"/>
        </w:rPr>
        <w:t xml:space="preserve">.  Zob. na przykład </w:t>
      </w:r>
      <w:r>
        <w:rPr>
          <w:rStyle w:val="Odwoanieprzypisudolnego"/>
          <w:i/>
          <w:iCs/>
          <w:vertAlign w:val="baseline"/>
        </w:rPr>
        <w:t>Bulut przeciwko Austrii</w:t>
      </w:r>
      <w:r>
        <w:rPr>
          <w:rStyle w:val="Odwoanieprzypisudolnego"/>
          <w:vertAlign w:val="baseline"/>
        </w:rPr>
        <w:t xml:space="preserve">, z dnia 22 lutego 1996 r., </w:t>
      </w:r>
      <w:r>
        <w:t>Sprawozdania</w:t>
      </w:r>
      <w:r>
        <w:rPr>
          <w:rStyle w:val="Odwoanieprzypisudolnego"/>
          <w:vertAlign w:val="baseline"/>
        </w:rPr>
        <w:t xml:space="preserve"> 1996</w:t>
      </w:r>
      <w:r>
        <w:rPr>
          <w:rStyle w:val="Odwoanieprzypisudolnego"/>
          <w:vertAlign w:val="baseline"/>
        </w:rPr>
        <w:noBreakHyphen/>
        <w:t xml:space="preserve">II; </w:t>
      </w:r>
      <w:r>
        <w:rPr>
          <w:rStyle w:val="Odwoanieprzypisudolnego"/>
          <w:i/>
          <w:iCs/>
          <w:vertAlign w:val="baseline"/>
        </w:rPr>
        <w:t xml:space="preserve">Öcalan przeciwko Turcji </w:t>
      </w:r>
      <w:r>
        <w:rPr>
          <w:rStyle w:val="Odwoanieprzypisudolnego"/>
          <w:vertAlign w:val="baseline"/>
        </w:rPr>
        <w:t xml:space="preserve">[WI], </w:t>
      </w:r>
      <w:r>
        <w:t xml:space="preserve">skarga </w:t>
      </w:r>
      <w:r>
        <w:rPr>
          <w:rStyle w:val="Odwoanieprzypisudolnego"/>
          <w:vertAlign w:val="baseline"/>
        </w:rPr>
        <w:t>nr</w:t>
      </w:r>
      <w:r>
        <w:t> </w:t>
      </w:r>
      <w:r>
        <w:rPr>
          <w:rStyle w:val="Odwoanieprzypisudolnego"/>
          <w:vertAlign w:val="baseline"/>
        </w:rPr>
        <w:t>46221/99, ETPCz 2005</w:t>
      </w:r>
      <w:r>
        <w:rPr>
          <w:rStyle w:val="Odwoanieprzypisudolnego"/>
          <w:vertAlign w:val="baseline"/>
        </w:rPr>
        <w:noBreakHyphen/>
        <w:t>IV; a także Omkar Sidhu, The Concept of</w:t>
      </w:r>
      <w:r>
        <w:rPr>
          <w:i/>
          <w:iCs/>
        </w:rPr>
        <w:t xml:space="preserve"> Equality of Arms in Criminal Proceedings under Article 6 of the European Convention on Human Rights</w:t>
      </w:r>
      <w:r>
        <w:t>, Intersentia, 2017.</w:t>
      </w:r>
    </w:p>
  </w:footnote>
  <w:footnote w:id="16">
    <w:p w14:paraId="6BB3F4E6" w14:textId="302B89ED"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w:t>
      </w:r>
      <w:r w:rsidRPr="000473D0">
        <w:rPr>
          <w:lang w:val="pl-PL"/>
        </w:rPr>
        <w:t>Z</w:t>
      </w:r>
      <w:r w:rsidRPr="000473D0">
        <w:rPr>
          <w:rStyle w:val="Odwoanieprzypisudolnego"/>
          <w:vertAlign w:val="baseline"/>
          <w:lang w:val="pl-PL"/>
        </w:rPr>
        <w:t xml:space="preserve">asada ta jest ściśle powiązana z zasadą równości stron. Oznacza, że każda strona musi mieć co do zasady możliwość posiadania wiedzy i komentowania w odniesieniu do wszelkich przedstawionych dowodów lub uwag złożonych w celu wywarcia wpływu na orzeczenie sądu </w:t>
      </w:r>
      <w:r>
        <w:rPr>
          <w:rFonts w:cstheme="minorHAnsi"/>
          <w:lang w:val="pl-PL"/>
        </w:rPr>
        <w:t>−</w:t>
      </w:r>
      <w:r w:rsidRPr="000473D0">
        <w:rPr>
          <w:rStyle w:val="Odwoanieprzypisudolnego"/>
          <w:vertAlign w:val="baseline"/>
          <w:lang w:val="pl-PL"/>
        </w:rPr>
        <w:t xml:space="preserve"> zob. </w:t>
      </w:r>
      <w:r w:rsidRPr="000473D0">
        <w:rPr>
          <w:rStyle w:val="Odwoanieprzypisudolnego"/>
          <w:i/>
          <w:iCs/>
          <w:vertAlign w:val="baseline"/>
          <w:lang w:val="pl-PL"/>
        </w:rPr>
        <w:t xml:space="preserve">Meftah i Inni przeciwko Francji, </w:t>
      </w:r>
      <w:r w:rsidRPr="000473D0">
        <w:rPr>
          <w:rStyle w:val="Odwoanieprzypisudolnego"/>
          <w:vertAlign w:val="baseline"/>
          <w:lang w:val="pl-PL"/>
        </w:rPr>
        <w:t>[WI], skarga nr</w:t>
      </w:r>
      <w:r>
        <w:rPr>
          <w:lang w:val="pl-PL"/>
        </w:rPr>
        <w:t> </w:t>
      </w:r>
      <w:r w:rsidRPr="000473D0">
        <w:rPr>
          <w:rStyle w:val="Odwoanieprzypisudolnego"/>
          <w:vertAlign w:val="baseline"/>
          <w:lang w:val="pl-PL"/>
        </w:rPr>
        <w:t>32911/96 i 2 inne, E</w:t>
      </w:r>
      <w:r>
        <w:rPr>
          <w:lang w:val="pl-PL"/>
        </w:rPr>
        <w:t>TPCz</w:t>
      </w:r>
      <w:r w:rsidRPr="000473D0">
        <w:rPr>
          <w:rStyle w:val="Odwoanieprzypisudolnego"/>
          <w:vertAlign w:val="baseline"/>
          <w:lang w:val="pl-PL"/>
        </w:rPr>
        <w:t xml:space="preserve"> 2002</w:t>
      </w:r>
      <w:r w:rsidRPr="000473D0">
        <w:rPr>
          <w:rStyle w:val="Odwoanieprzypisudolnego"/>
          <w:vertAlign w:val="baseline"/>
          <w:lang w:val="pl-PL"/>
        </w:rPr>
        <w:noBreakHyphen/>
        <w:t>VII.</w:t>
      </w:r>
    </w:p>
  </w:footnote>
  <w:footnote w:id="17">
    <w:p w14:paraId="71C6FD1C" w14:textId="2AFF90EA" w:rsidR="00876D05" w:rsidRPr="000473D0" w:rsidRDefault="00876D05" w:rsidP="00623AB9">
      <w:pPr>
        <w:pStyle w:val="Tekstprzypisudolnego"/>
        <w:rPr>
          <w:lang w:val="pl-PL"/>
        </w:rPr>
      </w:pPr>
      <w:r>
        <w:rPr>
          <w:rStyle w:val="Odwoanieprzypisudolnego"/>
          <w:vertAlign w:val="baseline"/>
        </w:rPr>
        <w:footnoteRef/>
      </w:r>
      <w:r w:rsidRPr="000473D0">
        <w:rPr>
          <w:lang w:val="pl-PL"/>
        </w:rPr>
        <w:t xml:space="preserve">.  Zob. na przykład </w:t>
      </w:r>
      <w:r w:rsidRPr="000473D0">
        <w:rPr>
          <w:i/>
          <w:iCs/>
          <w:lang w:val="pl-PL"/>
        </w:rPr>
        <w:t>Stanford przeciwko Zjednoczonemu Królestwu</w:t>
      </w:r>
      <w:r w:rsidRPr="000473D0">
        <w:rPr>
          <w:lang w:val="pl-PL"/>
        </w:rPr>
        <w:t xml:space="preserve">, </w:t>
      </w:r>
      <w:r w:rsidRPr="000473D0">
        <w:rPr>
          <w:i/>
          <w:iCs/>
          <w:lang w:val="pl-PL"/>
        </w:rPr>
        <w:t>op.</w:t>
      </w:r>
      <w:r>
        <w:rPr>
          <w:i/>
          <w:iCs/>
          <w:lang w:val="pl-PL"/>
        </w:rPr>
        <w:t xml:space="preserve"> </w:t>
      </w:r>
      <w:r w:rsidRPr="000473D0">
        <w:rPr>
          <w:i/>
          <w:iCs/>
          <w:lang w:val="pl-PL"/>
        </w:rPr>
        <w:t>cit.</w:t>
      </w:r>
    </w:p>
  </w:footnote>
  <w:footnote w:id="18">
    <w:p w14:paraId="79E90830" w14:textId="1B7A607C"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Zob. na przykład </w:t>
      </w:r>
      <w:r w:rsidRPr="000473D0">
        <w:rPr>
          <w:rStyle w:val="Odwoanieprzypisudolnego"/>
          <w:i/>
          <w:iCs/>
          <w:vertAlign w:val="baseline"/>
          <w:lang w:val="pl-PL"/>
        </w:rPr>
        <w:t>Ruiz Torija przeciwko Hiszpanii</w:t>
      </w:r>
      <w:r w:rsidRPr="000473D0">
        <w:rPr>
          <w:rStyle w:val="Odwoanieprzypisudolnego"/>
          <w:vertAlign w:val="baseline"/>
          <w:lang w:val="pl-PL"/>
        </w:rPr>
        <w:t xml:space="preserve">, </w:t>
      </w:r>
      <w:r w:rsidRPr="000473D0">
        <w:rPr>
          <w:lang w:val="pl-PL"/>
        </w:rPr>
        <w:t xml:space="preserve">z dnia </w:t>
      </w:r>
      <w:r w:rsidRPr="000473D0">
        <w:rPr>
          <w:rStyle w:val="Odwoanieprzypisudolnego"/>
          <w:vertAlign w:val="baseline"/>
          <w:lang w:val="pl-PL"/>
        </w:rPr>
        <w:t>9 grudnia 1994 r., Seria A</w:t>
      </w:r>
      <w:r>
        <w:rPr>
          <w:lang w:val="pl-PL"/>
        </w:rPr>
        <w:t> </w:t>
      </w:r>
      <w:r w:rsidRPr="000473D0">
        <w:rPr>
          <w:rStyle w:val="Odwoanieprzypisudolnego"/>
          <w:vertAlign w:val="baseline"/>
          <w:lang w:val="pl-PL"/>
        </w:rPr>
        <w:t>nr</w:t>
      </w:r>
      <w:r>
        <w:rPr>
          <w:lang w:val="pl-PL"/>
        </w:rPr>
        <w:t> </w:t>
      </w:r>
      <w:r w:rsidRPr="000473D0">
        <w:rPr>
          <w:rStyle w:val="Odwoanieprzypisudolnego"/>
          <w:vertAlign w:val="baseline"/>
          <w:lang w:val="pl-PL"/>
        </w:rPr>
        <w:t>303</w:t>
      </w:r>
      <w:r>
        <w:rPr>
          <w:rFonts w:cstheme="minorHAnsi"/>
          <w:lang w:val="pl-PL"/>
        </w:rPr>
        <w:t>−</w:t>
      </w:r>
      <w:r w:rsidRPr="000473D0">
        <w:rPr>
          <w:rStyle w:val="Odwoanieprzypisudolnego"/>
          <w:vertAlign w:val="baseline"/>
          <w:lang w:val="pl-PL"/>
        </w:rPr>
        <w:t>A.</w:t>
      </w:r>
    </w:p>
  </w:footnote>
  <w:footnote w:id="19">
    <w:p w14:paraId="7BEC24BA" w14:textId="57943B15"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Zob. na przykład </w:t>
      </w:r>
      <w:r w:rsidRPr="000473D0">
        <w:rPr>
          <w:rStyle w:val="Odwoanieprzypisudolnego"/>
          <w:i/>
          <w:iCs/>
          <w:vertAlign w:val="baseline"/>
          <w:lang w:val="pl-PL"/>
        </w:rPr>
        <w:t>Cerovšek i Božičnik przeciwko Słowenii</w:t>
      </w:r>
      <w:r w:rsidRPr="000473D0">
        <w:rPr>
          <w:rStyle w:val="Odwoanieprzypisudolnego"/>
          <w:vertAlign w:val="baseline"/>
          <w:lang w:val="pl-PL"/>
        </w:rPr>
        <w:t>, skarga nr</w:t>
      </w:r>
      <w:r w:rsidRPr="000473D0">
        <w:rPr>
          <w:lang w:val="pl-PL"/>
        </w:rPr>
        <w:t> </w:t>
      </w:r>
      <w:r w:rsidRPr="000473D0">
        <w:rPr>
          <w:rStyle w:val="Odwoanieprzypisudolnego"/>
          <w:vertAlign w:val="baseline"/>
          <w:lang w:val="pl-PL"/>
        </w:rPr>
        <w:t>68939/12 i</w:t>
      </w:r>
      <w:r>
        <w:rPr>
          <w:lang w:val="pl-PL"/>
        </w:rPr>
        <w:t> </w:t>
      </w:r>
      <w:r w:rsidRPr="000473D0">
        <w:rPr>
          <w:rStyle w:val="Odwoanieprzypisudolnego"/>
          <w:vertAlign w:val="baseline"/>
          <w:lang w:val="pl-PL"/>
        </w:rPr>
        <w:t>68949/12, wyrok z dnia 7 marca 2017 r.</w:t>
      </w:r>
    </w:p>
  </w:footnote>
  <w:footnote w:id="20">
    <w:p w14:paraId="2D49E730" w14:textId="4107E130"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xml:space="preserve">.  Zob. na przykład </w:t>
      </w:r>
      <w:r w:rsidRPr="000473D0">
        <w:rPr>
          <w:rStyle w:val="Odwoanieprzypisudolnego"/>
          <w:i/>
          <w:iCs/>
          <w:vertAlign w:val="baseline"/>
          <w:lang w:val="pl-PL"/>
        </w:rPr>
        <w:t>Borgers przeciwko Belgii</w:t>
      </w:r>
      <w:r w:rsidRPr="000473D0">
        <w:rPr>
          <w:rStyle w:val="Odwoanieprzypisudolnego"/>
          <w:vertAlign w:val="baseline"/>
          <w:lang w:val="pl-PL"/>
        </w:rPr>
        <w:t xml:space="preserve">, </w:t>
      </w:r>
      <w:r w:rsidRPr="000473D0">
        <w:rPr>
          <w:lang w:val="pl-PL"/>
        </w:rPr>
        <w:t xml:space="preserve">z dnia </w:t>
      </w:r>
      <w:r w:rsidRPr="000473D0">
        <w:rPr>
          <w:rStyle w:val="Odwoanieprzypisudolnego"/>
          <w:vertAlign w:val="baseline"/>
          <w:lang w:val="pl-PL"/>
        </w:rPr>
        <w:t>30 października 1991 r., Seria A</w:t>
      </w:r>
      <w:r>
        <w:rPr>
          <w:lang w:val="pl-PL"/>
        </w:rPr>
        <w:t> </w:t>
      </w:r>
      <w:r w:rsidRPr="000473D0">
        <w:rPr>
          <w:rStyle w:val="Odwoanieprzypisudolnego"/>
          <w:vertAlign w:val="baseline"/>
          <w:lang w:val="pl-PL"/>
        </w:rPr>
        <w:t>nr</w:t>
      </w:r>
      <w:r>
        <w:rPr>
          <w:lang w:val="pl-PL"/>
        </w:rPr>
        <w:t> </w:t>
      </w:r>
      <w:r w:rsidRPr="000473D0">
        <w:rPr>
          <w:rStyle w:val="Odwoanieprzypisudolnego"/>
          <w:vertAlign w:val="baseline"/>
          <w:lang w:val="pl-PL"/>
        </w:rPr>
        <w:t>214 B.</w:t>
      </w:r>
    </w:p>
  </w:footnote>
  <w:footnote w:id="21">
    <w:p w14:paraId="0736DA68" w14:textId="2B81AFA1" w:rsidR="00876D05" w:rsidRPr="00DC11E2" w:rsidRDefault="00876D05" w:rsidP="00623AB9">
      <w:pPr>
        <w:pStyle w:val="Tekstprzypisudolnego"/>
        <w:rPr>
          <w:rStyle w:val="Odwoanieprzypisudolnego"/>
          <w:vertAlign w:val="baseline"/>
        </w:rPr>
      </w:pPr>
      <w:r>
        <w:rPr>
          <w:rStyle w:val="Odwoanieprzypisudolnego"/>
          <w:vertAlign w:val="baseline"/>
        </w:rPr>
        <w:footnoteRef/>
      </w:r>
      <w:r>
        <w:rPr>
          <w:rStyle w:val="Odwoanieprzypisudolnego"/>
          <w:vertAlign w:val="baseline"/>
        </w:rPr>
        <w:t xml:space="preserve">.  Zob. na przykład </w:t>
      </w:r>
      <w:r>
        <w:rPr>
          <w:rStyle w:val="Odwoanieprzypisudolnego"/>
          <w:i/>
          <w:iCs/>
          <w:vertAlign w:val="baseline"/>
        </w:rPr>
        <w:t>Nejdet Şahin i Perihan Şahin przeciwko Turcji</w:t>
      </w:r>
      <w:r>
        <w:rPr>
          <w:rStyle w:val="Odwoanieprzypisudolnego"/>
          <w:vertAlign w:val="baseline"/>
        </w:rPr>
        <w:t xml:space="preserve"> [WI], wyrok z dnia 20 października 2011 r., skarga nr 13279/05, </w:t>
      </w:r>
    </w:p>
  </w:footnote>
  <w:footnote w:id="22">
    <w:p w14:paraId="5E658393" w14:textId="296732E8" w:rsidR="00876D05" w:rsidRPr="000473D0" w:rsidRDefault="00876D05" w:rsidP="00623AB9">
      <w:pPr>
        <w:pStyle w:val="Tekstprzypisudolnego"/>
        <w:rPr>
          <w:lang w:val="pl-PL"/>
        </w:rPr>
      </w:pPr>
      <w:r>
        <w:rPr>
          <w:rStyle w:val="Odwoanieprzypisudolnego"/>
          <w:vertAlign w:val="baseline"/>
        </w:rPr>
        <w:footnoteRef/>
      </w:r>
      <w:r w:rsidRPr="000473D0">
        <w:rPr>
          <w:lang w:val="pl-PL"/>
        </w:rPr>
        <w:t>.  </w:t>
      </w:r>
      <w:r w:rsidRPr="000473D0">
        <w:rPr>
          <w:i/>
          <w:iCs/>
          <w:lang w:val="pl-PL"/>
        </w:rPr>
        <w:t>Ibrahim i Inni przeciwko Zjednoczonemu Królestwu, op.</w:t>
      </w:r>
      <w:r>
        <w:rPr>
          <w:i/>
          <w:iCs/>
          <w:lang w:val="pl-PL"/>
        </w:rPr>
        <w:t xml:space="preserve"> </w:t>
      </w:r>
      <w:r w:rsidRPr="000473D0">
        <w:rPr>
          <w:i/>
          <w:iCs/>
          <w:lang w:val="pl-PL"/>
        </w:rPr>
        <w:t>cit.</w:t>
      </w:r>
    </w:p>
  </w:footnote>
  <w:footnote w:id="23">
    <w:p w14:paraId="7775764A" w14:textId="315C6625" w:rsidR="00876D05" w:rsidRPr="000473D0" w:rsidRDefault="00876D05" w:rsidP="00623AB9">
      <w:pPr>
        <w:pStyle w:val="Tekstprzypisudolnego"/>
        <w:rPr>
          <w:rStyle w:val="Odwoanieprzypisudolnego"/>
          <w:vertAlign w:val="baseline"/>
          <w:lang w:val="pl-PL"/>
        </w:rPr>
      </w:pPr>
      <w:r>
        <w:rPr>
          <w:rStyle w:val="Odwoanieprzypisudolnego"/>
          <w:vertAlign w:val="baseline"/>
        </w:rPr>
        <w:footnoteRef/>
      </w:r>
      <w:r w:rsidRPr="000473D0">
        <w:rPr>
          <w:rStyle w:val="Odwoanieprzypisudolnego"/>
          <w:vertAlign w:val="baseline"/>
          <w:lang w:val="pl-PL"/>
        </w:rPr>
        <w:t>.  </w:t>
      </w:r>
      <w:r w:rsidRPr="000473D0">
        <w:rPr>
          <w:rStyle w:val="Odwoanieprzypisudolnego"/>
          <w:i/>
          <w:iCs/>
          <w:vertAlign w:val="baseline"/>
          <w:lang w:val="pl-PL"/>
        </w:rPr>
        <w:t>Bykov przeciwko Rosji</w:t>
      </w:r>
      <w:r w:rsidRPr="000473D0">
        <w:rPr>
          <w:rStyle w:val="Odwoanieprzypisudolnego"/>
          <w:vertAlign w:val="baseline"/>
          <w:lang w:val="pl-PL"/>
        </w:rPr>
        <w:t xml:space="preserve"> [WI], wyrok z dnia 10 marca 2009 r., skarga nr</w:t>
      </w:r>
      <w:r w:rsidRPr="000473D0">
        <w:rPr>
          <w:lang w:val="pl-PL"/>
        </w:rPr>
        <w:t> </w:t>
      </w:r>
      <w:r w:rsidRPr="000473D0">
        <w:rPr>
          <w:rStyle w:val="Odwoanieprzypisudolnego"/>
          <w:vertAlign w:val="baseline"/>
          <w:lang w:val="pl-PL"/>
        </w:rPr>
        <w:t>4378/02.</w:t>
      </w:r>
    </w:p>
  </w:footnote>
  <w:footnote w:id="24">
    <w:p w14:paraId="7047F78E" w14:textId="4A84AAC7" w:rsidR="00876D05" w:rsidRPr="000473D0" w:rsidRDefault="00876D05" w:rsidP="00623AB9">
      <w:pPr>
        <w:pStyle w:val="ECHRPara"/>
        <w:ind w:firstLine="0"/>
        <w:rPr>
          <w:i/>
          <w:sz w:val="20"/>
          <w:szCs w:val="20"/>
          <w:lang w:val="pl-PL"/>
        </w:rPr>
      </w:pPr>
      <w:r>
        <w:rPr>
          <w:rStyle w:val="Odwoanieprzypisudolnego"/>
          <w:sz w:val="20"/>
          <w:szCs w:val="20"/>
          <w:vertAlign w:val="baseline"/>
        </w:rPr>
        <w:footnoteRef/>
      </w:r>
      <w:r w:rsidRPr="000473D0">
        <w:rPr>
          <w:sz w:val="20"/>
          <w:szCs w:val="20"/>
          <w:lang w:val="pl-PL"/>
        </w:rPr>
        <w:t xml:space="preserve">.  W celu </w:t>
      </w:r>
      <w:r>
        <w:rPr>
          <w:sz w:val="20"/>
          <w:szCs w:val="20"/>
          <w:lang w:val="pl-PL"/>
        </w:rPr>
        <w:t>podsumowania</w:t>
      </w:r>
      <w:r w:rsidRPr="000473D0">
        <w:rPr>
          <w:sz w:val="20"/>
          <w:szCs w:val="20"/>
          <w:lang w:val="pl-PL"/>
        </w:rPr>
        <w:t>, zob. moj</w:t>
      </w:r>
      <w:r>
        <w:rPr>
          <w:sz w:val="20"/>
          <w:szCs w:val="20"/>
          <w:lang w:val="pl-PL"/>
        </w:rPr>
        <w:t>ą</w:t>
      </w:r>
      <w:r w:rsidRPr="000473D0">
        <w:rPr>
          <w:sz w:val="20"/>
          <w:szCs w:val="20"/>
          <w:lang w:val="pl-PL"/>
        </w:rPr>
        <w:t xml:space="preserve"> wspóln</w:t>
      </w:r>
      <w:r>
        <w:rPr>
          <w:sz w:val="20"/>
          <w:szCs w:val="20"/>
          <w:lang w:val="pl-PL"/>
        </w:rPr>
        <w:t>ą</w:t>
      </w:r>
      <w:r w:rsidRPr="000473D0">
        <w:rPr>
          <w:sz w:val="20"/>
          <w:szCs w:val="20"/>
          <w:lang w:val="pl-PL"/>
        </w:rPr>
        <w:t xml:space="preserve"> opini</w:t>
      </w:r>
      <w:r>
        <w:rPr>
          <w:sz w:val="20"/>
          <w:szCs w:val="20"/>
          <w:lang w:val="pl-PL"/>
        </w:rPr>
        <w:t>ę</w:t>
      </w:r>
      <w:r w:rsidRPr="000473D0">
        <w:rPr>
          <w:sz w:val="20"/>
          <w:szCs w:val="20"/>
          <w:lang w:val="pl-PL"/>
        </w:rPr>
        <w:t xml:space="preserve"> zgodn</w:t>
      </w:r>
      <w:r>
        <w:rPr>
          <w:sz w:val="20"/>
          <w:szCs w:val="20"/>
          <w:lang w:val="pl-PL"/>
        </w:rPr>
        <w:t>ą</w:t>
      </w:r>
      <w:r w:rsidRPr="000473D0">
        <w:rPr>
          <w:sz w:val="20"/>
          <w:szCs w:val="20"/>
          <w:lang w:val="pl-PL"/>
        </w:rPr>
        <w:t xml:space="preserve"> z</w:t>
      </w:r>
      <w:r>
        <w:rPr>
          <w:sz w:val="20"/>
          <w:szCs w:val="20"/>
          <w:lang w:val="pl-PL"/>
        </w:rPr>
        <w:t> </w:t>
      </w:r>
      <w:r w:rsidRPr="000473D0">
        <w:rPr>
          <w:sz w:val="20"/>
          <w:szCs w:val="20"/>
          <w:lang w:val="pl-PL"/>
        </w:rPr>
        <w:t xml:space="preserve">sędzią Pinto de Albuquerque w </w:t>
      </w:r>
      <w:r w:rsidRPr="000473D0">
        <w:rPr>
          <w:rStyle w:val="ECHRParaChar"/>
          <w:i/>
          <w:iCs/>
          <w:sz w:val="20"/>
          <w:szCs w:val="20"/>
          <w:lang w:val="pl-PL"/>
        </w:rPr>
        <w:t>Dragoş Ioan Rusu przeciwko Rumunii</w:t>
      </w:r>
      <w:r w:rsidRPr="000473D0">
        <w:rPr>
          <w:sz w:val="20"/>
          <w:szCs w:val="20"/>
          <w:lang w:val="pl-PL"/>
        </w:rPr>
        <w:t xml:space="preserve">, wyrok z </w:t>
      </w:r>
      <w:r>
        <w:rPr>
          <w:sz w:val="20"/>
          <w:szCs w:val="20"/>
          <w:lang w:val="pl-PL"/>
        </w:rPr>
        <w:t>dnia</w:t>
      </w:r>
      <w:r w:rsidRPr="000473D0">
        <w:rPr>
          <w:sz w:val="20"/>
          <w:szCs w:val="20"/>
          <w:lang w:val="pl-PL"/>
        </w:rPr>
        <w:t xml:space="preserve"> 31 października 2017</w:t>
      </w:r>
      <w:r>
        <w:rPr>
          <w:sz w:val="20"/>
          <w:szCs w:val="20"/>
          <w:lang w:val="pl-PL"/>
        </w:rPr>
        <w:t> r.</w:t>
      </w:r>
      <w:r w:rsidRPr="000473D0">
        <w:rPr>
          <w:sz w:val="20"/>
          <w:szCs w:val="20"/>
          <w:lang w:val="pl-PL"/>
        </w:rPr>
        <w:t>, skarga nr</w:t>
      </w:r>
      <w:r>
        <w:rPr>
          <w:sz w:val="20"/>
          <w:szCs w:val="20"/>
          <w:lang w:val="pl-PL"/>
        </w:rPr>
        <w:t> </w:t>
      </w:r>
      <w:r w:rsidRPr="000473D0">
        <w:rPr>
          <w:sz w:val="20"/>
          <w:szCs w:val="20"/>
          <w:lang w:val="pl-PL"/>
        </w:rPr>
        <w:t>22767/08.</w:t>
      </w:r>
    </w:p>
  </w:footnote>
  <w:footnote w:id="25">
    <w:p w14:paraId="13F0FA66" w14:textId="77777777" w:rsidR="00876D05" w:rsidRPr="000473D0" w:rsidRDefault="00876D05" w:rsidP="00623AB9">
      <w:pPr>
        <w:pStyle w:val="ECHRPara"/>
        <w:ind w:firstLine="0"/>
        <w:rPr>
          <w:lang w:val="pl-PL"/>
        </w:rPr>
      </w:pPr>
      <w:r>
        <w:rPr>
          <w:rStyle w:val="Odwoanieprzypisudolnego"/>
          <w:sz w:val="20"/>
          <w:szCs w:val="20"/>
          <w:vertAlign w:val="baseline"/>
        </w:rPr>
        <w:footnoteRef/>
      </w:r>
      <w:r w:rsidRPr="000473D0">
        <w:rPr>
          <w:sz w:val="20"/>
          <w:szCs w:val="20"/>
          <w:lang w:val="pl-PL"/>
        </w:rPr>
        <w:t xml:space="preserve">.  Zob. na przykład </w:t>
      </w:r>
      <w:r w:rsidRPr="000473D0">
        <w:rPr>
          <w:i/>
          <w:iCs/>
          <w:sz w:val="20"/>
          <w:szCs w:val="20"/>
          <w:lang w:val="pl-PL"/>
        </w:rPr>
        <w:t xml:space="preserve">Gäfgen przeciwko Niemcom </w:t>
      </w:r>
      <w:r w:rsidRPr="000473D0">
        <w:rPr>
          <w:sz w:val="20"/>
          <w:szCs w:val="20"/>
          <w:lang w:val="pl-PL"/>
        </w:rPr>
        <w:t xml:space="preserve">[WI], skarga nr 22978/05, ETPCz 2010. </w:t>
      </w:r>
    </w:p>
  </w:footnote>
  <w:footnote w:id="26">
    <w:p w14:paraId="1EC2DF9E" w14:textId="77777777" w:rsidR="00876D05" w:rsidRPr="000473D0" w:rsidRDefault="00876D05" w:rsidP="00623AB9">
      <w:pPr>
        <w:pStyle w:val="Tekstprzypisudolnego"/>
        <w:rPr>
          <w:lang w:val="pl-PL"/>
        </w:rPr>
      </w:pPr>
      <w:r>
        <w:rPr>
          <w:rStyle w:val="Odwoanieprzypisudolnego"/>
          <w:vertAlign w:val="baseline"/>
        </w:rPr>
        <w:footnoteRef/>
      </w:r>
      <w:r w:rsidRPr="000473D0">
        <w:rPr>
          <w:lang w:val="pl-PL"/>
        </w:rPr>
        <w:t xml:space="preserve">.  W kwestii badania stwierdzeń dotyczących uchybień policji, zob. na przykład David N. Dorfman, </w:t>
      </w:r>
      <w:r w:rsidRPr="000473D0">
        <w:rPr>
          <w:i/>
          <w:iCs/>
          <w:lang w:val="pl-PL"/>
        </w:rPr>
        <w:t>Proving the Lie: Litigating Police Credibility</w:t>
      </w:r>
      <w:r w:rsidRPr="000473D0">
        <w:rPr>
          <w:lang w:val="pl-PL"/>
        </w:rPr>
        <w:t xml:space="preserve">, 26 Am.J.Crim.L. 455 (1999), </w:t>
      </w:r>
      <w:hyperlink r:id="rId1" w:history="1">
        <w:r w:rsidRPr="000473D0">
          <w:rPr>
            <w:rStyle w:val="Hipercze"/>
            <w:lang w:val="pl-PL"/>
          </w:rPr>
          <w:t>http://digitalcommons.pace.edu/lawfaculty/533/</w:t>
        </w:r>
      </w:hyperlink>
      <w:r w:rsidRPr="000473D0">
        <w:rPr>
          <w:lang w:val="pl-PL"/>
        </w:rPr>
        <w:t>.</w:t>
      </w:r>
    </w:p>
  </w:footnote>
  <w:footnote w:id="27">
    <w:p w14:paraId="35096B98" w14:textId="4083E716"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Perna przeciwko Włochom </w:t>
      </w:r>
      <w:r w:rsidRPr="000473D0">
        <w:rPr>
          <w:rFonts w:ascii="Times New Roman" w:hAnsi="Times New Roman" w:cs="Times New Roman"/>
          <w:lang w:val="pl-PL"/>
        </w:rPr>
        <w:t>[WI], skarga nr 48898/99, ETPCz 2003</w:t>
      </w:r>
      <w:r>
        <w:rPr>
          <w:rFonts w:ascii="Times New Roman" w:hAnsi="Times New Roman" w:cs="Times New Roman"/>
          <w:lang w:val="pl-PL"/>
        </w:rPr>
        <w:t>−</w:t>
      </w:r>
      <w:r w:rsidRPr="000473D0">
        <w:rPr>
          <w:rFonts w:ascii="Times New Roman" w:hAnsi="Times New Roman" w:cs="Times New Roman"/>
          <w:lang w:val="pl-PL"/>
        </w:rPr>
        <w:t xml:space="preserve">V. </w:t>
      </w:r>
    </w:p>
  </w:footnote>
  <w:footnote w:id="28">
    <w:p w14:paraId="45716CBA" w14:textId="05E12D9F"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Por. </w:t>
      </w:r>
      <w:r w:rsidRPr="000473D0">
        <w:rPr>
          <w:rFonts w:ascii="Times New Roman" w:hAnsi="Times New Roman" w:cs="Times New Roman"/>
          <w:i/>
          <w:iCs/>
          <w:lang w:val="pl-PL"/>
        </w:rPr>
        <w:t>Makeyev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5 lutego 2009</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13769/04, §</w:t>
      </w:r>
      <w:r>
        <w:rPr>
          <w:rFonts w:ascii="Times New Roman" w:hAnsi="Times New Roman" w:cs="Times New Roman"/>
          <w:lang w:val="pl-PL"/>
        </w:rPr>
        <w:t> </w:t>
      </w:r>
      <w:r w:rsidRPr="000473D0">
        <w:rPr>
          <w:rFonts w:ascii="Times New Roman" w:hAnsi="Times New Roman" w:cs="Times New Roman"/>
          <w:lang w:val="pl-PL"/>
        </w:rPr>
        <w:t xml:space="preserve">37, oraz </w:t>
      </w:r>
      <w:r w:rsidRPr="000473D0">
        <w:rPr>
          <w:rFonts w:ascii="Times New Roman" w:hAnsi="Times New Roman" w:cs="Times New Roman"/>
          <w:i/>
          <w:iCs/>
          <w:lang w:val="pl-PL"/>
        </w:rPr>
        <w:t>Khametshin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4 marca 2010</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18487/03, §</w:t>
      </w:r>
      <w:r>
        <w:rPr>
          <w:rFonts w:ascii="Times New Roman" w:hAnsi="Times New Roman" w:cs="Times New Roman"/>
          <w:lang w:val="pl-PL"/>
        </w:rPr>
        <w:t> </w:t>
      </w:r>
      <w:r w:rsidRPr="000473D0">
        <w:rPr>
          <w:rFonts w:ascii="Times New Roman" w:hAnsi="Times New Roman" w:cs="Times New Roman"/>
          <w:lang w:val="pl-PL"/>
        </w:rPr>
        <w:t>41.</w:t>
      </w:r>
    </w:p>
  </w:footnote>
  <w:footnote w:id="29">
    <w:p w14:paraId="2B64F27D" w14:textId="2A9FDBAB"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Zob. </w:t>
      </w:r>
      <w:r>
        <w:rPr>
          <w:rFonts w:ascii="Times New Roman" w:hAnsi="Times New Roman" w:cs="Times New Roman"/>
          <w:lang w:val="pl-PL"/>
        </w:rPr>
        <w:t>par. </w:t>
      </w:r>
      <w:r w:rsidRPr="000473D0">
        <w:rPr>
          <w:rFonts w:ascii="Times New Roman" w:hAnsi="Times New Roman" w:cs="Times New Roman"/>
          <w:lang w:val="pl-PL"/>
        </w:rPr>
        <w:t>63 wyroku.</w:t>
      </w:r>
    </w:p>
  </w:footnote>
  <w:footnote w:id="30">
    <w:p w14:paraId="5AB773DC" w14:textId="16CBF6CA"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Zob. </w:t>
      </w:r>
      <w:r>
        <w:rPr>
          <w:rFonts w:ascii="Times New Roman" w:hAnsi="Times New Roman" w:cs="Times New Roman"/>
          <w:lang w:val="pl-PL"/>
        </w:rPr>
        <w:t>par. </w:t>
      </w:r>
      <w:r w:rsidRPr="000473D0">
        <w:rPr>
          <w:rFonts w:ascii="Times New Roman" w:hAnsi="Times New Roman" w:cs="Times New Roman"/>
          <w:lang w:val="pl-PL"/>
        </w:rPr>
        <w:t xml:space="preserve">67 wyroku i por. </w:t>
      </w:r>
      <w:r w:rsidRPr="000473D0">
        <w:rPr>
          <w:rFonts w:ascii="Times New Roman" w:hAnsi="Times New Roman" w:cs="Times New Roman"/>
          <w:i/>
          <w:iCs/>
          <w:lang w:val="pl-PL"/>
        </w:rPr>
        <w:t>Bocos-Cuesta przeciwko Niderlandom</w:t>
      </w:r>
      <w:r w:rsidRPr="000473D0">
        <w:rPr>
          <w:rFonts w:ascii="Times New Roman" w:hAnsi="Times New Roman" w:cs="Times New Roman"/>
          <w:lang w:val="pl-PL"/>
        </w:rPr>
        <w:t xml:space="preserve">, wyrok z </w:t>
      </w:r>
      <w:r>
        <w:rPr>
          <w:rFonts w:ascii="Times New Roman" w:hAnsi="Times New Roman" w:cs="Times New Roman"/>
          <w:lang w:val="pl-PL"/>
        </w:rPr>
        <w:t xml:space="preserve">dnia </w:t>
      </w:r>
      <w:r w:rsidRPr="000473D0">
        <w:rPr>
          <w:rFonts w:ascii="Times New Roman" w:hAnsi="Times New Roman" w:cs="Times New Roman"/>
          <w:lang w:val="pl-PL"/>
        </w:rPr>
        <w:t>10 listopada 2005</w:t>
      </w:r>
      <w:r>
        <w:rPr>
          <w:rFonts w:ascii="Times New Roman" w:hAnsi="Times New Roman" w:cs="Times New Roman"/>
          <w:lang w:val="pl-PL"/>
        </w:rPr>
        <w:t> r.</w:t>
      </w:r>
      <w:r w:rsidRPr="000473D0">
        <w:rPr>
          <w:rFonts w:ascii="Times New Roman" w:hAnsi="Times New Roman" w:cs="Times New Roman"/>
          <w:lang w:val="pl-PL"/>
        </w:rPr>
        <w:t>, skarga nr 54789/00, §</w:t>
      </w:r>
      <w:r>
        <w:rPr>
          <w:rFonts w:ascii="Times New Roman" w:hAnsi="Times New Roman" w:cs="Times New Roman"/>
          <w:lang w:val="pl-PL"/>
        </w:rPr>
        <w:t> </w:t>
      </w:r>
      <w:r w:rsidRPr="000473D0">
        <w:rPr>
          <w:rFonts w:ascii="Times New Roman" w:hAnsi="Times New Roman" w:cs="Times New Roman"/>
          <w:lang w:val="pl-PL"/>
        </w:rPr>
        <w:t>66.</w:t>
      </w:r>
    </w:p>
  </w:footnote>
  <w:footnote w:id="31">
    <w:p w14:paraId="4AE49F94" w14:textId="0C9104E3"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Hermi przeciwko Włochom</w:t>
      </w:r>
      <w:r w:rsidRPr="000473D0">
        <w:rPr>
          <w:rFonts w:ascii="Times New Roman" w:hAnsi="Times New Roman" w:cs="Times New Roman"/>
          <w:lang w:val="pl-PL"/>
        </w:rPr>
        <w:t xml:space="preserve"> [WI], skarga nr</w:t>
      </w:r>
      <w:r>
        <w:rPr>
          <w:rFonts w:ascii="Times New Roman" w:hAnsi="Times New Roman" w:cs="Times New Roman"/>
          <w:lang w:val="pl-PL"/>
        </w:rPr>
        <w:t> </w:t>
      </w:r>
      <w:r w:rsidRPr="000473D0">
        <w:rPr>
          <w:rFonts w:ascii="Times New Roman" w:hAnsi="Times New Roman" w:cs="Times New Roman"/>
          <w:lang w:val="pl-PL"/>
        </w:rPr>
        <w:t>18114/02, §</w:t>
      </w:r>
      <w:r>
        <w:rPr>
          <w:rFonts w:ascii="Times New Roman" w:hAnsi="Times New Roman" w:cs="Times New Roman"/>
          <w:lang w:val="pl-PL"/>
        </w:rPr>
        <w:t> </w:t>
      </w:r>
      <w:r w:rsidRPr="000473D0">
        <w:rPr>
          <w:rFonts w:ascii="Times New Roman" w:hAnsi="Times New Roman" w:cs="Times New Roman"/>
          <w:lang w:val="pl-PL"/>
        </w:rPr>
        <w:t>79, ETPCz 2006</w:t>
      </w:r>
      <w:r>
        <w:rPr>
          <w:rFonts w:ascii="Times New Roman" w:hAnsi="Times New Roman" w:cs="Times New Roman"/>
          <w:lang w:val="pl-PL"/>
        </w:rPr>
        <w:t>−</w:t>
      </w:r>
      <w:r w:rsidRPr="000473D0">
        <w:rPr>
          <w:rFonts w:ascii="Times New Roman" w:hAnsi="Times New Roman" w:cs="Times New Roman"/>
          <w:lang w:val="pl-PL"/>
        </w:rPr>
        <w:t>XII.</w:t>
      </w:r>
    </w:p>
  </w:footnote>
  <w:footnote w:id="32">
    <w:p w14:paraId="3FCAD6BE" w14:textId="3275218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57 wyroku.</w:t>
      </w:r>
    </w:p>
  </w:footnote>
  <w:footnote w:id="33">
    <w:p w14:paraId="639D1907" w14:textId="52940033"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108 wyroku.</w:t>
      </w:r>
    </w:p>
  </w:footnote>
  <w:footnote w:id="34">
    <w:p w14:paraId="1CD611DD" w14:textId="07DEC5E2"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Contra, </w:t>
      </w:r>
      <w:r w:rsidRPr="000473D0">
        <w:rPr>
          <w:rFonts w:ascii="Times New Roman" w:hAnsi="Times New Roman" w:cs="Times New Roman"/>
          <w:i/>
          <w:iCs/>
          <w:lang w:val="pl-PL"/>
        </w:rPr>
        <w:t>Bagaryan i Inni pzeciwko Rosji (dec.)</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12 listopada 2013</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3343/06, §</w:t>
      </w:r>
      <w:r>
        <w:rPr>
          <w:rFonts w:ascii="Times New Roman" w:hAnsi="Times New Roman" w:cs="Times New Roman"/>
          <w:lang w:val="pl-PL"/>
        </w:rPr>
        <w:t> </w:t>
      </w:r>
      <w:r w:rsidRPr="000473D0">
        <w:rPr>
          <w:rFonts w:ascii="Times New Roman" w:hAnsi="Times New Roman" w:cs="Times New Roman"/>
          <w:lang w:val="pl-PL"/>
        </w:rPr>
        <w:t xml:space="preserve">5, oraz </w:t>
      </w:r>
      <w:r w:rsidRPr="000473D0">
        <w:rPr>
          <w:rFonts w:ascii="Times New Roman" w:hAnsi="Times New Roman" w:cs="Times New Roman"/>
          <w:i/>
          <w:iCs/>
          <w:lang w:val="pl-PL"/>
        </w:rPr>
        <w:t xml:space="preserve">Koromchakova przeciwko Rosji, </w:t>
      </w:r>
      <w:r w:rsidRPr="000473D0">
        <w:rPr>
          <w:rFonts w:ascii="Times New Roman" w:hAnsi="Times New Roman" w:cs="Times New Roman"/>
          <w:lang w:val="pl-PL"/>
        </w:rPr>
        <w:t xml:space="preserve">wyrok z </w:t>
      </w:r>
      <w:r>
        <w:rPr>
          <w:rFonts w:ascii="Times New Roman" w:hAnsi="Times New Roman" w:cs="Times New Roman"/>
          <w:lang w:val="pl-PL"/>
        </w:rPr>
        <w:t>dnia</w:t>
      </w:r>
      <w:r w:rsidRPr="000473D0">
        <w:rPr>
          <w:rFonts w:ascii="Times New Roman" w:hAnsi="Times New Roman" w:cs="Times New Roman"/>
          <w:lang w:val="pl-PL"/>
        </w:rPr>
        <w:t xml:space="preserve"> 13 </w:t>
      </w:r>
      <w:r>
        <w:rPr>
          <w:rFonts w:ascii="Times New Roman" w:hAnsi="Times New Roman" w:cs="Times New Roman"/>
          <w:lang w:val="pl-PL"/>
        </w:rPr>
        <w:t>grudnia</w:t>
      </w:r>
      <w:r w:rsidRPr="000473D0">
        <w:rPr>
          <w:rFonts w:ascii="Times New Roman" w:hAnsi="Times New Roman" w:cs="Times New Roman"/>
          <w:lang w:val="pl-PL"/>
        </w:rPr>
        <w:t xml:space="preserve"> 2016</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19185/05, §§</w:t>
      </w:r>
      <w:r>
        <w:rPr>
          <w:rFonts w:ascii="Times New Roman" w:hAnsi="Times New Roman" w:cs="Times New Roman"/>
          <w:lang w:val="pl-PL"/>
        </w:rPr>
        <w:t> </w:t>
      </w:r>
      <w:r w:rsidRPr="000473D0">
        <w:rPr>
          <w:rFonts w:ascii="Times New Roman" w:hAnsi="Times New Roman" w:cs="Times New Roman"/>
          <w:lang w:val="pl-PL"/>
        </w:rPr>
        <w:t>17</w:t>
      </w:r>
      <w:r>
        <w:rPr>
          <w:rFonts w:ascii="Times New Roman" w:hAnsi="Times New Roman" w:cs="Times New Roman"/>
          <w:lang w:val="pl-PL"/>
        </w:rPr>
        <w:t>−</w:t>
      </w:r>
      <w:r w:rsidRPr="000473D0">
        <w:rPr>
          <w:rFonts w:ascii="Times New Roman" w:hAnsi="Times New Roman" w:cs="Times New Roman"/>
          <w:lang w:val="pl-PL"/>
        </w:rPr>
        <w:t>20.</w:t>
      </w:r>
    </w:p>
  </w:footnote>
  <w:footnote w:id="35">
    <w:p w14:paraId="5B780979" w14:textId="5D0865FE"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Perna przeciwko Włochom, 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xml:space="preserve"> </w:t>
      </w:r>
    </w:p>
  </w:footnote>
  <w:footnote w:id="36">
    <w:p w14:paraId="41A5EA3A" w14:textId="29C752D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Al-Khawaja i Tahery </w:t>
      </w:r>
      <w:r w:rsidRPr="000473D0">
        <w:rPr>
          <w:rFonts w:ascii="Times New Roman" w:hAnsi="Times New Roman" w:cs="Times New Roman"/>
          <w:i/>
          <w:lang w:val="pl-PL"/>
        </w:rPr>
        <w:t xml:space="preserve">przeciwko Zjednoczonemu Królestwu </w:t>
      </w:r>
      <w:r w:rsidRPr="000473D0">
        <w:rPr>
          <w:rFonts w:ascii="Times New Roman" w:hAnsi="Times New Roman" w:cs="Times New Roman"/>
          <w:lang w:val="pl-PL"/>
        </w:rPr>
        <w:t xml:space="preserve">[WI], skarga </w:t>
      </w:r>
      <w:r>
        <w:rPr>
          <w:rFonts w:ascii="Times New Roman" w:hAnsi="Times New Roman" w:cs="Times New Roman"/>
          <w:lang w:val="pl-PL"/>
        </w:rPr>
        <w:t>nr </w:t>
      </w:r>
      <w:r w:rsidRPr="000473D0">
        <w:rPr>
          <w:rFonts w:ascii="Times New Roman" w:hAnsi="Times New Roman" w:cs="Times New Roman"/>
          <w:lang w:val="pl-PL"/>
        </w:rPr>
        <w:t>26766/05, 130/190 i 22228/06, ETPCz</w:t>
      </w:r>
      <w:r>
        <w:rPr>
          <w:rFonts w:ascii="Times New Roman" w:hAnsi="Times New Roman" w:cs="Times New Roman"/>
          <w:lang w:val="pl-PL"/>
        </w:rPr>
        <w:t xml:space="preserve"> </w:t>
      </w:r>
      <w:r w:rsidRPr="000473D0">
        <w:rPr>
          <w:rFonts w:ascii="Times New Roman" w:hAnsi="Times New Roman" w:cs="Times New Roman"/>
          <w:lang w:val="pl-PL"/>
        </w:rPr>
        <w:t xml:space="preserve">2011. </w:t>
      </w:r>
    </w:p>
  </w:footnote>
  <w:footnote w:id="37">
    <w:p w14:paraId="39F3B158" w14:textId="7777777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Schatschaschwili przeciwko Niemcom </w:t>
      </w:r>
      <w:r w:rsidRPr="000473D0">
        <w:rPr>
          <w:rFonts w:ascii="Times New Roman" w:hAnsi="Times New Roman" w:cs="Times New Roman"/>
          <w:lang w:val="pl-PL"/>
        </w:rPr>
        <w:t>[WI], skarga nr 9154/10, ETPCz 2015.</w:t>
      </w:r>
    </w:p>
  </w:footnote>
  <w:footnote w:id="38">
    <w:p w14:paraId="0EEC2C10" w14:textId="6DA7C05C" w:rsidR="00876D05" w:rsidRPr="00966403" w:rsidRDefault="00876D05">
      <w:pPr>
        <w:pStyle w:val="Tekstprzypisudolnego"/>
        <w:rPr>
          <w:lang w:val="pl-PL"/>
        </w:rPr>
      </w:pPr>
      <w:r w:rsidRPr="00966403">
        <w:rPr>
          <w:rStyle w:val="Odwoanieprzypisudolnego"/>
          <w:vertAlign w:val="baseline"/>
        </w:rPr>
        <w:footnoteRef/>
      </w:r>
      <w:r w:rsidRPr="00966403">
        <w:rPr>
          <w:sz w:val="18"/>
          <w:lang w:val="pl-PL"/>
        </w:rPr>
        <w:t xml:space="preserve"> </w:t>
      </w:r>
      <w:r w:rsidRPr="00966403">
        <w:rPr>
          <w:lang w:val="pl-PL"/>
        </w:rPr>
        <w:t>Trybu</w:t>
      </w:r>
      <w:r w:rsidRPr="00A050BD">
        <w:rPr>
          <w:lang w:val="pl-PL"/>
        </w:rPr>
        <w:t>nał nie zawsze jest zgodny z powy</w:t>
      </w:r>
      <w:r>
        <w:rPr>
          <w:lang w:val="pl-PL"/>
        </w:rPr>
        <w:t>ższym</w:t>
      </w:r>
      <w:r w:rsidRPr="00966403">
        <w:rPr>
          <w:lang w:val="pl-PL"/>
        </w:rPr>
        <w:t xml:space="preserve"> podziałem. W sprawie </w:t>
      </w:r>
      <w:r w:rsidRPr="00966403">
        <w:rPr>
          <w:i/>
          <w:lang w:val="pl-PL"/>
        </w:rPr>
        <w:t>Pello przeciwko Estonii</w:t>
      </w:r>
      <w:r w:rsidRPr="00966403">
        <w:rPr>
          <w:lang w:val="pl-PL"/>
        </w:rPr>
        <w:t xml:space="preserve"> (</w:t>
      </w:r>
      <w:r>
        <w:rPr>
          <w:lang w:val="pl-PL"/>
        </w:rPr>
        <w:t xml:space="preserve">skarga </w:t>
      </w:r>
      <w:r w:rsidRPr="00A050BD">
        <w:rPr>
          <w:lang w:val="pl-PL"/>
        </w:rPr>
        <w:t>nr</w:t>
      </w:r>
      <w:r>
        <w:rPr>
          <w:lang w:val="pl-PL"/>
        </w:rPr>
        <w:t> </w:t>
      </w:r>
      <w:r w:rsidRPr="00966403">
        <w:rPr>
          <w:lang w:val="pl-PL"/>
        </w:rPr>
        <w:t xml:space="preserve">11423/03, §§ 26 i 30, </w:t>
      </w:r>
      <w:r>
        <w:rPr>
          <w:lang w:val="pl-PL"/>
        </w:rPr>
        <w:t xml:space="preserve">z dnia </w:t>
      </w:r>
      <w:r w:rsidRPr="00966403">
        <w:rPr>
          <w:lang w:val="pl-PL"/>
        </w:rPr>
        <w:t>12 kwietnia 2007</w:t>
      </w:r>
      <w:r>
        <w:rPr>
          <w:lang w:val="pl-PL"/>
        </w:rPr>
        <w:t> r.</w:t>
      </w:r>
      <w:r w:rsidRPr="00966403">
        <w:rPr>
          <w:lang w:val="pl-PL"/>
        </w:rPr>
        <w:t xml:space="preserve">) kryteria </w:t>
      </w:r>
      <w:r>
        <w:rPr>
          <w:lang w:val="pl-PL"/>
        </w:rPr>
        <w:t xml:space="preserve">w sprawie </w:t>
      </w:r>
      <w:r w:rsidRPr="00966403">
        <w:rPr>
          <w:i/>
          <w:lang w:val="pl-PL"/>
        </w:rPr>
        <w:t>Perny</w:t>
      </w:r>
      <w:r w:rsidRPr="00966403">
        <w:rPr>
          <w:lang w:val="pl-PL"/>
        </w:rPr>
        <w:t xml:space="preserve"> zastosowano wobec świadków oskarżenia.</w:t>
      </w:r>
    </w:p>
  </w:footnote>
  <w:footnote w:id="39">
    <w:p w14:paraId="54E75A67" w14:textId="43EBFCC9" w:rsidR="00876D05" w:rsidRPr="00610CA7" w:rsidRDefault="00876D05" w:rsidP="008113A5">
      <w:pPr>
        <w:pStyle w:val="Tekstprzypisudolnego"/>
        <w:rPr>
          <w:rFonts w:ascii="Times New Roman" w:hAnsi="Times New Roman" w:cs="Times New Roman"/>
        </w:rPr>
      </w:pPr>
      <w:r>
        <w:rPr>
          <w:rStyle w:val="Odwoanieprzypisudolnego"/>
          <w:rFonts w:ascii="Times New Roman" w:eastAsia="SimSun" w:hAnsi="Times New Roman" w:cs="Times New Roman"/>
          <w:vertAlign w:val="baseline"/>
        </w:rPr>
        <w:footnoteRef/>
      </w:r>
      <w:r w:rsidRPr="000473D0">
        <w:rPr>
          <w:rFonts w:ascii="Times New Roman" w:eastAsia="SimSun" w:hAnsi="Times New Roman" w:cs="Times New Roman"/>
          <w:lang w:val="pl-PL"/>
        </w:rPr>
        <w:t xml:space="preserve">.  Są one także niezgodne z międzynarodowym prawem karnym. </w:t>
      </w:r>
      <w:r>
        <w:rPr>
          <w:rFonts w:ascii="Times New Roman" w:eastAsia="SimSun" w:hAnsi="Times New Roman" w:cs="Times New Roman"/>
        </w:rPr>
        <w:t xml:space="preserve">Zob. </w:t>
      </w:r>
      <w:r>
        <w:rPr>
          <w:rFonts w:ascii="Times New Roman" w:eastAsia="SimSun" w:hAnsi="Times New Roman" w:cs="Times New Roman"/>
          <w:i/>
          <w:iCs/>
        </w:rPr>
        <w:t>Prokurator przeciwko Orić</w:t>
      </w:r>
      <w:r>
        <w:rPr>
          <w:rFonts w:ascii="Times New Roman" w:eastAsia="SimSun" w:hAnsi="Times New Roman" w:cs="Times New Roman"/>
        </w:rPr>
        <w:t xml:space="preserve">, sprawa nr IT-03-68-AR73.2, </w:t>
      </w:r>
      <w:hyperlink r:id="rId2" w:history="1">
        <w:r>
          <w:rPr>
            <w:rStyle w:val="Hipercze"/>
            <w:rFonts w:ascii="Times New Roman" w:eastAsia="SimSun" w:hAnsi="Times New Roman" w:cs="Times New Roman"/>
            <w:u w:val="none"/>
          </w:rPr>
          <w:t>Interlocutory Decision on Length of Defence Case</w:t>
        </w:r>
      </w:hyperlink>
      <w:r>
        <w:rPr>
          <w:rFonts w:ascii="Times New Roman" w:eastAsia="SimSun" w:hAnsi="Times New Roman" w:cs="Times New Roman"/>
        </w:rPr>
        <w:t xml:space="preserve"> (Izba Odwoławcza), z dnia 20 lipca 2005 r., par. 7-8; </w:t>
      </w:r>
      <w:r>
        <w:rPr>
          <w:rFonts w:ascii="Times New Roman" w:eastAsia="SimSun" w:hAnsi="Times New Roman" w:cs="Times New Roman"/>
          <w:i/>
          <w:iCs/>
        </w:rPr>
        <w:t>Prokurator przeciwko Karemera i in.</w:t>
      </w:r>
      <w:r>
        <w:rPr>
          <w:rFonts w:ascii="Times New Roman" w:eastAsia="SimSun" w:hAnsi="Times New Roman" w:cs="Times New Roman"/>
        </w:rPr>
        <w:t xml:space="preserve">, sprawa nr ICTR-98-44-AR15bis.3, </w:t>
      </w:r>
      <w:hyperlink r:id="rId3" w:history="1">
        <w:r>
          <w:rPr>
            <w:rStyle w:val="Hipercze"/>
            <w:rFonts w:ascii="Times New Roman" w:eastAsia="SimSun" w:hAnsi="Times New Roman" w:cs="Times New Roman"/>
            <w:u w:val="none"/>
          </w:rPr>
          <w:t>Decision on Appeals Pursuant to Rule 15</w:t>
        </w:r>
        <w:r>
          <w:rPr>
            <w:rStyle w:val="Hipercze"/>
            <w:rFonts w:ascii="Times New Roman" w:eastAsia="SimSun" w:hAnsi="Times New Roman" w:cs="Times New Roman"/>
            <w:i/>
            <w:iCs/>
            <w:u w:val="none"/>
          </w:rPr>
          <w:t>bis</w:t>
        </w:r>
        <w:r>
          <w:rPr>
            <w:rStyle w:val="Hipercze"/>
            <w:rFonts w:ascii="Times New Roman" w:eastAsia="SimSun" w:hAnsi="Times New Roman" w:cs="Times New Roman"/>
            <w:u w:val="none"/>
          </w:rPr>
          <w:t xml:space="preserve"> (D)</w:t>
        </w:r>
      </w:hyperlink>
      <w:r>
        <w:rPr>
          <w:rFonts w:ascii="Times New Roman" w:eastAsia="SimSun" w:hAnsi="Times New Roman" w:cs="Times New Roman"/>
        </w:rPr>
        <w:t xml:space="preserve"> (Izba Odwoławcza), z dnia 20 kwietnia 2007 r., par. 27; </w:t>
      </w:r>
      <w:r>
        <w:rPr>
          <w:rFonts w:ascii="Times New Roman" w:eastAsia="SimSun" w:hAnsi="Times New Roman" w:cs="Times New Roman"/>
          <w:i/>
          <w:iCs/>
        </w:rPr>
        <w:t>Prokurator przeciwko Nyiramasuhuko i in.</w:t>
      </w:r>
      <w:r>
        <w:rPr>
          <w:rFonts w:ascii="Times New Roman" w:eastAsia="SimSun" w:hAnsi="Times New Roman" w:cs="Times New Roman"/>
        </w:rPr>
        <w:t xml:space="preserve">, sprawa nr ICTR-98-42-AR73, </w:t>
      </w:r>
      <w:hyperlink r:id="rId4" w:history="1">
        <w:r>
          <w:rPr>
            <w:rStyle w:val="Hipercze"/>
            <w:rFonts w:ascii="Times New Roman" w:eastAsia="SimSun" w:hAnsi="Times New Roman" w:cs="Times New Roman"/>
            <w:u w:val="none"/>
          </w:rPr>
          <w:t>Decision on Joseph Kanyabashi's Appeal Against the Decision of Trial Chamber II of 21 March 2007 Concerning the Dismissal of Motions to Vary His Witness List</w:t>
        </w:r>
      </w:hyperlink>
      <w:r>
        <w:rPr>
          <w:rFonts w:ascii="Times New Roman" w:eastAsia="SimSun" w:hAnsi="Times New Roman" w:cs="Times New Roman"/>
        </w:rPr>
        <w:t xml:space="preserve"> (Izba Odwoławcza), z dnia 21 sierpnia 2007 r., par. 26; </w:t>
      </w:r>
      <w:r>
        <w:rPr>
          <w:rFonts w:ascii="Times New Roman" w:eastAsia="SimSun" w:hAnsi="Times New Roman" w:cs="Times New Roman"/>
          <w:i/>
          <w:iCs/>
        </w:rPr>
        <w:t>Prokurator przeciwko Karemera i in.</w:t>
      </w:r>
      <w:r>
        <w:rPr>
          <w:rFonts w:ascii="Times New Roman" w:eastAsia="SimSun" w:hAnsi="Times New Roman" w:cs="Times New Roman"/>
        </w:rPr>
        <w:t xml:space="preserve">, sprawa nr ICTR-98-44-AR73.14, </w:t>
      </w:r>
      <w:hyperlink r:id="rId5" w:history="1">
        <w:r>
          <w:rPr>
            <w:rStyle w:val="Hipercze"/>
            <w:rFonts w:ascii="Times New Roman" w:eastAsia="SimSun" w:hAnsi="Times New Roman" w:cs="Times New Roman"/>
            <w:u w:val="none"/>
          </w:rPr>
          <w:t>Decision on Mathieu Ngirumpatse’s Appeal from the Trial Chamber Decision of 17 September 2008</w:t>
        </w:r>
      </w:hyperlink>
      <w:r>
        <w:rPr>
          <w:rFonts w:ascii="Times New Roman" w:eastAsia="SimSun" w:hAnsi="Times New Roman" w:cs="Times New Roman"/>
        </w:rPr>
        <w:t xml:space="preserve"> (Izba Odwoławcza),z dnia30 stycznia 2009 r., par. 29; </w:t>
      </w:r>
      <w:r>
        <w:rPr>
          <w:rFonts w:ascii="Times New Roman" w:eastAsia="SimSun" w:hAnsi="Times New Roman" w:cs="Times New Roman"/>
          <w:i/>
          <w:iCs/>
        </w:rPr>
        <w:t>Prokurator przeciwko Ngirabatware</w:t>
      </w:r>
      <w:r>
        <w:rPr>
          <w:rFonts w:ascii="Times New Roman" w:eastAsia="SimSun" w:hAnsi="Times New Roman" w:cs="Times New Roman"/>
        </w:rPr>
        <w:t xml:space="preserve">, sprawa nr ICTR-99-54-T, </w:t>
      </w:r>
      <w:hyperlink r:id="rId6" w:history="1">
        <w:r>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Pr>
          <w:rFonts w:ascii="Times New Roman" w:eastAsia="SimSun" w:hAnsi="Times New Roman" w:cs="Times New Roman"/>
        </w:rPr>
        <w:t xml:space="preserve"> (Izba Procesowa II), z dnia 26 sierpnia 2011 r., par. 56.</w:t>
      </w:r>
    </w:p>
  </w:footnote>
  <w:footnote w:id="40">
    <w:p w14:paraId="4A840EAA" w14:textId="3FB8F333"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Jest tak w sytuacji w sprawie </w:t>
      </w:r>
      <w:r w:rsidRPr="000473D0">
        <w:rPr>
          <w:rFonts w:ascii="Times New Roman" w:hAnsi="Times New Roman" w:cs="Times New Roman"/>
          <w:i/>
          <w:iCs/>
          <w:lang w:val="pl-PL"/>
        </w:rPr>
        <w:t>Cardot przeciwko Francji</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11069/84, Seria</w:t>
      </w:r>
      <w:r>
        <w:rPr>
          <w:rFonts w:ascii="Times New Roman" w:hAnsi="Times New Roman" w:cs="Times New Roman"/>
          <w:lang w:val="pl-PL"/>
        </w:rPr>
        <w:t> </w:t>
      </w:r>
      <w:r w:rsidRPr="000473D0">
        <w:rPr>
          <w:rFonts w:ascii="Times New Roman" w:hAnsi="Times New Roman" w:cs="Times New Roman"/>
          <w:lang w:val="pl-PL"/>
        </w:rPr>
        <w:t>A</w:t>
      </w:r>
      <w:r>
        <w:rPr>
          <w:rFonts w:ascii="Times New Roman" w:hAnsi="Times New Roman" w:cs="Times New Roman"/>
          <w:lang w:val="pl-PL"/>
        </w:rPr>
        <w:t> </w:t>
      </w:r>
      <w:r w:rsidRPr="000473D0">
        <w:rPr>
          <w:rFonts w:ascii="Times New Roman" w:hAnsi="Times New Roman" w:cs="Times New Roman"/>
          <w:lang w:val="pl-PL"/>
        </w:rPr>
        <w:t>nr</w:t>
      </w:r>
      <w:r>
        <w:rPr>
          <w:rFonts w:ascii="Times New Roman" w:hAnsi="Times New Roman" w:cs="Times New Roman"/>
          <w:lang w:val="pl-PL"/>
        </w:rPr>
        <w:t> </w:t>
      </w:r>
      <w:r w:rsidRPr="000473D0">
        <w:rPr>
          <w:rFonts w:ascii="Times New Roman" w:hAnsi="Times New Roman" w:cs="Times New Roman"/>
          <w:lang w:val="pl-PL"/>
        </w:rPr>
        <w:t>200.</w:t>
      </w:r>
    </w:p>
  </w:footnote>
  <w:footnote w:id="41">
    <w:p w14:paraId="47336327" w14:textId="5CDECBA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Kostovski przeciwko Niderlandom</w:t>
      </w:r>
      <w:r w:rsidRPr="000473D0">
        <w:rPr>
          <w:rFonts w:ascii="Times New Roman" w:hAnsi="Times New Roman" w:cs="Times New Roman"/>
          <w:lang w:val="pl-PL"/>
        </w:rPr>
        <w:t>,</w:t>
      </w:r>
      <w:r>
        <w:rPr>
          <w:rFonts w:ascii="Times New Roman" w:hAnsi="Times New Roman" w:cs="Times New Roman"/>
          <w:lang w:val="pl-PL"/>
        </w:rPr>
        <w:t xml:space="preserve"> wyrok z dnia</w:t>
      </w:r>
      <w:r w:rsidRPr="000473D0">
        <w:rPr>
          <w:rFonts w:ascii="Times New Roman" w:hAnsi="Times New Roman" w:cs="Times New Roman"/>
          <w:lang w:val="pl-PL"/>
        </w:rPr>
        <w:t xml:space="preserve"> 20 listopada 1989</w:t>
      </w:r>
      <w:r>
        <w:rPr>
          <w:rFonts w:ascii="Times New Roman" w:hAnsi="Times New Roman" w:cs="Times New Roman"/>
          <w:lang w:val="pl-PL"/>
        </w:rPr>
        <w:t> r.</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40, Seria A</w:t>
      </w:r>
      <w:r>
        <w:rPr>
          <w:rFonts w:ascii="Times New Roman" w:hAnsi="Times New Roman" w:cs="Times New Roman"/>
          <w:lang w:val="pl-PL"/>
        </w:rPr>
        <w:t> </w:t>
      </w:r>
      <w:r w:rsidRPr="000473D0">
        <w:rPr>
          <w:rFonts w:ascii="Times New Roman" w:hAnsi="Times New Roman" w:cs="Times New Roman"/>
          <w:lang w:val="pl-PL"/>
        </w:rPr>
        <w:t>nr</w:t>
      </w:r>
      <w:r>
        <w:rPr>
          <w:rFonts w:ascii="Times New Roman" w:hAnsi="Times New Roman" w:cs="Times New Roman"/>
          <w:lang w:val="pl-PL"/>
        </w:rPr>
        <w:t> </w:t>
      </w:r>
      <w:r w:rsidRPr="000473D0">
        <w:rPr>
          <w:rFonts w:ascii="Times New Roman" w:hAnsi="Times New Roman" w:cs="Times New Roman"/>
          <w:lang w:val="pl-PL"/>
        </w:rPr>
        <w:t>166, oraz</w:t>
      </w:r>
      <w:r>
        <w:rPr>
          <w:rFonts w:ascii="Times New Roman" w:hAnsi="Times New Roman" w:cs="Times New Roman"/>
          <w:lang w:val="pl-PL"/>
        </w:rPr>
        <w:t xml:space="preserve"> </w:t>
      </w:r>
      <w:r w:rsidRPr="000473D0">
        <w:rPr>
          <w:rFonts w:ascii="Times New Roman" w:hAnsi="Times New Roman" w:cs="Times New Roman"/>
          <w:i/>
          <w:iCs/>
          <w:lang w:val="pl-PL"/>
        </w:rPr>
        <w:t>Damir Sibgatullin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24 kwietnia 2012</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1413/05, §</w:t>
      </w:r>
      <w:r>
        <w:rPr>
          <w:rFonts w:ascii="Times New Roman" w:hAnsi="Times New Roman" w:cs="Times New Roman"/>
          <w:lang w:val="pl-PL"/>
        </w:rPr>
        <w:t> </w:t>
      </w:r>
      <w:r w:rsidRPr="000473D0">
        <w:rPr>
          <w:rFonts w:ascii="Times New Roman" w:hAnsi="Times New Roman" w:cs="Times New Roman"/>
          <w:lang w:val="pl-PL"/>
        </w:rPr>
        <w:t>45.</w:t>
      </w:r>
    </w:p>
  </w:footnote>
  <w:footnote w:id="42">
    <w:p w14:paraId="196FAF61" w14:textId="050292E5"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Lucà przeciwko Włochom</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33354/96, §</w:t>
      </w:r>
      <w:r>
        <w:rPr>
          <w:rFonts w:ascii="Times New Roman" w:hAnsi="Times New Roman" w:cs="Times New Roman"/>
          <w:lang w:val="pl-PL"/>
        </w:rPr>
        <w:t> </w:t>
      </w:r>
      <w:r w:rsidRPr="000473D0">
        <w:rPr>
          <w:rFonts w:ascii="Times New Roman" w:hAnsi="Times New Roman" w:cs="Times New Roman"/>
          <w:lang w:val="pl-PL"/>
        </w:rPr>
        <w:t xml:space="preserve">41, ETPCz 2001 II, oraz </w:t>
      </w:r>
      <w:r w:rsidRPr="000473D0">
        <w:rPr>
          <w:rFonts w:ascii="Times New Roman" w:hAnsi="Times New Roman" w:cs="Times New Roman"/>
          <w:i/>
          <w:iCs/>
          <w:lang w:val="pl-PL"/>
        </w:rPr>
        <w:t>Kaste i</w:t>
      </w:r>
      <w:r>
        <w:rPr>
          <w:rFonts w:ascii="Times New Roman" w:hAnsi="Times New Roman" w:cs="Times New Roman"/>
          <w:i/>
          <w:iCs/>
          <w:lang w:val="pl-PL"/>
        </w:rPr>
        <w:t> </w:t>
      </w:r>
      <w:r w:rsidRPr="000473D0">
        <w:rPr>
          <w:rFonts w:ascii="Times New Roman" w:hAnsi="Times New Roman" w:cs="Times New Roman"/>
          <w:i/>
          <w:iCs/>
          <w:lang w:val="pl-PL"/>
        </w:rPr>
        <w:t>Mathisen przeciwko Norwegii,</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18885/04 i 21166/04, §</w:t>
      </w:r>
      <w:r>
        <w:rPr>
          <w:rFonts w:ascii="Times New Roman" w:hAnsi="Times New Roman" w:cs="Times New Roman"/>
          <w:lang w:val="pl-PL"/>
        </w:rPr>
        <w:t> </w:t>
      </w:r>
      <w:r w:rsidRPr="000473D0">
        <w:rPr>
          <w:rFonts w:ascii="Times New Roman" w:hAnsi="Times New Roman" w:cs="Times New Roman"/>
          <w:lang w:val="pl-PL"/>
        </w:rPr>
        <w:t xml:space="preserve">53, ETPCz 2006 XIII. Skarżąca nie znała tego orzecznictwa, </w:t>
      </w:r>
      <w:r>
        <w:rPr>
          <w:rFonts w:ascii="Times New Roman" w:hAnsi="Times New Roman" w:cs="Times New Roman"/>
          <w:lang w:val="pl-PL"/>
        </w:rPr>
        <w:t>w momencie wezwania</w:t>
      </w:r>
      <w:r w:rsidRPr="000473D0">
        <w:rPr>
          <w:rFonts w:ascii="Times New Roman" w:hAnsi="Times New Roman" w:cs="Times New Roman"/>
          <w:lang w:val="pl-PL"/>
        </w:rPr>
        <w:t xml:space="preserve"> do „bardziej elastycznego podejścia, które uwzględniałoby zawartość złożonych przez świadka zeznań [...]” (uwagi skarżącej z </w:t>
      </w:r>
      <w:r>
        <w:rPr>
          <w:rFonts w:ascii="Times New Roman" w:hAnsi="Times New Roman" w:cs="Times New Roman"/>
          <w:lang w:val="pl-PL"/>
        </w:rPr>
        <w:t>dnia</w:t>
      </w:r>
      <w:r w:rsidRPr="000473D0">
        <w:rPr>
          <w:rFonts w:ascii="Times New Roman" w:hAnsi="Times New Roman" w:cs="Times New Roman"/>
          <w:lang w:val="pl-PL"/>
        </w:rPr>
        <w:t xml:space="preserve"> 20 listopada 2017</w:t>
      </w:r>
      <w:r>
        <w:rPr>
          <w:rFonts w:ascii="Times New Roman" w:hAnsi="Times New Roman" w:cs="Times New Roman"/>
          <w:lang w:val="pl-PL"/>
        </w:rPr>
        <w:t> r.</w:t>
      </w:r>
      <w:r w:rsidRPr="000473D0">
        <w:rPr>
          <w:rFonts w:ascii="Times New Roman" w:hAnsi="Times New Roman" w:cs="Times New Roman"/>
          <w:lang w:val="pl-PL"/>
        </w:rPr>
        <w:t xml:space="preserve">, </w:t>
      </w:r>
      <w:r>
        <w:rPr>
          <w:rFonts w:ascii="Times New Roman" w:hAnsi="Times New Roman" w:cs="Times New Roman"/>
          <w:lang w:val="pl-PL"/>
        </w:rPr>
        <w:t>par. </w:t>
      </w:r>
      <w:r w:rsidRPr="000473D0">
        <w:rPr>
          <w:rFonts w:ascii="Times New Roman" w:hAnsi="Times New Roman" w:cs="Times New Roman"/>
          <w:lang w:val="pl-PL"/>
        </w:rPr>
        <w:t xml:space="preserve">24). </w:t>
      </w:r>
    </w:p>
  </w:footnote>
  <w:footnote w:id="43">
    <w:p w14:paraId="6CA7D867" w14:textId="1BBF491D" w:rsidR="00876D05" w:rsidRPr="00610CA7" w:rsidRDefault="00876D05" w:rsidP="008113A5">
      <w:pPr>
        <w:pStyle w:val="Tekstprzypisudolnego"/>
        <w:rPr>
          <w:rFonts w:ascii="Times New Roman" w:hAnsi="Times New Roman" w:cs="Times New Roman"/>
        </w:rPr>
      </w:pPr>
      <w:r>
        <w:rPr>
          <w:rStyle w:val="Odwoanieprzypisudolnego"/>
          <w:rFonts w:ascii="Times New Roman" w:eastAsia="SimSun" w:hAnsi="Times New Roman" w:cs="Times New Roman"/>
          <w:vertAlign w:val="baseline"/>
        </w:rPr>
        <w:footnoteRef/>
      </w:r>
      <w:r w:rsidRPr="000473D0">
        <w:rPr>
          <w:rFonts w:ascii="Times New Roman" w:eastAsia="SimSun" w:hAnsi="Times New Roman" w:cs="Times New Roman"/>
          <w:lang w:val="pl-PL"/>
        </w:rPr>
        <w:t xml:space="preserve">.  Jest to także norma międzynarodowych sądów karnych. </w:t>
      </w:r>
      <w:r>
        <w:rPr>
          <w:rFonts w:ascii="Times New Roman" w:eastAsia="SimSun" w:hAnsi="Times New Roman" w:cs="Times New Roman"/>
        </w:rPr>
        <w:t xml:space="preserve">Zob. </w:t>
      </w:r>
      <w:r>
        <w:rPr>
          <w:rFonts w:ascii="Times New Roman" w:eastAsia="SimSun" w:hAnsi="Times New Roman" w:cs="Times New Roman"/>
          <w:i/>
          <w:iCs/>
        </w:rPr>
        <w:t>Prokurator przeciwko Ngirabatware</w:t>
      </w:r>
      <w:r>
        <w:rPr>
          <w:rFonts w:ascii="Times New Roman" w:eastAsia="SimSun" w:hAnsi="Times New Roman" w:cs="Times New Roman"/>
        </w:rPr>
        <w:t xml:space="preserve">, sprawa nr ICTR-99-54-T, </w:t>
      </w:r>
      <w:hyperlink r:id="rId7" w:history="1">
        <w:r>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Pr>
          <w:rFonts w:ascii="Times New Roman" w:eastAsia="SimSun" w:hAnsi="Times New Roman" w:cs="Times New Roman"/>
        </w:rPr>
        <w:t xml:space="preserve"> (Izba Procesowa II), z dnia 26 sierpnia 2011 r., par. 47.</w:t>
      </w:r>
    </w:p>
  </w:footnote>
  <w:footnote w:id="44">
    <w:p w14:paraId="7E25E226" w14:textId="73637781"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137</w:t>
      </w:r>
      <w:r>
        <w:rPr>
          <w:rFonts w:ascii="Times New Roman" w:hAnsi="Times New Roman" w:cs="Times New Roman"/>
          <w:lang w:val="pl-PL"/>
        </w:rPr>
        <w:t>−</w:t>
      </w:r>
      <w:r w:rsidRPr="000473D0">
        <w:rPr>
          <w:rFonts w:ascii="Times New Roman" w:hAnsi="Times New Roman" w:cs="Times New Roman"/>
          <w:lang w:val="pl-PL"/>
        </w:rPr>
        <w:t>138 wyroku.</w:t>
      </w:r>
    </w:p>
  </w:footnote>
  <w:footnote w:id="45">
    <w:p w14:paraId="0E61BA07" w14:textId="59CA00B5"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Perna</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 xml:space="preserve">29. </w:t>
      </w:r>
    </w:p>
  </w:footnote>
  <w:footnote w:id="46">
    <w:p w14:paraId="562A5983" w14:textId="146B01D3"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141 wyroku.</w:t>
      </w:r>
    </w:p>
  </w:footnote>
  <w:footnote w:id="47">
    <w:p w14:paraId="31B8CE8F" w14:textId="3589FA45"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Perna</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32.</w:t>
      </w:r>
    </w:p>
  </w:footnote>
  <w:footnote w:id="48">
    <w:p w14:paraId="19D900DE" w14:textId="2A29DA62"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Por. </w:t>
      </w:r>
      <w:r w:rsidRPr="000473D0">
        <w:rPr>
          <w:rFonts w:ascii="Times New Roman" w:hAnsi="Times New Roman" w:cs="Times New Roman"/>
          <w:i/>
          <w:iCs/>
          <w:lang w:val="pl-PL"/>
        </w:rPr>
        <w:t>Guilloury przeciwko Francji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22 czerwca 2006</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62236/00, §</w:t>
      </w:r>
      <w:r>
        <w:rPr>
          <w:rFonts w:ascii="Times New Roman" w:hAnsi="Times New Roman" w:cs="Times New Roman"/>
          <w:lang w:val="pl-PL"/>
        </w:rPr>
        <w:t> </w:t>
      </w:r>
      <w:r w:rsidRPr="000473D0">
        <w:rPr>
          <w:rFonts w:ascii="Times New Roman" w:hAnsi="Times New Roman" w:cs="Times New Roman"/>
          <w:lang w:val="pl-PL"/>
        </w:rPr>
        <w:t xml:space="preserve">55, oraz </w:t>
      </w:r>
      <w:r w:rsidRPr="000473D0">
        <w:rPr>
          <w:rFonts w:ascii="Times New Roman" w:hAnsi="Times New Roman" w:cs="Times New Roman"/>
          <w:i/>
          <w:iCs/>
          <w:lang w:val="pl-PL"/>
        </w:rPr>
        <w:t xml:space="preserve">Erich Priebke przeciwko Włochom </w:t>
      </w:r>
      <w:r w:rsidRPr="000473D0">
        <w:rPr>
          <w:rFonts w:ascii="Times New Roman" w:hAnsi="Times New Roman" w:cs="Times New Roman"/>
          <w:lang w:val="pl-PL"/>
        </w:rPr>
        <w:t xml:space="preserve">(dec.), wyrok z </w:t>
      </w:r>
      <w:r>
        <w:rPr>
          <w:rFonts w:ascii="Times New Roman" w:hAnsi="Times New Roman" w:cs="Times New Roman"/>
          <w:lang w:val="pl-PL"/>
        </w:rPr>
        <w:t>dnia</w:t>
      </w:r>
      <w:r w:rsidRPr="000473D0">
        <w:rPr>
          <w:rFonts w:ascii="Times New Roman" w:hAnsi="Times New Roman" w:cs="Times New Roman"/>
          <w:lang w:val="pl-PL"/>
        </w:rPr>
        <w:t xml:space="preserve"> 5</w:t>
      </w:r>
      <w:r>
        <w:rPr>
          <w:rFonts w:ascii="Times New Roman" w:hAnsi="Times New Roman" w:cs="Times New Roman"/>
          <w:lang w:val="pl-PL"/>
        </w:rPr>
        <w:t> </w:t>
      </w:r>
      <w:r w:rsidRPr="000473D0">
        <w:rPr>
          <w:rFonts w:ascii="Times New Roman" w:hAnsi="Times New Roman" w:cs="Times New Roman"/>
          <w:lang w:val="pl-PL"/>
        </w:rPr>
        <w:t>kwietnia 2001</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48799/99.</w:t>
      </w:r>
    </w:p>
  </w:footnote>
  <w:footnote w:id="49">
    <w:p w14:paraId="350311FA" w14:textId="1B2D50BF"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 xml:space="preserve">143 wyroku. Niemniej nie uniemożliwiło to Trybunałowi korzystania od czasu do czasu z dawnej formuły „konieczności” (zob. </w:t>
      </w:r>
      <w:r w:rsidRPr="000473D0">
        <w:rPr>
          <w:rFonts w:ascii="Times New Roman" w:hAnsi="Times New Roman" w:cs="Times New Roman"/>
          <w:i/>
          <w:iCs/>
          <w:lang w:val="pl-PL"/>
        </w:rPr>
        <w:t>Miminoshvili przeciwko Rosji</w:t>
      </w:r>
      <w:r w:rsidRPr="000473D0">
        <w:rPr>
          <w:rFonts w:ascii="Times New Roman" w:hAnsi="Times New Roman" w:cs="Times New Roman"/>
          <w:lang w:val="pl-PL"/>
        </w:rPr>
        <w:t>, wyrok z</w:t>
      </w:r>
      <w:r>
        <w:rPr>
          <w:rFonts w:ascii="Times New Roman" w:hAnsi="Times New Roman" w:cs="Times New Roman"/>
          <w:lang w:val="pl-PL"/>
        </w:rPr>
        <w:t> dnia</w:t>
      </w:r>
      <w:r w:rsidRPr="000473D0">
        <w:rPr>
          <w:rFonts w:ascii="Times New Roman" w:hAnsi="Times New Roman" w:cs="Times New Roman"/>
          <w:lang w:val="pl-PL"/>
        </w:rPr>
        <w:t xml:space="preserve"> 28 czerwca 2011</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20197/03, §</w:t>
      </w:r>
      <w:r>
        <w:rPr>
          <w:rFonts w:ascii="Times New Roman" w:hAnsi="Times New Roman" w:cs="Times New Roman"/>
          <w:lang w:val="pl-PL"/>
        </w:rPr>
        <w:t> </w:t>
      </w:r>
      <w:r w:rsidRPr="000473D0">
        <w:rPr>
          <w:rFonts w:ascii="Times New Roman" w:hAnsi="Times New Roman" w:cs="Times New Roman"/>
          <w:lang w:val="pl-PL"/>
        </w:rPr>
        <w:t xml:space="preserve">122). </w:t>
      </w:r>
    </w:p>
  </w:footnote>
  <w:footnote w:id="50">
    <w:p w14:paraId="51D568AE" w14:textId="347F748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160 wyroku.</w:t>
      </w:r>
    </w:p>
  </w:footnote>
  <w:footnote w:id="51">
    <w:p w14:paraId="031DB248" w14:textId="18A6EB7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161 wyroku.</w:t>
      </w:r>
    </w:p>
  </w:footnote>
  <w:footnote w:id="52">
    <w:p w14:paraId="254D2A2E" w14:textId="56A2F39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73 i 74 wyroku.</w:t>
      </w:r>
    </w:p>
  </w:footnote>
  <w:footnote w:id="53">
    <w:p w14:paraId="1C57FF22" w14:textId="3C896448"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Zatem uznaję fragment §</w:t>
      </w:r>
      <w:r>
        <w:rPr>
          <w:rFonts w:ascii="Times New Roman" w:hAnsi="Times New Roman" w:cs="Times New Roman"/>
          <w:lang w:val="pl-PL"/>
        </w:rPr>
        <w:t> </w:t>
      </w:r>
      <w:r w:rsidRPr="000473D0">
        <w:rPr>
          <w:rFonts w:ascii="Times New Roman" w:hAnsi="Times New Roman" w:cs="Times New Roman"/>
          <w:lang w:val="pl-PL"/>
        </w:rPr>
        <w:t xml:space="preserve">105 </w:t>
      </w:r>
      <w:r w:rsidRPr="000473D0">
        <w:rPr>
          <w:rFonts w:ascii="Times New Roman" w:hAnsi="Times New Roman" w:cs="Times New Roman"/>
          <w:i/>
          <w:iCs/>
          <w:lang w:val="pl-PL"/>
        </w:rPr>
        <w:t>Tarasov przeciwko Ukrainie</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31 października 2013</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17416/03, za problematyczny.</w:t>
      </w:r>
    </w:p>
  </w:footnote>
  <w:footnote w:id="54">
    <w:p w14:paraId="76E36C5A" w14:textId="214B8BCE"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Zob. </w:t>
      </w:r>
      <w:r w:rsidRPr="000473D0">
        <w:rPr>
          <w:rFonts w:ascii="Times New Roman" w:hAnsi="Times New Roman" w:cs="Times New Roman"/>
          <w:i/>
          <w:iCs/>
          <w:lang w:val="pl-PL"/>
        </w:rPr>
        <w:t xml:space="preserve">Jalloh przeciwko Niemcom </w:t>
      </w:r>
      <w:r w:rsidRPr="000473D0">
        <w:rPr>
          <w:rFonts w:ascii="Times New Roman" w:hAnsi="Times New Roman" w:cs="Times New Roman"/>
          <w:lang w:val="pl-PL"/>
        </w:rPr>
        <w:t xml:space="preserve">[WI], wyrok z </w:t>
      </w:r>
      <w:r>
        <w:rPr>
          <w:rFonts w:ascii="Times New Roman" w:hAnsi="Times New Roman" w:cs="Times New Roman"/>
          <w:lang w:val="pl-PL"/>
        </w:rPr>
        <w:t>dnia</w:t>
      </w:r>
      <w:r w:rsidRPr="000473D0">
        <w:rPr>
          <w:rFonts w:ascii="Times New Roman" w:hAnsi="Times New Roman" w:cs="Times New Roman"/>
          <w:lang w:val="pl-PL"/>
        </w:rPr>
        <w:t xml:space="preserve"> 11 lipca 2006</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54810/00, §§</w:t>
      </w:r>
      <w:r>
        <w:rPr>
          <w:rFonts w:ascii="Times New Roman" w:hAnsi="Times New Roman" w:cs="Times New Roman"/>
          <w:lang w:val="pl-PL"/>
        </w:rPr>
        <w:t> </w:t>
      </w:r>
      <w:r w:rsidRPr="000473D0">
        <w:rPr>
          <w:rFonts w:ascii="Times New Roman" w:hAnsi="Times New Roman" w:cs="Times New Roman"/>
          <w:lang w:val="pl-PL"/>
        </w:rPr>
        <w:t>99 i 108.</w:t>
      </w:r>
    </w:p>
  </w:footnote>
  <w:footnote w:id="55">
    <w:p w14:paraId="0DC0B0F5" w14:textId="58C6BC4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 xml:space="preserve">171 wyroku. W </w:t>
      </w:r>
      <w:r>
        <w:rPr>
          <w:rFonts w:ascii="Times New Roman" w:hAnsi="Times New Roman" w:cs="Times New Roman"/>
          <w:lang w:val="pl-PL"/>
        </w:rPr>
        <w:t>par. </w:t>
      </w:r>
      <w:r w:rsidRPr="000473D0">
        <w:rPr>
          <w:rFonts w:ascii="Times New Roman" w:hAnsi="Times New Roman" w:cs="Times New Roman"/>
          <w:lang w:val="pl-PL"/>
        </w:rPr>
        <w:t xml:space="preserve">174 wyroku większość składu orzekającego powołuje się na „konkretne argumenty natury faktycznej lub prawnej”. Nie jest jasne, czy słowa „particular” w </w:t>
      </w:r>
      <w:r>
        <w:rPr>
          <w:rFonts w:ascii="Times New Roman" w:hAnsi="Times New Roman" w:cs="Times New Roman"/>
          <w:lang w:val="pl-PL"/>
        </w:rPr>
        <w:t>par. </w:t>
      </w:r>
      <w:r w:rsidRPr="000473D0">
        <w:rPr>
          <w:rFonts w:ascii="Times New Roman" w:hAnsi="Times New Roman" w:cs="Times New Roman"/>
          <w:lang w:val="pl-PL"/>
        </w:rPr>
        <w:t xml:space="preserve">171 i „specific” w </w:t>
      </w:r>
      <w:r>
        <w:rPr>
          <w:rFonts w:ascii="Times New Roman" w:hAnsi="Times New Roman" w:cs="Times New Roman"/>
          <w:lang w:val="pl-PL"/>
        </w:rPr>
        <w:t>par. </w:t>
      </w:r>
      <w:r w:rsidRPr="000473D0">
        <w:rPr>
          <w:rFonts w:ascii="Times New Roman" w:hAnsi="Times New Roman" w:cs="Times New Roman"/>
          <w:lang w:val="pl-PL"/>
        </w:rPr>
        <w:t xml:space="preserve">174 mają w zamierzeniu mieć to samo znaczenie.  </w:t>
      </w:r>
    </w:p>
  </w:footnote>
  <w:footnote w:id="56">
    <w:p w14:paraId="34516F03" w14:textId="28840F2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Topić przeciwko Chorwacji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10 października 2013</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51355/10</w:t>
      </w:r>
      <w:r w:rsidRPr="000473D0">
        <w:rPr>
          <w:rFonts w:ascii="Times New Roman" w:hAnsi="Times New Roman" w:cs="Times New Roman"/>
          <w:snapToGrid w:val="0"/>
          <w:lang w:val="pl-PL"/>
        </w:rPr>
        <w:t>, §</w:t>
      </w:r>
      <w:r>
        <w:rPr>
          <w:rFonts w:ascii="Times New Roman" w:hAnsi="Times New Roman" w:cs="Times New Roman"/>
          <w:snapToGrid w:val="0"/>
          <w:lang w:val="pl-PL"/>
        </w:rPr>
        <w:t> </w:t>
      </w:r>
      <w:r w:rsidRPr="000473D0">
        <w:rPr>
          <w:rFonts w:ascii="Times New Roman" w:hAnsi="Times New Roman" w:cs="Times New Roman"/>
          <w:snapToGrid w:val="0"/>
          <w:lang w:val="pl-PL"/>
        </w:rPr>
        <w:t>42.</w:t>
      </w:r>
    </w:p>
  </w:footnote>
  <w:footnote w:id="57">
    <w:p w14:paraId="331C8EEC" w14:textId="6D4509A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Perna</w:t>
      </w:r>
      <w:r w:rsidRPr="000473D0">
        <w:rPr>
          <w:rFonts w:ascii="Times New Roman" w:hAnsi="Times New Roman" w:cs="Times New Roman"/>
          <w:lang w:val="pl-PL"/>
        </w:rPr>
        <w:t xml:space="preserve">, </w:t>
      </w:r>
      <w:r w:rsidRPr="000473D0">
        <w:rPr>
          <w:rFonts w:ascii="Times New Roman" w:hAnsi="Times New Roman" w:cs="Times New Roman"/>
          <w:i/>
          <w:iCs/>
          <w:lang w:val="pl-PL"/>
        </w:rPr>
        <w:t>op.cit.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32.</w:t>
      </w:r>
    </w:p>
  </w:footnote>
  <w:footnote w:id="58">
    <w:p w14:paraId="69A3BC7D" w14:textId="0C8F3883"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164 wyroku.</w:t>
      </w:r>
    </w:p>
  </w:footnote>
  <w:footnote w:id="59">
    <w:p w14:paraId="4982EF8F" w14:textId="1D1AFF71"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Vidal przeciwko Belgii</w:t>
      </w:r>
      <w:r w:rsidRPr="000473D0">
        <w:rPr>
          <w:rFonts w:ascii="Times New Roman" w:hAnsi="Times New Roman" w:cs="Times New Roman"/>
          <w:lang w:val="pl-PL"/>
        </w:rPr>
        <w:t xml:space="preserve">, </w:t>
      </w:r>
      <w:r>
        <w:rPr>
          <w:rFonts w:ascii="Times New Roman" w:hAnsi="Times New Roman" w:cs="Times New Roman"/>
          <w:lang w:val="pl-PL"/>
        </w:rPr>
        <w:t xml:space="preserve">z dnia </w:t>
      </w:r>
      <w:r w:rsidRPr="000473D0">
        <w:rPr>
          <w:rFonts w:ascii="Times New Roman" w:hAnsi="Times New Roman" w:cs="Times New Roman"/>
          <w:lang w:val="pl-PL"/>
        </w:rPr>
        <w:t>22 kwietnia 1992</w:t>
      </w:r>
      <w:r>
        <w:rPr>
          <w:rFonts w:ascii="Times New Roman" w:hAnsi="Times New Roman" w:cs="Times New Roman"/>
          <w:lang w:val="pl-PL"/>
        </w:rPr>
        <w:t> r.</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34 i 35, Seria A nr</w:t>
      </w:r>
      <w:r>
        <w:rPr>
          <w:rFonts w:ascii="Times New Roman" w:hAnsi="Times New Roman" w:cs="Times New Roman"/>
          <w:lang w:val="pl-PL"/>
        </w:rPr>
        <w:t> </w:t>
      </w:r>
      <w:r w:rsidRPr="000473D0">
        <w:rPr>
          <w:rFonts w:ascii="Times New Roman" w:hAnsi="Times New Roman" w:cs="Times New Roman"/>
          <w:lang w:val="pl-PL"/>
        </w:rPr>
        <w:t>235</w:t>
      </w:r>
      <w:r>
        <w:rPr>
          <w:rFonts w:ascii="Times New Roman" w:hAnsi="Times New Roman" w:cs="Times New Roman"/>
          <w:lang w:val="pl-PL"/>
        </w:rPr>
        <w:t>−</w:t>
      </w:r>
      <w:r w:rsidRPr="000473D0">
        <w:rPr>
          <w:rFonts w:ascii="Times New Roman" w:hAnsi="Times New Roman" w:cs="Times New Roman"/>
          <w:lang w:val="pl-PL"/>
        </w:rPr>
        <w:t>B.</w:t>
      </w:r>
    </w:p>
  </w:footnote>
  <w:footnote w:id="60">
    <w:p w14:paraId="3F2D2D39" w14:textId="791320FE"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Al-Khawaja i Tahery</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120</w:t>
      </w:r>
      <w:r>
        <w:rPr>
          <w:rFonts w:ascii="Times New Roman" w:hAnsi="Times New Roman" w:cs="Times New Roman"/>
          <w:lang w:val="pl-PL"/>
        </w:rPr>
        <w:t>−</w:t>
      </w:r>
      <w:r w:rsidRPr="000473D0">
        <w:rPr>
          <w:rFonts w:ascii="Times New Roman" w:hAnsi="Times New Roman" w:cs="Times New Roman"/>
          <w:lang w:val="pl-PL"/>
        </w:rPr>
        <w:t xml:space="preserve">125, oraz </w:t>
      </w:r>
      <w:r w:rsidRPr="000473D0">
        <w:rPr>
          <w:rFonts w:ascii="Times New Roman" w:hAnsi="Times New Roman" w:cs="Times New Roman"/>
          <w:i/>
          <w:iCs/>
          <w:lang w:val="pl-PL"/>
        </w:rPr>
        <w:t>Schatschaschwili</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119</w:t>
      </w:r>
      <w:r>
        <w:rPr>
          <w:rFonts w:ascii="Times New Roman" w:hAnsi="Times New Roman" w:cs="Times New Roman"/>
          <w:lang w:val="pl-PL"/>
        </w:rPr>
        <w:t>−</w:t>
      </w:r>
      <w:r w:rsidRPr="000473D0">
        <w:rPr>
          <w:rFonts w:ascii="Times New Roman" w:hAnsi="Times New Roman" w:cs="Times New Roman"/>
          <w:lang w:val="pl-PL"/>
        </w:rPr>
        <w:t>122.</w:t>
      </w:r>
    </w:p>
  </w:footnote>
  <w:footnote w:id="61">
    <w:p w14:paraId="432CA93E" w14:textId="77777777"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Zgodnie z tą zasadą, w świetle Konwencji, zob. </w:t>
      </w:r>
      <w:r>
        <w:rPr>
          <w:rFonts w:ascii="Times New Roman" w:hAnsi="Times New Roman" w:cs="Times New Roman"/>
        </w:rPr>
        <w:t xml:space="preserve">Omkar Sidhu, </w:t>
      </w:r>
      <w:r>
        <w:rPr>
          <w:rFonts w:ascii="Times New Roman" w:hAnsi="Times New Roman" w:cs="Times New Roman"/>
          <w:i/>
          <w:iCs/>
        </w:rPr>
        <w:t>The Concept of Equality of Arms in Criminal Proceedings under Article 6 of the European Convention on Human Rights</w:t>
      </w:r>
      <w:r>
        <w:rPr>
          <w:rFonts w:ascii="Times New Roman" w:hAnsi="Times New Roman" w:cs="Times New Roman"/>
        </w:rPr>
        <w:t xml:space="preserve">, Cambridge, Intersentia, 2017; Summers, </w:t>
      </w:r>
      <w:r>
        <w:rPr>
          <w:rFonts w:ascii="Times New Roman" w:hAnsi="Times New Roman" w:cs="Times New Roman"/>
          <w:i/>
          <w:iCs/>
        </w:rPr>
        <w:t>Fair Trials: The European Criminal Procedure Tradition and the European Court of Human Rights</w:t>
      </w:r>
      <w:r>
        <w:rPr>
          <w:rFonts w:ascii="Times New Roman" w:hAnsi="Times New Roman" w:cs="Times New Roman"/>
        </w:rPr>
        <w:t xml:space="preserve">, Oxford, Hart, 2007; Trechsel, </w:t>
      </w:r>
      <w:r>
        <w:rPr>
          <w:rFonts w:ascii="Times New Roman" w:hAnsi="Times New Roman" w:cs="Times New Roman"/>
          <w:i/>
          <w:iCs/>
        </w:rPr>
        <w:t>Human Rights in Criminal Procedure</w:t>
      </w:r>
      <w:r>
        <w:rPr>
          <w:rFonts w:ascii="Times New Roman" w:hAnsi="Times New Roman" w:cs="Times New Roman"/>
        </w:rPr>
        <w:t xml:space="preserve">, Oxford, Oxford University Press, 2005; oraz Wasek-Wiaderek, The </w:t>
      </w:r>
      <w:r>
        <w:rPr>
          <w:rFonts w:ascii="Times New Roman" w:hAnsi="Times New Roman" w:cs="Times New Roman"/>
          <w:i/>
          <w:iCs/>
        </w:rPr>
        <w:t>Principle of “Equality of Arms” in Criminal Procedure under Article 6 of the European Convention on Human rights and its Functions in Criminal Justice of Selected European Countries: A Comparative View</w:t>
      </w:r>
      <w:r>
        <w:rPr>
          <w:rFonts w:ascii="Times New Roman" w:hAnsi="Times New Roman" w:cs="Times New Roman"/>
        </w:rPr>
        <w:t>, Leuven, Leuven University Press, 2000.</w:t>
      </w:r>
    </w:p>
  </w:footnote>
  <w:footnote w:id="62">
    <w:p w14:paraId="23657895" w14:textId="17253EB1" w:rsidR="00876D05" w:rsidRPr="00610CA7" w:rsidRDefault="00876D05" w:rsidP="008113A5">
      <w:pPr>
        <w:pStyle w:val="Tekstprzypisudolnego"/>
        <w:rPr>
          <w:rFonts w:ascii="Times New Roman" w:hAnsi="Times New Roman" w:cs="Times New Roman"/>
        </w:rPr>
      </w:pPr>
      <w:r>
        <w:rPr>
          <w:rStyle w:val="Odwoanieprzypisudolnego"/>
          <w:rFonts w:ascii="Times New Roman" w:eastAsia="SimSun" w:hAnsi="Times New Roman" w:cs="Times New Roman"/>
          <w:vertAlign w:val="baseline"/>
        </w:rPr>
        <w:footnoteRef/>
      </w:r>
      <w:r w:rsidRPr="000473D0">
        <w:rPr>
          <w:rFonts w:ascii="Times New Roman" w:eastAsia="SimSun" w:hAnsi="Times New Roman" w:cs="Times New Roman"/>
          <w:lang w:val="pl-PL"/>
        </w:rPr>
        <w:t xml:space="preserve">.  Takie jest też orzecznictwo międzynarodowych sądów karnych. </w:t>
      </w:r>
      <w:r>
        <w:rPr>
          <w:rFonts w:ascii="Times New Roman" w:eastAsia="SimSun" w:hAnsi="Times New Roman" w:cs="Times New Roman"/>
        </w:rPr>
        <w:t xml:space="preserve">Zob. </w:t>
      </w:r>
      <w:r>
        <w:rPr>
          <w:rFonts w:ascii="Times New Roman" w:eastAsia="SimSun" w:hAnsi="Times New Roman" w:cs="Times New Roman"/>
          <w:i/>
          <w:iCs/>
        </w:rPr>
        <w:t>Prokurator przeciwko Nyiramasuhuko i in.</w:t>
      </w:r>
      <w:r>
        <w:rPr>
          <w:rFonts w:ascii="Times New Roman" w:eastAsia="SimSun" w:hAnsi="Times New Roman" w:cs="Times New Roman"/>
        </w:rPr>
        <w:t xml:space="preserve">, sprawa nr ICTR-98-42-AR73, </w:t>
      </w:r>
      <w:hyperlink r:id="rId8" w:history="1">
        <w:r>
          <w:rPr>
            <w:rStyle w:val="Hipercze"/>
            <w:rFonts w:ascii="Times New Roman" w:eastAsia="SimSun" w:hAnsi="Times New Roman" w:cs="Times New Roman"/>
          </w:rPr>
          <w:t>Decision on Joseph Kanyabashi's Appeal Against the Decision of Trial Chamber II of 21 March 2007 Concerning the Dismissal of Motions to Vary His Witness List</w:t>
        </w:r>
      </w:hyperlink>
      <w:r>
        <w:rPr>
          <w:rFonts w:ascii="Times New Roman" w:eastAsia="SimSun" w:hAnsi="Times New Roman" w:cs="Times New Roman"/>
        </w:rPr>
        <w:t xml:space="preserve"> (Izba Odwoławcza), z dnia 21 sierpnia 2007 r., par. 18−19; </w:t>
      </w:r>
      <w:r>
        <w:rPr>
          <w:rFonts w:ascii="Times New Roman" w:eastAsia="SimSun" w:hAnsi="Times New Roman" w:cs="Times New Roman"/>
          <w:i/>
          <w:iCs/>
        </w:rPr>
        <w:t>Prokurator przeciwko Karemera i in.</w:t>
      </w:r>
      <w:r>
        <w:rPr>
          <w:rFonts w:ascii="Times New Roman" w:eastAsia="SimSun" w:hAnsi="Times New Roman" w:cs="Times New Roman"/>
        </w:rPr>
        <w:t xml:space="preserve">, sprawa nr ICTR-98-44-AR73.14, </w:t>
      </w:r>
      <w:hyperlink r:id="rId9" w:history="1">
        <w:r>
          <w:rPr>
            <w:rStyle w:val="Hipercze"/>
            <w:rFonts w:ascii="Times New Roman" w:eastAsia="SimSun" w:hAnsi="Times New Roman" w:cs="Times New Roman"/>
          </w:rPr>
          <w:t>Decision on Mathieu Ngirumpatse's Appeal from the Trial Chamber Decision of 17 September 2008</w:t>
        </w:r>
      </w:hyperlink>
      <w:r>
        <w:rPr>
          <w:rFonts w:ascii="Times New Roman" w:eastAsia="SimSun" w:hAnsi="Times New Roman" w:cs="Times New Roman"/>
        </w:rPr>
        <w:t xml:space="preserve"> (Izba Odwoławcza), z dnia 30 stycznia 2009 r., par. 19−21.</w:t>
      </w:r>
    </w:p>
  </w:footnote>
  <w:footnote w:id="63">
    <w:p w14:paraId="06CFA36E" w14:textId="179FD87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Vidal</w:t>
      </w:r>
      <w:r w:rsidRPr="000473D0">
        <w:rPr>
          <w:rFonts w:ascii="Times New Roman" w:hAnsi="Times New Roman" w:cs="Times New Roman"/>
          <w:lang w:val="pl-PL"/>
        </w:rPr>
        <w:t xml:space="preserve">, </w:t>
      </w:r>
      <w:r w:rsidRPr="000473D0">
        <w:rPr>
          <w:rFonts w:ascii="Times New Roman" w:hAnsi="Times New Roman" w:cs="Times New Roman"/>
          <w:i/>
          <w:iCs/>
          <w:lang w:val="pl-PL"/>
        </w:rPr>
        <w:t>op.cit.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 xml:space="preserve">34 i 35, </w:t>
      </w:r>
      <w:r w:rsidRPr="000473D0">
        <w:rPr>
          <w:rFonts w:ascii="Times New Roman" w:hAnsi="Times New Roman" w:cs="Times New Roman"/>
          <w:i/>
          <w:iCs/>
          <w:lang w:val="pl-PL"/>
        </w:rPr>
        <w:t>Popov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13 lipca 2006</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26853/04, §</w:t>
      </w:r>
      <w:r>
        <w:rPr>
          <w:rFonts w:ascii="Times New Roman" w:hAnsi="Times New Roman" w:cs="Times New Roman"/>
          <w:lang w:val="pl-PL"/>
        </w:rPr>
        <w:t> </w:t>
      </w:r>
      <w:r w:rsidRPr="000473D0">
        <w:rPr>
          <w:rFonts w:ascii="Times New Roman" w:hAnsi="Times New Roman" w:cs="Times New Roman"/>
          <w:lang w:val="pl-PL"/>
        </w:rPr>
        <w:t xml:space="preserve">188, oraz </w:t>
      </w:r>
      <w:r w:rsidRPr="000473D0">
        <w:rPr>
          <w:rFonts w:ascii="Times New Roman" w:hAnsi="Times New Roman" w:cs="Times New Roman"/>
          <w:i/>
          <w:iCs/>
          <w:lang w:val="pl-PL"/>
        </w:rPr>
        <w:t>Pello</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35. Zatem fragment §§</w:t>
      </w:r>
      <w:r>
        <w:rPr>
          <w:rFonts w:ascii="Times New Roman" w:hAnsi="Times New Roman" w:cs="Times New Roman"/>
          <w:lang w:val="pl-PL"/>
        </w:rPr>
        <w:t> </w:t>
      </w:r>
      <w:r w:rsidRPr="000473D0">
        <w:rPr>
          <w:rFonts w:ascii="Times New Roman" w:hAnsi="Times New Roman" w:cs="Times New Roman"/>
          <w:lang w:val="pl-PL"/>
        </w:rPr>
        <w:t>74</w:t>
      </w:r>
      <w:r>
        <w:rPr>
          <w:rFonts w:ascii="Times New Roman" w:hAnsi="Times New Roman" w:cs="Times New Roman"/>
          <w:lang w:val="pl-PL"/>
        </w:rPr>
        <w:t>−</w:t>
      </w:r>
      <w:r w:rsidRPr="000473D0">
        <w:rPr>
          <w:rFonts w:ascii="Times New Roman" w:hAnsi="Times New Roman" w:cs="Times New Roman"/>
          <w:lang w:val="pl-PL"/>
        </w:rPr>
        <w:t xml:space="preserve">75 </w:t>
      </w:r>
      <w:r w:rsidRPr="000473D0">
        <w:rPr>
          <w:rFonts w:ascii="Times New Roman" w:hAnsi="Times New Roman" w:cs="Times New Roman"/>
          <w:i/>
          <w:iCs/>
          <w:lang w:val="pl-PL"/>
        </w:rPr>
        <w:t>Dorokhov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14 lutego 2008</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 xml:space="preserve">66802/01, jest nie do przyjęcia. Jest rzeczą niezrozumiałą, że Trybunał uznał za „godny pożałowania” brak należytego rozpoznania przez sąd prowadzący postępowanie wniosku obrony dotyczącego wezwania dwóch świadków, którzy byli „w sposób oczywisty istotni”, a mimo to stwierdził brak naruszenia. Trybunał zbadał w sposób błędny wartość dowodową zeznań nieprzesłuchanych świadków w świetle materiału dowodowego przeciwko skarżącej, i orzekł, że brak zeznań nieobecnych świadków nie doprowadziłby do uniewinnienia skarżącej. </w:t>
      </w:r>
    </w:p>
  </w:footnote>
  <w:footnote w:id="64">
    <w:p w14:paraId="66BD6862" w14:textId="4A85406F"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Nechto przeciwko Rosji, </w:t>
      </w:r>
      <w:r w:rsidRPr="000473D0">
        <w:rPr>
          <w:rFonts w:ascii="Times New Roman" w:hAnsi="Times New Roman" w:cs="Times New Roman"/>
          <w:lang w:val="pl-PL"/>
        </w:rPr>
        <w:t xml:space="preserve">wyrok z </w:t>
      </w:r>
      <w:r>
        <w:rPr>
          <w:rFonts w:ascii="Times New Roman" w:hAnsi="Times New Roman" w:cs="Times New Roman"/>
          <w:lang w:val="pl-PL"/>
        </w:rPr>
        <w:t>dnia</w:t>
      </w:r>
      <w:r w:rsidRPr="000473D0">
        <w:rPr>
          <w:rFonts w:ascii="Times New Roman" w:hAnsi="Times New Roman" w:cs="Times New Roman"/>
          <w:lang w:val="pl-PL"/>
        </w:rPr>
        <w:t xml:space="preserve"> 24 stycznia 2012</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24893/05, §</w:t>
      </w:r>
      <w:r>
        <w:rPr>
          <w:rFonts w:ascii="Times New Roman" w:hAnsi="Times New Roman" w:cs="Times New Roman"/>
          <w:lang w:val="pl-PL"/>
        </w:rPr>
        <w:t> </w:t>
      </w:r>
      <w:r w:rsidRPr="000473D0">
        <w:rPr>
          <w:rFonts w:ascii="Times New Roman" w:hAnsi="Times New Roman" w:cs="Times New Roman"/>
          <w:lang w:val="pl-PL"/>
        </w:rPr>
        <w:t>127.</w:t>
      </w:r>
    </w:p>
  </w:footnote>
  <w:footnote w:id="65">
    <w:p w14:paraId="0B5A6500" w14:textId="2D4D1FB9"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Zatem fragment w §</w:t>
      </w:r>
      <w:r>
        <w:rPr>
          <w:rFonts w:ascii="Times New Roman" w:hAnsi="Times New Roman" w:cs="Times New Roman"/>
          <w:lang w:val="pl-PL"/>
        </w:rPr>
        <w:t> </w:t>
      </w:r>
      <w:r w:rsidRPr="000473D0">
        <w:rPr>
          <w:rFonts w:ascii="Times New Roman" w:hAnsi="Times New Roman" w:cs="Times New Roman"/>
          <w:lang w:val="pl-PL"/>
        </w:rPr>
        <w:t xml:space="preserve">92 </w:t>
      </w:r>
      <w:r w:rsidRPr="000473D0">
        <w:rPr>
          <w:rFonts w:ascii="Times New Roman" w:hAnsi="Times New Roman" w:cs="Times New Roman"/>
          <w:i/>
          <w:iCs/>
          <w:lang w:val="pl-PL"/>
        </w:rPr>
        <w:t>Tymchenko przeciwko Ukrainie</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13 października 2016</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 xml:space="preserve">47351/06, jest błędny. </w:t>
      </w:r>
    </w:p>
  </w:footnote>
  <w:footnote w:id="66">
    <w:p w14:paraId="25E16BF8" w14:textId="47249A17" w:rsidR="00876D05" w:rsidRPr="00610CA7" w:rsidRDefault="00876D05" w:rsidP="008113A5">
      <w:pPr>
        <w:pStyle w:val="Tekstprzypisudolnego"/>
        <w:rPr>
          <w:rFonts w:ascii="Times New Roman" w:hAnsi="Times New Roman" w:cs="Times New Roman"/>
        </w:rPr>
      </w:pPr>
      <w:r>
        <w:rPr>
          <w:rStyle w:val="Odwoanieprzypisudolnego"/>
          <w:rFonts w:ascii="Times New Roman" w:eastAsia="SimSun" w:hAnsi="Times New Roman" w:cs="Times New Roman"/>
          <w:vertAlign w:val="baseline"/>
        </w:rPr>
        <w:footnoteRef/>
      </w:r>
      <w:r>
        <w:rPr>
          <w:rFonts w:ascii="Times New Roman" w:eastAsia="SimSun" w:hAnsi="Times New Roman" w:cs="Times New Roman"/>
        </w:rPr>
        <w:t>.  </w:t>
      </w:r>
      <w:r>
        <w:rPr>
          <w:rFonts w:ascii="Times New Roman" w:eastAsia="SimSun" w:hAnsi="Times New Roman" w:cs="Times New Roman"/>
          <w:i/>
          <w:iCs/>
          <w:szCs w:val="24"/>
        </w:rPr>
        <w:t>Prokurator przeciwko Nzabonimana</w:t>
      </w:r>
      <w:r>
        <w:rPr>
          <w:rFonts w:ascii="Times New Roman" w:eastAsia="SimSun" w:hAnsi="Times New Roman" w:cs="Times New Roman"/>
          <w:szCs w:val="24"/>
        </w:rPr>
        <w:t xml:space="preserve">, sprawa nr ICTR-98-44D-T, </w:t>
      </w:r>
      <w:hyperlink r:id="rId10" w:history="1">
        <w:r>
          <w:rPr>
            <w:rStyle w:val="Hipercze"/>
            <w:rFonts w:ascii="Times New Roman" w:eastAsia="SimSun" w:hAnsi="Times New Roman" w:cs="Times New Roman"/>
            <w:szCs w:val="24"/>
            <w:u w:val="none"/>
          </w:rPr>
          <w:t xml:space="preserve">Decision on Nzabonimana's Extremely Urgent Motion for Reconsideration and/or Certification to Appeal the “Consolidated Decision on Prosecutor's Second and Third Motions to Compel the Defence </w:t>
        </w:r>
        <w:r>
          <w:rPr>
            <w:rStyle w:val="Hipercze"/>
            <w:rFonts w:ascii="Times New Roman" w:eastAsia="SimSun" w:hAnsi="Times New Roman" w:cs="Times New Roman"/>
            <w:szCs w:val="24"/>
          </w:rPr>
          <w:t>to Comply with the Trial Chamber Decision of 3 February 2010” rendered on 26 March 2010</w:t>
        </w:r>
      </w:hyperlink>
      <w:r>
        <w:rPr>
          <w:rFonts w:ascii="Times New Roman" w:eastAsia="SimSun" w:hAnsi="Times New Roman" w:cs="Times New Roman"/>
          <w:szCs w:val="24"/>
        </w:rPr>
        <w:t xml:space="preserve"> (Izba Procesowa III), 7 maja 2010 r., par. 32.</w:t>
      </w:r>
    </w:p>
  </w:footnote>
  <w:footnote w:id="67">
    <w:p w14:paraId="53F7E10F" w14:textId="323C01B6"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Jorgic przeciwko Niemcom</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12 lipca 2007</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74613/01, §§</w:t>
      </w:r>
      <w:r>
        <w:rPr>
          <w:rFonts w:ascii="Times New Roman" w:hAnsi="Times New Roman" w:cs="Times New Roman"/>
          <w:lang w:val="pl-PL"/>
        </w:rPr>
        <w:t> </w:t>
      </w:r>
      <w:r w:rsidRPr="000473D0">
        <w:rPr>
          <w:rFonts w:ascii="Times New Roman" w:hAnsi="Times New Roman" w:cs="Times New Roman"/>
          <w:lang w:val="pl-PL"/>
        </w:rPr>
        <w:t>86 i 88.</w:t>
      </w:r>
    </w:p>
  </w:footnote>
  <w:footnote w:id="68">
    <w:p w14:paraId="6781DFBA" w14:textId="3A3CE484"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 tym względzie uważam, że fragmenty §</w:t>
      </w:r>
      <w:r>
        <w:rPr>
          <w:rFonts w:ascii="Times New Roman" w:hAnsi="Times New Roman" w:cs="Times New Roman"/>
          <w:lang w:val="pl-PL"/>
        </w:rPr>
        <w:t> </w:t>
      </w:r>
      <w:r w:rsidRPr="000473D0">
        <w:rPr>
          <w:rFonts w:ascii="Times New Roman" w:hAnsi="Times New Roman" w:cs="Times New Roman"/>
          <w:lang w:val="pl-PL"/>
        </w:rPr>
        <w:t xml:space="preserve">70 </w:t>
      </w:r>
      <w:r w:rsidRPr="000473D0">
        <w:rPr>
          <w:rFonts w:ascii="Times New Roman" w:hAnsi="Times New Roman" w:cs="Times New Roman"/>
          <w:i/>
          <w:iCs/>
          <w:lang w:val="pl-PL"/>
        </w:rPr>
        <w:t>Sergey Afanasyev przeciwko Ukrainie</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15 listopada 2012</w:t>
      </w:r>
      <w:r>
        <w:rPr>
          <w:rFonts w:ascii="Times New Roman" w:hAnsi="Times New Roman" w:cs="Times New Roman"/>
          <w:lang w:val="pl-PL"/>
        </w:rPr>
        <w:t> r.</w:t>
      </w:r>
      <w:r w:rsidRPr="000473D0">
        <w:rPr>
          <w:rFonts w:ascii="Times New Roman" w:hAnsi="Times New Roman" w:cs="Times New Roman"/>
          <w:lang w:val="pl-PL"/>
        </w:rPr>
        <w:t>, skarga nr 48057/06</w:t>
      </w:r>
      <w:r w:rsidRPr="000473D0">
        <w:rPr>
          <w:rFonts w:ascii="Times New Roman" w:hAnsi="Times New Roman" w:cs="Times New Roman"/>
          <w:snapToGrid w:val="0"/>
          <w:lang w:val="pl-PL"/>
        </w:rPr>
        <w:t>, oraz §§</w:t>
      </w:r>
      <w:r>
        <w:rPr>
          <w:rFonts w:ascii="Times New Roman" w:hAnsi="Times New Roman" w:cs="Times New Roman"/>
          <w:snapToGrid w:val="0"/>
          <w:lang w:val="pl-PL"/>
        </w:rPr>
        <w:t> </w:t>
      </w:r>
      <w:r w:rsidRPr="000473D0">
        <w:rPr>
          <w:rFonts w:ascii="Times New Roman" w:hAnsi="Times New Roman" w:cs="Times New Roman"/>
          <w:snapToGrid w:val="0"/>
          <w:lang w:val="pl-PL"/>
        </w:rPr>
        <w:t xml:space="preserve">81-82 </w:t>
      </w:r>
      <w:r w:rsidRPr="000473D0">
        <w:rPr>
          <w:rFonts w:ascii="Times New Roman" w:hAnsi="Times New Roman" w:cs="Times New Roman"/>
          <w:i/>
          <w:iCs/>
          <w:lang w:val="pl-PL"/>
        </w:rPr>
        <w:t>Janyr przeciwko Republice Czeskiej</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31 października 2013</w:t>
      </w:r>
      <w:r>
        <w:rPr>
          <w:rFonts w:ascii="Times New Roman" w:hAnsi="Times New Roman" w:cs="Times New Roman"/>
          <w:lang w:val="pl-PL"/>
        </w:rPr>
        <w:t> r.</w:t>
      </w:r>
      <w:r w:rsidRPr="000473D0">
        <w:rPr>
          <w:rFonts w:ascii="Times New Roman" w:hAnsi="Times New Roman" w:cs="Times New Roman"/>
          <w:lang w:val="pl-PL"/>
        </w:rPr>
        <w:t>, skarga nr 42937/08</w:t>
      </w:r>
      <w:r w:rsidRPr="000473D0">
        <w:rPr>
          <w:rFonts w:ascii="Times New Roman" w:hAnsi="Times New Roman" w:cs="Times New Roman"/>
          <w:snapToGrid w:val="0"/>
          <w:lang w:val="pl-PL"/>
        </w:rPr>
        <w:t>, są po prostu błędne.</w:t>
      </w:r>
    </w:p>
  </w:footnote>
  <w:footnote w:id="69">
    <w:p w14:paraId="7C70D642" w14:textId="5EC0CE93" w:rsidR="00876D05" w:rsidRPr="00610CA7" w:rsidRDefault="00876D05" w:rsidP="008113A5">
      <w:pPr>
        <w:pStyle w:val="Tekstprzypisudolnego"/>
        <w:rPr>
          <w:rFonts w:ascii="Times New Roman" w:hAnsi="Times New Roman" w:cs="Times New Roman"/>
        </w:rPr>
      </w:pPr>
      <w:r>
        <w:rPr>
          <w:rStyle w:val="Odwoanieprzypisudolnego"/>
          <w:rFonts w:ascii="Times New Roman" w:eastAsia="SimSun" w:hAnsi="Times New Roman" w:cs="Times New Roman"/>
          <w:vertAlign w:val="baseline"/>
        </w:rPr>
        <w:footnoteRef/>
      </w:r>
      <w:r w:rsidRPr="000473D0">
        <w:rPr>
          <w:rFonts w:ascii="Times New Roman" w:eastAsia="SimSun" w:hAnsi="Times New Roman" w:cs="Times New Roman"/>
          <w:lang w:val="pl-PL"/>
        </w:rPr>
        <w:t>.  Międzynarodowe sądy karne mogą orzekać, że wysłuchanie zeznania świadka wezwanego przez obronę jest „nadmierne” lub „nieistotne”, na podstawie zbadania pisemnych oświadczeń rzeczonych świadków, zazwyczaj dołączanych do streszczenia przedkładanego przez obronę pomiędzy zakończeniem sprawy oskarżenia a początkiem sprawy obrony.</w:t>
      </w:r>
      <w:r w:rsidRPr="000473D0">
        <w:rPr>
          <w:lang w:val="pl-PL"/>
        </w:rPr>
        <w:t xml:space="preserve"> </w:t>
      </w:r>
      <w:r w:rsidRPr="000473D0">
        <w:rPr>
          <w:rStyle w:val="Odwoanieprzypisudolnego"/>
          <w:rFonts w:ascii="Times New Roman" w:eastAsia="SimSun" w:hAnsi="Times New Roman" w:cs="Times New Roman"/>
          <w:lang w:val="pl-PL"/>
        </w:rPr>
        <w:t xml:space="preserve"> </w:t>
      </w:r>
      <w:r>
        <w:rPr>
          <w:rFonts w:ascii="Times New Roman" w:eastAsia="SimSun" w:hAnsi="Times New Roman" w:cs="Times New Roman"/>
        </w:rPr>
        <w:t xml:space="preserve">Zob. </w:t>
      </w:r>
      <w:r>
        <w:rPr>
          <w:rFonts w:ascii="Times New Roman" w:eastAsia="SimSun" w:hAnsi="Times New Roman" w:cs="Times New Roman"/>
          <w:i/>
          <w:iCs/>
        </w:rPr>
        <w:t>Prokurator przeciwko Nyiramasuhuko i in.</w:t>
      </w:r>
      <w:r>
        <w:rPr>
          <w:rFonts w:ascii="Times New Roman" w:eastAsia="SimSun" w:hAnsi="Times New Roman" w:cs="Times New Roman"/>
        </w:rPr>
        <w:t xml:space="preserve">, sprawa nr ICTR-98-42-T, </w:t>
      </w:r>
      <w:hyperlink r:id="rId11" w:history="1">
        <w:r>
          <w:rPr>
            <w:rStyle w:val="Hipercze"/>
            <w:rFonts w:ascii="Times New Roman" w:eastAsia="SimSun" w:hAnsi="Times New Roman" w:cs="Times New Roman"/>
            <w:u w:val="none"/>
          </w:rPr>
          <w:t>Decision on Joseph Kanyabashi's Motions for Modification of his Witness List, the Defence Responses to the Scheduling Order of 13 December 2006 and Ndayambaje's Request for Extension of Time within which to Respond to the Scheduling Order of 13 December 2006</w:t>
        </w:r>
      </w:hyperlink>
      <w:r>
        <w:rPr>
          <w:rFonts w:ascii="Times New Roman" w:eastAsia="SimSun" w:hAnsi="Times New Roman" w:cs="Times New Roman"/>
        </w:rPr>
        <w:t xml:space="preserve"> (Izba Procesowa II), z dnia 21 marca 2007 r., par. 35; </w:t>
      </w:r>
      <w:r>
        <w:rPr>
          <w:rFonts w:ascii="Times New Roman" w:eastAsia="SimSun" w:hAnsi="Times New Roman" w:cs="Times New Roman"/>
          <w:i/>
          <w:iCs/>
        </w:rPr>
        <w:t>Prokurator przeciwko Nyiramasuhuko i in.</w:t>
      </w:r>
      <w:r>
        <w:rPr>
          <w:rFonts w:ascii="Times New Roman" w:eastAsia="SimSun" w:hAnsi="Times New Roman" w:cs="Times New Roman"/>
        </w:rPr>
        <w:t xml:space="preserve">, sprawa nr ICTR-98-42-AR73, </w:t>
      </w:r>
      <w:hyperlink r:id="rId12" w:history="1">
        <w:r>
          <w:rPr>
            <w:rStyle w:val="Hipercze"/>
            <w:rFonts w:ascii="Times New Roman" w:eastAsia="SimSun" w:hAnsi="Times New Roman" w:cs="Times New Roman"/>
            <w:u w:val="none"/>
          </w:rPr>
          <w:t>Decision on Joseph Kanyabashi's Appeal Against the Decision of Trial Chamber II of 21 March 2007 Concerning the Dismissal of Motions to Vary His Witness List</w:t>
        </w:r>
      </w:hyperlink>
      <w:r>
        <w:rPr>
          <w:rFonts w:ascii="Times New Roman" w:eastAsia="SimSun" w:hAnsi="Times New Roman" w:cs="Times New Roman"/>
        </w:rPr>
        <w:t xml:space="preserve"> (Izba Odwoławcza), z dnia 21 sierpnia 2007 r., par. 16; </w:t>
      </w:r>
      <w:r>
        <w:rPr>
          <w:rFonts w:ascii="Times New Roman" w:eastAsia="SimSun" w:hAnsi="Times New Roman" w:cs="Times New Roman"/>
          <w:i/>
          <w:iCs/>
        </w:rPr>
        <w:t>Prokurator przeciwko Ngirabatware</w:t>
      </w:r>
      <w:r>
        <w:rPr>
          <w:rFonts w:ascii="Times New Roman" w:eastAsia="SimSun" w:hAnsi="Times New Roman" w:cs="Times New Roman"/>
        </w:rPr>
        <w:t xml:space="preserve">, sprawa nr ICTR-99-54-T, </w:t>
      </w:r>
      <w:hyperlink r:id="rId13" w:history="1">
        <w:r>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Pr>
          <w:rFonts w:ascii="Times New Roman" w:eastAsia="SimSun" w:hAnsi="Times New Roman" w:cs="Times New Roman"/>
        </w:rPr>
        <w:t xml:space="preserve"> (Izba Procesowa II), z dnia 26 sierpnia 2011 r., par. 47.</w:t>
      </w:r>
    </w:p>
  </w:footnote>
  <w:footnote w:id="70">
    <w:p w14:paraId="0FD88D34" w14:textId="24A2EEE1"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148 wyroku.</w:t>
      </w:r>
    </w:p>
  </w:footnote>
  <w:footnote w:id="71">
    <w:p w14:paraId="01ADB4AC" w14:textId="60294194"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Thomas przeciwko Zjednoczonemu Królestwu </w:t>
      </w:r>
      <w:r w:rsidRPr="000473D0">
        <w:rPr>
          <w:rFonts w:ascii="Times New Roman" w:hAnsi="Times New Roman" w:cs="Times New Roman"/>
          <w:lang w:val="pl-PL"/>
        </w:rPr>
        <w:t xml:space="preserve">(dec.), wyrok z </w:t>
      </w:r>
      <w:r>
        <w:rPr>
          <w:rFonts w:ascii="Times New Roman" w:hAnsi="Times New Roman" w:cs="Times New Roman"/>
          <w:lang w:val="pl-PL"/>
        </w:rPr>
        <w:t>dnia</w:t>
      </w:r>
      <w:r w:rsidRPr="000473D0">
        <w:rPr>
          <w:rFonts w:ascii="Times New Roman" w:hAnsi="Times New Roman" w:cs="Times New Roman"/>
          <w:lang w:val="pl-PL"/>
        </w:rPr>
        <w:t xml:space="preserve"> 10 maja 2005</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 xml:space="preserve">19354/02, oraz decyzja Komisji w sprawie </w:t>
      </w:r>
      <w:r w:rsidRPr="000473D0">
        <w:rPr>
          <w:rFonts w:ascii="Times New Roman" w:hAnsi="Times New Roman" w:cs="Times New Roman"/>
          <w:i/>
          <w:iCs/>
          <w:lang w:val="pl-PL"/>
        </w:rPr>
        <w:t>Blastland przeciwko Zjednoczonemu Królestwu</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7 maja 1987</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12045/86.</w:t>
      </w:r>
    </w:p>
  </w:footnote>
  <w:footnote w:id="72">
    <w:p w14:paraId="7FF8E779" w14:textId="25C1D584"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Škaro przeciwko Chorwacji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6 grudnia 2016</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6962/13, §</w:t>
      </w:r>
      <w:r>
        <w:rPr>
          <w:rFonts w:ascii="Times New Roman" w:hAnsi="Times New Roman" w:cs="Times New Roman"/>
          <w:lang w:val="pl-PL"/>
        </w:rPr>
        <w:t> </w:t>
      </w:r>
      <w:r w:rsidRPr="000473D0">
        <w:rPr>
          <w:rFonts w:ascii="Times New Roman" w:hAnsi="Times New Roman" w:cs="Times New Roman"/>
          <w:lang w:val="pl-PL"/>
        </w:rPr>
        <w:t xml:space="preserve">24; </w:t>
      </w:r>
      <w:r w:rsidRPr="000473D0">
        <w:rPr>
          <w:rFonts w:ascii="Times New Roman" w:hAnsi="Times New Roman" w:cs="Times New Roman"/>
          <w:i/>
          <w:iCs/>
          <w:lang w:val="pl-PL"/>
        </w:rPr>
        <w:t>Tolmachev przeciwko Estonii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9 lipca 2015</w:t>
      </w:r>
      <w:r>
        <w:rPr>
          <w:rFonts w:ascii="Times New Roman" w:hAnsi="Times New Roman" w:cs="Times New Roman"/>
          <w:lang w:val="pl-PL"/>
        </w:rPr>
        <w:t> r.</w:t>
      </w:r>
      <w:r w:rsidRPr="000473D0">
        <w:rPr>
          <w:rFonts w:ascii="Times New Roman" w:hAnsi="Times New Roman" w:cs="Times New Roman"/>
          <w:lang w:val="pl-PL"/>
        </w:rPr>
        <w:t>, skarga nr 73748/13, §</w:t>
      </w:r>
      <w:r>
        <w:rPr>
          <w:rFonts w:ascii="Times New Roman" w:hAnsi="Times New Roman" w:cs="Times New Roman"/>
          <w:lang w:val="pl-PL"/>
        </w:rPr>
        <w:t> </w:t>
      </w:r>
      <w:r w:rsidRPr="000473D0">
        <w:rPr>
          <w:rFonts w:ascii="Times New Roman" w:hAnsi="Times New Roman" w:cs="Times New Roman"/>
          <w:lang w:val="pl-PL"/>
        </w:rPr>
        <w:t xml:space="preserve">52; </w:t>
      </w:r>
      <w:r w:rsidRPr="000473D0">
        <w:rPr>
          <w:rFonts w:ascii="Times New Roman" w:hAnsi="Times New Roman" w:cs="Times New Roman"/>
          <w:i/>
          <w:iCs/>
          <w:lang w:val="pl-PL"/>
        </w:rPr>
        <w:t>Matytsina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27 marca 2014</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58428/10, §</w:t>
      </w:r>
      <w:r>
        <w:rPr>
          <w:rFonts w:ascii="Times New Roman" w:hAnsi="Times New Roman" w:cs="Times New Roman"/>
          <w:lang w:val="pl-PL"/>
        </w:rPr>
        <w:t> </w:t>
      </w:r>
      <w:r w:rsidRPr="000473D0">
        <w:rPr>
          <w:rFonts w:ascii="Times New Roman" w:hAnsi="Times New Roman" w:cs="Times New Roman"/>
          <w:lang w:val="pl-PL"/>
        </w:rPr>
        <w:t xml:space="preserve">153; </w:t>
      </w:r>
      <w:r w:rsidRPr="000473D0">
        <w:rPr>
          <w:rFonts w:ascii="Times New Roman" w:hAnsi="Times New Roman" w:cs="Times New Roman"/>
          <w:i/>
          <w:iCs/>
          <w:lang w:val="pl-PL"/>
        </w:rPr>
        <w:t>Beraru przeciwko Rumunii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18 marca 2014</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40107/04, §</w:t>
      </w:r>
      <w:r>
        <w:rPr>
          <w:rFonts w:ascii="Times New Roman" w:hAnsi="Times New Roman" w:cs="Times New Roman"/>
          <w:lang w:val="pl-PL"/>
        </w:rPr>
        <w:t> </w:t>
      </w:r>
      <w:r w:rsidRPr="000473D0">
        <w:rPr>
          <w:rFonts w:ascii="Times New Roman" w:hAnsi="Times New Roman" w:cs="Times New Roman"/>
          <w:lang w:val="pl-PL"/>
        </w:rPr>
        <w:t xml:space="preserve">64; </w:t>
      </w:r>
      <w:r w:rsidRPr="000473D0">
        <w:rPr>
          <w:rFonts w:ascii="Times New Roman" w:hAnsi="Times New Roman" w:cs="Times New Roman"/>
          <w:i/>
          <w:iCs/>
          <w:lang w:val="pl-PL"/>
        </w:rPr>
        <w:t>Cutean przeciwko Rumunii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 grudnia 2014</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53150/12, §</w:t>
      </w:r>
      <w:r>
        <w:rPr>
          <w:rFonts w:ascii="Times New Roman" w:hAnsi="Times New Roman" w:cs="Times New Roman"/>
          <w:lang w:val="pl-PL"/>
        </w:rPr>
        <w:t> </w:t>
      </w:r>
      <w:r w:rsidRPr="000473D0">
        <w:rPr>
          <w:rFonts w:ascii="Times New Roman" w:hAnsi="Times New Roman" w:cs="Times New Roman"/>
          <w:lang w:val="pl-PL"/>
        </w:rPr>
        <w:t xml:space="preserve">60; </w:t>
      </w:r>
      <w:r w:rsidRPr="000473D0">
        <w:rPr>
          <w:rFonts w:ascii="Times New Roman" w:hAnsi="Times New Roman" w:cs="Times New Roman"/>
          <w:i/>
          <w:iCs/>
          <w:lang w:val="pl-PL"/>
        </w:rPr>
        <w:t>Pichugin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23 października 2012</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38623/03, §</w:t>
      </w:r>
      <w:r>
        <w:rPr>
          <w:rFonts w:ascii="Times New Roman" w:hAnsi="Times New Roman" w:cs="Times New Roman"/>
          <w:lang w:val="pl-PL"/>
        </w:rPr>
        <w:t> </w:t>
      </w:r>
      <w:r w:rsidRPr="000473D0">
        <w:rPr>
          <w:rFonts w:ascii="Times New Roman" w:hAnsi="Times New Roman" w:cs="Times New Roman"/>
          <w:lang w:val="pl-PL"/>
        </w:rPr>
        <w:t xml:space="preserve">199; </w:t>
      </w:r>
      <w:r w:rsidRPr="000473D0">
        <w:rPr>
          <w:rFonts w:ascii="Times New Roman" w:hAnsi="Times New Roman" w:cs="Times New Roman"/>
          <w:i/>
          <w:iCs/>
          <w:lang w:val="pl-PL"/>
        </w:rPr>
        <w:t>Graviano przeciwko Włochom</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10 lutego 2005</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10075/02, §</w:t>
      </w:r>
      <w:r>
        <w:rPr>
          <w:rFonts w:ascii="Times New Roman" w:hAnsi="Times New Roman" w:cs="Times New Roman"/>
          <w:lang w:val="pl-PL"/>
        </w:rPr>
        <w:t> </w:t>
      </w:r>
      <w:r w:rsidRPr="000473D0">
        <w:rPr>
          <w:rFonts w:ascii="Times New Roman" w:hAnsi="Times New Roman" w:cs="Times New Roman"/>
          <w:lang w:val="pl-PL"/>
        </w:rPr>
        <w:t xml:space="preserve">39; oraz </w:t>
      </w:r>
      <w:r w:rsidRPr="000473D0">
        <w:rPr>
          <w:rFonts w:ascii="Times New Roman" w:hAnsi="Times New Roman" w:cs="Times New Roman"/>
          <w:i/>
          <w:iCs/>
          <w:lang w:val="pl-PL"/>
        </w:rPr>
        <w:t xml:space="preserve">P.K. przeciwko Finlandii </w:t>
      </w:r>
      <w:r w:rsidRPr="000473D0">
        <w:rPr>
          <w:rFonts w:ascii="Times New Roman" w:hAnsi="Times New Roman" w:cs="Times New Roman"/>
          <w:lang w:val="pl-PL"/>
        </w:rPr>
        <w:t>(dec.), nr</w:t>
      </w:r>
      <w:r>
        <w:rPr>
          <w:rFonts w:ascii="Times New Roman" w:hAnsi="Times New Roman" w:cs="Times New Roman"/>
          <w:lang w:val="pl-PL"/>
        </w:rPr>
        <w:t> </w:t>
      </w:r>
      <w:r w:rsidRPr="000473D0">
        <w:rPr>
          <w:rFonts w:ascii="Times New Roman" w:hAnsi="Times New Roman" w:cs="Times New Roman"/>
          <w:lang w:val="pl-PL"/>
        </w:rPr>
        <w:t xml:space="preserve">37442/97, </w:t>
      </w:r>
      <w:r>
        <w:rPr>
          <w:rFonts w:ascii="Times New Roman" w:hAnsi="Times New Roman" w:cs="Times New Roman"/>
          <w:lang w:val="pl-PL"/>
        </w:rPr>
        <w:t xml:space="preserve">z dnia </w:t>
      </w:r>
      <w:r w:rsidRPr="000473D0">
        <w:rPr>
          <w:rFonts w:ascii="Times New Roman" w:hAnsi="Times New Roman" w:cs="Times New Roman"/>
          <w:lang w:val="pl-PL"/>
        </w:rPr>
        <w:t>9 lipca 2002</w:t>
      </w:r>
      <w:r>
        <w:rPr>
          <w:rFonts w:ascii="Times New Roman" w:hAnsi="Times New Roman" w:cs="Times New Roman"/>
          <w:lang w:val="pl-PL"/>
        </w:rPr>
        <w:t> r.</w:t>
      </w:r>
      <w:r w:rsidRPr="000473D0">
        <w:rPr>
          <w:rFonts w:ascii="Times New Roman" w:hAnsi="Times New Roman" w:cs="Times New Roman"/>
          <w:lang w:val="pl-PL"/>
        </w:rPr>
        <w:t xml:space="preserve"> </w:t>
      </w:r>
    </w:p>
  </w:footnote>
  <w:footnote w:id="73">
    <w:p w14:paraId="0AD5079F" w14:textId="694D14F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Damir</w:t>
      </w:r>
      <w:r w:rsidRPr="000473D0">
        <w:rPr>
          <w:rFonts w:ascii="Times New Roman" w:hAnsi="Times New Roman" w:cs="Times New Roman"/>
          <w:lang w:val="pl-PL"/>
        </w:rPr>
        <w:t xml:space="preserve"> </w:t>
      </w:r>
      <w:r w:rsidRPr="000473D0">
        <w:rPr>
          <w:rFonts w:ascii="Times New Roman" w:hAnsi="Times New Roman" w:cs="Times New Roman"/>
          <w:i/>
          <w:iCs/>
          <w:lang w:val="pl-PL"/>
        </w:rPr>
        <w:t xml:space="preserve">Sibgatullin </w:t>
      </w:r>
      <w:r w:rsidRPr="000473D0">
        <w:rPr>
          <w:rFonts w:ascii="Times New Roman" w:hAnsi="Times New Roman" w:cs="Times New Roman"/>
          <w:lang w:val="pl-PL"/>
        </w:rPr>
        <w:t xml:space="preserve">przeciwko Rosji, wyrok z </w:t>
      </w:r>
      <w:r>
        <w:rPr>
          <w:rFonts w:ascii="Times New Roman" w:hAnsi="Times New Roman" w:cs="Times New Roman"/>
          <w:lang w:val="pl-PL"/>
        </w:rPr>
        <w:t>dnia</w:t>
      </w:r>
      <w:r w:rsidRPr="000473D0">
        <w:rPr>
          <w:rFonts w:ascii="Times New Roman" w:hAnsi="Times New Roman" w:cs="Times New Roman"/>
          <w:lang w:val="pl-PL"/>
        </w:rPr>
        <w:t xml:space="preserve"> 24 kwietnia 2012</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1413/05, §</w:t>
      </w:r>
      <w:r>
        <w:rPr>
          <w:rFonts w:ascii="Times New Roman" w:hAnsi="Times New Roman" w:cs="Times New Roman"/>
          <w:lang w:val="pl-PL"/>
        </w:rPr>
        <w:t> </w:t>
      </w:r>
      <w:r w:rsidRPr="000473D0">
        <w:rPr>
          <w:rFonts w:ascii="Times New Roman" w:hAnsi="Times New Roman" w:cs="Times New Roman"/>
          <w:lang w:val="pl-PL"/>
        </w:rPr>
        <w:t>57.</w:t>
      </w:r>
    </w:p>
  </w:footnote>
  <w:footnote w:id="74">
    <w:p w14:paraId="29921024" w14:textId="4D2A342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168 wyroku.</w:t>
      </w:r>
    </w:p>
  </w:footnote>
  <w:footnote w:id="75">
    <w:p w14:paraId="63820374" w14:textId="671F8FA3"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141 wyroku.</w:t>
      </w:r>
    </w:p>
  </w:footnote>
  <w:footnote w:id="76">
    <w:p w14:paraId="0DCB52D5" w14:textId="4451120A"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Międzynarodowe sądy karne stosują holistyczną ocenę zarządzania postępowaniem w</w:t>
      </w:r>
      <w:r>
        <w:rPr>
          <w:rFonts w:ascii="Times New Roman" w:hAnsi="Times New Roman" w:cs="Times New Roman"/>
          <w:lang w:val="pl-PL"/>
        </w:rPr>
        <w:t> </w:t>
      </w:r>
      <w:r w:rsidRPr="000473D0">
        <w:rPr>
          <w:rFonts w:ascii="Times New Roman" w:hAnsi="Times New Roman" w:cs="Times New Roman"/>
          <w:lang w:val="pl-PL"/>
        </w:rPr>
        <w:t>sądzie prowadzącym postępowanie w celu ustalenia, czy są</w:t>
      </w:r>
      <w:r>
        <w:rPr>
          <w:rFonts w:ascii="Times New Roman" w:hAnsi="Times New Roman" w:cs="Times New Roman"/>
          <w:lang w:val="pl-PL"/>
        </w:rPr>
        <w:t>d</w:t>
      </w:r>
      <w:r w:rsidRPr="000473D0">
        <w:rPr>
          <w:rFonts w:ascii="Times New Roman" w:hAnsi="Times New Roman" w:cs="Times New Roman"/>
          <w:lang w:val="pl-PL"/>
        </w:rPr>
        <w:t xml:space="preserve"> ten przyznał dostateczną ilość czasu i ułatwień w celu przygotowania obrony (</w:t>
      </w:r>
      <w:r w:rsidRPr="000473D0">
        <w:rPr>
          <w:rFonts w:ascii="Times New Roman" w:hAnsi="Times New Roman" w:cs="Times New Roman"/>
          <w:i/>
          <w:iCs/>
          <w:lang w:val="pl-PL"/>
        </w:rPr>
        <w:t>Prokurator przeciwko Šainović i in.</w:t>
      </w:r>
      <w:r w:rsidRPr="000473D0">
        <w:rPr>
          <w:rFonts w:ascii="Times New Roman" w:hAnsi="Times New Roman" w:cs="Times New Roman"/>
          <w:lang w:val="pl-PL"/>
        </w:rPr>
        <w:t xml:space="preserve">, sprawa nr IT-05-87-A, wyrok (Izba Odwoławcza), </w:t>
      </w:r>
      <w:r>
        <w:rPr>
          <w:rFonts w:ascii="Times New Roman" w:hAnsi="Times New Roman" w:cs="Times New Roman"/>
          <w:lang w:val="pl-PL"/>
        </w:rPr>
        <w:t xml:space="preserve">z dnia </w:t>
      </w:r>
      <w:r w:rsidRPr="000473D0">
        <w:rPr>
          <w:rFonts w:ascii="Times New Roman" w:hAnsi="Times New Roman" w:cs="Times New Roman"/>
          <w:lang w:val="pl-PL"/>
        </w:rPr>
        <w:t>23 stycznia 2014</w:t>
      </w:r>
      <w:r>
        <w:rPr>
          <w:rFonts w:ascii="Times New Roman" w:hAnsi="Times New Roman" w:cs="Times New Roman"/>
          <w:lang w:val="pl-PL"/>
        </w:rPr>
        <w:t> r.</w:t>
      </w:r>
      <w:r w:rsidRPr="000473D0">
        <w:rPr>
          <w:rFonts w:ascii="Times New Roman" w:hAnsi="Times New Roman" w:cs="Times New Roman"/>
          <w:lang w:val="pl-PL"/>
        </w:rPr>
        <w:t xml:space="preserve">, </w:t>
      </w:r>
      <w:r>
        <w:rPr>
          <w:rFonts w:ascii="Times New Roman" w:hAnsi="Times New Roman" w:cs="Times New Roman"/>
          <w:lang w:val="pl-PL"/>
        </w:rPr>
        <w:t>par. </w:t>
      </w:r>
      <w:r w:rsidRPr="000473D0">
        <w:rPr>
          <w:rFonts w:ascii="Times New Roman" w:hAnsi="Times New Roman" w:cs="Times New Roman"/>
          <w:lang w:val="pl-PL"/>
        </w:rPr>
        <w:t>122, 135</w:t>
      </w:r>
      <w:r>
        <w:rPr>
          <w:rFonts w:ascii="Times New Roman" w:hAnsi="Times New Roman" w:cs="Times New Roman"/>
          <w:lang w:val="pl-PL"/>
        </w:rPr>
        <w:t>−</w:t>
      </w:r>
      <w:r w:rsidRPr="000473D0">
        <w:rPr>
          <w:rFonts w:ascii="Times New Roman" w:hAnsi="Times New Roman" w:cs="Times New Roman"/>
          <w:lang w:val="pl-PL"/>
        </w:rPr>
        <w:t>137).</w:t>
      </w:r>
    </w:p>
  </w:footnote>
  <w:footnote w:id="77">
    <w:p w14:paraId="4C35791D" w14:textId="73974E61"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Krótką historię tej tendencji w orzecznictwie Trybunału można prześledzić w opinii rozbieżnej sędziów Sajó i Karakaş w </w:t>
      </w:r>
      <w:r w:rsidRPr="000473D0">
        <w:rPr>
          <w:rFonts w:ascii="Times New Roman" w:hAnsi="Times New Roman" w:cs="Times New Roman"/>
          <w:i/>
          <w:iCs/>
          <w:lang w:val="pl-PL"/>
        </w:rPr>
        <w:t>Al-Khawaja i Tahery, op.</w:t>
      </w:r>
      <w:r>
        <w:rPr>
          <w:rFonts w:ascii="Times New Roman" w:hAnsi="Times New Roman" w:cs="Times New Roman"/>
          <w:i/>
          <w:iCs/>
          <w:lang w:val="pl-PL"/>
        </w:rPr>
        <w:t xml:space="preserve"> </w:t>
      </w:r>
      <w:r w:rsidRPr="000473D0">
        <w:rPr>
          <w:rFonts w:ascii="Times New Roman" w:hAnsi="Times New Roman" w:cs="Times New Roman"/>
          <w:i/>
          <w:iCs/>
          <w:lang w:val="pl-PL"/>
        </w:rPr>
        <w:t xml:space="preserve">cit.; </w:t>
      </w:r>
      <w:r w:rsidRPr="000473D0">
        <w:rPr>
          <w:rFonts w:ascii="Times New Roman" w:hAnsi="Times New Roman" w:cs="Times New Roman"/>
          <w:lang w:val="pl-PL"/>
        </w:rPr>
        <w:t xml:space="preserve">wspólnej zgodnej opinii sędziów Spielmann, Karakaş, Sajó i Keller w </w:t>
      </w:r>
      <w:r w:rsidRPr="000473D0">
        <w:rPr>
          <w:rFonts w:ascii="Times New Roman" w:hAnsi="Times New Roman" w:cs="Times New Roman"/>
          <w:i/>
          <w:iCs/>
          <w:lang w:val="pl-PL"/>
        </w:rPr>
        <w:t>Schatschaschwili</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xml:space="preserve">; wspólnej częściowo rozbieżnej, częściowo zgodnej opinii sędziów Sajó i Laffranque w </w:t>
      </w:r>
      <w:r w:rsidRPr="000473D0">
        <w:rPr>
          <w:rFonts w:ascii="Times New Roman" w:hAnsi="Times New Roman" w:cs="Times New Roman"/>
          <w:i/>
          <w:iCs/>
          <w:lang w:val="pl-PL"/>
        </w:rPr>
        <w:t xml:space="preserve">Ibrahim i Inni przeciwko Zjednoczonemu Królestwu </w:t>
      </w:r>
      <w:r w:rsidRPr="000473D0">
        <w:rPr>
          <w:rFonts w:ascii="Times New Roman" w:hAnsi="Times New Roman" w:cs="Times New Roman"/>
          <w:iCs/>
          <w:lang w:val="pl-PL"/>
        </w:rPr>
        <w:t>[WI]</w:t>
      </w:r>
      <w:r w:rsidRPr="000473D0">
        <w:rPr>
          <w:rFonts w:ascii="Times New Roman" w:hAnsi="Times New Roman" w:cs="Times New Roman"/>
          <w:lang w:val="pl-PL"/>
        </w:rPr>
        <w:t xml:space="preserve">, skarga </w:t>
      </w:r>
      <w:r>
        <w:rPr>
          <w:rFonts w:ascii="Times New Roman" w:hAnsi="Times New Roman" w:cs="Times New Roman"/>
          <w:lang w:val="pl-PL"/>
        </w:rPr>
        <w:t>nr </w:t>
      </w:r>
      <w:r w:rsidRPr="000473D0">
        <w:rPr>
          <w:rFonts w:ascii="Times New Roman" w:hAnsi="Times New Roman" w:cs="Times New Roman"/>
          <w:lang w:val="pl-PL"/>
        </w:rPr>
        <w:t>50541/08 i 3 inne, ETPCz 2016; oraz w opinii częściowo rozbieżnej sędziów Sajó, Lazarova-Trajkovska i Vučinić, do której przyłączył się sędzia Turković, i częściowo rozbieżnej opinii sędziego Serghides w</w:t>
      </w:r>
      <w:r>
        <w:rPr>
          <w:rFonts w:ascii="Times New Roman" w:hAnsi="Times New Roman" w:cs="Times New Roman"/>
          <w:lang w:val="pl-PL"/>
        </w:rPr>
        <w:t xml:space="preserve"> </w:t>
      </w:r>
      <w:r w:rsidRPr="000473D0">
        <w:rPr>
          <w:rFonts w:ascii="Times New Roman" w:hAnsi="Times New Roman" w:cs="Times New Roman"/>
          <w:i/>
          <w:iCs/>
          <w:lang w:val="pl-PL"/>
        </w:rPr>
        <w:t xml:space="preserve">Simeonovi przeciwko Bułgarii </w:t>
      </w:r>
      <w:r w:rsidRPr="000473D0">
        <w:rPr>
          <w:rFonts w:ascii="Times New Roman" w:hAnsi="Times New Roman" w:cs="Times New Roman"/>
          <w:iCs/>
          <w:lang w:val="pl-PL"/>
        </w:rPr>
        <w:t>[WI]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12 maja 2017</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21980/04.</w:t>
      </w:r>
    </w:p>
  </w:footnote>
  <w:footnote w:id="78">
    <w:p w14:paraId="3A742F2B" w14:textId="4CE3860F"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Dvorski przeciwko Chorwacji </w:t>
      </w:r>
      <w:r w:rsidRPr="000473D0">
        <w:rPr>
          <w:rFonts w:ascii="Times New Roman" w:hAnsi="Times New Roman" w:cs="Times New Roman"/>
          <w:lang w:val="pl-PL"/>
        </w:rPr>
        <w:t xml:space="preserve">[WI], wyrok z </w:t>
      </w:r>
      <w:r>
        <w:rPr>
          <w:rFonts w:ascii="Times New Roman" w:hAnsi="Times New Roman" w:cs="Times New Roman"/>
          <w:lang w:val="pl-PL"/>
        </w:rPr>
        <w:t>dnia</w:t>
      </w:r>
      <w:r w:rsidRPr="000473D0">
        <w:rPr>
          <w:rFonts w:ascii="Times New Roman" w:hAnsi="Times New Roman" w:cs="Times New Roman"/>
          <w:lang w:val="pl-PL"/>
        </w:rPr>
        <w:t xml:space="preserve"> 20 października 2015</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25703/11.</w:t>
      </w:r>
    </w:p>
  </w:footnote>
  <w:footnote w:id="79">
    <w:p w14:paraId="1642521A" w14:textId="7E2FE6D2" w:rsidR="00876D05" w:rsidRPr="000473D0" w:rsidRDefault="00876D05" w:rsidP="008113A5">
      <w:pPr>
        <w:pStyle w:val="Tekstprzypisudolnego"/>
        <w:tabs>
          <w:tab w:val="left" w:pos="7455"/>
        </w:tabs>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hyperlink r:id="rId14" w:history="1">
        <w:r w:rsidRPr="000473D0">
          <w:rPr>
            <w:rStyle w:val="Hipercze"/>
            <w:rFonts w:ascii="Times New Roman" w:hAnsi="Times New Roman" w:cs="Times New Roman"/>
            <w:i/>
            <w:iCs/>
            <w:color w:val="auto"/>
            <w:u w:val="none"/>
            <w:lang w:val="pl-PL"/>
          </w:rPr>
          <w:t>Nielsen przeciwko Danii</w:t>
        </w:r>
      </w:hyperlink>
      <w:r w:rsidRPr="000473D0">
        <w:rPr>
          <w:rStyle w:val="Hipercze"/>
          <w:rFonts w:ascii="Times New Roman" w:hAnsi="Times New Roman" w:cs="Times New Roman"/>
          <w:color w:val="auto"/>
          <w:u w:val="none"/>
          <w:lang w:val="pl-PL"/>
        </w:rPr>
        <w:t>, skarga</w:t>
      </w:r>
      <w:r>
        <w:rPr>
          <w:rStyle w:val="Hipercze"/>
          <w:rFonts w:ascii="Times New Roman" w:hAnsi="Times New Roman" w:cs="Times New Roman"/>
          <w:color w:val="auto"/>
          <w:u w:val="none"/>
          <w:lang w:val="pl-PL"/>
        </w:rPr>
        <w:t> </w:t>
      </w:r>
      <w:r w:rsidRPr="000473D0">
        <w:rPr>
          <w:rStyle w:val="Hipercze"/>
          <w:rFonts w:ascii="Times New Roman" w:hAnsi="Times New Roman" w:cs="Times New Roman"/>
          <w:color w:val="auto"/>
          <w:u w:val="none"/>
          <w:lang w:val="pl-PL"/>
        </w:rPr>
        <w:t>nr 343/57,</w:t>
      </w:r>
      <w:r w:rsidRPr="000473D0">
        <w:rPr>
          <w:rStyle w:val="Hipercze"/>
          <w:rFonts w:ascii="Times New Roman" w:hAnsi="Times New Roman" w:cs="Times New Roman"/>
          <w:i/>
          <w:iCs/>
          <w:u w:val="none"/>
          <w:lang w:val="pl-PL"/>
        </w:rPr>
        <w:t xml:space="preserve"> </w:t>
      </w:r>
      <w:r w:rsidRPr="000473D0">
        <w:rPr>
          <w:rFonts w:ascii="Times New Roman" w:hAnsi="Times New Roman" w:cs="Times New Roman"/>
          <w:lang w:val="pl-PL"/>
        </w:rPr>
        <w:t>Raport Komisji, 1960, §</w:t>
      </w:r>
      <w:r>
        <w:rPr>
          <w:rFonts w:ascii="Times New Roman" w:hAnsi="Times New Roman" w:cs="Times New Roman"/>
          <w:lang w:val="pl-PL"/>
        </w:rPr>
        <w:t> </w:t>
      </w:r>
      <w:r w:rsidRPr="000473D0">
        <w:rPr>
          <w:rFonts w:ascii="Times New Roman" w:hAnsi="Times New Roman" w:cs="Times New Roman"/>
          <w:lang w:val="pl-PL"/>
        </w:rPr>
        <w:t>52.</w:t>
      </w:r>
    </w:p>
  </w:footnote>
  <w:footnote w:id="80">
    <w:p w14:paraId="09545BE2" w14:textId="77777777" w:rsidR="00876D05" w:rsidRPr="000473D0" w:rsidRDefault="00876D05" w:rsidP="008113A5">
      <w:pPr>
        <w:pStyle w:val="Tekstprzypisudolnego"/>
        <w:tabs>
          <w:tab w:val="center" w:pos="4513"/>
        </w:tabs>
        <w:rPr>
          <w:rFonts w:ascii="Times New Roman" w:hAnsi="Times New Roman" w:cs="Times New Roman"/>
          <w:i/>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p>
  </w:footnote>
  <w:footnote w:id="81">
    <w:p w14:paraId="04559591" w14:textId="54C7DB74"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Deweer przeciwko Belgii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27 lutego 1980</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6903/75, §</w:t>
      </w:r>
      <w:r>
        <w:rPr>
          <w:rFonts w:ascii="Times New Roman" w:hAnsi="Times New Roman" w:cs="Times New Roman"/>
          <w:lang w:val="pl-PL"/>
        </w:rPr>
        <w:t> </w:t>
      </w:r>
      <w:r w:rsidRPr="000473D0">
        <w:rPr>
          <w:rFonts w:ascii="Times New Roman" w:hAnsi="Times New Roman" w:cs="Times New Roman"/>
          <w:lang w:val="pl-PL"/>
        </w:rPr>
        <w:t>56.</w:t>
      </w:r>
    </w:p>
  </w:footnote>
  <w:footnote w:id="82">
    <w:p w14:paraId="62579272" w14:textId="0EA6D1BB" w:rsidR="00876D05" w:rsidRPr="00FE5296" w:rsidRDefault="00876D05" w:rsidP="008113A5">
      <w:pPr>
        <w:pStyle w:val="Tekstprzypisudolnego"/>
        <w:rPr>
          <w:rStyle w:val="Odwoanieprzypisudolnego"/>
          <w:vertAlign w:val="baseline"/>
          <w:lang w:val="pl-PL"/>
        </w:rPr>
      </w:pPr>
      <w:r>
        <w:rPr>
          <w:rStyle w:val="Odwoanieprzypisudolnego"/>
          <w:vertAlign w:val="baseline"/>
        </w:rPr>
        <w:footnoteRef/>
      </w:r>
      <w:r w:rsidRPr="00FE5296">
        <w:rPr>
          <w:rStyle w:val="Odwoanieprzypisudolnego"/>
          <w:vertAlign w:val="baseline"/>
          <w:lang w:val="pl-PL"/>
        </w:rPr>
        <w:t>.  </w:t>
      </w:r>
      <w:r w:rsidRPr="00FE5296">
        <w:rPr>
          <w:rStyle w:val="Odwoanieprzypisudolnego"/>
          <w:i/>
          <w:iCs/>
          <w:vertAlign w:val="baseline"/>
          <w:lang w:val="pl-PL"/>
        </w:rPr>
        <w:t>Barberà, Messegué i Jabardo przeciwko Hiszpanii</w:t>
      </w:r>
      <w:r w:rsidRPr="00FE5296">
        <w:rPr>
          <w:rStyle w:val="Odwoanieprzypisudolnego"/>
          <w:vertAlign w:val="baseline"/>
          <w:lang w:val="pl-PL"/>
        </w:rPr>
        <w:t xml:space="preserve"> (</w:t>
      </w:r>
      <w:r>
        <w:rPr>
          <w:lang w:val="pl-PL"/>
        </w:rPr>
        <w:t>w pełnym składzie</w:t>
      </w:r>
      <w:r w:rsidRPr="00FE5296">
        <w:rPr>
          <w:rStyle w:val="Odwoanieprzypisudolnego"/>
          <w:vertAlign w:val="baseline"/>
          <w:lang w:val="pl-PL"/>
        </w:rPr>
        <w:t>), wyrok z dnia 6 grudnia 1988 r., skarga nr</w:t>
      </w:r>
      <w:r w:rsidRPr="00FE5296">
        <w:rPr>
          <w:lang w:val="pl-PL"/>
        </w:rPr>
        <w:t> </w:t>
      </w:r>
      <w:r w:rsidRPr="00FE5296">
        <w:rPr>
          <w:rStyle w:val="Odwoanieprzypisudolnego"/>
          <w:vertAlign w:val="baseline"/>
          <w:lang w:val="pl-PL"/>
        </w:rPr>
        <w:t>10590/83.</w:t>
      </w:r>
    </w:p>
  </w:footnote>
  <w:footnote w:id="83">
    <w:p w14:paraId="549A1726" w14:textId="15C5912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xml:space="preserve">., </w:t>
      </w:r>
      <w:r w:rsidRPr="000473D0">
        <w:rPr>
          <w:rStyle w:val="Hipercze"/>
          <w:rFonts w:ascii="Times New Roman" w:hAnsi="Times New Roman" w:cs="Times New Roman"/>
          <w:color w:val="auto"/>
          <w:u w:val="none"/>
          <w:lang w:val="pl-PL"/>
        </w:rPr>
        <w:t>§</w:t>
      </w:r>
      <w:r>
        <w:rPr>
          <w:rStyle w:val="Hipercze"/>
          <w:rFonts w:ascii="Times New Roman" w:hAnsi="Times New Roman" w:cs="Times New Roman"/>
          <w:color w:val="auto"/>
          <w:u w:val="none"/>
          <w:lang w:val="pl-PL"/>
        </w:rPr>
        <w:t> </w:t>
      </w:r>
      <w:r w:rsidRPr="000473D0">
        <w:rPr>
          <w:rStyle w:val="Hipercze"/>
          <w:rFonts w:ascii="Times New Roman" w:hAnsi="Times New Roman" w:cs="Times New Roman"/>
          <w:color w:val="auto"/>
          <w:u w:val="none"/>
          <w:lang w:val="pl-PL"/>
        </w:rPr>
        <w:t>89.</w:t>
      </w:r>
    </w:p>
  </w:footnote>
  <w:footnote w:id="84">
    <w:p w14:paraId="3676F0AF" w14:textId="73473858"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Goddi przeciwko Włochom, </w:t>
      </w:r>
      <w:r w:rsidRPr="000473D0">
        <w:rPr>
          <w:rFonts w:ascii="Times New Roman" w:hAnsi="Times New Roman" w:cs="Times New Roman"/>
          <w:lang w:val="pl-PL"/>
        </w:rPr>
        <w:t xml:space="preserve">wyrok z </w:t>
      </w:r>
      <w:r>
        <w:rPr>
          <w:rFonts w:ascii="Times New Roman" w:hAnsi="Times New Roman" w:cs="Times New Roman"/>
          <w:lang w:val="pl-PL"/>
        </w:rPr>
        <w:t>dnia</w:t>
      </w:r>
      <w:r w:rsidRPr="000473D0">
        <w:rPr>
          <w:rFonts w:ascii="Times New Roman" w:hAnsi="Times New Roman" w:cs="Times New Roman"/>
          <w:i/>
          <w:iCs/>
          <w:lang w:val="pl-PL"/>
        </w:rPr>
        <w:t xml:space="preserve"> </w:t>
      </w:r>
      <w:r w:rsidRPr="000473D0">
        <w:rPr>
          <w:rFonts w:ascii="Times New Roman" w:hAnsi="Times New Roman" w:cs="Times New Roman"/>
          <w:lang w:val="pl-PL"/>
        </w:rPr>
        <w:t>9 kwietnia 1984</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8966/80, §</w:t>
      </w:r>
      <w:r>
        <w:rPr>
          <w:rFonts w:ascii="Times New Roman" w:hAnsi="Times New Roman" w:cs="Times New Roman"/>
          <w:lang w:val="pl-PL"/>
        </w:rPr>
        <w:t> </w:t>
      </w:r>
      <w:r w:rsidRPr="000473D0">
        <w:rPr>
          <w:rFonts w:ascii="Times New Roman" w:hAnsi="Times New Roman" w:cs="Times New Roman"/>
          <w:lang w:val="pl-PL"/>
        </w:rPr>
        <w:t xml:space="preserve">28. </w:t>
      </w:r>
    </w:p>
  </w:footnote>
  <w:footnote w:id="85">
    <w:p w14:paraId="0BFC4849" w14:textId="7777777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 28.</w:t>
      </w:r>
    </w:p>
  </w:footnote>
  <w:footnote w:id="86">
    <w:p w14:paraId="686DE2C5" w14:textId="7B2C8F15"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Correia de Matos przeciwko Portugalii </w:t>
      </w:r>
      <w:r w:rsidRPr="000473D0">
        <w:rPr>
          <w:rFonts w:ascii="Times New Roman" w:hAnsi="Times New Roman" w:cs="Times New Roman"/>
          <w:lang w:val="pl-PL"/>
        </w:rPr>
        <w:t xml:space="preserve">[WI], wyrok z </w:t>
      </w:r>
      <w:r>
        <w:rPr>
          <w:rFonts w:ascii="Times New Roman" w:hAnsi="Times New Roman" w:cs="Times New Roman"/>
          <w:lang w:val="pl-PL"/>
        </w:rPr>
        <w:t>dnia</w:t>
      </w:r>
      <w:r w:rsidRPr="000473D0">
        <w:rPr>
          <w:rFonts w:ascii="Times New Roman" w:hAnsi="Times New Roman" w:cs="Times New Roman"/>
          <w:lang w:val="pl-PL"/>
        </w:rPr>
        <w:t xml:space="preserve"> 4 kwietnia 2018</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56402/12, §119.</w:t>
      </w:r>
    </w:p>
  </w:footnote>
  <w:footnote w:id="87">
    <w:p w14:paraId="5AA19FFE" w14:textId="4021270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Artico przeciwko Włochom, </w:t>
      </w:r>
      <w:r w:rsidRPr="000473D0">
        <w:rPr>
          <w:rFonts w:ascii="Times New Roman" w:hAnsi="Times New Roman" w:cs="Times New Roman"/>
          <w:lang w:val="pl-PL"/>
        </w:rPr>
        <w:t xml:space="preserve">wyrok z </w:t>
      </w:r>
      <w:r>
        <w:rPr>
          <w:rFonts w:ascii="Times New Roman" w:hAnsi="Times New Roman" w:cs="Times New Roman"/>
          <w:lang w:val="pl-PL"/>
        </w:rPr>
        <w:t>dnia</w:t>
      </w:r>
      <w:r w:rsidRPr="000473D0">
        <w:rPr>
          <w:rFonts w:ascii="Times New Roman" w:hAnsi="Times New Roman" w:cs="Times New Roman"/>
          <w:i/>
          <w:iCs/>
          <w:lang w:val="pl-PL"/>
        </w:rPr>
        <w:t xml:space="preserve"> </w:t>
      </w:r>
      <w:r w:rsidRPr="000473D0">
        <w:rPr>
          <w:rFonts w:ascii="Times New Roman" w:hAnsi="Times New Roman" w:cs="Times New Roman"/>
          <w:lang w:val="pl-PL"/>
        </w:rPr>
        <w:t>13 maja 1980</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6694/74, §</w:t>
      </w:r>
      <w:r>
        <w:rPr>
          <w:rFonts w:ascii="Times New Roman" w:hAnsi="Times New Roman" w:cs="Times New Roman"/>
          <w:lang w:val="pl-PL"/>
        </w:rPr>
        <w:t> </w:t>
      </w:r>
      <w:r w:rsidRPr="000473D0">
        <w:rPr>
          <w:rFonts w:ascii="Times New Roman" w:hAnsi="Times New Roman" w:cs="Times New Roman"/>
          <w:lang w:val="pl-PL"/>
        </w:rPr>
        <w:t>32.</w:t>
      </w:r>
    </w:p>
  </w:footnote>
  <w:footnote w:id="88">
    <w:p w14:paraId="0583B9DB" w14:textId="52E3FCF5"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33.</w:t>
      </w:r>
    </w:p>
  </w:footnote>
  <w:footnote w:id="89">
    <w:p w14:paraId="297DAD39" w14:textId="1C48EDD5"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John Murray przeciwko Zjednoczonemu Królestwu</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8 lutego 1996</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18731/91, §</w:t>
      </w:r>
      <w:r>
        <w:rPr>
          <w:rFonts w:ascii="Times New Roman" w:hAnsi="Times New Roman" w:cs="Times New Roman"/>
          <w:lang w:val="pl-PL"/>
        </w:rPr>
        <w:t> </w:t>
      </w:r>
      <w:r w:rsidRPr="000473D0">
        <w:rPr>
          <w:rFonts w:ascii="Times New Roman" w:hAnsi="Times New Roman" w:cs="Times New Roman"/>
          <w:lang w:val="pl-PL"/>
        </w:rPr>
        <w:t>63.</w:t>
      </w:r>
    </w:p>
  </w:footnote>
  <w:footnote w:id="90">
    <w:p w14:paraId="29BEA7E8" w14:textId="33BBC5C7" w:rsidR="00876D05" w:rsidRPr="00966403" w:rsidRDefault="00876D05">
      <w:pPr>
        <w:pStyle w:val="Tekstprzypisudolnego"/>
        <w:rPr>
          <w:lang w:val="pl-PL"/>
        </w:rPr>
      </w:pPr>
      <w:r w:rsidRPr="00966403">
        <w:rPr>
          <w:rStyle w:val="Odwoanieprzypisudolnego"/>
          <w:vertAlign w:val="baseline"/>
        </w:rPr>
        <w:footnoteRef/>
      </w:r>
      <w:r>
        <w:t>.</w:t>
      </w:r>
      <w:r w:rsidRPr="004A53FF">
        <w:t xml:space="preserve"> </w:t>
      </w:r>
      <w:r>
        <w:t xml:space="preserve">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6</w:t>
      </w:r>
      <w:r>
        <w:rPr>
          <w:rFonts w:ascii="Times New Roman" w:hAnsi="Times New Roman" w:cs="Times New Roman"/>
          <w:lang w:val="pl-PL"/>
        </w:rPr>
        <w:t>3</w:t>
      </w:r>
      <w:r w:rsidRPr="000473D0">
        <w:rPr>
          <w:rFonts w:ascii="Times New Roman" w:hAnsi="Times New Roman" w:cs="Times New Roman"/>
          <w:lang w:val="pl-PL"/>
        </w:rPr>
        <w:t>.</w:t>
      </w:r>
    </w:p>
  </w:footnote>
  <w:footnote w:id="91">
    <w:p w14:paraId="556B330E" w14:textId="34D8B695"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65.</w:t>
      </w:r>
    </w:p>
  </w:footnote>
  <w:footnote w:id="92">
    <w:p w14:paraId="0C9287A4" w14:textId="78E1406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68.</w:t>
      </w:r>
    </w:p>
  </w:footnote>
  <w:footnote w:id="93">
    <w:p w14:paraId="6C6A531A" w14:textId="34156D3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Salduz przeciwko Turcji</w:t>
      </w:r>
      <w:r w:rsidRPr="000473D0">
        <w:rPr>
          <w:rFonts w:ascii="Times New Roman" w:hAnsi="Times New Roman" w:cs="Times New Roman"/>
          <w:lang w:val="pl-PL"/>
        </w:rPr>
        <w:t xml:space="preserve"> [WI], wyrok z </w:t>
      </w:r>
      <w:r>
        <w:rPr>
          <w:rFonts w:ascii="Times New Roman" w:hAnsi="Times New Roman" w:cs="Times New Roman"/>
          <w:lang w:val="pl-PL"/>
        </w:rPr>
        <w:t>dnia</w:t>
      </w:r>
      <w:r w:rsidRPr="000473D0">
        <w:rPr>
          <w:rFonts w:ascii="Times New Roman" w:hAnsi="Times New Roman" w:cs="Times New Roman"/>
          <w:lang w:val="pl-PL"/>
        </w:rPr>
        <w:t xml:space="preserve"> 27 listopada 2008</w:t>
      </w:r>
      <w:r>
        <w:rPr>
          <w:rFonts w:ascii="Times New Roman" w:hAnsi="Times New Roman" w:cs="Times New Roman"/>
          <w:lang w:val="pl-PL"/>
        </w:rPr>
        <w:t> r.</w:t>
      </w:r>
      <w:r w:rsidRPr="000473D0">
        <w:rPr>
          <w:rFonts w:ascii="Times New Roman" w:hAnsi="Times New Roman" w:cs="Times New Roman"/>
          <w:lang w:val="pl-PL"/>
        </w:rPr>
        <w:t>, skarga nr 36391/02, §§</w:t>
      </w:r>
      <w:r>
        <w:rPr>
          <w:rFonts w:ascii="Times New Roman" w:hAnsi="Times New Roman" w:cs="Times New Roman"/>
          <w:lang w:val="pl-PL"/>
        </w:rPr>
        <w:t> </w:t>
      </w:r>
      <w:r w:rsidRPr="000473D0">
        <w:rPr>
          <w:rFonts w:ascii="Times New Roman" w:hAnsi="Times New Roman" w:cs="Times New Roman"/>
          <w:lang w:val="pl-PL"/>
        </w:rPr>
        <w:t>12</w:t>
      </w:r>
      <w:r>
        <w:rPr>
          <w:rFonts w:ascii="Times New Roman" w:hAnsi="Times New Roman" w:cs="Times New Roman"/>
          <w:lang w:val="pl-PL"/>
        </w:rPr>
        <w:t>−</w:t>
      </w:r>
      <w:r w:rsidRPr="000473D0">
        <w:rPr>
          <w:rFonts w:ascii="Times New Roman" w:hAnsi="Times New Roman" w:cs="Times New Roman"/>
          <w:lang w:val="pl-PL"/>
        </w:rPr>
        <w:t>17.</w:t>
      </w:r>
    </w:p>
  </w:footnote>
  <w:footnote w:id="94">
    <w:p w14:paraId="4602F2F2" w14:textId="350B940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52.</w:t>
      </w:r>
    </w:p>
  </w:footnote>
  <w:footnote w:id="95">
    <w:p w14:paraId="7A2F1A55" w14:textId="183B6BA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55.</w:t>
      </w:r>
    </w:p>
  </w:footnote>
  <w:footnote w:id="96">
    <w:p w14:paraId="7C1228B5" w14:textId="3A9C95BE"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56.</w:t>
      </w:r>
    </w:p>
  </w:footnote>
  <w:footnote w:id="97">
    <w:p w14:paraId="5FB0B571" w14:textId="6F9BB17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Pavlenko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 kwietnia 2010</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42371/02, §</w:t>
      </w:r>
      <w:r>
        <w:rPr>
          <w:rFonts w:ascii="Times New Roman" w:hAnsi="Times New Roman" w:cs="Times New Roman"/>
          <w:lang w:val="pl-PL"/>
        </w:rPr>
        <w:t> </w:t>
      </w:r>
      <w:r w:rsidRPr="000473D0">
        <w:rPr>
          <w:rFonts w:ascii="Times New Roman" w:hAnsi="Times New Roman" w:cs="Times New Roman"/>
          <w:lang w:val="pl-PL"/>
        </w:rPr>
        <w:t>118.</w:t>
      </w:r>
    </w:p>
  </w:footnote>
  <w:footnote w:id="98">
    <w:p w14:paraId="192D9C7A" w14:textId="22ECEE6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Pishchalnikov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24 września 2009</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7025/04.</w:t>
      </w:r>
    </w:p>
  </w:footnote>
  <w:footnote w:id="99">
    <w:p w14:paraId="05D8A16E" w14:textId="76835EB4"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Ibid</w:t>
      </w:r>
      <w:r>
        <w:rPr>
          <w:rFonts w:ascii="Times New Roman" w:hAnsi="Times New Roman" w:cs="Times New Roman"/>
        </w:rPr>
        <w:t>., § 81.</w:t>
      </w:r>
    </w:p>
  </w:footnote>
  <w:footnote w:id="100">
    <w:p w14:paraId="62B5B9C6" w14:textId="611521FD"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Dvorski, op. cit.</w:t>
      </w:r>
      <w:r>
        <w:rPr>
          <w:rFonts w:ascii="Times New Roman" w:hAnsi="Times New Roman" w:cs="Times New Roman"/>
        </w:rPr>
        <w:t>, § 82.</w:t>
      </w:r>
    </w:p>
  </w:footnote>
  <w:footnote w:id="101">
    <w:p w14:paraId="70A4BF56" w14:textId="12B12166"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Ibid</w:t>
      </w:r>
      <w:r>
        <w:rPr>
          <w:rFonts w:ascii="Times New Roman" w:hAnsi="Times New Roman" w:cs="Times New Roman"/>
        </w:rPr>
        <w:t>., § 81.</w:t>
      </w:r>
    </w:p>
  </w:footnote>
  <w:footnote w:id="102">
    <w:p w14:paraId="7B4D4159" w14:textId="305B13AF"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111.</w:t>
      </w:r>
    </w:p>
  </w:footnote>
  <w:footnote w:id="103">
    <w:p w14:paraId="5DD0DDF4" w14:textId="45E32763"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Takiej interpretacji wyroku w sprawie </w:t>
      </w:r>
      <w:r w:rsidRPr="000473D0">
        <w:rPr>
          <w:rFonts w:ascii="Times New Roman" w:hAnsi="Times New Roman" w:cs="Times New Roman"/>
          <w:i/>
          <w:iCs/>
          <w:lang w:val="pl-PL"/>
        </w:rPr>
        <w:t xml:space="preserve">Dvorski </w:t>
      </w:r>
      <w:r w:rsidRPr="000473D0">
        <w:rPr>
          <w:rFonts w:ascii="Times New Roman" w:hAnsi="Times New Roman" w:cs="Times New Roman"/>
          <w:lang w:val="pl-PL"/>
        </w:rPr>
        <w:t xml:space="preserve">dokonują w zgodnej opinii sędziowie Kalaydjieva, Pinto de Albuquerque i Turković, </w:t>
      </w:r>
      <w:r w:rsidRPr="000473D0">
        <w:rPr>
          <w:rFonts w:ascii="Times New Roman" w:hAnsi="Times New Roman" w:cs="Times New Roman"/>
          <w:i/>
          <w:iCs/>
          <w:lang w:val="pl-PL"/>
        </w:rPr>
        <w:t>Dvorski</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19.</w:t>
      </w:r>
    </w:p>
  </w:footnote>
  <w:footnote w:id="104">
    <w:p w14:paraId="30DFC5C3" w14:textId="02C5CE8A"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Ibrahim i Inni, op.</w:t>
      </w:r>
      <w:r>
        <w:rPr>
          <w:rFonts w:ascii="Times New Roman" w:hAnsi="Times New Roman" w:cs="Times New Roman"/>
          <w:i/>
          <w:iCs/>
          <w:lang w:val="pl-PL"/>
        </w:rPr>
        <w:t xml:space="preserve"> </w:t>
      </w:r>
      <w:r w:rsidRPr="000473D0">
        <w:rPr>
          <w:rFonts w:ascii="Times New Roman" w:hAnsi="Times New Roman" w:cs="Times New Roman"/>
          <w:i/>
          <w:iCs/>
          <w:lang w:val="pl-PL"/>
        </w:rPr>
        <w:t xml:space="preserve">cit., </w:t>
      </w:r>
      <w:r w:rsidRPr="000473D0">
        <w:rPr>
          <w:rFonts w:ascii="Times New Roman" w:hAnsi="Times New Roman" w:cs="Times New Roman"/>
          <w:lang w:val="pl-PL"/>
        </w:rPr>
        <w:t>§</w:t>
      </w:r>
      <w:r>
        <w:rPr>
          <w:rFonts w:ascii="Times New Roman" w:hAnsi="Times New Roman" w:cs="Times New Roman"/>
          <w:lang w:val="pl-PL"/>
        </w:rPr>
        <w:t> </w:t>
      </w:r>
      <w:r w:rsidRPr="000473D0">
        <w:rPr>
          <w:rFonts w:ascii="Times New Roman" w:hAnsi="Times New Roman" w:cs="Times New Roman"/>
          <w:lang w:val="pl-PL"/>
        </w:rPr>
        <w:t>257.</w:t>
      </w:r>
    </w:p>
  </w:footnote>
  <w:footnote w:id="105">
    <w:p w14:paraId="13B2A7CE" w14:textId="21F23C80"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 xml:space="preserve">Ibid., </w:t>
      </w:r>
      <w:r>
        <w:rPr>
          <w:rFonts w:ascii="Times New Roman" w:hAnsi="Times New Roman" w:cs="Times New Roman"/>
        </w:rPr>
        <w:t>§ 262.</w:t>
      </w:r>
    </w:p>
  </w:footnote>
  <w:footnote w:id="106">
    <w:p w14:paraId="47DC34C5" w14:textId="6507B205"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Ibid</w:t>
      </w:r>
      <w:r>
        <w:rPr>
          <w:rFonts w:ascii="Times New Roman" w:hAnsi="Times New Roman" w:cs="Times New Roman"/>
        </w:rPr>
        <w:t>., § 264.</w:t>
      </w:r>
    </w:p>
  </w:footnote>
  <w:footnote w:id="107">
    <w:p w14:paraId="65E1467A" w14:textId="73455A81"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Ibid.</w:t>
      </w:r>
      <w:r>
        <w:rPr>
          <w:rFonts w:ascii="Times New Roman" w:hAnsi="Times New Roman" w:cs="Times New Roman"/>
        </w:rPr>
        <w:t>, § 265.</w:t>
      </w:r>
    </w:p>
  </w:footnote>
  <w:footnote w:id="108">
    <w:p w14:paraId="0E599927" w14:textId="46AE0E42"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Ibid.</w:t>
      </w:r>
      <w:r>
        <w:rPr>
          <w:rFonts w:ascii="Times New Roman" w:hAnsi="Times New Roman" w:cs="Times New Roman"/>
        </w:rPr>
        <w:t>, §§ 260 i 262.</w:t>
      </w:r>
    </w:p>
  </w:footnote>
  <w:footnote w:id="109">
    <w:p w14:paraId="1E55370D" w14:textId="7777777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wspólna częściowo zgodna opinia sędziów Sajó i Laffranque.</w:t>
      </w:r>
    </w:p>
  </w:footnote>
  <w:footnote w:id="110">
    <w:p w14:paraId="462DA4F2" w14:textId="1E65DC82"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Jalloh przeciwko Niemcom </w:t>
      </w:r>
      <w:r w:rsidRPr="000473D0">
        <w:rPr>
          <w:rFonts w:ascii="Times New Roman" w:hAnsi="Times New Roman" w:cs="Times New Roman"/>
          <w:lang w:val="pl-PL"/>
        </w:rPr>
        <w:t xml:space="preserve">[WI], </w:t>
      </w:r>
      <w:r w:rsidRPr="000473D0">
        <w:rPr>
          <w:rFonts w:ascii="Times New Roman" w:hAnsi="Times New Roman" w:cs="Times New Roman"/>
          <w:i/>
          <w:iCs/>
          <w:lang w:val="pl-PL"/>
        </w:rPr>
        <w:t>op.cit.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99.</w:t>
      </w:r>
    </w:p>
  </w:footnote>
  <w:footnote w:id="111">
    <w:p w14:paraId="601DACBB" w14:textId="30C8BB64"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Jak już opowiedziałem się w częściowo zgodnej opinii </w:t>
      </w:r>
      <w:r w:rsidRPr="000473D0">
        <w:rPr>
          <w:rFonts w:ascii="Times New Roman" w:hAnsi="Times New Roman" w:cs="Times New Roman"/>
          <w:i/>
          <w:iCs/>
          <w:lang w:val="pl-PL"/>
        </w:rPr>
        <w:t>Dragoş Ioan Rusu przeciwko Rumunii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31 października 2017</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22767/08, wraz z sędzią Bošnjak, za bardziej restrykcyjnym podejściem do dopuszczalności dowodów uzyskanych z</w:t>
      </w:r>
      <w:r>
        <w:rPr>
          <w:rFonts w:ascii="Times New Roman" w:hAnsi="Times New Roman" w:cs="Times New Roman"/>
          <w:lang w:val="pl-PL"/>
        </w:rPr>
        <w:t> </w:t>
      </w:r>
      <w:r w:rsidRPr="000473D0">
        <w:rPr>
          <w:rFonts w:ascii="Times New Roman" w:hAnsi="Times New Roman" w:cs="Times New Roman"/>
          <w:lang w:val="pl-PL"/>
        </w:rPr>
        <w:t>naruszeniem art.</w:t>
      </w:r>
      <w:r>
        <w:rPr>
          <w:rFonts w:ascii="Times New Roman" w:hAnsi="Times New Roman" w:cs="Times New Roman"/>
          <w:lang w:val="pl-PL"/>
        </w:rPr>
        <w:t> </w:t>
      </w:r>
      <w:r w:rsidRPr="000473D0">
        <w:rPr>
          <w:rFonts w:ascii="Times New Roman" w:hAnsi="Times New Roman" w:cs="Times New Roman"/>
          <w:lang w:val="pl-PL"/>
        </w:rPr>
        <w:t>8 Konwencji.</w:t>
      </w:r>
    </w:p>
  </w:footnote>
  <w:footnote w:id="112">
    <w:p w14:paraId="6D787373" w14:textId="7696DEBB"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Al-</w:t>
      </w:r>
      <w:r w:rsidRPr="000473D0">
        <w:rPr>
          <w:rFonts w:ascii="Times New Roman" w:hAnsi="Times New Roman" w:cs="Times New Roman"/>
          <w:i/>
          <w:iCs/>
          <w:lang w:val="pl-PL"/>
        </w:rPr>
        <w:t>Khawaja</w:t>
      </w:r>
      <w:r w:rsidRPr="000473D0">
        <w:rPr>
          <w:rFonts w:ascii="Times New Roman" w:hAnsi="Times New Roman" w:cs="Times New Roman"/>
          <w:lang w:val="pl-PL"/>
        </w:rPr>
        <w:t xml:space="preserve"> </w:t>
      </w:r>
      <w:r w:rsidRPr="000473D0">
        <w:rPr>
          <w:rFonts w:ascii="Times New Roman" w:hAnsi="Times New Roman" w:cs="Times New Roman"/>
          <w:i/>
          <w:iCs/>
          <w:lang w:val="pl-PL"/>
        </w:rPr>
        <w:t xml:space="preserve">i Tahery </w:t>
      </w:r>
      <w:r w:rsidRPr="000473D0">
        <w:rPr>
          <w:rFonts w:ascii="Times New Roman" w:hAnsi="Times New Roman" w:cs="Times New Roman"/>
          <w:lang w:val="pl-PL"/>
        </w:rPr>
        <w:t xml:space="preserve">[WI],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xml:space="preserve">, § 143, powołujący się na </w:t>
      </w:r>
      <w:r w:rsidRPr="000473D0">
        <w:rPr>
          <w:rFonts w:ascii="Times New Roman" w:hAnsi="Times New Roman" w:cs="Times New Roman"/>
          <w:i/>
          <w:iCs/>
          <w:lang w:val="pl-PL"/>
        </w:rPr>
        <w:t xml:space="preserve">Salduz przeciwko Turcji </w:t>
      </w:r>
      <w:r w:rsidRPr="000473D0">
        <w:rPr>
          <w:rFonts w:ascii="Times New Roman" w:hAnsi="Times New Roman" w:cs="Times New Roman"/>
          <w:lang w:val="pl-PL"/>
        </w:rPr>
        <w:t xml:space="preserve">[WI],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 xml:space="preserve">50. </w:t>
      </w:r>
    </w:p>
  </w:footnote>
  <w:footnote w:id="113">
    <w:p w14:paraId="40F1E3BC" w14:textId="77777777" w:rsidR="00876D05" w:rsidRPr="00610CA7" w:rsidRDefault="00876D05" w:rsidP="008113A5">
      <w:pPr>
        <w:pStyle w:val="Tekstprzypisudolnego"/>
      </w:pPr>
      <w:r>
        <w:rPr>
          <w:rStyle w:val="Odwoanieprzypisudolnego"/>
          <w:vertAlign w:val="baseline"/>
        </w:rPr>
        <w:footnoteRef/>
      </w:r>
      <w:r>
        <w:t xml:space="preserve">.  Mike Redmayne, “Hearsay and Human Rights: Al-Khawaja in the Grand Chamber” (2012) 75(5) </w:t>
      </w:r>
      <w:r>
        <w:rPr>
          <w:i/>
          <w:iCs/>
        </w:rPr>
        <w:t>Modern Law Review</w:t>
      </w:r>
      <w:r>
        <w:t xml:space="preserve"> 865, 869.</w:t>
      </w:r>
    </w:p>
  </w:footnote>
  <w:footnote w:id="114">
    <w:p w14:paraId="1ABA7EF0" w14:textId="7467D4B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Doorson przeciwko Niderlandom</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20524/92, ETPCz 1996</w:t>
      </w:r>
      <w:r>
        <w:rPr>
          <w:rFonts w:ascii="Times New Roman" w:hAnsi="Times New Roman" w:cs="Times New Roman"/>
          <w:lang w:val="pl-PL"/>
        </w:rPr>
        <w:t>−</w:t>
      </w:r>
      <w:r w:rsidRPr="000473D0">
        <w:rPr>
          <w:rFonts w:ascii="Times New Roman" w:hAnsi="Times New Roman" w:cs="Times New Roman"/>
          <w:lang w:val="pl-PL"/>
        </w:rPr>
        <w:t>II, §</w:t>
      </w:r>
      <w:r>
        <w:rPr>
          <w:rFonts w:ascii="Times New Roman" w:hAnsi="Times New Roman" w:cs="Times New Roman"/>
          <w:lang w:val="pl-PL"/>
        </w:rPr>
        <w:t> </w:t>
      </w:r>
      <w:r w:rsidRPr="000473D0">
        <w:rPr>
          <w:rFonts w:ascii="Times New Roman" w:hAnsi="Times New Roman" w:cs="Times New Roman"/>
          <w:lang w:val="pl-PL"/>
        </w:rPr>
        <w:t xml:space="preserve">76, następnie między innymi </w:t>
      </w:r>
      <w:r w:rsidRPr="000473D0">
        <w:rPr>
          <w:rFonts w:ascii="Times New Roman" w:hAnsi="Times New Roman" w:cs="Times New Roman"/>
          <w:i/>
          <w:iCs/>
          <w:lang w:val="pl-PL"/>
        </w:rPr>
        <w:t xml:space="preserve">Van Mechelen i Inni przeciwko </w:t>
      </w:r>
      <w:r>
        <w:rPr>
          <w:rFonts w:ascii="Times New Roman" w:hAnsi="Times New Roman" w:cs="Times New Roman"/>
          <w:i/>
          <w:iCs/>
          <w:lang w:val="pl-PL"/>
        </w:rPr>
        <w:t>Holandii</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21363/93 i inne, ETPCz 1997</w:t>
      </w:r>
      <w:r>
        <w:rPr>
          <w:rFonts w:ascii="Times New Roman" w:hAnsi="Times New Roman" w:cs="Times New Roman"/>
          <w:lang w:val="pl-PL"/>
        </w:rPr>
        <w:t>−</w:t>
      </w:r>
      <w:r w:rsidRPr="000473D0">
        <w:rPr>
          <w:rFonts w:ascii="Times New Roman" w:hAnsi="Times New Roman" w:cs="Times New Roman"/>
          <w:lang w:val="pl-PL"/>
        </w:rPr>
        <w:t>III, §</w:t>
      </w:r>
      <w:r>
        <w:rPr>
          <w:rFonts w:ascii="Times New Roman" w:hAnsi="Times New Roman" w:cs="Times New Roman"/>
          <w:lang w:val="pl-PL"/>
        </w:rPr>
        <w:t> </w:t>
      </w:r>
      <w:r w:rsidRPr="000473D0">
        <w:rPr>
          <w:rFonts w:ascii="Times New Roman" w:hAnsi="Times New Roman" w:cs="Times New Roman"/>
          <w:lang w:val="pl-PL"/>
        </w:rPr>
        <w:t xml:space="preserve">55; </w:t>
      </w:r>
      <w:r w:rsidRPr="000473D0">
        <w:rPr>
          <w:rFonts w:ascii="Times New Roman" w:hAnsi="Times New Roman" w:cs="Times New Roman"/>
          <w:i/>
          <w:iCs/>
          <w:lang w:val="pl-PL"/>
        </w:rPr>
        <w:t>AM przeciwko Włochom</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 xml:space="preserve">37019/97, ETPCz 1999-IX; </w:t>
      </w:r>
      <w:r w:rsidRPr="000473D0">
        <w:rPr>
          <w:rFonts w:ascii="Times New Roman" w:hAnsi="Times New Roman" w:cs="Times New Roman"/>
          <w:i/>
          <w:iCs/>
          <w:lang w:val="pl-PL"/>
        </w:rPr>
        <w:t>Lucà</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 xml:space="preserve">40; </w:t>
      </w:r>
      <w:r w:rsidRPr="000473D0">
        <w:rPr>
          <w:rFonts w:ascii="Times New Roman" w:hAnsi="Times New Roman" w:cs="Times New Roman"/>
          <w:i/>
          <w:iCs/>
          <w:lang w:val="pl-PL"/>
        </w:rPr>
        <w:t>P.S. przeciwko Niemcom</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20 grudnia 2001</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 xml:space="preserve">33900/96, § 24; oraz </w:t>
      </w:r>
      <w:r w:rsidRPr="000473D0">
        <w:rPr>
          <w:rFonts w:ascii="Times New Roman" w:hAnsi="Times New Roman" w:cs="Times New Roman"/>
          <w:i/>
          <w:iCs/>
          <w:lang w:val="pl-PL"/>
        </w:rPr>
        <w:t>Vladimir Romanov przeciwko Rosji,</w:t>
      </w:r>
      <w:r w:rsidRPr="000473D0">
        <w:rPr>
          <w:rFonts w:ascii="Times New Roman" w:hAnsi="Times New Roman" w:cs="Times New Roman"/>
          <w:lang w:val="pl-PL"/>
        </w:rPr>
        <w:t xml:space="preserve"> wyrok z</w:t>
      </w:r>
      <w:r>
        <w:rPr>
          <w:rFonts w:ascii="Times New Roman" w:hAnsi="Times New Roman" w:cs="Times New Roman"/>
          <w:lang w:val="pl-PL"/>
        </w:rPr>
        <w:t> dnia</w:t>
      </w:r>
      <w:r w:rsidRPr="000473D0">
        <w:rPr>
          <w:rFonts w:ascii="Times New Roman" w:hAnsi="Times New Roman" w:cs="Times New Roman"/>
          <w:lang w:val="pl-PL"/>
        </w:rPr>
        <w:t xml:space="preserve"> 24 lipca 2008</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41461/02, § 100.</w:t>
      </w:r>
    </w:p>
  </w:footnote>
  <w:footnote w:id="115">
    <w:p w14:paraId="7FA47648" w14:textId="0F22A1C9"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Al-Khawaja i Tahery</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 xml:space="preserve">146, oraz </w:t>
      </w:r>
      <w:r w:rsidRPr="000473D0">
        <w:rPr>
          <w:rFonts w:ascii="Times New Roman" w:hAnsi="Times New Roman" w:cs="Times New Roman"/>
          <w:i/>
          <w:iCs/>
          <w:lang w:val="pl-PL"/>
        </w:rPr>
        <w:t>Schatschaschwili</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 xml:space="preserve">106 i 112. </w:t>
      </w:r>
    </w:p>
  </w:footnote>
  <w:footnote w:id="116">
    <w:p w14:paraId="635A91BA" w14:textId="3EA55C15" w:rsidR="00876D05" w:rsidRPr="000473D0" w:rsidRDefault="00876D05" w:rsidP="00D81F92">
      <w:pPr>
        <w:pStyle w:val="Tekstprzypisudolnego"/>
        <w:rPr>
          <w:lang w:val="pl-PL"/>
        </w:rPr>
      </w:pPr>
      <w:r>
        <w:rPr>
          <w:rStyle w:val="Odwoanieprzypisudolnego"/>
          <w:vertAlign w:val="baseline"/>
        </w:rPr>
        <w:footnoteRef/>
      </w:r>
      <w:r w:rsidRPr="000473D0">
        <w:rPr>
          <w:lang w:val="pl-PL"/>
        </w:rPr>
        <w:t xml:space="preserve">.  Jak zauważa Ulrich Sommer w „Das Konfrontationsrecht …”, </w:t>
      </w:r>
      <w:r w:rsidRPr="000473D0">
        <w:rPr>
          <w:i/>
          <w:iCs/>
          <w:lang w:val="pl-PL"/>
        </w:rPr>
        <w:t>op.</w:t>
      </w:r>
      <w:r>
        <w:rPr>
          <w:i/>
          <w:iCs/>
          <w:lang w:val="pl-PL"/>
        </w:rPr>
        <w:t xml:space="preserve"> </w:t>
      </w:r>
      <w:r w:rsidRPr="000473D0">
        <w:rPr>
          <w:i/>
          <w:iCs/>
          <w:lang w:val="pl-PL"/>
        </w:rPr>
        <w:t>cit.</w:t>
      </w:r>
      <w:r w:rsidRPr="000473D0">
        <w:rPr>
          <w:lang w:val="pl-PL"/>
        </w:rPr>
        <w:t>, s.</w:t>
      </w:r>
      <w:r>
        <w:rPr>
          <w:lang w:val="pl-PL"/>
        </w:rPr>
        <w:t> </w:t>
      </w:r>
      <w:r w:rsidRPr="000473D0">
        <w:rPr>
          <w:lang w:val="pl-PL"/>
        </w:rPr>
        <w:t xml:space="preserve">28, powołując się na </w:t>
      </w:r>
      <w:r w:rsidRPr="000473D0">
        <w:rPr>
          <w:i/>
          <w:iCs/>
          <w:lang w:val="pl-PL"/>
        </w:rPr>
        <w:t>Al-Khawaja i Tahery</w:t>
      </w:r>
      <w:r w:rsidRPr="000473D0">
        <w:rPr>
          <w:lang w:val="pl-PL"/>
        </w:rPr>
        <w:t xml:space="preserve">, </w:t>
      </w:r>
      <w:r w:rsidRPr="000473D0">
        <w:rPr>
          <w:i/>
          <w:iCs/>
          <w:lang w:val="pl-PL"/>
        </w:rPr>
        <w:t>op.</w:t>
      </w:r>
      <w:r>
        <w:rPr>
          <w:i/>
          <w:iCs/>
          <w:lang w:val="pl-PL"/>
        </w:rPr>
        <w:t xml:space="preserve"> </w:t>
      </w:r>
      <w:r w:rsidRPr="000473D0">
        <w:rPr>
          <w:i/>
          <w:iCs/>
          <w:lang w:val="pl-PL"/>
        </w:rPr>
        <w:t>cit.</w:t>
      </w:r>
      <w:r w:rsidRPr="000473D0">
        <w:rPr>
          <w:lang w:val="pl-PL"/>
        </w:rPr>
        <w:t>, §</w:t>
      </w:r>
      <w:r>
        <w:rPr>
          <w:lang w:val="pl-PL"/>
        </w:rPr>
        <w:t> </w:t>
      </w:r>
      <w:r w:rsidRPr="000473D0">
        <w:rPr>
          <w:lang w:val="pl-PL"/>
        </w:rPr>
        <w:t>160.</w:t>
      </w:r>
    </w:p>
  </w:footnote>
  <w:footnote w:id="117">
    <w:p w14:paraId="24958A3A" w14:textId="0BCB08EE"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113.</w:t>
      </w:r>
    </w:p>
  </w:footnote>
  <w:footnote w:id="118">
    <w:p w14:paraId="17E49E00" w14:textId="18958BB4"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Zob. wspólna opinia zgodna sędziów: Spielmann, Karakaş, Sajó i Keller w</w:t>
      </w:r>
      <w:r>
        <w:rPr>
          <w:rFonts w:ascii="Times New Roman" w:hAnsi="Times New Roman" w:cs="Times New Roman"/>
          <w:lang w:val="pl-PL"/>
        </w:rPr>
        <w:t> </w:t>
      </w:r>
      <w:r w:rsidRPr="000473D0">
        <w:rPr>
          <w:rFonts w:ascii="Times New Roman" w:hAnsi="Times New Roman" w:cs="Times New Roman"/>
          <w:lang w:val="pl-PL"/>
        </w:rPr>
        <w:t>sprawie</w:t>
      </w:r>
      <w:r>
        <w:rPr>
          <w:rFonts w:ascii="Times New Roman" w:hAnsi="Times New Roman" w:cs="Times New Roman"/>
          <w:lang w:val="pl-PL"/>
        </w:rPr>
        <w:t xml:space="preserve"> </w:t>
      </w:r>
      <w:r w:rsidRPr="000473D0">
        <w:rPr>
          <w:rFonts w:ascii="Times New Roman" w:hAnsi="Times New Roman" w:cs="Times New Roman"/>
          <w:i/>
          <w:iCs/>
          <w:lang w:val="pl-PL"/>
        </w:rPr>
        <w:t xml:space="preserve">Schatschaschwili przeciwko Niemcom </w:t>
      </w:r>
      <w:r w:rsidRPr="000473D0">
        <w:rPr>
          <w:rFonts w:ascii="Times New Roman" w:hAnsi="Times New Roman" w:cs="Times New Roman"/>
          <w:iCs/>
          <w:lang w:val="pl-PL"/>
        </w:rPr>
        <w:t>[WI]</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17</w:t>
      </w:r>
      <w:r>
        <w:rPr>
          <w:rFonts w:ascii="Times New Roman" w:hAnsi="Times New Roman" w:cs="Times New Roman"/>
          <w:lang w:val="pl-PL"/>
        </w:rPr>
        <w:t>−</w:t>
      </w:r>
      <w:r w:rsidRPr="000473D0">
        <w:rPr>
          <w:rFonts w:ascii="Times New Roman" w:hAnsi="Times New Roman" w:cs="Times New Roman"/>
          <w:lang w:val="pl-PL"/>
        </w:rPr>
        <w:t>18.</w:t>
      </w:r>
    </w:p>
  </w:footnote>
  <w:footnote w:id="119">
    <w:p w14:paraId="388E320E" w14:textId="50734B4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Ibid</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 xml:space="preserve">116. W swojej opinii rozbieżnej dołączonej do wyroku w sprawie </w:t>
      </w:r>
      <w:r w:rsidRPr="000473D0">
        <w:rPr>
          <w:rFonts w:ascii="Times New Roman" w:hAnsi="Times New Roman" w:cs="Times New Roman"/>
          <w:i/>
          <w:iCs/>
          <w:lang w:val="pl-PL"/>
        </w:rPr>
        <w:t>Schatschaschwili, op.</w:t>
      </w:r>
      <w:r>
        <w:rPr>
          <w:rFonts w:ascii="Times New Roman" w:hAnsi="Times New Roman" w:cs="Times New Roman"/>
          <w:i/>
          <w:iCs/>
          <w:lang w:val="pl-PL"/>
        </w:rPr>
        <w:t xml:space="preserve"> </w:t>
      </w:r>
      <w:r w:rsidRPr="000473D0">
        <w:rPr>
          <w:rFonts w:ascii="Times New Roman" w:hAnsi="Times New Roman" w:cs="Times New Roman"/>
          <w:i/>
          <w:iCs/>
          <w:lang w:val="pl-PL"/>
        </w:rPr>
        <w:t xml:space="preserve">cit., </w:t>
      </w:r>
      <w:r w:rsidRPr="000473D0">
        <w:rPr>
          <w:rFonts w:ascii="Times New Roman" w:hAnsi="Times New Roman" w:cs="Times New Roman"/>
          <w:lang w:val="pl-PL"/>
        </w:rPr>
        <w:t>sędzia</w:t>
      </w:r>
      <w:r w:rsidRPr="000473D0">
        <w:rPr>
          <w:rFonts w:ascii="Times New Roman" w:hAnsi="Times New Roman" w:cs="Times New Roman"/>
          <w:i/>
          <w:iCs/>
          <w:lang w:val="pl-PL"/>
        </w:rPr>
        <w:t xml:space="preserve"> </w:t>
      </w:r>
      <w:r w:rsidRPr="000473D0">
        <w:rPr>
          <w:rFonts w:ascii="Times New Roman" w:hAnsi="Times New Roman" w:cs="Times New Roman"/>
          <w:lang w:val="pl-PL"/>
        </w:rPr>
        <w:t>Kjølbro skrytykował większość składu orzekającego za wprowadzenie trzeciej kategorii (kategorii dowodu o znaczącym ciężarze) oprócz poprzednich dwóch kategorii (jedynego i rozstrzygającego dowodu).</w:t>
      </w:r>
    </w:p>
  </w:footnote>
  <w:footnote w:id="120">
    <w:p w14:paraId="42230493" w14:textId="7777777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Sąd Najwyższy Stanów Zjednoczonych, </w:t>
      </w:r>
      <w:r w:rsidRPr="000473D0">
        <w:rPr>
          <w:rFonts w:ascii="Times New Roman" w:hAnsi="Times New Roman" w:cs="Times New Roman"/>
          <w:i/>
          <w:iCs/>
          <w:lang w:val="pl-PL"/>
        </w:rPr>
        <w:t>Stany Zjednoczone przeciwko Gonzalez-Lopez</w:t>
      </w:r>
      <w:r w:rsidRPr="000473D0">
        <w:rPr>
          <w:rFonts w:ascii="Times New Roman" w:hAnsi="Times New Roman" w:cs="Times New Roman"/>
          <w:lang w:val="pl-PL"/>
        </w:rPr>
        <w:t>, 548 U.S. 140, 149 (2006).</w:t>
      </w:r>
    </w:p>
  </w:footnote>
  <w:footnote w:id="121">
    <w:p w14:paraId="54734BCD" w14:textId="40DBD0BB"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Artico przeciwko Włochom, 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w:t>
      </w:r>
      <w:r w:rsidRPr="000473D0">
        <w:rPr>
          <w:rFonts w:ascii="Times New Roman" w:hAnsi="Times New Roman" w:cs="Times New Roman"/>
          <w:i/>
          <w:iCs/>
          <w:lang w:val="pl-PL"/>
        </w:rPr>
        <w:t xml:space="preserve"> </w:t>
      </w:r>
      <w:r w:rsidRPr="000473D0">
        <w:rPr>
          <w:rFonts w:ascii="Times New Roman" w:hAnsi="Times New Roman" w:cs="Times New Roman"/>
          <w:lang w:val="pl-PL"/>
        </w:rPr>
        <w:t>§</w:t>
      </w:r>
      <w:r>
        <w:rPr>
          <w:rFonts w:ascii="Times New Roman" w:hAnsi="Times New Roman" w:cs="Times New Roman"/>
          <w:lang w:val="pl-PL"/>
        </w:rPr>
        <w:t> </w:t>
      </w:r>
      <w:r w:rsidRPr="000473D0">
        <w:rPr>
          <w:rFonts w:ascii="Times New Roman" w:hAnsi="Times New Roman" w:cs="Times New Roman"/>
          <w:lang w:val="pl-PL"/>
        </w:rPr>
        <w:t>35.</w:t>
      </w:r>
    </w:p>
  </w:footnote>
  <w:footnote w:id="122">
    <w:p w14:paraId="662FCD7D" w14:textId="77777777" w:rsidR="00876D05" w:rsidRPr="00610CA7" w:rsidRDefault="00876D05" w:rsidP="008113A5">
      <w:pPr>
        <w:pStyle w:val="Tekstprzypisudolnego"/>
        <w:rPr>
          <w:rFonts w:ascii="Times New Roman" w:hAnsi="Times New Roman" w:cs="Times New Roman"/>
          <w:i/>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Ibid.</w:t>
      </w:r>
    </w:p>
  </w:footnote>
  <w:footnote w:id="123">
    <w:p w14:paraId="52EB2254" w14:textId="4BE366DB"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iCs/>
        </w:rPr>
        <w:t>John Murray</w:t>
      </w:r>
      <w:r>
        <w:rPr>
          <w:rFonts w:ascii="Times New Roman" w:hAnsi="Times New Roman" w:cs="Times New Roman"/>
        </w:rPr>
        <w:t xml:space="preserve">, </w:t>
      </w:r>
      <w:r>
        <w:rPr>
          <w:rFonts w:ascii="Times New Roman" w:hAnsi="Times New Roman" w:cs="Times New Roman"/>
          <w:i/>
          <w:iCs/>
        </w:rPr>
        <w:t>op. cit.</w:t>
      </w:r>
      <w:r>
        <w:rPr>
          <w:rFonts w:ascii="Times New Roman" w:hAnsi="Times New Roman" w:cs="Times New Roman"/>
        </w:rPr>
        <w:t>, § 68.</w:t>
      </w:r>
    </w:p>
  </w:footnote>
  <w:footnote w:id="124">
    <w:p w14:paraId="2190DC44" w14:textId="6DEDBFF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Salduz</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58 („[Z]adaniem Trybunału nie jest spekulowanie na temat wpływu, jaki dostęp skarżącego do adwokata podczas przebywania w policyjnej izbie zatrzymań miałby na toczące się później postępowanie”.)</w:t>
      </w:r>
    </w:p>
  </w:footnote>
  <w:footnote w:id="125">
    <w:p w14:paraId="4D5ED7D2" w14:textId="056F0421"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Ibrahim i Inni, op.</w:t>
      </w:r>
      <w:r>
        <w:rPr>
          <w:rFonts w:ascii="Times New Roman" w:hAnsi="Times New Roman" w:cs="Times New Roman"/>
          <w:i/>
          <w:iCs/>
          <w:lang w:val="pl-PL"/>
        </w:rPr>
        <w:t xml:space="preserve"> </w:t>
      </w:r>
      <w:r w:rsidRPr="000473D0">
        <w:rPr>
          <w:rFonts w:ascii="Times New Roman" w:hAnsi="Times New Roman" w:cs="Times New Roman"/>
          <w:i/>
          <w:iCs/>
          <w:lang w:val="pl-PL"/>
        </w:rPr>
        <w:t xml:space="preserve">cit., </w:t>
      </w:r>
      <w:r w:rsidRPr="000473D0">
        <w:rPr>
          <w:rFonts w:ascii="Times New Roman" w:hAnsi="Times New Roman" w:cs="Times New Roman"/>
          <w:lang w:val="pl-PL"/>
        </w:rPr>
        <w:t>§</w:t>
      </w:r>
      <w:r>
        <w:rPr>
          <w:rFonts w:ascii="Times New Roman" w:hAnsi="Times New Roman" w:cs="Times New Roman"/>
          <w:lang w:val="pl-PL"/>
        </w:rPr>
        <w:t> </w:t>
      </w:r>
      <w:r w:rsidRPr="000473D0">
        <w:rPr>
          <w:rFonts w:ascii="Times New Roman" w:hAnsi="Times New Roman" w:cs="Times New Roman"/>
          <w:lang w:val="pl-PL"/>
        </w:rPr>
        <w:t>274.</w:t>
      </w:r>
    </w:p>
  </w:footnote>
  <w:footnote w:id="126">
    <w:p w14:paraId="4A8A7931" w14:textId="0EFE169F" w:rsidR="00876D05" w:rsidRPr="00966403" w:rsidRDefault="00876D05" w:rsidP="008113A5">
      <w:pPr>
        <w:pStyle w:val="Tekstprzypisudolnego"/>
        <w:rPr>
          <w:rFonts w:ascii="Times New Roman" w:hAnsi="Times New Roman" w:cs="Times New Roman"/>
          <w:lang w:val="en-US"/>
        </w:rPr>
      </w:pPr>
      <w:r>
        <w:rPr>
          <w:rStyle w:val="Odwoanieprzypisudolnego"/>
          <w:rFonts w:ascii="Times New Roman" w:hAnsi="Times New Roman" w:cs="Times New Roman"/>
          <w:vertAlign w:val="baseline"/>
        </w:rPr>
        <w:footnoteRef/>
      </w:r>
      <w:r w:rsidRPr="00966403">
        <w:rPr>
          <w:rFonts w:ascii="Times New Roman" w:hAnsi="Times New Roman" w:cs="Times New Roman"/>
          <w:lang w:val="en-US"/>
        </w:rPr>
        <w:t>.  </w:t>
      </w:r>
      <w:r w:rsidRPr="00966403">
        <w:rPr>
          <w:rFonts w:ascii="Times New Roman" w:hAnsi="Times New Roman" w:cs="Times New Roman"/>
          <w:i/>
          <w:iCs/>
          <w:lang w:val="en-US"/>
        </w:rPr>
        <w:t>Simeonovi</w:t>
      </w:r>
      <w:r w:rsidRPr="00966403">
        <w:rPr>
          <w:rFonts w:ascii="Times New Roman" w:hAnsi="Times New Roman" w:cs="Times New Roman"/>
          <w:lang w:val="en-US"/>
        </w:rPr>
        <w:t xml:space="preserve">, </w:t>
      </w:r>
      <w:r w:rsidRPr="00966403">
        <w:rPr>
          <w:rFonts w:ascii="Times New Roman" w:hAnsi="Times New Roman" w:cs="Times New Roman"/>
          <w:i/>
          <w:iCs/>
          <w:lang w:val="en-US"/>
        </w:rPr>
        <w:t>op. cit.</w:t>
      </w:r>
      <w:r w:rsidRPr="00966403">
        <w:rPr>
          <w:rFonts w:ascii="Times New Roman" w:hAnsi="Times New Roman" w:cs="Times New Roman"/>
          <w:lang w:val="en-US"/>
        </w:rPr>
        <w:t>, §§ 132-144.</w:t>
      </w:r>
    </w:p>
  </w:footnote>
  <w:footnote w:id="127">
    <w:p w14:paraId="3D5827D7" w14:textId="44B680D1" w:rsidR="00876D05" w:rsidRPr="00966403" w:rsidRDefault="00876D05" w:rsidP="008113A5">
      <w:pPr>
        <w:pStyle w:val="Tekstprzypisudolnego"/>
        <w:rPr>
          <w:rFonts w:ascii="Times New Roman" w:hAnsi="Times New Roman" w:cs="Times New Roman"/>
          <w:lang w:val="en-US"/>
        </w:rPr>
      </w:pPr>
      <w:r>
        <w:rPr>
          <w:rStyle w:val="Odwoanieprzypisudolnego"/>
          <w:rFonts w:ascii="Times New Roman" w:hAnsi="Times New Roman" w:cs="Times New Roman"/>
          <w:vertAlign w:val="baseline"/>
        </w:rPr>
        <w:footnoteRef/>
      </w:r>
      <w:r w:rsidRPr="00966403">
        <w:rPr>
          <w:rFonts w:ascii="Times New Roman" w:hAnsi="Times New Roman" w:cs="Times New Roman"/>
          <w:lang w:val="en-US"/>
        </w:rPr>
        <w:t>.  </w:t>
      </w:r>
      <w:r w:rsidRPr="00966403">
        <w:rPr>
          <w:rFonts w:ascii="Times New Roman" w:hAnsi="Times New Roman" w:cs="Times New Roman"/>
          <w:i/>
          <w:iCs/>
          <w:lang w:val="en-US"/>
        </w:rPr>
        <w:t xml:space="preserve">Ibrahim i Inni, op. cit., </w:t>
      </w:r>
      <w:r w:rsidRPr="00966403">
        <w:rPr>
          <w:rFonts w:ascii="Times New Roman" w:hAnsi="Times New Roman" w:cs="Times New Roman"/>
          <w:lang w:val="en-US"/>
        </w:rPr>
        <w:t>§ 274.</w:t>
      </w:r>
    </w:p>
  </w:footnote>
  <w:footnote w:id="128">
    <w:p w14:paraId="79FD312D" w14:textId="3A652D37" w:rsidR="00876D05" w:rsidRPr="00966403" w:rsidRDefault="00876D05" w:rsidP="008113A5">
      <w:pPr>
        <w:pStyle w:val="Tekstprzypisudolnego"/>
        <w:rPr>
          <w:rFonts w:ascii="Times New Roman" w:hAnsi="Times New Roman" w:cs="Times New Roman"/>
          <w:lang w:val="en-US"/>
        </w:rPr>
      </w:pPr>
      <w:r>
        <w:rPr>
          <w:rStyle w:val="Odwoanieprzypisudolnego"/>
          <w:rFonts w:ascii="Times New Roman" w:hAnsi="Times New Roman" w:cs="Times New Roman"/>
          <w:vertAlign w:val="baseline"/>
        </w:rPr>
        <w:footnoteRef/>
      </w:r>
      <w:r w:rsidRPr="00966403">
        <w:rPr>
          <w:rFonts w:ascii="Times New Roman" w:hAnsi="Times New Roman" w:cs="Times New Roman"/>
          <w:lang w:val="en-US"/>
        </w:rPr>
        <w:t>.  </w:t>
      </w:r>
      <w:r w:rsidRPr="00966403">
        <w:rPr>
          <w:rFonts w:ascii="Times New Roman" w:hAnsi="Times New Roman" w:cs="Times New Roman"/>
          <w:i/>
          <w:iCs/>
          <w:lang w:val="en-US"/>
        </w:rPr>
        <w:t xml:space="preserve">Ibid., </w:t>
      </w:r>
      <w:r w:rsidRPr="00966403">
        <w:rPr>
          <w:rFonts w:ascii="Times New Roman" w:hAnsi="Times New Roman" w:cs="Times New Roman"/>
          <w:lang w:val="en-US"/>
        </w:rPr>
        <w:t>§ 274.</w:t>
      </w:r>
    </w:p>
  </w:footnote>
  <w:footnote w:id="129">
    <w:p w14:paraId="015495E5" w14:textId="01AABC2E"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966403">
        <w:rPr>
          <w:rFonts w:ascii="Times New Roman" w:hAnsi="Times New Roman" w:cs="Times New Roman"/>
          <w:lang w:val="en-US"/>
        </w:rPr>
        <w:t>.  </w:t>
      </w:r>
      <w:r w:rsidRPr="00966403">
        <w:rPr>
          <w:rFonts w:ascii="Times New Roman" w:hAnsi="Times New Roman" w:cs="Times New Roman"/>
          <w:i/>
          <w:iCs/>
          <w:lang w:val="en-US"/>
        </w:rPr>
        <w:t xml:space="preserve">Ibid., </w:t>
      </w:r>
      <w:r w:rsidRPr="00966403">
        <w:rPr>
          <w:rFonts w:ascii="Times New Roman" w:hAnsi="Times New Roman" w:cs="Times New Roman"/>
          <w:lang w:val="en-US"/>
        </w:rPr>
        <w:t xml:space="preserve">§ 274. </w:t>
      </w:r>
      <w:r w:rsidRPr="000473D0">
        <w:rPr>
          <w:rFonts w:ascii="Times New Roman" w:hAnsi="Times New Roman" w:cs="Times New Roman"/>
          <w:lang w:val="pl-PL"/>
        </w:rPr>
        <w:t xml:space="preserve">Zob. też </w:t>
      </w:r>
      <w:r w:rsidRPr="000473D0">
        <w:rPr>
          <w:rFonts w:ascii="Times New Roman" w:hAnsi="Times New Roman" w:cs="Times New Roman"/>
          <w:i/>
          <w:iCs/>
          <w:lang w:val="pl-PL"/>
        </w:rPr>
        <w:t>Al-Khawaja i Tahery</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§143.</w:t>
      </w:r>
    </w:p>
  </w:footnote>
  <w:footnote w:id="130">
    <w:p w14:paraId="25072020" w14:textId="3C1D3C6D"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xml:space="preserve">.  Ulrich Sommer, “Das Konfrontationsrecht des Art. 6 Abs. 3 lit. d MRK – „to examine the witness”, </w:t>
      </w:r>
      <w:r>
        <w:rPr>
          <w:rFonts w:ascii="Times New Roman" w:hAnsi="Times New Roman" w:cs="Times New Roman"/>
          <w:i/>
          <w:iCs/>
        </w:rPr>
        <w:t>op.cit.</w:t>
      </w:r>
      <w:r>
        <w:rPr>
          <w:rFonts w:ascii="Times New Roman" w:hAnsi="Times New Roman" w:cs="Times New Roman"/>
        </w:rPr>
        <w:t xml:space="preserve">, ss. 4−32; Ian Dennis, „The right to confront witnesses: meanings, myths and human rights” (2010) </w:t>
      </w:r>
      <w:r>
        <w:rPr>
          <w:rFonts w:ascii="Times New Roman" w:hAnsi="Times New Roman" w:cs="Times New Roman"/>
          <w:i/>
          <w:iCs/>
        </w:rPr>
        <w:t>Criminal Law Review</w:t>
      </w:r>
      <w:r>
        <w:rPr>
          <w:rFonts w:ascii="Times New Roman" w:hAnsi="Times New Roman" w:cs="Times New Roman"/>
        </w:rPr>
        <w:t xml:space="preserve"> 255−274; Kweku Vanderpuye, „Traditions in Conflict: The Internationalization of Confrontation” (2010) 43 </w:t>
      </w:r>
      <w:r>
        <w:rPr>
          <w:rFonts w:ascii="Times New Roman" w:hAnsi="Times New Roman" w:cs="Times New Roman"/>
          <w:i/>
          <w:iCs/>
        </w:rPr>
        <w:t>Cornell International Law Journal</w:t>
      </w:r>
      <w:r>
        <w:rPr>
          <w:rFonts w:ascii="Times New Roman" w:hAnsi="Times New Roman" w:cs="Times New Roman"/>
        </w:rPr>
        <w:t xml:space="preserve"> 513-583; John Spence, “The European Right to Confrontation in Criminal Proceedings - Absent, Anonymous and Vulnerable Witnesses” (2007) 32 </w:t>
      </w:r>
      <w:r>
        <w:rPr>
          <w:rFonts w:ascii="Times New Roman" w:hAnsi="Times New Roman" w:cs="Times New Roman"/>
          <w:i/>
          <w:iCs/>
        </w:rPr>
        <w:t>European Law Review</w:t>
      </w:r>
      <w:r>
        <w:rPr>
          <w:rFonts w:ascii="Times New Roman" w:hAnsi="Times New Roman" w:cs="Times New Roman"/>
        </w:rPr>
        <w:t xml:space="preserve"> 275−278; Maffei, </w:t>
      </w:r>
      <w:r>
        <w:rPr>
          <w:rFonts w:ascii="Times New Roman" w:hAnsi="Times New Roman" w:cs="Times New Roman"/>
          <w:i/>
          <w:iCs/>
        </w:rPr>
        <w:t>The European Right to Confrontation in Criminal proceedings: Absent, Anonymous and Vulnerable Witnesses</w:t>
      </w:r>
      <w:r>
        <w:rPr>
          <w:rFonts w:ascii="Times New Roman" w:hAnsi="Times New Roman" w:cs="Times New Roman"/>
        </w:rPr>
        <w:t>, Groningen, Europa Law, 2006.</w:t>
      </w:r>
    </w:p>
  </w:footnote>
  <w:footnote w:id="131">
    <w:p w14:paraId="1D682C5E" w14:textId="1AE2093B"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xml:space="preserve">.  Zob. Sebastian Bürger, “Unmittelbarkeitsgrundsatz und kontradiktorische Beweisaufnahme” (2016) 128 (2) </w:t>
      </w:r>
      <w:r>
        <w:rPr>
          <w:rFonts w:ascii="Times New Roman" w:hAnsi="Times New Roman" w:cs="Times New Roman"/>
          <w:i/>
          <w:iCs/>
        </w:rPr>
        <w:t>Zeitschfrift für die gesamte Strafrechtswissenschaft</w:t>
      </w:r>
      <w:r>
        <w:rPr>
          <w:rFonts w:ascii="Times New Roman" w:hAnsi="Times New Roman" w:cs="Times New Roman"/>
        </w:rPr>
        <w:t xml:space="preserve"> 518− 546; oraz Daniela Dembo, </w:t>
      </w:r>
      <w:r>
        <w:rPr>
          <w:rFonts w:ascii="Times New Roman" w:hAnsi="Times New Roman" w:cs="Times New Roman"/>
          <w:i/>
          <w:iCs/>
        </w:rPr>
        <w:t>Menschenrecht auf Verteidigng und Fairness des Strafverfahrens auf nationaler, europäischer und internationaler Ebene</w:t>
      </w:r>
      <w:r>
        <w:rPr>
          <w:rFonts w:ascii="Times New Roman" w:hAnsi="Times New Roman" w:cs="Times New Roman"/>
        </w:rPr>
        <w:t>, Berlin, Duncker Humboldt, 2014.</w:t>
      </w:r>
    </w:p>
  </w:footnote>
  <w:footnote w:id="132">
    <w:p w14:paraId="407ACEBA" w14:textId="6F8DBF1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W odniesieniu do świadków oskarżenia, </w:t>
      </w:r>
      <w:r w:rsidRPr="000473D0">
        <w:rPr>
          <w:rFonts w:ascii="Times New Roman" w:hAnsi="Times New Roman" w:cs="Times New Roman"/>
          <w:i/>
          <w:iCs/>
          <w:lang w:val="pl-PL"/>
        </w:rPr>
        <w:t xml:space="preserve">Delta przeciwko Francji, </w:t>
      </w:r>
      <w:r w:rsidRPr="000473D0">
        <w:rPr>
          <w:rFonts w:ascii="Times New Roman" w:hAnsi="Times New Roman" w:cs="Times New Roman"/>
          <w:lang w:val="pl-PL"/>
        </w:rPr>
        <w:t xml:space="preserve">skarga nr 11444/85, Seria 1 </w:t>
      </w:r>
      <w:r>
        <w:rPr>
          <w:rFonts w:ascii="Times New Roman" w:hAnsi="Times New Roman" w:cs="Times New Roman"/>
          <w:lang w:val="pl-PL"/>
        </w:rPr>
        <w:t>n</w:t>
      </w:r>
      <w:r w:rsidRPr="000473D0">
        <w:rPr>
          <w:rFonts w:ascii="Times New Roman" w:hAnsi="Times New Roman" w:cs="Times New Roman"/>
          <w:lang w:val="pl-PL"/>
        </w:rPr>
        <w:t xml:space="preserve">r 191-A, § 37, oraz </w:t>
      </w:r>
      <w:r w:rsidRPr="000473D0">
        <w:rPr>
          <w:rFonts w:ascii="Times New Roman" w:hAnsi="Times New Roman" w:cs="Times New Roman"/>
          <w:i/>
          <w:iCs/>
          <w:lang w:val="pl-PL"/>
        </w:rPr>
        <w:t>Pello przeciwko Estonii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12 kwietnia 2007</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 xml:space="preserve">11423/03, §§ 34 i 35; w odniesieniu do świadków zeznających w imieniu obrony, </w:t>
      </w:r>
      <w:r w:rsidRPr="000473D0">
        <w:rPr>
          <w:rFonts w:ascii="Times New Roman" w:hAnsi="Times New Roman" w:cs="Times New Roman"/>
          <w:i/>
          <w:iCs/>
          <w:lang w:val="pl-PL"/>
        </w:rPr>
        <w:t>Polufakin i Chernyshev przeciwko Rosji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25 września 2008</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30997/02, § 207.</w:t>
      </w:r>
    </w:p>
  </w:footnote>
  <w:footnote w:id="133">
    <w:p w14:paraId="42599D15" w14:textId="745CC41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Ferrantelli i Santangelo przeciwko Włochom, </w:t>
      </w:r>
      <w:r w:rsidRPr="000473D0">
        <w:rPr>
          <w:rFonts w:ascii="Times New Roman" w:hAnsi="Times New Roman" w:cs="Times New Roman"/>
          <w:lang w:val="pl-PL"/>
        </w:rPr>
        <w:t>skarga nr</w:t>
      </w:r>
      <w:r>
        <w:rPr>
          <w:rFonts w:ascii="Times New Roman" w:hAnsi="Times New Roman" w:cs="Times New Roman"/>
          <w:lang w:val="pl-PL"/>
        </w:rPr>
        <w:t> </w:t>
      </w:r>
      <w:r w:rsidRPr="000473D0">
        <w:rPr>
          <w:rFonts w:ascii="Times New Roman" w:hAnsi="Times New Roman" w:cs="Times New Roman"/>
          <w:lang w:val="pl-PL"/>
        </w:rPr>
        <w:t>19874/92, ETPCz 1996</w:t>
      </w:r>
      <w:r>
        <w:rPr>
          <w:rFonts w:ascii="Times New Roman" w:hAnsi="Times New Roman" w:cs="Times New Roman"/>
          <w:lang w:val="pl-PL"/>
        </w:rPr>
        <w:t>−</w:t>
      </w:r>
      <w:r w:rsidRPr="000473D0">
        <w:rPr>
          <w:rFonts w:ascii="Times New Roman" w:hAnsi="Times New Roman" w:cs="Times New Roman"/>
          <w:lang w:val="pl-PL"/>
        </w:rPr>
        <w:t>III.</w:t>
      </w:r>
    </w:p>
  </w:footnote>
  <w:footnote w:id="134">
    <w:p w14:paraId="02EC192E" w14:textId="17697358"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Bricmont przeciwko Belgii</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10857/84, Seria A, nr</w:t>
      </w:r>
      <w:r>
        <w:rPr>
          <w:rFonts w:ascii="Times New Roman" w:hAnsi="Times New Roman" w:cs="Times New Roman"/>
          <w:lang w:val="pl-PL"/>
        </w:rPr>
        <w:t> </w:t>
      </w:r>
      <w:r w:rsidRPr="000473D0">
        <w:rPr>
          <w:rFonts w:ascii="Times New Roman" w:hAnsi="Times New Roman" w:cs="Times New Roman"/>
          <w:lang w:val="pl-PL"/>
        </w:rPr>
        <w:t>158.</w:t>
      </w:r>
    </w:p>
  </w:footnote>
  <w:footnote w:id="135">
    <w:p w14:paraId="368EB86D" w14:textId="5864957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Artner przeciwko Austrii</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13161/87, Seria A, nr</w:t>
      </w:r>
      <w:r>
        <w:rPr>
          <w:rFonts w:ascii="Times New Roman" w:hAnsi="Times New Roman" w:cs="Times New Roman"/>
          <w:lang w:val="pl-PL"/>
        </w:rPr>
        <w:t> </w:t>
      </w:r>
      <w:r w:rsidRPr="000473D0">
        <w:rPr>
          <w:rFonts w:ascii="Times New Roman" w:hAnsi="Times New Roman" w:cs="Times New Roman"/>
          <w:lang w:val="pl-PL"/>
        </w:rPr>
        <w:t>242-A.</w:t>
      </w:r>
    </w:p>
  </w:footnote>
  <w:footnote w:id="136">
    <w:p w14:paraId="1C4608B7" w14:textId="4B853500" w:rsidR="00876D05" w:rsidRPr="000473D0" w:rsidRDefault="00876D05" w:rsidP="008113A5">
      <w:pPr>
        <w:pStyle w:val="Tekstprzypisudolnego"/>
        <w:rPr>
          <w:lang w:val="pl-PL"/>
        </w:rPr>
      </w:pPr>
      <w:r>
        <w:rPr>
          <w:rStyle w:val="Odwoanieprzypisudolnego"/>
          <w:vertAlign w:val="baseline"/>
        </w:rPr>
        <w:footnoteRef/>
      </w:r>
      <w:r w:rsidRPr="000473D0">
        <w:rPr>
          <w:lang w:val="pl-PL"/>
        </w:rPr>
        <w:t>.  </w:t>
      </w:r>
      <w:r w:rsidRPr="000473D0">
        <w:rPr>
          <w:rFonts w:ascii="Times New Roman" w:hAnsi="Times New Roman"/>
          <w:i/>
          <w:iCs/>
          <w:lang w:val="pl-PL"/>
        </w:rPr>
        <w:t>Schatschaschwili</w:t>
      </w:r>
      <w:r w:rsidRPr="000473D0">
        <w:rPr>
          <w:rFonts w:ascii="Times New Roman" w:hAnsi="Times New Roman"/>
          <w:lang w:val="pl-PL"/>
        </w:rPr>
        <w:t xml:space="preserve">, </w:t>
      </w:r>
      <w:r w:rsidRPr="000473D0">
        <w:rPr>
          <w:rFonts w:ascii="Times New Roman" w:hAnsi="Times New Roman"/>
          <w:i/>
          <w:iCs/>
          <w:lang w:val="pl-PL"/>
        </w:rPr>
        <w:t>op.cit.</w:t>
      </w:r>
      <w:r w:rsidRPr="000473D0">
        <w:rPr>
          <w:rFonts w:ascii="Times New Roman" w:hAnsi="Times New Roman"/>
          <w:lang w:val="pl-PL"/>
        </w:rPr>
        <w:t>, §</w:t>
      </w:r>
      <w:r>
        <w:rPr>
          <w:rFonts w:ascii="Times New Roman" w:hAnsi="Times New Roman"/>
          <w:lang w:val="pl-PL"/>
        </w:rPr>
        <w:t> </w:t>
      </w:r>
      <w:r w:rsidRPr="000473D0">
        <w:rPr>
          <w:rFonts w:ascii="Times New Roman" w:hAnsi="Times New Roman"/>
          <w:lang w:val="pl-PL"/>
        </w:rPr>
        <w:t xml:space="preserve">155, oraz </w:t>
      </w:r>
      <w:r w:rsidRPr="000473D0">
        <w:rPr>
          <w:i/>
          <w:iCs/>
          <w:lang w:val="pl-PL"/>
        </w:rPr>
        <w:t>Nechto</w:t>
      </w:r>
      <w:r w:rsidRPr="000473D0">
        <w:rPr>
          <w:lang w:val="pl-PL"/>
        </w:rPr>
        <w:t xml:space="preserve">, </w:t>
      </w:r>
      <w:r w:rsidRPr="000473D0">
        <w:rPr>
          <w:i/>
          <w:iCs/>
          <w:lang w:val="pl-PL"/>
        </w:rPr>
        <w:t>op.</w:t>
      </w:r>
      <w:r>
        <w:rPr>
          <w:i/>
          <w:iCs/>
          <w:lang w:val="pl-PL"/>
        </w:rPr>
        <w:t xml:space="preserve"> </w:t>
      </w:r>
      <w:r w:rsidRPr="000473D0">
        <w:rPr>
          <w:i/>
          <w:iCs/>
          <w:lang w:val="pl-PL"/>
        </w:rPr>
        <w:t>cit</w:t>
      </w:r>
      <w:r w:rsidRPr="000473D0">
        <w:rPr>
          <w:lang w:val="pl-PL"/>
        </w:rPr>
        <w:t>.</w:t>
      </w:r>
    </w:p>
  </w:footnote>
  <w:footnote w:id="137">
    <w:p w14:paraId="45C91A2A" w14:textId="504F290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Lucà</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w:t>
      </w:r>
    </w:p>
  </w:footnote>
  <w:footnote w:id="138">
    <w:p w14:paraId="4EFD9440" w14:textId="0DF5C05E" w:rsidR="00876D05" w:rsidRPr="000473D0" w:rsidRDefault="00876D05" w:rsidP="008113A5">
      <w:pPr>
        <w:pStyle w:val="Tekstprzypisudolnego"/>
        <w:rPr>
          <w:lang w:val="pl-PL"/>
        </w:rPr>
      </w:pPr>
      <w:r>
        <w:rPr>
          <w:rStyle w:val="Odwoanieprzypisudolnego"/>
          <w:vertAlign w:val="baseline"/>
        </w:rPr>
        <w:footnoteRef/>
      </w:r>
      <w:r w:rsidRPr="000473D0">
        <w:rPr>
          <w:lang w:val="pl-PL"/>
        </w:rPr>
        <w:t>.  </w:t>
      </w:r>
      <w:r w:rsidRPr="000473D0">
        <w:rPr>
          <w:rFonts w:ascii="Times New Roman" w:hAnsi="Times New Roman"/>
          <w:i/>
          <w:iCs/>
          <w:lang w:val="pl-PL"/>
        </w:rPr>
        <w:t xml:space="preserve">Vidgen przeciwko Niderlandom, </w:t>
      </w:r>
      <w:r w:rsidRPr="000473D0">
        <w:rPr>
          <w:rFonts w:ascii="Times New Roman" w:hAnsi="Times New Roman"/>
          <w:lang w:val="pl-PL"/>
        </w:rPr>
        <w:t xml:space="preserve">wyrok z </w:t>
      </w:r>
      <w:r>
        <w:rPr>
          <w:rFonts w:ascii="Times New Roman" w:hAnsi="Times New Roman"/>
          <w:lang w:val="pl-PL"/>
        </w:rPr>
        <w:t>dnia</w:t>
      </w:r>
      <w:r w:rsidRPr="000473D0">
        <w:rPr>
          <w:rFonts w:ascii="Times New Roman" w:hAnsi="Times New Roman"/>
          <w:lang w:val="pl-PL"/>
        </w:rPr>
        <w:t xml:space="preserve"> 10 lipca 2012</w:t>
      </w:r>
      <w:r>
        <w:rPr>
          <w:rFonts w:ascii="Times New Roman" w:hAnsi="Times New Roman"/>
          <w:lang w:val="pl-PL"/>
        </w:rPr>
        <w:t> r.</w:t>
      </w:r>
      <w:r w:rsidRPr="000473D0">
        <w:rPr>
          <w:rFonts w:ascii="Times New Roman" w:hAnsi="Times New Roman"/>
          <w:lang w:val="pl-PL"/>
        </w:rPr>
        <w:t>, skarga nr</w:t>
      </w:r>
      <w:r>
        <w:rPr>
          <w:rFonts w:ascii="Times New Roman" w:hAnsi="Times New Roman"/>
          <w:lang w:val="pl-PL"/>
        </w:rPr>
        <w:t> </w:t>
      </w:r>
      <w:r w:rsidRPr="000473D0">
        <w:rPr>
          <w:lang w:val="pl-PL"/>
        </w:rPr>
        <w:t>29353/06</w:t>
      </w:r>
      <w:r w:rsidRPr="000473D0">
        <w:rPr>
          <w:rFonts w:ascii="Times New Roman" w:hAnsi="Times New Roman"/>
          <w:lang w:val="pl-PL"/>
        </w:rPr>
        <w:t>.</w:t>
      </w:r>
    </w:p>
  </w:footnote>
  <w:footnote w:id="139">
    <w:p w14:paraId="712D30AA" w14:textId="71729EC4"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Jest to sytuacja w sprawie </w:t>
      </w:r>
      <w:r w:rsidRPr="000473D0">
        <w:rPr>
          <w:rFonts w:ascii="Times New Roman" w:hAnsi="Times New Roman" w:cs="Times New Roman"/>
          <w:i/>
          <w:iCs/>
          <w:lang w:val="pl-PL"/>
        </w:rPr>
        <w:t>Unterpertinger przeciwko Austrii</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9120/80, Seria A nr</w:t>
      </w:r>
      <w:r>
        <w:rPr>
          <w:rFonts w:ascii="Times New Roman" w:hAnsi="Times New Roman" w:cs="Times New Roman"/>
          <w:lang w:val="pl-PL"/>
        </w:rPr>
        <w:t> </w:t>
      </w:r>
      <w:r w:rsidRPr="000473D0">
        <w:rPr>
          <w:rFonts w:ascii="Times New Roman" w:hAnsi="Times New Roman" w:cs="Times New Roman"/>
          <w:lang w:val="pl-PL"/>
        </w:rPr>
        <w:t xml:space="preserve">110, oraz </w:t>
      </w:r>
      <w:r w:rsidRPr="000473D0">
        <w:rPr>
          <w:rFonts w:ascii="Times New Roman" w:hAnsi="Times New Roman" w:cs="Times New Roman"/>
          <w:i/>
          <w:iCs/>
          <w:lang w:val="pl-PL"/>
        </w:rPr>
        <w:t>Asch przeciwko Austrii</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12398/86, Seria A nr</w:t>
      </w:r>
      <w:r>
        <w:rPr>
          <w:rFonts w:ascii="Times New Roman" w:hAnsi="Times New Roman" w:cs="Times New Roman"/>
          <w:lang w:val="pl-PL"/>
        </w:rPr>
        <w:t> </w:t>
      </w:r>
      <w:r w:rsidRPr="000473D0">
        <w:rPr>
          <w:rFonts w:ascii="Times New Roman" w:hAnsi="Times New Roman" w:cs="Times New Roman"/>
          <w:lang w:val="pl-PL"/>
        </w:rPr>
        <w:t>203. Trybunał orzekał w tych sprawach w sposób kontradyktoryjny, jak rozbieżnie wskazali sędziowie Evans i Bernhardt w tej ostatniej sprawie.</w:t>
      </w:r>
    </w:p>
  </w:footnote>
  <w:footnote w:id="140">
    <w:p w14:paraId="6DB0ECA8" w14:textId="754C04F2"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 xml:space="preserve">Kostovski przeciwko </w:t>
      </w:r>
      <w:r>
        <w:rPr>
          <w:rFonts w:ascii="Times New Roman" w:hAnsi="Times New Roman" w:cs="Times New Roman"/>
          <w:i/>
          <w:iCs/>
          <w:lang w:val="pl-PL"/>
        </w:rPr>
        <w:t>Holandii</w:t>
      </w:r>
      <w:r w:rsidRPr="000473D0">
        <w:rPr>
          <w:rFonts w:ascii="Times New Roman" w:hAnsi="Times New Roman" w:cs="Times New Roman"/>
          <w:i/>
          <w:iCs/>
          <w:lang w:val="pl-PL"/>
        </w:rPr>
        <w:t xml:space="preserve">, </w:t>
      </w:r>
      <w:r w:rsidRPr="000473D0">
        <w:rPr>
          <w:rFonts w:ascii="Times New Roman" w:hAnsi="Times New Roman" w:cs="Times New Roman"/>
          <w:lang w:val="pl-PL"/>
        </w:rPr>
        <w:t>skarga nr</w:t>
      </w:r>
      <w:r>
        <w:rPr>
          <w:rFonts w:ascii="Times New Roman" w:hAnsi="Times New Roman" w:cs="Times New Roman"/>
          <w:lang w:val="pl-PL"/>
        </w:rPr>
        <w:t> </w:t>
      </w:r>
      <w:r w:rsidRPr="000473D0">
        <w:rPr>
          <w:rFonts w:ascii="Times New Roman" w:hAnsi="Times New Roman" w:cs="Times New Roman"/>
          <w:lang w:val="pl-PL"/>
        </w:rPr>
        <w:t>11454/85, Seria A nr</w:t>
      </w:r>
      <w:r>
        <w:rPr>
          <w:rFonts w:ascii="Times New Roman" w:hAnsi="Times New Roman" w:cs="Times New Roman"/>
          <w:lang w:val="pl-PL"/>
        </w:rPr>
        <w:t> </w:t>
      </w:r>
      <w:r w:rsidRPr="000473D0">
        <w:rPr>
          <w:rFonts w:ascii="Times New Roman" w:hAnsi="Times New Roman" w:cs="Times New Roman"/>
          <w:lang w:val="pl-PL"/>
        </w:rPr>
        <w:t>166.</w:t>
      </w:r>
    </w:p>
  </w:footnote>
  <w:footnote w:id="141">
    <w:p w14:paraId="3773CF76" w14:textId="07E4C35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P.S. przeciwko Niemcom, op.</w:t>
      </w:r>
      <w:r>
        <w:rPr>
          <w:rFonts w:ascii="Times New Roman" w:hAnsi="Times New Roman" w:cs="Times New Roman"/>
          <w:i/>
          <w:iCs/>
          <w:lang w:val="pl-PL"/>
        </w:rPr>
        <w:t xml:space="preserve"> </w:t>
      </w:r>
      <w:r w:rsidRPr="000473D0">
        <w:rPr>
          <w:rFonts w:ascii="Times New Roman" w:hAnsi="Times New Roman" w:cs="Times New Roman"/>
          <w:i/>
          <w:iCs/>
          <w:lang w:val="pl-PL"/>
        </w:rPr>
        <w:t>cit.</w:t>
      </w:r>
    </w:p>
  </w:footnote>
  <w:footnote w:id="142">
    <w:p w14:paraId="70EAA107" w14:textId="48A3F8BD" w:rsidR="00876D05" w:rsidRPr="000473D0" w:rsidRDefault="00876D05" w:rsidP="008113A5">
      <w:pPr>
        <w:pStyle w:val="Tekstprzypisudolnego"/>
        <w:rPr>
          <w:rFonts w:ascii="Times New Roman" w:hAnsi="Times New Roman" w:cs="Times New Roman"/>
          <w:lang w:val="pl-PL"/>
        </w:rPr>
      </w:pPr>
      <w:r>
        <w:rPr>
          <w:rStyle w:val="Odwoanieprzypisudolnego"/>
          <w:vertAlign w:val="baseline"/>
        </w:rPr>
        <w:footnoteRef/>
      </w:r>
      <w:r w:rsidRPr="000473D0">
        <w:rPr>
          <w:rFonts w:ascii="Times New Roman" w:hAnsi="Times New Roman"/>
          <w:lang w:val="pl-PL"/>
        </w:rPr>
        <w:t>.  </w:t>
      </w:r>
      <w:r w:rsidRPr="000473D0">
        <w:rPr>
          <w:rFonts w:ascii="Times New Roman" w:hAnsi="Times New Roman"/>
          <w:i/>
          <w:iCs/>
          <w:lang w:val="pl-PL"/>
        </w:rPr>
        <w:t>Schatschaschwili</w:t>
      </w:r>
      <w:r w:rsidRPr="000473D0">
        <w:rPr>
          <w:rFonts w:ascii="Times New Roman" w:hAnsi="Times New Roman"/>
          <w:lang w:val="pl-PL"/>
        </w:rPr>
        <w:t xml:space="preserve">, </w:t>
      </w:r>
      <w:r w:rsidRPr="000473D0">
        <w:rPr>
          <w:rFonts w:ascii="Times New Roman" w:hAnsi="Times New Roman"/>
          <w:i/>
          <w:iCs/>
          <w:lang w:val="pl-PL"/>
        </w:rPr>
        <w:t>op.</w:t>
      </w:r>
      <w:r>
        <w:rPr>
          <w:rFonts w:ascii="Times New Roman" w:hAnsi="Times New Roman"/>
          <w:i/>
          <w:iCs/>
          <w:lang w:val="pl-PL"/>
        </w:rPr>
        <w:t xml:space="preserve"> </w:t>
      </w:r>
      <w:r w:rsidRPr="000473D0">
        <w:rPr>
          <w:rFonts w:ascii="Times New Roman" w:hAnsi="Times New Roman"/>
          <w:i/>
          <w:iCs/>
          <w:lang w:val="pl-PL"/>
        </w:rPr>
        <w:t>cit.</w:t>
      </w:r>
      <w:r w:rsidRPr="000473D0">
        <w:rPr>
          <w:rFonts w:ascii="Times New Roman" w:hAnsi="Times New Roman"/>
          <w:lang w:val="pl-PL"/>
        </w:rPr>
        <w:t>, §</w:t>
      </w:r>
      <w:r>
        <w:rPr>
          <w:rFonts w:ascii="Times New Roman" w:hAnsi="Times New Roman"/>
          <w:lang w:val="pl-PL"/>
        </w:rPr>
        <w:t> </w:t>
      </w:r>
      <w:r w:rsidRPr="000473D0">
        <w:rPr>
          <w:rFonts w:ascii="Times New Roman" w:hAnsi="Times New Roman"/>
          <w:lang w:val="pl-PL"/>
        </w:rPr>
        <w:t xml:space="preserve">162, oraz </w:t>
      </w:r>
      <w:r w:rsidRPr="000473D0">
        <w:rPr>
          <w:rFonts w:ascii="Times New Roman" w:hAnsi="Times New Roman"/>
          <w:i/>
          <w:iCs/>
          <w:lang w:val="pl-PL"/>
        </w:rPr>
        <w:t>Melnikov przeciwko Rosji</w:t>
      </w:r>
      <w:r w:rsidRPr="000473D0">
        <w:rPr>
          <w:rFonts w:ascii="Times New Roman" w:hAnsi="Times New Roman"/>
          <w:lang w:val="pl-PL"/>
        </w:rPr>
        <w:t xml:space="preserve">, wyrok z </w:t>
      </w:r>
      <w:r>
        <w:rPr>
          <w:rFonts w:ascii="Times New Roman" w:hAnsi="Times New Roman"/>
          <w:lang w:val="pl-PL"/>
        </w:rPr>
        <w:t>dnia</w:t>
      </w:r>
      <w:r w:rsidRPr="000473D0">
        <w:rPr>
          <w:rFonts w:ascii="Times New Roman" w:hAnsi="Times New Roman"/>
          <w:lang w:val="pl-PL"/>
        </w:rPr>
        <w:t xml:space="preserve"> 14 stycznia 2010</w:t>
      </w:r>
      <w:r>
        <w:rPr>
          <w:rFonts w:ascii="Times New Roman" w:hAnsi="Times New Roman"/>
          <w:lang w:val="pl-PL"/>
        </w:rPr>
        <w:t> r.</w:t>
      </w:r>
      <w:r w:rsidRPr="000473D0">
        <w:rPr>
          <w:rFonts w:ascii="Times New Roman" w:hAnsi="Times New Roman"/>
          <w:lang w:val="pl-PL"/>
        </w:rPr>
        <w:t>, skarga nr</w:t>
      </w:r>
      <w:r>
        <w:rPr>
          <w:rFonts w:ascii="Times New Roman" w:hAnsi="Times New Roman"/>
          <w:lang w:val="pl-PL"/>
        </w:rPr>
        <w:t> </w:t>
      </w:r>
      <w:r w:rsidRPr="000473D0">
        <w:rPr>
          <w:lang w:val="pl-PL"/>
        </w:rPr>
        <w:t>23610/03, § 80</w:t>
      </w:r>
      <w:r w:rsidRPr="000473D0">
        <w:rPr>
          <w:rFonts w:ascii="Times New Roman" w:hAnsi="Times New Roman"/>
          <w:lang w:val="pl-PL"/>
        </w:rPr>
        <w:t>.</w:t>
      </w:r>
    </w:p>
  </w:footnote>
  <w:footnote w:id="143">
    <w:p w14:paraId="74308E77" w14:textId="13700D5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Al-Khawaja i Tahery</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164, ale zob. też §§</w:t>
      </w:r>
      <w:r>
        <w:rPr>
          <w:rFonts w:ascii="Times New Roman" w:hAnsi="Times New Roman" w:cs="Times New Roman"/>
          <w:lang w:val="pl-PL"/>
        </w:rPr>
        <w:t> </w:t>
      </w:r>
      <w:r w:rsidRPr="000473D0">
        <w:rPr>
          <w:rFonts w:ascii="Times New Roman" w:hAnsi="Times New Roman" w:cs="Times New Roman"/>
          <w:lang w:val="pl-PL"/>
        </w:rPr>
        <w:t>156 i 157. Wnikliwa ocena materiału dowodowego nie wystarcza (</w:t>
      </w:r>
      <w:r w:rsidRPr="000473D0">
        <w:rPr>
          <w:rFonts w:ascii="Times New Roman" w:hAnsi="Times New Roman" w:cs="Times New Roman"/>
          <w:i/>
          <w:iCs/>
          <w:lang w:val="pl-PL"/>
        </w:rPr>
        <w:t xml:space="preserve">Hulki Günes przeciwko Turcji, </w:t>
      </w:r>
      <w:r w:rsidRPr="000473D0">
        <w:rPr>
          <w:rFonts w:ascii="Times New Roman" w:hAnsi="Times New Roman" w:cs="Times New Roman"/>
          <w:lang w:val="pl-PL"/>
        </w:rPr>
        <w:t xml:space="preserve">wyrok z </w:t>
      </w:r>
      <w:r>
        <w:rPr>
          <w:rFonts w:ascii="Times New Roman" w:hAnsi="Times New Roman" w:cs="Times New Roman"/>
          <w:lang w:val="pl-PL"/>
        </w:rPr>
        <w:t>dnia</w:t>
      </w:r>
      <w:r w:rsidRPr="000473D0">
        <w:rPr>
          <w:rFonts w:ascii="Times New Roman" w:hAnsi="Times New Roman" w:cs="Times New Roman"/>
          <w:lang w:val="pl-PL"/>
        </w:rPr>
        <w:t xml:space="preserve"> 19 czerwca 2003</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28490/95, § 95).</w:t>
      </w:r>
    </w:p>
  </w:footnote>
  <w:footnote w:id="144">
    <w:p w14:paraId="05D64E11" w14:textId="2FC19B56" w:rsidR="00876D05" w:rsidRPr="000473D0" w:rsidRDefault="00876D05" w:rsidP="008113A5">
      <w:pPr>
        <w:pStyle w:val="Tekstprzypisudolnego"/>
        <w:rPr>
          <w:lang w:val="pl-PL"/>
        </w:rPr>
      </w:pPr>
      <w:r>
        <w:rPr>
          <w:rStyle w:val="Odwoanieprzypisudolnego"/>
          <w:vertAlign w:val="baseline"/>
        </w:rPr>
        <w:footnoteRef/>
      </w:r>
      <w:r w:rsidRPr="000473D0">
        <w:rPr>
          <w:lang w:val="pl-PL"/>
        </w:rPr>
        <w:t>.  </w:t>
      </w:r>
      <w:r w:rsidRPr="000473D0">
        <w:rPr>
          <w:i/>
          <w:iCs/>
          <w:lang w:val="pl-PL"/>
        </w:rPr>
        <w:t>Paic przeciwko Chorwacji</w:t>
      </w:r>
      <w:r w:rsidRPr="000473D0">
        <w:rPr>
          <w:lang w:val="pl-PL"/>
        </w:rPr>
        <w:t xml:space="preserve">, wyrok z </w:t>
      </w:r>
      <w:r>
        <w:rPr>
          <w:lang w:val="pl-PL"/>
        </w:rPr>
        <w:t>dnia</w:t>
      </w:r>
      <w:r w:rsidRPr="000473D0">
        <w:rPr>
          <w:lang w:val="pl-PL"/>
        </w:rPr>
        <w:t xml:space="preserve"> 29 marca 2016</w:t>
      </w:r>
      <w:r>
        <w:rPr>
          <w:lang w:val="pl-PL"/>
        </w:rPr>
        <w:t> r.</w:t>
      </w:r>
      <w:r w:rsidRPr="000473D0">
        <w:rPr>
          <w:lang w:val="pl-PL"/>
        </w:rPr>
        <w:t>, skarga nr</w:t>
      </w:r>
      <w:r>
        <w:rPr>
          <w:lang w:val="pl-PL"/>
        </w:rPr>
        <w:t> </w:t>
      </w:r>
      <w:r w:rsidRPr="000473D0">
        <w:rPr>
          <w:lang w:val="pl-PL"/>
        </w:rPr>
        <w:t>47082/12, §</w:t>
      </w:r>
      <w:r>
        <w:rPr>
          <w:lang w:val="pl-PL"/>
        </w:rPr>
        <w:t> </w:t>
      </w:r>
      <w:r w:rsidRPr="000473D0">
        <w:rPr>
          <w:lang w:val="pl-PL"/>
        </w:rPr>
        <w:t>51.</w:t>
      </w:r>
    </w:p>
  </w:footnote>
  <w:footnote w:id="145">
    <w:p w14:paraId="097D85C5" w14:textId="7777777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Zob. przypis 88 powyżej.</w:t>
      </w:r>
    </w:p>
  </w:footnote>
  <w:footnote w:id="146">
    <w:p w14:paraId="2F8194C2" w14:textId="562FE4D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Zob. uwagi Rządu z dnia 28 listopada 2017</w:t>
      </w:r>
      <w:r>
        <w:rPr>
          <w:rFonts w:ascii="Times New Roman" w:hAnsi="Times New Roman" w:cs="Times New Roman"/>
          <w:lang w:val="pl-PL"/>
        </w:rPr>
        <w:t> r.</w:t>
      </w:r>
      <w:r w:rsidRPr="000473D0">
        <w:rPr>
          <w:rFonts w:ascii="Times New Roman" w:hAnsi="Times New Roman" w:cs="Times New Roman"/>
          <w:lang w:val="pl-PL"/>
        </w:rPr>
        <w:t>, s. 21. Pomimo uznania świadka A. za świadka zeznającego w imieniu skarżącej (</w:t>
      </w:r>
      <w:r>
        <w:rPr>
          <w:rFonts w:ascii="Times New Roman" w:hAnsi="Times New Roman" w:cs="Times New Roman"/>
          <w:lang w:val="pl-PL"/>
        </w:rPr>
        <w:t>par. </w:t>
      </w:r>
      <w:r w:rsidRPr="000473D0">
        <w:rPr>
          <w:rFonts w:ascii="Times New Roman" w:hAnsi="Times New Roman" w:cs="Times New Roman"/>
          <w:lang w:val="pl-PL"/>
        </w:rPr>
        <w:t>8 uwag), Rząd traktuje tego świadka w</w:t>
      </w:r>
      <w:r>
        <w:rPr>
          <w:rFonts w:ascii="Times New Roman" w:hAnsi="Times New Roman" w:cs="Times New Roman"/>
          <w:lang w:val="pl-PL"/>
        </w:rPr>
        <w:t> </w:t>
      </w:r>
      <w:r w:rsidRPr="000473D0">
        <w:rPr>
          <w:rFonts w:ascii="Times New Roman" w:hAnsi="Times New Roman" w:cs="Times New Roman"/>
          <w:lang w:val="pl-PL"/>
        </w:rPr>
        <w:t>rzeczywistości jako świadka oskarżenia (</w:t>
      </w:r>
      <w:r>
        <w:rPr>
          <w:rFonts w:ascii="Times New Roman" w:hAnsi="Times New Roman" w:cs="Times New Roman"/>
          <w:lang w:val="pl-PL"/>
        </w:rPr>
        <w:t>par. </w:t>
      </w:r>
      <w:r w:rsidRPr="000473D0">
        <w:rPr>
          <w:rFonts w:ascii="Times New Roman" w:hAnsi="Times New Roman" w:cs="Times New Roman"/>
          <w:lang w:val="pl-PL"/>
        </w:rPr>
        <w:t>115 i 116 uwag).</w:t>
      </w:r>
    </w:p>
  </w:footnote>
  <w:footnote w:id="147">
    <w:p w14:paraId="1934A72D" w14:textId="066AE36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57 wyroku.</w:t>
      </w:r>
    </w:p>
  </w:footnote>
  <w:footnote w:id="148">
    <w:p w14:paraId="13FE34E1" w14:textId="6601CCDF" w:rsidR="00876D05" w:rsidRPr="000473D0" w:rsidRDefault="00876D05" w:rsidP="008113A5">
      <w:pPr>
        <w:pStyle w:val="Tekstprzypisudolnego"/>
        <w:rPr>
          <w:rFonts w:ascii="Times New Roman" w:hAnsi="Times New Roman" w:cs="Times New Roman"/>
          <w:lang w:val="pl-PL"/>
        </w:rPr>
      </w:pPr>
      <w:r>
        <w:rPr>
          <w:rStyle w:val="Odwoanieprzypisudolnego"/>
          <w:vertAlign w:val="baseline"/>
        </w:rPr>
        <w:footnoteRef/>
      </w:r>
      <w:r w:rsidRPr="000473D0">
        <w:rPr>
          <w:rFonts w:ascii="Times New Roman" w:hAnsi="Times New Roman"/>
          <w:lang w:val="pl-PL"/>
        </w:rPr>
        <w:t xml:space="preserve">.  Por. </w:t>
      </w:r>
      <w:r w:rsidRPr="000473D0">
        <w:rPr>
          <w:rFonts w:ascii="Times New Roman" w:hAnsi="Times New Roman"/>
          <w:i/>
          <w:iCs/>
          <w:lang w:val="pl-PL"/>
        </w:rPr>
        <w:t>Bykov</w:t>
      </w:r>
      <w:r w:rsidRPr="000473D0">
        <w:rPr>
          <w:rFonts w:ascii="Times New Roman" w:hAnsi="Times New Roman"/>
          <w:lang w:val="pl-PL"/>
        </w:rPr>
        <w:t xml:space="preserve">, </w:t>
      </w:r>
      <w:r w:rsidRPr="000473D0">
        <w:rPr>
          <w:i/>
          <w:iCs/>
          <w:lang w:val="pl-PL"/>
        </w:rPr>
        <w:t>przeciwko Rosji</w:t>
      </w:r>
      <w:r w:rsidRPr="000473D0">
        <w:rPr>
          <w:lang w:val="pl-PL"/>
        </w:rPr>
        <w:t xml:space="preserve"> [WI], wyrok z </w:t>
      </w:r>
      <w:r>
        <w:rPr>
          <w:lang w:val="pl-PL"/>
        </w:rPr>
        <w:t>dnia</w:t>
      </w:r>
      <w:r w:rsidRPr="000473D0">
        <w:rPr>
          <w:lang w:val="pl-PL"/>
        </w:rPr>
        <w:t xml:space="preserve"> 10 marca 2009</w:t>
      </w:r>
      <w:r>
        <w:rPr>
          <w:lang w:val="pl-PL"/>
        </w:rPr>
        <w:t> r.</w:t>
      </w:r>
      <w:r w:rsidRPr="000473D0">
        <w:rPr>
          <w:lang w:val="pl-PL"/>
        </w:rPr>
        <w:t>, skarga nr</w:t>
      </w:r>
      <w:r>
        <w:rPr>
          <w:lang w:val="pl-PL"/>
        </w:rPr>
        <w:t> </w:t>
      </w:r>
      <w:r w:rsidRPr="000473D0">
        <w:rPr>
          <w:lang w:val="pl-PL"/>
        </w:rPr>
        <w:t>4378/02, §</w:t>
      </w:r>
      <w:r>
        <w:rPr>
          <w:lang w:val="pl-PL"/>
        </w:rPr>
        <w:t> </w:t>
      </w:r>
      <w:r w:rsidRPr="000473D0">
        <w:rPr>
          <w:lang w:val="pl-PL"/>
        </w:rPr>
        <w:t>97</w:t>
      </w:r>
      <w:r w:rsidRPr="000473D0">
        <w:rPr>
          <w:rFonts w:ascii="Times New Roman" w:hAnsi="Times New Roman"/>
          <w:lang w:val="pl-PL"/>
        </w:rPr>
        <w:t>.</w:t>
      </w:r>
    </w:p>
  </w:footnote>
  <w:footnote w:id="149">
    <w:p w14:paraId="1A3F52D0" w14:textId="6E1D6AF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Zob. uwagi skarżącej przed Wielką Izbą, §</w:t>
      </w:r>
      <w:r>
        <w:rPr>
          <w:rFonts w:ascii="Times New Roman" w:hAnsi="Times New Roman" w:cs="Times New Roman"/>
          <w:lang w:val="pl-PL"/>
        </w:rPr>
        <w:t> </w:t>
      </w:r>
      <w:r w:rsidRPr="000473D0">
        <w:rPr>
          <w:rFonts w:ascii="Times New Roman" w:hAnsi="Times New Roman" w:cs="Times New Roman"/>
          <w:lang w:val="pl-PL"/>
        </w:rPr>
        <w:t>58.</w:t>
      </w:r>
    </w:p>
  </w:footnote>
  <w:footnote w:id="150">
    <w:p w14:paraId="0A58BC73" w14:textId="3DA2F34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Ramanauskas przeciwko Litwie [WI]</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5 lutego 2008</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74420/01, §</w:t>
      </w:r>
      <w:r>
        <w:rPr>
          <w:rFonts w:ascii="Times New Roman" w:hAnsi="Times New Roman" w:cs="Times New Roman"/>
          <w:lang w:val="pl-PL"/>
        </w:rPr>
        <w:t> </w:t>
      </w:r>
      <w:r w:rsidRPr="000473D0">
        <w:rPr>
          <w:rFonts w:ascii="Times New Roman" w:hAnsi="Times New Roman" w:cs="Times New Roman"/>
          <w:lang w:val="pl-PL"/>
        </w:rPr>
        <w:t>60.</w:t>
      </w:r>
    </w:p>
  </w:footnote>
  <w:footnote w:id="151">
    <w:p w14:paraId="094234D0" w14:textId="2F5AB94A"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29 wyroku.</w:t>
      </w:r>
    </w:p>
  </w:footnote>
  <w:footnote w:id="152">
    <w:p w14:paraId="4BF0C968" w14:textId="468319F5"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31 wyroku.</w:t>
      </w:r>
    </w:p>
  </w:footnote>
  <w:footnote w:id="153">
    <w:p w14:paraId="6F6B7D4F" w14:textId="2E87B02F"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32 wyroku.</w:t>
      </w:r>
    </w:p>
  </w:footnote>
  <w:footnote w:id="154">
    <w:p w14:paraId="09B33A6F" w14:textId="267ECF4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58 i 60 wyroku.</w:t>
      </w:r>
    </w:p>
  </w:footnote>
  <w:footnote w:id="155">
    <w:p w14:paraId="3BD57C2E" w14:textId="69E3506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99 wyroku.</w:t>
      </w:r>
    </w:p>
  </w:footnote>
  <w:footnote w:id="156">
    <w:p w14:paraId="0809D1F9" w14:textId="26AB2F1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xml:space="preserve">.  Uwagi Rządu z </w:t>
      </w:r>
      <w:r>
        <w:rPr>
          <w:rFonts w:ascii="Times New Roman" w:hAnsi="Times New Roman" w:cs="Times New Roman"/>
          <w:lang w:val="pl-PL"/>
        </w:rPr>
        <w:t>dnia</w:t>
      </w:r>
      <w:r w:rsidRPr="000473D0">
        <w:rPr>
          <w:rFonts w:ascii="Times New Roman" w:hAnsi="Times New Roman" w:cs="Times New Roman"/>
          <w:lang w:val="pl-PL"/>
        </w:rPr>
        <w:t xml:space="preserve"> 28 listopada 2017</w:t>
      </w:r>
      <w:r>
        <w:rPr>
          <w:rFonts w:ascii="Times New Roman" w:hAnsi="Times New Roman" w:cs="Times New Roman"/>
          <w:lang w:val="pl-PL"/>
        </w:rPr>
        <w:t> r.</w:t>
      </w:r>
      <w:r w:rsidRPr="000473D0">
        <w:rPr>
          <w:rFonts w:ascii="Times New Roman" w:hAnsi="Times New Roman" w:cs="Times New Roman"/>
          <w:lang w:val="pl-PL"/>
        </w:rPr>
        <w:t xml:space="preserve">, </w:t>
      </w:r>
      <w:r>
        <w:rPr>
          <w:rFonts w:ascii="Times New Roman" w:hAnsi="Times New Roman" w:cs="Times New Roman"/>
          <w:lang w:val="pl-PL"/>
        </w:rPr>
        <w:t>par. </w:t>
      </w:r>
      <w:r w:rsidRPr="000473D0">
        <w:rPr>
          <w:rFonts w:ascii="Times New Roman" w:hAnsi="Times New Roman" w:cs="Times New Roman"/>
          <w:lang w:val="pl-PL"/>
        </w:rPr>
        <w:t>108.</w:t>
      </w:r>
    </w:p>
  </w:footnote>
  <w:footnote w:id="157">
    <w:p w14:paraId="7BC8E817" w14:textId="1774315F"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Shumeyev i Inni przeciwko Rosji (dec.)</w:t>
      </w:r>
      <w:r w:rsidRPr="000473D0">
        <w:rPr>
          <w:rFonts w:ascii="Times New Roman" w:hAnsi="Times New Roman" w:cs="Times New Roman"/>
          <w:lang w:val="pl-PL"/>
        </w:rPr>
        <w:t xml:space="preserve">, wyrok z </w:t>
      </w:r>
      <w:r>
        <w:rPr>
          <w:rFonts w:ascii="Times New Roman" w:hAnsi="Times New Roman" w:cs="Times New Roman"/>
          <w:lang w:val="pl-PL"/>
        </w:rPr>
        <w:t>dnia</w:t>
      </w:r>
      <w:r w:rsidRPr="000473D0">
        <w:rPr>
          <w:rFonts w:ascii="Times New Roman" w:hAnsi="Times New Roman" w:cs="Times New Roman"/>
          <w:lang w:val="pl-PL"/>
        </w:rPr>
        <w:t xml:space="preserve"> 22 września 2015</w:t>
      </w:r>
      <w:r>
        <w:rPr>
          <w:rFonts w:ascii="Times New Roman" w:hAnsi="Times New Roman" w:cs="Times New Roman"/>
          <w:lang w:val="pl-PL"/>
        </w:rPr>
        <w:t> r.</w:t>
      </w:r>
      <w:r w:rsidRPr="000473D0">
        <w:rPr>
          <w:rFonts w:ascii="Times New Roman" w:hAnsi="Times New Roman" w:cs="Times New Roman"/>
          <w:lang w:val="pl-PL"/>
        </w:rPr>
        <w:t>, skarga nr</w:t>
      </w:r>
      <w:r>
        <w:rPr>
          <w:rFonts w:ascii="Times New Roman" w:hAnsi="Times New Roman" w:cs="Times New Roman"/>
          <w:lang w:val="pl-PL"/>
        </w:rPr>
        <w:t> </w:t>
      </w:r>
      <w:r w:rsidRPr="000473D0">
        <w:rPr>
          <w:rFonts w:ascii="Times New Roman" w:hAnsi="Times New Roman" w:cs="Times New Roman"/>
          <w:lang w:val="pl-PL"/>
        </w:rPr>
        <w:t>29474/07, 8669/09 i 55413/10, § 37.</w:t>
      </w:r>
    </w:p>
  </w:footnote>
  <w:footnote w:id="158">
    <w:p w14:paraId="657CA1C1" w14:textId="5F96C8C0"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52 wyroku.</w:t>
      </w:r>
    </w:p>
  </w:footnote>
  <w:footnote w:id="159">
    <w:p w14:paraId="79565C6D" w14:textId="36A06A48"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 xml:space="preserve">61 wyroku. </w:t>
      </w:r>
    </w:p>
  </w:footnote>
  <w:footnote w:id="160">
    <w:p w14:paraId="0124B059" w14:textId="431A21A6"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67 wyroku.</w:t>
      </w:r>
    </w:p>
  </w:footnote>
  <w:footnote w:id="161">
    <w:p w14:paraId="778DE56D" w14:textId="77777777"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Zob. uwagi Rządu przed Wielką Izbą, § 107.</w:t>
      </w:r>
    </w:p>
  </w:footnote>
  <w:footnote w:id="162">
    <w:p w14:paraId="19A76F0D" w14:textId="14E6217C"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42 wyroku Izby. Z wnioskiem tym zgodziła się sama Izba (</w:t>
      </w:r>
      <w:r>
        <w:rPr>
          <w:rFonts w:ascii="Times New Roman" w:hAnsi="Times New Roman" w:cs="Times New Roman"/>
          <w:lang w:val="pl-PL"/>
        </w:rPr>
        <w:t>par. </w:t>
      </w:r>
      <w:r w:rsidRPr="000473D0">
        <w:rPr>
          <w:rFonts w:ascii="Times New Roman" w:hAnsi="Times New Roman" w:cs="Times New Roman"/>
          <w:lang w:val="pl-PL"/>
        </w:rPr>
        <w:t>98 wyroku Izby). Co dziwne, fakt ten zniknął z części „</w:t>
      </w:r>
      <w:r>
        <w:rPr>
          <w:rFonts w:ascii="Times New Roman" w:hAnsi="Times New Roman" w:cs="Times New Roman"/>
          <w:lang w:val="pl-PL"/>
        </w:rPr>
        <w:t>s</w:t>
      </w:r>
      <w:r w:rsidRPr="000473D0">
        <w:rPr>
          <w:rFonts w:ascii="Times New Roman" w:hAnsi="Times New Roman" w:cs="Times New Roman"/>
          <w:lang w:val="pl-PL"/>
        </w:rPr>
        <w:t>tan faktyczny” wyroku Wielkiej Izby. Tymczasem argument ten został wysunięty przez Rząd ponownie przed Wielką Izbą (</w:t>
      </w:r>
      <w:r>
        <w:rPr>
          <w:rFonts w:ascii="Times New Roman" w:hAnsi="Times New Roman" w:cs="Times New Roman"/>
          <w:lang w:val="pl-PL"/>
        </w:rPr>
        <w:t>par. </w:t>
      </w:r>
      <w:r w:rsidRPr="000473D0">
        <w:rPr>
          <w:rFonts w:ascii="Times New Roman" w:hAnsi="Times New Roman" w:cs="Times New Roman"/>
          <w:lang w:val="pl-PL"/>
        </w:rPr>
        <w:t>135 wyroku).</w:t>
      </w:r>
    </w:p>
  </w:footnote>
  <w:footnote w:id="163">
    <w:p w14:paraId="475C0CAE" w14:textId="5B9F3D81"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171 wyroku.</w:t>
      </w:r>
    </w:p>
  </w:footnote>
  <w:footnote w:id="164">
    <w:p w14:paraId="315F4993" w14:textId="07076531" w:rsidR="00876D05" w:rsidRPr="000473D0" w:rsidRDefault="00876D05" w:rsidP="008113A5">
      <w:pPr>
        <w:pStyle w:val="Tekstprzypisudolnego"/>
        <w:rPr>
          <w:lang w:val="pl-PL"/>
        </w:rPr>
      </w:pPr>
      <w:r>
        <w:rPr>
          <w:rStyle w:val="Odwoanieprzypisudolnego"/>
          <w:vertAlign w:val="baseline"/>
        </w:rPr>
        <w:footnoteRef/>
      </w:r>
      <w:r w:rsidRPr="000473D0">
        <w:rPr>
          <w:lang w:val="pl-PL"/>
        </w:rPr>
        <w:t>.  </w:t>
      </w:r>
      <w:r>
        <w:rPr>
          <w:lang w:val="pl-PL"/>
        </w:rPr>
        <w:t>Par. </w:t>
      </w:r>
      <w:r w:rsidRPr="000473D0">
        <w:rPr>
          <w:lang w:val="pl-PL"/>
        </w:rPr>
        <w:t>169 wyroku.</w:t>
      </w:r>
    </w:p>
  </w:footnote>
  <w:footnote w:id="165">
    <w:p w14:paraId="2F96687E" w14:textId="41C1CEC9"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171 wyroku.</w:t>
      </w:r>
    </w:p>
  </w:footnote>
  <w:footnote w:id="166">
    <w:p w14:paraId="38336651" w14:textId="7B586332"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sidRPr="000473D0">
        <w:rPr>
          <w:rFonts w:ascii="Times New Roman" w:hAnsi="Times New Roman" w:cs="Times New Roman"/>
          <w:i/>
          <w:iCs/>
          <w:lang w:val="pl-PL"/>
        </w:rPr>
        <w:t>A contrario</w:t>
      </w:r>
      <w:r w:rsidRPr="000473D0">
        <w:rPr>
          <w:rFonts w:ascii="Times New Roman" w:hAnsi="Times New Roman" w:cs="Times New Roman"/>
          <w:lang w:val="pl-PL"/>
        </w:rPr>
        <w:t xml:space="preserve">, </w:t>
      </w:r>
      <w:r w:rsidRPr="000473D0">
        <w:rPr>
          <w:rFonts w:ascii="Times New Roman" w:hAnsi="Times New Roman" w:cs="Times New Roman"/>
          <w:i/>
          <w:iCs/>
          <w:lang w:val="pl-PL"/>
        </w:rPr>
        <w:t>Schatschaschwili</w:t>
      </w:r>
      <w:r w:rsidRPr="000473D0">
        <w:rPr>
          <w:rFonts w:ascii="Times New Roman" w:hAnsi="Times New Roman" w:cs="Times New Roman"/>
          <w:lang w:val="pl-PL"/>
        </w:rPr>
        <w:t xml:space="preserve">, </w:t>
      </w:r>
      <w:r w:rsidRPr="000473D0">
        <w:rPr>
          <w:rFonts w:ascii="Times New Roman" w:hAnsi="Times New Roman" w:cs="Times New Roman"/>
          <w:i/>
          <w:iCs/>
          <w:lang w:val="pl-PL"/>
        </w:rPr>
        <w:t>op.</w:t>
      </w:r>
      <w:r>
        <w:rPr>
          <w:rFonts w:ascii="Times New Roman" w:hAnsi="Times New Roman" w:cs="Times New Roman"/>
          <w:i/>
          <w:iCs/>
          <w:lang w:val="pl-PL"/>
        </w:rPr>
        <w:t xml:space="preserve"> </w:t>
      </w:r>
      <w:r w:rsidRPr="000473D0">
        <w:rPr>
          <w:rFonts w:ascii="Times New Roman" w:hAnsi="Times New Roman" w:cs="Times New Roman"/>
          <w:i/>
          <w:iCs/>
          <w:lang w:val="pl-PL"/>
        </w:rPr>
        <w:t>cit.</w:t>
      </w:r>
      <w:r w:rsidRPr="000473D0">
        <w:rPr>
          <w:rFonts w:ascii="Times New Roman" w:hAnsi="Times New Roman" w:cs="Times New Roman"/>
          <w:lang w:val="pl-PL"/>
        </w:rPr>
        <w:t>, §§</w:t>
      </w:r>
      <w:r>
        <w:rPr>
          <w:rFonts w:ascii="Times New Roman" w:hAnsi="Times New Roman" w:cs="Times New Roman"/>
          <w:lang w:val="pl-PL"/>
        </w:rPr>
        <w:t> </w:t>
      </w:r>
      <w:r w:rsidRPr="000473D0">
        <w:rPr>
          <w:rFonts w:ascii="Times New Roman" w:hAnsi="Times New Roman" w:cs="Times New Roman"/>
          <w:lang w:val="pl-PL"/>
        </w:rPr>
        <w:t>119-121.</w:t>
      </w:r>
    </w:p>
  </w:footnote>
  <w:footnote w:id="167">
    <w:p w14:paraId="26E90246" w14:textId="40DAF69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138 wyroku.</w:t>
      </w:r>
    </w:p>
  </w:footnote>
  <w:footnote w:id="168">
    <w:p w14:paraId="540910E5" w14:textId="2B33C312"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171 wyroku.</w:t>
      </w:r>
    </w:p>
  </w:footnote>
  <w:footnote w:id="169">
    <w:p w14:paraId="7AD9F662" w14:textId="7BCF61CD"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171 i 174 wyroku.</w:t>
      </w:r>
    </w:p>
  </w:footnote>
  <w:footnote w:id="170">
    <w:p w14:paraId="16CDFB99" w14:textId="26A08168" w:rsidR="00876D05" w:rsidRPr="000473D0" w:rsidRDefault="00876D05" w:rsidP="008113A5">
      <w:pPr>
        <w:pStyle w:val="Tekstprzypisudolnego"/>
        <w:rPr>
          <w:rFonts w:ascii="Times New Roman" w:hAnsi="Times New Roman" w:cs="Times New Roman"/>
          <w:lang w:val="pl-PL"/>
        </w:rPr>
      </w:pPr>
      <w:r>
        <w:rPr>
          <w:rStyle w:val="Odwoanieprzypisudolnego"/>
          <w:rFonts w:ascii="Times New Roman" w:hAnsi="Times New Roman" w:cs="Times New Roman"/>
          <w:vertAlign w:val="baseline"/>
        </w:rPr>
        <w:footnoteRef/>
      </w:r>
      <w:r w:rsidRPr="000473D0">
        <w:rPr>
          <w:rFonts w:ascii="Times New Roman" w:hAnsi="Times New Roman" w:cs="Times New Roman"/>
          <w:lang w:val="pl-PL"/>
        </w:rPr>
        <w:t>.  </w:t>
      </w:r>
      <w:r>
        <w:rPr>
          <w:rFonts w:ascii="Times New Roman" w:hAnsi="Times New Roman" w:cs="Times New Roman"/>
          <w:lang w:val="pl-PL"/>
        </w:rPr>
        <w:t>Par. </w:t>
      </w:r>
      <w:r w:rsidRPr="000473D0">
        <w:rPr>
          <w:rFonts w:ascii="Times New Roman" w:hAnsi="Times New Roman" w:cs="Times New Roman"/>
          <w:lang w:val="pl-PL"/>
        </w:rPr>
        <w:t xml:space="preserve">173 wyroku. Tu większość składu orzekającego w sposób wyraźny przeczy liberalnemu kryterium przedstawionemu w </w:t>
      </w:r>
      <w:r>
        <w:rPr>
          <w:rFonts w:ascii="Times New Roman" w:hAnsi="Times New Roman" w:cs="Times New Roman"/>
          <w:lang w:val="pl-PL"/>
        </w:rPr>
        <w:t>par. </w:t>
      </w:r>
      <w:r w:rsidRPr="000473D0">
        <w:rPr>
          <w:rFonts w:ascii="Times New Roman" w:hAnsi="Times New Roman" w:cs="Times New Roman"/>
          <w:lang w:val="pl-PL"/>
        </w:rPr>
        <w:t>160 wyroku.</w:t>
      </w:r>
    </w:p>
  </w:footnote>
  <w:footnote w:id="171">
    <w:p w14:paraId="7739E8EE" w14:textId="022CFC33" w:rsidR="00876D05" w:rsidRPr="000473D0" w:rsidRDefault="00876D05" w:rsidP="008113A5">
      <w:pPr>
        <w:pStyle w:val="Tekstprzypisudolnego"/>
        <w:rPr>
          <w:rFonts w:ascii="Times New Roman" w:hAnsi="Times New Roman" w:cs="Times New Roman"/>
          <w:lang w:val="pl-PL"/>
        </w:rPr>
      </w:pPr>
      <w:r>
        <w:rPr>
          <w:rStyle w:val="Odwoanieprzypisudolnego"/>
          <w:vertAlign w:val="baseline"/>
        </w:rPr>
        <w:footnoteRef/>
      </w:r>
      <w:r w:rsidRPr="000473D0">
        <w:rPr>
          <w:rFonts w:ascii="Times New Roman" w:hAnsi="Times New Roman"/>
          <w:lang w:val="pl-PL"/>
        </w:rPr>
        <w:t>.  </w:t>
      </w:r>
      <w:r>
        <w:rPr>
          <w:rFonts w:ascii="Times New Roman" w:hAnsi="Times New Roman"/>
          <w:lang w:val="pl-PL"/>
        </w:rPr>
        <w:t>Par. </w:t>
      </w:r>
      <w:r w:rsidRPr="000473D0">
        <w:rPr>
          <w:rFonts w:ascii="Times New Roman" w:hAnsi="Times New Roman"/>
          <w:lang w:val="pl-PL"/>
        </w:rPr>
        <w:t xml:space="preserve">175 wyroku. Ta niefortunna metoda nie jest nowa w orzecznictwie Trybunału (zob. na przykład </w:t>
      </w:r>
      <w:r w:rsidRPr="000473D0">
        <w:rPr>
          <w:rFonts w:ascii="Times New Roman" w:hAnsi="Times New Roman"/>
          <w:i/>
          <w:iCs/>
          <w:lang w:val="pl-PL"/>
        </w:rPr>
        <w:t xml:space="preserve">Sievert przeciwko Niemcom, </w:t>
      </w:r>
      <w:r w:rsidRPr="000473D0">
        <w:rPr>
          <w:rFonts w:ascii="Times New Roman" w:hAnsi="Times New Roman"/>
          <w:lang w:val="pl-PL"/>
        </w:rPr>
        <w:t xml:space="preserve">wyrok z </w:t>
      </w:r>
      <w:r>
        <w:rPr>
          <w:rFonts w:ascii="Times New Roman" w:hAnsi="Times New Roman"/>
          <w:lang w:val="pl-PL"/>
        </w:rPr>
        <w:t>dnia</w:t>
      </w:r>
      <w:r w:rsidRPr="000473D0">
        <w:rPr>
          <w:rFonts w:ascii="Times New Roman" w:hAnsi="Times New Roman"/>
          <w:lang w:val="pl-PL"/>
        </w:rPr>
        <w:t xml:space="preserve"> 19 lipca 2012</w:t>
      </w:r>
      <w:r>
        <w:rPr>
          <w:rFonts w:ascii="Times New Roman" w:hAnsi="Times New Roman"/>
          <w:lang w:val="pl-PL"/>
        </w:rPr>
        <w:t> r.</w:t>
      </w:r>
      <w:r w:rsidRPr="000473D0">
        <w:rPr>
          <w:rFonts w:ascii="Times New Roman" w:hAnsi="Times New Roman"/>
          <w:lang w:val="pl-PL"/>
        </w:rPr>
        <w:t>, skarga nr</w:t>
      </w:r>
      <w:r>
        <w:rPr>
          <w:rFonts w:ascii="Times New Roman" w:hAnsi="Times New Roman"/>
          <w:lang w:val="pl-PL"/>
        </w:rPr>
        <w:t> </w:t>
      </w:r>
      <w:r w:rsidRPr="000473D0">
        <w:rPr>
          <w:lang w:val="pl-PL"/>
        </w:rPr>
        <w:t>29881/07</w:t>
      </w:r>
      <w:r w:rsidRPr="000473D0">
        <w:rPr>
          <w:rFonts w:ascii="Times New Roman" w:hAnsi="Times New Roman"/>
          <w:lang w:val="pl-PL"/>
        </w:rPr>
        <w:t xml:space="preserve">, § 67, oraz </w:t>
      </w:r>
      <w:r w:rsidRPr="000473D0">
        <w:rPr>
          <w:rFonts w:ascii="Times New Roman" w:hAnsi="Times New Roman"/>
          <w:i/>
          <w:iCs/>
          <w:lang w:val="pl-PL"/>
        </w:rPr>
        <w:t>Poletan i Azirovik</w:t>
      </w:r>
      <w:r w:rsidRPr="000473D0">
        <w:rPr>
          <w:rFonts w:ascii="Times New Roman" w:hAnsi="Times New Roman"/>
          <w:lang w:val="pl-PL"/>
        </w:rPr>
        <w:t xml:space="preserve"> </w:t>
      </w:r>
      <w:r w:rsidRPr="000473D0">
        <w:rPr>
          <w:rFonts w:ascii="Times New Roman" w:hAnsi="Times New Roman"/>
          <w:i/>
          <w:iCs/>
          <w:lang w:val="pl-PL"/>
        </w:rPr>
        <w:t>przeciwko Byłej Jugosłowiańskiej Republice Macedonii,</w:t>
      </w:r>
      <w:r w:rsidRPr="000473D0">
        <w:rPr>
          <w:rFonts w:ascii="Times New Roman" w:hAnsi="Times New Roman"/>
          <w:lang w:val="pl-PL"/>
        </w:rPr>
        <w:t xml:space="preserve"> wyrok z </w:t>
      </w:r>
      <w:r>
        <w:rPr>
          <w:rFonts w:ascii="Times New Roman" w:hAnsi="Times New Roman"/>
          <w:lang w:val="pl-PL"/>
        </w:rPr>
        <w:t>dnia</w:t>
      </w:r>
      <w:r w:rsidRPr="000473D0">
        <w:rPr>
          <w:rFonts w:ascii="Times New Roman" w:hAnsi="Times New Roman"/>
          <w:lang w:val="pl-PL"/>
        </w:rPr>
        <w:t xml:space="preserve"> 12 maja 2016</w:t>
      </w:r>
      <w:r>
        <w:rPr>
          <w:rFonts w:ascii="Times New Roman" w:hAnsi="Times New Roman"/>
          <w:lang w:val="pl-PL"/>
        </w:rPr>
        <w:t> r.</w:t>
      </w:r>
      <w:r w:rsidRPr="000473D0">
        <w:rPr>
          <w:rFonts w:ascii="Times New Roman" w:hAnsi="Times New Roman"/>
          <w:lang w:val="pl-PL"/>
        </w:rPr>
        <w:t>, skarga nr</w:t>
      </w:r>
      <w:r>
        <w:rPr>
          <w:rFonts w:ascii="Times New Roman" w:hAnsi="Times New Roman"/>
          <w:lang w:val="pl-PL"/>
        </w:rPr>
        <w:t> </w:t>
      </w:r>
      <w:r w:rsidRPr="000473D0">
        <w:rPr>
          <w:rFonts w:ascii="Times New Roman" w:hAnsi="Times New Roman"/>
          <w:lang w:val="pl-PL"/>
        </w:rPr>
        <w:t>26711/07 i 2 inne, §</w:t>
      </w:r>
      <w:r>
        <w:rPr>
          <w:rFonts w:ascii="Times New Roman" w:hAnsi="Times New Roman"/>
          <w:lang w:val="pl-PL"/>
        </w:rPr>
        <w:t> </w:t>
      </w:r>
      <w:r w:rsidRPr="000473D0">
        <w:rPr>
          <w:rFonts w:ascii="Times New Roman" w:hAnsi="Times New Roman"/>
          <w:lang w:val="pl-PL"/>
        </w:rPr>
        <w:t>82).</w:t>
      </w:r>
    </w:p>
  </w:footnote>
  <w:footnote w:id="172">
    <w:p w14:paraId="03A9F630" w14:textId="12D3F457"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Par. 175 wyroku.</w:t>
      </w:r>
    </w:p>
  </w:footnote>
  <w:footnote w:id="173">
    <w:p w14:paraId="2A564F81" w14:textId="68516FD8" w:rsidR="00876D05" w:rsidRPr="00610CA7" w:rsidRDefault="00876D05" w:rsidP="008113A5">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cs="Times New Roman"/>
        </w:rPr>
        <w:t>.  Par. 154 wyroku.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D04FC" w14:textId="77777777" w:rsidR="00876D05" w:rsidRDefault="00876D05">
    <w:pPr>
      <w:pStyle w:val="Nagwek"/>
    </w:pPr>
  </w:p>
  <w:p w14:paraId="09C4F691" w14:textId="77777777" w:rsidR="00876D05" w:rsidRDefault="00876D0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A35C0" w14:textId="77777777" w:rsidR="00876D05" w:rsidRPr="001A099F" w:rsidRDefault="00876D05" w:rsidP="001A099F">
    <w:pPr>
      <w:pStyle w:val="Nagwek"/>
      <w:jc w:val="center"/>
    </w:pPr>
  </w:p>
  <w:p w14:paraId="587CC1F1" w14:textId="77777777" w:rsidR="00876D05" w:rsidRDefault="00876D0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A3126" w14:textId="77777777" w:rsidR="00876D05" w:rsidRPr="00A45145" w:rsidRDefault="00876D05" w:rsidP="001A099F">
    <w:pPr>
      <w:jc w:val="center"/>
    </w:pPr>
    <w:r>
      <w:rPr>
        <w:noProof/>
        <w:lang w:val="pl-PL" w:eastAsia="pl-PL"/>
      </w:rPr>
      <w:drawing>
        <wp:inline distT="0" distB="0" distL="0" distR="0" wp14:anchorId="578F3EFF" wp14:editId="2D7091F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B9C739F" w14:textId="77777777" w:rsidR="00876D05" w:rsidRDefault="00876D05">
    <w:pPr>
      <w:pStyle w:val="Nagwek"/>
    </w:pPr>
  </w:p>
  <w:p w14:paraId="0C0C550F" w14:textId="77777777" w:rsidR="00876D05" w:rsidRDefault="00876D0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98A42" w14:textId="190171B6" w:rsidR="00876D05" w:rsidRPr="000473D0" w:rsidRDefault="00876D05" w:rsidP="00EE1DA9">
    <w:pPr>
      <w:pStyle w:val="ECHRHeader"/>
      <w:rPr>
        <w:lang w:val="pl-PL"/>
      </w:rPr>
    </w:pPr>
    <w:r>
      <w:rPr>
        <w:rStyle w:val="Numerstrony"/>
        <w:szCs w:val="18"/>
      </w:rPr>
      <w:fldChar w:fldCharType="begin"/>
    </w:r>
    <w:r w:rsidRPr="000473D0">
      <w:rPr>
        <w:rStyle w:val="Numerstrony"/>
        <w:szCs w:val="18"/>
        <w:lang w:val="pl-PL"/>
      </w:rPr>
      <w:instrText xml:space="preserve"> PAGE </w:instrText>
    </w:r>
    <w:r>
      <w:rPr>
        <w:rStyle w:val="Numerstrony"/>
        <w:szCs w:val="18"/>
      </w:rPr>
      <w:fldChar w:fldCharType="separate"/>
    </w:r>
    <w:r>
      <w:rPr>
        <w:rStyle w:val="Numerstrony"/>
        <w:noProof/>
        <w:szCs w:val="18"/>
        <w:lang w:val="pl-PL"/>
      </w:rPr>
      <w:t>2</w:t>
    </w:r>
    <w:r>
      <w:rPr>
        <w:rStyle w:val="Numerstrony"/>
        <w:szCs w:val="18"/>
      </w:rPr>
      <w:fldChar w:fldCharType="end"/>
    </w:r>
    <w:r w:rsidRPr="000473D0">
      <w:rPr>
        <w:lang w:val="pl-PL"/>
      </w:rPr>
      <w:tab/>
      <w:t>WYROK W SPRAWIE MURTAZALIYEVA PRZECIWKO ROSJI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62064" w14:textId="0FB0C2D2" w:rsidR="00876D05" w:rsidRPr="000473D0" w:rsidRDefault="00876D05" w:rsidP="00D60D87">
    <w:pPr>
      <w:pStyle w:val="ECHRHeader"/>
      <w:rPr>
        <w:lang w:val="pl-PL"/>
      </w:rPr>
    </w:pPr>
    <w:r>
      <w:tab/>
    </w:r>
    <w:r w:rsidRPr="000473D0">
      <w:rPr>
        <w:lang w:val="pl-PL"/>
      </w:rPr>
      <w:t>WYROK W SPRAWIE MURTAZALIYEVA PRZECIWKO ROSJI</w:t>
    </w:r>
    <w:r w:rsidRPr="000473D0">
      <w:rPr>
        <w:lang w:val="pl-PL"/>
      </w:rPr>
      <w:tab/>
    </w:r>
    <w:r>
      <w:rPr>
        <w:rStyle w:val="Numerstrony"/>
        <w:szCs w:val="18"/>
      </w:rPr>
      <w:fldChar w:fldCharType="begin"/>
    </w:r>
    <w:r w:rsidRPr="000473D0">
      <w:rPr>
        <w:rStyle w:val="Numerstrony"/>
        <w:szCs w:val="18"/>
        <w:lang w:val="pl-PL"/>
      </w:rPr>
      <w:instrText xml:space="preserve"> PAGE </w:instrText>
    </w:r>
    <w:r>
      <w:rPr>
        <w:rStyle w:val="Numerstrony"/>
        <w:szCs w:val="18"/>
      </w:rPr>
      <w:fldChar w:fldCharType="separate"/>
    </w:r>
    <w:r>
      <w:rPr>
        <w:rStyle w:val="Numerstrony"/>
        <w:noProof/>
        <w:szCs w:val="18"/>
        <w:lang w:val="pl-PL"/>
      </w:rPr>
      <w:t>5</w:t>
    </w:r>
    <w:r>
      <w:rPr>
        <w:rStyle w:val="Numerstrony"/>
        <w:szCs w:val="1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BEC69" w14:textId="10E4F916" w:rsidR="00876D05" w:rsidRPr="000473D0" w:rsidRDefault="00876D05" w:rsidP="00F42B57">
    <w:pPr>
      <w:pStyle w:val="ECHRHeader"/>
      <w:rPr>
        <w:lang w:val="pl-PL"/>
      </w:rPr>
    </w:pPr>
    <w:r>
      <w:rPr>
        <w:rStyle w:val="Numerstrony"/>
      </w:rPr>
      <w:fldChar w:fldCharType="begin"/>
    </w:r>
    <w:r w:rsidRPr="000473D0">
      <w:rPr>
        <w:rStyle w:val="Numerstrony"/>
        <w:lang w:val="pl-PL"/>
      </w:rPr>
      <w:instrText xml:space="preserve"> PAGE </w:instrText>
    </w:r>
    <w:r>
      <w:rPr>
        <w:rStyle w:val="Numerstrony"/>
      </w:rPr>
      <w:fldChar w:fldCharType="separate"/>
    </w:r>
    <w:r>
      <w:rPr>
        <w:rStyle w:val="Numerstrony"/>
        <w:noProof/>
        <w:lang w:val="pl-PL"/>
      </w:rPr>
      <w:t>96</w:t>
    </w:r>
    <w:r>
      <w:rPr>
        <w:rStyle w:val="Numerstrony"/>
      </w:rPr>
      <w:fldChar w:fldCharType="end"/>
    </w:r>
    <w:r w:rsidRPr="000473D0">
      <w:rPr>
        <w:lang w:val="pl-PL"/>
      </w:rPr>
      <w:tab/>
      <w:t>WYROK W SPRAWIE MURTAZALIYEVA PRZECIWKO ROSJI – OPINIE 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83114" w14:textId="5D6A2F3D" w:rsidR="00876D05" w:rsidRPr="000473D0" w:rsidRDefault="00876D05" w:rsidP="00F42B57">
    <w:pPr>
      <w:pStyle w:val="ECHRHeader"/>
      <w:rPr>
        <w:lang w:val="pl-PL"/>
      </w:rPr>
    </w:pPr>
    <w:r>
      <w:tab/>
    </w:r>
    <w:r w:rsidRPr="000473D0">
      <w:rPr>
        <w:lang w:val="pl-PL"/>
      </w:rPr>
      <w:t>WYROK W SPRAWIE MURTAZALIYEVA PRZECIWKO ROSJI – OPINIE ODRĘBNE</w:t>
    </w:r>
    <w:r w:rsidRPr="000473D0">
      <w:rPr>
        <w:lang w:val="pl-PL"/>
      </w:rPr>
      <w:tab/>
    </w:r>
    <w:r>
      <w:rPr>
        <w:rStyle w:val="Numerstrony"/>
      </w:rPr>
      <w:fldChar w:fldCharType="begin"/>
    </w:r>
    <w:r w:rsidRPr="000473D0">
      <w:rPr>
        <w:rStyle w:val="Numerstrony"/>
        <w:lang w:val="pl-PL"/>
      </w:rPr>
      <w:instrText xml:space="preserve"> PAGE </w:instrText>
    </w:r>
    <w:r>
      <w:rPr>
        <w:rStyle w:val="Numerstrony"/>
      </w:rPr>
      <w:fldChar w:fldCharType="separate"/>
    </w:r>
    <w:r>
      <w:rPr>
        <w:rStyle w:val="Numerstrony"/>
        <w:noProof/>
        <w:lang w:val="pl-PL"/>
      </w:rPr>
      <w:t>97</w:t>
    </w:r>
    <w:r>
      <w:rPr>
        <w:rStyle w:val="Numerstrony"/>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99EF0" w14:textId="77777777" w:rsidR="00876D05" w:rsidRDefault="00876D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5457FD"/>
    <w:multiLevelType w:val="hybridMultilevel"/>
    <w:tmpl w:val="EE562320"/>
    <w:lvl w:ilvl="0" w:tplc="E11475F6">
      <w:numFmt w:val="bullet"/>
      <w:lvlText w:val="-"/>
      <w:lvlJc w:val="left"/>
      <w:pPr>
        <w:ind w:left="644" w:hanging="360"/>
      </w:pPr>
      <w:rPr>
        <w:rFonts w:ascii="Times New Roman" w:eastAsiaTheme="minorEastAsia" w:hAnsi="Times New Roman" w:cs="Times New Roman"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0749F8"/>
    <w:multiLevelType w:val="multilevel"/>
    <w:tmpl w:val="806887C8"/>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85E6A40"/>
    <w:multiLevelType w:val="multilevel"/>
    <w:tmpl w:val="EAB0152A"/>
    <w:numStyleLink w:val="ECHRA1StyleList"/>
  </w:abstractNum>
  <w:abstractNum w:abstractNumId="16" w15:restartNumberingAfterBreak="0">
    <w:nsid w:val="2DB11CCD"/>
    <w:multiLevelType w:val="hybridMultilevel"/>
    <w:tmpl w:val="03F65A6E"/>
    <w:lvl w:ilvl="0" w:tplc="BCB8860C">
      <w:start w:val="1"/>
      <w:numFmt w:val="decimal"/>
      <w:lvlText w:val="%1."/>
      <w:lvlJc w:val="left"/>
      <w:pPr>
        <w:ind w:left="720" w:hanging="360"/>
      </w:pPr>
      <w:rPr>
        <w:rFonts w:eastAsiaTheme="minorHAnsi"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3A6F79BD"/>
    <w:multiLevelType w:val="hybridMultilevel"/>
    <w:tmpl w:val="FC422300"/>
    <w:lvl w:ilvl="0" w:tplc="98F20B82">
      <w:start w:val="1"/>
      <w:numFmt w:val="decimal"/>
      <w:lvlText w:val="%1."/>
      <w:lvlJc w:val="left"/>
      <w:pPr>
        <w:ind w:left="720" w:hanging="360"/>
      </w:pPr>
      <w:rPr>
        <w:rFonts w:eastAsiaTheme="minorHAnsi"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544657DE"/>
    <w:multiLevelType w:val="hybridMultilevel"/>
    <w:tmpl w:val="EC2865E6"/>
    <w:lvl w:ilvl="0" w:tplc="D61C8FB0">
      <w:start w:val="1"/>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1" w15:restartNumberingAfterBreak="0">
    <w:nsid w:val="5DEA1D2E"/>
    <w:multiLevelType w:val="hybridMultilevel"/>
    <w:tmpl w:val="41F832E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737461D"/>
    <w:multiLevelType w:val="multilevel"/>
    <w:tmpl w:val="040C0023"/>
    <w:styleLink w:val="Artykusekcja"/>
    <w:lvl w:ilvl="0">
      <w:start w:val="1"/>
      <w:numFmt w:val="upperRoman"/>
      <w:lvlText w:val="Artykuł %1."/>
      <w:lvlJc w:val="left"/>
      <w:pPr>
        <w:ind w:left="0" w:firstLine="0"/>
      </w:pPr>
    </w:lvl>
    <w:lvl w:ilvl="1">
      <w:start w:val="1"/>
      <w:numFmt w:val="decimalZero"/>
      <w:isLgl/>
      <w:lvlText w:val="Artykuł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2"/>
  </w:num>
  <w:num w:numId="2">
    <w:abstractNumId w:val="12"/>
  </w:num>
  <w:num w:numId="3">
    <w:abstractNumId w:val="10"/>
  </w:num>
  <w:num w:numId="4">
    <w:abstractNumId w:val="2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3"/>
  </w:num>
  <w:num w:numId="15">
    <w:abstractNumId w:val="23"/>
  </w:num>
  <w:num w:numId="16">
    <w:abstractNumId w:val="23"/>
  </w:num>
  <w:num w:numId="17">
    <w:abstractNumId w:val="23"/>
  </w:num>
  <w:num w:numId="18">
    <w:abstractNumId w:val="23"/>
  </w:num>
  <w:num w:numId="19">
    <w:abstractNumId w:val="21"/>
  </w:num>
  <w:num w:numId="20">
    <w:abstractNumId w:val="11"/>
  </w:num>
  <w:num w:numId="21">
    <w:abstractNumId w:val="9"/>
  </w:num>
  <w:num w:numId="22">
    <w:abstractNumId w:val="25"/>
  </w:num>
  <w:num w:numId="23">
    <w:abstractNumId w:val="18"/>
  </w:num>
  <w:num w:numId="24">
    <w:abstractNumId w:val="19"/>
  </w:num>
  <w:num w:numId="25">
    <w:abstractNumId w:val="14"/>
  </w:num>
  <w:num w:numId="26">
    <w:abstractNumId w:val="15"/>
  </w:num>
  <w:num w:numId="27">
    <w:abstractNumId w:val="17"/>
  </w:num>
  <w:num w:numId="28">
    <w:abstractNumId w:val="16"/>
  </w:num>
  <w:num w:numId="29">
    <w:abstractNumId w:val="20"/>
  </w:num>
  <w:num w:numId="30">
    <w:abstractNumId w:val="1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3NDEyM7M0sDCxMDVR0lEKTi0uzszPAykwrgUAgjGPbiwAAAA="/>
    <w:docVar w:name="EMM" w:val="0"/>
    <w:docVar w:name="NBEMMDOC" w:val="0"/>
  </w:docVars>
  <w:rsids>
    <w:rsidRoot w:val="002326E2"/>
    <w:rsid w:val="00000067"/>
    <w:rsid w:val="000010ED"/>
    <w:rsid w:val="00002A70"/>
    <w:rsid w:val="00004181"/>
    <w:rsid w:val="000041F8"/>
    <w:rsid w:val="000042A8"/>
    <w:rsid w:val="00004308"/>
    <w:rsid w:val="00004731"/>
    <w:rsid w:val="00004D36"/>
    <w:rsid w:val="00005443"/>
    <w:rsid w:val="00005BF0"/>
    <w:rsid w:val="00006A27"/>
    <w:rsid w:val="00007154"/>
    <w:rsid w:val="0000772E"/>
    <w:rsid w:val="000103AE"/>
    <w:rsid w:val="00010A69"/>
    <w:rsid w:val="00010D8C"/>
    <w:rsid w:val="0001134C"/>
    <w:rsid w:val="00011D69"/>
    <w:rsid w:val="00012AD3"/>
    <w:rsid w:val="00014566"/>
    <w:rsid w:val="00015272"/>
    <w:rsid w:val="00015A75"/>
    <w:rsid w:val="00015C2D"/>
    <w:rsid w:val="00015F00"/>
    <w:rsid w:val="0001679A"/>
    <w:rsid w:val="0001701E"/>
    <w:rsid w:val="000178CB"/>
    <w:rsid w:val="00021A05"/>
    <w:rsid w:val="0002222B"/>
    <w:rsid w:val="00022B2E"/>
    <w:rsid w:val="00022C1D"/>
    <w:rsid w:val="000242C6"/>
    <w:rsid w:val="000253A4"/>
    <w:rsid w:val="00025DEE"/>
    <w:rsid w:val="0002658D"/>
    <w:rsid w:val="00026996"/>
    <w:rsid w:val="00026C6F"/>
    <w:rsid w:val="00027586"/>
    <w:rsid w:val="00031329"/>
    <w:rsid w:val="00033DA1"/>
    <w:rsid w:val="0003442F"/>
    <w:rsid w:val="00034987"/>
    <w:rsid w:val="000350E3"/>
    <w:rsid w:val="000365A8"/>
    <w:rsid w:val="00037B96"/>
    <w:rsid w:val="00040ABD"/>
    <w:rsid w:val="00041CE8"/>
    <w:rsid w:val="00046584"/>
    <w:rsid w:val="00046E6E"/>
    <w:rsid w:val="000473D0"/>
    <w:rsid w:val="00047FB3"/>
    <w:rsid w:val="0005257E"/>
    <w:rsid w:val="00052E30"/>
    <w:rsid w:val="000543A7"/>
    <w:rsid w:val="00054FEE"/>
    <w:rsid w:val="000550F2"/>
    <w:rsid w:val="00056DBF"/>
    <w:rsid w:val="0005791D"/>
    <w:rsid w:val="000602DF"/>
    <w:rsid w:val="00061692"/>
    <w:rsid w:val="000619FE"/>
    <w:rsid w:val="00061B05"/>
    <w:rsid w:val="00062973"/>
    <w:rsid w:val="00062D5D"/>
    <w:rsid w:val="000632D5"/>
    <w:rsid w:val="000635B5"/>
    <w:rsid w:val="00064257"/>
    <w:rsid w:val="000644EE"/>
    <w:rsid w:val="0006616C"/>
    <w:rsid w:val="000663E3"/>
    <w:rsid w:val="00066655"/>
    <w:rsid w:val="00066F84"/>
    <w:rsid w:val="000706A6"/>
    <w:rsid w:val="00071ABC"/>
    <w:rsid w:val="00072445"/>
    <w:rsid w:val="00072C5A"/>
    <w:rsid w:val="00073AB4"/>
    <w:rsid w:val="00075011"/>
    <w:rsid w:val="000758D9"/>
    <w:rsid w:val="00075D05"/>
    <w:rsid w:val="000771D0"/>
    <w:rsid w:val="00080312"/>
    <w:rsid w:val="000825CF"/>
    <w:rsid w:val="0008454A"/>
    <w:rsid w:val="000856D7"/>
    <w:rsid w:val="00086C19"/>
    <w:rsid w:val="00086D68"/>
    <w:rsid w:val="000876C0"/>
    <w:rsid w:val="000902AD"/>
    <w:rsid w:val="000916BB"/>
    <w:rsid w:val="000921F2"/>
    <w:rsid w:val="000925AD"/>
    <w:rsid w:val="00092951"/>
    <w:rsid w:val="000957D3"/>
    <w:rsid w:val="000958B2"/>
    <w:rsid w:val="00095BDC"/>
    <w:rsid w:val="000A24EB"/>
    <w:rsid w:val="000A37CB"/>
    <w:rsid w:val="000A3CB5"/>
    <w:rsid w:val="000A44A6"/>
    <w:rsid w:val="000A5767"/>
    <w:rsid w:val="000A62CF"/>
    <w:rsid w:val="000A78C8"/>
    <w:rsid w:val="000A7ACB"/>
    <w:rsid w:val="000B2381"/>
    <w:rsid w:val="000B2845"/>
    <w:rsid w:val="000B3C88"/>
    <w:rsid w:val="000B559F"/>
    <w:rsid w:val="000B5696"/>
    <w:rsid w:val="000B5952"/>
    <w:rsid w:val="000B6695"/>
    <w:rsid w:val="000B6923"/>
    <w:rsid w:val="000B7619"/>
    <w:rsid w:val="000B79F9"/>
    <w:rsid w:val="000C033C"/>
    <w:rsid w:val="000C1A49"/>
    <w:rsid w:val="000C26E8"/>
    <w:rsid w:val="000C5F3C"/>
    <w:rsid w:val="000C6C5A"/>
    <w:rsid w:val="000C6DCC"/>
    <w:rsid w:val="000C7676"/>
    <w:rsid w:val="000D0556"/>
    <w:rsid w:val="000D1308"/>
    <w:rsid w:val="000D3898"/>
    <w:rsid w:val="000D47AA"/>
    <w:rsid w:val="000D721F"/>
    <w:rsid w:val="000E069B"/>
    <w:rsid w:val="000E0E82"/>
    <w:rsid w:val="000E1DC5"/>
    <w:rsid w:val="000E223F"/>
    <w:rsid w:val="000E35AC"/>
    <w:rsid w:val="000E6192"/>
    <w:rsid w:val="000E79F5"/>
    <w:rsid w:val="000E7D45"/>
    <w:rsid w:val="000F0298"/>
    <w:rsid w:val="000F04AB"/>
    <w:rsid w:val="000F0EC1"/>
    <w:rsid w:val="000F1633"/>
    <w:rsid w:val="000F2D62"/>
    <w:rsid w:val="000F2FD0"/>
    <w:rsid w:val="000F338C"/>
    <w:rsid w:val="000F485A"/>
    <w:rsid w:val="000F48D2"/>
    <w:rsid w:val="000F586D"/>
    <w:rsid w:val="000F6204"/>
    <w:rsid w:val="000F7276"/>
    <w:rsid w:val="000F7851"/>
    <w:rsid w:val="000F7A39"/>
    <w:rsid w:val="00104E23"/>
    <w:rsid w:val="00105B2F"/>
    <w:rsid w:val="00105D23"/>
    <w:rsid w:val="001066EB"/>
    <w:rsid w:val="001076A6"/>
    <w:rsid w:val="00107A4A"/>
    <w:rsid w:val="00107B4F"/>
    <w:rsid w:val="001102C6"/>
    <w:rsid w:val="00111B0C"/>
    <w:rsid w:val="00113406"/>
    <w:rsid w:val="0011350E"/>
    <w:rsid w:val="00113D58"/>
    <w:rsid w:val="001145E8"/>
    <w:rsid w:val="0012026B"/>
    <w:rsid w:val="00120D6C"/>
    <w:rsid w:val="0012351C"/>
    <w:rsid w:val="001238B6"/>
    <w:rsid w:val="00123B64"/>
    <w:rsid w:val="00123B8D"/>
    <w:rsid w:val="00125648"/>
    <w:rsid w:val="001257EC"/>
    <w:rsid w:val="00126A7F"/>
    <w:rsid w:val="00127E6B"/>
    <w:rsid w:val="00132C6A"/>
    <w:rsid w:val="00133D33"/>
    <w:rsid w:val="00134D64"/>
    <w:rsid w:val="001355C6"/>
    <w:rsid w:val="00135A30"/>
    <w:rsid w:val="00136069"/>
    <w:rsid w:val="0013612C"/>
    <w:rsid w:val="001376C1"/>
    <w:rsid w:val="00137FF6"/>
    <w:rsid w:val="0014021F"/>
    <w:rsid w:val="00140493"/>
    <w:rsid w:val="001411EA"/>
    <w:rsid w:val="00141650"/>
    <w:rsid w:val="00141766"/>
    <w:rsid w:val="0014257B"/>
    <w:rsid w:val="00142C53"/>
    <w:rsid w:val="001448C4"/>
    <w:rsid w:val="001457D8"/>
    <w:rsid w:val="00145AAD"/>
    <w:rsid w:val="00146D47"/>
    <w:rsid w:val="001473CF"/>
    <w:rsid w:val="00150576"/>
    <w:rsid w:val="001505B3"/>
    <w:rsid w:val="001508DB"/>
    <w:rsid w:val="001528C3"/>
    <w:rsid w:val="00155592"/>
    <w:rsid w:val="001560B4"/>
    <w:rsid w:val="001560BD"/>
    <w:rsid w:val="001574B7"/>
    <w:rsid w:val="00157C4D"/>
    <w:rsid w:val="00157F34"/>
    <w:rsid w:val="0016267E"/>
    <w:rsid w:val="00162A12"/>
    <w:rsid w:val="0016325A"/>
    <w:rsid w:val="0016329D"/>
    <w:rsid w:val="0016451D"/>
    <w:rsid w:val="0016548D"/>
    <w:rsid w:val="00165CE4"/>
    <w:rsid w:val="00165E8B"/>
    <w:rsid w:val="00166530"/>
    <w:rsid w:val="00167369"/>
    <w:rsid w:val="00170010"/>
    <w:rsid w:val="0017081B"/>
    <w:rsid w:val="00171DBC"/>
    <w:rsid w:val="001728BF"/>
    <w:rsid w:val="0017314E"/>
    <w:rsid w:val="001740BE"/>
    <w:rsid w:val="00174390"/>
    <w:rsid w:val="001751EA"/>
    <w:rsid w:val="0017586C"/>
    <w:rsid w:val="00176F25"/>
    <w:rsid w:val="001832BD"/>
    <w:rsid w:val="001837F3"/>
    <w:rsid w:val="00183E14"/>
    <w:rsid w:val="00184099"/>
    <w:rsid w:val="0018421E"/>
    <w:rsid w:val="00184AFE"/>
    <w:rsid w:val="0019257F"/>
    <w:rsid w:val="00192713"/>
    <w:rsid w:val="001943B5"/>
    <w:rsid w:val="00194B61"/>
    <w:rsid w:val="00195134"/>
    <w:rsid w:val="00195518"/>
    <w:rsid w:val="001A099F"/>
    <w:rsid w:val="001A145B"/>
    <w:rsid w:val="001A19EB"/>
    <w:rsid w:val="001A37A8"/>
    <w:rsid w:val="001A674C"/>
    <w:rsid w:val="001A6A8E"/>
    <w:rsid w:val="001B0EB0"/>
    <w:rsid w:val="001B3B24"/>
    <w:rsid w:val="001B48BE"/>
    <w:rsid w:val="001B5C16"/>
    <w:rsid w:val="001C0812"/>
    <w:rsid w:val="001C0F98"/>
    <w:rsid w:val="001C2A42"/>
    <w:rsid w:val="001C7045"/>
    <w:rsid w:val="001C7D97"/>
    <w:rsid w:val="001D252A"/>
    <w:rsid w:val="001D4880"/>
    <w:rsid w:val="001D52A7"/>
    <w:rsid w:val="001D63ED"/>
    <w:rsid w:val="001D7348"/>
    <w:rsid w:val="001D79CD"/>
    <w:rsid w:val="001E035B"/>
    <w:rsid w:val="001E0961"/>
    <w:rsid w:val="001E0E77"/>
    <w:rsid w:val="001E2A4C"/>
    <w:rsid w:val="001E3EAE"/>
    <w:rsid w:val="001E5348"/>
    <w:rsid w:val="001E6F32"/>
    <w:rsid w:val="001F0252"/>
    <w:rsid w:val="001F2145"/>
    <w:rsid w:val="001F263E"/>
    <w:rsid w:val="001F56C6"/>
    <w:rsid w:val="001F6262"/>
    <w:rsid w:val="001F67B0"/>
    <w:rsid w:val="001F7229"/>
    <w:rsid w:val="001F7B3D"/>
    <w:rsid w:val="002013AB"/>
    <w:rsid w:val="00201737"/>
    <w:rsid w:val="002048F2"/>
    <w:rsid w:val="00205F9F"/>
    <w:rsid w:val="002076F9"/>
    <w:rsid w:val="00210338"/>
    <w:rsid w:val="002105C3"/>
    <w:rsid w:val="002107C1"/>
    <w:rsid w:val="00210889"/>
    <w:rsid w:val="002115FC"/>
    <w:rsid w:val="002133F8"/>
    <w:rsid w:val="0021423C"/>
    <w:rsid w:val="00214FDE"/>
    <w:rsid w:val="0021543C"/>
    <w:rsid w:val="002164E8"/>
    <w:rsid w:val="00220162"/>
    <w:rsid w:val="0022050E"/>
    <w:rsid w:val="00220A2D"/>
    <w:rsid w:val="00220ACC"/>
    <w:rsid w:val="002212EE"/>
    <w:rsid w:val="002225B5"/>
    <w:rsid w:val="00223246"/>
    <w:rsid w:val="00223753"/>
    <w:rsid w:val="00224AD4"/>
    <w:rsid w:val="00225DB2"/>
    <w:rsid w:val="00227F12"/>
    <w:rsid w:val="00230D00"/>
    <w:rsid w:val="00231DF7"/>
    <w:rsid w:val="00231FD1"/>
    <w:rsid w:val="00232317"/>
    <w:rsid w:val="002326E2"/>
    <w:rsid w:val="002336CD"/>
    <w:rsid w:val="0023375D"/>
    <w:rsid w:val="002339E0"/>
    <w:rsid w:val="00233CF8"/>
    <w:rsid w:val="0023459B"/>
    <w:rsid w:val="002355A8"/>
    <w:rsid w:val="0023575D"/>
    <w:rsid w:val="002368E3"/>
    <w:rsid w:val="00236F47"/>
    <w:rsid w:val="00237148"/>
    <w:rsid w:val="00240CE6"/>
    <w:rsid w:val="002411EC"/>
    <w:rsid w:val="0024222D"/>
    <w:rsid w:val="002424DE"/>
    <w:rsid w:val="00243939"/>
    <w:rsid w:val="00244457"/>
    <w:rsid w:val="00244B0E"/>
    <w:rsid w:val="00244F6C"/>
    <w:rsid w:val="00246717"/>
    <w:rsid w:val="002471BF"/>
    <w:rsid w:val="002475BC"/>
    <w:rsid w:val="00247622"/>
    <w:rsid w:val="00247C59"/>
    <w:rsid w:val="002514C3"/>
    <w:rsid w:val="00252514"/>
    <w:rsid w:val="002529DD"/>
    <w:rsid w:val="002532C5"/>
    <w:rsid w:val="0025350A"/>
    <w:rsid w:val="00254638"/>
    <w:rsid w:val="00257054"/>
    <w:rsid w:val="00260C03"/>
    <w:rsid w:val="0026195D"/>
    <w:rsid w:val="00262187"/>
    <w:rsid w:val="00263BD0"/>
    <w:rsid w:val="002648A8"/>
    <w:rsid w:val="0026540E"/>
    <w:rsid w:val="00265F64"/>
    <w:rsid w:val="002666BC"/>
    <w:rsid w:val="0027225C"/>
    <w:rsid w:val="00273CCC"/>
    <w:rsid w:val="00275123"/>
    <w:rsid w:val="002758B8"/>
    <w:rsid w:val="002804DD"/>
    <w:rsid w:val="00282240"/>
    <w:rsid w:val="00283BA1"/>
    <w:rsid w:val="0028572A"/>
    <w:rsid w:val="00286999"/>
    <w:rsid w:val="00287F46"/>
    <w:rsid w:val="00291015"/>
    <w:rsid w:val="002948AD"/>
    <w:rsid w:val="00294C05"/>
    <w:rsid w:val="00294C92"/>
    <w:rsid w:val="0029629F"/>
    <w:rsid w:val="00296B9E"/>
    <w:rsid w:val="002978C3"/>
    <w:rsid w:val="00297AC3"/>
    <w:rsid w:val="002A01CC"/>
    <w:rsid w:val="002A11A0"/>
    <w:rsid w:val="002A1A61"/>
    <w:rsid w:val="002A22DF"/>
    <w:rsid w:val="002A3BBA"/>
    <w:rsid w:val="002A41CA"/>
    <w:rsid w:val="002A4F28"/>
    <w:rsid w:val="002A61B1"/>
    <w:rsid w:val="002A663C"/>
    <w:rsid w:val="002A7CC1"/>
    <w:rsid w:val="002B1E6C"/>
    <w:rsid w:val="002B444B"/>
    <w:rsid w:val="002B5100"/>
    <w:rsid w:val="002B5887"/>
    <w:rsid w:val="002B5B49"/>
    <w:rsid w:val="002B6446"/>
    <w:rsid w:val="002B7FB0"/>
    <w:rsid w:val="002C0692"/>
    <w:rsid w:val="002C0B9B"/>
    <w:rsid w:val="002C0E27"/>
    <w:rsid w:val="002C15FB"/>
    <w:rsid w:val="002C1837"/>
    <w:rsid w:val="002C2833"/>
    <w:rsid w:val="002C2C0C"/>
    <w:rsid w:val="002C3040"/>
    <w:rsid w:val="002C5490"/>
    <w:rsid w:val="002D022D"/>
    <w:rsid w:val="002D24BB"/>
    <w:rsid w:val="002D43AD"/>
    <w:rsid w:val="002D5FFA"/>
    <w:rsid w:val="002D6265"/>
    <w:rsid w:val="002D7FB3"/>
    <w:rsid w:val="002E0240"/>
    <w:rsid w:val="002E0AC7"/>
    <w:rsid w:val="002E1144"/>
    <w:rsid w:val="002E26AD"/>
    <w:rsid w:val="002E49CA"/>
    <w:rsid w:val="002E5A79"/>
    <w:rsid w:val="002E6D3C"/>
    <w:rsid w:val="002E71BF"/>
    <w:rsid w:val="002F0564"/>
    <w:rsid w:val="002F171B"/>
    <w:rsid w:val="002F2438"/>
    <w:rsid w:val="002F2AF7"/>
    <w:rsid w:val="002F40D6"/>
    <w:rsid w:val="002F7E1C"/>
    <w:rsid w:val="002F7EFB"/>
    <w:rsid w:val="0030057E"/>
    <w:rsid w:val="003008B1"/>
    <w:rsid w:val="00301202"/>
    <w:rsid w:val="00301A75"/>
    <w:rsid w:val="003026C7"/>
    <w:rsid w:val="00302F70"/>
    <w:rsid w:val="00302FA2"/>
    <w:rsid w:val="00303126"/>
    <w:rsid w:val="0030336F"/>
    <w:rsid w:val="003035FA"/>
    <w:rsid w:val="0030375E"/>
    <w:rsid w:val="00305AA6"/>
    <w:rsid w:val="0030713B"/>
    <w:rsid w:val="003075F9"/>
    <w:rsid w:val="0031102C"/>
    <w:rsid w:val="0031127C"/>
    <w:rsid w:val="0031297F"/>
    <w:rsid w:val="00312A30"/>
    <w:rsid w:val="00313B78"/>
    <w:rsid w:val="003140EE"/>
    <w:rsid w:val="003152BA"/>
    <w:rsid w:val="00315E5E"/>
    <w:rsid w:val="0031768E"/>
    <w:rsid w:val="00320F72"/>
    <w:rsid w:val="00323155"/>
    <w:rsid w:val="003238C7"/>
    <w:rsid w:val="00324626"/>
    <w:rsid w:val="0032463E"/>
    <w:rsid w:val="003257EF"/>
    <w:rsid w:val="00326224"/>
    <w:rsid w:val="0032676F"/>
    <w:rsid w:val="00326F4C"/>
    <w:rsid w:val="00330EAB"/>
    <w:rsid w:val="00331EAC"/>
    <w:rsid w:val="0033275A"/>
    <w:rsid w:val="00333074"/>
    <w:rsid w:val="00333504"/>
    <w:rsid w:val="00337EE4"/>
    <w:rsid w:val="00340369"/>
    <w:rsid w:val="00340768"/>
    <w:rsid w:val="0034088A"/>
    <w:rsid w:val="00340FFD"/>
    <w:rsid w:val="00341392"/>
    <w:rsid w:val="00342789"/>
    <w:rsid w:val="00342F5A"/>
    <w:rsid w:val="003449F8"/>
    <w:rsid w:val="00344A69"/>
    <w:rsid w:val="003506B1"/>
    <w:rsid w:val="00350C8E"/>
    <w:rsid w:val="00351D9D"/>
    <w:rsid w:val="003547F9"/>
    <w:rsid w:val="00356384"/>
    <w:rsid w:val="00356AC7"/>
    <w:rsid w:val="00356CE2"/>
    <w:rsid w:val="003609FA"/>
    <w:rsid w:val="003610D6"/>
    <w:rsid w:val="0036552A"/>
    <w:rsid w:val="00370A8D"/>
    <w:rsid w:val="00370C9E"/>
    <w:rsid w:val="00370E18"/>
    <w:rsid w:val="003710C8"/>
    <w:rsid w:val="003717E1"/>
    <w:rsid w:val="00371CDA"/>
    <w:rsid w:val="00371EC0"/>
    <w:rsid w:val="00373CE7"/>
    <w:rsid w:val="003750BE"/>
    <w:rsid w:val="00377C82"/>
    <w:rsid w:val="003803BE"/>
    <w:rsid w:val="003804AB"/>
    <w:rsid w:val="00380E0A"/>
    <w:rsid w:val="00381121"/>
    <w:rsid w:val="00383640"/>
    <w:rsid w:val="003840B4"/>
    <w:rsid w:val="00384249"/>
    <w:rsid w:val="003852E6"/>
    <w:rsid w:val="003855C6"/>
    <w:rsid w:val="0038607C"/>
    <w:rsid w:val="00386BBE"/>
    <w:rsid w:val="00387B9D"/>
    <w:rsid w:val="00387E12"/>
    <w:rsid w:val="0039364F"/>
    <w:rsid w:val="003941F2"/>
    <w:rsid w:val="00394CAE"/>
    <w:rsid w:val="00396686"/>
    <w:rsid w:val="00397169"/>
    <w:rsid w:val="0039762F"/>
    <w:rsid w:val="0039778E"/>
    <w:rsid w:val="003977C9"/>
    <w:rsid w:val="003A19F8"/>
    <w:rsid w:val="003A2364"/>
    <w:rsid w:val="003A29F5"/>
    <w:rsid w:val="003A441D"/>
    <w:rsid w:val="003A4DF0"/>
    <w:rsid w:val="003A5641"/>
    <w:rsid w:val="003A64F4"/>
    <w:rsid w:val="003A7A40"/>
    <w:rsid w:val="003B0A85"/>
    <w:rsid w:val="003B0F91"/>
    <w:rsid w:val="003B10A7"/>
    <w:rsid w:val="003B1DCC"/>
    <w:rsid w:val="003B33F7"/>
    <w:rsid w:val="003B3C9C"/>
    <w:rsid w:val="003B4518"/>
    <w:rsid w:val="003B4941"/>
    <w:rsid w:val="003B4E9E"/>
    <w:rsid w:val="003B5B08"/>
    <w:rsid w:val="003B6465"/>
    <w:rsid w:val="003B65A9"/>
    <w:rsid w:val="003C051E"/>
    <w:rsid w:val="003C2550"/>
    <w:rsid w:val="003C3832"/>
    <w:rsid w:val="003C5714"/>
    <w:rsid w:val="003C655E"/>
    <w:rsid w:val="003C6B9F"/>
    <w:rsid w:val="003C6E2A"/>
    <w:rsid w:val="003C70AB"/>
    <w:rsid w:val="003D0299"/>
    <w:rsid w:val="003D0AE9"/>
    <w:rsid w:val="003D0BB5"/>
    <w:rsid w:val="003D1781"/>
    <w:rsid w:val="003D2631"/>
    <w:rsid w:val="003D2C09"/>
    <w:rsid w:val="003D421C"/>
    <w:rsid w:val="003D5301"/>
    <w:rsid w:val="003D563F"/>
    <w:rsid w:val="003D7C54"/>
    <w:rsid w:val="003E4359"/>
    <w:rsid w:val="003E5430"/>
    <w:rsid w:val="003E59FF"/>
    <w:rsid w:val="003E615C"/>
    <w:rsid w:val="003E6D80"/>
    <w:rsid w:val="003E7612"/>
    <w:rsid w:val="003F04A0"/>
    <w:rsid w:val="003F05FA"/>
    <w:rsid w:val="003F1A17"/>
    <w:rsid w:val="003F2282"/>
    <w:rsid w:val="003F244A"/>
    <w:rsid w:val="003F30B8"/>
    <w:rsid w:val="003F4C45"/>
    <w:rsid w:val="003F5949"/>
    <w:rsid w:val="003F5F7B"/>
    <w:rsid w:val="003F78D3"/>
    <w:rsid w:val="003F7CEA"/>
    <w:rsid w:val="003F7D64"/>
    <w:rsid w:val="003F7E95"/>
    <w:rsid w:val="00400BFA"/>
    <w:rsid w:val="00402A28"/>
    <w:rsid w:val="00402D3F"/>
    <w:rsid w:val="004037E8"/>
    <w:rsid w:val="004048A3"/>
    <w:rsid w:val="00406893"/>
    <w:rsid w:val="004075B8"/>
    <w:rsid w:val="00410F71"/>
    <w:rsid w:val="00411670"/>
    <w:rsid w:val="004140B9"/>
    <w:rsid w:val="00414300"/>
    <w:rsid w:val="00416A50"/>
    <w:rsid w:val="0042062D"/>
    <w:rsid w:val="00422B63"/>
    <w:rsid w:val="00422D2B"/>
    <w:rsid w:val="00423C98"/>
    <w:rsid w:val="00425C67"/>
    <w:rsid w:val="00426041"/>
    <w:rsid w:val="004270DA"/>
    <w:rsid w:val="00427E7A"/>
    <w:rsid w:val="00431742"/>
    <w:rsid w:val="004323E0"/>
    <w:rsid w:val="00432B62"/>
    <w:rsid w:val="00434893"/>
    <w:rsid w:val="00434FC8"/>
    <w:rsid w:val="00436307"/>
    <w:rsid w:val="00436C49"/>
    <w:rsid w:val="00441C8D"/>
    <w:rsid w:val="00441CC6"/>
    <w:rsid w:val="004421C5"/>
    <w:rsid w:val="00442842"/>
    <w:rsid w:val="004434DB"/>
    <w:rsid w:val="004439E2"/>
    <w:rsid w:val="00445366"/>
    <w:rsid w:val="0044586B"/>
    <w:rsid w:val="00447F5B"/>
    <w:rsid w:val="00452263"/>
    <w:rsid w:val="00453F72"/>
    <w:rsid w:val="004545B4"/>
    <w:rsid w:val="004558F3"/>
    <w:rsid w:val="00456C9A"/>
    <w:rsid w:val="004575A1"/>
    <w:rsid w:val="00461DB0"/>
    <w:rsid w:val="004638DD"/>
    <w:rsid w:val="00463926"/>
    <w:rsid w:val="00464097"/>
    <w:rsid w:val="004645E0"/>
    <w:rsid w:val="004646E0"/>
    <w:rsid w:val="00464C9A"/>
    <w:rsid w:val="00465326"/>
    <w:rsid w:val="0047124B"/>
    <w:rsid w:val="00472908"/>
    <w:rsid w:val="0047342A"/>
    <w:rsid w:val="00474F3D"/>
    <w:rsid w:val="00474FF6"/>
    <w:rsid w:val="00475C7F"/>
    <w:rsid w:val="00475F1A"/>
    <w:rsid w:val="00477E3A"/>
    <w:rsid w:val="00480577"/>
    <w:rsid w:val="00482052"/>
    <w:rsid w:val="00483E5F"/>
    <w:rsid w:val="00485FF9"/>
    <w:rsid w:val="004873E8"/>
    <w:rsid w:val="0048779B"/>
    <w:rsid w:val="004907F0"/>
    <w:rsid w:val="00490C19"/>
    <w:rsid w:val="0049140B"/>
    <w:rsid w:val="00491573"/>
    <w:rsid w:val="004923A5"/>
    <w:rsid w:val="0049463E"/>
    <w:rsid w:val="00494E6E"/>
    <w:rsid w:val="0049541A"/>
    <w:rsid w:val="00496BFB"/>
    <w:rsid w:val="004A15C7"/>
    <w:rsid w:val="004A2273"/>
    <w:rsid w:val="004A2675"/>
    <w:rsid w:val="004A53FF"/>
    <w:rsid w:val="004A5B87"/>
    <w:rsid w:val="004A62BE"/>
    <w:rsid w:val="004A6E1E"/>
    <w:rsid w:val="004A7B78"/>
    <w:rsid w:val="004B013B"/>
    <w:rsid w:val="004B112B"/>
    <w:rsid w:val="004B1294"/>
    <w:rsid w:val="004B24C2"/>
    <w:rsid w:val="004B26A7"/>
    <w:rsid w:val="004B281A"/>
    <w:rsid w:val="004B32CB"/>
    <w:rsid w:val="004B561E"/>
    <w:rsid w:val="004B5A30"/>
    <w:rsid w:val="004B666D"/>
    <w:rsid w:val="004C01E4"/>
    <w:rsid w:val="004C086C"/>
    <w:rsid w:val="004C137D"/>
    <w:rsid w:val="004C1F56"/>
    <w:rsid w:val="004C27BC"/>
    <w:rsid w:val="004C4131"/>
    <w:rsid w:val="004C50C9"/>
    <w:rsid w:val="004C591C"/>
    <w:rsid w:val="004C7643"/>
    <w:rsid w:val="004C7A50"/>
    <w:rsid w:val="004C7DBF"/>
    <w:rsid w:val="004C7F73"/>
    <w:rsid w:val="004D15F3"/>
    <w:rsid w:val="004D1AE9"/>
    <w:rsid w:val="004D1C85"/>
    <w:rsid w:val="004D347F"/>
    <w:rsid w:val="004D374B"/>
    <w:rsid w:val="004D3E94"/>
    <w:rsid w:val="004D3ECC"/>
    <w:rsid w:val="004D4C78"/>
    <w:rsid w:val="004D5311"/>
    <w:rsid w:val="004D5718"/>
    <w:rsid w:val="004D5DCC"/>
    <w:rsid w:val="004D719C"/>
    <w:rsid w:val="004E186E"/>
    <w:rsid w:val="004E1BDB"/>
    <w:rsid w:val="004E2EE0"/>
    <w:rsid w:val="004E47FE"/>
    <w:rsid w:val="004E6DB9"/>
    <w:rsid w:val="004F10AF"/>
    <w:rsid w:val="004F11A4"/>
    <w:rsid w:val="004F202B"/>
    <w:rsid w:val="004F20D6"/>
    <w:rsid w:val="004F2389"/>
    <w:rsid w:val="004F304D"/>
    <w:rsid w:val="004F41F0"/>
    <w:rsid w:val="004F50A9"/>
    <w:rsid w:val="004F61BE"/>
    <w:rsid w:val="004F6578"/>
    <w:rsid w:val="004F66B1"/>
    <w:rsid w:val="004F66BB"/>
    <w:rsid w:val="0050057B"/>
    <w:rsid w:val="005029D6"/>
    <w:rsid w:val="00502A0D"/>
    <w:rsid w:val="005053F0"/>
    <w:rsid w:val="00506841"/>
    <w:rsid w:val="00511C07"/>
    <w:rsid w:val="00512D5D"/>
    <w:rsid w:val="00514C4E"/>
    <w:rsid w:val="005155E5"/>
    <w:rsid w:val="005160BB"/>
    <w:rsid w:val="00516379"/>
    <w:rsid w:val="005173A6"/>
    <w:rsid w:val="0051784B"/>
    <w:rsid w:val="00517FE2"/>
    <w:rsid w:val="00520BAA"/>
    <w:rsid w:val="005246E3"/>
    <w:rsid w:val="00524C7B"/>
    <w:rsid w:val="00525208"/>
    <w:rsid w:val="005257A5"/>
    <w:rsid w:val="005264C0"/>
    <w:rsid w:val="00526A8A"/>
    <w:rsid w:val="0052786A"/>
    <w:rsid w:val="00530586"/>
    <w:rsid w:val="00531C7D"/>
    <w:rsid w:val="00531DF2"/>
    <w:rsid w:val="00532840"/>
    <w:rsid w:val="00533CF7"/>
    <w:rsid w:val="005352F7"/>
    <w:rsid w:val="00535BB8"/>
    <w:rsid w:val="00536552"/>
    <w:rsid w:val="00537F92"/>
    <w:rsid w:val="00540EF9"/>
    <w:rsid w:val="00541106"/>
    <w:rsid w:val="00541161"/>
    <w:rsid w:val="005413A6"/>
    <w:rsid w:val="005442EE"/>
    <w:rsid w:val="005456F8"/>
    <w:rsid w:val="005459AA"/>
    <w:rsid w:val="00546BE5"/>
    <w:rsid w:val="00546CAB"/>
    <w:rsid w:val="00547353"/>
    <w:rsid w:val="005474E7"/>
    <w:rsid w:val="005512A3"/>
    <w:rsid w:val="00551917"/>
    <w:rsid w:val="00552D59"/>
    <w:rsid w:val="00553526"/>
    <w:rsid w:val="00554F5B"/>
    <w:rsid w:val="00556C2C"/>
    <w:rsid w:val="00556E77"/>
    <w:rsid w:val="005578CE"/>
    <w:rsid w:val="00561454"/>
    <w:rsid w:val="0056190F"/>
    <w:rsid w:val="00562781"/>
    <w:rsid w:val="00562B55"/>
    <w:rsid w:val="00563CDC"/>
    <w:rsid w:val="00563E83"/>
    <w:rsid w:val="00565159"/>
    <w:rsid w:val="0056623D"/>
    <w:rsid w:val="00566A0F"/>
    <w:rsid w:val="0057271C"/>
    <w:rsid w:val="00572845"/>
    <w:rsid w:val="00574102"/>
    <w:rsid w:val="00574A7A"/>
    <w:rsid w:val="00577994"/>
    <w:rsid w:val="00577A6E"/>
    <w:rsid w:val="00577D39"/>
    <w:rsid w:val="005801F1"/>
    <w:rsid w:val="00580DE5"/>
    <w:rsid w:val="00581792"/>
    <w:rsid w:val="00584F25"/>
    <w:rsid w:val="00586947"/>
    <w:rsid w:val="00586F71"/>
    <w:rsid w:val="005871AA"/>
    <w:rsid w:val="00590728"/>
    <w:rsid w:val="00591367"/>
    <w:rsid w:val="00592772"/>
    <w:rsid w:val="00592F98"/>
    <w:rsid w:val="00593AF8"/>
    <w:rsid w:val="0059574A"/>
    <w:rsid w:val="0059603F"/>
    <w:rsid w:val="005A1B9B"/>
    <w:rsid w:val="005A2386"/>
    <w:rsid w:val="005A30E3"/>
    <w:rsid w:val="005A5E49"/>
    <w:rsid w:val="005A6751"/>
    <w:rsid w:val="005A74EB"/>
    <w:rsid w:val="005A7A6C"/>
    <w:rsid w:val="005B092E"/>
    <w:rsid w:val="005B152C"/>
    <w:rsid w:val="005B1EE0"/>
    <w:rsid w:val="005B2856"/>
    <w:rsid w:val="005B2B24"/>
    <w:rsid w:val="005B2B3D"/>
    <w:rsid w:val="005B3198"/>
    <w:rsid w:val="005B353A"/>
    <w:rsid w:val="005B404C"/>
    <w:rsid w:val="005B4425"/>
    <w:rsid w:val="005B488D"/>
    <w:rsid w:val="005B4B94"/>
    <w:rsid w:val="005B4E99"/>
    <w:rsid w:val="005B6500"/>
    <w:rsid w:val="005B6547"/>
    <w:rsid w:val="005B6D87"/>
    <w:rsid w:val="005B7766"/>
    <w:rsid w:val="005C11BC"/>
    <w:rsid w:val="005C3EE8"/>
    <w:rsid w:val="005C45A6"/>
    <w:rsid w:val="005C7801"/>
    <w:rsid w:val="005C7B1A"/>
    <w:rsid w:val="005D054D"/>
    <w:rsid w:val="005D16DF"/>
    <w:rsid w:val="005D34F9"/>
    <w:rsid w:val="005D4190"/>
    <w:rsid w:val="005D4504"/>
    <w:rsid w:val="005D5034"/>
    <w:rsid w:val="005D67A3"/>
    <w:rsid w:val="005D7CC3"/>
    <w:rsid w:val="005E13A0"/>
    <w:rsid w:val="005E2988"/>
    <w:rsid w:val="005E2A43"/>
    <w:rsid w:val="005E3085"/>
    <w:rsid w:val="005E3CF6"/>
    <w:rsid w:val="005E406E"/>
    <w:rsid w:val="005E438A"/>
    <w:rsid w:val="005E4440"/>
    <w:rsid w:val="005E54EC"/>
    <w:rsid w:val="005E673E"/>
    <w:rsid w:val="005E7192"/>
    <w:rsid w:val="005F06CC"/>
    <w:rsid w:val="005F44C1"/>
    <w:rsid w:val="005F51E1"/>
    <w:rsid w:val="005F59CC"/>
    <w:rsid w:val="005F6111"/>
    <w:rsid w:val="005F715B"/>
    <w:rsid w:val="00603F91"/>
    <w:rsid w:val="006046D0"/>
    <w:rsid w:val="00604F17"/>
    <w:rsid w:val="00605D96"/>
    <w:rsid w:val="0060680C"/>
    <w:rsid w:val="00607DDA"/>
    <w:rsid w:val="006119C0"/>
    <w:rsid w:val="00611C80"/>
    <w:rsid w:val="00612FD3"/>
    <w:rsid w:val="00613DEB"/>
    <w:rsid w:val="00615397"/>
    <w:rsid w:val="00617400"/>
    <w:rsid w:val="006177F5"/>
    <w:rsid w:val="006178FF"/>
    <w:rsid w:val="00620692"/>
    <w:rsid w:val="006218E1"/>
    <w:rsid w:val="006224DF"/>
    <w:rsid w:val="006232E3"/>
    <w:rsid w:val="00623518"/>
    <w:rsid w:val="00623AB9"/>
    <w:rsid w:val="00623D84"/>
    <w:rsid w:val="006242CA"/>
    <w:rsid w:val="0062431E"/>
    <w:rsid w:val="00626FA0"/>
    <w:rsid w:val="006271F9"/>
    <w:rsid w:val="00627507"/>
    <w:rsid w:val="00630E33"/>
    <w:rsid w:val="00631FA3"/>
    <w:rsid w:val="00633717"/>
    <w:rsid w:val="00633E63"/>
    <w:rsid w:val="006344E1"/>
    <w:rsid w:val="006352B2"/>
    <w:rsid w:val="0063746A"/>
    <w:rsid w:val="006401E7"/>
    <w:rsid w:val="00645429"/>
    <w:rsid w:val="0064545D"/>
    <w:rsid w:val="006456A1"/>
    <w:rsid w:val="00650298"/>
    <w:rsid w:val="0065119C"/>
    <w:rsid w:val="00651765"/>
    <w:rsid w:val="00651CB4"/>
    <w:rsid w:val="00652397"/>
    <w:rsid w:val="006545C4"/>
    <w:rsid w:val="00655461"/>
    <w:rsid w:val="00657D0F"/>
    <w:rsid w:val="006604B2"/>
    <w:rsid w:val="00660E63"/>
    <w:rsid w:val="00661971"/>
    <w:rsid w:val="00661CE8"/>
    <w:rsid w:val="006623D9"/>
    <w:rsid w:val="00662695"/>
    <w:rsid w:val="00662A80"/>
    <w:rsid w:val="006632A2"/>
    <w:rsid w:val="00664284"/>
    <w:rsid w:val="0066432C"/>
    <w:rsid w:val="00664804"/>
    <w:rsid w:val="0066550C"/>
    <w:rsid w:val="00666C67"/>
    <w:rsid w:val="00667C0F"/>
    <w:rsid w:val="006705F9"/>
    <w:rsid w:val="00670BE2"/>
    <w:rsid w:val="006716F2"/>
    <w:rsid w:val="00671987"/>
    <w:rsid w:val="006732B2"/>
    <w:rsid w:val="0067668B"/>
    <w:rsid w:val="00676BBF"/>
    <w:rsid w:val="00677F23"/>
    <w:rsid w:val="00680343"/>
    <w:rsid w:val="00680453"/>
    <w:rsid w:val="00682BF2"/>
    <w:rsid w:val="006839F8"/>
    <w:rsid w:val="00684D0C"/>
    <w:rsid w:val="006859CE"/>
    <w:rsid w:val="00686B85"/>
    <w:rsid w:val="00691270"/>
    <w:rsid w:val="006936C6"/>
    <w:rsid w:val="00694BA8"/>
    <w:rsid w:val="006A037C"/>
    <w:rsid w:val="006A12DB"/>
    <w:rsid w:val="006A36F4"/>
    <w:rsid w:val="006A406F"/>
    <w:rsid w:val="006A5D3A"/>
    <w:rsid w:val="006A5FC2"/>
    <w:rsid w:val="006B10F0"/>
    <w:rsid w:val="006B2220"/>
    <w:rsid w:val="006B2711"/>
    <w:rsid w:val="006B3701"/>
    <w:rsid w:val="006B55BC"/>
    <w:rsid w:val="006B5A90"/>
    <w:rsid w:val="006B687D"/>
    <w:rsid w:val="006B73F8"/>
    <w:rsid w:val="006C0103"/>
    <w:rsid w:val="006C1154"/>
    <w:rsid w:val="006C12C0"/>
    <w:rsid w:val="006C1E55"/>
    <w:rsid w:val="006C23D4"/>
    <w:rsid w:val="006C3958"/>
    <w:rsid w:val="006C41E1"/>
    <w:rsid w:val="006C4649"/>
    <w:rsid w:val="006C5882"/>
    <w:rsid w:val="006C6B64"/>
    <w:rsid w:val="006C7BB0"/>
    <w:rsid w:val="006C7C1E"/>
    <w:rsid w:val="006D17B0"/>
    <w:rsid w:val="006D23C6"/>
    <w:rsid w:val="006D3237"/>
    <w:rsid w:val="006D378A"/>
    <w:rsid w:val="006D3E64"/>
    <w:rsid w:val="006D6C83"/>
    <w:rsid w:val="006D722F"/>
    <w:rsid w:val="006E2E37"/>
    <w:rsid w:val="006E377D"/>
    <w:rsid w:val="006E3CF1"/>
    <w:rsid w:val="006E41AA"/>
    <w:rsid w:val="006E7D85"/>
    <w:rsid w:val="006E7E80"/>
    <w:rsid w:val="006E7F3D"/>
    <w:rsid w:val="006F12BA"/>
    <w:rsid w:val="006F1DF9"/>
    <w:rsid w:val="006F249A"/>
    <w:rsid w:val="006F24DB"/>
    <w:rsid w:val="006F2751"/>
    <w:rsid w:val="006F3761"/>
    <w:rsid w:val="006F48CA"/>
    <w:rsid w:val="006F5B29"/>
    <w:rsid w:val="006F5FA8"/>
    <w:rsid w:val="006F64DD"/>
    <w:rsid w:val="006F7046"/>
    <w:rsid w:val="006F7591"/>
    <w:rsid w:val="007000A7"/>
    <w:rsid w:val="00701B79"/>
    <w:rsid w:val="00701F92"/>
    <w:rsid w:val="00702880"/>
    <w:rsid w:val="0070492D"/>
    <w:rsid w:val="00706B31"/>
    <w:rsid w:val="00707374"/>
    <w:rsid w:val="00711ED2"/>
    <w:rsid w:val="00713BFB"/>
    <w:rsid w:val="00715127"/>
    <w:rsid w:val="00715E8E"/>
    <w:rsid w:val="00716F45"/>
    <w:rsid w:val="00717142"/>
    <w:rsid w:val="00717FB3"/>
    <w:rsid w:val="00720612"/>
    <w:rsid w:val="0072221A"/>
    <w:rsid w:val="00722376"/>
    <w:rsid w:val="00723580"/>
    <w:rsid w:val="00723755"/>
    <w:rsid w:val="00726398"/>
    <w:rsid w:val="0073136C"/>
    <w:rsid w:val="00731F0F"/>
    <w:rsid w:val="00732AA4"/>
    <w:rsid w:val="00733250"/>
    <w:rsid w:val="007335FE"/>
    <w:rsid w:val="007347B2"/>
    <w:rsid w:val="00735430"/>
    <w:rsid w:val="00736FB9"/>
    <w:rsid w:val="00737264"/>
    <w:rsid w:val="00737704"/>
    <w:rsid w:val="00737916"/>
    <w:rsid w:val="00740393"/>
    <w:rsid w:val="00741404"/>
    <w:rsid w:val="007417DC"/>
    <w:rsid w:val="00741D96"/>
    <w:rsid w:val="007428E8"/>
    <w:rsid w:val="00742DB4"/>
    <w:rsid w:val="007431CD"/>
    <w:rsid w:val="00743D36"/>
    <w:rsid w:val="00743F85"/>
    <w:rsid w:val="007449E5"/>
    <w:rsid w:val="007469B9"/>
    <w:rsid w:val="00746C5A"/>
    <w:rsid w:val="00746D58"/>
    <w:rsid w:val="007476B0"/>
    <w:rsid w:val="00747FF0"/>
    <w:rsid w:val="00750259"/>
    <w:rsid w:val="007509D5"/>
    <w:rsid w:val="00751485"/>
    <w:rsid w:val="0075415A"/>
    <w:rsid w:val="00755001"/>
    <w:rsid w:val="0075570D"/>
    <w:rsid w:val="00756C2E"/>
    <w:rsid w:val="00763118"/>
    <w:rsid w:val="0076313B"/>
    <w:rsid w:val="0076348A"/>
    <w:rsid w:val="007635EE"/>
    <w:rsid w:val="00764D4E"/>
    <w:rsid w:val="00765A1F"/>
    <w:rsid w:val="0076750E"/>
    <w:rsid w:val="007678FB"/>
    <w:rsid w:val="00772D70"/>
    <w:rsid w:val="00774A6E"/>
    <w:rsid w:val="00775B6D"/>
    <w:rsid w:val="00776D68"/>
    <w:rsid w:val="00777040"/>
    <w:rsid w:val="00777572"/>
    <w:rsid w:val="00777C7B"/>
    <w:rsid w:val="0078485B"/>
    <w:rsid w:val="007850EE"/>
    <w:rsid w:val="00785B95"/>
    <w:rsid w:val="00790C18"/>
    <w:rsid w:val="00790E96"/>
    <w:rsid w:val="0079158C"/>
    <w:rsid w:val="00791929"/>
    <w:rsid w:val="00791BD7"/>
    <w:rsid w:val="00793366"/>
    <w:rsid w:val="007934E6"/>
    <w:rsid w:val="007945D5"/>
    <w:rsid w:val="00795A8E"/>
    <w:rsid w:val="00797313"/>
    <w:rsid w:val="00797BB4"/>
    <w:rsid w:val="007A0993"/>
    <w:rsid w:val="007A1E46"/>
    <w:rsid w:val="007A36AA"/>
    <w:rsid w:val="007A51E6"/>
    <w:rsid w:val="007A716F"/>
    <w:rsid w:val="007A7501"/>
    <w:rsid w:val="007B12EA"/>
    <w:rsid w:val="007B1586"/>
    <w:rsid w:val="007B22CA"/>
    <w:rsid w:val="007B22CE"/>
    <w:rsid w:val="007B270A"/>
    <w:rsid w:val="007B4FBC"/>
    <w:rsid w:val="007B5FF0"/>
    <w:rsid w:val="007B790D"/>
    <w:rsid w:val="007C0695"/>
    <w:rsid w:val="007C1F2A"/>
    <w:rsid w:val="007C419A"/>
    <w:rsid w:val="007C4CC8"/>
    <w:rsid w:val="007C5426"/>
    <w:rsid w:val="007C5798"/>
    <w:rsid w:val="007C62B6"/>
    <w:rsid w:val="007C6334"/>
    <w:rsid w:val="007C74AB"/>
    <w:rsid w:val="007C7B27"/>
    <w:rsid w:val="007D0056"/>
    <w:rsid w:val="007D4523"/>
    <w:rsid w:val="007D4832"/>
    <w:rsid w:val="007D5A2F"/>
    <w:rsid w:val="007D72A5"/>
    <w:rsid w:val="007D73E2"/>
    <w:rsid w:val="007D7E67"/>
    <w:rsid w:val="007E15F6"/>
    <w:rsid w:val="007E1943"/>
    <w:rsid w:val="007E21B2"/>
    <w:rsid w:val="007E261E"/>
    <w:rsid w:val="007E2C4E"/>
    <w:rsid w:val="007E2CE8"/>
    <w:rsid w:val="007E380D"/>
    <w:rsid w:val="007E48F0"/>
    <w:rsid w:val="007E58AB"/>
    <w:rsid w:val="007E68DF"/>
    <w:rsid w:val="007F1665"/>
    <w:rsid w:val="007F186F"/>
    <w:rsid w:val="007F1905"/>
    <w:rsid w:val="007F2130"/>
    <w:rsid w:val="007F282F"/>
    <w:rsid w:val="007F2CB5"/>
    <w:rsid w:val="007F3933"/>
    <w:rsid w:val="007F3DEB"/>
    <w:rsid w:val="007F3EF3"/>
    <w:rsid w:val="007F5745"/>
    <w:rsid w:val="007F6EB1"/>
    <w:rsid w:val="007F7E7A"/>
    <w:rsid w:val="0080048F"/>
    <w:rsid w:val="00801025"/>
    <w:rsid w:val="00801300"/>
    <w:rsid w:val="008013B3"/>
    <w:rsid w:val="00802902"/>
    <w:rsid w:val="00802C64"/>
    <w:rsid w:val="00805E52"/>
    <w:rsid w:val="008061D0"/>
    <w:rsid w:val="008073FC"/>
    <w:rsid w:val="008106CB"/>
    <w:rsid w:val="00810B38"/>
    <w:rsid w:val="00811239"/>
    <w:rsid w:val="008113A5"/>
    <w:rsid w:val="008122C8"/>
    <w:rsid w:val="00812992"/>
    <w:rsid w:val="008130A4"/>
    <w:rsid w:val="00813D36"/>
    <w:rsid w:val="0081403D"/>
    <w:rsid w:val="00814ECA"/>
    <w:rsid w:val="00815466"/>
    <w:rsid w:val="00815521"/>
    <w:rsid w:val="00817CF1"/>
    <w:rsid w:val="0082008A"/>
    <w:rsid w:val="008204C7"/>
    <w:rsid w:val="00820992"/>
    <w:rsid w:val="00822999"/>
    <w:rsid w:val="0082344F"/>
    <w:rsid w:val="00823581"/>
    <w:rsid w:val="00823602"/>
    <w:rsid w:val="008237D4"/>
    <w:rsid w:val="00823BD9"/>
    <w:rsid w:val="00824D02"/>
    <w:rsid w:val="00824E82"/>
    <w:rsid w:val="008255F5"/>
    <w:rsid w:val="008257D8"/>
    <w:rsid w:val="00825EBF"/>
    <w:rsid w:val="0083014E"/>
    <w:rsid w:val="008301F6"/>
    <w:rsid w:val="00831C6F"/>
    <w:rsid w:val="00831FCE"/>
    <w:rsid w:val="0083214A"/>
    <w:rsid w:val="0083215D"/>
    <w:rsid w:val="00832659"/>
    <w:rsid w:val="00832A8F"/>
    <w:rsid w:val="00832B6F"/>
    <w:rsid w:val="00834220"/>
    <w:rsid w:val="00836245"/>
    <w:rsid w:val="00841649"/>
    <w:rsid w:val="00841B5E"/>
    <w:rsid w:val="00842E1D"/>
    <w:rsid w:val="0084343C"/>
    <w:rsid w:val="008437DB"/>
    <w:rsid w:val="00844B20"/>
    <w:rsid w:val="00844C46"/>
    <w:rsid w:val="00845550"/>
    <w:rsid w:val="00845639"/>
    <w:rsid w:val="00845723"/>
    <w:rsid w:val="00846483"/>
    <w:rsid w:val="00850A9F"/>
    <w:rsid w:val="00851EF9"/>
    <w:rsid w:val="00852866"/>
    <w:rsid w:val="00853609"/>
    <w:rsid w:val="008546D9"/>
    <w:rsid w:val="00854FDB"/>
    <w:rsid w:val="008553DB"/>
    <w:rsid w:val="00856846"/>
    <w:rsid w:val="00857377"/>
    <w:rsid w:val="008577FD"/>
    <w:rsid w:val="00860B03"/>
    <w:rsid w:val="008617A1"/>
    <w:rsid w:val="00863206"/>
    <w:rsid w:val="0086497A"/>
    <w:rsid w:val="008713A1"/>
    <w:rsid w:val="00872B2D"/>
    <w:rsid w:val="00874183"/>
    <w:rsid w:val="008754AB"/>
    <w:rsid w:val="008766B3"/>
    <w:rsid w:val="00876D05"/>
    <w:rsid w:val="008774A6"/>
    <w:rsid w:val="0088060C"/>
    <w:rsid w:val="00880B07"/>
    <w:rsid w:val="008819FD"/>
    <w:rsid w:val="008847BE"/>
    <w:rsid w:val="00885A3C"/>
    <w:rsid w:val="008862B7"/>
    <w:rsid w:val="00886CF9"/>
    <w:rsid w:val="00886DA5"/>
    <w:rsid w:val="00886DA6"/>
    <w:rsid w:val="00887DE4"/>
    <w:rsid w:val="0089112A"/>
    <w:rsid w:val="00892219"/>
    <w:rsid w:val="00892694"/>
    <w:rsid w:val="00892FB5"/>
    <w:rsid w:val="00893576"/>
    <w:rsid w:val="008939B6"/>
    <w:rsid w:val="00893E73"/>
    <w:rsid w:val="00894463"/>
    <w:rsid w:val="00895A3E"/>
    <w:rsid w:val="0089738E"/>
    <w:rsid w:val="008974B7"/>
    <w:rsid w:val="008979E0"/>
    <w:rsid w:val="008A0112"/>
    <w:rsid w:val="008A01F5"/>
    <w:rsid w:val="008A037C"/>
    <w:rsid w:val="008A43C4"/>
    <w:rsid w:val="008A6517"/>
    <w:rsid w:val="008A6EF5"/>
    <w:rsid w:val="008A7BF2"/>
    <w:rsid w:val="008B02DC"/>
    <w:rsid w:val="008B183D"/>
    <w:rsid w:val="008B57CE"/>
    <w:rsid w:val="008B5A97"/>
    <w:rsid w:val="008B5C0A"/>
    <w:rsid w:val="008B659F"/>
    <w:rsid w:val="008B6C83"/>
    <w:rsid w:val="008C14C6"/>
    <w:rsid w:val="008C1B45"/>
    <w:rsid w:val="008C26DE"/>
    <w:rsid w:val="008C2F3E"/>
    <w:rsid w:val="008C4DED"/>
    <w:rsid w:val="008C5B11"/>
    <w:rsid w:val="008C6B73"/>
    <w:rsid w:val="008D0DC0"/>
    <w:rsid w:val="008D1C79"/>
    <w:rsid w:val="008D204B"/>
    <w:rsid w:val="008D2225"/>
    <w:rsid w:val="008D225F"/>
    <w:rsid w:val="008D317E"/>
    <w:rsid w:val="008D4752"/>
    <w:rsid w:val="008D552A"/>
    <w:rsid w:val="008D6E96"/>
    <w:rsid w:val="008E179B"/>
    <w:rsid w:val="008E271C"/>
    <w:rsid w:val="008E2B50"/>
    <w:rsid w:val="008E3725"/>
    <w:rsid w:val="008E418E"/>
    <w:rsid w:val="008E4A4B"/>
    <w:rsid w:val="008E4BFB"/>
    <w:rsid w:val="008E5BC6"/>
    <w:rsid w:val="008E5ED1"/>
    <w:rsid w:val="008E6A25"/>
    <w:rsid w:val="008E6B06"/>
    <w:rsid w:val="008F04DF"/>
    <w:rsid w:val="008F08EA"/>
    <w:rsid w:val="008F2993"/>
    <w:rsid w:val="008F2E03"/>
    <w:rsid w:val="008F3567"/>
    <w:rsid w:val="008F5193"/>
    <w:rsid w:val="008F5A84"/>
    <w:rsid w:val="008F5F35"/>
    <w:rsid w:val="008F6975"/>
    <w:rsid w:val="008F7C18"/>
    <w:rsid w:val="009013A7"/>
    <w:rsid w:val="009017FB"/>
    <w:rsid w:val="009017FC"/>
    <w:rsid w:val="009027B7"/>
    <w:rsid w:val="0090345E"/>
    <w:rsid w:val="00903B43"/>
    <w:rsid w:val="0090506B"/>
    <w:rsid w:val="009050C9"/>
    <w:rsid w:val="00905EEF"/>
    <w:rsid w:val="00906285"/>
    <w:rsid w:val="00906492"/>
    <w:rsid w:val="009066FC"/>
    <w:rsid w:val="00907B0E"/>
    <w:rsid w:val="00911A87"/>
    <w:rsid w:val="009140A3"/>
    <w:rsid w:val="0091426A"/>
    <w:rsid w:val="009144A2"/>
    <w:rsid w:val="0091510C"/>
    <w:rsid w:val="0091571F"/>
    <w:rsid w:val="00915747"/>
    <w:rsid w:val="00915B29"/>
    <w:rsid w:val="009207EA"/>
    <w:rsid w:val="00921069"/>
    <w:rsid w:val="00921C1F"/>
    <w:rsid w:val="00922674"/>
    <w:rsid w:val="00922D39"/>
    <w:rsid w:val="009239A8"/>
    <w:rsid w:val="00924E6C"/>
    <w:rsid w:val="009259AC"/>
    <w:rsid w:val="00925CEC"/>
    <w:rsid w:val="009269A0"/>
    <w:rsid w:val="00926F38"/>
    <w:rsid w:val="00927144"/>
    <w:rsid w:val="00927B4F"/>
    <w:rsid w:val="00930252"/>
    <w:rsid w:val="00931D25"/>
    <w:rsid w:val="00932184"/>
    <w:rsid w:val="00932823"/>
    <w:rsid w:val="00933779"/>
    <w:rsid w:val="00934301"/>
    <w:rsid w:val="00936B38"/>
    <w:rsid w:val="00936CD1"/>
    <w:rsid w:val="00936EEB"/>
    <w:rsid w:val="0094140A"/>
    <w:rsid w:val="009414F8"/>
    <w:rsid w:val="00941747"/>
    <w:rsid w:val="00941EFB"/>
    <w:rsid w:val="00941FB9"/>
    <w:rsid w:val="00941FDE"/>
    <w:rsid w:val="009443F7"/>
    <w:rsid w:val="00944430"/>
    <w:rsid w:val="00944706"/>
    <w:rsid w:val="00944A28"/>
    <w:rsid w:val="009467EA"/>
    <w:rsid w:val="0094774D"/>
    <w:rsid w:val="00947AFB"/>
    <w:rsid w:val="009510C1"/>
    <w:rsid w:val="00951D7D"/>
    <w:rsid w:val="00952C12"/>
    <w:rsid w:val="009540A1"/>
    <w:rsid w:val="00955B41"/>
    <w:rsid w:val="00955F23"/>
    <w:rsid w:val="00957D77"/>
    <w:rsid w:val="00961307"/>
    <w:rsid w:val="00962B06"/>
    <w:rsid w:val="009630C7"/>
    <w:rsid w:val="00963283"/>
    <w:rsid w:val="009634A4"/>
    <w:rsid w:val="00964A10"/>
    <w:rsid w:val="009655BA"/>
    <w:rsid w:val="009658D7"/>
    <w:rsid w:val="00966403"/>
    <w:rsid w:val="00971872"/>
    <w:rsid w:val="00972B55"/>
    <w:rsid w:val="00973222"/>
    <w:rsid w:val="0097380F"/>
    <w:rsid w:val="009741E6"/>
    <w:rsid w:val="009743B7"/>
    <w:rsid w:val="00975E0E"/>
    <w:rsid w:val="00980277"/>
    <w:rsid w:val="009804F4"/>
    <w:rsid w:val="00980DBE"/>
    <w:rsid w:val="00980F6C"/>
    <w:rsid w:val="009812E0"/>
    <w:rsid w:val="0098228B"/>
    <w:rsid w:val="009825B2"/>
    <w:rsid w:val="009828DA"/>
    <w:rsid w:val="00985BAB"/>
    <w:rsid w:val="00985D4C"/>
    <w:rsid w:val="0098759B"/>
    <w:rsid w:val="009901AB"/>
    <w:rsid w:val="009921AF"/>
    <w:rsid w:val="00994B91"/>
    <w:rsid w:val="009964E0"/>
    <w:rsid w:val="009969CC"/>
    <w:rsid w:val="00996F4C"/>
    <w:rsid w:val="00997F03"/>
    <w:rsid w:val="009A0B63"/>
    <w:rsid w:val="009A1295"/>
    <w:rsid w:val="009A4684"/>
    <w:rsid w:val="009A46DF"/>
    <w:rsid w:val="009A4D50"/>
    <w:rsid w:val="009B0011"/>
    <w:rsid w:val="009B11C5"/>
    <w:rsid w:val="009B1694"/>
    <w:rsid w:val="009B1B5F"/>
    <w:rsid w:val="009B2EC2"/>
    <w:rsid w:val="009B3E3F"/>
    <w:rsid w:val="009B5556"/>
    <w:rsid w:val="009B6620"/>
    <w:rsid w:val="009B6673"/>
    <w:rsid w:val="009B6AFE"/>
    <w:rsid w:val="009C0158"/>
    <w:rsid w:val="009C151C"/>
    <w:rsid w:val="009C191B"/>
    <w:rsid w:val="009C1E11"/>
    <w:rsid w:val="009C1EEC"/>
    <w:rsid w:val="009C2BD6"/>
    <w:rsid w:val="009C34CF"/>
    <w:rsid w:val="009C35B7"/>
    <w:rsid w:val="009C4216"/>
    <w:rsid w:val="009C43B5"/>
    <w:rsid w:val="009C590D"/>
    <w:rsid w:val="009C6DE1"/>
    <w:rsid w:val="009C6FF6"/>
    <w:rsid w:val="009C7A6F"/>
    <w:rsid w:val="009D0CCE"/>
    <w:rsid w:val="009D1FA6"/>
    <w:rsid w:val="009D29AB"/>
    <w:rsid w:val="009D4765"/>
    <w:rsid w:val="009D6108"/>
    <w:rsid w:val="009D7301"/>
    <w:rsid w:val="009D77D1"/>
    <w:rsid w:val="009E044E"/>
    <w:rsid w:val="009E1F32"/>
    <w:rsid w:val="009E34DF"/>
    <w:rsid w:val="009E456D"/>
    <w:rsid w:val="009E4F93"/>
    <w:rsid w:val="009E5829"/>
    <w:rsid w:val="009E5DE4"/>
    <w:rsid w:val="009E66AE"/>
    <w:rsid w:val="009E6C3A"/>
    <w:rsid w:val="009E776C"/>
    <w:rsid w:val="009E7ABD"/>
    <w:rsid w:val="009F0F91"/>
    <w:rsid w:val="009F4C05"/>
    <w:rsid w:val="009F6BD9"/>
    <w:rsid w:val="009F6DAF"/>
    <w:rsid w:val="00A00FB3"/>
    <w:rsid w:val="00A02600"/>
    <w:rsid w:val="00A02BD1"/>
    <w:rsid w:val="00A04F70"/>
    <w:rsid w:val="00A050BD"/>
    <w:rsid w:val="00A051E0"/>
    <w:rsid w:val="00A055D8"/>
    <w:rsid w:val="00A05911"/>
    <w:rsid w:val="00A071A2"/>
    <w:rsid w:val="00A130B4"/>
    <w:rsid w:val="00A133B0"/>
    <w:rsid w:val="00A13576"/>
    <w:rsid w:val="00A1726E"/>
    <w:rsid w:val="00A17C27"/>
    <w:rsid w:val="00A204CF"/>
    <w:rsid w:val="00A20F77"/>
    <w:rsid w:val="00A228C3"/>
    <w:rsid w:val="00A22A2B"/>
    <w:rsid w:val="00A23293"/>
    <w:rsid w:val="00A23990"/>
    <w:rsid w:val="00A23D49"/>
    <w:rsid w:val="00A24E09"/>
    <w:rsid w:val="00A27004"/>
    <w:rsid w:val="00A30C29"/>
    <w:rsid w:val="00A32994"/>
    <w:rsid w:val="00A33119"/>
    <w:rsid w:val="00A339E0"/>
    <w:rsid w:val="00A34DD6"/>
    <w:rsid w:val="00A36819"/>
    <w:rsid w:val="00A36989"/>
    <w:rsid w:val="00A371F8"/>
    <w:rsid w:val="00A42D11"/>
    <w:rsid w:val="00A43628"/>
    <w:rsid w:val="00A43D2D"/>
    <w:rsid w:val="00A44391"/>
    <w:rsid w:val="00A47326"/>
    <w:rsid w:val="00A5224B"/>
    <w:rsid w:val="00A52B75"/>
    <w:rsid w:val="00A53D73"/>
    <w:rsid w:val="00A54192"/>
    <w:rsid w:val="00A57C98"/>
    <w:rsid w:val="00A6035E"/>
    <w:rsid w:val="00A6144C"/>
    <w:rsid w:val="00A61D25"/>
    <w:rsid w:val="00A61E9E"/>
    <w:rsid w:val="00A66617"/>
    <w:rsid w:val="00A671F8"/>
    <w:rsid w:val="00A673A4"/>
    <w:rsid w:val="00A7036E"/>
    <w:rsid w:val="00A70B24"/>
    <w:rsid w:val="00A724AE"/>
    <w:rsid w:val="00A73329"/>
    <w:rsid w:val="00A759E1"/>
    <w:rsid w:val="00A75E18"/>
    <w:rsid w:val="00A76211"/>
    <w:rsid w:val="00A7664E"/>
    <w:rsid w:val="00A77ACC"/>
    <w:rsid w:val="00A80321"/>
    <w:rsid w:val="00A80745"/>
    <w:rsid w:val="00A81341"/>
    <w:rsid w:val="00A82040"/>
    <w:rsid w:val="00A82359"/>
    <w:rsid w:val="00A82615"/>
    <w:rsid w:val="00A82CA8"/>
    <w:rsid w:val="00A83F5A"/>
    <w:rsid w:val="00A865D2"/>
    <w:rsid w:val="00A86831"/>
    <w:rsid w:val="00A87637"/>
    <w:rsid w:val="00A919D9"/>
    <w:rsid w:val="00A926BC"/>
    <w:rsid w:val="00A933FD"/>
    <w:rsid w:val="00A93911"/>
    <w:rsid w:val="00A94C20"/>
    <w:rsid w:val="00A968B6"/>
    <w:rsid w:val="00A96ED6"/>
    <w:rsid w:val="00AA02FC"/>
    <w:rsid w:val="00AA05AE"/>
    <w:rsid w:val="00AA227F"/>
    <w:rsid w:val="00AA32B3"/>
    <w:rsid w:val="00AA3BC7"/>
    <w:rsid w:val="00AA49CD"/>
    <w:rsid w:val="00AA754A"/>
    <w:rsid w:val="00AB099E"/>
    <w:rsid w:val="00AB37C9"/>
    <w:rsid w:val="00AB4328"/>
    <w:rsid w:val="00AB5796"/>
    <w:rsid w:val="00AB57ED"/>
    <w:rsid w:val="00AB5FA0"/>
    <w:rsid w:val="00AB6F8C"/>
    <w:rsid w:val="00AC03B2"/>
    <w:rsid w:val="00AC07C0"/>
    <w:rsid w:val="00AC3324"/>
    <w:rsid w:val="00AC681D"/>
    <w:rsid w:val="00AC69D4"/>
    <w:rsid w:val="00AD0CC6"/>
    <w:rsid w:val="00AD10A4"/>
    <w:rsid w:val="00AD2561"/>
    <w:rsid w:val="00AD49D8"/>
    <w:rsid w:val="00AD49FA"/>
    <w:rsid w:val="00AD5985"/>
    <w:rsid w:val="00AD63A9"/>
    <w:rsid w:val="00AD6801"/>
    <w:rsid w:val="00AD7095"/>
    <w:rsid w:val="00AE0594"/>
    <w:rsid w:val="00AE0A2E"/>
    <w:rsid w:val="00AE1059"/>
    <w:rsid w:val="00AE12C8"/>
    <w:rsid w:val="00AE1D37"/>
    <w:rsid w:val="00AE354C"/>
    <w:rsid w:val="00AE5B2B"/>
    <w:rsid w:val="00AE5C0D"/>
    <w:rsid w:val="00AE5C14"/>
    <w:rsid w:val="00AE640C"/>
    <w:rsid w:val="00AE670A"/>
    <w:rsid w:val="00AE6B9D"/>
    <w:rsid w:val="00AE7799"/>
    <w:rsid w:val="00AF0C8F"/>
    <w:rsid w:val="00AF114D"/>
    <w:rsid w:val="00AF164D"/>
    <w:rsid w:val="00AF1E85"/>
    <w:rsid w:val="00AF4921"/>
    <w:rsid w:val="00AF4AC7"/>
    <w:rsid w:val="00AF4B07"/>
    <w:rsid w:val="00AF60E6"/>
    <w:rsid w:val="00AF6186"/>
    <w:rsid w:val="00AF6192"/>
    <w:rsid w:val="00AF7A3A"/>
    <w:rsid w:val="00AF7D9A"/>
    <w:rsid w:val="00B00168"/>
    <w:rsid w:val="00B0568C"/>
    <w:rsid w:val="00B07172"/>
    <w:rsid w:val="00B108E3"/>
    <w:rsid w:val="00B123D5"/>
    <w:rsid w:val="00B160DB"/>
    <w:rsid w:val="00B16313"/>
    <w:rsid w:val="00B1644C"/>
    <w:rsid w:val="00B1767C"/>
    <w:rsid w:val="00B17B93"/>
    <w:rsid w:val="00B20836"/>
    <w:rsid w:val="00B20DCB"/>
    <w:rsid w:val="00B2104F"/>
    <w:rsid w:val="00B22F31"/>
    <w:rsid w:val="00B235BB"/>
    <w:rsid w:val="00B24444"/>
    <w:rsid w:val="00B24639"/>
    <w:rsid w:val="00B25EDE"/>
    <w:rsid w:val="00B279A7"/>
    <w:rsid w:val="00B27A44"/>
    <w:rsid w:val="00B30897"/>
    <w:rsid w:val="00B30BBF"/>
    <w:rsid w:val="00B32BB9"/>
    <w:rsid w:val="00B33C03"/>
    <w:rsid w:val="00B357E9"/>
    <w:rsid w:val="00B42DF6"/>
    <w:rsid w:val="00B4335B"/>
    <w:rsid w:val="00B44E56"/>
    <w:rsid w:val="00B45CE0"/>
    <w:rsid w:val="00B46543"/>
    <w:rsid w:val="00B46D09"/>
    <w:rsid w:val="00B4798E"/>
    <w:rsid w:val="00B47D33"/>
    <w:rsid w:val="00B52BE0"/>
    <w:rsid w:val="00B5329C"/>
    <w:rsid w:val="00B534C0"/>
    <w:rsid w:val="00B53E56"/>
    <w:rsid w:val="00B54133"/>
    <w:rsid w:val="00B55ECC"/>
    <w:rsid w:val="00B60D67"/>
    <w:rsid w:val="00B616C4"/>
    <w:rsid w:val="00B61CC9"/>
    <w:rsid w:val="00B624C1"/>
    <w:rsid w:val="00B6268C"/>
    <w:rsid w:val="00B637B9"/>
    <w:rsid w:val="00B63B02"/>
    <w:rsid w:val="00B65EA0"/>
    <w:rsid w:val="00B701ED"/>
    <w:rsid w:val="00B7124A"/>
    <w:rsid w:val="00B74344"/>
    <w:rsid w:val="00B74F61"/>
    <w:rsid w:val="00B7516D"/>
    <w:rsid w:val="00B7560D"/>
    <w:rsid w:val="00B76263"/>
    <w:rsid w:val="00B76F9D"/>
    <w:rsid w:val="00B8086C"/>
    <w:rsid w:val="00B811A1"/>
    <w:rsid w:val="00B8190C"/>
    <w:rsid w:val="00B82ABA"/>
    <w:rsid w:val="00B830BC"/>
    <w:rsid w:val="00B839F0"/>
    <w:rsid w:val="00B85277"/>
    <w:rsid w:val="00B85F12"/>
    <w:rsid w:val="00B860C6"/>
    <w:rsid w:val="00B861B4"/>
    <w:rsid w:val="00B86DFE"/>
    <w:rsid w:val="00B90367"/>
    <w:rsid w:val="00B90990"/>
    <w:rsid w:val="00B90FD4"/>
    <w:rsid w:val="00B91D06"/>
    <w:rsid w:val="00B922FF"/>
    <w:rsid w:val="00B92491"/>
    <w:rsid w:val="00B926F0"/>
    <w:rsid w:val="00B9281E"/>
    <w:rsid w:val="00B928F3"/>
    <w:rsid w:val="00B93925"/>
    <w:rsid w:val="00B943EB"/>
    <w:rsid w:val="00B95187"/>
    <w:rsid w:val="00BA07EB"/>
    <w:rsid w:val="00BA17F2"/>
    <w:rsid w:val="00BA2182"/>
    <w:rsid w:val="00BA2D55"/>
    <w:rsid w:val="00BA2F11"/>
    <w:rsid w:val="00BA4D18"/>
    <w:rsid w:val="00BA4E8E"/>
    <w:rsid w:val="00BA5229"/>
    <w:rsid w:val="00BA5660"/>
    <w:rsid w:val="00BA5B0E"/>
    <w:rsid w:val="00BA6E97"/>
    <w:rsid w:val="00BA71B1"/>
    <w:rsid w:val="00BA7BEB"/>
    <w:rsid w:val="00BB0637"/>
    <w:rsid w:val="00BB10FB"/>
    <w:rsid w:val="00BB345F"/>
    <w:rsid w:val="00BB4172"/>
    <w:rsid w:val="00BB4273"/>
    <w:rsid w:val="00BB4DEA"/>
    <w:rsid w:val="00BB5883"/>
    <w:rsid w:val="00BB65E2"/>
    <w:rsid w:val="00BB68EA"/>
    <w:rsid w:val="00BC10FA"/>
    <w:rsid w:val="00BC1C27"/>
    <w:rsid w:val="00BC2D46"/>
    <w:rsid w:val="00BC63DB"/>
    <w:rsid w:val="00BC6BBF"/>
    <w:rsid w:val="00BC7FF7"/>
    <w:rsid w:val="00BD099D"/>
    <w:rsid w:val="00BD1572"/>
    <w:rsid w:val="00BD19A0"/>
    <w:rsid w:val="00BD1C1E"/>
    <w:rsid w:val="00BD235C"/>
    <w:rsid w:val="00BD25BC"/>
    <w:rsid w:val="00BD2648"/>
    <w:rsid w:val="00BD542D"/>
    <w:rsid w:val="00BE14E3"/>
    <w:rsid w:val="00BE18AB"/>
    <w:rsid w:val="00BE3774"/>
    <w:rsid w:val="00BE41E5"/>
    <w:rsid w:val="00BE43A3"/>
    <w:rsid w:val="00BE6803"/>
    <w:rsid w:val="00BE7442"/>
    <w:rsid w:val="00BF0BBB"/>
    <w:rsid w:val="00BF2039"/>
    <w:rsid w:val="00BF2241"/>
    <w:rsid w:val="00BF2443"/>
    <w:rsid w:val="00BF4109"/>
    <w:rsid w:val="00BF49CE"/>
    <w:rsid w:val="00BF4CC3"/>
    <w:rsid w:val="00C003BA"/>
    <w:rsid w:val="00C01D8C"/>
    <w:rsid w:val="00C03104"/>
    <w:rsid w:val="00C0327A"/>
    <w:rsid w:val="00C04773"/>
    <w:rsid w:val="00C054C7"/>
    <w:rsid w:val="00C057B5"/>
    <w:rsid w:val="00C05BC9"/>
    <w:rsid w:val="00C061CE"/>
    <w:rsid w:val="00C0678B"/>
    <w:rsid w:val="00C07CA0"/>
    <w:rsid w:val="00C100FA"/>
    <w:rsid w:val="00C12008"/>
    <w:rsid w:val="00C123C0"/>
    <w:rsid w:val="00C1346C"/>
    <w:rsid w:val="00C13853"/>
    <w:rsid w:val="00C14D4D"/>
    <w:rsid w:val="00C16362"/>
    <w:rsid w:val="00C17EFB"/>
    <w:rsid w:val="00C212B9"/>
    <w:rsid w:val="00C22074"/>
    <w:rsid w:val="00C22687"/>
    <w:rsid w:val="00C227EC"/>
    <w:rsid w:val="00C23534"/>
    <w:rsid w:val="00C24C88"/>
    <w:rsid w:val="00C256E8"/>
    <w:rsid w:val="00C25FB3"/>
    <w:rsid w:val="00C32E4D"/>
    <w:rsid w:val="00C333A0"/>
    <w:rsid w:val="00C34C78"/>
    <w:rsid w:val="00C35FB4"/>
    <w:rsid w:val="00C36136"/>
    <w:rsid w:val="00C36A81"/>
    <w:rsid w:val="00C36ECB"/>
    <w:rsid w:val="00C41974"/>
    <w:rsid w:val="00C423BF"/>
    <w:rsid w:val="00C42B0E"/>
    <w:rsid w:val="00C443D8"/>
    <w:rsid w:val="00C447AD"/>
    <w:rsid w:val="00C46E17"/>
    <w:rsid w:val="00C47CAD"/>
    <w:rsid w:val="00C50930"/>
    <w:rsid w:val="00C52475"/>
    <w:rsid w:val="00C53F4A"/>
    <w:rsid w:val="00C54125"/>
    <w:rsid w:val="00C55B54"/>
    <w:rsid w:val="00C562B5"/>
    <w:rsid w:val="00C56EF9"/>
    <w:rsid w:val="00C6098E"/>
    <w:rsid w:val="00C6152C"/>
    <w:rsid w:val="00C61722"/>
    <w:rsid w:val="00C621C2"/>
    <w:rsid w:val="00C654FD"/>
    <w:rsid w:val="00C67088"/>
    <w:rsid w:val="00C70016"/>
    <w:rsid w:val="00C71E24"/>
    <w:rsid w:val="00C72004"/>
    <w:rsid w:val="00C73589"/>
    <w:rsid w:val="00C74810"/>
    <w:rsid w:val="00C765E0"/>
    <w:rsid w:val="00C80FBF"/>
    <w:rsid w:val="00C814AB"/>
    <w:rsid w:val="00C82A2C"/>
    <w:rsid w:val="00C839E1"/>
    <w:rsid w:val="00C84AF1"/>
    <w:rsid w:val="00C86325"/>
    <w:rsid w:val="00C90D68"/>
    <w:rsid w:val="00C9152E"/>
    <w:rsid w:val="00C915FB"/>
    <w:rsid w:val="00C939FE"/>
    <w:rsid w:val="00C94704"/>
    <w:rsid w:val="00C97CD5"/>
    <w:rsid w:val="00CA181E"/>
    <w:rsid w:val="00CA3144"/>
    <w:rsid w:val="00CA3630"/>
    <w:rsid w:val="00CA407E"/>
    <w:rsid w:val="00CA4939"/>
    <w:rsid w:val="00CA4BDA"/>
    <w:rsid w:val="00CA6340"/>
    <w:rsid w:val="00CA68A1"/>
    <w:rsid w:val="00CA78F2"/>
    <w:rsid w:val="00CB1F66"/>
    <w:rsid w:val="00CB2951"/>
    <w:rsid w:val="00CB47E7"/>
    <w:rsid w:val="00CB57CF"/>
    <w:rsid w:val="00CC0C17"/>
    <w:rsid w:val="00CC3109"/>
    <w:rsid w:val="00CC3721"/>
    <w:rsid w:val="00CC68C8"/>
    <w:rsid w:val="00CD10D5"/>
    <w:rsid w:val="00CD22EC"/>
    <w:rsid w:val="00CD282B"/>
    <w:rsid w:val="00CD41BD"/>
    <w:rsid w:val="00CD4595"/>
    <w:rsid w:val="00CD49FF"/>
    <w:rsid w:val="00CD4C35"/>
    <w:rsid w:val="00CD60BF"/>
    <w:rsid w:val="00CD6492"/>
    <w:rsid w:val="00CD6EC8"/>
    <w:rsid w:val="00CD7369"/>
    <w:rsid w:val="00CE0B0E"/>
    <w:rsid w:val="00CE113B"/>
    <w:rsid w:val="00CE1C27"/>
    <w:rsid w:val="00CE1F6F"/>
    <w:rsid w:val="00CE26DD"/>
    <w:rsid w:val="00CE2DAB"/>
    <w:rsid w:val="00CE2F1E"/>
    <w:rsid w:val="00CE3831"/>
    <w:rsid w:val="00CE3F3B"/>
    <w:rsid w:val="00CE506E"/>
    <w:rsid w:val="00CE74AC"/>
    <w:rsid w:val="00CF22F7"/>
    <w:rsid w:val="00CF2DB5"/>
    <w:rsid w:val="00CF708F"/>
    <w:rsid w:val="00CF7F94"/>
    <w:rsid w:val="00D0097F"/>
    <w:rsid w:val="00D00ABB"/>
    <w:rsid w:val="00D00F07"/>
    <w:rsid w:val="00D0163B"/>
    <w:rsid w:val="00D02EEC"/>
    <w:rsid w:val="00D03551"/>
    <w:rsid w:val="00D03A23"/>
    <w:rsid w:val="00D05475"/>
    <w:rsid w:val="00D0562B"/>
    <w:rsid w:val="00D058A4"/>
    <w:rsid w:val="00D06119"/>
    <w:rsid w:val="00D06A63"/>
    <w:rsid w:val="00D079D3"/>
    <w:rsid w:val="00D07E0E"/>
    <w:rsid w:val="00D1088F"/>
    <w:rsid w:val="00D11478"/>
    <w:rsid w:val="00D12956"/>
    <w:rsid w:val="00D14C5D"/>
    <w:rsid w:val="00D14DEF"/>
    <w:rsid w:val="00D15ED0"/>
    <w:rsid w:val="00D17977"/>
    <w:rsid w:val="00D21B3E"/>
    <w:rsid w:val="00D21FED"/>
    <w:rsid w:val="00D239AE"/>
    <w:rsid w:val="00D24251"/>
    <w:rsid w:val="00D27B54"/>
    <w:rsid w:val="00D27FDE"/>
    <w:rsid w:val="00D31B4C"/>
    <w:rsid w:val="00D31D3F"/>
    <w:rsid w:val="00D343E2"/>
    <w:rsid w:val="00D35816"/>
    <w:rsid w:val="00D35C8E"/>
    <w:rsid w:val="00D35F27"/>
    <w:rsid w:val="00D361A2"/>
    <w:rsid w:val="00D36D41"/>
    <w:rsid w:val="00D3764B"/>
    <w:rsid w:val="00D4160F"/>
    <w:rsid w:val="00D42670"/>
    <w:rsid w:val="00D44245"/>
    <w:rsid w:val="00D4489F"/>
    <w:rsid w:val="00D44C2E"/>
    <w:rsid w:val="00D45414"/>
    <w:rsid w:val="00D45FC3"/>
    <w:rsid w:val="00D46EFD"/>
    <w:rsid w:val="00D47CBE"/>
    <w:rsid w:val="00D50B95"/>
    <w:rsid w:val="00D5124F"/>
    <w:rsid w:val="00D5161B"/>
    <w:rsid w:val="00D51A7A"/>
    <w:rsid w:val="00D52EE8"/>
    <w:rsid w:val="00D53C0F"/>
    <w:rsid w:val="00D54CA2"/>
    <w:rsid w:val="00D54F0C"/>
    <w:rsid w:val="00D566BD"/>
    <w:rsid w:val="00D56744"/>
    <w:rsid w:val="00D5714F"/>
    <w:rsid w:val="00D57A4D"/>
    <w:rsid w:val="00D60AA7"/>
    <w:rsid w:val="00D60D87"/>
    <w:rsid w:val="00D63A80"/>
    <w:rsid w:val="00D63AFD"/>
    <w:rsid w:val="00D6435F"/>
    <w:rsid w:val="00D643A8"/>
    <w:rsid w:val="00D65A25"/>
    <w:rsid w:val="00D65F1A"/>
    <w:rsid w:val="00D6657A"/>
    <w:rsid w:val="00D66835"/>
    <w:rsid w:val="00D6684D"/>
    <w:rsid w:val="00D66946"/>
    <w:rsid w:val="00D67908"/>
    <w:rsid w:val="00D718BF"/>
    <w:rsid w:val="00D72BCA"/>
    <w:rsid w:val="00D73029"/>
    <w:rsid w:val="00D75E28"/>
    <w:rsid w:val="00D76A5C"/>
    <w:rsid w:val="00D76D46"/>
    <w:rsid w:val="00D772C2"/>
    <w:rsid w:val="00D779F0"/>
    <w:rsid w:val="00D8008E"/>
    <w:rsid w:val="00D8136D"/>
    <w:rsid w:val="00D81A0A"/>
    <w:rsid w:val="00D81D17"/>
    <w:rsid w:val="00D81D8C"/>
    <w:rsid w:val="00D81F92"/>
    <w:rsid w:val="00D82053"/>
    <w:rsid w:val="00D82C45"/>
    <w:rsid w:val="00D835EA"/>
    <w:rsid w:val="00D85CE6"/>
    <w:rsid w:val="00D90083"/>
    <w:rsid w:val="00D908A8"/>
    <w:rsid w:val="00D90EC7"/>
    <w:rsid w:val="00D92458"/>
    <w:rsid w:val="00D97377"/>
    <w:rsid w:val="00D975FB"/>
    <w:rsid w:val="00D977B6"/>
    <w:rsid w:val="00DA19DB"/>
    <w:rsid w:val="00DA32E3"/>
    <w:rsid w:val="00DA4A31"/>
    <w:rsid w:val="00DA61F2"/>
    <w:rsid w:val="00DA71C3"/>
    <w:rsid w:val="00DA7B04"/>
    <w:rsid w:val="00DB03F2"/>
    <w:rsid w:val="00DB0C71"/>
    <w:rsid w:val="00DB17B3"/>
    <w:rsid w:val="00DB1E0F"/>
    <w:rsid w:val="00DB2B2C"/>
    <w:rsid w:val="00DB36C2"/>
    <w:rsid w:val="00DB3A38"/>
    <w:rsid w:val="00DB409D"/>
    <w:rsid w:val="00DB498D"/>
    <w:rsid w:val="00DB52AC"/>
    <w:rsid w:val="00DB5816"/>
    <w:rsid w:val="00DB5997"/>
    <w:rsid w:val="00DB7196"/>
    <w:rsid w:val="00DC0495"/>
    <w:rsid w:val="00DC11E2"/>
    <w:rsid w:val="00DC169B"/>
    <w:rsid w:val="00DC1FD1"/>
    <w:rsid w:val="00DC2AB9"/>
    <w:rsid w:val="00DC4613"/>
    <w:rsid w:val="00DC5483"/>
    <w:rsid w:val="00DC63F0"/>
    <w:rsid w:val="00DC7A03"/>
    <w:rsid w:val="00DD216E"/>
    <w:rsid w:val="00DD2ADC"/>
    <w:rsid w:val="00DD6583"/>
    <w:rsid w:val="00DD6919"/>
    <w:rsid w:val="00DD6EE5"/>
    <w:rsid w:val="00DD722E"/>
    <w:rsid w:val="00DE08B5"/>
    <w:rsid w:val="00DE0E08"/>
    <w:rsid w:val="00DE1B8E"/>
    <w:rsid w:val="00DE2B80"/>
    <w:rsid w:val="00DE3349"/>
    <w:rsid w:val="00DE386C"/>
    <w:rsid w:val="00DE394B"/>
    <w:rsid w:val="00DE4D35"/>
    <w:rsid w:val="00DE50F6"/>
    <w:rsid w:val="00DE5917"/>
    <w:rsid w:val="00DF0549"/>
    <w:rsid w:val="00DF098B"/>
    <w:rsid w:val="00DF11C4"/>
    <w:rsid w:val="00DF1325"/>
    <w:rsid w:val="00DF210C"/>
    <w:rsid w:val="00DF3823"/>
    <w:rsid w:val="00DF4029"/>
    <w:rsid w:val="00DF495B"/>
    <w:rsid w:val="00DF4B6A"/>
    <w:rsid w:val="00DF6FED"/>
    <w:rsid w:val="00DF7BB5"/>
    <w:rsid w:val="00E0082C"/>
    <w:rsid w:val="00E00EF4"/>
    <w:rsid w:val="00E02A92"/>
    <w:rsid w:val="00E02C09"/>
    <w:rsid w:val="00E04004"/>
    <w:rsid w:val="00E042A6"/>
    <w:rsid w:val="00E04D59"/>
    <w:rsid w:val="00E04FC3"/>
    <w:rsid w:val="00E05A12"/>
    <w:rsid w:val="00E05B99"/>
    <w:rsid w:val="00E061E8"/>
    <w:rsid w:val="00E062E3"/>
    <w:rsid w:val="00E07DA1"/>
    <w:rsid w:val="00E07E95"/>
    <w:rsid w:val="00E122E1"/>
    <w:rsid w:val="00E123CB"/>
    <w:rsid w:val="00E13200"/>
    <w:rsid w:val="00E150A0"/>
    <w:rsid w:val="00E1557C"/>
    <w:rsid w:val="00E168B3"/>
    <w:rsid w:val="00E20E13"/>
    <w:rsid w:val="00E21745"/>
    <w:rsid w:val="00E21DBC"/>
    <w:rsid w:val="00E21FFF"/>
    <w:rsid w:val="00E23705"/>
    <w:rsid w:val="00E2428F"/>
    <w:rsid w:val="00E24E6F"/>
    <w:rsid w:val="00E25551"/>
    <w:rsid w:val="00E275D7"/>
    <w:rsid w:val="00E27DBE"/>
    <w:rsid w:val="00E3105F"/>
    <w:rsid w:val="00E3209C"/>
    <w:rsid w:val="00E3273C"/>
    <w:rsid w:val="00E32AB1"/>
    <w:rsid w:val="00E33314"/>
    <w:rsid w:val="00E342CE"/>
    <w:rsid w:val="00E3514B"/>
    <w:rsid w:val="00E36A14"/>
    <w:rsid w:val="00E36C71"/>
    <w:rsid w:val="00E36D69"/>
    <w:rsid w:val="00E40404"/>
    <w:rsid w:val="00E4133A"/>
    <w:rsid w:val="00E459C6"/>
    <w:rsid w:val="00E46F1E"/>
    <w:rsid w:val="00E47589"/>
    <w:rsid w:val="00E51759"/>
    <w:rsid w:val="00E5309F"/>
    <w:rsid w:val="00E550F2"/>
    <w:rsid w:val="00E55514"/>
    <w:rsid w:val="00E57428"/>
    <w:rsid w:val="00E6050A"/>
    <w:rsid w:val="00E636AC"/>
    <w:rsid w:val="00E640FE"/>
    <w:rsid w:val="00E64915"/>
    <w:rsid w:val="00E64D22"/>
    <w:rsid w:val="00E661D4"/>
    <w:rsid w:val="00E67236"/>
    <w:rsid w:val="00E70091"/>
    <w:rsid w:val="00E7062F"/>
    <w:rsid w:val="00E70778"/>
    <w:rsid w:val="00E71B8B"/>
    <w:rsid w:val="00E720F5"/>
    <w:rsid w:val="00E721A7"/>
    <w:rsid w:val="00E73061"/>
    <w:rsid w:val="00E73699"/>
    <w:rsid w:val="00E75DA5"/>
    <w:rsid w:val="00E7635D"/>
    <w:rsid w:val="00E76661"/>
    <w:rsid w:val="00E76AB8"/>
    <w:rsid w:val="00E76B37"/>
    <w:rsid w:val="00E76D47"/>
    <w:rsid w:val="00E849F7"/>
    <w:rsid w:val="00E84A5D"/>
    <w:rsid w:val="00E85423"/>
    <w:rsid w:val="00E85610"/>
    <w:rsid w:val="00E86A37"/>
    <w:rsid w:val="00E87189"/>
    <w:rsid w:val="00E90302"/>
    <w:rsid w:val="00E91F82"/>
    <w:rsid w:val="00E9206A"/>
    <w:rsid w:val="00E9323C"/>
    <w:rsid w:val="00E9390E"/>
    <w:rsid w:val="00E93F28"/>
    <w:rsid w:val="00E942BA"/>
    <w:rsid w:val="00E94AE6"/>
    <w:rsid w:val="00E94DF8"/>
    <w:rsid w:val="00E94F76"/>
    <w:rsid w:val="00E95950"/>
    <w:rsid w:val="00E9597F"/>
    <w:rsid w:val="00E9692B"/>
    <w:rsid w:val="00E97095"/>
    <w:rsid w:val="00E97262"/>
    <w:rsid w:val="00E97396"/>
    <w:rsid w:val="00EA185E"/>
    <w:rsid w:val="00EA2044"/>
    <w:rsid w:val="00EA2105"/>
    <w:rsid w:val="00EA40E7"/>
    <w:rsid w:val="00EA592A"/>
    <w:rsid w:val="00EA6B2A"/>
    <w:rsid w:val="00EA71AA"/>
    <w:rsid w:val="00EA737F"/>
    <w:rsid w:val="00EB0CC8"/>
    <w:rsid w:val="00EB14E4"/>
    <w:rsid w:val="00EB245F"/>
    <w:rsid w:val="00EB32A5"/>
    <w:rsid w:val="00EB34ED"/>
    <w:rsid w:val="00EB4A65"/>
    <w:rsid w:val="00EB5CF5"/>
    <w:rsid w:val="00EB689F"/>
    <w:rsid w:val="00EB6BD0"/>
    <w:rsid w:val="00EB7BE0"/>
    <w:rsid w:val="00EC0F23"/>
    <w:rsid w:val="00EC2293"/>
    <w:rsid w:val="00EC27EE"/>
    <w:rsid w:val="00EC2CA0"/>
    <w:rsid w:val="00EC315E"/>
    <w:rsid w:val="00EC3D83"/>
    <w:rsid w:val="00EC5E9A"/>
    <w:rsid w:val="00EC67EC"/>
    <w:rsid w:val="00EC6FE3"/>
    <w:rsid w:val="00EC763A"/>
    <w:rsid w:val="00ED077C"/>
    <w:rsid w:val="00ED1190"/>
    <w:rsid w:val="00ED1C13"/>
    <w:rsid w:val="00ED3527"/>
    <w:rsid w:val="00ED41BC"/>
    <w:rsid w:val="00ED5DD4"/>
    <w:rsid w:val="00ED6544"/>
    <w:rsid w:val="00ED65A2"/>
    <w:rsid w:val="00EE0277"/>
    <w:rsid w:val="00EE0EC5"/>
    <w:rsid w:val="00EE1DA9"/>
    <w:rsid w:val="00EE2E05"/>
    <w:rsid w:val="00EE3749"/>
    <w:rsid w:val="00EE3E00"/>
    <w:rsid w:val="00EE405C"/>
    <w:rsid w:val="00EE5DD2"/>
    <w:rsid w:val="00EE6CB1"/>
    <w:rsid w:val="00EF0073"/>
    <w:rsid w:val="00EF05D2"/>
    <w:rsid w:val="00EF14AD"/>
    <w:rsid w:val="00EF4167"/>
    <w:rsid w:val="00EF41F1"/>
    <w:rsid w:val="00EF476A"/>
    <w:rsid w:val="00EF4F08"/>
    <w:rsid w:val="00EF573B"/>
    <w:rsid w:val="00EF5F9C"/>
    <w:rsid w:val="00EF7BF0"/>
    <w:rsid w:val="00F0085F"/>
    <w:rsid w:val="00F00A79"/>
    <w:rsid w:val="00F00E86"/>
    <w:rsid w:val="00F00F8B"/>
    <w:rsid w:val="00F0114E"/>
    <w:rsid w:val="00F0249B"/>
    <w:rsid w:val="00F037E2"/>
    <w:rsid w:val="00F039AD"/>
    <w:rsid w:val="00F03ED4"/>
    <w:rsid w:val="00F0413F"/>
    <w:rsid w:val="00F0429B"/>
    <w:rsid w:val="00F04872"/>
    <w:rsid w:val="00F05B20"/>
    <w:rsid w:val="00F06B64"/>
    <w:rsid w:val="00F07555"/>
    <w:rsid w:val="00F07C1E"/>
    <w:rsid w:val="00F105DB"/>
    <w:rsid w:val="00F10FBB"/>
    <w:rsid w:val="00F1224D"/>
    <w:rsid w:val="00F132BC"/>
    <w:rsid w:val="00F13D80"/>
    <w:rsid w:val="00F14C0E"/>
    <w:rsid w:val="00F169A6"/>
    <w:rsid w:val="00F16AAA"/>
    <w:rsid w:val="00F20A31"/>
    <w:rsid w:val="00F20B63"/>
    <w:rsid w:val="00F21161"/>
    <w:rsid w:val="00F218EF"/>
    <w:rsid w:val="00F21BC7"/>
    <w:rsid w:val="00F21D47"/>
    <w:rsid w:val="00F2307A"/>
    <w:rsid w:val="00F266A2"/>
    <w:rsid w:val="00F32269"/>
    <w:rsid w:val="00F334B2"/>
    <w:rsid w:val="00F3367A"/>
    <w:rsid w:val="00F3368D"/>
    <w:rsid w:val="00F34D81"/>
    <w:rsid w:val="00F37F31"/>
    <w:rsid w:val="00F4180E"/>
    <w:rsid w:val="00F420C2"/>
    <w:rsid w:val="00F42905"/>
    <w:rsid w:val="00F42B57"/>
    <w:rsid w:val="00F43E9F"/>
    <w:rsid w:val="00F4422C"/>
    <w:rsid w:val="00F4457E"/>
    <w:rsid w:val="00F45BA0"/>
    <w:rsid w:val="00F47293"/>
    <w:rsid w:val="00F5150B"/>
    <w:rsid w:val="00F51DB3"/>
    <w:rsid w:val="00F53652"/>
    <w:rsid w:val="00F55D75"/>
    <w:rsid w:val="00F56A6F"/>
    <w:rsid w:val="00F56A71"/>
    <w:rsid w:val="00F5709C"/>
    <w:rsid w:val="00F574FA"/>
    <w:rsid w:val="00F577FB"/>
    <w:rsid w:val="00F61017"/>
    <w:rsid w:val="00F64EF1"/>
    <w:rsid w:val="00F6743D"/>
    <w:rsid w:val="00F70888"/>
    <w:rsid w:val="00F71381"/>
    <w:rsid w:val="00F73770"/>
    <w:rsid w:val="00F74574"/>
    <w:rsid w:val="00F7628C"/>
    <w:rsid w:val="00F80145"/>
    <w:rsid w:val="00F80376"/>
    <w:rsid w:val="00F80ADE"/>
    <w:rsid w:val="00F83A26"/>
    <w:rsid w:val="00F8541B"/>
    <w:rsid w:val="00F86983"/>
    <w:rsid w:val="00F86EBA"/>
    <w:rsid w:val="00F8752A"/>
    <w:rsid w:val="00F8765F"/>
    <w:rsid w:val="00F90767"/>
    <w:rsid w:val="00F90DD3"/>
    <w:rsid w:val="00F92DD7"/>
    <w:rsid w:val="00F9344D"/>
    <w:rsid w:val="00F93F04"/>
    <w:rsid w:val="00F943F1"/>
    <w:rsid w:val="00F95DD5"/>
    <w:rsid w:val="00F97C59"/>
    <w:rsid w:val="00FA23F0"/>
    <w:rsid w:val="00FA55DF"/>
    <w:rsid w:val="00FA685B"/>
    <w:rsid w:val="00FA6D4F"/>
    <w:rsid w:val="00FA7536"/>
    <w:rsid w:val="00FB0C01"/>
    <w:rsid w:val="00FB0F2C"/>
    <w:rsid w:val="00FB5895"/>
    <w:rsid w:val="00FB60DB"/>
    <w:rsid w:val="00FB679D"/>
    <w:rsid w:val="00FB69B4"/>
    <w:rsid w:val="00FC18F2"/>
    <w:rsid w:val="00FC2675"/>
    <w:rsid w:val="00FC39E5"/>
    <w:rsid w:val="00FC3A78"/>
    <w:rsid w:val="00FC4ED3"/>
    <w:rsid w:val="00FC5FFE"/>
    <w:rsid w:val="00FD1005"/>
    <w:rsid w:val="00FD1B76"/>
    <w:rsid w:val="00FD2486"/>
    <w:rsid w:val="00FD3180"/>
    <w:rsid w:val="00FD5BEF"/>
    <w:rsid w:val="00FD6C75"/>
    <w:rsid w:val="00FD713F"/>
    <w:rsid w:val="00FD71F2"/>
    <w:rsid w:val="00FD7D2C"/>
    <w:rsid w:val="00FE05E2"/>
    <w:rsid w:val="00FE2DD8"/>
    <w:rsid w:val="00FE5296"/>
    <w:rsid w:val="00FE5C6A"/>
    <w:rsid w:val="00FE71B3"/>
    <w:rsid w:val="00FE7806"/>
    <w:rsid w:val="00FF25B0"/>
    <w:rsid w:val="00FF29E6"/>
    <w:rsid w:val="00FF2AC9"/>
    <w:rsid w:val="00FF42C5"/>
    <w:rsid w:val="00FF4D0B"/>
    <w:rsid w:val="00FF556B"/>
    <w:rsid w:val="00FF6A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15F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957D3"/>
    <w:pPr>
      <w:jc w:val="both"/>
    </w:pPr>
    <w:rPr>
      <w:rFonts w:eastAsiaTheme="minorEastAsia"/>
      <w:sz w:val="24"/>
      <w:lang w:val="en-GB"/>
    </w:rPr>
  </w:style>
  <w:style w:type="paragraph" w:styleId="Nagwek1">
    <w:name w:val="heading 1"/>
    <w:basedOn w:val="Normalny"/>
    <w:next w:val="Normalny"/>
    <w:link w:val="Nagwek1Znak"/>
    <w:uiPriority w:val="99"/>
    <w:semiHidden/>
    <w:rsid w:val="000957D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957D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957D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957D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957D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957D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957D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957D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957D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957D3"/>
    <w:rPr>
      <w:rFonts w:ascii="Tahoma" w:hAnsi="Tahoma" w:cs="Tahoma"/>
      <w:sz w:val="16"/>
      <w:szCs w:val="16"/>
    </w:rPr>
  </w:style>
  <w:style w:type="character" w:customStyle="1" w:styleId="TekstdymkaZnak">
    <w:name w:val="Tekst dymka Znak"/>
    <w:basedOn w:val="Domylnaczcionkaakapitu"/>
    <w:link w:val="Tekstdymka"/>
    <w:uiPriority w:val="99"/>
    <w:semiHidden/>
    <w:rsid w:val="000957D3"/>
    <w:rPr>
      <w:rFonts w:ascii="Tahoma" w:eastAsiaTheme="minorEastAsia" w:hAnsi="Tahoma" w:cs="Tahoma"/>
      <w:sz w:val="16"/>
      <w:szCs w:val="16"/>
      <w:lang w:val="en-GB"/>
    </w:rPr>
  </w:style>
  <w:style w:type="character" w:styleId="Tytuksiki">
    <w:name w:val="Book Title"/>
    <w:uiPriority w:val="99"/>
    <w:semiHidden/>
    <w:qFormat/>
    <w:rsid w:val="000957D3"/>
    <w:rPr>
      <w:i/>
      <w:iCs/>
      <w:smallCaps/>
      <w:spacing w:val="5"/>
    </w:rPr>
  </w:style>
  <w:style w:type="paragraph" w:customStyle="1" w:styleId="ECHRHeader">
    <w:name w:val="ECHR_Header"/>
    <w:aliases w:val="Ju_Header"/>
    <w:basedOn w:val="Nagwek"/>
    <w:uiPriority w:val="4"/>
    <w:qFormat/>
    <w:rsid w:val="000957D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0957D3"/>
    <w:pPr>
      <w:jc w:val="left"/>
    </w:pPr>
    <w:rPr>
      <w:sz w:val="8"/>
    </w:rPr>
  </w:style>
  <w:style w:type="character" w:styleId="Pogrubienie">
    <w:name w:val="Strong"/>
    <w:uiPriority w:val="99"/>
    <w:semiHidden/>
    <w:qFormat/>
    <w:rsid w:val="000957D3"/>
    <w:rPr>
      <w:b/>
      <w:bCs/>
    </w:rPr>
  </w:style>
  <w:style w:type="paragraph" w:styleId="Bezodstpw">
    <w:name w:val="No Spacing"/>
    <w:basedOn w:val="Normalny"/>
    <w:link w:val="BezodstpwZnak"/>
    <w:semiHidden/>
    <w:qFormat/>
    <w:rsid w:val="000957D3"/>
    <w:rPr>
      <w:sz w:val="22"/>
      <w:lang w:val="en-US"/>
    </w:rPr>
  </w:style>
  <w:style w:type="character" w:customStyle="1" w:styleId="BezodstpwZnak">
    <w:name w:val="Bez odstępów Znak"/>
    <w:basedOn w:val="Domylnaczcionkaakapitu"/>
    <w:link w:val="Bezodstpw"/>
    <w:semiHidden/>
    <w:rsid w:val="000957D3"/>
    <w:rPr>
      <w:rFonts w:eastAsiaTheme="minorEastAsia"/>
    </w:rPr>
  </w:style>
  <w:style w:type="paragraph" w:customStyle="1" w:styleId="ECHRFooterLine">
    <w:name w:val="ECHR_Footer_Line"/>
    <w:aliases w:val="Footer_Line"/>
    <w:basedOn w:val="Normalny"/>
    <w:next w:val="ECHRFooter"/>
    <w:uiPriority w:val="57"/>
    <w:rsid w:val="000957D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957D3"/>
  </w:style>
  <w:style w:type="paragraph" w:customStyle="1" w:styleId="DecList">
    <w:name w:val="Dec_List"/>
    <w:basedOn w:val="Normalny"/>
    <w:uiPriority w:val="9"/>
    <w:semiHidden/>
    <w:qFormat/>
    <w:rsid w:val="000957D3"/>
    <w:pPr>
      <w:spacing w:before="240"/>
      <w:ind w:left="284"/>
    </w:pPr>
  </w:style>
  <w:style w:type="paragraph" w:customStyle="1" w:styleId="OpiParaSub">
    <w:name w:val="Opi_Para_Sub"/>
    <w:basedOn w:val="JuParaSub"/>
    <w:uiPriority w:val="47"/>
    <w:qFormat/>
    <w:rsid w:val="000957D3"/>
  </w:style>
  <w:style w:type="paragraph" w:customStyle="1" w:styleId="ECHRTitleCentre3">
    <w:name w:val="ECHR_Title_Centre_3"/>
    <w:aliases w:val="Ju_H_Article"/>
    <w:basedOn w:val="Normalny"/>
    <w:next w:val="ECHRParaQuote"/>
    <w:uiPriority w:val="27"/>
    <w:qFormat/>
    <w:rsid w:val="000957D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957D3"/>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0957D3"/>
    <w:rPr>
      <w:color w:val="00B050"/>
    </w:rPr>
  </w:style>
  <w:style w:type="paragraph" w:customStyle="1" w:styleId="JuHeaderLandscape">
    <w:name w:val="Ju_Header_Landscape"/>
    <w:basedOn w:val="ECHRHeader"/>
    <w:uiPriority w:val="4"/>
    <w:qFormat/>
    <w:rsid w:val="000957D3"/>
    <w:pPr>
      <w:tabs>
        <w:tab w:val="clear" w:pos="3686"/>
        <w:tab w:val="clear" w:pos="7371"/>
        <w:tab w:val="center" w:pos="6146"/>
        <w:tab w:val="right" w:pos="12293"/>
      </w:tabs>
    </w:pPr>
  </w:style>
  <w:style w:type="paragraph" w:customStyle="1" w:styleId="JuInitialled">
    <w:name w:val="Ju_Initialled"/>
    <w:basedOn w:val="Normalny"/>
    <w:uiPriority w:val="31"/>
    <w:qFormat/>
    <w:rsid w:val="000957D3"/>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957D3"/>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0957D3"/>
    <w:pPr>
      <w:numPr>
        <w:numId w:val="38"/>
      </w:numPr>
      <w:jc w:val="left"/>
    </w:pPr>
    <w:rPr>
      <w:b/>
    </w:rPr>
  </w:style>
  <w:style w:type="paragraph" w:styleId="Tytu">
    <w:name w:val="Title"/>
    <w:basedOn w:val="Normalny"/>
    <w:next w:val="Normalny"/>
    <w:link w:val="TytuZnak"/>
    <w:uiPriority w:val="99"/>
    <w:semiHidden/>
    <w:qFormat/>
    <w:rsid w:val="000957D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957D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957D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957D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957D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957D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957D3"/>
    <w:pPr>
      <w:keepNext/>
      <w:keepLines/>
      <w:spacing w:before="240" w:after="120"/>
      <w:ind w:left="1236"/>
    </w:pPr>
    <w:rPr>
      <w:sz w:val="20"/>
      <w:lang w:val="en-GB"/>
    </w:rPr>
  </w:style>
  <w:style w:type="paragraph" w:customStyle="1" w:styleId="JuQuotSub">
    <w:name w:val="Ju_Quot_Sub"/>
    <w:basedOn w:val="ECHRParaQuote"/>
    <w:uiPriority w:val="15"/>
    <w:qFormat/>
    <w:rsid w:val="000957D3"/>
    <w:pPr>
      <w:ind w:left="567"/>
    </w:pPr>
  </w:style>
  <w:style w:type="paragraph" w:customStyle="1" w:styleId="OpiHA">
    <w:name w:val="Opi_H_A"/>
    <w:basedOn w:val="ECHRHeading1"/>
    <w:next w:val="OpiPara"/>
    <w:uiPriority w:val="41"/>
    <w:qFormat/>
    <w:rsid w:val="000957D3"/>
    <w:pPr>
      <w:tabs>
        <w:tab w:val="clear" w:pos="357"/>
      </w:tabs>
      <w:outlineLvl w:val="1"/>
    </w:pPr>
    <w:rPr>
      <w:b/>
    </w:rPr>
  </w:style>
  <w:style w:type="paragraph" w:customStyle="1" w:styleId="JuLista">
    <w:name w:val="Ju_List_a"/>
    <w:basedOn w:val="JuList"/>
    <w:uiPriority w:val="28"/>
    <w:qFormat/>
    <w:rsid w:val="000957D3"/>
    <w:pPr>
      <w:ind w:left="346" w:firstLine="0"/>
    </w:pPr>
  </w:style>
  <w:style w:type="paragraph" w:styleId="Nagwek">
    <w:name w:val="header"/>
    <w:basedOn w:val="Normalny"/>
    <w:link w:val="NagwekZnak"/>
    <w:uiPriority w:val="57"/>
    <w:semiHidden/>
    <w:rsid w:val="000957D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957D3"/>
    <w:rPr>
      <w:sz w:val="24"/>
      <w:lang w:val="en-GB"/>
    </w:rPr>
  </w:style>
  <w:style w:type="character" w:customStyle="1" w:styleId="Nagwek1Znak">
    <w:name w:val="Nagłówek 1 Znak"/>
    <w:basedOn w:val="Domylnaczcionkaakapitu"/>
    <w:link w:val="Nagwek1"/>
    <w:uiPriority w:val="99"/>
    <w:semiHidden/>
    <w:rsid w:val="000957D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957D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957D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957D3"/>
    <w:rPr>
      <w:rFonts w:asciiTheme="majorHAnsi" w:eastAsiaTheme="majorEastAsia" w:hAnsiTheme="majorHAnsi" w:cstheme="majorBidi"/>
      <w:b/>
      <w:bCs/>
      <w:color w:val="4D4D4D"/>
      <w:sz w:val="26"/>
      <w:szCs w:val="26"/>
      <w:lang w:val="en-GB"/>
    </w:rPr>
  </w:style>
  <w:style w:type="paragraph" w:customStyle="1" w:styleId="JuListi">
    <w:name w:val="Ju_List_i"/>
    <w:basedOn w:val="Normalny"/>
    <w:next w:val="JuLista"/>
    <w:uiPriority w:val="28"/>
    <w:qFormat/>
    <w:rsid w:val="000957D3"/>
    <w:pPr>
      <w:ind w:left="794"/>
    </w:pPr>
  </w:style>
  <w:style w:type="paragraph" w:customStyle="1" w:styleId="JuCase">
    <w:name w:val="Ju_Case"/>
    <w:basedOn w:val="Normalny"/>
    <w:next w:val="ECHRPara"/>
    <w:uiPriority w:val="10"/>
    <w:rsid w:val="000957D3"/>
    <w:pPr>
      <w:ind w:firstLine="284"/>
    </w:pPr>
    <w:rPr>
      <w:b/>
    </w:rPr>
  </w:style>
  <w:style w:type="character" w:customStyle="1" w:styleId="Nagwek3Znak">
    <w:name w:val="Nagłówek 3 Znak"/>
    <w:basedOn w:val="Domylnaczcionkaakapitu"/>
    <w:link w:val="Nagwek3"/>
    <w:uiPriority w:val="99"/>
    <w:semiHidden/>
    <w:rsid w:val="000957D3"/>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957D3"/>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957D3"/>
    <w:rPr>
      <w:rFonts w:asciiTheme="majorHAnsi" w:eastAsiaTheme="majorEastAsia" w:hAnsiTheme="majorHAnsi" w:cstheme="majorBidi"/>
      <w:b/>
      <w:bCs/>
      <w:color w:val="808080"/>
    </w:rPr>
  </w:style>
  <w:style w:type="character" w:styleId="Wyrnieniedelikatne">
    <w:name w:val="Subtle Emphasis"/>
    <w:uiPriority w:val="99"/>
    <w:semiHidden/>
    <w:qFormat/>
    <w:rsid w:val="000957D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957D3"/>
    <w:pPr>
      <w:keepNext/>
      <w:keepLines/>
      <w:spacing w:before="720" w:after="240"/>
      <w:outlineLvl w:val="0"/>
    </w:pPr>
    <w:rPr>
      <w:rFonts w:asciiTheme="majorHAnsi" w:hAnsiTheme="majorHAnsi"/>
      <w:sz w:val="28"/>
    </w:rPr>
  </w:style>
  <w:style w:type="character" w:styleId="Uwydatnienie">
    <w:name w:val="Emphasis"/>
    <w:uiPriority w:val="99"/>
    <w:semiHidden/>
    <w:qFormat/>
    <w:rsid w:val="000957D3"/>
    <w:rPr>
      <w:b/>
      <w:bCs/>
      <w:i/>
      <w:iCs/>
      <w:spacing w:val="10"/>
      <w:bdr w:val="none" w:sz="0" w:space="0" w:color="auto"/>
      <w:shd w:val="clear" w:color="auto" w:fill="auto"/>
    </w:rPr>
  </w:style>
  <w:style w:type="paragraph" w:styleId="Stopka">
    <w:name w:val="footer"/>
    <w:basedOn w:val="Normalny"/>
    <w:link w:val="StopkaZnak"/>
    <w:uiPriority w:val="57"/>
    <w:semiHidden/>
    <w:rsid w:val="000957D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957D3"/>
    <w:rPr>
      <w:sz w:val="24"/>
      <w:lang w:val="en-GB"/>
    </w:rPr>
  </w:style>
  <w:style w:type="character" w:styleId="Odwoanieprzypisudolnego">
    <w:name w:val="footnote reference"/>
    <w:basedOn w:val="Domylnaczcionkaakapitu"/>
    <w:uiPriority w:val="99"/>
    <w:semiHidden/>
    <w:rsid w:val="000957D3"/>
    <w:rPr>
      <w:vertAlign w:val="superscript"/>
    </w:rPr>
  </w:style>
  <w:style w:type="paragraph" w:styleId="Tekstprzypisudolnego">
    <w:name w:val="footnote text"/>
    <w:basedOn w:val="Normalny"/>
    <w:link w:val="TekstprzypisudolnegoZnak"/>
    <w:uiPriority w:val="99"/>
    <w:semiHidden/>
    <w:rsid w:val="000957D3"/>
    <w:rPr>
      <w:sz w:val="20"/>
      <w:szCs w:val="20"/>
    </w:rPr>
  </w:style>
  <w:style w:type="character" w:customStyle="1" w:styleId="TekstprzypisudolnegoZnak">
    <w:name w:val="Tekst przypisu dolnego Znak"/>
    <w:basedOn w:val="Domylnaczcionkaakapitu"/>
    <w:link w:val="Tekstprzypisudolnego"/>
    <w:uiPriority w:val="99"/>
    <w:semiHidden/>
    <w:rsid w:val="000957D3"/>
    <w:rPr>
      <w:rFonts w:eastAsiaTheme="minorEastAsia"/>
      <w:sz w:val="20"/>
      <w:szCs w:val="20"/>
      <w:lang w:val="en-GB"/>
    </w:rPr>
  </w:style>
  <w:style w:type="character" w:customStyle="1" w:styleId="Nagwek6Znak">
    <w:name w:val="Nagłówek 6 Znak"/>
    <w:basedOn w:val="Domylnaczcionkaakapitu"/>
    <w:link w:val="Nagwek6"/>
    <w:uiPriority w:val="99"/>
    <w:semiHidden/>
    <w:rsid w:val="000957D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957D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957D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957D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957D3"/>
    <w:rPr>
      <w:color w:val="0072BC" w:themeColor="hyperlink"/>
      <w:u w:val="single"/>
    </w:rPr>
  </w:style>
  <w:style w:type="character" w:styleId="Wyrnienieintensywne">
    <w:name w:val="Intense Emphasis"/>
    <w:uiPriority w:val="99"/>
    <w:semiHidden/>
    <w:qFormat/>
    <w:rsid w:val="000957D3"/>
    <w:rPr>
      <w:b/>
      <w:bCs/>
    </w:rPr>
  </w:style>
  <w:style w:type="paragraph" w:styleId="Cytatintensywny">
    <w:name w:val="Intense Quote"/>
    <w:basedOn w:val="Normalny"/>
    <w:next w:val="Normalny"/>
    <w:link w:val="CytatintensywnyZnak"/>
    <w:uiPriority w:val="99"/>
    <w:semiHidden/>
    <w:qFormat/>
    <w:rsid w:val="000957D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957D3"/>
    <w:rPr>
      <w:rFonts w:eastAsiaTheme="minorEastAsia"/>
      <w:b/>
      <w:bCs/>
      <w:i/>
      <w:iCs/>
      <w:lang w:bidi="en-US"/>
    </w:rPr>
  </w:style>
  <w:style w:type="character" w:styleId="Odwoanieintensywne">
    <w:name w:val="Intense Reference"/>
    <w:uiPriority w:val="99"/>
    <w:semiHidden/>
    <w:qFormat/>
    <w:rsid w:val="000957D3"/>
    <w:rPr>
      <w:smallCaps/>
      <w:spacing w:val="5"/>
      <w:u w:val="single"/>
    </w:rPr>
  </w:style>
  <w:style w:type="paragraph" w:styleId="Akapitzlist">
    <w:name w:val="List Paragraph"/>
    <w:basedOn w:val="Normalny"/>
    <w:uiPriority w:val="99"/>
    <w:semiHidden/>
    <w:qFormat/>
    <w:rsid w:val="000957D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957D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957D3"/>
    <w:rPr>
      <w:rFonts w:eastAsiaTheme="minorEastAsia"/>
      <w:i/>
      <w:iCs/>
      <w:lang w:bidi="en-US"/>
    </w:rPr>
  </w:style>
  <w:style w:type="character" w:styleId="Odwoaniedelikatne">
    <w:name w:val="Subtle Reference"/>
    <w:uiPriority w:val="99"/>
    <w:semiHidden/>
    <w:qFormat/>
    <w:rsid w:val="000957D3"/>
    <w:rPr>
      <w:smallCaps/>
    </w:rPr>
  </w:style>
  <w:style w:type="table" w:styleId="Tabela-Siatka">
    <w:name w:val="Table Grid"/>
    <w:basedOn w:val="Standardowy"/>
    <w:uiPriority w:val="59"/>
    <w:semiHidden/>
    <w:rsid w:val="000957D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957D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957D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957D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957D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957D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957D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957D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957D3"/>
    <w:pPr>
      <w:spacing w:before="120" w:after="120"/>
      <w:ind w:left="425" w:firstLine="142"/>
    </w:pPr>
    <w:rPr>
      <w:sz w:val="20"/>
    </w:rPr>
  </w:style>
  <w:style w:type="paragraph" w:customStyle="1" w:styleId="ECHRPara">
    <w:name w:val="ECHR_Para"/>
    <w:aliases w:val="Ju_Para"/>
    <w:basedOn w:val="Normalny"/>
    <w:link w:val="ECHRParaChar"/>
    <w:uiPriority w:val="12"/>
    <w:qFormat/>
    <w:rsid w:val="000957D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957D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957D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957D3"/>
    <w:pPr>
      <w:ind w:left="340" w:hanging="340"/>
    </w:pPr>
  </w:style>
  <w:style w:type="paragraph" w:customStyle="1" w:styleId="JuSigned">
    <w:name w:val="Ju_Signed"/>
    <w:basedOn w:val="Normalny"/>
    <w:next w:val="JuParaLast"/>
    <w:uiPriority w:val="32"/>
    <w:qFormat/>
    <w:rsid w:val="000957D3"/>
    <w:pPr>
      <w:tabs>
        <w:tab w:val="center" w:pos="851"/>
        <w:tab w:val="center" w:pos="6407"/>
      </w:tabs>
      <w:spacing w:before="720"/>
      <w:jc w:val="left"/>
    </w:pPr>
  </w:style>
  <w:style w:type="paragraph" w:customStyle="1" w:styleId="JuParaLast">
    <w:name w:val="Ju_Para_Last"/>
    <w:basedOn w:val="Normalny"/>
    <w:next w:val="ECHRPara"/>
    <w:uiPriority w:val="30"/>
    <w:qFormat/>
    <w:rsid w:val="000957D3"/>
    <w:pPr>
      <w:keepNext/>
      <w:keepLines/>
      <w:spacing w:before="240"/>
      <w:ind w:firstLine="284"/>
    </w:pPr>
  </w:style>
  <w:style w:type="paragraph" w:customStyle="1" w:styleId="JuCourt">
    <w:name w:val="Ju_Court"/>
    <w:basedOn w:val="Normalny"/>
    <w:next w:val="Normalny"/>
    <w:uiPriority w:val="16"/>
    <w:qFormat/>
    <w:rsid w:val="000957D3"/>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character" w:customStyle="1" w:styleId="JUNAMES">
    <w:name w:val="JU_NAMES"/>
    <w:uiPriority w:val="17"/>
    <w:qFormat/>
    <w:rsid w:val="000957D3"/>
    <w:rPr>
      <w:caps w:val="0"/>
      <w:smallCaps/>
    </w:rPr>
  </w:style>
  <w:style w:type="paragraph" w:customStyle="1" w:styleId="JuParaSub">
    <w:name w:val="Ju_Para_Sub"/>
    <w:basedOn w:val="ECHRPara"/>
    <w:uiPriority w:val="13"/>
    <w:qFormat/>
    <w:rsid w:val="000957D3"/>
    <w:pPr>
      <w:ind w:left="28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basedOn w:val="Domylnaczcionkaakapitu"/>
    <w:uiPriority w:val="99"/>
    <w:semiHidden/>
    <w:rsid w:val="000957D3"/>
    <w:rPr>
      <w:vertAlign w:val="superscript"/>
    </w:rPr>
  </w:style>
  <w:style w:type="paragraph" w:styleId="Tekstprzypisukocowego">
    <w:name w:val="endnote text"/>
    <w:basedOn w:val="Normalny"/>
    <w:link w:val="TekstprzypisukocowegoZnak"/>
    <w:uiPriority w:val="99"/>
    <w:semiHidden/>
    <w:rsid w:val="000957D3"/>
    <w:rPr>
      <w:sz w:val="20"/>
      <w:szCs w:val="20"/>
    </w:rPr>
  </w:style>
  <w:style w:type="character" w:customStyle="1" w:styleId="TekstprzypisukocowegoZnak">
    <w:name w:val="Tekst przypisu końcowego Znak"/>
    <w:basedOn w:val="Domylnaczcionkaakapitu"/>
    <w:link w:val="Tekstprzypisukocowego"/>
    <w:uiPriority w:val="99"/>
    <w:semiHidden/>
    <w:rsid w:val="000957D3"/>
    <w:rPr>
      <w:rFonts w:eastAsiaTheme="minorEastAsia"/>
      <w:sz w:val="20"/>
      <w:szCs w:val="20"/>
      <w:lang w:val="en-GB"/>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0957D3"/>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957D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957D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957D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957D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957D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ind w:left="1680"/>
      <w:jc w:val="left"/>
    </w:pPr>
    <w:rPr>
      <w:rFonts w:cstheme="minorHAnsi"/>
      <w:sz w:val="20"/>
      <w:szCs w:val="20"/>
    </w:rPr>
  </w:style>
  <w:style w:type="paragraph" w:styleId="Spistreci9">
    <w:name w:val="toc 9"/>
    <w:basedOn w:val="Normalny"/>
    <w:next w:val="Normalny"/>
    <w:autoRedefine/>
    <w:uiPriority w:val="99"/>
    <w:semiHidden/>
    <w:rsid w:val="00014566"/>
    <w:pPr>
      <w:ind w:left="1920"/>
      <w:jc w:val="left"/>
    </w:pPr>
    <w:rPr>
      <w:rFonts w:cstheme="minorHAnsi"/>
      <w:sz w:val="20"/>
      <w:szCs w:val="20"/>
    </w:rPr>
  </w:style>
  <w:style w:type="paragraph" w:customStyle="1" w:styleId="JuTitle">
    <w:name w:val="Ju_Title"/>
    <w:basedOn w:val="Normalny"/>
    <w:next w:val="ECHRPara"/>
    <w:uiPriority w:val="3"/>
    <w:semiHidden/>
    <w:qFormat/>
    <w:rsid w:val="000957D3"/>
    <w:pPr>
      <w:spacing w:before="720" w:after="240"/>
      <w:jc w:val="center"/>
      <w:outlineLvl w:val="0"/>
    </w:pPr>
    <w:rPr>
      <w:rFonts w:asciiTheme="majorHAnsi" w:hAnsiTheme="majorHAnsi"/>
      <w:b/>
      <w:caps/>
    </w:rPr>
  </w:style>
  <w:style w:type="paragraph" w:customStyle="1" w:styleId="OpiHa0">
    <w:name w:val="Opi_H_a"/>
    <w:basedOn w:val="ECHRHeading3"/>
    <w:uiPriority w:val="43"/>
    <w:qFormat/>
    <w:rsid w:val="000957D3"/>
    <w:pPr>
      <w:ind w:left="833" w:hanging="357"/>
      <w:outlineLvl w:val="3"/>
    </w:pPr>
    <w:rPr>
      <w:b/>
      <w:i w:val="0"/>
      <w:sz w:val="20"/>
    </w:rPr>
  </w:style>
  <w:style w:type="paragraph" w:customStyle="1" w:styleId="OpiH1">
    <w:name w:val="Opi_H_1"/>
    <w:basedOn w:val="ECHRHeading2"/>
    <w:uiPriority w:val="42"/>
    <w:qFormat/>
    <w:rsid w:val="000957D3"/>
    <w:pPr>
      <w:ind w:left="635" w:hanging="357"/>
      <w:outlineLvl w:val="2"/>
    </w:pPr>
  </w:style>
  <w:style w:type="paragraph" w:customStyle="1" w:styleId="OpiPara">
    <w:name w:val="Opi_Para"/>
    <w:basedOn w:val="ECHRPara"/>
    <w:uiPriority w:val="46"/>
    <w:qFormat/>
    <w:rsid w:val="000957D3"/>
  </w:style>
  <w:style w:type="paragraph" w:customStyle="1" w:styleId="OpiHi">
    <w:name w:val="Opi_H_i"/>
    <w:basedOn w:val="ECHRHeading4"/>
    <w:uiPriority w:val="44"/>
    <w:qFormat/>
    <w:rsid w:val="000957D3"/>
    <w:pPr>
      <w:ind w:left="1037" w:hanging="357"/>
      <w:outlineLvl w:val="4"/>
    </w:pPr>
    <w:rPr>
      <w:b w:val="0"/>
      <w:i/>
    </w:rPr>
  </w:style>
  <w:style w:type="paragraph" w:customStyle="1" w:styleId="OpiQuot">
    <w:name w:val="Opi_Quot"/>
    <w:basedOn w:val="ECHRParaQuote"/>
    <w:uiPriority w:val="48"/>
    <w:qFormat/>
    <w:rsid w:val="000957D3"/>
  </w:style>
  <w:style w:type="paragraph" w:customStyle="1" w:styleId="OpiQuotSub">
    <w:name w:val="Opi_Quot_Sub"/>
    <w:basedOn w:val="JuQuotSub"/>
    <w:uiPriority w:val="49"/>
    <w:qFormat/>
    <w:rsid w:val="000957D3"/>
  </w:style>
  <w:style w:type="paragraph" w:customStyle="1" w:styleId="OpiTranslation">
    <w:name w:val="Opi_Translation"/>
    <w:basedOn w:val="Normalny"/>
    <w:next w:val="OpiPara"/>
    <w:uiPriority w:val="40"/>
    <w:qFormat/>
    <w:rsid w:val="000957D3"/>
    <w:pPr>
      <w:jc w:val="center"/>
      <w:outlineLvl w:val="0"/>
    </w:pPr>
    <w:rPr>
      <w:i/>
    </w:rPr>
  </w:style>
  <w:style w:type="character" w:customStyle="1" w:styleId="ECHRParaChar">
    <w:name w:val="ECHR_Para Char"/>
    <w:aliases w:val="Ju_Para Char"/>
    <w:link w:val="ECHRPara"/>
    <w:uiPriority w:val="12"/>
    <w:rsid w:val="005B6547"/>
    <w:rPr>
      <w:rFonts w:eastAsiaTheme="minorEastAsia"/>
      <w:sz w:val="24"/>
      <w:lang w:val="en-GB"/>
    </w:rPr>
  </w:style>
  <w:style w:type="paragraph" w:customStyle="1" w:styleId="ECHRParaSpaced">
    <w:name w:val="ECHR_Para_Spaced"/>
    <w:aliases w:val="Para_Spaced"/>
    <w:basedOn w:val="ECHRPara"/>
    <w:uiPriority w:val="4"/>
    <w:rsid w:val="00170010"/>
    <w:pPr>
      <w:spacing w:before="120" w:after="120"/>
      <w:ind w:firstLine="0"/>
    </w:pPr>
    <w:rPr>
      <w:rFonts w:eastAsiaTheme="minorHAnsi"/>
      <w:sz w:val="22"/>
    </w:rPr>
  </w:style>
  <w:style w:type="paragraph" w:styleId="Poprawka">
    <w:name w:val="Revision"/>
    <w:hidden/>
    <w:uiPriority w:val="99"/>
    <w:semiHidden/>
    <w:rsid w:val="0065119C"/>
    <w:rPr>
      <w:rFonts w:eastAsiaTheme="minorEastAsia"/>
      <w:sz w:val="24"/>
      <w:lang w:val="en-GB"/>
    </w:rPr>
  </w:style>
  <w:style w:type="numbering" w:customStyle="1" w:styleId="ECHRA1StyleBulletedSquare">
    <w:name w:val="ECHR_A1_Style_Bulleted_Square"/>
    <w:basedOn w:val="Bezlisty"/>
    <w:rsid w:val="008113A5"/>
    <w:pPr>
      <w:numPr>
        <w:numId w:val="23"/>
      </w:numPr>
    </w:pPr>
  </w:style>
  <w:style w:type="numbering" w:customStyle="1" w:styleId="ECHRA1StyleNumberedList">
    <w:name w:val="ECHR_A1_Style_Numbered_List"/>
    <w:basedOn w:val="Bezlisty"/>
    <w:rsid w:val="008113A5"/>
    <w:pPr>
      <w:numPr>
        <w:numId w:val="24"/>
      </w:numPr>
    </w:pPr>
  </w:style>
  <w:style w:type="paragraph" w:customStyle="1" w:styleId="ECHRBullet1">
    <w:name w:val="ECHR_Bullet_1"/>
    <w:aliases w:val="Bul_1"/>
    <w:basedOn w:val="Normalny"/>
    <w:uiPriority w:val="11"/>
    <w:rsid w:val="00591367"/>
    <w:pPr>
      <w:numPr>
        <w:numId w:val="23"/>
      </w:numPr>
      <w:spacing w:before="60" w:after="60"/>
    </w:pPr>
    <w:rPr>
      <w:rFonts w:eastAsia="Times New Roman"/>
      <w:sz w:val="22"/>
    </w:rPr>
  </w:style>
  <w:style w:type="paragraph" w:customStyle="1" w:styleId="ECHRBullet2">
    <w:name w:val="ECHR_Bullet_2"/>
    <w:aliases w:val="Bul_2"/>
    <w:basedOn w:val="ECHRBullet1"/>
    <w:uiPriority w:val="11"/>
    <w:rsid w:val="008113A5"/>
    <w:pPr>
      <w:numPr>
        <w:ilvl w:val="1"/>
      </w:numPr>
    </w:pPr>
  </w:style>
  <w:style w:type="paragraph" w:customStyle="1" w:styleId="ECHRBullet3">
    <w:name w:val="ECHR_Bullet_3"/>
    <w:aliases w:val="Bul_3"/>
    <w:basedOn w:val="ECHRBullet2"/>
    <w:uiPriority w:val="11"/>
    <w:rsid w:val="008113A5"/>
    <w:pPr>
      <w:numPr>
        <w:ilvl w:val="2"/>
      </w:numPr>
    </w:pPr>
  </w:style>
  <w:style w:type="paragraph" w:customStyle="1" w:styleId="ECHRBullet4">
    <w:name w:val="ECHR_Bullet_4"/>
    <w:aliases w:val="Bul_4"/>
    <w:basedOn w:val="ECHRBullet3"/>
    <w:uiPriority w:val="11"/>
    <w:rsid w:val="008113A5"/>
    <w:pPr>
      <w:numPr>
        <w:ilvl w:val="3"/>
      </w:numPr>
      <w:tabs>
        <w:tab w:val="clear" w:pos="1701"/>
      </w:tabs>
      <w:ind w:left="2880" w:hanging="360"/>
    </w:pPr>
  </w:style>
  <w:style w:type="paragraph" w:customStyle="1" w:styleId="ECHRConfidential">
    <w:name w:val="ECHR_Confidential"/>
    <w:aliases w:val="Confidential"/>
    <w:basedOn w:val="ECHRPara"/>
    <w:next w:val="ECHRPara"/>
    <w:uiPriority w:val="37"/>
    <w:rsid w:val="008113A5"/>
    <w:pPr>
      <w:ind w:firstLine="0"/>
      <w:jc w:val="right"/>
    </w:pPr>
    <w:rPr>
      <w:rFonts w:eastAsia="Calibri"/>
      <w:color w:val="C00000"/>
      <w:sz w:val="20"/>
    </w:rPr>
  </w:style>
  <w:style w:type="paragraph" w:customStyle="1" w:styleId="ECHRCoverTitle1">
    <w:name w:val="ECHR_Cover_Title_1"/>
    <w:aliases w:val="Cover_1"/>
    <w:basedOn w:val="Normalny"/>
    <w:next w:val="Normalny"/>
    <w:uiPriority w:val="33"/>
    <w:rsid w:val="008113A5"/>
    <w:pPr>
      <w:spacing w:before="840"/>
      <w:contextualSpacing/>
      <w:jc w:val="center"/>
    </w:pPr>
    <w:rPr>
      <w:rFonts w:eastAsia="Calibri"/>
      <w:color w:val="2F2F2F"/>
      <w:sz w:val="36"/>
    </w:rPr>
  </w:style>
  <w:style w:type="paragraph" w:customStyle="1" w:styleId="ECHRCoverTitle2">
    <w:name w:val="ECHR_Cover_Title_2"/>
    <w:aliases w:val="Cover_2"/>
    <w:basedOn w:val="Normalny"/>
    <w:next w:val="Normalny"/>
    <w:uiPriority w:val="33"/>
    <w:rsid w:val="008113A5"/>
    <w:pPr>
      <w:spacing w:before="600"/>
      <w:contextualSpacing/>
      <w:jc w:val="center"/>
    </w:pPr>
    <w:rPr>
      <w:rFonts w:ascii="Calibri" w:eastAsia="Calibri" w:hAnsi="Calibri"/>
      <w:color w:val="474747"/>
      <w:sz w:val="28"/>
    </w:rPr>
  </w:style>
  <w:style w:type="paragraph" w:customStyle="1" w:styleId="ECHRCoverTitle3">
    <w:name w:val="ECHR_Cover_Title_3"/>
    <w:aliases w:val="Cover_3"/>
    <w:basedOn w:val="Normalny"/>
    <w:next w:val="ECHRCoverTitle4"/>
    <w:uiPriority w:val="33"/>
    <w:rsid w:val="008113A5"/>
    <w:pPr>
      <w:spacing w:before="1080" w:after="1080"/>
      <w:contextualSpacing/>
      <w:jc w:val="center"/>
    </w:pPr>
    <w:rPr>
      <w:rFonts w:eastAsia="Calibri"/>
      <w:b/>
      <w:color w:val="474747"/>
    </w:rPr>
  </w:style>
  <w:style w:type="paragraph" w:customStyle="1" w:styleId="ECHRCoverTitle4">
    <w:name w:val="ECHR_Cover_Title_4"/>
    <w:aliases w:val="Cover_4"/>
    <w:basedOn w:val="Normalny"/>
    <w:uiPriority w:val="33"/>
    <w:rsid w:val="008113A5"/>
    <w:pPr>
      <w:tabs>
        <w:tab w:val="right" w:pos="7938"/>
      </w:tabs>
      <w:spacing w:before="120" w:after="120"/>
      <w:ind w:left="1134" w:right="1134"/>
      <w:jc w:val="left"/>
    </w:pPr>
    <w:rPr>
      <w:rFonts w:eastAsia="Calibri"/>
      <w:color w:val="2F2F2F"/>
      <w:sz w:val="22"/>
    </w:rPr>
  </w:style>
  <w:style w:type="paragraph" w:customStyle="1" w:styleId="ECHRDivisionName">
    <w:name w:val="ECHR_DivisionName"/>
    <w:aliases w:val="Div_Name"/>
    <w:basedOn w:val="Normalny"/>
    <w:link w:val="ECHRDivisionNameChar"/>
    <w:uiPriority w:val="36"/>
    <w:rsid w:val="008113A5"/>
    <w:pPr>
      <w:contextualSpacing/>
      <w:jc w:val="center"/>
    </w:pPr>
    <w:rPr>
      <w:rFonts w:ascii="Arial Narrow" w:eastAsia="Calibri" w:hAnsi="Arial Narrow"/>
      <w:i/>
      <w:color w:val="0072BC"/>
      <w:sz w:val="32"/>
    </w:rPr>
  </w:style>
  <w:style w:type="character" w:customStyle="1" w:styleId="ECHRDivisionNameChar">
    <w:name w:val="ECHR_DivisionName Char"/>
    <w:aliases w:val="Div_Name Char"/>
    <w:basedOn w:val="Domylnaczcionkaakapitu"/>
    <w:link w:val="ECHRDivisionName"/>
    <w:uiPriority w:val="36"/>
    <w:rsid w:val="008113A5"/>
    <w:rPr>
      <w:rFonts w:ascii="Arial Narrow" w:eastAsia="Calibri" w:hAnsi="Arial Narrow"/>
      <w:i/>
      <w:color w:val="0072BC"/>
      <w:sz w:val="32"/>
      <w:lang w:val="en-GB"/>
    </w:rPr>
  </w:style>
  <w:style w:type="paragraph" w:customStyle="1" w:styleId="ECHRFooterLineLandscape">
    <w:name w:val="ECHR_Footer_Line_Landscape"/>
    <w:aliases w:val="Footer_Line_Landscape"/>
    <w:basedOn w:val="ECHRFooterLine"/>
    <w:uiPriority w:val="49"/>
    <w:rsid w:val="008113A5"/>
    <w:pPr>
      <w:pBdr>
        <w:top w:val="single" w:sz="8" w:space="1" w:color="7F7F7F"/>
      </w:pBdr>
      <w:tabs>
        <w:tab w:val="clear" w:pos="4536"/>
        <w:tab w:val="clear" w:pos="9696"/>
        <w:tab w:val="center" w:pos="6787"/>
        <w:tab w:val="right" w:pos="14640"/>
      </w:tabs>
    </w:pPr>
    <w:rPr>
      <w:rFonts w:eastAsia="Calibri"/>
      <w:color w:val="474747"/>
      <w:sz w:val="22"/>
    </w:rPr>
  </w:style>
  <w:style w:type="paragraph" w:customStyle="1" w:styleId="ECHRHeaderDate">
    <w:name w:val="ECHR_Header_Date"/>
    <w:aliases w:val="Ref_Date"/>
    <w:basedOn w:val="Normalny"/>
    <w:uiPriority w:val="39"/>
    <w:rsid w:val="008113A5"/>
    <w:pPr>
      <w:jc w:val="right"/>
    </w:pPr>
    <w:rPr>
      <w:rFonts w:eastAsia="Calibri"/>
      <w:sz w:val="20"/>
    </w:rPr>
  </w:style>
  <w:style w:type="paragraph" w:customStyle="1" w:styleId="ECHRHeaderLandscape">
    <w:name w:val="ECHR_Header_Landscape"/>
    <w:aliases w:val="Header_Landscape"/>
    <w:basedOn w:val="Nagwek"/>
    <w:uiPriority w:val="46"/>
    <w:rsid w:val="008113A5"/>
    <w:pPr>
      <w:tabs>
        <w:tab w:val="clear" w:pos="4536"/>
        <w:tab w:val="clear" w:pos="9072"/>
        <w:tab w:val="center" w:pos="6787"/>
        <w:tab w:val="right" w:pos="14640"/>
      </w:tabs>
      <w:ind w:left="-680" w:right="-680"/>
      <w:jc w:val="left"/>
    </w:pPr>
    <w:rPr>
      <w:sz w:val="22"/>
    </w:rPr>
  </w:style>
  <w:style w:type="paragraph" w:customStyle="1" w:styleId="ECHRHeaderRefIt">
    <w:name w:val="ECHR_Header_Ref_It"/>
    <w:aliases w:val="Ref_Ital"/>
    <w:basedOn w:val="Normalny"/>
    <w:next w:val="ECHRHeaderDate"/>
    <w:uiPriority w:val="38"/>
    <w:rsid w:val="008113A5"/>
    <w:pPr>
      <w:jc w:val="right"/>
    </w:pPr>
    <w:rPr>
      <w:rFonts w:eastAsia="Calibri"/>
      <w:i/>
      <w:sz w:val="20"/>
    </w:rPr>
  </w:style>
  <w:style w:type="paragraph" w:customStyle="1" w:styleId="ECHRLine">
    <w:name w:val="ECHR_Line"/>
    <w:basedOn w:val="Normalny"/>
    <w:next w:val="Normalny"/>
    <w:uiPriority w:val="22"/>
    <w:rsid w:val="00591367"/>
    <w:pPr>
      <w:pBdr>
        <w:bottom w:val="single" w:sz="12" w:space="1" w:color="949494"/>
      </w:pBdr>
      <w:spacing w:after="120"/>
    </w:pPr>
    <w:rPr>
      <w:rFonts w:eastAsia="Calibri"/>
      <w:sz w:val="12"/>
    </w:rPr>
  </w:style>
  <w:style w:type="table" w:customStyle="1" w:styleId="ECHRListTable1">
    <w:name w:val="ECHR_List_Table1"/>
    <w:basedOn w:val="Standardowy"/>
    <w:uiPriority w:val="99"/>
    <w:rsid w:val="008113A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customStyle="1" w:styleId="ECHRNumberedList1">
    <w:name w:val="ECHR_Numbered_List_1"/>
    <w:aliases w:val="Num_1"/>
    <w:basedOn w:val="Normalny"/>
    <w:uiPriority w:val="12"/>
    <w:rsid w:val="008113A5"/>
    <w:pPr>
      <w:numPr>
        <w:numId w:val="24"/>
      </w:numPr>
      <w:spacing w:before="60" w:after="60"/>
      <w:jc w:val="left"/>
    </w:pPr>
    <w:rPr>
      <w:sz w:val="22"/>
    </w:rPr>
  </w:style>
  <w:style w:type="paragraph" w:customStyle="1" w:styleId="ECHRNumberedList2">
    <w:name w:val="ECHR_Numbered_List_2"/>
    <w:aliases w:val="Num_2"/>
    <w:basedOn w:val="ECHRNumberedList1"/>
    <w:uiPriority w:val="12"/>
    <w:rsid w:val="008113A5"/>
    <w:pPr>
      <w:numPr>
        <w:ilvl w:val="1"/>
      </w:numPr>
    </w:pPr>
  </w:style>
  <w:style w:type="paragraph" w:customStyle="1" w:styleId="ECHRNumberedList3">
    <w:name w:val="ECHR_Numbered_List_3"/>
    <w:aliases w:val="Num_3"/>
    <w:basedOn w:val="ECHRNumberedList2"/>
    <w:uiPriority w:val="12"/>
    <w:rsid w:val="008113A5"/>
    <w:pPr>
      <w:numPr>
        <w:ilvl w:val="2"/>
      </w:numPr>
      <w:tabs>
        <w:tab w:val="clear" w:pos="1758"/>
      </w:tabs>
      <w:ind w:left="2160" w:hanging="180"/>
    </w:pPr>
  </w:style>
  <w:style w:type="character" w:customStyle="1" w:styleId="ECHRRed">
    <w:name w:val="ECHR_Red"/>
    <w:aliases w:val="Red"/>
    <w:basedOn w:val="Domylnaczcionkaakapitu"/>
    <w:uiPriority w:val="19"/>
    <w:rsid w:val="008113A5"/>
    <w:rPr>
      <w:color w:val="C00000"/>
    </w:rPr>
  </w:style>
  <w:style w:type="paragraph" w:customStyle="1" w:styleId="ECHRSpacer">
    <w:name w:val="ECHR_Spacer"/>
    <w:basedOn w:val="Normalny"/>
    <w:uiPriority w:val="45"/>
    <w:rsid w:val="008113A5"/>
    <w:pPr>
      <w:jc w:val="left"/>
    </w:pPr>
    <w:rPr>
      <w:rFonts w:eastAsia="Calibri"/>
      <w:sz w:val="4"/>
    </w:rPr>
  </w:style>
  <w:style w:type="paragraph" w:customStyle="1" w:styleId="ECHRTitle2">
    <w:name w:val="ECHR_Title_2"/>
    <w:aliases w:val="Title_L_2"/>
    <w:basedOn w:val="Normalny"/>
    <w:next w:val="ECHRParaSpaced"/>
    <w:uiPriority w:val="29"/>
    <w:rsid w:val="008113A5"/>
    <w:pPr>
      <w:keepNext/>
      <w:keepLines/>
      <w:spacing w:before="240"/>
      <w:contextualSpacing/>
      <w:jc w:val="left"/>
    </w:pPr>
    <w:rPr>
      <w:rFonts w:ascii="Calibri" w:eastAsia="Calibri" w:hAnsi="Calibri"/>
      <w:b/>
      <w:color w:val="474747"/>
      <w:sz w:val="28"/>
    </w:rPr>
  </w:style>
  <w:style w:type="paragraph" w:customStyle="1" w:styleId="ECHRTitle3">
    <w:name w:val="ECHR_Title_3"/>
    <w:aliases w:val="Title_L_3"/>
    <w:basedOn w:val="Normalny"/>
    <w:next w:val="ECHRParaSpaced"/>
    <w:uiPriority w:val="29"/>
    <w:rsid w:val="008113A5"/>
    <w:pPr>
      <w:keepNext/>
      <w:keepLines/>
      <w:spacing w:before="240"/>
      <w:contextualSpacing/>
      <w:jc w:val="left"/>
    </w:pPr>
    <w:rPr>
      <w:rFonts w:ascii="Calibri" w:eastAsia="Calibri" w:hAnsi="Calibri"/>
      <w:b/>
      <w:color w:val="474747"/>
    </w:rPr>
  </w:style>
  <w:style w:type="paragraph" w:customStyle="1" w:styleId="ECHRTitleCentreTOC1">
    <w:name w:val="ECHR_Title_Centre_TOC_1"/>
    <w:aliases w:val="Title_C_TOC"/>
    <w:basedOn w:val="ECHRTitleCentre1"/>
    <w:next w:val="ECHRHeading1"/>
    <w:uiPriority w:val="25"/>
    <w:rsid w:val="008113A5"/>
    <w:pPr>
      <w:spacing w:before="240" w:after="0"/>
      <w:contextualSpacing/>
    </w:pPr>
    <w:rPr>
      <w:rFonts w:eastAsia="Calibri"/>
      <w:b/>
      <w:color w:val="2F2F2F"/>
      <w:sz w:val="32"/>
    </w:rPr>
  </w:style>
  <w:style w:type="paragraph" w:customStyle="1" w:styleId="ECHRTitleTOC1">
    <w:name w:val="ECHR_Title_TOC_1"/>
    <w:aliases w:val="Title_L_TOC"/>
    <w:basedOn w:val="ECHRTitle1"/>
    <w:next w:val="ECHRHeading1"/>
    <w:uiPriority w:val="28"/>
    <w:rsid w:val="008113A5"/>
    <w:pPr>
      <w:spacing w:before="240" w:after="0"/>
      <w:contextualSpacing/>
      <w:jc w:val="left"/>
    </w:pPr>
    <w:rPr>
      <w:rFonts w:eastAsia="Calibri"/>
      <w:b/>
      <w:color w:val="2F2F2F"/>
      <w:sz w:val="32"/>
    </w:rPr>
  </w:style>
  <w:style w:type="table" w:customStyle="1" w:styleId="TableGrid1">
    <w:name w:val="Table Grid1"/>
    <w:basedOn w:val="Standardowy"/>
    <w:next w:val="Tabela-Siatka"/>
    <w:uiPriority w:val="59"/>
    <w:rsid w:val="008113A5"/>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HRParaIndent">
    <w:name w:val="ECHR_Para_Indent"/>
    <w:aliases w:val="Para_Indent"/>
    <w:basedOn w:val="ECHRParaSpaced"/>
    <w:uiPriority w:val="7"/>
    <w:rsid w:val="008113A5"/>
    <w:pPr>
      <w:ind w:left="567"/>
    </w:pPr>
    <w:rPr>
      <w:rFonts w:eastAsia="Calibri"/>
    </w:rPr>
  </w:style>
  <w:style w:type="paragraph" w:customStyle="1" w:styleId="ECHRParaHanging">
    <w:name w:val="ECHR_Para_Hanging"/>
    <w:aliases w:val="Para_Hanging"/>
    <w:basedOn w:val="ECHRPara"/>
    <w:uiPriority w:val="10"/>
    <w:rsid w:val="008113A5"/>
    <w:pPr>
      <w:ind w:left="567" w:hanging="567"/>
    </w:pPr>
    <w:rPr>
      <w:rFonts w:eastAsia="Calibri"/>
      <w:sz w:val="22"/>
    </w:rPr>
  </w:style>
  <w:style w:type="table" w:customStyle="1" w:styleId="ECHRTableGrey">
    <w:name w:val="ECHR_Table_Grey"/>
    <w:basedOn w:val="Standardowy"/>
    <w:uiPriority w:val="99"/>
    <w:rsid w:val="008113A5"/>
    <w:pPr>
      <w:tabs>
        <w:tab w:val="left" w:pos="397"/>
      </w:tabs>
    </w:pPr>
    <w:tblPr>
      <w:jc w:val="center"/>
      <w:tblBorders>
        <w:top w:val="single" w:sz="4" w:space="0" w:color="636363"/>
        <w:left w:val="single" w:sz="4" w:space="0" w:color="636363"/>
        <w:bottom w:val="single" w:sz="4" w:space="0" w:color="636363"/>
        <w:right w:val="single" w:sz="4" w:space="0" w:color="636363"/>
      </w:tblBorders>
      <w:tblCellMar>
        <w:top w:w="142" w:type="dxa"/>
        <w:bottom w:w="85" w:type="dxa"/>
      </w:tblCellMar>
    </w:tblPr>
    <w:trPr>
      <w:jc w:val="center"/>
    </w:trPr>
    <w:tcPr>
      <w:shd w:val="clear" w:color="auto" w:fill="F8F8F8"/>
    </w:tcPr>
    <w:tblStylePr w:type="firstRow">
      <w:rPr>
        <w:b/>
        <w:color w:val="262626"/>
      </w:rPr>
    </w:tblStylePr>
  </w:style>
  <w:style w:type="numbering" w:customStyle="1" w:styleId="ECHRA1StyleList">
    <w:name w:val="ECHR_A1_Style_List"/>
    <w:basedOn w:val="Bezlisty"/>
    <w:uiPriority w:val="99"/>
    <w:rsid w:val="008113A5"/>
    <w:pPr>
      <w:numPr>
        <w:numId w:val="25"/>
      </w:numPr>
    </w:pPr>
  </w:style>
  <w:style w:type="paragraph" w:customStyle="1" w:styleId="ECHRList1">
    <w:name w:val="ECHR_List_1"/>
    <w:aliases w:val="Num_Left_1"/>
    <w:basedOn w:val="Normalny"/>
    <w:uiPriority w:val="12"/>
    <w:rsid w:val="00591367"/>
    <w:pPr>
      <w:numPr>
        <w:numId w:val="26"/>
      </w:numPr>
      <w:spacing w:before="60" w:after="60"/>
    </w:pPr>
    <w:rPr>
      <w:rFonts w:eastAsia="Calibri"/>
      <w:sz w:val="22"/>
    </w:rPr>
  </w:style>
  <w:style w:type="paragraph" w:customStyle="1" w:styleId="ECHRList2">
    <w:name w:val="ECHR_List_2"/>
    <w:aliases w:val="Num_Left_2"/>
    <w:basedOn w:val="ECHRList1"/>
    <w:uiPriority w:val="12"/>
    <w:rsid w:val="008113A5"/>
    <w:pPr>
      <w:numPr>
        <w:ilvl w:val="1"/>
      </w:numPr>
    </w:pPr>
  </w:style>
  <w:style w:type="paragraph" w:customStyle="1" w:styleId="ECHRList3">
    <w:name w:val="ECHR_List_3"/>
    <w:aliases w:val="Num_Left_3"/>
    <w:basedOn w:val="ECHRList2"/>
    <w:uiPriority w:val="12"/>
    <w:rsid w:val="008113A5"/>
    <w:pPr>
      <w:numPr>
        <w:ilvl w:val="2"/>
      </w:numPr>
      <w:tabs>
        <w:tab w:val="clear" w:pos="1191"/>
        <w:tab w:val="num" w:pos="1418"/>
      </w:tabs>
      <w:ind w:left="1419" w:hanging="284"/>
    </w:pPr>
  </w:style>
  <w:style w:type="table" w:customStyle="1" w:styleId="ECHRTable2016">
    <w:name w:val="ECHR_Table_2016"/>
    <w:basedOn w:val="Standardowy"/>
    <w:uiPriority w:val="99"/>
    <w:rsid w:val="008113A5"/>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Calibri" w:hAnsi="Calibri"/>
        <w:b/>
        <w:i w:val="0"/>
        <w:color w:val="F8F8F8"/>
        <w:sz w:val="22"/>
      </w:rPr>
      <w:tblPr/>
      <w:trPr>
        <w:tblHeader/>
      </w:trPr>
      <w:tcPr>
        <w:tcBorders>
          <w:top w:val="single" w:sz="4" w:space="0" w:color="5F5F5F"/>
          <w:left w:val="single" w:sz="4" w:space="0" w:color="5F5F5F"/>
          <w:bottom w:val="single" w:sz="4" w:space="0" w:color="5F5F5F"/>
          <w:right w:val="single" w:sz="4" w:space="0" w:color="5F5F5F"/>
          <w:insideH w:val="single" w:sz="4" w:space="0" w:color="5F5F5F"/>
          <w:insideV w:val="single" w:sz="4" w:space="0" w:color="F8F8F8"/>
          <w:tl2br w:val="nil"/>
          <w:tr2bl w:val="nil"/>
        </w:tcBorders>
        <w:shd w:val="clear" w:color="auto" w:fill="5F5F5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Calibri" w:hAnsi="Calibri"/>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band2Horz">
      <w:tblPr/>
      <w:tcPr>
        <w:tcBorders>
          <w:top w:val="single" w:sz="4" w:space="0" w:color="0072BC"/>
          <w:left w:val="single" w:sz="4" w:space="0" w:color="0072BC"/>
          <w:bottom w:val="single" w:sz="4" w:space="0" w:color="0072BC"/>
          <w:right w:val="single" w:sz="4" w:space="0" w:color="0072BC"/>
          <w:insideH w:val="single" w:sz="4" w:space="0" w:color="0072BC"/>
          <w:insideV w:val="single" w:sz="4" w:space="0" w:color="0072BC"/>
          <w:tl2br w:val="nil"/>
          <w:tr2bl w:val="nil"/>
        </w:tcBorders>
        <w:shd w:val="clear" w:color="auto" w:fill="E8E8E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87807">
      <w:bodyDiv w:val="1"/>
      <w:marLeft w:val="0"/>
      <w:marRight w:val="0"/>
      <w:marTop w:val="0"/>
      <w:marBottom w:val="0"/>
      <w:divBdr>
        <w:top w:val="none" w:sz="0" w:space="0" w:color="auto"/>
        <w:left w:val="none" w:sz="0" w:space="0" w:color="auto"/>
        <w:bottom w:val="none" w:sz="0" w:space="0" w:color="auto"/>
        <w:right w:val="none" w:sz="0" w:space="0" w:color="auto"/>
      </w:divBdr>
      <w:divsChild>
        <w:div w:id="719595042">
          <w:marLeft w:val="0"/>
          <w:marRight w:val="0"/>
          <w:marTop w:val="0"/>
          <w:marBottom w:val="0"/>
          <w:divBdr>
            <w:top w:val="none" w:sz="0" w:space="0" w:color="auto"/>
            <w:left w:val="none" w:sz="0" w:space="0" w:color="auto"/>
            <w:bottom w:val="none" w:sz="0" w:space="0" w:color="auto"/>
            <w:right w:val="none" w:sz="0" w:space="0" w:color="auto"/>
          </w:divBdr>
          <w:divsChild>
            <w:div w:id="1896693572">
              <w:marLeft w:val="0"/>
              <w:marRight w:val="0"/>
              <w:marTop w:val="150"/>
              <w:marBottom w:val="150"/>
              <w:divBdr>
                <w:top w:val="none" w:sz="0" w:space="0" w:color="auto"/>
                <w:left w:val="none" w:sz="0" w:space="0" w:color="auto"/>
                <w:bottom w:val="none" w:sz="0" w:space="0" w:color="auto"/>
                <w:right w:val="none" w:sz="0" w:space="0" w:color="auto"/>
              </w:divBdr>
              <w:divsChild>
                <w:div w:id="947271567">
                  <w:marLeft w:val="0"/>
                  <w:marRight w:val="0"/>
                  <w:marTop w:val="0"/>
                  <w:marBottom w:val="0"/>
                  <w:divBdr>
                    <w:top w:val="none" w:sz="0" w:space="0" w:color="auto"/>
                    <w:left w:val="none" w:sz="0" w:space="0" w:color="auto"/>
                    <w:bottom w:val="none" w:sz="0" w:space="0" w:color="auto"/>
                    <w:right w:val="none" w:sz="0" w:space="0" w:color="auto"/>
                  </w:divBdr>
                  <w:divsChild>
                    <w:div w:id="1468627778">
                      <w:marLeft w:val="0"/>
                      <w:marRight w:val="0"/>
                      <w:marTop w:val="0"/>
                      <w:marBottom w:val="0"/>
                      <w:divBdr>
                        <w:top w:val="none" w:sz="0" w:space="0" w:color="auto"/>
                        <w:left w:val="none" w:sz="0" w:space="0" w:color="auto"/>
                        <w:bottom w:val="none" w:sz="0" w:space="0" w:color="auto"/>
                        <w:right w:val="none" w:sz="0" w:space="0" w:color="auto"/>
                      </w:divBdr>
                      <w:divsChild>
                        <w:div w:id="1947080885">
                          <w:marLeft w:val="0"/>
                          <w:marRight w:val="0"/>
                          <w:marTop w:val="0"/>
                          <w:marBottom w:val="0"/>
                          <w:divBdr>
                            <w:top w:val="none" w:sz="0" w:space="0" w:color="auto"/>
                            <w:left w:val="none" w:sz="0" w:space="0" w:color="auto"/>
                            <w:bottom w:val="none" w:sz="0" w:space="0" w:color="auto"/>
                            <w:right w:val="none" w:sz="0" w:space="0" w:color="auto"/>
                          </w:divBdr>
                          <w:divsChild>
                            <w:div w:id="96134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15781">
      <w:bodyDiv w:val="1"/>
      <w:marLeft w:val="0"/>
      <w:marRight w:val="0"/>
      <w:marTop w:val="0"/>
      <w:marBottom w:val="0"/>
      <w:divBdr>
        <w:top w:val="none" w:sz="0" w:space="0" w:color="auto"/>
        <w:left w:val="none" w:sz="0" w:space="0" w:color="auto"/>
        <w:bottom w:val="none" w:sz="0" w:space="0" w:color="auto"/>
        <w:right w:val="none" w:sz="0" w:space="0" w:color="auto"/>
      </w:divBdr>
      <w:divsChild>
        <w:div w:id="285820049">
          <w:marLeft w:val="0"/>
          <w:marRight w:val="0"/>
          <w:marTop w:val="0"/>
          <w:marBottom w:val="0"/>
          <w:divBdr>
            <w:top w:val="none" w:sz="0" w:space="0" w:color="auto"/>
            <w:left w:val="none" w:sz="0" w:space="0" w:color="auto"/>
            <w:bottom w:val="none" w:sz="0" w:space="0" w:color="auto"/>
            <w:right w:val="none" w:sz="0" w:space="0" w:color="auto"/>
          </w:divBdr>
          <w:divsChild>
            <w:div w:id="1903172220">
              <w:marLeft w:val="0"/>
              <w:marRight w:val="0"/>
              <w:marTop w:val="0"/>
              <w:marBottom w:val="0"/>
              <w:divBdr>
                <w:top w:val="none" w:sz="0" w:space="0" w:color="auto"/>
                <w:left w:val="none" w:sz="0" w:space="0" w:color="auto"/>
                <w:bottom w:val="none" w:sz="0" w:space="0" w:color="auto"/>
                <w:right w:val="none" w:sz="0" w:space="0" w:color="auto"/>
              </w:divBdr>
              <w:divsChild>
                <w:div w:id="748578095">
                  <w:marLeft w:val="0"/>
                  <w:marRight w:val="0"/>
                  <w:marTop w:val="0"/>
                  <w:marBottom w:val="0"/>
                  <w:divBdr>
                    <w:top w:val="none" w:sz="0" w:space="0" w:color="auto"/>
                    <w:left w:val="none" w:sz="0" w:space="0" w:color="auto"/>
                    <w:bottom w:val="none" w:sz="0" w:space="0" w:color="auto"/>
                    <w:right w:val="none" w:sz="0" w:space="0" w:color="auto"/>
                  </w:divBdr>
                  <w:divsChild>
                    <w:div w:id="313947509">
                      <w:marLeft w:val="0"/>
                      <w:marRight w:val="0"/>
                      <w:marTop w:val="0"/>
                      <w:marBottom w:val="0"/>
                      <w:divBdr>
                        <w:top w:val="none" w:sz="0" w:space="0" w:color="auto"/>
                        <w:left w:val="none" w:sz="0" w:space="0" w:color="auto"/>
                        <w:bottom w:val="none" w:sz="0" w:space="0" w:color="auto"/>
                        <w:right w:val="none" w:sz="0" w:space="0" w:color="auto"/>
                      </w:divBdr>
                      <w:divsChild>
                        <w:div w:id="1974291392">
                          <w:marLeft w:val="0"/>
                          <w:marRight w:val="0"/>
                          <w:marTop w:val="0"/>
                          <w:marBottom w:val="0"/>
                          <w:divBdr>
                            <w:top w:val="none" w:sz="0" w:space="0" w:color="auto"/>
                            <w:left w:val="none" w:sz="0" w:space="0" w:color="auto"/>
                            <w:bottom w:val="none" w:sz="0" w:space="0" w:color="auto"/>
                            <w:right w:val="none" w:sz="0" w:space="0" w:color="auto"/>
                          </w:divBdr>
                          <w:divsChild>
                            <w:div w:id="68991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666666">
      <w:bodyDiv w:val="1"/>
      <w:marLeft w:val="0"/>
      <w:marRight w:val="0"/>
      <w:marTop w:val="0"/>
      <w:marBottom w:val="0"/>
      <w:divBdr>
        <w:top w:val="none" w:sz="0" w:space="0" w:color="auto"/>
        <w:left w:val="none" w:sz="0" w:space="0" w:color="auto"/>
        <w:bottom w:val="none" w:sz="0" w:space="0" w:color="auto"/>
        <w:right w:val="none" w:sz="0" w:space="0" w:color="auto"/>
      </w:divBdr>
      <w:divsChild>
        <w:div w:id="1491095989">
          <w:marLeft w:val="0"/>
          <w:marRight w:val="0"/>
          <w:marTop w:val="0"/>
          <w:marBottom w:val="0"/>
          <w:divBdr>
            <w:top w:val="none" w:sz="0" w:space="0" w:color="auto"/>
            <w:left w:val="none" w:sz="0" w:space="0" w:color="auto"/>
            <w:bottom w:val="none" w:sz="0" w:space="0" w:color="auto"/>
            <w:right w:val="none" w:sz="0" w:space="0" w:color="auto"/>
          </w:divBdr>
          <w:divsChild>
            <w:div w:id="445471179">
              <w:marLeft w:val="0"/>
              <w:marRight w:val="0"/>
              <w:marTop w:val="0"/>
              <w:marBottom w:val="0"/>
              <w:divBdr>
                <w:top w:val="none" w:sz="0" w:space="0" w:color="auto"/>
                <w:left w:val="none" w:sz="0" w:space="0" w:color="auto"/>
                <w:bottom w:val="none" w:sz="0" w:space="0" w:color="auto"/>
                <w:right w:val="none" w:sz="0" w:space="0" w:color="auto"/>
              </w:divBdr>
              <w:divsChild>
                <w:div w:id="585000964">
                  <w:marLeft w:val="0"/>
                  <w:marRight w:val="0"/>
                  <w:marTop w:val="0"/>
                  <w:marBottom w:val="0"/>
                  <w:divBdr>
                    <w:top w:val="none" w:sz="0" w:space="0" w:color="auto"/>
                    <w:left w:val="none" w:sz="0" w:space="0" w:color="auto"/>
                    <w:bottom w:val="none" w:sz="0" w:space="0" w:color="auto"/>
                    <w:right w:val="none" w:sz="0" w:space="0" w:color="auto"/>
                  </w:divBdr>
                  <w:divsChild>
                    <w:div w:id="1274366708">
                      <w:marLeft w:val="0"/>
                      <w:marRight w:val="0"/>
                      <w:marTop w:val="0"/>
                      <w:marBottom w:val="0"/>
                      <w:divBdr>
                        <w:top w:val="none" w:sz="0" w:space="0" w:color="auto"/>
                        <w:left w:val="none" w:sz="0" w:space="0" w:color="auto"/>
                        <w:bottom w:val="none" w:sz="0" w:space="0" w:color="auto"/>
                        <w:right w:val="none" w:sz="0" w:space="0" w:color="auto"/>
                      </w:divBdr>
                      <w:divsChild>
                        <w:div w:id="487982556">
                          <w:marLeft w:val="0"/>
                          <w:marRight w:val="0"/>
                          <w:marTop w:val="0"/>
                          <w:marBottom w:val="0"/>
                          <w:divBdr>
                            <w:top w:val="none" w:sz="0" w:space="0" w:color="auto"/>
                            <w:left w:val="none" w:sz="0" w:space="0" w:color="auto"/>
                            <w:bottom w:val="none" w:sz="0" w:space="0" w:color="auto"/>
                            <w:right w:val="none" w:sz="0" w:space="0" w:color="auto"/>
                          </w:divBdr>
                          <w:divsChild>
                            <w:div w:id="114920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572607">
      <w:bodyDiv w:val="1"/>
      <w:marLeft w:val="0"/>
      <w:marRight w:val="0"/>
      <w:marTop w:val="0"/>
      <w:marBottom w:val="0"/>
      <w:divBdr>
        <w:top w:val="none" w:sz="0" w:space="0" w:color="auto"/>
        <w:left w:val="none" w:sz="0" w:space="0" w:color="auto"/>
        <w:bottom w:val="none" w:sz="0" w:space="0" w:color="auto"/>
        <w:right w:val="none" w:sz="0" w:space="0" w:color="auto"/>
      </w:divBdr>
      <w:divsChild>
        <w:div w:id="101920819">
          <w:marLeft w:val="0"/>
          <w:marRight w:val="0"/>
          <w:marTop w:val="0"/>
          <w:marBottom w:val="0"/>
          <w:divBdr>
            <w:top w:val="none" w:sz="0" w:space="0" w:color="auto"/>
            <w:left w:val="none" w:sz="0" w:space="0" w:color="auto"/>
            <w:bottom w:val="none" w:sz="0" w:space="0" w:color="auto"/>
            <w:right w:val="none" w:sz="0" w:space="0" w:color="auto"/>
          </w:divBdr>
          <w:divsChild>
            <w:div w:id="173228767">
              <w:marLeft w:val="0"/>
              <w:marRight w:val="0"/>
              <w:marTop w:val="150"/>
              <w:marBottom w:val="150"/>
              <w:divBdr>
                <w:top w:val="none" w:sz="0" w:space="0" w:color="auto"/>
                <w:left w:val="none" w:sz="0" w:space="0" w:color="auto"/>
                <w:bottom w:val="none" w:sz="0" w:space="0" w:color="auto"/>
                <w:right w:val="none" w:sz="0" w:space="0" w:color="auto"/>
              </w:divBdr>
              <w:divsChild>
                <w:div w:id="1997876057">
                  <w:marLeft w:val="0"/>
                  <w:marRight w:val="0"/>
                  <w:marTop w:val="0"/>
                  <w:marBottom w:val="0"/>
                  <w:divBdr>
                    <w:top w:val="none" w:sz="0" w:space="0" w:color="auto"/>
                    <w:left w:val="none" w:sz="0" w:space="0" w:color="auto"/>
                    <w:bottom w:val="none" w:sz="0" w:space="0" w:color="auto"/>
                    <w:right w:val="none" w:sz="0" w:space="0" w:color="auto"/>
                  </w:divBdr>
                  <w:divsChild>
                    <w:div w:id="675768687">
                      <w:marLeft w:val="0"/>
                      <w:marRight w:val="0"/>
                      <w:marTop w:val="0"/>
                      <w:marBottom w:val="0"/>
                      <w:divBdr>
                        <w:top w:val="none" w:sz="0" w:space="0" w:color="auto"/>
                        <w:left w:val="none" w:sz="0" w:space="0" w:color="auto"/>
                        <w:bottom w:val="none" w:sz="0" w:space="0" w:color="auto"/>
                        <w:right w:val="none" w:sz="0" w:space="0" w:color="auto"/>
                      </w:divBdr>
                      <w:divsChild>
                        <w:div w:id="386610197">
                          <w:marLeft w:val="0"/>
                          <w:marRight w:val="0"/>
                          <w:marTop w:val="0"/>
                          <w:marBottom w:val="0"/>
                          <w:divBdr>
                            <w:top w:val="none" w:sz="0" w:space="0" w:color="auto"/>
                            <w:left w:val="none" w:sz="0" w:space="0" w:color="auto"/>
                            <w:bottom w:val="none" w:sz="0" w:space="0" w:color="auto"/>
                            <w:right w:val="none" w:sz="0" w:space="0" w:color="auto"/>
                          </w:divBdr>
                          <w:divsChild>
                            <w:div w:id="7512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20925758">
      <w:bodyDiv w:val="1"/>
      <w:marLeft w:val="0"/>
      <w:marRight w:val="0"/>
      <w:marTop w:val="0"/>
      <w:marBottom w:val="0"/>
      <w:divBdr>
        <w:top w:val="none" w:sz="0" w:space="0" w:color="auto"/>
        <w:left w:val="none" w:sz="0" w:space="0" w:color="auto"/>
        <w:bottom w:val="none" w:sz="0" w:space="0" w:color="auto"/>
        <w:right w:val="none" w:sz="0" w:space="0" w:color="auto"/>
      </w:divBdr>
    </w:div>
    <w:div w:id="198445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jrad.unmict.org/webdrawer/webdrawer.dll/webdrawer/rec/224664/view/" TargetMode="External"/><Relationship Id="rId13" Type="http://schemas.openxmlformats.org/officeDocument/2006/relationships/hyperlink" Target="http://jrad.unmict.org/webdrawer/webdrawer.dll/webdrawer/rec/230860/view/" TargetMode="External"/><Relationship Id="rId3" Type="http://schemas.openxmlformats.org/officeDocument/2006/relationships/hyperlink" Target="http://jrad.unmict.org/webdrawer/webdrawer.dll/webdrawer/rec/224025/view/" TargetMode="External"/><Relationship Id="rId7" Type="http://schemas.openxmlformats.org/officeDocument/2006/relationships/hyperlink" Target="http://jrad.unmict.org/webdrawer/webdrawer.dll/webdrawer/rec/230860/view/" TargetMode="External"/><Relationship Id="rId12" Type="http://schemas.openxmlformats.org/officeDocument/2006/relationships/hyperlink" Target="http://jrad.unmict.org/webdrawer/webdrawer.dll/webdrawer/rec/224664/view/" TargetMode="External"/><Relationship Id="rId2" Type="http://schemas.openxmlformats.org/officeDocument/2006/relationships/hyperlink" Target="http://www.icty.org/x/cases/oric/acdec/en/050720.htm" TargetMode="External"/><Relationship Id="rId1" Type="http://schemas.openxmlformats.org/officeDocument/2006/relationships/hyperlink" Target="http://digitalcommons.pace.edu/lawfaculty/533/" TargetMode="External"/><Relationship Id="rId6" Type="http://schemas.openxmlformats.org/officeDocument/2006/relationships/hyperlink" Target="http://jrad.unmict.org/webdrawer/webdrawer.dll/webdrawer/rec/230860/view/" TargetMode="External"/><Relationship Id="rId11" Type="http://schemas.openxmlformats.org/officeDocument/2006/relationships/hyperlink" Target="http://jrad.unmict.org/webdrawer/webdrawer.dll/webdrawer/rec/223898/view/" TargetMode="External"/><Relationship Id="rId5" Type="http://schemas.openxmlformats.org/officeDocument/2006/relationships/hyperlink" Target="http://jrad.unmict.org/webdrawer/webdrawer.dll/webdrawer/rec/227395/view/" TargetMode="External"/><Relationship Id="rId10" Type="http://schemas.openxmlformats.org/officeDocument/2006/relationships/hyperlink" Target="http://jrad.unmict.org/webdrawer/webdrawer.dll/webdrawer/rec/229213/view/" TargetMode="External"/><Relationship Id="rId4" Type="http://schemas.openxmlformats.org/officeDocument/2006/relationships/hyperlink" Target="http://jrad.unmict.org/webdrawer/webdrawer.dll/webdrawer/rec/224664/view/" TargetMode="External"/><Relationship Id="rId9" Type="http://schemas.openxmlformats.org/officeDocument/2006/relationships/hyperlink" Target="http://jrad.unmict.org/webdrawer/webdrawer.dll/webdrawer/rec/227395/view/" TargetMode="External"/><Relationship Id="rId14" Type="http://schemas.openxmlformats.org/officeDocument/2006/relationships/hyperlink" Target="http://hudoc.echr.coe.int/eng?i=001-7343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5C01E-D3D5-4E8F-970F-C17D00F22524}">
  <ds:schemaRefs>
    <ds:schemaRef ds:uri="http://schemas.microsoft.com/sharepoint/v3/contenttype/forms"/>
  </ds:schemaRefs>
</ds:datastoreItem>
</file>

<file path=customXml/itemProps2.xml><?xml version="1.0" encoding="utf-8"?>
<ds:datastoreItem xmlns:ds="http://schemas.openxmlformats.org/officeDocument/2006/customXml" ds:itemID="{B0356036-5ED8-4B22-B9ED-9D37718099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247A65-0059-4312-9F3A-57D3802B3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30D77D8-C655-4739-9E6D-54561E57A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32564</Words>
  <Characters>195387</Characters>
  <Application>Microsoft Office Word</Application>
  <DocSecurity>0</DocSecurity>
  <Lines>1628</Lines>
  <Paragraphs>454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2020-05-07T09:18:00Z</dcterms:created>
  <dcterms:modified xsi:type="dcterms:W3CDTF">2020-05-07T09:18:00Z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36658/05</vt:lpwstr>
  </property>
  <property fmtid="{D5CDD505-2E9C-101B-9397-08002B2CF9AE}" pid="4" name="CASEID">
    <vt:lpwstr>366884</vt:lpwstr>
  </property>
  <property fmtid="{D5CDD505-2E9C-101B-9397-08002B2CF9AE}" pid="5" name="ContentTypeId">
    <vt:lpwstr>0x010100558EB02BDB9E204AB350EDD385B68E10</vt:lpwstr>
  </property>
</Properties>
</file>