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49FBE" w14:textId="77777777" w:rsidR="000041DE" w:rsidRPr="00F92229" w:rsidRDefault="000041DE" w:rsidP="000041DE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58812333" w14:textId="77777777" w:rsidR="000041DE" w:rsidRPr="00F92229" w:rsidRDefault="000041DE" w:rsidP="000041DE">
      <w:pPr>
        <w:jc w:val="center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EUROPEJSKI TRYBUNAŁ PRAW CZŁOWIEKA</w:t>
      </w:r>
    </w:p>
    <w:p w14:paraId="6D3039EF" w14:textId="77777777" w:rsidR="000041DE" w:rsidRPr="00F92229" w:rsidRDefault="000041DE" w:rsidP="000041DE">
      <w:pPr>
        <w:jc w:val="center"/>
        <w:rPr>
          <w:rFonts w:ascii="Times New Roman" w:hAnsi="Times New Roman" w:cs="Times New Roman"/>
        </w:rPr>
      </w:pPr>
    </w:p>
    <w:p w14:paraId="6E2B80EE" w14:textId="77777777" w:rsidR="000041DE" w:rsidRPr="00F92229" w:rsidRDefault="000041DE" w:rsidP="000041DE">
      <w:pPr>
        <w:jc w:val="center"/>
        <w:rPr>
          <w:rFonts w:ascii="Times New Roman" w:hAnsi="Times New Roman" w:cs="Times New Roman"/>
        </w:rPr>
      </w:pPr>
    </w:p>
    <w:p w14:paraId="15FE1516" w14:textId="77777777" w:rsidR="000041DE" w:rsidRPr="00F92229" w:rsidRDefault="000041DE" w:rsidP="000041DE">
      <w:pPr>
        <w:pStyle w:val="DecHCase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SEKCJA PIERWSZA</w:t>
      </w:r>
      <w:bookmarkStart w:id="1" w:name="To"/>
    </w:p>
    <w:p w14:paraId="4F7BB2C0" w14:textId="77777777" w:rsidR="000041DE" w:rsidRPr="00F92229" w:rsidRDefault="000041DE" w:rsidP="000041DE">
      <w:pPr>
        <w:pStyle w:val="JuTitle"/>
        <w:rPr>
          <w:rFonts w:ascii="Times New Roman" w:hAnsi="Times New Roman" w:cs="Times New Roman"/>
        </w:rPr>
      </w:pPr>
    </w:p>
    <w:p w14:paraId="57854DB5" w14:textId="77777777" w:rsidR="000041DE" w:rsidRPr="00F92229" w:rsidRDefault="000041DE" w:rsidP="000041DE">
      <w:pPr>
        <w:pStyle w:val="JuTitle"/>
        <w:rPr>
          <w:rFonts w:ascii="Times New Roman" w:hAnsi="Times New Roman" w:cs="Times New Roman"/>
        </w:rPr>
      </w:pPr>
    </w:p>
    <w:p w14:paraId="3003106A" w14:textId="77777777" w:rsidR="000041DE" w:rsidRPr="00F92229" w:rsidRDefault="000041DE" w:rsidP="000041DE">
      <w:pPr>
        <w:pStyle w:val="JuTitle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bCs/>
        </w:rPr>
        <w:t xml:space="preserve">SPRAWA </w:t>
      </w:r>
      <w:bookmarkEnd w:id="1"/>
      <w:r w:rsidRPr="00F92229">
        <w:rPr>
          <w:rFonts w:ascii="Times New Roman" w:hAnsi="Times New Roman" w:cs="Times New Roman"/>
          <w:bCs/>
        </w:rPr>
        <w:t>JANULIS przeciwko POLSCE</w:t>
      </w:r>
    </w:p>
    <w:p w14:paraId="00998F6C" w14:textId="77777777" w:rsidR="000041DE" w:rsidRPr="00F92229" w:rsidRDefault="000041DE" w:rsidP="000041DE">
      <w:pPr>
        <w:jc w:val="center"/>
        <w:rPr>
          <w:rFonts w:ascii="Times New Roman" w:hAnsi="Times New Roman" w:cs="Times New Roman"/>
          <w:b/>
        </w:rPr>
      </w:pPr>
    </w:p>
    <w:p w14:paraId="1E1FDEB4" w14:textId="07E57224" w:rsidR="000041DE" w:rsidRPr="00F92229" w:rsidRDefault="000041DE" w:rsidP="000041DE">
      <w:pPr>
        <w:pStyle w:val="ECHRCoverTitle4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(Skarga nr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31792/15)</w:t>
      </w:r>
    </w:p>
    <w:p w14:paraId="47AF6945" w14:textId="77777777" w:rsidR="000041DE" w:rsidRPr="00F92229" w:rsidRDefault="000041DE" w:rsidP="000041DE">
      <w:pPr>
        <w:pStyle w:val="DecHCase"/>
        <w:rPr>
          <w:rFonts w:ascii="Times New Roman" w:hAnsi="Times New Roman" w:cs="Times New Roman"/>
        </w:rPr>
      </w:pPr>
    </w:p>
    <w:p w14:paraId="2F666528" w14:textId="77777777" w:rsidR="000041DE" w:rsidRPr="00F92229" w:rsidRDefault="000041DE" w:rsidP="000041DE">
      <w:pPr>
        <w:pStyle w:val="DecHCase"/>
        <w:rPr>
          <w:rFonts w:ascii="Times New Roman" w:hAnsi="Times New Roman" w:cs="Times New Roman"/>
        </w:rPr>
      </w:pPr>
    </w:p>
    <w:p w14:paraId="06436CAD" w14:textId="77777777" w:rsidR="000041DE" w:rsidRPr="00F92229" w:rsidRDefault="000041DE" w:rsidP="000041DE">
      <w:pPr>
        <w:pStyle w:val="DecHCase"/>
        <w:rPr>
          <w:rFonts w:ascii="Times New Roman" w:hAnsi="Times New Roman" w:cs="Times New Roman"/>
        </w:rPr>
      </w:pPr>
    </w:p>
    <w:p w14:paraId="63ACE4B7" w14:textId="77777777" w:rsidR="000041DE" w:rsidRPr="00F92229" w:rsidRDefault="000041DE" w:rsidP="000041DE">
      <w:pPr>
        <w:pStyle w:val="DecHCase"/>
        <w:rPr>
          <w:rFonts w:ascii="Times New Roman" w:hAnsi="Times New Roman" w:cs="Times New Roman"/>
        </w:rPr>
      </w:pPr>
    </w:p>
    <w:p w14:paraId="7ACF1F56" w14:textId="77777777" w:rsidR="000041DE" w:rsidRPr="00F92229" w:rsidRDefault="000041DE" w:rsidP="000041DE">
      <w:pPr>
        <w:pStyle w:val="DecHCase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WYROK</w:t>
      </w:r>
    </w:p>
    <w:p w14:paraId="427A7802" w14:textId="77777777" w:rsidR="000041DE" w:rsidRPr="00F92229" w:rsidRDefault="000041DE" w:rsidP="000041DE">
      <w:pPr>
        <w:pStyle w:val="DecHCase"/>
        <w:rPr>
          <w:rFonts w:ascii="Times New Roman" w:hAnsi="Times New Roman" w:cs="Times New Roman"/>
        </w:rPr>
      </w:pPr>
    </w:p>
    <w:p w14:paraId="6F5AACBB" w14:textId="77777777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</w:p>
    <w:p w14:paraId="04A17122" w14:textId="77777777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</w:p>
    <w:p w14:paraId="407DC7BE" w14:textId="77777777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</w:p>
    <w:p w14:paraId="3464AC2D" w14:textId="77777777" w:rsidR="000041DE" w:rsidRPr="00F92229" w:rsidRDefault="000041DE" w:rsidP="000041DE">
      <w:pPr>
        <w:pStyle w:val="DecHCase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STRASBURG</w:t>
      </w:r>
    </w:p>
    <w:p w14:paraId="152E0042" w14:textId="085884BB" w:rsidR="000041DE" w:rsidRPr="00F92229" w:rsidRDefault="000041DE" w:rsidP="000041DE">
      <w:pPr>
        <w:pStyle w:val="DecHCase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16 stycznia 2020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r.</w:t>
      </w:r>
    </w:p>
    <w:p w14:paraId="20CCA983" w14:textId="77777777" w:rsidR="000041DE" w:rsidRPr="00F92229" w:rsidRDefault="000041DE" w:rsidP="000041DE">
      <w:pPr>
        <w:jc w:val="center"/>
        <w:rPr>
          <w:rFonts w:ascii="Times New Roman" w:hAnsi="Times New Roman" w:cs="Times New Roman"/>
        </w:rPr>
      </w:pPr>
    </w:p>
    <w:p w14:paraId="668FCFA5" w14:textId="73D85E9E" w:rsidR="000041DE" w:rsidRPr="00F92229" w:rsidRDefault="000041DE" w:rsidP="000041DE">
      <w:pPr>
        <w:rPr>
          <w:rFonts w:ascii="Times New Roman" w:hAnsi="Times New Roman" w:cs="Times New Roman"/>
          <w:i/>
          <w:sz w:val="22"/>
        </w:rPr>
      </w:pPr>
      <w:r w:rsidRPr="00F92229">
        <w:rPr>
          <w:rFonts w:ascii="Times New Roman" w:hAnsi="Times New Roman" w:cs="Times New Roman"/>
          <w:i/>
          <w:sz w:val="22"/>
        </w:rPr>
        <w:t xml:space="preserve">Wyrok ten </w:t>
      </w:r>
      <w:r w:rsidR="00F92229">
        <w:rPr>
          <w:rFonts w:ascii="Times New Roman" w:hAnsi="Times New Roman" w:cs="Times New Roman"/>
          <w:i/>
          <w:sz w:val="22"/>
        </w:rPr>
        <w:t>jest</w:t>
      </w:r>
      <w:r w:rsidRPr="00F92229">
        <w:rPr>
          <w:rFonts w:ascii="Times New Roman" w:hAnsi="Times New Roman" w:cs="Times New Roman"/>
          <w:i/>
          <w:sz w:val="22"/>
        </w:rPr>
        <w:t xml:space="preserve"> ostateczny, lecz może podlegać korekcie wydawniczej.</w:t>
      </w:r>
    </w:p>
    <w:p w14:paraId="361DCA9A" w14:textId="77777777" w:rsidR="000041DE" w:rsidRPr="00F92229" w:rsidRDefault="000041DE" w:rsidP="000041DE">
      <w:pPr>
        <w:rPr>
          <w:rFonts w:ascii="Times New Roman" w:hAnsi="Times New Roman" w:cs="Times New Roman"/>
        </w:rPr>
        <w:sectPr w:rsidR="000041DE" w:rsidRPr="00F92229" w:rsidSect="00F9222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/>
          <w:pgMar w:top="2274" w:right="2274" w:bottom="2274" w:left="2274" w:header="1701" w:footer="720" w:gutter="0"/>
          <w:pgNumType w:start="1"/>
          <w:cols w:space="708"/>
          <w:titlePg/>
          <w:docGrid w:linePitch="326"/>
        </w:sectPr>
      </w:pPr>
    </w:p>
    <w:p w14:paraId="2FF251BC" w14:textId="77777777" w:rsidR="000041DE" w:rsidRPr="00F92229" w:rsidRDefault="000041DE" w:rsidP="000041DE">
      <w:pPr>
        <w:pStyle w:val="JuCase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lastRenderedPageBreak/>
        <w:t>W sprawie Janulis przeciwko Polsce</w:t>
      </w:r>
    </w:p>
    <w:p w14:paraId="7E366053" w14:textId="0C7B4CD7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Europejski Trybunał Praw Człowieka (</w:t>
      </w:r>
      <w:r w:rsidR="00270CB4" w:rsidRPr="00F92229">
        <w:rPr>
          <w:rFonts w:ascii="Times New Roman" w:hAnsi="Times New Roman" w:cs="Times New Roman"/>
        </w:rPr>
        <w:t>Sekcja Pierwsza</w:t>
      </w:r>
      <w:r w:rsidRPr="00F92229">
        <w:rPr>
          <w:rFonts w:ascii="Times New Roman" w:hAnsi="Times New Roman" w:cs="Times New Roman"/>
        </w:rPr>
        <w:t>), zasiadając jako Komitet w składzie:</w:t>
      </w:r>
    </w:p>
    <w:p w14:paraId="071A57DA" w14:textId="77777777" w:rsidR="000041DE" w:rsidRPr="00F92229" w:rsidRDefault="000041DE" w:rsidP="000041DE">
      <w:pPr>
        <w:pStyle w:val="ECHRDecisionBody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ab/>
        <w:t>Armen Harutyunyan,</w:t>
      </w:r>
      <w:r w:rsidRPr="00F92229">
        <w:rPr>
          <w:rFonts w:ascii="Times New Roman" w:hAnsi="Times New Roman" w:cs="Times New Roman"/>
          <w:i/>
        </w:rPr>
        <w:t xml:space="preserve"> Przewodniczący,</w:t>
      </w:r>
      <w:r w:rsidRPr="00F92229">
        <w:rPr>
          <w:rFonts w:ascii="Times New Roman" w:hAnsi="Times New Roman" w:cs="Times New Roman"/>
          <w:i/>
        </w:rPr>
        <w:br/>
      </w:r>
      <w:r w:rsidRPr="00F92229">
        <w:rPr>
          <w:rFonts w:ascii="Times New Roman" w:hAnsi="Times New Roman" w:cs="Times New Roman"/>
        </w:rPr>
        <w:tab/>
        <w:t>Krzysztof Wojtyczek,</w:t>
      </w:r>
      <w:r w:rsidRPr="00F92229">
        <w:rPr>
          <w:rFonts w:ascii="Times New Roman" w:hAnsi="Times New Roman" w:cs="Times New Roman"/>
          <w:i/>
        </w:rPr>
        <w:br/>
      </w:r>
      <w:r w:rsidRPr="00F92229">
        <w:rPr>
          <w:rFonts w:ascii="Times New Roman" w:hAnsi="Times New Roman" w:cs="Times New Roman"/>
        </w:rPr>
        <w:tab/>
        <w:t>Pauliine Koskelo,</w:t>
      </w:r>
      <w:r w:rsidRPr="00F92229">
        <w:rPr>
          <w:rFonts w:ascii="Times New Roman" w:hAnsi="Times New Roman" w:cs="Times New Roman"/>
          <w:i/>
        </w:rPr>
        <w:t xml:space="preserve"> sędziowie,</w:t>
      </w:r>
      <w:r w:rsidRPr="00F92229">
        <w:rPr>
          <w:rFonts w:ascii="Times New Roman" w:hAnsi="Times New Roman" w:cs="Times New Roman"/>
        </w:rPr>
        <w:br/>
        <w:t xml:space="preserve">oraz Abel Campos, </w:t>
      </w:r>
      <w:r w:rsidRPr="00F92229">
        <w:rPr>
          <w:rFonts w:ascii="Times New Roman" w:hAnsi="Times New Roman" w:cs="Times New Roman"/>
          <w:i/>
          <w:iCs/>
        </w:rPr>
        <w:t>kanclerz sekcji</w:t>
      </w:r>
      <w:r w:rsidRPr="00F92229">
        <w:rPr>
          <w:rFonts w:ascii="Times New Roman" w:hAnsi="Times New Roman" w:cs="Times New Roman"/>
          <w:i/>
        </w:rPr>
        <w:t>,</w:t>
      </w:r>
    </w:p>
    <w:p w14:paraId="18A8F7E0" w14:textId="46E8AF82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bookmarkStart w:id="2" w:name="ITMARKHavingStart"/>
      <w:bookmarkEnd w:id="2"/>
      <w:r w:rsidRPr="00F92229">
        <w:rPr>
          <w:rFonts w:ascii="Times New Roman" w:hAnsi="Times New Roman" w:cs="Times New Roman"/>
        </w:rPr>
        <w:t>obradując na posiedzeniu niejawnym w dniu 17 grudnia 2019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r.,</w:t>
      </w:r>
    </w:p>
    <w:p w14:paraId="253A1043" w14:textId="77777777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wydaje następujący wyrok, który został przyjęty w tym dniu:</w:t>
      </w:r>
    </w:p>
    <w:p w14:paraId="3F8EA38C" w14:textId="77777777" w:rsidR="000041DE" w:rsidRPr="00F92229" w:rsidRDefault="000041DE" w:rsidP="000041DE">
      <w:pPr>
        <w:pStyle w:val="JuHHead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POSTĘPOWANIE</w:t>
      </w:r>
    </w:p>
    <w:p w14:paraId="5E24F717" w14:textId="67A1E331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1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Sprawa wywodzi się ze skargi (nr 31792/15) przeciwko Rzeczypospolitej Polskiej, wniesionej do Trybunału w dniu 13 maja 2015 r. na podstawie art. 34 Konwencji o ochronie praw człowieka i podstawowych wolności („Konwencji”) przez obywatela polskiego Kamila Janulisa („skarżącego”).</w:t>
      </w:r>
    </w:p>
    <w:p w14:paraId="4B282743" w14:textId="4895CE41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2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Rząd polski („Rząd”) reprezentowany przez swojego pełnomocnika J.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Chrzanowską, a następnie przez J. Sobczaka z Ministerstwa Spraw Zagranicznych.</w:t>
      </w:r>
    </w:p>
    <w:p w14:paraId="5E77237C" w14:textId="36166C54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 xml:space="preserve">W dniu 6 lipca 2017 r. </w:t>
      </w:r>
      <w:r w:rsidR="00270CB4">
        <w:rPr>
          <w:rFonts w:ascii="Times New Roman" w:hAnsi="Times New Roman" w:cs="Times New Roman"/>
        </w:rPr>
        <w:t xml:space="preserve">skarga została zakomunikowana </w:t>
      </w:r>
      <w:r w:rsidRPr="00F92229">
        <w:rPr>
          <w:rFonts w:ascii="Times New Roman" w:hAnsi="Times New Roman" w:cs="Times New Roman"/>
        </w:rPr>
        <w:t>Rząd</w:t>
      </w:r>
      <w:r w:rsidR="00270CB4">
        <w:rPr>
          <w:rFonts w:ascii="Times New Roman" w:hAnsi="Times New Roman" w:cs="Times New Roman"/>
        </w:rPr>
        <w:t>owi</w:t>
      </w:r>
      <w:r w:rsidRPr="00F92229">
        <w:rPr>
          <w:rFonts w:ascii="Times New Roman" w:hAnsi="Times New Roman" w:cs="Times New Roman"/>
        </w:rPr>
        <w:t>.</w:t>
      </w:r>
    </w:p>
    <w:p w14:paraId="1B992657" w14:textId="77777777" w:rsidR="000041DE" w:rsidRPr="00F92229" w:rsidRDefault="000041DE" w:rsidP="000041DE">
      <w:pPr>
        <w:pStyle w:val="JuHHead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STAN FAKTYCZNY</w:t>
      </w:r>
    </w:p>
    <w:p w14:paraId="5D60865C" w14:textId="77777777" w:rsidR="000041DE" w:rsidRPr="00F92229" w:rsidRDefault="000041DE" w:rsidP="000041DE">
      <w:pPr>
        <w:pStyle w:val="JuHIRoman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OKOLICZNOŚCI SPRAWY</w:t>
      </w:r>
    </w:p>
    <w:p w14:paraId="5B0F5E72" w14:textId="5F434BD3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4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Skarżący urodził się w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1980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r. i przebywa w Zakładzie Karnym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Kamińsku.</w:t>
      </w:r>
    </w:p>
    <w:p w14:paraId="77A7323F" w14:textId="77777777" w:rsidR="000041DE" w:rsidRPr="00F92229" w:rsidRDefault="000041DE" w:rsidP="000041DE">
      <w:pPr>
        <w:pStyle w:val="JuH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Postępowanie karne</w:t>
      </w:r>
    </w:p>
    <w:p w14:paraId="643F9E3C" w14:textId="1DA2D214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bookmarkStart w:id="3" w:name="chargedss"/>
      <w:r w:rsidRPr="00F92229">
        <w:rPr>
          <w:rFonts w:ascii="Times New Roman" w:hAnsi="Times New Roman" w:cs="Times New Roman"/>
          <w:noProof/>
        </w:rPr>
        <w:t>5</w:t>
      </w:r>
      <w:bookmarkEnd w:id="3"/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W dniu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13 listopada 2012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r. skarżącemu przedstawiono zarzuty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związku z oszustwem. W dniu 5 września 2012 r. skarżącego przesłuchano w charakterze świadka, a w dniu 7 grudnia 2012 r.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charakterze podejrzanego.</w:t>
      </w:r>
    </w:p>
    <w:p w14:paraId="77A64DAB" w14:textId="0A62036A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bookmarkStart w:id="4" w:name="expertopinion"/>
      <w:r w:rsidRPr="00F92229">
        <w:rPr>
          <w:rFonts w:ascii="Times New Roman" w:hAnsi="Times New Roman" w:cs="Times New Roman"/>
          <w:noProof/>
        </w:rPr>
        <w:t>6</w:t>
      </w:r>
      <w:bookmarkEnd w:id="4"/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="00E607A6" w:rsidRPr="00F92229">
        <w:rPr>
          <w:rFonts w:ascii="Times New Roman" w:hAnsi="Times New Roman" w:cs="Times New Roman"/>
        </w:rPr>
        <w:t>O</w:t>
      </w:r>
      <w:r w:rsidRPr="00F92229">
        <w:rPr>
          <w:rFonts w:ascii="Times New Roman" w:hAnsi="Times New Roman" w:cs="Times New Roman"/>
        </w:rPr>
        <w:t xml:space="preserve">d 21 grudnia 2012 r. do 11 marca 2013 r. postępowanie </w:t>
      </w:r>
      <w:r w:rsidR="00E607A6" w:rsidRPr="00F92229">
        <w:rPr>
          <w:rFonts w:ascii="Times New Roman" w:hAnsi="Times New Roman" w:cs="Times New Roman"/>
        </w:rPr>
        <w:t xml:space="preserve">było </w:t>
      </w:r>
      <w:r w:rsidRPr="00F92229">
        <w:rPr>
          <w:rFonts w:ascii="Times New Roman" w:hAnsi="Times New Roman" w:cs="Times New Roman"/>
        </w:rPr>
        <w:t>zawieszon</w:t>
      </w:r>
      <w:r w:rsidR="00E607A6" w:rsidRPr="00F92229">
        <w:rPr>
          <w:rFonts w:ascii="Times New Roman" w:hAnsi="Times New Roman" w:cs="Times New Roman"/>
        </w:rPr>
        <w:t>e</w:t>
      </w:r>
      <w:r w:rsidRPr="00F92229">
        <w:rPr>
          <w:rFonts w:ascii="Times New Roman" w:hAnsi="Times New Roman" w:cs="Times New Roman"/>
        </w:rPr>
        <w:t xml:space="preserve"> w związku z poszukiwaniem przez policję drugiego podejrzanego, któremu przedstawiono zarzuty w tej samej sprawie. W dniu 20 czerwca 2013 r. na zlecenie prokuratora sporządzona została opinia biegłego w przedmiocie pisma odręcznego skarżącego.</w:t>
      </w:r>
    </w:p>
    <w:p w14:paraId="41FE8C36" w14:textId="6D29AB2F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bookmarkStart w:id="5" w:name="postepowanieprokuratowa"/>
      <w:r w:rsidRPr="00F92229">
        <w:rPr>
          <w:rFonts w:ascii="Times New Roman" w:hAnsi="Times New Roman" w:cs="Times New Roman"/>
          <w:noProof/>
        </w:rPr>
        <w:t>7</w:t>
      </w:r>
      <w:bookmarkEnd w:id="5"/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 xml:space="preserve">Następnie postępowanie przygotowawcze ponownie </w:t>
      </w:r>
      <w:r w:rsidR="00E607A6" w:rsidRPr="00F92229">
        <w:rPr>
          <w:rFonts w:ascii="Times New Roman" w:hAnsi="Times New Roman" w:cs="Times New Roman"/>
        </w:rPr>
        <w:t xml:space="preserve">zostało </w:t>
      </w:r>
      <w:r w:rsidRPr="00F92229">
        <w:rPr>
          <w:rFonts w:ascii="Times New Roman" w:hAnsi="Times New Roman" w:cs="Times New Roman"/>
        </w:rPr>
        <w:t>zawiesz</w:t>
      </w:r>
      <w:r w:rsidR="00E607A6" w:rsidRPr="00F92229">
        <w:rPr>
          <w:rFonts w:ascii="Times New Roman" w:hAnsi="Times New Roman" w:cs="Times New Roman"/>
        </w:rPr>
        <w:t>one</w:t>
      </w:r>
      <w:r w:rsidRPr="00F92229">
        <w:rPr>
          <w:rFonts w:ascii="Times New Roman" w:hAnsi="Times New Roman" w:cs="Times New Roman"/>
        </w:rPr>
        <w:t xml:space="preserve"> ze względu na nieznalezienie drugiego podejrzanego. W 2014 r. prokurator został poinformowany o tym, że podejrzany opuścił Polskę i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przebywa w Zjednoczonym Królestwie. W styczniu 2015 r. prokurator postanowił wydać nakaz aresztowania w celu poszukiwania podejrzanego.</w:t>
      </w:r>
    </w:p>
    <w:p w14:paraId="5D55CD74" w14:textId="72991452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bookmarkStart w:id="6" w:name="chargessevered"/>
      <w:r w:rsidRPr="00F92229">
        <w:rPr>
          <w:rFonts w:ascii="Times New Roman" w:hAnsi="Times New Roman" w:cs="Times New Roman"/>
          <w:noProof/>
        </w:rPr>
        <w:lastRenderedPageBreak/>
        <w:t>8</w:t>
      </w:r>
      <w:bookmarkEnd w:id="6"/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W dniu 7 czerwca 2017 r. Prokurator Rejonowy w Ostródzie wyłączył zarzucane skarżącemu czyny do odrębnego postępowania.</w:t>
      </w:r>
    </w:p>
    <w:p w14:paraId="3FB7D32D" w14:textId="75AD7D5B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bookmarkStart w:id="7" w:name="idicted"/>
      <w:r w:rsidRPr="00F92229">
        <w:rPr>
          <w:rFonts w:ascii="Times New Roman" w:hAnsi="Times New Roman" w:cs="Times New Roman"/>
          <w:noProof/>
        </w:rPr>
        <w:t>9</w:t>
      </w:r>
      <w:bookmarkEnd w:id="7"/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W dniu 21 czerwca 2017 r. do Sądu Rejonowego w Ostródzie skierowano akt oskarżenia przeciwko skarżącemu.</w:t>
      </w:r>
    </w:p>
    <w:p w14:paraId="0A2D3EBE" w14:textId="1BAEF7BC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bookmarkStart w:id="8" w:name="convictiononehearing"/>
      <w:r w:rsidRPr="00F92229">
        <w:rPr>
          <w:rFonts w:ascii="Times New Roman" w:hAnsi="Times New Roman" w:cs="Times New Roman"/>
          <w:noProof/>
        </w:rPr>
        <w:t>10</w:t>
      </w:r>
      <w:bookmarkEnd w:id="8"/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Wygląda na to, że sąd rozpoznający sprawę odbył jedną rozprawę i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dniu 8 sierpnia 2017 r. skazał skarżącego. Wymierzono mu karę ośmiu lat pozbawienia wolności. Skarżący nie wniósł apelacji, a wyrok jest prawomocny.</w:t>
      </w:r>
    </w:p>
    <w:p w14:paraId="04CCA6E4" w14:textId="77777777" w:rsidR="000041DE" w:rsidRPr="00F92229" w:rsidRDefault="000041DE" w:rsidP="000041DE">
      <w:pPr>
        <w:pStyle w:val="JuH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Postępowanie na podstawie ustawy z 2004 r.</w:t>
      </w:r>
    </w:p>
    <w:p w14:paraId="3A2B1E38" w14:textId="3BF52E4F" w:rsidR="000041DE" w:rsidRPr="00F92229" w:rsidRDefault="000041DE" w:rsidP="000041DE">
      <w:pPr>
        <w:pStyle w:val="JuPara"/>
        <w:rPr>
          <w:rFonts w:ascii="Times New Roman" w:hAnsi="Times New Roman" w:cs="Times New Roman"/>
          <w:iCs/>
        </w:rPr>
      </w:pPr>
      <w:r w:rsidRPr="00F92229">
        <w:rPr>
          <w:rFonts w:ascii="Times New Roman" w:hAnsi="Times New Roman" w:cs="Times New Roman"/>
          <w:noProof/>
        </w:rPr>
        <w:t>11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Skarżący wniósł pięć skarg na podstawie ustawy z dnia 17 czerwca 2004 r. o skardze na naruszenie prawa strony do rozpoznania sprawy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postępowaniu przygotowawczym prowadzonym lub nadzorowanym przez prokuratora i postępowaniu sądowym bez nieuzasadnionej zwłoki („ustawa z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2004 r.”).</w:t>
      </w:r>
    </w:p>
    <w:p w14:paraId="23331653" w14:textId="6D22BE09" w:rsidR="000041DE" w:rsidRPr="00F92229" w:rsidRDefault="000041DE" w:rsidP="000041DE">
      <w:pPr>
        <w:pStyle w:val="JuPara"/>
        <w:rPr>
          <w:rFonts w:ascii="Times New Roman" w:hAnsi="Times New Roman" w:cs="Times New Roman"/>
          <w:iCs/>
        </w:rPr>
      </w:pPr>
      <w:r w:rsidRPr="00F92229">
        <w:rPr>
          <w:rFonts w:ascii="Times New Roman" w:hAnsi="Times New Roman" w:cs="Times New Roman"/>
          <w:iCs/>
          <w:noProof/>
        </w:rPr>
        <w:t>12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Skargi wniesione w dniach 15 października 2013 r. i 16 grudnia 2014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r. oddalono jako oczywiście bezzasadne, zaś dwie pozostałe skargi odrzucono, ponieważ zostały złożone w okresie krótszym niż dwanaście miesięcy od dnia wydania wcześniejszego orzeczenia na podstawie ustawy z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2004 r.</w:t>
      </w:r>
    </w:p>
    <w:p w14:paraId="79EC28AB" w14:textId="0790321D" w:rsidR="000041DE" w:rsidRPr="00F92229" w:rsidRDefault="000041DE" w:rsidP="000041DE">
      <w:pPr>
        <w:pStyle w:val="JuPara"/>
        <w:rPr>
          <w:rFonts w:ascii="Times New Roman" w:hAnsi="Times New Roman" w:cs="Times New Roman"/>
          <w:iCs/>
        </w:rPr>
      </w:pPr>
      <w:bookmarkStart w:id="9" w:name="skragakudlowa"/>
      <w:r w:rsidRPr="00F92229">
        <w:rPr>
          <w:rFonts w:ascii="Times New Roman" w:hAnsi="Times New Roman" w:cs="Times New Roman"/>
          <w:iCs/>
          <w:noProof/>
        </w:rPr>
        <w:t>13</w:t>
      </w:r>
      <w:bookmarkEnd w:id="9"/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W dniu 28 lutego 2017 r. Sąd Okręgowy w Elblągu częściowo uwzględnił ostatnią skargę skarżącego i stwierdził przewlekłość postępowania przygotowawczego. Zasądził na rzecz skarżącego kwotę 3000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złotych polskich (PLN) tytułem odszkodowania (ok. 700 euro (EUR) w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przedmiotowo istotnym czasie). Sąd uznał, że w ciągu ostatnich kilku lat czynności prokuratora sprowadzały się do ponownego zwracania się do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różnych instytucji krajowych z zapytaniem o adres drugiego podejrzanego. Czynności te dotyczyły drugiego podejrzanego, a nie skarżącego. Co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więcej, między poszczególnymi czynnościami występowały długie okresy bezczynności. Sąd zasugerował również, że prokurator mógł już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2014 r. wyłączyć zarzucane skarżącemu czyny do odrębnego postępowania, co pozwoliłoby mu skierowa</w:t>
      </w:r>
      <w:r w:rsidR="00E607A6" w:rsidRPr="00F92229">
        <w:rPr>
          <w:rFonts w:ascii="Times New Roman" w:hAnsi="Times New Roman" w:cs="Times New Roman"/>
        </w:rPr>
        <w:t>ć</w:t>
      </w:r>
      <w:r w:rsidRPr="00F92229">
        <w:rPr>
          <w:rFonts w:ascii="Times New Roman" w:hAnsi="Times New Roman" w:cs="Times New Roman"/>
        </w:rPr>
        <w:t xml:space="preserve"> przeciwko skarżącemu akt oskarżenia obejmując</w:t>
      </w:r>
      <w:r w:rsidR="00E607A6" w:rsidRPr="00F92229">
        <w:rPr>
          <w:rFonts w:ascii="Times New Roman" w:hAnsi="Times New Roman" w:cs="Times New Roman"/>
        </w:rPr>
        <w:t>y</w:t>
      </w:r>
      <w:r w:rsidRPr="00F92229">
        <w:rPr>
          <w:rFonts w:ascii="Times New Roman" w:hAnsi="Times New Roman" w:cs="Times New Roman"/>
        </w:rPr>
        <w:t xml:space="preserve"> te czyny.</w:t>
      </w:r>
    </w:p>
    <w:p w14:paraId="73E12300" w14:textId="77777777" w:rsidR="000041DE" w:rsidRPr="00F92229" w:rsidRDefault="000041DE" w:rsidP="000041DE">
      <w:pPr>
        <w:pStyle w:val="JuHIRoman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WŁAŚCIWE PRAWO KRAJOWE I PRAKTYKA</w:t>
      </w:r>
    </w:p>
    <w:p w14:paraId="1F08B302" w14:textId="106FA0A7" w:rsidR="000041DE" w:rsidRPr="00F92229" w:rsidRDefault="000041DE" w:rsidP="000041DE">
      <w:pPr>
        <w:pStyle w:val="JuPara"/>
        <w:rPr>
          <w:rFonts w:ascii="Times New Roman" w:hAnsi="Times New Roman" w:cs="Times New Roman"/>
          <w:iCs/>
        </w:rPr>
      </w:pPr>
      <w:r w:rsidRPr="00F92229">
        <w:rPr>
          <w:rFonts w:ascii="Times New Roman" w:hAnsi="Times New Roman" w:cs="Times New Roman"/>
          <w:noProof/>
        </w:rPr>
        <w:t>14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Szczegółowy opis właściwego prawa krajowego i praktyki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zakresie środków odwoławczych na przewlekłość postępowania sądowego – w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 xml:space="preserve">szczególności obowiązujących przepisów ustawy z 2004 r. – znajduje się w decyzjach Trybunału w sprawach </w:t>
      </w:r>
      <w:r w:rsidRPr="00F92229">
        <w:rPr>
          <w:rFonts w:ascii="Times New Roman" w:hAnsi="Times New Roman" w:cs="Times New Roman"/>
          <w:i/>
          <w:iCs/>
        </w:rPr>
        <w:t>Charzyński przeciwko Polsce</w:t>
      </w:r>
      <w:r w:rsidRPr="00F92229">
        <w:rPr>
          <w:rFonts w:ascii="Times New Roman" w:hAnsi="Times New Roman" w:cs="Times New Roman"/>
        </w:rPr>
        <w:t xml:space="preserve"> ((dec.), skarga nr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 xml:space="preserve">15212/03, §§ 12-23, ETPCz 2005-V) i </w:t>
      </w:r>
      <w:r w:rsidRPr="00F92229">
        <w:rPr>
          <w:rFonts w:ascii="Times New Roman" w:hAnsi="Times New Roman" w:cs="Times New Roman"/>
          <w:i/>
          <w:iCs/>
        </w:rPr>
        <w:t>Ratajczyk przeciwko Polsce</w:t>
      </w:r>
      <w:r w:rsidRPr="00F92229">
        <w:rPr>
          <w:rFonts w:ascii="Times New Roman" w:hAnsi="Times New Roman" w:cs="Times New Roman"/>
        </w:rPr>
        <w:t xml:space="preserve"> ((dec.), skarga nr 11215/02, ETPCz 2005-VIII), a także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wyrokach w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 xml:space="preserve">sprawach </w:t>
      </w:r>
      <w:r w:rsidRPr="00F92229">
        <w:rPr>
          <w:rFonts w:ascii="Times New Roman" w:hAnsi="Times New Roman" w:cs="Times New Roman"/>
          <w:i/>
          <w:iCs/>
        </w:rPr>
        <w:t>Krasuski przeciwko Polsce</w:t>
      </w:r>
      <w:r w:rsidRPr="00F92229">
        <w:rPr>
          <w:rFonts w:ascii="Times New Roman" w:hAnsi="Times New Roman" w:cs="Times New Roman"/>
        </w:rPr>
        <w:t xml:space="preserve"> (skarga nr 61444/00, </w:t>
      </w:r>
      <w:r w:rsidRPr="00F92229">
        <w:rPr>
          <w:rFonts w:ascii="Times New Roman" w:hAnsi="Times New Roman" w:cs="Times New Roman"/>
        </w:rPr>
        <w:lastRenderedPageBreak/>
        <w:t xml:space="preserve">§§ 34-46, ETPCz 2005-V) oraz w niedawno rozpatrywanej sprawie </w:t>
      </w:r>
      <w:r w:rsidRPr="00F92229">
        <w:rPr>
          <w:rFonts w:ascii="Times New Roman" w:hAnsi="Times New Roman" w:cs="Times New Roman"/>
          <w:i/>
          <w:iCs/>
        </w:rPr>
        <w:t>Rutkowski i Inni przeciwko Polsce</w:t>
      </w:r>
      <w:r w:rsidRPr="00F92229">
        <w:rPr>
          <w:rFonts w:ascii="Times New Roman" w:hAnsi="Times New Roman" w:cs="Times New Roman"/>
        </w:rPr>
        <w:t xml:space="preserve"> (skargi nr 72287/10, 13927/11 i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46187/11, §§ 75-107, 7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lipca 2015 r.).</w:t>
      </w:r>
    </w:p>
    <w:p w14:paraId="2BC81EE2" w14:textId="77777777" w:rsidR="000041DE" w:rsidRPr="00F92229" w:rsidRDefault="000041DE" w:rsidP="000041DE">
      <w:pPr>
        <w:pStyle w:val="JuHHead"/>
        <w:numPr>
          <w:ilvl w:val="0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PRAWO</w:t>
      </w:r>
    </w:p>
    <w:p w14:paraId="37557EB2" w14:textId="44BF913D" w:rsidR="000041DE" w:rsidRPr="00F92229" w:rsidRDefault="000041DE" w:rsidP="000041DE">
      <w:pPr>
        <w:pStyle w:val="JuHIRoman"/>
        <w:numPr>
          <w:ilvl w:val="1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ZARZUCANE NARUSZENIE ART.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6 UST.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1 KONWENCJI</w:t>
      </w:r>
    </w:p>
    <w:p w14:paraId="65EA4E26" w14:textId="0433B1AC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15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Skarżący zarzucił, że czas trwania postępowania był niezgodny z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wymogiem „rozsądnego terminu”, o którym mowa w art. 6 ust. 1 Konwencji, który stanowi:</w:t>
      </w:r>
    </w:p>
    <w:p w14:paraId="68C4FFB0" w14:textId="68DC4717" w:rsidR="000041DE" w:rsidRPr="00F92229" w:rsidRDefault="000041DE" w:rsidP="000041DE">
      <w:pPr>
        <w:pStyle w:val="JuQuot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 xml:space="preserve">„Każdy ma prawo do […] rozpatrzenia jego sprawy w rozsądnym terminie przez […] sąd […] przy rozstrzyganiu </w:t>
      </w:r>
      <w:r w:rsidR="00270CB4">
        <w:rPr>
          <w:rFonts w:ascii="Times New Roman" w:hAnsi="Times New Roman" w:cs="Times New Roman"/>
        </w:rPr>
        <w:t>[…] o zasadności każdeg</w:t>
      </w:r>
      <w:r w:rsidRPr="00F92229">
        <w:rPr>
          <w:rFonts w:ascii="Times New Roman" w:hAnsi="Times New Roman" w:cs="Times New Roman"/>
        </w:rPr>
        <w:t>o</w:t>
      </w:r>
      <w:r w:rsidR="00270CB4">
        <w:rPr>
          <w:rFonts w:ascii="Times New Roman" w:hAnsi="Times New Roman" w:cs="Times New Roman"/>
        </w:rPr>
        <w:t xml:space="preserve"> oskarżenia w wytoczonej przeciwko niemu sprawie karnej</w:t>
      </w:r>
      <w:r w:rsidRPr="00F92229">
        <w:rPr>
          <w:rFonts w:ascii="Times New Roman" w:hAnsi="Times New Roman" w:cs="Times New Roman"/>
        </w:rPr>
        <w:t>”.</w:t>
      </w:r>
    </w:p>
    <w:p w14:paraId="6891F4C0" w14:textId="4E33C529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16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Rząd nie podzielił tego stanowiska.</w:t>
      </w:r>
    </w:p>
    <w:p w14:paraId="42676695" w14:textId="063AC98B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17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Okres, który należy wziąć pod uwagę, rozpoczął się w dniu 13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listopada 2012 r. i zakończył się w dniu 8 sierpnia 2017 r. (zob. par. 5 i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10 powyżej). Tym samym trwał on 4 lata i 9 miesięcy w jednej instancji.</w:t>
      </w:r>
    </w:p>
    <w:p w14:paraId="13D72D23" w14:textId="77777777" w:rsidR="000041DE" w:rsidRPr="00F92229" w:rsidRDefault="000041DE" w:rsidP="000041DE">
      <w:pPr>
        <w:pStyle w:val="JuHA"/>
        <w:numPr>
          <w:ilvl w:val="2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Dopuszczalność</w:t>
      </w:r>
    </w:p>
    <w:p w14:paraId="40EB445F" w14:textId="161D336F" w:rsidR="000041DE" w:rsidRPr="00F92229" w:rsidRDefault="000041DE" w:rsidP="000041DE">
      <w:pPr>
        <w:pStyle w:val="JuPara"/>
        <w:rPr>
          <w:rFonts w:ascii="Times New Roman" w:hAnsi="Times New Roman" w:cs="Times New Roman"/>
          <w:szCs w:val="24"/>
        </w:rPr>
      </w:pPr>
      <w:r w:rsidRPr="00F92229">
        <w:rPr>
          <w:rFonts w:ascii="Times New Roman" w:hAnsi="Times New Roman" w:cs="Times New Roman"/>
          <w:noProof/>
        </w:rPr>
        <w:t>18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Rząd zgłosił zastrzeżenie wstępne, zgodnie z którym skarżący nie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może być dłużej uznawany za „ofiarę” w rozumieniu art. 34 Konwencji w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związku z naruszeniem jego prawa do rozpatrzenia jego sprawy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rozsądnym terminie. Trybunał zauważa, że kwestia ta powinna zostać rozstrzygnięta w świetle zasad usta</w:t>
      </w:r>
      <w:r w:rsidR="00270CB4">
        <w:rPr>
          <w:rFonts w:ascii="Times New Roman" w:hAnsi="Times New Roman" w:cs="Times New Roman"/>
        </w:rPr>
        <w:t>lonych</w:t>
      </w:r>
      <w:r w:rsidRPr="00F92229">
        <w:rPr>
          <w:rFonts w:ascii="Times New Roman" w:hAnsi="Times New Roman" w:cs="Times New Roman"/>
        </w:rPr>
        <w:t xml:space="preserve"> w orzecznictwie Trybunału (zob. </w:t>
      </w:r>
      <w:r w:rsidRPr="00F92229">
        <w:rPr>
          <w:rFonts w:ascii="Times New Roman" w:hAnsi="Times New Roman" w:cs="Times New Roman"/>
          <w:i/>
          <w:iCs/>
        </w:rPr>
        <w:t>Cocchiarella przeciwko Włochom</w:t>
      </w:r>
      <w:r w:rsidRPr="00F92229">
        <w:rPr>
          <w:rFonts w:ascii="Times New Roman" w:hAnsi="Times New Roman" w:cs="Times New Roman"/>
        </w:rPr>
        <w:t xml:space="preserve"> [WI], skarga nr 64886/01, §§ 69</w:t>
      </w:r>
      <w:r w:rsidRPr="00F92229">
        <w:rPr>
          <w:rFonts w:ascii="Times New Roman" w:hAnsi="Times New Roman" w:cs="Times New Roman"/>
        </w:rPr>
        <w:noBreakHyphen/>
        <w:t>107, ETPCz 2006</w:t>
      </w:r>
      <w:r w:rsidRPr="00F92229">
        <w:rPr>
          <w:rFonts w:ascii="Times New Roman" w:hAnsi="Times New Roman" w:cs="Times New Roman"/>
        </w:rPr>
        <w:noBreakHyphen/>
        <w:t xml:space="preserve">V, oraz </w:t>
      </w:r>
      <w:r w:rsidRPr="00F92229">
        <w:rPr>
          <w:rFonts w:ascii="Times New Roman" w:hAnsi="Times New Roman" w:cs="Times New Roman"/>
          <w:i/>
          <w:iCs/>
        </w:rPr>
        <w:t>Scordino przeciwko Włochom</w:t>
      </w:r>
      <w:r w:rsidRPr="00F92229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  <w:i/>
          <w:iCs/>
        </w:rPr>
        <w:t>(nr 1)</w:t>
      </w:r>
      <w:r w:rsidRPr="00F92229">
        <w:rPr>
          <w:rFonts w:ascii="Times New Roman" w:hAnsi="Times New Roman" w:cs="Times New Roman"/>
        </w:rPr>
        <w:t xml:space="preserve"> [WI], skarga nr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36813/97, §§ 178</w:t>
      </w:r>
      <w:r w:rsidRPr="00F92229">
        <w:rPr>
          <w:rFonts w:ascii="Times New Roman" w:hAnsi="Times New Roman" w:cs="Times New Roman"/>
        </w:rPr>
        <w:noBreakHyphen/>
        <w:t>213, ETPCz 2006</w:t>
      </w:r>
      <w:r w:rsidRPr="00F92229">
        <w:rPr>
          <w:rFonts w:ascii="Times New Roman" w:hAnsi="Times New Roman" w:cs="Times New Roman"/>
        </w:rPr>
        <w:noBreakHyphen/>
        <w:t>V).</w:t>
      </w:r>
    </w:p>
    <w:p w14:paraId="1CAAD43E" w14:textId="49FF5F62" w:rsidR="000041DE" w:rsidRPr="00F92229" w:rsidRDefault="000041DE" w:rsidP="000041DE">
      <w:pPr>
        <w:pStyle w:val="JuPara"/>
        <w:rPr>
          <w:rFonts w:ascii="Times New Roman" w:hAnsi="Times New Roman" w:cs="Times New Roman"/>
          <w:szCs w:val="24"/>
        </w:rPr>
      </w:pPr>
      <w:r w:rsidRPr="00F92229">
        <w:rPr>
          <w:rFonts w:ascii="Times New Roman" w:hAnsi="Times New Roman" w:cs="Times New Roman"/>
          <w:noProof/>
          <w:szCs w:val="24"/>
        </w:rPr>
        <w:t>19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Skarżący nie zgodził się i uznał, że zasądzone na jego rzecz odszkodowanie na poziomie krajowym nie było zadowalające, biorąc pod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uwagę ogólny czas trwania postępowania.</w:t>
      </w:r>
    </w:p>
    <w:p w14:paraId="609D1F4B" w14:textId="0E91D74B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20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Trybunał zauważa, że Sąd Okręgowy w Elblągu przeanalizował przebieg zaskarżonego postępowania w świetle kryteriów, które stosuje sam Trybunał. Uznał, że doszło do opóźnień, które należy przypisać organom krajowym, oraz że doszło do naruszenia prawa skarżącego do rozpatrzenia jego sprawy w rozsądnym terminie i przyznał skarżącemu równowartość 700 EUR w związku z czasem trwania postępowania. Słuszne zadośćuczynienie zasądzone przez Sąd Okręgowy w Elblągu wynosi około 27% wartości, którą Trybunał prawdopodobnie przyznałby skarżącemu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tym czasie zgodnie ze stosowaną przez niego praktyką, biorąc pod uwagę szczególne okoliczności sprawy.</w:t>
      </w:r>
    </w:p>
    <w:p w14:paraId="06C6791C" w14:textId="084E4374" w:rsidR="000041DE" w:rsidRPr="00F92229" w:rsidRDefault="000041DE" w:rsidP="000041DE">
      <w:pPr>
        <w:pStyle w:val="JuPara"/>
        <w:rPr>
          <w:rFonts w:ascii="Times New Roman" w:hAnsi="Times New Roman" w:cs="Times New Roman"/>
          <w:i/>
          <w:szCs w:val="24"/>
        </w:rPr>
      </w:pPr>
      <w:bookmarkStart w:id="10" w:name="redresstoolow"/>
      <w:r w:rsidRPr="00F92229">
        <w:rPr>
          <w:rFonts w:ascii="Times New Roman" w:hAnsi="Times New Roman" w:cs="Times New Roman"/>
          <w:noProof/>
        </w:rPr>
        <w:t>21</w:t>
      </w:r>
      <w:bookmarkEnd w:id="10"/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Trybunał stwierdz</w:t>
      </w:r>
      <w:r w:rsidR="00270CB4">
        <w:rPr>
          <w:rFonts w:ascii="Times New Roman" w:hAnsi="Times New Roman" w:cs="Times New Roman"/>
        </w:rPr>
        <w:t>a</w:t>
      </w:r>
      <w:r w:rsidRPr="00F92229">
        <w:rPr>
          <w:rFonts w:ascii="Times New Roman" w:hAnsi="Times New Roman" w:cs="Times New Roman"/>
        </w:rPr>
        <w:t>, że zadośćuczynienie przyznane skarżącemu na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 xml:space="preserve">poziomie krajowym, rozpatrywane na podstawie okoliczności </w:t>
      </w:r>
      <w:r w:rsidRPr="00F92229">
        <w:rPr>
          <w:rFonts w:ascii="Times New Roman" w:hAnsi="Times New Roman" w:cs="Times New Roman"/>
        </w:rPr>
        <w:lastRenderedPageBreak/>
        <w:t xml:space="preserve">faktycznych będące przedmiotem skargi wniesionej do Trybunału, było niewystarczające (zob. </w:t>
      </w:r>
      <w:r w:rsidRPr="00F92229">
        <w:rPr>
          <w:rFonts w:ascii="Times New Roman" w:hAnsi="Times New Roman" w:cs="Times New Roman"/>
          <w:i/>
          <w:iCs/>
        </w:rPr>
        <w:t>Czajka przeciwko Polsce</w:t>
      </w:r>
      <w:r w:rsidRPr="00F92229">
        <w:rPr>
          <w:rFonts w:ascii="Times New Roman" w:hAnsi="Times New Roman" w:cs="Times New Roman"/>
        </w:rPr>
        <w:t xml:space="preserve">, skarga nr 15067/02, § 56, 13 lutego 2007 r., oraz </w:t>
      </w:r>
      <w:r w:rsidRPr="00F92229">
        <w:rPr>
          <w:rFonts w:ascii="Times New Roman" w:hAnsi="Times New Roman" w:cs="Times New Roman"/>
          <w:i/>
          <w:iCs/>
        </w:rPr>
        <w:t>Pastuszenia przeciwko Polsce</w:t>
      </w:r>
      <w:r w:rsidRPr="00F92229">
        <w:rPr>
          <w:rFonts w:ascii="Times New Roman" w:hAnsi="Times New Roman" w:cs="Times New Roman"/>
        </w:rPr>
        <w:t>, skarga nr 46074/07, §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37, 21 września 2010 r.). W tych okolicznościach argument, że skarżący utracił status ofiary, nie zasługuje na uwzględnienie.</w:t>
      </w:r>
    </w:p>
    <w:p w14:paraId="0720DA20" w14:textId="43F3A300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22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 xml:space="preserve">Trybunał zauważa, że skarga nie jest w sposób oczywisty nieuzasadniona w </w:t>
      </w:r>
      <w:r w:rsidR="00270CB4">
        <w:rPr>
          <w:rFonts w:ascii="Times New Roman" w:hAnsi="Times New Roman" w:cs="Times New Roman"/>
        </w:rPr>
        <w:t>rozumieniu art.</w:t>
      </w:r>
      <w:r w:rsidR="00CC18D3">
        <w:rPr>
          <w:rFonts w:ascii="Times New Roman" w:hAnsi="Times New Roman" w:cs="Times New Roman"/>
        </w:rPr>
        <w:t xml:space="preserve"> </w:t>
      </w:r>
      <w:r w:rsidR="00270CB4">
        <w:rPr>
          <w:rFonts w:ascii="Times New Roman" w:hAnsi="Times New Roman" w:cs="Times New Roman"/>
        </w:rPr>
        <w:t>35 ust.</w:t>
      </w:r>
      <w:r w:rsidR="00CC18D3">
        <w:rPr>
          <w:rFonts w:ascii="Times New Roman" w:hAnsi="Times New Roman" w:cs="Times New Roman"/>
        </w:rPr>
        <w:t xml:space="preserve"> </w:t>
      </w:r>
      <w:r w:rsidR="00270CB4">
        <w:rPr>
          <w:rFonts w:ascii="Times New Roman" w:hAnsi="Times New Roman" w:cs="Times New Roman"/>
        </w:rPr>
        <w:t>3 lit.</w:t>
      </w:r>
      <w:r w:rsidR="00CC18D3">
        <w:rPr>
          <w:rFonts w:ascii="Times New Roman" w:hAnsi="Times New Roman" w:cs="Times New Roman"/>
        </w:rPr>
        <w:t xml:space="preserve"> </w:t>
      </w:r>
      <w:r w:rsidR="00270CB4">
        <w:rPr>
          <w:rFonts w:ascii="Times New Roman" w:hAnsi="Times New Roman" w:cs="Times New Roman"/>
        </w:rPr>
        <w:t>a</w:t>
      </w:r>
      <w:r w:rsidRPr="00F92229">
        <w:rPr>
          <w:rFonts w:ascii="Times New Roman" w:hAnsi="Times New Roman" w:cs="Times New Roman"/>
        </w:rPr>
        <w:t xml:space="preserve"> Konwencji. Trybunał wskazuje ponadto, że nie jest ona pod żadnym innym względem niedopuszczalna. Tym samym należy uznać ją za dopuszczalną.</w:t>
      </w:r>
    </w:p>
    <w:p w14:paraId="125CC4E3" w14:textId="77777777" w:rsidR="000041DE" w:rsidRPr="00F92229" w:rsidRDefault="000041DE" w:rsidP="000041DE">
      <w:pPr>
        <w:pStyle w:val="JuHA"/>
        <w:numPr>
          <w:ilvl w:val="2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Przedmiot skargi</w:t>
      </w:r>
    </w:p>
    <w:p w14:paraId="0BF9E1FB" w14:textId="74C10BD1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23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Skarżący twierdził, że czas trwania postępowania niewątpliwie stanowił naruszenie zasady „rozsądnego terminu”. Prokurator wykazał się brakiem rzetelności i przez zbyt wiele lat zajmował się bardzo prostą sprawą.</w:t>
      </w:r>
    </w:p>
    <w:p w14:paraId="0C5EFF6D" w14:textId="364AED46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24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Rząd</w:t>
      </w:r>
      <w:r w:rsidR="001E5C94">
        <w:rPr>
          <w:rFonts w:ascii="Times New Roman" w:hAnsi="Times New Roman" w:cs="Times New Roman"/>
        </w:rPr>
        <w:t xml:space="preserve"> powstrzymał się od zajęcia </w:t>
      </w:r>
      <w:r w:rsidRPr="00F92229">
        <w:rPr>
          <w:rFonts w:ascii="Times New Roman" w:hAnsi="Times New Roman" w:cs="Times New Roman"/>
        </w:rPr>
        <w:t>stanowiska w przedmiocie zarzutu skarżącego.</w:t>
      </w:r>
    </w:p>
    <w:p w14:paraId="3379B6A4" w14:textId="56213D85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25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Trybunał przypom</w:t>
      </w:r>
      <w:r w:rsidR="00270CB4">
        <w:rPr>
          <w:rFonts w:ascii="Times New Roman" w:hAnsi="Times New Roman" w:cs="Times New Roman"/>
        </w:rPr>
        <w:t>ina</w:t>
      </w:r>
      <w:r w:rsidRPr="00F92229">
        <w:rPr>
          <w:rFonts w:ascii="Times New Roman" w:hAnsi="Times New Roman" w:cs="Times New Roman"/>
        </w:rPr>
        <w:t>, że rozsądny charakter czasu trwania postępowania należy oceniać w świetle szczególnych okoliczności sprawy i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z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uwzględnieniem kryteriów określonych w orzecznictwie Trybunału,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szczególności złożoności sprawy oraz zachowania skarżącego i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właściwych organów. W tej ostatniej kwestii należy również wziąć pod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 xml:space="preserve">uwagę znaczenie sprawy dla skarżącego (zob. </w:t>
      </w:r>
      <w:r w:rsidRPr="00F92229">
        <w:rPr>
          <w:rFonts w:ascii="Times New Roman" w:hAnsi="Times New Roman" w:cs="Times New Roman"/>
          <w:i/>
          <w:iCs/>
        </w:rPr>
        <w:t>Kudła przeciwko Polsce</w:t>
      </w:r>
      <w:r w:rsidRPr="00F92229">
        <w:rPr>
          <w:rFonts w:ascii="Times New Roman" w:hAnsi="Times New Roman" w:cs="Times New Roman"/>
        </w:rPr>
        <w:t xml:space="preserve"> [WI], skarga nr 30210/96, § 124 ETPCz 2000-XI, dalsze odniesienia do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 xml:space="preserve">orzecznictwa w </w:t>
      </w:r>
      <w:r w:rsidRPr="00F92229">
        <w:rPr>
          <w:rFonts w:ascii="Times New Roman" w:hAnsi="Times New Roman" w:cs="Times New Roman"/>
          <w:i/>
          <w:iCs/>
        </w:rPr>
        <w:t>Rutkowski i Inni</w:t>
      </w:r>
      <w:r w:rsidRPr="00F92229">
        <w:rPr>
          <w:rFonts w:ascii="Times New Roman" w:hAnsi="Times New Roman" w:cs="Times New Roman"/>
        </w:rPr>
        <w:t xml:space="preserve">, </w:t>
      </w:r>
      <w:r w:rsidRPr="00F92229">
        <w:rPr>
          <w:rFonts w:ascii="Times New Roman" w:hAnsi="Times New Roman" w:cs="Times New Roman"/>
          <w:i/>
          <w:iCs/>
        </w:rPr>
        <w:t>op. cit.</w:t>
      </w:r>
      <w:r w:rsidRPr="00F92229">
        <w:rPr>
          <w:rFonts w:ascii="Times New Roman" w:hAnsi="Times New Roman" w:cs="Times New Roman"/>
        </w:rPr>
        <w:t>, §§ 126</w:t>
      </w:r>
      <w:r w:rsidRPr="00F92229">
        <w:rPr>
          <w:rFonts w:ascii="Times New Roman" w:hAnsi="Times New Roman" w:cs="Times New Roman"/>
        </w:rPr>
        <w:noBreakHyphen/>
        <w:t>128).</w:t>
      </w:r>
    </w:p>
    <w:p w14:paraId="5F607456" w14:textId="7FC4F77C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26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Trybunał podziela stanowisko skarżącego, zgodnie z którym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postępowaniu nie występowały złożone kwestie faktyczne i prawne. Wyrokowanie zajęło sądowi rozpoznającemu sprawę około sześciu tygodni po otrzymaniu aktu oskarżenia (zob. par. 10 powyżej). Nic nie wskazuje również na to, by skarżący w jakikolwiek sposób przyczynił się do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przewlekłości postępowania w jego sprawie.</w:t>
      </w:r>
    </w:p>
    <w:p w14:paraId="125C0161" w14:textId="755334C9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27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 xml:space="preserve">Co się tyczy </w:t>
      </w:r>
      <w:r w:rsidR="003936E3">
        <w:rPr>
          <w:rFonts w:ascii="Times New Roman" w:hAnsi="Times New Roman" w:cs="Times New Roman"/>
        </w:rPr>
        <w:t>działania organów, Trybunał zauważa</w:t>
      </w:r>
      <w:r w:rsidRPr="00F92229">
        <w:rPr>
          <w:rFonts w:ascii="Times New Roman" w:hAnsi="Times New Roman" w:cs="Times New Roman"/>
        </w:rPr>
        <w:t>, że skarżącemu przedstawiono zarzuty w listopadzie 2012 r., ale akt oskarżenia przeciwko niemu skierowano dopiero w czerwcu 2017 r. Na początkowym etapie postępowania przygotowawczego prokurator przesłuchał skarżącego, zaś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 xml:space="preserve">czerwcu 2013 r. uzyskał opinię biegłego dotyczącą pisma odręcznego skarżącego (zob. par. 6 powyżej). W ciągu kolejnych czterech lat czynności procesowe prokuratury koncentrowały się jednak wyłącznie na drugim podejrzanym, który najprawdopodobniej uciekł z Polski. Nie ma żadnych dowodów świadczących o tym, że przez ten czas prokurator podejmował jakiekolwiek czynności, które dotyczyłyby skarżącego (zob. par. 7 i 13 powyżej). Tym samym prowadzona przeciwko skarżącemu sprawa utknęła w martwym punkcie na okres czterech lat, dopóki prokurator </w:t>
      </w:r>
      <w:r w:rsidRPr="00F92229">
        <w:rPr>
          <w:rFonts w:ascii="Times New Roman" w:hAnsi="Times New Roman" w:cs="Times New Roman"/>
        </w:rPr>
        <w:lastRenderedPageBreak/>
        <w:t>nie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zdecydował się, zgodnie z sugestią Sądu Okręgowego w Elblągu, na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wyłączenie zarzucanych skarżącemu czynów do odrębnego postępowania. Trybunał w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całej rozciągłości podziela krytyczną ocenę sądu krajowego dotyczącą bezczynności prokuratora w sprawie skarżącego (zob.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par. 13 powyżej).</w:t>
      </w:r>
    </w:p>
    <w:p w14:paraId="6EAD9C8F" w14:textId="59544600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bookmarkStart w:id="11" w:name="violation6"/>
      <w:r w:rsidRPr="00F92229">
        <w:rPr>
          <w:rFonts w:ascii="Times New Roman" w:hAnsi="Times New Roman" w:cs="Times New Roman"/>
          <w:noProof/>
        </w:rPr>
        <w:t>28</w:t>
      </w:r>
      <w:bookmarkEnd w:id="11"/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W związku z powyższym, mając na uwadze czteroletni okres zupełnej bezczynności organów śledczych w badaniu przedstawionych skarżącemu zarzutów, Trybunał uzna</w:t>
      </w:r>
      <w:r w:rsidR="003936E3">
        <w:rPr>
          <w:rFonts w:ascii="Times New Roman" w:hAnsi="Times New Roman" w:cs="Times New Roman"/>
        </w:rPr>
        <w:t>je</w:t>
      </w:r>
      <w:r w:rsidRPr="00F92229">
        <w:rPr>
          <w:rFonts w:ascii="Times New Roman" w:hAnsi="Times New Roman" w:cs="Times New Roman"/>
        </w:rPr>
        <w:t>, że w niniejszej sprawie doszło do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naruszenia art.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6 ust. 1 Konwencji.</w:t>
      </w:r>
    </w:p>
    <w:p w14:paraId="155C0E3E" w14:textId="110E4419" w:rsidR="000041DE" w:rsidRPr="00F92229" w:rsidRDefault="000041DE" w:rsidP="000041DE">
      <w:pPr>
        <w:pStyle w:val="JuHIRoman"/>
        <w:numPr>
          <w:ilvl w:val="1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ZARZUCANE NARUSZENIE ART.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13 KONWENCJI</w:t>
      </w:r>
    </w:p>
    <w:p w14:paraId="079B1068" w14:textId="07BD0127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29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Skarżący wywodził ponadto, że nie dysponował skutecznym krajowym środkiem odwoławczym w odniesieniu do dotkniętego przewlekłością postępowania w jego sprawie. Skarżący powołał się na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art.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13 Konwencji, który stanowi:</w:t>
      </w:r>
    </w:p>
    <w:p w14:paraId="62D11BE1" w14:textId="77777777" w:rsidR="000041DE" w:rsidRPr="00F92229" w:rsidRDefault="000041DE" w:rsidP="000041DE">
      <w:pPr>
        <w:pStyle w:val="JuQuot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 xml:space="preserve"> „Każdy, kogo prawa i wolności zawarte w niniejszej Konwencji zostały naruszone, ma prawo do skutecznego środka odwoławczego do właściwego organu państwowego także wówczas, gdy naruszenia dokonały osoby wykonujące swoje funkcje urzędowe”.</w:t>
      </w:r>
    </w:p>
    <w:p w14:paraId="0B276620" w14:textId="78E1F0BC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30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Rząd nie przedstawił stanowiska w przedmiocie zarzutu skarżącego.</w:t>
      </w:r>
    </w:p>
    <w:p w14:paraId="018595DF" w14:textId="0EDD45A6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31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="003936E3">
        <w:rPr>
          <w:rFonts w:ascii="Times New Roman" w:hAnsi="Times New Roman" w:cs="Times New Roman"/>
        </w:rPr>
        <w:t>Trybunał zauważa</w:t>
      </w:r>
      <w:r w:rsidRPr="00F92229">
        <w:rPr>
          <w:rFonts w:ascii="Times New Roman" w:hAnsi="Times New Roman" w:cs="Times New Roman"/>
        </w:rPr>
        <w:t>, że zarzut ten pozostaje w związku z wyżej przytoczonym zarzutem, a tym samym należy uznać go za dopuszczalny.</w:t>
      </w:r>
    </w:p>
    <w:p w14:paraId="7CD340FC" w14:textId="59C5B39D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32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Trybunał przypom</w:t>
      </w:r>
      <w:r w:rsidR="003936E3">
        <w:rPr>
          <w:rFonts w:ascii="Times New Roman" w:hAnsi="Times New Roman" w:cs="Times New Roman"/>
        </w:rPr>
        <w:t>ina</w:t>
      </w:r>
      <w:r w:rsidRPr="00F92229">
        <w:rPr>
          <w:rFonts w:ascii="Times New Roman" w:hAnsi="Times New Roman" w:cs="Times New Roman"/>
        </w:rPr>
        <w:t xml:space="preserve">, że art. 13 gwarantuje skuteczne środki odwoławcze przed organem krajowym w przypadku zarzucanego naruszenia wymogu wynikającego z art. 6 ust. 1, a mianowicie wymogu rozpatrzenia sprawy w rozsądnym terminie (zob. </w:t>
      </w:r>
      <w:r w:rsidRPr="00F92229">
        <w:rPr>
          <w:rFonts w:ascii="Times New Roman" w:hAnsi="Times New Roman" w:cs="Times New Roman"/>
          <w:i/>
          <w:iCs/>
        </w:rPr>
        <w:t>Kudła</w:t>
      </w:r>
      <w:r w:rsidRPr="00F92229">
        <w:rPr>
          <w:rFonts w:ascii="Times New Roman" w:hAnsi="Times New Roman" w:cs="Times New Roman"/>
        </w:rPr>
        <w:t xml:space="preserve">, </w:t>
      </w:r>
      <w:r w:rsidRPr="00F92229">
        <w:rPr>
          <w:rFonts w:ascii="Times New Roman" w:hAnsi="Times New Roman" w:cs="Times New Roman"/>
          <w:i/>
          <w:iCs/>
        </w:rPr>
        <w:t>op. cit</w:t>
      </w:r>
      <w:r w:rsidRPr="00F92229">
        <w:rPr>
          <w:rFonts w:ascii="Times New Roman" w:hAnsi="Times New Roman" w:cs="Times New Roman"/>
        </w:rPr>
        <w:t xml:space="preserve">., §§ 146-56). Odpowiednie zasady, ustalone w wyroku w sprawie </w:t>
      </w:r>
      <w:r w:rsidRPr="00F92229">
        <w:rPr>
          <w:rFonts w:ascii="Times New Roman" w:hAnsi="Times New Roman" w:cs="Times New Roman"/>
          <w:i/>
          <w:iCs/>
        </w:rPr>
        <w:t>Kudła</w:t>
      </w:r>
      <w:r w:rsidRPr="00F92229">
        <w:rPr>
          <w:rFonts w:ascii="Times New Roman" w:hAnsi="Times New Roman" w:cs="Times New Roman"/>
        </w:rPr>
        <w:t xml:space="preserve"> i późniejszych wyrokach Trybunału, zostały określone w wyroku pilotażowym </w:t>
      </w:r>
      <w:r w:rsidRPr="00F92229">
        <w:rPr>
          <w:rFonts w:ascii="Times New Roman" w:hAnsi="Times New Roman" w:cs="Times New Roman"/>
          <w:i/>
          <w:iCs/>
        </w:rPr>
        <w:t>Rutkowski</w:t>
      </w:r>
      <w:r w:rsidRPr="00F92229">
        <w:rPr>
          <w:rFonts w:ascii="Times New Roman" w:hAnsi="Times New Roman" w:cs="Times New Roman"/>
        </w:rPr>
        <w:t xml:space="preserve"> (</w:t>
      </w:r>
      <w:r w:rsidRPr="00F92229">
        <w:rPr>
          <w:rFonts w:ascii="Times New Roman" w:hAnsi="Times New Roman" w:cs="Times New Roman"/>
          <w:i/>
          <w:iCs/>
        </w:rPr>
        <w:t>Rutkowski i Inni</w:t>
      </w:r>
      <w:r w:rsidRPr="00F92229">
        <w:rPr>
          <w:rFonts w:ascii="Times New Roman" w:hAnsi="Times New Roman" w:cs="Times New Roman"/>
        </w:rPr>
        <w:t xml:space="preserve">, </w:t>
      </w:r>
      <w:r w:rsidRPr="00F92229">
        <w:rPr>
          <w:rFonts w:ascii="Times New Roman" w:hAnsi="Times New Roman" w:cs="Times New Roman"/>
          <w:i/>
          <w:iCs/>
        </w:rPr>
        <w:t>op. cit.</w:t>
      </w:r>
      <w:r w:rsidRPr="00F92229">
        <w:rPr>
          <w:rFonts w:ascii="Times New Roman" w:hAnsi="Times New Roman" w:cs="Times New Roman"/>
        </w:rPr>
        <w:t>, §§ 126</w:t>
      </w:r>
      <w:r w:rsidRPr="00F92229">
        <w:rPr>
          <w:rFonts w:ascii="Times New Roman" w:hAnsi="Times New Roman" w:cs="Times New Roman"/>
        </w:rPr>
        <w:noBreakHyphen/>
        <w:t>128).</w:t>
      </w:r>
    </w:p>
    <w:p w14:paraId="4F70ED7F" w14:textId="656021A2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33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Trybunał stwierdził już, że nie przestrzegano prawa skarżącego do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rozpatrzenia jego sprawy w rozsądnym terminie zagwarantowanym w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art. 6 ust. 1 Konwencji (zob. par. 28 powyżej). Nie ma zatem wątpliwości, że jego skarga „</w:t>
      </w:r>
      <w:r w:rsidR="003936E3">
        <w:rPr>
          <w:rFonts w:ascii="Times New Roman" w:hAnsi="Times New Roman" w:cs="Times New Roman"/>
        </w:rPr>
        <w:t>daje się uzasadnić</w:t>
      </w:r>
      <w:r w:rsidRPr="00F92229">
        <w:rPr>
          <w:rFonts w:ascii="Times New Roman" w:hAnsi="Times New Roman" w:cs="Times New Roman"/>
        </w:rPr>
        <w:t xml:space="preserve">” </w:t>
      </w:r>
      <w:r w:rsidR="003936E3">
        <w:rPr>
          <w:rFonts w:ascii="Times New Roman" w:hAnsi="Times New Roman" w:cs="Times New Roman"/>
        </w:rPr>
        <w:t>(</w:t>
      </w:r>
      <w:r w:rsidR="003936E3" w:rsidRPr="003936E3">
        <w:rPr>
          <w:rFonts w:ascii="Times New Roman" w:hAnsi="Times New Roman" w:cs="Times New Roman"/>
          <w:i/>
        </w:rPr>
        <w:t>is</w:t>
      </w:r>
      <w:r w:rsidR="003936E3">
        <w:rPr>
          <w:rFonts w:ascii="Times New Roman" w:hAnsi="Times New Roman" w:cs="Times New Roman"/>
        </w:rPr>
        <w:t xml:space="preserve"> </w:t>
      </w:r>
      <w:r w:rsidR="003936E3">
        <w:rPr>
          <w:rFonts w:ascii="Times New Roman" w:hAnsi="Times New Roman" w:cs="Times New Roman"/>
          <w:i/>
        </w:rPr>
        <w:t>arguable</w:t>
      </w:r>
      <w:r w:rsidR="003936E3">
        <w:rPr>
          <w:rFonts w:ascii="Times New Roman" w:hAnsi="Times New Roman" w:cs="Times New Roman"/>
        </w:rPr>
        <w:t xml:space="preserve">) </w:t>
      </w:r>
      <w:r w:rsidRPr="00F92229">
        <w:rPr>
          <w:rFonts w:ascii="Times New Roman" w:hAnsi="Times New Roman" w:cs="Times New Roman"/>
        </w:rPr>
        <w:t>w rozumieniu art. 13</w:t>
      </w:r>
      <w:r w:rsidR="00E607A6" w:rsidRPr="00F92229">
        <w:rPr>
          <w:rFonts w:ascii="Times New Roman" w:hAnsi="Times New Roman" w:cs="Times New Roman"/>
        </w:rPr>
        <w:t>,</w:t>
      </w:r>
      <w:r w:rsidRPr="00F92229">
        <w:rPr>
          <w:rFonts w:ascii="Times New Roman" w:hAnsi="Times New Roman" w:cs="Times New Roman"/>
        </w:rPr>
        <w:t xml:space="preserve"> oraz że miał on prawo do środka odwoławczego, dzięki któremu mógł uzyskać odpowiednie zadośćuczynienie za naruszenie Konwencji przed organem krajowym, w tym zadośćuczynienie za krzywdę doznaną z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 xml:space="preserve">powodu opóźnień, które miały miejsce w jego sprawie (zob. </w:t>
      </w:r>
      <w:r w:rsidRPr="00F92229">
        <w:rPr>
          <w:rFonts w:ascii="Times New Roman" w:hAnsi="Times New Roman" w:cs="Times New Roman"/>
          <w:i/>
          <w:iCs/>
        </w:rPr>
        <w:t>Kudła</w:t>
      </w:r>
      <w:r w:rsidRPr="00F92229">
        <w:rPr>
          <w:rFonts w:ascii="Times New Roman" w:hAnsi="Times New Roman" w:cs="Times New Roman"/>
        </w:rPr>
        <w:t xml:space="preserve">, </w:t>
      </w:r>
      <w:r w:rsidRPr="00F92229">
        <w:rPr>
          <w:rFonts w:ascii="Times New Roman" w:hAnsi="Times New Roman" w:cs="Times New Roman"/>
          <w:i/>
          <w:iCs/>
        </w:rPr>
        <w:t>op.</w:t>
      </w:r>
      <w:r w:rsidR="00CC18D3">
        <w:rPr>
          <w:rFonts w:ascii="Times New Roman" w:hAnsi="Times New Roman" w:cs="Times New Roman"/>
          <w:i/>
          <w:iCs/>
        </w:rPr>
        <w:t> </w:t>
      </w:r>
      <w:r w:rsidRPr="00F92229">
        <w:rPr>
          <w:rFonts w:ascii="Times New Roman" w:hAnsi="Times New Roman" w:cs="Times New Roman"/>
          <w:i/>
          <w:iCs/>
        </w:rPr>
        <w:t>cit.</w:t>
      </w:r>
      <w:r w:rsidRPr="00F92229">
        <w:rPr>
          <w:rFonts w:ascii="Times New Roman" w:hAnsi="Times New Roman" w:cs="Times New Roman"/>
        </w:rPr>
        <w:t>, § 157).</w:t>
      </w:r>
    </w:p>
    <w:p w14:paraId="3A54005F" w14:textId="4C0EB077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34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W dniu 28 lutego 2017 r. Sąd Okręgowy w Elblągu częściowo uwzględnił piątą skargę skarżącego wniesioną na podstawie ustawy z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2004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 xml:space="preserve">r. i stwierdził przewlekłość postępowania przygotowawczego. </w:t>
      </w:r>
      <w:r w:rsidR="003936E3">
        <w:rPr>
          <w:rFonts w:ascii="Times New Roman" w:hAnsi="Times New Roman" w:cs="Times New Roman"/>
        </w:rPr>
        <w:t xml:space="preserve">Niemniej jednak </w:t>
      </w:r>
      <w:r w:rsidRPr="00F92229">
        <w:rPr>
          <w:rFonts w:ascii="Times New Roman" w:hAnsi="Times New Roman" w:cs="Times New Roman"/>
        </w:rPr>
        <w:t xml:space="preserve">Trybunał stwierdził, że zasądzona skarżącemu kwota </w:t>
      </w:r>
      <w:r w:rsidRPr="00F92229">
        <w:rPr>
          <w:rFonts w:ascii="Times New Roman" w:hAnsi="Times New Roman" w:cs="Times New Roman"/>
        </w:rPr>
        <w:lastRenderedPageBreak/>
        <w:t>odszkodowania była niewystarczająca w świetle standardów określonych przez Trybunał (zob.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par. 21 powyżej).</w:t>
      </w:r>
    </w:p>
    <w:p w14:paraId="439F112E" w14:textId="1F6101E0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35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W świetl</w:t>
      </w:r>
      <w:r w:rsidR="003936E3">
        <w:rPr>
          <w:rFonts w:ascii="Times New Roman" w:hAnsi="Times New Roman" w:cs="Times New Roman"/>
        </w:rPr>
        <w:t>e powyższego Trybunał stwierdza</w:t>
      </w:r>
      <w:r w:rsidRPr="00F92229">
        <w:rPr>
          <w:rFonts w:ascii="Times New Roman" w:hAnsi="Times New Roman" w:cs="Times New Roman"/>
        </w:rPr>
        <w:t>, że skarga wniesiona na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podstawie ustawy z 2004 r. nie zapewniła skarżącemu „odpowiedniego i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wystarczającego zadośćuczynienia” w postaci odpowiedniego odszkodowania za przewlekłość postępowania w jego sprawie (zob.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  <w:i/>
          <w:iCs/>
        </w:rPr>
        <w:t>Scordino (nr 1)</w:t>
      </w:r>
      <w:r w:rsidRPr="00F92229">
        <w:rPr>
          <w:rFonts w:ascii="Times New Roman" w:hAnsi="Times New Roman" w:cs="Times New Roman"/>
        </w:rPr>
        <w:t xml:space="preserve">, § 181, oraz </w:t>
      </w:r>
      <w:r w:rsidRPr="00F92229">
        <w:rPr>
          <w:rFonts w:ascii="Times New Roman" w:hAnsi="Times New Roman" w:cs="Times New Roman"/>
          <w:i/>
          <w:iCs/>
        </w:rPr>
        <w:t>Rutkowski i Inni</w:t>
      </w:r>
      <w:r w:rsidRPr="00F92229">
        <w:rPr>
          <w:rFonts w:ascii="Times New Roman" w:hAnsi="Times New Roman" w:cs="Times New Roman"/>
        </w:rPr>
        <w:t xml:space="preserve">, </w:t>
      </w:r>
      <w:r w:rsidRPr="00F92229">
        <w:rPr>
          <w:rFonts w:ascii="Times New Roman" w:hAnsi="Times New Roman" w:cs="Times New Roman"/>
          <w:i/>
          <w:iCs/>
        </w:rPr>
        <w:t>op. cit.</w:t>
      </w:r>
      <w:r w:rsidRPr="00F92229">
        <w:rPr>
          <w:rFonts w:ascii="Times New Roman" w:hAnsi="Times New Roman" w:cs="Times New Roman"/>
        </w:rPr>
        <w:t>, § 183).</w:t>
      </w:r>
    </w:p>
    <w:p w14:paraId="4862F54A" w14:textId="5D422898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36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W związku z powyższym doszło do naruszenia art.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13 Konwencji.</w:t>
      </w:r>
    </w:p>
    <w:p w14:paraId="17690116" w14:textId="4E1C2B61" w:rsidR="000041DE" w:rsidRPr="00F92229" w:rsidRDefault="000041DE" w:rsidP="000041DE">
      <w:pPr>
        <w:pStyle w:val="JuHIRoman"/>
        <w:numPr>
          <w:ilvl w:val="1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ZASTOSOWANIE ART.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41 KONWENCJI</w:t>
      </w:r>
    </w:p>
    <w:p w14:paraId="325B5D5E" w14:textId="29B9121D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37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Art</w:t>
      </w:r>
      <w:r w:rsidR="003936E3">
        <w:rPr>
          <w:rFonts w:ascii="Times New Roman" w:hAnsi="Times New Roman" w:cs="Times New Roman"/>
        </w:rPr>
        <w:t>.</w:t>
      </w:r>
      <w:r w:rsidRPr="00F92229">
        <w:rPr>
          <w:rFonts w:ascii="Times New Roman" w:hAnsi="Times New Roman" w:cs="Times New Roman"/>
        </w:rPr>
        <w:t xml:space="preserve"> 41 Konwencji stanowi:</w:t>
      </w:r>
    </w:p>
    <w:p w14:paraId="7619B7B6" w14:textId="6C01A770" w:rsidR="000041DE" w:rsidRPr="00F92229" w:rsidRDefault="003936E3" w:rsidP="000041DE">
      <w:pPr>
        <w:pStyle w:val="JuQuot"/>
        <w:keepNext/>
        <w:keepLine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„Jeśli</w:t>
      </w:r>
      <w:r w:rsidR="000041DE" w:rsidRPr="00F92229">
        <w:rPr>
          <w:rFonts w:ascii="Times New Roman" w:hAnsi="Times New Roman" w:cs="Times New Roman"/>
        </w:rPr>
        <w:t xml:space="preserve"> Trybunał stwierdzi, że nastąpiło naruszenie Konwencji lub jej Protokołów, oraz je</w:t>
      </w:r>
      <w:r>
        <w:rPr>
          <w:rFonts w:ascii="Times New Roman" w:hAnsi="Times New Roman" w:cs="Times New Roman"/>
        </w:rPr>
        <w:t>ś</w:t>
      </w:r>
      <w:r w:rsidR="000041DE" w:rsidRPr="00F92229">
        <w:rPr>
          <w:rFonts w:ascii="Times New Roman" w:hAnsi="Times New Roman" w:cs="Times New Roman"/>
        </w:rPr>
        <w:t xml:space="preserve">li prawo wewnętrzne zainteresowanej Wysokiej Układającej się Strony pozwala tylko na częściowe usunięcie konsekwencji tego naruszenia, Trybunał orzeka, gdy zachodzi potrzeba, </w:t>
      </w:r>
      <w:r>
        <w:rPr>
          <w:rFonts w:ascii="Times New Roman" w:hAnsi="Times New Roman" w:cs="Times New Roman"/>
        </w:rPr>
        <w:t>słuszne zadośćuczynienie</w:t>
      </w:r>
      <w:r w:rsidR="000041DE" w:rsidRPr="00F92229">
        <w:rPr>
          <w:rFonts w:ascii="Times New Roman" w:hAnsi="Times New Roman" w:cs="Times New Roman"/>
        </w:rPr>
        <w:t xml:space="preserve"> pokrzywdzonej stronie”.</w:t>
      </w:r>
    </w:p>
    <w:p w14:paraId="53A9B5C8" w14:textId="77777777" w:rsidR="000041DE" w:rsidRPr="00F92229" w:rsidRDefault="000041DE" w:rsidP="000041DE">
      <w:pPr>
        <w:pStyle w:val="JuHA"/>
        <w:numPr>
          <w:ilvl w:val="2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Szkoda</w:t>
      </w:r>
    </w:p>
    <w:p w14:paraId="30AF8C74" w14:textId="18B0F163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38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Skarżący domagał się równowartości kwoty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1800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euro (EUR) tytułem zadośćuczynienia za szkodę niemajątkową.</w:t>
      </w:r>
    </w:p>
    <w:p w14:paraId="59AC0CF7" w14:textId="572915FD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39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Rząd nie wyraził stanowiska w tej kwestii.</w:t>
      </w:r>
    </w:p>
    <w:p w14:paraId="387A3CDE" w14:textId="5E3D7F7F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40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Trybunał uważa, że powinien zasądzić dochodzoną kwotę w całości.</w:t>
      </w:r>
    </w:p>
    <w:p w14:paraId="447DE205" w14:textId="77777777" w:rsidR="000041DE" w:rsidRPr="00F92229" w:rsidRDefault="000041DE" w:rsidP="000041DE">
      <w:pPr>
        <w:pStyle w:val="JuHA"/>
        <w:numPr>
          <w:ilvl w:val="2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Koszty i wydatki</w:t>
      </w:r>
    </w:p>
    <w:p w14:paraId="2C54BDB3" w14:textId="78511D40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41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Skarżący nie domagał się zwrotu kosztów i wydatków.</w:t>
      </w:r>
    </w:p>
    <w:p w14:paraId="49FE3460" w14:textId="77777777" w:rsidR="000041DE" w:rsidRPr="00F92229" w:rsidRDefault="000041DE" w:rsidP="000041DE">
      <w:pPr>
        <w:pStyle w:val="JuHA"/>
        <w:numPr>
          <w:ilvl w:val="2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Odsetki za zwłokę</w:t>
      </w:r>
    </w:p>
    <w:p w14:paraId="382C1121" w14:textId="47C20BBD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noProof/>
        </w:rPr>
        <w:t>42</w:t>
      </w:r>
      <w:r w:rsidRPr="00F92229">
        <w:rPr>
          <w:rFonts w:ascii="Times New Roman" w:hAnsi="Times New Roman" w:cs="Times New Roman"/>
        </w:rPr>
        <w:t>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Trybunał za słuszne uznaje wyznaczenie wysokości odsetek za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zwłokę na podstawie marginalnej stopy procentowej Europejskiego Banku Centralnego powiększonej o trzy punkty procentowe.</w:t>
      </w:r>
    </w:p>
    <w:p w14:paraId="0D99F90E" w14:textId="77777777" w:rsidR="000041DE" w:rsidRPr="00F92229" w:rsidRDefault="000041DE" w:rsidP="000041DE">
      <w:pPr>
        <w:pStyle w:val="JuHHead"/>
        <w:numPr>
          <w:ilvl w:val="0"/>
          <w:numId w:val="4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Z POWYŻSZYCH WZGLĘDÓW TRYBUNAŁ JEDNOGŁOŚNIE</w:t>
      </w:r>
    </w:p>
    <w:p w14:paraId="66F44E4C" w14:textId="77777777" w:rsidR="000041DE" w:rsidRPr="00F92229" w:rsidRDefault="000041DE" w:rsidP="000041DE">
      <w:pPr>
        <w:pStyle w:val="JuList"/>
        <w:numPr>
          <w:ilvl w:val="0"/>
          <w:numId w:val="3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i/>
          <w:iCs/>
        </w:rPr>
        <w:t>uznaje</w:t>
      </w:r>
      <w:r w:rsidRPr="00F92229">
        <w:rPr>
          <w:rFonts w:ascii="Times New Roman" w:hAnsi="Times New Roman" w:cs="Times New Roman"/>
        </w:rPr>
        <w:t xml:space="preserve"> skargę za dopuszczalną;</w:t>
      </w:r>
    </w:p>
    <w:p w14:paraId="456CAD00" w14:textId="7A49262D" w:rsidR="000041DE" w:rsidRPr="00F92229" w:rsidRDefault="000041DE" w:rsidP="000041DE">
      <w:pPr>
        <w:pStyle w:val="JuList"/>
        <w:numPr>
          <w:ilvl w:val="0"/>
          <w:numId w:val="3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i/>
          <w:iCs/>
        </w:rPr>
        <w:t>stwierdza</w:t>
      </w:r>
      <w:r w:rsidRPr="00F92229">
        <w:rPr>
          <w:rFonts w:ascii="Times New Roman" w:hAnsi="Times New Roman" w:cs="Times New Roman"/>
        </w:rPr>
        <w:t>, że doszło do naruszenia art.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6 ust. 1 Konwencji;</w:t>
      </w:r>
    </w:p>
    <w:p w14:paraId="7535A859" w14:textId="634A885A" w:rsidR="000041DE" w:rsidRPr="00F92229" w:rsidRDefault="000041DE" w:rsidP="000041DE">
      <w:pPr>
        <w:pStyle w:val="JuList"/>
        <w:numPr>
          <w:ilvl w:val="0"/>
          <w:numId w:val="3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i/>
          <w:iCs/>
        </w:rPr>
        <w:t>stwierdza</w:t>
      </w:r>
      <w:r w:rsidRPr="00F92229">
        <w:rPr>
          <w:rFonts w:ascii="Times New Roman" w:hAnsi="Times New Roman" w:cs="Times New Roman"/>
        </w:rPr>
        <w:t>, że doszło do naruszenia art.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13 Konwencji;</w:t>
      </w:r>
    </w:p>
    <w:p w14:paraId="268845E3" w14:textId="77777777" w:rsidR="000041DE" w:rsidRPr="00F92229" w:rsidRDefault="000041DE" w:rsidP="000041DE">
      <w:pPr>
        <w:pStyle w:val="JuList"/>
        <w:numPr>
          <w:ilvl w:val="0"/>
          <w:numId w:val="3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  <w:i/>
          <w:iCs/>
        </w:rPr>
        <w:t>stwierdza</w:t>
      </w:r>
    </w:p>
    <w:p w14:paraId="54EDCA23" w14:textId="3D5DD636" w:rsidR="000041DE" w:rsidRPr="00F92229" w:rsidRDefault="000041DE" w:rsidP="000041DE">
      <w:pPr>
        <w:pStyle w:val="JuLista"/>
        <w:numPr>
          <w:ilvl w:val="1"/>
          <w:numId w:val="3"/>
        </w:numPr>
        <w:rPr>
          <w:rFonts w:ascii="Times New Roman" w:hAnsi="Times New Roman" w:cs="Times New Roman"/>
          <w:color w:val="000000"/>
        </w:rPr>
      </w:pPr>
      <w:r w:rsidRPr="00F92229">
        <w:rPr>
          <w:rFonts w:ascii="Times New Roman" w:hAnsi="Times New Roman" w:cs="Times New Roman"/>
        </w:rPr>
        <w:lastRenderedPageBreak/>
        <w:t>że pozwane państwo jest zobowiązane, w terminie trzech miesięcy, uiścić na rzecz skarżącego kwotę 1800 EUR (tysiąc osiemset euro), przeliczoną na walutę pozwanego państwa według kursu obowiązującego w dniu płatności, tytułem zadośćuczynienia za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szkodę niemajątkową;</w:t>
      </w:r>
    </w:p>
    <w:p w14:paraId="41709527" w14:textId="2E3C00E4" w:rsidR="000041DE" w:rsidRPr="00F92229" w:rsidRDefault="000041DE" w:rsidP="000041DE">
      <w:pPr>
        <w:pStyle w:val="JuLista"/>
        <w:numPr>
          <w:ilvl w:val="1"/>
          <w:numId w:val="3"/>
        </w:numPr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że od upływu wyżej wskazanego terminu trzech miesięcy aż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do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momentu uregulowania należności, należne będą odsetki zwykłe od określonej powyżej kwoty, naliczone według stopy równej marginalnej stopie procentowej Europejskiego Banku Centralnego obowiązującej w tym okresie, powiększonej o trzy punkty procentowe.</w:t>
      </w:r>
    </w:p>
    <w:p w14:paraId="1716DD5A" w14:textId="77777777" w:rsidR="000041DE" w:rsidRPr="00F92229" w:rsidRDefault="000041DE" w:rsidP="000041DE">
      <w:pPr>
        <w:pStyle w:val="JuPara"/>
        <w:rPr>
          <w:rFonts w:ascii="Times New Roman" w:hAnsi="Times New Roman" w:cs="Times New Roman"/>
        </w:rPr>
      </w:pPr>
    </w:p>
    <w:p w14:paraId="6336738D" w14:textId="6B94246E" w:rsidR="000041DE" w:rsidRPr="00F92229" w:rsidRDefault="000041DE" w:rsidP="000041DE">
      <w:pPr>
        <w:pStyle w:val="JuParaLast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>Sporządzono w języku angielskim i obwieszczono pisemnie dnia 16</w:t>
      </w:r>
      <w:r w:rsidR="00CC18D3">
        <w:rPr>
          <w:rFonts w:ascii="Times New Roman" w:hAnsi="Times New Roman" w:cs="Times New Roman"/>
        </w:rPr>
        <w:t> </w:t>
      </w:r>
      <w:r w:rsidRPr="00F92229">
        <w:rPr>
          <w:rFonts w:ascii="Times New Roman" w:hAnsi="Times New Roman" w:cs="Times New Roman"/>
        </w:rPr>
        <w:t>stycznia 2020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r., zgodnie z Regułą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77 §§</w:t>
      </w:r>
      <w:r w:rsidR="00CC18D3">
        <w:rPr>
          <w:rFonts w:ascii="Times New Roman" w:hAnsi="Times New Roman" w:cs="Times New Roman"/>
        </w:rPr>
        <w:t xml:space="preserve"> </w:t>
      </w:r>
      <w:r w:rsidRPr="00F92229">
        <w:rPr>
          <w:rFonts w:ascii="Times New Roman" w:hAnsi="Times New Roman" w:cs="Times New Roman"/>
        </w:rPr>
        <w:t>2 i 3 Regulaminu Trybunału.</w:t>
      </w:r>
    </w:p>
    <w:p w14:paraId="3AFBC85B" w14:textId="77777777" w:rsidR="000041DE" w:rsidRPr="00F92229" w:rsidRDefault="000041DE" w:rsidP="000041DE">
      <w:pPr>
        <w:pStyle w:val="JuSigned"/>
        <w:ind w:left="284" w:hanging="284"/>
        <w:rPr>
          <w:rFonts w:ascii="Times New Roman" w:hAnsi="Times New Roman" w:cs="Times New Roman"/>
        </w:rPr>
      </w:pPr>
      <w:r w:rsidRPr="00F92229">
        <w:rPr>
          <w:rFonts w:ascii="Times New Roman" w:hAnsi="Times New Roman" w:cs="Times New Roman"/>
        </w:rPr>
        <w:t xml:space="preserve">Abel Campos </w:t>
      </w:r>
      <w:r w:rsidRPr="00F92229">
        <w:rPr>
          <w:rFonts w:ascii="Times New Roman" w:hAnsi="Times New Roman" w:cs="Times New Roman"/>
        </w:rPr>
        <w:tab/>
        <w:t>Armen Harutyunyan</w:t>
      </w:r>
      <w:r w:rsidRPr="00F92229">
        <w:rPr>
          <w:rFonts w:ascii="Times New Roman" w:hAnsi="Times New Roman" w:cs="Times New Roman"/>
        </w:rPr>
        <w:br/>
        <w:t>Kanclerz</w:t>
      </w:r>
      <w:r w:rsidRPr="00F92229">
        <w:rPr>
          <w:rFonts w:ascii="Times New Roman" w:hAnsi="Times New Roman" w:cs="Times New Roman"/>
        </w:rPr>
        <w:tab/>
        <w:t>Przewodniczący</w:t>
      </w:r>
    </w:p>
    <w:p w14:paraId="6842269E" w14:textId="77777777" w:rsidR="000B4AA8" w:rsidRPr="00F92229" w:rsidRDefault="000B4AA8">
      <w:pPr>
        <w:rPr>
          <w:rFonts w:ascii="Times New Roman" w:hAnsi="Times New Roman" w:cs="Times New Roman"/>
        </w:rPr>
      </w:pPr>
    </w:p>
    <w:p w14:paraId="0200A3BF" w14:textId="77777777" w:rsidR="00CC18D3" w:rsidRPr="00F92229" w:rsidRDefault="00CC18D3">
      <w:pPr>
        <w:rPr>
          <w:rFonts w:ascii="Times New Roman" w:hAnsi="Times New Roman" w:cs="Times New Roman"/>
        </w:rPr>
      </w:pPr>
    </w:p>
    <w:sectPr w:rsidR="00CC18D3" w:rsidRPr="00F92229" w:rsidSect="00F92229">
      <w:pgSz w:w="11906" w:h="16838"/>
      <w:pgMar w:top="2274" w:right="2274" w:bottom="2274" w:left="22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C16EA3" w14:textId="77777777" w:rsidR="00847F2F" w:rsidRDefault="00847F2F" w:rsidP="00F92229">
      <w:r>
        <w:separator/>
      </w:r>
    </w:p>
  </w:endnote>
  <w:endnote w:type="continuationSeparator" w:id="0">
    <w:p w14:paraId="385C14BD" w14:textId="77777777" w:rsidR="00847F2F" w:rsidRDefault="00847F2F" w:rsidP="00F92229">
      <w:r>
        <w:continuationSeparator/>
      </w:r>
    </w:p>
  </w:endnote>
  <w:endnote w:type="continuationNotice" w:id="1">
    <w:p w14:paraId="391D792B" w14:textId="77777777" w:rsidR="00847F2F" w:rsidRDefault="00847F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88EAA" w14:textId="77777777" w:rsidR="00752177" w:rsidRDefault="007521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AC127B" w14:textId="77777777" w:rsidR="00752177" w:rsidRDefault="007521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36F1C" w14:textId="198A5965" w:rsidR="00F92229" w:rsidRDefault="00F92229" w:rsidP="00F92229">
    <w:pPr>
      <w:pStyle w:val="Stopka"/>
      <w:jc w:val="center"/>
    </w:pPr>
    <w:r>
      <w:rPr>
        <w:noProof/>
        <w:lang w:eastAsia="pl-PL"/>
      </w:rPr>
      <w:drawing>
        <wp:inline distT="0" distB="0" distL="0" distR="0" wp14:anchorId="6B943175" wp14:editId="2F3A576E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B02B5" w14:textId="77777777" w:rsidR="00847F2F" w:rsidRDefault="00847F2F" w:rsidP="00F92229">
      <w:r>
        <w:separator/>
      </w:r>
    </w:p>
  </w:footnote>
  <w:footnote w:type="continuationSeparator" w:id="0">
    <w:p w14:paraId="5BAA98D6" w14:textId="77777777" w:rsidR="00847F2F" w:rsidRDefault="00847F2F" w:rsidP="00F92229">
      <w:r>
        <w:continuationSeparator/>
      </w:r>
    </w:p>
  </w:footnote>
  <w:footnote w:type="continuationNotice" w:id="1">
    <w:p w14:paraId="790136FA" w14:textId="77777777" w:rsidR="00847F2F" w:rsidRDefault="00847F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DFF8CE" w14:textId="77777777" w:rsidR="00752177" w:rsidRDefault="007521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180E7" w14:textId="77777777" w:rsidR="00F92229" w:rsidRDefault="00F92229" w:rsidP="00F92229">
    <w:pPr>
      <w:pStyle w:val="JuHeader"/>
      <w:ind w:firstLine="2127"/>
      <w:rPr>
        <w:rFonts w:ascii="Times New Roman" w:hAnsi="Times New Roman" w:cs="Times New Roman"/>
      </w:rPr>
    </w:pPr>
  </w:p>
  <w:p w14:paraId="492ADC09" w14:textId="77777777" w:rsidR="00F92229" w:rsidRDefault="00F92229" w:rsidP="00F92229">
    <w:pPr>
      <w:pStyle w:val="JuHeader"/>
      <w:ind w:firstLine="2127"/>
      <w:rPr>
        <w:rFonts w:ascii="Times New Roman" w:hAnsi="Times New Roman" w:cs="Times New Roman"/>
      </w:rPr>
    </w:pPr>
  </w:p>
  <w:p w14:paraId="0C480F01" w14:textId="77777777" w:rsidR="00F92229" w:rsidRDefault="00F92229" w:rsidP="00F92229">
    <w:pPr>
      <w:pStyle w:val="JuHeader"/>
      <w:ind w:firstLine="2127"/>
      <w:rPr>
        <w:rFonts w:ascii="Times New Roman" w:hAnsi="Times New Roman" w:cs="Times New Roman"/>
      </w:rPr>
    </w:pPr>
  </w:p>
  <w:p w14:paraId="437442A6" w14:textId="77777777" w:rsidR="00F92229" w:rsidRDefault="00F92229" w:rsidP="00F92229">
    <w:pPr>
      <w:pStyle w:val="JuHeader"/>
      <w:ind w:firstLine="2127"/>
      <w:rPr>
        <w:rFonts w:ascii="Times New Roman" w:hAnsi="Times New Roman" w:cs="Times New Roman"/>
      </w:rPr>
    </w:pPr>
  </w:p>
  <w:p w14:paraId="5E2DB75D" w14:textId="77777777" w:rsidR="00F92229" w:rsidRDefault="00F92229" w:rsidP="00F92229">
    <w:pPr>
      <w:pStyle w:val="JuHeader"/>
      <w:ind w:firstLine="2127"/>
      <w:rPr>
        <w:rFonts w:ascii="Times New Roman" w:hAnsi="Times New Roman" w:cs="Times New Roman"/>
      </w:rPr>
    </w:pPr>
  </w:p>
  <w:p w14:paraId="48508CA7" w14:textId="74CC5F3B" w:rsidR="00F92229" w:rsidRPr="00CC18D3" w:rsidRDefault="003618A3" w:rsidP="003618A3">
    <w:pPr>
      <w:pStyle w:val="JuHeader"/>
      <w:jc w:val="center"/>
      <w:rPr>
        <w:rFonts w:ascii="Times New Roman" w:hAnsi="Times New Roman" w:cs="Times New Roman"/>
        <w:lang w:val="pl-PL"/>
      </w:rPr>
    </w:pPr>
    <w:r>
      <w:rPr>
        <w:rFonts w:ascii="Times New Roman" w:hAnsi="Times New Roman" w:cs="Times New Roman"/>
      </w:rPr>
      <w:tab/>
    </w:r>
    <w:r w:rsidR="00F92229" w:rsidRPr="00CC18D3">
      <w:rPr>
        <w:rFonts w:ascii="Times New Roman" w:hAnsi="Times New Roman" w:cs="Times New Roman"/>
        <w:lang w:val="pl-PL"/>
      </w:rPr>
      <w:t xml:space="preserve">WYROK W SPRAWIE JANULIS przeciwko POLSCE </w:t>
    </w:r>
    <w:sdt>
      <w:sdtPr>
        <w:rPr>
          <w:rFonts w:ascii="Times New Roman" w:hAnsi="Times New Roman" w:cs="Times New Roman"/>
        </w:rPr>
        <w:id w:val="2141069898"/>
        <w:docPartObj>
          <w:docPartGallery w:val="Page Numbers (Top of Page)"/>
          <w:docPartUnique/>
        </w:docPartObj>
      </w:sdtPr>
      <w:sdtEndPr/>
      <w:sdtContent>
        <w:r w:rsidR="00F92229" w:rsidRPr="00CC18D3">
          <w:rPr>
            <w:rFonts w:ascii="Times New Roman" w:hAnsi="Times New Roman" w:cs="Times New Roman"/>
            <w:lang w:val="pl-PL"/>
          </w:rPr>
          <w:tab/>
        </w:r>
        <w:r w:rsidR="00F92229" w:rsidRPr="00CC18D3">
          <w:rPr>
            <w:rFonts w:ascii="Times New Roman" w:hAnsi="Times New Roman" w:cs="Times New Roman"/>
            <w:lang w:val="pl-PL"/>
          </w:rPr>
          <w:tab/>
        </w:r>
        <w:r w:rsidR="00F92229" w:rsidRPr="003618A3">
          <w:rPr>
            <w:rFonts w:ascii="Times New Roman" w:hAnsi="Times New Roman" w:cs="Times New Roman"/>
          </w:rPr>
          <w:fldChar w:fldCharType="begin"/>
        </w:r>
        <w:r w:rsidR="00F92229" w:rsidRPr="00CC18D3">
          <w:rPr>
            <w:rFonts w:ascii="Times New Roman" w:hAnsi="Times New Roman" w:cs="Times New Roman"/>
            <w:lang w:val="pl-PL"/>
          </w:rPr>
          <w:instrText>PAGE   \* MERGEFORMAT</w:instrText>
        </w:r>
        <w:r w:rsidR="00F92229" w:rsidRPr="003618A3">
          <w:rPr>
            <w:rFonts w:ascii="Times New Roman" w:hAnsi="Times New Roman" w:cs="Times New Roman"/>
          </w:rPr>
          <w:fldChar w:fldCharType="separate"/>
        </w:r>
        <w:r w:rsidR="00752177">
          <w:rPr>
            <w:rFonts w:ascii="Times New Roman" w:hAnsi="Times New Roman" w:cs="Times New Roman"/>
            <w:noProof/>
            <w:lang w:val="pl-PL"/>
          </w:rPr>
          <w:t>2</w:t>
        </w:r>
        <w:r w:rsidR="00F92229" w:rsidRPr="003618A3">
          <w:rPr>
            <w:rFonts w:ascii="Times New Roman" w:hAnsi="Times New Roman" w:cs="Times New Roman"/>
          </w:rPr>
          <w:fldChar w:fldCharType="end"/>
        </w:r>
      </w:sdtContent>
    </w:sdt>
  </w:p>
  <w:p w14:paraId="10323B75" w14:textId="77FD37BF" w:rsidR="00F92229" w:rsidRPr="00F92229" w:rsidRDefault="00F92229" w:rsidP="00F92229">
    <w:pPr>
      <w:pStyle w:val="JuHeader"/>
      <w:rPr>
        <w:rFonts w:ascii="Times New Roman" w:hAnsi="Times New Roman" w:cs="Times New Roman"/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38FF8" w14:textId="77777777" w:rsidR="00F92229" w:rsidRPr="00A45145" w:rsidRDefault="00F92229" w:rsidP="00F92229">
    <w:pPr>
      <w:jc w:val="center"/>
    </w:pPr>
    <w:r>
      <w:rPr>
        <w:noProof/>
        <w:lang w:eastAsia="pl-PL"/>
      </w:rPr>
      <w:drawing>
        <wp:inline distT="0" distB="0" distL="0" distR="0" wp14:anchorId="7796D284" wp14:editId="7016FF59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C6C0EF" w14:textId="77777777" w:rsidR="00F92229" w:rsidRPr="00F92229" w:rsidRDefault="00F92229" w:rsidP="00F922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B451525"/>
    <w:multiLevelType w:val="multilevel"/>
    <w:tmpl w:val="B78866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</w:lvl>
    <w:lvl w:ilvl="3">
      <w:start w:val="1"/>
      <w:numFmt w:val="decimal"/>
      <w:lvlText w:val="%4."/>
      <w:lvlJc w:val="left"/>
      <w:pPr>
        <w:ind w:left="731" w:hanging="300"/>
      </w:pPr>
    </w:lvl>
    <w:lvl w:ilvl="4">
      <w:start w:val="1"/>
      <w:numFmt w:val="lowerLetter"/>
      <w:lvlText w:val="(%5)"/>
      <w:lvlJc w:val="left"/>
      <w:pPr>
        <w:ind w:left="975" w:hanging="340"/>
      </w:pPr>
    </w:lvl>
    <w:lvl w:ilvl="5">
      <w:start w:val="1"/>
      <w:numFmt w:val="lowerRoman"/>
      <w:suff w:val="space"/>
      <w:lvlText w:val="(%6)"/>
      <w:lvlJc w:val="left"/>
      <w:pPr>
        <w:ind w:left="1191" w:hanging="358"/>
      </w:p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cs="Times New Roman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</w:lvl>
  </w:abstractNum>
  <w:abstractNum w:abstractNumId="2" w15:restartNumberingAfterBreak="0">
    <w:nsid w:val="56B9429C"/>
    <w:multiLevelType w:val="multilevel"/>
    <w:tmpl w:val="0326302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</w:lvl>
    <w:lvl w:ilvl="3">
      <w:start w:val="1"/>
      <w:numFmt w:val="decimal"/>
      <w:pStyle w:val="JuH1"/>
      <w:lvlText w:val="%4."/>
      <w:lvlJc w:val="left"/>
      <w:pPr>
        <w:ind w:left="731" w:hanging="300"/>
      </w:pPr>
    </w:lvl>
    <w:lvl w:ilvl="4">
      <w:start w:val="1"/>
      <w:numFmt w:val="lowerLetter"/>
      <w:pStyle w:val="JuHa0"/>
      <w:lvlText w:val="(%5)"/>
      <w:lvlJc w:val="left"/>
      <w:pPr>
        <w:ind w:left="975" w:hanging="340"/>
      </w:p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372" w:hanging="334"/>
      </w:pPr>
      <w:rPr>
        <w:rFonts w:ascii="Times New Roman" w:hAnsi="Times New Roman" w:cs="Times New Roman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644" w:hanging="226"/>
      </w:pPr>
      <w:rPr>
        <w:rFonts w:ascii="Calibri" w:hAnsi="Calibri" w:cs="Times New Roman" w:hint="default"/>
        <w:b w:val="0"/>
        <w:i w:val="0"/>
        <w:color w:val="auto"/>
        <w:sz w:val="18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1DE"/>
    <w:rsid w:val="000013DF"/>
    <w:rsid w:val="000041DE"/>
    <w:rsid w:val="00064DE0"/>
    <w:rsid w:val="000A75AF"/>
    <w:rsid w:val="000B479F"/>
    <w:rsid w:val="000B4AA8"/>
    <w:rsid w:val="001E5C94"/>
    <w:rsid w:val="00270CB4"/>
    <w:rsid w:val="003618A3"/>
    <w:rsid w:val="003936E3"/>
    <w:rsid w:val="00647ADE"/>
    <w:rsid w:val="00651E0A"/>
    <w:rsid w:val="00752177"/>
    <w:rsid w:val="00847F2F"/>
    <w:rsid w:val="00864FB1"/>
    <w:rsid w:val="00B52BD1"/>
    <w:rsid w:val="00B96B47"/>
    <w:rsid w:val="00BA5DDD"/>
    <w:rsid w:val="00CC18D3"/>
    <w:rsid w:val="00D66FA6"/>
    <w:rsid w:val="00DB467A"/>
    <w:rsid w:val="00E607A6"/>
    <w:rsid w:val="00E70DB1"/>
    <w:rsid w:val="00EA5A1C"/>
    <w:rsid w:val="00F34EAE"/>
    <w:rsid w:val="00F9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A353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1DE"/>
    <w:pPr>
      <w:spacing w:after="0" w:line="240" w:lineRule="auto"/>
    </w:pPr>
    <w:rPr>
      <w:rFonts w:eastAsiaTheme="minorEastAsia"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41D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link w:val="TekstkomentarzaZnak"/>
    <w:uiPriority w:val="99"/>
    <w:semiHidden/>
    <w:unhideWhenUsed/>
    <w:rsid w:val="000041DE"/>
    <w:pPr>
      <w:spacing w:after="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41DE"/>
    <w:rPr>
      <w:sz w:val="20"/>
      <w:szCs w:val="20"/>
    </w:rPr>
  </w:style>
  <w:style w:type="paragraph" w:customStyle="1" w:styleId="JuQuot">
    <w:name w:val="Ju_Quot"/>
    <w:aliases w:val="_Quote"/>
    <w:basedOn w:val="Normalny"/>
    <w:uiPriority w:val="20"/>
    <w:qFormat/>
    <w:rsid w:val="000041DE"/>
    <w:pPr>
      <w:spacing w:before="120" w:after="120"/>
      <w:ind w:left="425" w:firstLine="142"/>
      <w:jc w:val="both"/>
    </w:pPr>
    <w:rPr>
      <w:sz w:val="20"/>
    </w:rPr>
  </w:style>
  <w:style w:type="paragraph" w:customStyle="1" w:styleId="JuPara">
    <w:name w:val="Ju_Para"/>
    <w:aliases w:val="_Para"/>
    <w:basedOn w:val="Normalny"/>
    <w:link w:val="JuParaChar"/>
    <w:uiPriority w:val="4"/>
    <w:qFormat/>
    <w:rsid w:val="000041DE"/>
    <w:pPr>
      <w:ind w:firstLine="284"/>
      <w:jc w:val="both"/>
    </w:pPr>
  </w:style>
  <w:style w:type="paragraph" w:customStyle="1" w:styleId="JuHHead">
    <w:name w:val="Ju_H_Head"/>
    <w:aliases w:val="_Head_1"/>
    <w:basedOn w:val="Normalny"/>
    <w:next w:val="JuPara"/>
    <w:uiPriority w:val="17"/>
    <w:qFormat/>
    <w:rsid w:val="000041DE"/>
    <w:pPr>
      <w:keepNext/>
      <w:keepLines/>
      <w:numPr>
        <w:numId w:val="1"/>
      </w:numPr>
      <w:spacing w:before="100" w:beforeAutospacing="1" w:after="240"/>
      <w:jc w:val="both"/>
      <w:outlineLvl w:val="0"/>
    </w:pPr>
    <w:rPr>
      <w:caps/>
      <w:sz w:val="28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0041DE"/>
    <w:pPr>
      <w:tabs>
        <w:tab w:val="center" w:pos="851"/>
        <w:tab w:val="center" w:pos="6407"/>
      </w:tabs>
      <w:spacing w:before="720"/>
    </w:pPr>
  </w:style>
  <w:style w:type="paragraph" w:customStyle="1" w:styleId="JuHIRoman">
    <w:name w:val="Ju_H_I_Roman"/>
    <w:aliases w:val="_Head_2"/>
    <w:basedOn w:val="Normalny"/>
    <w:next w:val="JuPara"/>
    <w:uiPriority w:val="17"/>
    <w:qFormat/>
    <w:rsid w:val="000041DE"/>
    <w:pPr>
      <w:keepNext/>
      <w:keepLines/>
      <w:numPr>
        <w:ilvl w:val="1"/>
        <w:numId w:val="1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ny"/>
    <w:next w:val="JuPara"/>
    <w:uiPriority w:val="17"/>
    <w:qFormat/>
    <w:rsid w:val="000041DE"/>
    <w:pPr>
      <w:keepNext/>
      <w:keepLines/>
      <w:numPr>
        <w:ilvl w:val="2"/>
        <w:numId w:val="1"/>
      </w:numPr>
      <w:spacing w:before="100" w:beforeAutospacing="1" w:after="240"/>
      <w:jc w:val="both"/>
      <w:outlineLvl w:val="2"/>
    </w:pPr>
    <w:rPr>
      <w:b/>
    </w:rPr>
  </w:style>
  <w:style w:type="paragraph" w:customStyle="1" w:styleId="JuH1">
    <w:name w:val="Ju_H_1."/>
    <w:aliases w:val="_Head_4"/>
    <w:basedOn w:val="Normalny"/>
    <w:next w:val="JuPara"/>
    <w:uiPriority w:val="17"/>
    <w:rsid w:val="000041DE"/>
    <w:pPr>
      <w:keepNext/>
      <w:keepLines/>
      <w:numPr>
        <w:ilvl w:val="3"/>
        <w:numId w:val="1"/>
      </w:numPr>
      <w:spacing w:before="100" w:beforeAutospacing="1" w:after="120"/>
      <w:jc w:val="both"/>
      <w:outlineLvl w:val="3"/>
    </w:pPr>
    <w:rPr>
      <w:i/>
    </w:rPr>
  </w:style>
  <w:style w:type="paragraph" w:customStyle="1" w:styleId="JuHa0">
    <w:name w:val="Ju_H_a"/>
    <w:aliases w:val="_Head_5"/>
    <w:basedOn w:val="Normalny"/>
    <w:next w:val="JuPara"/>
    <w:uiPriority w:val="17"/>
    <w:rsid w:val="000041DE"/>
    <w:pPr>
      <w:keepNext/>
      <w:keepLines/>
      <w:numPr>
        <w:ilvl w:val="4"/>
        <w:numId w:val="1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ny"/>
    <w:next w:val="JuPara"/>
    <w:uiPriority w:val="17"/>
    <w:rsid w:val="000041DE"/>
    <w:pPr>
      <w:keepNext/>
      <w:keepLines/>
      <w:numPr>
        <w:ilvl w:val="5"/>
        <w:numId w:val="1"/>
      </w:numPr>
      <w:spacing w:before="100" w:beforeAutospacing="1" w:after="120"/>
      <w:jc w:val="both"/>
      <w:outlineLvl w:val="5"/>
    </w:pPr>
    <w:rPr>
      <w:i/>
      <w:sz w:val="20"/>
    </w:rPr>
  </w:style>
  <w:style w:type="paragraph" w:customStyle="1" w:styleId="JuHalpha">
    <w:name w:val="Ju_H_alpha"/>
    <w:aliases w:val="_Head_7"/>
    <w:basedOn w:val="Normalny"/>
    <w:next w:val="JuPara"/>
    <w:uiPriority w:val="17"/>
    <w:rsid w:val="000041DE"/>
    <w:pPr>
      <w:keepNext/>
      <w:keepLines/>
      <w:numPr>
        <w:ilvl w:val="6"/>
        <w:numId w:val="1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ny"/>
    <w:next w:val="JuPara"/>
    <w:uiPriority w:val="17"/>
    <w:rsid w:val="000041DE"/>
    <w:pPr>
      <w:keepNext/>
      <w:keepLines/>
      <w:numPr>
        <w:ilvl w:val="7"/>
        <w:numId w:val="1"/>
      </w:numPr>
      <w:spacing w:before="100" w:beforeAutospacing="1" w:after="120"/>
      <w:outlineLvl w:val="7"/>
    </w:pPr>
    <w:rPr>
      <w:i/>
      <w:sz w:val="20"/>
    </w:rPr>
  </w:style>
  <w:style w:type="paragraph" w:customStyle="1" w:styleId="JuParaLast">
    <w:name w:val="Ju_Para_Last"/>
    <w:aliases w:val="_Para_Spaced"/>
    <w:basedOn w:val="Normalny"/>
    <w:uiPriority w:val="5"/>
    <w:qFormat/>
    <w:rsid w:val="000041DE"/>
    <w:pPr>
      <w:keepNext/>
      <w:keepLines/>
      <w:spacing w:before="240" w:after="240"/>
      <w:ind w:firstLine="284"/>
      <w:jc w:val="both"/>
    </w:pPr>
    <w:rPr>
      <w:rFonts w:eastAsiaTheme="minorHAnsi"/>
    </w:rPr>
  </w:style>
  <w:style w:type="paragraph" w:customStyle="1" w:styleId="ECHRDecisionBody">
    <w:name w:val="ECHR_Decision_Body"/>
    <w:aliases w:val="_Decision_Body"/>
    <w:basedOn w:val="Normalny"/>
    <w:uiPriority w:val="54"/>
    <w:rsid w:val="000041DE"/>
    <w:pPr>
      <w:tabs>
        <w:tab w:val="left" w:pos="567"/>
        <w:tab w:val="left" w:pos="1134"/>
      </w:tabs>
      <w:spacing w:line="240" w:lineRule="exact"/>
    </w:pPr>
  </w:style>
  <w:style w:type="paragraph" w:customStyle="1" w:styleId="JuList">
    <w:name w:val="Ju_List"/>
    <w:aliases w:val="_List_1"/>
    <w:basedOn w:val="Normalny"/>
    <w:uiPriority w:val="23"/>
    <w:qFormat/>
    <w:rsid w:val="000041DE"/>
    <w:pPr>
      <w:numPr>
        <w:numId w:val="2"/>
      </w:numPr>
      <w:spacing w:before="280" w:after="60"/>
      <w:jc w:val="both"/>
    </w:pPr>
    <w:rPr>
      <w:rFonts w:eastAsiaTheme="minorHAnsi"/>
    </w:rPr>
  </w:style>
  <w:style w:type="paragraph" w:customStyle="1" w:styleId="JuLista">
    <w:name w:val="Ju_List_a"/>
    <w:aliases w:val="_List_2"/>
    <w:basedOn w:val="Normalny"/>
    <w:uiPriority w:val="23"/>
    <w:rsid w:val="000041DE"/>
    <w:pPr>
      <w:numPr>
        <w:ilvl w:val="1"/>
        <w:numId w:val="2"/>
      </w:numPr>
      <w:jc w:val="both"/>
    </w:pPr>
  </w:style>
  <w:style w:type="paragraph" w:customStyle="1" w:styleId="JuListi">
    <w:name w:val="Ju_List_i"/>
    <w:aliases w:val="_List_3"/>
    <w:basedOn w:val="Normalny"/>
    <w:uiPriority w:val="23"/>
    <w:rsid w:val="000041DE"/>
    <w:pPr>
      <w:numPr>
        <w:ilvl w:val="2"/>
        <w:numId w:val="2"/>
      </w:numPr>
      <w:jc w:val="both"/>
    </w:pPr>
  </w:style>
  <w:style w:type="character" w:customStyle="1" w:styleId="JuParaChar">
    <w:name w:val="Ju_Para Char"/>
    <w:aliases w:val="_Para Char"/>
    <w:link w:val="JuPara"/>
    <w:uiPriority w:val="4"/>
    <w:locked/>
    <w:rsid w:val="000041DE"/>
    <w:rPr>
      <w:rFonts w:eastAsiaTheme="minorEastAsia"/>
      <w:sz w:val="24"/>
    </w:rPr>
  </w:style>
  <w:style w:type="paragraph" w:customStyle="1" w:styleId="JuCase">
    <w:name w:val="Ju_Case"/>
    <w:aliases w:val="_Case_Name"/>
    <w:basedOn w:val="Normalny"/>
    <w:next w:val="JuPara"/>
    <w:uiPriority w:val="32"/>
    <w:rsid w:val="000041DE"/>
    <w:pPr>
      <w:ind w:firstLine="284"/>
    </w:pPr>
    <w:rPr>
      <w:b/>
    </w:rPr>
  </w:style>
  <w:style w:type="paragraph" w:customStyle="1" w:styleId="ECHRHeading9">
    <w:name w:val="ECHR_Heading_9"/>
    <w:aliases w:val="_Head_9"/>
    <w:basedOn w:val="Nagwek9"/>
    <w:next w:val="Normalny"/>
    <w:uiPriority w:val="19"/>
    <w:semiHidden/>
    <w:rsid w:val="000041DE"/>
    <w:pPr>
      <w:keepNext w:val="0"/>
      <w:keepLines w:val="0"/>
      <w:numPr>
        <w:ilvl w:val="8"/>
        <w:numId w:val="1"/>
      </w:numPr>
      <w:tabs>
        <w:tab w:val="num" w:pos="360"/>
      </w:tabs>
      <w:spacing w:before="0"/>
      <w:ind w:left="0" w:firstLine="0"/>
    </w:pPr>
    <w:rPr>
      <w:i w:val="0"/>
      <w:color w:val="auto"/>
      <w:spacing w:val="5"/>
      <w:sz w:val="18"/>
      <w:szCs w:val="20"/>
      <w:lang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0041DE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0041DE"/>
    <w:pPr>
      <w:keepNext/>
      <w:keepLines/>
      <w:spacing w:before="1320" w:after="280"/>
      <w:contextualSpacing/>
      <w:jc w:val="center"/>
    </w:pPr>
    <w:rPr>
      <w:rFonts w:eastAsiaTheme="minorHAnsi"/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0041DE"/>
    <w:pPr>
      <w:keepNext/>
      <w:keepLines/>
      <w:tabs>
        <w:tab w:val="right" w:pos="7938"/>
      </w:tabs>
      <w:ind w:firstLine="0"/>
      <w:jc w:val="center"/>
    </w:pPr>
    <w:rPr>
      <w:rFonts w:eastAsiaTheme="minorHAnsi"/>
      <w:i/>
    </w:rPr>
  </w:style>
  <w:style w:type="character" w:styleId="Odwoaniedokomentarza">
    <w:name w:val="annotation reference"/>
    <w:uiPriority w:val="99"/>
    <w:semiHidden/>
    <w:unhideWhenUsed/>
    <w:rsid w:val="000041DE"/>
    <w:rPr>
      <w:sz w:val="16"/>
      <w:szCs w:val="16"/>
    </w:rPr>
  </w:style>
  <w:style w:type="numbering" w:customStyle="1" w:styleId="ECHRA1StyleList">
    <w:name w:val="ECHR_A1_Style_List"/>
    <w:uiPriority w:val="99"/>
    <w:rsid w:val="000041DE"/>
    <w:pPr>
      <w:numPr>
        <w:numId w:val="2"/>
      </w:numPr>
    </w:p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41D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41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41DE"/>
    <w:rPr>
      <w:rFonts w:ascii="Segoe UI" w:eastAsiaTheme="minorEastAsia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922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2229"/>
    <w:rPr>
      <w:rFonts w:eastAsiaTheme="minorEastAsia"/>
      <w:sz w:val="24"/>
    </w:rPr>
  </w:style>
  <w:style w:type="paragraph" w:styleId="Stopka">
    <w:name w:val="footer"/>
    <w:basedOn w:val="Normalny"/>
    <w:link w:val="StopkaZnak"/>
    <w:uiPriority w:val="99"/>
    <w:unhideWhenUsed/>
    <w:rsid w:val="00F922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2229"/>
    <w:rPr>
      <w:rFonts w:eastAsiaTheme="minorEastAsia"/>
      <w:sz w:val="24"/>
    </w:rPr>
  </w:style>
  <w:style w:type="paragraph" w:customStyle="1" w:styleId="JuHeader">
    <w:name w:val="Ju_Header"/>
    <w:aliases w:val="_Header"/>
    <w:basedOn w:val="Nagwek"/>
    <w:uiPriority w:val="29"/>
    <w:qFormat/>
    <w:rsid w:val="00F92229"/>
    <w:pPr>
      <w:tabs>
        <w:tab w:val="clear" w:pos="4536"/>
        <w:tab w:val="clear" w:pos="9072"/>
        <w:tab w:val="center" w:pos="3686"/>
        <w:tab w:val="right" w:pos="7371"/>
      </w:tabs>
    </w:pPr>
    <w:rPr>
      <w:rFonts w:eastAsiaTheme="minorHAnsi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2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74F62-4173-4AF4-8056-63D3640EE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2038</Words>
  <Characters>12231</Characters>
  <Application>Microsoft Office Word</Application>
  <DocSecurity>4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2020-04-16T13:45:00Z</dcterms:created>
  <dcterms:modified xsi:type="dcterms:W3CDTF">2020-04-16T13:45:00Z</dcterms:modified>
</cp:coreProperties>
</file>