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657E1E" w14:textId="77777777" w:rsidR="00426DCA" w:rsidRPr="006A41BD" w:rsidRDefault="00426DCA" w:rsidP="006A41BD">
      <w:pPr>
        <w:jc w:val="center"/>
        <w:rPr>
          <w:szCs w:val="24"/>
        </w:rPr>
      </w:pPr>
      <w:bookmarkStart w:id="0" w:name="_GoBack"/>
      <w:bookmarkEnd w:id="0"/>
    </w:p>
    <w:p w14:paraId="6EA41CA3" w14:textId="7644BF10" w:rsidR="00426DCA" w:rsidRPr="006A41BD" w:rsidRDefault="00D505EB" w:rsidP="006A41BD">
      <w:pPr>
        <w:jc w:val="center"/>
        <w:rPr>
          <w:szCs w:val="24"/>
        </w:rPr>
      </w:pPr>
      <w:r>
        <w:rPr>
          <w:szCs w:val="24"/>
        </w:rPr>
        <w:t>EUROPEJSKI TRYBUNAŁ PRAW CZŁOWIEKA</w:t>
      </w:r>
    </w:p>
    <w:p w14:paraId="28EB8DF4" w14:textId="77777777" w:rsidR="00426DCA" w:rsidRPr="006A41BD" w:rsidRDefault="00426DCA" w:rsidP="006A41BD">
      <w:pPr>
        <w:jc w:val="center"/>
        <w:rPr>
          <w:szCs w:val="24"/>
        </w:rPr>
      </w:pPr>
    </w:p>
    <w:p w14:paraId="6FB1A37A" w14:textId="77777777" w:rsidR="00426DCA" w:rsidRPr="006A41BD" w:rsidRDefault="00426DCA" w:rsidP="006A41BD">
      <w:pPr>
        <w:jc w:val="center"/>
        <w:rPr>
          <w:szCs w:val="24"/>
        </w:rPr>
      </w:pPr>
      <w:r>
        <w:t>SEKCJA PIĄTA</w:t>
      </w:r>
    </w:p>
    <w:p w14:paraId="0CD9775C" w14:textId="77777777" w:rsidR="00426DCA" w:rsidRPr="006A41BD" w:rsidRDefault="00426DCA" w:rsidP="006A41BD">
      <w:pPr>
        <w:jc w:val="center"/>
        <w:rPr>
          <w:szCs w:val="24"/>
        </w:rPr>
      </w:pPr>
    </w:p>
    <w:p w14:paraId="0DC4B79A" w14:textId="77777777" w:rsidR="00426DCA" w:rsidRPr="006A41BD" w:rsidRDefault="00426DCA" w:rsidP="006A41BD">
      <w:pPr>
        <w:jc w:val="center"/>
        <w:rPr>
          <w:szCs w:val="24"/>
        </w:rPr>
      </w:pPr>
    </w:p>
    <w:p w14:paraId="4EC444BE" w14:textId="77777777" w:rsidR="00426DCA" w:rsidRPr="006A41BD" w:rsidRDefault="00426DCA" w:rsidP="006A41BD">
      <w:pPr>
        <w:jc w:val="center"/>
        <w:rPr>
          <w:szCs w:val="24"/>
        </w:rPr>
      </w:pPr>
    </w:p>
    <w:p w14:paraId="5A8E16E5" w14:textId="77777777" w:rsidR="00426DCA" w:rsidRPr="006A41BD" w:rsidRDefault="00426DCA" w:rsidP="006A41BD">
      <w:pPr>
        <w:jc w:val="center"/>
        <w:rPr>
          <w:szCs w:val="24"/>
        </w:rPr>
      </w:pPr>
    </w:p>
    <w:p w14:paraId="18114249" w14:textId="77777777" w:rsidR="00426DCA" w:rsidRPr="006A41BD" w:rsidRDefault="00426DCA" w:rsidP="006A41BD">
      <w:pPr>
        <w:jc w:val="center"/>
        <w:rPr>
          <w:szCs w:val="24"/>
        </w:rPr>
      </w:pPr>
    </w:p>
    <w:p w14:paraId="69289DFE" w14:textId="77777777" w:rsidR="00E46B3B" w:rsidRPr="006A41BD" w:rsidRDefault="00E46B3B" w:rsidP="006A41BD">
      <w:pPr>
        <w:jc w:val="center"/>
        <w:rPr>
          <w:szCs w:val="24"/>
        </w:rPr>
      </w:pPr>
    </w:p>
    <w:p w14:paraId="5642114F" w14:textId="77777777" w:rsidR="00E46B3B" w:rsidRPr="006A41BD" w:rsidRDefault="00E46B3B" w:rsidP="006A41BD">
      <w:pPr>
        <w:jc w:val="center"/>
        <w:rPr>
          <w:szCs w:val="24"/>
        </w:rPr>
      </w:pPr>
    </w:p>
    <w:p w14:paraId="3F9EDD17" w14:textId="77777777" w:rsidR="00426DCA" w:rsidRPr="006A41BD" w:rsidRDefault="00426DCA" w:rsidP="006A41BD">
      <w:pPr>
        <w:jc w:val="center"/>
        <w:rPr>
          <w:b/>
          <w:szCs w:val="24"/>
        </w:rPr>
      </w:pPr>
      <w:r>
        <w:rPr>
          <w:b/>
          <w:szCs w:val="24"/>
        </w:rPr>
        <w:t>SPRAWA S.F. I INNI PRZECIWKO BUŁGARII</w:t>
      </w:r>
    </w:p>
    <w:p w14:paraId="4C948995" w14:textId="77777777" w:rsidR="00426DCA" w:rsidRPr="006A41BD" w:rsidRDefault="00426DCA" w:rsidP="006A41BD">
      <w:pPr>
        <w:jc w:val="center"/>
        <w:rPr>
          <w:szCs w:val="24"/>
        </w:rPr>
      </w:pPr>
    </w:p>
    <w:p w14:paraId="796EE4E1" w14:textId="77777777" w:rsidR="00426DCA" w:rsidRPr="006A41BD" w:rsidRDefault="00426DCA" w:rsidP="006A41BD">
      <w:pPr>
        <w:jc w:val="center"/>
        <w:rPr>
          <w:i/>
          <w:szCs w:val="24"/>
        </w:rPr>
      </w:pPr>
      <w:r>
        <w:rPr>
          <w:i/>
          <w:szCs w:val="24"/>
        </w:rPr>
        <w:t>(Skarga nr 8138/16)</w:t>
      </w:r>
    </w:p>
    <w:p w14:paraId="2E4F7E15" w14:textId="77777777" w:rsidR="00426DCA" w:rsidRPr="006A41BD" w:rsidRDefault="00426DCA" w:rsidP="006A41BD">
      <w:pPr>
        <w:jc w:val="center"/>
        <w:rPr>
          <w:szCs w:val="24"/>
        </w:rPr>
      </w:pPr>
    </w:p>
    <w:p w14:paraId="3AA4A64C" w14:textId="77777777" w:rsidR="00426DCA" w:rsidRPr="006A41BD" w:rsidRDefault="00426DCA" w:rsidP="006A41BD">
      <w:pPr>
        <w:jc w:val="center"/>
        <w:rPr>
          <w:szCs w:val="24"/>
        </w:rPr>
      </w:pPr>
    </w:p>
    <w:p w14:paraId="598C9410" w14:textId="77777777" w:rsidR="00426DCA" w:rsidRPr="006A41BD" w:rsidRDefault="00426DCA" w:rsidP="006A41BD">
      <w:pPr>
        <w:jc w:val="center"/>
        <w:rPr>
          <w:szCs w:val="24"/>
        </w:rPr>
      </w:pPr>
    </w:p>
    <w:p w14:paraId="01191D95" w14:textId="77777777" w:rsidR="00426DCA" w:rsidRPr="006A41BD" w:rsidRDefault="00426DCA" w:rsidP="006A41BD">
      <w:pPr>
        <w:jc w:val="center"/>
        <w:rPr>
          <w:szCs w:val="24"/>
        </w:rPr>
      </w:pPr>
    </w:p>
    <w:p w14:paraId="3B908298" w14:textId="77777777" w:rsidR="00426DCA" w:rsidRPr="006A41BD" w:rsidRDefault="00426DCA" w:rsidP="006A41BD">
      <w:pPr>
        <w:jc w:val="center"/>
        <w:rPr>
          <w:szCs w:val="24"/>
        </w:rPr>
      </w:pPr>
    </w:p>
    <w:p w14:paraId="31EED42B" w14:textId="77777777" w:rsidR="00426DCA" w:rsidRPr="006A41BD" w:rsidRDefault="00426DCA" w:rsidP="006A41BD">
      <w:pPr>
        <w:jc w:val="center"/>
        <w:rPr>
          <w:szCs w:val="24"/>
        </w:rPr>
      </w:pPr>
    </w:p>
    <w:p w14:paraId="324E377C" w14:textId="77777777" w:rsidR="00426DCA" w:rsidRPr="006A41BD" w:rsidRDefault="00426DCA" w:rsidP="006A41BD">
      <w:pPr>
        <w:jc w:val="center"/>
        <w:rPr>
          <w:szCs w:val="24"/>
        </w:rPr>
      </w:pPr>
    </w:p>
    <w:p w14:paraId="7DB35CEB" w14:textId="77777777" w:rsidR="00426DCA" w:rsidRPr="006A41BD" w:rsidRDefault="00426DCA" w:rsidP="006A41BD">
      <w:pPr>
        <w:jc w:val="center"/>
        <w:rPr>
          <w:szCs w:val="24"/>
        </w:rPr>
      </w:pPr>
    </w:p>
    <w:p w14:paraId="6500B182" w14:textId="77777777" w:rsidR="00426DCA" w:rsidRPr="006A41BD" w:rsidRDefault="00426DCA" w:rsidP="006A41BD">
      <w:pPr>
        <w:jc w:val="center"/>
        <w:rPr>
          <w:szCs w:val="24"/>
        </w:rPr>
      </w:pPr>
    </w:p>
    <w:p w14:paraId="66A6B818" w14:textId="77777777" w:rsidR="00426DCA" w:rsidRPr="006A41BD" w:rsidRDefault="00426DCA" w:rsidP="006A41BD">
      <w:pPr>
        <w:jc w:val="center"/>
        <w:rPr>
          <w:szCs w:val="24"/>
        </w:rPr>
      </w:pPr>
      <w:r>
        <w:t>WYROK</w:t>
      </w:r>
    </w:p>
    <w:p w14:paraId="24F151D4" w14:textId="77777777" w:rsidR="00426DCA" w:rsidRPr="006A41BD" w:rsidRDefault="00426DCA" w:rsidP="006A41BD">
      <w:pPr>
        <w:jc w:val="center"/>
        <w:rPr>
          <w:szCs w:val="24"/>
        </w:rPr>
      </w:pPr>
    </w:p>
    <w:p w14:paraId="58DCF513" w14:textId="77777777" w:rsidR="00A8709A" w:rsidRPr="006A41BD" w:rsidRDefault="00A8709A" w:rsidP="006A41BD">
      <w:pPr>
        <w:jc w:val="center"/>
        <w:rPr>
          <w:i/>
          <w:szCs w:val="24"/>
        </w:rPr>
      </w:pPr>
    </w:p>
    <w:p w14:paraId="2FB2C98C" w14:textId="77777777" w:rsidR="00426DCA" w:rsidRPr="006A41BD" w:rsidRDefault="00426DCA" w:rsidP="006A41BD">
      <w:pPr>
        <w:jc w:val="center"/>
        <w:rPr>
          <w:szCs w:val="24"/>
        </w:rPr>
      </w:pPr>
      <w:r>
        <w:t>STRASBURG</w:t>
      </w:r>
    </w:p>
    <w:p w14:paraId="78EACC0F" w14:textId="77777777" w:rsidR="00426DCA" w:rsidRPr="006A41BD" w:rsidRDefault="00426DCA" w:rsidP="006A41BD">
      <w:pPr>
        <w:jc w:val="center"/>
        <w:rPr>
          <w:szCs w:val="24"/>
        </w:rPr>
      </w:pPr>
    </w:p>
    <w:p w14:paraId="62A3513C" w14:textId="0C5936D4" w:rsidR="00426DCA" w:rsidRPr="006A41BD" w:rsidRDefault="00426DCA" w:rsidP="006A41BD">
      <w:pPr>
        <w:jc w:val="center"/>
        <w:rPr>
          <w:szCs w:val="24"/>
        </w:rPr>
      </w:pPr>
      <w:r>
        <w:t>7 grudnia 2017</w:t>
      </w:r>
      <w:r w:rsidR="00F861AE">
        <w:t xml:space="preserve"> </w:t>
      </w:r>
      <w:r>
        <w:t>r.</w:t>
      </w:r>
    </w:p>
    <w:p w14:paraId="2E705951" w14:textId="77777777" w:rsidR="00426DCA" w:rsidRPr="006A41BD" w:rsidRDefault="00426DCA" w:rsidP="006A41BD">
      <w:pPr>
        <w:jc w:val="center"/>
        <w:rPr>
          <w:szCs w:val="24"/>
        </w:rPr>
      </w:pPr>
    </w:p>
    <w:p w14:paraId="271F4F32" w14:textId="77777777" w:rsidR="00426DCA" w:rsidRPr="006A41BD" w:rsidRDefault="00426DCA" w:rsidP="006A41BD">
      <w:pPr>
        <w:jc w:val="center"/>
        <w:rPr>
          <w:szCs w:val="24"/>
        </w:rPr>
      </w:pPr>
    </w:p>
    <w:p w14:paraId="772DF1AD" w14:textId="77777777" w:rsidR="00426DCA" w:rsidRPr="006A41BD" w:rsidRDefault="00426DCA" w:rsidP="006A41BD">
      <w:pPr>
        <w:jc w:val="center"/>
        <w:rPr>
          <w:szCs w:val="24"/>
        </w:rPr>
      </w:pPr>
    </w:p>
    <w:p w14:paraId="389D62BF" w14:textId="559922EE" w:rsidR="006A41BD" w:rsidRPr="006A41BD" w:rsidRDefault="006A41BD" w:rsidP="006A41BD">
      <w:pPr>
        <w:pStyle w:val="jucase0"/>
        <w:ind w:firstLine="0"/>
        <w:jc w:val="center"/>
        <w:rPr>
          <w:color w:val="FF0000"/>
          <w:sz w:val="28"/>
          <w:szCs w:val="28"/>
          <w:u w:val="single"/>
        </w:rPr>
      </w:pPr>
      <w:r>
        <w:rPr>
          <w:color w:val="FF0000"/>
          <w:sz w:val="28"/>
          <w:szCs w:val="28"/>
          <w:u w:val="single"/>
        </w:rPr>
        <w:t>OSTATECZNY</w:t>
      </w:r>
    </w:p>
    <w:p w14:paraId="08E21E9E" w14:textId="77777777" w:rsidR="006A41BD" w:rsidRPr="006A41BD" w:rsidRDefault="006A41BD" w:rsidP="006A41BD">
      <w:pPr>
        <w:pStyle w:val="jupara"/>
        <w:tabs>
          <w:tab w:val="left" w:pos="4650"/>
        </w:tabs>
        <w:ind w:firstLine="0"/>
        <w:jc w:val="center"/>
        <w:rPr>
          <w:color w:val="FF0000"/>
          <w:sz w:val="28"/>
          <w:szCs w:val="28"/>
        </w:rPr>
      </w:pPr>
    </w:p>
    <w:p w14:paraId="65BD5615" w14:textId="77777777" w:rsidR="006A41BD" w:rsidRPr="006A41BD" w:rsidRDefault="006A41BD" w:rsidP="006A41BD">
      <w:pPr>
        <w:pStyle w:val="jupara"/>
        <w:ind w:firstLine="0"/>
        <w:jc w:val="center"/>
        <w:rPr>
          <w:color w:val="FF0000"/>
          <w:sz w:val="28"/>
          <w:szCs w:val="28"/>
        </w:rPr>
      </w:pPr>
      <w:r>
        <w:rPr>
          <w:color w:val="FF0000"/>
          <w:sz w:val="28"/>
          <w:szCs w:val="28"/>
        </w:rPr>
        <w:t>7/03/2018</w:t>
      </w:r>
    </w:p>
    <w:p w14:paraId="2B9C56CC" w14:textId="77777777" w:rsidR="006A41BD" w:rsidRPr="006A41BD" w:rsidRDefault="006A41BD" w:rsidP="006A41BD">
      <w:pPr>
        <w:pStyle w:val="jupara"/>
        <w:ind w:firstLine="0"/>
        <w:jc w:val="center"/>
      </w:pPr>
    </w:p>
    <w:p w14:paraId="27BA8A8E" w14:textId="77777777" w:rsidR="006A41BD" w:rsidRPr="006A41BD" w:rsidRDefault="006A41BD" w:rsidP="006A41BD">
      <w:pPr>
        <w:pStyle w:val="jupara"/>
        <w:ind w:firstLine="0"/>
        <w:jc w:val="center"/>
      </w:pPr>
    </w:p>
    <w:p w14:paraId="3A623723" w14:textId="6EDDDBFA" w:rsidR="006A41BD" w:rsidRPr="006A41BD" w:rsidRDefault="006A41BD" w:rsidP="00D505EB">
      <w:pPr>
        <w:pStyle w:val="JuCase"/>
        <w:suppressLineNumbers/>
        <w:ind w:firstLine="0"/>
        <w:jc w:val="center"/>
        <w:rPr>
          <w:rFonts w:ascii="Times New Roman" w:hAnsi="Times New Roman" w:cs="Times New Roman"/>
          <w:b w:val="0"/>
          <w:i/>
          <w:sz w:val="22"/>
        </w:rPr>
      </w:pPr>
      <w:r>
        <w:rPr>
          <w:rFonts w:ascii="Times New Roman" w:hAnsi="Times New Roman"/>
          <w:b w:val="0"/>
          <w:i/>
          <w:iCs/>
          <w:sz w:val="22"/>
        </w:rPr>
        <w:t>Wyrok ten stał się ostateczny zgodnie z warunkami określonymi w art. 44 ust.</w:t>
      </w:r>
      <w:r w:rsidR="00F861AE">
        <w:rPr>
          <w:rFonts w:ascii="Times New Roman" w:hAnsi="Times New Roman"/>
          <w:b w:val="0"/>
          <w:i/>
          <w:iCs/>
          <w:sz w:val="22"/>
        </w:rPr>
        <w:t xml:space="preserve"> </w:t>
      </w:r>
      <w:r>
        <w:rPr>
          <w:rFonts w:ascii="Times New Roman" w:hAnsi="Times New Roman"/>
          <w:b w:val="0"/>
          <w:i/>
          <w:iCs/>
          <w:sz w:val="22"/>
        </w:rPr>
        <w:t>2 Konwencji. Wyrok może podlegać korekcie wydawniczej.</w:t>
      </w:r>
    </w:p>
    <w:p w14:paraId="64EA137A" w14:textId="77777777" w:rsidR="00426DCA" w:rsidRPr="006A41BD" w:rsidRDefault="00426DCA" w:rsidP="006A41BD">
      <w:pPr>
        <w:rPr>
          <w:szCs w:val="24"/>
        </w:rPr>
        <w:sectPr w:rsidR="00426DCA" w:rsidRPr="006A41BD" w:rsidSect="00BE3A86">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noEndnote/>
        </w:sectPr>
      </w:pPr>
    </w:p>
    <w:p w14:paraId="02FA2064" w14:textId="77777777" w:rsidR="00014566" w:rsidRPr="006A41BD" w:rsidRDefault="00142EC5" w:rsidP="006A41BD">
      <w:pPr>
        <w:pStyle w:val="JuCase"/>
        <w:rPr>
          <w:bCs/>
        </w:rPr>
      </w:pPr>
      <w:r>
        <w:lastRenderedPageBreak/>
        <w:t>W sprawie S.F. i i</w:t>
      </w:r>
      <w:r w:rsidR="00014566">
        <w:t>nni przeciwko Bułgarii</w:t>
      </w:r>
    </w:p>
    <w:p w14:paraId="50B9537A" w14:textId="77777777" w:rsidR="00014566" w:rsidRPr="006A41BD" w:rsidRDefault="00014566" w:rsidP="006A41BD">
      <w:pPr>
        <w:pStyle w:val="ECHRPara"/>
      </w:pPr>
      <w:r>
        <w:t>Europejski Trybunał Praw Człowieka (Sekcja Piąta), zasiadając jako Izba w składzie:</w:t>
      </w:r>
    </w:p>
    <w:p w14:paraId="70C43D2C" w14:textId="77777777" w:rsidR="00014566" w:rsidRPr="006A41BD" w:rsidRDefault="002A55A0" w:rsidP="006A41BD">
      <w:pPr>
        <w:pStyle w:val="ECHRDecisionBody"/>
        <w:tabs>
          <w:tab w:val="clear" w:pos="1134"/>
        </w:tabs>
      </w:pPr>
      <w:r>
        <w:tab/>
        <w:t>Angelika Nußberger,</w:t>
      </w:r>
      <w:r>
        <w:rPr>
          <w:i/>
        </w:rPr>
        <w:t xml:space="preserve"> Przewodnicząca</w:t>
      </w:r>
      <w:r>
        <w:t>,</w:t>
      </w:r>
      <w:r>
        <w:br/>
      </w:r>
      <w:r>
        <w:tab/>
        <w:t xml:space="preserve">Nona </w:t>
      </w:r>
      <w:proofErr w:type="spellStart"/>
      <w:r>
        <w:t>Tsotsoria</w:t>
      </w:r>
      <w:proofErr w:type="spellEnd"/>
      <w:r>
        <w:t>,</w:t>
      </w:r>
      <w:r>
        <w:rPr>
          <w:i/>
        </w:rPr>
        <w:br/>
      </w:r>
      <w:r>
        <w:tab/>
      </w:r>
      <w:proofErr w:type="spellStart"/>
      <w:r>
        <w:t>André</w:t>
      </w:r>
      <w:proofErr w:type="spellEnd"/>
      <w:r>
        <w:t xml:space="preserve"> Potocki,</w:t>
      </w:r>
      <w:r>
        <w:rPr>
          <w:i/>
        </w:rPr>
        <w:br/>
      </w:r>
      <w:r>
        <w:tab/>
      </w:r>
      <w:proofErr w:type="spellStart"/>
      <w:r>
        <w:t>Yonko</w:t>
      </w:r>
      <w:proofErr w:type="spellEnd"/>
      <w:r>
        <w:t xml:space="preserve"> </w:t>
      </w:r>
      <w:proofErr w:type="spellStart"/>
      <w:r>
        <w:t>Grozev</w:t>
      </w:r>
      <w:proofErr w:type="spellEnd"/>
      <w:r>
        <w:t>,</w:t>
      </w:r>
      <w:r>
        <w:rPr>
          <w:i/>
        </w:rPr>
        <w:br/>
      </w:r>
      <w:r>
        <w:tab/>
      </w:r>
      <w:proofErr w:type="spellStart"/>
      <w:r>
        <w:t>Mārtiņš</w:t>
      </w:r>
      <w:proofErr w:type="spellEnd"/>
      <w:r>
        <w:t xml:space="preserve"> </w:t>
      </w:r>
      <w:proofErr w:type="spellStart"/>
      <w:r>
        <w:t>Mits</w:t>
      </w:r>
      <w:proofErr w:type="spellEnd"/>
      <w:r>
        <w:t>,</w:t>
      </w:r>
      <w:r>
        <w:rPr>
          <w:i/>
        </w:rPr>
        <w:br/>
      </w:r>
      <w:r>
        <w:tab/>
        <w:t xml:space="preserve">Gabriele </w:t>
      </w:r>
      <w:proofErr w:type="spellStart"/>
      <w:r>
        <w:t>Kucsko-Stadlmayer</w:t>
      </w:r>
      <w:proofErr w:type="spellEnd"/>
      <w:r>
        <w:t>,</w:t>
      </w:r>
      <w:r>
        <w:rPr>
          <w:i/>
        </w:rPr>
        <w:br/>
      </w:r>
      <w:r>
        <w:tab/>
      </w:r>
      <w:proofErr w:type="spellStart"/>
      <w:r>
        <w:t>Lәtif</w:t>
      </w:r>
      <w:proofErr w:type="spellEnd"/>
      <w:r>
        <w:t xml:space="preserve"> </w:t>
      </w:r>
      <w:proofErr w:type="spellStart"/>
      <w:r>
        <w:t>Hüseynov</w:t>
      </w:r>
      <w:proofErr w:type="spellEnd"/>
      <w:r>
        <w:t xml:space="preserve">, </w:t>
      </w:r>
      <w:r>
        <w:rPr>
          <w:i/>
        </w:rPr>
        <w:t>sędziowie</w:t>
      </w:r>
      <w:r>
        <w:t>,</w:t>
      </w:r>
      <w:r>
        <w:br/>
        <w:t xml:space="preserve">oraz Milan Blaško, </w:t>
      </w:r>
      <w:r>
        <w:rPr>
          <w:i/>
        </w:rPr>
        <w:t>Zastępca</w:t>
      </w:r>
      <w:r>
        <w:t xml:space="preserve"> </w:t>
      </w:r>
      <w:r>
        <w:rPr>
          <w:i/>
        </w:rPr>
        <w:t xml:space="preserve">Kanclerza </w:t>
      </w:r>
      <w:r>
        <w:rPr>
          <w:i/>
          <w:iCs/>
        </w:rPr>
        <w:t>Sekcji</w:t>
      </w:r>
      <w:r>
        <w:t>,</w:t>
      </w:r>
    </w:p>
    <w:p w14:paraId="336BA743" w14:textId="456AE4B0" w:rsidR="00014566" w:rsidRPr="006A41BD" w:rsidRDefault="00014566" w:rsidP="006A41BD">
      <w:pPr>
        <w:pStyle w:val="ECHRPara"/>
      </w:pPr>
      <w:r>
        <w:t>obradując na posiedzeniu niejawnym w dniu 14</w:t>
      </w:r>
      <w:r w:rsidR="00F861AE">
        <w:t xml:space="preserve"> </w:t>
      </w:r>
      <w:r>
        <w:t>listopada 2017</w:t>
      </w:r>
      <w:r w:rsidR="00F861AE">
        <w:t xml:space="preserve"> </w:t>
      </w:r>
      <w:r>
        <w:t>r.,</w:t>
      </w:r>
    </w:p>
    <w:p w14:paraId="43FC8CEE" w14:textId="77777777" w:rsidR="00014566" w:rsidRPr="006A41BD" w:rsidRDefault="00014566" w:rsidP="006A41BD">
      <w:pPr>
        <w:pStyle w:val="ECHRPara"/>
      </w:pPr>
      <w:r>
        <w:t>wydaje następujący wyrok, który został przyjęty w tym dniu:</w:t>
      </w:r>
    </w:p>
    <w:p w14:paraId="4AB76D43" w14:textId="77777777" w:rsidR="00014566" w:rsidRPr="006A41BD" w:rsidRDefault="00014566" w:rsidP="006A41BD">
      <w:pPr>
        <w:pStyle w:val="ECHRTitle1"/>
      </w:pPr>
      <w:r>
        <w:t>POSTĘPOWANIE</w:t>
      </w:r>
    </w:p>
    <w:p w14:paraId="79E78545" w14:textId="5BBAD7C3" w:rsidR="00014566" w:rsidRPr="006A41BD" w:rsidRDefault="00142EC5" w:rsidP="006A41BD">
      <w:pPr>
        <w:pStyle w:val="ECHRPara"/>
      </w:pPr>
      <w:bookmarkStart w:id="1" w:name="P_application"/>
      <w:r>
        <w:rPr>
          <w:noProof/>
        </w:rPr>
        <w:t>1</w:t>
      </w:r>
      <w:bookmarkEnd w:id="1"/>
      <w:r w:rsidR="0002079C">
        <w:t>.</w:t>
      </w:r>
      <w:r w:rsidR="00F861AE">
        <w:t xml:space="preserve"> </w:t>
      </w:r>
      <w:r w:rsidR="0002079C">
        <w:t>Sprawa wywodzi się ze skargi (nr</w:t>
      </w:r>
      <w:r w:rsidR="00F861AE">
        <w:t xml:space="preserve"> </w:t>
      </w:r>
      <w:r w:rsidR="0002079C">
        <w:t>8138/16) przeciwko Republice Bułgarii, wniesionej do Trybunału w dniu 8</w:t>
      </w:r>
      <w:r w:rsidR="00F861AE">
        <w:t xml:space="preserve"> </w:t>
      </w:r>
      <w:r w:rsidR="0002079C">
        <w:t>lutego 2016</w:t>
      </w:r>
      <w:r w:rsidR="00F861AE">
        <w:t xml:space="preserve"> </w:t>
      </w:r>
      <w:r w:rsidR="0002079C">
        <w:t>r. na podstawie art.</w:t>
      </w:r>
      <w:r w:rsidR="00F861AE">
        <w:t xml:space="preserve"> </w:t>
      </w:r>
      <w:r w:rsidR="0002079C">
        <w:t>34 Konwencji o ochronie praw człowieka i podstawowych wolności („Konwencji”) przez pięciu obywateli Iraku, p.</w:t>
      </w:r>
      <w:r w:rsidR="00F861AE">
        <w:t xml:space="preserve"> </w:t>
      </w:r>
      <w:r w:rsidR="0002079C">
        <w:t>S.F., p.</w:t>
      </w:r>
      <w:r w:rsidR="00F861AE">
        <w:t xml:space="preserve"> </w:t>
      </w:r>
      <w:r w:rsidR="0002079C">
        <w:t>W.O., p.</w:t>
      </w:r>
      <w:r w:rsidR="00F861AE">
        <w:t xml:space="preserve"> </w:t>
      </w:r>
      <w:r w:rsidR="0002079C">
        <w:t>Y.F., p.</w:t>
      </w:r>
      <w:r w:rsidR="0067654E">
        <w:t> </w:t>
      </w:r>
      <w:r w:rsidR="0002079C">
        <w:t>S.F. i p.</w:t>
      </w:r>
      <w:r w:rsidR="00F861AE">
        <w:t xml:space="preserve"> </w:t>
      </w:r>
      <w:r w:rsidR="0002079C">
        <w:t>A.F. („skarżących”). Przewodnicząca Sekcji przychyliła się do</w:t>
      </w:r>
      <w:r w:rsidR="0067654E">
        <w:t> </w:t>
      </w:r>
      <w:r w:rsidR="0002079C">
        <w:t>wniosku skarżących o nieujawnianie ich nazwisk (Reguła 47</w:t>
      </w:r>
      <w:r w:rsidR="00F861AE">
        <w:t xml:space="preserve"> </w:t>
      </w:r>
      <w:r w:rsidR="0002079C">
        <w:t>§</w:t>
      </w:r>
      <w:r w:rsidR="00F861AE">
        <w:t xml:space="preserve"> </w:t>
      </w:r>
      <w:r w:rsidR="0002079C">
        <w:t>4 Regulaminu Trybunału).</w:t>
      </w:r>
    </w:p>
    <w:p w14:paraId="41F0916A" w14:textId="51B6B859" w:rsidR="0002079C" w:rsidRPr="006A41BD" w:rsidRDefault="00142EC5" w:rsidP="006A41BD">
      <w:pPr>
        <w:pStyle w:val="ECHRPara"/>
      </w:pPr>
      <w:bookmarkStart w:id="2" w:name="P_representation"/>
      <w:r>
        <w:rPr>
          <w:noProof/>
        </w:rPr>
        <w:t>2</w:t>
      </w:r>
      <w:bookmarkEnd w:id="2"/>
      <w:r w:rsidR="0002079C">
        <w:t>.</w:t>
      </w:r>
      <w:r w:rsidR="00F861AE">
        <w:t xml:space="preserve"> </w:t>
      </w:r>
      <w:r w:rsidR="0002079C">
        <w:t>Skarżący byli reprezentowani przez p.</w:t>
      </w:r>
      <w:r w:rsidR="00F861AE">
        <w:t xml:space="preserve"> </w:t>
      </w:r>
      <w:r w:rsidR="0002079C">
        <w:t>K.</w:t>
      </w:r>
      <w:r w:rsidR="00F861AE">
        <w:t xml:space="preserve"> </w:t>
      </w:r>
      <w:proofErr w:type="spellStart"/>
      <w:r w:rsidR="0002079C">
        <w:t>Povlakic</w:t>
      </w:r>
      <w:proofErr w:type="spellEnd"/>
      <w:r w:rsidR="0002079C">
        <w:t xml:space="preserve">, adwokat występującą w imieniu organizacji pozarządowej </w:t>
      </w:r>
      <w:r w:rsidR="0002079C">
        <w:rPr>
          <w:i/>
        </w:rPr>
        <w:t xml:space="preserve">Service </w:t>
      </w:r>
      <w:proofErr w:type="spellStart"/>
      <w:r w:rsidR="0002079C">
        <w:rPr>
          <w:i/>
        </w:rPr>
        <w:t>d’Aide</w:t>
      </w:r>
      <w:proofErr w:type="spellEnd"/>
      <w:r w:rsidR="0002079C">
        <w:rPr>
          <w:i/>
        </w:rPr>
        <w:t xml:space="preserve"> </w:t>
      </w:r>
      <w:proofErr w:type="spellStart"/>
      <w:r w:rsidR="0002079C">
        <w:rPr>
          <w:i/>
        </w:rPr>
        <w:t>Juridique</w:t>
      </w:r>
      <w:proofErr w:type="spellEnd"/>
      <w:r w:rsidR="0002079C">
        <w:rPr>
          <w:i/>
        </w:rPr>
        <w:t xml:space="preserve"> </w:t>
      </w:r>
      <w:proofErr w:type="spellStart"/>
      <w:r w:rsidR="0002079C">
        <w:rPr>
          <w:i/>
        </w:rPr>
        <w:t>aux</w:t>
      </w:r>
      <w:proofErr w:type="spellEnd"/>
      <w:r w:rsidR="0002079C">
        <w:rPr>
          <w:i/>
        </w:rPr>
        <w:t xml:space="preserve"> </w:t>
      </w:r>
      <w:proofErr w:type="spellStart"/>
      <w:r w:rsidR="0002079C">
        <w:rPr>
          <w:i/>
        </w:rPr>
        <w:t>Exilé</w:t>
      </w:r>
      <w:proofErr w:type="spellEnd"/>
      <w:r w:rsidR="0002079C">
        <w:rPr>
          <w:i/>
        </w:rPr>
        <w:t>-e-s</w:t>
      </w:r>
      <w:r w:rsidR="0002079C">
        <w:t xml:space="preserve"> (Służba Pomocy Prawnej dla Wypędzonych, dalej „SAJE”) z</w:t>
      </w:r>
      <w:r w:rsidR="0067654E">
        <w:t> </w:t>
      </w:r>
      <w:r w:rsidR="0002079C">
        <w:t>siedzibą w Lozannie w Szwajcarii. Przewodnicząca Sekcji, działając z</w:t>
      </w:r>
      <w:r w:rsidR="0067654E">
        <w:t> </w:t>
      </w:r>
      <w:r w:rsidR="0002079C">
        <w:t>własnej inicjatywy, udzieliła p.</w:t>
      </w:r>
      <w:r w:rsidR="00F861AE">
        <w:t xml:space="preserve"> </w:t>
      </w:r>
      <w:proofErr w:type="spellStart"/>
      <w:r w:rsidR="0002079C">
        <w:t>Povlakic</w:t>
      </w:r>
      <w:proofErr w:type="spellEnd"/>
      <w:r w:rsidR="0002079C">
        <w:t xml:space="preserve"> pozwolenia na reprezentowanie skarżących zgodnie z Regułą 36 §</w:t>
      </w:r>
      <w:r w:rsidR="00F861AE">
        <w:t xml:space="preserve"> </w:t>
      </w:r>
      <w:r w:rsidR="0002079C">
        <w:t>4 lit.</w:t>
      </w:r>
      <w:r w:rsidR="00F861AE">
        <w:t xml:space="preserve"> </w:t>
      </w:r>
      <w:r w:rsidR="005E639A">
        <w:t>a</w:t>
      </w:r>
      <w:r w:rsidR="0002079C">
        <w:t xml:space="preserve"> </w:t>
      </w:r>
      <w:r w:rsidR="0002079C">
        <w:rPr>
          <w:i/>
        </w:rPr>
        <w:t>in fine</w:t>
      </w:r>
      <w:r w:rsidR="0002079C">
        <w:t>. Rząd Bułgarii („Rząd”) był</w:t>
      </w:r>
      <w:r w:rsidR="0067654E">
        <w:t> </w:t>
      </w:r>
      <w:r w:rsidR="0002079C">
        <w:t>reprezentowany przez swoje pełnomocniczki: p.</w:t>
      </w:r>
      <w:r w:rsidR="00F861AE">
        <w:t xml:space="preserve"> </w:t>
      </w:r>
      <w:r w:rsidR="0002079C">
        <w:t>D.</w:t>
      </w:r>
      <w:r w:rsidR="00F861AE">
        <w:t xml:space="preserve"> </w:t>
      </w:r>
      <w:proofErr w:type="spellStart"/>
      <w:r w:rsidR="0002079C">
        <w:t>Dramovą</w:t>
      </w:r>
      <w:proofErr w:type="spellEnd"/>
      <w:r w:rsidR="0002079C">
        <w:t xml:space="preserve"> i</w:t>
      </w:r>
      <w:r w:rsidR="0067654E">
        <w:t> </w:t>
      </w:r>
      <w:r w:rsidR="0002079C">
        <w:t>p.</w:t>
      </w:r>
      <w:r w:rsidR="0067654E">
        <w:t> </w:t>
      </w:r>
      <w:r w:rsidR="0002079C">
        <w:t>I.</w:t>
      </w:r>
      <w:r w:rsidR="0067654E">
        <w:t> </w:t>
      </w:r>
      <w:proofErr w:type="spellStart"/>
      <w:r w:rsidR="0002079C">
        <w:t>Stanchevą-Chinovą</w:t>
      </w:r>
      <w:proofErr w:type="spellEnd"/>
      <w:r w:rsidR="0002079C">
        <w:t xml:space="preserve"> z Ministerstwa Sprawiedliwości.</w:t>
      </w:r>
    </w:p>
    <w:p w14:paraId="45077855" w14:textId="65172C61" w:rsidR="00014566" w:rsidRPr="006A41BD" w:rsidRDefault="00142EC5" w:rsidP="006A41BD">
      <w:pPr>
        <w:pStyle w:val="ECHRPara"/>
      </w:pPr>
      <w:r>
        <w:rPr>
          <w:noProof/>
        </w:rPr>
        <w:t>3</w:t>
      </w:r>
      <w:r w:rsidR="0002079C">
        <w:t>.</w:t>
      </w:r>
      <w:r w:rsidR="00F861AE">
        <w:t xml:space="preserve"> </w:t>
      </w:r>
      <w:r w:rsidR="0002079C">
        <w:t xml:space="preserve">Pierwszy skarżący i druga skarżąca zarzucali w imieniu swoich dzieci (trzeciego, czwartego i piątego skarżącego), że warunki </w:t>
      </w:r>
      <w:r w:rsidR="0002079C" w:rsidRPr="00D04BCF">
        <w:t>panujące w ośrodku detencyjnym dla imigrantów, w którym ich umieszczono, był</w:t>
      </w:r>
      <w:r w:rsidR="0002079C">
        <w:t>y nieludzkie i</w:t>
      </w:r>
      <w:r w:rsidR="0067654E">
        <w:t> </w:t>
      </w:r>
      <w:r w:rsidR="0002079C">
        <w:t>poniżające.</w:t>
      </w:r>
    </w:p>
    <w:p w14:paraId="4AA03323" w14:textId="58BA074A" w:rsidR="00AB3EA6" w:rsidRPr="006A41BD" w:rsidRDefault="00142EC5" w:rsidP="006A41BD">
      <w:pPr>
        <w:pStyle w:val="ECHRPara"/>
      </w:pPr>
      <w:r>
        <w:rPr>
          <w:noProof/>
        </w:rPr>
        <w:t>4</w:t>
      </w:r>
      <w:r w:rsidR="00D1664F">
        <w:t>.</w:t>
      </w:r>
      <w:r w:rsidR="00F861AE">
        <w:t xml:space="preserve"> </w:t>
      </w:r>
      <w:r w:rsidR="00D1664F">
        <w:t>Dnia 20</w:t>
      </w:r>
      <w:r w:rsidR="00F861AE">
        <w:t xml:space="preserve"> </w:t>
      </w:r>
      <w:r w:rsidR="00D1664F">
        <w:t>września 2016</w:t>
      </w:r>
      <w:r w:rsidR="00F861AE">
        <w:t xml:space="preserve"> </w:t>
      </w:r>
      <w:r w:rsidR="00D1664F">
        <w:t xml:space="preserve">r. Trybunał </w:t>
      </w:r>
      <w:r w:rsidR="000E3703">
        <w:t>zakomunikował Rządowi skargę dotyczącą</w:t>
      </w:r>
      <w:r w:rsidR="00D1664F">
        <w:t xml:space="preserve"> warunków panujących w ośrodku detencyjnym dla imigrantów, w którym umieszczono</w:t>
      </w:r>
      <w:r w:rsidR="00EA5228">
        <w:t xml:space="preserve"> </w:t>
      </w:r>
      <w:r w:rsidR="00D1664F">
        <w:t>trzeciego, czwartego i piątego skarżącego, a</w:t>
      </w:r>
      <w:r w:rsidR="0067654E">
        <w:t> </w:t>
      </w:r>
      <w:r w:rsidR="00D1664F">
        <w:t>w</w:t>
      </w:r>
      <w:r w:rsidR="0067654E">
        <w:t> </w:t>
      </w:r>
      <w:r w:rsidR="00D1664F">
        <w:t>pozostałej części uznał skargę za niedopuszczalną zgodnie z Regułą 54 §</w:t>
      </w:r>
      <w:r w:rsidR="00F861AE">
        <w:t xml:space="preserve"> </w:t>
      </w:r>
      <w:r w:rsidR="00D1664F">
        <w:t>3.</w:t>
      </w:r>
    </w:p>
    <w:p w14:paraId="7ED6B2E2" w14:textId="77777777" w:rsidR="00014566" w:rsidRPr="006A41BD" w:rsidRDefault="00014566" w:rsidP="006A41BD">
      <w:pPr>
        <w:pStyle w:val="ECHRTitle1"/>
      </w:pPr>
      <w:r>
        <w:lastRenderedPageBreak/>
        <w:t>FAKTY</w:t>
      </w:r>
    </w:p>
    <w:p w14:paraId="0D997AE5" w14:textId="73B6835D" w:rsidR="00014566" w:rsidRPr="006A41BD" w:rsidRDefault="00014566" w:rsidP="006A41BD">
      <w:pPr>
        <w:pStyle w:val="ECHRHeading1"/>
        <w:outlineLvl w:val="1"/>
      </w:pPr>
      <w:r>
        <w:t>I.</w:t>
      </w:r>
      <w:r w:rsidR="00F861AE">
        <w:t xml:space="preserve"> </w:t>
      </w:r>
      <w:r>
        <w:t>OKOLICZNOŚCI SPRAWY</w:t>
      </w:r>
    </w:p>
    <w:p w14:paraId="540C6128" w14:textId="1906BD4C" w:rsidR="00014566" w:rsidRPr="006A41BD" w:rsidRDefault="00142EC5" w:rsidP="006A41BD">
      <w:pPr>
        <w:pStyle w:val="ECHRPara"/>
      </w:pPr>
      <w:r>
        <w:rPr>
          <w:noProof/>
        </w:rPr>
        <w:t>5</w:t>
      </w:r>
      <w:r w:rsidR="00D1664F">
        <w:t>.</w:t>
      </w:r>
      <w:r w:rsidR="00F861AE">
        <w:t xml:space="preserve"> </w:t>
      </w:r>
      <w:r w:rsidR="00D1664F">
        <w:t>Pięcioro skarżących to obywatele Iraku. Obecnie żyją oni w</w:t>
      </w:r>
      <w:r w:rsidR="0067654E">
        <w:t> </w:t>
      </w:r>
      <w:r w:rsidR="00D1664F">
        <w:t>Szwajcarii, gdzie</w:t>
      </w:r>
      <w:r w:rsidR="00F861AE">
        <w:t xml:space="preserve"> </w:t>
      </w:r>
      <w:r w:rsidR="00D1664F">
        <w:t>udzielono im azylu w lipcu 2017</w:t>
      </w:r>
      <w:r w:rsidR="00F861AE">
        <w:t xml:space="preserve"> </w:t>
      </w:r>
      <w:r w:rsidR="00D1664F">
        <w:t>r. (zob.</w:t>
      </w:r>
      <w:r w:rsidR="00F861AE">
        <w:t xml:space="preserve"> </w:t>
      </w:r>
      <w:r w:rsidR="00D1664F">
        <w:t xml:space="preserve">paragraf </w:t>
      </w:r>
      <w:r>
        <w:t>31</w:t>
      </w:r>
      <w:r w:rsidR="00D1664F">
        <w:t xml:space="preserve"> poniżej). Pierwszy skarżący i druga skarżąca, p.</w:t>
      </w:r>
      <w:r w:rsidR="00F861AE">
        <w:t xml:space="preserve"> </w:t>
      </w:r>
      <w:r w:rsidR="00D1664F">
        <w:t>S.F. i p.</w:t>
      </w:r>
      <w:r w:rsidR="00F861AE">
        <w:t xml:space="preserve"> </w:t>
      </w:r>
      <w:r w:rsidR="00D1664F">
        <w:t>W.O., urodzeni odpowiednio w latach 1975 i 1978, są małżeństwem. Pozostali trzej skarżący, p.</w:t>
      </w:r>
      <w:r w:rsidR="00F861AE">
        <w:t xml:space="preserve"> </w:t>
      </w:r>
      <w:r w:rsidR="00D1664F">
        <w:t>Y.F., p.</w:t>
      </w:r>
      <w:r w:rsidR="00F861AE">
        <w:t xml:space="preserve"> </w:t>
      </w:r>
      <w:r w:rsidR="00D1664F">
        <w:t>S.F. i p.</w:t>
      </w:r>
      <w:r w:rsidR="00F861AE">
        <w:t xml:space="preserve"> </w:t>
      </w:r>
      <w:r w:rsidR="00D1664F">
        <w:t>A.F., urodzeni odpowiednio w latach 1999, 2004 i 2014, to ich synowie.</w:t>
      </w:r>
    </w:p>
    <w:p w14:paraId="79F81DAF" w14:textId="3298C901" w:rsidR="0031580D" w:rsidRPr="006A41BD" w:rsidRDefault="0031580D" w:rsidP="006A41BD">
      <w:pPr>
        <w:pStyle w:val="ECHRHeading2"/>
        <w:outlineLvl w:val="2"/>
      </w:pPr>
      <w:r>
        <w:t>A.</w:t>
      </w:r>
      <w:r w:rsidR="00F861AE">
        <w:t xml:space="preserve"> </w:t>
      </w:r>
      <w:r>
        <w:t>Ujęcie i zatrzymanie skarżących</w:t>
      </w:r>
    </w:p>
    <w:p w14:paraId="3E97C0D4" w14:textId="0172E7A4" w:rsidR="00ED1F14" w:rsidRPr="006A41BD" w:rsidRDefault="00142EC5" w:rsidP="006A41BD">
      <w:pPr>
        <w:pStyle w:val="ECHRPara"/>
      </w:pPr>
      <w:r>
        <w:rPr>
          <w:noProof/>
        </w:rPr>
        <w:t>6</w:t>
      </w:r>
      <w:r w:rsidR="00D1664F">
        <w:t>.</w:t>
      </w:r>
      <w:r w:rsidR="00F861AE">
        <w:t xml:space="preserve"> </w:t>
      </w:r>
      <w:r w:rsidR="00D1664F">
        <w:t>W dniu 14</w:t>
      </w:r>
      <w:r w:rsidR="00F861AE">
        <w:t xml:space="preserve"> </w:t>
      </w:r>
      <w:r w:rsidR="00D1664F">
        <w:t>sierpnia 2015</w:t>
      </w:r>
      <w:r w:rsidR="00F861AE">
        <w:t xml:space="preserve"> </w:t>
      </w:r>
      <w:r w:rsidR="00D1664F">
        <w:t xml:space="preserve">r. skarżący, którzy </w:t>
      </w:r>
      <w:r w:rsidR="00EA5228">
        <w:t>uciekli</w:t>
      </w:r>
      <w:r w:rsidR="00D1664F">
        <w:t xml:space="preserve"> z Iraku, potajemnie przekroczyli granicę turecko-bułgarską. Podróżowali wraz</w:t>
      </w:r>
      <w:r w:rsidR="0067654E">
        <w:t> </w:t>
      </w:r>
      <w:r w:rsidR="00D1664F">
        <w:t>z</w:t>
      </w:r>
      <w:r w:rsidR="0067654E">
        <w:t> </w:t>
      </w:r>
      <w:r w:rsidR="00D1664F">
        <w:t>czterema innymi rodzinami. Stamtąd taksówkami dostali się na</w:t>
      </w:r>
      <w:r w:rsidR="0067654E">
        <w:t> </w:t>
      </w:r>
      <w:r w:rsidR="00D1664F">
        <w:t>przedmieścia Sofii, gdzie spędzili dwie noce pod gołym niebem. Dnia</w:t>
      </w:r>
      <w:r w:rsidR="0067654E">
        <w:t> </w:t>
      </w:r>
      <w:r w:rsidR="00D1664F">
        <w:t>17</w:t>
      </w:r>
      <w:r w:rsidR="0067654E">
        <w:t> </w:t>
      </w:r>
      <w:r w:rsidR="00D1664F">
        <w:t>sierpnia 2015</w:t>
      </w:r>
      <w:r w:rsidR="00F861AE">
        <w:t xml:space="preserve"> </w:t>
      </w:r>
      <w:r w:rsidR="00D1664F">
        <w:t>r. skorzystali z innych taksówek, by dostać się na</w:t>
      </w:r>
      <w:r w:rsidR="0067654E">
        <w:t> </w:t>
      </w:r>
      <w:r w:rsidR="00D1664F">
        <w:t xml:space="preserve">granicę bułgarsko-serbską, w okolice </w:t>
      </w:r>
      <w:proofErr w:type="spellStart"/>
      <w:r w:rsidR="00D1664F">
        <w:t>Bregowa</w:t>
      </w:r>
      <w:proofErr w:type="spellEnd"/>
      <w:r w:rsidR="00D1664F">
        <w:t>. Tuż przed granicą skarżący przesiedli się do samochodu sportowo-użytkowego marki Toyota, który</w:t>
      </w:r>
      <w:r w:rsidR="0067654E">
        <w:t> </w:t>
      </w:r>
      <w:r w:rsidR="00D1664F">
        <w:t>miał przewieźć ich przez zalesiony obszar do samej granicy. Zamierzali ponownie potajemnie przekroczyć granicę, a następnie kierować się dalej na zachód Europy.</w:t>
      </w:r>
    </w:p>
    <w:p w14:paraId="5ECD6167" w14:textId="50987840" w:rsidR="00AF788A" w:rsidRPr="006A41BD" w:rsidRDefault="00142EC5" w:rsidP="006A41BD">
      <w:pPr>
        <w:pStyle w:val="ECHRPara"/>
      </w:pPr>
      <w:r>
        <w:rPr>
          <w:noProof/>
        </w:rPr>
        <w:t>7</w:t>
      </w:r>
      <w:r w:rsidR="00ED1F14">
        <w:t>.</w:t>
      </w:r>
      <w:r w:rsidR="00F861AE">
        <w:t xml:space="preserve"> </w:t>
      </w:r>
      <w:r w:rsidR="00ED1F14">
        <w:t>Druga skarżąca była wówczas w trzecim miesiącu ciąży.</w:t>
      </w:r>
    </w:p>
    <w:p w14:paraId="081E84D6" w14:textId="1BCF67AC" w:rsidR="00FF28F7" w:rsidRPr="006A41BD" w:rsidRDefault="00142EC5" w:rsidP="006A41BD">
      <w:pPr>
        <w:pStyle w:val="ECHRPara"/>
      </w:pPr>
      <w:bookmarkStart w:id="3" w:name="F_number_detained_Bregovo"/>
      <w:r>
        <w:rPr>
          <w:noProof/>
        </w:rPr>
        <w:t>8</w:t>
      </w:r>
      <w:bookmarkEnd w:id="3"/>
      <w:r w:rsidR="00AF788A">
        <w:t>.</w:t>
      </w:r>
      <w:r w:rsidR="00F861AE">
        <w:t xml:space="preserve"> </w:t>
      </w:r>
      <w:r w:rsidR="00AF788A">
        <w:t>Jak donoszą media, w ostatnich latach migranci usiłujący przedostać się potajemnie przez Bułgarię na zachód Europy często obierali powyższą trasę. Z raportu przedłożonego przez Rząd wynika, że w sierpniu 2015</w:t>
      </w:r>
      <w:r w:rsidR="00F861AE">
        <w:t xml:space="preserve"> </w:t>
      </w:r>
      <w:r w:rsidR="00AF788A">
        <w:t xml:space="preserve">r. bułgarskie służby graniczne ujęły w pobliżu </w:t>
      </w:r>
      <w:proofErr w:type="spellStart"/>
      <w:r w:rsidR="00AF788A">
        <w:t>Bregowa</w:t>
      </w:r>
      <w:proofErr w:type="spellEnd"/>
      <w:r w:rsidR="00AF788A">
        <w:t xml:space="preserve"> i zatrzymały 350</w:t>
      </w:r>
      <w:r w:rsidR="0067654E">
        <w:t> </w:t>
      </w:r>
      <w:r w:rsidR="00AF788A">
        <w:t>dorosłych i 132</w:t>
      </w:r>
      <w:r w:rsidR="00F861AE">
        <w:t xml:space="preserve"> </w:t>
      </w:r>
      <w:r w:rsidR="00AF788A">
        <w:t>małoletnich migrantów.</w:t>
      </w:r>
    </w:p>
    <w:p w14:paraId="15DAC61C" w14:textId="49CCCA08" w:rsidR="00D1664F" w:rsidRPr="006A41BD" w:rsidRDefault="00142EC5" w:rsidP="006A41BD">
      <w:pPr>
        <w:pStyle w:val="ECHRPara"/>
      </w:pPr>
      <w:r>
        <w:rPr>
          <w:noProof/>
        </w:rPr>
        <w:t>9</w:t>
      </w:r>
      <w:r w:rsidR="00433F22">
        <w:t>.</w:t>
      </w:r>
      <w:r w:rsidR="00F861AE">
        <w:t xml:space="preserve"> </w:t>
      </w:r>
      <w:r w:rsidR="00433F22">
        <w:t>Późnym popołudniem 17</w:t>
      </w:r>
      <w:r w:rsidR="00F861AE">
        <w:t xml:space="preserve"> </w:t>
      </w:r>
      <w:r w:rsidR="00433F22">
        <w:t>sierpnia 2015</w:t>
      </w:r>
      <w:r w:rsidR="00F861AE">
        <w:t xml:space="preserve"> </w:t>
      </w:r>
      <w:r w:rsidR="00433F22">
        <w:t>r. skarżących przewieziono samochodem marki Toyota w kierunku bułgarsko-serbskiej granicy, w</w:t>
      </w:r>
      <w:r w:rsidR="0067654E">
        <w:t> </w:t>
      </w:r>
      <w:r w:rsidR="00433F22">
        <w:t xml:space="preserve">okolice wsi </w:t>
      </w:r>
      <w:proofErr w:type="spellStart"/>
      <w:r w:rsidR="00433F22">
        <w:t>Rabrowo</w:t>
      </w:r>
      <w:proofErr w:type="spellEnd"/>
      <w:r w:rsidR="00433F22">
        <w:t xml:space="preserve">, położonej około piętnastu kilometrów na południe od </w:t>
      </w:r>
      <w:proofErr w:type="spellStart"/>
      <w:r w:rsidR="00433F22">
        <w:t>Bregowa</w:t>
      </w:r>
      <w:proofErr w:type="spellEnd"/>
      <w:r w:rsidR="00433F22">
        <w:t xml:space="preserve">, dwadzieścia pięć kilometrów na zachód od </w:t>
      </w:r>
      <w:proofErr w:type="spellStart"/>
      <w:r w:rsidR="00433F22">
        <w:t>Widynia</w:t>
      </w:r>
      <w:proofErr w:type="spellEnd"/>
      <w:r w:rsidR="00433F22">
        <w:t xml:space="preserve"> i około dwóch kilometrów od granicy. Pojazdem przemieszczały się również pozostałe cztery rodziny. Łącznie ze skarżącymi w pojeździe znajdowało się</w:t>
      </w:r>
      <w:r w:rsidR="0067654E">
        <w:t> </w:t>
      </w:r>
      <w:r w:rsidR="00433F22">
        <w:t>osiemnaście osób, wśród nich ośmiu małoletnich.</w:t>
      </w:r>
    </w:p>
    <w:p w14:paraId="04EED4C7" w14:textId="6EF38226" w:rsidR="00D1664F" w:rsidRPr="006A41BD" w:rsidRDefault="00142EC5" w:rsidP="006A41BD">
      <w:pPr>
        <w:pStyle w:val="ECHRPara"/>
      </w:pPr>
      <w:r>
        <w:rPr>
          <w:noProof/>
        </w:rPr>
        <w:t>10</w:t>
      </w:r>
      <w:r w:rsidR="00D1664F">
        <w:t>.</w:t>
      </w:r>
      <w:r w:rsidR="00F861AE">
        <w:t xml:space="preserve"> </w:t>
      </w:r>
      <w:r w:rsidR="00D1664F">
        <w:t>Około godziny 17:00, gdy pojazd marki Toyota znajdował się w</w:t>
      </w:r>
      <w:r w:rsidR="0067654E">
        <w:t> </w:t>
      </w:r>
      <w:r w:rsidR="00D1664F">
        <w:t xml:space="preserve">odległości zaledwie kilku metrów od granicy, zatrzymało go </w:t>
      </w:r>
      <w:r w:rsidR="00D1664F" w:rsidRPr="00FF38A0">
        <w:t>dw</w:t>
      </w:r>
      <w:r w:rsidR="00FF38A0" w:rsidRPr="00FF38A0">
        <w:t>óch</w:t>
      </w:r>
      <w:r w:rsidR="00D1664F">
        <w:t xml:space="preserve"> funkcjonariuszy bułgarskiej straży granicznej. Kierowca pojazdu zbiegł. Jeden z funkcjonariuszy udał się w pościg za nim, natomiast drugi nakazał wszystkim pasażerom opuścić pojazd. Pierwszy z funkcjonariuszy nie</w:t>
      </w:r>
      <w:r w:rsidR="0067654E">
        <w:t> </w:t>
      </w:r>
      <w:r w:rsidR="00D1664F">
        <w:t>zdołał dogonić kierowcy i wrócił. Zdaniem skarżących był on</w:t>
      </w:r>
      <w:r w:rsidR="0067654E">
        <w:t> </w:t>
      </w:r>
      <w:r w:rsidR="00D1664F">
        <w:t xml:space="preserve">zauważalnie rozdrażniony faktem, że nie był w stanie zatrzymać </w:t>
      </w:r>
      <w:r w:rsidR="00D1664F">
        <w:lastRenderedPageBreak/>
        <w:t>kierowcy, i uderzył jednego z pasażerów. Wywołało to u skarżących obawy, że mógłby uderzyć również ich.</w:t>
      </w:r>
    </w:p>
    <w:p w14:paraId="59657709" w14:textId="56D6F57E" w:rsidR="00D1664F" w:rsidRPr="006A41BD" w:rsidRDefault="00142EC5" w:rsidP="006A41BD">
      <w:pPr>
        <w:pStyle w:val="ECHRPara"/>
      </w:pPr>
      <w:bookmarkStart w:id="4" w:name="F_arrival_Vidin_det_facility"/>
      <w:r>
        <w:rPr>
          <w:noProof/>
        </w:rPr>
        <w:t>11</w:t>
      </w:r>
      <w:bookmarkEnd w:id="4"/>
      <w:r w:rsidR="00D1664F">
        <w:t>.</w:t>
      </w:r>
      <w:r w:rsidR="00F861AE">
        <w:t xml:space="preserve"> </w:t>
      </w:r>
      <w:r w:rsidR="00D1664F">
        <w:t>Pół god</w:t>
      </w:r>
      <w:r w:rsidR="00FF38A0">
        <w:t>ziny później na miejsce przybyli kolejni dwaj</w:t>
      </w:r>
      <w:r w:rsidR="00D1664F">
        <w:t xml:space="preserve"> </w:t>
      </w:r>
      <w:r w:rsidR="00FF38A0">
        <w:t>funkcjonariusze</w:t>
      </w:r>
      <w:r w:rsidR="00D1664F">
        <w:t>. Następnie,</w:t>
      </w:r>
      <w:r w:rsidR="00F861AE">
        <w:t xml:space="preserve"> </w:t>
      </w:r>
      <w:r w:rsidR="00D1664F">
        <w:t>przyjechali autobusem także kierowca i</w:t>
      </w:r>
      <w:r w:rsidR="0067654E">
        <w:t> </w:t>
      </w:r>
      <w:r w:rsidR="00D1664F">
        <w:t>fotograf. Skarżący twierdzą, że funkcjonariusze obrażali zatrzymanych, nazywali ich „myszami” (skarżący nie określili, w jakim języku) i</w:t>
      </w:r>
      <w:r w:rsidR="0067654E">
        <w:t> </w:t>
      </w:r>
      <w:r w:rsidR="00D1664F">
        <w:t>wykonywali obraźliwe gesty. Nakazali skarżącym i pozostałym pasażerom wsiąść do autobusu i przewieźli ich do ośrodka detencyjnego bregowskiego wydziału straży granicznej w Widyniu. Zdaniem skarżących podróż zajęła około godziny. Rząd twierdzi, że podróż nie mogła trwać krócej niż trzy godziny. Sporządzenie dokumentów dotyczących zatrzymania skarżących zajęło kolejną godzinę, natomiast pisemne oświadczenia o zapoznaniu skarżących z przysługującymi ich prawami opatrzono pieczęcią potwierdzającą złożenie podpisów pod nimi o godzinie 21:00. Skarżący nie</w:t>
      </w:r>
      <w:r w:rsidR="0067654E">
        <w:t> </w:t>
      </w:r>
      <w:r w:rsidR="00D1664F">
        <w:t>mogli zatem zostać umieszczeni w celi wcześniej niż o godzinie 22:00.</w:t>
      </w:r>
    </w:p>
    <w:p w14:paraId="24947C92" w14:textId="0F94CCA7" w:rsidR="0031580D" w:rsidRPr="006A41BD" w:rsidRDefault="0031580D" w:rsidP="006A41BD">
      <w:pPr>
        <w:pStyle w:val="ECHRHeading2"/>
        <w:outlineLvl w:val="2"/>
      </w:pPr>
      <w:r>
        <w:t>B.</w:t>
      </w:r>
      <w:r w:rsidR="00F861AE">
        <w:t xml:space="preserve"> </w:t>
      </w:r>
      <w:r>
        <w:t>Umieszczenie skarżących w ośrodku detencyjnym w Widyniu</w:t>
      </w:r>
    </w:p>
    <w:p w14:paraId="6F7BC0E2" w14:textId="0CA6129E" w:rsidR="00D1664F" w:rsidRPr="006A41BD" w:rsidRDefault="00142EC5" w:rsidP="006A41BD">
      <w:pPr>
        <w:pStyle w:val="ECHRPara"/>
      </w:pPr>
      <w:bookmarkStart w:id="5" w:name="F_search"/>
      <w:r>
        <w:rPr>
          <w:noProof/>
        </w:rPr>
        <w:t>12</w:t>
      </w:r>
      <w:bookmarkEnd w:id="5"/>
      <w:r w:rsidR="00D1664F">
        <w:t>.</w:t>
      </w:r>
      <w:r w:rsidR="00F861AE">
        <w:t xml:space="preserve"> </w:t>
      </w:r>
      <w:r w:rsidR="00D1664F">
        <w:t>Po przybyciu do ośrodka detencyjnego straży granicznej w Widyniu skarżący zostali przeszukani. Skarżący twierdzą, że zabrano im cały ich dobytek – w tym torby podróżne, telefony komórkowe, gotówkę, żywność, a nawet pieluchy, butelkę do karmienia i mleko piątego skarżącego – z</w:t>
      </w:r>
      <w:r w:rsidR="0067654E">
        <w:t> </w:t>
      </w:r>
      <w:r w:rsidR="00D1664F">
        <w:t>wyjątkiem telefonów komórkowych należących do trzeciego i czwartego skarżącego, które zdołali ukryć. Z protokołu przeszukania przedłożonego przez Rząd wynika, że podczas przeszukania drugiej skarżącej funkcjonariusze zabrali jej cztery telefony komórkowe, karty SIM, pamięć USB, dwie płyty DVD i gotówkę. Rząd wskazał również, że na nagraniu wideo przedstawionym przez skarżących (zob.</w:t>
      </w:r>
      <w:r w:rsidR="00F861AE">
        <w:t xml:space="preserve"> </w:t>
      </w:r>
      <w:r w:rsidR="00D1664F">
        <w:t xml:space="preserve">paragraf </w:t>
      </w:r>
      <w:r>
        <w:t>15</w:t>
      </w:r>
      <w:r w:rsidR="00D1664F">
        <w:t xml:space="preserve"> poniżej) widać, że torby podróżne i rzeczy osobiste znajdowały się w celi.</w:t>
      </w:r>
    </w:p>
    <w:p w14:paraId="79A381C1" w14:textId="53D5163F" w:rsidR="00D1664F" w:rsidRPr="006A41BD" w:rsidRDefault="00142EC5" w:rsidP="006A41BD">
      <w:pPr>
        <w:pStyle w:val="ECHRPara"/>
      </w:pPr>
      <w:r>
        <w:rPr>
          <w:noProof/>
        </w:rPr>
        <w:t>13</w:t>
      </w:r>
      <w:r w:rsidR="00D1664F">
        <w:t>.</w:t>
      </w:r>
      <w:r w:rsidR="00F861AE">
        <w:t xml:space="preserve"> </w:t>
      </w:r>
      <w:r w:rsidR="00D1664F">
        <w:t>Po zakończeniu przeszukania zatrzymanych podzielono na dwie grupy. Skarżących wraz z jeszcze jedną rodziną umieszczono w jednej celi, natomiast pozostałe osoby w celi sąsiedniej. W formularzu skargi skarżący stwierdzili, że obie cele znajdowały się na drugim piętrze ośrodka detencyjnego.</w:t>
      </w:r>
    </w:p>
    <w:p w14:paraId="10B5B96F" w14:textId="505F2702" w:rsidR="00587303" w:rsidRPr="006A41BD" w:rsidRDefault="00142EC5" w:rsidP="006A41BD">
      <w:pPr>
        <w:pStyle w:val="ECHRPara"/>
      </w:pPr>
      <w:r>
        <w:rPr>
          <w:noProof/>
        </w:rPr>
        <w:t>14</w:t>
      </w:r>
      <w:r w:rsidR="00D1664F">
        <w:t>.</w:t>
      </w:r>
      <w:r w:rsidR="00F861AE">
        <w:t xml:space="preserve"> </w:t>
      </w:r>
      <w:r w:rsidR="00D1664F">
        <w:t>Zdaniem skarżących w celi było gorąco, a okien nie można było otworzyć.</w:t>
      </w:r>
    </w:p>
    <w:p w14:paraId="26979597" w14:textId="7A9C1242" w:rsidR="004B1C88" w:rsidRPr="006A41BD" w:rsidRDefault="00142EC5" w:rsidP="006A41BD">
      <w:pPr>
        <w:pStyle w:val="ECHRPara"/>
      </w:pPr>
      <w:bookmarkStart w:id="6" w:name="F_video_content"/>
      <w:r>
        <w:rPr>
          <w:noProof/>
        </w:rPr>
        <w:t>15</w:t>
      </w:r>
      <w:bookmarkEnd w:id="6"/>
      <w:r w:rsidR="00587303">
        <w:t>.</w:t>
      </w:r>
      <w:r w:rsidR="00F861AE">
        <w:t xml:space="preserve"> </w:t>
      </w:r>
      <w:r w:rsidR="00587303">
        <w:t>Skarżący przedstawili również nagranie wideo, rzekomo nakręcone telefonem komórkowym, który zdołali ukryć podczas przeszukania (zob.</w:t>
      </w:r>
      <w:r w:rsidR="0067654E">
        <w:t> </w:t>
      </w:r>
      <w:r w:rsidR="00587303">
        <w:t xml:space="preserve">paragraf </w:t>
      </w:r>
      <w:r>
        <w:t>12</w:t>
      </w:r>
      <w:r w:rsidR="00587303">
        <w:t xml:space="preserve"> powyżej). Z nagrania wynika, że cela znajdowała się na</w:t>
      </w:r>
      <w:r w:rsidR="0067654E">
        <w:t> </w:t>
      </w:r>
      <w:r w:rsidR="00587303">
        <w:t>parterze, miała powierzchnię około 4 na</w:t>
      </w:r>
      <w:r w:rsidR="00F861AE">
        <w:t xml:space="preserve"> </w:t>
      </w:r>
      <w:r w:rsidR="00587303">
        <w:t>4 metry i znajdowało się w niej duże, podwójne okno (zabezpieczone od wewnątrz siatką) oraz otwarte drzwi zabezpieczone metalowymi kratami zamkniętymi na kłódkę. Na</w:t>
      </w:r>
      <w:r w:rsidR="0067654E">
        <w:t> </w:t>
      </w:r>
      <w:r w:rsidR="00587303">
        <w:t>nagraniu cela wygląda na zniszczoną, widać w niej odrapane ściany i</w:t>
      </w:r>
      <w:r w:rsidR="0067654E">
        <w:t> </w:t>
      </w:r>
      <w:r w:rsidR="00587303">
        <w:t xml:space="preserve">farbę odchodzącą płatami od sufitu oraz brudną podłogę, pokrytą </w:t>
      </w:r>
      <w:r w:rsidR="00587303">
        <w:lastRenderedPageBreak/>
        <w:t>częściowo brudnymi (a w niektórych miejscach również mokrymi) arkuszami tektury. Znajdujące się w celi meble to dwa stare i zniszczone łóżka piętrowe, jedno łóżko jednoosobowe i cztery lub pięć nagich, zabrudzonych materaców. Dwa z materaców znajdują się na podłodze, jeden na łóżku jednoosobowym i jeden na dolnym poziomie łóżka piętrowego. Na jednym z materaców na podłodze leży jedno pomięte prześcieradło. Dookoła porozrzucane leżą rzeczy osobiste skarżących, w</w:t>
      </w:r>
      <w:r w:rsidR="0067654E">
        <w:t> </w:t>
      </w:r>
      <w:r w:rsidR="00587303">
        <w:t>tym mała torba na ramię, buty sportowe i śmieci. W kącie pomieszczenia leżą też inne nieuporządkowane przedmioty – resztki żywności, puste plastikowe butelki, śmieci i podarty koc. Widać, że trzeci i czwarty skarżący siedzą na jednym z piętrowych łóżek, natomiast piąty skarżący (niemowlę) początkowo siedzi na podłodze przy drzwiach, a następnie zostaje podniesiony przez pierwszego skarżącego, który nosi go na rękach po</w:t>
      </w:r>
      <w:r w:rsidR="0067654E">
        <w:t> </w:t>
      </w:r>
      <w:r w:rsidR="00587303">
        <w:t>pomieszczeniu. Oprócz pięciorga skarżących w celi znajdują się trzy inne osoby: kobieta w średnim wieku leżąca na łóżku jednoosobowym, chłopiec (około dwu- lub trzyletni) i mężczyzna, który nagrywa film.</w:t>
      </w:r>
    </w:p>
    <w:p w14:paraId="20529986" w14:textId="25DF69F9" w:rsidR="00D1664F" w:rsidRPr="006A41BD" w:rsidRDefault="00142EC5" w:rsidP="006A41BD">
      <w:pPr>
        <w:pStyle w:val="ECHRPara"/>
      </w:pPr>
      <w:bookmarkStart w:id="7" w:name="F_video_metadata"/>
      <w:r>
        <w:rPr>
          <w:noProof/>
        </w:rPr>
        <w:t>16</w:t>
      </w:r>
      <w:bookmarkEnd w:id="7"/>
      <w:r w:rsidR="004B1C88">
        <w:t>.</w:t>
      </w:r>
      <w:r w:rsidR="00F861AE">
        <w:t xml:space="preserve"> </w:t>
      </w:r>
      <w:r w:rsidR="004B1C88">
        <w:t>Skarżący dostarczyli nagranie na płycie DVD, na której znajdowały się dwa pliki wideo. Pierwszy to plik w formacie .mpg opatrzony sygnaturą czasową wskazującą, że ostatniej modyfikacji dokonano dnia 17</w:t>
      </w:r>
      <w:r w:rsidR="00F861AE">
        <w:t xml:space="preserve"> </w:t>
      </w:r>
      <w:r w:rsidR="004B1C88">
        <w:t>września 2015</w:t>
      </w:r>
      <w:r w:rsidR="00F861AE">
        <w:t xml:space="preserve"> </w:t>
      </w:r>
      <w:r w:rsidR="004B1C88">
        <w:t>r. o godzinie 17:36, drugi to plik w formacie .mp4, którego sygnatura czasowa wskazuje, że ostatniej modyfikacji dokonano dnia 15</w:t>
      </w:r>
      <w:r w:rsidR="00F861AE">
        <w:t xml:space="preserve"> </w:t>
      </w:r>
      <w:r w:rsidR="004B1C88">
        <w:t>grudnia 2015</w:t>
      </w:r>
      <w:r w:rsidR="0067654E">
        <w:t> </w:t>
      </w:r>
      <w:r w:rsidR="004B1C88">
        <w:t>r. o godzinie 15:27. Materiał zarejestrowany w obu plikach jest identyczny, z tym wyjątkiem, że: (a)</w:t>
      </w:r>
      <w:r w:rsidR="00F861AE">
        <w:t xml:space="preserve"> </w:t>
      </w:r>
      <w:r w:rsidR="004B1C88">
        <w:t>w pierwszym pliku twarze skarżących zostały wypikselowane (zaś w drugim nie); (b)</w:t>
      </w:r>
      <w:r w:rsidR="00F861AE">
        <w:t xml:space="preserve"> </w:t>
      </w:r>
      <w:r w:rsidR="004B1C88">
        <w:t>czas trwania pierwszego nagrania wynosi minutę i dwadzieścia jeden sekund (natomiast drugi obejmuje jeszcze kolejne dziesięć sekund i trwa łącznie minutę i trzydzieści dwie sekundy); oraz (c)</w:t>
      </w:r>
      <w:r w:rsidR="00F861AE">
        <w:t xml:space="preserve"> </w:t>
      </w:r>
      <w:r w:rsidR="004B1C88">
        <w:t>obraz w pierwszym pliku jest nagrany poziomo, natomiast w drugim jest obrócony o dziewięćdziesiąt stopni w prawo. W</w:t>
      </w:r>
      <w:r w:rsidR="0067654E">
        <w:t> </w:t>
      </w:r>
      <w:r w:rsidR="004B1C88">
        <w:t>pierwszym pliku nagranie ma rozdzielczość 1280 na 720 pikseli, a liczba klatek na sekundę wynosi dwadzieścia cztery, natomiast w przypadku nagrania w drugim pliku rozdzielczość wynosi 1920 na 1080 pikseli, a</w:t>
      </w:r>
      <w:r w:rsidR="0067654E">
        <w:t> </w:t>
      </w:r>
      <w:r w:rsidR="004B1C88">
        <w:t>liczba klatek na sekundę – dwadzieścia dziewięć.</w:t>
      </w:r>
    </w:p>
    <w:p w14:paraId="1BD87117" w14:textId="62A217F0" w:rsidR="00251F4D" w:rsidRPr="006A41BD" w:rsidRDefault="00142EC5" w:rsidP="006A41BD">
      <w:pPr>
        <w:pStyle w:val="ECHRPara"/>
      </w:pPr>
      <w:bookmarkStart w:id="8" w:name="F_video_metadata_explanations"/>
      <w:r>
        <w:rPr>
          <w:noProof/>
        </w:rPr>
        <w:t>17</w:t>
      </w:r>
      <w:bookmarkEnd w:id="8"/>
      <w:r w:rsidR="00D16FA3">
        <w:t>.</w:t>
      </w:r>
      <w:r w:rsidR="00F861AE">
        <w:t xml:space="preserve"> </w:t>
      </w:r>
      <w:r w:rsidR="00D16FA3">
        <w:t>Skarżący wyjaśnili, że powyższe daty i godziny odpowiadają czasowi skopiowania dostarczonych plików wideo w Szwajcarii i że analizowane nagranie w rzeczywistości powstało około południa 18</w:t>
      </w:r>
      <w:r w:rsidR="00F861AE">
        <w:t xml:space="preserve"> </w:t>
      </w:r>
      <w:r w:rsidR="00D16FA3">
        <w:t>sierpnia 2015</w:t>
      </w:r>
      <w:r w:rsidR="00F861AE">
        <w:t xml:space="preserve"> </w:t>
      </w:r>
      <w:r w:rsidR="00D16FA3">
        <w:t>r. Zważywszy, że w czasie podróży skarżący kilkukrotnie wyjmowali karty SIM z telefonu komórkowego i ponownie je w nim umieszczali, urządzenie nie wskazywało poprawnej godziny i daty, co uniemożliwiło precyzyjne wskazanie daty i godziny zarejestrowania nagrania.</w:t>
      </w:r>
    </w:p>
    <w:p w14:paraId="597736CD" w14:textId="391DCA97" w:rsidR="005246B0" w:rsidRPr="006A41BD" w:rsidRDefault="00142EC5" w:rsidP="006A41BD">
      <w:pPr>
        <w:pStyle w:val="ECHRPara"/>
      </w:pPr>
      <w:bookmarkStart w:id="9" w:name="F_video_statement_Migration_Directorate"/>
      <w:r>
        <w:rPr>
          <w:noProof/>
        </w:rPr>
        <w:t>18</w:t>
      </w:r>
      <w:bookmarkEnd w:id="9"/>
      <w:r w:rsidR="00AF0CE4">
        <w:t>.</w:t>
      </w:r>
      <w:r w:rsidR="00F861AE">
        <w:t xml:space="preserve"> </w:t>
      </w:r>
      <w:r w:rsidR="00AF0CE4">
        <w:t>W piśmie skierowanym do Pełnomocnika Rządu urzędnik Dyrekcji ds.</w:t>
      </w:r>
      <w:r w:rsidR="00F861AE">
        <w:t xml:space="preserve"> </w:t>
      </w:r>
      <w:r w:rsidR="00AF0CE4">
        <w:t>Migracji Ministerstwa Spraw Wewnętrznych w Sofii, porównawszy nagranie wideo ze zdjęciami zawartymi w dokumentacji migracyjnej skarżących, potwierdził, że to oni są widoczni na filmie.</w:t>
      </w:r>
    </w:p>
    <w:p w14:paraId="4D7E4032" w14:textId="45C6ABA8" w:rsidR="00120649" w:rsidRPr="006A41BD" w:rsidRDefault="00142EC5" w:rsidP="006A41BD">
      <w:pPr>
        <w:pStyle w:val="ECHRPara"/>
      </w:pPr>
      <w:bookmarkStart w:id="10" w:name="F_GVT_det_fac_equipment"/>
      <w:r>
        <w:rPr>
          <w:noProof/>
        </w:rPr>
        <w:lastRenderedPageBreak/>
        <w:t>19</w:t>
      </w:r>
      <w:bookmarkEnd w:id="10"/>
      <w:r w:rsidR="00120649">
        <w:t>.</w:t>
      </w:r>
      <w:r w:rsidR="00F861AE">
        <w:t xml:space="preserve"> </w:t>
      </w:r>
      <w:r w:rsidR="00120649">
        <w:t>Rząd twierdził, że ośrodek detencyjny straży granicznej w Widyniu był wyposażony zgodnie z obowiązującymi przepisami. Nie udzielił bardziej szczegółowych informacji na ten temat.</w:t>
      </w:r>
    </w:p>
    <w:p w14:paraId="7F71A350" w14:textId="06F28A11" w:rsidR="000A4B0D" w:rsidRPr="006A41BD" w:rsidRDefault="00142EC5" w:rsidP="006A41BD">
      <w:pPr>
        <w:pStyle w:val="ECHRPara"/>
      </w:pPr>
      <w:bookmarkStart w:id="11" w:name="F_food_drink_toilet"/>
      <w:r>
        <w:rPr>
          <w:noProof/>
        </w:rPr>
        <w:t>20</w:t>
      </w:r>
      <w:bookmarkEnd w:id="11"/>
      <w:r w:rsidR="00D1664F">
        <w:t>.</w:t>
      </w:r>
      <w:r w:rsidR="00F861AE">
        <w:t xml:space="preserve"> </w:t>
      </w:r>
      <w:r w:rsidR="00D1664F">
        <w:t>Skarżący stwierdzili, że po tym, jak zostali umieszczeni w celi, nie</w:t>
      </w:r>
      <w:r w:rsidR="0067654E">
        <w:t> </w:t>
      </w:r>
      <w:r w:rsidR="00D1664F">
        <w:t>podano im nic do jedzenia ani picia oraz nie pozwolono im korzystać z</w:t>
      </w:r>
      <w:r w:rsidR="0067654E">
        <w:t> </w:t>
      </w:r>
      <w:r w:rsidR="00D1664F">
        <w:t>toalety. Ponieważ w celi nie było toalety ani wiadra, byli zmuszeni oddawać mocz na podłogę. Rząd nie odniósł się do tego zarzutu.</w:t>
      </w:r>
    </w:p>
    <w:p w14:paraId="45933C82" w14:textId="2D4965C6" w:rsidR="00D1664F" w:rsidRPr="006A41BD" w:rsidRDefault="00142EC5" w:rsidP="006A41BD">
      <w:pPr>
        <w:pStyle w:val="ECHRPara"/>
      </w:pPr>
      <w:r>
        <w:rPr>
          <w:noProof/>
        </w:rPr>
        <w:t>21</w:t>
      </w:r>
      <w:r w:rsidR="000A4B0D">
        <w:t>.</w:t>
      </w:r>
      <w:r w:rsidR="00F861AE">
        <w:t xml:space="preserve"> </w:t>
      </w:r>
      <w:r w:rsidR="000A4B0D">
        <w:t>Mniej więcej cztery godziny później, około godziny 22:00, zjawili się funkcjonariusze i zabrali pierwszego skarżącego do innego budynku, aby</w:t>
      </w:r>
      <w:r w:rsidR="0067654E">
        <w:t> </w:t>
      </w:r>
      <w:r w:rsidR="000A4B0D">
        <w:t>zrobić mu zdjęcie i pobrać cyfrowe odciski palców. Następnie zabrano drugą skarżącą, również w celu pobrania odcisków palców. Po zakończeniu tej procedury funkcjonariusze zostawili skarżących na noc w celi.</w:t>
      </w:r>
    </w:p>
    <w:p w14:paraId="3C851839" w14:textId="30128DF7" w:rsidR="00194A33" w:rsidRPr="006A41BD" w:rsidRDefault="00142EC5" w:rsidP="006A41BD">
      <w:pPr>
        <w:pStyle w:val="ECHRPara"/>
      </w:pPr>
      <w:bookmarkStart w:id="12" w:name="F_interviews"/>
      <w:r>
        <w:rPr>
          <w:noProof/>
        </w:rPr>
        <w:t>22</w:t>
      </w:r>
      <w:bookmarkEnd w:id="12"/>
      <w:r w:rsidR="00D1664F">
        <w:t>.</w:t>
      </w:r>
      <w:r w:rsidR="00F861AE">
        <w:t xml:space="preserve"> </w:t>
      </w:r>
      <w:r w:rsidR="00D1664F">
        <w:t>Następnego dnia, 18</w:t>
      </w:r>
      <w:r w:rsidR="00F861AE">
        <w:t xml:space="preserve"> </w:t>
      </w:r>
      <w:r w:rsidR="00D1664F">
        <w:t>sierpnia 2015</w:t>
      </w:r>
      <w:r w:rsidR="00F861AE">
        <w:t xml:space="preserve"> </w:t>
      </w:r>
      <w:r w:rsidR="00D1664F">
        <w:t>r., między godziną 10:30 a 11:00 oraz między godziną 11:00 a 11:30,funkcjonariusz śledczy straży granicznej przesłuchał odpowiednio pierwszego skarżącego i drugą skarżącą. Przesłuchania odbyły się w języku angielskim i były tłumaczone przez tłumacza ustnego na język bułgarski.</w:t>
      </w:r>
    </w:p>
    <w:p w14:paraId="58FF2A1B" w14:textId="7DB35EAF" w:rsidR="00194A33" w:rsidRPr="006A41BD" w:rsidRDefault="00142EC5" w:rsidP="006A41BD">
      <w:pPr>
        <w:pStyle w:val="ECHRPara"/>
      </w:pPr>
      <w:bookmarkStart w:id="13" w:name="F_baby_bottle"/>
      <w:r>
        <w:rPr>
          <w:noProof/>
        </w:rPr>
        <w:t>23</w:t>
      </w:r>
      <w:bookmarkEnd w:id="13"/>
      <w:r w:rsidR="00194A33">
        <w:t>.</w:t>
      </w:r>
      <w:r w:rsidR="00F861AE">
        <w:t xml:space="preserve"> </w:t>
      </w:r>
      <w:r w:rsidR="00194A33">
        <w:t>Skarżący twierdzili, że po zakończeniu przesłuchania druga skarżąca poprosiła strażników, by oddali jej torebkę, tak by mogła przygotować dla</w:t>
      </w:r>
      <w:r w:rsidR="0067654E">
        <w:t> </w:t>
      </w:r>
      <w:r w:rsidR="00194A33">
        <w:t>swojego synka (piątego skarżącego) mleko w butelce do karmienia, którą to prośbę strażnicy spełnili. Rząd nie odniósł się do tej kwestii.</w:t>
      </w:r>
    </w:p>
    <w:p w14:paraId="4FFF411F" w14:textId="08F61FAB" w:rsidR="00D1664F" w:rsidRPr="006A41BD" w:rsidRDefault="00142EC5" w:rsidP="006A41BD">
      <w:pPr>
        <w:pStyle w:val="ECHRPara"/>
      </w:pPr>
      <w:bookmarkStart w:id="14" w:name="F_toilet_midday_18_08_2015"/>
      <w:r>
        <w:rPr>
          <w:noProof/>
        </w:rPr>
        <w:t>24</w:t>
      </w:r>
      <w:bookmarkEnd w:id="14"/>
      <w:r w:rsidR="00194A33">
        <w:t>.</w:t>
      </w:r>
      <w:r w:rsidR="00F861AE">
        <w:t xml:space="preserve"> </w:t>
      </w:r>
      <w:r w:rsidR="00194A33">
        <w:t>Później strażnicy kolejno wyprowadzali z celi po jednym skarżącym, by mogli oni skorzystać z toalety.</w:t>
      </w:r>
    </w:p>
    <w:p w14:paraId="0E723102" w14:textId="1F39B52E" w:rsidR="00FE18BF" w:rsidRPr="006A41BD" w:rsidRDefault="00142EC5" w:rsidP="006A41BD">
      <w:pPr>
        <w:pStyle w:val="ECHRPara"/>
      </w:pPr>
      <w:bookmarkStart w:id="15" w:name="F_hospital"/>
      <w:r>
        <w:rPr>
          <w:noProof/>
        </w:rPr>
        <w:t>25</w:t>
      </w:r>
      <w:bookmarkEnd w:id="15"/>
      <w:r w:rsidR="00D1664F">
        <w:t>.</w:t>
      </w:r>
      <w:r w:rsidR="00F861AE">
        <w:t xml:space="preserve"> </w:t>
      </w:r>
      <w:r w:rsidR="00D1664F">
        <w:t>Skarżący twierdzili, że później tego samego dnia dziesięciomiesięczne dziecko znajdujące się w sąsiedniej celi dotknęło przewodu elektrycznego i doznało porażenia prądem. Wywołało to panikę zatrzymanych i strażnicy pozwolili wszystkim opuścić cele. Wezwano pogotowie. Usłyszawszy, że od chwili zatrzymania skarżący nic nie jedli ani</w:t>
      </w:r>
      <w:r w:rsidR="0067654E">
        <w:t> </w:t>
      </w:r>
      <w:r w:rsidR="00D1664F">
        <w:t>nie pili, osoba z personelu pielęgniarskiego, która przyjechała karetką, wdała się w kłótnię ze strażnikami i zabrała drugą skarżącą wraz z</w:t>
      </w:r>
      <w:r w:rsidR="0067654E">
        <w:t> </w:t>
      </w:r>
      <w:r w:rsidR="00D1664F">
        <w:t>jej</w:t>
      </w:r>
      <w:r w:rsidR="0067654E">
        <w:t> </w:t>
      </w:r>
      <w:r w:rsidR="00D1664F">
        <w:t>najmłodszym dzieckiem, piątym skarżącym, do szpitala w Widyniu, gdzie między godziną 20:05 a 20:35 druga skarżąca została przebadana przez ginekologa, a między godziną 20:20 a 20:40 piąty skarżący został zbadany przez pediatrę. Dwie lub trzy godziny później skarżących odwieziono z powrotem do ośrodka detencyjnego.</w:t>
      </w:r>
    </w:p>
    <w:p w14:paraId="4DCEDF09" w14:textId="682D096D" w:rsidR="006B088A" w:rsidRPr="006A41BD" w:rsidRDefault="00142EC5" w:rsidP="006A41BD">
      <w:pPr>
        <w:pStyle w:val="ECHRPara"/>
      </w:pPr>
      <w:bookmarkStart w:id="16" w:name="F_food"/>
      <w:r>
        <w:rPr>
          <w:noProof/>
        </w:rPr>
        <w:t>26</w:t>
      </w:r>
      <w:bookmarkEnd w:id="16"/>
      <w:r w:rsidR="00ED3ED8">
        <w:t>.</w:t>
      </w:r>
      <w:r w:rsidR="00F861AE">
        <w:t xml:space="preserve"> </w:t>
      </w:r>
      <w:r w:rsidR="00ED3ED8">
        <w:t>Według skarżących strażnicy zaproponowali im wówczas jedzenie</w:t>
      </w:r>
      <w:r w:rsidR="00DB3C54">
        <w:t>,</w:t>
      </w:r>
      <w:r w:rsidR="00ED3ED8">
        <w:t xml:space="preserve"> pod warunkiem że skarżący za nie zapłacą. Następnie strażnicy wzięli pieniądze z ich toreb i dali im dwa bochenki chleba, jogurt, cztery butelki Coca-Coli, kilogram pomidorów, kilogram ogórków, kilogram bananów i</w:t>
      </w:r>
      <w:r w:rsidR="0067654E">
        <w:t> </w:t>
      </w:r>
      <w:r w:rsidR="00ED3ED8">
        <w:t xml:space="preserve">niewielki kawałek pasztetu. Rząd utrzymuje, że skarżącym </w:t>
      </w:r>
      <w:r w:rsidR="00DB3C54">
        <w:t xml:space="preserve">zapewniono żywność i wodę </w:t>
      </w:r>
      <w:r w:rsidR="00ED3ED8">
        <w:t>zgodnie z obowiązującymi przepisami. Na poparcie tego twierdzenia Rząd przedłożył tabelę, w której wyszczególniono dzienne racje żywnościowe dla zatrzymanych dorosłych i małoletnich migrantów, oraz</w:t>
      </w:r>
      <w:r w:rsidR="0067654E">
        <w:t> </w:t>
      </w:r>
      <w:r w:rsidR="00ED3ED8">
        <w:t xml:space="preserve">raport sporządzony przez szefa oddziału straży granicznej w Bregowie </w:t>
      </w:r>
      <w:r w:rsidR="00ED3ED8">
        <w:lastRenderedPageBreak/>
        <w:t>w dniu 1</w:t>
      </w:r>
      <w:r w:rsidR="00F861AE">
        <w:t xml:space="preserve"> </w:t>
      </w:r>
      <w:r w:rsidR="00ED3ED8">
        <w:t>września 2015</w:t>
      </w:r>
      <w:r w:rsidR="00F861AE">
        <w:t xml:space="preserve"> </w:t>
      </w:r>
      <w:r w:rsidR="00ED3ED8">
        <w:t>r., zawierający nazwiska wszystkich migrantów, którzy przebywali w ośrodku detencyjnym oddziału w Widyniu w sierpniu 2015</w:t>
      </w:r>
      <w:r w:rsidR="00F861AE">
        <w:t xml:space="preserve"> </w:t>
      </w:r>
      <w:r w:rsidR="00ED3ED8">
        <w:t>r. – w tym skarżących – i otrzymywali tam żywność.</w:t>
      </w:r>
    </w:p>
    <w:p w14:paraId="144F36C9" w14:textId="6EA70131" w:rsidR="00D1664F" w:rsidRPr="006A41BD" w:rsidRDefault="00142EC5" w:rsidP="006A41BD">
      <w:pPr>
        <w:pStyle w:val="ECHRPara"/>
      </w:pPr>
      <w:bookmarkStart w:id="17" w:name="F_toilet_second_night"/>
      <w:r>
        <w:rPr>
          <w:noProof/>
        </w:rPr>
        <w:t>27</w:t>
      </w:r>
      <w:bookmarkEnd w:id="17"/>
      <w:r w:rsidR="006B088A">
        <w:t>.</w:t>
      </w:r>
      <w:r w:rsidR="00F861AE">
        <w:t xml:space="preserve"> </w:t>
      </w:r>
      <w:r w:rsidR="006B088A">
        <w:t>Następnie, około godziny 22:00 lub 23:00, skarżących ponownie umieszczono w celi. Skarżący twierdzą, że przed powrotem do celi pozwolono im skorzystać z toalety, nie mogli jednak korzystać z niej w</w:t>
      </w:r>
      <w:r w:rsidR="0067654E">
        <w:t> </w:t>
      </w:r>
      <w:r w:rsidR="006B088A">
        <w:t>nocy. Rząd nie odniósł się do tego zarzutu.</w:t>
      </w:r>
    </w:p>
    <w:p w14:paraId="3DF580AE" w14:textId="41FFB00B" w:rsidR="00D1664F" w:rsidRPr="006A41BD" w:rsidRDefault="00142EC5" w:rsidP="006A41BD">
      <w:pPr>
        <w:pStyle w:val="ECHRPara"/>
      </w:pPr>
      <w:r>
        <w:rPr>
          <w:noProof/>
        </w:rPr>
        <w:t>28</w:t>
      </w:r>
      <w:r w:rsidR="00D1664F">
        <w:t>.</w:t>
      </w:r>
      <w:r w:rsidR="00F861AE">
        <w:t xml:space="preserve"> </w:t>
      </w:r>
      <w:r w:rsidR="00D1664F">
        <w:t>Następnego dnia, 19</w:t>
      </w:r>
      <w:r w:rsidR="00F861AE">
        <w:t xml:space="preserve"> </w:t>
      </w:r>
      <w:r w:rsidR="00D1664F">
        <w:t>sierpnia 2015</w:t>
      </w:r>
      <w:r w:rsidR="00F861AE">
        <w:t xml:space="preserve"> </w:t>
      </w:r>
      <w:r w:rsidR="00D1664F">
        <w:t>r., skarżącym dostarczono wydane poprzedniego dnia nakazy wydalenia z Bułgarii pierwszego skarżącego i</w:t>
      </w:r>
      <w:r w:rsidR="0067654E">
        <w:t> </w:t>
      </w:r>
      <w:r w:rsidR="00D1664F">
        <w:t>drugiej skarżącej oraz zatrzymania ich w ośrodku detencyjnym w</w:t>
      </w:r>
      <w:r w:rsidR="0067654E">
        <w:t> </w:t>
      </w:r>
      <w:r w:rsidR="00D1664F">
        <w:t>oczekiwaniu na wydalenie. Nic nie wskazuje na to, aby w odniesieniu do</w:t>
      </w:r>
      <w:r w:rsidR="0067654E">
        <w:t> </w:t>
      </w:r>
      <w:r w:rsidR="00D1664F">
        <w:t>skarżących trzeciego, czwartego i piątego wydano odrębne nakazy, ponieważ zostali oni uwzględnieni w nakazach zatrzymania pierwszego skarżącego i drugiej skarżącej jako osoby małoletnie pozostające pod</w:t>
      </w:r>
      <w:r w:rsidR="0067654E">
        <w:t> </w:t>
      </w:r>
      <w:r w:rsidR="00D1664F">
        <w:t>ich</w:t>
      </w:r>
      <w:r w:rsidR="0067654E">
        <w:t> </w:t>
      </w:r>
      <w:r w:rsidR="00D1664F">
        <w:t>opieką (zob.</w:t>
      </w:r>
      <w:r w:rsidR="00F861AE">
        <w:t xml:space="preserve"> </w:t>
      </w:r>
      <w:r w:rsidR="00D1664F">
        <w:t xml:space="preserve">paragraf </w:t>
      </w:r>
      <w:r>
        <w:t>33</w:t>
      </w:r>
      <w:r w:rsidR="00D1664F">
        <w:t xml:space="preserve"> poniżej).</w:t>
      </w:r>
    </w:p>
    <w:p w14:paraId="0E566DE1" w14:textId="09117BD4" w:rsidR="002E2E97" w:rsidRPr="006A41BD" w:rsidRDefault="002E2E97" w:rsidP="006A41BD">
      <w:pPr>
        <w:pStyle w:val="ECHRHeading2"/>
        <w:outlineLvl w:val="2"/>
      </w:pPr>
      <w:r w:rsidRPr="00FF38A0">
        <w:t>C.</w:t>
      </w:r>
      <w:r w:rsidR="00F861AE" w:rsidRPr="00FF38A0">
        <w:t xml:space="preserve"> </w:t>
      </w:r>
      <w:r w:rsidRPr="00FF38A0">
        <w:t>Rozwój spraw</w:t>
      </w:r>
    </w:p>
    <w:p w14:paraId="24C1FBF9" w14:textId="1845E10C" w:rsidR="005D25B4" w:rsidRPr="006A41BD" w:rsidRDefault="00142EC5" w:rsidP="006A41BD">
      <w:pPr>
        <w:pStyle w:val="ECHRPara"/>
      </w:pPr>
      <w:bookmarkStart w:id="18" w:name="F_transfer_Sofia"/>
      <w:r>
        <w:rPr>
          <w:noProof/>
        </w:rPr>
        <w:t>29</w:t>
      </w:r>
      <w:bookmarkEnd w:id="18"/>
      <w:r w:rsidR="00D1664F">
        <w:t>.</w:t>
      </w:r>
      <w:r w:rsidR="00F861AE">
        <w:t xml:space="preserve"> </w:t>
      </w:r>
      <w:r w:rsidR="00D1664F">
        <w:t>Skarżący twierdzą, że dnia 19</w:t>
      </w:r>
      <w:r w:rsidR="00F861AE">
        <w:t xml:space="preserve"> </w:t>
      </w:r>
      <w:r w:rsidR="00D1664F">
        <w:t>sierpnia 2015</w:t>
      </w:r>
      <w:r w:rsidR="00F861AE">
        <w:t xml:space="preserve"> </w:t>
      </w:r>
      <w:r w:rsidR="00D1664F">
        <w:t>r. około południa zwrócono im rzeczy osobiste i przewieziono ich do ośrodka detencyjnego dla imigrantów w Sofii. Zdaniem Rządu miało to miejsce znacznie wcześniej tego dnia, około godziny 6:00 lub 7:00, jako że ze stosownych dokumentów wynika, że skarżący dotarli do ośrodka detencyjnego w Sofii o</w:t>
      </w:r>
      <w:r w:rsidR="0067654E">
        <w:t> </w:t>
      </w:r>
      <w:r w:rsidR="00D1664F">
        <w:t>godzinie 14:45, a podróż między tymi dwoma ośrodkami zajmuje zwykle około sześciu lub siedmiu godzin.</w:t>
      </w:r>
    </w:p>
    <w:p w14:paraId="40EC51E1" w14:textId="519B7E98" w:rsidR="005D25B4" w:rsidRPr="006A41BD" w:rsidRDefault="00142EC5" w:rsidP="006A41BD">
      <w:pPr>
        <w:pStyle w:val="ECHRPara"/>
      </w:pPr>
      <w:bookmarkStart w:id="19" w:name="F_app_int_protection_Bulgaria"/>
      <w:r>
        <w:rPr>
          <w:noProof/>
        </w:rPr>
        <w:t>30</w:t>
      </w:r>
      <w:bookmarkEnd w:id="19"/>
      <w:r w:rsidR="005774DB">
        <w:t>.</w:t>
      </w:r>
      <w:r w:rsidR="00F861AE">
        <w:t xml:space="preserve"> </w:t>
      </w:r>
      <w:r w:rsidR="005774DB">
        <w:t>Dnia 24</w:t>
      </w:r>
      <w:r w:rsidR="00F861AE">
        <w:t xml:space="preserve"> </w:t>
      </w:r>
      <w:r w:rsidR="005774DB">
        <w:t>sierpnia 2015</w:t>
      </w:r>
      <w:r w:rsidR="00F861AE">
        <w:t xml:space="preserve"> </w:t>
      </w:r>
      <w:r w:rsidR="005774DB">
        <w:t>r. skarżący złożyli wnioski o udzielenie ochrony międzynarodowej w Bułgarii. Państwowa Agencja ds.</w:t>
      </w:r>
      <w:r w:rsidR="00F861AE">
        <w:t xml:space="preserve"> </w:t>
      </w:r>
      <w:r w:rsidR="005774DB">
        <w:t>Uchodźców zarejestrowała ich wnioski 31</w:t>
      </w:r>
      <w:r w:rsidR="00F861AE">
        <w:t xml:space="preserve"> </w:t>
      </w:r>
      <w:r w:rsidR="005774DB">
        <w:t>sierpnia 2015</w:t>
      </w:r>
      <w:r w:rsidR="00F861AE">
        <w:t xml:space="preserve"> </w:t>
      </w:r>
      <w:r w:rsidR="005774DB">
        <w:t>r., po czym zostali oni</w:t>
      </w:r>
      <w:r w:rsidR="0067654E">
        <w:t> </w:t>
      </w:r>
      <w:r w:rsidR="005774DB">
        <w:t>zwolnieni z ośrodka detencyjnego dla imigrantów w Sofii i umieszczeni w otwartym ośrodku dla osób ubiegających się o azyl. W dniu 23</w:t>
      </w:r>
      <w:r w:rsidR="00F861AE">
        <w:t xml:space="preserve"> </w:t>
      </w:r>
      <w:r w:rsidR="005774DB">
        <w:t>września 2015</w:t>
      </w:r>
      <w:r w:rsidR="00F861AE">
        <w:t xml:space="preserve"> </w:t>
      </w:r>
      <w:r w:rsidR="005774DB">
        <w:t>r. postępowanie w sprawie tych wniosków umorzono, ponieważ skarżący zniknęli z ośrodka.</w:t>
      </w:r>
    </w:p>
    <w:p w14:paraId="450DF716" w14:textId="0385F964" w:rsidR="00D1664F" w:rsidRPr="006A41BD" w:rsidRDefault="00142EC5" w:rsidP="006A41BD">
      <w:pPr>
        <w:pStyle w:val="ECHRPara"/>
      </w:pPr>
      <w:bookmarkStart w:id="20" w:name="F_app_int_protection_Switzerland"/>
      <w:r>
        <w:rPr>
          <w:noProof/>
        </w:rPr>
        <w:t>31</w:t>
      </w:r>
      <w:bookmarkEnd w:id="20"/>
      <w:r w:rsidR="00F84FF6">
        <w:t>.</w:t>
      </w:r>
      <w:r w:rsidR="00F861AE">
        <w:t xml:space="preserve"> </w:t>
      </w:r>
      <w:r w:rsidR="00F84FF6">
        <w:t>W międzyczasie skarżący dotarli do Szwajcarii, gdzie 8</w:t>
      </w:r>
      <w:r w:rsidR="00F861AE">
        <w:t xml:space="preserve"> </w:t>
      </w:r>
      <w:r w:rsidR="00F84FF6">
        <w:t>września 2015</w:t>
      </w:r>
      <w:r w:rsidR="00F861AE">
        <w:t xml:space="preserve"> </w:t>
      </w:r>
      <w:r w:rsidR="00F84FF6">
        <w:t>r. również złożyli wnioski o udzielenie ochrony międzynarodowej. W</w:t>
      </w:r>
      <w:r w:rsidR="0067654E">
        <w:t> </w:t>
      </w:r>
      <w:r w:rsidR="00F84FF6">
        <w:t>dniu 8</w:t>
      </w:r>
      <w:r w:rsidR="00F861AE">
        <w:t xml:space="preserve"> </w:t>
      </w:r>
      <w:r w:rsidR="00F84FF6">
        <w:t>stycznia 2016</w:t>
      </w:r>
      <w:r w:rsidR="00F861AE">
        <w:t xml:space="preserve"> </w:t>
      </w:r>
      <w:r w:rsidR="00F84FF6">
        <w:t>r. szwajcarskie władze podjęły decyzję o</w:t>
      </w:r>
      <w:r w:rsidR="0067654E">
        <w:t> </w:t>
      </w:r>
      <w:r w:rsidR="00F84FF6">
        <w:t>nierozpatrywaniu wniosk</w:t>
      </w:r>
      <w:r w:rsidR="00CC2635">
        <w:t>ów</w:t>
      </w:r>
      <w:r w:rsidR="00F84FF6">
        <w:t xml:space="preserve"> skarżących i o przekazaniu ich z powrotem do Bułgarii na mocy rozporządzenia (UE) nr</w:t>
      </w:r>
      <w:r w:rsidR="00F861AE">
        <w:t xml:space="preserve"> </w:t>
      </w:r>
      <w:r w:rsidR="00F84FF6">
        <w:t>604/2013 w sprawie ustanowienia kryteriów i mechanizmów ustalania państwa członkowskiego odpowiedzialnego za rozpatrzenie wniosku o udzielenie ochrony międzynarodowej złożonego w jednym z państw członkowskich przez obywatela państwa trzeciego lub bezpaństwowca („rozporządzenie Dublin</w:t>
      </w:r>
      <w:r w:rsidR="00F861AE">
        <w:t xml:space="preserve"> </w:t>
      </w:r>
      <w:r w:rsidR="00F84FF6">
        <w:t>III”), które obowiązuje również Szwajcarię (zob.</w:t>
      </w:r>
      <w:r w:rsidR="00F861AE">
        <w:t xml:space="preserve"> </w:t>
      </w:r>
      <w:r w:rsidR="00F84FF6">
        <w:rPr>
          <w:i/>
        </w:rPr>
        <w:t>A.S.</w:t>
      </w:r>
      <w:r w:rsidR="00F84FF6">
        <w:t xml:space="preserve"> </w:t>
      </w:r>
      <w:r w:rsidR="00F84FF6">
        <w:rPr>
          <w:i/>
        </w:rPr>
        <w:t>przeciwko. Szwajcarii</w:t>
      </w:r>
      <w:r w:rsidR="00F84FF6">
        <w:rPr>
          <w:snapToGrid w:val="0"/>
        </w:rPr>
        <w:t xml:space="preserve">, </w:t>
      </w:r>
      <w:r w:rsidR="00F84FF6">
        <w:t>nr</w:t>
      </w:r>
      <w:r w:rsidR="00F861AE">
        <w:t xml:space="preserve"> </w:t>
      </w:r>
      <w:r w:rsidR="00F84FF6">
        <w:t>39350/13</w:t>
      </w:r>
      <w:r w:rsidR="00F84FF6">
        <w:rPr>
          <w:snapToGrid w:val="0"/>
        </w:rPr>
        <w:t>, §§</w:t>
      </w:r>
      <w:r w:rsidR="00F861AE">
        <w:rPr>
          <w:snapToGrid w:val="0"/>
        </w:rPr>
        <w:t xml:space="preserve"> </w:t>
      </w:r>
      <w:r w:rsidR="00F84FF6">
        <w:rPr>
          <w:snapToGrid w:val="0"/>
        </w:rPr>
        <w:t xml:space="preserve">12–13, </w:t>
      </w:r>
      <w:r w:rsidR="00F84FF6">
        <w:t>30</w:t>
      </w:r>
      <w:r w:rsidR="00F84FF6">
        <w:rPr>
          <w:snapToGrid w:val="0"/>
        </w:rPr>
        <w:t xml:space="preserve"> czerwca 2015</w:t>
      </w:r>
      <w:r w:rsidR="00F84FF6">
        <w:t>). Na skutek skargi złożonej przez skarżących w dniu 7</w:t>
      </w:r>
      <w:r w:rsidR="00F861AE">
        <w:t xml:space="preserve"> </w:t>
      </w:r>
      <w:r w:rsidR="00F84FF6">
        <w:t>lipca 2016</w:t>
      </w:r>
      <w:r w:rsidR="00F861AE">
        <w:t xml:space="preserve"> </w:t>
      </w:r>
      <w:r w:rsidR="00F84FF6">
        <w:t xml:space="preserve">r. szwajcarskie władze </w:t>
      </w:r>
      <w:r w:rsidR="00F84FF6">
        <w:lastRenderedPageBreak/>
        <w:t>zmieniły swoją wcześniejszą decyzję i przystąpiły do rozpatrzenia wniosku skarżących. Krótko ponad rok później, dnia 27</w:t>
      </w:r>
      <w:r w:rsidR="00F861AE">
        <w:t xml:space="preserve"> </w:t>
      </w:r>
      <w:r w:rsidR="00F84FF6">
        <w:t>lipca 2017</w:t>
      </w:r>
      <w:r w:rsidR="00F861AE">
        <w:t xml:space="preserve"> </w:t>
      </w:r>
      <w:r w:rsidR="00F84FF6">
        <w:t>r., skarżącym udzielono azylu w Szwajcarii.</w:t>
      </w:r>
    </w:p>
    <w:p w14:paraId="43CCD25F" w14:textId="04F77BFA" w:rsidR="00014566" w:rsidRPr="006A41BD" w:rsidRDefault="00014566" w:rsidP="006A41BD">
      <w:pPr>
        <w:pStyle w:val="ECHRHeading1"/>
        <w:outlineLvl w:val="1"/>
      </w:pPr>
      <w:r>
        <w:t>II.</w:t>
      </w:r>
      <w:r w:rsidR="00F861AE">
        <w:t xml:space="preserve"> </w:t>
      </w:r>
      <w:r>
        <w:t>WŁAŚCIWE PRAWO KRAJOWE I PRAKTYKA</w:t>
      </w:r>
    </w:p>
    <w:p w14:paraId="23AF5603" w14:textId="255BD567" w:rsidR="000709C0" w:rsidRPr="006A41BD" w:rsidRDefault="000709C0" w:rsidP="006A41BD">
      <w:pPr>
        <w:pStyle w:val="ECHRHeading2"/>
        <w:outlineLvl w:val="2"/>
      </w:pPr>
      <w:r>
        <w:t>A.</w:t>
      </w:r>
      <w:r w:rsidR="00F861AE">
        <w:t xml:space="preserve"> </w:t>
      </w:r>
      <w:r>
        <w:t>Zatrzymanie cudzoziemców, którzy nielegalnie przekroczyli granicę</w:t>
      </w:r>
    </w:p>
    <w:p w14:paraId="18838038" w14:textId="669DF8A2" w:rsidR="00704C6E" w:rsidRPr="006A41BD" w:rsidRDefault="00142EC5" w:rsidP="006A41BD">
      <w:pPr>
        <w:pStyle w:val="ECHRPara"/>
        <w:keepNext/>
      </w:pPr>
      <w:r>
        <w:rPr>
          <w:noProof/>
        </w:rPr>
        <w:t>32</w:t>
      </w:r>
      <w:r w:rsidR="00704C6E">
        <w:t>.</w:t>
      </w:r>
      <w:r w:rsidR="00F861AE">
        <w:t xml:space="preserve"> </w:t>
      </w:r>
      <w:r w:rsidR="00704C6E">
        <w:t>Zgodnie z art.</w:t>
      </w:r>
      <w:r w:rsidR="00F861AE">
        <w:t xml:space="preserve"> </w:t>
      </w:r>
      <w:r w:rsidR="00704C6E">
        <w:t>102 ust.</w:t>
      </w:r>
      <w:r w:rsidR="00F861AE">
        <w:t xml:space="preserve"> </w:t>
      </w:r>
      <w:r w:rsidR="00704C6E">
        <w:t>1 pkt</w:t>
      </w:r>
      <w:r w:rsidR="00F861AE">
        <w:t xml:space="preserve"> </w:t>
      </w:r>
      <w:r w:rsidR="00704C6E">
        <w:t>10 ustawy z 2014</w:t>
      </w:r>
      <w:r w:rsidR="00F861AE">
        <w:t xml:space="preserve"> </w:t>
      </w:r>
      <w:r w:rsidR="00704C6E">
        <w:t>r. o Ministerstwie Spraw Wewnętrznych straż graniczna może umieszczać cudzoziemców, którzy nie przestrzegają zasad przekraczania granic, w areszcie tymczasowym lub w specjalnych ośrodkach detencyjnych dla imigrantów.</w:t>
      </w:r>
    </w:p>
    <w:p w14:paraId="07DA90A1" w14:textId="555854A3" w:rsidR="00D1664F" w:rsidRPr="006A41BD" w:rsidRDefault="00A70965" w:rsidP="006A41BD">
      <w:pPr>
        <w:pStyle w:val="ECHRHeading2"/>
        <w:outlineLvl w:val="2"/>
      </w:pPr>
      <w:r>
        <w:t>B.</w:t>
      </w:r>
      <w:r w:rsidR="00F861AE">
        <w:t xml:space="preserve"> </w:t>
      </w:r>
      <w:r>
        <w:t>Zatrzymanie małoletnich cudzoziemców</w:t>
      </w:r>
    </w:p>
    <w:p w14:paraId="66EB3160" w14:textId="1C860039" w:rsidR="00D1664F" w:rsidRPr="006A41BD" w:rsidRDefault="00142EC5" w:rsidP="006A41BD">
      <w:pPr>
        <w:pStyle w:val="ECHRPara"/>
        <w:keepNext/>
      </w:pPr>
      <w:bookmarkStart w:id="21" w:name="RIM_AA_1998_s_44_9"/>
      <w:r>
        <w:rPr>
          <w:noProof/>
        </w:rPr>
        <w:t>33</w:t>
      </w:r>
      <w:bookmarkEnd w:id="21"/>
      <w:r w:rsidR="00D1664F">
        <w:t>.</w:t>
      </w:r>
      <w:r w:rsidR="00F861AE">
        <w:t xml:space="preserve"> </w:t>
      </w:r>
      <w:r w:rsidR="00D1664F">
        <w:t>Zgodnie z art.</w:t>
      </w:r>
      <w:r w:rsidR="00F861AE">
        <w:t xml:space="preserve"> </w:t>
      </w:r>
      <w:r w:rsidR="00D1664F">
        <w:t>44 ust.</w:t>
      </w:r>
      <w:r w:rsidR="00F861AE">
        <w:t xml:space="preserve"> </w:t>
      </w:r>
      <w:r w:rsidR="00D1664F">
        <w:t>9 ustawy z 1998</w:t>
      </w:r>
      <w:r w:rsidR="00F861AE">
        <w:t xml:space="preserve"> </w:t>
      </w:r>
      <w:r w:rsidR="00D1664F">
        <w:t>r. o cudzoziemcach zmienionej w 2013</w:t>
      </w:r>
      <w:r w:rsidR="00F861AE">
        <w:t xml:space="preserve"> </w:t>
      </w:r>
      <w:r w:rsidR="00D1664F">
        <w:t xml:space="preserve">r. małoletnich cudzoziemców pozostających pod opieką dorosłych można w wyjątkowych przypadkach </w:t>
      </w:r>
      <w:r w:rsidR="00677390" w:rsidRPr="00262E1E">
        <w:t>pozbawić wolności na czas oczekiwania</w:t>
      </w:r>
      <w:r w:rsidR="00D1664F" w:rsidRPr="00262E1E">
        <w:t xml:space="preserve"> na wydalenie, przez okres trze</w:t>
      </w:r>
      <w:r w:rsidR="00D1664F">
        <w:t xml:space="preserve">ch miesięcy, przy czym ośrodki detencyjne, w których takie osoby zostają umieszczone, muszą dysponować pomieszczeniami dostosowanymi do ich wieku i potrzeb. Małoletni cudzoziemcy pozbawieni opieki nie mogą być </w:t>
      </w:r>
      <w:r w:rsidR="00CC2635">
        <w:t xml:space="preserve">umieszczani </w:t>
      </w:r>
      <w:r w:rsidR="00D1664F">
        <w:t>w ośrodkach detencyjnych dla cudzoziemców.</w:t>
      </w:r>
      <w:r w:rsidR="00CC2635">
        <w:t>8</w:t>
      </w:r>
    </w:p>
    <w:p w14:paraId="67D21540" w14:textId="702C1517" w:rsidR="00D1664F" w:rsidRPr="006A41BD" w:rsidRDefault="00F818CA" w:rsidP="006A41BD">
      <w:pPr>
        <w:pStyle w:val="ECHRHeading2"/>
        <w:outlineLvl w:val="2"/>
      </w:pPr>
      <w:r>
        <w:t>C.</w:t>
      </w:r>
      <w:r w:rsidR="00F861AE">
        <w:t xml:space="preserve"> </w:t>
      </w:r>
      <w:r>
        <w:t xml:space="preserve">Odszkodowanie za złe warunki </w:t>
      </w:r>
      <w:r w:rsidR="00FF38A0">
        <w:t>pozbawienia wolnoś</w:t>
      </w:r>
      <w:r w:rsidR="00D04BCF">
        <w:t>c</w:t>
      </w:r>
      <w:r w:rsidR="00FF38A0">
        <w:t>i</w:t>
      </w:r>
    </w:p>
    <w:p w14:paraId="01862F3E" w14:textId="56540A30" w:rsidR="00D1664F" w:rsidRPr="006A41BD" w:rsidRDefault="00142EC5" w:rsidP="006A41BD">
      <w:pPr>
        <w:pStyle w:val="ECHRPara"/>
      </w:pPr>
      <w:bookmarkStart w:id="22" w:name="RDL_1988_A_s_1"/>
      <w:r>
        <w:rPr>
          <w:noProof/>
        </w:rPr>
        <w:t>34</w:t>
      </w:r>
      <w:bookmarkEnd w:id="22"/>
      <w:r w:rsidR="00D1664F">
        <w:t>.</w:t>
      </w:r>
      <w:r w:rsidR="00F861AE">
        <w:t xml:space="preserve"> </w:t>
      </w:r>
      <w:r w:rsidR="00D1664F">
        <w:t>Na mocy art.</w:t>
      </w:r>
      <w:r w:rsidR="00F861AE">
        <w:t xml:space="preserve"> </w:t>
      </w:r>
      <w:r w:rsidR="00D1664F">
        <w:t>1 ust.</w:t>
      </w:r>
      <w:r w:rsidR="00F861AE">
        <w:t xml:space="preserve"> </w:t>
      </w:r>
      <w:r w:rsidR="00D1664F">
        <w:t>1 ustawy z 1988</w:t>
      </w:r>
      <w:r w:rsidR="00F861AE">
        <w:t xml:space="preserve"> </w:t>
      </w:r>
      <w:r w:rsidR="00D1664F">
        <w:t>r. o odpowiedzial</w:t>
      </w:r>
      <w:r w:rsidR="00301E1B">
        <w:t xml:space="preserve">ności </w:t>
      </w:r>
      <w:r w:rsidR="00CC2635">
        <w:t xml:space="preserve">państwa </w:t>
      </w:r>
      <w:r w:rsidR="00301E1B">
        <w:t>i</w:t>
      </w:r>
      <w:r w:rsidR="0067654E">
        <w:t> </w:t>
      </w:r>
      <w:r w:rsidR="00301E1B">
        <w:t xml:space="preserve">gmin za szkody </w:t>
      </w:r>
      <w:r w:rsidR="00CC2635">
        <w:t xml:space="preserve">państwo </w:t>
      </w:r>
      <w:r w:rsidR="00D1664F">
        <w:t>odpowiada za szkody poniesione przez osoby fizyczne lub prawne w wyniku niezgodnych z prawem decyzji, działań lub zaniechań władz krajowych lub gminnych bądź urzędników służby cywilnej w toku działań administracyjnych lub w związku z nimi.</w:t>
      </w:r>
    </w:p>
    <w:p w14:paraId="13CEFBB9" w14:textId="30A060D0" w:rsidR="00D1664F" w:rsidRPr="006A41BD" w:rsidRDefault="00142EC5" w:rsidP="006A41BD">
      <w:pPr>
        <w:pStyle w:val="ECHRPara"/>
      </w:pPr>
      <w:bookmarkStart w:id="23" w:name="RDL_1988_A_Neshkov"/>
      <w:r>
        <w:rPr>
          <w:noProof/>
        </w:rPr>
        <w:t>35</w:t>
      </w:r>
      <w:bookmarkEnd w:id="23"/>
      <w:r w:rsidR="00D1664F">
        <w:t>.</w:t>
      </w:r>
      <w:r w:rsidR="00F861AE">
        <w:t xml:space="preserve"> </w:t>
      </w:r>
      <w:r w:rsidR="00D1664F">
        <w:t>W latach 2003–2017 skazani i tymczasowo aresztowani stale dochodzili na gruncie tego przepisu odszkodowań z tytułu warunków ich</w:t>
      </w:r>
      <w:r w:rsidR="0067654E">
        <w:t> </w:t>
      </w:r>
      <w:r w:rsidR="00CC2635">
        <w:t>pozbawienia wolności</w:t>
      </w:r>
      <w:r w:rsidR="00D1664F">
        <w:t xml:space="preserve"> (zob.</w:t>
      </w:r>
      <w:r w:rsidR="00F861AE">
        <w:t xml:space="preserve"> </w:t>
      </w:r>
      <w:r w:rsidR="00D1664F">
        <w:rPr>
          <w:i/>
        </w:rPr>
        <w:t>Neshkov i Inni przeciwko Bułgarii</w:t>
      </w:r>
      <w:r w:rsidR="00D1664F">
        <w:t>, nr</w:t>
      </w:r>
      <w:r w:rsidR="0067654E">
        <w:t> </w:t>
      </w:r>
      <w:r w:rsidR="00D1664F">
        <w:t>36925/10 i 5</w:t>
      </w:r>
      <w:r w:rsidR="00F861AE">
        <w:t xml:space="preserve"> </w:t>
      </w:r>
      <w:r w:rsidR="00D1664F">
        <w:t>innych</w:t>
      </w:r>
      <w:r w:rsidR="00D1664F">
        <w:rPr>
          <w:snapToGrid w:val="0"/>
        </w:rPr>
        <w:t>, §§</w:t>
      </w:r>
      <w:r w:rsidR="00F861AE">
        <w:rPr>
          <w:snapToGrid w:val="0"/>
        </w:rPr>
        <w:t xml:space="preserve"> </w:t>
      </w:r>
      <w:r w:rsidR="00D1664F">
        <w:rPr>
          <w:snapToGrid w:val="0"/>
        </w:rPr>
        <w:t>127–31, 27</w:t>
      </w:r>
      <w:r w:rsidR="00F861AE">
        <w:rPr>
          <w:snapToGrid w:val="0"/>
        </w:rPr>
        <w:t xml:space="preserve"> </w:t>
      </w:r>
      <w:r w:rsidR="00D1664F">
        <w:rPr>
          <w:snapToGrid w:val="0"/>
        </w:rPr>
        <w:t>stycznia 2015</w:t>
      </w:r>
      <w:r w:rsidR="00F861AE">
        <w:rPr>
          <w:snapToGrid w:val="0"/>
        </w:rPr>
        <w:t xml:space="preserve"> </w:t>
      </w:r>
      <w:r w:rsidR="00D1664F">
        <w:rPr>
          <w:snapToGrid w:val="0"/>
        </w:rPr>
        <w:t>r.</w:t>
      </w:r>
      <w:r w:rsidR="00D1664F">
        <w:t>).</w:t>
      </w:r>
    </w:p>
    <w:p w14:paraId="069BA368" w14:textId="71FB866B" w:rsidR="002929AE" w:rsidRPr="00D04BCF" w:rsidRDefault="00142EC5" w:rsidP="006A41BD">
      <w:pPr>
        <w:pStyle w:val="ECHRPara"/>
      </w:pPr>
      <w:bookmarkStart w:id="24" w:name="RDL_1988_A_claims_aliens"/>
      <w:r>
        <w:rPr>
          <w:noProof/>
        </w:rPr>
        <w:t>36</w:t>
      </w:r>
      <w:bookmarkEnd w:id="24"/>
      <w:r w:rsidR="00D1664F">
        <w:t>.</w:t>
      </w:r>
      <w:r w:rsidR="00F861AE">
        <w:t xml:space="preserve"> </w:t>
      </w:r>
      <w:r w:rsidR="00D1664F">
        <w:t>Natomiast w odniesieniu do warunków panujących w ośrodkach detencyjnych dla cudzoziemców odnotowano tylko jedną taką sprawę. Wniósł ją w 2010</w:t>
      </w:r>
      <w:r w:rsidR="00F861AE">
        <w:t xml:space="preserve"> </w:t>
      </w:r>
      <w:r w:rsidR="00D1664F">
        <w:t>r. obywatel Turcji, który w 2009</w:t>
      </w:r>
      <w:r w:rsidR="00F861AE">
        <w:t xml:space="preserve"> </w:t>
      </w:r>
      <w:r w:rsidR="00D1664F">
        <w:t>r. przez trzynaście dni przebywał w ośrodku detencyjnym dla imigrantów w Sofii. Sąd</w:t>
      </w:r>
      <w:r w:rsidR="0067654E">
        <w:t> </w:t>
      </w:r>
      <w:r w:rsidR="00D1664F">
        <w:t>Administracyjny dla miasta Sofii uznał skargę za dopuszczalną, lecz</w:t>
      </w:r>
      <w:r w:rsidR="0067654E">
        <w:t> </w:t>
      </w:r>
      <w:r w:rsidR="00D1664F">
        <w:t>nieudowodnioną (zob.</w:t>
      </w:r>
      <w:r w:rsidR="00F861AE">
        <w:t xml:space="preserve"> </w:t>
      </w:r>
      <w:r w:rsidR="00D1664F" w:rsidRPr="00D04BCF">
        <w:rPr>
          <w:i/>
        </w:rPr>
        <w:t>реш. № 2847 от 10.06.2011</w:t>
      </w:r>
      <w:r w:rsidR="00F861AE" w:rsidRPr="00D04BCF">
        <w:rPr>
          <w:i/>
        </w:rPr>
        <w:t xml:space="preserve"> </w:t>
      </w:r>
      <w:r w:rsidR="00D1664F" w:rsidRPr="00D04BCF">
        <w:rPr>
          <w:i/>
        </w:rPr>
        <w:t>г. по адм. д. №</w:t>
      </w:r>
      <w:r w:rsidR="0067654E">
        <w:rPr>
          <w:i/>
        </w:rPr>
        <w:t> </w:t>
      </w:r>
      <w:r w:rsidR="00D1664F" w:rsidRPr="00D04BCF">
        <w:rPr>
          <w:i/>
        </w:rPr>
        <w:t>6036/2010</w:t>
      </w:r>
      <w:r w:rsidR="00F861AE" w:rsidRPr="00D04BCF">
        <w:rPr>
          <w:i/>
        </w:rPr>
        <w:t xml:space="preserve"> </w:t>
      </w:r>
      <w:r w:rsidR="00D1664F" w:rsidRPr="00D04BCF">
        <w:rPr>
          <w:i/>
        </w:rPr>
        <w:t>г., АдмС-София-град</w:t>
      </w:r>
      <w:r w:rsidR="00D1664F">
        <w:t xml:space="preserve">). Najwyższy Sąd Administracyjny </w:t>
      </w:r>
      <w:r w:rsidR="00D1664F">
        <w:lastRenderedPageBreak/>
        <w:t>utrzymał wyrok w mocy na tej samej podstawie (</w:t>
      </w:r>
      <w:r w:rsidR="00D1664F" w:rsidRPr="00D04BCF">
        <w:rPr>
          <w:i/>
        </w:rPr>
        <w:t>zob.</w:t>
      </w:r>
      <w:r w:rsidR="00F861AE" w:rsidRPr="00D04BCF">
        <w:rPr>
          <w:i/>
        </w:rPr>
        <w:t xml:space="preserve"> </w:t>
      </w:r>
      <w:r w:rsidR="00D1664F" w:rsidRPr="00D04BCF">
        <w:rPr>
          <w:i/>
        </w:rPr>
        <w:t>реш. № 14967 от</w:t>
      </w:r>
      <w:r w:rsidR="0067654E">
        <w:rPr>
          <w:i/>
        </w:rPr>
        <w:t> </w:t>
      </w:r>
      <w:r w:rsidR="00D1664F" w:rsidRPr="00D04BCF">
        <w:rPr>
          <w:i/>
        </w:rPr>
        <w:t>16.11.2011</w:t>
      </w:r>
      <w:r w:rsidR="00F861AE" w:rsidRPr="00D04BCF">
        <w:rPr>
          <w:i/>
        </w:rPr>
        <w:t xml:space="preserve"> </w:t>
      </w:r>
      <w:r w:rsidR="00D1664F" w:rsidRPr="00D04BCF">
        <w:rPr>
          <w:i/>
        </w:rPr>
        <w:t>г. по адм.</w:t>
      </w:r>
      <w:r w:rsidR="00F861AE" w:rsidRPr="00D04BCF">
        <w:rPr>
          <w:i/>
        </w:rPr>
        <w:t xml:space="preserve"> </w:t>
      </w:r>
      <w:r w:rsidR="00D1664F" w:rsidRPr="00D04BCF">
        <w:rPr>
          <w:i/>
        </w:rPr>
        <w:t>д.</w:t>
      </w:r>
      <w:r w:rsidR="00F861AE" w:rsidRPr="00D04BCF">
        <w:rPr>
          <w:i/>
        </w:rPr>
        <w:t xml:space="preserve"> </w:t>
      </w:r>
      <w:r w:rsidR="00D1664F" w:rsidRPr="00D04BCF">
        <w:rPr>
          <w:i/>
        </w:rPr>
        <w:t>№ 9889/2011</w:t>
      </w:r>
      <w:r w:rsidR="00F861AE" w:rsidRPr="00D04BCF">
        <w:rPr>
          <w:i/>
        </w:rPr>
        <w:t xml:space="preserve"> </w:t>
      </w:r>
      <w:r w:rsidR="00D1664F" w:rsidRPr="00D04BCF">
        <w:rPr>
          <w:i/>
        </w:rPr>
        <w:t>г., ВАС, III о</w:t>
      </w:r>
      <w:r w:rsidR="00D1664F" w:rsidRPr="00D04BCF">
        <w:t>.).</w:t>
      </w:r>
    </w:p>
    <w:p w14:paraId="1BD8786E" w14:textId="2470921F" w:rsidR="002929AE" w:rsidRPr="006A41BD" w:rsidRDefault="00142EC5" w:rsidP="006A41BD">
      <w:pPr>
        <w:pStyle w:val="ECHRPara"/>
        <w:rPr>
          <w:snapToGrid w:val="0"/>
        </w:rPr>
      </w:pPr>
      <w:bookmarkStart w:id="25" w:name="RDL_2009_Act_amendments"/>
      <w:r>
        <w:rPr>
          <w:noProof/>
        </w:rPr>
        <w:t>37</w:t>
      </w:r>
      <w:bookmarkEnd w:id="25"/>
      <w:r w:rsidR="002929AE">
        <w:t>.</w:t>
      </w:r>
      <w:r w:rsidR="00F861AE">
        <w:t xml:space="preserve"> </w:t>
      </w:r>
      <w:r w:rsidR="002929AE">
        <w:t xml:space="preserve">W następstwie wyroku pilotażowego w sprawie </w:t>
      </w:r>
      <w:r w:rsidR="002929AE">
        <w:rPr>
          <w:i/>
        </w:rPr>
        <w:t>Neshkov i Inni</w:t>
      </w:r>
      <w:r w:rsidR="002929AE">
        <w:t xml:space="preserve"> (</w:t>
      </w:r>
      <w:r w:rsidR="002929AE">
        <w:rPr>
          <w:i/>
          <w:iCs/>
        </w:rPr>
        <w:t>op.</w:t>
      </w:r>
      <w:r w:rsidR="0067654E">
        <w:rPr>
          <w:i/>
          <w:iCs/>
        </w:rPr>
        <w:t> </w:t>
      </w:r>
      <w:r w:rsidR="002929AE">
        <w:rPr>
          <w:i/>
          <w:iCs/>
        </w:rPr>
        <w:t>cit.</w:t>
      </w:r>
      <w:r w:rsidR="002929AE">
        <w:rPr>
          <w:snapToGrid w:val="0"/>
        </w:rPr>
        <w:t>), w październiku 2016</w:t>
      </w:r>
      <w:r w:rsidR="00F861AE">
        <w:rPr>
          <w:snapToGrid w:val="0"/>
        </w:rPr>
        <w:t xml:space="preserve"> </w:t>
      </w:r>
      <w:r w:rsidR="002929AE">
        <w:rPr>
          <w:snapToGrid w:val="0"/>
        </w:rPr>
        <w:t>r. Rząd przedłożył w parlamencie projekt ustawy zmieniającej ustawę z 2009</w:t>
      </w:r>
      <w:r w:rsidR="00F861AE">
        <w:rPr>
          <w:snapToGrid w:val="0"/>
        </w:rPr>
        <w:t xml:space="preserve"> </w:t>
      </w:r>
      <w:r w:rsidR="002929AE">
        <w:rPr>
          <w:snapToGrid w:val="0"/>
        </w:rPr>
        <w:t>r. o wykonywaniu kar i tymczasowym aresztowaniu oraz ustanawiającej dwa środki zapobiega</w:t>
      </w:r>
      <w:r w:rsidR="00FF38A0">
        <w:rPr>
          <w:snapToGrid w:val="0"/>
        </w:rPr>
        <w:t>jące</w:t>
      </w:r>
      <w:r w:rsidR="002929AE">
        <w:rPr>
          <w:snapToGrid w:val="0"/>
        </w:rPr>
        <w:t xml:space="preserve"> i</w:t>
      </w:r>
      <w:r w:rsidR="0067654E">
        <w:rPr>
          <w:snapToGrid w:val="0"/>
        </w:rPr>
        <w:t> </w:t>
      </w:r>
      <w:r w:rsidR="002929AE">
        <w:rPr>
          <w:snapToGrid w:val="0"/>
        </w:rPr>
        <w:t>odszkodowawcze odnoszące się konkretnie do nieludzkich lub</w:t>
      </w:r>
      <w:r w:rsidR="0067654E">
        <w:rPr>
          <w:snapToGrid w:val="0"/>
        </w:rPr>
        <w:t> </w:t>
      </w:r>
      <w:r w:rsidR="002929AE">
        <w:rPr>
          <w:snapToGrid w:val="0"/>
        </w:rPr>
        <w:t xml:space="preserve">poniżających warunków </w:t>
      </w:r>
      <w:r w:rsidR="00CC2635">
        <w:rPr>
          <w:snapToGrid w:val="0"/>
        </w:rPr>
        <w:t>pozbawienia wolności</w:t>
      </w:r>
      <w:r w:rsidR="002929AE">
        <w:rPr>
          <w:snapToGrid w:val="0"/>
        </w:rPr>
        <w:t xml:space="preserve"> w zakładach karnych i</w:t>
      </w:r>
      <w:r w:rsidR="0067654E">
        <w:rPr>
          <w:snapToGrid w:val="0"/>
        </w:rPr>
        <w:t> </w:t>
      </w:r>
      <w:r w:rsidR="002929AE">
        <w:rPr>
          <w:snapToGrid w:val="0"/>
        </w:rPr>
        <w:t xml:space="preserve">aresztach tymczasowych. </w:t>
      </w:r>
      <w:r w:rsidR="00677390">
        <w:rPr>
          <w:snapToGrid w:val="0"/>
        </w:rPr>
        <w:t>P</w:t>
      </w:r>
      <w:r w:rsidR="002929AE">
        <w:rPr>
          <w:snapToGrid w:val="0"/>
        </w:rPr>
        <w:t xml:space="preserve">rojekt ustawy </w:t>
      </w:r>
      <w:r w:rsidR="00677390">
        <w:rPr>
          <w:snapToGrid w:val="0"/>
        </w:rPr>
        <w:t xml:space="preserve">został uchwalony </w:t>
      </w:r>
      <w:r w:rsidR="002929AE">
        <w:rPr>
          <w:snapToGrid w:val="0"/>
        </w:rPr>
        <w:t>i w</w:t>
      </w:r>
      <w:r w:rsidR="00CC2635">
        <w:rPr>
          <w:snapToGrid w:val="0"/>
        </w:rPr>
        <w:t>e</w:t>
      </w:r>
      <w:r w:rsidR="002929AE">
        <w:rPr>
          <w:snapToGrid w:val="0"/>
        </w:rPr>
        <w:t>sz</w:t>
      </w:r>
      <w:r w:rsidR="00CC2635">
        <w:rPr>
          <w:snapToGrid w:val="0"/>
        </w:rPr>
        <w:t>ła ona</w:t>
      </w:r>
      <w:r w:rsidR="002929AE">
        <w:rPr>
          <w:snapToGrid w:val="0"/>
        </w:rPr>
        <w:t xml:space="preserve"> w</w:t>
      </w:r>
      <w:r w:rsidR="0067654E">
        <w:rPr>
          <w:snapToGrid w:val="0"/>
        </w:rPr>
        <w:t> </w:t>
      </w:r>
      <w:r w:rsidR="002929AE">
        <w:rPr>
          <w:snapToGrid w:val="0"/>
        </w:rPr>
        <w:t>życie dnia 7</w:t>
      </w:r>
      <w:r w:rsidR="00F861AE">
        <w:rPr>
          <w:snapToGrid w:val="0"/>
        </w:rPr>
        <w:t xml:space="preserve"> </w:t>
      </w:r>
      <w:r w:rsidR="002929AE">
        <w:rPr>
          <w:snapToGrid w:val="0"/>
        </w:rPr>
        <w:t>lutego 2017</w:t>
      </w:r>
      <w:r w:rsidR="00F861AE">
        <w:rPr>
          <w:snapToGrid w:val="0"/>
        </w:rPr>
        <w:t xml:space="preserve"> </w:t>
      </w:r>
      <w:r w:rsidR="002929AE">
        <w:rPr>
          <w:snapToGrid w:val="0"/>
        </w:rPr>
        <w:t>r. (zob.</w:t>
      </w:r>
      <w:r w:rsidR="00F861AE">
        <w:t xml:space="preserve"> </w:t>
      </w:r>
      <w:r w:rsidR="002929AE">
        <w:rPr>
          <w:i/>
        </w:rPr>
        <w:t>Atanasov i Apostolov przeciwko Bułgarii</w:t>
      </w:r>
      <w:r w:rsidR="002929AE">
        <w:t xml:space="preserve"> (dec.), nr</w:t>
      </w:r>
      <w:r w:rsidR="00F861AE">
        <w:t xml:space="preserve"> </w:t>
      </w:r>
      <w:r w:rsidR="002929AE">
        <w:t>65540/16 i</w:t>
      </w:r>
      <w:r w:rsidR="00F861AE">
        <w:t xml:space="preserve"> </w:t>
      </w:r>
      <w:r w:rsidR="002929AE">
        <w:t>22368/17, §§</w:t>
      </w:r>
      <w:r w:rsidR="00F861AE">
        <w:t xml:space="preserve"> </w:t>
      </w:r>
      <w:r w:rsidR="002929AE">
        <w:t>12–28, 27</w:t>
      </w:r>
      <w:r w:rsidR="00F861AE">
        <w:t xml:space="preserve"> </w:t>
      </w:r>
      <w:r w:rsidR="002929AE">
        <w:t>czerwca 2017</w:t>
      </w:r>
      <w:r w:rsidR="00F861AE">
        <w:t xml:space="preserve"> </w:t>
      </w:r>
      <w:r w:rsidR="002929AE">
        <w:t>r.).</w:t>
      </w:r>
    </w:p>
    <w:p w14:paraId="5A90D329" w14:textId="2BD3DFEE" w:rsidR="001112E1" w:rsidRPr="006A41BD" w:rsidRDefault="001112E1" w:rsidP="006A41BD">
      <w:pPr>
        <w:pStyle w:val="ECHRHeading2"/>
        <w:outlineLvl w:val="2"/>
      </w:pPr>
      <w:r>
        <w:t>D.</w:t>
      </w:r>
      <w:r w:rsidR="00F861AE">
        <w:t xml:space="preserve"> </w:t>
      </w:r>
      <w:r>
        <w:t>Roszczenia odszkodowawcze przeciwko Państwowej Agencji ds.</w:t>
      </w:r>
      <w:r w:rsidR="00F861AE">
        <w:t xml:space="preserve"> </w:t>
      </w:r>
      <w:r>
        <w:t xml:space="preserve">Uchodźców odnoszące się do </w:t>
      </w:r>
      <w:r w:rsidR="00CC2635">
        <w:t xml:space="preserve">zarzutu </w:t>
      </w:r>
      <w:r>
        <w:t>opieszałości w</w:t>
      </w:r>
      <w:r w:rsidR="0067654E">
        <w:t> </w:t>
      </w:r>
      <w:r>
        <w:t>rozpatrywaniu wniosków o udzielenie ochrony międzynarodowej</w:t>
      </w:r>
    </w:p>
    <w:p w14:paraId="0101C120" w14:textId="0BA87D59" w:rsidR="0023072F" w:rsidRPr="006A41BD" w:rsidRDefault="00142EC5" w:rsidP="006A41BD">
      <w:pPr>
        <w:pStyle w:val="ECHRPara"/>
      </w:pPr>
      <w:bookmarkStart w:id="26" w:name="RDL_1988_A_s_1_claims_SRA"/>
      <w:r>
        <w:rPr>
          <w:noProof/>
        </w:rPr>
        <w:t>38</w:t>
      </w:r>
      <w:bookmarkEnd w:id="26"/>
      <w:r w:rsidR="001112E1">
        <w:t>.</w:t>
      </w:r>
      <w:r w:rsidR="00F861AE">
        <w:t xml:space="preserve"> </w:t>
      </w:r>
      <w:r w:rsidR="001112E1">
        <w:t>W kilku przypadkach cudzoziemcy umieszczeni w ośrodku detencyjnym dla imigrantów wnieśli skargi w trybie art.</w:t>
      </w:r>
      <w:r w:rsidR="00F861AE">
        <w:t xml:space="preserve"> </w:t>
      </w:r>
      <w:r w:rsidR="001112E1">
        <w:t>1 ust.</w:t>
      </w:r>
      <w:r w:rsidR="00F861AE">
        <w:t xml:space="preserve"> </w:t>
      </w:r>
      <w:r w:rsidR="001112E1">
        <w:t>1 ustawy z</w:t>
      </w:r>
      <w:r w:rsidR="0067654E">
        <w:t> </w:t>
      </w:r>
      <w:r w:rsidR="001112E1">
        <w:t>1988</w:t>
      </w:r>
      <w:r w:rsidR="00F861AE">
        <w:t xml:space="preserve"> </w:t>
      </w:r>
      <w:r w:rsidR="001112E1">
        <w:t>r. (zob.</w:t>
      </w:r>
      <w:r w:rsidR="00F861AE">
        <w:t xml:space="preserve"> </w:t>
      </w:r>
      <w:r w:rsidR="001112E1">
        <w:t xml:space="preserve">paragraf </w:t>
      </w:r>
      <w:r>
        <w:t>34</w:t>
      </w:r>
      <w:r w:rsidR="001112E1">
        <w:t xml:space="preserve"> powyżej) przeciwko Państwowej Agencji ds.</w:t>
      </w:r>
      <w:r w:rsidR="0067654E">
        <w:t> </w:t>
      </w:r>
      <w:r w:rsidR="001112E1">
        <w:t xml:space="preserve">Uchodźców, zarzucając, że czas ich </w:t>
      </w:r>
      <w:r w:rsidR="00CC2635">
        <w:t xml:space="preserve">pozbawienia wolności </w:t>
      </w:r>
      <w:r w:rsidR="001112E1">
        <w:t xml:space="preserve">był bezzasadnie przedłużony z powodu </w:t>
      </w:r>
      <w:r w:rsidR="00CC2635">
        <w:t xml:space="preserve">braku rozpatrzenia </w:t>
      </w:r>
      <w:r w:rsidR="00CA365F">
        <w:t xml:space="preserve">w rozsądnym terminie </w:t>
      </w:r>
      <w:r w:rsidR="00CC2635">
        <w:t xml:space="preserve">ich wniosków o udzielenie ochrony międzynarodowej </w:t>
      </w:r>
      <w:r w:rsidR="00CA365F">
        <w:t>przez agencję</w:t>
      </w:r>
      <w:r w:rsidR="001112E1">
        <w:t>. W jednej z takich spraw, ustalając kwotę zadośćuczynienia, Sąd</w:t>
      </w:r>
      <w:r w:rsidR="0067654E">
        <w:t> </w:t>
      </w:r>
      <w:r w:rsidR="001112E1">
        <w:t xml:space="preserve">Administracyjny w Sofii, odwołując się do orzecznictwa Trybunału, zważył, że nie powinien kłaść zbytniego nacisku na konieczność udowodnienia przez zatrzymane osoby ubiegające się o azyl, że doznały one cierpienia </w:t>
      </w:r>
      <w:r w:rsidR="00CA365F">
        <w:t xml:space="preserve">psychicznego </w:t>
      </w:r>
      <w:r w:rsidR="001112E1">
        <w:t>w wyniku bezzasadnie długiego czasu oczekiwania na decyzję (zob.</w:t>
      </w:r>
      <w:r w:rsidR="00F861AE">
        <w:t xml:space="preserve"> </w:t>
      </w:r>
      <w:r w:rsidR="001112E1" w:rsidRPr="00D04BCF">
        <w:rPr>
          <w:i/>
        </w:rPr>
        <w:t>реш. № 4059 от 17.06.2013</w:t>
      </w:r>
      <w:r w:rsidR="00F861AE" w:rsidRPr="00D04BCF">
        <w:rPr>
          <w:i/>
        </w:rPr>
        <w:t xml:space="preserve"> </w:t>
      </w:r>
      <w:r w:rsidR="001112E1" w:rsidRPr="00D04BCF">
        <w:rPr>
          <w:i/>
        </w:rPr>
        <w:t>г. по адм. д. № 3527/2013</w:t>
      </w:r>
      <w:r w:rsidR="00F861AE" w:rsidRPr="00D04BCF">
        <w:rPr>
          <w:i/>
        </w:rPr>
        <w:t xml:space="preserve"> </w:t>
      </w:r>
      <w:r w:rsidR="001112E1" w:rsidRPr="00D04BCF">
        <w:rPr>
          <w:i/>
        </w:rPr>
        <w:t>г., АдмС</w:t>
      </w:r>
      <w:r w:rsidR="001112E1" w:rsidRPr="00D04BCF">
        <w:rPr>
          <w:i/>
        </w:rPr>
        <w:noBreakHyphen/>
        <w:t>София-град</w:t>
      </w:r>
      <w:r w:rsidR="001112E1">
        <w:t>). Wyrok tegoż Sądu został jednak w wyniku apelacji uchylony przez Najwyższy Sąd Administracyjny, który uznał między innymi, że to założenie było błędne. W tym przypadku S</w:t>
      </w:r>
      <w:r w:rsidR="00CA365F">
        <w:t xml:space="preserve">ąd winien był zastosować krajowe regulacje dotyczące </w:t>
      </w:r>
      <w:r w:rsidR="001112E1">
        <w:t>postępowania, zgodnie z którym</w:t>
      </w:r>
      <w:r w:rsidR="00CA365F">
        <w:t>i</w:t>
      </w:r>
      <w:r w:rsidR="001112E1">
        <w:t xml:space="preserve"> wymagane było</w:t>
      </w:r>
      <w:r w:rsidR="00396767">
        <w:t xml:space="preserve"> przedstawienie pełnych dowodów</w:t>
      </w:r>
      <w:r w:rsidR="001112E1">
        <w:t xml:space="preserve"> </w:t>
      </w:r>
      <w:r w:rsidR="00CA365F">
        <w:t xml:space="preserve">w tym zakresie </w:t>
      </w:r>
      <w:r w:rsidR="001112E1">
        <w:t xml:space="preserve">i których nie można było po prostu zlekceważyć tylko dlatego, że </w:t>
      </w:r>
      <w:r w:rsidR="00677390">
        <w:t xml:space="preserve">w </w:t>
      </w:r>
      <w:r w:rsidR="001112E1">
        <w:t>niektórych spraw</w:t>
      </w:r>
      <w:r w:rsidR="00677390">
        <w:t>ach</w:t>
      </w:r>
      <w:r w:rsidR="001112E1">
        <w:t xml:space="preserve"> </w:t>
      </w:r>
      <w:r w:rsidR="00CA365F">
        <w:t xml:space="preserve">Trybunał </w:t>
      </w:r>
      <w:r w:rsidR="001112E1">
        <w:t xml:space="preserve">uznał </w:t>
      </w:r>
      <w:r w:rsidR="00CA365F">
        <w:t xml:space="preserve">ich </w:t>
      </w:r>
      <w:r w:rsidR="001112E1">
        <w:t xml:space="preserve">stosowanie </w:t>
      </w:r>
      <w:r w:rsidR="00CA365F">
        <w:t>za zbyt formalistyczne</w:t>
      </w:r>
      <w:r w:rsidR="001112E1">
        <w:t xml:space="preserve"> (</w:t>
      </w:r>
      <w:r w:rsidR="001112E1" w:rsidRPr="00D04BCF">
        <w:rPr>
          <w:i/>
        </w:rPr>
        <w:t>zob.</w:t>
      </w:r>
      <w:r w:rsidR="00F861AE" w:rsidRPr="00D04BCF">
        <w:rPr>
          <w:i/>
        </w:rPr>
        <w:t xml:space="preserve"> </w:t>
      </w:r>
      <w:r w:rsidR="001112E1" w:rsidRPr="00D04BCF">
        <w:rPr>
          <w:i/>
        </w:rPr>
        <w:t>№ 75 от 05.01.2015</w:t>
      </w:r>
      <w:r w:rsidR="00F861AE" w:rsidRPr="00D04BCF">
        <w:rPr>
          <w:i/>
        </w:rPr>
        <w:t xml:space="preserve"> </w:t>
      </w:r>
      <w:r w:rsidR="001112E1" w:rsidRPr="00D04BCF">
        <w:rPr>
          <w:i/>
        </w:rPr>
        <w:t>г. по адм. д. № 10659/2013</w:t>
      </w:r>
      <w:r w:rsidR="00F861AE" w:rsidRPr="00D04BCF">
        <w:rPr>
          <w:i/>
        </w:rPr>
        <w:t xml:space="preserve"> </w:t>
      </w:r>
      <w:r w:rsidR="001112E1" w:rsidRPr="00D04BCF">
        <w:rPr>
          <w:i/>
        </w:rPr>
        <w:t>г., ВАС, III о.</w:t>
      </w:r>
      <w:r w:rsidR="001112E1">
        <w:t>). Wyrok</w:t>
      </w:r>
      <w:r w:rsidR="00CA365F">
        <w:t xml:space="preserve"> ten</w:t>
      </w:r>
      <w:r w:rsidR="001112E1">
        <w:t xml:space="preserve"> był w pełni zgodny ze wszystkimi pozostałymi wyrokami Najwyższego Sądu Administracyjnego wydanymi w podobnych sprawach przeciwko Państwowej Agencji ds.</w:t>
      </w:r>
      <w:r w:rsidR="00F861AE">
        <w:t xml:space="preserve"> </w:t>
      </w:r>
      <w:r w:rsidR="001112E1">
        <w:t>Uchodźców, w których ów sąd również nalegał na</w:t>
      </w:r>
      <w:r w:rsidR="0067654E">
        <w:t> </w:t>
      </w:r>
      <w:r w:rsidR="001112E1">
        <w:t>przedstawienie konkretnych dowodów na poniesienie szkody niemajątkowej (</w:t>
      </w:r>
      <w:r w:rsidR="001112E1" w:rsidRPr="00D04BCF">
        <w:rPr>
          <w:i/>
        </w:rPr>
        <w:t>zob.</w:t>
      </w:r>
      <w:r w:rsidR="00F861AE" w:rsidRPr="00D04BCF">
        <w:rPr>
          <w:i/>
        </w:rPr>
        <w:t xml:space="preserve"> </w:t>
      </w:r>
      <w:r w:rsidR="001112E1" w:rsidRPr="00D04BCF">
        <w:rPr>
          <w:i/>
        </w:rPr>
        <w:t>реш. № 8294 от 18.06.2014</w:t>
      </w:r>
      <w:r w:rsidR="00F861AE" w:rsidRPr="00D04BCF">
        <w:rPr>
          <w:i/>
        </w:rPr>
        <w:t xml:space="preserve"> </w:t>
      </w:r>
      <w:r w:rsidR="001112E1" w:rsidRPr="00D04BCF">
        <w:rPr>
          <w:i/>
        </w:rPr>
        <w:t>г. по адм.</w:t>
      </w:r>
      <w:r w:rsidR="00F861AE" w:rsidRPr="00D04BCF">
        <w:rPr>
          <w:i/>
        </w:rPr>
        <w:t xml:space="preserve"> </w:t>
      </w:r>
      <w:r w:rsidR="001112E1" w:rsidRPr="00D04BCF">
        <w:rPr>
          <w:i/>
        </w:rPr>
        <w:t>д. № 876/2014</w:t>
      </w:r>
      <w:r w:rsidR="00F861AE" w:rsidRPr="00D04BCF">
        <w:rPr>
          <w:i/>
        </w:rPr>
        <w:t xml:space="preserve"> </w:t>
      </w:r>
      <w:r w:rsidR="001112E1" w:rsidRPr="00D04BCF">
        <w:rPr>
          <w:i/>
        </w:rPr>
        <w:t>г., ВАС, III о.; реш. № 9035 от 30.06.2014</w:t>
      </w:r>
      <w:r w:rsidR="00F861AE" w:rsidRPr="00D04BCF">
        <w:rPr>
          <w:i/>
        </w:rPr>
        <w:t xml:space="preserve"> </w:t>
      </w:r>
      <w:r w:rsidR="001112E1" w:rsidRPr="00D04BCF">
        <w:rPr>
          <w:i/>
        </w:rPr>
        <w:t>г. по адм.</w:t>
      </w:r>
      <w:r w:rsidR="00F861AE" w:rsidRPr="00D04BCF">
        <w:rPr>
          <w:i/>
        </w:rPr>
        <w:t xml:space="preserve"> </w:t>
      </w:r>
      <w:r w:rsidR="001112E1" w:rsidRPr="00D04BCF">
        <w:rPr>
          <w:i/>
        </w:rPr>
        <w:t>д. № 2577/2014</w:t>
      </w:r>
      <w:r w:rsidR="00F861AE" w:rsidRPr="00D04BCF">
        <w:rPr>
          <w:i/>
        </w:rPr>
        <w:t xml:space="preserve"> </w:t>
      </w:r>
      <w:r w:rsidR="001112E1" w:rsidRPr="00D04BCF">
        <w:rPr>
          <w:i/>
        </w:rPr>
        <w:t>г., ВАС, III о.; реш. № 11766 от 07.10.2014</w:t>
      </w:r>
      <w:r w:rsidR="00F861AE" w:rsidRPr="00D04BCF">
        <w:rPr>
          <w:i/>
        </w:rPr>
        <w:t xml:space="preserve"> </w:t>
      </w:r>
      <w:r w:rsidR="001112E1" w:rsidRPr="00D04BCF">
        <w:rPr>
          <w:i/>
        </w:rPr>
        <w:t>г. по адм. д. № 2575/2014</w:t>
      </w:r>
      <w:r w:rsidR="00F861AE" w:rsidRPr="00D04BCF">
        <w:rPr>
          <w:i/>
        </w:rPr>
        <w:t xml:space="preserve"> </w:t>
      </w:r>
      <w:r w:rsidR="001112E1" w:rsidRPr="00D04BCF">
        <w:rPr>
          <w:i/>
        </w:rPr>
        <w:t xml:space="preserve">г., </w:t>
      </w:r>
      <w:r w:rsidR="001112E1" w:rsidRPr="00D04BCF">
        <w:rPr>
          <w:i/>
        </w:rPr>
        <w:lastRenderedPageBreak/>
        <w:t>ВАС, III о.; oraz реш. № 2454 от 09.03.2015</w:t>
      </w:r>
      <w:r w:rsidR="00F861AE" w:rsidRPr="00D04BCF">
        <w:rPr>
          <w:i/>
        </w:rPr>
        <w:t xml:space="preserve"> </w:t>
      </w:r>
      <w:r w:rsidR="001112E1" w:rsidRPr="00D04BCF">
        <w:rPr>
          <w:i/>
        </w:rPr>
        <w:t>г. по адм. д. № 6512/2014</w:t>
      </w:r>
      <w:r w:rsidR="00F861AE" w:rsidRPr="00D04BCF">
        <w:rPr>
          <w:i/>
        </w:rPr>
        <w:t xml:space="preserve"> </w:t>
      </w:r>
      <w:r w:rsidR="001112E1" w:rsidRPr="00D04BCF">
        <w:rPr>
          <w:i/>
        </w:rPr>
        <w:t>г., ВАС, III о.</w:t>
      </w:r>
      <w:r w:rsidR="001112E1">
        <w:t>).</w:t>
      </w:r>
    </w:p>
    <w:p w14:paraId="3B5A8FBD" w14:textId="59DD7A60" w:rsidR="009814BA" w:rsidRPr="006A41BD" w:rsidRDefault="009814BA" w:rsidP="006A41BD">
      <w:pPr>
        <w:pStyle w:val="ECHRHeading1"/>
        <w:outlineLvl w:val="1"/>
      </w:pPr>
      <w:r>
        <w:t>III.</w:t>
      </w:r>
      <w:r w:rsidR="00F861AE">
        <w:t xml:space="preserve"> </w:t>
      </w:r>
      <w:r>
        <w:t>ISTOTNE DANE STATYSTYCZNE</w:t>
      </w:r>
    </w:p>
    <w:p w14:paraId="1C491876" w14:textId="53857811" w:rsidR="00B13F06" w:rsidRPr="006A41BD" w:rsidRDefault="00142EC5" w:rsidP="006A41BD">
      <w:pPr>
        <w:pStyle w:val="ECHRPara"/>
      </w:pPr>
      <w:bookmarkStart w:id="27" w:name="RSD_EU"/>
      <w:r>
        <w:rPr>
          <w:noProof/>
        </w:rPr>
        <w:t>39</w:t>
      </w:r>
      <w:bookmarkEnd w:id="27"/>
      <w:r w:rsidR="009814BA">
        <w:t>.</w:t>
      </w:r>
      <w:r w:rsidR="00F861AE">
        <w:t xml:space="preserve"> </w:t>
      </w:r>
      <w:r w:rsidR="009814BA">
        <w:t>Zgodnie z danymi opublikowanymi przez Eurostat, w 2014</w:t>
      </w:r>
      <w:r w:rsidR="00F861AE">
        <w:t xml:space="preserve"> </w:t>
      </w:r>
      <w:r w:rsidR="009814BA">
        <w:t>r. stwierdzono, że na terytorium państw członkowskich Unii Europejskiej nielegalnie przebywa 672</w:t>
      </w:r>
      <w:r w:rsidR="00F861AE">
        <w:t xml:space="preserve"> </w:t>
      </w:r>
      <w:r w:rsidR="009814BA">
        <w:t>215 obywateli państw trzecich. W latach 2015 i</w:t>
      </w:r>
      <w:r w:rsidR="0067654E">
        <w:t> </w:t>
      </w:r>
      <w:r w:rsidR="009814BA">
        <w:t>2016 liczba ta wynosiła odpowiednio 2</w:t>
      </w:r>
      <w:r w:rsidR="00F861AE">
        <w:t xml:space="preserve"> </w:t>
      </w:r>
      <w:r w:rsidR="009814BA">
        <w:t>154</w:t>
      </w:r>
      <w:r w:rsidR="00F861AE">
        <w:t xml:space="preserve"> </w:t>
      </w:r>
      <w:r w:rsidR="009814BA">
        <w:t>675 i 983</w:t>
      </w:r>
      <w:r w:rsidR="00F861AE">
        <w:t xml:space="preserve"> </w:t>
      </w:r>
      <w:r w:rsidR="009814BA">
        <w:t>860</w:t>
      </w:r>
      <w:r w:rsidR="00F861AE">
        <w:t xml:space="preserve"> </w:t>
      </w:r>
      <w:r w:rsidR="009814BA">
        <w:t>osób.</w:t>
      </w:r>
    </w:p>
    <w:p w14:paraId="3B3C1ACB" w14:textId="2E0085ED" w:rsidR="00B13F06" w:rsidRPr="006A41BD" w:rsidRDefault="00142EC5" w:rsidP="006A41BD">
      <w:pPr>
        <w:pStyle w:val="ECHRPara"/>
      </w:pPr>
      <w:bookmarkStart w:id="28" w:name="RSD_Greece_Hungary"/>
      <w:r>
        <w:rPr>
          <w:noProof/>
        </w:rPr>
        <w:t>40</w:t>
      </w:r>
      <w:bookmarkEnd w:id="28"/>
      <w:r w:rsidR="00DA5155">
        <w:t>.</w:t>
      </w:r>
      <w:r w:rsidR="00F861AE">
        <w:t xml:space="preserve"> </w:t>
      </w:r>
      <w:r w:rsidR="00DA5155">
        <w:t>Poniżej przedstawiono stosowne wartości liczbowe dla Grecji i</w:t>
      </w:r>
      <w:r w:rsidR="0067654E">
        <w:t> </w:t>
      </w:r>
      <w:r w:rsidR="00DA5155">
        <w:t>Węgier – państw położonych odpowiednio przy południowo-wschodniej granicy Unii Europejskiej i południowo-wschodniej granicy strefy Schengen. W Grecji liczba takich osób wynosiła 73</w:t>
      </w:r>
      <w:r w:rsidR="00F861AE">
        <w:t xml:space="preserve"> </w:t>
      </w:r>
      <w:r w:rsidR="00DA5155">
        <w:t>670 w 2014</w:t>
      </w:r>
      <w:r w:rsidR="00F861AE">
        <w:t xml:space="preserve"> </w:t>
      </w:r>
      <w:r w:rsidR="00DA5155">
        <w:t>r., 911</w:t>
      </w:r>
      <w:r w:rsidR="00F861AE">
        <w:t xml:space="preserve"> </w:t>
      </w:r>
      <w:r w:rsidR="00DA5155">
        <w:t>470 w 2015</w:t>
      </w:r>
      <w:r w:rsidR="00F861AE">
        <w:t xml:space="preserve"> </w:t>
      </w:r>
      <w:r w:rsidR="00DA5155">
        <w:t>r. i 204</w:t>
      </w:r>
      <w:r w:rsidR="00F861AE">
        <w:t xml:space="preserve"> </w:t>
      </w:r>
      <w:r w:rsidR="00DA5155">
        <w:t>820 w 2016</w:t>
      </w:r>
      <w:r w:rsidR="00F861AE">
        <w:t xml:space="preserve"> </w:t>
      </w:r>
      <w:r w:rsidR="00DA5155">
        <w:t>r. Na Węgrzech było to 56</w:t>
      </w:r>
      <w:r w:rsidR="00F861AE">
        <w:t xml:space="preserve"> </w:t>
      </w:r>
      <w:r w:rsidR="00DA5155">
        <w:t>170 osób w 2014</w:t>
      </w:r>
      <w:r w:rsidR="00F861AE">
        <w:t xml:space="preserve"> </w:t>
      </w:r>
      <w:r w:rsidR="00DA5155">
        <w:t>r., 424</w:t>
      </w:r>
      <w:r w:rsidR="00F861AE">
        <w:t xml:space="preserve"> </w:t>
      </w:r>
      <w:r w:rsidR="00DA5155">
        <w:t>055 w 2015</w:t>
      </w:r>
      <w:r w:rsidR="00F861AE">
        <w:t xml:space="preserve"> </w:t>
      </w:r>
      <w:r w:rsidR="00DA5155">
        <w:t>r. i 41</w:t>
      </w:r>
      <w:r w:rsidR="00F861AE">
        <w:t xml:space="preserve"> </w:t>
      </w:r>
      <w:r w:rsidR="00DA5155">
        <w:t>560 w 2016</w:t>
      </w:r>
      <w:r w:rsidR="00F861AE">
        <w:t xml:space="preserve"> </w:t>
      </w:r>
      <w:r w:rsidR="00DA5155">
        <w:t>r.</w:t>
      </w:r>
    </w:p>
    <w:p w14:paraId="0BDCB2DE" w14:textId="778B9DA6" w:rsidR="00377935" w:rsidRPr="006A41BD" w:rsidRDefault="00142EC5" w:rsidP="006A41BD">
      <w:pPr>
        <w:pStyle w:val="ECHRPara"/>
      </w:pPr>
      <w:bookmarkStart w:id="29" w:name="RSD_Bulgaria"/>
      <w:r>
        <w:rPr>
          <w:noProof/>
        </w:rPr>
        <w:t>41</w:t>
      </w:r>
      <w:bookmarkEnd w:id="29"/>
      <w:r w:rsidR="00DA5155">
        <w:t>.</w:t>
      </w:r>
      <w:r w:rsidR="00F861AE">
        <w:t xml:space="preserve"> </w:t>
      </w:r>
      <w:r w:rsidR="00DA5155">
        <w:t>Jeżeli chodzi o Bułgarię, liczba takich osób wynosiła 12</w:t>
      </w:r>
      <w:r w:rsidR="00F861AE">
        <w:t xml:space="preserve"> </w:t>
      </w:r>
      <w:r w:rsidR="00DA5155">
        <w:t>870 w 2014</w:t>
      </w:r>
      <w:r w:rsidR="00F861AE">
        <w:t xml:space="preserve"> </w:t>
      </w:r>
      <w:r w:rsidR="00DA5155">
        <w:t>r., 20</w:t>
      </w:r>
      <w:r w:rsidR="00F861AE">
        <w:t xml:space="preserve"> </w:t>
      </w:r>
      <w:r w:rsidR="00DA5155">
        <w:t>810 w 2015</w:t>
      </w:r>
      <w:r w:rsidR="00F861AE">
        <w:t xml:space="preserve"> </w:t>
      </w:r>
      <w:r w:rsidR="00DA5155">
        <w:t>r. i 14</w:t>
      </w:r>
      <w:r w:rsidR="00F861AE">
        <w:t xml:space="preserve"> </w:t>
      </w:r>
      <w:r w:rsidR="00DA5155">
        <w:t>125 w 2016</w:t>
      </w:r>
      <w:r w:rsidR="00F861AE">
        <w:t xml:space="preserve"> </w:t>
      </w:r>
      <w:r w:rsidR="00DA5155">
        <w:t>r.</w:t>
      </w:r>
    </w:p>
    <w:p w14:paraId="2CC6AF50" w14:textId="77777777" w:rsidR="00014566" w:rsidRPr="006A41BD" w:rsidRDefault="00014566" w:rsidP="006A41BD">
      <w:pPr>
        <w:pStyle w:val="ECHRTitle1"/>
      </w:pPr>
      <w:r>
        <w:t>PRAWO</w:t>
      </w:r>
    </w:p>
    <w:p w14:paraId="5D406089" w14:textId="2612324A" w:rsidR="00014566" w:rsidRPr="006A41BD" w:rsidRDefault="00014566" w:rsidP="006A41BD">
      <w:pPr>
        <w:pStyle w:val="ECHRHeading1"/>
        <w:outlineLvl w:val="1"/>
      </w:pPr>
      <w:r>
        <w:t>I.</w:t>
      </w:r>
      <w:r w:rsidR="00F861AE">
        <w:t xml:space="preserve"> </w:t>
      </w:r>
      <w:r w:rsidR="0013285D">
        <w:t>ZARZUC</w:t>
      </w:r>
      <w:r>
        <w:t>ANE NARUSZENIE ART.</w:t>
      </w:r>
      <w:r w:rsidR="00F861AE">
        <w:t xml:space="preserve"> </w:t>
      </w:r>
      <w:r>
        <w:t>3 KONWENCJI</w:t>
      </w:r>
    </w:p>
    <w:p w14:paraId="09C444C2" w14:textId="1DD83801" w:rsidR="00014566" w:rsidRPr="006A41BD" w:rsidRDefault="00142EC5" w:rsidP="006A41BD">
      <w:pPr>
        <w:pStyle w:val="ECHRPara"/>
        <w:keepNext/>
        <w:keepLines/>
      </w:pPr>
      <w:r>
        <w:rPr>
          <w:noProof/>
        </w:rPr>
        <w:t>42</w:t>
      </w:r>
      <w:r w:rsidR="0002079C">
        <w:t>.</w:t>
      </w:r>
      <w:r w:rsidR="00F861AE">
        <w:t xml:space="preserve"> </w:t>
      </w:r>
      <w:r w:rsidR="0002079C">
        <w:t xml:space="preserve">Skarżący zarzucili, że warunki panujące w ośrodku detencyjnym dla imigrantów, w którym przebywali, naraziły trzech małoletnich – skarżących </w:t>
      </w:r>
      <w:r w:rsidR="00CA365F">
        <w:t xml:space="preserve">trzeciego, czwartego i piątego </w:t>
      </w:r>
      <w:r w:rsidR="0002079C">
        <w:t>– na nieludzkie i poniżające traktowanie. Skarżący powołali się na art.</w:t>
      </w:r>
      <w:r w:rsidR="00F861AE">
        <w:t xml:space="preserve"> </w:t>
      </w:r>
      <w:r w:rsidR="0002079C">
        <w:t>3 Konwencji, który stanowi, co następuje:</w:t>
      </w:r>
    </w:p>
    <w:p w14:paraId="498E89E9" w14:textId="77777777" w:rsidR="00014566" w:rsidRPr="006A41BD" w:rsidRDefault="00D1664F" w:rsidP="006A41BD">
      <w:pPr>
        <w:pStyle w:val="ECHRParaQuote"/>
        <w:keepLines/>
      </w:pPr>
      <w:r>
        <w:t>„Nikt nie może być poddany torturom ani nieludzkiemu lub poniżającemu traktowaniu albo karaniu”.</w:t>
      </w:r>
    </w:p>
    <w:p w14:paraId="7C4D9BC3" w14:textId="0AE93E95" w:rsidR="007F7177" w:rsidRPr="006A41BD" w:rsidRDefault="007F7177" w:rsidP="006A41BD">
      <w:pPr>
        <w:pStyle w:val="ECHRHeading2"/>
        <w:outlineLvl w:val="2"/>
      </w:pPr>
      <w:r>
        <w:t>A.</w:t>
      </w:r>
      <w:r w:rsidR="00F861AE">
        <w:t xml:space="preserve"> </w:t>
      </w:r>
      <w:r>
        <w:t>Zakres skargi</w:t>
      </w:r>
    </w:p>
    <w:p w14:paraId="485D8C2A" w14:textId="10F284F5" w:rsidR="007F7177" w:rsidRPr="006A41BD" w:rsidRDefault="00142EC5" w:rsidP="006A41BD">
      <w:pPr>
        <w:pStyle w:val="ECHRPara"/>
      </w:pPr>
      <w:r>
        <w:rPr>
          <w:noProof/>
        </w:rPr>
        <w:t>43</w:t>
      </w:r>
      <w:r w:rsidR="007F7177">
        <w:t>.</w:t>
      </w:r>
      <w:r w:rsidR="00F861AE">
        <w:t xml:space="preserve"> </w:t>
      </w:r>
      <w:r w:rsidR="007F7177">
        <w:t>Rząd podniósł, że skarga nie obejmuje warunków panujących w</w:t>
      </w:r>
      <w:r w:rsidR="0067654E">
        <w:t> </w:t>
      </w:r>
      <w:r w:rsidR="007F7177">
        <w:t>ośrodku detencyjnym dla imigrantów w Sofii, a skarżący odnoszą się wyłącznie do warunków w ośrodku detencyjnym straży granicznej w</w:t>
      </w:r>
      <w:r w:rsidR="0067654E">
        <w:t> </w:t>
      </w:r>
      <w:r w:rsidR="007F7177">
        <w:t>Widyniu.</w:t>
      </w:r>
    </w:p>
    <w:p w14:paraId="47D6F8B4" w14:textId="4B650C5C" w:rsidR="007F7177" w:rsidRPr="006A41BD" w:rsidRDefault="00142EC5" w:rsidP="006A41BD">
      <w:pPr>
        <w:pStyle w:val="ECHRPara"/>
      </w:pPr>
      <w:r>
        <w:rPr>
          <w:noProof/>
        </w:rPr>
        <w:t>44</w:t>
      </w:r>
      <w:r w:rsidR="007F7177">
        <w:t>.</w:t>
      </w:r>
      <w:r w:rsidR="00F861AE">
        <w:t xml:space="preserve"> </w:t>
      </w:r>
      <w:r w:rsidR="007F7177">
        <w:t>Skarżący odpowiedzieli, że przedmiotowa skarga dotyczy czasu od</w:t>
      </w:r>
      <w:r w:rsidR="0067654E">
        <w:t> </w:t>
      </w:r>
      <w:r w:rsidR="007F7177">
        <w:t>około godziny 17:00 dnia 17</w:t>
      </w:r>
      <w:r w:rsidR="00F861AE">
        <w:t xml:space="preserve"> </w:t>
      </w:r>
      <w:r w:rsidR="007F7177">
        <w:t>sierpnia 2015</w:t>
      </w:r>
      <w:r w:rsidR="00F861AE">
        <w:t xml:space="preserve"> </w:t>
      </w:r>
      <w:r w:rsidR="007F7177">
        <w:t>r., kiedy zostali zatrzymani, do około godziny 11:00 dnia 19</w:t>
      </w:r>
      <w:r w:rsidR="00F861AE">
        <w:t xml:space="preserve"> </w:t>
      </w:r>
      <w:r w:rsidR="007F7177">
        <w:t>sierpnia 2015</w:t>
      </w:r>
      <w:r w:rsidR="00F861AE">
        <w:t xml:space="preserve"> </w:t>
      </w:r>
      <w:r w:rsidR="007F7177">
        <w:t>r., kiedy to opuścili ośrodek detencyjny straży granicznej w Widyniu.</w:t>
      </w:r>
    </w:p>
    <w:p w14:paraId="1D0FFC3E" w14:textId="29D7B714" w:rsidR="007F7177" w:rsidRPr="006A41BD" w:rsidRDefault="00142EC5" w:rsidP="006A41BD">
      <w:pPr>
        <w:pStyle w:val="ECHRPara"/>
      </w:pPr>
      <w:r>
        <w:rPr>
          <w:noProof/>
        </w:rPr>
        <w:t>45</w:t>
      </w:r>
      <w:r w:rsidR="007F7177">
        <w:t>.</w:t>
      </w:r>
      <w:r w:rsidR="00F861AE">
        <w:t xml:space="preserve"> </w:t>
      </w:r>
      <w:r w:rsidR="007F7177">
        <w:t>W świetle stanowisk stron Trybunał uznaje, że skarga dotyczy wyłącznie warunków panujących w ośrodku detencyjnym straży granicznej w Widyniu.</w:t>
      </w:r>
    </w:p>
    <w:p w14:paraId="094C8AC1" w14:textId="5397475E" w:rsidR="00D1664F" w:rsidRPr="006A41BD" w:rsidRDefault="008F1F0E" w:rsidP="006A41BD">
      <w:pPr>
        <w:pStyle w:val="ECHRHeading2"/>
        <w:outlineLvl w:val="2"/>
      </w:pPr>
      <w:r>
        <w:lastRenderedPageBreak/>
        <w:t>B.</w:t>
      </w:r>
      <w:r w:rsidR="00F861AE">
        <w:t xml:space="preserve"> </w:t>
      </w:r>
      <w:r>
        <w:t>Dopuszczalność</w:t>
      </w:r>
    </w:p>
    <w:p w14:paraId="5873B261" w14:textId="6D99B777" w:rsidR="00C536F3" w:rsidRPr="006A41BD" w:rsidRDefault="00C536F3" w:rsidP="006A41BD">
      <w:pPr>
        <w:pStyle w:val="ECHRHeading3"/>
        <w:outlineLvl w:val="3"/>
      </w:pPr>
      <w:r>
        <w:t>1.</w:t>
      </w:r>
      <w:r w:rsidR="00F861AE">
        <w:t xml:space="preserve"> </w:t>
      </w:r>
      <w:r>
        <w:t>Wyczerpanie krajowych środków odwoławczych</w:t>
      </w:r>
    </w:p>
    <w:p w14:paraId="698F09C7" w14:textId="3D2033A9" w:rsidR="00E44852" w:rsidRPr="006A41BD" w:rsidRDefault="00E44852" w:rsidP="006A41BD">
      <w:pPr>
        <w:pStyle w:val="ECHRHeading4"/>
        <w:outlineLvl w:val="4"/>
      </w:pPr>
      <w:r>
        <w:t>a)</w:t>
      </w:r>
      <w:r w:rsidR="00F861AE">
        <w:t xml:space="preserve"> </w:t>
      </w:r>
      <w:r>
        <w:t>Stanowiska stron</w:t>
      </w:r>
    </w:p>
    <w:p w14:paraId="2F770FA1" w14:textId="6F064A02" w:rsidR="00121BBC" w:rsidRPr="006A41BD" w:rsidRDefault="00142EC5" w:rsidP="006A41BD">
      <w:pPr>
        <w:pStyle w:val="ECHRPara"/>
      </w:pPr>
      <w:bookmarkStart w:id="30" w:name="L_exhaustion_GVT"/>
      <w:r>
        <w:rPr>
          <w:noProof/>
        </w:rPr>
        <w:t>46</w:t>
      </w:r>
      <w:bookmarkEnd w:id="30"/>
      <w:r w:rsidR="00D1664F">
        <w:t>.</w:t>
      </w:r>
      <w:r w:rsidR="00F861AE">
        <w:t xml:space="preserve"> </w:t>
      </w:r>
      <w:r w:rsidR="00D1664F">
        <w:t xml:space="preserve">Rząd podniósł, że cudzoziemcy umieszczeni w ośrodkach detencyjnych dla imigrantów mogli dochodzić odszkodowania z tytułu warunków </w:t>
      </w:r>
      <w:r w:rsidR="00CA365F">
        <w:t>pozbawienia wolności</w:t>
      </w:r>
      <w:r w:rsidR="00D1664F">
        <w:t xml:space="preserve"> w trybie art.</w:t>
      </w:r>
      <w:r w:rsidR="00F861AE">
        <w:t xml:space="preserve"> </w:t>
      </w:r>
      <w:r w:rsidR="00D1664F">
        <w:t>1 ust.</w:t>
      </w:r>
      <w:r w:rsidR="00F861AE">
        <w:t xml:space="preserve"> </w:t>
      </w:r>
      <w:r w:rsidR="00D1664F">
        <w:t>1 ustawy z 1988</w:t>
      </w:r>
      <w:r w:rsidR="00F861AE">
        <w:t xml:space="preserve"> </w:t>
      </w:r>
      <w:r w:rsidR="00D1664F">
        <w:t>r. (zob.</w:t>
      </w:r>
      <w:r w:rsidR="00F861AE">
        <w:t xml:space="preserve"> </w:t>
      </w:r>
      <w:r w:rsidR="00D1664F">
        <w:t xml:space="preserve">paragraf </w:t>
      </w:r>
      <w:r>
        <w:t>34</w:t>
      </w:r>
      <w:r w:rsidR="00D1664F">
        <w:t xml:space="preserve"> powyżej). Ten środek odwoławczy</w:t>
      </w:r>
      <w:r w:rsidR="007F0433">
        <w:t xml:space="preserve"> </w:t>
      </w:r>
      <w:r w:rsidR="00CA365F">
        <w:t xml:space="preserve">był w stanie zapewnić odpowiednie zadośćuczynienie </w:t>
      </w:r>
      <w:r w:rsidR="004E46FE">
        <w:t>dla osób</w:t>
      </w:r>
      <w:r w:rsidR="00D1664F">
        <w:t xml:space="preserve">, które </w:t>
      </w:r>
      <w:r w:rsidR="004E46FE">
        <w:t xml:space="preserve">opuściły </w:t>
      </w:r>
      <w:r w:rsidR="00D1664F">
        <w:t>takie ośrodki. Rząd nie</w:t>
      </w:r>
      <w:r w:rsidR="0067654E">
        <w:t> </w:t>
      </w:r>
      <w:r w:rsidR="00D1664F">
        <w:t xml:space="preserve">dysponował jednak wiedzą na temat jakichkolwiek roszczeń tego typu. </w:t>
      </w:r>
      <w:r w:rsidR="004E46FE">
        <w:t>Pozbawieni wolności</w:t>
      </w:r>
      <w:r w:rsidR="00D1664F">
        <w:t xml:space="preserve"> cudzoziemcy woleli dochodzić odszkodowania z</w:t>
      </w:r>
      <w:r w:rsidR="0067654E">
        <w:t> </w:t>
      </w:r>
      <w:r w:rsidR="00D1664F">
        <w:t>tytułu rzekomych opóźnień w rozpatrywaniu przez Państwową Agencję ds.</w:t>
      </w:r>
      <w:r w:rsidR="00F861AE">
        <w:t xml:space="preserve"> </w:t>
      </w:r>
      <w:r w:rsidR="00D1664F">
        <w:t xml:space="preserve">Uchodźców składanych przez nich wniosków o udzielenie ochrony międzynarodowej. Rząd obszernie powoływał się na wyrok w pierwszej instancji przywołany w paragrafie </w:t>
      </w:r>
      <w:r>
        <w:t>38</w:t>
      </w:r>
      <w:r w:rsidR="00F861AE">
        <w:t xml:space="preserve"> </w:t>
      </w:r>
      <w:r w:rsidR="00D1664F">
        <w:t>powyżej i na tej podstawie podniósł, iż oczywist</w:t>
      </w:r>
      <w:r w:rsidR="004E46FE">
        <w:t>e</w:t>
      </w:r>
      <w:r w:rsidR="00D1664F">
        <w:t xml:space="preserve"> było, że roszczenie odnoszące się do warunków </w:t>
      </w:r>
      <w:r w:rsidR="00677390">
        <w:t>przetrzymywania</w:t>
      </w:r>
      <w:r w:rsidR="00D1664F">
        <w:t xml:space="preserve"> skarżących trzeciego, czwartego i piątego byłoby rozpatrywane zgodnie ze </w:t>
      </w:r>
      <w:r w:rsidR="004E46FE">
        <w:t xml:space="preserve">standardami </w:t>
      </w:r>
      <w:r w:rsidR="00D1664F">
        <w:t>wynikającymi z Konwencji. Kolejnym argument</w:t>
      </w:r>
      <w:r w:rsidR="004E46FE">
        <w:t>em</w:t>
      </w:r>
      <w:r w:rsidR="00D1664F">
        <w:t xml:space="preserve">, jaki podniesiono, było to, że w następstwie sprawy </w:t>
      </w:r>
      <w:r w:rsidR="00D1664F">
        <w:rPr>
          <w:i/>
        </w:rPr>
        <w:t>Neshkov i Inni przeciwko Bułgarii</w:t>
      </w:r>
      <w:r w:rsidR="00D1664F">
        <w:t xml:space="preserve"> (nr</w:t>
      </w:r>
      <w:r w:rsidR="00F861AE">
        <w:t xml:space="preserve"> </w:t>
      </w:r>
      <w:r w:rsidR="00D1664F">
        <w:t>36925/10 i 5</w:t>
      </w:r>
      <w:r w:rsidR="00F861AE">
        <w:t xml:space="preserve"> </w:t>
      </w:r>
      <w:r w:rsidR="00D1664F">
        <w:t>innych</w:t>
      </w:r>
      <w:r w:rsidR="00D1664F">
        <w:rPr>
          <w:snapToGrid w:val="0"/>
        </w:rPr>
        <w:t>, 27</w:t>
      </w:r>
      <w:r w:rsidR="00F861AE">
        <w:rPr>
          <w:snapToGrid w:val="0"/>
        </w:rPr>
        <w:t xml:space="preserve"> </w:t>
      </w:r>
      <w:r w:rsidR="00D1664F">
        <w:rPr>
          <w:snapToGrid w:val="0"/>
        </w:rPr>
        <w:t>stycznia 2015</w:t>
      </w:r>
      <w:r w:rsidR="0067654E">
        <w:rPr>
          <w:snapToGrid w:val="0"/>
        </w:rPr>
        <w:t> </w:t>
      </w:r>
      <w:r w:rsidR="00D1664F">
        <w:rPr>
          <w:snapToGrid w:val="0"/>
        </w:rPr>
        <w:t>r.)</w:t>
      </w:r>
      <w:r w:rsidR="00D1664F">
        <w:t xml:space="preserve"> orzecznictwo bułgarskich sądów ewoluowało, co zaowocowało zwiększeniem skuteczności środka odwoławczego wskazanego w art.</w:t>
      </w:r>
      <w:r w:rsidR="00F861AE">
        <w:t xml:space="preserve"> </w:t>
      </w:r>
      <w:r w:rsidR="00D1664F">
        <w:t>1 ust.</w:t>
      </w:r>
      <w:r w:rsidR="0067654E">
        <w:t> </w:t>
      </w:r>
      <w:r w:rsidR="00D1664F">
        <w:t>1 ustawy z 1988</w:t>
      </w:r>
      <w:r w:rsidR="00F861AE">
        <w:t xml:space="preserve"> </w:t>
      </w:r>
      <w:r w:rsidR="00D1664F">
        <w:t>r. Skarżący, którzy w czasie pobytu w ośrodku detencyjnym dla imigrantów w Sofii mieli dostęp do wsparcia tłumaczy i</w:t>
      </w:r>
      <w:r w:rsidR="0067654E">
        <w:t> </w:t>
      </w:r>
      <w:r w:rsidR="00D1664F">
        <w:t xml:space="preserve">prawników z organizacji pozarządowej, mieli w praktyce możliwość </w:t>
      </w:r>
      <w:r w:rsidR="004E46FE">
        <w:t>wykorzystania tego środka odwoławczego</w:t>
      </w:r>
      <w:r w:rsidR="00D1664F">
        <w:t>. Z możliwości tej jednak nie</w:t>
      </w:r>
      <w:r w:rsidR="0067654E">
        <w:t> </w:t>
      </w:r>
      <w:r w:rsidR="00D1664F">
        <w:t>korzystali.</w:t>
      </w:r>
    </w:p>
    <w:p w14:paraId="059F6264" w14:textId="480E8A00" w:rsidR="00D1664F" w:rsidRPr="006A41BD" w:rsidRDefault="00142EC5" w:rsidP="006A41BD">
      <w:pPr>
        <w:pStyle w:val="ECHRPara"/>
      </w:pPr>
      <w:r>
        <w:rPr>
          <w:noProof/>
        </w:rPr>
        <w:t>47</w:t>
      </w:r>
      <w:r w:rsidR="00D1664F">
        <w:t>.</w:t>
      </w:r>
      <w:r w:rsidR="00F861AE">
        <w:t xml:space="preserve"> </w:t>
      </w:r>
      <w:r w:rsidR="00D1664F">
        <w:t>Skarżący nie odnieśli się do tej kwestii.</w:t>
      </w:r>
    </w:p>
    <w:p w14:paraId="4E8E5412" w14:textId="70D1019B" w:rsidR="00CB68A7" w:rsidRPr="006A41BD" w:rsidRDefault="00CB68A7" w:rsidP="006A41BD">
      <w:pPr>
        <w:pStyle w:val="ECHRHeading4"/>
        <w:outlineLvl w:val="4"/>
      </w:pPr>
      <w:r>
        <w:t>b)</w:t>
      </w:r>
      <w:r w:rsidR="00F861AE">
        <w:t xml:space="preserve"> </w:t>
      </w:r>
      <w:r>
        <w:t>Ocena Trybunału</w:t>
      </w:r>
    </w:p>
    <w:p w14:paraId="453C03CA" w14:textId="5F5230F3" w:rsidR="003272C1" w:rsidRPr="006A41BD" w:rsidRDefault="00142EC5" w:rsidP="006A41BD">
      <w:pPr>
        <w:pStyle w:val="ECHRPara"/>
      </w:pPr>
      <w:bookmarkStart w:id="31" w:name="L_exhaustion_1"/>
      <w:r>
        <w:rPr>
          <w:noProof/>
        </w:rPr>
        <w:t>48</w:t>
      </w:r>
      <w:bookmarkEnd w:id="31"/>
      <w:r w:rsidR="00164A8F">
        <w:t>.</w:t>
      </w:r>
      <w:r w:rsidR="00F861AE">
        <w:t xml:space="preserve"> </w:t>
      </w:r>
      <w:r w:rsidR="00164A8F">
        <w:t xml:space="preserve">Nie ulega wątpliwości, że skarżący mogli dochodzić odszkodowania z tytułu warunków </w:t>
      </w:r>
      <w:r w:rsidR="00262E1E">
        <w:t>przetrzymywania</w:t>
      </w:r>
      <w:r w:rsidR="00164A8F">
        <w:t xml:space="preserve"> trzech małoletnich – skarżącego trzeciego, czwartego i piątego – w ośrodku detencyjnym straży granicznej w</w:t>
      </w:r>
      <w:r w:rsidR="0067654E">
        <w:t> </w:t>
      </w:r>
      <w:r w:rsidR="00164A8F">
        <w:t>Widyniu w trybie art.</w:t>
      </w:r>
      <w:r w:rsidR="00F861AE">
        <w:t xml:space="preserve"> </w:t>
      </w:r>
      <w:r w:rsidR="00164A8F">
        <w:t>1 ust.</w:t>
      </w:r>
      <w:r w:rsidR="00F861AE">
        <w:t xml:space="preserve"> </w:t>
      </w:r>
      <w:r w:rsidR="00164A8F">
        <w:t>1 ustawy z 1988</w:t>
      </w:r>
      <w:r w:rsidR="00F861AE">
        <w:t xml:space="preserve"> </w:t>
      </w:r>
      <w:r w:rsidR="00164A8F">
        <w:t>r. (zob.</w:t>
      </w:r>
      <w:r w:rsidR="00F861AE">
        <w:t xml:space="preserve"> </w:t>
      </w:r>
      <w:r w:rsidR="00164A8F">
        <w:t xml:space="preserve">paragraf </w:t>
      </w:r>
      <w:r>
        <w:t>34</w:t>
      </w:r>
      <w:r w:rsidR="00F861AE">
        <w:t xml:space="preserve"> </w:t>
      </w:r>
      <w:r w:rsidR="00164A8F">
        <w:t>powyżej). Praktyczne trudności wynikające z faktu, że skarżący są cudzoziemcami, którzy nie posługują się językiem bułgarskim, nie zwalnia ich z przewidzianego w art.</w:t>
      </w:r>
      <w:r w:rsidR="00F861AE">
        <w:t xml:space="preserve"> </w:t>
      </w:r>
      <w:r w:rsidR="00164A8F">
        <w:t>35 ust.</w:t>
      </w:r>
      <w:r w:rsidR="00F861AE">
        <w:t xml:space="preserve"> </w:t>
      </w:r>
      <w:r w:rsidR="00164A8F">
        <w:t>1 Konwencji wymogu wyczerpania krajowych środków odwoławczych (zob.</w:t>
      </w:r>
      <w:r w:rsidR="00F861AE">
        <w:t xml:space="preserve"> </w:t>
      </w:r>
      <w:r w:rsidR="00164A8F">
        <w:rPr>
          <w:i/>
        </w:rPr>
        <w:t>Choban przeciwko Bułgarii</w:t>
      </w:r>
      <w:r w:rsidR="00164A8F">
        <w:t xml:space="preserve"> (dec.), nr</w:t>
      </w:r>
      <w:r w:rsidR="00F861AE">
        <w:t xml:space="preserve"> </w:t>
      </w:r>
      <w:r w:rsidR="00164A8F">
        <w:t>48737/99, 23</w:t>
      </w:r>
      <w:r w:rsidR="00F861AE">
        <w:t xml:space="preserve"> </w:t>
      </w:r>
      <w:r w:rsidR="00164A8F">
        <w:t>czerwca 2005</w:t>
      </w:r>
      <w:r w:rsidR="00F861AE">
        <w:t xml:space="preserve"> </w:t>
      </w:r>
      <w:r w:rsidR="00164A8F">
        <w:t xml:space="preserve">r.; </w:t>
      </w:r>
      <w:r w:rsidR="00164A8F">
        <w:rPr>
          <w:i/>
        </w:rPr>
        <w:t xml:space="preserve">Demopoulos i Inni przeciwko Turcji </w:t>
      </w:r>
      <w:r w:rsidR="00164A8F">
        <w:rPr>
          <w:snapToGrid w:val="0"/>
        </w:rPr>
        <w:t>(dec.) [WI], nr 46113/99 i 7</w:t>
      </w:r>
      <w:r w:rsidR="00F861AE">
        <w:rPr>
          <w:snapToGrid w:val="0"/>
        </w:rPr>
        <w:t xml:space="preserve"> </w:t>
      </w:r>
      <w:r w:rsidR="00164A8F">
        <w:rPr>
          <w:snapToGrid w:val="0"/>
        </w:rPr>
        <w:t>innych</w:t>
      </w:r>
      <w:r w:rsidR="00164A8F">
        <w:t>, §</w:t>
      </w:r>
      <w:r w:rsidR="00F861AE">
        <w:t xml:space="preserve"> </w:t>
      </w:r>
      <w:r w:rsidR="00164A8F">
        <w:t xml:space="preserve">101, </w:t>
      </w:r>
      <w:r w:rsidR="000E3703">
        <w:t>ETPC</w:t>
      </w:r>
      <w:r w:rsidR="00164A8F">
        <w:t xml:space="preserve"> 2010; oraz </w:t>
      </w:r>
      <w:r w:rsidR="00164A8F">
        <w:rPr>
          <w:i/>
        </w:rPr>
        <w:t>Djalti przeciwko Bułgarii</w:t>
      </w:r>
      <w:r w:rsidR="00164A8F">
        <w:t>, nr 31206/05</w:t>
      </w:r>
      <w:r w:rsidR="00164A8F">
        <w:rPr>
          <w:snapToGrid w:val="0"/>
        </w:rPr>
        <w:t>, §</w:t>
      </w:r>
      <w:r w:rsidR="00F861AE">
        <w:rPr>
          <w:snapToGrid w:val="0"/>
        </w:rPr>
        <w:t xml:space="preserve"> </w:t>
      </w:r>
      <w:r w:rsidR="00164A8F">
        <w:rPr>
          <w:snapToGrid w:val="0"/>
        </w:rPr>
        <w:t>75, 12</w:t>
      </w:r>
      <w:r w:rsidR="00F861AE">
        <w:rPr>
          <w:snapToGrid w:val="0"/>
        </w:rPr>
        <w:t xml:space="preserve"> </w:t>
      </w:r>
      <w:r w:rsidR="00164A8F">
        <w:rPr>
          <w:snapToGrid w:val="0"/>
        </w:rPr>
        <w:t>marca 2013</w:t>
      </w:r>
      <w:r w:rsidR="00F861AE">
        <w:rPr>
          <w:snapToGrid w:val="0"/>
        </w:rPr>
        <w:t xml:space="preserve"> </w:t>
      </w:r>
      <w:r w:rsidR="00164A8F">
        <w:rPr>
          <w:snapToGrid w:val="0"/>
        </w:rPr>
        <w:t>r.</w:t>
      </w:r>
      <w:r w:rsidR="00164A8F">
        <w:t>).</w:t>
      </w:r>
    </w:p>
    <w:p w14:paraId="2A6A40A3" w14:textId="6F2CCEA3" w:rsidR="003272C1" w:rsidRPr="006A41BD" w:rsidRDefault="00142EC5" w:rsidP="006A41BD">
      <w:pPr>
        <w:pStyle w:val="ECHRPara"/>
      </w:pPr>
      <w:bookmarkStart w:id="32" w:name="L_exhaustion_2"/>
      <w:r>
        <w:rPr>
          <w:noProof/>
        </w:rPr>
        <w:t>49</w:t>
      </w:r>
      <w:bookmarkEnd w:id="32"/>
      <w:r w:rsidR="003272C1">
        <w:t>.</w:t>
      </w:r>
      <w:r w:rsidR="00F861AE">
        <w:t xml:space="preserve"> </w:t>
      </w:r>
      <w:r w:rsidR="003272C1">
        <w:t xml:space="preserve">Wątpliwości nie budzi również to, że po tym, jak </w:t>
      </w:r>
      <w:r w:rsidR="0080785D">
        <w:t>umieszczenie</w:t>
      </w:r>
      <w:r w:rsidR="004E46FE">
        <w:t xml:space="preserve"> </w:t>
      </w:r>
      <w:r w:rsidR="003272C1">
        <w:t xml:space="preserve">skarżących </w:t>
      </w:r>
      <w:r w:rsidR="0080785D">
        <w:t xml:space="preserve">w ośrodku </w:t>
      </w:r>
      <w:r w:rsidR="003272C1">
        <w:t xml:space="preserve">dobiegło końca – co nastąpiło ponad pięć miesięcy </w:t>
      </w:r>
      <w:r w:rsidR="003272C1">
        <w:lastRenderedPageBreak/>
        <w:t>przed wniesieniem przez nich skargi (zob.</w:t>
      </w:r>
      <w:r w:rsidR="00F861AE">
        <w:t xml:space="preserve"> </w:t>
      </w:r>
      <w:r w:rsidR="003272C1">
        <w:t xml:space="preserve">paragrafy </w:t>
      </w:r>
      <w:r>
        <w:t>1</w:t>
      </w:r>
      <w:r w:rsidR="003272C1">
        <w:t xml:space="preserve"> i </w:t>
      </w:r>
      <w:r>
        <w:t>30</w:t>
      </w:r>
      <w:r w:rsidR="00F861AE">
        <w:t xml:space="preserve"> </w:t>
      </w:r>
      <w:r w:rsidR="003272C1">
        <w:t>powyżej) – odszkodowanie, które mogliby otrzymać w wyniku takiego roszczenia, stanowiłoby wystarczające zadośćuczynienie doznanych krzywd (zob.</w:t>
      </w:r>
      <w:r w:rsidR="00F861AE">
        <w:t xml:space="preserve"> </w:t>
      </w:r>
      <w:r w:rsidR="003272C1">
        <w:rPr>
          <w:i/>
        </w:rPr>
        <w:t>A.F.</w:t>
      </w:r>
      <w:r w:rsidR="003272C1">
        <w:t xml:space="preserve"> </w:t>
      </w:r>
      <w:r w:rsidR="003272C1">
        <w:rPr>
          <w:i/>
        </w:rPr>
        <w:t>przeciwko Grecji</w:t>
      </w:r>
      <w:r w:rsidR="003272C1">
        <w:t>, nr 53709/11</w:t>
      </w:r>
      <w:r w:rsidR="003272C1">
        <w:rPr>
          <w:snapToGrid w:val="0"/>
        </w:rPr>
        <w:t>, §§</w:t>
      </w:r>
      <w:r w:rsidR="00F861AE">
        <w:rPr>
          <w:snapToGrid w:val="0"/>
        </w:rPr>
        <w:t xml:space="preserve"> </w:t>
      </w:r>
      <w:r w:rsidR="003272C1">
        <w:rPr>
          <w:snapToGrid w:val="0"/>
        </w:rPr>
        <w:t>53–54, 13</w:t>
      </w:r>
      <w:r w:rsidR="00F861AE">
        <w:rPr>
          <w:snapToGrid w:val="0"/>
        </w:rPr>
        <w:t xml:space="preserve"> </w:t>
      </w:r>
      <w:r w:rsidR="003272C1">
        <w:rPr>
          <w:snapToGrid w:val="0"/>
        </w:rPr>
        <w:t>czerwca 2013</w:t>
      </w:r>
      <w:r w:rsidR="00F861AE">
        <w:rPr>
          <w:snapToGrid w:val="0"/>
        </w:rPr>
        <w:t xml:space="preserve"> </w:t>
      </w:r>
      <w:r w:rsidR="003272C1">
        <w:rPr>
          <w:snapToGrid w:val="0"/>
        </w:rPr>
        <w:t xml:space="preserve">r.; </w:t>
      </w:r>
      <w:r w:rsidR="003272C1">
        <w:rPr>
          <w:i/>
        </w:rPr>
        <w:t>Housein przeciwko Grecji</w:t>
      </w:r>
      <w:r w:rsidR="003272C1">
        <w:rPr>
          <w:snapToGrid w:val="0"/>
        </w:rPr>
        <w:t xml:space="preserve">, </w:t>
      </w:r>
      <w:r w:rsidR="003272C1">
        <w:t>nr 71825/11</w:t>
      </w:r>
      <w:r w:rsidR="003272C1">
        <w:rPr>
          <w:snapToGrid w:val="0"/>
        </w:rPr>
        <w:t>, §§</w:t>
      </w:r>
      <w:r w:rsidR="00F861AE">
        <w:rPr>
          <w:snapToGrid w:val="0"/>
        </w:rPr>
        <w:t xml:space="preserve"> </w:t>
      </w:r>
      <w:r w:rsidR="003272C1">
        <w:rPr>
          <w:snapToGrid w:val="0"/>
        </w:rPr>
        <w:t>55–56, 24</w:t>
      </w:r>
      <w:r w:rsidR="00F861AE">
        <w:rPr>
          <w:snapToGrid w:val="0"/>
        </w:rPr>
        <w:t xml:space="preserve"> </w:t>
      </w:r>
      <w:r w:rsidR="003272C1">
        <w:rPr>
          <w:snapToGrid w:val="0"/>
        </w:rPr>
        <w:t>października 2013</w:t>
      </w:r>
      <w:r w:rsidR="00F861AE">
        <w:rPr>
          <w:snapToGrid w:val="0"/>
        </w:rPr>
        <w:t xml:space="preserve"> </w:t>
      </w:r>
      <w:r w:rsidR="003272C1">
        <w:rPr>
          <w:snapToGrid w:val="0"/>
        </w:rPr>
        <w:t xml:space="preserve">r.; </w:t>
      </w:r>
      <w:r w:rsidR="003272C1">
        <w:rPr>
          <w:i/>
        </w:rPr>
        <w:t>de los Santos i de la Cruz</w:t>
      </w:r>
      <w:r w:rsidR="003272C1">
        <w:t xml:space="preserve"> </w:t>
      </w:r>
      <w:r w:rsidR="003272C1">
        <w:rPr>
          <w:i/>
        </w:rPr>
        <w:t>przeciwko Grecji</w:t>
      </w:r>
      <w:r w:rsidR="003272C1">
        <w:t>, nr 2134/12 i</w:t>
      </w:r>
      <w:r w:rsidR="00F861AE">
        <w:t xml:space="preserve"> </w:t>
      </w:r>
      <w:r w:rsidR="003272C1">
        <w:t>2161/12</w:t>
      </w:r>
      <w:r w:rsidR="003272C1">
        <w:rPr>
          <w:snapToGrid w:val="0"/>
        </w:rPr>
        <w:t>, §§</w:t>
      </w:r>
      <w:r w:rsidR="00F861AE">
        <w:rPr>
          <w:snapToGrid w:val="0"/>
        </w:rPr>
        <w:t xml:space="preserve"> </w:t>
      </w:r>
      <w:r w:rsidR="003272C1">
        <w:rPr>
          <w:snapToGrid w:val="0"/>
        </w:rPr>
        <w:t>32–33, 26</w:t>
      </w:r>
      <w:r w:rsidR="0067654E">
        <w:rPr>
          <w:snapToGrid w:val="0"/>
        </w:rPr>
        <w:t> </w:t>
      </w:r>
      <w:r w:rsidR="003272C1">
        <w:rPr>
          <w:snapToGrid w:val="0"/>
        </w:rPr>
        <w:t>czerwca 2014</w:t>
      </w:r>
      <w:r w:rsidR="00F861AE">
        <w:rPr>
          <w:snapToGrid w:val="0"/>
        </w:rPr>
        <w:t xml:space="preserve"> </w:t>
      </w:r>
      <w:r w:rsidR="003272C1">
        <w:rPr>
          <w:snapToGrid w:val="0"/>
        </w:rPr>
        <w:t xml:space="preserve">r.; oraz </w:t>
      </w:r>
      <w:r w:rsidR="003272C1">
        <w:rPr>
          <w:i/>
        </w:rPr>
        <w:t>Mohamad przeciwko Grecji</w:t>
      </w:r>
      <w:r w:rsidR="003272C1">
        <w:rPr>
          <w:snapToGrid w:val="0"/>
        </w:rPr>
        <w:t xml:space="preserve">, </w:t>
      </w:r>
      <w:r w:rsidR="003272C1">
        <w:t>nr</w:t>
      </w:r>
      <w:r w:rsidR="00F861AE">
        <w:t xml:space="preserve"> </w:t>
      </w:r>
      <w:r w:rsidR="003272C1">
        <w:t>70586/11</w:t>
      </w:r>
      <w:r w:rsidR="003272C1">
        <w:rPr>
          <w:snapToGrid w:val="0"/>
        </w:rPr>
        <w:t>, §</w:t>
      </w:r>
      <w:r w:rsidR="00F861AE">
        <w:rPr>
          <w:snapToGrid w:val="0"/>
        </w:rPr>
        <w:t xml:space="preserve"> </w:t>
      </w:r>
      <w:r w:rsidR="003272C1">
        <w:rPr>
          <w:snapToGrid w:val="0"/>
        </w:rPr>
        <w:t>50, 11</w:t>
      </w:r>
      <w:r w:rsidR="0067654E">
        <w:rPr>
          <w:snapToGrid w:val="0"/>
        </w:rPr>
        <w:t> </w:t>
      </w:r>
      <w:r w:rsidR="003272C1">
        <w:rPr>
          <w:snapToGrid w:val="0"/>
        </w:rPr>
        <w:t>grudnia 2014</w:t>
      </w:r>
      <w:r w:rsidR="00F861AE">
        <w:rPr>
          <w:snapToGrid w:val="0"/>
        </w:rPr>
        <w:t xml:space="preserve"> </w:t>
      </w:r>
      <w:r w:rsidR="003272C1">
        <w:rPr>
          <w:snapToGrid w:val="0"/>
        </w:rPr>
        <w:t>r.</w:t>
      </w:r>
      <w:r w:rsidR="003272C1">
        <w:t>).</w:t>
      </w:r>
    </w:p>
    <w:p w14:paraId="493E8867" w14:textId="6918A7C3" w:rsidR="00535561" w:rsidRPr="006A41BD" w:rsidRDefault="00142EC5" w:rsidP="006A41BD">
      <w:pPr>
        <w:pStyle w:val="ECHRPara"/>
      </w:pPr>
      <w:bookmarkStart w:id="33" w:name="L_exhaustion_3"/>
      <w:r>
        <w:rPr>
          <w:noProof/>
        </w:rPr>
        <w:t>50</w:t>
      </w:r>
      <w:bookmarkEnd w:id="33"/>
      <w:r w:rsidR="003272C1">
        <w:t>.</w:t>
      </w:r>
      <w:r w:rsidR="00F861AE">
        <w:t xml:space="preserve"> </w:t>
      </w:r>
      <w:r w:rsidR="003272C1">
        <w:t>Pewności nie można mieć jedynie co do tego, czy w czasie, gdy</w:t>
      </w:r>
      <w:r w:rsidR="0067654E">
        <w:t> </w:t>
      </w:r>
      <w:r w:rsidR="003272C1">
        <w:t>skarżący składali swoją skargę – w lutym 2016</w:t>
      </w:r>
      <w:r w:rsidR="00F861AE">
        <w:t xml:space="preserve"> </w:t>
      </w:r>
      <w:r w:rsidR="003272C1">
        <w:t>r. – ich roszczenie miałoby szansę zostać uznane (zob.</w:t>
      </w:r>
      <w:r w:rsidR="00F861AE">
        <w:t xml:space="preserve"> </w:t>
      </w:r>
      <w:r w:rsidR="003272C1">
        <w:t xml:space="preserve">paragraf </w:t>
      </w:r>
      <w:r>
        <w:t>1</w:t>
      </w:r>
      <w:r w:rsidR="00F861AE">
        <w:t xml:space="preserve"> </w:t>
      </w:r>
      <w:r w:rsidR="003272C1">
        <w:t>powyżej).</w:t>
      </w:r>
    </w:p>
    <w:p w14:paraId="7F03B36D" w14:textId="46946733" w:rsidR="0063318E" w:rsidRPr="006A41BD" w:rsidRDefault="00142EC5" w:rsidP="006A41BD">
      <w:pPr>
        <w:pStyle w:val="ECHRPara"/>
      </w:pPr>
      <w:bookmarkStart w:id="34" w:name="L_exhaustion_4"/>
      <w:r>
        <w:rPr>
          <w:noProof/>
        </w:rPr>
        <w:t>51</w:t>
      </w:r>
      <w:bookmarkEnd w:id="34"/>
      <w:r w:rsidR="00B7146A">
        <w:t>.</w:t>
      </w:r>
      <w:r w:rsidR="00F861AE">
        <w:t xml:space="preserve"> </w:t>
      </w:r>
      <w:r w:rsidR="00B7146A">
        <w:t>Od około 2003</w:t>
      </w:r>
      <w:r w:rsidR="00F861AE">
        <w:t xml:space="preserve"> </w:t>
      </w:r>
      <w:r w:rsidR="00B7146A">
        <w:t>r. roszczenia wnoszone w trybie art.</w:t>
      </w:r>
      <w:r w:rsidR="00F861AE">
        <w:t xml:space="preserve"> </w:t>
      </w:r>
      <w:r w:rsidR="00B7146A">
        <w:t>1 ust.</w:t>
      </w:r>
      <w:r w:rsidR="00F861AE">
        <w:t xml:space="preserve"> </w:t>
      </w:r>
      <w:r w:rsidR="00B7146A">
        <w:t>1 ustawy z</w:t>
      </w:r>
      <w:r w:rsidR="0067654E">
        <w:t> </w:t>
      </w:r>
      <w:r w:rsidR="00B7146A">
        <w:t>1988</w:t>
      </w:r>
      <w:r w:rsidR="00F861AE">
        <w:t xml:space="preserve"> </w:t>
      </w:r>
      <w:r w:rsidR="00B7146A">
        <w:t>r. stanowiły w Bułgarii zwyczajowy sposób dochodzenia odszkodowania z tytułu złych warunków panujących w zakładach karnych i</w:t>
      </w:r>
      <w:r w:rsidR="0067654E">
        <w:t> </w:t>
      </w:r>
      <w:r w:rsidR="00B7146A">
        <w:t>aresztach tymczasowych (zob.</w:t>
      </w:r>
      <w:r w:rsidR="00F861AE">
        <w:t xml:space="preserve"> </w:t>
      </w:r>
      <w:r w:rsidR="00B7146A">
        <w:rPr>
          <w:i/>
        </w:rPr>
        <w:t>Neshkov i Inni</w:t>
      </w:r>
      <w:r w:rsidR="00B7146A">
        <w:t xml:space="preserve">, </w:t>
      </w:r>
      <w:r w:rsidR="00B7146A">
        <w:rPr>
          <w:i/>
          <w:iCs/>
        </w:rPr>
        <w:t>op.</w:t>
      </w:r>
      <w:r w:rsidR="00F861AE">
        <w:rPr>
          <w:i/>
          <w:iCs/>
        </w:rPr>
        <w:t xml:space="preserve"> </w:t>
      </w:r>
      <w:r w:rsidR="00B7146A">
        <w:rPr>
          <w:i/>
          <w:iCs/>
        </w:rPr>
        <w:t>cit.</w:t>
      </w:r>
      <w:r w:rsidR="00B7146A">
        <w:t>, §§</w:t>
      </w:r>
      <w:r w:rsidR="00F861AE">
        <w:t xml:space="preserve"> </w:t>
      </w:r>
      <w:r w:rsidR="00B7146A">
        <w:t>127–31). W</w:t>
      </w:r>
      <w:r w:rsidR="0067654E">
        <w:t> </w:t>
      </w:r>
      <w:r w:rsidR="00B7146A">
        <w:t xml:space="preserve">kilku decyzjach i wyrokach wydanych w latach 2008–2010 Trybunał uznał je za skuteczny środek odwoławczy </w:t>
      </w:r>
      <w:r w:rsidR="00B7146A">
        <w:rPr>
          <w:i/>
        </w:rPr>
        <w:t>ex post facto</w:t>
      </w:r>
      <w:r w:rsidR="00B7146A">
        <w:t xml:space="preserve"> w odniesieniu do</w:t>
      </w:r>
      <w:r w:rsidR="0067654E">
        <w:t> </w:t>
      </w:r>
      <w:r w:rsidR="00B7146A">
        <w:t>skarg wnoszonych na gruncie art.</w:t>
      </w:r>
      <w:r w:rsidR="00F861AE">
        <w:t xml:space="preserve"> </w:t>
      </w:r>
      <w:r w:rsidR="00B7146A">
        <w:t>3 Konwencji (</w:t>
      </w:r>
      <w:r w:rsidR="00B7146A">
        <w:rPr>
          <w:i/>
          <w:iCs/>
        </w:rPr>
        <w:t>ibid.</w:t>
      </w:r>
      <w:r w:rsidR="00B7146A">
        <w:t>, §</w:t>
      </w:r>
      <w:r w:rsidR="00F861AE">
        <w:t xml:space="preserve"> </w:t>
      </w:r>
      <w:r w:rsidR="00B7146A">
        <w:t>192, z dalszymi odniesieniami).</w:t>
      </w:r>
    </w:p>
    <w:p w14:paraId="4C075EE6" w14:textId="132C446C" w:rsidR="00022A19" w:rsidRPr="006A41BD" w:rsidRDefault="00142EC5" w:rsidP="006A41BD">
      <w:pPr>
        <w:pStyle w:val="ECHRPara"/>
      </w:pPr>
      <w:bookmarkStart w:id="35" w:name="L_exhaustion_5"/>
      <w:r>
        <w:rPr>
          <w:noProof/>
        </w:rPr>
        <w:t>52</w:t>
      </w:r>
      <w:bookmarkEnd w:id="35"/>
      <w:r w:rsidR="00B9126A">
        <w:t>.</w:t>
      </w:r>
      <w:r w:rsidR="00F861AE">
        <w:t xml:space="preserve"> </w:t>
      </w:r>
      <w:r w:rsidR="00B9126A">
        <w:t>O ile w art.</w:t>
      </w:r>
      <w:r w:rsidR="00F861AE">
        <w:t xml:space="preserve"> </w:t>
      </w:r>
      <w:r w:rsidR="00B9126A">
        <w:t>1 ust.</w:t>
      </w:r>
      <w:r w:rsidR="00F861AE">
        <w:t xml:space="preserve"> </w:t>
      </w:r>
      <w:r w:rsidR="00B9126A">
        <w:t>1 ustawy z 1988</w:t>
      </w:r>
      <w:r w:rsidR="00F861AE">
        <w:t xml:space="preserve"> </w:t>
      </w:r>
      <w:r w:rsidR="00B9126A">
        <w:t>r. określono ogólną zasadę regulującą odpowiedzialność władz z tytułu działań administracyjnych, o</w:t>
      </w:r>
      <w:r w:rsidR="0067654E">
        <w:t> </w:t>
      </w:r>
      <w:r w:rsidR="00B9126A">
        <w:t>tyle nie ma powodu, aby nie można było tego przepisu stosować w</w:t>
      </w:r>
      <w:r w:rsidR="0067654E">
        <w:t> </w:t>
      </w:r>
      <w:r w:rsidR="00B9126A">
        <w:t>odniesieniu do warunków w ośrodkach detencyjnych dla imigrantów (por.</w:t>
      </w:r>
      <w:r w:rsidR="00F861AE">
        <w:t xml:space="preserve"> </w:t>
      </w:r>
      <w:r w:rsidR="00B9126A">
        <w:rPr>
          <w:i/>
        </w:rPr>
        <w:t>mutatis mutandis</w:t>
      </w:r>
      <w:r w:rsidR="00B9126A">
        <w:t xml:space="preserve">, przepisy ustawowe rozpatrywane w sprawach </w:t>
      </w:r>
      <w:r w:rsidR="00B9126A">
        <w:rPr>
          <w:i/>
        </w:rPr>
        <w:t>A.F.</w:t>
      </w:r>
      <w:r w:rsidR="0067654E">
        <w:t> </w:t>
      </w:r>
      <w:r w:rsidR="00B9126A">
        <w:rPr>
          <w:i/>
        </w:rPr>
        <w:t>przeciwko Grecji</w:t>
      </w:r>
      <w:r w:rsidR="00B9126A">
        <w:t>, §§</w:t>
      </w:r>
      <w:r w:rsidR="00F861AE">
        <w:t xml:space="preserve"> </w:t>
      </w:r>
      <w:r w:rsidR="00B9126A">
        <w:t xml:space="preserve">55–61; </w:t>
      </w:r>
      <w:r w:rsidR="00B9126A">
        <w:rPr>
          <w:i/>
        </w:rPr>
        <w:t>Housein</w:t>
      </w:r>
      <w:r w:rsidR="00B9126A">
        <w:t>, §§</w:t>
      </w:r>
      <w:r w:rsidR="00F861AE">
        <w:t xml:space="preserve"> </w:t>
      </w:r>
      <w:r w:rsidR="00B9126A">
        <w:t xml:space="preserve">57–62; oraz </w:t>
      </w:r>
      <w:r w:rsidR="00B9126A">
        <w:rPr>
          <w:i/>
        </w:rPr>
        <w:t>de</w:t>
      </w:r>
      <w:r w:rsidR="00F861AE">
        <w:rPr>
          <w:i/>
        </w:rPr>
        <w:t xml:space="preserve"> </w:t>
      </w:r>
      <w:r w:rsidR="00B9126A">
        <w:rPr>
          <w:i/>
        </w:rPr>
        <w:t>los Santos i</w:t>
      </w:r>
      <w:r w:rsidR="0067654E">
        <w:rPr>
          <w:i/>
        </w:rPr>
        <w:t> </w:t>
      </w:r>
      <w:r w:rsidR="00B9126A">
        <w:rPr>
          <w:i/>
        </w:rPr>
        <w:t>de la Cruz</w:t>
      </w:r>
      <w:r w:rsidR="00B9126A">
        <w:t>, §§</w:t>
      </w:r>
      <w:r w:rsidR="00F861AE">
        <w:t xml:space="preserve"> </w:t>
      </w:r>
      <w:r w:rsidR="00B9126A">
        <w:t xml:space="preserve">34–36, wszystkie cytowane powyżej; oraz por. z drugiej strony przepisy ustawowe rozpatrywane w sprawie </w:t>
      </w:r>
      <w:r w:rsidR="00B9126A">
        <w:rPr>
          <w:i/>
        </w:rPr>
        <w:t>Rahimi przeciwko Grecji</w:t>
      </w:r>
      <w:r w:rsidR="00B9126A">
        <w:t>, nr 8687/08, §</w:t>
      </w:r>
      <w:r w:rsidR="00F861AE">
        <w:t xml:space="preserve"> </w:t>
      </w:r>
      <w:r w:rsidR="00B9126A">
        <w:t>76, 5</w:t>
      </w:r>
      <w:r w:rsidR="00F861AE">
        <w:t xml:space="preserve"> </w:t>
      </w:r>
      <w:r w:rsidR="00B9126A">
        <w:t>kwietnia 2011</w:t>
      </w:r>
      <w:r w:rsidR="00F861AE">
        <w:t xml:space="preserve"> </w:t>
      </w:r>
      <w:r w:rsidR="00B9126A">
        <w:t>r.). Jednakże poza jednym wyjątkiem z lat 2010–2011 – sprawy, w której roszczenie, choć</w:t>
      </w:r>
      <w:r w:rsidR="0067654E">
        <w:t> </w:t>
      </w:r>
      <w:r w:rsidR="00B9126A">
        <w:t xml:space="preserve">dopuszczone do rozpoznania, </w:t>
      </w:r>
      <w:r w:rsidR="00B9126A" w:rsidRPr="007A74CA">
        <w:t>nie z</w:t>
      </w:r>
      <w:r w:rsidR="00B9126A">
        <w:t>ostało poparte wystarczającym materiałem dowodowym</w:t>
      </w:r>
      <w:r w:rsidR="004E46FE">
        <w:t xml:space="preserve"> </w:t>
      </w:r>
      <w:r w:rsidR="00B9126A">
        <w:t>(zob.</w:t>
      </w:r>
      <w:r w:rsidR="00F861AE">
        <w:t xml:space="preserve"> </w:t>
      </w:r>
      <w:r w:rsidR="00B9126A">
        <w:t xml:space="preserve">paragraf </w:t>
      </w:r>
      <w:r>
        <w:t>36</w:t>
      </w:r>
      <w:r w:rsidR="00F861AE">
        <w:t xml:space="preserve"> </w:t>
      </w:r>
      <w:r w:rsidR="00B9126A">
        <w:t>powyżej) – nie wydaje się, by</w:t>
      </w:r>
      <w:r w:rsidR="0067654E">
        <w:t> </w:t>
      </w:r>
      <w:r w:rsidR="00B9126A">
        <w:t xml:space="preserve">cudzoziemcy </w:t>
      </w:r>
      <w:r w:rsidR="00FF38A0">
        <w:t>osadzeni</w:t>
      </w:r>
      <w:r w:rsidR="00B9126A">
        <w:t xml:space="preserve"> w ośrodkach detencyjnych dla imigrantów w</w:t>
      </w:r>
      <w:r w:rsidR="0067654E">
        <w:t> </w:t>
      </w:r>
      <w:r w:rsidR="00B9126A">
        <w:t xml:space="preserve">Bułgarii dochodzili roszczeń w trybie tego przepisu w celu uzyskania zadośćuczynienia z tytułu złych warunków </w:t>
      </w:r>
      <w:r w:rsidR="004E46FE">
        <w:t>pozbawienia wolności</w:t>
      </w:r>
      <w:r w:rsidR="00B9126A">
        <w:t>. Mimo</w:t>
      </w:r>
      <w:r w:rsidR="0067654E">
        <w:t> </w:t>
      </w:r>
      <w:r w:rsidR="00B9126A">
        <w:t>to</w:t>
      </w:r>
      <w:r w:rsidR="0067654E">
        <w:t> </w:t>
      </w:r>
      <w:r w:rsidR="00B9126A">
        <w:t>w 2013</w:t>
      </w:r>
      <w:r w:rsidR="00F861AE">
        <w:t xml:space="preserve"> </w:t>
      </w:r>
      <w:r w:rsidR="00B9126A">
        <w:t xml:space="preserve">r. Trybunał zauważył, że choć </w:t>
      </w:r>
      <w:r w:rsidR="003B05EC">
        <w:t>orzecznictwo bułgarskich sądów dotyczące</w:t>
      </w:r>
      <w:r w:rsidR="00B9126A">
        <w:t xml:space="preserve"> warunków </w:t>
      </w:r>
      <w:r w:rsidR="004E46FE">
        <w:t xml:space="preserve">pozbawienia wolności </w:t>
      </w:r>
      <w:r w:rsidR="003B05EC">
        <w:t xml:space="preserve">na podstawie tego </w:t>
      </w:r>
      <w:r w:rsidR="00B9126A">
        <w:t>przepis</w:t>
      </w:r>
      <w:r w:rsidR="003B05EC">
        <w:t>u</w:t>
      </w:r>
      <w:r w:rsidR="00B9126A">
        <w:t xml:space="preserve"> </w:t>
      </w:r>
      <w:r w:rsidR="003B05EC">
        <w:t xml:space="preserve">rozwinęło się </w:t>
      </w:r>
      <w:r w:rsidR="00B9126A">
        <w:t xml:space="preserve">początkowo </w:t>
      </w:r>
      <w:r w:rsidR="003B05EC">
        <w:t xml:space="preserve">w odniesieniu do </w:t>
      </w:r>
      <w:r w:rsidR="00B9126A">
        <w:t>zakładów karnych i</w:t>
      </w:r>
      <w:r w:rsidR="0067654E">
        <w:t> </w:t>
      </w:r>
      <w:r w:rsidR="00B9126A">
        <w:t>aresztów tymczasowych, był on również – jak wynika z przywołanej sprawy – stosowany w odniesieniu do ośrodków detencyjnych dla</w:t>
      </w:r>
      <w:r w:rsidR="0067654E">
        <w:t> </w:t>
      </w:r>
      <w:r w:rsidR="00B9126A">
        <w:t>imigrantów. Trybunał stwierdził, że jeżeli istniały wątpliwości co</w:t>
      </w:r>
      <w:r w:rsidR="0067654E">
        <w:t> </w:t>
      </w:r>
      <w:r w:rsidR="00B9126A">
        <w:t>do</w:t>
      </w:r>
      <w:r w:rsidR="0067654E">
        <w:t> </w:t>
      </w:r>
      <w:r w:rsidR="00B9126A">
        <w:t xml:space="preserve">tego, czy środek odwoławczy mógłby być skuteczny, należało podjąć próbę skorzystania z niego, i na tej podstawie uznał, że nie wnosząc takiego roszczenia, cudzoziemiec pokrzywdzony w wyniku warunków panujących w ośrodku detencyjnym dla imigrantów w Sofii, w którym przebywał, </w:t>
      </w:r>
      <w:r w:rsidR="00B9126A">
        <w:lastRenderedPageBreak/>
        <w:t>nie</w:t>
      </w:r>
      <w:r w:rsidR="0067654E">
        <w:t> </w:t>
      </w:r>
      <w:r w:rsidR="00B9126A">
        <w:t>wyczerpał krajowych środków odwoławczych (zob.</w:t>
      </w:r>
      <w:r w:rsidR="00F861AE">
        <w:t xml:space="preserve"> </w:t>
      </w:r>
      <w:r w:rsidR="00B9126A">
        <w:rPr>
          <w:i/>
        </w:rPr>
        <w:t>Djalti</w:t>
      </w:r>
      <w:r w:rsidR="00B9126A">
        <w:t xml:space="preserve">, </w:t>
      </w:r>
      <w:r w:rsidR="00B9126A">
        <w:rPr>
          <w:i/>
          <w:iCs/>
        </w:rPr>
        <w:t>op.</w:t>
      </w:r>
      <w:r w:rsidR="00F861AE">
        <w:rPr>
          <w:i/>
          <w:iCs/>
        </w:rPr>
        <w:t xml:space="preserve"> </w:t>
      </w:r>
      <w:r w:rsidR="00B9126A">
        <w:rPr>
          <w:i/>
          <w:iCs/>
        </w:rPr>
        <w:t>cit.</w:t>
      </w:r>
      <w:r w:rsidR="00B9126A">
        <w:t>, §§</w:t>
      </w:r>
      <w:r w:rsidR="0067654E">
        <w:t> </w:t>
      </w:r>
      <w:r w:rsidR="00B9126A">
        <w:t>73, 74 i 76).</w:t>
      </w:r>
    </w:p>
    <w:p w14:paraId="51D07299" w14:textId="28F1E76F" w:rsidR="00D863DB" w:rsidRPr="006A41BD" w:rsidRDefault="00142EC5" w:rsidP="006A41BD">
      <w:pPr>
        <w:pStyle w:val="ECHRPara"/>
      </w:pPr>
      <w:bookmarkStart w:id="36" w:name="L_exhaustion_6"/>
      <w:r>
        <w:rPr>
          <w:noProof/>
        </w:rPr>
        <w:t>53</w:t>
      </w:r>
      <w:bookmarkEnd w:id="36"/>
      <w:r w:rsidR="00EE1B6E">
        <w:t>.</w:t>
      </w:r>
      <w:r w:rsidR="00F861AE">
        <w:t xml:space="preserve"> </w:t>
      </w:r>
      <w:r w:rsidR="00EE1B6E">
        <w:t>Jednakże w 2015</w:t>
      </w:r>
      <w:r w:rsidR="00F861AE">
        <w:t xml:space="preserve"> </w:t>
      </w:r>
      <w:r w:rsidR="00EE1B6E">
        <w:t>r., w świetle informacji, że – w związku ze</w:t>
      </w:r>
      <w:r w:rsidR="0067654E">
        <w:t> </w:t>
      </w:r>
      <w:r w:rsidR="00EE1B6E">
        <w:t>sposobem, w jaki bułgarskie sądy administracyjne podchodziły do</w:t>
      </w:r>
      <w:r w:rsidR="0067654E">
        <w:t> </w:t>
      </w:r>
      <w:r w:rsidR="00EE1B6E">
        <w:t xml:space="preserve">roszczeń związanych z warunkami </w:t>
      </w:r>
      <w:r w:rsidR="00772814">
        <w:t>pozbawienia wolności</w:t>
      </w:r>
      <w:r w:rsidR="00EE1B6E">
        <w:t xml:space="preserve"> wnoszonych przez skazanych i tymczasowo aresztowanych w trybie art.</w:t>
      </w:r>
      <w:r w:rsidR="00F861AE">
        <w:t xml:space="preserve"> </w:t>
      </w:r>
      <w:r w:rsidR="00EE1B6E">
        <w:t>1 ust.</w:t>
      </w:r>
      <w:r w:rsidR="00F861AE">
        <w:t xml:space="preserve"> </w:t>
      </w:r>
      <w:r w:rsidR="00EE1B6E">
        <w:t>1 ustawy z</w:t>
      </w:r>
      <w:r w:rsidR="0067654E">
        <w:t> </w:t>
      </w:r>
      <w:r w:rsidR="00EE1B6E">
        <w:t>1988</w:t>
      </w:r>
      <w:r w:rsidR="00F861AE">
        <w:t xml:space="preserve"> </w:t>
      </w:r>
      <w:r w:rsidR="00EE1B6E">
        <w:t>r. – ten środek odwoławczy nie sprawdzał się w praktyce, Trybunał stwierdził, że jest on nieskuteczny lub nie zapewnia realnej szansy powodzenia w takich sprawach (zob.</w:t>
      </w:r>
      <w:r w:rsidR="00F861AE">
        <w:t xml:space="preserve"> </w:t>
      </w:r>
      <w:r w:rsidR="00EE1B6E">
        <w:rPr>
          <w:i/>
        </w:rPr>
        <w:t>Neshkov i Inni</w:t>
      </w:r>
      <w:r w:rsidR="00EE1B6E">
        <w:t xml:space="preserve">, </w:t>
      </w:r>
      <w:r w:rsidR="00EE1B6E">
        <w:rPr>
          <w:i/>
          <w:iCs/>
        </w:rPr>
        <w:t>op.</w:t>
      </w:r>
      <w:r w:rsidR="00F861AE">
        <w:rPr>
          <w:i/>
          <w:iCs/>
        </w:rPr>
        <w:t xml:space="preserve"> </w:t>
      </w:r>
      <w:r w:rsidR="00EE1B6E">
        <w:rPr>
          <w:i/>
          <w:iCs/>
        </w:rPr>
        <w:t xml:space="preserve">cit., </w:t>
      </w:r>
      <w:r w:rsidR="00EE1B6E">
        <w:t>§§</w:t>
      </w:r>
      <w:r w:rsidR="00F861AE">
        <w:t xml:space="preserve"> </w:t>
      </w:r>
      <w:r w:rsidR="00EE1B6E">
        <w:t>194–206). Trybunał uznał ponadto, że Bułgaria</w:t>
      </w:r>
      <w:r w:rsidR="00772814">
        <w:t xml:space="preserve"> musi udostępnić skuteczne środki </w:t>
      </w:r>
      <w:r w:rsidR="00FF38A0">
        <w:t>o</w:t>
      </w:r>
      <w:r w:rsidR="0067654E">
        <w:t> </w:t>
      </w:r>
      <w:r w:rsidR="00FF38A0">
        <w:t xml:space="preserve">charakterze </w:t>
      </w:r>
      <w:r w:rsidR="00772814">
        <w:t>odszkodowawcz</w:t>
      </w:r>
      <w:r w:rsidR="00FF38A0">
        <w:t>ym</w:t>
      </w:r>
      <w:r w:rsidR="00EE1B6E">
        <w:t xml:space="preserve"> i</w:t>
      </w:r>
      <w:r w:rsidR="00FF38A0">
        <w:t xml:space="preserve"> </w:t>
      </w:r>
      <w:r w:rsidR="007A74CA">
        <w:t>zapobiegającym</w:t>
      </w:r>
      <w:r w:rsidR="00772814">
        <w:t xml:space="preserve"> </w:t>
      </w:r>
      <w:r w:rsidR="00EE1B6E">
        <w:t>w odniesieniu do</w:t>
      </w:r>
      <w:r w:rsidR="0067654E">
        <w:t> </w:t>
      </w:r>
      <w:r w:rsidR="00772814">
        <w:t>zarzutów</w:t>
      </w:r>
      <w:r w:rsidR="00EE1B6E">
        <w:t xml:space="preserve"> nieludzkich i poniżających warunków panujących w zakładach karnych i aresztach tymczasowych (</w:t>
      </w:r>
      <w:r w:rsidR="00EE1B6E">
        <w:rPr>
          <w:i/>
          <w:iCs/>
        </w:rPr>
        <w:t>ibid.</w:t>
      </w:r>
      <w:r w:rsidR="00EE1B6E">
        <w:t>, §§</w:t>
      </w:r>
      <w:r w:rsidR="00F861AE">
        <w:t xml:space="preserve"> </w:t>
      </w:r>
      <w:r w:rsidR="00EE1B6E">
        <w:t>279–89).</w:t>
      </w:r>
    </w:p>
    <w:p w14:paraId="44C937A4" w14:textId="43816A3F" w:rsidR="00C536F3" w:rsidRPr="006A41BD" w:rsidRDefault="00142EC5" w:rsidP="006A41BD">
      <w:pPr>
        <w:pStyle w:val="ECHRPara"/>
      </w:pPr>
      <w:bookmarkStart w:id="37" w:name="L_exhaustion_7"/>
      <w:r>
        <w:rPr>
          <w:noProof/>
        </w:rPr>
        <w:t>54</w:t>
      </w:r>
      <w:bookmarkEnd w:id="37"/>
      <w:r w:rsidR="00D863DB">
        <w:t>.</w:t>
      </w:r>
      <w:r w:rsidR="00F861AE">
        <w:t xml:space="preserve"> </w:t>
      </w:r>
      <w:r w:rsidR="00D863DB">
        <w:t>W rezultacie, na wniosek Rządu, na początku 2017</w:t>
      </w:r>
      <w:r w:rsidR="00F861AE">
        <w:t xml:space="preserve"> </w:t>
      </w:r>
      <w:r w:rsidR="00D863DB">
        <w:t>r. parlament w</w:t>
      </w:r>
      <w:r w:rsidR="0067654E">
        <w:t> </w:t>
      </w:r>
      <w:r w:rsidR="00D863DB">
        <w:t xml:space="preserve">Bułgarii zmienił </w:t>
      </w:r>
      <w:r w:rsidR="00D863DB">
        <w:rPr>
          <w:snapToGrid w:val="0"/>
        </w:rPr>
        <w:t>ustawę z 2009</w:t>
      </w:r>
      <w:r w:rsidR="00F861AE">
        <w:rPr>
          <w:snapToGrid w:val="0"/>
        </w:rPr>
        <w:t xml:space="preserve"> </w:t>
      </w:r>
      <w:r w:rsidR="00D863DB">
        <w:rPr>
          <w:snapToGrid w:val="0"/>
        </w:rPr>
        <w:t>r. o wykonywaniu kar i tymczasowym aresztowaniu</w:t>
      </w:r>
      <w:r w:rsidR="00D863DB">
        <w:t xml:space="preserve">, wprowadzając do niej środki </w:t>
      </w:r>
      <w:r w:rsidR="00FF38A0">
        <w:t xml:space="preserve">o charakterze </w:t>
      </w:r>
      <w:r w:rsidR="007A74CA">
        <w:t>zapobiegającym</w:t>
      </w:r>
      <w:r w:rsidR="00FF38A0">
        <w:t xml:space="preserve"> i</w:t>
      </w:r>
      <w:r w:rsidR="0067654E">
        <w:t> </w:t>
      </w:r>
      <w:r w:rsidR="00FF38A0">
        <w:t>odszkodowawczym</w:t>
      </w:r>
      <w:r w:rsidR="00D863DB">
        <w:t xml:space="preserve"> stworzone specjalnie z myślą o dochodzeniu zadośćuczynienia z tytułu nieludzkich i poniżających warunków w</w:t>
      </w:r>
      <w:r w:rsidR="0067654E">
        <w:t> </w:t>
      </w:r>
      <w:r w:rsidR="00D863DB">
        <w:t>zakładach karnych i aresztach tymczasowych (zob.</w:t>
      </w:r>
      <w:r w:rsidR="00F861AE">
        <w:t xml:space="preserve"> </w:t>
      </w:r>
      <w:r w:rsidR="00D863DB">
        <w:t xml:space="preserve">paragraf </w:t>
      </w:r>
      <w:r>
        <w:t>37</w:t>
      </w:r>
      <w:r w:rsidR="00F861AE">
        <w:t xml:space="preserve"> </w:t>
      </w:r>
      <w:r w:rsidR="00D863DB">
        <w:t>powyżej). W czerwcu 2017</w:t>
      </w:r>
      <w:r w:rsidR="00F861AE">
        <w:t xml:space="preserve"> </w:t>
      </w:r>
      <w:r w:rsidR="00D863DB">
        <w:t>r. Trybunał uznał, że te środki odwoławcze można uznać za skuteczne (zob.</w:t>
      </w:r>
      <w:r w:rsidR="00F861AE">
        <w:t xml:space="preserve"> </w:t>
      </w:r>
      <w:r w:rsidR="00D863DB">
        <w:rPr>
          <w:i/>
        </w:rPr>
        <w:t>Atanasov i Apostolov przeciwko Bułgarii</w:t>
      </w:r>
      <w:r w:rsidR="00D863DB">
        <w:t xml:space="preserve"> (dec.), nr</w:t>
      </w:r>
      <w:r w:rsidR="0067654E">
        <w:t> </w:t>
      </w:r>
      <w:r w:rsidR="00D863DB">
        <w:t>65540/16 i</w:t>
      </w:r>
      <w:r w:rsidR="00F861AE">
        <w:t xml:space="preserve"> </w:t>
      </w:r>
      <w:r w:rsidR="00D863DB">
        <w:t>22368/17, §§</w:t>
      </w:r>
      <w:r w:rsidR="00F861AE">
        <w:t xml:space="preserve"> </w:t>
      </w:r>
      <w:r w:rsidR="00D863DB">
        <w:t>44–68, 27</w:t>
      </w:r>
      <w:r w:rsidR="00F861AE">
        <w:t xml:space="preserve"> </w:t>
      </w:r>
      <w:r w:rsidR="00D863DB">
        <w:t>czerwca 2017</w:t>
      </w:r>
      <w:r w:rsidR="00F861AE">
        <w:t xml:space="preserve"> </w:t>
      </w:r>
      <w:r w:rsidR="00D863DB">
        <w:t>r.).</w:t>
      </w:r>
    </w:p>
    <w:p w14:paraId="7668632B" w14:textId="6B66FC06" w:rsidR="002929AE" w:rsidRPr="006A41BD" w:rsidRDefault="00142EC5" w:rsidP="006A41BD">
      <w:pPr>
        <w:pStyle w:val="ECHRPara"/>
      </w:pPr>
      <w:bookmarkStart w:id="38" w:name="L_exhaustion_8"/>
      <w:r>
        <w:rPr>
          <w:noProof/>
        </w:rPr>
        <w:t>55</w:t>
      </w:r>
      <w:bookmarkEnd w:id="38"/>
      <w:r w:rsidR="00865158">
        <w:t>.</w:t>
      </w:r>
      <w:r w:rsidR="00F861AE">
        <w:t xml:space="preserve"> </w:t>
      </w:r>
      <w:r w:rsidR="00865158">
        <w:t xml:space="preserve">Trybunał musi teraz rozważyć, czy w świetle ustaleń poczynionych w sprawie </w:t>
      </w:r>
      <w:r w:rsidR="00865158">
        <w:rPr>
          <w:i/>
        </w:rPr>
        <w:t>Neshkov i Inni</w:t>
      </w:r>
      <w:r w:rsidR="00865158">
        <w:t xml:space="preserve"> (</w:t>
      </w:r>
      <w:r w:rsidR="00865158">
        <w:rPr>
          <w:i/>
          <w:iCs/>
        </w:rPr>
        <w:t>op.</w:t>
      </w:r>
      <w:r w:rsidR="00F861AE">
        <w:rPr>
          <w:i/>
          <w:iCs/>
        </w:rPr>
        <w:t xml:space="preserve"> </w:t>
      </w:r>
      <w:r w:rsidR="00865158">
        <w:rPr>
          <w:i/>
          <w:iCs/>
        </w:rPr>
        <w:t>cit.</w:t>
      </w:r>
      <w:r w:rsidR="00865158">
        <w:t>, §§</w:t>
      </w:r>
      <w:r w:rsidR="00F861AE">
        <w:t xml:space="preserve"> </w:t>
      </w:r>
      <w:r w:rsidR="00865158">
        <w:t>130–36, 194–206), w której zwrócono uwagę na problemy z wykonywaniem środka odwoławczego przewidzianego w art.</w:t>
      </w:r>
      <w:r w:rsidR="00F861AE">
        <w:t xml:space="preserve"> </w:t>
      </w:r>
      <w:r w:rsidR="00865158">
        <w:t>1 ust.</w:t>
      </w:r>
      <w:r w:rsidR="00F861AE">
        <w:t xml:space="preserve"> </w:t>
      </w:r>
      <w:r w:rsidR="00865158">
        <w:t>1 ustawy z 1988</w:t>
      </w:r>
      <w:r w:rsidR="00F861AE">
        <w:t xml:space="preserve"> </w:t>
      </w:r>
      <w:r w:rsidR="00865158">
        <w:t xml:space="preserve">r., Trybunał powinien zmienić swoje wcześniejsze orzeczenie w sprawie </w:t>
      </w:r>
      <w:r w:rsidR="00865158">
        <w:rPr>
          <w:i/>
        </w:rPr>
        <w:t>Djalti</w:t>
      </w:r>
      <w:r w:rsidR="00865158">
        <w:t xml:space="preserve"> (</w:t>
      </w:r>
      <w:r w:rsidR="00865158">
        <w:rPr>
          <w:i/>
          <w:iCs/>
        </w:rPr>
        <w:t>op.</w:t>
      </w:r>
      <w:r w:rsidR="00F861AE">
        <w:rPr>
          <w:i/>
          <w:iCs/>
        </w:rPr>
        <w:t xml:space="preserve"> </w:t>
      </w:r>
      <w:r w:rsidR="00865158">
        <w:rPr>
          <w:i/>
          <w:iCs/>
        </w:rPr>
        <w:t>cit.</w:t>
      </w:r>
      <w:r w:rsidR="00865158">
        <w:t>, §§</w:t>
      </w:r>
      <w:r w:rsidR="00F861AE">
        <w:t xml:space="preserve"> </w:t>
      </w:r>
      <w:r w:rsidR="00865158">
        <w:t>73, 74 i 76) i</w:t>
      </w:r>
      <w:r w:rsidR="0067654E">
        <w:t> </w:t>
      </w:r>
      <w:r w:rsidR="00865158">
        <w:t>uznać, że w czasie gdy skarżący wnosili skargę – w lutym 2016</w:t>
      </w:r>
      <w:r w:rsidR="00F861AE">
        <w:t xml:space="preserve"> </w:t>
      </w:r>
      <w:r w:rsidR="00865158">
        <w:t>r. (zob.</w:t>
      </w:r>
      <w:r w:rsidR="0067654E">
        <w:t> </w:t>
      </w:r>
      <w:r w:rsidR="00865158">
        <w:t xml:space="preserve">paragraf </w:t>
      </w:r>
      <w:r>
        <w:t>1</w:t>
      </w:r>
      <w:r w:rsidR="00F861AE">
        <w:t xml:space="preserve"> </w:t>
      </w:r>
      <w:r w:rsidR="00865158">
        <w:t xml:space="preserve">powyżej) – roszczenie odszkodowawcze na podstawie tego przepisu nie stanowiło środka odwoławczego oferującego cudzoziemcom skarżącym się na warunki </w:t>
      </w:r>
      <w:r w:rsidR="00772814">
        <w:t xml:space="preserve">pozbawienia wolności </w:t>
      </w:r>
      <w:r w:rsidR="00865158">
        <w:t xml:space="preserve">w ośrodku detencyjnym dla imigrantów </w:t>
      </w:r>
      <w:r w:rsidR="00865158" w:rsidRPr="00FF38A0">
        <w:t>realne</w:t>
      </w:r>
      <w:r w:rsidR="00865158">
        <w:t xml:space="preserve"> szanse powodzenia.</w:t>
      </w:r>
    </w:p>
    <w:p w14:paraId="1DB16B99" w14:textId="5D674533" w:rsidR="00701D8D" w:rsidRPr="006A41BD" w:rsidRDefault="00142EC5" w:rsidP="006A41BD">
      <w:pPr>
        <w:pStyle w:val="ECHRPara"/>
        <w:keepNext/>
        <w:keepLines/>
      </w:pPr>
      <w:bookmarkStart w:id="39" w:name="L_exhaustion_9"/>
      <w:r>
        <w:rPr>
          <w:noProof/>
        </w:rPr>
        <w:lastRenderedPageBreak/>
        <w:t>56</w:t>
      </w:r>
      <w:bookmarkEnd w:id="39"/>
      <w:r w:rsidR="002F2D48">
        <w:t>.</w:t>
      </w:r>
      <w:r w:rsidR="00F861AE">
        <w:t xml:space="preserve"> </w:t>
      </w:r>
      <w:r w:rsidR="002F2D48">
        <w:t xml:space="preserve">Wydaje się, że od czasu wydania przez Trybunał wyroku w sprawie </w:t>
      </w:r>
      <w:r w:rsidR="002F2D48">
        <w:rPr>
          <w:i/>
        </w:rPr>
        <w:t>Djalti</w:t>
      </w:r>
      <w:r w:rsidR="002F2D48">
        <w:t xml:space="preserve"> (</w:t>
      </w:r>
      <w:r w:rsidR="002F2D48">
        <w:rPr>
          <w:i/>
          <w:iCs/>
        </w:rPr>
        <w:t>op.</w:t>
      </w:r>
      <w:r w:rsidR="00F861AE">
        <w:rPr>
          <w:i/>
          <w:iCs/>
        </w:rPr>
        <w:t xml:space="preserve"> </w:t>
      </w:r>
      <w:r w:rsidR="002F2D48">
        <w:rPr>
          <w:i/>
          <w:iCs/>
        </w:rPr>
        <w:t>cit.</w:t>
      </w:r>
      <w:r w:rsidR="002F2D48">
        <w:t>) w 2013</w:t>
      </w:r>
      <w:r w:rsidR="00F861AE">
        <w:t xml:space="preserve"> </w:t>
      </w:r>
      <w:r w:rsidR="002F2D48">
        <w:t xml:space="preserve">r. żaden cudzoziemiec takich roszczeń nie wniósł. Nie ma zatem bezpośrednich dowodów </w:t>
      </w:r>
      <w:r w:rsidR="0033454A">
        <w:t>w odniesieniu do tej kwestii</w:t>
      </w:r>
      <w:r w:rsidR="002F2D48">
        <w:t>, za</w:t>
      </w:r>
      <w:r w:rsidR="0067654E">
        <w:t> </w:t>
      </w:r>
      <w:r w:rsidR="002F2D48">
        <w:t>co</w:t>
      </w:r>
      <w:r w:rsidR="0067654E">
        <w:t> </w:t>
      </w:r>
      <w:r w:rsidR="002F2D48">
        <w:t>nie można winić Rządu (zob.</w:t>
      </w:r>
      <w:r w:rsidR="00F861AE">
        <w:t xml:space="preserve"> </w:t>
      </w:r>
      <w:r w:rsidR="002F2D48">
        <w:rPr>
          <w:i/>
        </w:rPr>
        <w:t>Mahamed Jama</w:t>
      </w:r>
      <w:r w:rsidR="002F2D48">
        <w:t xml:space="preserve"> </w:t>
      </w:r>
      <w:r w:rsidR="002F2D48">
        <w:rPr>
          <w:i/>
        </w:rPr>
        <w:t>przeciwko Malcie</w:t>
      </w:r>
      <w:r w:rsidR="002F2D48">
        <w:rPr>
          <w:snapToGrid w:val="0"/>
        </w:rPr>
        <w:t xml:space="preserve">, </w:t>
      </w:r>
      <w:r w:rsidR="002F2D48">
        <w:t>nr</w:t>
      </w:r>
      <w:r w:rsidR="0067654E">
        <w:t> </w:t>
      </w:r>
      <w:r w:rsidR="002F2D48">
        <w:t>10290/13</w:t>
      </w:r>
      <w:r w:rsidR="002F2D48">
        <w:rPr>
          <w:snapToGrid w:val="0"/>
        </w:rPr>
        <w:t>, §</w:t>
      </w:r>
      <w:r w:rsidR="00F861AE">
        <w:rPr>
          <w:snapToGrid w:val="0"/>
        </w:rPr>
        <w:t xml:space="preserve"> </w:t>
      </w:r>
      <w:r w:rsidR="002F2D48">
        <w:rPr>
          <w:snapToGrid w:val="0"/>
        </w:rPr>
        <w:t xml:space="preserve">63, 26 </w:t>
      </w:r>
      <w:r w:rsidR="002F2D48">
        <w:t>listopada 2015</w:t>
      </w:r>
      <w:r w:rsidR="00F861AE">
        <w:t xml:space="preserve"> </w:t>
      </w:r>
      <w:r w:rsidR="002F2D48">
        <w:t xml:space="preserve">r.; </w:t>
      </w:r>
      <w:r w:rsidR="002F2D48">
        <w:rPr>
          <w:i/>
        </w:rPr>
        <w:t>Moxamed Ismaaciil i Abdirahman Warsame</w:t>
      </w:r>
      <w:r w:rsidR="002F2D48">
        <w:t xml:space="preserve"> </w:t>
      </w:r>
      <w:r w:rsidR="002F2D48">
        <w:rPr>
          <w:i/>
        </w:rPr>
        <w:t>przeciwko Malcie</w:t>
      </w:r>
      <w:r w:rsidR="002F2D48">
        <w:t>, nr</w:t>
      </w:r>
      <w:r w:rsidR="00F861AE">
        <w:t xml:space="preserve"> </w:t>
      </w:r>
      <w:r w:rsidR="002F2D48">
        <w:t>52160/13 i 52165/13</w:t>
      </w:r>
      <w:r w:rsidR="002F2D48">
        <w:rPr>
          <w:snapToGrid w:val="0"/>
        </w:rPr>
        <w:t>, §</w:t>
      </w:r>
      <w:r w:rsidR="00F861AE">
        <w:rPr>
          <w:snapToGrid w:val="0"/>
        </w:rPr>
        <w:t xml:space="preserve"> </w:t>
      </w:r>
      <w:r w:rsidR="002F2D48">
        <w:rPr>
          <w:snapToGrid w:val="0"/>
        </w:rPr>
        <w:t>48, 12</w:t>
      </w:r>
      <w:r w:rsidR="00F861AE">
        <w:rPr>
          <w:snapToGrid w:val="0"/>
        </w:rPr>
        <w:t xml:space="preserve"> </w:t>
      </w:r>
      <w:r w:rsidR="002F2D48">
        <w:rPr>
          <w:snapToGrid w:val="0"/>
        </w:rPr>
        <w:t>stycznia 2016</w:t>
      </w:r>
      <w:r w:rsidR="0067654E">
        <w:rPr>
          <w:snapToGrid w:val="0"/>
        </w:rPr>
        <w:t> </w:t>
      </w:r>
      <w:r w:rsidR="002F2D48">
        <w:rPr>
          <w:snapToGrid w:val="0"/>
        </w:rPr>
        <w:t xml:space="preserve">r.; oraz </w:t>
      </w:r>
      <w:r w:rsidR="002F2D48">
        <w:rPr>
          <w:i/>
        </w:rPr>
        <w:t>Abdi Mahamud</w:t>
      </w:r>
      <w:r w:rsidR="002F2D48">
        <w:t xml:space="preserve"> </w:t>
      </w:r>
      <w:r w:rsidR="002F2D48">
        <w:rPr>
          <w:i/>
        </w:rPr>
        <w:t>przeciwko Malcie</w:t>
      </w:r>
      <w:r w:rsidR="002F2D48">
        <w:t>, nr</w:t>
      </w:r>
      <w:r w:rsidR="00F861AE">
        <w:t xml:space="preserve"> </w:t>
      </w:r>
      <w:r w:rsidR="002F2D48">
        <w:t>56796/13</w:t>
      </w:r>
      <w:r w:rsidR="002F2D48">
        <w:rPr>
          <w:snapToGrid w:val="0"/>
        </w:rPr>
        <w:t>, §</w:t>
      </w:r>
      <w:r w:rsidR="00F861AE">
        <w:rPr>
          <w:snapToGrid w:val="0"/>
        </w:rPr>
        <w:t xml:space="preserve"> </w:t>
      </w:r>
      <w:r w:rsidR="002F2D48">
        <w:rPr>
          <w:snapToGrid w:val="0"/>
        </w:rPr>
        <w:t>52, 3</w:t>
      </w:r>
      <w:r w:rsidR="00F861AE">
        <w:rPr>
          <w:snapToGrid w:val="0"/>
        </w:rPr>
        <w:t xml:space="preserve"> </w:t>
      </w:r>
      <w:r w:rsidR="002F2D48">
        <w:rPr>
          <w:snapToGrid w:val="0"/>
        </w:rPr>
        <w:t>maja 2016</w:t>
      </w:r>
      <w:r w:rsidR="00F861AE">
        <w:rPr>
          <w:snapToGrid w:val="0"/>
        </w:rPr>
        <w:t xml:space="preserve"> </w:t>
      </w:r>
      <w:r w:rsidR="002F2D48">
        <w:rPr>
          <w:snapToGrid w:val="0"/>
        </w:rPr>
        <w:t>r,</w:t>
      </w:r>
      <w:r w:rsidR="002F2D48">
        <w:t>). Można jednak wskazać trzy powody, które w przedmiotowej sprawie nasuwają wniosek, że w lutym 2016</w:t>
      </w:r>
      <w:r w:rsidR="00F861AE">
        <w:t xml:space="preserve"> </w:t>
      </w:r>
      <w:r w:rsidR="002F2D48">
        <w:t>r. takie roszczenie nie miałoby szans na uznanie.</w:t>
      </w:r>
    </w:p>
    <w:p w14:paraId="3A79938A" w14:textId="16A88BBA" w:rsidR="00701D8D" w:rsidRPr="006A41BD" w:rsidRDefault="00142EC5" w:rsidP="006A41BD">
      <w:pPr>
        <w:pStyle w:val="ECHRPara"/>
        <w:keepNext/>
        <w:keepLines/>
      </w:pPr>
      <w:bookmarkStart w:id="40" w:name="L_exhaustion_10"/>
      <w:r>
        <w:rPr>
          <w:noProof/>
        </w:rPr>
        <w:t>57</w:t>
      </w:r>
      <w:bookmarkEnd w:id="40"/>
      <w:r w:rsidR="00701D8D">
        <w:t>.</w:t>
      </w:r>
      <w:r w:rsidR="00F861AE">
        <w:t xml:space="preserve"> </w:t>
      </w:r>
      <w:r w:rsidR="00701D8D">
        <w:t xml:space="preserve">Po pierwsze, część kwestii, o których mowa w sprawie </w:t>
      </w:r>
      <w:r w:rsidR="00701D8D">
        <w:rPr>
          <w:i/>
        </w:rPr>
        <w:t>Neshkov i</w:t>
      </w:r>
      <w:r w:rsidR="0067654E">
        <w:rPr>
          <w:i/>
        </w:rPr>
        <w:t> </w:t>
      </w:r>
      <w:r w:rsidR="00701D8D">
        <w:rPr>
          <w:i/>
        </w:rPr>
        <w:t>Inni</w:t>
      </w:r>
      <w:r w:rsidR="00701D8D">
        <w:t xml:space="preserve"> (</w:t>
      </w:r>
      <w:r w:rsidR="00701D8D">
        <w:rPr>
          <w:i/>
          <w:iCs/>
        </w:rPr>
        <w:t>op.</w:t>
      </w:r>
      <w:r w:rsidR="00F861AE">
        <w:rPr>
          <w:i/>
          <w:iCs/>
        </w:rPr>
        <w:t xml:space="preserve"> </w:t>
      </w:r>
      <w:r w:rsidR="00701D8D">
        <w:rPr>
          <w:i/>
          <w:iCs/>
        </w:rPr>
        <w:t>cit.</w:t>
      </w:r>
      <w:r w:rsidR="00701D8D">
        <w:t>, §§</w:t>
      </w:r>
      <w:r w:rsidR="00F861AE">
        <w:t xml:space="preserve"> </w:t>
      </w:r>
      <w:r w:rsidR="00701D8D">
        <w:t>194–206) – a)</w:t>
      </w:r>
      <w:r w:rsidR="00F861AE">
        <w:t xml:space="preserve"> </w:t>
      </w:r>
      <w:r w:rsidR="00701D8D">
        <w:t>to, że w takich sprawach bułgarskie sądy administracyjne ściśle stosowały zasadę, zgodnie z którą ciężar dowodu spoczywa na stronie czyniącej zarzut; b)</w:t>
      </w:r>
      <w:r w:rsidR="00F861AE">
        <w:t xml:space="preserve"> </w:t>
      </w:r>
      <w:r w:rsidR="00701D8D">
        <w:t>to, że często nie brały pod uwagę ogólnego zakazu nieludzkiego i poniżającego traktowania, lecz</w:t>
      </w:r>
      <w:r w:rsidR="0067654E">
        <w:t> </w:t>
      </w:r>
      <w:r w:rsidR="00701D8D">
        <w:t xml:space="preserve">uwzględniały jedynie konkretne przepisy ustawowe lub regulacyjne </w:t>
      </w:r>
      <w:r w:rsidR="00C5371C">
        <w:t>określające</w:t>
      </w:r>
      <w:r w:rsidR="00701D8D">
        <w:t xml:space="preserve"> warunki </w:t>
      </w:r>
      <w:r w:rsidR="0033454A">
        <w:t>pozbawienia wolności</w:t>
      </w:r>
      <w:r w:rsidR="00701D8D">
        <w:t>; oraz c)</w:t>
      </w:r>
      <w:r w:rsidR="00F861AE">
        <w:t xml:space="preserve"> </w:t>
      </w:r>
      <w:r w:rsidR="00701D8D">
        <w:t>to, że często nie</w:t>
      </w:r>
      <w:r w:rsidR="0067654E">
        <w:t> </w:t>
      </w:r>
      <w:r w:rsidR="0033454A">
        <w:t>uznawały one domniemania</w:t>
      </w:r>
      <w:r w:rsidR="00701D8D">
        <w:t xml:space="preserve">, że nieludzkie lub poniżające warunki </w:t>
      </w:r>
      <w:r w:rsidR="0033454A">
        <w:t xml:space="preserve">pozbawienia wolności </w:t>
      </w:r>
      <w:r w:rsidR="00701D8D">
        <w:t>powodują szkodę niemajątkową – nie ma zastosowania wyłącznie do warunków w zakładach karnych i aresztach tymczasowych, gdyż mogą one również odnosić się do spraw dotyczących warunków panujących w ośrodkach detencyjnych dla imigrantów.</w:t>
      </w:r>
    </w:p>
    <w:p w14:paraId="651DEF7F" w14:textId="57D4C885" w:rsidR="00705A6B" w:rsidRPr="006A41BD" w:rsidRDefault="00142EC5" w:rsidP="006A41BD">
      <w:pPr>
        <w:pStyle w:val="ECHRPara"/>
        <w:keepNext/>
        <w:keepLines/>
      </w:pPr>
      <w:bookmarkStart w:id="41" w:name="L_exhaustion_11"/>
      <w:r>
        <w:rPr>
          <w:noProof/>
        </w:rPr>
        <w:t>58</w:t>
      </w:r>
      <w:bookmarkEnd w:id="41"/>
      <w:r w:rsidR="00865158">
        <w:t>.</w:t>
      </w:r>
      <w:r w:rsidR="00F861AE">
        <w:t xml:space="preserve"> </w:t>
      </w:r>
      <w:r w:rsidR="00865158">
        <w:t xml:space="preserve">Po drugie, zapewnienie Rządu, jakoby ewolucja orzecznictwa bułgarskich sądów administracyjnych w sprawach dotyczących warunków </w:t>
      </w:r>
      <w:r w:rsidR="0033454A">
        <w:t xml:space="preserve">pozbawienia wolności </w:t>
      </w:r>
      <w:r w:rsidR="00865158">
        <w:t>w okresie od stycznia 2015</w:t>
      </w:r>
      <w:r w:rsidR="00F861AE">
        <w:t xml:space="preserve"> </w:t>
      </w:r>
      <w:r w:rsidR="00865158">
        <w:t xml:space="preserve">r., kiedy to Trybunał wydał wyrok w sprawie </w:t>
      </w:r>
      <w:r w:rsidR="00865158">
        <w:rPr>
          <w:i/>
        </w:rPr>
        <w:t>Neshkov i Inni</w:t>
      </w:r>
      <w:r w:rsidR="00865158">
        <w:t xml:space="preserve"> (</w:t>
      </w:r>
      <w:r w:rsidR="00865158">
        <w:rPr>
          <w:i/>
          <w:iCs/>
        </w:rPr>
        <w:t>op.</w:t>
      </w:r>
      <w:r w:rsidR="00F861AE">
        <w:rPr>
          <w:i/>
          <w:iCs/>
        </w:rPr>
        <w:t xml:space="preserve"> </w:t>
      </w:r>
      <w:r w:rsidR="00865158">
        <w:rPr>
          <w:i/>
          <w:iCs/>
        </w:rPr>
        <w:t>cit.</w:t>
      </w:r>
      <w:r w:rsidR="00865158">
        <w:t>), do lutego 2016</w:t>
      </w:r>
      <w:r w:rsidR="00F861AE">
        <w:t xml:space="preserve"> </w:t>
      </w:r>
      <w:r w:rsidR="00865158">
        <w:t>r. na</w:t>
      </w:r>
      <w:r w:rsidR="0067654E">
        <w:t> </w:t>
      </w:r>
      <w:r w:rsidR="00865158">
        <w:t>powrót uczyniła środek odwoławczy wynikający z art.</w:t>
      </w:r>
      <w:r w:rsidR="00F861AE">
        <w:t xml:space="preserve"> </w:t>
      </w:r>
      <w:r w:rsidR="00865158">
        <w:t>1 ust.</w:t>
      </w:r>
      <w:r w:rsidR="00F861AE">
        <w:t xml:space="preserve"> </w:t>
      </w:r>
      <w:r w:rsidR="00865158">
        <w:t>1 ustawy z</w:t>
      </w:r>
      <w:r w:rsidR="0067654E">
        <w:t> </w:t>
      </w:r>
      <w:r w:rsidR="00865158">
        <w:t>1988</w:t>
      </w:r>
      <w:r w:rsidR="00F861AE">
        <w:t xml:space="preserve"> </w:t>
      </w:r>
      <w:r w:rsidR="00865158">
        <w:t xml:space="preserve">r. skutecznym – pomijając fakt, iż na poparcie tego twierdzenia </w:t>
      </w:r>
      <w:r w:rsidR="0033454A">
        <w:t>nie</w:t>
      </w:r>
      <w:r w:rsidR="0067654E">
        <w:t> </w:t>
      </w:r>
      <w:r w:rsidR="0033454A">
        <w:t xml:space="preserve">ma </w:t>
      </w:r>
      <w:r w:rsidR="00865158">
        <w:t xml:space="preserve">żadnych przykładów – trudno pogodzić z </w:t>
      </w:r>
      <w:r w:rsidR="0033454A">
        <w:t>decyzją</w:t>
      </w:r>
      <w:r w:rsidR="00865158">
        <w:t xml:space="preserve"> Rządu</w:t>
      </w:r>
      <w:r w:rsidR="0033454A">
        <w:t xml:space="preserve"> z</w:t>
      </w:r>
      <w:r w:rsidR="0067654E">
        <w:t> </w:t>
      </w:r>
      <w:r w:rsidR="0033454A">
        <w:t xml:space="preserve">października 2016 r., by zaproponować </w:t>
      </w:r>
      <w:r w:rsidR="00865158">
        <w:t>wprowadzenie specjalnego środka odwoławczego w tym zakresie, który to środek przyjęto w drodze specjalnej poprawki ustawodawczej (zob.</w:t>
      </w:r>
      <w:r w:rsidR="00F861AE">
        <w:t xml:space="preserve"> </w:t>
      </w:r>
      <w:r w:rsidR="00865158">
        <w:t xml:space="preserve">paragraf </w:t>
      </w:r>
      <w:r>
        <w:t>37</w:t>
      </w:r>
      <w:r w:rsidR="00F861AE">
        <w:t xml:space="preserve"> </w:t>
      </w:r>
      <w:r w:rsidR="00865158">
        <w:t>powyżej).</w:t>
      </w:r>
    </w:p>
    <w:p w14:paraId="4879B739" w14:textId="0A371101" w:rsidR="00E313E0" w:rsidRPr="006A41BD" w:rsidRDefault="00142EC5" w:rsidP="006A41BD">
      <w:pPr>
        <w:pStyle w:val="ECHRPara"/>
      </w:pPr>
      <w:bookmarkStart w:id="42" w:name="L_exhaustion_12"/>
      <w:r>
        <w:rPr>
          <w:noProof/>
        </w:rPr>
        <w:t>59</w:t>
      </w:r>
      <w:bookmarkEnd w:id="42"/>
      <w:r w:rsidR="00425D76">
        <w:t>.</w:t>
      </w:r>
      <w:r w:rsidR="00F861AE">
        <w:t xml:space="preserve"> </w:t>
      </w:r>
      <w:r w:rsidR="00425D76">
        <w:t xml:space="preserve">Wreszcie, nie zasługuje na uznanie przykład, którym Rząd usiłował uzasadnić swoje zapewnienie, jakoby bułgarskie sądy administracyjne rozpoznawały </w:t>
      </w:r>
      <w:r w:rsidR="007D7700">
        <w:t xml:space="preserve">w sposób </w:t>
      </w:r>
      <w:r w:rsidR="00626227">
        <w:t xml:space="preserve">co do zasady </w:t>
      </w:r>
      <w:r w:rsidR="007D7700">
        <w:t>zgodny z</w:t>
      </w:r>
      <w:r w:rsidR="00626227">
        <w:t>e standardami</w:t>
      </w:r>
      <w:r w:rsidR="007D7700">
        <w:t xml:space="preserve"> Konwencji </w:t>
      </w:r>
      <w:r w:rsidR="00425D76">
        <w:t xml:space="preserve">roszczenia cudzoziemców dotyczące </w:t>
      </w:r>
      <w:r w:rsidR="00FF38A0">
        <w:t>pozbawienia wolności</w:t>
      </w:r>
      <w:r w:rsidR="00425D76">
        <w:t xml:space="preserve"> w ośrodkach detencyjnych dla imigrantów, wnoszone w trybie art.</w:t>
      </w:r>
      <w:r w:rsidR="00F861AE">
        <w:t xml:space="preserve"> </w:t>
      </w:r>
      <w:r w:rsidR="00425D76">
        <w:t>1 ust.</w:t>
      </w:r>
      <w:r w:rsidR="00F861AE">
        <w:t xml:space="preserve"> </w:t>
      </w:r>
      <w:r w:rsidR="00425D76">
        <w:t>1 ustawy z</w:t>
      </w:r>
      <w:r w:rsidR="0067654E">
        <w:t> </w:t>
      </w:r>
      <w:r w:rsidR="00425D76">
        <w:t>1988</w:t>
      </w:r>
      <w:r w:rsidR="0067654E">
        <w:t> </w:t>
      </w:r>
      <w:r w:rsidR="00425D76">
        <w:t xml:space="preserve">r. Nie należy pomijać faktu, że wyrok </w:t>
      </w:r>
      <w:r w:rsidR="007D7700">
        <w:t xml:space="preserve">sądu </w:t>
      </w:r>
      <w:r w:rsidR="00425D76">
        <w:t>pierwszej instancji, na</w:t>
      </w:r>
      <w:r w:rsidR="0067654E">
        <w:t> </w:t>
      </w:r>
      <w:r w:rsidR="00425D76">
        <w:t>który powoływał się Rząd, w drugiej instancji uchylono, a Najwyższy Sąd Administracyjny, zgodnie ze swoim utrwalonym orzecznictwem w</w:t>
      </w:r>
      <w:r w:rsidR="0067654E">
        <w:t> </w:t>
      </w:r>
      <w:r w:rsidR="00425D76">
        <w:t>tej</w:t>
      </w:r>
      <w:r w:rsidR="0067654E">
        <w:t> </w:t>
      </w:r>
      <w:r w:rsidR="00425D76">
        <w:t>kwestii, skrytykował sąd niższej instancji za to, że – powołując się na</w:t>
      </w:r>
      <w:r w:rsidR="0067654E">
        <w:t> </w:t>
      </w:r>
      <w:r w:rsidR="00425D76">
        <w:t>orzeczenia Trybunału – zlekceważył ograniczenia wynikające z</w:t>
      </w:r>
      <w:r w:rsidR="0067654E">
        <w:t> </w:t>
      </w:r>
      <w:r w:rsidR="00425D76">
        <w:t>krajowych reguł dowodowych (zob.</w:t>
      </w:r>
      <w:r w:rsidR="00F861AE">
        <w:t xml:space="preserve"> </w:t>
      </w:r>
      <w:r w:rsidR="00425D76">
        <w:t xml:space="preserve">paragraf </w:t>
      </w:r>
      <w:r>
        <w:t>38</w:t>
      </w:r>
      <w:r w:rsidR="00F861AE">
        <w:t xml:space="preserve"> </w:t>
      </w:r>
      <w:r w:rsidR="00425D76">
        <w:t>powyżej oraz por.</w:t>
      </w:r>
      <w:r w:rsidR="00F861AE">
        <w:t xml:space="preserve"> </w:t>
      </w:r>
      <w:r w:rsidR="00425D76">
        <w:rPr>
          <w:i/>
        </w:rPr>
        <w:t xml:space="preserve">mutatis </w:t>
      </w:r>
      <w:r w:rsidR="00425D76">
        <w:rPr>
          <w:i/>
        </w:rPr>
        <w:lastRenderedPageBreak/>
        <w:t>mutandis</w:t>
      </w:r>
      <w:r w:rsidR="00425D76">
        <w:t xml:space="preserve">, </w:t>
      </w:r>
      <w:r w:rsidR="00425D76">
        <w:rPr>
          <w:i/>
        </w:rPr>
        <w:t>Posevini przeciwko Bułgarii</w:t>
      </w:r>
      <w:r w:rsidR="00425D76">
        <w:t>, nr 63638/14, §</w:t>
      </w:r>
      <w:r w:rsidR="00F861AE">
        <w:t xml:space="preserve"> </w:t>
      </w:r>
      <w:r w:rsidR="00425D76">
        <w:t>55, 19</w:t>
      </w:r>
      <w:r w:rsidR="00F861AE">
        <w:t xml:space="preserve"> </w:t>
      </w:r>
      <w:r w:rsidR="00425D76">
        <w:t>stycznia 2017</w:t>
      </w:r>
      <w:r w:rsidR="0067654E">
        <w:t> </w:t>
      </w:r>
      <w:r w:rsidR="00425D76">
        <w:t>r.).</w:t>
      </w:r>
    </w:p>
    <w:p w14:paraId="0076E89E" w14:textId="34EDDFB9" w:rsidR="00274BF8" w:rsidRPr="006A41BD" w:rsidRDefault="00142EC5" w:rsidP="006A41BD">
      <w:pPr>
        <w:pStyle w:val="ECHRPara"/>
      </w:pPr>
      <w:bookmarkStart w:id="43" w:name="L_exhaustion_13"/>
      <w:r>
        <w:rPr>
          <w:noProof/>
        </w:rPr>
        <w:t>60</w:t>
      </w:r>
      <w:bookmarkEnd w:id="43"/>
      <w:r w:rsidR="00E313E0">
        <w:t>.</w:t>
      </w:r>
      <w:r w:rsidR="00F861AE">
        <w:t xml:space="preserve"> </w:t>
      </w:r>
      <w:r w:rsidR="00E313E0">
        <w:t>Sprzeciw Rządu nie zasługuje zatem na uznanie.</w:t>
      </w:r>
    </w:p>
    <w:p w14:paraId="6CC69FE1" w14:textId="24AC9659" w:rsidR="00C536F3" w:rsidRPr="006A41BD" w:rsidRDefault="00C536F3" w:rsidP="006A41BD">
      <w:pPr>
        <w:pStyle w:val="ECHRHeading3"/>
        <w:outlineLvl w:val="3"/>
      </w:pPr>
      <w:r>
        <w:t>2.</w:t>
      </w:r>
      <w:r w:rsidR="00F861AE">
        <w:t xml:space="preserve"> </w:t>
      </w:r>
      <w:r w:rsidR="007D7700">
        <w:t xml:space="preserve">Zarzucane </w:t>
      </w:r>
      <w:r>
        <w:t>nadużycie prawa do skargi indywidualnej</w:t>
      </w:r>
    </w:p>
    <w:p w14:paraId="1AF07A92" w14:textId="0C109B84" w:rsidR="00630794" w:rsidRPr="006A41BD" w:rsidRDefault="00630794" w:rsidP="006A41BD">
      <w:pPr>
        <w:pStyle w:val="ECHRHeading4"/>
        <w:outlineLvl w:val="4"/>
      </w:pPr>
      <w:r>
        <w:t>a)</w:t>
      </w:r>
      <w:r w:rsidR="00F861AE">
        <w:t xml:space="preserve"> </w:t>
      </w:r>
      <w:r>
        <w:t>Stanowiska stron</w:t>
      </w:r>
    </w:p>
    <w:p w14:paraId="169AED69" w14:textId="1CCED92A" w:rsidR="00C536F3" w:rsidRPr="006A41BD" w:rsidRDefault="00142EC5" w:rsidP="006A41BD">
      <w:pPr>
        <w:pStyle w:val="ECHRPara"/>
      </w:pPr>
      <w:r>
        <w:rPr>
          <w:noProof/>
        </w:rPr>
        <w:t>61</w:t>
      </w:r>
      <w:r w:rsidR="00C536F3">
        <w:t>.</w:t>
      </w:r>
      <w:r w:rsidR="00F861AE">
        <w:t xml:space="preserve"> </w:t>
      </w:r>
      <w:r w:rsidR="00C536F3">
        <w:t xml:space="preserve">Rząd podniósł, że skarżący – pomijając w skardze do Trybunału fakt złożenia w Bułgarii wniosków o udzielenie ochrony międzynarodowej oraz nie informując </w:t>
      </w:r>
      <w:r w:rsidR="007D7700">
        <w:t xml:space="preserve">go </w:t>
      </w:r>
      <w:r w:rsidR="00C536F3">
        <w:t>o przebiegu postępowania w sprawie ich wniosków o</w:t>
      </w:r>
      <w:r w:rsidR="0067654E">
        <w:t> </w:t>
      </w:r>
      <w:r w:rsidR="00C536F3">
        <w:t xml:space="preserve">udzielenie ochrony międzynarodowej złożonych w Szwajcarii – usiłowali wprowadzić Trybunał w błąd i tym samym dopuścili się nadużycia prawa do skargi indywidualnej. Można przypuszczać, że skarga do Trybunału posłużyła skarżącym do poparcia ich </w:t>
      </w:r>
      <w:r w:rsidR="007D7700">
        <w:t>odwołań od</w:t>
      </w:r>
      <w:r w:rsidR="00C536F3">
        <w:t xml:space="preserve"> decyzji organów szwajcarskich o przekazaniu skarżących z powrotem do Bułgarii.</w:t>
      </w:r>
    </w:p>
    <w:p w14:paraId="50929BBA" w14:textId="01C79DC9" w:rsidR="00C536F3" w:rsidRPr="006A41BD" w:rsidRDefault="00142EC5" w:rsidP="006A41BD">
      <w:pPr>
        <w:pStyle w:val="ECHRPara"/>
      </w:pPr>
      <w:r>
        <w:rPr>
          <w:noProof/>
        </w:rPr>
        <w:t>62</w:t>
      </w:r>
      <w:r w:rsidR="00C536F3">
        <w:t>.</w:t>
      </w:r>
      <w:r w:rsidR="00F861AE">
        <w:t xml:space="preserve"> </w:t>
      </w:r>
      <w:r w:rsidR="00C536F3">
        <w:t>Skarżący nie przedstawili swojego stanowiska w tej kwestii.</w:t>
      </w:r>
    </w:p>
    <w:p w14:paraId="236D0C75" w14:textId="61FCEC5A" w:rsidR="00630794" w:rsidRPr="006A41BD" w:rsidRDefault="00630794" w:rsidP="006A41BD">
      <w:pPr>
        <w:pStyle w:val="ECHRHeading4"/>
        <w:outlineLvl w:val="4"/>
      </w:pPr>
      <w:r>
        <w:t>b)</w:t>
      </w:r>
      <w:r w:rsidR="00F861AE">
        <w:t xml:space="preserve"> </w:t>
      </w:r>
      <w:r>
        <w:t>Ocena Trybunału</w:t>
      </w:r>
    </w:p>
    <w:p w14:paraId="2983AED6" w14:textId="3DBF77E4" w:rsidR="00386F98" w:rsidRPr="006A41BD" w:rsidRDefault="00142EC5" w:rsidP="006A41BD">
      <w:pPr>
        <w:pStyle w:val="ECHRPara"/>
      </w:pPr>
      <w:bookmarkStart w:id="44" w:name="L_abuse_1"/>
      <w:r>
        <w:rPr>
          <w:noProof/>
        </w:rPr>
        <w:t>63</w:t>
      </w:r>
      <w:bookmarkEnd w:id="44"/>
      <w:r w:rsidR="00C536F3">
        <w:t>.</w:t>
      </w:r>
      <w:r w:rsidR="00F861AE">
        <w:t xml:space="preserve"> </w:t>
      </w:r>
      <w:r w:rsidR="00C536F3">
        <w:t>Przedłożenie przez skarżących niepełnych informacji może stanowić „nadużycie prawa do skargi indywidualnej” w rozumieniu art.</w:t>
      </w:r>
      <w:r w:rsidR="00F861AE">
        <w:t xml:space="preserve"> </w:t>
      </w:r>
      <w:r w:rsidR="00C536F3">
        <w:t>35 ust.</w:t>
      </w:r>
      <w:r w:rsidR="00F861AE">
        <w:t xml:space="preserve"> </w:t>
      </w:r>
      <w:r w:rsidR="00C536F3">
        <w:t>3 lit.</w:t>
      </w:r>
      <w:r w:rsidR="00F861AE">
        <w:t xml:space="preserve"> </w:t>
      </w:r>
      <w:r w:rsidR="00C536F3">
        <w:t>a Konwencji, zwłaszcza jeżeli informacje dotyczą istoty sprawy lub istotnych okoliczności, a brak ich ujawnienia nie został wystarczająco uzasadniony. Niezwrócenie przez skarżącego uwagi Trybunału na istotne zmiany okoliczności zachodzące w toku postępowania również można uznać za</w:t>
      </w:r>
      <w:r w:rsidR="0067654E">
        <w:t> </w:t>
      </w:r>
      <w:r w:rsidR="00C536F3">
        <w:t>takie nadużycie (zob.</w:t>
      </w:r>
      <w:r w:rsidR="00F861AE">
        <w:t xml:space="preserve"> </w:t>
      </w:r>
      <w:r w:rsidR="00C536F3">
        <w:rPr>
          <w:i/>
        </w:rPr>
        <w:t>S.A.S.</w:t>
      </w:r>
      <w:r w:rsidR="00C536F3">
        <w:t xml:space="preserve"> </w:t>
      </w:r>
      <w:r w:rsidR="00C536F3">
        <w:rPr>
          <w:i/>
        </w:rPr>
        <w:t xml:space="preserve">przeciwko Francji </w:t>
      </w:r>
      <w:r w:rsidR="00C536F3">
        <w:t>[WI]</w:t>
      </w:r>
      <w:r w:rsidR="00C536F3">
        <w:rPr>
          <w:snapToGrid w:val="0"/>
        </w:rPr>
        <w:t xml:space="preserve">, </w:t>
      </w:r>
      <w:r w:rsidR="00C536F3">
        <w:t>nr</w:t>
      </w:r>
      <w:r w:rsidR="00F861AE">
        <w:t xml:space="preserve"> </w:t>
      </w:r>
      <w:r w:rsidR="00C536F3">
        <w:t>43835/11, §</w:t>
      </w:r>
      <w:r w:rsidR="00F861AE">
        <w:t xml:space="preserve"> </w:t>
      </w:r>
      <w:r w:rsidR="00C536F3">
        <w:t>67, 1</w:t>
      </w:r>
      <w:r w:rsidR="0067654E">
        <w:t> </w:t>
      </w:r>
      <w:r w:rsidR="00C536F3">
        <w:t>lipca 2014</w:t>
      </w:r>
      <w:r w:rsidR="00F861AE">
        <w:t xml:space="preserve"> </w:t>
      </w:r>
      <w:r w:rsidR="00C536F3">
        <w:t xml:space="preserve">r., oraz </w:t>
      </w:r>
      <w:r w:rsidR="00C536F3">
        <w:rPr>
          <w:i/>
        </w:rPr>
        <w:t xml:space="preserve">Gross przeciwko Szwajcarii </w:t>
      </w:r>
      <w:r w:rsidR="00C536F3">
        <w:t>[WI]</w:t>
      </w:r>
      <w:r w:rsidR="00C536F3">
        <w:rPr>
          <w:snapToGrid w:val="0"/>
        </w:rPr>
        <w:t>, nr</w:t>
      </w:r>
      <w:r w:rsidR="00F861AE">
        <w:t xml:space="preserve"> </w:t>
      </w:r>
      <w:r w:rsidR="00C536F3">
        <w:t>67810/10, §</w:t>
      </w:r>
      <w:r w:rsidR="00F861AE">
        <w:t xml:space="preserve"> </w:t>
      </w:r>
      <w:r w:rsidR="00C536F3">
        <w:t xml:space="preserve">28, </w:t>
      </w:r>
      <w:r w:rsidR="000E3703">
        <w:t>ETPC</w:t>
      </w:r>
      <w:r w:rsidR="00C536F3">
        <w:t xml:space="preserve"> 2014, z dalszymi odniesieniami).</w:t>
      </w:r>
    </w:p>
    <w:p w14:paraId="3BD70269" w14:textId="18BB51B9" w:rsidR="00C51595" w:rsidRPr="006A41BD" w:rsidRDefault="00142EC5" w:rsidP="006A41BD">
      <w:pPr>
        <w:pStyle w:val="ECHRPara"/>
      </w:pPr>
      <w:bookmarkStart w:id="45" w:name="L_abuse_2"/>
      <w:r>
        <w:rPr>
          <w:noProof/>
        </w:rPr>
        <w:t>64</w:t>
      </w:r>
      <w:bookmarkEnd w:id="45"/>
      <w:r w:rsidR="000F00AD">
        <w:t>.</w:t>
      </w:r>
      <w:r w:rsidR="00F861AE">
        <w:t xml:space="preserve"> </w:t>
      </w:r>
      <w:r w:rsidR="000F00AD">
        <w:t xml:space="preserve">Jedynym </w:t>
      </w:r>
      <w:r w:rsidR="00150D4E">
        <w:t xml:space="preserve">istotnym </w:t>
      </w:r>
      <w:r w:rsidR="000F00AD">
        <w:t>zarzutem rozpatrywanym w przedmiotowej sprawie był zarzut naruszenia przez Bułgarię art.</w:t>
      </w:r>
      <w:r w:rsidR="00F861AE">
        <w:t xml:space="preserve"> </w:t>
      </w:r>
      <w:r w:rsidR="000F00AD">
        <w:t>3 Konwencji odnoszący się</w:t>
      </w:r>
      <w:r w:rsidR="00150D4E">
        <w:t xml:space="preserve"> </w:t>
      </w:r>
      <w:r w:rsidR="000F00AD">
        <w:t xml:space="preserve">do warunków </w:t>
      </w:r>
      <w:r w:rsidR="00150D4E">
        <w:t xml:space="preserve">pozbawienia wolności </w:t>
      </w:r>
      <w:r w:rsidR="000F00AD">
        <w:t>trzeciego, czwartego i piątego skarżącego. W swojej skardze skarżący przedstawili szczegółowy opis stanu faktycznego dotyczącego tego zarzutu. Informacje o wnioskach o udzielenie ochrony międzynarodowej w Bułgarii i Szwajcarii oraz sposobie ich</w:t>
      </w:r>
      <w:r w:rsidR="0067654E">
        <w:t> </w:t>
      </w:r>
      <w:r w:rsidR="000F00AD">
        <w:t>rozpatrzenia (zob.</w:t>
      </w:r>
      <w:r w:rsidR="00F861AE">
        <w:t xml:space="preserve"> </w:t>
      </w:r>
      <w:r w:rsidR="000F00AD">
        <w:t xml:space="preserve">paragrafy </w:t>
      </w:r>
      <w:r>
        <w:t>30</w:t>
      </w:r>
      <w:r w:rsidR="000F00AD">
        <w:t xml:space="preserve"> i </w:t>
      </w:r>
      <w:r>
        <w:t>31</w:t>
      </w:r>
      <w:r w:rsidR="00F861AE">
        <w:t xml:space="preserve"> </w:t>
      </w:r>
      <w:r w:rsidR="000F00AD">
        <w:t>powyżej) się do niego nie odnoszą. Informacje te byłyby istotne, gdyby skarga skarżących przeciwko Bułgarii obejmowała też ewentualne wydalenie do państwa pochodzenia, lub</w:t>
      </w:r>
      <w:r w:rsidR="0067654E">
        <w:t> </w:t>
      </w:r>
      <w:r w:rsidR="000F00AD">
        <w:t>w</w:t>
      </w:r>
      <w:r w:rsidR="0067654E">
        <w:t> </w:t>
      </w:r>
      <w:r w:rsidR="000F00AD">
        <w:t>przypadku Szwajcarii – zamiar przekazania skarżących przez władze Szwajcarii z powrotem do Bułgarii na mocy rozporządzenia Dublin</w:t>
      </w:r>
      <w:r w:rsidR="00F861AE">
        <w:t xml:space="preserve"> </w:t>
      </w:r>
      <w:r w:rsidR="000F00AD">
        <w:t>III. Tak</w:t>
      </w:r>
      <w:r w:rsidR="0067654E">
        <w:t> </w:t>
      </w:r>
      <w:r w:rsidR="000F00AD">
        <w:t>jednak nie było (por.</w:t>
      </w:r>
      <w:r w:rsidR="00F861AE">
        <w:t xml:space="preserve"> </w:t>
      </w:r>
      <w:r w:rsidR="000F00AD">
        <w:rPr>
          <w:i/>
        </w:rPr>
        <w:t xml:space="preserve">M.S.S. Przeciwko Belgii i Grecji </w:t>
      </w:r>
      <w:r w:rsidR="000F00AD">
        <w:t>[WI], nr</w:t>
      </w:r>
      <w:r w:rsidR="0067654E">
        <w:t> </w:t>
      </w:r>
      <w:r w:rsidR="000F00AD">
        <w:t>30696/09, §§</w:t>
      </w:r>
      <w:r w:rsidR="00F861AE">
        <w:t xml:space="preserve"> </w:t>
      </w:r>
      <w:r w:rsidR="000F00AD">
        <w:t xml:space="preserve">362-68, </w:t>
      </w:r>
      <w:r w:rsidR="000E3703">
        <w:t>ETPC</w:t>
      </w:r>
      <w:r w:rsidR="000F00AD">
        <w:t xml:space="preserve"> 2011; </w:t>
      </w:r>
      <w:r w:rsidR="000F00AD">
        <w:rPr>
          <w:i/>
        </w:rPr>
        <w:t xml:space="preserve">Tarakhel przeciwko Szwajcarii </w:t>
      </w:r>
      <w:r w:rsidR="000F00AD">
        <w:t>[WI], nr</w:t>
      </w:r>
      <w:r w:rsidR="00F861AE">
        <w:t xml:space="preserve"> </w:t>
      </w:r>
      <w:r w:rsidR="000F00AD">
        <w:t>29217/12, §§</w:t>
      </w:r>
      <w:r w:rsidR="00F861AE">
        <w:t xml:space="preserve"> </w:t>
      </w:r>
      <w:r w:rsidR="000F00AD">
        <w:t xml:space="preserve">53–122, </w:t>
      </w:r>
      <w:r w:rsidR="000E3703">
        <w:t>ETPC</w:t>
      </w:r>
      <w:r w:rsidR="000F00AD">
        <w:t xml:space="preserve"> 2014 (fragmenty); oraz</w:t>
      </w:r>
      <w:r w:rsidR="000F00AD">
        <w:rPr>
          <w:i/>
        </w:rPr>
        <w:t xml:space="preserve"> A.S.</w:t>
      </w:r>
      <w:r w:rsidR="000F00AD">
        <w:t xml:space="preserve"> </w:t>
      </w:r>
      <w:r w:rsidR="000F00AD">
        <w:rPr>
          <w:i/>
        </w:rPr>
        <w:t>przeciwko Szwajcarii</w:t>
      </w:r>
      <w:r w:rsidR="000F00AD">
        <w:rPr>
          <w:snapToGrid w:val="0"/>
        </w:rPr>
        <w:t xml:space="preserve">, </w:t>
      </w:r>
      <w:r w:rsidR="000F00AD">
        <w:t>nr 39350/13</w:t>
      </w:r>
      <w:r w:rsidR="000F00AD">
        <w:rPr>
          <w:snapToGrid w:val="0"/>
        </w:rPr>
        <w:t>, §§</w:t>
      </w:r>
      <w:r w:rsidR="00F861AE">
        <w:rPr>
          <w:snapToGrid w:val="0"/>
        </w:rPr>
        <w:t xml:space="preserve"> </w:t>
      </w:r>
      <w:r w:rsidR="000F00AD">
        <w:rPr>
          <w:snapToGrid w:val="0"/>
        </w:rPr>
        <w:t xml:space="preserve">15–38, </w:t>
      </w:r>
      <w:r w:rsidR="000F00AD">
        <w:t>30</w:t>
      </w:r>
      <w:r w:rsidR="000F00AD">
        <w:rPr>
          <w:snapToGrid w:val="0"/>
        </w:rPr>
        <w:t xml:space="preserve"> czerwca 2015</w:t>
      </w:r>
      <w:r w:rsidR="00F861AE">
        <w:rPr>
          <w:snapToGrid w:val="0"/>
        </w:rPr>
        <w:t xml:space="preserve"> </w:t>
      </w:r>
      <w:r w:rsidR="000F00AD">
        <w:rPr>
          <w:snapToGrid w:val="0"/>
        </w:rPr>
        <w:t>r.</w:t>
      </w:r>
      <w:r w:rsidR="000F00AD">
        <w:t xml:space="preserve">). Rzekomy brak dostarczenia Trybunałowi pełnych informacji na temat tych okoliczności </w:t>
      </w:r>
      <w:r w:rsidR="000F00AD">
        <w:lastRenderedPageBreak/>
        <w:t>nie</w:t>
      </w:r>
      <w:r w:rsidR="0067654E">
        <w:t> </w:t>
      </w:r>
      <w:r w:rsidR="000F00AD">
        <w:t>powoduje z</w:t>
      </w:r>
      <w:r w:rsidR="00150D4E">
        <w:t xml:space="preserve">atem powstania kwestii na gruncie </w:t>
      </w:r>
      <w:r w:rsidR="000F00AD">
        <w:t>art.</w:t>
      </w:r>
      <w:r w:rsidR="00F861AE">
        <w:t xml:space="preserve"> </w:t>
      </w:r>
      <w:r w:rsidR="000F00AD">
        <w:t>35 ust.</w:t>
      </w:r>
      <w:r w:rsidR="00F861AE">
        <w:t xml:space="preserve"> </w:t>
      </w:r>
      <w:r w:rsidR="000F00AD">
        <w:t>3 lit.</w:t>
      </w:r>
      <w:r w:rsidR="00F861AE">
        <w:t xml:space="preserve"> </w:t>
      </w:r>
      <w:r w:rsidR="005E639A">
        <w:t>a</w:t>
      </w:r>
      <w:r w:rsidR="000F00AD">
        <w:t xml:space="preserve"> Konwencji.</w:t>
      </w:r>
    </w:p>
    <w:p w14:paraId="4284589A" w14:textId="4084E2BE" w:rsidR="002B6C9C" w:rsidRPr="006A41BD" w:rsidRDefault="00142EC5" w:rsidP="006A41BD">
      <w:pPr>
        <w:pStyle w:val="ECHRPara"/>
        <w:keepNext/>
        <w:keepLines/>
      </w:pPr>
      <w:bookmarkStart w:id="46" w:name="L_abuse_3"/>
      <w:r>
        <w:rPr>
          <w:noProof/>
        </w:rPr>
        <w:t>65</w:t>
      </w:r>
      <w:bookmarkEnd w:id="46"/>
      <w:r w:rsidR="006B3CC5">
        <w:t>.</w:t>
      </w:r>
      <w:r w:rsidR="00F861AE">
        <w:t xml:space="preserve"> </w:t>
      </w:r>
      <w:r w:rsidR="006B3CC5">
        <w:t xml:space="preserve">Nawet gdyby skarżący wnieśli skargę do Trybunału nie tylko </w:t>
      </w:r>
      <w:r w:rsidR="00626227">
        <w:t xml:space="preserve">w celu </w:t>
      </w:r>
      <w:r w:rsidR="00284C7B">
        <w:t>dochodz</w:t>
      </w:r>
      <w:r w:rsidR="00626227">
        <w:t>enia</w:t>
      </w:r>
      <w:r w:rsidR="00284C7B">
        <w:t xml:space="preserve"> swych praw wynikających</w:t>
      </w:r>
      <w:r w:rsidR="006B3CC5">
        <w:t xml:space="preserve"> z art.</w:t>
      </w:r>
      <w:r w:rsidR="00F861AE">
        <w:t xml:space="preserve"> </w:t>
      </w:r>
      <w:r w:rsidR="006B3CC5">
        <w:t>3 Konwencji, lecz także w</w:t>
      </w:r>
      <w:r w:rsidR="0067654E">
        <w:t> </w:t>
      </w:r>
      <w:r w:rsidR="006B3CC5">
        <w:t>celu wykorzystania postępowania z myślą o wsparciu swoich wniosków o</w:t>
      </w:r>
      <w:r w:rsidR="0067654E">
        <w:t> </w:t>
      </w:r>
      <w:r w:rsidR="006B3CC5">
        <w:t>udzielenie ochrony międzynarodowej w Szwajcarii, nie oznaczałoby to, że</w:t>
      </w:r>
      <w:r w:rsidR="0067654E">
        <w:t> </w:t>
      </w:r>
      <w:r w:rsidR="006B3CC5">
        <w:t xml:space="preserve">ich skarga stanowiła </w:t>
      </w:r>
      <w:r w:rsidR="00284C7B">
        <w:t xml:space="preserve">nadużycie </w:t>
      </w:r>
      <w:r w:rsidR="006B3CC5">
        <w:t>(zob.</w:t>
      </w:r>
      <w:r w:rsidR="00F861AE">
        <w:t xml:space="preserve"> </w:t>
      </w:r>
      <w:r w:rsidR="006B3CC5">
        <w:rPr>
          <w:i/>
        </w:rPr>
        <w:t>mutatis mutandis</w:t>
      </w:r>
      <w:r w:rsidR="006B3CC5">
        <w:t xml:space="preserve">, </w:t>
      </w:r>
      <w:r w:rsidR="006B3CC5">
        <w:rPr>
          <w:i/>
        </w:rPr>
        <w:t>Loizidou przeciwko Turcji</w:t>
      </w:r>
      <w:r w:rsidR="006B3CC5">
        <w:t xml:space="preserve"> (zastrzeżenie wstępne), 23</w:t>
      </w:r>
      <w:r w:rsidR="00F861AE">
        <w:t xml:space="preserve"> </w:t>
      </w:r>
      <w:r w:rsidR="006B3CC5">
        <w:t>marca 1995</w:t>
      </w:r>
      <w:r w:rsidR="00F861AE">
        <w:t xml:space="preserve"> </w:t>
      </w:r>
      <w:r w:rsidR="006B3CC5">
        <w:t>r., §</w:t>
      </w:r>
      <w:r w:rsidR="00F861AE">
        <w:t xml:space="preserve"> </w:t>
      </w:r>
      <w:r w:rsidR="006B3CC5">
        <w:t>45, Seria</w:t>
      </w:r>
      <w:r w:rsidR="00F861AE">
        <w:t xml:space="preserve"> </w:t>
      </w:r>
      <w:r w:rsidR="006B3CC5">
        <w:t>A nr</w:t>
      </w:r>
      <w:r w:rsidR="0067654E">
        <w:t> </w:t>
      </w:r>
      <w:r w:rsidR="006B3CC5">
        <w:t xml:space="preserve">310; </w:t>
      </w:r>
      <w:r w:rsidR="006B3CC5">
        <w:rPr>
          <w:i/>
        </w:rPr>
        <w:t>Foti i Inni przeciwko Włochom</w:t>
      </w:r>
      <w:r w:rsidR="006B3CC5">
        <w:t>, nr</w:t>
      </w:r>
      <w:r w:rsidR="00F861AE">
        <w:t xml:space="preserve"> </w:t>
      </w:r>
      <w:r w:rsidR="006B3CC5">
        <w:t>7604/76 i 3</w:t>
      </w:r>
      <w:r w:rsidR="00F861AE">
        <w:t xml:space="preserve"> </w:t>
      </w:r>
      <w:r w:rsidR="006B3CC5">
        <w:t>inne, decyzja Komisji z dnia 11</w:t>
      </w:r>
      <w:r w:rsidR="00F861AE">
        <w:t xml:space="preserve"> </w:t>
      </w:r>
      <w:r w:rsidR="006B3CC5">
        <w:t>maja 1978</w:t>
      </w:r>
      <w:r w:rsidR="00F861AE">
        <w:t xml:space="preserve"> </w:t>
      </w:r>
      <w:r w:rsidR="006B3CC5">
        <w:t>r., Decyzje i raporty (DR) c14, s.</w:t>
      </w:r>
      <w:r w:rsidR="00F861AE">
        <w:t xml:space="preserve"> </w:t>
      </w:r>
      <w:r w:rsidR="006B3CC5">
        <w:t>140, na s. 143; oraz</w:t>
      </w:r>
      <w:r w:rsidR="0067654E">
        <w:t> </w:t>
      </w:r>
      <w:r w:rsidR="006B3CC5">
        <w:rPr>
          <w:i/>
        </w:rPr>
        <w:t>McFeeley i Inni przeciwko Zjednoczonemu Królestwu</w:t>
      </w:r>
      <w:r w:rsidR="006B3CC5">
        <w:t>, nr</w:t>
      </w:r>
      <w:r w:rsidR="00F861AE">
        <w:t xml:space="preserve"> </w:t>
      </w:r>
      <w:r w:rsidR="006B3CC5">
        <w:t>8317/78, decyzja Komisji z dnia 15</w:t>
      </w:r>
      <w:r w:rsidR="00F861AE">
        <w:t xml:space="preserve"> </w:t>
      </w:r>
      <w:r w:rsidR="006B3CC5">
        <w:t>maja 1980</w:t>
      </w:r>
      <w:r w:rsidR="00F861AE">
        <w:t xml:space="preserve"> </w:t>
      </w:r>
      <w:r w:rsidR="006B3CC5">
        <w:t>r. DR</w:t>
      </w:r>
      <w:r w:rsidR="00F861AE">
        <w:t xml:space="preserve"> </w:t>
      </w:r>
      <w:r w:rsidR="006B3CC5">
        <w:t>20, s.</w:t>
      </w:r>
      <w:r w:rsidR="00F861AE">
        <w:t xml:space="preserve"> </w:t>
      </w:r>
      <w:r w:rsidR="006B3CC5">
        <w:t>44, na s.</w:t>
      </w:r>
      <w:r w:rsidR="00F861AE">
        <w:t xml:space="preserve"> </w:t>
      </w:r>
      <w:r w:rsidR="006B3CC5">
        <w:t>70). Pojęcie „nadużycie prawa” w rozumieniu art.</w:t>
      </w:r>
      <w:r w:rsidR="00F861AE">
        <w:t xml:space="preserve"> </w:t>
      </w:r>
      <w:r w:rsidR="006B3CC5">
        <w:t>35 ust.</w:t>
      </w:r>
      <w:r w:rsidR="00F861AE">
        <w:t xml:space="preserve"> </w:t>
      </w:r>
      <w:r w:rsidR="006B3CC5">
        <w:t>3 lit.</w:t>
      </w:r>
      <w:r w:rsidR="00F861AE">
        <w:t xml:space="preserve"> </w:t>
      </w:r>
      <w:r w:rsidR="005E639A">
        <w:t>a</w:t>
      </w:r>
      <w:r w:rsidR="006B3CC5">
        <w:t xml:space="preserve"> Konwencji należy rozpatrywać w jego zwyczajowym znaczeniu – tj. jako szkodliwe wykonanie prawa przez osobę, której przysługuje, w sposób niezgodny z</w:t>
      </w:r>
      <w:r w:rsidR="0067654E">
        <w:t> </w:t>
      </w:r>
      <w:r w:rsidR="006B3CC5">
        <w:t>celem, w jakim je przyznano (zob.</w:t>
      </w:r>
      <w:r w:rsidR="00F861AE">
        <w:t xml:space="preserve"> </w:t>
      </w:r>
      <w:r w:rsidR="006B3CC5">
        <w:rPr>
          <w:i/>
        </w:rPr>
        <w:t>S.A.S. przeciwko Francji</w:t>
      </w:r>
      <w:r w:rsidR="006B3CC5">
        <w:t xml:space="preserve">, </w:t>
      </w:r>
      <w:r w:rsidR="006B3CC5">
        <w:rPr>
          <w:i/>
          <w:iCs/>
        </w:rPr>
        <w:t>op.</w:t>
      </w:r>
      <w:r w:rsidR="00F861AE">
        <w:rPr>
          <w:i/>
          <w:iCs/>
        </w:rPr>
        <w:t xml:space="preserve"> </w:t>
      </w:r>
      <w:r w:rsidR="006B3CC5">
        <w:rPr>
          <w:i/>
          <w:iCs/>
        </w:rPr>
        <w:t>cit</w:t>
      </w:r>
      <w:r w:rsidR="00DC6B1C">
        <w:rPr>
          <w:i/>
          <w:iCs/>
        </w:rPr>
        <w:t>.</w:t>
      </w:r>
      <w:r w:rsidR="006B3CC5">
        <w:t>, §</w:t>
      </w:r>
      <w:r w:rsidR="00F861AE">
        <w:t xml:space="preserve"> </w:t>
      </w:r>
      <w:r w:rsidR="006B3CC5">
        <w:t xml:space="preserve">66, w której to sprawie przywołano wyrok w sprawie </w:t>
      </w:r>
      <w:r w:rsidR="006B3CC5">
        <w:rPr>
          <w:i/>
        </w:rPr>
        <w:t>Miroļubovs i Inni przeciwko Łotwie</w:t>
      </w:r>
      <w:r w:rsidR="006B3CC5">
        <w:t>, nr</w:t>
      </w:r>
      <w:r w:rsidR="00F861AE">
        <w:t xml:space="preserve"> </w:t>
      </w:r>
      <w:r w:rsidR="006B3CC5">
        <w:t>798/05, §</w:t>
      </w:r>
      <w:r w:rsidR="00F861AE">
        <w:t xml:space="preserve"> </w:t>
      </w:r>
      <w:r w:rsidR="006B3CC5">
        <w:t>62, 15</w:t>
      </w:r>
      <w:r w:rsidR="00F861AE">
        <w:t xml:space="preserve"> </w:t>
      </w:r>
      <w:r w:rsidR="006B3CC5">
        <w:t>września 2009</w:t>
      </w:r>
      <w:r w:rsidR="00F861AE">
        <w:t xml:space="preserve"> </w:t>
      </w:r>
      <w:r w:rsidR="006B3CC5">
        <w:t>r.). Nie ma powodów, by sądzić, że skarżący usiłowali wpłynąć na bieg postępowania przed</w:t>
      </w:r>
      <w:r w:rsidR="0067654E">
        <w:t> </w:t>
      </w:r>
      <w:r w:rsidR="006B3CC5">
        <w:t>Trybunałem, aby osiągnąć cel sprzeczny z jego prawdziwym założeniem.</w:t>
      </w:r>
    </w:p>
    <w:p w14:paraId="6A47D958" w14:textId="2C5FCB6B" w:rsidR="00455482" w:rsidRPr="006A41BD" w:rsidRDefault="00142EC5" w:rsidP="006A41BD">
      <w:pPr>
        <w:pStyle w:val="ECHRPara"/>
        <w:keepNext/>
        <w:keepLines/>
      </w:pPr>
      <w:bookmarkStart w:id="47" w:name="L_abuse_4"/>
      <w:r>
        <w:rPr>
          <w:noProof/>
        </w:rPr>
        <w:t>66</w:t>
      </w:r>
      <w:bookmarkEnd w:id="47"/>
      <w:r w:rsidR="00455482">
        <w:t>.</w:t>
      </w:r>
      <w:r w:rsidR="00F861AE">
        <w:t xml:space="preserve"> </w:t>
      </w:r>
      <w:r w:rsidR="00455482">
        <w:t>Nie ma zatem podstaw ku temu, by stwierdzić, że skarga stanowi na</w:t>
      </w:r>
      <w:r w:rsidR="00284C7B">
        <w:t xml:space="preserve">dużycie na podstawie </w:t>
      </w:r>
      <w:r w:rsidR="00455482">
        <w:t>art.</w:t>
      </w:r>
      <w:r w:rsidR="00F861AE">
        <w:t xml:space="preserve"> </w:t>
      </w:r>
      <w:r w:rsidR="00455482">
        <w:t>35 ust.</w:t>
      </w:r>
      <w:r w:rsidR="00F861AE">
        <w:t xml:space="preserve"> </w:t>
      </w:r>
      <w:r w:rsidR="00455482">
        <w:t>3 lit.</w:t>
      </w:r>
      <w:r w:rsidR="00F861AE">
        <w:t xml:space="preserve"> </w:t>
      </w:r>
      <w:r w:rsidR="005E639A">
        <w:t>a</w:t>
      </w:r>
      <w:r w:rsidR="00455482">
        <w:t xml:space="preserve"> Konwencji.</w:t>
      </w:r>
    </w:p>
    <w:p w14:paraId="6169F728" w14:textId="720B8263" w:rsidR="002900B3" w:rsidRPr="006A41BD" w:rsidRDefault="00C536F3" w:rsidP="006A41BD">
      <w:pPr>
        <w:pStyle w:val="ECHRHeading3"/>
        <w:outlineLvl w:val="3"/>
      </w:pPr>
      <w:r>
        <w:t>3.</w:t>
      </w:r>
      <w:r w:rsidR="00F861AE">
        <w:t xml:space="preserve"> </w:t>
      </w:r>
      <w:r>
        <w:t>Wniosek co do dopuszczalności skargi</w:t>
      </w:r>
    </w:p>
    <w:p w14:paraId="393BB2D7" w14:textId="659D139A" w:rsidR="00647330" w:rsidRPr="006A41BD" w:rsidRDefault="00142EC5" w:rsidP="006A41BD">
      <w:pPr>
        <w:pStyle w:val="ECHRPara"/>
      </w:pPr>
      <w:r>
        <w:rPr>
          <w:noProof/>
        </w:rPr>
        <w:t>67</w:t>
      </w:r>
      <w:r w:rsidR="00647330">
        <w:t>.</w:t>
      </w:r>
      <w:r w:rsidR="00F861AE">
        <w:t xml:space="preserve"> </w:t>
      </w:r>
      <w:r w:rsidR="00647330">
        <w:t>Rzą</w:t>
      </w:r>
      <w:r w:rsidR="00626227">
        <w:t xml:space="preserve">d podniósł, </w:t>
      </w:r>
      <w:r w:rsidR="00647330">
        <w:t>ż</w:t>
      </w:r>
      <w:r w:rsidR="00626227">
        <w:t>e</w:t>
      </w:r>
      <w:r w:rsidR="00647330">
        <w:t xml:space="preserve"> </w:t>
      </w:r>
      <w:r w:rsidR="00284C7B">
        <w:t>ponieważ</w:t>
      </w:r>
      <w:r w:rsidR="00647330">
        <w:t xml:space="preserve"> skarżących traktowano w pełni zgodnie z właściwymi przepisami i władze uwzględniły </w:t>
      </w:r>
      <w:r w:rsidR="00284C7B">
        <w:t>ich zwiększoną wrażliwość</w:t>
      </w:r>
      <w:r w:rsidR="00647330">
        <w:t>, skargę należy uznać za w sposób oczywisty nieuzasadnioną.</w:t>
      </w:r>
    </w:p>
    <w:p w14:paraId="4248BEDE" w14:textId="3D33417B" w:rsidR="00647330" w:rsidRPr="006A41BD" w:rsidRDefault="00142EC5" w:rsidP="006A41BD">
      <w:pPr>
        <w:pStyle w:val="ECHRPara"/>
      </w:pPr>
      <w:r>
        <w:rPr>
          <w:noProof/>
        </w:rPr>
        <w:t>68</w:t>
      </w:r>
      <w:r w:rsidR="00647330">
        <w:t>.</w:t>
      </w:r>
      <w:r w:rsidR="00F861AE">
        <w:t xml:space="preserve"> </w:t>
      </w:r>
      <w:r w:rsidR="00647330">
        <w:t>Skarżący podtrzymali swoje zarzuty.</w:t>
      </w:r>
    </w:p>
    <w:p w14:paraId="7BCF1F8A" w14:textId="7725B6CA" w:rsidR="00014566" w:rsidRPr="006A41BD" w:rsidRDefault="00142EC5" w:rsidP="006A41BD">
      <w:pPr>
        <w:pStyle w:val="ECHRPara"/>
      </w:pPr>
      <w:r>
        <w:rPr>
          <w:noProof/>
        </w:rPr>
        <w:t>69</w:t>
      </w:r>
      <w:r w:rsidR="0002079C">
        <w:t>.</w:t>
      </w:r>
      <w:r w:rsidR="00F861AE">
        <w:t xml:space="preserve"> </w:t>
      </w:r>
      <w:r w:rsidR="0002079C">
        <w:t>Trybunał nie może zgodzić się ze stanowiskiem Rządu, że skarga ta</w:t>
      </w:r>
      <w:r w:rsidR="0067654E">
        <w:t> </w:t>
      </w:r>
      <w:r w:rsidR="0002079C">
        <w:t>jest w sposób oczywisty nieuzasadniona w rozumieniu art.</w:t>
      </w:r>
      <w:r w:rsidR="00F861AE">
        <w:t xml:space="preserve"> </w:t>
      </w:r>
      <w:r w:rsidR="0002079C">
        <w:t>35 ust.</w:t>
      </w:r>
      <w:r w:rsidR="00F861AE">
        <w:t xml:space="preserve"> </w:t>
      </w:r>
      <w:r w:rsidR="0002079C">
        <w:t>3 lit.</w:t>
      </w:r>
      <w:r w:rsidR="00F861AE">
        <w:t xml:space="preserve"> </w:t>
      </w:r>
      <w:r w:rsidR="005E639A">
        <w:t>a</w:t>
      </w:r>
      <w:r w:rsidR="0002079C">
        <w:t xml:space="preserve"> Konwencji. Skargi nie można też uznać za niedopuszczalną na żadnej innej podstawie. Należy ją zatem uznać za dopuszczalną.</w:t>
      </w:r>
    </w:p>
    <w:p w14:paraId="53F9E99E" w14:textId="7CE26A1A" w:rsidR="006C1382" w:rsidRPr="006A41BD" w:rsidRDefault="00821CD3" w:rsidP="006A41BD">
      <w:pPr>
        <w:pStyle w:val="ECHRHeading2"/>
        <w:outlineLvl w:val="2"/>
      </w:pPr>
      <w:r>
        <w:t>C.</w:t>
      </w:r>
      <w:r w:rsidR="00F861AE">
        <w:t xml:space="preserve"> </w:t>
      </w:r>
      <w:r>
        <w:t>Przedmiot skargi</w:t>
      </w:r>
    </w:p>
    <w:p w14:paraId="35842F3C" w14:textId="150D5811" w:rsidR="006C1382" w:rsidRPr="006A41BD" w:rsidRDefault="006C1382" w:rsidP="006A41BD">
      <w:pPr>
        <w:pStyle w:val="ECHRHeading3"/>
        <w:outlineLvl w:val="3"/>
      </w:pPr>
      <w:r>
        <w:t>1.</w:t>
      </w:r>
      <w:r w:rsidR="00F861AE">
        <w:t xml:space="preserve"> </w:t>
      </w:r>
      <w:r>
        <w:t>Dowód w postaci nagrania wideo przedstawiony przez skarżących</w:t>
      </w:r>
    </w:p>
    <w:p w14:paraId="2B14ECA9" w14:textId="3BF837F4" w:rsidR="006C1382" w:rsidRPr="006A41BD" w:rsidRDefault="006C1382" w:rsidP="006A41BD">
      <w:pPr>
        <w:pStyle w:val="ECHRHeading4"/>
        <w:outlineLvl w:val="4"/>
      </w:pPr>
      <w:r>
        <w:t>a)</w:t>
      </w:r>
      <w:r w:rsidR="00F861AE">
        <w:t xml:space="preserve"> </w:t>
      </w:r>
      <w:r>
        <w:t>Stanowiska stron</w:t>
      </w:r>
    </w:p>
    <w:p w14:paraId="5CC7DD65" w14:textId="1D3DBA8B" w:rsidR="00E00C49" w:rsidRPr="006A41BD" w:rsidRDefault="00142EC5" w:rsidP="006A41BD">
      <w:pPr>
        <w:pStyle w:val="ECHRPara"/>
      </w:pPr>
      <w:r>
        <w:rPr>
          <w:noProof/>
        </w:rPr>
        <w:t>70</w:t>
      </w:r>
      <w:r w:rsidR="00E00C49">
        <w:t>.</w:t>
      </w:r>
      <w:r w:rsidR="00F861AE">
        <w:t xml:space="preserve"> </w:t>
      </w:r>
      <w:r w:rsidR="00E00C49">
        <w:t xml:space="preserve">Rząd podniósł, że nagranie wideo przedstawione przez skarżących, które nie zostałoby dopuszczone w postępowaniu krajowym, nie mogło stanowić </w:t>
      </w:r>
      <w:r w:rsidR="00626227">
        <w:t>właściwego</w:t>
      </w:r>
      <w:r w:rsidR="00284C7B">
        <w:t xml:space="preserve"> </w:t>
      </w:r>
      <w:r w:rsidR="00E00C49">
        <w:t xml:space="preserve">dowodu także w przedmiotowym postępowaniu. Precyzyjne ustalenie daty i godziny zarejestrowania nagrania było </w:t>
      </w:r>
      <w:r w:rsidR="00E00C49">
        <w:lastRenderedPageBreak/>
        <w:t>niemożliwe, a jego jakość była bardzo niska. Oczywist</w:t>
      </w:r>
      <w:r w:rsidR="00284C7B">
        <w:t>e</w:t>
      </w:r>
      <w:r w:rsidR="00E00C49">
        <w:t xml:space="preserve"> jest, że zostało stworzone z myślą o wykorzystaniu w charakterze materiału dowodowego, a wiadomo, że nagraniami wideo można z łatwością manipulować. Na</w:t>
      </w:r>
      <w:r w:rsidR="0067654E">
        <w:t> </w:t>
      </w:r>
      <w:r w:rsidR="00E00C49">
        <w:t>nagraniu nie słychać osób mówiących w języku bułgarskim, nie widać przedmiotów, na których widniałyby napisy zapisane cyrylicą, nie ma też pewności co do tego, że widoczne w nim pomieszczenia to w</w:t>
      </w:r>
      <w:r w:rsidR="0067654E">
        <w:t> </w:t>
      </w:r>
      <w:r w:rsidR="00E00C49">
        <w:t>rzeczywistości wnętrza ośrodka detencyjnego straży granicznej w</w:t>
      </w:r>
      <w:r w:rsidR="0067654E">
        <w:t> </w:t>
      </w:r>
      <w:r w:rsidR="00E00C49">
        <w:t>Widyniu. W istocie nie było pewne, czy nagranie w ogóle zostało zarejestrowane w Bułgarii.</w:t>
      </w:r>
    </w:p>
    <w:p w14:paraId="7A8548E6" w14:textId="096A1771" w:rsidR="006C1382" w:rsidRPr="006A41BD" w:rsidRDefault="00142EC5" w:rsidP="006A41BD">
      <w:pPr>
        <w:pStyle w:val="ECHRPara"/>
      </w:pPr>
      <w:r>
        <w:rPr>
          <w:noProof/>
        </w:rPr>
        <w:t>71</w:t>
      </w:r>
      <w:r w:rsidR="006C1382">
        <w:t>.</w:t>
      </w:r>
      <w:r w:rsidR="00F861AE">
        <w:t xml:space="preserve"> </w:t>
      </w:r>
      <w:r w:rsidR="006C1382">
        <w:t>Skarżący złożyli wyjaśnienia dotyczące okoliczności zarejestrowania i późniejszego skopiowania nagrania wideo (zob.</w:t>
      </w:r>
      <w:r w:rsidR="00F861AE">
        <w:t xml:space="preserve"> </w:t>
      </w:r>
      <w:r w:rsidR="006C1382">
        <w:t xml:space="preserve">paragraf </w:t>
      </w:r>
      <w:r>
        <w:t>17</w:t>
      </w:r>
      <w:r w:rsidR="00F861AE">
        <w:t xml:space="preserve"> </w:t>
      </w:r>
      <w:r w:rsidR="006C1382">
        <w:t>powyżej).</w:t>
      </w:r>
    </w:p>
    <w:p w14:paraId="664A9E42" w14:textId="4611F9B5" w:rsidR="006C1382" w:rsidRPr="006A41BD" w:rsidRDefault="006C1382" w:rsidP="006A41BD">
      <w:pPr>
        <w:pStyle w:val="ECHRHeading4"/>
        <w:outlineLvl w:val="4"/>
      </w:pPr>
      <w:r>
        <w:t>b)</w:t>
      </w:r>
      <w:r w:rsidR="00F861AE">
        <w:t xml:space="preserve"> </w:t>
      </w:r>
      <w:r>
        <w:t>Ocena Trybunału</w:t>
      </w:r>
    </w:p>
    <w:p w14:paraId="57A629CF" w14:textId="3DDCB6AF" w:rsidR="00506A2D" w:rsidRPr="006A41BD" w:rsidRDefault="00142EC5" w:rsidP="006A41BD">
      <w:pPr>
        <w:pStyle w:val="ECHRPara"/>
      </w:pPr>
      <w:r>
        <w:rPr>
          <w:noProof/>
        </w:rPr>
        <w:t>72</w:t>
      </w:r>
      <w:r w:rsidR="006C1382">
        <w:t>.</w:t>
      </w:r>
      <w:r w:rsidR="00F861AE">
        <w:t xml:space="preserve"> </w:t>
      </w:r>
      <w:r w:rsidR="006C1382">
        <w:t>Zgodnie z utrwalonym orzecznictwem Trybunał może ocenić nie</w:t>
      </w:r>
      <w:r w:rsidR="0067654E">
        <w:t> </w:t>
      </w:r>
      <w:r w:rsidR="006C1382">
        <w:t>tylko dopuszczalność i przydatność, lecz także wartość dowodową każdego dowodu, który został mu przedstawiony (zob.</w:t>
      </w:r>
      <w:r w:rsidR="00F861AE">
        <w:t xml:space="preserve"> </w:t>
      </w:r>
      <w:r w:rsidR="006C1382">
        <w:rPr>
          <w:i/>
        </w:rPr>
        <w:t>Irlandia przeciwko Zjednoczonemu Królestwu</w:t>
      </w:r>
      <w:r w:rsidR="006C1382">
        <w:t>, 18</w:t>
      </w:r>
      <w:r w:rsidR="00F861AE">
        <w:t xml:space="preserve"> </w:t>
      </w:r>
      <w:r w:rsidR="006C1382">
        <w:t>stycznia 1978</w:t>
      </w:r>
      <w:r w:rsidR="00F861AE">
        <w:t xml:space="preserve"> </w:t>
      </w:r>
      <w:r w:rsidR="006C1382">
        <w:t>r., §</w:t>
      </w:r>
      <w:r w:rsidR="00F861AE">
        <w:t xml:space="preserve"> </w:t>
      </w:r>
      <w:r w:rsidR="006C1382">
        <w:t>210, Seria</w:t>
      </w:r>
      <w:r w:rsidR="00F861AE">
        <w:t xml:space="preserve"> </w:t>
      </w:r>
      <w:r w:rsidR="006C1382">
        <w:t>A nr</w:t>
      </w:r>
      <w:r w:rsidR="00F861AE">
        <w:t xml:space="preserve"> </w:t>
      </w:r>
      <w:r w:rsidR="006C1382">
        <w:t>25 oraz</w:t>
      </w:r>
      <w:r w:rsidR="0067654E">
        <w:t> </w:t>
      </w:r>
      <w:r w:rsidR="006C1382">
        <w:rPr>
          <w:i/>
        </w:rPr>
        <w:t xml:space="preserve">Janowiec i Inni przeciwko Rosji </w:t>
      </w:r>
      <w:r w:rsidR="006C1382">
        <w:t>[WI], nr</w:t>
      </w:r>
      <w:r w:rsidR="00F861AE">
        <w:t xml:space="preserve"> </w:t>
      </w:r>
      <w:r w:rsidR="006C1382">
        <w:t>55508/07 i 29520/09</w:t>
      </w:r>
      <w:r w:rsidR="006C1382">
        <w:rPr>
          <w:snapToGrid w:val="0"/>
        </w:rPr>
        <w:t>, §</w:t>
      </w:r>
      <w:r w:rsidR="00F861AE">
        <w:rPr>
          <w:snapToGrid w:val="0"/>
        </w:rPr>
        <w:t xml:space="preserve"> </w:t>
      </w:r>
      <w:r w:rsidR="006C1382">
        <w:rPr>
          <w:snapToGrid w:val="0"/>
        </w:rPr>
        <w:t xml:space="preserve">208, </w:t>
      </w:r>
      <w:r w:rsidR="000E3703">
        <w:t>ETPC</w:t>
      </w:r>
      <w:r w:rsidR="00F861AE">
        <w:t xml:space="preserve"> </w:t>
      </w:r>
      <w:r w:rsidR="006C1382">
        <w:t>2013). Trybunału nie wiążą ograniczenia proceduralne co</w:t>
      </w:r>
      <w:r w:rsidR="0067654E">
        <w:t> </w:t>
      </w:r>
      <w:r w:rsidR="006C1382">
        <w:t>do</w:t>
      </w:r>
      <w:r w:rsidR="0067654E">
        <w:t> </w:t>
      </w:r>
      <w:r w:rsidR="006C1382">
        <w:t>dopuszczalności materiału dowodowego i przyjmuje on wnioski, opierając się na swobodnej ocenie całego materiału dowodowego, w tym wniosków wynikających z okoliczności sprawy i stanowisk stron (zob.</w:t>
      </w:r>
      <w:r w:rsidR="0067654E">
        <w:t> </w:t>
      </w:r>
      <w:r w:rsidR="006C1382">
        <w:rPr>
          <w:i/>
        </w:rPr>
        <w:t xml:space="preserve">Nachova i Inni przeciwko Bułgarii </w:t>
      </w:r>
      <w:r w:rsidR="006C1382">
        <w:t>[WI], nr</w:t>
      </w:r>
      <w:r w:rsidR="00F861AE">
        <w:t xml:space="preserve"> </w:t>
      </w:r>
      <w:r w:rsidR="006C1382">
        <w:t>43577/98 i 43579/98, §</w:t>
      </w:r>
      <w:r w:rsidR="0067654E">
        <w:t> </w:t>
      </w:r>
      <w:r w:rsidR="006C1382">
        <w:t xml:space="preserve">147, </w:t>
      </w:r>
      <w:r w:rsidR="000E3703">
        <w:t>ETPC</w:t>
      </w:r>
      <w:r w:rsidR="006C1382">
        <w:t xml:space="preserve"> 2005-VII oraz, w odniesieniu do </w:t>
      </w:r>
      <w:r w:rsidR="00284C7B">
        <w:t>pozbawienia wolności</w:t>
      </w:r>
      <w:r w:rsidR="006C1382">
        <w:t xml:space="preserve"> małoletnich migrantów, </w:t>
      </w:r>
      <w:r w:rsidR="006C1382">
        <w:rPr>
          <w:i/>
        </w:rPr>
        <w:t>Rahimi</w:t>
      </w:r>
      <w:r w:rsidR="006C1382">
        <w:t xml:space="preserve">, </w:t>
      </w:r>
      <w:r w:rsidR="006C1382">
        <w:rPr>
          <w:i/>
          <w:iCs/>
        </w:rPr>
        <w:t>op.</w:t>
      </w:r>
      <w:r w:rsidR="00F861AE">
        <w:rPr>
          <w:i/>
          <w:iCs/>
        </w:rPr>
        <w:t xml:space="preserve"> </w:t>
      </w:r>
      <w:r w:rsidR="006C1382">
        <w:rPr>
          <w:i/>
          <w:iCs/>
        </w:rPr>
        <w:t>cit.</w:t>
      </w:r>
      <w:r w:rsidR="006C1382">
        <w:t>, §</w:t>
      </w:r>
      <w:r w:rsidR="00F861AE">
        <w:t xml:space="preserve"> </w:t>
      </w:r>
      <w:r w:rsidR="006C1382">
        <w:t>64). Powyższe ustalenia odzwierciedlają utrwaloną zasadę prawa międzynarodowego, zgodnie z</w:t>
      </w:r>
      <w:r w:rsidR="0067654E">
        <w:t> </w:t>
      </w:r>
      <w:r w:rsidR="006C1382">
        <w:t>którą sądy międzynarodowe nie są związane krajowymi regułami dowodowymi (zob.</w:t>
      </w:r>
      <w:r w:rsidR="00F861AE">
        <w:t xml:space="preserve"> </w:t>
      </w:r>
      <w:r w:rsidR="006C1382">
        <w:t xml:space="preserve">w odniesieniu do Trybunału </w:t>
      </w:r>
      <w:r w:rsidR="006C1382">
        <w:rPr>
          <w:i/>
        </w:rPr>
        <w:t>Al Nashiri przeciwko Polsce</w:t>
      </w:r>
      <w:r w:rsidR="006C1382">
        <w:rPr>
          <w:snapToGrid w:val="0"/>
        </w:rPr>
        <w:t>, nr</w:t>
      </w:r>
      <w:r w:rsidR="00F861AE">
        <w:rPr>
          <w:snapToGrid w:val="0"/>
        </w:rPr>
        <w:t xml:space="preserve"> </w:t>
      </w:r>
      <w:r w:rsidR="006C1382">
        <w:rPr>
          <w:snapToGrid w:val="0"/>
        </w:rPr>
        <w:t>28761/11, §</w:t>
      </w:r>
      <w:r w:rsidR="00F861AE">
        <w:rPr>
          <w:snapToGrid w:val="0"/>
        </w:rPr>
        <w:t xml:space="preserve"> </w:t>
      </w:r>
      <w:r w:rsidR="006C1382">
        <w:rPr>
          <w:snapToGrid w:val="0"/>
        </w:rPr>
        <w:t>23, 24</w:t>
      </w:r>
      <w:r w:rsidR="00F861AE">
        <w:rPr>
          <w:snapToGrid w:val="0"/>
        </w:rPr>
        <w:t xml:space="preserve"> </w:t>
      </w:r>
      <w:r w:rsidR="006C1382">
        <w:rPr>
          <w:snapToGrid w:val="0"/>
        </w:rPr>
        <w:t>lipca 2014</w:t>
      </w:r>
      <w:r w:rsidR="00F861AE">
        <w:rPr>
          <w:snapToGrid w:val="0"/>
        </w:rPr>
        <w:t xml:space="preserve"> </w:t>
      </w:r>
      <w:r w:rsidR="006C1382">
        <w:rPr>
          <w:snapToGrid w:val="0"/>
        </w:rPr>
        <w:t>r. oraz</w:t>
      </w:r>
      <w:r w:rsidR="00284C7B">
        <w:rPr>
          <w:snapToGrid w:val="0"/>
        </w:rPr>
        <w:t xml:space="preserve"> </w:t>
      </w:r>
      <w:r w:rsidR="006C1382">
        <w:rPr>
          <w:i/>
        </w:rPr>
        <w:t>Husayn (Abu Zubaydah)</w:t>
      </w:r>
      <w:r w:rsidR="006C1382">
        <w:rPr>
          <w:snapToGrid w:val="0"/>
        </w:rPr>
        <w:t xml:space="preserve"> </w:t>
      </w:r>
      <w:r w:rsidR="006C1382">
        <w:rPr>
          <w:i/>
        </w:rPr>
        <w:t>przeciwko Polsce</w:t>
      </w:r>
      <w:r w:rsidR="006C1382">
        <w:rPr>
          <w:snapToGrid w:val="0"/>
        </w:rPr>
        <w:t>, nr</w:t>
      </w:r>
      <w:r w:rsidR="00F861AE">
        <w:rPr>
          <w:snapToGrid w:val="0"/>
        </w:rPr>
        <w:t xml:space="preserve"> </w:t>
      </w:r>
      <w:r w:rsidR="006C1382">
        <w:rPr>
          <w:snapToGrid w:val="0"/>
        </w:rPr>
        <w:t>7511/13, §</w:t>
      </w:r>
      <w:r w:rsidR="00F861AE">
        <w:rPr>
          <w:snapToGrid w:val="0"/>
        </w:rPr>
        <w:t xml:space="preserve"> </w:t>
      </w:r>
      <w:r w:rsidR="006C1382">
        <w:rPr>
          <w:snapToGrid w:val="0"/>
        </w:rPr>
        <w:t>21, 24</w:t>
      </w:r>
      <w:r w:rsidR="00F861AE">
        <w:rPr>
          <w:snapToGrid w:val="0"/>
        </w:rPr>
        <w:t xml:space="preserve"> </w:t>
      </w:r>
      <w:r w:rsidR="006C1382">
        <w:rPr>
          <w:snapToGrid w:val="0"/>
        </w:rPr>
        <w:t>lipca 2014</w:t>
      </w:r>
      <w:r w:rsidR="00F861AE">
        <w:rPr>
          <w:snapToGrid w:val="0"/>
        </w:rPr>
        <w:t xml:space="preserve"> </w:t>
      </w:r>
      <w:r w:rsidR="006C1382">
        <w:rPr>
          <w:snapToGrid w:val="0"/>
        </w:rPr>
        <w:t>r.</w:t>
      </w:r>
      <w:r w:rsidR="006C1382">
        <w:t>).</w:t>
      </w:r>
    </w:p>
    <w:p w14:paraId="1C9ED041" w14:textId="30480A62" w:rsidR="00F33B55" w:rsidRPr="006A41BD" w:rsidRDefault="00142EC5" w:rsidP="006A41BD">
      <w:pPr>
        <w:pStyle w:val="ECHRPara"/>
      </w:pPr>
      <w:r>
        <w:rPr>
          <w:noProof/>
        </w:rPr>
        <w:t>73</w:t>
      </w:r>
      <w:r w:rsidR="00506A2D">
        <w:t>.</w:t>
      </w:r>
      <w:r w:rsidR="00F861AE">
        <w:t xml:space="preserve"> </w:t>
      </w:r>
      <w:r w:rsidR="00506A2D">
        <w:t>W istocie Trybunał opierał się już na materiale dowodowym w</w:t>
      </w:r>
      <w:r w:rsidR="0067654E">
        <w:t> </w:t>
      </w:r>
      <w:r w:rsidR="00506A2D">
        <w:t>postaci nagrań wideo, nie tylko w innych kontekstach (zob.</w:t>
      </w:r>
      <w:r w:rsidR="00F861AE">
        <w:t xml:space="preserve"> </w:t>
      </w:r>
      <w:r w:rsidR="00506A2D">
        <w:t xml:space="preserve">na przykład </w:t>
      </w:r>
      <w:r w:rsidR="00506A2D">
        <w:rPr>
          <w:i/>
        </w:rPr>
        <w:t>Scozzari i Giunta przeciwko Włochom</w:t>
      </w:r>
      <w:r w:rsidR="00506A2D">
        <w:t xml:space="preserve"> [WI], nr</w:t>
      </w:r>
      <w:r w:rsidR="00F861AE">
        <w:t xml:space="preserve"> </w:t>
      </w:r>
      <w:r w:rsidR="00506A2D">
        <w:t>39221/98 i 41963/98, §§</w:t>
      </w:r>
      <w:r w:rsidR="00F861AE">
        <w:t xml:space="preserve"> </w:t>
      </w:r>
      <w:r w:rsidR="00506A2D">
        <w:t xml:space="preserve">10, 91 i 176, </w:t>
      </w:r>
      <w:r w:rsidR="000E3703">
        <w:t>ETPC</w:t>
      </w:r>
      <w:r w:rsidR="00506A2D">
        <w:t xml:space="preserve"> 2000-VIII; </w:t>
      </w:r>
      <w:r w:rsidR="00506A2D">
        <w:rPr>
          <w:i/>
        </w:rPr>
        <w:t xml:space="preserve">Giuliani i Gaggio przeciwko Włochom </w:t>
      </w:r>
      <w:r w:rsidR="00506A2D">
        <w:t>[WI], nr</w:t>
      </w:r>
      <w:r w:rsidR="0067654E">
        <w:t> </w:t>
      </w:r>
      <w:r w:rsidR="00506A2D">
        <w:t>23458/02, §§</w:t>
      </w:r>
      <w:r w:rsidR="00F861AE">
        <w:t xml:space="preserve"> </w:t>
      </w:r>
      <w:r w:rsidR="00506A2D">
        <w:t xml:space="preserve">9, 139 i 185, </w:t>
      </w:r>
      <w:r w:rsidR="000E3703">
        <w:t>ETPC</w:t>
      </w:r>
      <w:r w:rsidR="00506A2D">
        <w:t xml:space="preserve"> 2011 (fragmenty); oraz </w:t>
      </w:r>
      <w:r w:rsidR="00506A2D">
        <w:rPr>
          <w:i/>
        </w:rPr>
        <w:t xml:space="preserve">Sargsyan przeciwko Azerbejdżanowi </w:t>
      </w:r>
      <w:r w:rsidR="00506A2D">
        <w:t>[WI], nr</w:t>
      </w:r>
      <w:r w:rsidR="00F861AE">
        <w:t xml:space="preserve"> </w:t>
      </w:r>
      <w:r w:rsidR="00506A2D">
        <w:t>40167/06, §§</w:t>
      </w:r>
      <w:r w:rsidR="00F861AE">
        <w:t xml:space="preserve"> </w:t>
      </w:r>
      <w:r w:rsidR="00506A2D">
        <w:t xml:space="preserve">11, 56, 61, 70 i 133, </w:t>
      </w:r>
      <w:r w:rsidR="000E3703">
        <w:t>ETPC</w:t>
      </w:r>
      <w:r w:rsidR="00506A2D">
        <w:t xml:space="preserve"> 2015), lecz także konkretnie w celu ustalenia warunków </w:t>
      </w:r>
      <w:r w:rsidR="00284C7B">
        <w:t xml:space="preserve">pozbawienia wolności </w:t>
      </w:r>
      <w:r w:rsidR="00506A2D">
        <w:t>małoletnich migrantów (zob.</w:t>
      </w:r>
      <w:r w:rsidR="00F861AE">
        <w:t xml:space="preserve"> </w:t>
      </w:r>
      <w:r w:rsidR="00506A2D">
        <w:rPr>
          <w:i/>
        </w:rPr>
        <w:t>Mahmundi i Inni przeciwko Grecji</w:t>
      </w:r>
      <w:r w:rsidR="00506A2D">
        <w:t>, nr</w:t>
      </w:r>
      <w:r w:rsidR="00F861AE">
        <w:t xml:space="preserve"> </w:t>
      </w:r>
      <w:r w:rsidR="00506A2D">
        <w:t>14902/10</w:t>
      </w:r>
      <w:r w:rsidR="00506A2D">
        <w:rPr>
          <w:snapToGrid w:val="0"/>
        </w:rPr>
        <w:t>, §§</w:t>
      </w:r>
      <w:r w:rsidR="00F861AE">
        <w:rPr>
          <w:snapToGrid w:val="0"/>
        </w:rPr>
        <w:t xml:space="preserve"> </w:t>
      </w:r>
      <w:r w:rsidR="00506A2D">
        <w:rPr>
          <w:snapToGrid w:val="0"/>
        </w:rPr>
        <w:t>60 i 64, 31</w:t>
      </w:r>
      <w:r w:rsidR="00F861AE">
        <w:rPr>
          <w:snapToGrid w:val="0"/>
        </w:rPr>
        <w:t xml:space="preserve"> </w:t>
      </w:r>
      <w:r w:rsidR="00506A2D">
        <w:rPr>
          <w:snapToGrid w:val="0"/>
        </w:rPr>
        <w:t>lipca 2012</w:t>
      </w:r>
      <w:r w:rsidR="00F861AE">
        <w:rPr>
          <w:snapToGrid w:val="0"/>
        </w:rPr>
        <w:t xml:space="preserve"> </w:t>
      </w:r>
      <w:r w:rsidR="00506A2D">
        <w:rPr>
          <w:snapToGrid w:val="0"/>
        </w:rPr>
        <w:t>r.</w:t>
      </w:r>
      <w:r w:rsidR="00506A2D">
        <w:t>). Co więcej, Trybunał</w:t>
      </w:r>
      <w:r w:rsidR="00AF6140">
        <w:t xml:space="preserve"> wzywał pozwane R</w:t>
      </w:r>
      <w:r w:rsidR="00506A2D">
        <w:t xml:space="preserve">ządy do przedstawienia materiału dowodowego w postaci nagrań wideo w sprawach dotyczących warunków </w:t>
      </w:r>
      <w:r w:rsidR="00284C7B">
        <w:t xml:space="preserve">pozbawienia wolności </w:t>
      </w:r>
      <w:r w:rsidR="00506A2D">
        <w:t>(zob.</w:t>
      </w:r>
      <w:r w:rsidR="0067654E">
        <w:t> </w:t>
      </w:r>
      <w:r w:rsidR="00506A2D">
        <w:rPr>
          <w:i/>
        </w:rPr>
        <w:t>Alimov przeciwko Turcji</w:t>
      </w:r>
      <w:r w:rsidR="00506A2D">
        <w:rPr>
          <w:snapToGrid w:val="0"/>
        </w:rPr>
        <w:t xml:space="preserve">, </w:t>
      </w:r>
      <w:r w:rsidR="00506A2D">
        <w:t>nr</w:t>
      </w:r>
      <w:r w:rsidR="00F861AE">
        <w:t xml:space="preserve"> </w:t>
      </w:r>
      <w:r w:rsidR="00506A2D">
        <w:t>14344/13</w:t>
      </w:r>
      <w:r w:rsidR="00506A2D">
        <w:rPr>
          <w:snapToGrid w:val="0"/>
        </w:rPr>
        <w:t>, §</w:t>
      </w:r>
      <w:r w:rsidR="00F861AE">
        <w:rPr>
          <w:snapToGrid w:val="0"/>
        </w:rPr>
        <w:t xml:space="preserve"> </w:t>
      </w:r>
      <w:r w:rsidR="00506A2D">
        <w:rPr>
          <w:snapToGrid w:val="0"/>
        </w:rPr>
        <w:t>76, 6</w:t>
      </w:r>
      <w:r w:rsidR="00F861AE">
        <w:rPr>
          <w:snapToGrid w:val="0"/>
        </w:rPr>
        <w:t xml:space="preserve"> </w:t>
      </w:r>
      <w:r w:rsidR="00506A2D">
        <w:rPr>
          <w:snapToGrid w:val="0"/>
        </w:rPr>
        <w:t>września 2016</w:t>
      </w:r>
      <w:r w:rsidR="00F861AE">
        <w:rPr>
          <w:snapToGrid w:val="0"/>
        </w:rPr>
        <w:t xml:space="preserve"> </w:t>
      </w:r>
      <w:r w:rsidR="00506A2D">
        <w:rPr>
          <w:snapToGrid w:val="0"/>
        </w:rPr>
        <w:t>r.</w:t>
      </w:r>
      <w:r w:rsidR="00506A2D">
        <w:t>) i</w:t>
      </w:r>
      <w:r w:rsidR="0067654E">
        <w:t> </w:t>
      </w:r>
      <w:r w:rsidR="00506A2D">
        <w:t>wyciągał wnioski z faktu braku ich dostarczenia (zob.</w:t>
      </w:r>
      <w:r w:rsidR="00F861AE">
        <w:t xml:space="preserve"> </w:t>
      </w:r>
      <w:r w:rsidR="00506A2D">
        <w:rPr>
          <w:i/>
        </w:rPr>
        <w:t>Davydov i Inni przeciwko Ukrainie</w:t>
      </w:r>
      <w:r w:rsidR="00506A2D">
        <w:t>, nr</w:t>
      </w:r>
      <w:r w:rsidR="00F861AE">
        <w:t xml:space="preserve"> </w:t>
      </w:r>
      <w:r w:rsidR="00506A2D">
        <w:t>17674/02 i 39081/02, §§</w:t>
      </w:r>
      <w:r w:rsidR="00F861AE">
        <w:t xml:space="preserve"> </w:t>
      </w:r>
      <w:r w:rsidR="00506A2D">
        <w:t>172 i</w:t>
      </w:r>
      <w:r w:rsidR="00F861AE">
        <w:t xml:space="preserve"> </w:t>
      </w:r>
      <w:r w:rsidR="00506A2D">
        <w:t>175, 1</w:t>
      </w:r>
      <w:r w:rsidR="00F861AE">
        <w:t xml:space="preserve"> </w:t>
      </w:r>
      <w:r w:rsidR="00506A2D">
        <w:t>lipca 2010</w:t>
      </w:r>
      <w:r w:rsidR="00F861AE">
        <w:t xml:space="preserve"> </w:t>
      </w:r>
      <w:r w:rsidR="00506A2D">
        <w:t xml:space="preserve">r.) </w:t>
      </w:r>
      <w:r w:rsidR="00506A2D">
        <w:lastRenderedPageBreak/>
        <w:t xml:space="preserve">lub z braku odparcia przez skarżących dowodów fotograficznych przedstawionych przez pozwany Rząd w sprawach dotyczących warunków </w:t>
      </w:r>
      <w:r w:rsidR="000C362C">
        <w:t xml:space="preserve">pozbawienia wolności </w:t>
      </w:r>
      <w:r w:rsidR="00506A2D">
        <w:t xml:space="preserve">imigrantów (zob. </w:t>
      </w:r>
      <w:r w:rsidR="00506A2D">
        <w:rPr>
          <w:i/>
        </w:rPr>
        <w:t>Tehrani i Inni przeciwko Turcji</w:t>
      </w:r>
      <w:r w:rsidR="00506A2D">
        <w:t>, nr</w:t>
      </w:r>
      <w:r w:rsidR="0067654E">
        <w:t> </w:t>
      </w:r>
      <w:r w:rsidR="00506A2D">
        <w:t>32940/08 i 2</w:t>
      </w:r>
      <w:r w:rsidR="00F861AE">
        <w:t xml:space="preserve"> </w:t>
      </w:r>
      <w:r w:rsidR="00506A2D">
        <w:t xml:space="preserve">inne, </w:t>
      </w:r>
      <w:r w:rsidR="00506A2D">
        <w:rPr>
          <w:snapToGrid w:val="0"/>
        </w:rPr>
        <w:t>§</w:t>
      </w:r>
      <w:r w:rsidR="00F861AE">
        <w:rPr>
          <w:snapToGrid w:val="0"/>
        </w:rPr>
        <w:t xml:space="preserve"> </w:t>
      </w:r>
      <w:r w:rsidR="00506A2D">
        <w:rPr>
          <w:snapToGrid w:val="0"/>
        </w:rPr>
        <w:t>89, 13</w:t>
      </w:r>
      <w:r w:rsidR="00F861AE">
        <w:rPr>
          <w:snapToGrid w:val="0"/>
        </w:rPr>
        <w:t xml:space="preserve"> </w:t>
      </w:r>
      <w:r w:rsidR="00506A2D">
        <w:rPr>
          <w:snapToGrid w:val="0"/>
        </w:rPr>
        <w:t>kwietnia 2010</w:t>
      </w:r>
      <w:r w:rsidR="00F861AE">
        <w:rPr>
          <w:snapToGrid w:val="0"/>
        </w:rPr>
        <w:t xml:space="preserve"> </w:t>
      </w:r>
      <w:r w:rsidR="00506A2D">
        <w:rPr>
          <w:snapToGrid w:val="0"/>
        </w:rPr>
        <w:t xml:space="preserve">r. oraz </w:t>
      </w:r>
      <w:r w:rsidR="00506A2D">
        <w:rPr>
          <w:i/>
        </w:rPr>
        <w:t>Erkenov przeciwko Turcji</w:t>
      </w:r>
      <w:r w:rsidR="00506A2D">
        <w:rPr>
          <w:snapToGrid w:val="0"/>
        </w:rPr>
        <w:t xml:space="preserve">, </w:t>
      </w:r>
      <w:r w:rsidR="00506A2D">
        <w:t>nr</w:t>
      </w:r>
      <w:r w:rsidR="00F861AE">
        <w:t xml:space="preserve"> </w:t>
      </w:r>
      <w:r w:rsidR="00506A2D">
        <w:t>18152/11</w:t>
      </w:r>
      <w:r w:rsidR="00506A2D">
        <w:rPr>
          <w:snapToGrid w:val="0"/>
        </w:rPr>
        <w:t>, §</w:t>
      </w:r>
      <w:r w:rsidR="00F861AE">
        <w:rPr>
          <w:snapToGrid w:val="0"/>
        </w:rPr>
        <w:t xml:space="preserve"> </w:t>
      </w:r>
      <w:r w:rsidR="00506A2D">
        <w:rPr>
          <w:snapToGrid w:val="0"/>
        </w:rPr>
        <w:t>38, 6</w:t>
      </w:r>
      <w:r w:rsidR="00F861AE">
        <w:rPr>
          <w:snapToGrid w:val="0"/>
        </w:rPr>
        <w:t xml:space="preserve"> </w:t>
      </w:r>
      <w:r w:rsidR="00506A2D">
        <w:rPr>
          <w:snapToGrid w:val="0"/>
        </w:rPr>
        <w:t>września 2016</w:t>
      </w:r>
      <w:r w:rsidR="00F861AE">
        <w:rPr>
          <w:snapToGrid w:val="0"/>
        </w:rPr>
        <w:t xml:space="preserve"> </w:t>
      </w:r>
      <w:r w:rsidR="00506A2D">
        <w:rPr>
          <w:snapToGrid w:val="0"/>
        </w:rPr>
        <w:t>r.</w:t>
      </w:r>
      <w:r w:rsidR="00506A2D">
        <w:t>). W świetle powyższych ustaleń Trybunał uznaje, że może uwzględnić materiał dowodowy w postaci nagrań wideo przedstawiony przez skarżących w przedmiotowej sprawie.</w:t>
      </w:r>
    </w:p>
    <w:p w14:paraId="13A8103A" w14:textId="5B0517F7" w:rsidR="00D66341" w:rsidRPr="006A41BD" w:rsidRDefault="00142EC5" w:rsidP="006A41BD">
      <w:pPr>
        <w:pStyle w:val="ECHRPara"/>
      </w:pPr>
      <w:r>
        <w:rPr>
          <w:noProof/>
        </w:rPr>
        <w:t>74</w:t>
      </w:r>
      <w:r w:rsidR="001B0A4A">
        <w:t>.</w:t>
      </w:r>
      <w:r w:rsidR="00F861AE">
        <w:t xml:space="preserve"> </w:t>
      </w:r>
      <w:r w:rsidR="001B0A4A">
        <w:t>Co się tyczy wiarygodności wspomnianego materiału dowodowego, należy zauważyć, że dwa pliki wideo dostarczone przez skarżących były opatrzone sygnaturą czasową z datą niewiele późniejszą niż data zatrzymania skarżących w Bułgarii (zob.</w:t>
      </w:r>
      <w:r w:rsidR="00F861AE">
        <w:t xml:space="preserve"> </w:t>
      </w:r>
      <w:r w:rsidR="001B0A4A">
        <w:t xml:space="preserve">paragraf </w:t>
      </w:r>
      <w:r>
        <w:t>16</w:t>
      </w:r>
      <w:r w:rsidR="00F861AE">
        <w:t xml:space="preserve"> </w:t>
      </w:r>
      <w:r w:rsidR="001B0A4A">
        <w:t>powyżej). W świetle wyjaśnień skarżących złożonych w odniesieniu do tego ustalenia (zob.</w:t>
      </w:r>
      <w:r w:rsidR="0067654E">
        <w:t> </w:t>
      </w:r>
      <w:r w:rsidR="001B0A4A">
        <w:t xml:space="preserve">paragraf </w:t>
      </w:r>
      <w:r>
        <w:t>17</w:t>
      </w:r>
      <w:r w:rsidR="00F861AE">
        <w:t xml:space="preserve"> </w:t>
      </w:r>
      <w:r w:rsidR="001B0A4A">
        <w:t>powyżej) oraz z uwagi na to, że powszechnie wiadomo, że</w:t>
      </w:r>
      <w:r w:rsidR="0067654E">
        <w:t> </w:t>
      </w:r>
      <w:r w:rsidR="001B0A4A">
        <w:t>data utworzenia plików elektronicznych może się automatycznie zmienić podczas kopiowania ich z jednego urządzenia na drugie, Trybunał uznaje, że sygnatury czasowe, jakimi opatrzone były dwa przedłożone przez</w:t>
      </w:r>
      <w:r w:rsidR="0067654E">
        <w:t> </w:t>
      </w:r>
      <w:r w:rsidR="001B0A4A">
        <w:t>skarżących pliki wideo, nie wzbudzają wątpliwości co do ich autentyczności. Analizowane nagranie wideo jest z kolei wystarczająco przejrzyste i nie nosi żadnych śladów manipulacji. W istocie władze Bułgarii potwierdziły, że osoby widoczne na filmie to skarżący (zob.</w:t>
      </w:r>
      <w:r w:rsidR="0067654E">
        <w:t> </w:t>
      </w:r>
      <w:r w:rsidR="001B0A4A">
        <w:t xml:space="preserve">paragraf </w:t>
      </w:r>
      <w:r>
        <w:t>18</w:t>
      </w:r>
      <w:r w:rsidR="00F861AE">
        <w:t xml:space="preserve"> </w:t>
      </w:r>
      <w:r w:rsidR="001B0A4A">
        <w:t xml:space="preserve">powyżej). Prawdą jest, że w filmie nie są widoczne żadne elementy – takie jak tekst pisany cyrylicą czy słowa wypowiadane w języku bułgarskim – które pozwalałyby Trybunałowi z całą pewnością stwierdzić, że materiał został zarejestrowany w ośrodku detencyjnym straży granicznej w Widyniu, w którym umieszczono skarżących. Jednocześnie nie występują okoliczności, które wskazywałyby, że tak nie było. W tych okolicznościach sam fakt wyrażenia przez Rząd </w:t>
      </w:r>
      <w:r w:rsidR="001B0A4A" w:rsidRPr="00D04BCF">
        <w:t>b</w:t>
      </w:r>
      <w:r w:rsidR="00DD79A8" w:rsidRPr="00D04BCF">
        <w:t>raku</w:t>
      </w:r>
      <w:r w:rsidR="001B0A4A" w:rsidRPr="00D04BCF">
        <w:t xml:space="preserve"> </w:t>
      </w:r>
      <w:r w:rsidR="00C5371C">
        <w:t>przekonania</w:t>
      </w:r>
      <w:r w:rsidR="001B0A4A">
        <w:t xml:space="preserve"> co do wiarygodności materiału dowodowego nie może budzić wątpliwości Trybunału co do tego, czy film w istocie, jak twierdzą skarżący, przedstawia przedmiotowy ośrodek. Choć Rząd mógł przedstawić materiały wizualne – na przykład zdjęcia lub nagranie wideo przedstawiające pomieszczenia, w których zgodnie z oficjalną dokumentacją umieszczono skarżących – bądź inne dowody, które podałyby w wątpliwość wiarygodność materiałów przedstawionych przez skarżących, nie zdecydował się poprzeć swoich stwierdzeń takim materiałem dowodowym (zob.</w:t>
      </w:r>
      <w:r w:rsidR="00F861AE">
        <w:t xml:space="preserve"> </w:t>
      </w:r>
      <w:r w:rsidR="001B0A4A">
        <w:t xml:space="preserve">paragraf </w:t>
      </w:r>
      <w:r>
        <w:t>19</w:t>
      </w:r>
      <w:r w:rsidR="00F861AE">
        <w:t xml:space="preserve"> </w:t>
      </w:r>
      <w:r w:rsidR="001B0A4A">
        <w:t xml:space="preserve">powyżej). Zgodnie z linią orzecznictwa Trybunału, gdy skarżący przedstawiają </w:t>
      </w:r>
      <w:r w:rsidR="000C362C">
        <w:rPr>
          <w:i/>
          <w:iCs/>
        </w:rPr>
        <w:t>prima facie</w:t>
      </w:r>
      <w:r w:rsidR="000C362C">
        <w:t xml:space="preserve"> </w:t>
      </w:r>
      <w:r w:rsidR="001B0A4A">
        <w:t>wiarygodne zeznania lub dowody świadczące o tym, że warunki ich</w:t>
      </w:r>
      <w:r w:rsidR="0067654E">
        <w:t> </w:t>
      </w:r>
      <w:r w:rsidR="000C362C">
        <w:t>pozbawienia wolności</w:t>
      </w:r>
      <w:r w:rsidR="001B0A4A">
        <w:t xml:space="preserve"> były nieludzkie lub poniżające, wówczas to</w:t>
      </w:r>
      <w:r w:rsidR="0067654E">
        <w:t> </w:t>
      </w:r>
      <w:r w:rsidR="001B0A4A">
        <w:t>na</w:t>
      </w:r>
      <w:r w:rsidR="0067654E">
        <w:t> </w:t>
      </w:r>
      <w:r w:rsidR="001B0A4A">
        <w:t>pozwanym rządzie spoczywa obowiązek przedstawienia wyjaśnień lub</w:t>
      </w:r>
      <w:r w:rsidR="0067654E">
        <w:t> </w:t>
      </w:r>
      <w:r w:rsidR="001B0A4A">
        <w:t xml:space="preserve">dowodów, które podałyby je w wątpliwość, a wobec braku przedstawienia takich wyjaśnień lub dowodów Trybunał może uznać zarzuty skarżących za </w:t>
      </w:r>
      <w:r w:rsidR="000C362C">
        <w:t>udowodnione</w:t>
      </w:r>
      <w:r w:rsidR="001B0A4A">
        <w:t xml:space="preserve"> (zob.</w:t>
      </w:r>
      <w:r w:rsidR="00F861AE">
        <w:t xml:space="preserve"> </w:t>
      </w:r>
      <w:r w:rsidR="001B0A4A">
        <w:t xml:space="preserve">między innymi </w:t>
      </w:r>
      <w:r w:rsidR="001B0A4A">
        <w:rPr>
          <w:i/>
        </w:rPr>
        <w:t>Ananyev i Inni przeciwko Rosji</w:t>
      </w:r>
      <w:r w:rsidR="001B0A4A">
        <w:t>, nr 42525/07 i</w:t>
      </w:r>
      <w:r w:rsidR="00F861AE">
        <w:t xml:space="preserve"> </w:t>
      </w:r>
      <w:r w:rsidR="001B0A4A">
        <w:t>60800/08, §§</w:t>
      </w:r>
      <w:r w:rsidR="00F861AE">
        <w:t xml:space="preserve"> </w:t>
      </w:r>
      <w:r w:rsidR="001B0A4A">
        <w:t>122–23, 10</w:t>
      </w:r>
      <w:r w:rsidR="00F861AE">
        <w:t xml:space="preserve"> </w:t>
      </w:r>
      <w:r w:rsidR="001B0A4A">
        <w:t>stycznia 2012</w:t>
      </w:r>
      <w:r w:rsidR="00F861AE">
        <w:t xml:space="preserve"> </w:t>
      </w:r>
      <w:r w:rsidR="001B0A4A">
        <w:t>r.).</w:t>
      </w:r>
    </w:p>
    <w:p w14:paraId="318346E8" w14:textId="20AF6E7E" w:rsidR="005919E3" w:rsidRPr="006A41BD" w:rsidRDefault="00142EC5" w:rsidP="006A41BD">
      <w:pPr>
        <w:pStyle w:val="ECHRPara"/>
      </w:pPr>
      <w:r>
        <w:rPr>
          <w:noProof/>
        </w:rPr>
        <w:lastRenderedPageBreak/>
        <w:t>75</w:t>
      </w:r>
      <w:r w:rsidR="007B4931">
        <w:t>.</w:t>
      </w:r>
      <w:r w:rsidR="00F861AE">
        <w:t xml:space="preserve"> </w:t>
      </w:r>
      <w:r w:rsidR="007B4931">
        <w:t xml:space="preserve">Ustalając warunki </w:t>
      </w:r>
      <w:r w:rsidR="00DD79A8">
        <w:t>pozbawienia wolności</w:t>
      </w:r>
      <w:r w:rsidR="007B4931">
        <w:t xml:space="preserve"> skarżących, Trybunał uwzględni zatem przedstawione przez nich nagranie wideo.</w:t>
      </w:r>
    </w:p>
    <w:p w14:paraId="1443F0D9" w14:textId="052E8988" w:rsidR="00604B4A" w:rsidRPr="006A41BD" w:rsidRDefault="00604B4A" w:rsidP="006A41BD">
      <w:pPr>
        <w:pStyle w:val="ECHRHeading3"/>
        <w:outlineLvl w:val="3"/>
      </w:pPr>
      <w:r w:rsidRPr="00497B0C">
        <w:t>2.</w:t>
      </w:r>
      <w:r w:rsidR="00F861AE" w:rsidRPr="00497B0C">
        <w:t xml:space="preserve"> </w:t>
      </w:r>
      <w:r w:rsidRPr="00497B0C">
        <w:t>Rozpatrzenie przedmiotu</w:t>
      </w:r>
      <w:r>
        <w:t xml:space="preserve"> skargi</w:t>
      </w:r>
    </w:p>
    <w:p w14:paraId="0D7B8203" w14:textId="655ECAE5" w:rsidR="00604B4A" w:rsidRPr="006A41BD" w:rsidRDefault="00604B4A" w:rsidP="006A41BD">
      <w:pPr>
        <w:pStyle w:val="ECHRHeading4"/>
        <w:outlineLvl w:val="4"/>
      </w:pPr>
      <w:r>
        <w:t>a)</w:t>
      </w:r>
      <w:r w:rsidR="00F861AE">
        <w:t xml:space="preserve"> </w:t>
      </w:r>
      <w:r>
        <w:t>Stanowiska stron</w:t>
      </w:r>
    </w:p>
    <w:p w14:paraId="56376403" w14:textId="6D753DD0" w:rsidR="000A661E" w:rsidRPr="006A41BD" w:rsidRDefault="00142EC5" w:rsidP="006A41BD">
      <w:pPr>
        <w:pStyle w:val="ECHRPara"/>
      </w:pPr>
      <w:r>
        <w:rPr>
          <w:noProof/>
        </w:rPr>
        <w:t>76</w:t>
      </w:r>
      <w:r w:rsidR="00C536F3">
        <w:t>.</w:t>
      </w:r>
      <w:r w:rsidR="00F861AE">
        <w:t xml:space="preserve"> </w:t>
      </w:r>
      <w:r w:rsidR="00C536F3">
        <w:t>Rząd podniósł, że ani warunki panujące w ośrodku detencyjnym straży granicznej w Widyniu, ani sposób zapewnienia w nim skarżącym jedzenia i picia nie stanowiły naruszenia art.</w:t>
      </w:r>
      <w:r w:rsidR="00F861AE">
        <w:t xml:space="preserve"> </w:t>
      </w:r>
      <w:r w:rsidR="00C536F3">
        <w:t>3 Konwencji, zwłaszcza w</w:t>
      </w:r>
      <w:r w:rsidR="0067654E">
        <w:t> </w:t>
      </w:r>
      <w:r w:rsidR="00C536F3">
        <w:t>świetle obecności obojga rodziców skarżących i niedługiego czasu, jaki spędzili w ośrodku – dotyczy to zwłaszcza piątego skarżącego, który 18</w:t>
      </w:r>
      <w:r w:rsidR="0067654E">
        <w:t> </w:t>
      </w:r>
      <w:r w:rsidR="00C536F3">
        <w:t>sierpnia 2015</w:t>
      </w:r>
      <w:r w:rsidR="00F861AE">
        <w:t xml:space="preserve"> </w:t>
      </w:r>
      <w:r w:rsidR="00C536F3">
        <w:t xml:space="preserve">r. został zabrany do szpitala w Widyniu, przez co kilka godzin spędził poza ośrodkiem. Bułgarskie prawo nie przewiduje obowiązku </w:t>
      </w:r>
      <w:r w:rsidR="0080785D">
        <w:t>umieszczenia</w:t>
      </w:r>
      <w:r w:rsidR="00C536F3">
        <w:t xml:space="preserve"> małoletnich migrantów w specjalnie do</w:t>
      </w:r>
      <w:r w:rsidR="0067654E">
        <w:t> </w:t>
      </w:r>
      <w:r w:rsidR="00C536F3">
        <w:t>tego przystosowanych placówkach.</w:t>
      </w:r>
    </w:p>
    <w:p w14:paraId="2604A667" w14:textId="4AE56E11" w:rsidR="00C536F3" w:rsidRPr="006A41BD" w:rsidRDefault="00142EC5" w:rsidP="006A41BD">
      <w:pPr>
        <w:pStyle w:val="ECHRPara"/>
        <w:keepLines/>
      </w:pPr>
      <w:r>
        <w:rPr>
          <w:noProof/>
        </w:rPr>
        <w:t>77</w:t>
      </w:r>
      <w:r w:rsidR="00C536F3">
        <w:t>.</w:t>
      </w:r>
      <w:r w:rsidR="00F861AE">
        <w:t xml:space="preserve"> </w:t>
      </w:r>
      <w:r w:rsidR="00C536F3">
        <w:t>Skarżący podtrzymali swoje zarzuty dotyczące warunków panujących w ośrodku detencyjnym straży granicznej w Widyniu i</w:t>
      </w:r>
      <w:r w:rsidR="0067654E">
        <w:t> </w:t>
      </w:r>
      <w:r w:rsidR="00C536F3">
        <w:t>podnieśli, że zarzuty te są spójne z ustaleniami poczynionymi w szeregu raportów monitor</w:t>
      </w:r>
      <w:r w:rsidR="007C6409">
        <w:t>ingowych</w:t>
      </w:r>
      <w:r w:rsidR="00C536F3">
        <w:t xml:space="preserve"> poświęconych warunkom </w:t>
      </w:r>
      <w:r w:rsidR="007C6409">
        <w:t xml:space="preserve">pozbawienia wolności </w:t>
      </w:r>
      <w:r w:rsidR="00C536F3">
        <w:t>migrantów w Bułgarii. Podnieśli oni, że z uwagi na takie problemy, niektóre państwa w przeszłości decydowały o nieodsyłaniu osób ubiegających się o</w:t>
      </w:r>
      <w:r w:rsidR="0067654E">
        <w:t> </w:t>
      </w:r>
      <w:r w:rsidR="00C536F3">
        <w:t>azyl z powrotem do Bułgarii zgodnie z rozporządzeniami dublińskimi.</w:t>
      </w:r>
    </w:p>
    <w:p w14:paraId="1B7072B2" w14:textId="5EBC4CA7" w:rsidR="00CD5BD1" w:rsidRPr="006A41BD" w:rsidRDefault="00CD5BD1" w:rsidP="006A41BD">
      <w:pPr>
        <w:pStyle w:val="ECHRHeading4"/>
        <w:outlineLvl w:val="4"/>
      </w:pPr>
      <w:r>
        <w:t>b)</w:t>
      </w:r>
      <w:r w:rsidR="00F861AE">
        <w:t xml:space="preserve"> </w:t>
      </w:r>
      <w:r>
        <w:t>Ocena Trybunału</w:t>
      </w:r>
    </w:p>
    <w:p w14:paraId="43ECCFC2" w14:textId="78D591A2" w:rsidR="00A15DEA" w:rsidRPr="006A41BD" w:rsidRDefault="00A15DEA" w:rsidP="006A41BD">
      <w:pPr>
        <w:pStyle w:val="ECHRHeading5"/>
        <w:outlineLvl w:val="5"/>
      </w:pPr>
      <w:r>
        <w:t>(i)</w:t>
      </w:r>
      <w:r w:rsidR="00F861AE">
        <w:t xml:space="preserve"> </w:t>
      </w:r>
      <w:r>
        <w:t>Istotne zasady i orzecznictwo</w:t>
      </w:r>
    </w:p>
    <w:p w14:paraId="6EEB2F0C" w14:textId="07D0B5DB" w:rsidR="00DA5155" w:rsidRPr="006A41BD" w:rsidRDefault="00142EC5" w:rsidP="006A41BD">
      <w:pPr>
        <w:pStyle w:val="ECHRPara"/>
      </w:pPr>
      <w:r>
        <w:rPr>
          <w:noProof/>
        </w:rPr>
        <w:t>78</w:t>
      </w:r>
      <w:r w:rsidR="00DA5155">
        <w:t>.</w:t>
      </w:r>
      <w:r w:rsidR="00F861AE">
        <w:t xml:space="preserve"> </w:t>
      </w:r>
      <w:r w:rsidR="00DA5155">
        <w:t xml:space="preserve">Ogólne zasady mające zastosowanie do traktowania osób </w:t>
      </w:r>
      <w:r w:rsidR="00C5371C">
        <w:t>umieszczonych</w:t>
      </w:r>
      <w:r w:rsidR="007C6409">
        <w:t xml:space="preserve"> </w:t>
      </w:r>
      <w:r w:rsidR="00DA5155">
        <w:t xml:space="preserve">w ośrodkach detencyjnych dla imigrantów zostały ostatnio szczegółowo opisane w sprawie </w:t>
      </w:r>
      <w:r w:rsidR="00DA5155">
        <w:rPr>
          <w:i/>
        </w:rPr>
        <w:t>Khlaifia i Inni przeciwko Włochom</w:t>
      </w:r>
      <w:r w:rsidR="00DA5155">
        <w:t xml:space="preserve"> ([WI], nr</w:t>
      </w:r>
      <w:r w:rsidR="00F861AE">
        <w:t xml:space="preserve"> </w:t>
      </w:r>
      <w:r w:rsidR="00DA5155">
        <w:t>16483/12, §§</w:t>
      </w:r>
      <w:r w:rsidR="00F861AE">
        <w:t xml:space="preserve"> </w:t>
      </w:r>
      <w:r w:rsidR="00DA5155">
        <w:t xml:space="preserve">158–67, </w:t>
      </w:r>
      <w:r w:rsidR="000E3703">
        <w:t>ETPC</w:t>
      </w:r>
      <w:r w:rsidR="00DA5155">
        <w:t xml:space="preserve"> 2016 (fragmenty)).</w:t>
      </w:r>
    </w:p>
    <w:p w14:paraId="4F78DCF0" w14:textId="02051FBA" w:rsidR="00BC5B22" w:rsidRPr="006A41BD" w:rsidRDefault="00142EC5" w:rsidP="006A41BD">
      <w:pPr>
        <w:pStyle w:val="ECHRPara"/>
      </w:pPr>
      <w:r>
        <w:rPr>
          <w:noProof/>
        </w:rPr>
        <w:t>79</w:t>
      </w:r>
      <w:r w:rsidR="00077FC9">
        <w:t>.</w:t>
      </w:r>
      <w:r w:rsidR="00F861AE">
        <w:t xml:space="preserve"> </w:t>
      </w:r>
      <w:r w:rsidR="00077FC9">
        <w:t xml:space="preserve">Na uwagę zasługuje jednak fakt, że </w:t>
      </w:r>
      <w:r w:rsidR="0080785D">
        <w:t xml:space="preserve">imigracyjne </w:t>
      </w:r>
      <w:r w:rsidR="007C6409">
        <w:t xml:space="preserve">pozbawienie wolności </w:t>
      </w:r>
      <w:r w:rsidR="00077FC9">
        <w:t>małoletnich, bez względu na to, czy znajdują się pod opieką dorosłych, czy są jej pozbawieni, rodzi kon</w:t>
      </w:r>
      <w:r w:rsidR="00262E1E">
        <w:t>kretne implikacje w tej kwestii</w:t>
      </w:r>
      <w:r w:rsidR="00077FC9">
        <w:t xml:space="preserve"> </w:t>
      </w:r>
      <w:r w:rsidR="003C4359">
        <w:t>z</w:t>
      </w:r>
      <w:r w:rsidR="0067654E">
        <w:t> </w:t>
      </w:r>
      <w:r w:rsidR="003C4359">
        <w:t>uwagi na uznaną przez Trybunał wyjątkową wrażliwość i szczególne potrzeby</w:t>
      </w:r>
      <w:r w:rsidR="00077FC9">
        <w:t xml:space="preserve"> </w:t>
      </w:r>
      <w:r w:rsidR="003C4359">
        <w:t>dzieci</w:t>
      </w:r>
      <w:r w:rsidR="00077FC9">
        <w:t>, niezależnie od tego, czy znajdują się</w:t>
      </w:r>
      <w:r w:rsidR="00262E1E">
        <w:t xml:space="preserve"> one</w:t>
      </w:r>
      <w:r w:rsidR="00077FC9">
        <w:t xml:space="preserve"> pod opieką, czy</w:t>
      </w:r>
      <w:r w:rsidR="0067654E">
        <w:t> </w:t>
      </w:r>
      <w:r w:rsidR="00077FC9">
        <w:t>też</w:t>
      </w:r>
      <w:r w:rsidR="0067654E">
        <w:t> </w:t>
      </w:r>
      <w:r w:rsidR="00077FC9">
        <w:t>nie (zob.</w:t>
      </w:r>
      <w:r w:rsidR="00F861AE">
        <w:t xml:space="preserve"> </w:t>
      </w:r>
      <w:r w:rsidR="00077FC9">
        <w:t xml:space="preserve">niedawne </w:t>
      </w:r>
      <w:r w:rsidR="00077FC9">
        <w:rPr>
          <w:i/>
        </w:rPr>
        <w:t>Abdullahi Elmi i Aweys Abubakar przeciwko Malcie</w:t>
      </w:r>
      <w:r w:rsidR="00077FC9">
        <w:t>, nr</w:t>
      </w:r>
      <w:r w:rsidR="00F861AE">
        <w:t xml:space="preserve"> </w:t>
      </w:r>
      <w:r w:rsidR="00077FC9">
        <w:t>25794/13 i 28151/13, §</w:t>
      </w:r>
      <w:r w:rsidR="00F861AE">
        <w:t xml:space="preserve"> </w:t>
      </w:r>
      <w:r w:rsidR="00077FC9">
        <w:t>103, 22</w:t>
      </w:r>
      <w:r w:rsidR="00F861AE">
        <w:t xml:space="preserve"> </w:t>
      </w:r>
      <w:r w:rsidR="00077FC9">
        <w:t>listopada 2016</w:t>
      </w:r>
      <w:r w:rsidR="00F861AE">
        <w:t xml:space="preserve"> </w:t>
      </w:r>
      <w:r w:rsidR="00077FC9">
        <w:t xml:space="preserve">r.). W istocie szczególna </w:t>
      </w:r>
      <w:r w:rsidR="007C6409">
        <w:t xml:space="preserve">wrażliwość </w:t>
      </w:r>
      <w:r w:rsidR="00077FC9">
        <w:t xml:space="preserve">dzieci to </w:t>
      </w:r>
      <w:r w:rsidR="007C6409">
        <w:t xml:space="preserve">decydujący </w:t>
      </w:r>
      <w:r w:rsidR="00077FC9">
        <w:t>czynnik, który ma charakter nadrzędny względem statusu nielegalnego imigranta. W art</w:t>
      </w:r>
      <w:r w:rsidR="001D471C">
        <w:t>.</w:t>
      </w:r>
      <w:r w:rsidR="00F861AE">
        <w:t xml:space="preserve"> </w:t>
      </w:r>
      <w:r w:rsidR="00077FC9">
        <w:t>22 ust.</w:t>
      </w:r>
      <w:r w:rsidR="00F861AE">
        <w:t xml:space="preserve"> </w:t>
      </w:r>
      <w:r w:rsidR="00077FC9">
        <w:t>1 Konwencji o prawach dziecka z 1989</w:t>
      </w:r>
      <w:r w:rsidR="00F861AE">
        <w:t xml:space="preserve"> </w:t>
      </w:r>
      <w:r w:rsidR="00077FC9">
        <w:t>r. (1577</w:t>
      </w:r>
      <w:r w:rsidR="00F861AE">
        <w:t xml:space="preserve"> </w:t>
      </w:r>
      <w:r w:rsidR="00077FC9">
        <w:t>UNTS</w:t>
      </w:r>
      <w:r w:rsidR="00F861AE">
        <w:t xml:space="preserve"> </w:t>
      </w:r>
      <w:r w:rsidR="00077FC9">
        <w:t>3) zachęca się</w:t>
      </w:r>
      <w:r w:rsidR="0067654E">
        <w:t> </w:t>
      </w:r>
      <w:r w:rsidR="00077FC9">
        <w:t>państwa do podejmowania właściwych kroków dla zapewnienia, aby</w:t>
      </w:r>
      <w:r w:rsidR="0067654E">
        <w:t> </w:t>
      </w:r>
      <w:r w:rsidR="00077FC9">
        <w:t>dzieci, które ubiegają się o status uchodźcy, niezależnie od tego, czy</w:t>
      </w:r>
      <w:r w:rsidR="0067654E">
        <w:t> </w:t>
      </w:r>
      <w:r w:rsidR="00077FC9">
        <w:t>występują same lub towarzyszą im rodzice bądź inne osoby, otrzymały odpowiednią ochronę i pomoc humanitarną (zob.</w:t>
      </w:r>
      <w:r w:rsidR="00F861AE">
        <w:t xml:space="preserve"> </w:t>
      </w:r>
      <w:r w:rsidR="00077FC9">
        <w:rPr>
          <w:i/>
        </w:rPr>
        <w:t>Popov przeciwko Francji</w:t>
      </w:r>
      <w:r w:rsidR="00077FC9">
        <w:t xml:space="preserve">, </w:t>
      </w:r>
      <w:r w:rsidR="00077FC9">
        <w:lastRenderedPageBreak/>
        <w:t>nr</w:t>
      </w:r>
      <w:r w:rsidR="00F861AE">
        <w:t xml:space="preserve"> </w:t>
      </w:r>
      <w:r w:rsidR="00077FC9">
        <w:t>39472/07 i 39474/07, §</w:t>
      </w:r>
      <w:r w:rsidR="00F861AE">
        <w:t xml:space="preserve"> </w:t>
      </w:r>
      <w:r w:rsidR="00077FC9">
        <w:t>91, 19</w:t>
      </w:r>
      <w:r w:rsidR="00F861AE">
        <w:t xml:space="preserve"> </w:t>
      </w:r>
      <w:r w:rsidR="00077FC9">
        <w:t>stycznia 2012</w:t>
      </w:r>
      <w:r w:rsidR="00F861AE">
        <w:t xml:space="preserve"> </w:t>
      </w:r>
      <w:r w:rsidR="00077FC9">
        <w:t xml:space="preserve">r.). W ostatnich latach Trybunał w kilku sprawach analizował warunki </w:t>
      </w:r>
      <w:r w:rsidR="007C6409">
        <w:t>przetrzymywania</w:t>
      </w:r>
      <w:r w:rsidR="00077FC9">
        <w:t xml:space="preserve"> małoletnich znajdujących się pod opieką dorosłych w ośrodkach detencyjnych dla imigrantów.</w:t>
      </w:r>
    </w:p>
    <w:p w14:paraId="6AC0CD82" w14:textId="54A155DC" w:rsidR="002F158D" w:rsidRPr="006A41BD" w:rsidRDefault="00142EC5" w:rsidP="006A41BD">
      <w:pPr>
        <w:pStyle w:val="ECHRPara"/>
      </w:pPr>
      <w:r>
        <w:rPr>
          <w:noProof/>
        </w:rPr>
        <w:t>80</w:t>
      </w:r>
      <w:r w:rsidR="00482A6C">
        <w:t>.</w:t>
      </w:r>
      <w:r w:rsidR="00F861AE">
        <w:t xml:space="preserve"> </w:t>
      </w:r>
      <w:r w:rsidR="00482A6C">
        <w:t xml:space="preserve">Skarżący w sprawie </w:t>
      </w:r>
      <w:r w:rsidR="00482A6C">
        <w:rPr>
          <w:i/>
        </w:rPr>
        <w:t>Muskhadzhiyeva i Inni przeciwko Belgii</w:t>
      </w:r>
      <w:r w:rsidR="00482A6C">
        <w:t xml:space="preserve"> (nr</w:t>
      </w:r>
      <w:r w:rsidR="0067654E">
        <w:t> </w:t>
      </w:r>
      <w:r w:rsidR="00482A6C">
        <w:t>41442/07</w:t>
      </w:r>
      <w:r w:rsidR="00482A6C">
        <w:rPr>
          <w:snapToGrid w:val="0"/>
        </w:rPr>
        <w:t>, 19</w:t>
      </w:r>
      <w:r w:rsidR="00F861AE">
        <w:rPr>
          <w:snapToGrid w:val="0"/>
        </w:rPr>
        <w:t xml:space="preserve"> </w:t>
      </w:r>
      <w:r w:rsidR="00482A6C">
        <w:rPr>
          <w:snapToGrid w:val="0"/>
        </w:rPr>
        <w:t>stycznia 2010</w:t>
      </w:r>
      <w:r w:rsidR="00F861AE">
        <w:rPr>
          <w:snapToGrid w:val="0"/>
        </w:rPr>
        <w:t xml:space="preserve"> </w:t>
      </w:r>
      <w:r w:rsidR="00482A6C">
        <w:rPr>
          <w:snapToGrid w:val="0"/>
        </w:rPr>
        <w:t xml:space="preserve">r.), będący odpowiednio w wieku siedmiu miesięcy, trzech i pół roku, pięciu </w:t>
      </w:r>
      <w:r w:rsidR="007C6409">
        <w:rPr>
          <w:snapToGrid w:val="0"/>
        </w:rPr>
        <w:t>oraz</w:t>
      </w:r>
      <w:r w:rsidR="00482A6C">
        <w:rPr>
          <w:snapToGrid w:val="0"/>
        </w:rPr>
        <w:t xml:space="preserve"> siedmiu lat, przebywali w ośrodku detencyjnym przez </w:t>
      </w:r>
      <w:r w:rsidR="00482A6C">
        <w:t>miesiąc. Zważywszy na ich wiek, czas zatrzymania, fakt, że ośrodek detencyjny nie był dostosowany do potrzeb małoletnich</w:t>
      </w:r>
      <w:r w:rsidR="00BE590E">
        <w:t>,</w:t>
      </w:r>
      <w:r w:rsidR="003C4359">
        <w:t xml:space="preserve"> oraz</w:t>
      </w:r>
      <w:r w:rsidR="00482A6C">
        <w:t xml:space="preserve"> </w:t>
      </w:r>
      <w:r w:rsidR="007C6409">
        <w:t>dowody medyczne wskazujące</w:t>
      </w:r>
      <w:r w:rsidR="003C4359">
        <w:t xml:space="preserve"> na ich poważne problemy psychologiczne w czasie pobytu w ośrodku</w:t>
      </w:r>
      <w:r w:rsidR="00482A6C">
        <w:t>, Trybunał stwierdził naruszenie art.</w:t>
      </w:r>
      <w:r w:rsidR="00F861AE">
        <w:t xml:space="preserve"> </w:t>
      </w:r>
      <w:r w:rsidR="00482A6C">
        <w:t>3 (</w:t>
      </w:r>
      <w:r w:rsidR="00482A6C">
        <w:rPr>
          <w:i/>
          <w:iCs/>
        </w:rPr>
        <w:t>ibid.</w:t>
      </w:r>
      <w:r w:rsidR="00482A6C">
        <w:t>, §§ 57-63).</w:t>
      </w:r>
    </w:p>
    <w:p w14:paraId="0198EAC4" w14:textId="199ED7B2" w:rsidR="006C1508" w:rsidRPr="006A41BD" w:rsidRDefault="00142EC5" w:rsidP="006A41BD">
      <w:pPr>
        <w:pStyle w:val="ECHRPara"/>
      </w:pPr>
      <w:r>
        <w:rPr>
          <w:noProof/>
        </w:rPr>
        <w:t>81</w:t>
      </w:r>
      <w:r w:rsidR="00192C9E">
        <w:t>.</w:t>
      </w:r>
      <w:r w:rsidR="00F861AE">
        <w:t xml:space="preserve"> </w:t>
      </w:r>
      <w:r w:rsidR="00192C9E">
        <w:t xml:space="preserve">Skarżący w sprawie </w:t>
      </w:r>
      <w:r w:rsidR="00192C9E">
        <w:rPr>
          <w:i/>
        </w:rPr>
        <w:t>Kanagaratnam przeciwko Belgii</w:t>
      </w:r>
      <w:r w:rsidR="00192C9E">
        <w:t xml:space="preserve"> (nr</w:t>
      </w:r>
      <w:r w:rsidR="00F861AE">
        <w:t xml:space="preserve"> </w:t>
      </w:r>
      <w:r w:rsidR="00192C9E">
        <w:t>15297/09, 13</w:t>
      </w:r>
      <w:r w:rsidR="00F861AE">
        <w:t xml:space="preserve"> </w:t>
      </w:r>
      <w:r w:rsidR="00192C9E">
        <w:t>grudnia 2011</w:t>
      </w:r>
      <w:r w:rsidR="00F861AE">
        <w:t xml:space="preserve"> </w:t>
      </w:r>
      <w:r w:rsidR="00192C9E">
        <w:t>r.), będący w wieku odpowiednio trzynastu, jedenastu i</w:t>
      </w:r>
      <w:r w:rsidR="0067654E">
        <w:t> </w:t>
      </w:r>
      <w:r w:rsidR="00192C9E">
        <w:t xml:space="preserve">ośmiu lat, przebywali w ośrodku detencyjnym przez około cztery miesiące. Trybunał zauważył, że byli oni starsi niż skarżący w sprawie przywołanej powyżej oraz że nie przedstawiono </w:t>
      </w:r>
      <w:r w:rsidR="00384D64">
        <w:t>dowodów medycznych</w:t>
      </w:r>
      <w:r w:rsidR="00192C9E">
        <w:t xml:space="preserve"> wskaz</w:t>
      </w:r>
      <w:r w:rsidR="00384D64">
        <w:t>ujących</w:t>
      </w:r>
      <w:r w:rsidR="00192C9E">
        <w:t xml:space="preserve"> na</w:t>
      </w:r>
      <w:r w:rsidR="0067654E">
        <w:t> </w:t>
      </w:r>
      <w:r w:rsidR="00192C9E">
        <w:t>doznane w czasie zatrzymania cierpienie psychiczne. Mimo to, zważywszy</w:t>
      </w:r>
      <w:r w:rsidR="00384D64">
        <w:t xml:space="preserve"> na</w:t>
      </w:r>
      <w:r w:rsidR="00192C9E">
        <w:t xml:space="preserve"> a)</w:t>
      </w:r>
      <w:r w:rsidR="00F861AE">
        <w:t xml:space="preserve"> </w:t>
      </w:r>
      <w:r w:rsidR="00384D64">
        <w:t xml:space="preserve">fakt, że </w:t>
      </w:r>
      <w:r w:rsidR="00192C9E">
        <w:t>ośrodek detencyjny nie był dostosowany do</w:t>
      </w:r>
      <w:r w:rsidR="0067654E">
        <w:t> </w:t>
      </w:r>
      <w:r w:rsidR="00192C9E">
        <w:t>potrzeb małoletnich, b)</w:t>
      </w:r>
      <w:r w:rsidR="00F861AE">
        <w:t xml:space="preserve"> </w:t>
      </w:r>
      <w:r w:rsidR="00384D64">
        <w:t xml:space="preserve">szczególną wrażliwość skarżących </w:t>
      </w:r>
      <w:r w:rsidR="00192C9E">
        <w:t xml:space="preserve">z uwagi na </w:t>
      </w:r>
      <w:r w:rsidR="00EB4B28">
        <w:t>to</w:t>
      </w:r>
      <w:r w:rsidR="00192C9E">
        <w:t>, że zanim przybyli do Belgii, zostali oddzieleni od ojca, który został zatrzymany na Sri Lance, i uciekali przed trwającą w kraju wojną domową, c)</w:t>
      </w:r>
      <w:r w:rsidR="00F861AE">
        <w:t xml:space="preserve"> </w:t>
      </w:r>
      <w:r w:rsidR="00384D64">
        <w:t xml:space="preserve">fakt, że </w:t>
      </w:r>
      <w:r w:rsidR="00192C9E">
        <w:t>matka skarżących, choć towarzyszyła im w ośrodku, nie była w</w:t>
      </w:r>
      <w:r w:rsidR="0067654E">
        <w:t> </w:t>
      </w:r>
      <w:r w:rsidR="00192C9E">
        <w:t>stanie zapewnić im należytej opieki, oraz d)</w:t>
      </w:r>
      <w:r w:rsidR="00F861AE">
        <w:t xml:space="preserve"> </w:t>
      </w:r>
      <w:r w:rsidR="00262E1E">
        <w:t>fakt</w:t>
      </w:r>
      <w:r w:rsidR="00BE590E">
        <w:t xml:space="preserve">, </w:t>
      </w:r>
      <w:r w:rsidR="00384D64">
        <w:t xml:space="preserve">że pozbawienie wolności </w:t>
      </w:r>
      <w:r w:rsidR="00192C9E">
        <w:t xml:space="preserve">trwało znacznie dłużej niż w przypadku skarżących w sprawie </w:t>
      </w:r>
      <w:r w:rsidR="00192C9E">
        <w:rPr>
          <w:i/>
        </w:rPr>
        <w:t xml:space="preserve">Muskhadzhiyeva i Inni </w:t>
      </w:r>
      <w:r w:rsidR="00192C9E">
        <w:t>(</w:t>
      </w:r>
      <w:r w:rsidR="00192C9E">
        <w:rPr>
          <w:i/>
          <w:iCs/>
        </w:rPr>
        <w:t>op.</w:t>
      </w:r>
      <w:r w:rsidR="00F861AE">
        <w:rPr>
          <w:i/>
          <w:iCs/>
        </w:rPr>
        <w:t xml:space="preserve"> </w:t>
      </w:r>
      <w:r w:rsidR="00192C9E">
        <w:rPr>
          <w:i/>
          <w:iCs/>
        </w:rPr>
        <w:t>cit.</w:t>
      </w:r>
      <w:r w:rsidR="00192C9E">
        <w:t>), Trybunał stwierdził naruszenie art.</w:t>
      </w:r>
      <w:r w:rsidR="00F861AE">
        <w:t xml:space="preserve"> </w:t>
      </w:r>
      <w:r w:rsidR="00192C9E">
        <w:t>3 (</w:t>
      </w:r>
      <w:r w:rsidR="00192C9E">
        <w:rPr>
          <w:i/>
          <w:iCs/>
        </w:rPr>
        <w:t>ibid.</w:t>
      </w:r>
      <w:r w:rsidR="00192C9E">
        <w:t>, §§</w:t>
      </w:r>
      <w:r w:rsidR="00F861AE">
        <w:t xml:space="preserve"> </w:t>
      </w:r>
      <w:r w:rsidR="00192C9E">
        <w:t>64–69).</w:t>
      </w:r>
    </w:p>
    <w:p w14:paraId="62732250" w14:textId="1729575B" w:rsidR="00607E03" w:rsidRPr="006A41BD" w:rsidRDefault="00142EC5" w:rsidP="006A41BD">
      <w:pPr>
        <w:pStyle w:val="ECHRPara"/>
      </w:pPr>
      <w:r>
        <w:rPr>
          <w:noProof/>
        </w:rPr>
        <w:t>82</w:t>
      </w:r>
      <w:r w:rsidR="004E5D56">
        <w:t>.</w:t>
      </w:r>
      <w:r w:rsidR="00F861AE">
        <w:t xml:space="preserve"> </w:t>
      </w:r>
      <w:r w:rsidR="004E5D56">
        <w:t xml:space="preserve">Skarżący w sprawie </w:t>
      </w:r>
      <w:r w:rsidR="004E5D56">
        <w:rPr>
          <w:i/>
        </w:rPr>
        <w:t>Popov przeciwko Francji</w:t>
      </w:r>
      <w:r w:rsidR="004E5D56">
        <w:t xml:space="preserve"> (nr</w:t>
      </w:r>
      <w:r w:rsidR="00F861AE">
        <w:t xml:space="preserve"> </w:t>
      </w:r>
      <w:r w:rsidR="004E5D56">
        <w:t>39472/07 i</w:t>
      </w:r>
      <w:r w:rsidR="0067654E">
        <w:t> </w:t>
      </w:r>
      <w:r w:rsidR="004E5D56">
        <w:t>39474/07, 19</w:t>
      </w:r>
      <w:r w:rsidR="00F861AE">
        <w:t xml:space="preserve"> </w:t>
      </w:r>
      <w:r w:rsidR="004E5D56">
        <w:t>stycznia 2012</w:t>
      </w:r>
      <w:r w:rsidR="00F861AE">
        <w:t xml:space="preserve"> </w:t>
      </w:r>
      <w:r w:rsidR="004E5D56">
        <w:t xml:space="preserve">r.), będący w wieku odpowiednio pięciu miesięcy i trzech lat, przebywali w ośrodku detencyjnym przez piętnaście dni. Choć ośrodek detencyjny został </w:t>
      </w:r>
      <w:r w:rsidR="00EB4B28">
        <w:t>przeznaczony do przyjmowania</w:t>
      </w:r>
      <w:r w:rsidR="004E5D56">
        <w:t xml:space="preserve"> rodzin, z szeregu raportów i </w:t>
      </w:r>
      <w:r w:rsidR="00EB4B28">
        <w:t xml:space="preserve">orzeczeń </w:t>
      </w:r>
      <w:r w:rsidR="004E5D56">
        <w:t>krajowych organów sądowych wynika</w:t>
      </w:r>
      <w:r w:rsidR="00EB4B28">
        <w:t>ło</w:t>
      </w:r>
      <w:r w:rsidR="004E5D56">
        <w:t>, że</w:t>
      </w:r>
      <w:r w:rsidR="0067654E">
        <w:t> </w:t>
      </w:r>
      <w:r w:rsidR="004E5D56">
        <w:t xml:space="preserve">nie był </w:t>
      </w:r>
      <w:r w:rsidR="00EB4B28">
        <w:t xml:space="preserve">odpowiednio </w:t>
      </w:r>
      <w:r w:rsidR="004E5D56">
        <w:t>dostosowany do tego celu, zarówno pod względem warunków fizycznych, jak i z uwagi na brak prywatności i niesprzyjające warunki psychologiczne. W świetle powyższego Trybunał stwierdził, że</w:t>
      </w:r>
      <w:r w:rsidR="001E03F2">
        <w:t> </w:t>
      </w:r>
      <w:r w:rsidR="004E5D56">
        <w:t>a)</w:t>
      </w:r>
      <w:r w:rsidR="001E03F2">
        <w:t> </w:t>
      </w:r>
      <w:r w:rsidR="004E5D56">
        <w:t xml:space="preserve">pomimo braku </w:t>
      </w:r>
      <w:r w:rsidR="00EB4B28">
        <w:t xml:space="preserve">dowodów </w:t>
      </w:r>
      <w:r w:rsidR="004E5D56">
        <w:t>medycznych na poparcie tej tezy</w:t>
      </w:r>
      <w:r w:rsidR="00EB4B28">
        <w:t xml:space="preserve"> </w:t>
      </w:r>
      <w:r w:rsidR="004E5D56">
        <w:t>skarżący, osoby bardzo młode, przeżywa</w:t>
      </w:r>
      <w:r w:rsidR="00BE590E">
        <w:t>li</w:t>
      </w:r>
      <w:r w:rsidR="004E5D56">
        <w:t xml:space="preserve"> stres i odczuwa</w:t>
      </w:r>
      <w:r w:rsidR="00BE590E">
        <w:t>li</w:t>
      </w:r>
      <w:r w:rsidR="004E5D56">
        <w:t xml:space="preserve"> lęk, oraz że b)</w:t>
      </w:r>
      <w:r w:rsidR="00F861AE">
        <w:t xml:space="preserve"> </w:t>
      </w:r>
      <w:r w:rsidR="004E5D56">
        <w:t xml:space="preserve">pomimo stosunkowo krótkiego okresu </w:t>
      </w:r>
      <w:r w:rsidR="00EB4B28">
        <w:t xml:space="preserve">pozbawienia wolności </w:t>
      </w:r>
      <w:r w:rsidR="004E5D56">
        <w:t>doszło do naruszenia art.</w:t>
      </w:r>
      <w:r w:rsidR="00F861AE">
        <w:t xml:space="preserve"> </w:t>
      </w:r>
      <w:r w:rsidR="004E5D56">
        <w:t>3 (</w:t>
      </w:r>
      <w:r w:rsidR="004E5D56">
        <w:rPr>
          <w:i/>
          <w:iCs/>
        </w:rPr>
        <w:t>ibid.</w:t>
      </w:r>
      <w:r w:rsidR="004E5D56">
        <w:t>, §§</w:t>
      </w:r>
      <w:r w:rsidR="00F861AE">
        <w:t xml:space="preserve"> </w:t>
      </w:r>
      <w:r w:rsidR="004E5D56">
        <w:t>92–103).</w:t>
      </w:r>
    </w:p>
    <w:p w14:paraId="75F85158" w14:textId="2271080F" w:rsidR="005D480B" w:rsidRPr="006A41BD" w:rsidRDefault="00142EC5" w:rsidP="006A41BD">
      <w:pPr>
        <w:pStyle w:val="ECHRPara"/>
        <w:rPr>
          <w:snapToGrid w:val="0"/>
        </w:rPr>
      </w:pPr>
      <w:r>
        <w:rPr>
          <w:noProof/>
        </w:rPr>
        <w:t>83</w:t>
      </w:r>
      <w:r w:rsidR="0039446B">
        <w:t>.</w:t>
      </w:r>
      <w:r w:rsidR="00F861AE">
        <w:t xml:space="preserve"> </w:t>
      </w:r>
      <w:r w:rsidR="0039446B">
        <w:t xml:space="preserve">Skarżący w pięciu ostatnich sprawach przeciwko Francji – </w:t>
      </w:r>
      <w:r w:rsidR="0039446B">
        <w:rPr>
          <w:i/>
        </w:rPr>
        <w:t>R.M.</w:t>
      </w:r>
      <w:r w:rsidR="0039446B">
        <w:t xml:space="preserve"> </w:t>
      </w:r>
      <w:r w:rsidR="0039446B">
        <w:rPr>
          <w:i/>
        </w:rPr>
        <w:t>i</w:t>
      </w:r>
      <w:r w:rsidR="001E03F2">
        <w:rPr>
          <w:i/>
        </w:rPr>
        <w:t> </w:t>
      </w:r>
      <w:r w:rsidR="0039446B">
        <w:rPr>
          <w:i/>
        </w:rPr>
        <w:t>Inni przeciwko Francji</w:t>
      </w:r>
      <w:r w:rsidR="0039446B">
        <w:t xml:space="preserve"> (nr</w:t>
      </w:r>
      <w:r w:rsidR="00F861AE">
        <w:t xml:space="preserve"> </w:t>
      </w:r>
      <w:r w:rsidR="0039446B">
        <w:t>33201/11</w:t>
      </w:r>
      <w:r w:rsidR="0039446B">
        <w:rPr>
          <w:snapToGrid w:val="0"/>
        </w:rPr>
        <w:t>, 12</w:t>
      </w:r>
      <w:r w:rsidR="00F861AE">
        <w:rPr>
          <w:snapToGrid w:val="0"/>
        </w:rPr>
        <w:t xml:space="preserve"> </w:t>
      </w:r>
      <w:r w:rsidR="0039446B">
        <w:rPr>
          <w:snapToGrid w:val="0"/>
        </w:rPr>
        <w:t>lipca 2016</w:t>
      </w:r>
      <w:r w:rsidR="00F861AE">
        <w:rPr>
          <w:snapToGrid w:val="0"/>
        </w:rPr>
        <w:t xml:space="preserve"> </w:t>
      </w:r>
      <w:r w:rsidR="0039446B">
        <w:rPr>
          <w:snapToGrid w:val="0"/>
        </w:rPr>
        <w:t xml:space="preserve">r.), </w:t>
      </w:r>
      <w:r w:rsidR="0039446B">
        <w:rPr>
          <w:i/>
        </w:rPr>
        <w:t>A.B.</w:t>
      </w:r>
      <w:r w:rsidR="0039446B">
        <w:t xml:space="preserve"> </w:t>
      </w:r>
      <w:r w:rsidR="0039446B">
        <w:rPr>
          <w:i/>
        </w:rPr>
        <w:t>i Inni przeciwko Francji</w:t>
      </w:r>
      <w:r w:rsidR="0039446B">
        <w:rPr>
          <w:snapToGrid w:val="0"/>
        </w:rPr>
        <w:t xml:space="preserve"> (</w:t>
      </w:r>
      <w:r w:rsidR="0039446B">
        <w:t>nr</w:t>
      </w:r>
      <w:r w:rsidR="00F861AE">
        <w:t xml:space="preserve"> </w:t>
      </w:r>
      <w:r w:rsidR="0039446B">
        <w:t>11593/12</w:t>
      </w:r>
      <w:r w:rsidR="0039446B">
        <w:rPr>
          <w:snapToGrid w:val="0"/>
        </w:rPr>
        <w:t>, 12</w:t>
      </w:r>
      <w:r w:rsidR="00F861AE">
        <w:rPr>
          <w:snapToGrid w:val="0"/>
        </w:rPr>
        <w:t xml:space="preserve"> </w:t>
      </w:r>
      <w:r w:rsidR="0039446B">
        <w:rPr>
          <w:snapToGrid w:val="0"/>
        </w:rPr>
        <w:t>lipca 2016</w:t>
      </w:r>
      <w:r w:rsidR="00F861AE">
        <w:rPr>
          <w:snapToGrid w:val="0"/>
        </w:rPr>
        <w:t xml:space="preserve"> </w:t>
      </w:r>
      <w:r w:rsidR="0039446B">
        <w:rPr>
          <w:snapToGrid w:val="0"/>
        </w:rPr>
        <w:t xml:space="preserve">r.), </w:t>
      </w:r>
      <w:r w:rsidR="0039446B">
        <w:rPr>
          <w:i/>
        </w:rPr>
        <w:t>A.M. i Inni przeciwko Francji</w:t>
      </w:r>
      <w:r w:rsidR="0039446B">
        <w:rPr>
          <w:snapToGrid w:val="0"/>
        </w:rPr>
        <w:t xml:space="preserve"> (</w:t>
      </w:r>
      <w:r w:rsidR="0039446B">
        <w:t>nr</w:t>
      </w:r>
      <w:r w:rsidR="00F861AE">
        <w:t xml:space="preserve"> </w:t>
      </w:r>
      <w:r w:rsidR="0039446B">
        <w:t>24587/12</w:t>
      </w:r>
      <w:r w:rsidR="0039446B">
        <w:rPr>
          <w:snapToGrid w:val="0"/>
        </w:rPr>
        <w:t>, 12</w:t>
      </w:r>
      <w:r w:rsidR="00F861AE">
        <w:rPr>
          <w:snapToGrid w:val="0"/>
        </w:rPr>
        <w:t xml:space="preserve"> </w:t>
      </w:r>
      <w:r w:rsidR="0039446B">
        <w:rPr>
          <w:snapToGrid w:val="0"/>
        </w:rPr>
        <w:t>lipca 2016</w:t>
      </w:r>
      <w:r w:rsidR="00F861AE">
        <w:rPr>
          <w:snapToGrid w:val="0"/>
        </w:rPr>
        <w:t xml:space="preserve"> </w:t>
      </w:r>
      <w:r w:rsidR="0039446B">
        <w:rPr>
          <w:snapToGrid w:val="0"/>
        </w:rPr>
        <w:t xml:space="preserve">r.), </w:t>
      </w:r>
      <w:r w:rsidR="0039446B">
        <w:rPr>
          <w:i/>
        </w:rPr>
        <w:t>R.K. i Inni przeciwko Francji</w:t>
      </w:r>
      <w:r w:rsidR="0039446B">
        <w:rPr>
          <w:snapToGrid w:val="0"/>
        </w:rPr>
        <w:t xml:space="preserve"> (</w:t>
      </w:r>
      <w:r w:rsidR="0039446B">
        <w:t>nr</w:t>
      </w:r>
      <w:r w:rsidR="001E03F2">
        <w:t> </w:t>
      </w:r>
      <w:r w:rsidR="0039446B">
        <w:t>68264/14</w:t>
      </w:r>
      <w:r w:rsidR="0039446B">
        <w:rPr>
          <w:snapToGrid w:val="0"/>
        </w:rPr>
        <w:t>, 12</w:t>
      </w:r>
      <w:r w:rsidR="00F861AE">
        <w:rPr>
          <w:snapToGrid w:val="0"/>
        </w:rPr>
        <w:t xml:space="preserve"> </w:t>
      </w:r>
      <w:r w:rsidR="0039446B">
        <w:rPr>
          <w:snapToGrid w:val="0"/>
        </w:rPr>
        <w:t>lipca 2016</w:t>
      </w:r>
      <w:r w:rsidR="00F861AE">
        <w:rPr>
          <w:snapToGrid w:val="0"/>
        </w:rPr>
        <w:t xml:space="preserve"> </w:t>
      </w:r>
      <w:r w:rsidR="0039446B">
        <w:rPr>
          <w:snapToGrid w:val="0"/>
        </w:rPr>
        <w:t xml:space="preserve">r.) oraz </w:t>
      </w:r>
      <w:r w:rsidR="0039446B">
        <w:rPr>
          <w:i/>
        </w:rPr>
        <w:t>R.C. i V.C.</w:t>
      </w:r>
      <w:r w:rsidR="0039446B">
        <w:t xml:space="preserve"> </w:t>
      </w:r>
      <w:r w:rsidR="0039446B">
        <w:rPr>
          <w:i/>
        </w:rPr>
        <w:t>przeciwko Francji</w:t>
      </w:r>
      <w:r w:rsidR="0039446B">
        <w:rPr>
          <w:snapToGrid w:val="0"/>
        </w:rPr>
        <w:t xml:space="preserve"> </w:t>
      </w:r>
      <w:r w:rsidR="0039446B">
        <w:rPr>
          <w:snapToGrid w:val="0"/>
        </w:rPr>
        <w:lastRenderedPageBreak/>
        <w:t>(</w:t>
      </w:r>
      <w:r w:rsidR="0039446B">
        <w:t>nr</w:t>
      </w:r>
      <w:r w:rsidR="001E03F2">
        <w:t> </w:t>
      </w:r>
      <w:r w:rsidR="0039446B">
        <w:t>76491/14</w:t>
      </w:r>
      <w:r w:rsidR="0039446B">
        <w:rPr>
          <w:snapToGrid w:val="0"/>
        </w:rPr>
        <w:t>, 12</w:t>
      </w:r>
      <w:r w:rsidR="00F861AE">
        <w:rPr>
          <w:snapToGrid w:val="0"/>
        </w:rPr>
        <w:t xml:space="preserve"> </w:t>
      </w:r>
      <w:r w:rsidR="0039446B">
        <w:rPr>
          <w:snapToGrid w:val="0"/>
        </w:rPr>
        <w:t>lipca 2016</w:t>
      </w:r>
      <w:r w:rsidR="00F861AE">
        <w:rPr>
          <w:snapToGrid w:val="0"/>
        </w:rPr>
        <w:t xml:space="preserve"> </w:t>
      </w:r>
      <w:r w:rsidR="0039446B">
        <w:rPr>
          <w:snapToGrid w:val="0"/>
        </w:rPr>
        <w:t>r.)</w:t>
      </w:r>
      <w:r w:rsidR="0039446B">
        <w:t xml:space="preserve"> – </w:t>
      </w:r>
      <w:r w:rsidR="00BE590E">
        <w:t>osoby</w:t>
      </w:r>
      <w:r w:rsidR="00EB4B28">
        <w:t xml:space="preserve"> </w:t>
      </w:r>
      <w:r w:rsidR="0039446B">
        <w:t>w wieku od czterech miesięcy do</w:t>
      </w:r>
      <w:r w:rsidR="001E03F2">
        <w:t> </w:t>
      </w:r>
      <w:r w:rsidR="0039446B">
        <w:t>czterech lat, przebywa</w:t>
      </w:r>
      <w:r w:rsidR="00EB4B28">
        <w:t>li</w:t>
      </w:r>
      <w:r w:rsidR="0039446B">
        <w:t xml:space="preserve"> w ośrodkach detencyjnych przez okres od</w:t>
      </w:r>
      <w:r w:rsidR="001E03F2">
        <w:t> </w:t>
      </w:r>
      <w:r w:rsidR="0039446B">
        <w:t>siedmiu do osiemnastu dni. Trybunał zauważył, że w przeciwieństwie do</w:t>
      </w:r>
      <w:r w:rsidR="001E03F2">
        <w:t> </w:t>
      </w:r>
      <w:r w:rsidR="0039446B">
        <w:t>ośrodka detencyjnego, którego dotyczy</w:t>
      </w:r>
      <w:r w:rsidR="00EB4B28">
        <w:t>ła</w:t>
      </w:r>
      <w:r w:rsidR="0039446B">
        <w:t xml:space="preserve"> sprawa </w:t>
      </w:r>
      <w:r w:rsidR="0039446B">
        <w:rPr>
          <w:i/>
        </w:rPr>
        <w:t>Popov</w:t>
      </w:r>
      <w:r w:rsidR="0039446B">
        <w:t xml:space="preserve"> (</w:t>
      </w:r>
      <w:r w:rsidR="0039446B">
        <w:rPr>
          <w:i/>
          <w:iCs/>
        </w:rPr>
        <w:t>op.</w:t>
      </w:r>
      <w:r w:rsidR="00F861AE">
        <w:rPr>
          <w:i/>
          <w:iCs/>
        </w:rPr>
        <w:t xml:space="preserve"> </w:t>
      </w:r>
      <w:r w:rsidR="0039446B">
        <w:rPr>
          <w:i/>
          <w:iCs/>
        </w:rPr>
        <w:t>cit.</w:t>
      </w:r>
      <w:r w:rsidR="0039446B">
        <w:t>), warunki fizyczne w dwóch ośrodkach detencyjnych, o których mowa we</w:t>
      </w:r>
      <w:r w:rsidR="001E03F2">
        <w:t> </w:t>
      </w:r>
      <w:r w:rsidR="0039446B">
        <w:t>wspomnianych pięciu sprawach, nie stanowiły problemu. Były one dostosowane do potrzeb rodzin, które przebywały w nich oddzielnie od</w:t>
      </w:r>
      <w:r w:rsidR="001E03F2">
        <w:t> </w:t>
      </w:r>
      <w:r w:rsidR="0039446B">
        <w:t xml:space="preserve">reszty </w:t>
      </w:r>
      <w:r w:rsidR="00154FA8">
        <w:t xml:space="preserve">osadzonych </w:t>
      </w:r>
      <w:r w:rsidR="0039446B">
        <w:t xml:space="preserve">i korzystały ze specjalnie przystosowanych pomieszczeń </w:t>
      </w:r>
      <w:r w:rsidR="00154FA8">
        <w:t>i materiałów niezbędnych</w:t>
      </w:r>
      <w:r w:rsidR="0039446B">
        <w:t xml:space="preserve"> do opieki nad dziećmi. Jeden z tych ośrodków mieścił się jednak tuż przy pasach startowych lotniska, co</w:t>
      </w:r>
      <w:r w:rsidR="001E03F2">
        <w:t> </w:t>
      </w:r>
      <w:r w:rsidR="0039446B">
        <w:t>narażało skarżących na szczególnie wysoki poziom hałasu. W przypadku innego ośrodka, tylko siatka oddzielała wewnętrzny dziedziniec od strefy, w</w:t>
      </w:r>
      <w:r w:rsidR="00C56F31">
        <w:t> </w:t>
      </w:r>
      <w:r w:rsidR="0039446B">
        <w:t xml:space="preserve">której przebywali </w:t>
      </w:r>
      <w:r w:rsidR="00154FA8">
        <w:t xml:space="preserve">osadzeni </w:t>
      </w:r>
      <w:r w:rsidR="0039446B">
        <w:t>mężczyźni, i poziom hałasu również był bardzo wysoki. Te okoliczności miały znaczący negatywny wpływ na</w:t>
      </w:r>
      <w:r w:rsidR="00C56F31">
        <w:t> </w:t>
      </w:r>
      <w:r w:rsidR="0039446B">
        <w:t>dzieci. Kolejnym źródłem lęku dzieci były ograniczenia wpisane w</w:t>
      </w:r>
      <w:r w:rsidR="00C56F31">
        <w:t> </w:t>
      </w:r>
      <w:r w:rsidR="0039446B">
        <w:t xml:space="preserve">naturę miejsca zatrzymania oraz warunki organizacyjne ośrodków detencyjnych. Choć przez krótki </w:t>
      </w:r>
      <w:r w:rsidR="00154FA8">
        <w:t xml:space="preserve">czas </w:t>
      </w:r>
      <w:r w:rsidR="0039446B">
        <w:t>czynniki te nie były wystarczające do</w:t>
      </w:r>
      <w:r w:rsidR="00C56F31">
        <w:t> </w:t>
      </w:r>
      <w:r w:rsidR="0039446B">
        <w:t>osiągnięcia poziomu dolegliwości wymaganego dla zastosowania art.</w:t>
      </w:r>
      <w:r w:rsidR="00F861AE">
        <w:t xml:space="preserve"> </w:t>
      </w:r>
      <w:r w:rsidR="0039446B">
        <w:t xml:space="preserve">3 Konwencji, w przypadku dłuższego </w:t>
      </w:r>
      <w:r w:rsidR="00154FA8">
        <w:t xml:space="preserve">pobytu </w:t>
      </w:r>
      <w:r w:rsidR="0039446B">
        <w:t>skutki takich okoliczności z</w:t>
      </w:r>
      <w:r w:rsidR="00C56F31">
        <w:t> </w:t>
      </w:r>
      <w:r w:rsidR="0039446B">
        <w:t>pewnością wpłynęłyby na dziecko w takim stopniu, że poziom ten zostałby osiągnięty. Zważywszy że w ocenie Trybunału okres</w:t>
      </w:r>
      <w:r w:rsidR="00154FA8">
        <w:t xml:space="preserve"> pozbawienia wolności </w:t>
      </w:r>
      <w:r w:rsidR="0039446B">
        <w:t>był w każdej z pięciu rozpatrywanych spraw wystarczająco długi, Trybunał stwierdził naruszenie art.</w:t>
      </w:r>
      <w:r w:rsidR="00F861AE">
        <w:t xml:space="preserve"> </w:t>
      </w:r>
      <w:r w:rsidR="0039446B">
        <w:t>3 w każdej z nich (zob.</w:t>
      </w:r>
      <w:r w:rsidR="00F861AE">
        <w:t xml:space="preserve"> </w:t>
      </w:r>
      <w:r w:rsidR="0039446B">
        <w:rPr>
          <w:i/>
        </w:rPr>
        <w:t>R.M.</w:t>
      </w:r>
      <w:r w:rsidR="0039446B">
        <w:t xml:space="preserve"> </w:t>
      </w:r>
      <w:r w:rsidR="0039446B">
        <w:rPr>
          <w:i/>
        </w:rPr>
        <w:t>i Inni przeciwko Francji</w:t>
      </w:r>
      <w:r w:rsidR="0039446B">
        <w:t xml:space="preserve">, </w:t>
      </w:r>
      <w:r w:rsidR="0039446B">
        <w:rPr>
          <w:snapToGrid w:val="0"/>
        </w:rPr>
        <w:t>§§</w:t>
      </w:r>
      <w:r w:rsidR="00F861AE">
        <w:rPr>
          <w:snapToGrid w:val="0"/>
        </w:rPr>
        <w:t xml:space="preserve"> </w:t>
      </w:r>
      <w:r w:rsidR="0039446B">
        <w:rPr>
          <w:snapToGrid w:val="0"/>
        </w:rPr>
        <w:t xml:space="preserve">72–76; </w:t>
      </w:r>
      <w:r w:rsidR="0039446B">
        <w:rPr>
          <w:i/>
        </w:rPr>
        <w:t>A.B.</w:t>
      </w:r>
      <w:r w:rsidR="0039446B">
        <w:t xml:space="preserve"> </w:t>
      </w:r>
      <w:r w:rsidR="0039446B">
        <w:rPr>
          <w:i/>
        </w:rPr>
        <w:t>i Inni przeciwko Francji</w:t>
      </w:r>
      <w:r w:rsidR="0039446B">
        <w:rPr>
          <w:snapToGrid w:val="0"/>
        </w:rPr>
        <w:t>, §§</w:t>
      </w:r>
      <w:r w:rsidR="00F861AE">
        <w:rPr>
          <w:snapToGrid w:val="0"/>
        </w:rPr>
        <w:t xml:space="preserve"> </w:t>
      </w:r>
      <w:r w:rsidR="0039446B">
        <w:rPr>
          <w:snapToGrid w:val="0"/>
        </w:rPr>
        <w:t xml:space="preserve">111–15; </w:t>
      </w:r>
      <w:r w:rsidR="0039446B">
        <w:rPr>
          <w:i/>
        </w:rPr>
        <w:t>A.M. i Inni przeciwko Francji</w:t>
      </w:r>
      <w:r w:rsidR="0039446B">
        <w:rPr>
          <w:snapToGrid w:val="0"/>
        </w:rPr>
        <w:t>, §§</w:t>
      </w:r>
      <w:r w:rsidR="00F861AE">
        <w:rPr>
          <w:snapToGrid w:val="0"/>
        </w:rPr>
        <w:t xml:space="preserve"> </w:t>
      </w:r>
      <w:r w:rsidR="0039446B">
        <w:rPr>
          <w:snapToGrid w:val="0"/>
        </w:rPr>
        <w:t xml:space="preserve">48–53; </w:t>
      </w:r>
      <w:r w:rsidR="0039446B">
        <w:rPr>
          <w:i/>
        </w:rPr>
        <w:t>R.K. i Inni przeciwko Francji</w:t>
      </w:r>
      <w:r w:rsidR="0039446B">
        <w:rPr>
          <w:snapToGrid w:val="0"/>
        </w:rPr>
        <w:t>, §§</w:t>
      </w:r>
      <w:r w:rsidR="00C56F31">
        <w:rPr>
          <w:snapToGrid w:val="0"/>
        </w:rPr>
        <w:t> </w:t>
      </w:r>
      <w:r w:rsidR="0039446B">
        <w:rPr>
          <w:snapToGrid w:val="0"/>
        </w:rPr>
        <w:t xml:space="preserve">68–72; oraz </w:t>
      </w:r>
      <w:r w:rsidR="0039446B">
        <w:rPr>
          <w:i/>
        </w:rPr>
        <w:t>R.C. i V.C.</w:t>
      </w:r>
      <w:r w:rsidR="0039446B">
        <w:t xml:space="preserve"> </w:t>
      </w:r>
      <w:r w:rsidR="0039446B">
        <w:rPr>
          <w:i/>
        </w:rPr>
        <w:t>przeciwko Francji</w:t>
      </w:r>
      <w:r w:rsidR="0039446B">
        <w:rPr>
          <w:snapToGrid w:val="0"/>
        </w:rPr>
        <w:t>, §§</w:t>
      </w:r>
      <w:r w:rsidR="00F861AE">
        <w:rPr>
          <w:snapToGrid w:val="0"/>
        </w:rPr>
        <w:t xml:space="preserve"> </w:t>
      </w:r>
      <w:r w:rsidR="0039446B">
        <w:rPr>
          <w:snapToGrid w:val="0"/>
        </w:rPr>
        <w:t>36–40, wszystkie cytowane powyżej).</w:t>
      </w:r>
    </w:p>
    <w:p w14:paraId="5255930E" w14:textId="654EF6A5" w:rsidR="002F1738" w:rsidRPr="006A41BD" w:rsidRDefault="002F1738" w:rsidP="006A41BD">
      <w:pPr>
        <w:pStyle w:val="ECHRHeading5"/>
        <w:outlineLvl w:val="5"/>
        <w:rPr>
          <w:snapToGrid w:val="0"/>
        </w:rPr>
      </w:pPr>
      <w:r>
        <w:t>(ii)</w:t>
      </w:r>
      <w:r w:rsidR="00F861AE">
        <w:t xml:space="preserve"> </w:t>
      </w:r>
      <w:r>
        <w:t>Zastosowanie w niniejszej sprawie</w:t>
      </w:r>
    </w:p>
    <w:p w14:paraId="37F7641E" w14:textId="35662698" w:rsidR="00F702D6" w:rsidRPr="006A41BD" w:rsidRDefault="00142EC5" w:rsidP="006A41BD">
      <w:pPr>
        <w:pStyle w:val="ECHRPara"/>
        <w:rPr>
          <w:snapToGrid w:val="0"/>
        </w:rPr>
      </w:pPr>
      <w:r>
        <w:rPr>
          <w:noProof/>
          <w:snapToGrid w:val="0"/>
        </w:rPr>
        <w:t>84</w:t>
      </w:r>
      <w:r w:rsidR="00550590">
        <w:rPr>
          <w:snapToGrid w:val="0"/>
        </w:rPr>
        <w:t>.</w:t>
      </w:r>
      <w:r w:rsidR="00F861AE">
        <w:rPr>
          <w:snapToGrid w:val="0"/>
        </w:rPr>
        <w:t xml:space="preserve"> </w:t>
      </w:r>
      <w:r w:rsidR="00550590">
        <w:rPr>
          <w:snapToGrid w:val="0"/>
        </w:rPr>
        <w:t xml:space="preserve">W przedmiotowej sprawie rozpatrywany okres wynosił według wyliczeń Rządu około trzydziestu dwóch godzin. Z wyliczeń skarżących wynika, że wynosił </w:t>
      </w:r>
      <w:r w:rsidR="0080785D">
        <w:rPr>
          <w:snapToGrid w:val="0"/>
        </w:rPr>
        <w:t xml:space="preserve">on </w:t>
      </w:r>
      <w:r w:rsidR="00550590">
        <w:rPr>
          <w:snapToGrid w:val="0"/>
        </w:rPr>
        <w:t>około czterdziestu dwóch godzin (zob.</w:t>
      </w:r>
      <w:r w:rsidR="00F861AE">
        <w:rPr>
          <w:snapToGrid w:val="0"/>
        </w:rPr>
        <w:t xml:space="preserve"> </w:t>
      </w:r>
      <w:r w:rsidR="00550590">
        <w:rPr>
          <w:snapToGrid w:val="0"/>
        </w:rPr>
        <w:t xml:space="preserve">paragrafy </w:t>
      </w:r>
      <w:r>
        <w:t>11</w:t>
      </w:r>
      <w:r w:rsidR="00550590">
        <w:rPr>
          <w:snapToGrid w:val="0"/>
        </w:rPr>
        <w:t xml:space="preserve"> i </w:t>
      </w:r>
      <w:r>
        <w:t>29</w:t>
      </w:r>
      <w:r w:rsidR="00550590">
        <w:rPr>
          <w:snapToGrid w:val="0"/>
        </w:rPr>
        <w:t xml:space="preserve"> powyżej). Niezależnie od tego, która z</w:t>
      </w:r>
      <w:r w:rsidR="00C56F31">
        <w:rPr>
          <w:snapToGrid w:val="0"/>
        </w:rPr>
        <w:t> </w:t>
      </w:r>
      <w:r w:rsidR="00550590">
        <w:rPr>
          <w:snapToGrid w:val="0"/>
        </w:rPr>
        <w:t>powyższych wersji zostałaby uznana za poprawną, oczywiste jest, że był to okres znacznie krótszy niż w przypadku spraw, o których mowa w</w:t>
      </w:r>
      <w:r w:rsidR="00C56F31">
        <w:rPr>
          <w:snapToGrid w:val="0"/>
        </w:rPr>
        <w:t> </w:t>
      </w:r>
      <w:r w:rsidR="00550590">
        <w:rPr>
          <w:snapToGrid w:val="0"/>
        </w:rPr>
        <w:t>poprzednich paragrafach. Niemniej warunki panujące w ośrodku detencyjnym straży granicznej w Widyniu opisywane przez skarżących (niezakwestionowane przez Rząd) i ujawnione w przedłożonym przez nich nagraniu wideo były znacznie gorsze niż warunki rozpatrywane we</w:t>
      </w:r>
      <w:r w:rsidR="00C56F31">
        <w:rPr>
          <w:snapToGrid w:val="0"/>
        </w:rPr>
        <w:t> </w:t>
      </w:r>
      <w:r w:rsidR="00550590">
        <w:rPr>
          <w:snapToGrid w:val="0"/>
        </w:rPr>
        <w:t>wszystkich wspomnianych sprawach. Cela, w której przebywali skarżący, choć stosunkowo przewiewna i dobrze oświetlona, była skrajnie zniszczona – ze ścian i sufitu odchodziła farba, łóżko piętrowe, materace i</w:t>
      </w:r>
      <w:r w:rsidR="00C56F31">
        <w:rPr>
          <w:snapToGrid w:val="0"/>
        </w:rPr>
        <w:t> </w:t>
      </w:r>
      <w:r w:rsidR="00550590">
        <w:rPr>
          <w:snapToGrid w:val="0"/>
        </w:rPr>
        <w:t>pościel były brudne i zniszczone, a na podłodze znajdowały się śmieci i</w:t>
      </w:r>
      <w:r w:rsidR="00C56F31">
        <w:rPr>
          <w:snapToGrid w:val="0"/>
        </w:rPr>
        <w:t> </w:t>
      </w:r>
      <w:r w:rsidR="00550590">
        <w:rPr>
          <w:snapToGrid w:val="0"/>
        </w:rPr>
        <w:t>mokre kartony (zob.</w:t>
      </w:r>
      <w:r w:rsidR="00F861AE">
        <w:rPr>
          <w:snapToGrid w:val="0"/>
        </w:rPr>
        <w:t xml:space="preserve"> </w:t>
      </w:r>
      <w:r w:rsidR="00550590">
        <w:rPr>
          <w:snapToGrid w:val="0"/>
        </w:rPr>
        <w:t xml:space="preserve">paragraf </w:t>
      </w:r>
      <w:r>
        <w:t>15</w:t>
      </w:r>
      <w:r w:rsidR="00F861AE">
        <w:rPr>
          <w:snapToGrid w:val="0"/>
        </w:rPr>
        <w:t xml:space="preserve"> </w:t>
      </w:r>
      <w:r w:rsidR="00550590">
        <w:rPr>
          <w:snapToGrid w:val="0"/>
        </w:rPr>
        <w:t xml:space="preserve">powyżej). Trudno uznać, że takie warunki były odpowiednie do tego, by przebywało w nim </w:t>
      </w:r>
      <w:r w:rsidR="00550590">
        <w:rPr>
          <w:snapToGrid w:val="0"/>
        </w:rPr>
        <w:lastRenderedPageBreak/>
        <w:t>dziecko szesnastoletnie, jedenastoletnie, a tym bardziej półtoraroczne – nawet przez tak krótki czas.</w:t>
      </w:r>
    </w:p>
    <w:p w14:paraId="28C8992F" w14:textId="0E187D03" w:rsidR="000C0CC5" w:rsidRPr="006A41BD" w:rsidRDefault="00142EC5" w:rsidP="006A41BD">
      <w:pPr>
        <w:pStyle w:val="ECHRPara"/>
        <w:rPr>
          <w:snapToGrid w:val="0"/>
        </w:rPr>
      </w:pPr>
      <w:r>
        <w:rPr>
          <w:noProof/>
          <w:snapToGrid w:val="0"/>
        </w:rPr>
        <w:t>85</w:t>
      </w:r>
      <w:r w:rsidR="00F702D6">
        <w:rPr>
          <w:snapToGrid w:val="0"/>
        </w:rPr>
        <w:t>.</w:t>
      </w:r>
      <w:r w:rsidR="00F861AE">
        <w:rPr>
          <w:snapToGrid w:val="0"/>
        </w:rPr>
        <w:t xml:space="preserve"> </w:t>
      </w:r>
      <w:r w:rsidR="00F702D6">
        <w:rPr>
          <w:snapToGrid w:val="0"/>
        </w:rPr>
        <w:t>Należy ponadto uwzględnić ograniczony dostęp do toalety, przez</w:t>
      </w:r>
      <w:r w:rsidR="00C56F31">
        <w:rPr>
          <w:snapToGrid w:val="0"/>
        </w:rPr>
        <w:t> </w:t>
      </w:r>
      <w:r w:rsidR="00154FA8">
        <w:rPr>
          <w:snapToGrid w:val="0"/>
        </w:rPr>
        <w:t>co</w:t>
      </w:r>
      <w:r w:rsidR="00C56F31">
        <w:rPr>
          <w:snapToGrid w:val="0"/>
        </w:rPr>
        <w:t> </w:t>
      </w:r>
      <w:r w:rsidR="00F702D6">
        <w:rPr>
          <w:snapToGrid w:val="0"/>
        </w:rPr>
        <w:t>– jak twierdzą skarżący i jak wynika z przedłożonego nagrania wideo (zob.</w:t>
      </w:r>
      <w:r w:rsidR="00F861AE">
        <w:rPr>
          <w:snapToGrid w:val="0"/>
        </w:rPr>
        <w:t xml:space="preserve"> </w:t>
      </w:r>
      <w:r w:rsidR="00F702D6">
        <w:rPr>
          <w:snapToGrid w:val="0"/>
        </w:rPr>
        <w:t xml:space="preserve">paragrafy </w:t>
      </w:r>
      <w:r>
        <w:t>15</w:t>
      </w:r>
      <w:r w:rsidR="00F702D6">
        <w:rPr>
          <w:snapToGrid w:val="0"/>
        </w:rPr>
        <w:t xml:space="preserve">, </w:t>
      </w:r>
      <w:r>
        <w:t>20</w:t>
      </w:r>
      <w:r w:rsidR="00F702D6">
        <w:rPr>
          <w:snapToGrid w:val="0"/>
        </w:rPr>
        <w:t xml:space="preserve">, </w:t>
      </w:r>
      <w:r>
        <w:t>24</w:t>
      </w:r>
      <w:r w:rsidR="00F702D6">
        <w:rPr>
          <w:snapToGrid w:val="0"/>
        </w:rPr>
        <w:t xml:space="preserve"> i </w:t>
      </w:r>
      <w:r>
        <w:t>27</w:t>
      </w:r>
      <w:r w:rsidR="00F702D6">
        <w:rPr>
          <w:snapToGrid w:val="0"/>
        </w:rPr>
        <w:t xml:space="preserve"> powyżej) – byli zmuszeni oddawać mocz na podłogę celi, w której przebywali. Zważywszy że Rząd nie</w:t>
      </w:r>
      <w:r w:rsidR="00C56F31">
        <w:rPr>
          <w:snapToGrid w:val="0"/>
        </w:rPr>
        <w:t> </w:t>
      </w:r>
      <w:r w:rsidR="00F702D6">
        <w:rPr>
          <w:snapToGrid w:val="0"/>
        </w:rPr>
        <w:t xml:space="preserve">podważył tego stwierdzenia ani nie przedłożył dowodów, by wykazać, że jest ono nieprawdziwe, należy uznać je za </w:t>
      </w:r>
      <w:r w:rsidR="00154FA8">
        <w:rPr>
          <w:snapToGrid w:val="0"/>
        </w:rPr>
        <w:t>udowodnione</w:t>
      </w:r>
      <w:r w:rsidR="00F702D6">
        <w:rPr>
          <w:snapToGrid w:val="0"/>
        </w:rPr>
        <w:t>.</w:t>
      </w:r>
    </w:p>
    <w:p w14:paraId="32A96216" w14:textId="2AE3610C" w:rsidR="006F04B8" w:rsidRPr="006A41BD" w:rsidRDefault="00142EC5" w:rsidP="006A41BD">
      <w:pPr>
        <w:pStyle w:val="ECHRPara"/>
        <w:rPr>
          <w:snapToGrid w:val="0"/>
        </w:rPr>
      </w:pPr>
      <w:r>
        <w:rPr>
          <w:noProof/>
          <w:snapToGrid w:val="0"/>
        </w:rPr>
        <w:t>86</w:t>
      </w:r>
      <w:r w:rsidR="000C0CC5">
        <w:rPr>
          <w:snapToGrid w:val="0"/>
        </w:rPr>
        <w:t>.</w:t>
      </w:r>
      <w:r w:rsidR="00F861AE">
        <w:rPr>
          <w:snapToGrid w:val="0"/>
        </w:rPr>
        <w:t xml:space="preserve"> </w:t>
      </w:r>
      <w:r w:rsidR="000C0CC5">
        <w:rPr>
          <w:snapToGrid w:val="0"/>
        </w:rPr>
        <w:t>Trybunał wielokrotnie orzekał w odniesieniu do zakładów karnych i</w:t>
      </w:r>
      <w:r w:rsidR="00C56F31">
        <w:rPr>
          <w:snapToGrid w:val="0"/>
        </w:rPr>
        <w:t> </w:t>
      </w:r>
      <w:r w:rsidR="000C0CC5">
        <w:rPr>
          <w:snapToGrid w:val="0"/>
        </w:rPr>
        <w:t xml:space="preserve">aresztów tymczasowych, że </w:t>
      </w:r>
      <w:r w:rsidR="0049347C">
        <w:rPr>
          <w:snapToGrid w:val="0"/>
        </w:rPr>
        <w:t xml:space="preserve">nie może być uzasadnienia </w:t>
      </w:r>
      <w:r w:rsidR="000C0CC5">
        <w:rPr>
          <w:snapToGrid w:val="0"/>
        </w:rPr>
        <w:t xml:space="preserve">dla narażania </w:t>
      </w:r>
      <w:r w:rsidR="00262E1E">
        <w:rPr>
          <w:snapToGrid w:val="0"/>
        </w:rPr>
        <w:t>osadzonego</w:t>
      </w:r>
      <w:r w:rsidR="000C0CC5">
        <w:rPr>
          <w:snapToGrid w:val="0"/>
        </w:rPr>
        <w:t xml:space="preserve"> na poniżenie, jakim jest przymus załatwiania się do wiadra w</w:t>
      </w:r>
      <w:r w:rsidR="00C56F31">
        <w:rPr>
          <w:snapToGrid w:val="0"/>
        </w:rPr>
        <w:t> </w:t>
      </w:r>
      <w:r w:rsidR="000C0CC5">
        <w:rPr>
          <w:snapToGrid w:val="0"/>
        </w:rPr>
        <w:t>obecności współwięźniów, z wyjątkiem szczególnych sytuacji, gdy</w:t>
      </w:r>
      <w:r w:rsidR="00C56F31">
        <w:rPr>
          <w:snapToGrid w:val="0"/>
        </w:rPr>
        <w:t> </w:t>
      </w:r>
      <w:r w:rsidR="000C0CC5">
        <w:rPr>
          <w:snapToGrid w:val="0"/>
        </w:rPr>
        <w:t xml:space="preserve">umożliwienie </w:t>
      </w:r>
      <w:r w:rsidR="0049347C">
        <w:rPr>
          <w:snapToGrid w:val="0"/>
        </w:rPr>
        <w:t>osadzonym</w:t>
      </w:r>
      <w:r w:rsidR="000C0CC5">
        <w:rPr>
          <w:snapToGrid w:val="0"/>
        </w:rPr>
        <w:t xml:space="preserve"> </w:t>
      </w:r>
      <w:r w:rsidR="0049347C">
        <w:rPr>
          <w:snapToGrid w:val="0"/>
        </w:rPr>
        <w:t xml:space="preserve">udania się do </w:t>
      </w:r>
      <w:r w:rsidR="000C0CC5">
        <w:rPr>
          <w:snapToGrid w:val="0"/>
        </w:rPr>
        <w:t>obiektów sanitarnych rodziłoby konkretne i poważne zagrożenie dla bezpieczeństwa (zob.</w:t>
      </w:r>
      <w:r w:rsidR="00F861AE">
        <w:rPr>
          <w:snapToGrid w:val="0"/>
        </w:rPr>
        <w:t xml:space="preserve"> </w:t>
      </w:r>
      <w:r w:rsidR="000C0CC5">
        <w:rPr>
          <w:snapToGrid w:val="0"/>
        </w:rPr>
        <w:t xml:space="preserve">sprawy przywoływane w wyroku w sprawie </w:t>
      </w:r>
      <w:r w:rsidR="000C0CC5">
        <w:rPr>
          <w:i/>
        </w:rPr>
        <w:t>Harakchiev i Tolumov</w:t>
      </w:r>
      <w:r w:rsidR="000C0CC5">
        <w:rPr>
          <w:snapToGrid w:val="0"/>
        </w:rPr>
        <w:t xml:space="preserve"> </w:t>
      </w:r>
      <w:r w:rsidR="000C0CC5">
        <w:rPr>
          <w:i/>
        </w:rPr>
        <w:t>przeciwko Bułgarii</w:t>
      </w:r>
      <w:r w:rsidR="000C0CC5">
        <w:rPr>
          <w:snapToGrid w:val="0"/>
        </w:rPr>
        <w:t>, nr</w:t>
      </w:r>
      <w:r w:rsidR="00F861AE">
        <w:rPr>
          <w:snapToGrid w:val="0"/>
        </w:rPr>
        <w:t xml:space="preserve"> </w:t>
      </w:r>
      <w:r w:rsidR="000C0CC5">
        <w:rPr>
          <w:snapToGrid w:val="0"/>
        </w:rPr>
        <w:t>15018/11 i</w:t>
      </w:r>
      <w:r w:rsidR="00F861AE">
        <w:rPr>
          <w:snapToGrid w:val="0"/>
        </w:rPr>
        <w:t xml:space="preserve"> </w:t>
      </w:r>
      <w:r w:rsidR="000C0CC5">
        <w:rPr>
          <w:snapToGrid w:val="0"/>
        </w:rPr>
        <w:t>61199/12</w:t>
      </w:r>
      <w:r w:rsidR="000C0CC5">
        <w:t>, §</w:t>
      </w:r>
      <w:r w:rsidR="00F861AE">
        <w:t xml:space="preserve"> </w:t>
      </w:r>
      <w:r w:rsidR="000C0CC5">
        <w:t xml:space="preserve">211, </w:t>
      </w:r>
      <w:r w:rsidR="000E3703">
        <w:t>ETPC</w:t>
      </w:r>
      <w:r w:rsidR="000C0CC5">
        <w:t xml:space="preserve"> 2014 (fragmenty)). Należy uznać, że ma </w:t>
      </w:r>
      <w:r w:rsidR="00AF19DA">
        <w:t xml:space="preserve">to </w:t>
      </w:r>
      <w:r w:rsidR="000C0CC5">
        <w:t>zastosowanie w równym – a może nawet większym – stopniu do małoletnich migrantów przebywających w ośrodkach detencyjnych.</w:t>
      </w:r>
    </w:p>
    <w:p w14:paraId="2724C0CF" w14:textId="6562DEC8" w:rsidR="006F7BA3" w:rsidRPr="006A41BD" w:rsidRDefault="00142EC5" w:rsidP="006A41BD">
      <w:pPr>
        <w:pStyle w:val="ECHRPara"/>
        <w:rPr>
          <w:snapToGrid w:val="0"/>
        </w:rPr>
      </w:pPr>
      <w:r>
        <w:rPr>
          <w:noProof/>
          <w:snapToGrid w:val="0"/>
        </w:rPr>
        <w:t>87</w:t>
      </w:r>
      <w:r w:rsidR="00456750">
        <w:rPr>
          <w:snapToGrid w:val="0"/>
        </w:rPr>
        <w:t>.</w:t>
      </w:r>
      <w:r w:rsidR="00F861AE">
        <w:rPr>
          <w:snapToGrid w:val="0"/>
        </w:rPr>
        <w:t xml:space="preserve"> </w:t>
      </w:r>
      <w:r w:rsidR="00456750">
        <w:rPr>
          <w:snapToGrid w:val="0"/>
        </w:rPr>
        <w:t xml:space="preserve">Ostatnią okolicznością, jaką należy uwzględnić, jest </w:t>
      </w:r>
      <w:r w:rsidR="00AF19DA">
        <w:rPr>
          <w:snapToGrid w:val="0"/>
        </w:rPr>
        <w:t xml:space="preserve">zarzucane </w:t>
      </w:r>
      <w:r w:rsidR="00456750">
        <w:rPr>
          <w:snapToGrid w:val="0"/>
        </w:rPr>
        <w:t>niezapewnienie skarżącym przez władze żywności i napojów przez ponad dwadzieścia cztery godziny od momentu umieszczenia ich w ośrodku (zob.</w:t>
      </w:r>
      <w:r w:rsidR="00C56F31">
        <w:rPr>
          <w:snapToGrid w:val="0"/>
        </w:rPr>
        <w:t> </w:t>
      </w:r>
      <w:r w:rsidR="00456750">
        <w:rPr>
          <w:snapToGrid w:val="0"/>
        </w:rPr>
        <w:t xml:space="preserve">paragrafy </w:t>
      </w:r>
      <w:r>
        <w:t>20</w:t>
      </w:r>
      <w:r w:rsidR="00456750">
        <w:rPr>
          <w:snapToGrid w:val="0"/>
        </w:rPr>
        <w:t xml:space="preserve">, </w:t>
      </w:r>
      <w:r>
        <w:t>25</w:t>
      </w:r>
      <w:r w:rsidR="00456750">
        <w:rPr>
          <w:snapToGrid w:val="0"/>
        </w:rPr>
        <w:t xml:space="preserve"> oraz</w:t>
      </w:r>
      <w:r w:rsidR="00F861AE">
        <w:rPr>
          <w:snapToGrid w:val="0"/>
        </w:rPr>
        <w:t xml:space="preserve"> </w:t>
      </w:r>
      <w:r>
        <w:t>26</w:t>
      </w:r>
      <w:r w:rsidR="00456750">
        <w:rPr>
          <w:snapToGrid w:val="0"/>
        </w:rPr>
        <w:t xml:space="preserve"> powyżej, oraz zob., również w odniesieniu do odpowiedniego zapewnienia żywności osobom zatrzymanym, </w:t>
      </w:r>
      <w:r w:rsidR="00456750">
        <w:rPr>
          <w:i/>
        </w:rPr>
        <w:t>Kadiķis przeciwko Łotwie (nr</w:t>
      </w:r>
      <w:r w:rsidR="00F861AE">
        <w:rPr>
          <w:i/>
        </w:rPr>
        <w:t xml:space="preserve"> </w:t>
      </w:r>
      <w:r w:rsidR="00456750">
        <w:rPr>
          <w:i/>
        </w:rPr>
        <w:t>2)</w:t>
      </w:r>
      <w:r w:rsidR="00456750">
        <w:t>, nr</w:t>
      </w:r>
      <w:r w:rsidR="00F861AE">
        <w:t xml:space="preserve"> </w:t>
      </w:r>
      <w:r w:rsidR="00456750">
        <w:t>62393/00, §</w:t>
      </w:r>
      <w:r w:rsidR="00F861AE">
        <w:t xml:space="preserve"> </w:t>
      </w:r>
      <w:r w:rsidR="00456750">
        <w:t>55, 4</w:t>
      </w:r>
      <w:r w:rsidR="00F861AE">
        <w:t xml:space="preserve"> </w:t>
      </w:r>
      <w:r w:rsidR="00456750">
        <w:t>maja 2006</w:t>
      </w:r>
      <w:r w:rsidR="00F861AE">
        <w:t xml:space="preserve"> </w:t>
      </w:r>
      <w:r w:rsidR="00456750">
        <w:t xml:space="preserve">r.; </w:t>
      </w:r>
      <w:r w:rsidR="00456750">
        <w:rPr>
          <w:i/>
        </w:rPr>
        <w:t>Stepuleac przeciwko Mołdawii</w:t>
      </w:r>
      <w:r w:rsidR="00456750">
        <w:t>, nr</w:t>
      </w:r>
      <w:r w:rsidR="00F861AE">
        <w:t xml:space="preserve"> </w:t>
      </w:r>
      <w:r w:rsidR="00456750">
        <w:t>8207/06, §</w:t>
      </w:r>
      <w:r w:rsidR="00F861AE">
        <w:t xml:space="preserve"> </w:t>
      </w:r>
      <w:r w:rsidR="00456750">
        <w:t>55, 6</w:t>
      </w:r>
      <w:r w:rsidR="00F861AE">
        <w:t xml:space="preserve"> </w:t>
      </w:r>
      <w:r w:rsidR="00456750">
        <w:t>listopada 2007</w:t>
      </w:r>
      <w:r w:rsidR="00F861AE">
        <w:t xml:space="preserve"> </w:t>
      </w:r>
      <w:r w:rsidR="00456750">
        <w:t xml:space="preserve">r.; oraz </w:t>
      </w:r>
      <w:r w:rsidR="00456750">
        <w:rPr>
          <w:i/>
        </w:rPr>
        <w:t>Korneykova i Korneykov</w:t>
      </w:r>
      <w:r w:rsidR="00456750">
        <w:t xml:space="preserve"> </w:t>
      </w:r>
      <w:r w:rsidR="00456750">
        <w:rPr>
          <w:i/>
        </w:rPr>
        <w:t>przeciwko Ukrainie</w:t>
      </w:r>
      <w:r w:rsidR="00456750">
        <w:t>,</w:t>
      </w:r>
      <w:r w:rsidR="00456750">
        <w:rPr>
          <w:snapToGrid w:val="0"/>
        </w:rPr>
        <w:t xml:space="preserve"> </w:t>
      </w:r>
      <w:r w:rsidR="00456750">
        <w:t>nr</w:t>
      </w:r>
      <w:r w:rsidR="00F861AE">
        <w:t xml:space="preserve"> </w:t>
      </w:r>
      <w:r w:rsidR="00456750">
        <w:t>56660/12</w:t>
      </w:r>
      <w:r w:rsidR="00456750">
        <w:rPr>
          <w:snapToGrid w:val="0"/>
        </w:rPr>
        <w:t>, §</w:t>
      </w:r>
      <w:r w:rsidR="00F861AE">
        <w:rPr>
          <w:snapToGrid w:val="0"/>
        </w:rPr>
        <w:t xml:space="preserve"> </w:t>
      </w:r>
      <w:r w:rsidR="00456750">
        <w:rPr>
          <w:snapToGrid w:val="0"/>
        </w:rPr>
        <w:t>141, 24</w:t>
      </w:r>
      <w:r w:rsidR="00F861AE">
        <w:rPr>
          <w:snapToGrid w:val="0"/>
        </w:rPr>
        <w:t xml:space="preserve"> </w:t>
      </w:r>
      <w:r w:rsidR="00456750">
        <w:rPr>
          <w:snapToGrid w:val="0"/>
        </w:rPr>
        <w:t>marca 2016</w:t>
      </w:r>
      <w:r w:rsidR="00F861AE">
        <w:rPr>
          <w:snapToGrid w:val="0"/>
        </w:rPr>
        <w:t xml:space="preserve"> </w:t>
      </w:r>
      <w:r w:rsidR="00456750">
        <w:rPr>
          <w:snapToGrid w:val="0"/>
        </w:rPr>
        <w:t>r.). Zarzuty skarżących w tym zakresie również należy uznać za</w:t>
      </w:r>
      <w:r w:rsidR="00AF19DA">
        <w:rPr>
          <w:snapToGrid w:val="0"/>
        </w:rPr>
        <w:t xml:space="preserve"> udowodnione</w:t>
      </w:r>
      <w:r w:rsidR="00456750">
        <w:rPr>
          <w:snapToGrid w:val="0"/>
        </w:rPr>
        <w:t>, zważywszy że Rząd stwierdził zaledwie, że skarżącym zapewniono żywność w przewidzianych dziennych racjach, nie odnosząc się przy tym do zarzutów dotyczących znacznego opóźnienia w zapewnieniu żywności oraz sposobu, w jakim w istocie ją podano (zob.</w:t>
      </w:r>
      <w:r w:rsidR="00F861AE">
        <w:rPr>
          <w:snapToGrid w:val="0"/>
        </w:rPr>
        <w:t xml:space="preserve"> </w:t>
      </w:r>
      <w:r w:rsidR="00456750">
        <w:rPr>
          <w:snapToGrid w:val="0"/>
        </w:rPr>
        <w:t xml:space="preserve">paragraf </w:t>
      </w:r>
      <w:r>
        <w:t>26</w:t>
      </w:r>
      <w:r w:rsidR="00456750">
        <w:rPr>
          <w:snapToGrid w:val="0"/>
        </w:rPr>
        <w:t xml:space="preserve"> powyżej).</w:t>
      </w:r>
    </w:p>
    <w:p w14:paraId="48057E5F" w14:textId="1C69A028" w:rsidR="006F04B8" w:rsidRPr="006A41BD" w:rsidRDefault="00142EC5" w:rsidP="006A41BD">
      <w:pPr>
        <w:pStyle w:val="ECHRPara"/>
        <w:rPr>
          <w:snapToGrid w:val="0"/>
        </w:rPr>
      </w:pPr>
      <w:r>
        <w:rPr>
          <w:noProof/>
          <w:snapToGrid w:val="0"/>
        </w:rPr>
        <w:t>88</w:t>
      </w:r>
      <w:r w:rsidR="009029E0">
        <w:rPr>
          <w:snapToGrid w:val="0"/>
        </w:rPr>
        <w:t>.</w:t>
      </w:r>
      <w:r w:rsidR="00F861AE">
        <w:rPr>
          <w:snapToGrid w:val="0"/>
        </w:rPr>
        <w:t xml:space="preserve"> </w:t>
      </w:r>
      <w:r w:rsidR="009029E0">
        <w:rPr>
          <w:snapToGrid w:val="0"/>
        </w:rPr>
        <w:t xml:space="preserve">Rząd nie zaprzeczył zarzutowi, jakoby druga skarżąca uzyskała dostęp do butelki do karmienia i mleka dla niemowlęcia (piątego skarżącego) dopiero </w:t>
      </w:r>
      <w:r w:rsidR="00AF19DA">
        <w:rPr>
          <w:snapToGrid w:val="0"/>
        </w:rPr>
        <w:t xml:space="preserve">po </w:t>
      </w:r>
      <w:r w:rsidR="009029E0">
        <w:rPr>
          <w:snapToGrid w:val="0"/>
        </w:rPr>
        <w:t>około dziewiętnastu godzin</w:t>
      </w:r>
      <w:r w:rsidR="00AF19DA">
        <w:rPr>
          <w:snapToGrid w:val="0"/>
        </w:rPr>
        <w:t>ach</w:t>
      </w:r>
      <w:r w:rsidR="009029E0">
        <w:rPr>
          <w:snapToGrid w:val="0"/>
        </w:rPr>
        <w:t xml:space="preserve"> od momentu </w:t>
      </w:r>
      <w:r w:rsidR="009029E0" w:rsidRPr="00D04BCF">
        <w:rPr>
          <w:snapToGrid w:val="0"/>
        </w:rPr>
        <w:t>zatrzymania</w:t>
      </w:r>
      <w:r w:rsidR="009029E0">
        <w:rPr>
          <w:snapToGrid w:val="0"/>
        </w:rPr>
        <w:t xml:space="preserve"> (zob.</w:t>
      </w:r>
      <w:r w:rsidR="00F861AE">
        <w:rPr>
          <w:snapToGrid w:val="0"/>
        </w:rPr>
        <w:t xml:space="preserve"> </w:t>
      </w:r>
      <w:r w:rsidR="009029E0">
        <w:rPr>
          <w:snapToGrid w:val="0"/>
        </w:rPr>
        <w:t xml:space="preserve">paragraf </w:t>
      </w:r>
      <w:r>
        <w:t>23</w:t>
      </w:r>
      <w:r w:rsidR="009029E0">
        <w:rPr>
          <w:snapToGrid w:val="0"/>
        </w:rPr>
        <w:t xml:space="preserve"> powyżej). Nie wydaje się, aby niewielka torba na ramię widoczna na nagraniu przedłożonym przez skarżących (zob.</w:t>
      </w:r>
      <w:r w:rsidR="00C56F31">
        <w:rPr>
          <w:snapToGrid w:val="0"/>
        </w:rPr>
        <w:t> </w:t>
      </w:r>
      <w:r w:rsidR="009029E0">
        <w:rPr>
          <w:snapToGrid w:val="0"/>
        </w:rPr>
        <w:t xml:space="preserve">paragraf </w:t>
      </w:r>
      <w:r>
        <w:t>15</w:t>
      </w:r>
      <w:r w:rsidR="009029E0">
        <w:rPr>
          <w:snapToGrid w:val="0"/>
        </w:rPr>
        <w:t xml:space="preserve"> powyżej) zawierała te przedmioty. W każdym razie ośrodek, w którym przebywa półtoraroczne dziecko, nawet gdy czas zatrzymania jest krótki, musi być odpowiednio wyposażony do tego celu, co</w:t>
      </w:r>
      <w:r w:rsidR="00C56F31">
        <w:rPr>
          <w:snapToGrid w:val="0"/>
        </w:rPr>
        <w:t> </w:t>
      </w:r>
      <w:r w:rsidR="009029E0">
        <w:rPr>
          <w:snapToGrid w:val="0"/>
        </w:rPr>
        <w:t>zdaje się nie mieć miejsca w przypadku ośrodka detencyjnego straży granicznej w Widyniu.</w:t>
      </w:r>
    </w:p>
    <w:p w14:paraId="15CDCCB2" w14:textId="69848752" w:rsidR="00642BFC" w:rsidRPr="006A41BD" w:rsidRDefault="00142EC5" w:rsidP="006A41BD">
      <w:pPr>
        <w:pStyle w:val="ECHRPara"/>
        <w:rPr>
          <w:snapToGrid w:val="0"/>
        </w:rPr>
      </w:pPr>
      <w:r>
        <w:rPr>
          <w:noProof/>
          <w:snapToGrid w:val="0"/>
        </w:rPr>
        <w:t>89</w:t>
      </w:r>
      <w:r w:rsidR="008D0B8E">
        <w:rPr>
          <w:snapToGrid w:val="0"/>
        </w:rPr>
        <w:t>.</w:t>
      </w:r>
      <w:r w:rsidR="00F861AE">
        <w:rPr>
          <w:snapToGrid w:val="0"/>
        </w:rPr>
        <w:t xml:space="preserve"> </w:t>
      </w:r>
      <w:r w:rsidR="008D0B8E">
        <w:rPr>
          <w:snapToGrid w:val="0"/>
        </w:rPr>
        <w:t xml:space="preserve">Połączenie wspomnianych czynników musiało w znaczny sposób wpłynąć na skarżących trzeciego, czwartego i piątego zarówno fizycznie, </w:t>
      </w:r>
      <w:r w:rsidR="008D0B8E">
        <w:rPr>
          <w:snapToGrid w:val="0"/>
        </w:rPr>
        <w:lastRenderedPageBreak/>
        <w:t xml:space="preserve">jak i psychologicznie oraz z pewnością miało szczególnie godny potępienia wpływ na piątego skarżącego z uwagi na jego bardzo młody wiek. Trudno sobie wyobrazić, aby skutki te mógł zrównoważyć </w:t>
      </w:r>
      <w:r w:rsidR="00AF19DA">
        <w:rPr>
          <w:snapToGrid w:val="0"/>
        </w:rPr>
        <w:t>kilku</w:t>
      </w:r>
      <w:r w:rsidR="008D0B8E">
        <w:rPr>
          <w:snapToGrid w:val="0"/>
        </w:rPr>
        <w:t>godzinny pobyt w</w:t>
      </w:r>
      <w:r w:rsidR="00C56F31">
        <w:rPr>
          <w:snapToGrid w:val="0"/>
        </w:rPr>
        <w:t> </w:t>
      </w:r>
      <w:r w:rsidR="008D0B8E">
        <w:rPr>
          <w:snapToGrid w:val="0"/>
        </w:rPr>
        <w:t>szpitalu w Widyniu popołudniem i wieczorem 18</w:t>
      </w:r>
      <w:r w:rsidR="00F861AE">
        <w:rPr>
          <w:snapToGrid w:val="0"/>
        </w:rPr>
        <w:t xml:space="preserve"> </w:t>
      </w:r>
      <w:r w:rsidR="008D0B8E">
        <w:rPr>
          <w:snapToGrid w:val="0"/>
        </w:rPr>
        <w:t>sierpnia 2015</w:t>
      </w:r>
      <w:r w:rsidR="00F861AE">
        <w:rPr>
          <w:snapToGrid w:val="0"/>
        </w:rPr>
        <w:t xml:space="preserve"> </w:t>
      </w:r>
      <w:r w:rsidR="008D0B8E">
        <w:rPr>
          <w:snapToGrid w:val="0"/>
        </w:rPr>
        <w:t>r. (zob.</w:t>
      </w:r>
      <w:r w:rsidR="00C56F31">
        <w:rPr>
          <w:snapToGrid w:val="0"/>
        </w:rPr>
        <w:t> </w:t>
      </w:r>
      <w:r w:rsidR="008D0B8E">
        <w:rPr>
          <w:snapToGrid w:val="0"/>
        </w:rPr>
        <w:t xml:space="preserve">paragraf </w:t>
      </w:r>
      <w:r>
        <w:t>25</w:t>
      </w:r>
      <w:r w:rsidR="008D0B8E">
        <w:rPr>
          <w:snapToGrid w:val="0"/>
        </w:rPr>
        <w:t xml:space="preserve"> powyżej).</w:t>
      </w:r>
    </w:p>
    <w:p w14:paraId="13327566" w14:textId="35476C8E" w:rsidR="0065302A" w:rsidRPr="006A41BD" w:rsidRDefault="00142EC5" w:rsidP="006A41BD">
      <w:pPr>
        <w:pStyle w:val="ECHRPara"/>
        <w:rPr>
          <w:snapToGrid w:val="0"/>
        </w:rPr>
      </w:pPr>
      <w:r>
        <w:rPr>
          <w:noProof/>
          <w:snapToGrid w:val="0"/>
        </w:rPr>
        <w:t>90</w:t>
      </w:r>
      <w:r w:rsidR="00AD3D70">
        <w:rPr>
          <w:snapToGrid w:val="0"/>
        </w:rPr>
        <w:t>.</w:t>
      </w:r>
      <w:r w:rsidR="00F861AE">
        <w:rPr>
          <w:snapToGrid w:val="0"/>
        </w:rPr>
        <w:t xml:space="preserve"> </w:t>
      </w:r>
      <w:r w:rsidR="00AD3D70">
        <w:rPr>
          <w:snapToGrid w:val="0"/>
        </w:rPr>
        <w:t xml:space="preserve">Umieszczając trzech najmłodszych skarżących w takich warunkach, nawet </w:t>
      </w:r>
      <w:r w:rsidR="00AF19DA">
        <w:rPr>
          <w:snapToGrid w:val="0"/>
        </w:rPr>
        <w:t>jeśli czas pozbawienia wolności był krótki</w:t>
      </w:r>
      <w:r w:rsidR="00AD3D70">
        <w:rPr>
          <w:snapToGrid w:val="0"/>
        </w:rPr>
        <w:t>, władze Bułgarii poddały ich nieludzkiemu i poniżającemu traktowaniu.</w:t>
      </w:r>
    </w:p>
    <w:p w14:paraId="11CE8E64" w14:textId="526E5788" w:rsidR="00BA5899" w:rsidRPr="006A41BD" w:rsidRDefault="00142EC5" w:rsidP="006A41BD">
      <w:pPr>
        <w:pStyle w:val="ECHRPara"/>
      </w:pPr>
      <w:r>
        <w:rPr>
          <w:noProof/>
        </w:rPr>
        <w:t>91</w:t>
      </w:r>
      <w:r w:rsidR="00612B4F">
        <w:t>.</w:t>
      </w:r>
      <w:r w:rsidR="00F861AE">
        <w:t xml:space="preserve"> </w:t>
      </w:r>
      <w:r w:rsidR="00612B4F">
        <w:t>Prawdą jest, że w ostatnich latach Wysokie Układające się Państwa położone wzdłuż zewnętrznych granic Unii Europejskiej z trudnością radziły sobie z masowym napływem migrantów (zob.</w:t>
      </w:r>
      <w:r w:rsidR="00F861AE">
        <w:t xml:space="preserve"> </w:t>
      </w:r>
      <w:r w:rsidR="00612B4F">
        <w:rPr>
          <w:i/>
        </w:rPr>
        <w:t>M.S.S. przeciwko Belgii i Grecji</w:t>
      </w:r>
      <w:r w:rsidR="00612B4F">
        <w:t xml:space="preserve">, </w:t>
      </w:r>
      <w:r w:rsidR="00612B4F">
        <w:rPr>
          <w:i/>
          <w:iCs/>
        </w:rPr>
        <w:t>op.</w:t>
      </w:r>
      <w:r w:rsidR="00F861AE">
        <w:rPr>
          <w:i/>
          <w:iCs/>
        </w:rPr>
        <w:t xml:space="preserve"> </w:t>
      </w:r>
      <w:r w:rsidR="00612B4F">
        <w:rPr>
          <w:i/>
          <w:iCs/>
        </w:rPr>
        <w:t>cit.</w:t>
      </w:r>
      <w:r w:rsidR="00612B4F">
        <w:t>, §</w:t>
      </w:r>
      <w:r w:rsidR="00F861AE">
        <w:t xml:space="preserve"> </w:t>
      </w:r>
      <w:r w:rsidR="00612B4F">
        <w:t>223). Uważne przestudiowanie odnośnych danych statystycznych sugeruje jednak, że choć z pewnością nie można uznać przywoływanych liczb za nieznaczące, Bułgaria w ostatnich latach bynajmniej nie znajdowała się w najgorszej sytuacji (zob.</w:t>
      </w:r>
      <w:r w:rsidR="00F861AE">
        <w:t xml:space="preserve"> </w:t>
      </w:r>
      <w:r w:rsidR="00612B4F">
        <w:t xml:space="preserve">paragrafy </w:t>
      </w:r>
      <w:r>
        <w:t>8</w:t>
      </w:r>
      <w:r w:rsidR="00612B4F">
        <w:t xml:space="preserve"> i </w:t>
      </w:r>
      <w:r>
        <w:t>39</w:t>
      </w:r>
      <w:r w:rsidR="00612B4F">
        <w:t>–</w:t>
      </w:r>
      <w:r>
        <w:t>41</w:t>
      </w:r>
      <w:r w:rsidR="00612B4F">
        <w:t xml:space="preserve"> powyżej). W istocie liczba obywateli państw trzecich nielegalnie przebywających na terytorium teg</w:t>
      </w:r>
      <w:r w:rsidR="00AF6140">
        <w:t>o P</w:t>
      </w:r>
      <w:r w:rsidR="00612B4F">
        <w:t>aństwa w ciągu 2015</w:t>
      </w:r>
      <w:r w:rsidR="00F861AE">
        <w:t xml:space="preserve"> </w:t>
      </w:r>
      <w:r w:rsidR="00612B4F">
        <w:t>r. była około dwudziestokrotnie niższa niż w przypadku Grecji i około czterdziestoczterokrotnie niższa niż na Węgrzech (</w:t>
      </w:r>
      <w:r w:rsidR="00612B4F">
        <w:rPr>
          <w:i/>
          <w:iCs/>
        </w:rPr>
        <w:t>ibid.</w:t>
      </w:r>
      <w:r w:rsidR="00612B4F">
        <w:t xml:space="preserve">). Nie można zatem twierdzić, że w omawianym okresie Bułgaria spotkała się z wyjątkową sytuacją </w:t>
      </w:r>
      <w:r w:rsidR="0058063D">
        <w:t>o takiej skali</w:t>
      </w:r>
      <w:r w:rsidR="00612B4F">
        <w:t>, że jej władze nie miały praktycznej możliwości zapewnienia minimalnych godziwych warunków w ośrodkach krótkoterminowego pobytu, w których umieś</w:t>
      </w:r>
      <w:r w:rsidR="0058063D">
        <w:t>c</w:t>
      </w:r>
      <w:r w:rsidR="00612B4F">
        <w:t>iły małoletnich migrantów tuż</w:t>
      </w:r>
      <w:r w:rsidR="00C56F31">
        <w:t> </w:t>
      </w:r>
      <w:r w:rsidR="00612B4F">
        <w:t>po ich ujęciu i zatrzymaniu (por.</w:t>
      </w:r>
      <w:r w:rsidR="00F861AE">
        <w:t xml:space="preserve"> </w:t>
      </w:r>
      <w:r w:rsidR="00612B4F">
        <w:rPr>
          <w:i/>
        </w:rPr>
        <w:t>mutatis mutandis</w:t>
      </w:r>
      <w:r w:rsidR="00612B4F">
        <w:t xml:space="preserve">, </w:t>
      </w:r>
      <w:r w:rsidR="00612B4F">
        <w:rPr>
          <w:i/>
        </w:rPr>
        <w:t>Khlaifia i Inni</w:t>
      </w:r>
      <w:r w:rsidR="00612B4F">
        <w:t xml:space="preserve">, </w:t>
      </w:r>
      <w:r w:rsidR="00612B4F">
        <w:rPr>
          <w:i/>
          <w:iCs/>
        </w:rPr>
        <w:t>op.</w:t>
      </w:r>
      <w:r w:rsidR="00C56F31">
        <w:rPr>
          <w:i/>
          <w:iCs/>
        </w:rPr>
        <w:t> </w:t>
      </w:r>
      <w:r w:rsidR="00612B4F">
        <w:rPr>
          <w:i/>
          <w:iCs/>
        </w:rPr>
        <w:t>cit.</w:t>
      </w:r>
      <w:r w:rsidR="00612B4F">
        <w:t>, §§</w:t>
      </w:r>
      <w:r w:rsidR="00F861AE">
        <w:t xml:space="preserve"> </w:t>
      </w:r>
      <w:r w:rsidR="00612B4F">
        <w:t>178–83).</w:t>
      </w:r>
    </w:p>
    <w:p w14:paraId="3C395EFB" w14:textId="2FF691DB" w:rsidR="00612B4F" w:rsidRPr="006A41BD" w:rsidRDefault="00142EC5" w:rsidP="006A41BD">
      <w:pPr>
        <w:pStyle w:val="ECHRPara"/>
        <w:rPr>
          <w:snapToGrid w:val="0"/>
        </w:rPr>
      </w:pPr>
      <w:r>
        <w:rPr>
          <w:noProof/>
        </w:rPr>
        <w:t>92</w:t>
      </w:r>
      <w:r w:rsidR="00747239">
        <w:t>.</w:t>
      </w:r>
      <w:r w:rsidR="00F861AE">
        <w:t xml:space="preserve"> </w:t>
      </w:r>
      <w:r w:rsidR="00747239">
        <w:t>W każdym razie, w świetle bezwzględnego charakteru art.</w:t>
      </w:r>
      <w:r w:rsidR="00F861AE">
        <w:t xml:space="preserve"> </w:t>
      </w:r>
      <w:r w:rsidR="00747239">
        <w:t xml:space="preserve">3 Konwencji, wzmagający się napływ migrantów nie może zwalniać Wysokich Układających się Państw z ich zobowiązań wynikających z tego postanowienia, które wymaga, aby osobom pozbawionym wolności gwarantować warunki zapewniające poszanowanie ich ludzkiej godności. Nadzwyczajne trudności, z jakimi borykają się władze, stanowią jednak jeden z czynników branych pod uwagę w ocenie, czy doszło do naruszenia tego artykułu w odniesieniu do warunków, w </w:t>
      </w:r>
      <w:r w:rsidR="0058063D">
        <w:t>jakich</w:t>
      </w:r>
      <w:r w:rsidR="00747239">
        <w:t xml:space="preserve"> osoby te przebywały (</w:t>
      </w:r>
      <w:r w:rsidR="00747239">
        <w:rPr>
          <w:i/>
          <w:iCs/>
        </w:rPr>
        <w:t>ibid.</w:t>
      </w:r>
      <w:r w:rsidR="00747239">
        <w:t>, §§</w:t>
      </w:r>
      <w:r w:rsidR="00F861AE">
        <w:t xml:space="preserve"> </w:t>
      </w:r>
      <w:r w:rsidR="00747239">
        <w:t>184-85).</w:t>
      </w:r>
    </w:p>
    <w:p w14:paraId="7FFD960D" w14:textId="57A4E9A6" w:rsidR="00A15499" w:rsidRPr="006A41BD" w:rsidRDefault="00142EC5" w:rsidP="006A41BD">
      <w:pPr>
        <w:pStyle w:val="ECHRPara"/>
      </w:pPr>
      <w:r>
        <w:rPr>
          <w:noProof/>
          <w:snapToGrid w:val="0"/>
        </w:rPr>
        <w:t>93</w:t>
      </w:r>
      <w:r w:rsidR="00A15499">
        <w:rPr>
          <w:snapToGrid w:val="0"/>
        </w:rPr>
        <w:t>.</w:t>
      </w:r>
      <w:r w:rsidR="00F861AE">
        <w:rPr>
          <w:snapToGrid w:val="0"/>
        </w:rPr>
        <w:t xml:space="preserve"> </w:t>
      </w:r>
      <w:r w:rsidR="00A15499">
        <w:rPr>
          <w:snapToGrid w:val="0"/>
        </w:rPr>
        <w:t>W świetle powyższych rozważań Trybunał stwierdza, że doszło do</w:t>
      </w:r>
      <w:r w:rsidR="00C56F31">
        <w:rPr>
          <w:snapToGrid w:val="0"/>
        </w:rPr>
        <w:t> </w:t>
      </w:r>
      <w:r w:rsidR="00A15499">
        <w:rPr>
          <w:snapToGrid w:val="0"/>
        </w:rPr>
        <w:t>naruszenia art.</w:t>
      </w:r>
      <w:r w:rsidR="00F861AE">
        <w:rPr>
          <w:snapToGrid w:val="0"/>
        </w:rPr>
        <w:t xml:space="preserve"> </w:t>
      </w:r>
      <w:r w:rsidR="00A15499">
        <w:rPr>
          <w:snapToGrid w:val="0"/>
        </w:rPr>
        <w:t>3 Konwencji w odniesieniu do skarżących trzeciego, czwartego i piątego.</w:t>
      </w:r>
    </w:p>
    <w:p w14:paraId="3E726CE1" w14:textId="77B7ED8F" w:rsidR="00014566" w:rsidRPr="006A41BD" w:rsidRDefault="00D1664F" w:rsidP="006A41BD">
      <w:pPr>
        <w:pStyle w:val="ECHRHeading1"/>
        <w:outlineLvl w:val="1"/>
      </w:pPr>
      <w:r>
        <w:lastRenderedPageBreak/>
        <w:t>II.</w:t>
      </w:r>
      <w:r w:rsidR="00F861AE">
        <w:t xml:space="preserve"> </w:t>
      </w:r>
      <w:r>
        <w:t>ZASTOSOWANIE ART.</w:t>
      </w:r>
      <w:r w:rsidR="00F861AE">
        <w:t xml:space="preserve"> </w:t>
      </w:r>
      <w:r>
        <w:t>41 KONWENCJI</w:t>
      </w:r>
    </w:p>
    <w:p w14:paraId="46C7CCD4" w14:textId="303C2A0D" w:rsidR="00014566" w:rsidRPr="006A41BD" w:rsidRDefault="00142EC5" w:rsidP="006A41BD">
      <w:pPr>
        <w:pStyle w:val="ECHRPara"/>
        <w:keepNext/>
        <w:keepLines/>
      </w:pPr>
      <w:r>
        <w:rPr>
          <w:noProof/>
        </w:rPr>
        <w:t>94</w:t>
      </w:r>
      <w:r w:rsidR="0002079C">
        <w:t>.</w:t>
      </w:r>
      <w:r w:rsidR="00F861AE">
        <w:t xml:space="preserve"> </w:t>
      </w:r>
      <w:r w:rsidR="0002079C">
        <w:t>Art.</w:t>
      </w:r>
      <w:r w:rsidR="00F861AE">
        <w:t xml:space="preserve"> </w:t>
      </w:r>
      <w:r w:rsidR="0002079C">
        <w:t>41 Konwencji stanowi:</w:t>
      </w:r>
    </w:p>
    <w:p w14:paraId="7A09B9BA" w14:textId="77777777" w:rsidR="00014566" w:rsidRPr="006A41BD" w:rsidRDefault="00014566" w:rsidP="006A41BD">
      <w:pPr>
        <w:pStyle w:val="ECHRParaQuote"/>
        <w:keepLines/>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6227172B" w14:textId="0F26142F" w:rsidR="00014566" w:rsidRPr="006A41BD" w:rsidRDefault="00014566" w:rsidP="006A41BD">
      <w:pPr>
        <w:pStyle w:val="ECHRHeading2"/>
        <w:outlineLvl w:val="2"/>
      </w:pPr>
      <w:r>
        <w:t>A.</w:t>
      </w:r>
      <w:r w:rsidR="00F861AE">
        <w:t xml:space="preserve"> </w:t>
      </w:r>
      <w:r>
        <w:t>Szkoda</w:t>
      </w:r>
    </w:p>
    <w:p w14:paraId="10B0BD8B" w14:textId="7243BFE4" w:rsidR="00014566" w:rsidRPr="006A41BD" w:rsidRDefault="00142EC5" w:rsidP="006A41BD">
      <w:pPr>
        <w:pStyle w:val="ECHRPara"/>
      </w:pPr>
      <w:r>
        <w:rPr>
          <w:noProof/>
        </w:rPr>
        <w:t>95</w:t>
      </w:r>
      <w:r w:rsidR="0002079C">
        <w:t>.</w:t>
      </w:r>
      <w:r w:rsidR="00F861AE">
        <w:t xml:space="preserve"> </w:t>
      </w:r>
      <w:r w:rsidR="0002079C">
        <w:t>Skarżący żądali kwoty 12</w:t>
      </w:r>
      <w:r w:rsidR="00F861AE">
        <w:t xml:space="preserve"> </w:t>
      </w:r>
      <w:r w:rsidR="0002079C">
        <w:t>000 euro (EUR) tytułem cierpienia i</w:t>
      </w:r>
      <w:r w:rsidR="00C56F31">
        <w:t> </w:t>
      </w:r>
      <w:r w:rsidR="0002079C">
        <w:t>upokorzenia doznanego w wyniku warunków, w których umieszczono skarżących trzeciego, czwartego i piątego. Podnieśli oni, że uczucia te</w:t>
      </w:r>
      <w:r w:rsidR="00C56F31">
        <w:t> </w:t>
      </w:r>
      <w:r w:rsidR="0002079C">
        <w:t xml:space="preserve">pogłębiła ich ówczesna nadzwyczajna </w:t>
      </w:r>
      <w:r w:rsidR="0058063D">
        <w:t>wrażliwość</w:t>
      </w:r>
      <w:r w:rsidR="0002079C">
        <w:t>.</w:t>
      </w:r>
    </w:p>
    <w:p w14:paraId="676426B4" w14:textId="348AD6D4" w:rsidR="00014566" w:rsidRPr="006A41BD" w:rsidRDefault="00142EC5" w:rsidP="006A41BD">
      <w:pPr>
        <w:pStyle w:val="ECHRPara"/>
      </w:pPr>
      <w:r>
        <w:rPr>
          <w:noProof/>
        </w:rPr>
        <w:t>96</w:t>
      </w:r>
      <w:r w:rsidR="0002079C">
        <w:t>.</w:t>
      </w:r>
      <w:r w:rsidR="00F861AE">
        <w:t xml:space="preserve"> </w:t>
      </w:r>
      <w:r w:rsidR="0002079C">
        <w:t>Rząd podniósł, że roszczenie jest wygórowane i kilkakrotnie przewyższa zadośćuczynienie zasądzane w podobnych sprawach dotyczących Bułgarii. Zdaniem Rządu stwierdzenie naruszenia stanowiłoby wystarczające słuszne zadośćuczynienie za szkodę niemajątkową poniesioną przez skarżących.</w:t>
      </w:r>
    </w:p>
    <w:p w14:paraId="082DC3DA" w14:textId="1402AD83" w:rsidR="00014566" w:rsidRPr="006A41BD" w:rsidRDefault="00142EC5" w:rsidP="006A41BD">
      <w:pPr>
        <w:pStyle w:val="ECHRPara"/>
      </w:pPr>
      <w:r>
        <w:rPr>
          <w:noProof/>
        </w:rPr>
        <w:t>97</w:t>
      </w:r>
      <w:r w:rsidR="0002079C">
        <w:t>.</w:t>
      </w:r>
      <w:r w:rsidR="00F861AE">
        <w:t xml:space="preserve"> </w:t>
      </w:r>
      <w:r w:rsidR="0002079C">
        <w:t>Trybunał uznaje, że skarżący trzeci, czwarty i piąty musieli ponieść szkodę niemajątkową w wyniku nieludzkich i poniżających warunków, w</w:t>
      </w:r>
      <w:r w:rsidR="00C56F31">
        <w:t> </w:t>
      </w:r>
      <w:r w:rsidR="0058063D">
        <w:t xml:space="preserve">jakich </w:t>
      </w:r>
      <w:r w:rsidR="0002079C">
        <w:t xml:space="preserve">przebywali w ośrodku detencyjnym straży granicznej w Widyniu. </w:t>
      </w:r>
      <w:r w:rsidR="0058063D">
        <w:t>Orzekając w</w:t>
      </w:r>
      <w:r w:rsidR="0002079C">
        <w:t xml:space="preserve"> oparciu o zas</w:t>
      </w:r>
      <w:r w:rsidR="0058063D">
        <w:t>adę słuszności, jak wymaga</w:t>
      </w:r>
      <w:r w:rsidR="0002079C">
        <w:t xml:space="preserve"> </w:t>
      </w:r>
      <w:r w:rsidR="00BE590E">
        <w:t xml:space="preserve">tego </w:t>
      </w:r>
      <w:r w:rsidR="0002079C">
        <w:t>art.</w:t>
      </w:r>
      <w:r w:rsidR="00F861AE">
        <w:t xml:space="preserve"> </w:t>
      </w:r>
      <w:r w:rsidR="0002079C">
        <w:t>41 Konwencji, Trybunał zasądza na rzecz każdego ze skarżących kwotę 600</w:t>
      </w:r>
      <w:r w:rsidR="00C56F31">
        <w:t> </w:t>
      </w:r>
      <w:r w:rsidR="0002079C">
        <w:t>EUR plus wszelkie należne podatki.</w:t>
      </w:r>
    </w:p>
    <w:p w14:paraId="5EBF2A5B" w14:textId="45C727D9" w:rsidR="00014566" w:rsidRPr="006A41BD" w:rsidRDefault="00014566" w:rsidP="006A41BD">
      <w:pPr>
        <w:pStyle w:val="ECHRHeading2"/>
        <w:outlineLvl w:val="2"/>
      </w:pPr>
      <w:r>
        <w:t>B.</w:t>
      </w:r>
      <w:r w:rsidR="00F861AE">
        <w:t xml:space="preserve"> </w:t>
      </w:r>
      <w:r>
        <w:t>Koszty i wydatki</w:t>
      </w:r>
    </w:p>
    <w:p w14:paraId="66C8CCAF" w14:textId="5099B0F3" w:rsidR="00C536F3" w:rsidRPr="006A41BD" w:rsidRDefault="00142EC5" w:rsidP="006A41BD">
      <w:pPr>
        <w:pStyle w:val="ECHRPara"/>
      </w:pPr>
      <w:r>
        <w:rPr>
          <w:noProof/>
        </w:rPr>
        <w:t>98</w:t>
      </w:r>
      <w:r w:rsidR="0002079C">
        <w:t>.</w:t>
      </w:r>
      <w:r w:rsidR="00F861AE">
        <w:t xml:space="preserve"> </w:t>
      </w:r>
      <w:r w:rsidR="0002079C">
        <w:t>Skarżący domagali się kwoty 2731</w:t>
      </w:r>
      <w:r w:rsidR="00F861AE">
        <w:t xml:space="preserve"> </w:t>
      </w:r>
      <w:r w:rsidR="0002079C">
        <w:t>EUR (ich zdaniem równowartości 2995</w:t>
      </w:r>
      <w:r w:rsidR="00F861AE">
        <w:t xml:space="preserve"> </w:t>
      </w:r>
      <w:r w:rsidR="0002079C">
        <w:t>franków szwajcarskich (CHF)) tytułem wynagrodzenia pełnomocnika i tłumacza ustnego z języka arabskiego na francuski. Wyjaśnili oni, że</w:t>
      </w:r>
      <w:r w:rsidR="00C56F31">
        <w:t> </w:t>
      </w:r>
      <w:r w:rsidR="0002079C">
        <w:t>tłumacz ustny, który umożliwił im porozumiewanie się z</w:t>
      </w:r>
      <w:r w:rsidR="00C56F31">
        <w:t> </w:t>
      </w:r>
      <w:r w:rsidR="0002079C">
        <w:t>pełnomocnikiem, został zatrudniony przez organizację SAJE w oparciu o</w:t>
      </w:r>
      <w:r w:rsidR="00C56F31">
        <w:t> </w:t>
      </w:r>
      <w:r w:rsidR="0002079C">
        <w:t>wynagrodzenie miesięczne i dlatego opłaty za jego usługi nie zostały naliczone oddzielnie. Na poparcie tego roszczenia skarżący przedstawili rachunek kosztów sporządzony przez ich przedstawiciela. Z rachunku tego wynika, że przedstawiciel poświęcił na pracę nad przedmiotową sprawą łącznie dwanaście i pół godziny, a jego stawka godzinowa wynosiła 200</w:t>
      </w:r>
      <w:r w:rsidR="00C56F31">
        <w:t> </w:t>
      </w:r>
      <w:r w:rsidR="0002079C">
        <w:t>CHF, natomiast tłumacz ustny poświęcił na pracę nad sprawą trzy godziny, a jego stawka godzinowa wynosiła 65</w:t>
      </w:r>
      <w:r w:rsidR="00F861AE">
        <w:t xml:space="preserve"> </w:t>
      </w:r>
      <w:r w:rsidR="0002079C">
        <w:t>CHF.</w:t>
      </w:r>
    </w:p>
    <w:p w14:paraId="4061376E" w14:textId="60FB7DDD" w:rsidR="00014566" w:rsidRPr="006A41BD" w:rsidRDefault="00142EC5" w:rsidP="006A41BD">
      <w:pPr>
        <w:pStyle w:val="ECHRPara"/>
      </w:pPr>
      <w:r>
        <w:rPr>
          <w:noProof/>
        </w:rPr>
        <w:t>99</w:t>
      </w:r>
      <w:r w:rsidR="0002079C">
        <w:t>.</w:t>
      </w:r>
      <w:r w:rsidR="00F861AE">
        <w:t xml:space="preserve"> </w:t>
      </w:r>
      <w:r w:rsidR="0002079C">
        <w:t>Rząd podniósł, że kwota żądana z tytułu wynagrodzenia za pracę przedstawiciela skarżących była wygórowana, i zauważył, że skarżący nie</w:t>
      </w:r>
      <w:r w:rsidR="00C56F31">
        <w:t> </w:t>
      </w:r>
      <w:r w:rsidR="0002079C">
        <w:t>dochodzili zwrotu innych kosztów.</w:t>
      </w:r>
    </w:p>
    <w:p w14:paraId="6C985957" w14:textId="521F46FF" w:rsidR="003D1880" w:rsidRPr="006A41BD" w:rsidRDefault="00142EC5" w:rsidP="006A41BD">
      <w:pPr>
        <w:pStyle w:val="ECHRPara"/>
        <w:keepLines/>
      </w:pPr>
      <w:r>
        <w:rPr>
          <w:noProof/>
        </w:rPr>
        <w:lastRenderedPageBreak/>
        <w:t>100</w:t>
      </w:r>
      <w:r w:rsidR="000D75E1">
        <w:t>.</w:t>
      </w:r>
      <w:r w:rsidR="00F861AE">
        <w:t xml:space="preserve"> </w:t>
      </w:r>
      <w:r w:rsidR="000D75E1">
        <w:t xml:space="preserve">Zgodnie z orzecznictwem Trybunału skarżącym przysługuje prawo do zwrotu poniesionych kosztów i wydatków </w:t>
      </w:r>
      <w:r w:rsidR="0058063D">
        <w:t xml:space="preserve">jedynie </w:t>
      </w:r>
      <w:r w:rsidR="00835DAF">
        <w:t>w zakresie</w:t>
      </w:r>
      <w:r w:rsidR="000D75E1">
        <w:t xml:space="preserve">, </w:t>
      </w:r>
      <w:r w:rsidR="00835DAF">
        <w:t>w</w:t>
      </w:r>
      <w:r w:rsidR="00C56F31">
        <w:t> </w:t>
      </w:r>
      <w:r w:rsidR="00835DAF">
        <w:t>jakim</w:t>
      </w:r>
      <w:r w:rsidR="00C56F31">
        <w:t> </w:t>
      </w:r>
      <w:r w:rsidR="000D75E1">
        <w:t xml:space="preserve">wykazali, że były one rzeczywiście i </w:t>
      </w:r>
      <w:r w:rsidR="0058063D">
        <w:t>w sposób konieczny</w:t>
      </w:r>
      <w:r w:rsidR="000D75E1">
        <w:t xml:space="preserve"> poniesione i były uzasadnione co do wysokości. Biorąc pod uwagę te</w:t>
      </w:r>
      <w:r w:rsidR="00C56F31">
        <w:t> </w:t>
      </w:r>
      <w:r w:rsidR="000D75E1">
        <w:t>zasady oraz materiały, jakimi Trybunał dysponuje, w przedmiotowej sprawie Trybunał zasądza na rzecz wszystkich skarżących łączną kwotę 1000</w:t>
      </w:r>
      <w:r w:rsidR="00F861AE">
        <w:t xml:space="preserve"> </w:t>
      </w:r>
      <w:r w:rsidR="000D75E1">
        <w:t>EUR</w:t>
      </w:r>
      <w:r w:rsidR="0058063D">
        <w:t>,</w:t>
      </w:r>
      <w:r w:rsidR="000D75E1">
        <w:t xml:space="preserve"> powiększoną o wszelkie ewentualne podatki</w:t>
      </w:r>
      <w:r w:rsidR="0058063D">
        <w:t>,</w:t>
      </w:r>
      <w:r w:rsidR="000D75E1">
        <w:t xml:space="preserve"> </w:t>
      </w:r>
      <w:r w:rsidR="0058063D">
        <w:t xml:space="preserve">tytułem </w:t>
      </w:r>
      <w:r w:rsidR="000D75E1">
        <w:t xml:space="preserve">wszystkich </w:t>
      </w:r>
      <w:r w:rsidR="0058063D">
        <w:t xml:space="preserve">rodzajów </w:t>
      </w:r>
      <w:r w:rsidR="000D75E1">
        <w:t>kosztów.</w:t>
      </w:r>
    </w:p>
    <w:p w14:paraId="2BA84B67" w14:textId="14F380BA" w:rsidR="00014566" w:rsidRPr="006A41BD" w:rsidRDefault="00014566" w:rsidP="006A41BD">
      <w:pPr>
        <w:pStyle w:val="ECHRHeading2"/>
        <w:outlineLvl w:val="2"/>
      </w:pPr>
      <w:r>
        <w:t>C.</w:t>
      </w:r>
      <w:r w:rsidR="00F861AE">
        <w:t xml:space="preserve"> </w:t>
      </w:r>
      <w:r>
        <w:t>Odsetki za zwłokę</w:t>
      </w:r>
    </w:p>
    <w:p w14:paraId="72617E5D" w14:textId="533D6A11" w:rsidR="00014566" w:rsidRPr="006A41BD" w:rsidRDefault="00142EC5" w:rsidP="006A41BD">
      <w:pPr>
        <w:pStyle w:val="ECHRPara"/>
      </w:pPr>
      <w:r>
        <w:rPr>
          <w:noProof/>
        </w:rPr>
        <w:t>101</w:t>
      </w:r>
      <w:r w:rsidR="00012AE8">
        <w:t>.</w:t>
      </w:r>
      <w:r w:rsidR="00F861AE">
        <w:t xml:space="preserve"> </w:t>
      </w:r>
      <w:r w:rsidR="00012AE8">
        <w:t>Trybunał za słuszne uznaje wyznaczenie wysokości odsetek za</w:t>
      </w:r>
      <w:r w:rsidR="00C56F31">
        <w:t> </w:t>
      </w:r>
      <w:r w:rsidR="00012AE8">
        <w:t>zwłokę na podstawie marginalnej stopy procentowej Europejskiego Banku Centralnego powiększonej o trzy punkty procentowe.</w:t>
      </w:r>
    </w:p>
    <w:p w14:paraId="2139AEB9" w14:textId="77777777" w:rsidR="00014566" w:rsidRPr="006A41BD" w:rsidRDefault="00BB5883" w:rsidP="006A41BD">
      <w:pPr>
        <w:pStyle w:val="ECHRTitle1"/>
      </w:pPr>
      <w:r>
        <w:t>Z TYCH PRZYCZYN TRYBUNAŁ JEDNOGŁOŚNIE</w:t>
      </w:r>
    </w:p>
    <w:p w14:paraId="3CF0A947" w14:textId="00917B26" w:rsidR="00B637B9" w:rsidRPr="006A41BD" w:rsidRDefault="006D1953" w:rsidP="006A41BD">
      <w:pPr>
        <w:pStyle w:val="JuList"/>
        <w:keepLines/>
      </w:pPr>
      <w:r>
        <w:t>1.</w:t>
      </w:r>
      <w:r w:rsidR="00F861AE">
        <w:t xml:space="preserve"> </w:t>
      </w:r>
      <w:r>
        <w:rPr>
          <w:i/>
        </w:rPr>
        <w:t>uznaje</w:t>
      </w:r>
      <w:r>
        <w:t xml:space="preserve"> skargę dotyczącą warunków </w:t>
      </w:r>
      <w:r w:rsidR="0058063D">
        <w:t xml:space="preserve">pozbawienia wolności </w:t>
      </w:r>
      <w:r>
        <w:t>trzeciego, czwartego i piątego skarżącego za dopuszczalną;</w:t>
      </w:r>
    </w:p>
    <w:p w14:paraId="779AD9DD" w14:textId="77777777" w:rsidR="00014566" w:rsidRPr="006A41BD" w:rsidRDefault="00014566" w:rsidP="006A41BD">
      <w:pPr>
        <w:pStyle w:val="JuList"/>
        <w:keepLines/>
        <w:ind w:left="0" w:firstLine="0"/>
      </w:pPr>
    </w:p>
    <w:p w14:paraId="0AA4E1A8" w14:textId="2731388D" w:rsidR="00014566" w:rsidRPr="006A41BD" w:rsidRDefault="006D1953" w:rsidP="006A41BD">
      <w:pPr>
        <w:pStyle w:val="JuList"/>
        <w:keepLines/>
      </w:pPr>
      <w:r>
        <w:t>2.</w:t>
      </w:r>
      <w:r w:rsidR="00F861AE">
        <w:t xml:space="preserve"> </w:t>
      </w:r>
      <w:r>
        <w:rPr>
          <w:i/>
        </w:rPr>
        <w:t>orzeka</w:t>
      </w:r>
      <w:r>
        <w:t>, że doszło do naruszenia art.</w:t>
      </w:r>
      <w:r w:rsidR="00F861AE">
        <w:t xml:space="preserve"> </w:t>
      </w:r>
      <w:r>
        <w:t>3 Konwencji w odniesieniu do</w:t>
      </w:r>
      <w:r w:rsidR="00C56F31">
        <w:t> </w:t>
      </w:r>
      <w:r>
        <w:t>trzeciego, czwartego i piątego skarżącego;</w:t>
      </w:r>
    </w:p>
    <w:p w14:paraId="7271B2EF" w14:textId="77777777" w:rsidR="00014566" w:rsidRPr="006A41BD" w:rsidRDefault="00014566" w:rsidP="006A41BD">
      <w:pPr>
        <w:pStyle w:val="JuList"/>
        <w:keepLines/>
      </w:pPr>
    </w:p>
    <w:p w14:paraId="0EEA70EA" w14:textId="265348B9" w:rsidR="00014566" w:rsidRPr="006A41BD" w:rsidRDefault="006D1953" w:rsidP="006A41BD">
      <w:pPr>
        <w:pStyle w:val="JuList"/>
        <w:keepNext/>
        <w:keepLines/>
      </w:pPr>
      <w:r>
        <w:t>3.</w:t>
      </w:r>
      <w:r w:rsidR="00F861AE">
        <w:t xml:space="preserve"> </w:t>
      </w:r>
      <w:r>
        <w:rPr>
          <w:i/>
        </w:rPr>
        <w:t>orzeka</w:t>
      </w:r>
    </w:p>
    <w:p w14:paraId="52FA7EAC" w14:textId="073F89BB" w:rsidR="00014566" w:rsidRPr="006A41BD" w:rsidRDefault="00DF1268" w:rsidP="006A41BD">
      <w:pPr>
        <w:pStyle w:val="JuLista"/>
        <w:keepLines/>
      </w:pPr>
      <w:r>
        <w:t>a)</w:t>
      </w:r>
      <w:r w:rsidR="00F861AE">
        <w:t xml:space="preserve"> </w:t>
      </w:r>
      <w:r>
        <w:t>że pozwane P</w:t>
      </w:r>
      <w:r w:rsidR="00014566">
        <w:t>aństwo winno, w terminie trzech miesięcy od daty, w</w:t>
      </w:r>
      <w:r w:rsidR="00C56F31">
        <w:t> </w:t>
      </w:r>
      <w:r w:rsidR="00014566">
        <w:t>której niniejszy wyrok stanie się ostateczny zgodnie z art.</w:t>
      </w:r>
      <w:r w:rsidR="00F861AE">
        <w:t xml:space="preserve"> </w:t>
      </w:r>
      <w:r w:rsidR="00014566">
        <w:t>44</w:t>
      </w:r>
      <w:r w:rsidR="00F861AE">
        <w:t xml:space="preserve"> </w:t>
      </w:r>
      <w:r w:rsidR="00014566">
        <w:t>ust.</w:t>
      </w:r>
      <w:r w:rsidR="00F861AE">
        <w:t xml:space="preserve"> </w:t>
      </w:r>
      <w:r w:rsidR="00014566">
        <w:t xml:space="preserve">2 Konwencji, uiścić następujące kwoty, przeliczone na </w:t>
      </w:r>
      <w:r w:rsidR="00F940D6">
        <w:rPr>
          <w:color w:val="000000"/>
        </w:rPr>
        <w:t>walutę pozwanego P</w:t>
      </w:r>
      <w:r w:rsidR="00014566">
        <w:rPr>
          <w:color w:val="000000"/>
        </w:rPr>
        <w:t xml:space="preserve">aństwa </w:t>
      </w:r>
      <w:r w:rsidR="00014566">
        <w:t>według kursu obowiązującego w dniu płatności:</w:t>
      </w:r>
    </w:p>
    <w:p w14:paraId="6EDA7921" w14:textId="775329E1" w:rsidR="00014566" w:rsidRPr="006A41BD" w:rsidRDefault="00C536F3" w:rsidP="006A41BD">
      <w:pPr>
        <w:pStyle w:val="JuListi"/>
        <w:keepLines/>
      </w:pPr>
      <w:r>
        <w:t>(i)</w:t>
      </w:r>
      <w:r w:rsidR="00F861AE">
        <w:t xml:space="preserve"> </w:t>
      </w:r>
      <w:r>
        <w:t xml:space="preserve">na rzecz trzeciego, czwartego i piątego </w:t>
      </w:r>
      <w:r w:rsidR="00835DAF">
        <w:t xml:space="preserve">skarżącego </w:t>
      </w:r>
      <w:r>
        <w:t>po 600</w:t>
      </w:r>
      <w:r w:rsidR="00F861AE">
        <w:t xml:space="preserve"> </w:t>
      </w:r>
      <w:r>
        <w:t xml:space="preserve">EUR (sześćset euro), plus wszelkie należne podatki, tytułem </w:t>
      </w:r>
      <w:r w:rsidR="0058063D">
        <w:t>szkody niemajątkowej</w:t>
      </w:r>
      <w:r>
        <w:t>;</w:t>
      </w:r>
    </w:p>
    <w:p w14:paraId="4E65CF5D" w14:textId="3AFAB396" w:rsidR="00014566" w:rsidRPr="006A41BD" w:rsidRDefault="00C536F3" w:rsidP="006A41BD">
      <w:pPr>
        <w:pStyle w:val="JuListi"/>
        <w:keepLines/>
      </w:pPr>
      <w:r>
        <w:t>(ii)</w:t>
      </w:r>
      <w:r w:rsidR="00F861AE">
        <w:t xml:space="preserve"> </w:t>
      </w:r>
      <w:r>
        <w:t>łącznie na rzecz wszystkich skarżących 1000 EUR (tysiąc euro), plus wszelkie należne podatki, tytułem poniesionych kosztów i</w:t>
      </w:r>
      <w:r w:rsidR="00C56F31">
        <w:t> </w:t>
      </w:r>
      <w:r>
        <w:t>wydatków;</w:t>
      </w:r>
    </w:p>
    <w:p w14:paraId="32D0FDAD" w14:textId="0C995737" w:rsidR="00014566" w:rsidRPr="006A41BD" w:rsidRDefault="00014566" w:rsidP="006A41BD">
      <w:pPr>
        <w:pStyle w:val="JuLista"/>
        <w:keepLines/>
      </w:pPr>
      <w:r>
        <w:t>b)</w:t>
      </w:r>
      <w:r w:rsidR="00F861AE">
        <w:t xml:space="preserve"> </w:t>
      </w:r>
      <w:r>
        <w:t>że od upływu wyżej wskazanego terminu trzech miesięcy aż</w:t>
      </w:r>
      <w:r w:rsidR="00C56F31">
        <w:t> </w:t>
      </w:r>
      <w:r>
        <w:t>do</w:t>
      </w:r>
      <w:r w:rsidR="00C56F31">
        <w:t> </w:t>
      </w:r>
      <w:r>
        <w:t xml:space="preserve">momentu uregulowania należności, </w:t>
      </w:r>
      <w:r w:rsidR="0058063D">
        <w:t xml:space="preserve">przysługiwać </w:t>
      </w:r>
      <w:r>
        <w:t>będą odsetki zwykłe od określonej powyższych kwot, naliczone według stopy równej marginalnej stopie procentowej Europejskiego Banku Centralnego obowiązującej w tym okresie, powiększonej o trzy punkty procentowe.</w:t>
      </w:r>
    </w:p>
    <w:p w14:paraId="16A095FD" w14:textId="77777777" w:rsidR="00014566" w:rsidRPr="006A41BD" w:rsidRDefault="00014566" w:rsidP="006A41BD">
      <w:pPr>
        <w:pStyle w:val="JuList"/>
        <w:keepLines/>
      </w:pPr>
    </w:p>
    <w:p w14:paraId="29A6D0F8" w14:textId="71B38004" w:rsidR="00014566" w:rsidRPr="006A41BD" w:rsidRDefault="006D1953" w:rsidP="006A41BD">
      <w:pPr>
        <w:pStyle w:val="JuList"/>
        <w:keepNext/>
        <w:keepLines/>
      </w:pPr>
      <w:r>
        <w:lastRenderedPageBreak/>
        <w:t>4.</w:t>
      </w:r>
      <w:r w:rsidR="00F861AE">
        <w:t xml:space="preserve"> </w:t>
      </w:r>
      <w:r>
        <w:rPr>
          <w:i/>
        </w:rPr>
        <w:t xml:space="preserve">oddala </w:t>
      </w:r>
      <w:r>
        <w:t>pozostałą część roszczenia skarżących dotyczącego słusznego zadośćuczynienia.</w:t>
      </w:r>
    </w:p>
    <w:p w14:paraId="7FAB8D8F" w14:textId="35F186EE" w:rsidR="00014566" w:rsidRPr="006A41BD" w:rsidRDefault="00014566" w:rsidP="006A41BD">
      <w:pPr>
        <w:pStyle w:val="JuParaLast"/>
      </w:pPr>
      <w:r>
        <w:t>Sporządzono w języku angielskim i obwieszczono pisemnie dnia 7</w:t>
      </w:r>
      <w:r w:rsidR="00C56F31">
        <w:t> </w:t>
      </w:r>
      <w:r>
        <w:t>grudnia 2017</w:t>
      </w:r>
      <w:r w:rsidR="00F861AE">
        <w:t xml:space="preserve"> </w:t>
      </w:r>
      <w:r>
        <w:t xml:space="preserve">r., zgodnie z </w:t>
      </w:r>
      <w:r w:rsidR="001D471C">
        <w:t xml:space="preserve">Regułą </w:t>
      </w:r>
      <w:r>
        <w:t>77 §§</w:t>
      </w:r>
      <w:r w:rsidR="00F861AE">
        <w:t xml:space="preserve"> </w:t>
      </w:r>
      <w:r>
        <w:t>2 i 3 Regulaminu Trybunału.</w:t>
      </w:r>
    </w:p>
    <w:p w14:paraId="7362B47C" w14:textId="77777777" w:rsidR="00014566" w:rsidRPr="006A41BD" w:rsidRDefault="00014566" w:rsidP="006A41BD">
      <w:pPr>
        <w:pStyle w:val="JuSigned"/>
        <w:keepNext/>
        <w:keepLines/>
      </w:pPr>
      <w:r>
        <w:tab/>
        <w:t>Milan Blaško</w:t>
      </w:r>
      <w:r>
        <w:tab/>
        <w:t>Angelika Nußberger</w:t>
      </w:r>
      <w:r>
        <w:br/>
      </w:r>
      <w:r>
        <w:tab/>
        <w:t>Zastępca Kanclerza</w:t>
      </w:r>
      <w:r>
        <w:tab/>
        <w:t>Przewodnicząca</w:t>
      </w:r>
    </w:p>
    <w:sectPr w:rsidR="00014566" w:rsidRPr="006A41BD" w:rsidSect="00BE3A86">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D8F169" w14:textId="77777777" w:rsidR="000027A4" w:rsidRPr="00E4133A" w:rsidRDefault="000027A4" w:rsidP="00014566">
      <w:r w:rsidRPr="00E4133A">
        <w:separator/>
      </w:r>
    </w:p>
  </w:endnote>
  <w:endnote w:type="continuationSeparator" w:id="0">
    <w:p w14:paraId="4CEF5AFD" w14:textId="77777777" w:rsidR="000027A4" w:rsidRPr="00E4133A" w:rsidRDefault="000027A4" w:rsidP="00014566">
      <w:r w:rsidRPr="00E4133A">
        <w:continuationSeparator/>
      </w:r>
    </w:p>
  </w:endnote>
  <w:endnote w:type="continuationNotice" w:id="1">
    <w:p w14:paraId="479327F1" w14:textId="77777777" w:rsidR="000027A4" w:rsidRDefault="000027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59FC5" w14:textId="77777777" w:rsidR="008B734A" w:rsidRDefault="008B734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36118" w14:textId="77777777" w:rsidR="00C5371C" w:rsidRPr="008D5A13" w:rsidRDefault="00C5371C" w:rsidP="00426DCA">
    <w:pPr>
      <w:jc w:val="center"/>
      <w:rPr>
        <w:sz w:val="4"/>
        <w:szCs w:val="4"/>
      </w:rPr>
    </w:pPr>
    <w:r>
      <w:rPr>
        <w:noProof/>
        <w:lang w:eastAsia="pl-PL"/>
      </w:rPr>
      <w:drawing>
        <wp:inline distT="0" distB="0" distL="0" distR="0" wp14:anchorId="6E0A71E3" wp14:editId="21BFF738">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424E4" w14:textId="77777777" w:rsidR="008B734A" w:rsidRDefault="008B734A">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FE095" w14:textId="77777777" w:rsidR="00C5371C" w:rsidRDefault="00C5371C">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7253F" w14:textId="77777777" w:rsidR="00C5371C" w:rsidRDefault="00C5371C">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480C7" w14:textId="77777777" w:rsidR="00C5371C" w:rsidRDefault="00C537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F97151" w14:textId="77777777" w:rsidR="000027A4" w:rsidRPr="00E4133A" w:rsidRDefault="000027A4" w:rsidP="00014566">
      <w:r w:rsidRPr="00E4133A">
        <w:separator/>
      </w:r>
    </w:p>
  </w:footnote>
  <w:footnote w:type="continuationSeparator" w:id="0">
    <w:p w14:paraId="1E3056BE" w14:textId="77777777" w:rsidR="000027A4" w:rsidRPr="00E4133A" w:rsidRDefault="000027A4" w:rsidP="00014566">
      <w:r w:rsidRPr="00E4133A">
        <w:continuationSeparator/>
      </w:r>
    </w:p>
  </w:footnote>
  <w:footnote w:type="continuationNotice" w:id="1">
    <w:p w14:paraId="278F2E50" w14:textId="77777777" w:rsidR="000027A4" w:rsidRDefault="000027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84847" w14:textId="77777777" w:rsidR="008B734A" w:rsidRDefault="008B73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7B16F" w14:textId="77777777" w:rsidR="00C5371C" w:rsidRPr="008D5A13" w:rsidRDefault="00C5371C" w:rsidP="00142EC5">
    <w:pPr>
      <w:jc w:val="center"/>
      <w:rPr>
        <w:sz w:val="4"/>
        <w:szCs w:val="4"/>
      </w:rPr>
    </w:pPr>
    <w:r>
      <w:rPr>
        <w:noProof/>
        <w:lang w:eastAsia="pl-PL"/>
      </w:rPr>
      <w:drawing>
        <wp:inline distT="0" distB="0" distL="0" distR="0" wp14:anchorId="22018572" wp14:editId="2F6919AB">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6788E" w14:textId="77777777" w:rsidR="00C5371C" w:rsidRPr="00A45145" w:rsidRDefault="00C5371C" w:rsidP="00142EC5">
    <w:pPr>
      <w:jc w:val="center"/>
    </w:pPr>
    <w:r>
      <w:rPr>
        <w:noProof/>
        <w:lang w:eastAsia="pl-PL"/>
      </w:rPr>
      <w:drawing>
        <wp:inline distT="0" distB="0" distL="0" distR="0" wp14:anchorId="5C7BEC98" wp14:editId="1930677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E5BB00F" w14:textId="77777777" w:rsidR="00C5371C" w:rsidRPr="008D5A13" w:rsidRDefault="00C5371C"/>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FE820" w14:textId="118BBF33" w:rsidR="00C5371C" w:rsidRDefault="00C5371C" w:rsidP="002377A3">
    <w:pPr>
      <w:pStyle w:val="ECHRHeader"/>
      <w:tabs>
        <w:tab w:val="clear" w:pos="7371"/>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DC6B1C">
      <w:rPr>
        <w:rStyle w:val="Numerstrony"/>
        <w:noProof/>
        <w:szCs w:val="18"/>
      </w:rPr>
      <w:t>24</w:t>
    </w:r>
    <w:r>
      <w:rPr>
        <w:rStyle w:val="Numerstrony"/>
        <w:szCs w:val="18"/>
      </w:rPr>
      <w:fldChar w:fldCharType="end"/>
    </w:r>
    <w:r>
      <w:tab/>
      <w:t>WYROK W SPRAWIE S.F. I INNI PRZECIWKO BUŁGARII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86290" w14:textId="3D1AC657" w:rsidR="00C5371C" w:rsidRPr="00E4133A" w:rsidRDefault="00C5371C" w:rsidP="00D60D87">
    <w:pPr>
      <w:pStyle w:val="ECHRHeader"/>
    </w:pPr>
    <w:r>
      <w:tab/>
      <w:t>WYROK W SPRAWIE S.F. I INNI PRZECIWKO BUŁGARII</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DC6B1C">
      <w:rPr>
        <w:rStyle w:val="Numerstrony"/>
        <w:noProof/>
        <w:szCs w:val="18"/>
      </w:rPr>
      <w:t>1</w:t>
    </w:r>
    <w:r>
      <w:rPr>
        <w:rStyle w:val="Numerstrony"/>
        <w:szCs w:val="1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01984" w14:textId="77777777" w:rsidR="00C5371C" w:rsidRDefault="00C537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02079C"/>
    <w:rsid w:val="00000067"/>
    <w:rsid w:val="000010ED"/>
    <w:rsid w:val="00001EF7"/>
    <w:rsid w:val="00002042"/>
    <w:rsid w:val="000027A4"/>
    <w:rsid w:val="000039A5"/>
    <w:rsid w:val="000041F8"/>
    <w:rsid w:val="000042A8"/>
    <w:rsid w:val="00004308"/>
    <w:rsid w:val="00005BF0"/>
    <w:rsid w:val="00006462"/>
    <w:rsid w:val="00006DC0"/>
    <w:rsid w:val="00007154"/>
    <w:rsid w:val="000079B6"/>
    <w:rsid w:val="00007AA3"/>
    <w:rsid w:val="000103AE"/>
    <w:rsid w:val="000103F1"/>
    <w:rsid w:val="00010AA3"/>
    <w:rsid w:val="00011054"/>
    <w:rsid w:val="00011D69"/>
    <w:rsid w:val="0001203D"/>
    <w:rsid w:val="000125BE"/>
    <w:rsid w:val="00012AD3"/>
    <w:rsid w:val="00012AE8"/>
    <w:rsid w:val="00013D94"/>
    <w:rsid w:val="00014566"/>
    <w:rsid w:val="00014E67"/>
    <w:rsid w:val="00015C2D"/>
    <w:rsid w:val="00015F00"/>
    <w:rsid w:val="00017163"/>
    <w:rsid w:val="00020601"/>
    <w:rsid w:val="0002079C"/>
    <w:rsid w:val="000209D2"/>
    <w:rsid w:val="000222B7"/>
    <w:rsid w:val="00022A19"/>
    <w:rsid w:val="00022C1D"/>
    <w:rsid w:val="00022CDD"/>
    <w:rsid w:val="000242B9"/>
    <w:rsid w:val="00024D89"/>
    <w:rsid w:val="00025B00"/>
    <w:rsid w:val="00025E9F"/>
    <w:rsid w:val="00026AD7"/>
    <w:rsid w:val="00030F63"/>
    <w:rsid w:val="00031B87"/>
    <w:rsid w:val="0003479D"/>
    <w:rsid w:val="00034987"/>
    <w:rsid w:val="000350E3"/>
    <w:rsid w:val="00035433"/>
    <w:rsid w:val="00035B71"/>
    <w:rsid w:val="00037093"/>
    <w:rsid w:val="000442CD"/>
    <w:rsid w:val="0004725F"/>
    <w:rsid w:val="00047A16"/>
    <w:rsid w:val="0005197C"/>
    <w:rsid w:val="000526EC"/>
    <w:rsid w:val="000529F4"/>
    <w:rsid w:val="00052E57"/>
    <w:rsid w:val="0005372F"/>
    <w:rsid w:val="00054FEE"/>
    <w:rsid w:val="000560D0"/>
    <w:rsid w:val="000574B7"/>
    <w:rsid w:val="000602DF"/>
    <w:rsid w:val="00060CF5"/>
    <w:rsid w:val="00061B05"/>
    <w:rsid w:val="00061EEC"/>
    <w:rsid w:val="000627C3"/>
    <w:rsid w:val="00062973"/>
    <w:rsid w:val="00062C74"/>
    <w:rsid w:val="00062D5D"/>
    <w:rsid w:val="0006305B"/>
    <w:rsid w:val="000632D5"/>
    <w:rsid w:val="00063B75"/>
    <w:rsid w:val="00063E1B"/>
    <w:rsid w:val="00063F61"/>
    <w:rsid w:val="000644EE"/>
    <w:rsid w:val="00066F84"/>
    <w:rsid w:val="00067BE9"/>
    <w:rsid w:val="000709C0"/>
    <w:rsid w:val="00071ABC"/>
    <w:rsid w:val="00072086"/>
    <w:rsid w:val="000720C4"/>
    <w:rsid w:val="000722EA"/>
    <w:rsid w:val="0007246A"/>
    <w:rsid w:val="000727A2"/>
    <w:rsid w:val="000729BB"/>
    <w:rsid w:val="00073451"/>
    <w:rsid w:val="00073889"/>
    <w:rsid w:val="00073A0A"/>
    <w:rsid w:val="000742C3"/>
    <w:rsid w:val="00074AB0"/>
    <w:rsid w:val="000758FB"/>
    <w:rsid w:val="00077DEF"/>
    <w:rsid w:val="00077FC9"/>
    <w:rsid w:val="000802B7"/>
    <w:rsid w:val="00080623"/>
    <w:rsid w:val="00081BDC"/>
    <w:rsid w:val="00082525"/>
    <w:rsid w:val="000856D7"/>
    <w:rsid w:val="00085C28"/>
    <w:rsid w:val="00086143"/>
    <w:rsid w:val="0009014E"/>
    <w:rsid w:val="000902AD"/>
    <w:rsid w:val="0009044C"/>
    <w:rsid w:val="00090C7D"/>
    <w:rsid w:val="00090EDD"/>
    <w:rsid w:val="000923BC"/>
    <w:rsid w:val="000925AD"/>
    <w:rsid w:val="000928FC"/>
    <w:rsid w:val="00093BDF"/>
    <w:rsid w:val="0009414F"/>
    <w:rsid w:val="00096ED4"/>
    <w:rsid w:val="000A1986"/>
    <w:rsid w:val="000A1DAA"/>
    <w:rsid w:val="000A1EB2"/>
    <w:rsid w:val="000A248A"/>
    <w:rsid w:val="000A24EB"/>
    <w:rsid w:val="000A2C35"/>
    <w:rsid w:val="000A3326"/>
    <w:rsid w:val="000A398C"/>
    <w:rsid w:val="000A4113"/>
    <w:rsid w:val="000A4B0D"/>
    <w:rsid w:val="000A52CA"/>
    <w:rsid w:val="000A661E"/>
    <w:rsid w:val="000A6FF9"/>
    <w:rsid w:val="000A73DF"/>
    <w:rsid w:val="000A7A48"/>
    <w:rsid w:val="000B0F60"/>
    <w:rsid w:val="000B1AD8"/>
    <w:rsid w:val="000B2CA1"/>
    <w:rsid w:val="000B2E39"/>
    <w:rsid w:val="000B348E"/>
    <w:rsid w:val="000B3655"/>
    <w:rsid w:val="000B3DD6"/>
    <w:rsid w:val="000B55A6"/>
    <w:rsid w:val="000B57A5"/>
    <w:rsid w:val="000B6923"/>
    <w:rsid w:val="000B6DAC"/>
    <w:rsid w:val="000B6F6F"/>
    <w:rsid w:val="000B727B"/>
    <w:rsid w:val="000B72D9"/>
    <w:rsid w:val="000C033C"/>
    <w:rsid w:val="000C0C87"/>
    <w:rsid w:val="000C0CC5"/>
    <w:rsid w:val="000C1F8A"/>
    <w:rsid w:val="000C27BC"/>
    <w:rsid w:val="000C27ED"/>
    <w:rsid w:val="000C362C"/>
    <w:rsid w:val="000C5F3C"/>
    <w:rsid w:val="000C67CD"/>
    <w:rsid w:val="000C684D"/>
    <w:rsid w:val="000C6C69"/>
    <w:rsid w:val="000C6D28"/>
    <w:rsid w:val="000C6DCC"/>
    <w:rsid w:val="000C7B6D"/>
    <w:rsid w:val="000C7E5B"/>
    <w:rsid w:val="000D3E46"/>
    <w:rsid w:val="000D47AA"/>
    <w:rsid w:val="000D721F"/>
    <w:rsid w:val="000D75E1"/>
    <w:rsid w:val="000E069B"/>
    <w:rsid w:val="000E08B6"/>
    <w:rsid w:val="000E0E82"/>
    <w:rsid w:val="000E1DC5"/>
    <w:rsid w:val="000E223F"/>
    <w:rsid w:val="000E2CDA"/>
    <w:rsid w:val="000E350A"/>
    <w:rsid w:val="000E35AC"/>
    <w:rsid w:val="000E3703"/>
    <w:rsid w:val="000E3E1B"/>
    <w:rsid w:val="000E6409"/>
    <w:rsid w:val="000E6C30"/>
    <w:rsid w:val="000E7D45"/>
    <w:rsid w:val="000F00AD"/>
    <w:rsid w:val="000F00E0"/>
    <w:rsid w:val="000F0842"/>
    <w:rsid w:val="000F276B"/>
    <w:rsid w:val="000F2CA2"/>
    <w:rsid w:val="000F2CB5"/>
    <w:rsid w:val="000F4064"/>
    <w:rsid w:val="000F4BD3"/>
    <w:rsid w:val="000F5780"/>
    <w:rsid w:val="000F7851"/>
    <w:rsid w:val="000F7878"/>
    <w:rsid w:val="00100473"/>
    <w:rsid w:val="00102093"/>
    <w:rsid w:val="00103B58"/>
    <w:rsid w:val="00104994"/>
    <w:rsid w:val="00104A40"/>
    <w:rsid w:val="00104A77"/>
    <w:rsid w:val="00104E23"/>
    <w:rsid w:val="001050EF"/>
    <w:rsid w:val="00105993"/>
    <w:rsid w:val="001078CD"/>
    <w:rsid w:val="001112E1"/>
    <w:rsid w:val="00111B0C"/>
    <w:rsid w:val="0011242B"/>
    <w:rsid w:val="0011284A"/>
    <w:rsid w:val="00112A7E"/>
    <w:rsid w:val="00112DE3"/>
    <w:rsid w:val="00112FB1"/>
    <w:rsid w:val="001133A3"/>
    <w:rsid w:val="00113411"/>
    <w:rsid w:val="001149CB"/>
    <w:rsid w:val="00115DD4"/>
    <w:rsid w:val="00116AFE"/>
    <w:rsid w:val="00116D96"/>
    <w:rsid w:val="0011751F"/>
    <w:rsid w:val="0012026D"/>
    <w:rsid w:val="00120649"/>
    <w:rsid w:val="001208F1"/>
    <w:rsid w:val="00120D6C"/>
    <w:rsid w:val="00121BBC"/>
    <w:rsid w:val="00121C41"/>
    <w:rsid w:val="00121D40"/>
    <w:rsid w:val="001226AA"/>
    <w:rsid w:val="00122B67"/>
    <w:rsid w:val="00122C71"/>
    <w:rsid w:val="00123034"/>
    <w:rsid w:val="00123718"/>
    <w:rsid w:val="00123B64"/>
    <w:rsid w:val="00124375"/>
    <w:rsid w:val="001257EC"/>
    <w:rsid w:val="00125852"/>
    <w:rsid w:val="00126AFA"/>
    <w:rsid w:val="00130C84"/>
    <w:rsid w:val="0013285D"/>
    <w:rsid w:val="00132C6A"/>
    <w:rsid w:val="00133D33"/>
    <w:rsid w:val="001347C0"/>
    <w:rsid w:val="00134853"/>
    <w:rsid w:val="00134D64"/>
    <w:rsid w:val="00135A30"/>
    <w:rsid w:val="0013612C"/>
    <w:rsid w:val="0013623A"/>
    <w:rsid w:val="00136D62"/>
    <w:rsid w:val="00137E93"/>
    <w:rsid w:val="00137F6E"/>
    <w:rsid w:val="00137FF6"/>
    <w:rsid w:val="00140ACE"/>
    <w:rsid w:val="00140FA4"/>
    <w:rsid w:val="00141650"/>
    <w:rsid w:val="00142EC5"/>
    <w:rsid w:val="001432B3"/>
    <w:rsid w:val="0014366B"/>
    <w:rsid w:val="00144503"/>
    <w:rsid w:val="00144BBC"/>
    <w:rsid w:val="001457D8"/>
    <w:rsid w:val="0014607A"/>
    <w:rsid w:val="001504D8"/>
    <w:rsid w:val="00150D4E"/>
    <w:rsid w:val="001518AD"/>
    <w:rsid w:val="001527F3"/>
    <w:rsid w:val="00153826"/>
    <w:rsid w:val="00153D9E"/>
    <w:rsid w:val="00154F8D"/>
    <w:rsid w:val="00154FA8"/>
    <w:rsid w:val="00156873"/>
    <w:rsid w:val="001573D3"/>
    <w:rsid w:val="00157DA5"/>
    <w:rsid w:val="001605A2"/>
    <w:rsid w:val="00162A12"/>
    <w:rsid w:val="00164A8F"/>
    <w:rsid w:val="00165EEB"/>
    <w:rsid w:val="00166530"/>
    <w:rsid w:val="00166BE4"/>
    <w:rsid w:val="00166D14"/>
    <w:rsid w:val="00166D6D"/>
    <w:rsid w:val="001677AA"/>
    <w:rsid w:val="00167ECA"/>
    <w:rsid w:val="00170897"/>
    <w:rsid w:val="00170AB6"/>
    <w:rsid w:val="00172005"/>
    <w:rsid w:val="00172507"/>
    <w:rsid w:val="00174559"/>
    <w:rsid w:val="00174C5B"/>
    <w:rsid w:val="00175186"/>
    <w:rsid w:val="00175A23"/>
    <w:rsid w:val="001778A0"/>
    <w:rsid w:val="0018019E"/>
    <w:rsid w:val="00180EED"/>
    <w:rsid w:val="00181E68"/>
    <w:rsid w:val="00182EE3"/>
    <w:rsid w:val="001832BD"/>
    <w:rsid w:val="00184292"/>
    <w:rsid w:val="001844A7"/>
    <w:rsid w:val="00186472"/>
    <w:rsid w:val="00186C64"/>
    <w:rsid w:val="00187497"/>
    <w:rsid w:val="001913D4"/>
    <w:rsid w:val="00191D1B"/>
    <w:rsid w:val="00192204"/>
    <w:rsid w:val="001927EC"/>
    <w:rsid w:val="00192C9E"/>
    <w:rsid w:val="001943B5"/>
    <w:rsid w:val="001948C9"/>
    <w:rsid w:val="00194A33"/>
    <w:rsid w:val="00194DFB"/>
    <w:rsid w:val="00195134"/>
    <w:rsid w:val="00195BD4"/>
    <w:rsid w:val="00195D97"/>
    <w:rsid w:val="00196829"/>
    <w:rsid w:val="00196E4A"/>
    <w:rsid w:val="001A00F3"/>
    <w:rsid w:val="001A0347"/>
    <w:rsid w:val="001A145B"/>
    <w:rsid w:val="001A1871"/>
    <w:rsid w:val="001A333E"/>
    <w:rsid w:val="001A46FC"/>
    <w:rsid w:val="001A670B"/>
    <w:rsid w:val="001A674C"/>
    <w:rsid w:val="001A6DA0"/>
    <w:rsid w:val="001A71E2"/>
    <w:rsid w:val="001A75DE"/>
    <w:rsid w:val="001A76A1"/>
    <w:rsid w:val="001B046A"/>
    <w:rsid w:val="001B0A3C"/>
    <w:rsid w:val="001B0A4A"/>
    <w:rsid w:val="001B10F1"/>
    <w:rsid w:val="001B15F5"/>
    <w:rsid w:val="001B26FB"/>
    <w:rsid w:val="001B2B22"/>
    <w:rsid w:val="001B2FC8"/>
    <w:rsid w:val="001B3865"/>
    <w:rsid w:val="001B38E0"/>
    <w:rsid w:val="001B39CD"/>
    <w:rsid w:val="001B3B24"/>
    <w:rsid w:val="001B5826"/>
    <w:rsid w:val="001C0068"/>
    <w:rsid w:val="001C01A4"/>
    <w:rsid w:val="001C0F98"/>
    <w:rsid w:val="001C2154"/>
    <w:rsid w:val="001C2A42"/>
    <w:rsid w:val="001C3871"/>
    <w:rsid w:val="001C54C0"/>
    <w:rsid w:val="001C7AED"/>
    <w:rsid w:val="001D04CC"/>
    <w:rsid w:val="001D1358"/>
    <w:rsid w:val="001D1C5B"/>
    <w:rsid w:val="001D20C7"/>
    <w:rsid w:val="001D387A"/>
    <w:rsid w:val="001D38D6"/>
    <w:rsid w:val="001D42EE"/>
    <w:rsid w:val="001D471C"/>
    <w:rsid w:val="001D474C"/>
    <w:rsid w:val="001D5383"/>
    <w:rsid w:val="001D5674"/>
    <w:rsid w:val="001D5CC4"/>
    <w:rsid w:val="001D63ED"/>
    <w:rsid w:val="001D643C"/>
    <w:rsid w:val="001D68AC"/>
    <w:rsid w:val="001D68D7"/>
    <w:rsid w:val="001D7176"/>
    <w:rsid w:val="001D7348"/>
    <w:rsid w:val="001D76D5"/>
    <w:rsid w:val="001D7E6B"/>
    <w:rsid w:val="001E0148"/>
    <w:rsid w:val="001E035B"/>
    <w:rsid w:val="001E03F2"/>
    <w:rsid w:val="001E0961"/>
    <w:rsid w:val="001E1FFE"/>
    <w:rsid w:val="001E2E92"/>
    <w:rsid w:val="001E36DA"/>
    <w:rsid w:val="001E3EAE"/>
    <w:rsid w:val="001E41F0"/>
    <w:rsid w:val="001E48C4"/>
    <w:rsid w:val="001E5348"/>
    <w:rsid w:val="001E652B"/>
    <w:rsid w:val="001E6989"/>
    <w:rsid w:val="001E6F32"/>
    <w:rsid w:val="001E74DE"/>
    <w:rsid w:val="001F1130"/>
    <w:rsid w:val="001F1646"/>
    <w:rsid w:val="001F1C0B"/>
    <w:rsid w:val="001F2145"/>
    <w:rsid w:val="001F36BE"/>
    <w:rsid w:val="001F37C9"/>
    <w:rsid w:val="001F3AFA"/>
    <w:rsid w:val="001F41A7"/>
    <w:rsid w:val="001F49D9"/>
    <w:rsid w:val="001F6262"/>
    <w:rsid w:val="001F67B0"/>
    <w:rsid w:val="001F7292"/>
    <w:rsid w:val="001F7B3D"/>
    <w:rsid w:val="00200CF4"/>
    <w:rsid w:val="00201F93"/>
    <w:rsid w:val="00202C8B"/>
    <w:rsid w:val="00203D3E"/>
    <w:rsid w:val="00204CD9"/>
    <w:rsid w:val="0020550A"/>
    <w:rsid w:val="00205EA4"/>
    <w:rsid w:val="00205F9F"/>
    <w:rsid w:val="002064C2"/>
    <w:rsid w:val="00210338"/>
    <w:rsid w:val="0021043C"/>
    <w:rsid w:val="002112B7"/>
    <w:rsid w:val="002115FC"/>
    <w:rsid w:val="002122C8"/>
    <w:rsid w:val="002130B6"/>
    <w:rsid w:val="002133F8"/>
    <w:rsid w:val="00213674"/>
    <w:rsid w:val="00213C39"/>
    <w:rsid w:val="0021423C"/>
    <w:rsid w:val="00214283"/>
    <w:rsid w:val="0021734B"/>
    <w:rsid w:val="00217974"/>
    <w:rsid w:val="00220351"/>
    <w:rsid w:val="00221616"/>
    <w:rsid w:val="00223EE6"/>
    <w:rsid w:val="00224F50"/>
    <w:rsid w:val="00225761"/>
    <w:rsid w:val="00226FD4"/>
    <w:rsid w:val="00227B2F"/>
    <w:rsid w:val="00227D05"/>
    <w:rsid w:val="002304C9"/>
    <w:rsid w:val="002305A8"/>
    <w:rsid w:val="0023072F"/>
    <w:rsid w:val="00230D00"/>
    <w:rsid w:val="00231DF7"/>
    <w:rsid w:val="00231F0E"/>
    <w:rsid w:val="00231FD1"/>
    <w:rsid w:val="002326D9"/>
    <w:rsid w:val="002326FA"/>
    <w:rsid w:val="002333AA"/>
    <w:rsid w:val="002339E0"/>
    <w:rsid w:val="00233CF8"/>
    <w:rsid w:val="00234A7F"/>
    <w:rsid w:val="00234B05"/>
    <w:rsid w:val="00234EA4"/>
    <w:rsid w:val="00234F73"/>
    <w:rsid w:val="002355C7"/>
    <w:rsid w:val="0023575D"/>
    <w:rsid w:val="00237148"/>
    <w:rsid w:val="00237573"/>
    <w:rsid w:val="002377A3"/>
    <w:rsid w:val="00242054"/>
    <w:rsid w:val="0024222D"/>
    <w:rsid w:val="002425BD"/>
    <w:rsid w:val="002430F7"/>
    <w:rsid w:val="00243A56"/>
    <w:rsid w:val="002447C0"/>
    <w:rsid w:val="00244B0E"/>
    <w:rsid w:val="00244F6C"/>
    <w:rsid w:val="002451F5"/>
    <w:rsid w:val="002454A9"/>
    <w:rsid w:val="00245707"/>
    <w:rsid w:val="00245AAC"/>
    <w:rsid w:val="00246368"/>
    <w:rsid w:val="00246D9C"/>
    <w:rsid w:val="002473E2"/>
    <w:rsid w:val="00247622"/>
    <w:rsid w:val="00247EBD"/>
    <w:rsid w:val="0025055B"/>
    <w:rsid w:val="00250B77"/>
    <w:rsid w:val="00251F4D"/>
    <w:rsid w:val="0025216D"/>
    <w:rsid w:val="00252250"/>
    <w:rsid w:val="002532C5"/>
    <w:rsid w:val="0025390B"/>
    <w:rsid w:val="002554FE"/>
    <w:rsid w:val="0025551A"/>
    <w:rsid w:val="00256262"/>
    <w:rsid w:val="002571C6"/>
    <w:rsid w:val="00260384"/>
    <w:rsid w:val="0026065C"/>
    <w:rsid w:val="0026086C"/>
    <w:rsid w:val="00260A1A"/>
    <w:rsid w:val="00260AB9"/>
    <w:rsid w:val="00260C03"/>
    <w:rsid w:val="00260DD4"/>
    <w:rsid w:val="002611B1"/>
    <w:rsid w:val="002617EC"/>
    <w:rsid w:val="00261F8B"/>
    <w:rsid w:val="00262E1E"/>
    <w:rsid w:val="0026311E"/>
    <w:rsid w:val="00263B27"/>
    <w:rsid w:val="002640B0"/>
    <w:rsid w:val="00264F0C"/>
    <w:rsid w:val="0026540E"/>
    <w:rsid w:val="002660C2"/>
    <w:rsid w:val="002667DF"/>
    <w:rsid w:val="00267D83"/>
    <w:rsid w:val="0027009F"/>
    <w:rsid w:val="00270891"/>
    <w:rsid w:val="002711DB"/>
    <w:rsid w:val="00271390"/>
    <w:rsid w:val="0027225C"/>
    <w:rsid w:val="00273119"/>
    <w:rsid w:val="00273733"/>
    <w:rsid w:val="00274266"/>
    <w:rsid w:val="00274BF8"/>
    <w:rsid w:val="00275123"/>
    <w:rsid w:val="00276C0D"/>
    <w:rsid w:val="00276CD0"/>
    <w:rsid w:val="00281374"/>
    <w:rsid w:val="00282240"/>
    <w:rsid w:val="00283232"/>
    <w:rsid w:val="00283898"/>
    <w:rsid w:val="00284833"/>
    <w:rsid w:val="00284C7B"/>
    <w:rsid w:val="0028572A"/>
    <w:rsid w:val="0028643B"/>
    <w:rsid w:val="002900B3"/>
    <w:rsid w:val="00290C3D"/>
    <w:rsid w:val="00291AE1"/>
    <w:rsid w:val="002929AE"/>
    <w:rsid w:val="0029373E"/>
    <w:rsid w:val="002948AD"/>
    <w:rsid w:val="00294C05"/>
    <w:rsid w:val="00294C92"/>
    <w:rsid w:val="00295CEB"/>
    <w:rsid w:val="0029737B"/>
    <w:rsid w:val="00297DD5"/>
    <w:rsid w:val="002A01CC"/>
    <w:rsid w:val="002A0319"/>
    <w:rsid w:val="002A1618"/>
    <w:rsid w:val="002A1C01"/>
    <w:rsid w:val="002A2839"/>
    <w:rsid w:val="002A28BA"/>
    <w:rsid w:val="002A4655"/>
    <w:rsid w:val="002A52A2"/>
    <w:rsid w:val="002A5503"/>
    <w:rsid w:val="002A55A0"/>
    <w:rsid w:val="002A5BC2"/>
    <w:rsid w:val="002A61B1"/>
    <w:rsid w:val="002A62CC"/>
    <w:rsid w:val="002A63DC"/>
    <w:rsid w:val="002A663C"/>
    <w:rsid w:val="002A715C"/>
    <w:rsid w:val="002B0503"/>
    <w:rsid w:val="002B0C7F"/>
    <w:rsid w:val="002B152F"/>
    <w:rsid w:val="002B1618"/>
    <w:rsid w:val="002B1C6D"/>
    <w:rsid w:val="002B1E6C"/>
    <w:rsid w:val="002B272B"/>
    <w:rsid w:val="002B2C11"/>
    <w:rsid w:val="002B32D4"/>
    <w:rsid w:val="002B3F27"/>
    <w:rsid w:val="002B444B"/>
    <w:rsid w:val="002B528C"/>
    <w:rsid w:val="002B56F1"/>
    <w:rsid w:val="002B5887"/>
    <w:rsid w:val="002B5924"/>
    <w:rsid w:val="002B6C9C"/>
    <w:rsid w:val="002B71C6"/>
    <w:rsid w:val="002C0692"/>
    <w:rsid w:val="002C0E27"/>
    <w:rsid w:val="002C1E85"/>
    <w:rsid w:val="002C1F58"/>
    <w:rsid w:val="002C3040"/>
    <w:rsid w:val="002C4ABE"/>
    <w:rsid w:val="002C5495"/>
    <w:rsid w:val="002C581B"/>
    <w:rsid w:val="002C6327"/>
    <w:rsid w:val="002C78DD"/>
    <w:rsid w:val="002C7C68"/>
    <w:rsid w:val="002D022D"/>
    <w:rsid w:val="002D04C2"/>
    <w:rsid w:val="002D1644"/>
    <w:rsid w:val="002D24BB"/>
    <w:rsid w:val="002D4E64"/>
    <w:rsid w:val="002D5619"/>
    <w:rsid w:val="002E0D31"/>
    <w:rsid w:val="002E1FDA"/>
    <w:rsid w:val="002E2E97"/>
    <w:rsid w:val="002E3F20"/>
    <w:rsid w:val="002E5AD6"/>
    <w:rsid w:val="002E7D5A"/>
    <w:rsid w:val="002F01C3"/>
    <w:rsid w:val="002F0990"/>
    <w:rsid w:val="002F0E70"/>
    <w:rsid w:val="002F158D"/>
    <w:rsid w:val="002F171B"/>
    <w:rsid w:val="002F1738"/>
    <w:rsid w:val="002F25D7"/>
    <w:rsid w:val="002F2AF7"/>
    <w:rsid w:val="002F2D48"/>
    <w:rsid w:val="002F3327"/>
    <w:rsid w:val="002F3ECD"/>
    <w:rsid w:val="002F4EF0"/>
    <w:rsid w:val="002F5B18"/>
    <w:rsid w:val="002F6CE8"/>
    <w:rsid w:val="002F75D0"/>
    <w:rsid w:val="002F784C"/>
    <w:rsid w:val="002F7C7B"/>
    <w:rsid w:val="002F7E1C"/>
    <w:rsid w:val="003006A1"/>
    <w:rsid w:val="00300781"/>
    <w:rsid w:val="00301597"/>
    <w:rsid w:val="003018A9"/>
    <w:rsid w:val="00301A75"/>
    <w:rsid w:val="00301E1B"/>
    <w:rsid w:val="00302A97"/>
    <w:rsid w:val="00302F70"/>
    <w:rsid w:val="0030336F"/>
    <w:rsid w:val="0030375E"/>
    <w:rsid w:val="00303821"/>
    <w:rsid w:val="00303873"/>
    <w:rsid w:val="00303DDC"/>
    <w:rsid w:val="00306EAB"/>
    <w:rsid w:val="00307769"/>
    <w:rsid w:val="003077BF"/>
    <w:rsid w:val="00310378"/>
    <w:rsid w:val="0031102C"/>
    <w:rsid w:val="00311D13"/>
    <w:rsid w:val="00312753"/>
    <w:rsid w:val="00312A30"/>
    <w:rsid w:val="00312B99"/>
    <w:rsid w:val="0031306D"/>
    <w:rsid w:val="00314557"/>
    <w:rsid w:val="0031580D"/>
    <w:rsid w:val="003161C0"/>
    <w:rsid w:val="00316597"/>
    <w:rsid w:val="003202A7"/>
    <w:rsid w:val="00320F72"/>
    <w:rsid w:val="00321B2B"/>
    <w:rsid w:val="0032213C"/>
    <w:rsid w:val="003226DF"/>
    <w:rsid w:val="003226E6"/>
    <w:rsid w:val="00323C46"/>
    <w:rsid w:val="0032463E"/>
    <w:rsid w:val="00326224"/>
    <w:rsid w:val="0032676F"/>
    <w:rsid w:val="00326F3A"/>
    <w:rsid w:val="003272C1"/>
    <w:rsid w:val="003318EC"/>
    <w:rsid w:val="00331EAC"/>
    <w:rsid w:val="0033229C"/>
    <w:rsid w:val="00333239"/>
    <w:rsid w:val="003336FA"/>
    <w:rsid w:val="00333EAA"/>
    <w:rsid w:val="0033404D"/>
    <w:rsid w:val="0033454A"/>
    <w:rsid w:val="00335451"/>
    <w:rsid w:val="00335A31"/>
    <w:rsid w:val="00335B81"/>
    <w:rsid w:val="00335D15"/>
    <w:rsid w:val="003365C5"/>
    <w:rsid w:val="00337EE4"/>
    <w:rsid w:val="003403BD"/>
    <w:rsid w:val="00340F3D"/>
    <w:rsid w:val="00340FFD"/>
    <w:rsid w:val="00341362"/>
    <w:rsid w:val="00342C52"/>
    <w:rsid w:val="003434A0"/>
    <w:rsid w:val="00344124"/>
    <w:rsid w:val="00344A32"/>
    <w:rsid w:val="00344F20"/>
    <w:rsid w:val="00345031"/>
    <w:rsid w:val="00345283"/>
    <w:rsid w:val="00345832"/>
    <w:rsid w:val="00345EB8"/>
    <w:rsid w:val="003506B1"/>
    <w:rsid w:val="0035123B"/>
    <w:rsid w:val="00351E18"/>
    <w:rsid w:val="003532A6"/>
    <w:rsid w:val="00353BE3"/>
    <w:rsid w:val="003566C9"/>
    <w:rsid w:val="003568BC"/>
    <w:rsid w:val="00356A75"/>
    <w:rsid w:val="00356AC7"/>
    <w:rsid w:val="00357246"/>
    <w:rsid w:val="00357375"/>
    <w:rsid w:val="00357B38"/>
    <w:rsid w:val="003609FA"/>
    <w:rsid w:val="003625E4"/>
    <w:rsid w:val="00363AD0"/>
    <w:rsid w:val="0036424C"/>
    <w:rsid w:val="0036492C"/>
    <w:rsid w:val="00365233"/>
    <w:rsid w:val="003660B3"/>
    <w:rsid w:val="00367F28"/>
    <w:rsid w:val="00370E7C"/>
    <w:rsid w:val="003710C8"/>
    <w:rsid w:val="0037124A"/>
    <w:rsid w:val="00371B40"/>
    <w:rsid w:val="00373DB5"/>
    <w:rsid w:val="00374670"/>
    <w:rsid w:val="00375043"/>
    <w:rsid w:val="003750BE"/>
    <w:rsid w:val="00375719"/>
    <w:rsid w:val="00376300"/>
    <w:rsid w:val="00376B74"/>
    <w:rsid w:val="00377935"/>
    <w:rsid w:val="0038076F"/>
    <w:rsid w:val="00381154"/>
    <w:rsid w:val="00381C5A"/>
    <w:rsid w:val="00381DAD"/>
    <w:rsid w:val="00383427"/>
    <w:rsid w:val="00384D64"/>
    <w:rsid w:val="00384FD0"/>
    <w:rsid w:val="00386678"/>
    <w:rsid w:val="0038690A"/>
    <w:rsid w:val="00386F98"/>
    <w:rsid w:val="003870AA"/>
    <w:rsid w:val="00387B9D"/>
    <w:rsid w:val="0039093B"/>
    <w:rsid w:val="00392F83"/>
    <w:rsid w:val="0039334C"/>
    <w:rsid w:val="0039364F"/>
    <w:rsid w:val="0039446B"/>
    <w:rsid w:val="00395046"/>
    <w:rsid w:val="00395B18"/>
    <w:rsid w:val="00395C22"/>
    <w:rsid w:val="00395E24"/>
    <w:rsid w:val="00395FD5"/>
    <w:rsid w:val="00396223"/>
    <w:rsid w:val="00396686"/>
    <w:rsid w:val="00396767"/>
    <w:rsid w:val="00396E75"/>
    <w:rsid w:val="00397418"/>
    <w:rsid w:val="0039778E"/>
    <w:rsid w:val="003A333A"/>
    <w:rsid w:val="003A3B27"/>
    <w:rsid w:val="003A441D"/>
    <w:rsid w:val="003A4996"/>
    <w:rsid w:val="003A4F4A"/>
    <w:rsid w:val="003A4FE2"/>
    <w:rsid w:val="003A5611"/>
    <w:rsid w:val="003A5A56"/>
    <w:rsid w:val="003A74F5"/>
    <w:rsid w:val="003B024C"/>
    <w:rsid w:val="003B05EC"/>
    <w:rsid w:val="003B06E8"/>
    <w:rsid w:val="003B0835"/>
    <w:rsid w:val="003B13CB"/>
    <w:rsid w:val="003B2E9F"/>
    <w:rsid w:val="003B2F8E"/>
    <w:rsid w:val="003B3249"/>
    <w:rsid w:val="003B3C2B"/>
    <w:rsid w:val="003B4941"/>
    <w:rsid w:val="003B4D37"/>
    <w:rsid w:val="003B52AE"/>
    <w:rsid w:val="003B5EE0"/>
    <w:rsid w:val="003B6E07"/>
    <w:rsid w:val="003B6E66"/>
    <w:rsid w:val="003B7263"/>
    <w:rsid w:val="003C176B"/>
    <w:rsid w:val="003C42B0"/>
    <w:rsid w:val="003C4359"/>
    <w:rsid w:val="003C4BAE"/>
    <w:rsid w:val="003C56A9"/>
    <w:rsid w:val="003C5714"/>
    <w:rsid w:val="003C5C1D"/>
    <w:rsid w:val="003C6B17"/>
    <w:rsid w:val="003C6B9F"/>
    <w:rsid w:val="003C6D56"/>
    <w:rsid w:val="003C6E2A"/>
    <w:rsid w:val="003C76EC"/>
    <w:rsid w:val="003D0299"/>
    <w:rsid w:val="003D04B6"/>
    <w:rsid w:val="003D0AE9"/>
    <w:rsid w:val="003D1880"/>
    <w:rsid w:val="003D1FD1"/>
    <w:rsid w:val="003D2662"/>
    <w:rsid w:val="003D3B6F"/>
    <w:rsid w:val="003D444A"/>
    <w:rsid w:val="003D67D2"/>
    <w:rsid w:val="003E03DA"/>
    <w:rsid w:val="003E1194"/>
    <w:rsid w:val="003E2CFB"/>
    <w:rsid w:val="003E35E7"/>
    <w:rsid w:val="003E557E"/>
    <w:rsid w:val="003E57E2"/>
    <w:rsid w:val="003E5830"/>
    <w:rsid w:val="003E60B3"/>
    <w:rsid w:val="003E6675"/>
    <w:rsid w:val="003E6A07"/>
    <w:rsid w:val="003E6CF3"/>
    <w:rsid w:val="003E6D80"/>
    <w:rsid w:val="003F05FA"/>
    <w:rsid w:val="003F244A"/>
    <w:rsid w:val="003F30B8"/>
    <w:rsid w:val="003F4C45"/>
    <w:rsid w:val="003F53A3"/>
    <w:rsid w:val="003F5949"/>
    <w:rsid w:val="003F5F7B"/>
    <w:rsid w:val="003F612F"/>
    <w:rsid w:val="003F6ADD"/>
    <w:rsid w:val="003F7BE7"/>
    <w:rsid w:val="003F7D64"/>
    <w:rsid w:val="00401BD3"/>
    <w:rsid w:val="00402D38"/>
    <w:rsid w:val="00403AC6"/>
    <w:rsid w:val="004049B2"/>
    <w:rsid w:val="004062C4"/>
    <w:rsid w:val="00406ED5"/>
    <w:rsid w:val="00407941"/>
    <w:rsid w:val="00407B9F"/>
    <w:rsid w:val="004102DA"/>
    <w:rsid w:val="00410C92"/>
    <w:rsid w:val="0041129C"/>
    <w:rsid w:val="004122A3"/>
    <w:rsid w:val="0041339D"/>
    <w:rsid w:val="00414300"/>
    <w:rsid w:val="00414326"/>
    <w:rsid w:val="00414EC7"/>
    <w:rsid w:val="00415254"/>
    <w:rsid w:val="00416233"/>
    <w:rsid w:val="00417D00"/>
    <w:rsid w:val="0042089F"/>
    <w:rsid w:val="00421B9E"/>
    <w:rsid w:val="00421F8F"/>
    <w:rsid w:val="0042275A"/>
    <w:rsid w:val="0042491C"/>
    <w:rsid w:val="00425B5C"/>
    <w:rsid w:val="00425C67"/>
    <w:rsid w:val="00425D76"/>
    <w:rsid w:val="00426DCA"/>
    <w:rsid w:val="00426F2F"/>
    <w:rsid w:val="004276C0"/>
    <w:rsid w:val="004278BD"/>
    <w:rsid w:val="00427E7A"/>
    <w:rsid w:val="004302CF"/>
    <w:rsid w:val="004308FD"/>
    <w:rsid w:val="004320F5"/>
    <w:rsid w:val="00432582"/>
    <w:rsid w:val="0043350B"/>
    <w:rsid w:val="004335D1"/>
    <w:rsid w:val="0043389C"/>
    <w:rsid w:val="00433F22"/>
    <w:rsid w:val="004352FD"/>
    <w:rsid w:val="004354C7"/>
    <w:rsid w:val="00435A37"/>
    <w:rsid w:val="00436307"/>
    <w:rsid w:val="00436C49"/>
    <w:rsid w:val="00436EA1"/>
    <w:rsid w:val="004379B7"/>
    <w:rsid w:val="00437E03"/>
    <w:rsid w:val="00440F80"/>
    <w:rsid w:val="00444DD2"/>
    <w:rsid w:val="00445366"/>
    <w:rsid w:val="004474D3"/>
    <w:rsid w:val="004477EC"/>
    <w:rsid w:val="00447B19"/>
    <w:rsid w:val="00447F5B"/>
    <w:rsid w:val="0045149F"/>
    <w:rsid w:val="0045364C"/>
    <w:rsid w:val="00455203"/>
    <w:rsid w:val="00455482"/>
    <w:rsid w:val="0045592A"/>
    <w:rsid w:val="00456750"/>
    <w:rsid w:val="00460460"/>
    <w:rsid w:val="00461DB0"/>
    <w:rsid w:val="004620C8"/>
    <w:rsid w:val="00462266"/>
    <w:rsid w:val="0046270F"/>
    <w:rsid w:val="00462D06"/>
    <w:rsid w:val="00463926"/>
    <w:rsid w:val="00463DD6"/>
    <w:rsid w:val="00464023"/>
    <w:rsid w:val="00464097"/>
    <w:rsid w:val="004640BC"/>
    <w:rsid w:val="0046448E"/>
    <w:rsid w:val="00464651"/>
    <w:rsid w:val="004646E0"/>
    <w:rsid w:val="00464C9A"/>
    <w:rsid w:val="00465287"/>
    <w:rsid w:val="00466C53"/>
    <w:rsid w:val="00467D65"/>
    <w:rsid w:val="00467F98"/>
    <w:rsid w:val="0047278C"/>
    <w:rsid w:val="00472BCA"/>
    <w:rsid w:val="00474F3D"/>
    <w:rsid w:val="00476E71"/>
    <w:rsid w:val="0047717E"/>
    <w:rsid w:val="00477E3A"/>
    <w:rsid w:val="00480EB0"/>
    <w:rsid w:val="00482A6C"/>
    <w:rsid w:val="004833CD"/>
    <w:rsid w:val="00483E5F"/>
    <w:rsid w:val="00484673"/>
    <w:rsid w:val="00484B19"/>
    <w:rsid w:val="004853AE"/>
    <w:rsid w:val="00485575"/>
    <w:rsid w:val="00485FF9"/>
    <w:rsid w:val="004861C7"/>
    <w:rsid w:val="004865FF"/>
    <w:rsid w:val="004873D3"/>
    <w:rsid w:val="004907F0"/>
    <w:rsid w:val="0049140B"/>
    <w:rsid w:val="004923A5"/>
    <w:rsid w:val="004925F2"/>
    <w:rsid w:val="0049347C"/>
    <w:rsid w:val="004937BB"/>
    <w:rsid w:val="004942C5"/>
    <w:rsid w:val="004954F6"/>
    <w:rsid w:val="00495AC5"/>
    <w:rsid w:val="00495C83"/>
    <w:rsid w:val="00495CA2"/>
    <w:rsid w:val="0049600A"/>
    <w:rsid w:val="00496B95"/>
    <w:rsid w:val="00496BFB"/>
    <w:rsid w:val="00497318"/>
    <w:rsid w:val="0049754E"/>
    <w:rsid w:val="00497B0C"/>
    <w:rsid w:val="004A15C7"/>
    <w:rsid w:val="004A1CFB"/>
    <w:rsid w:val="004A40DF"/>
    <w:rsid w:val="004A56E7"/>
    <w:rsid w:val="004A5C21"/>
    <w:rsid w:val="004A7CA6"/>
    <w:rsid w:val="004B013B"/>
    <w:rsid w:val="004B0E4C"/>
    <w:rsid w:val="004B1105"/>
    <w:rsid w:val="004B112B"/>
    <w:rsid w:val="004B1C88"/>
    <w:rsid w:val="004B2257"/>
    <w:rsid w:val="004B3019"/>
    <w:rsid w:val="004B43BA"/>
    <w:rsid w:val="004B588D"/>
    <w:rsid w:val="004B58F4"/>
    <w:rsid w:val="004B5A49"/>
    <w:rsid w:val="004B6024"/>
    <w:rsid w:val="004B6917"/>
    <w:rsid w:val="004B7A19"/>
    <w:rsid w:val="004C01E4"/>
    <w:rsid w:val="004C086C"/>
    <w:rsid w:val="004C1F56"/>
    <w:rsid w:val="004C27BC"/>
    <w:rsid w:val="004C2804"/>
    <w:rsid w:val="004C2C19"/>
    <w:rsid w:val="004C3A77"/>
    <w:rsid w:val="004C4714"/>
    <w:rsid w:val="004C56FC"/>
    <w:rsid w:val="004C6988"/>
    <w:rsid w:val="004D04D6"/>
    <w:rsid w:val="004D0620"/>
    <w:rsid w:val="004D15F3"/>
    <w:rsid w:val="004D1C45"/>
    <w:rsid w:val="004D1F00"/>
    <w:rsid w:val="004D23B6"/>
    <w:rsid w:val="004D2E54"/>
    <w:rsid w:val="004D347F"/>
    <w:rsid w:val="004D3F5C"/>
    <w:rsid w:val="004D4CF3"/>
    <w:rsid w:val="004D5311"/>
    <w:rsid w:val="004D5698"/>
    <w:rsid w:val="004D5DCC"/>
    <w:rsid w:val="004D5F40"/>
    <w:rsid w:val="004E0BC8"/>
    <w:rsid w:val="004E1912"/>
    <w:rsid w:val="004E330C"/>
    <w:rsid w:val="004E3534"/>
    <w:rsid w:val="004E46FE"/>
    <w:rsid w:val="004E47AD"/>
    <w:rsid w:val="004E494F"/>
    <w:rsid w:val="004E5D56"/>
    <w:rsid w:val="004E7F67"/>
    <w:rsid w:val="004F0080"/>
    <w:rsid w:val="004F10AF"/>
    <w:rsid w:val="004F11A4"/>
    <w:rsid w:val="004F1C83"/>
    <w:rsid w:val="004F1C9A"/>
    <w:rsid w:val="004F2389"/>
    <w:rsid w:val="004F25C0"/>
    <w:rsid w:val="004F304D"/>
    <w:rsid w:val="004F34DF"/>
    <w:rsid w:val="004F48C3"/>
    <w:rsid w:val="004F544D"/>
    <w:rsid w:val="004F61BE"/>
    <w:rsid w:val="004F66B1"/>
    <w:rsid w:val="004F74A4"/>
    <w:rsid w:val="005000AC"/>
    <w:rsid w:val="00500763"/>
    <w:rsid w:val="00500862"/>
    <w:rsid w:val="00501DD9"/>
    <w:rsid w:val="00502222"/>
    <w:rsid w:val="00502A0D"/>
    <w:rsid w:val="00503960"/>
    <w:rsid w:val="00503D27"/>
    <w:rsid w:val="00504FE3"/>
    <w:rsid w:val="00505BBC"/>
    <w:rsid w:val="00506159"/>
    <w:rsid w:val="0050647C"/>
    <w:rsid w:val="005069F7"/>
    <w:rsid w:val="00506A2D"/>
    <w:rsid w:val="00506AD3"/>
    <w:rsid w:val="00510A59"/>
    <w:rsid w:val="00510C0E"/>
    <w:rsid w:val="005110EF"/>
    <w:rsid w:val="0051199B"/>
    <w:rsid w:val="00511C07"/>
    <w:rsid w:val="0051221B"/>
    <w:rsid w:val="00512561"/>
    <w:rsid w:val="00512D5D"/>
    <w:rsid w:val="00512E28"/>
    <w:rsid w:val="00512E5D"/>
    <w:rsid w:val="00513A92"/>
    <w:rsid w:val="005148FC"/>
    <w:rsid w:val="00514EBE"/>
    <w:rsid w:val="0051557E"/>
    <w:rsid w:val="00515AED"/>
    <w:rsid w:val="00515F38"/>
    <w:rsid w:val="0051689F"/>
    <w:rsid w:val="00516E2C"/>
    <w:rsid w:val="00516E36"/>
    <w:rsid w:val="005173A6"/>
    <w:rsid w:val="00517B9A"/>
    <w:rsid w:val="00517E3A"/>
    <w:rsid w:val="0052035B"/>
    <w:rsid w:val="00520BAA"/>
    <w:rsid w:val="00521268"/>
    <w:rsid w:val="00521D9A"/>
    <w:rsid w:val="005225B4"/>
    <w:rsid w:val="005228E1"/>
    <w:rsid w:val="00522C78"/>
    <w:rsid w:val="005246B0"/>
    <w:rsid w:val="00524703"/>
    <w:rsid w:val="00525208"/>
    <w:rsid w:val="005257A5"/>
    <w:rsid w:val="005264C0"/>
    <w:rsid w:val="00526A8A"/>
    <w:rsid w:val="005275BB"/>
    <w:rsid w:val="00530586"/>
    <w:rsid w:val="005305AD"/>
    <w:rsid w:val="00531DF2"/>
    <w:rsid w:val="00532E10"/>
    <w:rsid w:val="005331D2"/>
    <w:rsid w:val="00533CF7"/>
    <w:rsid w:val="00534BD4"/>
    <w:rsid w:val="0053526B"/>
    <w:rsid w:val="0053528E"/>
    <w:rsid w:val="00535561"/>
    <w:rsid w:val="00535849"/>
    <w:rsid w:val="00535BB8"/>
    <w:rsid w:val="00536B8D"/>
    <w:rsid w:val="005378C0"/>
    <w:rsid w:val="00537E6D"/>
    <w:rsid w:val="00540126"/>
    <w:rsid w:val="00540A44"/>
    <w:rsid w:val="005417CE"/>
    <w:rsid w:val="00542640"/>
    <w:rsid w:val="00543011"/>
    <w:rsid w:val="005436FB"/>
    <w:rsid w:val="00543F23"/>
    <w:rsid w:val="005442EE"/>
    <w:rsid w:val="00546B22"/>
    <w:rsid w:val="00547353"/>
    <w:rsid w:val="005474E7"/>
    <w:rsid w:val="00550590"/>
    <w:rsid w:val="005512A3"/>
    <w:rsid w:val="0055134F"/>
    <w:rsid w:val="00556B2C"/>
    <w:rsid w:val="00556C2C"/>
    <w:rsid w:val="005578CE"/>
    <w:rsid w:val="00557FA0"/>
    <w:rsid w:val="005604B2"/>
    <w:rsid w:val="005604CB"/>
    <w:rsid w:val="00561826"/>
    <w:rsid w:val="00562781"/>
    <w:rsid w:val="00563E83"/>
    <w:rsid w:val="00567668"/>
    <w:rsid w:val="00567E0A"/>
    <w:rsid w:val="00570154"/>
    <w:rsid w:val="005703AE"/>
    <w:rsid w:val="00570A7A"/>
    <w:rsid w:val="005722DC"/>
    <w:rsid w:val="0057271C"/>
    <w:rsid w:val="00572845"/>
    <w:rsid w:val="00574EC0"/>
    <w:rsid w:val="00574F3B"/>
    <w:rsid w:val="005757C8"/>
    <w:rsid w:val="00576928"/>
    <w:rsid w:val="005774DB"/>
    <w:rsid w:val="005774EA"/>
    <w:rsid w:val="0058063D"/>
    <w:rsid w:val="00581B05"/>
    <w:rsid w:val="005833A4"/>
    <w:rsid w:val="00587303"/>
    <w:rsid w:val="0058781C"/>
    <w:rsid w:val="00587ECE"/>
    <w:rsid w:val="005915E6"/>
    <w:rsid w:val="005919E3"/>
    <w:rsid w:val="0059233F"/>
    <w:rsid w:val="00592772"/>
    <w:rsid w:val="0059397A"/>
    <w:rsid w:val="00594401"/>
    <w:rsid w:val="0059574A"/>
    <w:rsid w:val="0059638F"/>
    <w:rsid w:val="00596B10"/>
    <w:rsid w:val="00596F4E"/>
    <w:rsid w:val="005A0EDD"/>
    <w:rsid w:val="005A1676"/>
    <w:rsid w:val="005A1B9B"/>
    <w:rsid w:val="005A1D6C"/>
    <w:rsid w:val="005A20AF"/>
    <w:rsid w:val="005A2158"/>
    <w:rsid w:val="005A2D26"/>
    <w:rsid w:val="005A310C"/>
    <w:rsid w:val="005A3793"/>
    <w:rsid w:val="005A4772"/>
    <w:rsid w:val="005A5B17"/>
    <w:rsid w:val="005A6239"/>
    <w:rsid w:val="005A6751"/>
    <w:rsid w:val="005A727B"/>
    <w:rsid w:val="005A76DC"/>
    <w:rsid w:val="005B052F"/>
    <w:rsid w:val="005B092E"/>
    <w:rsid w:val="005B0BBA"/>
    <w:rsid w:val="005B152C"/>
    <w:rsid w:val="005B1E1C"/>
    <w:rsid w:val="005B1EE0"/>
    <w:rsid w:val="005B2852"/>
    <w:rsid w:val="005B2A34"/>
    <w:rsid w:val="005B2B24"/>
    <w:rsid w:val="005B2F16"/>
    <w:rsid w:val="005B3E33"/>
    <w:rsid w:val="005B4425"/>
    <w:rsid w:val="005B4B94"/>
    <w:rsid w:val="005C0CE4"/>
    <w:rsid w:val="005C1788"/>
    <w:rsid w:val="005C2333"/>
    <w:rsid w:val="005C3025"/>
    <w:rsid w:val="005C3048"/>
    <w:rsid w:val="005C32FF"/>
    <w:rsid w:val="005C399A"/>
    <w:rsid w:val="005C3EA1"/>
    <w:rsid w:val="005C3EA2"/>
    <w:rsid w:val="005C3EE8"/>
    <w:rsid w:val="005C5565"/>
    <w:rsid w:val="005C6422"/>
    <w:rsid w:val="005C6E45"/>
    <w:rsid w:val="005C76B8"/>
    <w:rsid w:val="005C77CC"/>
    <w:rsid w:val="005C784D"/>
    <w:rsid w:val="005C7A88"/>
    <w:rsid w:val="005C7D60"/>
    <w:rsid w:val="005D003F"/>
    <w:rsid w:val="005D0A7A"/>
    <w:rsid w:val="005D1087"/>
    <w:rsid w:val="005D130D"/>
    <w:rsid w:val="005D20FB"/>
    <w:rsid w:val="005D25B4"/>
    <w:rsid w:val="005D34F9"/>
    <w:rsid w:val="005D4190"/>
    <w:rsid w:val="005D480B"/>
    <w:rsid w:val="005D4AB4"/>
    <w:rsid w:val="005D53D9"/>
    <w:rsid w:val="005D5E03"/>
    <w:rsid w:val="005D67A3"/>
    <w:rsid w:val="005D695F"/>
    <w:rsid w:val="005D6C9B"/>
    <w:rsid w:val="005E1540"/>
    <w:rsid w:val="005E1A66"/>
    <w:rsid w:val="005E235F"/>
    <w:rsid w:val="005E2988"/>
    <w:rsid w:val="005E2A3A"/>
    <w:rsid w:val="005E2A43"/>
    <w:rsid w:val="005E3085"/>
    <w:rsid w:val="005E3655"/>
    <w:rsid w:val="005E396D"/>
    <w:rsid w:val="005E438A"/>
    <w:rsid w:val="005E45A8"/>
    <w:rsid w:val="005E4832"/>
    <w:rsid w:val="005E5689"/>
    <w:rsid w:val="005E5EAF"/>
    <w:rsid w:val="005E639A"/>
    <w:rsid w:val="005E7CE5"/>
    <w:rsid w:val="005F00C5"/>
    <w:rsid w:val="005F16CC"/>
    <w:rsid w:val="005F271C"/>
    <w:rsid w:val="005F2E59"/>
    <w:rsid w:val="005F3003"/>
    <w:rsid w:val="005F3C44"/>
    <w:rsid w:val="005F51E1"/>
    <w:rsid w:val="005F7CDD"/>
    <w:rsid w:val="006006A3"/>
    <w:rsid w:val="00601188"/>
    <w:rsid w:val="00601A05"/>
    <w:rsid w:val="00602539"/>
    <w:rsid w:val="00602837"/>
    <w:rsid w:val="00604B4A"/>
    <w:rsid w:val="00605B48"/>
    <w:rsid w:val="00606052"/>
    <w:rsid w:val="00607E03"/>
    <w:rsid w:val="006107B6"/>
    <w:rsid w:val="00611C80"/>
    <w:rsid w:val="006123F4"/>
    <w:rsid w:val="006128B4"/>
    <w:rsid w:val="00612B4F"/>
    <w:rsid w:val="00614EF4"/>
    <w:rsid w:val="00615004"/>
    <w:rsid w:val="00616FB5"/>
    <w:rsid w:val="00620248"/>
    <w:rsid w:val="00620692"/>
    <w:rsid w:val="00620D6B"/>
    <w:rsid w:val="0062355F"/>
    <w:rsid w:val="006241D0"/>
    <w:rsid w:val="006242CA"/>
    <w:rsid w:val="006243D5"/>
    <w:rsid w:val="006247C7"/>
    <w:rsid w:val="00626227"/>
    <w:rsid w:val="00627507"/>
    <w:rsid w:val="006277FB"/>
    <w:rsid w:val="00627820"/>
    <w:rsid w:val="00630383"/>
    <w:rsid w:val="00630794"/>
    <w:rsid w:val="0063318E"/>
    <w:rsid w:val="00633717"/>
    <w:rsid w:val="00633E63"/>
    <w:rsid w:val="006344E1"/>
    <w:rsid w:val="00636125"/>
    <w:rsid w:val="00636D14"/>
    <w:rsid w:val="00637312"/>
    <w:rsid w:val="00641A1B"/>
    <w:rsid w:val="006429FE"/>
    <w:rsid w:val="00642A94"/>
    <w:rsid w:val="00642BFC"/>
    <w:rsid w:val="0064326D"/>
    <w:rsid w:val="00643C30"/>
    <w:rsid w:val="00644021"/>
    <w:rsid w:val="00644510"/>
    <w:rsid w:val="00644F63"/>
    <w:rsid w:val="00645AB5"/>
    <w:rsid w:val="00646DDF"/>
    <w:rsid w:val="00647330"/>
    <w:rsid w:val="006476D3"/>
    <w:rsid w:val="006507BF"/>
    <w:rsid w:val="0065302A"/>
    <w:rsid w:val="006534F2"/>
    <w:rsid w:val="00653EB9"/>
    <w:rsid w:val="00654004"/>
    <w:rsid w:val="006545C4"/>
    <w:rsid w:val="006552C1"/>
    <w:rsid w:val="00656134"/>
    <w:rsid w:val="00657436"/>
    <w:rsid w:val="00657DED"/>
    <w:rsid w:val="00660378"/>
    <w:rsid w:val="00661971"/>
    <w:rsid w:val="00661BC0"/>
    <w:rsid w:val="00661CE8"/>
    <w:rsid w:val="006623D9"/>
    <w:rsid w:val="00662FBA"/>
    <w:rsid w:val="006631E9"/>
    <w:rsid w:val="0066354E"/>
    <w:rsid w:val="006642E2"/>
    <w:rsid w:val="006648B7"/>
    <w:rsid w:val="0066550C"/>
    <w:rsid w:val="0066564B"/>
    <w:rsid w:val="00665759"/>
    <w:rsid w:val="006668D2"/>
    <w:rsid w:val="00666994"/>
    <w:rsid w:val="00666F58"/>
    <w:rsid w:val="0066752D"/>
    <w:rsid w:val="0067010C"/>
    <w:rsid w:val="006701AC"/>
    <w:rsid w:val="00671279"/>
    <w:rsid w:val="006716F2"/>
    <w:rsid w:val="00672AA7"/>
    <w:rsid w:val="00672EE4"/>
    <w:rsid w:val="00673919"/>
    <w:rsid w:val="00673A4A"/>
    <w:rsid w:val="00674858"/>
    <w:rsid w:val="00674906"/>
    <w:rsid w:val="0067509B"/>
    <w:rsid w:val="0067557C"/>
    <w:rsid w:val="006758D9"/>
    <w:rsid w:val="00675D80"/>
    <w:rsid w:val="00676257"/>
    <w:rsid w:val="0067654E"/>
    <w:rsid w:val="006766F9"/>
    <w:rsid w:val="00677390"/>
    <w:rsid w:val="006778F0"/>
    <w:rsid w:val="00677CC5"/>
    <w:rsid w:val="00677FB5"/>
    <w:rsid w:val="006809A5"/>
    <w:rsid w:val="006810FE"/>
    <w:rsid w:val="00681252"/>
    <w:rsid w:val="006813E1"/>
    <w:rsid w:val="00682467"/>
    <w:rsid w:val="00682B96"/>
    <w:rsid w:val="00682BF2"/>
    <w:rsid w:val="006830DD"/>
    <w:rsid w:val="00684D89"/>
    <w:rsid w:val="006859CE"/>
    <w:rsid w:val="006863FE"/>
    <w:rsid w:val="00686C0A"/>
    <w:rsid w:val="00687F5E"/>
    <w:rsid w:val="00690235"/>
    <w:rsid w:val="006906C0"/>
    <w:rsid w:val="006908DD"/>
    <w:rsid w:val="00690CDE"/>
    <w:rsid w:val="00691270"/>
    <w:rsid w:val="00691DC1"/>
    <w:rsid w:val="00692C7A"/>
    <w:rsid w:val="00692F5E"/>
    <w:rsid w:val="00693255"/>
    <w:rsid w:val="006948E9"/>
    <w:rsid w:val="00694BA8"/>
    <w:rsid w:val="00695DAA"/>
    <w:rsid w:val="006962B2"/>
    <w:rsid w:val="0069686A"/>
    <w:rsid w:val="00696FB8"/>
    <w:rsid w:val="006974DB"/>
    <w:rsid w:val="006A037C"/>
    <w:rsid w:val="006A0A3A"/>
    <w:rsid w:val="006A1123"/>
    <w:rsid w:val="006A2009"/>
    <w:rsid w:val="006A23DE"/>
    <w:rsid w:val="006A2569"/>
    <w:rsid w:val="006A25A2"/>
    <w:rsid w:val="006A2BEA"/>
    <w:rsid w:val="006A36F4"/>
    <w:rsid w:val="006A3C27"/>
    <w:rsid w:val="006A406F"/>
    <w:rsid w:val="006A41BD"/>
    <w:rsid w:val="006A4D6B"/>
    <w:rsid w:val="006A5D3A"/>
    <w:rsid w:val="006A5E6B"/>
    <w:rsid w:val="006A7CF7"/>
    <w:rsid w:val="006B088A"/>
    <w:rsid w:val="006B1DDF"/>
    <w:rsid w:val="006B20B7"/>
    <w:rsid w:val="006B3CC5"/>
    <w:rsid w:val="006B400A"/>
    <w:rsid w:val="006B4150"/>
    <w:rsid w:val="006B562A"/>
    <w:rsid w:val="006B6843"/>
    <w:rsid w:val="006B70AB"/>
    <w:rsid w:val="006C03CC"/>
    <w:rsid w:val="006C1382"/>
    <w:rsid w:val="006C1508"/>
    <w:rsid w:val="006C19EE"/>
    <w:rsid w:val="006C1EEA"/>
    <w:rsid w:val="006C23D4"/>
    <w:rsid w:val="006C260E"/>
    <w:rsid w:val="006C38DB"/>
    <w:rsid w:val="006C3A42"/>
    <w:rsid w:val="006C4123"/>
    <w:rsid w:val="006C639E"/>
    <w:rsid w:val="006C6E1B"/>
    <w:rsid w:val="006C7452"/>
    <w:rsid w:val="006C7723"/>
    <w:rsid w:val="006C7BB0"/>
    <w:rsid w:val="006C7C1E"/>
    <w:rsid w:val="006D0B33"/>
    <w:rsid w:val="006D0D1C"/>
    <w:rsid w:val="006D0D1D"/>
    <w:rsid w:val="006D1678"/>
    <w:rsid w:val="006D1953"/>
    <w:rsid w:val="006D2688"/>
    <w:rsid w:val="006D3237"/>
    <w:rsid w:val="006D38B0"/>
    <w:rsid w:val="006D4172"/>
    <w:rsid w:val="006D4398"/>
    <w:rsid w:val="006D4A1B"/>
    <w:rsid w:val="006D52DC"/>
    <w:rsid w:val="006D557A"/>
    <w:rsid w:val="006D61DB"/>
    <w:rsid w:val="006D6708"/>
    <w:rsid w:val="006D6809"/>
    <w:rsid w:val="006D7FD3"/>
    <w:rsid w:val="006E068B"/>
    <w:rsid w:val="006E0797"/>
    <w:rsid w:val="006E0879"/>
    <w:rsid w:val="006E0A11"/>
    <w:rsid w:val="006E0E53"/>
    <w:rsid w:val="006E12D5"/>
    <w:rsid w:val="006E2C60"/>
    <w:rsid w:val="006E2E37"/>
    <w:rsid w:val="006E3CF1"/>
    <w:rsid w:val="006E4B05"/>
    <w:rsid w:val="006E762F"/>
    <w:rsid w:val="006E7E80"/>
    <w:rsid w:val="006F04B8"/>
    <w:rsid w:val="006F1A03"/>
    <w:rsid w:val="006F1DF9"/>
    <w:rsid w:val="006F2164"/>
    <w:rsid w:val="006F24DB"/>
    <w:rsid w:val="006F48CA"/>
    <w:rsid w:val="006F4B59"/>
    <w:rsid w:val="006F64DD"/>
    <w:rsid w:val="006F67FE"/>
    <w:rsid w:val="006F74DE"/>
    <w:rsid w:val="006F77C9"/>
    <w:rsid w:val="006F7BA3"/>
    <w:rsid w:val="007000A7"/>
    <w:rsid w:val="00700BBD"/>
    <w:rsid w:val="00700C65"/>
    <w:rsid w:val="00700FB4"/>
    <w:rsid w:val="00701D8D"/>
    <w:rsid w:val="00702E9F"/>
    <w:rsid w:val="00704C6E"/>
    <w:rsid w:val="00704D7D"/>
    <w:rsid w:val="00704F78"/>
    <w:rsid w:val="00705A6B"/>
    <w:rsid w:val="00706B4A"/>
    <w:rsid w:val="00707D4F"/>
    <w:rsid w:val="00710311"/>
    <w:rsid w:val="007119FE"/>
    <w:rsid w:val="00712A9D"/>
    <w:rsid w:val="00712BAE"/>
    <w:rsid w:val="00713FB4"/>
    <w:rsid w:val="007146E3"/>
    <w:rsid w:val="007148A8"/>
    <w:rsid w:val="00715127"/>
    <w:rsid w:val="00715E8E"/>
    <w:rsid w:val="00716F79"/>
    <w:rsid w:val="00720CDC"/>
    <w:rsid w:val="007216CB"/>
    <w:rsid w:val="007227B2"/>
    <w:rsid w:val="00723580"/>
    <w:rsid w:val="00723755"/>
    <w:rsid w:val="00724C29"/>
    <w:rsid w:val="00724EC8"/>
    <w:rsid w:val="007269BD"/>
    <w:rsid w:val="00726CA7"/>
    <w:rsid w:val="0072702A"/>
    <w:rsid w:val="00730A2C"/>
    <w:rsid w:val="0073136C"/>
    <w:rsid w:val="0073167E"/>
    <w:rsid w:val="00731F0F"/>
    <w:rsid w:val="0073208B"/>
    <w:rsid w:val="00732560"/>
    <w:rsid w:val="00733250"/>
    <w:rsid w:val="00733B0E"/>
    <w:rsid w:val="0073577B"/>
    <w:rsid w:val="00735838"/>
    <w:rsid w:val="007361E2"/>
    <w:rsid w:val="00736ECA"/>
    <w:rsid w:val="00740432"/>
    <w:rsid w:val="00740DDC"/>
    <w:rsid w:val="00741404"/>
    <w:rsid w:val="00741BDC"/>
    <w:rsid w:val="00741C3A"/>
    <w:rsid w:val="007420A2"/>
    <w:rsid w:val="007424FD"/>
    <w:rsid w:val="007449E5"/>
    <w:rsid w:val="00745908"/>
    <w:rsid w:val="00746158"/>
    <w:rsid w:val="00746C5A"/>
    <w:rsid w:val="00746EE3"/>
    <w:rsid w:val="00747239"/>
    <w:rsid w:val="007476E8"/>
    <w:rsid w:val="00747FF0"/>
    <w:rsid w:val="007509D5"/>
    <w:rsid w:val="00751387"/>
    <w:rsid w:val="00752D08"/>
    <w:rsid w:val="00753F28"/>
    <w:rsid w:val="0075620D"/>
    <w:rsid w:val="007572C9"/>
    <w:rsid w:val="0075754F"/>
    <w:rsid w:val="00760CD1"/>
    <w:rsid w:val="00763F82"/>
    <w:rsid w:val="00764D4E"/>
    <w:rsid w:val="00765340"/>
    <w:rsid w:val="00765A1F"/>
    <w:rsid w:val="0076666A"/>
    <w:rsid w:val="00766A24"/>
    <w:rsid w:val="00766D2C"/>
    <w:rsid w:val="00767507"/>
    <w:rsid w:val="00767C96"/>
    <w:rsid w:val="00772809"/>
    <w:rsid w:val="00772814"/>
    <w:rsid w:val="007730B9"/>
    <w:rsid w:val="007740E7"/>
    <w:rsid w:val="00774930"/>
    <w:rsid w:val="00774A6E"/>
    <w:rsid w:val="00774CBD"/>
    <w:rsid w:val="00775B6D"/>
    <w:rsid w:val="007763A7"/>
    <w:rsid w:val="00776D68"/>
    <w:rsid w:val="00777BC8"/>
    <w:rsid w:val="00777F46"/>
    <w:rsid w:val="0078103E"/>
    <w:rsid w:val="00781816"/>
    <w:rsid w:val="007824D6"/>
    <w:rsid w:val="007826BE"/>
    <w:rsid w:val="00782737"/>
    <w:rsid w:val="0078351A"/>
    <w:rsid w:val="00783A11"/>
    <w:rsid w:val="007850EE"/>
    <w:rsid w:val="0078545E"/>
    <w:rsid w:val="00785B95"/>
    <w:rsid w:val="00786BC0"/>
    <w:rsid w:val="00790E96"/>
    <w:rsid w:val="00790F98"/>
    <w:rsid w:val="007923BC"/>
    <w:rsid w:val="00793366"/>
    <w:rsid w:val="00793DB3"/>
    <w:rsid w:val="007942CE"/>
    <w:rsid w:val="007946DB"/>
    <w:rsid w:val="00794F58"/>
    <w:rsid w:val="00796ECA"/>
    <w:rsid w:val="007971B4"/>
    <w:rsid w:val="007A02E7"/>
    <w:rsid w:val="007A0524"/>
    <w:rsid w:val="007A0B89"/>
    <w:rsid w:val="007A10F7"/>
    <w:rsid w:val="007A1B19"/>
    <w:rsid w:val="007A1FB0"/>
    <w:rsid w:val="007A20A2"/>
    <w:rsid w:val="007A20D0"/>
    <w:rsid w:val="007A2CA3"/>
    <w:rsid w:val="007A2EB9"/>
    <w:rsid w:val="007A3EFD"/>
    <w:rsid w:val="007A458F"/>
    <w:rsid w:val="007A5B9A"/>
    <w:rsid w:val="007A5BE1"/>
    <w:rsid w:val="007A716F"/>
    <w:rsid w:val="007A74CA"/>
    <w:rsid w:val="007A7EDF"/>
    <w:rsid w:val="007B00E6"/>
    <w:rsid w:val="007B1BFF"/>
    <w:rsid w:val="007B270A"/>
    <w:rsid w:val="007B3DAB"/>
    <w:rsid w:val="007B3F4D"/>
    <w:rsid w:val="007B406C"/>
    <w:rsid w:val="007B46AB"/>
    <w:rsid w:val="007B487D"/>
    <w:rsid w:val="007B4931"/>
    <w:rsid w:val="007B52A4"/>
    <w:rsid w:val="007B5AD6"/>
    <w:rsid w:val="007B5EA9"/>
    <w:rsid w:val="007B6B9B"/>
    <w:rsid w:val="007B6F84"/>
    <w:rsid w:val="007B710B"/>
    <w:rsid w:val="007B7A95"/>
    <w:rsid w:val="007B7C7D"/>
    <w:rsid w:val="007B7FFA"/>
    <w:rsid w:val="007C0695"/>
    <w:rsid w:val="007C0A07"/>
    <w:rsid w:val="007C0D4B"/>
    <w:rsid w:val="007C2818"/>
    <w:rsid w:val="007C2DAB"/>
    <w:rsid w:val="007C2DD9"/>
    <w:rsid w:val="007C419A"/>
    <w:rsid w:val="007C4360"/>
    <w:rsid w:val="007C4CC8"/>
    <w:rsid w:val="007C50D0"/>
    <w:rsid w:val="007C5426"/>
    <w:rsid w:val="007C5798"/>
    <w:rsid w:val="007C5984"/>
    <w:rsid w:val="007C62DE"/>
    <w:rsid w:val="007C6409"/>
    <w:rsid w:val="007D1E22"/>
    <w:rsid w:val="007D1F4C"/>
    <w:rsid w:val="007D22F0"/>
    <w:rsid w:val="007D44A3"/>
    <w:rsid w:val="007D4832"/>
    <w:rsid w:val="007D4AC9"/>
    <w:rsid w:val="007D70ED"/>
    <w:rsid w:val="007D7511"/>
    <w:rsid w:val="007D7700"/>
    <w:rsid w:val="007E0E43"/>
    <w:rsid w:val="007E21B2"/>
    <w:rsid w:val="007E2C4E"/>
    <w:rsid w:val="007E2E74"/>
    <w:rsid w:val="007E56B8"/>
    <w:rsid w:val="007E6B72"/>
    <w:rsid w:val="007E7578"/>
    <w:rsid w:val="007E76DB"/>
    <w:rsid w:val="007E7A68"/>
    <w:rsid w:val="007F0433"/>
    <w:rsid w:val="007F1905"/>
    <w:rsid w:val="007F24D2"/>
    <w:rsid w:val="007F2F30"/>
    <w:rsid w:val="007F3307"/>
    <w:rsid w:val="007F4C62"/>
    <w:rsid w:val="007F5712"/>
    <w:rsid w:val="007F5BCD"/>
    <w:rsid w:val="007F60DB"/>
    <w:rsid w:val="007F6CDE"/>
    <w:rsid w:val="007F7177"/>
    <w:rsid w:val="007F7537"/>
    <w:rsid w:val="007F7EFB"/>
    <w:rsid w:val="0080048F"/>
    <w:rsid w:val="008009C7"/>
    <w:rsid w:val="00801300"/>
    <w:rsid w:val="00801931"/>
    <w:rsid w:val="00802430"/>
    <w:rsid w:val="00802C64"/>
    <w:rsid w:val="00804042"/>
    <w:rsid w:val="008045DF"/>
    <w:rsid w:val="008047C0"/>
    <w:rsid w:val="00804AF5"/>
    <w:rsid w:val="00804EEF"/>
    <w:rsid w:val="008059FF"/>
    <w:rsid w:val="00805E52"/>
    <w:rsid w:val="008061D0"/>
    <w:rsid w:val="0080635D"/>
    <w:rsid w:val="008067DB"/>
    <w:rsid w:val="0080785D"/>
    <w:rsid w:val="00810380"/>
    <w:rsid w:val="0081056F"/>
    <w:rsid w:val="008106DC"/>
    <w:rsid w:val="00810941"/>
    <w:rsid w:val="00810B38"/>
    <w:rsid w:val="00810D6D"/>
    <w:rsid w:val="008125C4"/>
    <w:rsid w:val="008135FA"/>
    <w:rsid w:val="008144E9"/>
    <w:rsid w:val="00814C87"/>
    <w:rsid w:val="00814E39"/>
    <w:rsid w:val="008177D2"/>
    <w:rsid w:val="0082026B"/>
    <w:rsid w:val="008204C7"/>
    <w:rsid w:val="008206F9"/>
    <w:rsid w:val="00820992"/>
    <w:rsid w:val="008212E1"/>
    <w:rsid w:val="0082161E"/>
    <w:rsid w:val="00821CD3"/>
    <w:rsid w:val="00821EA4"/>
    <w:rsid w:val="008230F5"/>
    <w:rsid w:val="00823450"/>
    <w:rsid w:val="00823602"/>
    <w:rsid w:val="00823AFC"/>
    <w:rsid w:val="0082454B"/>
    <w:rsid w:val="00824735"/>
    <w:rsid w:val="00824D68"/>
    <w:rsid w:val="008255F5"/>
    <w:rsid w:val="00826F56"/>
    <w:rsid w:val="0083014E"/>
    <w:rsid w:val="00830558"/>
    <w:rsid w:val="00830716"/>
    <w:rsid w:val="00830DA8"/>
    <w:rsid w:val="00831A4F"/>
    <w:rsid w:val="0083200F"/>
    <w:rsid w:val="0083214A"/>
    <w:rsid w:val="00834220"/>
    <w:rsid w:val="008347EA"/>
    <w:rsid w:val="00834F53"/>
    <w:rsid w:val="00835149"/>
    <w:rsid w:val="00835463"/>
    <w:rsid w:val="00835DAF"/>
    <w:rsid w:val="008360B8"/>
    <w:rsid w:val="00836268"/>
    <w:rsid w:val="008362C9"/>
    <w:rsid w:val="00837B38"/>
    <w:rsid w:val="00840609"/>
    <w:rsid w:val="00840A83"/>
    <w:rsid w:val="0084288E"/>
    <w:rsid w:val="00844050"/>
    <w:rsid w:val="00844255"/>
    <w:rsid w:val="00845723"/>
    <w:rsid w:val="00845E62"/>
    <w:rsid w:val="00846F40"/>
    <w:rsid w:val="00847BDB"/>
    <w:rsid w:val="0085023B"/>
    <w:rsid w:val="00851209"/>
    <w:rsid w:val="00851EF9"/>
    <w:rsid w:val="0085314B"/>
    <w:rsid w:val="00853827"/>
    <w:rsid w:val="00855A8B"/>
    <w:rsid w:val="00856448"/>
    <w:rsid w:val="00856935"/>
    <w:rsid w:val="008577FD"/>
    <w:rsid w:val="00857ED0"/>
    <w:rsid w:val="00860B03"/>
    <w:rsid w:val="00860E77"/>
    <w:rsid w:val="00860FFE"/>
    <w:rsid w:val="00861B35"/>
    <w:rsid w:val="00862320"/>
    <w:rsid w:val="0086497A"/>
    <w:rsid w:val="00865158"/>
    <w:rsid w:val="008655EC"/>
    <w:rsid w:val="00865C82"/>
    <w:rsid w:val="008713A1"/>
    <w:rsid w:val="0087377B"/>
    <w:rsid w:val="0087385B"/>
    <w:rsid w:val="00873E28"/>
    <w:rsid w:val="008752F7"/>
    <w:rsid w:val="008754AB"/>
    <w:rsid w:val="00877E85"/>
    <w:rsid w:val="0088060C"/>
    <w:rsid w:val="008806C0"/>
    <w:rsid w:val="00880B07"/>
    <w:rsid w:val="00883C8C"/>
    <w:rsid w:val="00884170"/>
    <w:rsid w:val="00884D03"/>
    <w:rsid w:val="00884D45"/>
    <w:rsid w:val="00885846"/>
    <w:rsid w:val="008875A0"/>
    <w:rsid w:val="00890522"/>
    <w:rsid w:val="00890B98"/>
    <w:rsid w:val="00891664"/>
    <w:rsid w:val="00891AC8"/>
    <w:rsid w:val="00893576"/>
    <w:rsid w:val="0089364A"/>
    <w:rsid w:val="00893A45"/>
    <w:rsid w:val="00893E73"/>
    <w:rsid w:val="0089469F"/>
    <w:rsid w:val="008948A7"/>
    <w:rsid w:val="0089580B"/>
    <w:rsid w:val="00895F71"/>
    <w:rsid w:val="00896D7F"/>
    <w:rsid w:val="00897A43"/>
    <w:rsid w:val="008A02E1"/>
    <w:rsid w:val="008A0BE0"/>
    <w:rsid w:val="008A1A24"/>
    <w:rsid w:val="008A399C"/>
    <w:rsid w:val="008A43C4"/>
    <w:rsid w:val="008A4545"/>
    <w:rsid w:val="008A4CEB"/>
    <w:rsid w:val="008A5DFF"/>
    <w:rsid w:val="008A6CB4"/>
    <w:rsid w:val="008A76AB"/>
    <w:rsid w:val="008A7DA2"/>
    <w:rsid w:val="008B02DC"/>
    <w:rsid w:val="008B0AC3"/>
    <w:rsid w:val="008B0E0F"/>
    <w:rsid w:val="008B12F0"/>
    <w:rsid w:val="008B1742"/>
    <w:rsid w:val="008B23F7"/>
    <w:rsid w:val="008B3486"/>
    <w:rsid w:val="008B3957"/>
    <w:rsid w:val="008B3ECB"/>
    <w:rsid w:val="008B4555"/>
    <w:rsid w:val="008B4A11"/>
    <w:rsid w:val="008B57CE"/>
    <w:rsid w:val="008B659F"/>
    <w:rsid w:val="008B734A"/>
    <w:rsid w:val="008C07AA"/>
    <w:rsid w:val="008C0E3C"/>
    <w:rsid w:val="008C1225"/>
    <w:rsid w:val="008C12FC"/>
    <w:rsid w:val="008C1490"/>
    <w:rsid w:val="008C1DE6"/>
    <w:rsid w:val="008C2357"/>
    <w:rsid w:val="008C26DE"/>
    <w:rsid w:val="008C2AA6"/>
    <w:rsid w:val="008C2C51"/>
    <w:rsid w:val="008C4718"/>
    <w:rsid w:val="008C566B"/>
    <w:rsid w:val="008C5934"/>
    <w:rsid w:val="008C5C08"/>
    <w:rsid w:val="008C606C"/>
    <w:rsid w:val="008C6134"/>
    <w:rsid w:val="008C6204"/>
    <w:rsid w:val="008C647E"/>
    <w:rsid w:val="008D0B8E"/>
    <w:rsid w:val="008D2225"/>
    <w:rsid w:val="008D222A"/>
    <w:rsid w:val="008D2564"/>
    <w:rsid w:val="008D329E"/>
    <w:rsid w:val="008D3826"/>
    <w:rsid w:val="008D414F"/>
    <w:rsid w:val="008D4752"/>
    <w:rsid w:val="008D4B3C"/>
    <w:rsid w:val="008D4EEE"/>
    <w:rsid w:val="008D54E2"/>
    <w:rsid w:val="008D552A"/>
    <w:rsid w:val="008D5603"/>
    <w:rsid w:val="008E1627"/>
    <w:rsid w:val="008E271C"/>
    <w:rsid w:val="008E38F4"/>
    <w:rsid w:val="008E418E"/>
    <w:rsid w:val="008E4640"/>
    <w:rsid w:val="008E5728"/>
    <w:rsid w:val="008E5933"/>
    <w:rsid w:val="008E5BC6"/>
    <w:rsid w:val="008E6616"/>
    <w:rsid w:val="008E6A25"/>
    <w:rsid w:val="008E7966"/>
    <w:rsid w:val="008F0B32"/>
    <w:rsid w:val="008F1F0E"/>
    <w:rsid w:val="008F3C9A"/>
    <w:rsid w:val="008F42A6"/>
    <w:rsid w:val="008F5193"/>
    <w:rsid w:val="008F6403"/>
    <w:rsid w:val="008F7005"/>
    <w:rsid w:val="00900DA3"/>
    <w:rsid w:val="009013A7"/>
    <w:rsid w:val="0090175F"/>
    <w:rsid w:val="009017FB"/>
    <w:rsid w:val="009017FC"/>
    <w:rsid w:val="00901B78"/>
    <w:rsid w:val="00901E1B"/>
    <w:rsid w:val="00902920"/>
    <w:rsid w:val="009029A6"/>
    <w:rsid w:val="009029E0"/>
    <w:rsid w:val="00903B43"/>
    <w:rsid w:val="0090432C"/>
    <w:rsid w:val="00904E18"/>
    <w:rsid w:val="0090506B"/>
    <w:rsid w:val="009050C9"/>
    <w:rsid w:val="00905430"/>
    <w:rsid w:val="009064BA"/>
    <w:rsid w:val="009066FC"/>
    <w:rsid w:val="0090709C"/>
    <w:rsid w:val="009073E5"/>
    <w:rsid w:val="0091042C"/>
    <w:rsid w:val="009134EE"/>
    <w:rsid w:val="009140A3"/>
    <w:rsid w:val="009144A2"/>
    <w:rsid w:val="009144C4"/>
    <w:rsid w:val="0091510C"/>
    <w:rsid w:val="00920AAF"/>
    <w:rsid w:val="00921A2A"/>
    <w:rsid w:val="00922C1D"/>
    <w:rsid w:val="00922F30"/>
    <w:rsid w:val="00923691"/>
    <w:rsid w:val="009259AC"/>
    <w:rsid w:val="009262BB"/>
    <w:rsid w:val="00926F38"/>
    <w:rsid w:val="009276D5"/>
    <w:rsid w:val="0093071A"/>
    <w:rsid w:val="00930CCB"/>
    <w:rsid w:val="0093252C"/>
    <w:rsid w:val="00933009"/>
    <w:rsid w:val="009332D1"/>
    <w:rsid w:val="00934301"/>
    <w:rsid w:val="009346DC"/>
    <w:rsid w:val="00934FBA"/>
    <w:rsid w:val="00936CD1"/>
    <w:rsid w:val="009401E1"/>
    <w:rsid w:val="00940C8B"/>
    <w:rsid w:val="00941747"/>
    <w:rsid w:val="00941C2B"/>
    <w:rsid w:val="00941EFB"/>
    <w:rsid w:val="009430DF"/>
    <w:rsid w:val="009438CE"/>
    <w:rsid w:val="00944CE5"/>
    <w:rsid w:val="00945303"/>
    <w:rsid w:val="00946408"/>
    <w:rsid w:val="0094692C"/>
    <w:rsid w:val="00946AAC"/>
    <w:rsid w:val="009474C1"/>
    <w:rsid w:val="00947AFB"/>
    <w:rsid w:val="00950634"/>
    <w:rsid w:val="00950C12"/>
    <w:rsid w:val="009511A8"/>
    <w:rsid w:val="00951D7D"/>
    <w:rsid w:val="00952345"/>
    <w:rsid w:val="00952C12"/>
    <w:rsid w:val="00952C7A"/>
    <w:rsid w:val="009536C4"/>
    <w:rsid w:val="009538B1"/>
    <w:rsid w:val="0095478A"/>
    <w:rsid w:val="00960B4A"/>
    <w:rsid w:val="009630C7"/>
    <w:rsid w:val="009630FF"/>
    <w:rsid w:val="009638BB"/>
    <w:rsid w:val="00964B03"/>
    <w:rsid w:val="00964F36"/>
    <w:rsid w:val="00965133"/>
    <w:rsid w:val="00966317"/>
    <w:rsid w:val="00966664"/>
    <w:rsid w:val="00966E03"/>
    <w:rsid w:val="00966EB5"/>
    <w:rsid w:val="00967F7A"/>
    <w:rsid w:val="009702D7"/>
    <w:rsid w:val="00970EDD"/>
    <w:rsid w:val="0097196C"/>
    <w:rsid w:val="00971E4D"/>
    <w:rsid w:val="009720E3"/>
    <w:rsid w:val="0097275D"/>
    <w:rsid w:val="00972B55"/>
    <w:rsid w:val="00973626"/>
    <w:rsid w:val="00973C81"/>
    <w:rsid w:val="00973F30"/>
    <w:rsid w:val="009743B7"/>
    <w:rsid w:val="0097457E"/>
    <w:rsid w:val="00976385"/>
    <w:rsid w:val="009776A2"/>
    <w:rsid w:val="009814BA"/>
    <w:rsid w:val="00981AEE"/>
    <w:rsid w:val="0098228B"/>
    <w:rsid w:val="009823D0"/>
    <w:rsid w:val="009828DA"/>
    <w:rsid w:val="009845D8"/>
    <w:rsid w:val="009848C5"/>
    <w:rsid w:val="009848D4"/>
    <w:rsid w:val="00984C26"/>
    <w:rsid w:val="00985707"/>
    <w:rsid w:val="00985929"/>
    <w:rsid w:val="00985BAB"/>
    <w:rsid w:val="00985D8E"/>
    <w:rsid w:val="009874AE"/>
    <w:rsid w:val="0099005B"/>
    <w:rsid w:val="009914B8"/>
    <w:rsid w:val="009931E2"/>
    <w:rsid w:val="009940DE"/>
    <w:rsid w:val="009968F0"/>
    <w:rsid w:val="00996E6C"/>
    <w:rsid w:val="00997D1D"/>
    <w:rsid w:val="00997F03"/>
    <w:rsid w:val="009A0425"/>
    <w:rsid w:val="009A14FE"/>
    <w:rsid w:val="009A21F6"/>
    <w:rsid w:val="009A2669"/>
    <w:rsid w:val="009A46DF"/>
    <w:rsid w:val="009A47AD"/>
    <w:rsid w:val="009A4FD9"/>
    <w:rsid w:val="009A5474"/>
    <w:rsid w:val="009A5F97"/>
    <w:rsid w:val="009A68C0"/>
    <w:rsid w:val="009A7A09"/>
    <w:rsid w:val="009B0AD9"/>
    <w:rsid w:val="009B17AB"/>
    <w:rsid w:val="009B1B5F"/>
    <w:rsid w:val="009B2D63"/>
    <w:rsid w:val="009B2EC2"/>
    <w:rsid w:val="009B30CE"/>
    <w:rsid w:val="009B38C3"/>
    <w:rsid w:val="009B5A41"/>
    <w:rsid w:val="009B6673"/>
    <w:rsid w:val="009B6C0F"/>
    <w:rsid w:val="009B6CA0"/>
    <w:rsid w:val="009B6E7A"/>
    <w:rsid w:val="009B6E85"/>
    <w:rsid w:val="009B7C9E"/>
    <w:rsid w:val="009C10D4"/>
    <w:rsid w:val="009C191B"/>
    <w:rsid w:val="009C1A87"/>
    <w:rsid w:val="009C2BD6"/>
    <w:rsid w:val="009C2DAC"/>
    <w:rsid w:val="009C35B7"/>
    <w:rsid w:val="009C3EC9"/>
    <w:rsid w:val="009C52D8"/>
    <w:rsid w:val="009C57C6"/>
    <w:rsid w:val="009C57DA"/>
    <w:rsid w:val="009C67E4"/>
    <w:rsid w:val="009C6D9D"/>
    <w:rsid w:val="009D0BB4"/>
    <w:rsid w:val="009D15EE"/>
    <w:rsid w:val="009D1ECB"/>
    <w:rsid w:val="009D20C4"/>
    <w:rsid w:val="009D2AD7"/>
    <w:rsid w:val="009D3989"/>
    <w:rsid w:val="009D4693"/>
    <w:rsid w:val="009D53E1"/>
    <w:rsid w:val="009D7563"/>
    <w:rsid w:val="009E1B2E"/>
    <w:rsid w:val="009E1F32"/>
    <w:rsid w:val="009E2743"/>
    <w:rsid w:val="009E2A6F"/>
    <w:rsid w:val="009E32F4"/>
    <w:rsid w:val="009E4610"/>
    <w:rsid w:val="009E4972"/>
    <w:rsid w:val="009E5415"/>
    <w:rsid w:val="009E55BA"/>
    <w:rsid w:val="009E56A0"/>
    <w:rsid w:val="009E5829"/>
    <w:rsid w:val="009E5DCC"/>
    <w:rsid w:val="009E5FC6"/>
    <w:rsid w:val="009E60CF"/>
    <w:rsid w:val="009E653E"/>
    <w:rsid w:val="009E6A88"/>
    <w:rsid w:val="009E6C64"/>
    <w:rsid w:val="009E747F"/>
    <w:rsid w:val="009E768A"/>
    <w:rsid w:val="009E776C"/>
    <w:rsid w:val="009F0CB2"/>
    <w:rsid w:val="009F16C3"/>
    <w:rsid w:val="009F21F0"/>
    <w:rsid w:val="009F3FCB"/>
    <w:rsid w:val="009F5361"/>
    <w:rsid w:val="009F5FBF"/>
    <w:rsid w:val="009F6F7E"/>
    <w:rsid w:val="009F73F5"/>
    <w:rsid w:val="00A0038D"/>
    <w:rsid w:val="00A02173"/>
    <w:rsid w:val="00A022DF"/>
    <w:rsid w:val="00A034E2"/>
    <w:rsid w:val="00A049DA"/>
    <w:rsid w:val="00A04C44"/>
    <w:rsid w:val="00A04CBE"/>
    <w:rsid w:val="00A05E7D"/>
    <w:rsid w:val="00A060FC"/>
    <w:rsid w:val="00A073B7"/>
    <w:rsid w:val="00A077FB"/>
    <w:rsid w:val="00A07F2F"/>
    <w:rsid w:val="00A104C7"/>
    <w:rsid w:val="00A1062B"/>
    <w:rsid w:val="00A10FE2"/>
    <w:rsid w:val="00A130B4"/>
    <w:rsid w:val="00A13539"/>
    <w:rsid w:val="00A140B4"/>
    <w:rsid w:val="00A14E11"/>
    <w:rsid w:val="00A15353"/>
    <w:rsid w:val="00A15499"/>
    <w:rsid w:val="00A15DEA"/>
    <w:rsid w:val="00A15E07"/>
    <w:rsid w:val="00A16384"/>
    <w:rsid w:val="00A1726E"/>
    <w:rsid w:val="00A200FF"/>
    <w:rsid w:val="00A204CF"/>
    <w:rsid w:val="00A204ED"/>
    <w:rsid w:val="00A21589"/>
    <w:rsid w:val="00A220D9"/>
    <w:rsid w:val="00A224CA"/>
    <w:rsid w:val="00A237DB"/>
    <w:rsid w:val="00A23D49"/>
    <w:rsid w:val="00A23D51"/>
    <w:rsid w:val="00A2440A"/>
    <w:rsid w:val="00A2486E"/>
    <w:rsid w:val="00A25AC1"/>
    <w:rsid w:val="00A25C0B"/>
    <w:rsid w:val="00A25C61"/>
    <w:rsid w:val="00A2600B"/>
    <w:rsid w:val="00A26707"/>
    <w:rsid w:val="00A26DE0"/>
    <w:rsid w:val="00A27004"/>
    <w:rsid w:val="00A27112"/>
    <w:rsid w:val="00A30136"/>
    <w:rsid w:val="00A303FD"/>
    <w:rsid w:val="00A3097C"/>
    <w:rsid w:val="00A30B56"/>
    <w:rsid w:val="00A30C29"/>
    <w:rsid w:val="00A33AEC"/>
    <w:rsid w:val="00A3485F"/>
    <w:rsid w:val="00A34DD6"/>
    <w:rsid w:val="00A34FDC"/>
    <w:rsid w:val="00A3531A"/>
    <w:rsid w:val="00A35678"/>
    <w:rsid w:val="00A35FD0"/>
    <w:rsid w:val="00A36819"/>
    <w:rsid w:val="00A3686B"/>
    <w:rsid w:val="00A36989"/>
    <w:rsid w:val="00A37991"/>
    <w:rsid w:val="00A37FC8"/>
    <w:rsid w:val="00A42334"/>
    <w:rsid w:val="00A43566"/>
    <w:rsid w:val="00A43628"/>
    <w:rsid w:val="00A438F7"/>
    <w:rsid w:val="00A444D1"/>
    <w:rsid w:val="00A47DB3"/>
    <w:rsid w:val="00A5051E"/>
    <w:rsid w:val="00A51488"/>
    <w:rsid w:val="00A51602"/>
    <w:rsid w:val="00A51FF5"/>
    <w:rsid w:val="00A52C76"/>
    <w:rsid w:val="00A54192"/>
    <w:rsid w:val="00A5500F"/>
    <w:rsid w:val="00A55C18"/>
    <w:rsid w:val="00A55D44"/>
    <w:rsid w:val="00A55F1D"/>
    <w:rsid w:val="00A57358"/>
    <w:rsid w:val="00A573AB"/>
    <w:rsid w:val="00A57F52"/>
    <w:rsid w:val="00A6035E"/>
    <w:rsid w:val="00A60A1B"/>
    <w:rsid w:val="00A6144C"/>
    <w:rsid w:val="00A616AC"/>
    <w:rsid w:val="00A617A6"/>
    <w:rsid w:val="00A61A2F"/>
    <w:rsid w:val="00A638C6"/>
    <w:rsid w:val="00A65DD9"/>
    <w:rsid w:val="00A66617"/>
    <w:rsid w:val="00A671F8"/>
    <w:rsid w:val="00A673A4"/>
    <w:rsid w:val="00A707E5"/>
    <w:rsid w:val="00A70965"/>
    <w:rsid w:val="00A71558"/>
    <w:rsid w:val="00A71749"/>
    <w:rsid w:val="00A724AE"/>
    <w:rsid w:val="00A73329"/>
    <w:rsid w:val="00A74DE2"/>
    <w:rsid w:val="00A76779"/>
    <w:rsid w:val="00A82359"/>
    <w:rsid w:val="00A83B24"/>
    <w:rsid w:val="00A84BF7"/>
    <w:rsid w:val="00A85153"/>
    <w:rsid w:val="00A8547C"/>
    <w:rsid w:val="00A861C4"/>
    <w:rsid w:val="00A865D2"/>
    <w:rsid w:val="00A86708"/>
    <w:rsid w:val="00A8709A"/>
    <w:rsid w:val="00A87188"/>
    <w:rsid w:val="00A875A7"/>
    <w:rsid w:val="00A87C2A"/>
    <w:rsid w:val="00A908F7"/>
    <w:rsid w:val="00A90A2B"/>
    <w:rsid w:val="00A911A9"/>
    <w:rsid w:val="00A9326F"/>
    <w:rsid w:val="00A941E8"/>
    <w:rsid w:val="00A948A0"/>
    <w:rsid w:val="00A94C20"/>
    <w:rsid w:val="00A95A99"/>
    <w:rsid w:val="00A96ED6"/>
    <w:rsid w:val="00AA106E"/>
    <w:rsid w:val="00AA227F"/>
    <w:rsid w:val="00AA274C"/>
    <w:rsid w:val="00AA2D89"/>
    <w:rsid w:val="00AA3BC7"/>
    <w:rsid w:val="00AA45B2"/>
    <w:rsid w:val="00AA5294"/>
    <w:rsid w:val="00AA5BD9"/>
    <w:rsid w:val="00AA6C34"/>
    <w:rsid w:val="00AA754A"/>
    <w:rsid w:val="00AB099E"/>
    <w:rsid w:val="00AB19D9"/>
    <w:rsid w:val="00AB247C"/>
    <w:rsid w:val="00AB2D9E"/>
    <w:rsid w:val="00AB3EA6"/>
    <w:rsid w:val="00AB3F77"/>
    <w:rsid w:val="00AB42EC"/>
    <w:rsid w:val="00AB4328"/>
    <w:rsid w:val="00AB56E1"/>
    <w:rsid w:val="00AB57ED"/>
    <w:rsid w:val="00AB597B"/>
    <w:rsid w:val="00AB5A39"/>
    <w:rsid w:val="00AB5FA0"/>
    <w:rsid w:val="00AB6189"/>
    <w:rsid w:val="00AB623C"/>
    <w:rsid w:val="00AB6519"/>
    <w:rsid w:val="00AB7D94"/>
    <w:rsid w:val="00AC07D3"/>
    <w:rsid w:val="00AC16CC"/>
    <w:rsid w:val="00AC2EB1"/>
    <w:rsid w:val="00AC32A6"/>
    <w:rsid w:val="00AC4ED8"/>
    <w:rsid w:val="00AC53CF"/>
    <w:rsid w:val="00AC5D25"/>
    <w:rsid w:val="00AC6A04"/>
    <w:rsid w:val="00AC6F3B"/>
    <w:rsid w:val="00AC7010"/>
    <w:rsid w:val="00AD15A7"/>
    <w:rsid w:val="00AD2858"/>
    <w:rsid w:val="00AD3D70"/>
    <w:rsid w:val="00AD5102"/>
    <w:rsid w:val="00AD6800"/>
    <w:rsid w:val="00AD7735"/>
    <w:rsid w:val="00AE0A2E"/>
    <w:rsid w:val="00AE0DE8"/>
    <w:rsid w:val="00AE1820"/>
    <w:rsid w:val="00AE1833"/>
    <w:rsid w:val="00AE1D02"/>
    <w:rsid w:val="00AE27A2"/>
    <w:rsid w:val="00AE2832"/>
    <w:rsid w:val="00AE354C"/>
    <w:rsid w:val="00AE3797"/>
    <w:rsid w:val="00AE4E09"/>
    <w:rsid w:val="00AE5601"/>
    <w:rsid w:val="00AE5FC3"/>
    <w:rsid w:val="00AE6525"/>
    <w:rsid w:val="00AE688E"/>
    <w:rsid w:val="00AE6BF8"/>
    <w:rsid w:val="00AF0CE4"/>
    <w:rsid w:val="00AF0DF5"/>
    <w:rsid w:val="00AF11F5"/>
    <w:rsid w:val="00AF19DA"/>
    <w:rsid w:val="00AF2B61"/>
    <w:rsid w:val="00AF43B8"/>
    <w:rsid w:val="00AF4B07"/>
    <w:rsid w:val="00AF6128"/>
    <w:rsid w:val="00AF6140"/>
    <w:rsid w:val="00AF6186"/>
    <w:rsid w:val="00AF68EF"/>
    <w:rsid w:val="00AF788A"/>
    <w:rsid w:val="00AF7A3A"/>
    <w:rsid w:val="00B013C1"/>
    <w:rsid w:val="00B022B0"/>
    <w:rsid w:val="00B053C8"/>
    <w:rsid w:val="00B060D6"/>
    <w:rsid w:val="00B06DB0"/>
    <w:rsid w:val="00B07765"/>
    <w:rsid w:val="00B111F6"/>
    <w:rsid w:val="00B113E6"/>
    <w:rsid w:val="00B12747"/>
    <w:rsid w:val="00B13216"/>
    <w:rsid w:val="00B13F06"/>
    <w:rsid w:val="00B13F93"/>
    <w:rsid w:val="00B13FCB"/>
    <w:rsid w:val="00B144F2"/>
    <w:rsid w:val="00B1485D"/>
    <w:rsid w:val="00B14C7E"/>
    <w:rsid w:val="00B14EC3"/>
    <w:rsid w:val="00B15012"/>
    <w:rsid w:val="00B15FC9"/>
    <w:rsid w:val="00B160DB"/>
    <w:rsid w:val="00B16BD3"/>
    <w:rsid w:val="00B176F3"/>
    <w:rsid w:val="00B20836"/>
    <w:rsid w:val="00B209F4"/>
    <w:rsid w:val="00B21CE1"/>
    <w:rsid w:val="00B22354"/>
    <w:rsid w:val="00B22DA0"/>
    <w:rsid w:val="00B235BB"/>
    <w:rsid w:val="00B2474C"/>
    <w:rsid w:val="00B26218"/>
    <w:rsid w:val="00B269A4"/>
    <w:rsid w:val="00B27A44"/>
    <w:rsid w:val="00B30253"/>
    <w:rsid w:val="00B3087B"/>
    <w:rsid w:val="00B30BBF"/>
    <w:rsid w:val="00B30D1D"/>
    <w:rsid w:val="00B32BC1"/>
    <w:rsid w:val="00B32FB8"/>
    <w:rsid w:val="00B32FFB"/>
    <w:rsid w:val="00B33C03"/>
    <w:rsid w:val="00B34992"/>
    <w:rsid w:val="00B35122"/>
    <w:rsid w:val="00B35892"/>
    <w:rsid w:val="00B36965"/>
    <w:rsid w:val="00B36F4D"/>
    <w:rsid w:val="00B371B1"/>
    <w:rsid w:val="00B37273"/>
    <w:rsid w:val="00B37552"/>
    <w:rsid w:val="00B400F2"/>
    <w:rsid w:val="00B409E4"/>
    <w:rsid w:val="00B4143A"/>
    <w:rsid w:val="00B4145E"/>
    <w:rsid w:val="00B42611"/>
    <w:rsid w:val="00B42C26"/>
    <w:rsid w:val="00B448E6"/>
    <w:rsid w:val="00B44E56"/>
    <w:rsid w:val="00B44EA2"/>
    <w:rsid w:val="00B45B19"/>
    <w:rsid w:val="00B46543"/>
    <w:rsid w:val="00B47D33"/>
    <w:rsid w:val="00B47DCD"/>
    <w:rsid w:val="00B47F01"/>
    <w:rsid w:val="00B5148B"/>
    <w:rsid w:val="00B52BE0"/>
    <w:rsid w:val="00B53DB8"/>
    <w:rsid w:val="00B53E49"/>
    <w:rsid w:val="00B54133"/>
    <w:rsid w:val="00B54532"/>
    <w:rsid w:val="00B5467A"/>
    <w:rsid w:val="00B54743"/>
    <w:rsid w:val="00B5790C"/>
    <w:rsid w:val="00B61541"/>
    <w:rsid w:val="00B62AC6"/>
    <w:rsid w:val="00B62D32"/>
    <w:rsid w:val="00B637B9"/>
    <w:rsid w:val="00B6510E"/>
    <w:rsid w:val="00B66ACF"/>
    <w:rsid w:val="00B66C18"/>
    <w:rsid w:val="00B67B34"/>
    <w:rsid w:val="00B701ED"/>
    <w:rsid w:val="00B7139E"/>
    <w:rsid w:val="00B7146A"/>
    <w:rsid w:val="00B7193A"/>
    <w:rsid w:val="00B720E4"/>
    <w:rsid w:val="00B72194"/>
    <w:rsid w:val="00B7229C"/>
    <w:rsid w:val="00B72B1B"/>
    <w:rsid w:val="00B72DE1"/>
    <w:rsid w:val="00B73071"/>
    <w:rsid w:val="00B73AA2"/>
    <w:rsid w:val="00B7491B"/>
    <w:rsid w:val="00B77488"/>
    <w:rsid w:val="00B77D57"/>
    <w:rsid w:val="00B8086C"/>
    <w:rsid w:val="00B80A7E"/>
    <w:rsid w:val="00B81518"/>
    <w:rsid w:val="00B816FB"/>
    <w:rsid w:val="00B82031"/>
    <w:rsid w:val="00B83322"/>
    <w:rsid w:val="00B85DBC"/>
    <w:rsid w:val="00B861B4"/>
    <w:rsid w:val="00B86945"/>
    <w:rsid w:val="00B86DFE"/>
    <w:rsid w:val="00B904B8"/>
    <w:rsid w:val="00B90990"/>
    <w:rsid w:val="00B90C29"/>
    <w:rsid w:val="00B9126A"/>
    <w:rsid w:val="00B91883"/>
    <w:rsid w:val="00B91B9B"/>
    <w:rsid w:val="00B922FF"/>
    <w:rsid w:val="00B92491"/>
    <w:rsid w:val="00B9281E"/>
    <w:rsid w:val="00B938DE"/>
    <w:rsid w:val="00B93925"/>
    <w:rsid w:val="00B93B96"/>
    <w:rsid w:val="00B94E75"/>
    <w:rsid w:val="00B95187"/>
    <w:rsid w:val="00B961BD"/>
    <w:rsid w:val="00B964B5"/>
    <w:rsid w:val="00B972B6"/>
    <w:rsid w:val="00B9732F"/>
    <w:rsid w:val="00B97F41"/>
    <w:rsid w:val="00BA090D"/>
    <w:rsid w:val="00BA1F29"/>
    <w:rsid w:val="00BA28D1"/>
    <w:rsid w:val="00BA2D55"/>
    <w:rsid w:val="00BA49DB"/>
    <w:rsid w:val="00BA5899"/>
    <w:rsid w:val="00BA5DB7"/>
    <w:rsid w:val="00BA61DC"/>
    <w:rsid w:val="00BA71B1"/>
    <w:rsid w:val="00BA767C"/>
    <w:rsid w:val="00BB01A3"/>
    <w:rsid w:val="00BB0637"/>
    <w:rsid w:val="00BB1606"/>
    <w:rsid w:val="00BB1A46"/>
    <w:rsid w:val="00BB345F"/>
    <w:rsid w:val="00BB3D28"/>
    <w:rsid w:val="00BB5883"/>
    <w:rsid w:val="00BB59ED"/>
    <w:rsid w:val="00BB68EA"/>
    <w:rsid w:val="00BB6DDA"/>
    <w:rsid w:val="00BB76BE"/>
    <w:rsid w:val="00BC1B46"/>
    <w:rsid w:val="00BC1C27"/>
    <w:rsid w:val="00BC2556"/>
    <w:rsid w:val="00BC2B78"/>
    <w:rsid w:val="00BC2B97"/>
    <w:rsid w:val="00BC2C22"/>
    <w:rsid w:val="00BC36E9"/>
    <w:rsid w:val="00BC3EDB"/>
    <w:rsid w:val="00BC4562"/>
    <w:rsid w:val="00BC45C7"/>
    <w:rsid w:val="00BC5651"/>
    <w:rsid w:val="00BC5B22"/>
    <w:rsid w:val="00BC6BBF"/>
    <w:rsid w:val="00BC7B9C"/>
    <w:rsid w:val="00BD0A69"/>
    <w:rsid w:val="00BD1572"/>
    <w:rsid w:val="00BD1872"/>
    <w:rsid w:val="00BD2A32"/>
    <w:rsid w:val="00BD30A2"/>
    <w:rsid w:val="00BD4454"/>
    <w:rsid w:val="00BD5758"/>
    <w:rsid w:val="00BD6EA4"/>
    <w:rsid w:val="00BD7319"/>
    <w:rsid w:val="00BE0992"/>
    <w:rsid w:val="00BE14E3"/>
    <w:rsid w:val="00BE3244"/>
    <w:rsid w:val="00BE3774"/>
    <w:rsid w:val="00BE3A86"/>
    <w:rsid w:val="00BE3D62"/>
    <w:rsid w:val="00BE41E5"/>
    <w:rsid w:val="00BE590E"/>
    <w:rsid w:val="00BE7F6C"/>
    <w:rsid w:val="00BF0BBB"/>
    <w:rsid w:val="00BF0CFB"/>
    <w:rsid w:val="00BF0EEB"/>
    <w:rsid w:val="00BF113A"/>
    <w:rsid w:val="00BF154A"/>
    <w:rsid w:val="00BF2D29"/>
    <w:rsid w:val="00BF341B"/>
    <w:rsid w:val="00BF35B0"/>
    <w:rsid w:val="00BF3D42"/>
    <w:rsid w:val="00BF4109"/>
    <w:rsid w:val="00BF45F3"/>
    <w:rsid w:val="00BF4CC3"/>
    <w:rsid w:val="00BF62E4"/>
    <w:rsid w:val="00BF6819"/>
    <w:rsid w:val="00BF6BBF"/>
    <w:rsid w:val="00BF6CE0"/>
    <w:rsid w:val="00BF6EF7"/>
    <w:rsid w:val="00C0154F"/>
    <w:rsid w:val="00C03904"/>
    <w:rsid w:val="00C03A5F"/>
    <w:rsid w:val="00C03AB9"/>
    <w:rsid w:val="00C04295"/>
    <w:rsid w:val="00C054C7"/>
    <w:rsid w:val="00C057B5"/>
    <w:rsid w:val="00C060E7"/>
    <w:rsid w:val="00C06350"/>
    <w:rsid w:val="00C06749"/>
    <w:rsid w:val="00C06F2B"/>
    <w:rsid w:val="00C07B67"/>
    <w:rsid w:val="00C07ECD"/>
    <w:rsid w:val="00C10A5D"/>
    <w:rsid w:val="00C129DB"/>
    <w:rsid w:val="00C12FE2"/>
    <w:rsid w:val="00C156EC"/>
    <w:rsid w:val="00C1738A"/>
    <w:rsid w:val="00C178D5"/>
    <w:rsid w:val="00C2148F"/>
    <w:rsid w:val="00C21B86"/>
    <w:rsid w:val="00C22687"/>
    <w:rsid w:val="00C22D81"/>
    <w:rsid w:val="00C23D48"/>
    <w:rsid w:val="00C24775"/>
    <w:rsid w:val="00C257A3"/>
    <w:rsid w:val="00C263E6"/>
    <w:rsid w:val="00C26852"/>
    <w:rsid w:val="00C27F83"/>
    <w:rsid w:val="00C3093D"/>
    <w:rsid w:val="00C30F08"/>
    <w:rsid w:val="00C314D1"/>
    <w:rsid w:val="00C31F65"/>
    <w:rsid w:val="00C32B37"/>
    <w:rsid w:val="00C32E4D"/>
    <w:rsid w:val="00C333A0"/>
    <w:rsid w:val="00C333CE"/>
    <w:rsid w:val="00C34A8A"/>
    <w:rsid w:val="00C36A81"/>
    <w:rsid w:val="00C40C60"/>
    <w:rsid w:val="00C41974"/>
    <w:rsid w:val="00C41FE5"/>
    <w:rsid w:val="00C42361"/>
    <w:rsid w:val="00C42B63"/>
    <w:rsid w:val="00C44015"/>
    <w:rsid w:val="00C44367"/>
    <w:rsid w:val="00C447AD"/>
    <w:rsid w:val="00C467FD"/>
    <w:rsid w:val="00C46A3F"/>
    <w:rsid w:val="00C504F0"/>
    <w:rsid w:val="00C50772"/>
    <w:rsid w:val="00C51595"/>
    <w:rsid w:val="00C536F3"/>
    <w:rsid w:val="00C5371C"/>
    <w:rsid w:val="00C53F4A"/>
    <w:rsid w:val="00C53FF3"/>
    <w:rsid w:val="00C54125"/>
    <w:rsid w:val="00C553A3"/>
    <w:rsid w:val="00C55B54"/>
    <w:rsid w:val="00C56F31"/>
    <w:rsid w:val="00C57AC8"/>
    <w:rsid w:val="00C6098E"/>
    <w:rsid w:val="00C60B6C"/>
    <w:rsid w:val="00C60CF1"/>
    <w:rsid w:val="00C6152C"/>
    <w:rsid w:val="00C618AE"/>
    <w:rsid w:val="00C621C2"/>
    <w:rsid w:val="00C663E2"/>
    <w:rsid w:val="00C677AF"/>
    <w:rsid w:val="00C67D19"/>
    <w:rsid w:val="00C710E0"/>
    <w:rsid w:val="00C711D3"/>
    <w:rsid w:val="00C7182F"/>
    <w:rsid w:val="00C72565"/>
    <w:rsid w:val="00C74810"/>
    <w:rsid w:val="00C750FB"/>
    <w:rsid w:val="00C75858"/>
    <w:rsid w:val="00C75DF2"/>
    <w:rsid w:val="00C75F71"/>
    <w:rsid w:val="00C7716A"/>
    <w:rsid w:val="00C80B60"/>
    <w:rsid w:val="00C81915"/>
    <w:rsid w:val="00C8220F"/>
    <w:rsid w:val="00C8242B"/>
    <w:rsid w:val="00C8398B"/>
    <w:rsid w:val="00C86FC0"/>
    <w:rsid w:val="00C87123"/>
    <w:rsid w:val="00C904B9"/>
    <w:rsid w:val="00C90D68"/>
    <w:rsid w:val="00C91085"/>
    <w:rsid w:val="00C915FB"/>
    <w:rsid w:val="00C91A5D"/>
    <w:rsid w:val="00C93165"/>
    <w:rsid w:val="00C939FE"/>
    <w:rsid w:val="00C94063"/>
    <w:rsid w:val="00C94BBB"/>
    <w:rsid w:val="00C94DF9"/>
    <w:rsid w:val="00C96163"/>
    <w:rsid w:val="00C96BBA"/>
    <w:rsid w:val="00CA04A5"/>
    <w:rsid w:val="00CA16BF"/>
    <w:rsid w:val="00CA1931"/>
    <w:rsid w:val="00CA365F"/>
    <w:rsid w:val="00CA3823"/>
    <w:rsid w:val="00CA411C"/>
    <w:rsid w:val="00CA42FD"/>
    <w:rsid w:val="00CA4BDA"/>
    <w:rsid w:val="00CA4C92"/>
    <w:rsid w:val="00CA4ED1"/>
    <w:rsid w:val="00CA5F1B"/>
    <w:rsid w:val="00CA657A"/>
    <w:rsid w:val="00CA6F33"/>
    <w:rsid w:val="00CA7709"/>
    <w:rsid w:val="00CA7F6D"/>
    <w:rsid w:val="00CA7F74"/>
    <w:rsid w:val="00CB0534"/>
    <w:rsid w:val="00CB136E"/>
    <w:rsid w:val="00CB154E"/>
    <w:rsid w:val="00CB1F66"/>
    <w:rsid w:val="00CB2951"/>
    <w:rsid w:val="00CB68A7"/>
    <w:rsid w:val="00CB7A7B"/>
    <w:rsid w:val="00CC075D"/>
    <w:rsid w:val="00CC1E6B"/>
    <w:rsid w:val="00CC2635"/>
    <w:rsid w:val="00CC2661"/>
    <w:rsid w:val="00CC2DE7"/>
    <w:rsid w:val="00CC3001"/>
    <w:rsid w:val="00CC3BB3"/>
    <w:rsid w:val="00CC3F1A"/>
    <w:rsid w:val="00CC4743"/>
    <w:rsid w:val="00CC4D1E"/>
    <w:rsid w:val="00CC53BC"/>
    <w:rsid w:val="00CC55AD"/>
    <w:rsid w:val="00CC724D"/>
    <w:rsid w:val="00CC7CEF"/>
    <w:rsid w:val="00CD282B"/>
    <w:rsid w:val="00CD4C35"/>
    <w:rsid w:val="00CD4DD4"/>
    <w:rsid w:val="00CD4E04"/>
    <w:rsid w:val="00CD5BD1"/>
    <w:rsid w:val="00CD5ECF"/>
    <w:rsid w:val="00CD6319"/>
    <w:rsid w:val="00CD7369"/>
    <w:rsid w:val="00CE0B0E"/>
    <w:rsid w:val="00CE1A32"/>
    <w:rsid w:val="00CE2F1E"/>
    <w:rsid w:val="00CE3831"/>
    <w:rsid w:val="00CE407C"/>
    <w:rsid w:val="00CE73A5"/>
    <w:rsid w:val="00CE772A"/>
    <w:rsid w:val="00CF17CF"/>
    <w:rsid w:val="00CF3F26"/>
    <w:rsid w:val="00CF498B"/>
    <w:rsid w:val="00CF4FFF"/>
    <w:rsid w:val="00CF7145"/>
    <w:rsid w:val="00D00ABB"/>
    <w:rsid w:val="00D02EEC"/>
    <w:rsid w:val="00D03551"/>
    <w:rsid w:val="00D03A0D"/>
    <w:rsid w:val="00D03CE7"/>
    <w:rsid w:val="00D03E7F"/>
    <w:rsid w:val="00D04BCF"/>
    <w:rsid w:val="00D057DF"/>
    <w:rsid w:val="00D05843"/>
    <w:rsid w:val="00D05B8E"/>
    <w:rsid w:val="00D06A63"/>
    <w:rsid w:val="00D07E0E"/>
    <w:rsid w:val="00D10EAB"/>
    <w:rsid w:val="00D11478"/>
    <w:rsid w:val="00D11AB1"/>
    <w:rsid w:val="00D126E4"/>
    <w:rsid w:val="00D137E7"/>
    <w:rsid w:val="00D143EB"/>
    <w:rsid w:val="00D15DE4"/>
    <w:rsid w:val="00D15E11"/>
    <w:rsid w:val="00D15ED0"/>
    <w:rsid w:val="00D1664F"/>
    <w:rsid w:val="00D16992"/>
    <w:rsid w:val="00D16FA3"/>
    <w:rsid w:val="00D17248"/>
    <w:rsid w:val="00D20B25"/>
    <w:rsid w:val="00D214D2"/>
    <w:rsid w:val="00D21B3E"/>
    <w:rsid w:val="00D21FED"/>
    <w:rsid w:val="00D22F84"/>
    <w:rsid w:val="00D23F29"/>
    <w:rsid w:val="00D24251"/>
    <w:rsid w:val="00D2472E"/>
    <w:rsid w:val="00D24AFA"/>
    <w:rsid w:val="00D24EFA"/>
    <w:rsid w:val="00D255ED"/>
    <w:rsid w:val="00D2762B"/>
    <w:rsid w:val="00D30104"/>
    <w:rsid w:val="00D30CFF"/>
    <w:rsid w:val="00D315D8"/>
    <w:rsid w:val="00D3163F"/>
    <w:rsid w:val="00D343E2"/>
    <w:rsid w:val="00D3614D"/>
    <w:rsid w:val="00D361A2"/>
    <w:rsid w:val="00D36759"/>
    <w:rsid w:val="00D37670"/>
    <w:rsid w:val="00D40408"/>
    <w:rsid w:val="00D41D9D"/>
    <w:rsid w:val="00D43907"/>
    <w:rsid w:val="00D43AA6"/>
    <w:rsid w:val="00D43B91"/>
    <w:rsid w:val="00D445C4"/>
    <w:rsid w:val="00D44C2E"/>
    <w:rsid w:val="00D450DD"/>
    <w:rsid w:val="00D45414"/>
    <w:rsid w:val="00D45E37"/>
    <w:rsid w:val="00D46AE1"/>
    <w:rsid w:val="00D4728F"/>
    <w:rsid w:val="00D505EB"/>
    <w:rsid w:val="00D51F2C"/>
    <w:rsid w:val="00D531F7"/>
    <w:rsid w:val="00D53C0F"/>
    <w:rsid w:val="00D55C82"/>
    <w:rsid w:val="00D566BD"/>
    <w:rsid w:val="00D57A4D"/>
    <w:rsid w:val="00D601F8"/>
    <w:rsid w:val="00D60AA7"/>
    <w:rsid w:val="00D60D87"/>
    <w:rsid w:val="00D62552"/>
    <w:rsid w:val="00D63E32"/>
    <w:rsid w:val="00D6435F"/>
    <w:rsid w:val="00D66341"/>
    <w:rsid w:val="00D66EDF"/>
    <w:rsid w:val="00D702EA"/>
    <w:rsid w:val="00D70AA3"/>
    <w:rsid w:val="00D70B65"/>
    <w:rsid w:val="00D7200F"/>
    <w:rsid w:val="00D72D2D"/>
    <w:rsid w:val="00D72E2F"/>
    <w:rsid w:val="00D73D47"/>
    <w:rsid w:val="00D73D97"/>
    <w:rsid w:val="00D741CB"/>
    <w:rsid w:val="00D74244"/>
    <w:rsid w:val="00D74BF0"/>
    <w:rsid w:val="00D75561"/>
    <w:rsid w:val="00D75E28"/>
    <w:rsid w:val="00D767B0"/>
    <w:rsid w:val="00D76B5F"/>
    <w:rsid w:val="00D771E7"/>
    <w:rsid w:val="00D772C2"/>
    <w:rsid w:val="00D7764D"/>
    <w:rsid w:val="00D8008E"/>
    <w:rsid w:val="00D80C50"/>
    <w:rsid w:val="00D82C45"/>
    <w:rsid w:val="00D83218"/>
    <w:rsid w:val="00D835EA"/>
    <w:rsid w:val="00D863DB"/>
    <w:rsid w:val="00D86687"/>
    <w:rsid w:val="00D8752E"/>
    <w:rsid w:val="00D908A8"/>
    <w:rsid w:val="00D938F4"/>
    <w:rsid w:val="00D94ECE"/>
    <w:rsid w:val="00D958CD"/>
    <w:rsid w:val="00D959FC"/>
    <w:rsid w:val="00D977B6"/>
    <w:rsid w:val="00DA0A5B"/>
    <w:rsid w:val="00DA0D01"/>
    <w:rsid w:val="00DA1882"/>
    <w:rsid w:val="00DA450F"/>
    <w:rsid w:val="00DA4924"/>
    <w:rsid w:val="00DA4A31"/>
    <w:rsid w:val="00DA4BA8"/>
    <w:rsid w:val="00DA5155"/>
    <w:rsid w:val="00DA5791"/>
    <w:rsid w:val="00DA61F2"/>
    <w:rsid w:val="00DA6993"/>
    <w:rsid w:val="00DA6CE3"/>
    <w:rsid w:val="00DA7570"/>
    <w:rsid w:val="00DA78F9"/>
    <w:rsid w:val="00DA7B04"/>
    <w:rsid w:val="00DA7CDB"/>
    <w:rsid w:val="00DB00A9"/>
    <w:rsid w:val="00DB0515"/>
    <w:rsid w:val="00DB0F66"/>
    <w:rsid w:val="00DB1D73"/>
    <w:rsid w:val="00DB36C2"/>
    <w:rsid w:val="00DB3B3F"/>
    <w:rsid w:val="00DB3C54"/>
    <w:rsid w:val="00DB4A36"/>
    <w:rsid w:val="00DB4E14"/>
    <w:rsid w:val="00DB5ECA"/>
    <w:rsid w:val="00DB6A5B"/>
    <w:rsid w:val="00DB7196"/>
    <w:rsid w:val="00DB729A"/>
    <w:rsid w:val="00DB7E36"/>
    <w:rsid w:val="00DC09D0"/>
    <w:rsid w:val="00DC12C0"/>
    <w:rsid w:val="00DC14B0"/>
    <w:rsid w:val="00DC169B"/>
    <w:rsid w:val="00DC2675"/>
    <w:rsid w:val="00DC2AB9"/>
    <w:rsid w:val="00DC5F27"/>
    <w:rsid w:val="00DC63F0"/>
    <w:rsid w:val="00DC6B1C"/>
    <w:rsid w:val="00DC6B8E"/>
    <w:rsid w:val="00DC7D91"/>
    <w:rsid w:val="00DD076A"/>
    <w:rsid w:val="00DD0969"/>
    <w:rsid w:val="00DD2EF3"/>
    <w:rsid w:val="00DD398E"/>
    <w:rsid w:val="00DD3B7A"/>
    <w:rsid w:val="00DD52B6"/>
    <w:rsid w:val="00DD52BC"/>
    <w:rsid w:val="00DD68BB"/>
    <w:rsid w:val="00DD6EE5"/>
    <w:rsid w:val="00DD79A8"/>
    <w:rsid w:val="00DE0F04"/>
    <w:rsid w:val="00DE1044"/>
    <w:rsid w:val="00DE1B8E"/>
    <w:rsid w:val="00DE2DBE"/>
    <w:rsid w:val="00DE318D"/>
    <w:rsid w:val="00DE386C"/>
    <w:rsid w:val="00DE3AD1"/>
    <w:rsid w:val="00DE4D35"/>
    <w:rsid w:val="00DE526F"/>
    <w:rsid w:val="00DE65BA"/>
    <w:rsid w:val="00DE66B6"/>
    <w:rsid w:val="00DE6D5E"/>
    <w:rsid w:val="00DF0079"/>
    <w:rsid w:val="00DF0549"/>
    <w:rsid w:val="00DF098B"/>
    <w:rsid w:val="00DF0FFE"/>
    <w:rsid w:val="00DF11C4"/>
    <w:rsid w:val="00DF1268"/>
    <w:rsid w:val="00DF1BD9"/>
    <w:rsid w:val="00DF1DEE"/>
    <w:rsid w:val="00DF210C"/>
    <w:rsid w:val="00DF2306"/>
    <w:rsid w:val="00DF2C32"/>
    <w:rsid w:val="00DF4B6A"/>
    <w:rsid w:val="00DF4BC9"/>
    <w:rsid w:val="00DF54B8"/>
    <w:rsid w:val="00DF6240"/>
    <w:rsid w:val="00DF695C"/>
    <w:rsid w:val="00DF7A64"/>
    <w:rsid w:val="00E00C49"/>
    <w:rsid w:val="00E00CBA"/>
    <w:rsid w:val="00E0202A"/>
    <w:rsid w:val="00E02C09"/>
    <w:rsid w:val="00E032C3"/>
    <w:rsid w:val="00E03560"/>
    <w:rsid w:val="00E039A6"/>
    <w:rsid w:val="00E04C7E"/>
    <w:rsid w:val="00E04D59"/>
    <w:rsid w:val="00E0518D"/>
    <w:rsid w:val="00E07DA1"/>
    <w:rsid w:val="00E11543"/>
    <w:rsid w:val="00E118EF"/>
    <w:rsid w:val="00E123CB"/>
    <w:rsid w:val="00E1241F"/>
    <w:rsid w:val="00E12481"/>
    <w:rsid w:val="00E124C0"/>
    <w:rsid w:val="00E14D1C"/>
    <w:rsid w:val="00E14E96"/>
    <w:rsid w:val="00E14F79"/>
    <w:rsid w:val="00E1557C"/>
    <w:rsid w:val="00E15FC3"/>
    <w:rsid w:val="00E17235"/>
    <w:rsid w:val="00E1736B"/>
    <w:rsid w:val="00E176C5"/>
    <w:rsid w:val="00E2098E"/>
    <w:rsid w:val="00E20E13"/>
    <w:rsid w:val="00E21890"/>
    <w:rsid w:val="00E21974"/>
    <w:rsid w:val="00E21DBC"/>
    <w:rsid w:val="00E23313"/>
    <w:rsid w:val="00E244AA"/>
    <w:rsid w:val="00E2470D"/>
    <w:rsid w:val="00E2548D"/>
    <w:rsid w:val="00E2607B"/>
    <w:rsid w:val="00E263E5"/>
    <w:rsid w:val="00E26543"/>
    <w:rsid w:val="00E275D7"/>
    <w:rsid w:val="00E27DBE"/>
    <w:rsid w:val="00E30A05"/>
    <w:rsid w:val="00E31113"/>
    <w:rsid w:val="00E313E0"/>
    <w:rsid w:val="00E31483"/>
    <w:rsid w:val="00E317D8"/>
    <w:rsid w:val="00E31AA1"/>
    <w:rsid w:val="00E32AB1"/>
    <w:rsid w:val="00E32DD3"/>
    <w:rsid w:val="00E33BFD"/>
    <w:rsid w:val="00E3469A"/>
    <w:rsid w:val="00E349BF"/>
    <w:rsid w:val="00E34F0E"/>
    <w:rsid w:val="00E35DCE"/>
    <w:rsid w:val="00E364D2"/>
    <w:rsid w:val="00E36B92"/>
    <w:rsid w:val="00E36C71"/>
    <w:rsid w:val="00E37115"/>
    <w:rsid w:val="00E372A3"/>
    <w:rsid w:val="00E37C42"/>
    <w:rsid w:val="00E40065"/>
    <w:rsid w:val="00E40404"/>
    <w:rsid w:val="00E40F8B"/>
    <w:rsid w:val="00E4133A"/>
    <w:rsid w:val="00E420C0"/>
    <w:rsid w:val="00E44700"/>
    <w:rsid w:val="00E44852"/>
    <w:rsid w:val="00E448FF"/>
    <w:rsid w:val="00E459C6"/>
    <w:rsid w:val="00E46930"/>
    <w:rsid w:val="00E46B3B"/>
    <w:rsid w:val="00E47589"/>
    <w:rsid w:val="00E47CD3"/>
    <w:rsid w:val="00E47D13"/>
    <w:rsid w:val="00E509F0"/>
    <w:rsid w:val="00E51015"/>
    <w:rsid w:val="00E53105"/>
    <w:rsid w:val="00E5492A"/>
    <w:rsid w:val="00E5692B"/>
    <w:rsid w:val="00E61CBF"/>
    <w:rsid w:val="00E6280A"/>
    <w:rsid w:val="00E639BF"/>
    <w:rsid w:val="00E641CF"/>
    <w:rsid w:val="00E64915"/>
    <w:rsid w:val="00E65E23"/>
    <w:rsid w:val="00E661D4"/>
    <w:rsid w:val="00E66531"/>
    <w:rsid w:val="00E669E7"/>
    <w:rsid w:val="00E67228"/>
    <w:rsid w:val="00E70091"/>
    <w:rsid w:val="00E700FA"/>
    <w:rsid w:val="00E71E07"/>
    <w:rsid w:val="00E720F5"/>
    <w:rsid w:val="00E72839"/>
    <w:rsid w:val="00E7296B"/>
    <w:rsid w:val="00E7369B"/>
    <w:rsid w:val="00E73AA8"/>
    <w:rsid w:val="00E74B4C"/>
    <w:rsid w:val="00E76781"/>
    <w:rsid w:val="00E769E2"/>
    <w:rsid w:val="00E76D47"/>
    <w:rsid w:val="00E7734B"/>
    <w:rsid w:val="00E77C46"/>
    <w:rsid w:val="00E80970"/>
    <w:rsid w:val="00E80D6D"/>
    <w:rsid w:val="00E810A3"/>
    <w:rsid w:val="00E831EF"/>
    <w:rsid w:val="00E8364A"/>
    <w:rsid w:val="00E849F7"/>
    <w:rsid w:val="00E85124"/>
    <w:rsid w:val="00E858DC"/>
    <w:rsid w:val="00E8642E"/>
    <w:rsid w:val="00E86BA2"/>
    <w:rsid w:val="00E90302"/>
    <w:rsid w:val="00E903EF"/>
    <w:rsid w:val="00E92912"/>
    <w:rsid w:val="00E92F0E"/>
    <w:rsid w:val="00E944AE"/>
    <w:rsid w:val="00E9597F"/>
    <w:rsid w:val="00E96E39"/>
    <w:rsid w:val="00E97396"/>
    <w:rsid w:val="00E97650"/>
    <w:rsid w:val="00EA185E"/>
    <w:rsid w:val="00EA25D2"/>
    <w:rsid w:val="00EA27AF"/>
    <w:rsid w:val="00EA3676"/>
    <w:rsid w:val="00EA4498"/>
    <w:rsid w:val="00EA49C0"/>
    <w:rsid w:val="00EA5228"/>
    <w:rsid w:val="00EA592A"/>
    <w:rsid w:val="00EA5AC1"/>
    <w:rsid w:val="00EA737F"/>
    <w:rsid w:val="00EA7B8D"/>
    <w:rsid w:val="00EB0BFD"/>
    <w:rsid w:val="00EB0DFF"/>
    <w:rsid w:val="00EB14E4"/>
    <w:rsid w:val="00EB1826"/>
    <w:rsid w:val="00EB32A5"/>
    <w:rsid w:val="00EB34ED"/>
    <w:rsid w:val="00EB4B28"/>
    <w:rsid w:val="00EB4CDF"/>
    <w:rsid w:val="00EB5DFF"/>
    <w:rsid w:val="00EB60B0"/>
    <w:rsid w:val="00EB675D"/>
    <w:rsid w:val="00EB6BF7"/>
    <w:rsid w:val="00EB6D81"/>
    <w:rsid w:val="00EB7395"/>
    <w:rsid w:val="00EB7BE0"/>
    <w:rsid w:val="00EC1E0B"/>
    <w:rsid w:val="00EC315E"/>
    <w:rsid w:val="00EC33FC"/>
    <w:rsid w:val="00EC390A"/>
    <w:rsid w:val="00EC3B28"/>
    <w:rsid w:val="00EC3C3C"/>
    <w:rsid w:val="00EC40BD"/>
    <w:rsid w:val="00EC45F8"/>
    <w:rsid w:val="00EC4A1B"/>
    <w:rsid w:val="00EC779F"/>
    <w:rsid w:val="00EC7DEF"/>
    <w:rsid w:val="00ED077C"/>
    <w:rsid w:val="00ED1190"/>
    <w:rsid w:val="00ED1F14"/>
    <w:rsid w:val="00ED3983"/>
    <w:rsid w:val="00ED3ED8"/>
    <w:rsid w:val="00ED481D"/>
    <w:rsid w:val="00ED4F58"/>
    <w:rsid w:val="00ED5328"/>
    <w:rsid w:val="00ED57C7"/>
    <w:rsid w:val="00ED5CA5"/>
    <w:rsid w:val="00ED5D74"/>
    <w:rsid w:val="00ED5F63"/>
    <w:rsid w:val="00ED6544"/>
    <w:rsid w:val="00EE0277"/>
    <w:rsid w:val="00EE10FB"/>
    <w:rsid w:val="00EE1B6E"/>
    <w:rsid w:val="00EE1DA9"/>
    <w:rsid w:val="00EE2138"/>
    <w:rsid w:val="00EE22EA"/>
    <w:rsid w:val="00EE376B"/>
    <w:rsid w:val="00EE3E00"/>
    <w:rsid w:val="00EE3EDB"/>
    <w:rsid w:val="00EE5B21"/>
    <w:rsid w:val="00EE5DD2"/>
    <w:rsid w:val="00EE6485"/>
    <w:rsid w:val="00EE64CB"/>
    <w:rsid w:val="00EE75FB"/>
    <w:rsid w:val="00EF0073"/>
    <w:rsid w:val="00EF1318"/>
    <w:rsid w:val="00EF41F1"/>
    <w:rsid w:val="00EF4A1F"/>
    <w:rsid w:val="00EF4B0C"/>
    <w:rsid w:val="00EF4C68"/>
    <w:rsid w:val="00EF4F08"/>
    <w:rsid w:val="00EF5472"/>
    <w:rsid w:val="00EF573B"/>
    <w:rsid w:val="00EF5BF2"/>
    <w:rsid w:val="00EF5ED9"/>
    <w:rsid w:val="00EF6C40"/>
    <w:rsid w:val="00F00932"/>
    <w:rsid w:val="00F00A79"/>
    <w:rsid w:val="00F00E86"/>
    <w:rsid w:val="00F00F8B"/>
    <w:rsid w:val="00F01B7D"/>
    <w:rsid w:val="00F01E70"/>
    <w:rsid w:val="00F034E6"/>
    <w:rsid w:val="00F0395C"/>
    <w:rsid w:val="00F07C1E"/>
    <w:rsid w:val="00F10554"/>
    <w:rsid w:val="00F105DB"/>
    <w:rsid w:val="00F11E9A"/>
    <w:rsid w:val="00F1208B"/>
    <w:rsid w:val="00F128DA"/>
    <w:rsid w:val="00F132BC"/>
    <w:rsid w:val="00F13D80"/>
    <w:rsid w:val="00F147DF"/>
    <w:rsid w:val="00F15055"/>
    <w:rsid w:val="00F15105"/>
    <w:rsid w:val="00F15160"/>
    <w:rsid w:val="00F166FF"/>
    <w:rsid w:val="00F168EC"/>
    <w:rsid w:val="00F16AAA"/>
    <w:rsid w:val="00F1748F"/>
    <w:rsid w:val="00F205C0"/>
    <w:rsid w:val="00F21161"/>
    <w:rsid w:val="00F218EF"/>
    <w:rsid w:val="00F21BC7"/>
    <w:rsid w:val="00F2305D"/>
    <w:rsid w:val="00F23B94"/>
    <w:rsid w:val="00F24B98"/>
    <w:rsid w:val="00F25027"/>
    <w:rsid w:val="00F25633"/>
    <w:rsid w:val="00F266A2"/>
    <w:rsid w:val="00F2703C"/>
    <w:rsid w:val="00F27BA4"/>
    <w:rsid w:val="00F27CD9"/>
    <w:rsid w:val="00F309BB"/>
    <w:rsid w:val="00F30F99"/>
    <w:rsid w:val="00F32269"/>
    <w:rsid w:val="00F33B55"/>
    <w:rsid w:val="00F34448"/>
    <w:rsid w:val="00F351BF"/>
    <w:rsid w:val="00F36D0F"/>
    <w:rsid w:val="00F372C5"/>
    <w:rsid w:val="00F37508"/>
    <w:rsid w:val="00F375BE"/>
    <w:rsid w:val="00F41715"/>
    <w:rsid w:val="00F422B3"/>
    <w:rsid w:val="00F4369B"/>
    <w:rsid w:val="00F438A1"/>
    <w:rsid w:val="00F4457E"/>
    <w:rsid w:val="00F45F64"/>
    <w:rsid w:val="00F460EC"/>
    <w:rsid w:val="00F47287"/>
    <w:rsid w:val="00F51351"/>
    <w:rsid w:val="00F54190"/>
    <w:rsid w:val="00F5497E"/>
    <w:rsid w:val="00F55625"/>
    <w:rsid w:val="00F56A6F"/>
    <w:rsid w:val="00F5709C"/>
    <w:rsid w:val="00F60305"/>
    <w:rsid w:val="00F61C44"/>
    <w:rsid w:val="00F62100"/>
    <w:rsid w:val="00F645A8"/>
    <w:rsid w:val="00F64EF1"/>
    <w:rsid w:val="00F65A13"/>
    <w:rsid w:val="00F6638B"/>
    <w:rsid w:val="00F66756"/>
    <w:rsid w:val="00F702D6"/>
    <w:rsid w:val="00F709E1"/>
    <w:rsid w:val="00F70D26"/>
    <w:rsid w:val="00F70FE7"/>
    <w:rsid w:val="00F74110"/>
    <w:rsid w:val="00F760E1"/>
    <w:rsid w:val="00F76980"/>
    <w:rsid w:val="00F80AA7"/>
    <w:rsid w:val="00F80F22"/>
    <w:rsid w:val="00F818CA"/>
    <w:rsid w:val="00F81B0B"/>
    <w:rsid w:val="00F82035"/>
    <w:rsid w:val="00F8246A"/>
    <w:rsid w:val="00F84ADA"/>
    <w:rsid w:val="00F84FF6"/>
    <w:rsid w:val="00F8570E"/>
    <w:rsid w:val="00F85910"/>
    <w:rsid w:val="00F86070"/>
    <w:rsid w:val="00F861AE"/>
    <w:rsid w:val="00F86F12"/>
    <w:rsid w:val="00F8765F"/>
    <w:rsid w:val="00F90165"/>
    <w:rsid w:val="00F90534"/>
    <w:rsid w:val="00F90767"/>
    <w:rsid w:val="00F928AC"/>
    <w:rsid w:val="00F92A4B"/>
    <w:rsid w:val="00F93BD3"/>
    <w:rsid w:val="00F940D6"/>
    <w:rsid w:val="00F9609D"/>
    <w:rsid w:val="00F9631D"/>
    <w:rsid w:val="00F96D92"/>
    <w:rsid w:val="00FA0985"/>
    <w:rsid w:val="00FA0B2B"/>
    <w:rsid w:val="00FA1371"/>
    <w:rsid w:val="00FA17FB"/>
    <w:rsid w:val="00FA18CE"/>
    <w:rsid w:val="00FA1936"/>
    <w:rsid w:val="00FA2122"/>
    <w:rsid w:val="00FA3080"/>
    <w:rsid w:val="00FA5165"/>
    <w:rsid w:val="00FA5BBD"/>
    <w:rsid w:val="00FA685B"/>
    <w:rsid w:val="00FB0C01"/>
    <w:rsid w:val="00FB178A"/>
    <w:rsid w:val="00FB1AA0"/>
    <w:rsid w:val="00FB1D72"/>
    <w:rsid w:val="00FB25CD"/>
    <w:rsid w:val="00FB3450"/>
    <w:rsid w:val="00FB4690"/>
    <w:rsid w:val="00FB5431"/>
    <w:rsid w:val="00FB5469"/>
    <w:rsid w:val="00FB79A9"/>
    <w:rsid w:val="00FC02BB"/>
    <w:rsid w:val="00FC0C24"/>
    <w:rsid w:val="00FC0CCF"/>
    <w:rsid w:val="00FC1296"/>
    <w:rsid w:val="00FC13EA"/>
    <w:rsid w:val="00FC1608"/>
    <w:rsid w:val="00FC16F6"/>
    <w:rsid w:val="00FC18F2"/>
    <w:rsid w:val="00FC201C"/>
    <w:rsid w:val="00FC2060"/>
    <w:rsid w:val="00FC39E5"/>
    <w:rsid w:val="00FC3A78"/>
    <w:rsid w:val="00FC3BCC"/>
    <w:rsid w:val="00FC4682"/>
    <w:rsid w:val="00FC5FFE"/>
    <w:rsid w:val="00FC7E84"/>
    <w:rsid w:val="00FD0CDD"/>
    <w:rsid w:val="00FD1005"/>
    <w:rsid w:val="00FD1A32"/>
    <w:rsid w:val="00FD3180"/>
    <w:rsid w:val="00FD3503"/>
    <w:rsid w:val="00FD401C"/>
    <w:rsid w:val="00FD481D"/>
    <w:rsid w:val="00FD55F1"/>
    <w:rsid w:val="00FD5B94"/>
    <w:rsid w:val="00FD5CA1"/>
    <w:rsid w:val="00FD6C75"/>
    <w:rsid w:val="00FE0BB8"/>
    <w:rsid w:val="00FE18BF"/>
    <w:rsid w:val="00FE1C5D"/>
    <w:rsid w:val="00FE1DB9"/>
    <w:rsid w:val="00FE42F4"/>
    <w:rsid w:val="00FE4775"/>
    <w:rsid w:val="00FE4D0C"/>
    <w:rsid w:val="00FE5DC7"/>
    <w:rsid w:val="00FE6BB0"/>
    <w:rsid w:val="00FE71B3"/>
    <w:rsid w:val="00FF054F"/>
    <w:rsid w:val="00FF0C2A"/>
    <w:rsid w:val="00FF1385"/>
    <w:rsid w:val="00FF1432"/>
    <w:rsid w:val="00FF28F7"/>
    <w:rsid w:val="00FF2AC9"/>
    <w:rsid w:val="00FF38A0"/>
    <w:rsid w:val="00FF42C5"/>
    <w:rsid w:val="00FF4368"/>
    <w:rsid w:val="00FF47E5"/>
    <w:rsid w:val="00FF606C"/>
    <w:rsid w:val="00FF63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AEE2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DB7E36"/>
    <w:pPr>
      <w:jc w:val="both"/>
    </w:pPr>
    <w:rPr>
      <w:rFonts w:eastAsiaTheme="minorEastAsia"/>
      <w:sz w:val="24"/>
    </w:rPr>
  </w:style>
  <w:style w:type="paragraph" w:styleId="Nagwek1">
    <w:name w:val="heading 1"/>
    <w:basedOn w:val="Normalny"/>
    <w:next w:val="Normalny"/>
    <w:link w:val="Nagwek1Znak"/>
    <w:uiPriority w:val="99"/>
    <w:semiHidden/>
    <w:rsid w:val="00DB7E3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B7E3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B7E3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B7E3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B7E3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B7E3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B7E3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B7E3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B7E3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B7E36"/>
    <w:rPr>
      <w:rFonts w:ascii="Tahoma" w:hAnsi="Tahoma" w:cs="Tahoma"/>
      <w:sz w:val="16"/>
      <w:szCs w:val="16"/>
    </w:rPr>
  </w:style>
  <w:style w:type="character" w:customStyle="1" w:styleId="TekstdymkaZnak">
    <w:name w:val="Tekst dymka Znak"/>
    <w:basedOn w:val="Domylnaczcionkaakapitu"/>
    <w:link w:val="Tekstdymka"/>
    <w:uiPriority w:val="99"/>
    <w:semiHidden/>
    <w:rsid w:val="00DB7E36"/>
    <w:rPr>
      <w:rFonts w:ascii="Tahoma" w:eastAsiaTheme="minorEastAsia" w:hAnsi="Tahoma" w:cs="Tahoma"/>
      <w:sz w:val="16"/>
      <w:szCs w:val="16"/>
      <w:lang w:val="pl-PL"/>
    </w:rPr>
  </w:style>
  <w:style w:type="character" w:styleId="Tytuksiki">
    <w:name w:val="Book Title"/>
    <w:uiPriority w:val="99"/>
    <w:semiHidden/>
    <w:qFormat/>
    <w:rsid w:val="00DB7E36"/>
    <w:rPr>
      <w:i/>
      <w:iCs/>
      <w:smallCaps/>
      <w:spacing w:val="5"/>
    </w:rPr>
  </w:style>
  <w:style w:type="paragraph" w:customStyle="1" w:styleId="ECHRHeader">
    <w:name w:val="ECHR_Header"/>
    <w:aliases w:val="Ju_Header"/>
    <w:basedOn w:val="Nagwek"/>
    <w:uiPriority w:val="4"/>
    <w:qFormat/>
    <w:rsid w:val="00DB7E3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B7E36"/>
    <w:pPr>
      <w:jc w:val="left"/>
    </w:pPr>
    <w:rPr>
      <w:sz w:val="8"/>
    </w:rPr>
  </w:style>
  <w:style w:type="character" w:styleId="Pogrubienie">
    <w:name w:val="Strong"/>
    <w:uiPriority w:val="99"/>
    <w:semiHidden/>
    <w:qFormat/>
    <w:rsid w:val="00DB7E36"/>
    <w:rPr>
      <w:b/>
      <w:bCs/>
    </w:rPr>
  </w:style>
  <w:style w:type="paragraph" w:styleId="Bezodstpw">
    <w:name w:val="No Spacing"/>
    <w:basedOn w:val="Normalny"/>
    <w:link w:val="BezodstpwZnak"/>
    <w:semiHidden/>
    <w:qFormat/>
    <w:rsid w:val="00DB7E36"/>
    <w:rPr>
      <w:sz w:val="22"/>
    </w:rPr>
  </w:style>
  <w:style w:type="character" w:customStyle="1" w:styleId="BezodstpwZnak">
    <w:name w:val="Bez odstępów Znak"/>
    <w:basedOn w:val="Domylnaczcionkaakapitu"/>
    <w:link w:val="Bezodstpw"/>
    <w:semiHidden/>
    <w:rsid w:val="00DB7E36"/>
    <w:rPr>
      <w:rFonts w:eastAsiaTheme="minorEastAsia"/>
    </w:rPr>
  </w:style>
  <w:style w:type="paragraph" w:customStyle="1" w:styleId="ECHRFooterLine">
    <w:name w:val="ECHR_Footer_Line"/>
    <w:aliases w:val="Footer_Line"/>
    <w:basedOn w:val="Normalny"/>
    <w:next w:val="ECHRFooter"/>
    <w:uiPriority w:val="57"/>
    <w:semiHidden/>
    <w:rsid w:val="00DB7E3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B7E36"/>
  </w:style>
  <w:style w:type="paragraph" w:customStyle="1" w:styleId="DecList">
    <w:name w:val="Dec_List"/>
    <w:basedOn w:val="Normalny"/>
    <w:uiPriority w:val="9"/>
    <w:semiHidden/>
    <w:qFormat/>
    <w:rsid w:val="00DB7E36"/>
    <w:pPr>
      <w:spacing w:before="240"/>
      <w:ind w:left="284"/>
    </w:pPr>
  </w:style>
  <w:style w:type="paragraph" w:customStyle="1" w:styleId="DummyStyle">
    <w:name w:val="Dummy_Style"/>
    <w:basedOn w:val="Normalny"/>
    <w:semiHidden/>
    <w:qFormat/>
    <w:rsid w:val="00DB7E36"/>
    <w:rPr>
      <w:color w:val="00B050"/>
    </w:rPr>
  </w:style>
  <w:style w:type="paragraph" w:customStyle="1" w:styleId="ECHRTitleCentre3">
    <w:name w:val="ECHR_Title_Centre_3"/>
    <w:aliases w:val="Ju_H_Article"/>
    <w:basedOn w:val="Normalny"/>
    <w:next w:val="ECHRParaQuote"/>
    <w:uiPriority w:val="27"/>
    <w:qFormat/>
    <w:rsid w:val="00DB7E3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B7E3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B7E36"/>
    <w:pPr>
      <w:numPr>
        <w:numId w:val="20"/>
      </w:numPr>
      <w:jc w:val="left"/>
    </w:pPr>
    <w:rPr>
      <w:b/>
    </w:rPr>
  </w:style>
  <w:style w:type="paragraph" w:customStyle="1" w:styleId="JuCourt">
    <w:name w:val="Ju_Court"/>
    <w:basedOn w:val="Normalny"/>
    <w:next w:val="Normalny"/>
    <w:uiPriority w:val="16"/>
    <w:qFormat/>
    <w:rsid w:val="00DB7E3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B7E36"/>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DB7E36"/>
    <w:pPr>
      <w:spacing w:after="240"/>
      <w:jc w:val="center"/>
      <w:outlineLvl w:val="0"/>
    </w:pPr>
    <w:rPr>
      <w:rFonts w:asciiTheme="majorHAnsi" w:hAnsiTheme="majorHAnsi"/>
    </w:rPr>
  </w:style>
  <w:style w:type="paragraph" w:customStyle="1" w:styleId="JuInitialled">
    <w:name w:val="Ju_Initialled"/>
    <w:basedOn w:val="Normalny"/>
    <w:uiPriority w:val="31"/>
    <w:qFormat/>
    <w:rsid w:val="00DB7E36"/>
    <w:pPr>
      <w:tabs>
        <w:tab w:val="center" w:pos="6407"/>
      </w:tabs>
      <w:spacing w:before="720"/>
      <w:jc w:val="right"/>
    </w:pPr>
  </w:style>
  <w:style w:type="paragraph" w:styleId="Tytu">
    <w:name w:val="Title"/>
    <w:basedOn w:val="Normalny"/>
    <w:next w:val="Normalny"/>
    <w:link w:val="TytuZnak"/>
    <w:uiPriority w:val="99"/>
    <w:semiHidden/>
    <w:qFormat/>
    <w:rsid w:val="00DB7E3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B7E3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B7E3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B7E3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B7E3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B7E3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DB7E36"/>
    <w:pPr>
      <w:keepNext/>
      <w:keepLines/>
      <w:spacing w:before="240" w:after="120"/>
      <w:ind w:left="1236"/>
    </w:pPr>
    <w:rPr>
      <w:sz w:val="20"/>
    </w:rPr>
  </w:style>
  <w:style w:type="character" w:customStyle="1" w:styleId="JuITMark">
    <w:name w:val="Ju_ITMark"/>
    <w:basedOn w:val="Domylnaczcionkaakapitu"/>
    <w:uiPriority w:val="38"/>
    <w:qFormat/>
    <w:rsid w:val="00DB7E36"/>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DB7E36"/>
    <w:rPr>
      <w:caps w:val="0"/>
      <w:smallCaps/>
    </w:rPr>
  </w:style>
  <w:style w:type="paragraph" w:customStyle="1" w:styleId="JuParaSub">
    <w:name w:val="Ju_Para_Sub"/>
    <w:basedOn w:val="ECHRPara"/>
    <w:uiPriority w:val="13"/>
    <w:qFormat/>
    <w:rsid w:val="00DB7E36"/>
    <w:pPr>
      <w:ind w:left="284"/>
    </w:pPr>
  </w:style>
  <w:style w:type="paragraph" w:styleId="Nagwek">
    <w:name w:val="header"/>
    <w:basedOn w:val="Normalny"/>
    <w:link w:val="NagwekZnak"/>
    <w:uiPriority w:val="57"/>
    <w:semiHidden/>
    <w:rsid w:val="00DB7E3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B7E36"/>
    <w:rPr>
      <w:sz w:val="24"/>
      <w:lang w:val="pl-PL"/>
    </w:rPr>
  </w:style>
  <w:style w:type="character" w:customStyle="1" w:styleId="Nagwek1Znak">
    <w:name w:val="Nagłówek 1 Znak"/>
    <w:basedOn w:val="Domylnaczcionkaakapitu"/>
    <w:link w:val="Nagwek1"/>
    <w:uiPriority w:val="99"/>
    <w:semiHidden/>
    <w:rsid w:val="00DB7E36"/>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DB7E3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B7E3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B7E36"/>
    <w:rPr>
      <w:rFonts w:asciiTheme="majorHAnsi" w:eastAsiaTheme="majorEastAsia" w:hAnsiTheme="majorHAnsi" w:cstheme="majorBidi"/>
      <w:b/>
      <w:bCs/>
      <w:color w:val="4D4D4D"/>
      <w:sz w:val="26"/>
      <w:szCs w:val="26"/>
      <w:lang w:val="pl-PL"/>
    </w:rPr>
  </w:style>
  <w:style w:type="paragraph" w:customStyle="1" w:styleId="JuQuotSub">
    <w:name w:val="Ju_Quot_Sub"/>
    <w:basedOn w:val="ECHRParaQuote"/>
    <w:uiPriority w:val="15"/>
    <w:qFormat/>
    <w:rsid w:val="00DB7E36"/>
    <w:pPr>
      <w:ind w:left="567"/>
    </w:pPr>
  </w:style>
  <w:style w:type="paragraph" w:customStyle="1" w:styleId="JuCase">
    <w:name w:val="Ju_Case"/>
    <w:basedOn w:val="Normalny"/>
    <w:next w:val="ECHRPara"/>
    <w:uiPriority w:val="10"/>
    <w:rsid w:val="00DB7E36"/>
    <w:pPr>
      <w:ind w:firstLine="284"/>
    </w:pPr>
    <w:rPr>
      <w:b/>
    </w:rPr>
  </w:style>
  <w:style w:type="character" w:customStyle="1" w:styleId="Nagwek3Znak">
    <w:name w:val="Nagłówek 3 Znak"/>
    <w:basedOn w:val="Domylnaczcionkaakapitu"/>
    <w:link w:val="Nagwek3"/>
    <w:uiPriority w:val="99"/>
    <w:semiHidden/>
    <w:rsid w:val="00DB7E36"/>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DB7E36"/>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DB7E36"/>
    <w:rPr>
      <w:rFonts w:asciiTheme="majorHAnsi" w:eastAsiaTheme="majorEastAsia" w:hAnsiTheme="majorHAnsi" w:cstheme="majorBidi"/>
      <w:b/>
      <w:bCs/>
      <w:color w:val="808080"/>
    </w:rPr>
  </w:style>
  <w:style w:type="character" w:styleId="Wyrnieniedelikatne">
    <w:name w:val="Subtle Emphasis"/>
    <w:uiPriority w:val="99"/>
    <w:semiHidden/>
    <w:qFormat/>
    <w:rsid w:val="00DB7E36"/>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B7E36"/>
    <w:pPr>
      <w:keepNext/>
      <w:keepLines/>
      <w:spacing w:before="720" w:after="240"/>
      <w:outlineLvl w:val="0"/>
    </w:pPr>
    <w:rPr>
      <w:rFonts w:asciiTheme="majorHAnsi" w:hAnsiTheme="majorHAnsi"/>
      <w:sz w:val="28"/>
    </w:rPr>
  </w:style>
  <w:style w:type="character" w:styleId="Uwydatnienie">
    <w:name w:val="Emphasis"/>
    <w:uiPriority w:val="99"/>
    <w:semiHidden/>
    <w:qFormat/>
    <w:rsid w:val="00DB7E36"/>
    <w:rPr>
      <w:b/>
      <w:bCs/>
      <w:i/>
      <w:iCs/>
      <w:spacing w:val="10"/>
      <w:bdr w:val="none" w:sz="0" w:space="0" w:color="auto"/>
      <w:shd w:val="clear" w:color="auto" w:fill="auto"/>
    </w:rPr>
  </w:style>
  <w:style w:type="paragraph" w:styleId="Stopka">
    <w:name w:val="footer"/>
    <w:basedOn w:val="Normalny"/>
    <w:link w:val="StopkaZnak"/>
    <w:uiPriority w:val="57"/>
    <w:semiHidden/>
    <w:rsid w:val="00DB7E3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B7E36"/>
    <w:rPr>
      <w:sz w:val="24"/>
      <w:lang w:val="pl-PL"/>
    </w:rPr>
  </w:style>
  <w:style w:type="character" w:styleId="Odwoanieprzypisudolnego">
    <w:name w:val="footnote reference"/>
    <w:basedOn w:val="Domylnaczcionkaakapitu"/>
    <w:uiPriority w:val="99"/>
    <w:semiHidden/>
    <w:rsid w:val="00DB7E36"/>
    <w:rPr>
      <w:vertAlign w:val="superscript"/>
    </w:rPr>
  </w:style>
  <w:style w:type="paragraph" w:styleId="Tekstprzypisudolnego">
    <w:name w:val="footnote text"/>
    <w:basedOn w:val="Normalny"/>
    <w:link w:val="TekstprzypisudolnegoZnak"/>
    <w:uiPriority w:val="99"/>
    <w:semiHidden/>
    <w:rsid w:val="00DB7E36"/>
    <w:rPr>
      <w:sz w:val="20"/>
      <w:szCs w:val="20"/>
    </w:rPr>
  </w:style>
  <w:style w:type="character" w:customStyle="1" w:styleId="TekstprzypisudolnegoZnak">
    <w:name w:val="Tekst przypisu dolnego Znak"/>
    <w:basedOn w:val="Domylnaczcionkaakapitu"/>
    <w:link w:val="Tekstprzypisudolnego"/>
    <w:uiPriority w:val="99"/>
    <w:semiHidden/>
    <w:rsid w:val="00DB7E36"/>
    <w:rPr>
      <w:rFonts w:eastAsiaTheme="minorEastAsia"/>
      <w:sz w:val="20"/>
      <w:szCs w:val="20"/>
      <w:lang w:val="pl-PL"/>
    </w:rPr>
  </w:style>
  <w:style w:type="character" w:customStyle="1" w:styleId="Nagwek6Znak">
    <w:name w:val="Nagłówek 6 Znak"/>
    <w:basedOn w:val="Domylnaczcionkaakapitu"/>
    <w:link w:val="Nagwek6"/>
    <w:uiPriority w:val="99"/>
    <w:semiHidden/>
    <w:rsid w:val="00DB7E36"/>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DB7E3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B7E3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B7E3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B7E36"/>
    <w:rPr>
      <w:color w:val="0072BC" w:themeColor="hyperlink"/>
      <w:u w:val="single"/>
    </w:rPr>
  </w:style>
  <w:style w:type="character" w:styleId="Wyrnienieintensywne">
    <w:name w:val="Intense Emphasis"/>
    <w:uiPriority w:val="99"/>
    <w:semiHidden/>
    <w:qFormat/>
    <w:rsid w:val="00DB7E36"/>
    <w:rPr>
      <w:b/>
      <w:bCs/>
    </w:rPr>
  </w:style>
  <w:style w:type="paragraph" w:styleId="Cytatintensywny">
    <w:name w:val="Intense Quote"/>
    <w:basedOn w:val="Normalny"/>
    <w:next w:val="Normalny"/>
    <w:link w:val="CytatintensywnyZnak"/>
    <w:uiPriority w:val="99"/>
    <w:semiHidden/>
    <w:qFormat/>
    <w:rsid w:val="00DB7E3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B7E36"/>
    <w:rPr>
      <w:rFonts w:eastAsiaTheme="minorEastAsia"/>
      <w:b/>
      <w:bCs/>
      <w:i/>
      <w:iCs/>
      <w:lang w:bidi="en-US"/>
    </w:rPr>
  </w:style>
  <w:style w:type="character" w:styleId="Odwoanieintensywne">
    <w:name w:val="Intense Reference"/>
    <w:uiPriority w:val="99"/>
    <w:semiHidden/>
    <w:qFormat/>
    <w:rsid w:val="00DB7E36"/>
    <w:rPr>
      <w:smallCaps/>
      <w:spacing w:val="5"/>
      <w:u w:val="single"/>
    </w:rPr>
  </w:style>
  <w:style w:type="paragraph" w:styleId="Akapitzlist">
    <w:name w:val="List Paragraph"/>
    <w:basedOn w:val="Normalny"/>
    <w:uiPriority w:val="99"/>
    <w:semiHidden/>
    <w:qFormat/>
    <w:rsid w:val="00DB7E3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B7E36"/>
    <w:pPr>
      <w:spacing w:before="200"/>
      <w:ind w:left="360" w:right="360"/>
    </w:pPr>
    <w:rPr>
      <w:i/>
      <w:iCs/>
      <w:sz w:val="22"/>
      <w:lang w:bidi="en-US"/>
    </w:rPr>
  </w:style>
  <w:style w:type="character" w:customStyle="1" w:styleId="CytatZnak">
    <w:name w:val="Cytat Znak"/>
    <w:basedOn w:val="Domylnaczcionkaakapitu"/>
    <w:link w:val="Cytat"/>
    <w:uiPriority w:val="99"/>
    <w:semiHidden/>
    <w:rsid w:val="00DB7E36"/>
    <w:rPr>
      <w:rFonts w:eastAsiaTheme="minorEastAsia"/>
      <w:i/>
      <w:iCs/>
      <w:lang w:bidi="en-US"/>
    </w:rPr>
  </w:style>
  <w:style w:type="character" w:styleId="Odwoaniedelikatne">
    <w:name w:val="Subtle Reference"/>
    <w:uiPriority w:val="99"/>
    <w:semiHidden/>
    <w:qFormat/>
    <w:rsid w:val="00DB7E36"/>
    <w:rPr>
      <w:smallCaps/>
    </w:rPr>
  </w:style>
  <w:style w:type="table" w:styleId="Tabela-Siatka">
    <w:name w:val="Table Grid"/>
    <w:basedOn w:val="Standardowy"/>
    <w:uiPriority w:val="59"/>
    <w:semiHidden/>
    <w:rsid w:val="00DB7E3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B7E3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B7E3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B7E3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B7E3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B7E3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B7E3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B7E3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DB7E36"/>
    <w:pPr>
      <w:spacing w:before="120" w:after="120"/>
      <w:ind w:left="425" w:firstLine="142"/>
    </w:pPr>
    <w:rPr>
      <w:sz w:val="20"/>
    </w:rPr>
  </w:style>
  <w:style w:type="paragraph" w:customStyle="1" w:styleId="ECHRPara">
    <w:name w:val="ECHR_Para"/>
    <w:aliases w:val="Ju_Para"/>
    <w:basedOn w:val="Normalny"/>
    <w:link w:val="ECHRParaChar"/>
    <w:uiPriority w:val="12"/>
    <w:qFormat/>
    <w:rsid w:val="00DB7E3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B7E3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B7E3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B7E36"/>
    <w:pPr>
      <w:ind w:left="340" w:hanging="340"/>
    </w:pPr>
  </w:style>
  <w:style w:type="paragraph" w:customStyle="1" w:styleId="JuSigned">
    <w:name w:val="Ju_Signed"/>
    <w:basedOn w:val="Normalny"/>
    <w:next w:val="JuParaLast"/>
    <w:uiPriority w:val="32"/>
    <w:qFormat/>
    <w:rsid w:val="00DB7E36"/>
    <w:pPr>
      <w:tabs>
        <w:tab w:val="center" w:pos="851"/>
        <w:tab w:val="center" w:pos="6407"/>
      </w:tabs>
      <w:spacing w:before="720"/>
      <w:jc w:val="left"/>
    </w:pPr>
  </w:style>
  <w:style w:type="paragraph" w:customStyle="1" w:styleId="JuParaLast">
    <w:name w:val="Ju_Para_Last"/>
    <w:basedOn w:val="Normalny"/>
    <w:next w:val="ECHRPara"/>
    <w:uiPriority w:val="30"/>
    <w:qFormat/>
    <w:rsid w:val="00DB7E36"/>
    <w:pPr>
      <w:keepNext/>
      <w:keepLines/>
      <w:spacing w:before="240"/>
      <w:ind w:firstLine="284"/>
    </w:pPr>
  </w:style>
  <w:style w:type="paragraph" w:customStyle="1" w:styleId="JuTitle">
    <w:name w:val="Ju_Title"/>
    <w:basedOn w:val="Normalny"/>
    <w:next w:val="ECHRPara"/>
    <w:uiPriority w:val="3"/>
    <w:semiHidden/>
    <w:qFormat/>
    <w:rsid w:val="00DB7E36"/>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B7E36"/>
    <w:pPr>
      <w:ind w:left="346" w:firstLine="0"/>
    </w:pPr>
  </w:style>
  <w:style w:type="paragraph" w:customStyle="1" w:styleId="JuListi">
    <w:name w:val="Ju_List_i"/>
    <w:basedOn w:val="Normalny"/>
    <w:next w:val="JuLista"/>
    <w:uiPriority w:val="28"/>
    <w:qFormat/>
    <w:rsid w:val="00DB7E3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DB7E36"/>
    <w:rPr>
      <w:vertAlign w:val="superscript"/>
    </w:rPr>
  </w:style>
  <w:style w:type="paragraph" w:styleId="Tekstprzypisukocowego">
    <w:name w:val="endnote text"/>
    <w:basedOn w:val="Normalny"/>
    <w:link w:val="TekstprzypisukocowegoZnak"/>
    <w:uiPriority w:val="99"/>
    <w:semiHidden/>
    <w:rsid w:val="00DB7E36"/>
    <w:rPr>
      <w:sz w:val="20"/>
      <w:szCs w:val="20"/>
    </w:rPr>
  </w:style>
  <w:style w:type="character" w:customStyle="1" w:styleId="TekstprzypisukocowegoZnak">
    <w:name w:val="Tekst przypisu końcowego Znak"/>
    <w:basedOn w:val="Domylnaczcionkaakapitu"/>
    <w:link w:val="Tekstprzypisukocowego"/>
    <w:uiPriority w:val="99"/>
    <w:semiHidden/>
    <w:rsid w:val="00DB7E36"/>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DB7E36"/>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DB7E36"/>
    <w:pPr>
      <w:ind w:left="833" w:hanging="357"/>
      <w:outlineLvl w:val="3"/>
    </w:pPr>
    <w:rPr>
      <w:b/>
      <w:i w:val="0"/>
      <w:sz w:val="20"/>
    </w:rPr>
  </w:style>
  <w:style w:type="paragraph" w:styleId="Podtytu">
    <w:name w:val="Subtitle"/>
    <w:basedOn w:val="Normalny"/>
    <w:next w:val="Normalny"/>
    <w:link w:val="PodtytuZnak"/>
    <w:uiPriority w:val="99"/>
    <w:semiHidden/>
    <w:qFormat/>
    <w:rsid w:val="00DB7E3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B7E3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DB7E3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B7E3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B7E3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DB7E36"/>
    <w:pPr>
      <w:tabs>
        <w:tab w:val="clear" w:pos="357"/>
      </w:tabs>
      <w:outlineLvl w:val="1"/>
    </w:pPr>
    <w:rPr>
      <w:b/>
    </w:rPr>
  </w:style>
  <w:style w:type="paragraph" w:customStyle="1" w:styleId="OpiHi">
    <w:name w:val="Opi_H_i"/>
    <w:basedOn w:val="ECHRHeading4"/>
    <w:uiPriority w:val="44"/>
    <w:qFormat/>
    <w:rsid w:val="00DB7E36"/>
    <w:pPr>
      <w:ind w:left="1037" w:hanging="357"/>
      <w:outlineLvl w:val="4"/>
    </w:pPr>
    <w:rPr>
      <w:b w:val="0"/>
      <w:i/>
    </w:rPr>
  </w:style>
  <w:style w:type="paragraph" w:customStyle="1" w:styleId="OpiPara">
    <w:name w:val="Opi_Para"/>
    <w:basedOn w:val="ECHRPara"/>
    <w:uiPriority w:val="46"/>
    <w:qFormat/>
    <w:rsid w:val="00DB7E36"/>
  </w:style>
  <w:style w:type="paragraph" w:customStyle="1" w:styleId="OpiParaSub">
    <w:name w:val="Opi_Para_Sub"/>
    <w:basedOn w:val="JuParaSub"/>
    <w:uiPriority w:val="47"/>
    <w:qFormat/>
    <w:rsid w:val="00DB7E36"/>
  </w:style>
  <w:style w:type="paragraph" w:customStyle="1" w:styleId="OpiQuot">
    <w:name w:val="Opi_Quot"/>
    <w:basedOn w:val="ECHRParaQuote"/>
    <w:uiPriority w:val="48"/>
    <w:qFormat/>
    <w:rsid w:val="00DB7E36"/>
  </w:style>
  <w:style w:type="paragraph" w:customStyle="1" w:styleId="OpiQuotSub">
    <w:name w:val="Opi_Quot_Sub"/>
    <w:basedOn w:val="JuQuotSub"/>
    <w:uiPriority w:val="49"/>
    <w:qFormat/>
    <w:rsid w:val="00DB7E36"/>
  </w:style>
  <w:style w:type="paragraph" w:customStyle="1" w:styleId="OpiTranslation">
    <w:name w:val="Opi_Translation"/>
    <w:basedOn w:val="Normalny"/>
    <w:next w:val="OpiPara"/>
    <w:uiPriority w:val="40"/>
    <w:qFormat/>
    <w:rsid w:val="00DB7E36"/>
    <w:pPr>
      <w:jc w:val="center"/>
      <w:outlineLvl w:val="0"/>
    </w:pPr>
    <w:rPr>
      <w:i/>
    </w:rPr>
  </w:style>
  <w:style w:type="character" w:customStyle="1" w:styleId="ECHRParaChar">
    <w:name w:val="ECHR_Para Char"/>
    <w:aliases w:val="Ju_Para Char"/>
    <w:link w:val="ECHRPara"/>
    <w:uiPriority w:val="12"/>
    <w:rsid w:val="00D1664F"/>
    <w:rPr>
      <w:rFonts w:eastAsiaTheme="minorEastAsia"/>
      <w:sz w:val="24"/>
      <w:lang w:val="pl-PL"/>
    </w:rPr>
  </w:style>
  <w:style w:type="paragraph" w:styleId="Poprawka">
    <w:name w:val="Revision"/>
    <w:hidden/>
    <w:uiPriority w:val="99"/>
    <w:semiHidden/>
    <w:rsid w:val="00C3093D"/>
    <w:rPr>
      <w:rFonts w:eastAsiaTheme="minorEastAsia"/>
      <w:sz w:val="24"/>
    </w:rPr>
  </w:style>
  <w:style w:type="paragraph" w:customStyle="1" w:styleId="jupara">
    <w:name w:val="jupara"/>
    <w:basedOn w:val="Normalny"/>
    <w:rsid w:val="006A41BD"/>
    <w:pPr>
      <w:ind w:firstLine="284"/>
    </w:pPr>
    <w:rPr>
      <w:rFonts w:ascii="Times New Roman" w:eastAsia="Times New Roman" w:hAnsi="Times New Roman" w:cs="Times New Roman"/>
      <w:szCs w:val="24"/>
      <w:lang w:eastAsia="en-GB"/>
    </w:rPr>
  </w:style>
  <w:style w:type="paragraph" w:customStyle="1" w:styleId="jucase0">
    <w:name w:val="jucase"/>
    <w:basedOn w:val="Normalny"/>
    <w:rsid w:val="006A41BD"/>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106088">
      <w:bodyDiv w:val="1"/>
      <w:marLeft w:val="0"/>
      <w:marRight w:val="0"/>
      <w:marTop w:val="0"/>
      <w:marBottom w:val="0"/>
      <w:divBdr>
        <w:top w:val="none" w:sz="0" w:space="0" w:color="auto"/>
        <w:left w:val="none" w:sz="0" w:space="0" w:color="auto"/>
        <w:bottom w:val="none" w:sz="0" w:space="0" w:color="auto"/>
        <w:right w:val="none" w:sz="0" w:space="0" w:color="auto"/>
      </w:divBdr>
      <w:divsChild>
        <w:div w:id="1488471258">
          <w:marLeft w:val="0"/>
          <w:marRight w:val="0"/>
          <w:marTop w:val="0"/>
          <w:marBottom w:val="0"/>
          <w:divBdr>
            <w:top w:val="none" w:sz="0" w:space="0" w:color="auto"/>
            <w:left w:val="none" w:sz="0" w:space="0" w:color="auto"/>
            <w:bottom w:val="none" w:sz="0" w:space="0" w:color="auto"/>
            <w:right w:val="none" w:sz="0" w:space="0" w:color="auto"/>
          </w:divBdr>
          <w:divsChild>
            <w:div w:id="225343242">
              <w:marLeft w:val="0"/>
              <w:marRight w:val="0"/>
              <w:marTop w:val="0"/>
              <w:marBottom w:val="0"/>
              <w:divBdr>
                <w:top w:val="none" w:sz="0" w:space="0" w:color="auto"/>
                <w:left w:val="none" w:sz="0" w:space="0" w:color="auto"/>
                <w:bottom w:val="none" w:sz="0" w:space="0" w:color="auto"/>
                <w:right w:val="none" w:sz="0" w:space="0" w:color="auto"/>
              </w:divBdr>
              <w:divsChild>
                <w:div w:id="320043257">
                  <w:marLeft w:val="0"/>
                  <w:marRight w:val="0"/>
                  <w:marTop w:val="0"/>
                  <w:marBottom w:val="0"/>
                  <w:divBdr>
                    <w:top w:val="none" w:sz="0" w:space="0" w:color="auto"/>
                    <w:left w:val="none" w:sz="0" w:space="0" w:color="auto"/>
                    <w:bottom w:val="none" w:sz="0" w:space="0" w:color="auto"/>
                    <w:right w:val="none" w:sz="0" w:space="0" w:color="auto"/>
                  </w:divBdr>
                  <w:divsChild>
                    <w:div w:id="2032221906">
                      <w:marLeft w:val="0"/>
                      <w:marRight w:val="0"/>
                      <w:marTop w:val="0"/>
                      <w:marBottom w:val="0"/>
                      <w:divBdr>
                        <w:top w:val="none" w:sz="0" w:space="0" w:color="auto"/>
                        <w:left w:val="none" w:sz="0" w:space="0" w:color="auto"/>
                        <w:bottom w:val="none" w:sz="0" w:space="0" w:color="auto"/>
                        <w:right w:val="none" w:sz="0" w:space="0" w:color="auto"/>
                      </w:divBdr>
                      <w:divsChild>
                        <w:div w:id="1870483825">
                          <w:marLeft w:val="0"/>
                          <w:marRight w:val="0"/>
                          <w:marTop w:val="0"/>
                          <w:marBottom w:val="0"/>
                          <w:divBdr>
                            <w:top w:val="none" w:sz="0" w:space="0" w:color="auto"/>
                            <w:left w:val="none" w:sz="0" w:space="0" w:color="auto"/>
                            <w:bottom w:val="none" w:sz="0" w:space="0" w:color="auto"/>
                            <w:right w:val="none" w:sz="0" w:space="0" w:color="auto"/>
                          </w:divBdr>
                          <w:divsChild>
                            <w:div w:id="1769883382">
                              <w:marLeft w:val="0"/>
                              <w:marRight w:val="0"/>
                              <w:marTop w:val="0"/>
                              <w:marBottom w:val="0"/>
                              <w:divBdr>
                                <w:top w:val="none" w:sz="0" w:space="0" w:color="auto"/>
                                <w:left w:val="none" w:sz="0" w:space="0" w:color="auto"/>
                                <w:bottom w:val="none" w:sz="0" w:space="0" w:color="auto"/>
                                <w:right w:val="none" w:sz="0" w:space="0" w:color="auto"/>
                              </w:divBdr>
                              <w:divsChild>
                                <w:div w:id="1931885892">
                                  <w:marLeft w:val="0"/>
                                  <w:marRight w:val="0"/>
                                  <w:marTop w:val="0"/>
                                  <w:marBottom w:val="0"/>
                                  <w:divBdr>
                                    <w:top w:val="none" w:sz="0" w:space="0" w:color="auto"/>
                                    <w:left w:val="none" w:sz="0" w:space="0" w:color="auto"/>
                                    <w:bottom w:val="none" w:sz="0" w:space="0" w:color="auto"/>
                                    <w:right w:val="none" w:sz="0" w:space="0" w:color="auto"/>
                                  </w:divBdr>
                                  <w:divsChild>
                                    <w:div w:id="1302811510">
                                      <w:marLeft w:val="0"/>
                                      <w:marRight w:val="0"/>
                                      <w:marTop w:val="0"/>
                                      <w:marBottom w:val="0"/>
                                      <w:divBdr>
                                        <w:top w:val="none" w:sz="0" w:space="0" w:color="auto"/>
                                        <w:left w:val="none" w:sz="0" w:space="0" w:color="auto"/>
                                        <w:bottom w:val="none" w:sz="0" w:space="0" w:color="auto"/>
                                        <w:right w:val="none" w:sz="0" w:space="0" w:color="auto"/>
                                      </w:divBdr>
                                      <w:divsChild>
                                        <w:div w:id="1562593694">
                                          <w:marLeft w:val="0"/>
                                          <w:marRight w:val="0"/>
                                          <w:marTop w:val="0"/>
                                          <w:marBottom w:val="0"/>
                                          <w:divBdr>
                                            <w:top w:val="none" w:sz="0" w:space="0" w:color="auto"/>
                                            <w:left w:val="none" w:sz="0" w:space="0" w:color="auto"/>
                                            <w:bottom w:val="none" w:sz="0" w:space="0" w:color="auto"/>
                                            <w:right w:val="none" w:sz="0" w:space="0" w:color="auto"/>
                                          </w:divBdr>
                                          <w:divsChild>
                                            <w:div w:id="838928974">
                                              <w:marLeft w:val="0"/>
                                              <w:marRight w:val="0"/>
                                              <w:marTop w:val="0"/>
                                              <w:marBottom w:val="0"/>
                                              <w:divBdr>
                                                <w:top w:val="none" w:sz="0" w:space="0" w:color="auto"/>
                                                <w:left w:val="none" w:sz="0" w:space="0" w:color="auto"/>
                                                <w:bottom w:val="none" w:sz="0" w:space="0" w:color="auto"/>
                                                <w:right w:val="none" w:sz="0" w:space="0" w:color="auto"/>
                                              </w:divBdr>
                                              <w:divsChild>
                                                <w:div w:id="461963799">
                                                  <w:marLeft w:val="0"/>
                                                  <w:marRight w:val="0"/>
                                                  <w:marTop w:val="0"/>
                                                  <w:marBottom w:val="0"/>
                                                  <w:divBdr>
                                                    <w:top w:val="none" w:sz="0" w:space="0" w:color="auto"/>
                                                    <w:left w:val="none" w:sz="0" w:space="0" w:color="auto"/>
                                                    <w:bottom w:val="none" w:sz="0" w:space="0" w:color="auto"/>
                                                    <w:right w:val="none" w:sz="0" w:space="0" w:color="auto"/>
                                                  </w:divBdr>
                                                  <w:divsChild>
                                                    <w:div w:id="35743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4845096">
      <w:bodyDiv w:val="1"/>
      <w:marLeft w:val="0"/>
      <w:marRight w:val="0"/>
      <w:marTop w:val="0"/>
      <w:marBottom w:val="0"/>
      <w:divBdr>
        <w:top w:val="none" w:sz="0" w:space="0" w:color="auto"/>
        <w:left w:val="none" w:sz="0" w:space="0" w:color="auto"/>
        <w:bottom w:val="none" w:sz="0" w:space="0" w:color="auto"/>
        <w:right w:val="none" w:sz="0" w:space="0" w:color="auto"/>
      </w:divBdr>
      <w:divsChild>
        <w:div w:id="1258053062">
          <w:marLeft w:val="0"/>
          <w:marRight w:val="0"/>
          <w:marTop w:val="0"/>
          <w:marBottom w:val="0"/>
          <w:divBdr>
            <w:top w:val="none" w:sz="0" w:space="0" w:color="auto"/>
            <w:left w:val="none" w:sz="0" w:space="0" w:color="auto"/>
            <w:bottom w:val="none" w:sz="0" w:space="0" w:color="auto"/>
            <w:right w:val="none" w:sz="0" w:space="0" w:color="auto"/>
          </w:divBdr>
          <w:divsChild>
            <w:div w:id="145441705">
              <w:marLeft w:val="0"/>
              <w:marRight w:val="0"/>
              <w:marTop w:val="0"/>
              <w:marBottom w:val="0"/>
              <w:divBdr>
                <w:top w:val="none" w:sz="0" w:space="0" w:color="auto"/>
                <w:left w:val="none" w:sz="0" w:space="0" w:color="auto"/>
                <w:bottom w:val="none" w:sz="0" w:space="0" w:color="auto"/>
                <w:right w:val="none" w:sz="0" w:space="0" w:color="auto"/>
              </w:divBdr>
              <w:divsChild>
                <w:div w:id="1320772265">
                  <w:marLeft w:val="0"/>
                  <w:marRight w:val="0"/>
                  <w:marTop w:val="0"/>
                  <w:marBottom w:val="0"/>
                  <w:divBdr>
                    <w:top w:val="none" w:sz="0" w:space="0" w:color="auto"/>
                    <w:left w:val="none" w:sz="0" w:space="0" w:color="auto"/>
                    <w:bottom w:val="none" w:sz="0" w:space="0" w:color="auto"/>
                    <w:right w:val="none" w:sz="0" w:space="0" w:color="auto"/>
                  </w:divBdr>
                  <w:divsChild>
                    <w:div w:id="37095927">
                      <w:marLeft w:val="0"/>
                      <w:marRight w:val="0"/>
                      <w:marTop w:val="0"/>
                      <w:marBottom w:val="0"/>
                      <w:divBdr>
                        <w:top w:val="none" w:sz="0" w:space="0" w:color="auto"/>
                        <w:left w:val="none" w:sz="0" w:space="0" w:color="auto"/>
                        <w:bottom w:val="none" w:sz="0" w:space="0" w:color="auto"/>
                        <w:right w:val="none" w:sz="0" w:space="0" w:color="auto"/>
                      </w:divBdr>
                      <w:divsChild>
                        <w:div w:id="498426487">
                          <w:marLeft w:val="0"/>
                          <w:marRight w:val="0"/>
                          <w:marTop w:val="0"/>
                          <w:marBottom w:val="0"/>
                          <w:divBdr>
                            <w:top w:val="none" w:sz="0" w:space="0" w:color="auto"/>
                            <w:left w:val="none" w:sz="0" w:space="0" w:color="auto"/>
                            <w:bottom w:val="none" w:sz="0" w:space="0" w:color="auto"/>
                            <w:right w:val="none" w:sz="0" w:space="0" w:color="auto"/>
                          </w:divBdr>
                          <w:divsChild>
                            <w:div w:id="1846433385">
                              <w:marLeft w:val="0"/>
                              <w:marRight w:val="0"/>
                              <w:marTop w:val="0"/>
                              <w:marBottom w:val="0"/>
                              <w:divBdr>
                                <w:top w:val="none" w:sz="0" w:space="0" w:color="auto"/>
                                <w:left w:val="none" w:sz="0" w:space="0" w:color="auto"/>
                                <w:bottom w:val="none" w:sz="0" w:space="0" w:color="auto"/>
                                <w:right w:val="none" w:sz="0" w:space="0" w:color="auto"/>
                              </w:divBdr>
                              <w:divsChild>
                                <w:div w:id="1307928609">
                                  <w:marLeft w:val="0"/>
                                  <w:marRight w:val="0"/>
                                  <w:marTop w:val="0"/>
                                  <w:marBottom w:val="0"/>
                                  <w:divBdr>
                                    <w:top w:val="none" w:sz="0" w:space="0" w:color="auto"/>
                                    <w:left w:val="none" w:sz="0" w:space="0" w:color="auto"/>
                                    <w:bottom w:val="none" w:sz="0" w:space="0" w:color="auto"/>
                                    <w:right w:val="none" w:sz="0" w:space="0" w:color="auto"/>
                                  </w:divBdr>
                                  <w:divsChild>
                                    <w:div w:id="507594936">
                                      <w:marLeft w:val="0"/>
                                      <w:marRight w:val="0"/>
                                      <w:marTop w:val="0"/>
                                      <w:marBottom w:val="0"/>
                                      <w:divBdr>
                                        <w:top w:val="none" w:sz="0" w:space="0" w:color="auto"/>
                                        <w:left w:val="none" w:sz="0" w:space="0" w:color="auto"/>
                                        <w:bottom w:val="none" w:sz="0" w:space="0" w:color="auto"/>
                                        <w:right w:val="none" w:sz="0" w:space="0" w:color="auto"/>
                                      </w:divBdr>
                                      <w:divsChild>
                                        <w:div w:id="689642826">
                                          <w:marLeft w:val="0"/>
                                          <w:marRight w:val="0"/>
                                          <w:marTop w:val="0"/>
                                          <w:marBottom w:val="0"/>
                                          <w:divBdr>
                                            <w:top w:val="none" w:sz="0" w:space="0" w:color="auto"/>
                                            <w:left w:val="none" w:sz="0" w:space="0" w:color="auto"/>
                                            <w:bottom w:val="none" w:sz="0" w:space="0" w:color="auto"/>
                                            <w:right w:val="none" w:sz="0" w:space="0" w:color="auto"/>
                                          </w:divBdr>
                                          <w:divsChild>
                                            <w:div w:id="2100783893">
                                              <w:marLeft w:val="0"/>
                                              <w:marRight w:val="0"/>
                                              <w:marTop w:val="0"/>
                                              <w:marBottom w:val="0"/>
                                              <w:divBdr>
                                                <w:top w:val="none" w:sz="0" w:space="0" w:color="auto"/>
                                                <w:left w:val="none" w:sz="0" w:space="0" w:color="auto"/>
                                                <w:bottom w:val="none" w:sz="0" w:space="0" w:color="auto"/>
                                                <w:right w:val="none" w:sz="0" w:space="0" w:color="auto"/>
                                              </w:divBdr>
                                              <w:divsChild>
                                                <w:div w:id="358553728">
                                                  <w:marLeft w:val="0"/>
                                                  <w:marRight w:val="0"/>
                                                  <w:marTop w:val="0"/>
                                                  <w:marBottom w:val="0"/>
                                                  <w:divBdr>
                                                    <w:top w:val="none" w:sz="0" w:space="0" w:color="auto"/>
                                                    <w:left w:val="none" w:sz="0" w:space="0" w:color="auto"/>
                                                    <w:bottom w:val="none" w:sz="0" w:space="0" w:color="auto"/>
                                                    <w:right w:val="none" w:sz="0" w:space="0" w:color="auto"/>
                                                  </w:divBdr>
                                                  <w:divsChild>
                                                    <w:div w:id="138683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982928370">
      <w:bodyDiv w:val="1"/>
      <w:marLeft w:val="0"/>
      <w:marRight w:val="0"/>
      <w:marTop w:val="0"/>
      <w:marBottom w:val="0"/>
      <w:divBdr>
        <w:top w:val="none" w:sz="0" w:space="0" w:color="auto"/>
        <w:left w:val="none" w:sz="0" w:space="0" w:color="auto"/>
        <w:bottom w:val="none" w:sz="0" w:space="0" w:color="auto"/>
        <w:right w:val="none" w:sz="0" w:space="0" w:color="auto"/>
      </w:divBdr>
      <w:divsChild>
        <w:div w:id="2065330475">
          <w:marLeft w:val="0"/>
          <w:marRight w:val="0"/>
          <w:marTop w:val="0"/>
          <w:marBottom w:val="0"/>
          <w:divBdr>
            <w:top w:val="none" w:sz="0" w:space="0" w:color="auto"/>
            <w:left w:val="none" w:sz="0" w:space="0" w:color="auto"/>
            <w:bottom w:val="none" w:sz="0" w:space="0" w:color="auto"/>
            <w:right w:val="none" w:sz="0" w:space="0" w:color="auto"/>
          </w:divBdr>
          <w:divsChild>
            <w:div w:id="775708692">
              <w:marLeft w:val="0"/>
              <w:marRight w:val="0"/>
              <w:marTop w:val="0"/>
              <w:marBottom w:val="0"/>
              <w:divBdr>
                <w:top w:val="none" w:sz="0" w:space="0" w:color="auto"/>
                <w:left w:val="none" w:sz="0" w:space="0" w:color="auto"/>
                <w:bottom w:val="none" w:sz="0" w:space="0" w:color="auto"/>
                <w:right w:val="none" w:sz="0" w:space="0" w:color="auto"/>
              </w:divBdr>
              <w:divsChild>
                <w:div w:id="1299721357">
                  <w:marLeft w:val="0"/>
                  <w:marRight w:val="0"/>
                  <w:marTop w:val="0"/>
                  <w:marBottom w:val="0"/>
                  <w:divBdr>
                    <w:top w:val="none" w:sz="0" w:space="0" w:color="auto"/>
                    <w:left w:val="none" w:sz="0" w:space="0" w:color="auto"/>
                    <w:bottom w:val="none" w:sz="0" w:space="0" w:color="auto"/>
                    <w:right w:val="none" w:sz="0" w:space="0" w:color="auto"/>
                  </w:divBdr>
                  <w:divsChild>
                    <w:div w:id="1569924941">
                      <w:marLeft w:val="0"/>
                      <w:marRight w:val="0"/>
                      <w:marTop w:val="0"/>
                      <w:marBottom w:val="0"/>
                      <w:divBdr>
                        <w:top w:val="none" w:sz="0" w:space="0" w:color="auto"/>
                        <w:left w:val="none" w:sz="0" w:space="0" w:color="auto"/>
                        <w:bottom w:val="none" w:sz="0" w:space="0" w:color="auto"/>
                        <w:right w:val="none" w:sz="0" w:space="0" w:color="auto"/>
                      </w:divBdr>
                      <w:divsChild>
                        <w:div w:id="1633097552">
                          <w:marLeft w:val="0"/>
                          <w:marRight w:val="0"/>
                          <w:marTop w:val="0"/>
                          <w:marBottom w:val="0"/>
                          <w:divBdr>
                            <w:top w:val="none" w:sz="0" w:space="0" w:color="auto"/>
                            <w:left w:val="none" w:sz="0" w:space="0" w:color="auto"/>
                            <w:bottom w:val="none" w:sz="0" w:space="0" w:color="auto"/>
                            <w:right w:val="none" w:sz="0" w:space="0" w:color="auto"/>
                          </w:divBdr>
                          <w:divsChild>
                            <w:div w:id="871460440">
                              <w:marLeft w:val="0"/>
                              <w:marRight w:val="0"/>
                              <w:marTop w:val="0"/>
                              <w:marBottom w:val="0"/>
                              <w:divBdr>
                                <w:top w:val="none" w:sz="0" w:space="0" w:color="auto"/>
                                <w:left w:val="none" w:sz="0" w:space="0" w:color="auto"/>
                                <w:bottom w:val="none" w:sz="0" w:space="0" w:color="auto"/>
                                <w:right w:val="none" w:sz="0" w:space="0" w:color="auto"/>
                              </w:divBdr>
                              <w:divsChild>
                                <w:div w:id="1179126562">
                                  <w:marLeft w:val="0"/>
                                  <w:marRight w:val="0"/>
                                  <w:marTop w:val="0"/>
                                  <w:marBottom w:val="0"/>
                                  <w:divBdr>
                                    <w:top w:val="none" w:sz="0" w:space="0" w:color="auto"/>
                                    <w:left w:val="none" w:sz="0" w:space="0" w:color="auto"/>
                                    <w:bottom w:val="none" w:sz="0" w:space="0" w:color="auto"/>
                                    <w:right w:val="none" w:sz="0" w:space="0" w:color="auto"/>
                                  </w:divBdr>
                                  <w:divsChild>
                                    <w:div w:id="528840344">
                                      <w:marLeft w:val="0"/>
                                      <w:marRight w:val="0"/>
                                      <w:marTop w:val="0"/>
                                      <w:marBottom w:val="0"/>
                                      <w:divBdr>
                                        <w:top w:val="none" w:sz="0" w:space="0" w:color="auto"/>
                                        <w:left w:val="none" w:sz="0" w:space="0" w:color="auto"/>
                                        <w:bottom w:val="none" w:sz="0" w:space="0" w:color="auto"/>
                                        <w:right w:val="none" w:sz="0" w:space="0" w:color="auto"/>
                                      </w:divBdr>
                                      <w:divsChild>
                                        <w:div w:id="641813837">
                                          <w:marLeft w:val="0"/>
                                          <w:marRight w:val="0"/>
                                          <w:marTop w:val="0"/>
                                          <w:marBottom w:val="0"/>
                                          <w:divBdr>
                                            <w:top w:val="none" w:sz="0" w:space="0" w:color="auto"/>
                                            <w:left w:val="none" w:sz="0" w:space="0" w:color="auto"/>
                                            <w:bottom w:val="none" w:sz="0" w:space="0" w:color="auto"/>
                                            <w:right w:val="none" w:sz="0" w:space="0" w:color="auto"/>
                                          </w:divBdr>
                                          <w:divsChild>
                                            <w:div w:id="1041905812">
                                              <w:marLeft w:val="0"/>
                                              <w:marRight w:val="0"/>
                                              <w:marTop w:val="0"/>
                                              <w:marBottom w:val="0"/>
                                              <w:divBdr>
                                                <w:top w:val="none" w:sz="0" w:space="0" w:color="auto"/>
                                                <w:left w:val="none" w:sz="0" w:space="0" w:color="auto"/>
                                                <w:bottom w:val="none" w:sz="0" w:space="0" w:color="auto"/>
                                                <w:right w:val="none" w:sz="0" w:space="0" w:color="auto"/>
                                              </w:divBdr>
                                              <w:divsChild>
                                                <w:div w:id="374089936">
                                                  <w:marLeft w:val="0"/>
                                                  <w:marRight w:val="0"/>
                                                  <w:marTop w:val="0"/>
                                                  <w:marBottom w:val="0"/>
                                                  <w:divBdr>
                                                    <w:top w:val="none" w:sz="0" w:space="0" w:color="auto"/>
                                                    <w:left w:val="none" w:sz="0" w:space="0" w:color="auto"/>
                                                    <w:bottom w:val="none" w:sz="0" w:space="0" w:color="auto"/>
                                                    <w:right w:val="none" w:sz="0" w:space="0" w:color="auto"/>
                                                  </w:divBdr>
                                                  <w:divsChild>
                                                    <w:div w:id="129021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6487916">
      <w:bodyDiv w:val="1"/>
      <w:marLeft w:val="0"/>
      <w:marRight w:val="0"/>
      <w:marTop w:val="0"/>
      <w:marBottom w:val="0"/>
      <w:divBdr>
        <w:top w:val="none" w:sz="0" w:space="0" w:color="auto"/>
        <w:left w:val="none" w:sz="0" w:space="0" w:color="auto"/>
        <w:bottom w:val="none" w:sz="0" w:space="0" w:color="auto"/>
        <w:right w:val="none" w:sz="0" w:space="0" w:color="auto"/>
      </w:divBdr>
      <w:divsChild>
        <w:div w:id="1562784266">
          <w:marLeft w:val="0"/>
          <w:marRight w:val="0"/>
          <w:marTop w:val="0"/>
          <w:marBottom w:val="0"/>
          <w:divBdr>
            <w:top w:val="none" w:sz="0" w:space="0" w:color="auto"/>
            <w:left w:val="none" w:sz="0" w:space="0" w:color="auto"/>
            <w:bottom w:val="none" w:sz="0" w:space="0" w:color="auto"/>
            <w:right w:val="none" w:sz="0" w:space="0" w:color="auto"/>
          </w:divBdr>
          <w:divsChild>
            <w:div w:id="1921522515">
              <w:marLeft w:val="0"/>
              <w:marRight w:val="0"/>
              <w:marTop w:val="0"/>
              <w:marBottom w:val="0"/>
              <w:divBdr>
                <w:top w:val="none" w:sz="0" w:space="0" w:color="auto"/>
                <w:left w:val="none" w:sz="0" w:space="0" w:color="auto"/>
                <w:bottom w:val="none" w:sz="0" w:space="0" w:color="auto"/>
                <w:right w:val="none" w:sz="0" w:space="0" w:color="auto"/>
              </w:divBdr>
              <w:divsChild>
                <w:div w:id="1996953558">
                  <w:marLeft w:val="0"/>
                  <w:marRight w:val="0"/>
                  <w:marTop w:val="0"/>
                  <w:marBottom w:val="0"/>
                  <w:divBdr>
                    <w:top w:val="none" w:sz="0" w:space="0" w:color="auto"/>
                    <w:left w:val="none" w:sz="0" w:space="0" w:color="auto"/>
                    <w:bottom w:val="none" w:sz="0" w:space="0" w:color="auto"/>
                    <w:right w:val="none" w:sz="0" w:space="0" w:color="auto"/>
                  </w:divBdr>
                  <w:divsChild>
                    <w:div w:id="191346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988313">
      <w:bodyDiv w:val="1"/>
      <w:marLeft w:val="0"/>
      <w:marRight w:val="0"/>
      <w:marTop w:val="0"/>
      <w:marBottom w:val="0"/>
      <w:divBdr>
        <w:top w:val="none" w:sz="0" w:space="0" w:color="auto"/>
        <w:left w:val="none" w:sz="0" w:space="0" w:color="auto"/>
        <w:bottom w:val="none" w:sz="0" w:space="0" w:color="auto"/>
        <w:right w:val="none" w:sz="0" w:space="0" w:color="auto"/>
      </w:divBdr>
      <w:divsChild>
        <w:div w:id="2055306487">
          <w:marLeft w:val="0"/>
          <w:marRight w:val="0"/>
          <w:marTop w:val="0"/>
          <w:marBottom w:val="0"/>
          <w:divBdr>
            <w:top w:val="none" w:sz="0" w:space="0" w:color="auto"/>
            <w:left w:val="none" w:sz="0" w:space="0" w:color="auto"/>
            <w:bottom w:val="none" w:sz="0" w:space="0" w:color="auto"/>
            <w:right w:val="none" w:sz="0" w:space="0" w:color="auto"/>
          </w:divBdr>
          <w:divsChild>
            <w:div w:id="106239281">
              <w:marLeft w:val="0"/>
              <w:marRight w:val="0"/>
              <w:marTop w:val="0"/>
              <w:marBottom w:val="0"/>
              <w:divBdr>
                <w:top w:val="none" w:sz="0" w:space="0" w:color="auto"/>
                <w:left w:val="none" w:sz="0" w:space="0" w:color="auto"/>
                <w:bottom w:val="none" w:sz="0" w:space="0" w:color="auto"/>
                <w:right w:val="none" w:sz="0" w:space="0" w:color="auto"/>
              </w:divBdr>
              <w:divsChild>
                <w:div w:id="579026918">
                  <w:marLeft w:val="0"/>
                  <w:marRight w:val="0"/>
                  <w:marTop w:val="0"/>
                  <w:marBottom w:val="0"/>
                  <w:divBdr>
                    <w:top w:val="none" w:sz="0" w:space="0" w:color="auto"/>
                    <w:left w:val="none" w:sz="0" w:space="0" w:color="auto"/>
                    <w:bottom w:val="none" w:sz="0" w:space="0" w:color="auto"/>
                    <w:right w:val="none" w:sz="0" w:space="0" w:color="auto"/>
                  </w:divBdr>
                  <w:divsChild>
                    <w:div w:id="83302793">
                      <w:marLeft w:val="0"/>
                      <w:marRight w:val="0"/>
                      <w:marTop w:val="0"/>
                      <w:marBottom w:val="0"/>
                      <w:divBdr>
                        <w:top w:val="none" w:sz="0" w:space="0" w:color="auto"/>
                        <w:left w:val="none" w:sz="0" w:space="0" w:color="auto"/>
                        <w:bottom w:val="none" w:sz="0" w:space="0" w:color="auto"/>
                        <w:right w:val="none" w:sz="0" w:space="0" w:color="auto"/>
                      </w:divBdr>
                      <w:divsChild>
                        <w:div w:id="851384625">
                          <w:marLeft w:val="0"/>
                          <w:marRight w:val="0"/>
                          <w:marTop w:val="0"/>
                          <w:marBottom w:val="0"/>
                          <w:divBdr>
                            <w:top w:val="none" w:sz="0" w:space="0" w:color="auto"/>
                            <w:left w:val="none" w:sz="0" w:space="0" w:color="auto"/>
                            <w:bottom w:val="none" w:sz="0" w:space="0" w:color="auto"/>
                            <w:right w:val="none" w:sz="0" w:space="0" w:color="auto"/>
                          </w:divBdr>
                          <w:divsChild>
                            <w:div w:id="544634516">
                              <w:marLeft w:val="0"/>
                              <w:marRight w:val="0"/>
                              <w:marTop w:val="0"/>
                              <w:marBottom w:val="0"/>
                              <w:divBdr>
                                <w:top w:val="none" w:sz="0" w:space="0" w:color="auto"/>
                                <w:left w:val="none" w:sz="0" w:space="0" w:color="auto"/>
                                <w:bottom w:val="none" w:sz="0" w:space="0" w:color="auto"/>
                                <w:right w:val="none" w:sz="0" w:space="0" w:color="auto"/>
                              </w:divBdr>
                              <w:divsChild>
                                <w:div w:id="705105031">
                                  <w:marLeft w:val="0"/>
                                  <w:marRight w:val="0"/>
                                  <w:marTop w:val="0"/>
                                  <w:marBottom w:val="0"/>
                                  <w:divBdr>
                                    <w:top w:val="none" w:sz="0" w:space="0" w:color="auto"/>
                                    <w:left w:val="none" w:sz="0" w:space="0" w:color="auto"/>
                                    <w:bottom w:val="none" w:sz="0" w:space="0" w:color="auto"/>
                                    <w:right w:val="none" w:sz="0" w:space="0" w:color="auto"/>
                                  </w:divBdr>
                                  <w:divsChild>
                                    <w:div w:id="1124234603">
                                      <w:marLeft w:val="0"/>
                                      <w:marRight w:val="0"/>
                                      <w:marTop w:val="0"/>
                                      <w:marBottom w:val="0"/>
                                      <w:divBdr>
                                        <w:top w:val="none" w:sz="0" w:space="0" w:color="auto"/>
                                        <w:left w:val="none" w:sz="0" w:space="0" w:color="auto"/>
                                        <w:bottom w:val="none" w:sz="0" w:space="0" w:color="auto"/>
                                        <w:right w:val="none" w:sz="0" w:space="0" w:color="auto"/>
                                      </w:divBdr>
                                      <w:divsChild>
                                        <w:div w:id="491683804">
                                          <w:marLeft w:val="0"/>
                                          <w:marRight w:val="0"/>
                                          <w:marTop w:val="0"/>
                                          <w:marBottom w:val="0"/>
                                          <w:divBdr>
                                            <w:top w:val="none" w:sz="0" w:space="0" w:color="auto"/>
                                            <w:left w:val="none" w:sz="0" w:space="0" w:color="auto"/>
                                            <w:bottom w:val="none" w:sz="0" w:space="0" w:color="auto"/>
                                            <w:right w:val="none" w:sz="0" w:space="0" w:color="auto"/>
                                          </w:divBdr>
                                          <w:divsChild>
                                            <w:div w:id="1293632911">
                                              <w:marLeft w:val="0"/>
                                              <w:marRight w:val="0"/>
                                              <w:marTop w:val="0"/>
                                              <w:marBottom w:val="0"/>
                                              <w:divBdr>
                                                <w:top w:val="none" w:sz="0" w:space="0" w:color="auto"/>
                                                <w:left w:val="none" w:sz="0" w:space="0" w:color="auto"/>
                                                <w:bottom w:val="none" w:sz="0" w:space="0" w:color="auto"/>
                                                <w:right w:val="none" w:sz="0" w:space="0" w:color="auto"/>
                                              </w:divBdr>
                                              <w:divsChild>
                                                <w:div w:id="1352221306">
                                                  <w:marLeft w:val="0"/>
                                                  <w:marRight w:val="0"/>
                                                  <w:marTop w:val="0"/>
                                                  <w:marBottom w:val="0"/>
                                                  <w:divBdr>
                                                    <w:top w:val="none" w:sz="0" w:space="0" w:color="auto"/>
                                                    <w:left w:val="none" w:sz="0" w:space="0" w:color="auto"/>
                                                    <w:bottom w:val="none" w:sz="0" w:space="0" w:color="auto"/>
                                                    <w:right w:val="none" w:sz="0" w:space="0" w:color="auto"/>
                                                  </w:divBdr>
                                                  <w:divsChild>
                                                    <w:div w:id="10357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1935594">
      <w:bodyDiv w:val="1"/>
      <w:marLeft w:val="0"/>
      <w:marRight w:val="0"/>
      <w:marTop w:val="0"/>
      <w:marBottom w:val="0"/>
      <w:divBdr>
        <w:top w:val="none" w:sz="0" w:space="0" w:color="auto"/>
        <w:left w:val="none" w:sz="0" w:space="0" w:color="auto"/>
        <w:bottom w:val="none" w:sz="0" w:space="0" w:color="auto"/>
        <w:right w:val="none" w:sz="0" w:space="0" w:color="auto"/>
      </w:divBdr>
      <w:divsChild>
        <w:div w:id="1781415178">
          <w:marLeft w:val="0"/>
          <w:marRight w:val="0"/>
          <w:marTop w:val="0"/>
          <w:marBottom w:val="0"/>
          <w:divBdr>
            <w:top w:val="none" w:sz="0" w:space="0" w:color="auto"/>
            <w:left w:val="none" w:sz="0" w:space="0" w:color="auto"/>
            <w:bottom w:val="none" w:sz="0" w:space="0" w:color="auto"/>
            <w:right w:val="none" w:sz="0" w:space="0" w:color="auto"/>
          </w:divBdr>
          <w:divsChild>
            <w:div w:id="146241113">
              <w:marLeft w:val="0"/>
              <w:marRight w:val="0"/>
              <w:marTop w:val="0"/>
              <w:marBottom w:val="0"/>
              <w:divBdr>
                <w:top w:val="none" w:sz="0" w:space="0" w:color="auto"/>
                <w:left w:val="none" w:sz="0" w:space="0" w:color="auto"/>
                <w:bottom w:val="none" w:sz="0" w:space="0" w:color="auto"/>
                <w:right w:val="none" w:sz="0" w:space="0" w:color="auto"/>
              </w:divBdr>
              <w:divsChild>
                <w:div w:id="22099919">
                  <w:marLeft w:val="0"/>
                  <w:marRight w:val="0"/>
                  <w:marTop w:val="0"/>
                  <w:marBottom w:val="0"/>
                  <w:divBdr>
                    <w:top w:val="none" w:sz="0" w:space="0" w:color="auto"/>
                    <w:left w:val="none" w:sz="0" w:space="0" w:color="auto"/>
                    <w:bottom w:val="none" w:sz="0" w:space="0" w:color="auto"/>
                    <w:right w:val="none" w:sz="0" w:space="0" w:color="auto"/>
                  </w:divBdr>
                  <w:divsChild>
                    <w:div w:id="1526207659">
                      <w:marLeft w:val="0"/>
                      <w:marRight w:val="0"/>
                      <w:marTop w:val="0"/>
                      <w:marBottom w:val="0"/>
                      <w:divBdr>
                        <w:top w:val="none" w:sz="0" w:space="0" w:color="auto"/>
                        <w:left w:val="none" w:sz="0" w:space="0" w:color="auto"/>
                        <w:bottom w:val="none" w:sz="0" w:space="0" w:color="auto"/>
                        <w:right w:val="none" w:sz="0" w:space="0" w:color="auto"/>
                      </w:divBdr>
                      <w:divsChild>
                        <w:div w:id="166330667">
                          <w:marLeft w:val="0"/>
                          <w:marRight w:val="0"/>
                          <w:marTop w:val="0"/>
                          <w:marBottom w:val="0"/>
                          <w:divBdr>
                            <w:top w:val="none" w:sz="0" w:space="0" w:color="auto"/>
                            <w:left w:val="none" w:sz="0" w:space="0" w:color="auto"/>
                            <w:bottom w:val="none" w:sz="0" w:space="0" w:color="auto"/>
                            <w:right w:val="none" w:sz="0" w:space="0" w:color="auto"/>
                          </w:divBdr>
                          <w:divsChild>
                            <w:div w:id="72129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2205135">
      <w:bodyDiv w:val="1"/>
      <w:marLeft w:val="0"/>
      <w:marRight w:val="0"/>
      <w:marTop w:val="0"/>
      <w:marBottom w:val="0"/>
      <w:divBdr>
        <w:top w:val="none" w:sz="0" w:space="0" w:color="auto"/>
        <w:left w:val="none" w:sz="0" w:space="0" w:color="auto"/>
        <w:bottom w:val="none" w:sz="0" w:space="0" w:color="auto"/>
        <w:right w:val="none" w:sz="0" w:space="0" w:color="auto"/>
      </w:divBdr>
      <w:divsChild>
        <w:div w:id="1735617689">
          <w:marLeft w:val="0"/>
          <w:marRight w:val="0"/>
          <w:marTop w:val="0"/>
          <w:marBottom w:val="0"/>
          <w:divBdr>
            <w:top w:val="none" w:sz="0" w:space="0" w:color="auto"/>
            <w:left w:val="none" w:sz="0" w:space="0" w:color="auto"/>
            <w:bottom w:val="none" w:sz="0" w:space="0" w:color="auto"/>
            <w:right w:val="none" w:sz="0" w:space="0" w:color="auto"/>
          </w:divBdr>
          <w:divsChild>
            <w:div w:id="482745719">
              <w:marLeft w:val="0"/>
              <w:marRight w:val="0"/>
              <w:marTop w:val="0"/>
              <w:marBottom w:val="0"/>
              <w:divBdr>
                <w:top w:val="none" w:sz="0" w:space="0" w:color="auto"/>
                <w:left w:val="none" w:sz="0" w:space="0" w:color="auto"/>
                <w:bottom w:val="none" w:sz="0" w:space="0" w:color="auto"/>
                <w:right w:val="none" w:sz="0" w:space="0" w:color="auto"/>
              </w:divBdr>
              <w:divsChild>
                <w:div w:id="910582048">
                  <w:marLeft w:val="0"/>
                  <w:marRight w:val="0"/>
                  <w:marTop w:val="0"/>
                  <w:marBottom w:val="0"/>
                  <w:divBdr>
                    <w:top w:val="none" w:sz="0" w:space="0" w:color="auto"/>
                    <w:left w:val="none" w:sz="0" w:space="0" w:color="auto"/>
                    <w:bottom w:val="none" w:sz="0" w:space="0" w:color="auto"/>
                    <w:right w:val="none" w:sz="0" w:space="0" w:color="auto"/>
                  </w:divBdr>
                  <w:divsChild>
                    <w:div w:id="1484277726">
                      <w:marLeft w:val="0"/>
                      <w:marRight w:val="0"/>
                      <w:marTop w:val="0"/>
                      <w:marBottom w:val="0"/>
                      <w:divBdr>
                        <w:top w:val="none" w:sz="0" w:space="0" w:color="auto"/>
                        <w:left w:val="none" w:sz="0" w:space="0" w:color="auto"/>
                        <w:bottom w:val="none" w:sz="0" w:space="0" w:color="auto"/>
                        <w:right w:val="none" w:sz="0" w:space="0" w:color="auto"/>
                      </w:divBdr>
                      <w:divsChild>
                        <w:div w:id="2013872201">
                          <w:marLeft w:val="0"/>
                          <w:marRight w:val="0"/>
                          <w:marTop w:val="0"/>
                          <w:marBottom w:val="0"/>
                          <w:divBdr>
                            <w:top w:val="none" w:sz="0" w:space="0" w:color="auto"/>
                            <w:left w:val="none" w:sz="0" w:space="0" w:color="auto"/>
                            <w:bottom w:val="none" w:sz="0" w:space="0" w:color="auto"/>
                            <w:right w:val="none" w:sz="0" w:space="0" w:color="auto"/>
                          </w:divBdr>
                          <w:divsChild>
                            <w:div w:id="138197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68187675">
      <w:bodyDiv w:val="1"/>
      <w:marLeft w:val="0"/>
      <w:marRight w:val="0"/>
      <w:marTop w:val="0"/>
      <w:marBottom w:val="0"/>
      <w:divBdr>
        <w:top w:val="none" w:sz="0" w:space="0" w:color="auto"/>
        <w:left w:val="none" w:sz="0" w:space="0" w:color="auto"/>
        <w:bottom w:val="none" w:sz="0" w:space="0" w:color="auto"/>
        <w:right w:val="none" w:sz="0" w:space="0" w:color="auto"/>
      </w:divBdr>
      <w:divsChild>
        <w:div w:id="2093889352">
          <w:marLeft w:val="0"/>
          <w:marRight w:val="0"/>
          <w:marTop w:val="0"/>
          <w:marBottom w:val="0"/>
          <w:divBdr>
            <w:top w:val="none" w:sz="0" w:space="0" w:color="auto"/>
            <w:left w:val="none" w:sz="0" w:space="0" w:color="auto"/>
            <w:bottom w:val="none" w:sz="0" w:space="0" w:color="auto"/>
            <w:right w:val="none" w:sz="0" w:space="0" w:color="auto"/>
          </w:divBdr>
          <w:divsChild>
            <w:div w:id="449519014">
              <w:marLeft w:val="0"/>
              <w:marRight w:val="0"/>
              <w:marTop w:val="0"/>
              <w:marBottom w:val="0"/>
              <w:divBdr>
                <w:top w:val="none" w:sz="0" w:space="0" w:color="auto"/>
                <w:left w:val="none" w:sz="0" w:space="0" w:color="auto"/>
                <w:bottom w:val="none" w:sz="0" w:space="0" w:color="auto"/>
                <w:right w:val="none" w:sz="0" w:space="0" w:color="auto"/>
              </w:divBdr>
              <w:divsChild>
                <w:div w:id="2119643307">
                  <w:marLeft w:val="0"/>
                  <w:marRight w:val="0"/>
                  <w:marTop w:val="0"/>
                  <w:marBottom w:val="0"/>
                  <w:divBdr>
                    <w:top w:val="none" w:sz="0" w:space="0" w:color="auto"/>
                    <w:left w:val="none" w:sz="0" w:space="0" w:color="auto"/>
                    <w:bottom w:val="none" w:sz="0" w:space="0" w:color="auto"/>
                    <w:right w:val="none" w:sz="0" w:space="0" w:color="auto"/>
                  </w:divBdr>
                  <w:divsChild>
                    <w:div w:id="335889683">
                      <w:marLeft w:val="0"/>
                      <w:marRight w:val="0"/>
                      <w:marTop w:val="0"/>
                      <w:marBottom w:val="0"/>
                      <w:divBdr>
                        <w:top w:val="none" w:sz="0" w:space="0" w:color="auto"/>
                        <w:left w:val="none" w:sz="0" w:space="0" w:color="auto"/>
                        <w:bottom w:val="none" w:sz="0" w:space="0" w:color="auto"/>
                        <w:right w:val="none" w:sz="0" w:space="0" w:color="auto"/>
                      </w:divBdr>
                      <w:divsChild>
                        <w:div w:id="1892110929">
                          <w:marLeft w:val="0"/>
                          <w:marRight w:val="0"/>
                          <w:marTop w:val="0"/>
                          <w:marBottom w:val="0"/>
                          <w:divBdr>
                            <w:top w:val="none" w:sz="0" w:space="0" w:color="auto"/>
                            <w:left w:val="none" w:sz="0" w:space="0" w:color="auto"/>
                            <w:bottom w:val="none" w:sz="0" w:space="0" w:color="auto"/>
                            <w:right w:val="none" w:sz="0" w:space="0" w:color="auto"/>
                          </w:divBdr>
                          <w:divsChild>
                            <w:div w:id="185677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5818987">
      <w:bodyDiv w:val="1"/>
      <w:marLeft w:val="0"/>
      <w:marRight w:val="0"/>
      <w:marTop w:val="0"/>
      <w:marBottom w:val="0"/>
      <w:divBdr>
        <w:top w:val="none" w:sz="0" w:space="0" w:color="auto"/>
        <w:left w:val="none" w:sz="0" w:space="0" w:color="auto"/>
        <w:bottom w:val="none" w:sz="0" w:space="0" w:color="auto"/>
        <w:right w:val="none" w:sz="0" w:space="0" w:color="auto"/>
      </w:divBdr>
      <w:divsChild>
        <w:div w:id="310252888">
          <w:marLeft w:val="0"/>
          <w:marRight w:val="0"/>
          <w:marTop w:val="0"/>
          <w:marBottom w:val="0"/>
          <w:divBdr>
            <w:top w:val="none" w:sz="0" w:space="0" w:color="auto"/>
            <w:left w:val="none" w:sz="0" w:space="0" w:color="auto"/>
            <w:bottom w:val="none" w:sz="0" w:space="0" w:color="auto"/>
            <w:right w:val="none" w:sz="0" w:space="0" w:color="auto"/>
          </w:divBdr>
          <w:divsChild>
            <w:div w:id="1345938029">
              <w:marLeft w:val="0"/>
              <w:marRight w:val="0"/>
              <w:marTop w:val="0"/>
              <w:marBottom w:val="0"/>
              <w:divBdr>
                <w:top w:val="none" w:sz="0" w:space="0" w:color="auto"/>
                <w:left w:val="none" w:sz="0" w:space="0" w:color="auto"/>
                <w:bottom w:val="none" w:sz="0" w:space="0" w:color="auto"/>
                <w:right w:val="none" w:sz="0" w:space="0" w:color="auto"/>
              </w:divBdr>
              <w:divsChild>
                <w:div w:id="1234047570">
                  <w:marLeft w:val="0"/>
                  <w:marRight w:val="0"/>
                  <w:marTop w:val="0"/>
                  <w:marBottom w:val="0"/>
                  <w:divBdr>
                    <w:top w:val="none" w:sz="0" w:space="0" w:color="auto"/>
                    <w:left w:val="none" w:sz="0" w:space="0" w:color="auto"/>
                    <w:bottom w:val="none" w:sz="0" w:space="0" w:color="auto"/>
                    <w:right w:val="none" w:sz="0" w:space="0" w:color="auto"/>
                  </w:divBdr>
                  <w:divsChild>
                    <w:div w:id="378751300">
                      <w:marLeft w:val="0"/>
                      <w:marRight w:val="0"/>
                      <w:marTop w:val="0"/>
                      <w:marBottom w:val="0"/>
                      <w:divBdr>
                        <w:top w:val="none" w:sz="0" w:space="0" w:color="auto"/>
                        <w:left w:val="none" w:sz="0" w:space="0" w:color="auto"/>
                        <w:bottom w:val="none" w:sz="0" w:space="0" w:color="auto"/>
                        <w:right w:val="none" w:sz="0" w:space="0" w:color="auto"/>
                      </w:divBdr>
                      <w:divsChild>
                        <w:div w:id="322709307">
                          <w:marLeft w:val="0"/>
                          <w:marRight w:val="0"/>
                          <w:marTop w:val="0"/>
                          <w:marBottom w:val="0"/>
                          <w:divBdr>
                            <w:top w:val="none" w:sz="0" w:space="0" w:color="auto"/>
                            <w:left w:val="none" w:sz="0" w:space="0" w:color="auto"/>
                            <w:bottom w:val="none" w:sz="0" w:space="0" w:color="auto"/>
                            <w:right w:val="none" w:sz="0" w:space="0" w:color="auto"/>
                          </w:divBdr>
                          <w:divsChild>
                            <w:div w:id="2019042173">
                              <w:marLeft w:val="0"/>
                              <w:marRight w:val="0"/>
                              <w:marTop w:val="0"/>
                              <w:marBottom w:val="0"/>
                              <w:divBdr>
                                <w:top w:val="none" w:sz="0" w:space="0" w:color="auto"/>
                                <w:left w:val="none" w:sz="0" w:space="0" w:color="auto"/>
                                <w:bottom w:val="none" w:sz="0" w:space="0" w:color="auto"/>
                                <w:right w:val="none" w:sz="0" w:space="0" w:color="auto"/>
                              </w:divBdr>
                              <w:divsChild>
                                <w:div w:id="1744790848">
                                  <w:marLeft w:val="0"/>
                                  <w:marRight w:val="0"/>
                                  <w:marTop w:val="0"/>
                                  <w:marBottom w:val="0"/>
                                  <w:divBdr>
                                    <w:top w:val="none" w:sz="0" w:space="0" w:color="auto"/>
                                    <w:left w:val="none" w:sz="0" w:space="0" w:color="auto"/>
                                    <w:bottom w:val="none" w:sz="0" w:space="0" w:color="auto"/>
                                    <w:right w:val="none" w:sz="0" w:space="0" w:color="auto"/>
                                  </w:divBdr>
                                  <w:divsChild>
                                    <w:div w:id="1748729727">
                                      <w:marLeft w:val="0"/>
                                      <w:marRight w:val="0"/>
                                      <w:marTop w:val="0"/>
                                      <w:marBottom w:val="0"/>
                                      <w:divBdr>
                                        <w:top w:val="none" w:sz="0" w:space="0" w:color="auto"/>
                                        <w:left w:val="none" w:sz="0" w:space="0" w:color="auto"/>
                                        <w:bottom w:val="none" w:sz="0" w:space="0" w:color="auto"/>
                                        <w:right w:val="none" w:sz="0" w:space="0" w:color="auto"/>
                                      </w:divBdr>
                                      <w:divsChild>
                                        <w:div w:id="395124844">
                                          <w:marLeft w:val="0"/>
                                          <w:marRight w:val="0"/>
                                          <w:marTop w:val="0"/>
                                          <w:marBottom w:val="0"/>
                                          <w:divBdr>
                                            <w:top w:val="none" w:sz="0" w:space="0" w:color="auto"/>
                                            <w:left w:val="none" w:sz="0" w:space="0" w:color="auto"/>
                                            <w:bottom w:val="none" w:sz="0" w:space="0" w:color="auto"/>
                                            <w:right w:val="none" w:sz="0" w:space="0" w:color="auto"/>
                                          </w:divBdr>
                                          <w:divsChild>
                                            <w:div w:id="1574126027">
                                              <w:marLeft w:val="0"/>
                                              <w:marRight w:val="0"/>
                                              <w:marTop w:val="0"/>
                                              <w:marBottom w:val="0"/>
                                              <w:divBdr>
                                                <w:top w:val="none" w:sz="0" w:space="0" w:color="auto"/>
                                                <w:left w:val="none" w:sz="0" w:space="0" w:color="auto"/>
                                                <w:bottom w:val="none" w:sz="0" w:space="0" w:color="auto"/>
                                                <w:right w:val="none" w:sz="0" w:space="0" w:color="auto"/>
                                              </w:divBdr>
                                              <w:divsChild>
                                                <w:div w:id="698704145">
                                                  <w:marLeft w:val="0"/>
                                                  <w:marRight w:val="0"/>
                                                  <w:marTop w:val="0"/>
                                                  <w:marBottom w:val="0"/>
                                                  <w:divBdr>
                                                    <w:top w:val="none" w:sz="0" w:space="0" w:color="auto"/>
                                                    <w:left w:val="none" w:sz="0" w:space="0" w:color="auto"/>
                                                    <w:bottom w:val="none" w:sz="0" w:space="0" w:color="auto"/>
                                                    <w:right w:val="none" w:sz="0" w:space="0" w:color="auto"/>
                                                  </w:divBdr>
                                                  <w:divsChild>
                                                    <w:div w:id="50975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0530359">
      <w:bodyDiv w:val="1"/>
      <w:marLeft w:val="0"/>
      <w:marRight w:val="0"/>
      <w:marTop w:val="0"/>
      <w:marBottom w:val="0"/>
      <w:divBdr>
        <w:top w:val="none" w:sz="0" w:space="0" w:color="auto"/>
        <w:left w:val="none" w:sz="0" w:space="0" w:color="auto"/>
        <w:bottom w:val="none" w:sz="0" w:space="0" w:color="auto"/>
        <w:right w:val="none" w:sz="0" w:space="0" w:color="auto"/>
      </w:divBdr>
      <w:divsChild>
        <w:div w:id="760495605">
          <w:marLeft w:val="0"/>
          <w:marRight w:val="0"/>
          <w:marTop w:val="0"/>
          <w:marBottom w:val="0"/>
          <w:divBdr>
            <w:top w:val="none" w:sz="0" w:space="0" w:color="auto"/>
            <w:left w:val="none" w:sz="0" w:space="0" w:color="auto"/>
            <w:bottom w:val="none" w:sz="0" w:space="0" w:color="auto"/>
            <w:right w:val="none" w:sz="0" w:space="0" w:color="auto"/>
          </w:divBdr>
          <w:divsChild>
            <w:div w:id="731729663">
              <w:marLeft w:val="0"/>
              <w:marRight w:val="0"/>
              <w:marTop w:val="0"/>
              <w:marBottom w:val="0"/>
              <w:divBdr>
                <w:top w:val="none" w:sz="0" w:space="0" w:color="auto"/>
                <w:left w:val="none" w:sz="0" w:space="0" w:color="auto"/>
                <w:bottom w:val="none" w:sz="0" w:space="0" w:color="auto"/>
                <w:right w:val="none" w:sz="0" w:space="0" w:color="auto"/>
              </w:divBdr>
              <w:divsChild>
                <w:div w:id="1441097793">
                  <w:marLeft w:val="0"/>
                  <w:marRight w:val="0"/>
                  <w:marTop w:val="0"/>
                  <w:marBottom w:val="0"/>
                  <w:divBdr>
                    <w:top w:val="none" w:sz="0" w:space="0" w:color="auto"/>
                    <w:left w:val="none" w:sz="0" w:space="0" w:color="auto"/>
                    <w:bottom w:val="none" w:sz="0" w:space="0" w:color="auto"/>
                    <w:right w:val="none" w:sz="0" w:space="0" w:color="auto"/>
                  </w:divBdr>
                  <w:divsChild>
                    <w:div w:id="2061205165">
                      <w:marLeft w:val="0"/>
                      <w:marRight w:val="0"/>
                      <w:marTop w:val="0"/>
                      <w:marBottom w:val="0"/>
                      <w:divBdr>
                        <w:top w:val="none" w:sz="0" w:space="0" w:color="auto"/>
                        <w:left w:val="none" w:sz="0" w:space="0" w:color="auto"/>
                        <w:bottom w:val="none" w:sz="0" w:space="0" w:color="auto"/>
                        <w:right w:val="none" w:sz="0" w:space="0" w:color="auto"/>
                      </w:divBdr>
                      <w:divsChild>
                        <w:div w:id="387657147">
                          <w:marLeft w:val="0"/>
                          <w:marRight w:val="0"/>
                          <w:marTop w:val="0"/>
                          <w:marBottom w:val="0"/>
                          <w:divBdr>
                            <w:top w:val="none" w:sz="0" w:space="0" w:color="auto"/>
                            <w:left w:val="none" w:sz="0" w:space="0" w:color="auto"/>
                            <w:bottom w:val="none" w:sz="0" w:space="0" w:color="auto"/>
                            <w:right w:val="none" w:sz="0" w:space="0" w:color="auto"/>
                          </w:divBdr>
                          <w:divsChild>
                            <w:div w:id="118882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D212C-6A25-42F1-B072-D0A35974C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8789</Words>
  <Characters>52740</Characters>
  <Application>Microsoft Office Word</Application>
  <DocSecurity>4</DocSecurity>
  <Lines>439</Lines>
  <Paragraphs>122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2020-01-30T10:55:00Z</dcterms:created>
  <dcterms:modified xsi:type="dcterms:W3CDTF">2020-01-30T10:55:00Z</dcterms:modified>
</cp:coreProperties>
</file>