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8955F7" w14:textId="77777777" w:rsidR="009556B2" w:rsidRPr="00DA2125" w:rsidRDefault="00C75D57" w:rsidP="009556B2">
      <w:pPr>
        <w:jc w:val="center"/>
      </w:pPr>
      <w:bookmarkStart w:id="0" w:name="_GoBack"/>
      <w:bookmarkEnd w:id="0"/>
      <w:r>
        <w:t>EUROPEJSKI TRYBUNAŁ PRAW CZŁOWIEKA</w:t>
      </w:r>
    </w:p>
    <w:p w14:paraId="3BB3ED2D" w14:textId="77777777" w:rsidR="009556B2" w:rsidRPr="00DA2125" w:rsidRDefault="009556B2" w:rsidP="009556B2">
      <w:pPr>
        <w:jc w:val="center"/>
      </w:pPr>
    </w:p>
    <w:p w14:paraId="009EA859" w14:textId="77777777" w:rsidR="009556B2" w:rsidRPr="00DA2125" w:rsidRDefault="009556B2" w:rsidP="009556B2">
      <w:pPr>
        <w:jc w:val="center"/>
      </w:pPr>
    </w:p>
    <w:p w14:paraId="61AD1F5E" w14:textId="77777777" w:rsidR="009556B2" w:rsidRPr="00DA2125" w:rsidRDefault="009556B2" w:rsidP="009556B2">
      <w:pPr>
        <w:jc w:val="center"/>
      </w:pPr>
      <w:r>
        <w:t>SEKCJA TRZECIA</w:t>
      </w:r>
    </w:p>
    <w:p w14:paraId="49994C77" w14:textId="77777777" w:rsidR="009556B2" w:rsidRPr="00DA2125" w:rsidRDefault="009556B2" w:rsidP="009556B2">
      <w:pPr>
        <w:jc w:val="center"/>
      </w:pPr>
    </w:p>
    <w:p w14:paraId="19174514" w14:textId="77777777" w:rsidR="009556B2" w:rsidRPr="00DA2125" w:rsidRDefault="009556B2" w:rsidP="009556B2">
      <w:pPr>
        <w:jc w:val="center"/>
      </w:pPr>
    </w:p>
    <w:p w14:paraId="2CC1CD8F" w14:textId="77777777" w:rsidR="009556B2" w:rsidRPr="00DA2125" w:rsidRDefault="009556B2" w:rsidP="009556B2">
      <w:pPr>
        <w:jc w:val="center"/>
      </w:pPr>
    </w:p>
    <w:p w14:paraId="21F7B0C1" w14:textId="77777777" w:rsidR="009556B2" w:rsidRPr="00DA2125" w:rsidRDefault="009556B2" w:rsidP="009556B2">
      <w:pPr>
        <w:jc w:val="center"/>
      </w:pPr>
    </w:p>
    <w:p w14:paraId="3644B2BB" w14:textId="77777777" w:rsidR="009556B2" w:rsidRPr="00DA2125" w:rsidRDefault="009556B2" w:rsidP="009556B2">
      <w:pPr>
        <w:jc w:val="center"/>
      </w:pPr>
    </w:p>
    <w:p w14:paraId="048988E1" w14:textId="77777777" w:rsidR="009556B2" w:rsidRPr="00DA2125" w:rsidRDefault="009556B2" w:rsidP="009556B2">
      <w:pPr>
        <w:jc w:val="center"/>
      </w:pPr>
    </w:p>
    <w:p w14:paraId="2B54C428" w14:textId="77777777" w:rsidR="009556B2" w:rsidRPr="00DA2125" w:rsidRDefault="009556B2" w:rsidP="009556B2">
      <w:pPr>
        <w:jc w:val="center"/>
      </w:pPr>
    </w:p>
    <w:p w14:paraId="6DF5F0A5" w14:textId="77777777" w:rsidR="009556B2" w:rsidRPr="00DA2125" w:rsidRDefault="009556B2" w:rsidP="009556B2">
      <w:pPr>
        <w:jc w:val="center"/>
        <w:rPr>
          <w:b/>
        </w:rPr>
      </w:pPr>
      <w:r>
        <w:rPr>
          <w:b/>
        </w:rPr>
        <w:t>SPRAWA YEVGENIY ZAKHAROV przeciwko ROSJI</w:t>
      </w:r>
    </w:p>
    <w:p w14:paraId="0F1DDA0A" w14:textId="77777777" w:rsidR="009556B2" w:rsidRPr="00DA2125" w:rsidRDefault="009556B2" w:rsidP="009556B2">
      <w:pPr>
        <w:jc w:val="center"/>
      </w:pPr>
    </w:p>
    <w:p w14:paraId="07425AEC" w14:textId="7982C9F3" w:rsidR="009556B2" w:rsidRPr="00DA2125" w:rsidRDefault="009556B2" w:rsidP="009556B2">
      <w:pPr>
        <w:jc w:val="center"/>
        <w:rPr>
          <w:i/>
        </w:rPr>
      </w:pPr>
      <w:r>
        <w:rPr>
          <w:i/>
        </w:rPr>
        <w:t>(Skarga nr</w:t>
      </w:r>
      <w:r w:rsidR="00C43971">
        <w:rPr>
          <w:i/>
        </w:rPr>
        <w:t xml:space="preserve"> </w:t>
      </w:r>
      <w:r>
        <w:rPr>
          <w:i/>
        </w:rPr>
        <w:t>66610/10)</w:t>
      </w:r>
    </w:p>
    <w:p w14:paraId="17A6C66F" w14:textId="77777777" w:rsidR="009556B2" w:rsidRPr="00DA2125" w:rsidRDefault="009556B2" w:rsidP="009556B2">
      <w:pPr>
        <w:jc w:val="center"/>
      </w:pPr>
    </w:p>
    <w:p w14:paraId="74175ABA" w14:textId="77777777" w:rsidR="009556B2" w:rsidRPr="00DA2125" w:rsidRDefault="009556B2" w:rsidP="009556B2">
      <w:pPr>
        <w:jc w:val="center"/>
      </w:pPr>
    </w:p>
    <w:p w14:paraId="3F007992" w14:textId="77777777" w:rsidR="009556B2" w:rsidRPr="00DA2125" w:rsidRDefault="009556B2" w:rsidP="009556B2">
      <w:pPr>
        <w:jc w:val="center"/>
      </w:pPr>
    </w:p>
    <w:p w14:paraId="1044B461" w14:textId="77777777" w:rsidR="009556B2" w:rsidRPr="00DA2125" w:rsidRDefault="009556B2" w:rsidP="009556B2">
      <w:pPr>
        <w:jc w:val="center"/>
      </w:pPr>
    </w:p>
    <w:p w14:paraId="36C894A7" w14:textId="77777777" w:rsidR="009556B2" w:rsidRPr="00DA2125" w:rsidRDefault="009556B2" w:rsidP="009556B2">
      <w:pPr>
        <w:jc w:val="center"/>
      </w:pPr>
    </w:p>
    <w:p w14:paraId="47FB92F9" w14:textId="77777777" w:rsidR="009556B2" w:rsidRPr="00DA2125" w:rsidRDefault="009556B2" w:rsidP="009556B2">
      <w:pPr>
        <w:jc w:val="center"/>
      </w:pPr>
    </w:p>
    <w:p w14:paraId="19423F2A" w14:textId="77777777" w:rsidR="009556B2" w:rsidRPr="00DA2125" w:rsidRDefault="009556B2" w:rsidP="009556B2">
      <w:pPr>
        <w:jc w:val="center"/>
      </w:pPr>
    </w:p>
    <w:p w14:paraId="1D7DE688" w14:textId="77777777" w:rsidR="009556B2" w:rsidRPr="00DA2125" w:rsidRDefault="009556B2" w:rsidP="009556B2">
      <w:pPr>
        <w:jc w:val="center"/>
        <w:rPr>
          <w:szCs w:val="24"/>
        </w:rPr>
      </w:pPr>
      <w:r>
        <w:t>WYROK</w:t>
      </w:r>
    </w:p>
    <w:p w14:paraId="0201B2B2" w14:textId="77777777" w:rsidR="009556B2" w:rsidRPr="00DA2125" w:rsidRDefault="009556B2" w:rsidP="009556B2">
      <w:pPr>
        <w:jc w:val="center"/>
        <w:rPr>
          <w:szCs w:val="24"/>
        </w:rPr>
      </w:pPr>
    </w:p>
    <w:p w14:paraId="16310E7D" w14:textId="77777777" w:rsidR="009556B2" w:rsidRPr="00DA2125" w:rsidRDefault="009556B2" w:rsidP="009556B2">
      <w:pPr>
        <w:pStyle w:val="JuCase"/>
        <w:ind w:firstLine="0"/>
        <w:jc w:val="center"/>
        <w:rPr>
          <w:b w:val="0"/>
        </w:rPr>
      </w:pPr>
    </w:p>
    <w:p w14:paraId="73059140" w14:textId="77777777" w:rsidR="009556B2" w:rsidRPr="00DA2125" w:rsidRDefault="009556B2" w:rsidP="009556B2">
      <w:pPr>
        <w:pStyle w:val="JuCase"/>
        <w:ind w:firstLine="0"/>
        <w:jc w:val="center"/>
        <w:rPr>
          <w:b w:val="0"/>
        </w:rPr>
      </w:pPr>
      <w:r>
        <w:rPr>
          <w:b w:val="0"/>
        </w:rPr>
        <w:t>STRASBURG</w:t>
      </w:r>
    </w:p>
    <w:p w14:paraId="37A22BCD" w14:textId="77777777" w:rsidR="009556B2" w:rsidRPr="00DA2125" w:rsidRDefault="009556B2" w:rsidP="009556B2">
      <w:pPr>
        <w:pStyle w:val="JuCase"/>
        <w:ind w:firstLine="0"/>
        <w:jc w:val="center"/>
        <w:rPr>
          <w:b w:val="0"/>
        </w:rPr>
      </w:pPr>
    </w:p>
    <w:p w14:paraId="63773282" w14:textId="298A678A" w:rsidR="009556B2" w:rsidRPr="00DA2125" w:rsidRDefault="009556B2" w:rsidP="009556B2">
      <w:pPr>
        <w:pStyle w:val="JuCase"/>
        <w:ind w:firstLine="0"/>
        <w:jc w:val="center"/>
        <w:rPr>
          <w:b w:val="0"/>
        </w:rPr>
      </w:pPr>
      <w:r>
        <w:rPr>
          <w:b w:val="0"/>
        </w:rPr>
        <w:t>14 marca 2017</w:t>
      </w:r>
      <w:r w:rsidR="00C43971">
        <w:rPr>
          <w:b w:val="0"/>
        </w:rPr>
        <w:t xml:space="preserve"> </w:t>
      </w:r>
      <w:r>
        <w:rPr>
          <w:b w:val="0"/>
        </w:rPr>
        <w:t>r.</w:t>
      </w:r>
    </w:p>
    <w:p w14:paraId="6ED999AA" w14:textId="77777777" w:rsidR="009556B2" w:rsidRPr="00DA2125" w:rsidRDefault="009556B2" w:rsidP="009556B2">
      <w:pPr>
        <w:pStyle w:val="JuCase"/>
        <w:ind w:firstLine="0"/>
        <w:jc w:val="center"/>
        <w:rPr>
          <w:b w:val="0"/>
        </w:rPr>
      </w:pPr>
    </w:p>
    <w:p w14:paraId="2CE8F2F0" w14:textId="77777777" w:rsidR="009556B2" w:rsidRPr="00DA2125" w:rsidRDefault="009556B2" w:rsidP="009556B2">
      <w:pPr>
        <w:pStyle w:val="JuCase"/>
        <w:ind w:firstLine="0"/>
        <w:jc w:val="center"/>
        <w:rPr>
          <w:b w:val="0"/>
        </w:rPr>
      </w:pPr>
    </w:p>
    <w:p w14:paraId="7FBCB57A" w14:textId="77777777" w:rsidR="009556B2" w:rsidRPr="00DA2125" w:rsidRDefault="009556B2" w:rsidP="009556B2">
      <w:pPr>
        <w:pStyle w:val="JuCase"/>
        <w:ind w:firstLine="0"/>
        <w:jc w:val="center"/>
        <w:rPr>
          <w:b w:val="0"/>
        </w:rPr>
      </w:pPr>
    </w:p>
    <w:p w14:paraId="058B16CA" w14:textId="77777777" w:rsidR="009556B2" w:rsidRPr="00DA2125" w:rsidRDefault="009556B2" w:rsidP="009556B2">
      <w:pPr>
        <w:pStyle w:val="jucase0"/>
        <w:ind w:firstLine="0"/>
        <w:jc w:val="center"/>
        <w:rPr>
          <w:color w:val="FF0000"/>
          <w:sz w:val="28"/>
          <w:szCs w:val="28"/>
          <w:u w:val="single"/>
        </w:rPr>
      </w:pPr>
      <w:r>
        <w:rPr>
          <w:color w:val="FF0000"/>
          <w:sz w:val="28"/>
          <w:u w:val="single"/>
        </w:rPr>
        <w:t>OSTATECZNY</w:t>
      </w:r>
    </w:p>
    <w:p w14:paraId="43F5F476" w14:textId="77777777" w:rsidR="009556B2" w:rsidRPr="00DA2125" w:rsidRDefault="009556B2" w:rsidP="009556B2">
      <w:pPr>
        <w:pStyle w:val="jupara"/>
        <w:tabs>
          <w:tab w:val="left" w:pos="4650"/>
        </w:tabs>
        <w:ind w:firstLine="0"/>
        <w:jc w:val="center"/>
        <w:rPr>
          <w:color w:val="FF0000"/>
          <w:sz w:val="28"/>
          <w:szCs w:val="28"/>
        </w:rPr>
      </w:pPr>
    </w:p>
    <w:p w14:paraId="4DB02BBB" w14:textId="77777777" w:rsidR="009556B2" w:rsidRPr="00DA2125" w:rsidRDefault="000B1D8E" w:rsidP="009556B2">
      <w:pPr>
        <w:pStyle w:val="jupara"/>
        <w:ind w:firstLine="0"/>
        <w:jc w:val="center"/>
        <w:rPr>
          <w:color w:val="FF0000"/>
          <w:sz w:val="28"/>
          <w:szCs w:val="28"/>
        </w:rPr>
      </w:pPr>
      <w:r>
        <w:rPr>
          <w:color w:val="FF0000"/>
          <w:sz w:val="28"/>
        </w:rPr>
        <w:t>18/09/2017</w:t>
      </w:r>
    </w:p>
    <w:p w14:paraId="7A8A8F1B" w14:textId="77777777" w:rsidR="009556B2" w:rsidRPr="00DA2125" w:rsidRDefault="009556B2" w:rsidP="009556B2">
      <w:pPr>
        <w:pStyle w:val="jupara"/>
        <w:ind w:firstLine="0"/>
        <w:jc w:val="center"/>
      </w:pPr>
    </w:p>
    <w:p w14:paraId="30A0E769" w14:textId="1273EAE9" w:rsidR="009556B2" w:rsidRPr="00DA2125" w:rsidRDefault="009556B2" w:rsidP="009556B2">
      <w:pPr>
        <w:jc w:val="center"/>
        <w:rPr>
          <w:i/>
          <w:iCs/>
          <w:sz w:val="22"/>
        </w:rPr>
      </w:pPr>
      <w:r>
        <w:rPr>
          <w:i/>
          <w:sz w:val="22"/>
        </w:rPr>
        <w:t xml:space="preserve">Wyrok ten stał się ostateczny </w:t>
      </w:r>
      <w:r w:rsidR="00F4319B">
        <w:rPr>
          <w:i/>
          <w:sz w:val="22"/>
        </w:rPr>
        <w:t>na podstawie</w:t>
      </w:r>
      <w:r>
        <w:rPr>
          <w:i/>
          <w:sz w:val="22"/>
        </w:rPr>
        <w:t xml:space="preserve"> art.</w:t>
      </w:r>
      <w:r w:rsidR="00C43971">
        <w:rPr>
          <w:i/>
          <w:sz w:val="22"/>
        </w:rPr>
        <w:t xml:space="preserve"> </w:t>
      </w:r>
      <w:r>
        <w:rPr>
          <w:i/>
          <w:sz w:val="22"/>
        </w:rPr>
        <w:t>44 ust.</w:t>
      </w:r>
      <w:r w:rsidR="00C43971">
        <w:rPr>
          <w:i/>
          <w:sz w:val="22"/>
        </w:rPr>
        <w:t xml:space="preserve"> </w:t>
      </w:r>
      <w:r>
        <w:rPr>
          <w:i/>
          <w:sz w:val="22"/>
        </w:rPr>
        <w:t>2 Konwencji. Wyrok może podlegać korekcie wydawniczej.</w:t>
      </w:r>
    </w:p>
    <w:p w14:paraId="27DA7080" w14:textId="77777777" w:rsidR="009556B2" w:rsidRPr="00DA2125" w:rsidRDefault="009556B2" w:rsidP="009556B2">
      <w:pPr>
        <w:pStyle w:val="ECHRPara"/>
      </w:pPr>
    </w:p>
    <w:p w14:paraId="021AB1AD" w14:textId="77777777" w:rsidR="009556B2" w:rsidRDefault="009556B2" w:rsidP="009556B2">
      <w:pPr>
        <w:pStyle w:val="ECHRPara"/>
        <w:sectPr w:rsidR="009556B2" w:rsidSect="009556B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14:paraId="551EDEC9" w14:textId="77777777" w:rsidR="009556B2" w:rsidRPr="00532BA7" w:rsidRDefault="009556B2" w:rsidP="009556B2">
      <w:pPr>
        <w:pStyle w:val="JuCase"/>
        <w:rPr>
          <w:bCs/>
        </w:rPr>
      </w:pPr>
      <w:r>
        <w:lastRenderedPageBreak/>
        <w:t xml:space="preserve">W sprawie </w:t>
      </w:r>
      <w:r w:rsidRPr="00532BA7">
        <w:t>Yevgeniy Zakharov przeciwko Rosji</w:t>
      </w:r>
    </w:p>
    <w:p w14:paraId="1C55B3EB" w14:textId="0946A12A" w:rsidR="009556B2" w:rsidRPr="00DA2125" w:rsidRDefault="009556B2" w:rsidP="009556B2">
      <w:pPr>
        <w:pStyle w:val="ECHRPara"/>
      </w:pPr>
      <w:r>
        <w:t>Europejski Trybunał Praw Człowieka (</w:t>
      </w:r>
      <w:r w:rsidR="00532BA7">
        <w:t>Trzecia Sekcja</w:t>
      </w:r>
      <w:r>
        <w:t>), zasiadając jako Izba w składzie:</w:t>
      </w:r>
    </w:p>
    <w:p w14:paraId="1EE40242" w14:textId="77777777" w:rsidR="009556B2" w:rsidRPr="00DA2125" w:rsidRDefault="009556B2" w:rsidP="009556B2">
      <w:pPr>
        <w:pStyle w:val="ECHRDecisionBody"/>
      </w:pPr>
      <w:r>
        <w:tab/>
        <w:t>Helena Jäderblom,</w:t>
      </w:r>
      <w:r>
        <w:rPr>
          <w:i/>
        </w:rPr>
        <w:t xml:space="preserve"> Przewodnicząca,</w:t>
      </w:r>
      <w:r>
        <w:br/>
      </w:r>
      <w:r>
        <w:tab/>
        <w:t>Luis López Guerra,</w:t>
      </w:r>
      <w:r>
        <w:br/>
      </w:r>
      <w:r>
        <w:tab/>
        <w:t>Helen Keller,</w:t>
      </w:r>
      <w:r>
        <w:br/>
      </w:r>
      <w:r>
        <w:tab/>
        <w:t>Dmitry Dedov,</w:t>
      </w:r>
      <w:r>
        <w:br/>
      </w:r>
      <w:r>
        <w:tab/>
        <w:t>Pere Pastor Vilanova,</w:t>
      </w:r>
      <w:r>
        <w:br/>
      </w:r>
      <w:r>
        <w:tab/>
        <w:t>Alena Poláčková,</w:t>
      </w:r>
      <w:r>
        <w:br/>
      </w:r>
      <w:r>
        <w:tab/>
        <w:t>Georgios A. Serghides,</w:t>
      </w:r>
      <w:r>
        <w:rPr>
          <w:i/>
        </w:rPr>
        <w:t xml:space="preserve"> sędziowie,</w:t>
      </w:r>
      <w:r>
        <w:br/>
        <w:t xml:space="preserve">oraz Stephen Phillips, </w:t>
      </w:r>
      <w:r>
        <w:rPr>
          <w:i/>
        </w:rPr>
        <w:t>Kanclerz Sekcji,</w:t>
      </w:r>
    </w:p>
    <w:p w14:paraId="2C37672F" w14:textId="51C96DCD" w:rsidR="009556B2" w:rsidRPr="00DA2125" w:rsidRDefault="009556B2" w:rsidP="009556B2">
      <w:pPr>
        <w:pStyle w:val="ECHRPara"/>
      </w:pPr>
      <w:r>
        <w:t>obradując na posiedzeniu niejawnym w dniu</w:t>
      </w:r>
      <w:r w:rsidR="00C43971">
        <w:t xml:space="preserve"> </w:t>
      </w:r>
      <w:r>
        <w:t>21 lutego 2017</w:t>
      </w:r>
      <w:r w:rsidR="00C43971">
        <w:t xml:space="preserve"> </w:t>
      </w:r>
      <w:r>
        <w:t>r.,</w:t>
      </w:r>
    </w:p>
    <w:p w14:paraId="647E3B4E" w14:textId="77777777" w:rsidR="009556B2" w:rsidRPr="00DA2125" w:rsidRDefault="009556B2" w:rsidP="009556B2">
      <w:pPr>
        <w:pStyle w:val="ECHRPara"/>
      </w:pPr>
      <w:r>
        <w:t>wydaje następujący wyrok, który został przyjęty w tym dniu:</w:t>
      </w:r>
    </w:p>
    <w:p w14:paraId="59B6193E" w14:textId="77777777" w:rsidR="009556B2" w:rsidRPr="00DA2125" w:rsidRDefault="009556B2" w:rsidP="009556B2">
      <w:pPr>
        <w:pStyle w:val="ECHRTitle1"/>
      </w:pPr>
      <w:r>
        <w:t>POSTĘPOWANIE</w:t>
      </w:r>
    </w:p>
    <w:p w14:paraId="39F34DAB" w14:textId="067E8AF9" w:rsidR="009556B2" w:rsidRPr="00DA2125" w:rsidRDefault="00801FBD" w:rsidP="009556B2">
      <w:pPr>
        <w:pStyle w:val="ECHRPara"/>
      </w:pPr>
      <w:r>
        <w:rPr>
          <w:noProof/>
        </w:rPr>
        <w:t>1</w:t>
      </w:r>
      <w:r w:rsidR="009556B2">
        <w:t>.</w:t>
      </w:r>
      <w:r w:rsidR="00C43971">
        <w:t xml:space="preserve"> </w:t>
      </w:r>
      <w:r w:rsidR="009556B2">
        <w:t>Sprawa wywodzi się ze skargi (nr</w:t>
      </w:r>
      <w:r w:rsidR="00C43971">
        <w:t xml:space="preserve"> </w:t>
      </w:r>
      <w:r w:rsidR="009556B2">
        <w:t>66610/10) przeciwko Federacji Rosyjskiej, wniesionej do Trybunału na podstawie art.</w:t>
      </w:r>
      <w:r w:rsidR="00C43971">
        <w:t xml:space="preserve"> </w:t>
      </w:r>
      <w:r w:rsidR="009556B2">
        <w:t>34 Konwencji o</w:t>
      </w:r>
      <w:r w:rsidR="000F1163">
        <w:t> </w:t>
      </w:r>
      <w:r w:rsidR="009556B2">
        <w:t>ochronie praw człowieka i podstawowych wolności („Konwencji”) przez obywatela rosyjskiego, p.</w:t>
      </w:r>
      <w:r w:rsidR="00C43971">
        <w:t xml:space="preserve"> </w:t>
      </w:r>
      <w:r w:rsidR="009556B2">
        <w:t>Yevgeniya Nikolayevicha Zakharova („skarżącego”), 16 października 2010</w:t>
      </w:r>
      <w:r w:rsidR="00C43971">
        <w:t xml:space="preserve"> </w:t>
      </w:r>
      <w:r w:rsidR="009556B2">
        <w:t>r.</w:t>
      </w:r>
    </w:p>
    <w:p w14:paraId="45F77369" w14:textId="1961A4B3" w:rsidR="009556B2" w:rsidRPr="00DA2125" w:rsidRDefault="00801FBD" w:rsidP="009556B2">
      <w:pPr>
        <w:pStyle w:val="ECHRPara"/>
      </w:pPr>
      <w:r>
        <w:rPr>
          <w:noProof/>
        </w:rPr>
        <w:t>2</w:t>
      </w:r>
      <w:r w:rsidR="009556B2">
        <w:t>.</w:t>
      </w:r>
      <w:r w:rsidR="00C43971">
        <w:t xml:space="preserve"> </w:t>
      </w:r>
      <w:r w:rsidR="009556B2">
        <w:t>Skarżącemu zezwolono na przedstawienie swojej sprawy osobiście na</w:t>
      </w:r>
      <w:r w:rsidR="000F1163">
        <w:t> </w:t>
      </w:r>
      <w:r w:rsidR="009556B2">
        <w:t>podstawie Reguły</w:t>
      </w:r>
      <w:r w:rsidR="00C43971">
        <w:t xml:space="preserve"> </w:t>
      </w:r>
      <w:r w:rsidR="009556B2">
        <w:t>36 §</w:t>
      </w:r>
      <w:r w:rsidR="00C43971">
        <w:t xml:space="preserve"> </w:t>
      </w:r>
      <w:r w:rsidR="009556B2">
        <w:t xml:space="preserve">2 </w:t>
      </w:r>
      <w:r w:rsidR="009556B2">
        <w:rPr>
          <w:i/>
        </w:rPr>
        <w:t xml:space="preserve">in fine </w:t>
      </w:r>
      <w:r w:rsidR="009556B2">
        <w:t xml:space="preserve">Regulaminu Trybunału. Rząd rosyjski („Rząd”) </w:t>
      </w:r>
      <w:r w:rsidR="003B38C0">
        <w:t xml:space="preserve">reprezentował </w:t>
      </w:r>
      <w:r w:rsidR="009556B2">
        <w:t>p.</w:t>
      </w:r>
      <w:r w:rsidR="00C43971">
        <w:t xml:space="preserve"> </w:t>
      </w:r>
      <w:r w:rsidR="009556B2">
        <w:t>G.</w:t>
      </w:r>
      <w:r w:rsidR="00C43971">
        <w:t xml:space="preserve"> </w:t>
      </w:r>
      <w:r w:rsidR="009556B2">
        <w:t xml:space="preserve">Matyushkin, </w:t>
      </w:r>
      <w:r w:rsidR="0028764C" w:rsidRPr="000F1163">
        <w:t>Pełnomocnik</w:t>
      </w:r>
      <w:r w:rsidR="0028764C">
        <w:t xml:space="preserve"> </w:t>
      </w:r>
      <w:r w:rsidR="009556B2">
        <w:t xml:space="preserve">Federacji Rosyjskiej </w:t>
      </w:r>
      <w:r w:rsidR="0028764C">
        <w:t>przed Europejskim Trybunałem</w:t>
      </w:r>
      <w:r w:rsidR="009556B2">
        <w:t xml:space="preserve"> Praw Człowieka.</w:t>
      </w:r>
    </w:p>
    <w:p w14:paraId="41135843" w14:textId="53DDACF4" w:rsidR="009556B2" w:rsidRPr="00DA2125" w:rsidRDefault="00801FBD" w:rsidP="009556B2">
      <w:pPr>
        <w:pStyle w:val="ECHRPara"/>
      </w:pPr>
      <w:r>
        <w:rPr>
          <w:noProof/>
        </w:rPr>
        <w:t>3</w:t>
      </w:r>
      <w:r w:rsidR="009556B2">
        <w:t>.</w:t>
      </w:r>
      <w:r w:rsidR="00C43971">
        <w:t xml:space="preserve"> </w:t>
      </w:r>
      <w:r w:rsidR="009556B2">
        <w:t xml:space="preserve">Skarżący podnosi w szczególności, że </w:t>
      </w:r>
      <w:r w:rsidR="005D233B">
        <w:t xml:space="preserve">naruszono </w:t>
      </w:r>
      <w:r w:rsidR="009556B2">
        <w:t>jego prawo do</w:t>
      </w:r>
      <w:r w:rsidR="000F1163">
        <w:t> </w:t>
      </w:r>
      <w:r w:rsidR="009556B2">
        <w:t>poszanowania jego mieszkania.</w:t>
      </w:r>
    </w:p>
    <w:p w14:paraId="1E2DE95E" w14:textId="50A2957D" w:rsidR="009556B2" w:rsidRPr="00DA2125" w:rsidRDefault="00801FBD" w:rsidP="009556B2">
      <w:pPr>
        <w:pStyle w:val="ECHRPara"/>
      </w:pPr>
      <w:r>
        <w:rPr>
          <w:noProof/>
        </w:rPr>
        <w:t>4</w:t>
      </w:r>
      <w:r w:rsidR="009556B2">
        <w:t>.</w:t>
      </w:r>
      <w:r w:rsidR="00C43971">
        <w:t xml:space="preserve"> </w:t>
      </w:r>
      <w:r w:rsidR="009556B2">
        <w:t>W dniu</w:t>
      </w:r>
      <w:r w:rsidR="00C43971">
        <w:t xml:space="preserve"> </w:t>
      </w:r>
      <w:r w:rsidR="009556B2">
        <w:t>5</w:t>
      </w:r>
      <w:r w:rsidR="00C43971">
        <w:t xml:space="preserve"> </w:t>
      </w:r>
      <w:r w:rsidR="009556B2">
        <w:t>listopada</w:t>
      </w:r>
      <w:r w:rsidR="00C43971">
        <w:t xml:space="preserve"> </w:t>
      </w:r>
      <w:r w:rsidR="009556B2">
        <w:t>2015</w:t>
      </w:r>
      <w:r w:rsidR="00C43971">
        <w:t xml:space="preserve"> </w:t>
      </w:r>
      <w:r w:rsidR="009556B2">
        <w:t xml:space="preserve">r. skarga dotycząca </w:t>
      </w:r>
      <w:r w:rsidR="00C43971">
        <w:t>zarzutu</w:t>
      </w:r>
      <w:r w:rsidR="009556B2">
        <w:t xml:space="preserve"> naruszenia prawa skarżącego do poszanowania jego mieszkania została </w:t>
      </w:r>
      <w:r w:rsidR="009B47A2">
        <w:t xml:space="preserve">zakomunikowana </w:t>
      </w:r>
      <w:r w:rsidR="009556B2">
        <w:t xml:space="preserve">Rządowi, a </w:t>
      </w:r>
      <w:r w:rsidR="00F050F0">
        <w:t xml:space="preserve">pozostałą </w:t>
      </w:r>
      <w:r w:rsidR="009556B2">
        <w:t xml:space="preserve">część skargi </w:t>
      </w:r>
      <w:r w:rsidR="00F050F0">
        <w:t>uznano</w:t>
      </w:r>
      <w:r w:rsidR="009556B2">
        <w:t xml:space="preserve"> za niedopuszczalną na podstawie Reguły</w:t>
      </w:r>
      <w:r w:rsidR="00C43971">
        <w:t xml:space="preserve"> </w:t>
      </w:r>
      <w:r w:rsidR="009556B2">
        <w:t xml:space="preserve">54 </w:t>
      </w:r>
      <w:r w:rsidR="00F050F0">
        <w:t>§</w:t>
      </w:r>
      <w:r w:rsidR="00C43971">
        <w:t xml:space="preserve"> </w:t>
      </w:r>
      <w:r w:rsidR="009556B2">
        <w:t>3 Regulaminu Trybunału.</w:t>
      </w:r>
    </w:p>
    <w:p w14:paraId="625E8B9F" w14:textId="77777777" w:rsidR="009556B2" w:rsidRPr="00DA2125" w:rsidRDefault="009556B2" w:rsidP="009556B2">
      <w:pPr>
        <w:pStyle w:val="ECHRTitle1"/>
      </w:pPr>
      <w:r>
        <w:t>FAKTY</w:t>
      </w:r>
    </w:p>
    <w:p w14:paraId="601F2FBF" w14:textId="084DBC52" w:rsidR="009556B2" w:rsidRPr="00DA2125" w:rsidRDefault="009556B2" w:rsidP="009556B2">
      <w:pPr>
        <w:pStyle w:val="ECHRHeading1"/>
      </w:pPr>
      <w:r>
        <w:t>I.</w:t>
      </w:r>
      <w:r w:rsidR="00C43971">
        <w:t xml:space="preserve"> </w:t>
      </w:r>
      <w:r>
        <w:t>OKOLICZNOŚCI SPRAWY</w:t>
      </w:r>
    </w:p>
    <w:p w14:paraId="27779C30" w14:textId="2CFDFDD7" w:rsidR="009556B2" w:rsidRPr="00DA2125" w:rsidRDefault="00801FBD" w:rsidP="009556B2">
      <w:pPr>
        <w:pStyle w:val="ECHRPara"/>
      </w:pPr>
      <w:r>
        <w:rPr>
          <w:noProof/>
        </w:rPr>
        <w:t>5</w:t>
      </w:r>
      <w:r w:rsidR="009556B2">
        <w:t>.</w:t>
      </w:r>
      <w:r w:rsidR="00C43971">
        <w:t xml:space="preserve"> </w:t>
      </w:r>
      <w:r w:rsidR="009556B2">
        <w:t>Skarżący urodził się w</w:t>
      </w:r>
      <w:r w:rsidR="00C43971">
        <w:t xml:space="preserve"> </w:t>
      </w:r>
      <w:r w:rsidR="009556B2">
        <w:t>1944</w:t>
      </w:r>
      <w:r w:rsidR="00C43971">
        <w:t xml:space="preserve"> </w:t>
      </w:r>
      <w:r w:rsidR="009556B2">
        <w:t>r. i mieszka w Kaliningradzie.</w:t>
      </w:r>
    </w:p>
    <w:p w14:paraId="32AFA332" w14:textId="0A55184D" w:rsidR="009556B2" w:rsidRPr="00DA2125" w:rsidRDefault="00801FBD" w:rsidP="009556B2">
      <w:pPr>
        <w:pStyle w:val="ECHRPara"/>
      </w:pPr>
      <w:r>
        <w:rPr>
          <w:noProof/>
        </w:rPr>
        <w:t>6</w:t>
      </w:r>
      <w:r w:rsidR="009556B2">
        <w:t>.</w:t>
      </w:r>
      <w:r w:rsidR="00C43971">
        <w:t xml:space="preserve"> </w:t>
      </w:r>
      <w:r w:rsidR="009556B2">
        <w:t>Do</w:t>
      </w:r>
      <w:r w:rsidR="00C43971">
        <w:t xml:space="preserve"> </w:t>
      </w:r>
      <w:r w:rsidR="009556B2">
        <w:t>1999</w:t>
      </w:r>
      <w:r w:rsidR="00C43971">
        <w:t xml:space="preserve"> </w:t>
      </w:r>
      <w:r w:rsidR="009556B2">
        <w:t xml:space="preserve">r. skarżący pozostawał w związku małżeńskim z Z. </w:t>
      </w:r>
      <w:r w:rsidR="00FA43B6">
        <w:t>i</w:t>
      </w:r>
      <w:r w:rsidR="000F1163">
        <w:t> </w:t>
      </w:r>
      <w:r w:rsidR="009556B2">
        <w:t xml:space="preserve">mieszkał z nią w państwowym mieszkaniu </w:t>
      </w:r>
      <w:r w:rsidR="00E91B18">
        <w:t xml:space="preserve">udostępnionym </w:t>
      </w:r>
      <w:r w:rsidR="009556B2">
        <w:t xml:space="preserve">rodzicom Z. Skarżący </w:t>
      </w:r>
      <w:r w:rsidR="00FA43B6">
        <w:t xml:space="preserve">był </w:t>
      </w:r>
      <w:r w:rsidR="009556B2">
        <w:t>zameldowany jako osoba mieszkająca w tym mieszkaniu.</w:t>
      </w:r>
    </w:p>
    <w:p w14:paraId="17149321" w14:textId="6B638A29" w:rsidR="009556B2" w:rsidRPr="00DA2125" w:rsidRDefault="00801FBD" w:rsidP="009556B2">
      <w:pPr>
        <w:pStyle w:val="ECHRPara"/>
      </w:pPr>
      <w:r>
        <w:rPr>
          <w:noProof/>
        </w:rPr>
        <w:lastRenderedPageBreak/>
        <w:t>7</w:t>
      </w:r>
      <w:r w:rsidR="009556B2">
        <w:t>.</w:t>
      </w:r>
      <w:r w:rsidR="00C43971">
        <w:t xml:space="preserve"> </w:t>
      </w:r>
      <w:r w:rsidR="009556B2">
        <w:t>W</w:t>
      </w:r>
      <w:r w:rsidR="00C43971">
        <w:t xml:space="preserve"> </w:t>
      </w:r>
      <w:r w:rsidR="009556B2">
        <w:t>1999</w:t>
      </w:r>
      <w:r w:rsidR="00C43971">
        <w:t xml:space="preserve"> </w:t>
      </w:r>
      <w:r w:rsidR="009556B2">
        <w:t>r. skarżący i Z.</w:t>
      </w:r>
      <w:r w:rsidR="00EE53D3">
        <w:t xml:space="preserve"> się</w:t>
      </w:r>
      <w:r w:rsidR="009556B2">
        <w:t xml:space="preserve"> rozwiedli, a skarżący przeprowadził się do</w:t>
      </w:r>
      <w:r w:rsidR="000F1163">
        <w:t> </w:t>
      </w:r>
      <w:r w:rsidR="009556B2">
        <w:t>swojej nowej partnerki, B. W t</w:t>
      </w:r>
      <w:r w:rsidR="00344CCB">
        <w:t>amt</w:t>
      </w:r>
      <w:r w:rsidR="009556B2">
        <w:t>ym czasie nie złożył wniosku o</w:t>
      </w:r>
      <w:r w:rsidR="000F1163">
        <w:t> </w:t>
      </w:r>
      <w:r w:rsidR="009556B2">
        <w:t>wymeldowanie z mieszkania, które zajmował z byłą żoną. Następnie Z. wykupiła mieszkanie, a skarżący stracił prawo do zamieszkiwania w nim.</w:t>
      </w:r>
    </w:p>
    <w:p w14:paraId="0B5D03ED" w14:textId="4EAA117E" w:rsidR="009556B2" w:rsidRPr="00DA2125" w:rsidRDefault="00801FBD" w:rsidP="009556B2">
      <w:pPr>
        <w:pStyle w:val="ECHRPara"/>
      </w:pPr>
      <w:r>
        <w:rPr>
          <w:noProof/>
        </w:rPr>
        <w:t>8</w:t>
      </w:r>
      <w:r w:rsidR="009556B2">
        <w:t>.</w:t>
      </w:r>
      <w:r w:rsidR="00C43971">
        <w:t xml:space="preserve"> </w:t>
      </w:r>
      <w:r w:rsidR="009556B2">
        <w:t>B. zajmowała pokój w trzypokojowym mieszkaniu komunalnym na</w:t>
      </w:r>
      <w:r w:rsidR="000F1163">
        <w:t> </w:t>
      </w:r>
      <w:r w:rsidR="009556B2">
        <w:t>podstawie umowy najmu socjalnego. Pozostałe dwa pokoje zajmowali jej sąsiedzi. Skarżący i B. mieszkali razem w tym pokoju przez kolejne dziesięć lat. Nigdy nie zawarli związku małżeńskiego, a skarżący nie był zameldowany jako mieszkający w pokoju.</w:t>
      </w:r>
    </w:p>
    <w:p w14:paraId="0A6C51A6" w14:textId="2E3F7A0F" w:rsidR="009556B2" w:rsidRPr="00DA2125" w:rsidRDefault="00801FBD" w:rsidP="009556B2">
      <w:pPr>
        <w:pStyle w:val="ECHRPara"/>
      </w:pPr>
      <w:r>
        <w:rPr>
          <w:noProof/>
        </w:rPr>
        <w:t>9</w:t>
      </w:r>
      <w:r w:rsidR="009556B2">
        <w:t>.</w:t>
      </w:r>
      <w:r w:rsidR="00C43971">
        <w:t xml:space="preserve"> </w:t>
      </w:r>
      <w:r w:rsidR="009556B2">
        <w:t>W maju</w:t>
      </w:r>
      <w:r w:rsidR="00C43971">
        <w:t xml:space="preserve"> </w:t>
      </w:r>
      <w:r w:rsidR="00153220">
        <w:t>2009</w:t>
      </w:r>
      <w:r w:rsidR="00C43971">
        <w:t xml:space="preserve"> </w:t>
      </w:r>
      <w:r w:rsidR="009556B2">
        <w:t>r. B. zmarła, a jej sąsiedzi uniemożliwili skarżącemu wejście do mieszkania. Lokalny zarząd mieszkaniowy poinformował skarżącego, że musi opuścić pokój, ponieważ nie miał on prawa do jego zajmowania.</w:t>
      </w:r>
    </w:p>
    <w:p w14:paraId="788509C5" w14:textId="6116F6A6" w:rsidR="009556B2" w:rsidRPr="00DA2125" w:rsidRDefault="00801FBD" w:rsidP="009556B2">
      <w:pPr>
        <w:pStyle w:val="ECHRPara"/>
      </w:pPr>
      <w:r>
        <w:rPr>
          <w:noProof/>
        </w:rPr>
        <w:t>10</w:t>
      </w:r>
      <w:r w:rsidR="009556B2">
        <w:t>.</w:t>
      </w:r>
      <w:r w:rsidR="00C43971">
        <w:t xml:space="preserve"> </w:t>
      </w:r>
      <w:r w:rsidR="009556B2">
        <w:t>W dniu</w:t>
      </w:r>
      <w:r w:rsidR="00C43971">
        <w:t xml:space="preserve"> </w:t>
      </w:r>
      <w:r w:rsidR="009556B2">
        <w:t>28</w:t>
      </w:r>
      <w:r w:rsidR="00C43971">
        <w:t xml:space="preserve"> </w:t>
      </w:r>
      <w:r w:rsidR="009556B2">
        <w:t>września</w:t>
      </w:r>
      <w:r w:rsidR="00C43971">
        <w:t xml:space="preserve"> </w:t>
      </w:r>
      <w:r w:rsidR="009556B2">
        <w:t>2009</w:t>
      </w:r>
      <w:r w:rsidR="00C43971">
        <w:t xml:space="preserve"> </w:t>
      </w:r>
      <w:r w:rsidR="009556B2">
        <w:t>r. skarżący wszczął postępowanie sądowe przeciwko administracji lokalnej, domagając się uznania jego prawa, jako członka rodziny B</w:t>
      </w:r>
      <w:r w:rsidR="00542482">
        <w:t>.</w:t>
      </w:r>
      <w:r w:rsidR="009556B2">
        <w:t>, do zajmowania pokoju. Stwierdził, że on i B. mieszkali w pokoju jak mąż i żona od</w:t>
      </w:r>
      <w:r w:rsidR="00C43971">
        <w:t xml:space="preserve"> </w:t>
      </w:r>
      <w:r w:rsidR="009556B2">
        <w:t>1988</w:t>
      </w:r>
      <w:r w:rsidR="00C43971">
        <w:t xml:space="preserve"> </w:t>
      </w:r>
      <w:r w:rsidR="009556B2">
        <w:t>r., ale po jej śmierci sąsiedzi pozbawili go</w:t>
      </w:r>
      <w:r w:rsidR="000F1163">
        <w:t> </w:t>
      </w:r>
      <w:r w:rsidR="009556B2">
        <w:t>dostępu do pokoju. Uważał, że pomimo faktu, iż nie był w związku małżeńskim z B. i nie był zameldowany jako osoba zamieszkująca w</w:t>
      </w:r>
      <w:r w:rsidR="000F1163">
        <w:t> </w:t>
      </w:r>
      <w:r w:rsidR="009556B2">
        <w:t>pokoju, należy go uważać za członka jej rodziny, który nabył prawo do</w:t>
      </w:r>
      <w:r w:rsidR="000F1163">
        <w:t> </w:t>
      </w:r>
      <w:r w:rsidR="009556B2">
        <w:t>zajmowania jej pokoju. W szczególności podniósł następujące argumenty:</w:t>
      </w:r>
    </w:p>
    <w:p w14:paraId="22D4BAD0" w14:textId="49012315" w:rsidR="009556B2" w:rsidRPr="00DA2125" w:rsidRDefault="009556B2" w:rsidP="009556B2">
      <w:pPr>
        <w:pStyle w:val="ECHRPara"/>
      </w:pPr>
      <w:r>
        <w:t>-</w:t>
      </w:r>
      <w:r w:rsidR="00C43971">
        <w:t xml:space="preserve"> </w:t>
      </w:r>
      <w:r>
        <w:t>prowadził wspólne gospodarstwo domowe z B</w:t>
      </w:r>
      <w:r w:rsidR="00F90D17">
        <w:t>.</w:t>
      </w:r>
      <w:r>
        <w:t>;</w:t>
      </w:r>
    </w:p>
    <w:p w14:paraId="560F74EF" w14:textId="4BABC23B" w:rsidR="009556B2" w:rsidRPr="00DA2125" w:rsidRDefault="009556B2" w:rsidP="009556B2">
      <w:pPr>
        <w:pStyle w:val="ECHRPara"/>
      </w:pPr>
      <w:r>
        <w:t>-</w:t>
      </w:r>
      <w:r w:rsidR="00C43971">
        <w:t xml:space="preserve"> </w:t>
      </w:r>
      <w:r>
        <w:t>płacił za utrzymanie pokoju;</w:t>
      </w:r>
    </w:p>
    <w:p w14:paraId="2A05D795" w14:textId="174736F7" w:rsidR="009556B2" w:rsidRPr="00DA2125" w:rsidRDefault="009556B2" w:rsidP="009556B2">
      <w:pPr>
        <w:pStyle w:val="ECHRPara"/>
      </w:pPr>
      <w:r>
        <w:t>-</w:t>
      </w:r>
      <w:r w:rsidR="00C43971">
        <w:t xml:space="preserve"> </w:t>
      </w:r>
      <w:r>
        <w:t>pokrył koszt pochówku B.;</w:t>
      </w:r>
    </w:p>
    <w:p w14:paraId="3D2C320A" w14:textId="01CABBC8" w:rsidR="009556B2" w:rsidRPr="00DA2125" w:rsidRDefault="009556B2" w:rsidP="009556B2">
      <w:pPr>
        <w:pStyle w:val="ECHRPara"/>
      </w:pPr>
      <w:r>
        <w:t>-</w:t>
      </w:r>
      <w:r w:rsidR="00C43971">
        <w:t xml:space="preserve"> </w:t>
      </w:r>
      <w:r>
        <w:t xml:space="preserve">nie miał innego mieszkania: nie mógł wrócić do mieszkania swojej byłej żony Z., ponieważ </w:t>
      </w:r>
      <w:r w:rsidR="00B871AE">
        <w:t>została</w:t>
      </w:r>
      <w:r>
        <w:t xml:space="preserve"> ona </w:t>
      </w:r>
      <w:r w:rsidR="00B871AE">
        <w:t xml:space="preserve">właścicielką </w:t>
      </w:r>
      <w:r>
        <w:t>tego mieszkania i</w:t>
      </w:r>
      <w:r w:rsidR="000F1163">
        <w:t> </w:t>
      </w:r>
      <w:r>
        <w:t>mieszkała tam ze swoją nową rodziną;</w:t>
      </w:r>
    </w:p>
    <w:p w14:paraId="63888B56" w14:textId="70C64228" w:rsidR="009556B2" w:rsidRPr="00DA2125" w:rsidRDefault="009556B2" w:rsidP="009556B2">
      <w:pPr>
        <w:pStyle w:val="ECHRPara"/>
      </w:pPr>
      <w:r>
        <w:t>-</w:t>
      </w:r>
      <w:r w:rsidR="00C43971">
        <w:t xml:space="preserve"> </w:t>
      </w:r>
      <w:r>
        <w:t>w dniu</w:t>
      </w:r>
      <w:r w:rsidR="00C43971">
        <w:t xml:space="preserve"> </w:t>
      </w:r>
      <w:r>
        <w:t>8</w:t>
      </w:r>
      <w:r w:rsidR="00C43971">
        <w:t xml:space="preserve"> </w:t>
      </w:r>
      <w:r>
        <w:t>września</w:t>
      </w:r>
      <w:r w:rsidR="00C43971">
        <w:t xml:space="preserve"> </w:t>
      </w:r>
      <w:r>
        <w:t>2009</w:t>
      </w:r>
      <w:r w:rsidR="00C43971">
        <w:t xml:space="preserve"> </w:t>
      </w:r>
      <w:r>
        <w:t>r. zwrócił się do władz o wymeldowanie go z</w:t>
      </w:r>
      <w:r w:rsidR="000F1163">
        <w:t> </w:t>
      </w:r>
      <w:r>
        <w:t>mieszkania swojej byłej żony Z.;</w:t>
      </w:r>
    </w:p>
    <w:p w14:paraId="08565D0E" w14:textId="00E4E64E" w:rsidR="009556B2" w:rsidRPr="00DA2125" w:rsidRDefault="009556B2" w:rsidP="009556B2">
      <w:pPr>
        <w:pStyle w:val="ECHRPara"/>
      </w:pPr>
      <w:r>
        <w:t>-</w:t>
      </w:r>
      <w:r w:rsidR="00C43971">
        <w:t xml:space="preserve"> </w:t>
      </w:r>
      <w:r>
        <w:t>od czasu eksmisji zmuszony był mieszkać w szkole, w której pracował jako stróż nocny.</w:t>
      </w:r>
    </w:p>
    <w:p w14:paraId="743C8A65" w14:textId="374C2BD3" w:rsidR="009556B2" w:rsidRPr="00DA2125" w:rsidRDefault="00801FBD" w:rsidP="009556B2">
      <w:pPr>
        <w:pStyle w:val="ECHRPara"/>
      </w:pPr>
      <w:r>
        <w:rPr>
          <w:noProof/>
        </w:rPr>
        <w:t>11</w:t>
      </w:r>
      <w:r w:rsidR="009556B2">
        <w:t>.</w:t>
      </w:r>
      <w:r w:rsidR="00C43971">
        <w:t xml:space="preserve"> </w:t>
      </w:r>
      <w:r w:rsidR="009556B2">
        <w:t>Administracja lokalna podniosła, że skarżący nie był zameldowany jako osoba zamieszkująca w pokoju B., nie był członkiem rodziny B. i</w:t>
      </w:r>
      <w:r w:rsidR="000F1163">
        <w:t> </w:t>
      </w:r>
      <w:r w:rsidR="009556B2">
        <w:t>w</w:t>
      </w:r>
      <w:r w:rsidR="000F1163">
        <w:t> </w:t>
      </w:r>
      <w:r w:rsidR="009556B2">
        <w:t>związku z tym nie nabył prawa do zajmowania jej pokoju.</w:t>
      </w:r>
    </w:p>
    <w:p w14:paraId="51963A41" w14:textId="142EB864" w:rsidR="009556B2" w:rsidRPr="00DA2125" w:rsidRDefault="00801FBD" w:rsidP="009556B2">
      <w:pPr>
        <w:pStyle w:val="ECHRPara"/>
      </w:pPr>
      <w:r>
        <w:rPr>
          <w:noProof/>
        </w:rPr>
        <w:t>12</w:t>
      </w:r>
      <w:r w:rsidR="009556B2">
        <w:t>.</w:t>
      </w:r>
      <w:r w:rsidR="00C43971">
        <w:t xml:space="preserve"> </w:t>
      </w:r>
      <w:r w:rsidR="009556B2">
        <w:t>Sąsiedzi B. zostali zaproszeni do udziału w postępowaniu jako strony trzecie. Potwierdzili oni, że w latach</w:t>
      </w:r>
      <w:r w:rsidR="00C43971">
        <w:t xml:space="preserve"> </w:t>
      </w:r>
      <w:r w:rsidR="009556B2">
        <w:t>1999</w:t>
      </w:r>
      <w:r w:rsidR="00DA1434">
        <w:t>–</w:t>
      </w:r>
      <w:r w:rsidR="009556B2">
        <w:t>2009 skarżący mieszkał w</w:t>
      </w:r>
      <w:r w:rsidR="000F1163">
        <w:t> </w:t>
      </w:r>
      <w:r w:rsidR="009556B2">
        <w:t xml:space="preserve">pokoju z B. i zapewniał jej wsparcie finansowe. Uważali jednak, że pokój B. </w:t>
      </w:r>
      <w:r w:rsidR="00DA1434">
        <w:t xml:space="preserve">powinno się przydzielić </w:t>
      </w:r>
      <w:r w:rsidR="009556B2">
        <w:t>im, a nie skarżącemu, ponieważ w dwóch pokojach</w:t>
      </w:r>
      <w:r w:rsidR="00DA1434">
        <w:t xml:space="preserve"> mieszkało sześć osób</w:t>
      </w:r>
      <w:r w:rsidR="009556B2">
        <w:t xml:space="preserve"> i musieli poprawić swoje warunki życia.</w:t>
      </w:r>
    </w:p>
    <w:p w14:paraId="0B45A94E" w14:textId="515E0822" w:rsidR="009556B2" w:rsidRPr="00DA2125" w:rsidRDefault="00801FBD" w:rsidP="009556B2">
      <w:pPr>
        <w:pStyle w:val="ECHRPara"/>
      </w:pPr>
      <w:r>
        <w:rPr>
          <w:noProof/>
        </w:rPr>
        <w:t>13</w:t>
      </w:r>
      <w:r w:rsidR="009556B2">
        <w:t>.</w:t>
      </w:r>
      <w:r w:rsidR="00C43971">
        <w:t xml:space="preserve"> </w:t>
      </w:r>
      <w:r w:rsidR="009556B2">
        <w:t>W dniu</w:t>
      </w:r>
      <w:r w:rsidR="00C43971">
        <w:t xml:space="preserve"> </w:t>
      </w:r>
      <w:r w:rsidR="009556B2">
        <w:t>6</w:t>
      </w:r>
      <w:r w:rsidR="00C43971">
        <w:t xml:space="preserve"> </w:t>
      </w:r>
      <w:r w:rsidR="009556B2">
        <w:t>maja</w:t>
      </w:r>
      <w:r w:rsidR="00C43971">
        <w:t xml:space="preserve"> </w:t>
      </w:r>
      <w:r w:rsidR="009556B2">
        <w:t>2010</w:t>
      </w:r>
      <w:r w:rsidR="00C43971">
        <w:t xml:space="preserve"> </w:t>
      </w:r>
      <w:r w:rsidR="009556B2">
        <w:t xml:space="preserve">r. sąd rejonowy dla dzielnicy Leninskiy („sąd rejonowy”) w Kaliningradzie </w:t>
      </w:r>
      <w:r w:rsidR="000F1163">
        <w:t xml:space="preserve">uwzględnił roszczenie </w:t>
      </w:r>
      <w:r w:rsidR="009556B2">
        <w:t>skarżącego w</w:t>
      </w:r>
      <w:r w:rsidR="000F1163">
        <w:t> </w:t>
      </w:r>
      <w:r w:rsidR="009556B2">
        <w:t>odniesieniu do art.</w:t>
      </w:r>
      <w:r w:rsidR="00C43971">
        <w:t xml:space="preserve"> </w:t>
      </w:r>
      <w:r w:rsidR="009556B2">
        <w:t xml:space="preserve">69 i 70 </w:t>
      </w:r>
      <w:r w:rsidR="000E001E">
        <w:t>K</w:t>
      </w:r>
      <w:r w:rsidR="009556B2">
        <w:t>odeksu mieszkaniowego (zob</w:t>
      </w:r>
      <w:r w:rsidR="002323CA">
        <w:t>.</w:t>
      </w:r>
      <w:r w:rsidR="00C43971">
        <w:t xml:space="preserve"> </w:t>
      </w:r>
      <w:r w:rsidR="00A77BC3">
        <w:t>W</w:t>
      </w:r>
      <w:r w:rsidR="009556B2">
        <w:t xml:space="preserve">łaściwe prawo krajowe i praktyka poniżej). Sąd rejonowy ustalił w szczególności, </w:t>
      </w:r>
      <w:r w:rsidR="009556B2">
        <w:lastRenderedPageBreak/>
        <w:t>że</w:t>
      </w:r>
      <w:r w:rsidR="000F1163">
        <w:t> </w:t>
      </w:r>
      <w:r w:rsidR="009556B2">
        <w:t>w latach</w:t>
      </w:r>
      <w:r w:rsidR="00C43971">
        <w:t xml:space="preserve"> </w:t>
      </w:r>
      <w:r w:rsidR="009556B2">
        <w:t>1999</w:t>
      </w:r>
      <w:r w:rsidR="00C710AE">
        <w:t>–</w:t>
      </w:r>
      <w:r w:rsidR="009556B2">
        <w:t>2009 skarżący zamieszkiwał z B. w spornym pokoju, prowadził z nią wspólne gospodarstwo domowe i został wykreślony z</w:t>
      </w:r>
      <w:r w:rsidR="000F1163">
        <w:t> </w:t>
      </w:r>
      <w:r w:rsidR="009556B2">
        <w:t>rejestru meldunków w poprzednim miejscu zamieszkania. Sąd rejonowy uznał, że powyższe okoliczności należy uznać za wyjątkowe w rozumieniu art.</w:t>
      </w:r>
      <w:r w:rsidR="00C43971">
        <w:t xml:space="preserve"> </w:t>
      </w:r>
      <w:r w:rsidR="009556B2">
        <w:t>69 Kodeksu mieszkaniowego i że w związku z tym skarżącego należy uznać za członka rodziny B., który nabył prawo do zamieszkiwania w</w:t>
      </w:r>
      <w:r w:rsidR="000F1163">
        <w:t> </w:t>
      </w:r>
      <w:r w:rsidR="009556B2">
        <w:t>uprzednio zajmowanym przez nią pokoju.</w:t>
      </w:r>
    </w:p>
    <w:p w14:paraId="0A7CD913" w14:textId="39CBBA84" w:rsidR="009556B2" w:rsidRPr="00DA2125" w:rsidRDefault="00801FBD" w:rsidP="009556B2">
      <w:pPr>
        <w:pStyle w:val="ECHRPara"/>
      </w:pPr>
      <w:r>
        <w:rPr>
          <w:noProof/>
        </w:rPr>
        <w:t>14</w:t>
      </w:r>
      <w:r w:rsidR="009556B2">
        <w:t>.</w:t>
      </w:r>
      <w:r w:rsidR="00C43971">
        <w:t xml:space="preserve"> </w:t>
      </w:r>
      <w:r w:rsidR="009556B2">
        <w:t>Administracja lokalna nie wniosła odwołania od wyroku z 6</w:t>
      </w:r>
      <w:r w:rsidR="00C43971">
        <w:t xml:space="preserve"> </w:t>
      </w:r>
      <w:r w:rsidR="009556B2">
        <w:t>maja</w:t>
      </w:r>
      <w:r w:rsidR="00C43971">
        <w:t xml:space="preserve"> </w:t>
      </w:r>
      <w:r w:rsidR="009556B2">
        <w:t>2010</w:t>
      </w:r>
      <w:r w:rsidR="00C43971">
        <w:t xml:space="preserve"> </w:t>
      </w:r>
      <w:r w:rsidR="009556B2">
        <w:t>r.</w:t>
      </w:r>
    </w:p>
    <w:p w14:paraId="72A0692B" w14:textId="4D9BCAEE" w:rsidR="009556B2" w:rsidRPr="00DA2125" w:rsidRDefault="00801FBD" w:rsidP="009556B2">
      <w:pPr>
        <w:pStyle w:val="ECHRPara"/>
      </w:pPr>
      <w:r>
        <w:rPr>
          <w:noProof/>
        </w:rPr>
        <w:t>15</w:t>
      </w:r>
      <w:r w:rsidR="009556B2">
        <w:t>.</w:t>
      </w:r>
      <w:r w:rsidR="00C43971">
        <w:t xml:space="preserve"> </w:t>
      </w:r>
      <w:r w:rsidR="009556B2">
        <w:t>Strony trzecie odwołały się od tego wyroku do sądu okręgowego w</w:t>
      </w:r>
      <w:r w:rsidR="000F1163">
        <w:t> </w:t>
      </w:r>
      <w:r w:rsidR="009556B2">
        <w:t>Kaliningradzie („sądu okręgowego”). Strony podniosły, że B. kilkakrotnie wyrzucała skarżącego z mieszkania. Nie zwróciła się ona do</w:t>
      </w:r>
      <w:r w:rsidR="000F1163">
        <w:t> </w:t>
      </w:r>
      <w:r w:rsidR="009556B2">
        <w:t>władz z wnioskiem o zameldowanie go jako zamieszkującego w jej pokoju i nie wnioskowała o dodanie jego nazwiska do umowy najmu socjalnego jako członka jej rodziny. Skarżący nie uiścił żadnych opłat za</w:t>
      </w:r>
      <w:r w:rsidR="000F1163">
        <w:t> </w:t>
      </w:r>
      <w:r w:rsidR="009556B2">
        <w:t>media z tytułu zajmowania pokoju i był zameldowany jako osoba mieszkająca gdzie indziej aż do śmierci B.</w:t>
      </w:r>
    </w:p>
    <w:p w14:paraId="0EEF8A77" w14:textId="566960C2" w:rsidR="009556B2" w:rsidRPr="00DA2125" w:rsidRDefault="00801FBD" w:rsidP="009556B2">
      <w:pPr>
        <w:pStyle w:val="ECHRPara"/>
      </w:pPr>
      <w:r>
        <w:rPr>
          <w:noProof/>
        </w:rPr>
        <w:t>16</w:t>
      </w:r>
      <w:r w:rsidR="009556B2">
        <w:t>.</w:t>
      </w:r>
      <w:r w:rsidR="00C43971">
        <w:t xml:space="preserve"> </w:t>
      </w:r>
      <w:r w:rsidR="009556B2">
        <w:t>W dniu</w:t>
      </w:r>
      <w:r w:rsidR="00C43971">
        <w:t xml:space="preserve"> </w:t>
      </w:r>
      <w:r w:rsidR="009556B2">
        <w:t>22</w:t>
      </w:r>
      <w:r w:rsidR="00C43971">
        <w:t xml:space="preserve"> </w:t>
      </w:r>
      <w:r w:rsidR="009556B2">
        <w:t>września</w:t>
      </w:r>
      <w:r w:rsidR="00C43971">
        <w:t xml:space="preserve"> </w:t>
      </w:r>
      <w:r w:rsidR="009556B2">
        <w:t>2010</w:t>
      </w:r>
      <w:r w:rsidR="00C43971">
        <w:t xml:space="preserve"> </w:t>
      </w:r>
      <w:r w:rsidR="009556B2">
        <w:t>r. sąd okręgowy uchylił wyrok z 6</w:t>
      </w:r>
      <w:r w:rsidR="00C43971">
        <w:t xml:space="preserve"> </w:t>
      </w:r>
      <w:r w:rsidR="009556B2">
        <w:t>maja</w:t>
      </w:r>
      <w:r w:rsidR="00C43971">
        <w:t xml:space="preserve"> </w:t>
      </w:r>
      <w:r w:rsidR="009556B2">
        <w:t>2010</w:t>
      </w:r>
      <w:r w:rsidR="00C43971">
        <w:t xml:space="preserve"> </w:t>
      </w:r>
      <w:r w:rsidR="009556B2">
        <w:t>r. i oddalił roszczenia skarżącego. Odpowiednia część orzeczenia z</w:t>
      </w:r>
      <w:r w:rsidR="000F1163">
        <w:t> </w:t>
      </w:r>
      <w:r w:rsidR="009556B2">
        <w:t>22</w:t>
      </w:r>
      <w:r w:rsidR="000F1163">
        <w:t> </w:t>
      </w:r>
      <w:r w:rsidR="009556B2">
        <w:t>września</w:t>
      </w:r>
      <w:r w:rsidR="00C43971">
        <w:t xml:space="preserve"> </w:t>
      </w:r>
      <w:r w:rsidR="009556B2">
        <w:t>2010</w:t>
      </w:r>
      <w:r w:rsidR="00C43971">
        <w:t xml:space="preserve"> </w:t>
      </w:r>
      <w:r w:rsidR="009556B2">
        <w:t>r. brzmi następująco:</w:t>
      </w:r>
    </w:p>
    <w:p w14:paraId="169FA3D1" w14:textId="34C68203" w:rsidR="009556B2" w:rsidRPr="00DA2125" w:rsidRDefault="009556B2" w:rsidP="009556B2">
      <w:pPr>
        <w:pStyle w:val="JuQuotSub"/>
      </w:pPr>
      <w:r>
        <w:t>„Uwzględniając roszczenia p.</w:t>
      </w:r>
      <w:r w:rsidR="00C43971">
        <w:t xml:space="preserve"> </w:t>
      </w:r>
      <w:r w:rsidR="001C109D">
        <w:t xml:space="preserve">Ye.N. </w:t>
      </w:r>
      <w:r>
        <w:t>Zakharova [skarżącego], sąd [sąd rejonowy] oparł się na założeniu, że istnieją wyjątkowe okoliczności pozwalające mu uznać skarżącego za członka rodziny p</w:t>
      </w:r>
      <w:r w:rsidR="00EC656B">
        <w:t>.</w:t>
      </w:r>
      <w:r w:rsidR="00C43971">
        <w:t xml:space="preserve"> </w:t>
      </w:r>
      <w:r>
        <w:t>Brazhnikovej [B.]</w:t>
      </w:r>
      <w:r w:rsidR="00E92195">
        <w:t xml:space="preserve"> </w:t>
      </w:r>
      <w:r>
        <w:t>zgodnie z art.</w:t>
      </w:r>
      <w:r w:rsidR="00C43971">
        <w:t xml:space="preserve"> </w:t>
      </w:r>
      <w:r>
        <w:t>69 ust.</w:t>
      </w:r>
      <w:r w:rsidR="00C43971">
        <w:t xml:space="preserve"> </w:t>
      </w:r>
      <w:r>
        <w:t>1 Kodeksu mieszkaniowego.</w:t>
      </w:r>
    </w:p>
    <w:p w14:paraId="055C3F54" w14:textId="6437493A" w:rsidR="009556B2" w:rsidRPr="00DA2125" w:rsidRDefault="009556B2" w:rsidP="009556B2">
      <w:pPr>
        <w:pStyle w:val="JuQuotSub"/>
      </w:pPr>
      <w:r>
        <w:t>Izba cywilna [sądu okręgowego w Kaliningradzie] nie może przychylić się do</w:t>
      </w:r>
      <w:r w:rsidR="000F1163">
        <w:t> </w:t>
      </w:r>
      <w:r>
        <w:t>tej</w:t>
      </w:r>
      <w:r w:rsidR="000F1163">
        <w:t> </w:t>
      </w:r>
      <w:r>
        <w:t>decyzji.</w:t>
      </w:r>
    </w:p>
    <w:p w14:paraId="3EF6280C" w14:textId="22881C96" w:rsidR="009556B2" w:rsidRPr="00DA2125" w:rsidRDefault="009556B2" w:rsidP="009556B2">
      <w:pPr>
        <w:pStyle w:val="JuQuotSub"/>
      </w:pPr>
      <w:r>
        <w:t xml:space="preserve">Sąd [sąd </w:t>
      </w:r>
      <w:r w:rsidR="00D4292D">
        <w:t>rejonowy</w:t>
      </w:r>
      <w:r>
        <w:t>] ustalił na podstawie wniosków powoda i świadków, że powód mieszkał razem z p.</w:t>
      </w:r>
      <w:r w:rsidR="00C43971">
        <w:t xml:space="preserve"> </w:t>
      </w:r>
      <w:r w:rsidR="001C109D">
        <w:t xml:space="preserve">L.P. </w:t>
      </w:r>
      <w:r>
        <w:t xml:space="preserve">Brazhnikovą [B.] od </w:t>
      </w:r>
      <w:r w:rsidR="00E92195">
        <w:t>1999</w:t>
      </w:r>
      <w:r w:rsidR="00C43971">
        <w:t xml:space="preserve"> </w:t>
      </w:r>
      <w:r>
        <w:t>r. i prowadził z nią wspólne gospodarstwo domowe.</w:t>
      </w:r>
    </w:p>
    <w:p w14:paraId="046B267C" w14:textId="5FCA0E25" w:rsidR="009556B2" w:rsidRPr="00DA2125" w:rsidRDefault="009556B2" w:rsidP="009556B2">
      <w:pPr>
        <w:pStyle w:val="JuQuotSub"/>
      </w:pPr>
      <w:r>
        <w:t>Powyższe okoliczności same w sobie nie są wyjątkowe, w szczególności biorąc pod uwagę, że nie przedstawiono sądowi niezbitych dowodów na to, że p.</w:t>
      </w:r>
      <w:r w:rsidR="00C43971">
        <w:t xml:space="preserve"> </w:t>
      </w:r>
      <w:r w:rsidR="000B3C4A">
        <w:t xml:space="preserve">L.P. </w:t>
      </w:r>
      <w:r>
        <w:t>Brazhnikova pozwoliła p.</w:t>
      </w:r>
      <w:r w:rsidR="00C43971">
        <w:t xml:space="preserve"> </w:t>
      </w:r>
      <w:r>
        <w:t>Zakharovowi zamieszkiwać w mieszkaniu jako członk</w:t>
      </w:r>
      <w:r w:rsidR="00D1287F">
        <w:t>owi</w:t>
      </w:r>
      <w:r>
        <w:t xml:space="preserve"> rodziny, a nie jako tymczasow</w:t>
      </w:r>
      <w:r w:rsidR="00D1287F">
        <w:t>emu</w:t>
      </w:r>
      <w:r>
        <w:t xml:space="preserve"> lokator</w:t>
      </w:r>
      <w:r w:rsidR="00D1287F">
        <w:t>owi</w:t>
      </w:r>
      <w:r>
        <w:t>. Przez cały okres wspólnego zamieszkiwania powoda z p.</w:t>
      </w:r>
      <w:r w:rsidR="00C43971">
        <w:t xml:space="preserve"> </w:t>
      </w:r>
      <w:r>
        <w:t xml:space="preserve">L.P. Brazhnikovą był on zameldowany w </w:t>
      </w:r>
      <w:r w:rsidR="000B3C4A">
        <w:t xml:space="preserve">mieszkaniu </w:t>
      </w:r>
      <w:r>
        <w:t>nr</w:t>
      </w:r>
      <w:r w:rsidR="00C43971">
        <w:t xml:space="preserve"> </w:t>
      </w:r>
      <w:r>
        <w:t>6 przy ul. Pionerskaya we wsi Aleksandrovka w okręgu Zelenogradskiy. Złożył on wniosek o wykreślenie go z rejestru meldunków</w:t>
      </w:r>
      <w:r w:rsidR="00C43971">
        <w:t xml:space="preserve"> </w:t>
      </w:r>
      <w:r>
        <w:t>8</w:t>
      </w:r>
      <w:r w:rsidR="00C43971">
        <w:t xml:space="preserve"> </w:t>
      </w:r>
      <w:r>
        <w:t>września</w:t>
      </w:r>
      <w:r w:rsidR="00C43971">
        <w:t xml:space="preserve"> </w:t>
      </w:r>
      <w:r>
        <w:t>2009</w:t>
      </w:r>
      <w:r w:rsidR="00C43971">
        <w:t xml:space="preserve"> </w:t>
      </w:r>
      <w:r>
        <w:t>r. po śmierci p.</w:t>
      </w:r>
      <w:r w:rsidR="000F1163">
        <w:t> </w:t>
      </w:r>
      <w:r>
        <w:t>Brazhnikovej i tuż przed wniesieniem sprawy do sądu.</w:t>
      </w:r>
    </w:p>
    <w:p w14:paraId="1DB01986" w14:textId="70D02CF7" w:rsidR="009556B2" w:rsidRPr="00DA2125" w:rsidRDefault="009556B2" w:rsidP="009556B2">
      <w:pPr>
        <w:pStyle w:val="JuQuotSub"/>
      </w:pPr>
      <w:r>
        <w:t>W związku z tym okoliczności sprawy nie pozwalają sądowi na uznanie p.</w:t>
      </w:r>
      <w:r w:rsidR="00C43971">
        <w:t xml:space="preserve"> </w:t>
      </w:r>
      <w:r w:rsidR="00430731">
        <w:t xml:space="preserve">Ye.N. </w:t>
      </w:r>
      <w:r>
        <w:t>Zakharo</w:t>
      </w:r>
      <w:r w:rsidR="000016E7">
        <w:t>v</w:t>
      </w:r>
      <w:r>
        <w:t>a jako członka rodziny najemcy socjalnego p.</w:t>
      </w:r>
      <w:r w:rsidR="00C43971">
        <w:t xml:space="preserve"> </w:t>
      </w:r>
      <w:r w:rsidR="00870B8A">
        <w:t xml:space="preserve">L.P. </w:t>
      </w:r>
      <w:r>
        <w:t>Brazhnikovej, jak</w:t>
      </w:r>
      <w:r w:rsidR="000F1163">
        <w:t> </w:t>
      </w:r>
      <w:r>
        <w:t xml:space="preserve">również </w:t>
      </w:r>
      <w:r w:rsidR="00D4292D">
        <w:t xml:space="preserve">na </w:t>
      </w:r>
      <w:r>
        <w:t>uznanie jego prawa do zajmowania spornego mieszkania. W związku z</w:t>
      </w:r>
      <w:r w:rsidR="000F1163">
        <w:t> </w:t>
      </w:r>
      <w:r>
        <w:t>powyższym wyrok sądu powinien zostać uchylony i należy wydać nowe orzeczenie w przedmiocie oddalenia rzeczonych roszczeń”.</w:t>
      </w:r>
    </w:p>
    <w:p w14:paraId="07CFDF2F" w14:textId="3251A2D6" w:rsidR="009556B2" w:rsidRPr="00DA2125" w:rsidRDefault="00801FBD" w:rsidP="009556B2">
      <w:pPr>
        <w:pStyle w:val="JuParaSub"/>
        <w:ind w:left="0"/>
      </w:pPr>
      <w:r>
        <w:rPr>
          <w:noProof/>
        </w:rPr>
        <w:t>17</w:t>
      </w:r>
      <w:r w:rsidR="009556B2">
        <w:t>.</w:t>
      </w:r>
      <w:r w:rsidR="00C43971">
        <w:t xml:space="preserve"> </w:t>
      </w:r>
      <w:r w:rsidR="009556B2">
        <w:t>W dniu</w:t>
      </w:r>
      <w:r w:rsidR="00C43971">
        <w:t xml:space="preserve"> </w:t>
      </w:r>
      <w:r w:rsidR="009556B2">
        <w:t>3</w:t>
      </w:r>
      <w:r w:rsidR="00C43971">
        <w:t xml:space="preserve"> </w:t>
      </w:r>
      <w:r w:rsidR="009556B2">
        <w:t>marca</w:t>
      </w:r>
      <w:r w:rsidR="00C43971">
        <w:t xml:space="preserve"> </w:t>
      </w:r>
      <w:r w:rsidR="009556B2">
        <w:t>2011</w:t>
      </w:r>
      <w:r w:rsidR="00C43971">
        <w:t xml:space="preserve"> </w:t>
      </w:r>
      <w:r w:rsidR="009556B2">
        <w:t>r. sędzia Sądu Najwyższego Rosji („Sądu</w:t>
      </w:r>
      <w:r w:rsidR="000F1163">
        <w:t> </w:t>
      </w:r>
      <w:r w:rsidR="009556B2">
        <w:t xml:space="preserve">Najwyższego”) odmówił skierowania </w:t>
      </w:r>
      <w:r w:rsidR="00D4292D">
        <w:t>wniosku</w:t>
      </w:r>
      <w:r w:rsidR="009556B2">
        <w:t xml:space="preserve"> skarżącego</w:t>
      </w:r>
      <w:r w:rsidR="00C43971">
        <w:t xml:space="preserve"> </w:t>
      </w:r>
      <w:r w:rsidR="00D1287F">
        <w:t>o</w:t>
      </w:r>
      <w:r w:rsidR="000F1163">
        <w:t> </w:t>
      </w:r>
      <w:r w:rsidR="00D1287F">
        <w:t xml:space="preserve">kontrolę </w:t>
      </w:r>
      <w:r w:rsidR="009556B2">
        <w:t>nadzorcz</w:t>
      </w:r>
      <w:r w:rsidR="00D1287F">
        <w:t>ą</w:t>
      </w:r>
      <w:r w:rsidR="009556B2">
        <w:t xml:space="preserve"> orzeczenia </w:t>
      </w:r>
      <w:r w:rsidR="00D1287F">
        <w:t>z</w:t>
      </w:r>
      <w:r w:rsidR="00C43971">
        <w:t xml:space="preserve"> </w:t>
      </w:r>
      <w:r w:rsidR="009556B2">
        <w:t>22</w:t>
      </w:r>
      <w:r w:rsidR="00C43971">
        <w:t xml:space="preserve"> </w:t>
      </w:r>
      <w:r w:rsidR="009556B2">
        <w:t>września</w:t>
      </w:r>
      <w:r w:rsidR="00C43971">
        <w:t xml:space="preserve"> </w:t>
      </w:r>
      <w:r w:rsidR="009556B2">
        <w:t>2010</w:t>
      </w:r>
      <w:r w:rsidR="00C43971">
        <w:t xml:space="preserve"> </w:t>
      </w:r>
      <w:r w:rsidR="009556B2">
        <w:t xml:space="preserve">r. do Izby Cywilnej </w:t>
      </w:r>
      <w:r w:rsidR="009556B2">
        <w:lastRenderedPageBreak/>
        <w:t>Sądu Najwyższego</w:t>
      </w:r>
      <w:r w:rsidR="00D1287F">
        <w:t xml:space="preserve"> w celu rozpatrzenia</w:t>
      </w:r>
      <w:r w:rsidR="009556B2">
        <w:t>, nie znajdując podstaw do takie</w:t>
      </w:r>
      <w:r w:rsidR="00D4292D">
        <w:t>j kontroli</w:t>
      </w:r>
      <w:r w:rsidR="009556B2">
        <w:t xml:space="preserve"> i opierając się na zasadzie pewności prawa.</w:t>
      </w:r>
    </w:p>
    <w:p w14:paraId="4CB1B5B6" w14:textId="00E0AF08" w:rsidR="009556B2" w:rsidRPr="00DA2125" w:rsidRDefault="009556B2" w:rsidP="009556B2">
      <w:pPr>
        <w:pStyle w:val="ECHRHeading1"/>
      </w:pPr>
      <w:r>
        <w:t>II.</w:t>
      </w:r>
      <w:r w:rsidR="00C43971">
        <w:t xml:space="preserve"> </w:t>
      </w:r>
      <w:r>
        <w:t>WŁAŚCIWE PRAWO KRAJOWE I PRAKTYKA</w:t>
      </w:r>
    </w:p>
    <w:p w14:paraId="5894E454" w14:textId="46A77DBA" w:rsidR="009556B2" w:rsidRPr="00DA2125" w:rsidRDefault="009556B2" w:rsidP="009556B2">
      <w:pPr>
        <w:pStyle w:val="ECHRHeading2"/>
      </w:pPr>
      <w:r>
        <w:t>A.</w:t>
      </w:r>
      <w:r w:rsidR="00C43971">
        <w:t xml:space="preserve"> </w:t>
      </w:r>
      <w:r>
        <w:t>Konstytucja Federacji Rosyjskiej</w:t>
      </w:r>
    </w:p>
    <w:p w14:paraId="630842DB" w14:textId="05EE647B" w:rsidR="009556B2" w:rsidRPr="00DA2125" w:rsidRDefault="00801FBD" w:rsidP="009556B2">
      <w:pPr>
        <w:pStyle w:val="ECHRPara"/>
      </w:pPr>
      <w:r>
        <w:rPr>
          <w:noProof/>
        </w:rPr>
        <w:t>18</w:t>
      </w:r>
      <w:r w:rsidR="009556B2">
        <w:t>.</w:t>
      </w:r>
      <w:r w:rsidR="00C43971">
        <w:t xml:space="preserve"> </w:t>
      </w:r>
      <w:r w:rsidR="009556B2">
        <w:t>Art</w:t>
      </w:r>
      <w:r w:rsidR="006900B1">
        <w:t xml:space="preserve">. </w:t>
      </w:r>
      <w:r w:rsidR="009556B2">
        <w:t xml:space="preserve">40 </w:t>
      </w:r>
      <w:r w:rsidR="00ED2052">
        <w:t xml:space="preserve">Konstytucji </w:t>
      </w:r>
      <w:r w:rsidR="009556B2">
        <w:t>stanowi, że każdy ma prawo do mieszkania. Nikt</w:t>
      </w:r>
      <w:r w:rsidR="000F1163">
        <w:t> </w:t>
      </w:r>
      <w:r w:rsidR="009556B2">
        <w:t xml:space="preserve">nie może zostać </w:t>
      </w:r>
      <w:r w:rsidR="00ED2052">
        <w:t>arbitralnie</w:t>
      </w:r>
      <w:r w:rsidR="009556B2">
        <w:t xml:space="preserve"> pozbawiony mieszkania.</w:t>
      </w:r>
    </w:p>
    <w:p w14:paraId="4EF9AB51" w14:textId="4D323CBC" w:rsidR="009556B2" w:rsidRPr="00DA2125" w:rsidRDefault="009556B2" w:rsidP="009556B2">
      <w:pPr>
        <w:pStyle w:val="ECHRHeading2"/>
      </w:pPr>
      <w:r>
        <w:t>B.</w:t>
      </w:r>
      <w:r w:rsidR="00C43971">
        <w:t xml:space="preserve"> </w:t>
      </w:r>
      <w:r>
        <w:t>Kodeks mieszkaniowy Federacji Rosyjskiej z29</w:t>
      </w:r>
      <w:r w:rsidR="00C43971">
        <w:t xml:space="preserve"> </w:t>
      </w:r>
      <w:r>
        <w:t>grudnia</w:t>
      </w:r>
      <w:r w:rsidR="00C43971">
        <w:t xml:space="preserve"> </w:t>
      </w:r>
      <w:r>
        <w:t>2004</w:t>
      </w:r>
      <w:r w:rsidR="00C43971">
        <w:t xml:space="preserve"> </w:t>
      </w:r>
      <w:r>
        <w:t>r., obowiązujący od 1</w:t>
      </w:r>
      <w:r w:rsidR="00C43971">
        <w:t xml:space="preserve"> </w:t>
      </w:r>
      <w:r>
        <w:t>marca</w:t>
      </w:r>
      <w:r w:rsidR="00C43971">
        <w:t xml:space="preserve"> </w:t>
      </w:r>
      <w:r>
        <w:t>2005</w:t>
      </w:r>
      <w:r w:rsidR="00C43971">
        <w:t xml:space="preserve"> </w:t>
      </w:r>
      <w:r>
        <w:t>r.</w:t>
      </w:r>
    </w:p>
    <w:p w14:paraId="5B2E2182" w14:textId="05BAF813" w:rsidR="009556B2" w:rsidRPr="00DA2125" w:rsidRDefault="00801FBD" w:rsidP="009556B2">
      <w:pPr>
        <w:pStyle w:val="ECHRPara"/>
      </w:pPr>
      <w:bookmarkStart w:id="1" w:name="para19"/>
      <w:r>
        <w:rPr>
          <w:noProof/>
        </w:rPr>
        <w:t>19</w:t>
      </w:r>
      <w:bookmarkEnd w:id="1"/>
      <w:r w:rsidR="009556B2">
        <w:t>.</w:t>
      </w:r>
      <w:r w:rsidR="00C43971">
        <w:t xml:space="preserve"> </w:t>
      </w:r>
      <w:r w:rsidR="009556B2">
        <w:t>Art</w:t>
      </w:r>
      <w:r w:rsidR="006900B1">
        <w:t xml:space="preserve">. </w:t>
      </w:r>
      <w:r w:rsidR="009556B2">
        <w:t>69 ust.</w:t>
      </w:r>
      <w:r w:rsidR="00C43971">
        <w:t xml:space="preserve"> </w:t>
      </w:r>
      <w:r w:rsidR="009556B2">
        <w:t xml:space="preserve">1 </w:t>
      </w:r>
      <w:r w:rsidR="00C43971">
        <w:t xml:space="preserve">Kodeksu </w:t>
      </w:r>
      <w:r w:rsidR="009556B2">
        <w:t xml:space="preserve">stanowi, że członkami rodziny najemcy są małżonek, dzieci i rodzice, jeżeli mieszkają razem z najemcą. Pozostali krewni i osoby niepełnosprawne pozostające na utrzymaniu najemcy mogą zostać uznani za jego rodzinę, jeżeli najemca ich za takich </w:t>
      </w:r>
      <w:r w:rsidR="009556B2" w:rsidRPr="000F1163">
        <w:t>uznaje</w:t>
      </w:r>
      <w:r w:rsidR="009556B2">
        <w:t xml:space="preserve"> i jeżeli prowadzą oni wspólne gospodarstwo domowe z najemcą. W wyjątkowych przypadkach sąd może</w:t>
      </w:r>
      <w:r w:rsidR="00387DF6">
        <w:t xml:space="preserve"> za członków rodziny najemcy</w:t>
      </w:r>
      <w:r w:rsidR="009556B2">
        <w:t xml:space="preserve"> uznać inne osoby.</w:t>
      </w:r>
    </w:p>
    <w:p w14:paraId="13C86553" w14:textId="45609A3B" w:rsidR="009556B2" w:rsidRPr="00DA2125" w:rsidRDefault="00801FBD" w:rsidP="009556B2">
      <w:pPr>
        <w:pStyle w:val="ECHRPara"/>
      </w:pPr>
      <w:r>
        <w:rPr>
          <w:noProof/>
        </w:rPr>
        <w:t>20</w:t>
      </w:r>
      <w:r w:rsidR="009556B2">
        <w:t>.</w:t>
      </w:r>
      <w:r w:rsidR="00C43971">
        <w:t xml:space="preserve"> </w:t>
      </w:r>
      <w:r w:rsidR="009556B2">
        <w:t>Art</w:t>
      </w:r>
      <w:r w:rsidR="006900B1">
        <w:t xml:space="preserve">. </w:t>
      </w:r>
      <w:r w:rsidR="009556B2">
        <w:t>70 stanowi, że najemca ma prawo dzielić swoje mieszkanie z</w:t>
      </w:r>
      <w:r w:rsidR="000F1163">
        <w:t> </w:t>
      </w:r>
      <w:r w:rsidR="009556B2">
        <w:t>małżonkiem, dziećmi i rodzicami lub innymi osobami mieszkającymi z</w:t>
      </w:r>
      <w:r w:rsidR="000F1163">
        <w:t> </w:t>
      </w:r>
      <w:r w:rsidR="009556B2">
        <w:t>nim jako członkowie jego rodziny.</w:t>
      </w:r>
    </w:p>
    <w:p w14:paraId="09E3E69D" w14:textId="2609B2B6" w:rsidR="009556B2" w:rsidRPr="00DA2125" w:rsidRDefault="009556B2" w:rsidP="009556B2">
      <w:pPr>
        <w:pStyle w:val="ECHRHeading2"/>
      </w:pPr>
      <w:r>
        <w:t>C.</w:t>
      </w:r>
      <w:r w:rsidR="00C43971">
        <w:t xml:space="preserve"> </w:t>
      </w:r>
      <w:r>
        <w:t>Orzecznictwo Sądu Najwyższego Federacji Rosyjskiej</w:t>
      </w:r>
    </w:p>
    <w:p w14:paraId="0712D720" w14:textId="55FF9643" w:rsidR="009556B2" w:rsidRPr="00DA2125" w:rsidRDefault="00801FBD" w:rsidP="009556B2">
      <w:pPr>
        <w:pStyle w:val="ECHRPara"/>
      </w:pPr>
      <w:r>
        <w:rPr>
          <w:noProof/>
        </w:rPr>
        <w:t>21</w:t>
      </w:r>
      <w:r w:rsidR="009556B2">
        <w:t>.</w:t>
      </w:r>
      <w:r w:rsidR="00C43971">
        <w:t xml:space="preserve"> </w:t>
      </w:r>
      <w:r w:rsidR="009556B2">
        <w:t>W orzeczeniu nr</w:t>
      </w:r>
      <w:r w:rsidR="00C43971">
        <w:t xml:space="preserve"> </w:t>
      </w:r>
      <w:r w:rsidR="009556B2">
        <w:t>8 z 31</w:t>
      </w:r>
      <w:r w:rsidR="00C43971">
        <w:t xml:space="preserve"> </w:t>
      </w:r>
      <w:r w:rsidR="009556B2">
        <w:t>października</w:t>
      </w:r>
      <w:r w:rsidR="00C43971">
        <w:t xml:space="preserve"> </w:t>
      </w:r>
      <w:r w:rsidR="009556B2">
        <w:t>1995</w:t>
      </w:r>
      <w:r w:rsidR="00C43971">
        <w:t xml:space="preserve"> </w:t>
      </w:r>
      <w:r w:rsidR="009556B2">
        <w:t>r. w sprawie</w:t>
      </w:r>
      <w:r w:rsidR="00C37BF1">
        <w:t xml:space="preserve"> </w:t>
      </w:r>
      <w:r w:rsidR="009556B2">
        <w:t>niektórych kwestii związanych ze stosowaniem przez sądy Konstytucji Federacji Rosyjskiej w wymiarze sprawiedliwości Sąd Najwyższy Rosji orzekł, co</w:t>
      </w:r>
      <w:r w:rsidR="000F1163">
        <w:t> </w:t>
      </w:r>
      <w:r w:rsidR="009556B2">
        <w:t>następuje (</w:t>
      </w:r>
      <w:r w:rsidR="00E97D05" w:rsidRPr="00B108F7">
        <w:t>§</w:t>
      </w:r>
      <w:r w:rsidR="00C43971">
        <w:t xml:space="preserve"> </w:t>
      </w:r>
      <w:r w:rsidR="009556B2">
        <w:t>13):</w:t>
      </w:r>
    </w:p>
    <w:p w14:paraId="78D3A20A" w14:textId="75B7C4E4" w:rsidR="009556B2" w:rsidRPr="00DA2125" w:rsidRDefault="009556B2" w:rsidP="009556B2">
      <w:pPr>
        <w:pStyle w:val="JuQuotSub"/>
      </w:pPr>
      <w:r>
        <w:t>„Rozstrzygając spory mieszkaniowe, sądy biorą pod uwagę okoliczność, że</w:t>
      </w:r>
      <w:r w:rsidR="000F1163">
        <w:t> </w:t>
      </w:r>
      <w:r>
        <w:t>Konstytucja Federacji Rosyjskiej zapewnia każdemu, kto legalnie przebywa na</w:t>
      </w:r>
      <w:r w:rsidR="000F1163">
        <w:t> </w:t>
      </w:r>
      <w:r>
        <w:t xml:space="preserve">terytorium Federacji Rosyjskiej, prawo do swobodnego </w:t>
      </w:r>
      <w:r w:rsidR="00347024">
        <w:t xml:space="preserve">poruszania się </w:t>
      </w:r>
      <w:r>
        <w:t>i</w:t>
      </w:r>
      <w:r w:rsidR="000F1163">
        <w:t> </w:t>
      </w:r>
      <w:r>
        <w:t xml:space="preserve">swobodnego wyboru miejsca </w:t>
      </w:r>
      <w:r w:rsidR="00347024">
        <w:t>pobytu i</w:t>
      </w:r>
      <w:r>
        <w:t xml:space="preserve"> zamieszkania. Zapewnia również każdemu prawo do mieszkania (art.</w:t>
      </w:r>
      <w:r w:rsidR="00C43971">
        <w:t xml:space="preserve"> </w:t>
      </w:r>
      <w:r>
        <w:t>27 ust.</w:t>
      </w:r>
      <w:r w:rsidR="00C43971">
        <w:t xml:space="preserve"> </w:t>
      </w:r>
      <w:r>
        <w:t>1</w:t>
      </w:r>
      <w:r w:rsidR="00347024">
        <w:t xml:space="preserve"> i</w:t>
      </w:r>
      <w:r>
        <w:t xml:space="preserve"> art.</w:t>
      </w:r>
      <w:r w:rsidR="00C43971">
        <w:t xml:space="preserve"> </w:t>
      </w:r>
      <w:r>
        <w:t>40 ust.</w:t>
      </w:r>
      <w:r w:rsidR="00C43971">
        <w:t xml:space="preserve"> </w:t>
      </w:r>
      <w:r>
        <w:t>1 [</w:t>
      </w:r>
      <w:r w:rsidR="00347024">
        <w:t>Konstytucji</w:t>
      </w:r>
      <w:r>
        <w:t>]).</w:t>
      </w:r>
    </w:p>
    <w:p w14:paraId="69FC5B68" w14:textId="4A6A99FB" w:rsidR="009556B2" w:rsidRPr="00DA2125" w:rsidRDefault="009556B2" w:rsidP="009556B2">
      <w:pPr>
        <w:pStyle w:val="JuQuotSub"/>
      </w:pPr>
      <w:r>
        <w:t xml:space="preserve">Mając na względzie te postanowienia </w:t>
      </w:r>
      <w:r w:rsidR="00ED2052">
        <w:t>Konstytucji</w:t>
      </w:r>
      <w:r>
        <w:t xml:space="preserve">, należy pamiętać, że brak </w:t>
      </w:r>
      <w:r>
        <w:rPr>
          <w:i/>
        </w:rPr>
        <w:t>propiska</w:t>
      </w:r>
      <w:r>
        <w:t xml:space="preserve"> lub </w:t>
      </w:r>
      <w:r w:rsidR="000F1163">
        <w:t>zameldowania, które zastąpiło</w:t>
      </w:r>
      <w:r>
        <w:rPr>
          <w:i/>
        </w:rPr>
        <w:t xml:space="preserve"> propiska</w:t>
      </w:r>
      <w:r>
        <w:t>, nie może sam w sobie służyć jako podstawa do ograniczenia praw i wolności ludzi, w tym prawa do mieszkania. Orzekając w przedmiocie roszczeń dotyczących uznania prawa do korzystania z</w:t>
      </w:r>
      <w:r w:rsidR="000F1163">
        <w:t> </w:t>
      </w:r>
      <w:r>
        <w:t>lokalu mieszkalnego, należy wziąć pod uwagę, że informacja o istnieniu lub braku</w:t>
      </w:r>
      <w:r>
        <w:rPr>
          <w:i/>
        </w:rPr>
        <w:t xml:space="preserve"> propiska</w:t>
      </w:r>
      <w:r>
        <w:t xml:space="preserve"> (</w:t>
      </w:r>
      <w:r w:rsidR="000F1163">
        <w:t>zameldowania</w:t>
      </w:r>
      <w:r>
        <w:t>) jest tylko jednym z dowodów, które należy zbadać w celu ustalenia, czy istniała umowa między najemcą (właścicielem) lokalu lub członkami jego rodziny, zezwalająca na zamieszkanie w ich lokalu i na jakich warunkach [...]”.</w:t>
      </w:r>
    </w:p>
    <w:p w14:paraId="114B95B4" w14:textId="52FAC7D5" w:rsidR="009556B2" w:rsidRPr="00DA2125" w:rsidRDefault="00801FBD" w:rsidP="009556B2">
      <w:pPr>
        <w:pStyle w:val="ECHRPara"/>
      </w:pPr>
      <w:r>
        <w:rPr>
          <w:noProof/>
        </w:rPr>
        <w:t>22</w:t>
      </w:r>
      <w:r w:rsidR="009556B2">
        <w:t>.</w:t>
      </w:r>
      <w:r w:rsidR="00C43971">
        <w:t xml:space="preserve"> </w:t>
      </w:r>
      <w:r w:rsidR="009556B2">
        <w:t>W orzeczeniu nr</w:t>
      </w:r>
      <w:r w:rsidR="00C43971">
        <w:t xml:space="preserve"> </w:t>
      </w:r>
      <w:r w:rsidR="009556B2">
        <w:t>14 z 2</w:t>
      </w:r>
      <w:r w:rsidR="00C43971">
        <w:t xml:space="preserve"> </w:t>
      </w:r>
      <w:r w:rsidR="009556B2">
        <w:t>lipca</w:t>
      </w:r>
      <w:r w:rsidR="00C43971">
        <w:t xml:space="preserve"> </w:t>
      </w:r>
      <w:r w:rsidR="009556B2">
        <w:t>2009</w:t>
      </w:r>
      <w:r w:rsidR="00C43971">
        <w:t xml:space="preserve"> </w:t>
      </w:r>
      <w:r w:rsidR="009556B2">
        <w:t xml:space="preserve">r. w sprawie niektórych kwestii wynikających z praktyki sądowej w odniesieniu do stosowania Kodeksu </w:t>
      </w:r>
      <w:r w:rsidR="009556B2">
        <w:lastRenderedPageBreak/>
        <w:t>mieszkaniowego Federacji Rosyjskiej Sąd Najwyższy Rosji orzekł, co</w:t>
      </w:r>
      <w:r w:rsidR="000F1163">
        <w:t> </w:t>
      </w:r>
      <w:r w:rsidR="009556B2">
        <w:t>następuje (</w:t>
      </w:r>
      <w:r w:rsidR="00E97D05" w:rsidRPr="00B108F7">
        <w:t>§</w:t>
      </w:r>
      <w:r w:rsidR="00C43971">
        <w:t xml:space="preserve"> </w:t>
      </w:r>
      <w:r w:rsidR="009556B2">
        <w:t>25):</w:t>
      </w:r>
    </w:p>
    <w:p w14:paraId="1BBAC39B" w14:textId="77777777" w:rsidR="009556B2" w:rsidRPr="00DA2125" w:rsidRDefault="009556B2" w:rsidP="009556B2">
      <w:pPr>
        <w:pStyle w:val="JuQuotSub"/>
      </w:pPr>
      <w:r>
        <w:t>„[...]</w:t>
      </w:r>
    </w:p>
    <w:p w14:paraId="66EEC109" w14:textId="7A2BEDB7" w:rsidR="009556B2" w:rsidRPr="00DA2125" w:rsidRDefault="009556B2" w:rsidP="009556B2">
      <w:pPr>
        <w:pStyle w:val="JuQuotSub"/>
      </w:pPr>
      <w:r>
        <w:t>Zgodnie z art.</w:t>
      </w:r>
      <w:r w:rsidR="00C43971">
        <w:t xml:space="preserve"> </w:t>
      </w:r>
      <w:r>
        <w:t>69 ust.</w:t>
      </w:r>
      <w:r w:rsidR="00C43971">
        <w:t xml:space="preserve"> </w:t>
      </w:r>
      <w:r>
        <w:t xml:space="preserve">1 Kodeksu mieszkaniowego w wyjątkowych przypadkach sąd może uznać za członków rodziny najemcy inne </w:t>
      </w:r>
      <w:r w:rsidR="00B25F12">
        <w:t>[oprócz małżonka, dzieci lub</w:t>
      </w:r>
      <w:r w:rsidR="000F1163">
        <w:t> </w:t>
      </w:r>
      <w:r w:rsidR="00B25F12">
        <w:t xml:space="preserve">rodziców najemcy mieszkających z nim oraz innych bliskich krewnych i osób pozostających na jego utrzymaniu] </w:t>
      </w:r>
      <w:r>
        <w:t>osoby. Orzekając w przedmiocie możliwości uznania innych osób za członków rodziny najemcy (na przykład osoby, która</w:t>
      </w:r>
      <w:r w:rsidR="000F1163">
        <w:t> </w:t>
      </w:r>
      <w:r>
        <w:t xml:space="preserve">mieszka razem z najemcą bez </w:t>
      </w:r>
      <w:r w:rsidR="00D77894">
        <w:t>zawarcia</w:t>
      </w:r>
      <w:r>
        <w:t xml:space="preserve"> związku małżeńskiego), sąd powinien stwierdzić, czy osoby te zostały przyjęte do mieszkania jako członkowie rodziny najemcy, czy też w innym charakterze, czy prowadziły z najemcą wspólne gospodarstwo domowe, jak długo mieszkały w danym lokalu mieszkalnym i</w:t>
      </w:r>
      <w:r w:rsidR="000F1163">
        <w:t> </w:t>
      </w:r>
      <w:r>
        <w:t>czy</w:t>
      </w:r>
      <w:r w:rsidR="000F1163">
        <w:t> </w:t>
      </w:r>
      <w:r>
        <w:t>miały prawo do innego lokalu mieszkalnego i nie utraciły tego prawa”.</w:t>
      </w:r>
    </w:p>
    <w:p w14:paraId="70706B28" w14:textId="77777777" w:rsidR="009556B2" w:rsidRPr="00DA2125" w:rsidRDefault="009556B2" w:rsidP="009556B2">
      <w:pPr>
        <w:pStyle w:val="ECHRTitle1"/>
      </w:pPr>
      <w:r>
        <w:t>PRAWO</w:t>
      </w:r>
    </w:p>
    <w:p w14:paraId="23CBC529" w14:textId="272ED27E" w:rsidR="009556B2" w:rsidRPr="00DA2125" w:rsidRDefault="009556B2" w:rsidP="009556B2">
      <w:pPr>
        <w:pStyle w:val="ECHRHeading1"/>
      </w:pPr>
      <w:r>
        <w:t>I.</w:t>
      </w:r>
      <w:r w:rsidR="00C43971">
        <w:t xml:space="preserve"> </w:t>
      </w:r>
      <w:r w:rsidR="006900B1">
        <w:t xml:space="preserve">ZARZUCANE </w:t>
      </w:r>
      <w:r>
        <w:t>NARUSZENIE ART.</w:t>
      </w:r>
      <w:r w:rsidR="00C43971">
        <w:t xml:space="preserve"> </w:t>
      </w:r>
      <w:r>
        <w:t>8 KONWENCJI</w:t>
      </w:r>
    </w:p>
    <w:p w14:paraId="5B577176" w14:textId="02D2ECB6" w:rsidR="009556B2" w:rsidRPr="00DA2125" w:rsidRDefault="00801FBD" w:rsidP="009556B2">
      <w:pPr>
        <w:pStyle w:val="ECHRPara"/>
      </w:pPr>
      <w:r>
        <w:rPr>
          <w:noProof/>
        </w:rPr>
        <w:t>23</w:t>
      </w:r>
      <w:r w:rsidR="009556B2">
        <w:t>.</w:t>
      </w:r>
      <w:r w:rsidR="00C43971">
        <w:t xml:space="preserve"> </w:t>
      </w:r>
      <w:r w:rsidR="009556B2">
        <w:t>Skarżący zarzucił naruszenie jego prawa do poszanowania jego mieszkania na podstawie art.</w:t>
      </w:r>
      <w:r w:rsidR="00C43971">
        <w:t xml:space="preserve"> </w:t>
      </w:r>
      <w:r w:rsidR="009556B2">
        <w:t>8 Konwencji. Art</w:t>
      </w:r>
      <w:r w:rsidR="006900B1">
        <w:t xml:space="preserve">. </w:t>
      </w:r>
      <w:r w:rsidR="009556B2">
        <w:t>8 Konwencji stanowi:</w:t>
      </w:r>
    </w:p>
    <w:p w14:paraId="44A8A537" w14:textId="70CFC33A" w:rsidR="009556B2" w:rsidRPr="00DA2125" w:rsidRDefault="009556B2" w:rsidP="009556B2">
      <w:pPr>
        <w:pStyle w:val="ECHRParaQuote"/>
      </w:pPr>
      <w:r>
        <w:t>„1.</w:t>
      </w:r>
      <w:r w:rsidR="00C43971">
        <w:t xml:space="preserve"> </w:t>
      </w:r>
      <w:r>
        <w:t>Każdy ma prawo do poszanowania swojego życia prywatnego i rodzinnego, swojego mieszkania i swojej korespondencji.</w:t>
      </w:r>
    </w:p>
    <w:p w14:paraId="14D717A9" w14:textId="3B1D2C30" w:rsidR="009556B2" w:rsidRPr="00DA2125" w:rsidRDefault="009556B2" w:rsidP="009556B2">
      <w:pPr>
        <w:pStyle w:val="ECHRParaQuote"/>
      </w:pPr>
      <w:r>
        <w:t>2.</w:t>
      </w:r>
      <w:r w:rsidR="00C43971">
        <w:t xml:space="preserve"> </w:t>
      </w:r>
      <w:r>
        <w:t>Niedopuszczalna jest ingerencja władzy publicznej w korzystanie z tego prawa z</w:t>
      </w:r>
      <w:r w:rsidR="000F1163">
        <w:t> </w:t>
      </w:r>
      <w:r>
        <w:t>wyjątkiem przypadków przewidzianych przez ustawę i koniecznych w</w:t>
      </w:r>
      <w:r w:rsidR="000F1163">
        <w:t> </w:t>
      </w:r>
      <w:r w:rsidR="00FE6331">
        <w:t xml:space="preserve">demokratycznym </w:t>
      </w:r>
      <w:r>
        <w:t>społeczeństwie z uwagi na bezpieczeństwo państwowe, bezpieczeństwo publiczne lub dobrobyt gospodarczy kraju, ochronę porządku i</w:t>
      </w:r>
      <w:r w:rsidR="000F1163">
        <w:t> </w:t>
      </w:r>
      <w:r>
        <w:t>zapobieganie przestępstwom, ochronę zdrowia i moralności lub ochronę praw i</w:t>
      </w:r>
      <w:r w:rsidR="000F1163">
        <w:t> </w:t>
      </w:r>
      <w:r>
        <w:t>wolności osób”.</w:t>
      </w:r>
    </w:p>
    <w:p w14:paraId="1AB3585B" w14:textId="69350DDE" w:rsidR="009556B2" w:rsidRPr="00DA2125" w:rsidRDefault="009556B2" w:rsidP="009556B2">
      <w:pPr>
        <w:pStyle w:val="ECHRHeading2"/>
      </w:pPr>
      <w:r>
        <w:t>A.</w:t>
      </w:r>
      <w:r w:rsidR="00C43971">
        <w:t xml:space="preserve"> </w:t>
      </w:r>
      <w:r>
        <w:t>Stanowiska stron</w:t>
      </w:r>
    </w:p>
    <w:p w14:paraId="6D516A1B" w14:textId="47A669D5" w:rsidR="009556B2" w:rsidRPr="00DA2125" w:rsidRDefault="00801FBD" w:rsidP="009556B2">
      <w:pPr>
        <w:pStyle w:val="ECHRPara"/>
      </w:pPr>
      <w:r>
        <w:rPr>
          <w:noProof/>
        </w:rPr>
        <w:t>24</w:t>
      </w:r>
      <w:r w:rsidR="009556B2">
        <w:t>.</w:t>
      </w:r>
      <w:r w:rsidR="00C43971">
        <w:t xml:space="preserve"> </w:t>
      </w:r>
      <w:r w:rsidR="009556B2">
        <w:t>Rząd stwierdził, że w niniejszej sprawie nie doszło do naruszenia art.</w:t>
      </w:r>
      <w:r w:rsidR="000F1163">
        <w:t> </w:t>
      </w:r>
      <w:r w:rsidR="009556B2">
        <w:t>8 Konwencji. Odmowa uznania przez sąd okręgowy prawa skarżącego do</w:t>
      </w:r>
      <w:r w:rsidR="000F1163">
        <w:t> </w:t>
      </w:r>
      <w:r w:rsidR="009556B2">
        <w:t>zajmowania pokoju zajmowanego wcześniej przez jego partnerkę była zgodna z prawem i służyła realizacji uprawnionego celu, jakim była ochrona interesu publicznego, mianowicie praw gminy. Było to konieczne w</w:t>
      </w:r>
      <w:r w:rsidR="00DA7042">
        <w:t xml:space="preserve"> demokratycznym</w:t>
      </w:r>
      <w:r w:rsidR="009556B2">
        <w:t xml:space="preserve"> społeczeństwie, ponieważ wolny lokal należało przekazać osobom potrzebującym mieszkania.</w:t>
      </w:r>
    </w:p>
    <w:p w14:paraId="67607FD9" w14:textId="0C4D8EB0" w:rsidR="009556B2" w:rsidRPr="00DA2125" w:rsidRDefault="00801FBD" w:rsidP="009556B2">
      <w:pPr>
        <w:pStyle w:val="ECHRPara"/>
      </w:pPr>
      <w:r>
        <w:rPr>
          <w:noProof/>
        </w:rPr>
        <w:t>25</w:t>
      </w:r>
      <w:r w:rsidR="009556B2">
        <w:t>.</w:t>
      </w:r>
      <w:r w:rsidR="00C43971">
        <w:t xml:space="preserve"> </w:t>
      </w:r>
      <w:r w:rsidR="009556B2">
        <w:t>Rząd stwierdził ponadto, że wydając orzeczenie</w:t>
      </w:r>
      <w:r w:rsidR="00ED2052">
        <w:t>,</w:t>
      </w:r>
      <w:r w:rsidR="009556B2">
        <w:t xml:space="preserve"> sąd okręgowy wziął pod uwagę fakt, że nie przedstawiono niezbitych dowodów na to, że B. zezwoliła </w:t>
      </w:r>
      <w:r w:rsidR="00C37BF1">
        <w:t xml:space="preserve">skarżącemu </w:t>
      </w:r>
      <w:r w:rsidR="009556B2">
        <w:t xml:space="preserve">na zamieszkiwanie w mieszkaniu </w:t>
      </w:r>
      <w:r w:rsidR="00C37BF1">
        <w:t xml:space="preserve">w charakterze </w:t>
      </w:r>
      <w:r w:rsidR="009556B2">
        <w:t>członk</w:t>
      </w:r>
      <w:r w:rsidR="00C37BF1">
        <w:t>a</w:t>
      </w:r>
      <w:r w:rsidR="009556B2">
        <w:t xml:space="preserve"> rodziny, a nie tymczasow</w:t>
      </w:r>
      <w:r w:rsidR="00C37BF1">
        <w:t>ego</w:t>
      </w:r>
      <w:r w:rsidR="009556B2">
        <w:t xml:space="preserve"> lokator</w:t>
      </w:r>
      <w:r w:rsidR="00C37BF1">
        <w:t>a</w:t>
      </w:r>
      <w:r w:rsidR="009556B2">
        <w:t xml:space="preserve">. Decydujące znaczenie miała okoliczność, że przez cały okres, w którym skarżący mieszkał razem z B., </w:t>
      </w:r>
      <w:r w:rsidR="009556B2">
        <w:lastRenderedPageBreak/>
        <w:t>był on zameldowany w innym miejscu i nie wnioskował o wykreślenie go z</w:t>
      </w:r>
      <w:r w:rsidR="000F1163">
        <w:t> </w:t>
      </w:r>
      <w:r w:rsidR="009556B2">
        <w:t>rejestru meldunków aż do śmierci B., tuż przed wysunięciem swoich roszczeń przed sądem. Rząd stwierdził, że takie podejście opierało się na</w:t>
      </w:r>
      <w:r w:rsidR="000F1163">
        <w:t> </w:t>
      </w:r>
      <w:r w:rsidR="009556B2">
        <w:t>wytycznych przedstawionych przez Sąd Najwyższy Federacji Rosyjskiej w orzeczeniach z 31</w:t>
      </w:r>
      <w:r w:rsidR="00C43971">
        <w:t xml:space="preserve"> </w:t>
      </w:r>
      <w:r w:rsidR="009556B2">
        <w:t>października</w:t>
      </w:r>
      <w:r w:rsidR="00C43971">
        <w:t xml:space="preserve"> </w:t>
      </w:r>
      <w:r w:rsidR="009556B2">
        <w:t>1995</w:t>
      </w:r>
      <w:r w:rsidR="00C43971">
        <w:t xml:space="preserve"> </w:t>
      </w:r>
      <w:r w:rsidR="009556B2">
        <w:t>r. i z 2</w:t>
      </w:r>
      <w:r w:rsidR="00C43971">
        <w:t xml:space="preserve"> </w:t>
      </w:r>
      <w:r w:rsidR="009556B2">
        <w:t>lipca</w:t>
      </w:r>
      <w:r w:rsidR="00C43971">
        <w:t xml:space="preserve"> </w:t>
      </w:r>
      <w:r w:rsidR="009556B2">
        <w:t>2009</w:t>
      </w:r>
      <w:r w:rsidR="00C43971">
        <w:t xml:space="preserve"> </w:t>
      </w:r>
      <w:r w:rsidR="009556B2">
        <w:t>r. (zob</w:t>
      </w:r>
      <w:r w:rsidR="0054026B">
        <w:t>.</w:t>
      </w:r>
      <w:r w:rsidR="00C43971">
        <w:t xml:space="preserve"> </w:t>
      </w:r>
      <w:r w:rsidR="009556B2">
        <w:t>Właściwe prawo krajowe i praktyka powyżej).</w:t>
      </w:r>
    </w:p>
    <w:p w14:paraId="7C15935A" w14:textId="50597896" w:rsidR="009556B2" w:rsidRPr="00DA2125" w:rsidRDefault="00801FBD" w:rsidP="009556B2">
      <w:pPr>
        <w:pStyle w:val="ECHRPara"/>
      </w:pPr>
      <w:r>
        <w:rPr>
          <w:noProof/>
        </w:rPr>
        <w:t>26</w:t>
      </w:r>
      <w:r w:rsidR="009556B2">
        <w:t>.</w:t>
      </w:r>
      <w:r w:rsidR="00C43971">
        <w:t xml:space="preserve"> </w:t>
      </w:r>
      <w:r w:rsidR="009556B2">
        <w:t>Ponadto Rząd stwierdził, że istniały dalsze przesłanki wskazujące na</w:t>
      </w:r>
      <w:r w:rsidR="000F1163">
        <w:t> </w:t>
      </w:r>
      <w:r w:rsidR="009556B2">
        <w:t>to, że B. nie zezwoliła skarżącemu na zamieszkiwanie w swoim pokoju jako członk</w:t>
      </w:r>
      <w:r w:rsidR="00C37BF1">
        <w:t>owi</w:t>
      </w:r>
      <w:r w:rsidR="009556B2">
        <w:t xml:space="preserve"> rodziny: umowa najmu socjalnego nie została zmieniona w</w:t>
      </w:r>
      <w:r w:rsidR="000F1163">
        <w:t> </w:t>
      </w:r>
      <w:r w:rsidR="009556B2">
        <w:t>celu włączenia skarżącego jako członka rodziny B. i przez cały okres, w</w:t>
      </w:r>
      <w:r w:rsidR="000F1163">
        <w:t> </w:t>
      </w:r>
      <w:r w:rsidR="009556B2">
        <w:t>którym mieszkali razem</w:t>
      </w:r>
      <w:r w:rsidR="00F00C71">
        <w:t>,</w:t>
      </w:r>
      <w:r w:rsidR="009556B2">
        <w:t xml:space="preserve"> nigdy nie zawarli oni związku małżeńskiego.</w:t>
      </w:r>
    </w:p>
    <w:p w14:paraId="62C2D6A2" w14:textId="62500D67" w:rsidR="009556B2" w:rsidRPr="00DA2125" w:rsidRDefault="00801FBD" w:rsidP="009556B2">
      <w:pPr>
        <w:pStyle w:val="ECHRPara"/>
      </w:pPr>
      <w:r>
        <w:rPr>
          <w:noProof/>
        </w:rPr>
        <w:t>27</w:t>
      </w:r>
      <w:r w:rsidR="009556B2">
        <w:t>.</w:t>
      </w:r>
      <w:r w:rsidR="00C43971">
        <w:t xml:space="preserve"> </w:t>
      </w:r>
      <w:r w:rsidR="009556B2">
        <w:t>Skarżący podniósł, że po śmierci jego partnerki został pozbawiony jedynego mieszkania. Miejsce, w którym był zameldowany</w:t>
      </w:r>
      <w:r w:rsidR="00FB7FEE">
        <w:t>,</w:t>
      </w:r>
      <w:r w:rsidR="009556B2">
        <w:t xml:space="preserve"> nie było jego mieszkaniem</w:t>
      </w:r>
      <w:r w:rsidR="00FB7FEE">
        <w:t>—</w:t>
      </w:r>
      <w:r w:rsidR="009556B2">
        <w:t xml:space="preserve"> było to mieszkanie jego byłej żony i jej nowej rodziny. W</w:t>
      </w:r>
      <w:r w:rsidR="000F1163">
        <w:t> </w:t>
      </w:r>
      <w:r w:rsidR="009556B2">
        <w:t xml:space="preserve">każdym razie fakt, że dana osoba </w:t>
      </w:r>
      <w:r w:rsidR="00FB7E8C">
        <w:t xml:space="preserve">jest </w:t>
      </w:r>
      <w:r w:rsidR="009556B2">
        <w:t>zameldowana w określonym miejscu</w:t>
      </w:r>
      <w:r w:rsidR="00FB7E8C">
        <w:t>,</w:t>
      </w:r>
      <w:r w:rsidR="009556B2">
        <w:t xml:space="preserve"> nie oznacza automatycznie, że tam mieszka.</w:t>
      </w:r>
    </w:p>
    <w:p w14:paraId="67B0F744" w14:textId="341F228D" w:rsidR="009556B2" w:rsidRPr="00DA2125" w:rsidRDefault="009556B2" w:rsidP="009556B2">
      <w:pPr>
        <w:pStyle w:val="ECHRHeading2"/>
      </w:pPr>
      <w:r>
        <w:t>B.</w:t>
      </w:r>
      <w:r w:rsidR="00C43971">
        <w:t xml:space="preserve"> </w:t>
      </w:r>
      <w:r>
        <w:t>Ocena Trybunału</w:t>
      </w:r>
    </w:p>
    <w:p w14:paraId="0B0AD38F" w14:textId="297D57E9" w:rsidR="009556B2" w:rsidRPr="00DA2125" w:rsidRDefault="009556B2" w:rsidP="009556B2">
      <w:pPr>
        <w:pStyle w:val="ECHRHeading3"/>
      </w:pPr>
      <w:r>
        <w:t>1.</w:t>
      </w:r>
      <w:r w:rsidR="00C43971">
        <w:t xml:space="preserve"> </w:t>
      </w:r>
      <w:r>
        <w:t>Dopuszczalność</w:t>
      </w:r>
    </w:p>
    <w:p w14:paraId="3962BEFC" w14:textId="4491DCAD" w:rsidR="009556B2" w:rsidRPr="00DA2125" w:rsidRDefault="00801FBD" w:rsidP="009556B2">
      <w:pPr>
        <w:pStyle w:val="ECHRPara"/>
      </w:pPr>
      <w:r>
        <w:rPr>
          <w:noProof/>
        </w:rPr>
        <w:t>28</w:t>
      </w:r>
      <w:r w:rsidR="009556B2">
        <w:t>.</w:t>
      </w:r>
      <w:r w:rsidR="00C43971">
        <w:t xml:space="preserve"> </w:t>
      </w:r>
      <w:r w:rsidR="009556B2">
        <w:t>Trybunał zauważa, że niniejsza skarga nie jest w sposób oczywisty nieuzasadniona w rozumieniu art.</w:t>
      </w:r>
      <w:r w:rsidR="00C43971">
        <w:t xml:space="preserve"> </w:t>
      </w:r>
      <w:r w:rsidR="009556B2">
        <w:t>35 ust.</w:t>
      </w:r>
      <w:r w:rsidR="00C43971">
        <w:t xml:space="preserve"> </w:t>
      </w:r>
      <w:r w:rsidR="009556B2">
        <w:t>3 lit.</w:t>
      </w:r>
      <w:r w:rsidR="00C43971">
        <w:t xml:space="preserve"> </w:t>
      </w:r>
      <w:r w:rsidR="009556B2">
        <w:t>a Konwencji. Ponadto odnotowuje, że nie jest ona też niedopuszczalna na żadn</w:t>
      </w:r>
      <w:r w:rsidR="00ED2052">
        <w:t>ej innej podstawie</w:t>
      </w:r>
      <w:r w:rsidR="009556B2">
        <w:t>. Należy ją zatem uznać za dopuszczalną.</w:t>
      </w:r>
    </w:p>
    <w:p w14:paraId="1C459F91" w14:textId="2ACBC2DF" w:rsidR="009556B2" w:rsidRPr="00DA2125" w:rsidRDefault="009556B2" w:rsidP="009556B2">
      <w:pPr>
        <w:pStyle w:val="ECHRHeading3"/>
      </w:pPr>
      <w:r>
        <w:t>2.</w:t>
      </w:r>
      <w:r w:rsidR="00C43971">
        <w:t xml:space="preserve"> </w:t>
      </w:r>
      <w:r>
        <w:t>Przedmiot skargi</w:t>
      </w:r>
    </w:p>
    <w:p w14:paraId="3607453C" w14:textId="4D1215BC" w:rsidR="009556B2" w:rsidRPr="00DA2125" w:rsidRDefault="00801FBD" w:rsidP="009556B2">
      <w:pPr>
        <w:pStyle w:val="ECHRPara"/>
      </w:pPr>
      <w:r>
        <w:rPr>
          <w:noProof/>
        </w:rPr>
        <w:t>29</w:t>
      </w:r>
      <w:r w:rsidR="009556B2">
        <w:t>.</w:t>
      </w:r>
      <w:r w:rsidR="00C43971">
        <w:t xml:space="preserve"> </w:t>
      </w:r>
      <w:r w:rsidR="009556B2">
        <w:t xml:space="preserve">Pierwszą kwestią, jaką musi się zająć Trybunał, jest to, czy skarżący może </w:t>
      </w:r>
      <w:r w:rsidR="009556B2" w:rsidRPr="00886799">
        <w:t xml:space="preserve">w sposób </w:t>
      </w:r>
      <w:r w:rsidR="000F1163" w:rsidRPr="00886799">
        <w:t>uzasadniony</w:t>
      </w:r>
      <w:r w:rsidR="009556B2" w:rsidRPr="00886799">
        <w:t xml:space="preserve"> twierdzić</w:t>
      </w:r>
      <w:r w:rsidR="009556B2">
        <w:t>, że przysługiwało mu prawo chronione na mocy art.</w:t>
      </w:r>
      <w:r w:rsidR="00C43971">
        <w:t xml:space="preserve"> </w:t>
      </w:r>
      <w:r w:rsidR="009556B2">
        <w:t xml:space="preserve">8, a konkretnie w niniejszej sprawie </w:t>
      </w:r>
      <w:r w:rsidR="00981491">
        <w:t xml:space="preserve">— </w:t>
      </w:r>
      <w:r w:rsidR="009556B2">
        <w:t>czy pokój, o</w:t>
      </w:r>
      <w:r w:rsidR="000F1163">
        <w:t> </w:t>
      </w:r>
      <w:r w:rsidR="009556B2">
        <w:t>którym mowa, może być uznany za jego mieszkanie.</w:t>
      </w:r>
    </w:p>
    <w:p w14:paraId="4FF7D42E" w14:textId="5E4C0B23" w:rsidR="009556B2" w:rsidRPr="00DA2125" w:rsidRDefault="00801FBD" w:rsidP="009556B2">
      <w:pPr>
        <w:pStyle w:val="ECHRPara"/>
        <w:rPr>
          <w:szCs w:val="24"/>
        </w:rPr>
      </w:pPr>
      <w:r>
        <w:rPr>
          <w:noProof/>
        </w:rPr>
        <w:t>30</w:t>
      </w:r>
      <w:r w:rsidR="009556B2">
        <w:t>.</w:t>
      </w:r>
      <w:r w:rsidR="00C43971">
        <w:t xml:space="preserve"> </w:t>
      </w:r>
      <w:r w:rsidR="009556B2">
        <w:t>Pojęcie „mieszkania” w rozumieniu art.</w:t>
      </w:r>
      <w:r w:rsidR="00C43971">
        <w:t xml:space="preserve"> </w:t>
      </w:r>
      <w:r w:rsidR="009556B2">
        <w:t xml:space="preserve">8 nie ogranicza się </w:t>
      </w:r>
      <w:r w:rsidR="00113A92">
        <w:t>do</w:t>
      </w:r>
      <w:r w:rsidR="000F1163">
        <w:t> </w:t>
      </w:r>
      <w:r w:rsidR="009556B2">
        <w:t>pomieszczeń, które są legalnie zajmowane lub które zostały legalnie ustanowione. Jest to pojęcie autonomiczne, które nie zależy od klasyfikacji na gruncie prawa krajowego. Ustalenie, czy dany lokal stanowi „mieszkanie” podlegające ochronie na podstawie art.</w:t>
      </w:r>
      <w:r w:rsidR="00C43971">
        <w:t xml:space="preserve"> </w:t>
      </w:r>
      <w:r w:rsidR="009556B2">
        <w:t>8, zależy od</w:t>
      </w:r>
      <w:r w:rsidR="000F1163">
        <w:t> </w:t>
      </w:r>
      <w:r w:rsidR="009556B2">
        <w:t>okoliczności faktycznych, a mianowicie od istnienia wystarczających i</w:t>
      </w:r>
      <w:r w:rsidR="000F1163">
        <w:t> </w:t>
      </w:r>
      <w:r w:rsidR="009556B2">
        <w:t>ciągłych powiązań z określonym miejscem (zob.</w:t>
      </w:r>
      <w:r w:rsidR="00C43971">
        <w:t xml:space="preserve"> </w:t>
      </w:r>
      <w:r w:rsidR="009556B2">
        <w:rPr>
          <w:i/>
        </w:rPr>
        <w:t>Buckley przeciwko Zjednoczonemu Królestwu</w:t>
      </w:r>
      <w:r w:rsidR="009556B2">
        <w:t>, 25</w:t>
      </w:r>
      <w:r w:rsidR="00C43971">
        <w:t xml:space="preserve"> </w:t>
      </w:r>
      <w:r w:rsidR="009556B2">
        <w:t>września</w:t>
      </w:r>
      <w:r w:rsidR="00C43971">
        <w:t xml:space="preserve"> </w:t>
      </w:r>
      <w:r w:rsidR="009556B2">
        <w:t>1996</w:t>
      </w:r>
      <w:r w:rsidR="00C43971">
        <w:t xml:space="preserve"> </w:t>
      </w:r>
      <w:r w:rsidR="009556B2">
        <w:t>r., §</w:t>
      </w:r>
      <w:r w:rsidR="00C43971">
        <w:t xml:space="preserve"> </w:t>
      </w:r>
      <w:r w:rsidR="009556B2">
        <w:t xml:space="preserve">54, </w:t>
      </w:r>
      <w:r w:rsidR="009556B2">
        <w:rPr>
          <w:i/>
        </w:rPr>
        <w:t>Zbiór Wyroków i</w:t>
      </w:r>
      <w:r w:rsidR="000F1163">
        <w:rPr>
          <w:i/>
        </w:rPr>
        <w:t> </w:t>
      </w:r>
      <w:r w:rsidR="009556B2">
        <w:rPr>
          <w:i/>
        </w:rPr>
        <w:t>Decyzji</w:t>
      </w:r>
      <w:r w:rsidR="00C43971">
        <w:t xml:space="preserve"> </w:t>
      </w:r>
      <w:r w:rsidR="009556B2">
        <w:t>1996</w:t>
      </w:r>
      <w:r w:rsidR="00ED2052">
        <w:t>-</w:t>
      </w:r>
      <w:r w:rsidR="009556B2">
        <w:t xml:space="preserve">IV; </w:t>
      </w:r>
      <w:r w:rsidR="009556B2">
        <w:rPr>
          <w:i/>
        </w:rPr>
        <w:t>Prokopovich przeciwko Rosji</w:t>
      </w:r>
      <w:r w:rsidR="009556B2">
        <w:t>, nr</w:t>
      </w:r>
      <w:r w:rsidR="00C43971">
        <w:t xml:space="preserve"> </w:t>
      </w:r>
      <w:r w:rsidR="009556B2">
        <w:t>58255/00, §§</w:t>
      </w:r>
      <w:r w:rsidR="00C43971">
        <w:t xml:space="preserve"> </w:t>
      </w:r>
      <w:r w:rsidR="009556B2">
        <w:t>36</w:t>
      </w:r>
      <w:r w:rsidR="0011507C">
        <w:t>–</w:t>
      </w:r>
      <w:r w:rsidR="009556B2">
        <w:t xml:space="preserve">39, </w:t>
      </w:r>
      <w:r w:rsidR="006900B1">
        <w:t>ETPC</w:t>
      </w:r>
      <w:r w:rsidR="00C43971">
        <w:t xml:space="preserve"> </w:t>
      </w:r>
      <w:r w:rsidR="009556B2">
        <w:t>2004</w:t>
      </w:r>
      <w:r w:rsidR="00ED2052">
        <w:t>-</w:t>
      </w:r>
      <w:r w:rsidR="009556B2">
        <w:t xml:space="preserve">XI (fragmenty) oraz </w:t>
      </w:r>
      <w:r w:rsidR="009556B2">
        <w:rPr>
          <w:i/>
        </w:rPr>
        <w:t>McCann przeciwko Zjednoczonemu Królestwu</w:t>
      </w:r>
      <w:r w:rsidR="009556B2">
        <w:t>, nr</w:t>
      </w:r>
      <w:r w:rsidR="00C43971">
        <w:t xml:space="preserve"> </w:t>
      </w:r>
      <w:r w:rsidR="009556B2">
        <w:t>19009/04, §</w:t>
      </w:r>
      <w:r w:rsidR="00C43971">
        <w:t xml:space="preserve"> </w:t>
      </w:r>
      <w:r w:rsidR="009556B2">
        <w:t xml:space="preserve">46, </w:t>
      </w:r>
      <w:r w:rsidR="006900B1">
        <w:t>ETPC</w:t>
      </w:r>
      <w:r w:rsidR="00C43971">
        <w:t xml:space="preserve"> </w:t>
      </w:r>
      <w:r w:rsidR="009556B2">
        <w:t>2008).</w:t>
      </w:r>
    </w:p>
    <w:p w14:paraId="7193CA31" w14:textId="3E063909" w:rsidR="009556B2" w:rsidRPr="00DA2125" w:rsidRDefault="00801FBD" w:rsidP="009556B2">
      <w:pPr>
        <w:pStyle w:val="ECHRPara"/>
      </w:pPr>
      <w:r>
        <w:rPr>
          <w:noProof/>
        </w:rPr>
        <w:t>31</w:t>
      </w:r>
      <w:r w:rsidR="009556B2">
        <w:t>.</w:t>
      </w:r>
      <w:r w:rsidR="00C43971">
        <w:t xml:space="preserve"> </w:t>
      </w:r>
      <w:r w:rsidR="009556B2">
        <w:t>W niniejszej sprawie sąd pierwszej instancji stwierdził w wyroku z</w:t>
      </w:r>
      <w:r w:rsidR="000F1163">
        <w:t> </w:t>
      </w:r>
      <w:r w:rsidR="009556B2">
        <w:t>6</w:t>
      </w:r>
      <w:r w:rsidR="000F1163">
        <w:t> </w:t>
      </w:r>
      <w:r w:rsidR="009556B2">
        <w:t>maja</w:t>
      </w:r>
      <w:r w:rsidR="00C43971">
        <w:t xml:space="preserve"> </w:t>
      </w:r>
      <w:r w:rsidR="009556B2">
        <w:t>2010</w:t>
      </w:r>
      <w:r w:rsidR="00C43971">
        <w:t xml:space="preserve"> </w:t>
      </w:r>
      <w:r w:rsidR="009556B2">
        <w:t xml:space="preserve">r., że skarżący mieszkał w pokoju B. przez dziesięć lat. </w:t>
      </w:r>
      <w:r w:rsidR="009556B2">
        <w:lastRenderedPageBreak/>
        <w:t>Uchylając ten wyrok</w:t>
      </w:r>
      <w:r w:rsidR="00AA73BE">
        <w:t>,</w:t>
      </w:r>
      <w:r w:rsidR="009556B2">
        <w:t xml:space="preserve"> sąd okręgowy nie podważył tego wniosku, lecz</w:t>
      </w:r>
      <w:r w:rsidR="000F1163">
        <w:t> </w:t>
      </w:r>
      <w:r w:rsidR="009556B2">
        <w:t>stwierdził, że nie przedstawi</w:t>
      </w:r>
      <w:r w:rsidR="00FF7769">
        <w:t>ono</w:t>
      </w:r>
      <w:r w:rsidR="009556B2">
        <w:t xml:space="preserve"> niezbitych dowodów na to, że B. zezwoliła skarżącemu na zamieszkiwanie w mieszkaniu jako członk</w:t>
      </w:r>
      <w:r w:rsidR="00C37BF1">
        <w:t>owi</w:t>
      </w:r>
      <w:r w:rsidR="009556B2">
        <w:t xml:space="preserve"> rodziny, a nie jako tymczasow</w:t>
      </w:r>
      <w:r w:rsidR="00C37BF1">
        <w:t>emu</w:t>
      </w:r>
      <w:r w:rsidR="009556B2">
        <w:t xml:space="preserve"> lokator</w:t>
      </w:r>
      <w:r w:rsidR="00C37BF1">
        <w:t>owi</w:t>
      </w:r>
      <w:r w:rsidR="009556B2">
        <w:t>. Dla sądu okręgowego decydujące znaczenie miała okoliczność, że przez cały okres, w którym skarżący mieszkał razem z B., był on zameldowany w innym miejscu.</w:t>
      </w:r>
    </w:p>
    <w:p w14:paraId="4DC09FB4" w14:textId="6FA88BC7" w:rsidR="009556B2" w:rsidRPr="00DA2125" w:rsidRDefault="00801FBD" w:rsidP="009556B2">
      <w:pPr>
        <w:pStyle w:val="ECHRPara"/>
      </w:pPr>
      <w:r>
        <w:rPr>
          <w:noProof/>
        </w:rPr>
        <w:t>32</w:t>
      </w:r>
      <w:r w:rsidR="009556B2">
        <w:t>.</w:t>
      </w:r>
      <w:r w:rsidR="00C43971">
        <w:t xml:space="preserve"> </w:t>
      </w:r>
      <w:r w:rsidR="009556B2">
        <w:t>Trybunał uznaje, że sam fakt, iż skarżący pozostawał zameldowany w mieszkaniu swojej byłej żony, nie wystarcza do stwierdzenia, że</w:t>
      </w:r>
      <w:r w:rsidR="000F1163">
        <w:t> </w:t>
      </w:r>
      <w:r w:rsidR="009556B2">
        <w:t>stanowiło ono jego mieszkanie. Z drugiej strony Trybunał uznaje, że</w:t>
      </w:r>
      <w:r w:rsidR="000F1163">
        <w:t> </w:t>
      </w:r>
      <w:r w:rsidR="00D10E93">
        <w:t xml:space="preserve">poprzez mieszkanie </w:t>
      </w:r>
      <w:r w:rsidR="009556B2">
        <w:t>w pokoju B. przez dziesięć lat</w:t>
      </w:r>
      <w:r w:rsidR="00D10E93">
        <w:t xml:space="preserve"> u skarżącego</w:t>
      </w:r>
      <w:r w:rsidR="009556B2">
        <w:t xml:space="preserve"> wytworzyły się wystarczające i ciągłe powiązania z tym pokojem, pozwalające na uznanie go za „mieszkanie” dla celów art.</w:t>
      </w:r>
      <w:r w:rsidR="00C43971">
        <w:t xml:space="preserve"> </w:t>
      </w:r>
      <w:r w:rsidR="009556B2">
        <w:t>8 Konwencji. Odmowa uznania skarżącego za członka rodziny B. i uznania jego prawa do</w:t>
      </w:r>
      <w:r w:rsidR="000F1163">
        <w:t> </w:t>
      </w:r>
      <w:r w:rsidR="009556B2">
        <w:t>zajmowania jej pokoju stanowiła ingerencję w jego prawo do</w:t>
      </w:r>
      <w:r w:rsidR="000F1163">
        <w:t> </w:t>
      </w:r>
      <w:r w:rsidR="009556B2">
        <w:t>poszanowania jego mieszkania, zagwarantowane w art.</w:t>
      </w:r>
      <w:r w:rsidR="00C43971">
        <w:t xml:space="preserve"> </w:t>
      </w:r>
      <w:r w:rsidR="009556B2">
        <w:t>8 Konwencji.</w:t>
      </w:r>
    </w:p>
    <w:p w14:paraId="71BB976D" w14:textId="49313DB0" w:rsidR="009556B2" w:rsidRPr="00DA2125" w:rsidRDefault="00801FBD" w:rsidP="009556B2">
      <w:pPr>
        <w:pStyle w:val="ECHRPara"/>
      </w:pPr>
      <w:r>
        <w:rPr>
          <w:noProof/>
        </w:rPr>
        <w:t>33</w:t>
      </w:r>
      <w:r w:rsidR="009556B2">
        <w:t>.</w:t>
      </w:r>
      <w:r w:rsidR="00C43971">
        <w:t xml:space="preserve"> </w:t>
      </w:r>
      <w:r w:rsidR="009556B2">
        <w:t>Trybunał przyjmuje, że ingerencja ta miała podstawę prawną w</w:t>
      </w:r>
      <w:r w:rsidR="000F1163">
        <w:t> </w:t>
      </w:r>
      <w:r w:rsidR="009556B2">
        <w:t>prawie krajowym (zob.</w:t>
      </w:r>
      <w:r w:rsidR="00C43971">
        <w:t xml:space="preserve"> </w:t>
      </w:r>
      <w:r w:rsidR="009556B2">
        <w:t>paragraf</w:t>
      </w:r>
      <w:r w:rsidR="00C43971">
        <w:t xml:space="preserve"> </w:t>
      </w:r>
      <w:r>
        <w:rPr>
          <w:noProof/>
        </w:rPr>
        <w:t>19</w:t>
      </w:r>
      <w:r w:rsidR="009556B2">
        <w:t xml:space="preserve"> powyżej) i służyła realizacji uprawnionego celu, jakim była ochrona praw gminy jako właściciela mieszkania i praw osób potrzebujących mieszkania. Zasadniczą kwestią w</w:t>
      </w:r>
      <w:r w:rsidR="000F1163">
        <w:t> </w:t>
      </w:r>
      <w:r w:rsidR="009556B2">
        <w:t>tym przypadku jest zatem to, czy ingerencja była proporcjonalna do celu, jakiemu służyła</w:t>
      </w:r>
      <w:r w:rsidR="006B564E">
        <w:t>,</w:t>
      </w:r>
      <w:r w:rsidR="009556B2">
        <w:t xml:space="preserve"> a tym samym „konieczna w </w:t>
      </w:r>
      <w:r w:rsidR="006B564E">
        <w:t xml:space="preserve">demokratycznym </w:t>
      </w:r>
      <w:r w:rsidR="009556B2">
        <w:t>społeczeństwie”.</w:t>
      </w:r>
    </w:p>
    <w:p w14:paraId="44AD2509" w14:textId="664E8DA8" w:rsidR="009556B2" w:rsidRPr="00DA2125" w:rsidRDefault="00801FBD" w:rsidP="009556B2">
      <w:pPr>
        <w:pStyle w:val="ECHRPara"/>
      </w:pPr>
      <w:r>
        <w:rPr>
          <w:noProof/>
        </w:rPr>
        <w:t>34</w:t>
      </w:r>
      <w:r w:rsidR="009556B2">
        <w:t>.</w:t>
      </w:r>
      <w:r w:rsidR="00C43971">
        <w:t xml:space="preserve"> </w:t>
      </w:r>
      <w:r w:rsidR="009556B2">
        <w:t>Trybu</w:t>
      </w:r>
      <w:r w:rsidR="00A131AB">
        <w:t>nał określił odpowiednie zasady oceniani</w:t>
      </w:r>
      <w:r w:rsidR="00886799">
        <w:t>a</w:t>
      </w:r>
      <w:r w:rsidR="009556B2">
        <w:t xml:space="preserve"> konieczności ingerencji w prawo do „mieszkania” w sprawie </w:t>
      </w:r>
      <w:r w:rsidR="009556B2">
        <w:rPr>
          <w:i/>
        </w:rPr>
        <w:t>Connors przeciwko Zjednoczonemu Królestwu</w:t>
      </w:r>
      <w:r w:rsidR="009556B2">
        <w:t xml:space="preserve"> (nr</w:t>
      </w:r>
      <w:r w:rsidR="00C43971">
        <w:t xml:space="preserve"> </w:t>
      </w:r>
      <w:r w:rsidR="009556B2">
        <w:t>66746/01, §§</w:t>
      </w:r>
      <w:r w:rsidR="00C43971">
        <w:t xml:space="preserve"> </w:t>
      </w:r>
      <w:r w:rsidR="009556B2">
        <w:t>81</w:t>
      </w:r>
      <w:r w:rsidR="008F40E3">
        <w:t>–</w:t>
      </w:r>
      <w:r w:rsidR="009556B2">
        <w:t>84, 27</w:t>
      </w:r>
      <w:r w:rsidR="00C43971">
        <w:t xml:space="preserve"> </w:t>
      </w:r>
      <w:r w:rsidR="009556B2">
        <w:t>maja</w:t>
      </w:r>
      <w:r w:rsidR="00C43971">
        <w:t xml:space="preserve"> </w:t>
      </w:r>
      <w:r w:rsidR="009556B2">
        <w:t>2004</w:t>
      </w:r>
      <w:r w:rsidR="00C43971">
        <w:t xml:space="preserve"> </w:t>
      </w:r>
      <w:r w:rsidR="009556B2">
        <w:t>r.), która dotyczyła eksmisji rodziny romskiej z terenu pola kempingowego dla</w:t>
      </w:r>
      <w:r w:rsidR="000F1163">
        <w:t> </w:t>
      </w:r>
      <w:r w:rsidR="009556B2">
        <w:t xml:space="preserve">Romów należącego do władz lokalnych. Następnie w sprawie </w:t>
      </w:r>
      <w:r w:rsidR="009556B2">
        <w:rPr>
          <w:i/>
        </w:rPr>
        <w:t>McCann przeciwko Zjednoczonemu Królestwu</w:t>
      </w:r>
      <w:r w:rsidR="009556B2">
        <w:t xml:space="preserve"> (</w:t>
      </w:r>
      <w:r w:rsidR="006F1AB3">
        <w:t>nr</w:t>
      </w:r>
      <w:r w:rsidR="00C43971">
        <w:t xml:space="preserve"> </w:t>
      </w:r>
      <w:r w:rsidR="009556B2">
        <w:t>19009/04, §</w:t>
      </w:r>
      <w:r w:rsidR="00C43971">
        <w:t xml:space="preserve"> </w:t>
      </w:r>
      <w:r w:rsidR="009556B2">
        <w:t xml:space="preserve">50 </w:t>
      </w:r>
      <w:r w:rsidR="006900B1">
        <w:t>ETPC</w:t>
      </w:r>
      <w:r w:rsidR="00C43971">
        <w:t xml:space="preserve"> </w:t>
      </w:r>
      <w:r w:rsidR="009556B2">
        <w:t xml:space="preserve">2008) Trybunał orzekł, że rozumowanie w sprawie </w:t>
      </w:r>
      <w:r w:rsidR="009556B2">
        <w:rPr>
          <w:i/>
        </w:rPr>
        <w:t>Connors</w:t>
      </w:r>
      <w:r w:rsidR="009556B2">
        <w:t xml:space="preserve"> nie ograniczało się jedynie do przypadków dotyczących eksmisji Romów lub takich, w których skarżący chciał zakwestionować same przepisy prawa, a nie ich zastosowanie w odniesieniu do konkretnej sprawy</w:t>
      </w:r>
      <w:r w:rsidR="001A0E1B">
        <w:t>,</w:t>
      </w:r>
      <w:r w:rsidR="009556B2">
        <w:t xml:space="preserve"> i dalej orzekł, co</w:t>
      </w:r>
      <w:r w:rsidR="000F1163">
        <w:t> </w:t>
      </w:r>
      <w:r w:rsidR="009556B2">
        <w:t>następuje:</w:t>
      </w:r>
    </w:p>
    <w:p w14:paraId="4172AE99" w14:textId="46E21354" w:rsidR="009556B2" w:rsidRPr="00DA2125" w:rsidRDefault="009556B2" w:rsidP="009556B2">
      <w:pPr>
        <w:pStyle w:val="JuQuotSub"/>
      </w:pPr>
      <w:r>
        <w:t xml:space="preserve">„Pozbawienie kogoś mieszkania jest </w:t>
      </w:r>
      <w:r w:rsidR="00A131AB">
        <w:t>najbardziej ekstremalną</w:t>
      </w:r>
      <w:r>
        <w:t xml:space="preserve"> form</w:t>
      </w:r>
      <w:r w:rsidR="00A131AB">
        <w:t>ą</w:t>
      </w:r>
      <w:r>
        <w:t xml:space="preserve"> ingerencji w</w:t>
      </w:r>
      <w:r w:rsidR="000F1163">
        <w:t> </w:t>
      </w:r>
      <w:r>
        <w:t xml:space="preserve">prawo do poszanowania mieszkania. Każda osoba narażona na tak </w:t>
      </w:r>
      <w:r w:rsidR="00086F51">
        <w:t>drastyczną ingerencję</w:t>
      </w:r>
      <w:r>
        <w:t xml:space="preserve"> powinna co do zasady mieć możliwość uzyskania oceny proporcjonalności zastosowanego środka dokonanej przez niezawisły sąd w świetle odpowiednich </w:t>
      </w:r>
      <w:r w:rsidR="00A131AB">
        <w:t xml:space="preserve">zasad </w:t>
      </w:r>
      <w:r>
        <w:t>przewidzianych w art.</w:t>
      </w:r>
      <w:r w:rsidR="00C43971">
        <w:t xml:space="preserve"> </w:t>
      </w:r>
      <w:r>
        <w:t>8 Konwencji bez względu na to, czy</w:t>
      </w:r>
      <w:r w:rsidR="000F1163">
        <w:t> </w:t>
      </w:r>
      <w:r>
        <w:t>z</w:t>
      </w:r>
      <w:r w:rsidR="000F1163">
        <w:t> </w:t>
      </w:r>
      <w:r>
        <w:t>perspektywy prawa krajowego osoba ta utraciła prawo do zajmowania danej nieruchomości”.</w:t>
      </w:r>
    </w:p>
    <w:p w14:paraId="67A105BC" w14:textId="5DED00AC" w:rsidR="009556B2" w:rsidRPr="00DA2125" w:rsidRDefault="00801FBD" w:rsidP="009556B2">
      <w:pPr>
        <w:pStyle w:val="ECHRPara"/>
      </w:pPr>
      <w:r>
        <w:rPr>
          <w:noProof/>
        </w:rPr>
        <w:t>35</w:t>
      </w:r>
      <w:r w:rsidR="009556B2">
        <w:t>.</w:t>
      </w:r>
      <w:r w:rsidR="00C43971">
        <w:t xml:space="preserve"> </w:t>
      </w:r>
      <w:r w:rsidR="009556B2">
        <w:t>W niniejszej sprawie skarżący podniósł kwestię prawa do mieszkania przed sądami krajowymi i przedstawił argumenty związane z</w:t>
      </w:r>
      <w:r w:rsidR="000F1163">
        <w:t> </w:t>
      </w:r>
      <w:r w:rsidR="009556B2">
        <w:t xml:space="preserve">proporcjonalnością odmowy uznania jego prawa do </w:t>
      </w:r>
      <w:r w:rsidR="006A1EFE">
        <w:t xml:space="preserve">zamieszkiwania </w:t>
      </w:r>
      <w:r w:rsidR="00072C08">
        <w:t>w</w:t>
      </w:r>
      <w:r w:rsidR="000F1163">
        <w:t> </w:t>
      </w:r>
      <w:r w:rsidR="006A1EFE">
        <w:t>sporn</w:t>
      </w:r>
      <w:r w:rsidR="00072C08">
        <w:t>ym</w:t>
      </w:r>
      <w:r w:rsidR="009556B2">
        <w:t xml:space="preserve"> pokoju. Sąd pierwszej instancji przychylił się do jego żądań </w:t>
      </w:r>
      <w:r w:rsidR="009556B2">
        <w:lastRenderedPageBreak/>
        <w:t>w</w:t>
      </w:r>
      <w:r w:rsidR="000F1163">
        <w:t> </w:t>
      </w:r>
      <w:r w:rsidR="009556B2">
        <w:t>związku z faktem, że mieszkał on z B. w tym pokoju od dziesięciu lat, prowadził z nią wspólne gospodarstwo domowe i został wykreślony z</w:t>
      </w:r>
      <w:r w:rsidR="000F1163">
        <w:t> </w:t>
      </w:r>
      <w:r w:rsidR="009556B2">
        <w:t>rejestru meldunków w poprzednim miejscu zamieszkania. Sąd okręgowy uchylił jednak ten wyrok i oddalił roszczenia skarżącego, stwierdzając, że</w:t>
      </w:r>
      <w:r w:rsidR="000F1163">
        <w:t> </w:t>
      </w:r>
      <w:r w:rsidR="009556B2">
        <w:t>nie przedstawiono niezbitych dowodów na to, że B. zezwoliła skarżącemu na zamieszkiwanie w pokoju jako członk</w:t>
      </w:r>
      <w:r w:rsidR="00072C08">
        <w:t>owi</w:t>
      </w:r>
      <w:r w:rsidR="009556B2">
        <w:t xml:space="preserve"> rodziny, a nie jako tymczasow</w:t>
      </w:r>
      <w:r w:rsidR="00072C08">
        <w:t>emu</w:t>
      </w:r>
      <w:r w:rsidR="009556B2">
        <w:t xml:space="preserve"> lokator</w:t>
      </w:r>
      <w:r w:rsidR="00072C08">
        <w:t>owi</w:t>
      </w:r>
      <w:r w:rsidR="009556B2">
        <w:t>. Wniosek ten opierał się wyłącznie na fakcie, że</w:t>
      </w:r>
      <w:r w:rsidR="000F1163">
        <w:t> </w:t>
      </w:r>
      <w:r w:rsidR="000C78E8">
        <w:t xml:space="preserve">skarżący </w:t>
      </w:r>
      <w:r w:rsidR="009556B2">
        <w:t>przez cały okres, w którym mieszkał z B., był zameldowany w</w:t>
      </w:r>
      <w:r w:rsidR="000F1163">
        <w:t> </w:t>
      </w:r>
      <w:r w:rsidR="009556B2">
        <w:t>innym miejscu i nie wnioskował o wykreślenie go z rejestru meldunków aż do śmierci B., tuż przed wysunięciem swoich roszczeń przed sądem.</w:t>
      </w:r>
    </w:p>
    <w:p w14:paraId="2765FB8E" w14:textId="0E3DDE9D" w:rsidR="009556B2" w:rsidRPr="00DA2125" w:rsidRDefault="00801FBD" w:rsidP="009556B2">
      <w:pPr>
        <w:pStyle w:val="ECHRPara"/>
      </w:pPr>
      <w:r>
        <w:rPr>
          <w:noProof/>
        </w:rPr>
        <w:t>36</w:t>
      </w:r>
      <w:r w:rsidR="009556B2">
        <w:t>.</w:t>
      </w:r>
      <w:r w:rsidR="00C43971">
        <w:t xml:space="preserve"> </w:t>
      </w:r>
      <w:r w:rsidR="009556B2">
        <w:t xml:space="preserve">Rząd stwierdził, że ingerencja w prawo skarżącego do poszanowania jego mieszkania była „konieczna w </w:t>
      </w:r>
      <w:r w:rsidR="00532086">
        <w:t xml:space="preserve">demokratycznym </w:t>
      </w:r>
      <w:r w:rsidR="009556B2">
        <w:t xml:space="preserve">społeczeństwie”, ponieważ sporny pokój należało przekazać innym osobom potrzebującym mieszkania. </w:t>
      </w:r>
      <w:r w:rsidR="002D335C">
        <w:t>Odnosząc się do tej kwestii,</w:t>
      </w:r>
      <w:r w:rsidR="009556B2">
        <w:t xml:space="preserve"> Trybunał zauważa, że</w:t>
      </w:r>
      <w:r w:rsidR="000F1163">
        <w:t> </w:t>
      </w:r>
      <w:r w:rsidR="009556B2">
        <w:t>administracja lokalna, która była właścicielem pokoju, nie odwołała się od wyroku sądu pierwszej instancji i w związku z tym nie podjęła się</w:t>
      </w:r>
      <w:r w:rsidR="000F1163">
        <w:t> </w:t>
      </w:r>
      <w:r w:rsidR="009556B2">
        <w:t>ochrony interesów osób wpisanych na listę mieszkań komunalnych. W</w:t>
      </w:r>
      <w:r w:rsidR="000F1163">
        <w:t> </w:t>
      </w:r>
      <w:r w:rsidR="009556B2">
        <w:t>związku z tym w grę wchodziły jedynie interesy osób trzecich (sąsiadów B.). Sąd okręgowy nie dokonał jednak wyważenia tych interesów względem prawa skarżącego do poszanowania jego mieszkania. Stwierdziwszy, że</w:t>
      </w:r>
      <w:r w:rsidR="000F1163">
        <w:t> </w:t>
      </w:r>
      <w:r w:rsidR="009556B2">
        <w:t>przez cały okres, w którym skarżący mieszkał z B., był on zameldowany gdzie indziej, sąd okręgowy nadał temu aspektowi pierwszorzędne znaczenie, nie podejmując próby wyważenia go względem argumentów skarżącego dotyczących jego potrzeby posiadania pokoju. Sąd okręgowy nie zrównoważył zatem konkurencyjnych względem siebie praw i</w:t>
      </w:r>
      <w:r w:rsidR="000F1163">
        <w:t> </w:t>
      </w:r>
      <w:r w:rsidR="009556B2">
        <w:t>w</w:t>
      </w:r>
      <w:r w:rsidR="000F1163">
        <w:t> </w:t>
      </w:r>
      <w:r w:rsidR="009556B2">
        <w:t>konsekwencji nie określił proporcjonalności ingerencji w prawo skarżącego do poszanowania jego mieszkania.</w:t>
      </w:r>
    </w:p>
    <w:p w14:paraId="0E702C8A" w14:textId="08B3B253" w:rsidR="009556B2" w:rsidRPr="00DA2125" w:rsidRDefault="00801FBD" w:rsidP="009556B2">
      <w:pPr>
        <w:pStyle w:val="ECHRPara"/>
      </w:pPr>
      <w:r>
        <w:rPr>
          <w:noProof/>
        </w:rPr>
        <w:t>37</w:t>
      </w:r>
      <w:r w:rsidR="009556B2">
        <w:t>.</w:t>
      </w:r>
      <w:r w:rsidR="00C43971">
        <w:t xml:space="preserve"> </w:t>
      </w:r>
      <w:r w:rsidR="009556B2">
        <w:t xml:space="preserve">Powyższe rozważania są wystarczające, aby Trybunał mógł stwierdzić, że zarzucana ingerencja nie była „konieczna w </w:t>
      </w:r>
      <w:r w:rsidR="00C8467B">
        <w:t xml:space="preserve">demokratycznym </w:t>
      </w:r>
      <w:r w:rsidR="009556B2">
        <w:t>społeczeństwie”. W związku z powyższym doszło do naruszenia art.</w:t>
      </w:r>
      <w:r w:rsidR="00C43971">
        <w:t xml:space="preserve"> </w:t>
      </w:r>
      <w:r w:rsidR="009556B2">
        <w:t>8 Konwencji.</w:t>
      </w:r>
    </w:p>
    <w:p w14:paraId="00695539" w14:textId="7A082188" w:rsidR="009556B2" w:rsidRPr="00DA2125" w:rsidRDefault="009556B2" w:rsidP="009556B2">
      <w:pPr>
        <w:pStyle w:val="ECHRHeading1"/>
      </w:pPr>
      <w:r>
        <w:t>II.</w:t>
      </w:r>
      <w:r w:rsidR="00C43971">
        <w:t xml:space="preserve"> </w:t>
      </w:r>
      <w:r>
        <w:t>ZASTOSOWANIE ART.</w:t>
      </w:r>
      <w:r w:rsidR="00C43971">
        <w:t xml:space="preserve"> </w:t>
      </w:r>
      <w:r>
        <w:t>41 KONWENCJI</w:t>
      </w:r>
    </w:p>
    <w:p w14:paraId="63F709D4" w14:textId="2E7BB511" w:rsidR="009556B2" w:rsidRPr="00DA2125" w:rsidRDefault="00801FBD" w:rsidP="009556B2">
      <w:pPr>
        <w:pStyle w:val="ECHRPara"/>
      </w:pPr>
      <w:r>
        <w:rPr>
          <w:noProof/>
        </w:rPr>
        <w:t>38</w:t>
      </w:r>
      <w:r w:rsidR="009556B2">
        <w:t>.</w:t>
      </w:r>
      <w:r w:rsidR="00C43971">
        <w:t xml:space="preserve"> </w:t>
      </w:r>
      <w:r w:rsidR="009556B2">
        <w:t>Art.</w:t>
      </w:r>
      <w:r w:rsidR="00C43971">
        <w:t xml:space="preserve"> </w:t>
      </w:r>
      <w:r w:rsidR="009556B2">
        <w:t>41 Konwencji stanowi:</w:t>
      </w:r>
    </w:p>
    <w:p w14:paraId="1740E49C" w14:textId="039397DA" w:rsidR="009556B2" w:rsidRPr="00DA2125" w:rsidRDefault="009556B2" w:rsidP="009556B2">
      <w:pPr>
        <w:pStyle w:val="ECHRParaQuote"/>
        <w:keepNext/>
        <w:keepLines/>
      </w:pPr>
      <w:r>
        <w:t>„Je</w:t>
      </w:r>
      <w:r w:rsidR="00C43971">
        <w:t>śli</w:t>
      </w:r>
      <w:r>
        <w:t xml:space="preserve"> Trybunał stwierdzi, że nastąpiło naruszenie Konwencji lub jej Protokołów, oraz je</w:t>
      </w:r>
      <w:r w:rsidR="00C43971">
        <w:t>śli</w:t>
      </w:r>
      <w:r>
        <w:t xml:space="preserve"> prawo wewnętrzne zainteresowanej Wysokiej Układającej się Strony pozwala tylko na częściowe usunięcie konsekwencji tego naruszenia, Trybunał orzeka, gdy zachodzi potrzeba, słuszne zadośćuczynieni</w:t>
      </w:r>
      <w:r w:rsidR="00C43971">
        <w:t>e</w:t>
      </w:r>
      <w:r>
        <w:t xml:space="preserve"> pokrzywdzonej stronie”.</w:t>
      </w:r>
    </w:p>
    <w:p w14:paraId="2F8EE753" w14:textId="50353DF1" w:rsidR="009556B2" w:rsidRPr="00DA2125" w:rsidRDefault="009556B2" w:rsidP="009556B2">
      <w:pPr>
        <w:pStyle w:val="ECHRHeading2"/>
      </w:pPr>
      <w:r>
        <w:t>A.</w:t>
      </w:r>
      <w:r w:rsidR="00C43971">
        <w:t xml:space="preserve"> </w:t>
      </w:r>
      <w:r>
        <w:t>Szkoda</w:t>
      </w:r>
    </w:p>
    <w:p w14:paraId="184D2CE7" w14:textId="2B4C8C27" w:rsidR="009556B2" w:rsidRPr="00DA2125" w:rsidRDefault="00801FBD" w:rsidP="009556B2">
      <w:pPr>
        <w:pStyle w:val="ECHRPara"/>
      </w:pPr>
      <w:r>
        <w:rPr>
          <w:noProof/>
        </w:rPr>
        <w:t>39</w:t>
      </w:r>
      <w:r w:rsidR="009556B2">
        <w:t>.</w:t>
      </w:r>
      <w:r w:rsidR="00C43971">
        <w:t xml:space="preserve"> </w:t>
      </w:r>
      <w:r w:rsidR="009556B2">
        <w:t>Skarżący dochodził kwoty</w:t>
      </w:r>
      <w:r w:rsidR="00C43971">
        <w:t xml:space="preserve"> </w:t>
      </w:r>
      <w:r w:rsidR="009556B2">
        <w:t>5000</w:t>
      </w:r>
      <w:r w:rsidR="00C43971">
        <w:t xml:space="preserve"> </w:t>
      </w:r>
      <w:r w:rsidR="009556B2">
        <w:t>euro (EUR) tytułem zadośćuczynienia za szkodę niemajątkową.</w:t>
      </w:r>
    </w:p>
    <w:p w14:paraId="63C053E9" w14:textId="2DDC32D9" w:rsidR="009556B2" w:rsidRPr="00DA2125" w:rsidRDefault="00801FBD" w:rsidP="009556B2">
      <w:pPr>
        <w:pStyle w:val="ECHRPara"/>
      </w:pPr>
      <w:r>
        <w:rPr>
          <w:noProof/>
        </w:rPr>
        <w:lastRenderedPageBreak/>
        <w:t>40</w:t>
      </w:r>
      <w:r w:rsidR="009556B2">
        <w:t>.</w:t>
      </w:r>
      <w:r w:rsidR="00C43971">
        <w:t xml:space="preserve"> </w:t>
      </w:r>
      <w:r w:rsidR="009556B2">
        <w:t>Rząd zakwestionował to roszczenie.</w:t>
      </w:r>
    </w:p>
    <w:p w14:paraId="6460021C" w14:textId="05C68873" w:rsidR="009556B2" w:rsidRPr="00DA2125" w:rsidRDefault="00801FBD" w:rsidP="009556B2">
      <w:pPr>
        <w:pStyle w:val="ECHRPara"/>
      </w:pPr>
      <w:r>
        <w:rPr>
          <w:noProof/>
        </w:rPr>
        <w:t>41</w:t>
      </w:r>
      <w:r w:rsidR="009556B2">
        <w:t>.</w:t>
      </w:r>
      <w:r w:rsidR="00C43971">
        <w:t xml:space="preserve"> </w:t>
      </w:r>
      <w:r w:rsidR="009556B2">
        <w:t>Trybunał przyznaje skarżącemu</w:t>
      </w:r>
      <w:r w:rsidR="00C43971">
        <w:t xml:space="preserve"> </w:t>
      </w:r>
      <w:r w:rsidR="00564E01">
        <w:t>5000</w:t>
      </w:r>
      <w:r w:rsidR="00C43971">
        <w:t xml:space="preserve"> </w:t>
      </w:r>
      <w:r w:rsidR="009556B2">
        <w:t>EUR zadośćuczynienia za</w:t>
      </w:r>
      <w:r w:rsidR="000F1163">
        <w:t> </w:t>
      </w:r>
      <w:r w:rsidR="009556B2">
        <w:t>szkodę niemajątkową.</w:t>
      </w:r>
    </w:p>
    <w:p w14:paraId="523DDEA9" w14:textId="2C6D4C64" w:rsidR="009556B2" w:rsidRPr="00DA2125" w:rsidRDefault="009556B2" w:rsidP="009556B2">
      <w:pPr>
        <w:pStyle w:val="ECHRHeading2"/>
      </w:pPr>
      <w:r>
        <w:t>B.</w:t>
      </w:r>
      <w:r w:rsidR="00C43971">
        <w:t xml:space="preserve"> </w:t>
      </w:r>
      <w:r>
        <w:t>Koszty i wydatki</w:t>
      </w:r>
    </w:p>
    <w:p w14:paraId="2A93E837" w14:textId="38D44A78" w:rsidR="009556B2" w:rsidRPr="00DA2125" w:rsidRDefault="00801FBD" w:rsidP="009556B2">
      <w:pPr>
        <w:pStyle w:val="ECHRPara"/>
      </w:pPr>
      <w:r>
        <w:rPr>
          <w:noProof/>
        </w:rPr>
        <w:t>42</w:t>
      </w:r>
      <w:r w:rsidR="009556B2">
        <w:t>.</w:t>
      </w:r>
      <w:r w:rsidR="00C43971">
        <w:t xml:space="preserve"> </w:t>
      </w:r>
      <w:r w:rsidR="009556B2">
        <w:t>Skarżący nie wysunął roszczeń z tytułu kosztów i wydatków. W</w:t>
      </w:r>
      <w:r w:rsidR="000F1163">
        <w:t> </w:t>
      </w:r>
      <w:r w:rsidR="009556B2">
        <w:t>związku z tym Trybunał nie przyznaje zadośćuczynienia z tego tytułu.</w:t>
      </w:r>
    </w:p>
    <w:p w14:paraId="07405243" w14:textId="4339B543" w:rsidR="009556B2" w:rsidRPr="00DA2125" w:rsidRDefault="009556B2" w:rsidP="009556B2">
      <w:pPr>
        <w:pStyle w:val="ECHRHeading2"/>
      </w:pPr>
      <w:r>
        <w:t>C.</w:t>
      </w:r>
      <w:r w:rsidR="00C43971">
        <w:t xml:space="preserve"> </w:t>
      </w:r>
      <w:r>
        <w:t>Odsetki za zwłokę</w:t>
      </w:r>
    </w:p>
    <w:p w14:paraId="49A0845E" w14:textId="427472E3" w:rsidR="009556B2" w:rsidRPr="00DA2125" w:rsidRDefault="00801FBD" w:rsidP="009556B2">
      <w:pPr>
        <w:pStyle w:val="ECHRPara"/>
      </w:pPr>
      <w:r>
        <w:rPr>
          <w:noProof/>
        </w:rPr>
        <w:t>43</w:t>
      </w:r>
      <w:r w:rsidR="009556B2">
        <w:t>.</w:t>
      </w:r>
      <w:r w:rsidR="00C43971">
        <w:t xml:space="preserve"> </w:t>
      </w:r>
      <w:r w:rsidR="009556B2">
        <w:t>Trybunał za słuszne uznaje wyznaczenie wysokości odsetek za</w:t>
      </w:r>
      <w:r w:rsidR="000F1163">
        <w:t> </w:t>
      </w:r>
      <w:r w:rsidR="009556B2">
        <w:t>zwłokę na podstawie marginalnej stopy procentowej Europejskiego Banku Centralnego powiększonej o trzy punkty procentowe.</w:t>
      </w:r>
    </w:p>
    <w:p w14:paraId="2E02F48C" w14:textId="77777777" w:rsidR="009556B2" w:rsidRPr="00DA2125" w:rsidRDefault="009556B2" w:rsidP="009556B2">
      <w:pPr>
        <w:pStyle w:val="ECHRTitle1"/>
      </w:pPr>
      <w:r>
        <w:t>Z TYCH PRZYCZYN TRYBUNAŁ JEDNOGŁOŚNIE</w:t>
      </w:r>
    </w:p>
    <w:p w14:paraId="426C7600" w14:textId="0868539F" w:rsidR="009556B2" w:rsidRPr="00DA2125" w:rsidRDefault="009556B2" w:rsidP="009556B2">
      <w:pPr>
        <w:pStyle w:val="JuList"/>
      </w:pPr>
      <w:r>
        <w:t>1.</w:t>
      </w:r>
      <w:r w:rsidR="00C43971">
        <w:t xml:space="preserve"> </w:t>
      </w:r>
      <w:r>
        <w:rPr>
          <w:i/>
        </w:rPr>
        <w:t>uznaje</w:t>
      </w:r>
      <w:r>
        <w:t xml:space="preserve"> skargę za dopuszczalną;</w:t>
      </w:r>
    </w:p>
    <w:p w14:paraId="55F7C15B" w14:textId="77777777" w:rsidR="009556B2" w:rsidRPr="00DA2125" w:rsidRDefault="009556B2" w:rsidP="009556B2">
      <w:pPr>
        <w:pStyle w:val="JuList"/>
      </w:pPr>
    </w:p>
    <w:p w14:paraId="1CC1945B" w14:textId="70D15D9A" w:rsidR="009556B2" w:rsidRPr="00DA2125" w:rsidRDefault="009556B2" w:rsidP="009556B2">
      <w:pPr>
        <w:pStyle w:val="JuList"/>
      </w:pPr>
      <w:r>
        <w:t>2.</w:t>
      </w:r>
      <w:r w:rsidR="00C43971">
        <w:t xml:space="preserve"> </w:t>
      </w:r>
      <w:r>
        <w:rPr>
          <w:i/>
        </w:rPr>
        <w:t>orzeka</w:t>
      </w:r>
      <w:r>
        <w:t>, że doszło do naruszenia art.</w:t>
      </w:r>
      <w:r w:rsidR="00C43971">
        <w:t xml:space="preserve"> </w:t>
      </w:r>
      <w:r>
        <w:t>8 Konwencji;</w:t>
      </w:r>
    </w:p>
    <w:p w14:paraId="496527CC" w14:textId="77777777" w:rsidR="009556B2" w:rsidRPr="00DA2125" w:rsidRDefault="009556B2" w:rsidP="009556B2">
      <w:pPr>
        <w:pStyle w:val="JuList"/>
        <w:ind w:left="0" w:firstLine="0"/>
      </w:pPr>
    </w:p>
    <w:p w14:paraId="48B4948D" w14:textId="2B00E3BE" w:rsidR="009556B2" w:rsidRPr="00DA2125" w:rsidRDefault="009556B2" w:rsidP="009556B2">
      <w:pPr>
        <w:pStyle w:val="JuList"/>
      </w:pPr>
      <w:r>
        <w:t>3.</w:t>
      </w:r>
      <w:r w:rsidR="00C43971">
        <w:t xml:space="preserve"> </w:t>
      </w:r>
      <w:r>
        <w:rPr>
          <w:i/>
        </w:rPr>
        <w:t>uznaje,</w:t>
      </w:r>
    </w:p>
    <w:p w14:paraId="52B3BE16" w14:textId="30C07E3B" w:rsidR="009556B2" w:rsidRPr="00DA2125" w:rsidRDefault="009556B2" w:rsidP="009556B2">
      <w:pPr>
        <w:pStyle w:val="JuLista"/>
      </w:pPr>
      <w:r>
        <w:t>a)</w:t>
      </w:r>
      <w:r w:rsidR="00C43971">
        <w:t xml:space="preserve"> </w:t>
      </w:r>
      <w:r>
        <w:t>że pozwane państwo winno, w terminie trzech miesięcy od daty, w</w:t>
      </w:r>
      <w:r w:rsidR="000F1163">
        <w:t> </w:t>
      </w:r>
      <w:r>
        <w:t>której niniejszy wyrok stanie się ostateczny zgodnie z art.</w:t>
      </w:r>
      <w:r w:rsidR="00C43971">
        <w:t xml:space="preserve"> </w:t>
      </w:r>
      <w:r>
        <w:t>44 ust.</w:t>
      </w:r>
      <w:r w:rsidR="00C43971">
        <w:t xml:space="preserve"> </w:t>
      </w:r>
      <w:r>
        <w:t>2 Konwencji, uiścić na rzecz skarżącego kwotę</w:t>
      </w:r>
      <w:r w:rsidR="00C43971">
        <w:t xml:space="preserve"> </w:t>
      </w:r>
      <w:r>
        <w:t>5000</w:t>
      </w:r>
      <w:r w:rsidR="00C43971">
        <w:t xml:space="preserve"> </w:t>
      </w:r>
      <w:r>
        <w:t>EUR (pięciu tysięcy euro)</w:t>
      </w:r>
      <w:r w:rsidR="00A131AB">
        <w:t>,</w:t>
      </w:r>
      <w:r>
        <w:t xml:space="preserve"> przeliczoną na walutę pozwanego państwa według kursu obowiązującego w dniu płatności</w:t>
      </w:r>
      <w:r w:rsidR="00A131AB">
        <w:t>,</w:t>
      </w:r>
      <w:r w:rsidR="00A131AB" w:rsidRPr="00A131AB">
        <w:t xml:space="preserve"> </w:t>
      </w:r>
      <w:r w:rsidR="00A131AB">
        <w:t>p</w:t>
      </w:r>
      <w:r w:rsidR="00886799">
        <w:t xml:space="preserve">owiększoną o </w:t>
      </w:r>
      <w:r w:rsidR="00A131AB">
        <w:t>wszelkie należne podatki, tytułem zadośćuczynienia za szkodę niemajątkową</w:t>
      </w:r>
      <w:r w:rsidR="00564E01">
        <w:t>;</w:t>
      </w:r>
    </w:p>
    <w:p w14:paraId="54903C2A" w14:textId="640756E0" w:rsidR="009556B2" w:rsidRPr="00DA2125" w:rsidRDefault="009556B2" w:rsidP="009556B2">
      <w:pPr>
        <w:pStyle w:val="JuLista"/>
      </w:pPr>
      <w:r>
        <w:t>b)</w:t>
      </w:r>
      <w:r w:rsidR="00C43971">
        <w:t xml:space="preserve"> </w:t>
      </w:r>
      <w:r>
        <w:t>że od upływu wyżej wskazanego terminu trzech miesięcy aż</w:t>
      </w:r>
      <w:r w:rsidR="000F1163">
        <w:t> </w:t>
      </w:r>
      <w:r>
        <w:t>do</w:t>
      </w:r>
      <w:r w:rsidR="000F1163">
        <w:t> </w:t>
      </w:r>
      <w:r>
        <w:t xml:space="preserve">momentu uregulowania należności, </w:t>
      </w:r>
      <w:r w:rsidR="00673F86">
        <w:t>przysługiwać</w:t>
      </w:r>
      <w:r>
        <w:t xml:space="preserve"> będą odsetki zwykłe od określonej powyżej kwoty, naliczone według stopy równej marginalnej stopie procentowej Europejskiego Banku Centralnego obowiązującej w tym okresie, powiększonej o trzy punkty procentowe.</w:t>
      </w:r>
    </w:p>
    <w:p w14:paraId="3C60FFDC" w14:textId="5AF816D6" w:rsidR="009556B2" w:rsidRPr="00DA2125" w:rsidRDefault="009556B2" w:rsidP="009556B2">
      <w:pPr>
        <w:pStyle w:val="JuParaLast"/>
      </w:pPr>
      <w:r>
        <w:t>Sporządzono w języku angielskim i obwieszczono pisemnie 14 marca 2017</w:t>
      </w:r>
      <w:r w:rsidR="00C43971">
        <w:t xml:space="preserve"> </w:t>
      </w:r>
      <w:r>
        <w:t>r., zgodnie z Regułą</w:t>
      </w:r>
      <w:r w:rsidR="00C43971">
        <w:t xml:space="preserve"> </w:t>
      </w:r>
      <w:r>
        <w:t>77 §§</w:t>
      </w:r>
      <w:r w:rsidR="00C43971">
        <w:t xml:space="preserve"> </w:t>
      </w:r>
      <w:r>
        <w:t>2 i</w:t>
      </w:r>
      <w:r w:rsidR="00C43971">
        <w:t xml:space="preserve"> </w:t>
      </w:r>
      <w:r>
        <w:t>3 Regulaminu Trybunału.</w:t>
      </w:r>
    </w:p>
    <w:p w14:paraId="70446446" w14:textId="77777777" w:rsidR="009556B2" w:rsidRPr="00DA2125" w:rsidRDefault="009556B2" w:rsidP="009556B2">
      <w:pPr>
        <w:pStyle w:val="JuSigned"/>
      </w:pPr>
      <w:r>
        <w:tab/>
        <w:t>Stephen Phillips</w:t>
      </w:r>
      <w:r>
        <w:tab/>
        <w:t>Helena Jäderblom</w:t>
      </w:r>
      <w:r>
        <w:br/>
      </w:r>
      <w:r>
        <w:tab/>
        <w:t>Kanclerz</w:t>
      </w:r>
      <w:r>
        <w:tab/>
        <w:t>Przewodnicząca</w:t>
      </w:r>
    </w:p>
    <w:p w14:paraId="0AC7CAF8" w14:textId="77777777" w:rsidR="009556B2" w:rsidRPr="00DA2125" w:rsidRDefault="009556B2" w:rsidP="009556B2">
      <w:pPr>
        <w:pStyle w:val="JuParaLast"/>
      </w:pPr>
    </w:p>
    <w:sectPr w:rsidR="009556B2" w:rsidRPr="00DA2125" w:rsidSect="009556B2">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C63082" w14:textId="77777777" w:rsidR="00194BDC" w:rsidRPr="00535BB8" w:rsidRDefault="00194BDC" w:rsidP="009556B2">
      <w:r>
        <w:separator/>
      </w:r>
    </w:p>
  </w:endnote>
  <w:endnote w:type="continuationSeparator" w:id="0">
    <w:p w14:paraId="68BA8E67" w14:textId="77777777" w:rsidR="00194BDC" w:rsidRPr="00535BB8" w:rsidRDefault="00194BDC" w:rsidP="009556B2">
      <w:r>
        <w:continuationSeparator/>
      </w:r>
    </w:p>
  </w:endnote>
  <w:endnote w:type="continuationNotice" w:id="1">
    <w:p w14:paraId="0FA7EB76" w14:textId="77777777" w:rsidR="00194BDC" w:rsidRDefault="00194B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E44996" w14:textId="77777777" w:rsidR="00DE3492" w:rsidRDefault="00DE349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17D8D" w14:textId="77777777" w:rsidR="00CD28E4" w:rsidRDefault="00CD28E4">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9D921" w14:textId="70E3954B" w:rsidR="009556B2" w:rsidRPr="00150BFA" w:rsidRDefault="003561D2" w:rsidP="009556B2">
    <w:pPr>
      <w:jc w:val="center"/>
    </w:pPr>
    <w:r>
      <w:rPr>
        <w:noProof/>
      </w:rPr>
      <w:drawing>
        <wp:inline distT="0" distB="0" distL="0" distR="0" wp14:anchorId="0BF4267B" wp14:editId="76B74BCB">
          <wp:extent cx="771525" cy="619125"/>
          <wp:effectExtent l="0" t="0" r="9525" b="9525"/>
          <wp:docPr id="2" name="Picture 3" descr="ECHR_CoverpageCS61_ECHR_Coverpage_Footer_CO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CHR_CoverpageCS61_ECHR_Coverpage_Footer_COE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6BBBFDA" w14:textId="77777777" w:rsidR="009556B2" w:rsidRDefault="009556B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EC660F" w14:textId="77777777" w:rsidR="00194BDC" w:rsidRPr="00535BB8" w:rsidRDefault="00194BDC" w:rsidP="009556B2">
      <w:r>
        <w:separator/>
      </w:r>
    </w:p>
  </w:footnote>
  <w:footnote w:type="continuationSeparator" w:id="0">
    <w:p w14:paraId="35C274CF" w14:textId="77777777" w:rsidR="00194BDC" w:rsidRPr="00535BB8" w:rsidRDefault="00194BDC" w:rsidP="009556B2">
      <w:r>
        <w:continuationSeparator/>
      </w:r>
    </w:p>
  </w:footnote>
  <w:footnote w:type="continuationNotice" w:id="1">
    <w:p w14:paraId="4D163791" w14:textId="77777777" w:rsidR="00194BDC" w:rsidRDefault="00194B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1C8CFC" w14:textId="77777777" w:rsidR="00DE3492" w:rsidRDefault="00DE349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2312F" w14:textId="77777777" w:rsidR="009556B2" w:rsidRPr="003342F8" w:rsidRDefault="009556B2" w:rsidP="009556B2">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65D580" w14:textId="4AF222F3" w:rsidR="009556B2" w:rsidRPr="00A45145" w:rsidRDefault="003561D2" w:rsidP="009556B2">
    <w:pPr>
      <w:jc w:val="center"/>
    </w:pPr>
    <w:r>
      <w:rPr>
        <w:noProof/>
      </w:rPr>
      <w:drawing>
        <wp:inline distT="0" distB="0" distL="0" distR="0" wp14:anchorId="0D660960" wp14:editId="7D268CBD">
          <wp:extent cx="2962275" cy="1219200"/>
          <wp:effectExtent l="0" t="0" r="9525" b="0"/>
          <wp:docPr id="1" name="Picture 1" descr="ECHR_CoverpageCS61_ECHR_Coverpage_Heade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HR_CoverpageCS61_ECHR_Coverpage_Header_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0BC6285" w14:textId="77777777" w:rsidR="009556B2" w:rsidRDefault="009556B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D9610" w14:textId="77777777" w:rsidR="009556B2" w:rsidRPr="00535BB8" w:rsidRDefault="009556B2" w:rsidP="009556B2">
    <w:pPr>
      <w:pStyle w:val="ECHRHeader"/>
    </w:pPr>
    <w:r>
      <w:rPr>
        <w:rStyle w:val="Numerstrony"/>
      </w:rPr>
      <w:fldChar w:fldCharType="begin"/>
    </w:r>
    <w:r>
      <w:rPr>
        <w:rStyle w:val="Numerstrony"/>
      </w:rPr>
      <w:instrText xml:space="preserve"> PAGE </w:instrText>
    </w:r>
    <w:r>
      <w:rPr>
        <w:rStyle w:val="Numerstrony"/>
      </w:rPr>
      <w:fldChar w:fldCharType="separate"/>
    </w:r>
    <w:r w:rsidR="00886799">
      <w:rPr>
        <w:rStyle w:val="Numerstrony"/>
        <w:noProof/>
      </w:rPr>
      <w:t>2</w:t>
    </w:r>
    <w:r>
      <w:rPr>
        <w:rStyle w:val="Numerstrony"/>
      </w:rPr>
      <w:fldChar w:fldCharType="end"/>
    </w:r>
    <w:r>
      <w:tab/>
      <w:t xml:space="preserve">WYROK </w:t>
    </w:r>
    <w:r w:rsidR="008D6A8D">
      <w:t xml:space="preserve">w sprawie </w:t>
    </w:r>
    <w:r>
      <w:t>YEVGENIY ZAKHAROV przeciwko ROSJI</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D71269" w14:textId="77777777" w:rsidR="009556B2" w:rsidRPr="00535BB8" w:rsidRDefault="009556B2" w:rsidP="009556B2">
    <w:pPr>
      <w:pStyle w:val="ECHRHeader"/>
    </w:pPr>
    <w:r>
      <w:tab/>
      <w:t xml:space="preserve">WYROK </w:t>
    </w:r>
    <w:r w:rsidR="008D6A8D">
      <w:t xml:space="preserve">w sprawie </w:t>
    </w:r>
    <w:r>
      <w:t>YEVGENIY ZAKHAROV przeciwko ROSJI</w:t>
    </w:r>
    <w:r>
      <w:tab/>
    </w:r>
    <w:r>
      <w:rPr>
        <w:rStyle w:val="Numerstrony"/>
      </w:rPr>
      <w:fldChar w:fldCharType="begin"/>
    </w:r>
    <w:r>
      <w:rPr>
        <w:rStyle w:val="Numerstrony"/>
      </w:rPr>
      <w:instrText xml:space="preserve"> PAGE </w:instrText>
    </w:r>
    <w:r>
      <w:rPr>
        <w:rStyle w:val="Numerstrony"/>
      </w:rPr>
      <w:fldChar w:fldCharType="separate"/>
    </w:r>
    <w:r w:rsidR="00886799">
      <w:rPr>
        <w:rStyle w:val="Numerstrony"/>
        <w:noProof/>
      </w:rPr>
      <w:t>1</w:t>
    </w:r>
    <w:r>
      <w:rPr>
        <w:rStyle w:val="Numerstrony"/>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B2DE758C">
      <w:start w:val="1"/>
      <w:numFmt w:val="bullet"/>
      <w:pStyle w:val="Listapunktowana"/>
      <w:lvlText w:val=""/>
      <w:lvlJc w:val="left"/>
      <w:pPr>
        <w:tabs>
          <w:tab w:val="num" w:pos="851"/>
        </w:tabs>
        <w:ind w:left="568" w:firstLine="0"/>
      </w:pPr>
      <w:rPr>
        <w:rFonts w:ascii="Wingdings" w:hAnsi="Wingdings" w:hint="default"/>
        <w:color w:val="808080"/>
        <w:sz w:val="16"/>
      </w:rPr>
    </w:lvl>
    <w:lvl w:ilvl="1" w:tplc="073A7804" w:tentative="1">
      <w:start w:val="1"/>
      <w:numFmt w:val="bullet"/>
      <w:lvlText w:val="o"/>
      <w:lvlJc w:val="left"/>
      <w:pPr>
        <w:tabs>
          <w:tab w:val="num" w:pos="1724"/>
        </w:tabs>
        <w:ind w:left="1724" w:hanging="360"/>
      </w:pPr>
      <w:rPr>
        <w:rFonts w:ascii="Courier New" w:hAnsi="Courier New" w:cs="Courier New" w:hint="default"/>
      </w:rPr>
    </w:lvl>
    <w:lvl w:ilvl="2" w:tplc="9EAC988C" w:tentative="1">
      <w:start w:val="1"/>
      <w:numFmt w:val="bullet"/>
      <w:lvlText w:val=""/>
      <w:lvlJc w:val="left"/>
      <w:pPr>
        <w:tabs>
          <w:tab w:val="num" w:pos="2444"/>
        </w:tabs>
        <w:ind w:left="2444" w:hanging="360"/>
      </w:pPr>
      <w:rPr>
        <w:rFonts w:ascii="Wingdings" w:hAnsi="Wingdings" w:hint="default"/>
      </w:rPr>
    </w:lvl>
    <w:lvl w:ilvl="3" w:tplc="B5D2E6FE" w:tentative="1">
      <w:start w:val="1"/>
      <w:numFmt w:val="bullet"/>
      <w:lvlText w:val=""/>
      <w:lvlJc w:val="left"/>
      <w:pPr>
        <w:tabs>
          <w:tab w:val="num" w:pos="3164"/>
        </w:tabs>
        <w:ind w:left="3164" w:hanging="360"/>
      </w:pPr>
      <w:rPr>
        <w:rFonts w:ascii="Symbol" w:hAnsi="Symbol" w:hint="default"/>
      </w:rPr>
    </w:lvl>
    <w:lvl w:ilvl="4" w:tplc="60CAAD52" w:tentative="1">
      <w:start w:val="1"/>
      <w:numFmt w:val="bullet"/>
      <w:lvlText w:val="o"/>
      <w:lvlJc w:val="left"/>
      <w:pPr>
        <w:tabs>
          <w:tab w:val="num" w:pos="3884"/>
        </w:tabs>
        <w:ind w:left="3884" w:hanging="360"/>
      </w:pPr>
      <w:rPr>
        <w:rFonts w:ascii="Courier New" w:hAnsi="Courier New" w:cs="Courier New" w:hint="default"/>
      </w:rPr>
    </w:lvl>
    <w:lvl w:ilvl="5" w:tplc="C8C47A4E" w:tentative="1">
      <w:start w:val="1"/>
      <w:numFmt w:val="bullet"/>
      <w:lvlText w:val=""/>
      <w:lvlJc w:val="left"/>
      <w:pPr>
        <w:tabs>
          <w:tab w:val="num" w:pos="4604"/>
        </w:tabs>
        <w:ind w:left="4604" w:hanging="360"/>
      </w:pPr>
      <w:rPr>
        <w:rFonts w:ascii="Wingdings" w:hAnsi="Wingdings" w:hint="default"/>
      </w:rPr>
    </w:lvl>
    <w:lvl w:ilvl="6" w:tplc="8DCA1DB0" w:tentative="1">
      <w:start w:val="1"/>
      <w:numFmt w:val="bullet"/>
      <w:lvlText w:val=""/>
      <w:lvlJc w:val="left"/>
      <w:pPr>
        <w:tabs>
          <w:tab w:val="num" w:pos="5324"/>
        </w:tabs>
        <w:ind w:left="5324" w:hanging="360"/>
      </w:pPr>
      <w:rPr>
        <w:rFonts w:ascii="Symbol" w:hAnsi="Symbol" w:hint="default"/>
      </w:rPr>
    </w:lvl>
    <w:lvl w:ilvl="7" w:tplc="4EC8E766" w:tentative="1">
      <w:start w:val="1"/>
      <w:numFmt w:val="bullet"/>
      <w:lvlText w:val="o"/>
      <w:lvlJc w:val="left"/>
      <w:pPr>
        <w:tabs>
          <w:tab w:val="num" w:pos="6044"/>
        </w:tabs>
        <w:ind w:left="6044" w:hanging="360"/>
      </w:pPr>
      <w:rPr>
        <w:rFonts w:ascii="Courier New" w:hAnsi="Courier New" w:cs="Courier New" w:hint="default"/>
      </w:rPr>
    </w:lvl>
    <w:lvl w:ilvl="8" w:tplc="DA44060C"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C5E49"/>
    <w:rsid w:val="000016E7"/>
    <w:rsid w:val="00021BF8"/>
    <w:rsid w:val="00072C08"/>
    <w:rsid w:val="00086F51"/>
    <w:rsid w:val="000B1D8E"/>
    <w:rsid w:val="000B3C4A"/>
    <w:rsid w:val="000C59D7"/>
    <w:rsid w:val="000C78E8"/>
    <w:rsid w:val="000D6F21"/>
    <w:rsid w:val="000E001E"/>
    <w:rsid w:val="000F1163"/>
    <w:rsid w:val="00113A92"/>
    <w:rsid w:val="00114049"/>
    <w:rsid w:val="0011507C"/>
    <w:rsid w:val="00153220"/>
    <w:rsid w:val="0016189C"/>
    <w:rsid w:val="00194BDC"/>
    <w:rsid w:val="001A0E1B"/>
    <w:rsid w:val="001C109D"/>
    <w:rsid w:val="00222A80"/>
    <w:rsid w:val="002323CA"/>
    <w:rsid w:val="00274330"/>
    <w:rsid w:val="0028764C"/>
    <w:rsid w:val="002C5E49"/>
    <w:rsid w:val="002D335C"/>
    <w:rsid w:val="002E2170"/>
    <w:rsid w:val="002E267C"/>
    <w:rsid w:val="00344CCB"/>
    <w:rsid w:val="00347024"/>
    <w:rsid w:val="003561D2"/>
    <w:rsid w:val="00387DF6"/>
    <w:rsid w:val="003A3D90"/>
    <w:rsid w:val="003B38C0"/>
    <w:rsid w:val="003D38F4"/>
    <w:rsid w:val="003D5FD8"/>
    <w:rsid w:val="00430731"/>
    <w:rsid w:val="0045644F"/>
    <w:rsid w:val="005156EB"/>
    <w:rsid w:val="00530ABC"/>
    <w:rsid w:val="00532086"/>
    <w:rsid w:val="00532BA7"/>
    <w:rsid w:val="0054026B"/>
    <w:rsid w:val="00542482"/>
    <w:rsid w:val="00553A14"/>
    <w:rsid w:val="00564E01"/>
    <w:rsid w:val="005967DD"/>
    <w:rsid w:val="005A5040"/>
    <w:rsid w:val="005D233B"/>
    <w:rsid w:val="006608FF"/>
    <w:rsid w:val="00673F86"/>
    <w:rsid w:val="006900B1"/>
    <w:rsid w:val="006A1EFE"/>
    <w:rsid w:val="006B564E"/>
    <w:rsid w:val="006F1AB3"/>
    <w:rsid w:val="007173EE"/>
    <w:rsid w:val="00757DD0"/>
    <w:rsid w:val="00772FC3"/>
    <w:rsid w:val="007D682A"/>
    <w:rsid w:val="00801FBD"/>
    <w:rsid w:val="00814027"/>
    <w:rsid w:val="008352BA"/>
    <w:rsid w:val="00870B8A"/>
    <w:rsid w:val="00886799"/>
    <w:rsid w:val="008D6A8D"/>
    <w:rsid w:val="008F40E3"/>
    <w:rsid w:val="0090668C"/>
    <w:rsid w:val="00931964"/>
    <w:rsid w:val="00942469"/>
    <w:rsid w:val="00945F11"/>
    <w:rsid w:val="009556B2"/>
    <w:rsid w:val="00981491"/>
    <w:rsid w:val="009B47A2"/>
    <w:rsid w:val="009E7F20"/>
    <w:rsid w:val="00A131AB"/>
    <w:rsid w:val="00A3255F"/>
    <w:rsid w:val="00A75ED5"/>
    <w:rsid w:val="00A77BC3"/>
    <w:rsid w:val="00AA73BE"/>
    <w:rsid w:val="00B25F12"/>
    <w:rsid w:val="00B66BA6"/>
    <w:rsid w:val="00B871AE"/>
    <w:rsid w:val="00BD229F"/>
    <w:rsid w:val="00BD5E19"/>
    <w:rsid w:val="00C2508B"/>
    <w:rsid w:val="00C37BF1"/>
    <w:rsid w:val="00C43971"/>
    <w:rsid w:val="00C710AE"/>
    <w:rsid w:val="00C75D57"/>
    <w:rsid w:val="00C8467B"/>
    <w:rsid w:val="00CB3E74"/>
    <w:rsid w:val="00CC22E1"/>
    <w:rsid w:val="00CD28E4"/>
    <w:rsid w:val="00D04390"/>
    <w:rsid w:val="00D10E93"/>
    <w:rsid w:val="00D1287F"/>
    <w:rsid w:val="00D15355"/>
    <w:rsid w:val="00D41200"/>
    <w:rsid w:val="00D4292D"/>
    <w:rsid w:val="00D53499"/>
    <w:rsid w:val="00D66A66"/>
    <w:rsid w:val="00D77894"/>
    <w:rsid w:val="00DA1434"/>
    <w:rsid w:val="00DA7042"/>
    <w:rsid w:val="00DC58C6"/>
    <w:rsid w:val="00DE3492"/>
    <w:rsid w:val="00E91B18"/>
    <w:rsid w:val="00E92195"/>
    <w:rsid w:val="00E97D05"/>
    <w:rsid w:val="00EC656B"/>
    <w:rsid w:val="00ED2052"/>
    <w:rsid w:val="00EE53D3"/>
    <w:rsid w:val="00EF2E53"/>
    <w:rsid w:val="00EF3E5D"/>
    <w:rsid w:val="00F00C71"/>
    <w:rsid w:val="00F050F0"/>
    <w:rsid w:val="00F4319B"/>
    <w:rsid w:val="00F571E1"/>
    <w:rsid w:val="00F64D0A"/>
    <w:rsid w:val="00F90D17"/>
    <w:rsid w:val="00F93ADC"/>
    <w:rsid w:val="00FA43B6"/>
    <w:rsid w:val="00FB7E8C"/>
    <w:rsid w:val="00FB7FEE"/>
    <w:rsid w:val="00FE6331"/>
    <w:rsid w:val="00FF77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B27475"/>
    <w:pPr>
      <w:jc w:val="both"/>
    </w:pPr>
    <w:rPr>
      <w:rFonts w:eastAsia="MS Mincho"/>
      <w:sz w:val="24"/>
      <w:szCs w:val="22"/>
    </w:rPr>
  </w:style>
  <w:style w:type="paragraph" w:styleId="Nagwek1">
    <w:name w:val="heading 1"/>
    <w:basedOn w:val="Normalny"/>
    <w:next w:val="Normalny"/>
    <w:link w:val="Nagwek1Znak"/>
    <w:uiPriority w:val="99"/>
    <w:semiHidden/>
    <w:rsid w:val="00B27475"/>
    <w:pPr>
      <w:spacing w:before="480"/>
      <w:contextualSpacing/>
      <w:outlineLvl w:val="0"/>
    </w:pPr>
    <w:rPr>
      <w:rFonts w:eastAsia="MS Gothic"/>
      <w:b/>
      <w:bCs/>
      <w:color w:val="333333"/>
      <w:sz w:val="28"/>
      <w:szCs w:val="28"/>
    </w:rPr>
  </w:style>
  <w:style w:type="paragraph" w:styleId="Nagwek2">
    <w:name w:val="heading 2"/>
    <w:basedOn w:val="Normalny"/>
    <w:next w:val="Normalny"/>
    <w:link w:val="Nagwek2Znak"/>
    <w:uiPriority w:val="99"/>
    <w:semiHidden/>
    <w:rsid w:val="00B27475"/>
    <w:pPr>
      <w:spacing w:before="200"/>
      <w:outlineLvl w:val="1"/>
    </w:pPr>
    <w:rPr>
      <w:rFonts w:eastAsia="MS Gothic"/>
      <w:b/>
      <w:bCs/>
      <w:color w:val="4D4D4D"/>
      <w:sz w:val="26"/>
      <w:szCs w:val="26"/>
    </w:rPr>
  </w:style>
  <w:style w:type="paragraph" w:styleId="Nagwek3">
    <w:name w:val="heading 3"/>
    <w:basedOn w:val="Normalny"/>
    <w:next w:val="Normalny"/>
    <w:link w:val="Nagwek3Znak"/>
    <w:uiPriority w:val="99"/>
    <w:semiHidden/>
    <w:rsid w:val="00B27475"/>
    <w:pPr>
      <w:spacing w:before="200" w:line="271" w:lineRule="auto"/>
      <w:outlineLvl w:val="2"/>
    </w:pPr>
    <w:rPr>
      <w:rFonts w:eastAsia="MS Gothic"/>
      <w:b/>
      <w:bCs/>
      <w:color w:val="5F5F5F"/>
      <w:szCs w:val="20"/>
    </w:rPr>
  </w:style>
  <w:style w:type="paragraph" w:styleId="Nagwek4">
    <w:name w:val="heading 4"/>
    <w:basedOn w:val="Normalny"/>
    <w:next w:val="Normalny"/>
    <w:link w:val="Nagwek4Znak"/>
    <w:uiPriority w:val="99"/>
    <w:semiHidden/>
    <w:rsid w:val="00B27475"/>
    <w:pPr>
      <w:spacing w:before="200"/>
      <w:outlineLvl w:val="3"/>
    </w:pPr>
    <w:rPr>
      <w:rFonts w:eastAsia="MS Gothic"/>
      <w:b/>
      <w:bCs/>
      <w:i/>
      <w:iCs/>
      <w:color w:val="777777"/>
      <w:szCs w:val="20"/>
    </w:rPr>
  </w:style>
  <w:style w:type="paragraph" w:styleId="Nagwek5">
    <w:name w:val="heading 5"/>
    <w:basedOn w:val="Normalny"/>
    <w:next w:val="Normalny"/>
    <w:link w:val="Nagwek5Znak"/>
    <w:uiPriority w:val="99"/>
    <w:semiHidden/>
    <w:qFormat/>
    <w:rsid w:val="00B27475"/>
    <w:pPr>
      <w:spacing w:before="200"/>
      <w:outlineLvl w:val="4"/>
    </w:pPr>
    <w:rPr>
      <w:rFonts w:eastAsia="MS Gothic"/>
      <w:b/>
      <w:bCs/>
      <w:color w:val="808080"/>
      <w:sz w:val="20"/>
      <w:szCs w:val="20"/>
    </w:rPr>
  </w:style>
  <w:style w:type="paragraph" w:styleId="Nagwek6">
    <w:name w:val="heading 6"/>
    <w:basedOn w:val="Normalny"/>
    <w:next w:val="Normalny"/>
    <w:link w:val="Nagwek6Znak"/>
    <w:uiPriority w:val="99"/>
    <w:semiHidden/>
    <w:rsid w:val="00B27475"/>
    <w:pPr>
      <w:spacing w:line="271" w:lineRule="auto"/>
      <w:outlineLvl w:val="5"/>
    </w:pPr>
    <w:rPr>
      <w:rFonts w:eastAsia="MS Gothic"/>
      <w:b/>
      <w:bCs/>
      <w:i/>
      <w:iCs/>
      <w:color w:val="7F7F7F"/>
      <w:szCs w:val="20"/>
      <w:lang w:bidi="en-US"/>
    </w:rPr>
  </w:style>
  <w:style w:type="paragraph" w:styleId="Nagwek7">
    <w:name w:val="heading 7"/>
    <w:basedOn w:val="Normalny"/>
    <w:next w:val="Normalny"/>
    <w:link w:val="Nagwek7Znak"/>
    <w:uiPriority w:val="99"/>
    <w:semiHidden/>
    <w:qFormat/>
    <w:rsid w:val="00B27475"/>
    <w:pPr>
      <w:outlineLvl w:val="6"/>
    </w:pPr>
    <w:rPr>
      <w:rFonts w:eastAsia="MS Gothic"/>
      <w:i/>
      <w:iCs/>
      <w:sz w:val="20"/>
      <w:szCs w:val="20"/>
      <w:lang w:bidi="en-US"/>
    </w:rPr>
  </w:style>
  <w:style w:type="paragraph" w:styleId="Nagwek8">
    <w:name w:val="heading 8"/>
    <w:basedOn w:val="Normalny"/>
    <w:next w:val="Normalny"/>
    <w:link w:val="Nagwek8Znak"/>
    <w:uiPriority w:val="99"/>
    <w:semiHidden/>
    <w:qFormat/>
    <w:rsid w:val="00B27475"/>
    <w:pPr>
      <w:outlineLvl w:val="7"/>
    </w:pPr>
    <w:rPr>
      <w:rFonts w:eastAsia="MS Gothic"/>
      <w:sz w:val="20"/>
      <w:szCs w:val="20"/>
      <w:lang w:bidi="en-US"/>
    </w:rPr>
  </w:style>
  <w:style w:type="paragraph" w:styleId="Nagwek9">
    <w:name w:val="heading 9"/>
    <w:basedOn w:val="Normalny"/>
    <w:next w:val="Normalny"/>
    <w:link w:val="Nagwek9Znak"/>
    <w:uiPriority w:val="99"/>
    <w:semiHidden/>
    <w:qFormat/>
    <w:rsid w:val="00B27475"/>
    <w:pPr>
      <w:outlineLvl w:val="8"/>
    </w:pPr>
    <w:rPr>
      <w:rFonts w:eastAsia="MS Gothic"/>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27475"/>
    <w:rPr>
      <w:rFonts w:ascii="Tahoma" w:hAnsi="Tahoma"/>
      <w:sz w:val="16"/>
      <w:szCs w:val="16"/>
    </w:rPr>
  </w:style>
  <w:style w:type="character" w:customStyle="1" w:styleId="TekstdymkaZnak">
    <w:name w:val="Tekst dymka Znak"/>
    <w:link w:val="Tekstdymka"/>
    <w:uiPriority w:val="99"/>
    <w:semiHidden/>
    <w:rsid w:val="00B27475"/>
    <w:rPr>
      <w:rFonts w:ascii="Tahoma" w:eastAsia="MS Mincho" w:hAnsi="Tahoma" w:cs="Tahoma"/>
      <w:sz w:val="16"/>
      <w:szCs w:val="16"/>
      <w:lang w:val="pl-PL" w:eastAsia="pl-PL"/>
    </w:rPr>
  </w:style>
  <w:style w:type="character" w:styleId="Tytuksiki">
    <w:name w:val="Book Title"/>
    <w:uiPriority w:val="99"/>
    <w:semiHidden/>
    <w:qFormat/>
    <w:rsid w:val="00B27475"/>
    <w:rPr>
      <w:i/>
      <w:iCs/>
      <w:smallCaps/>
      <w:spacing w:val="5"/>
      <w:lang w:val="pl-PL" w:eastAsia="pl-PL"/>
    </w:rPr>
  </w:style>
  <w:style w:type="paragraph" w:customStyle="1" w:styleId="ECHRHeader">
    <w:name w:val="ECHR_Header"/>
    <w:aliases w:val="Ju_Header"/>
    <w:basedOn w:val="Nagwek"/>
    <w:uiPriority w:val="4"/>
    <w:qFormat/>
    <w:rsid w:val="00B27475"/>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B27475"/>
    <w:pPr>
      <w:jc w:val="left"/>
    </w:pPr>
    <w:rPr>
      <w:sz w:val="8"/>
    </w:rPr>
  </w:style>
  <w:style w:type="character" w:styleId="Pogrubienie">
    <w:name w:val="Strong"/>
    <w:uiPriority w:val="99"/>
    <w:semiHidden/>
    <w:qFormat/>
    <w:rsid w:val="00B27475"/>
    <w:rPr>
      <w:b/>
      <w:bCs/>
      <w:lang w:val="pl-PL" w:eastAsia="pl-PL"/>
    </w:rPr>
  </w:style>
  <w:style w:type="paragraph" w:styleId="Bezodstpw">
    <w:name w:val="No Spacing"/>
    <w:basedOn w:val="Normalny"/>
    <w:link w:val="BezodstpwZnak"/>
    <w:semiHidden/>
    <w:qFormat/>
    <w:rsid w:val="00B27475"/>
    <w:rPr>
      <w:sz w:val="20"/>
      <w:szCs w:val="20"/>
    </w:rPr>
  </w:style>
  <w:style w:type="character" w:customStyle="1" w:styleId="BezodstpwZnak">
    <w:name w:val="Bez odstępów Znak"/>
    <w:link w:val="Bezodstpw"/>
    <w:semiHidden/>
    <w:rsid w:val="00B27475"/>
    <w:rPr>
      <w:rFonts w:eastAsia="MS Mincho"/>
      <w:lang w:val="pl-PL" w:eastAsia="pl-PL"/>
    </w:rPr>
  </w:style>
  <w:style w:type="paragraph" w:customStyle="1" w:styleId="ECHRFooterLine">
    <w:name w:val="ECHR_Footer_Line"/>
    <w:aliases w:val="Footer_Line"/>
    <w:basedOn w:val="Normalny"/>
    <w:next w:val="ECHRFooter"/>
    <w:uiPriority w:val="57"/>
    <w:semiHidden/>
    <w:rsid w:val="00B27475"/>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B27475"/>
  </w:style>
  <w:style w:type="paragraph" w:customStyle="1" w:styleId="DecList">
    <w:name w:val="Dec_List"/>
    <w:basedOn w:val="Normalny"/>
    <w:uiPriority w:val="9"/>
    <w:semiHidden/>
    <w:qFormat/>
    <w:rsid w:val="00B27475"/>
    <w:pPr>
      <w:spacing w:before="240"/>
      <w:ind w:left="284"/>
    </w:pPr>
  </w:style>
  <w:style w:type="paragraph" w:customStyle="1" w:styleId="JuParaSub">
    <w:name w:val="Ju_Para_Sub"/>
    <w:basedOn w:val="ECHRPara"/>
    <w:uiPriority w:val="13"/>
    <w:qFormat/>
    <w:rsid w:val="00B27475"/>
    <w:pPr>
      <w:ind w:left="284"/>
    </w:pPr>
  </w:style>
  <w:style w:type="paragraph" w:customStyle="1" w:styleId="ECHRTitleCentre3">
    <w:name w:val="ECHR_Title_Centre_3"/>
    <w:aliases w:val="Ju_H_Article"/>
    <w:basedOn w:val="Normalny"/>
    <w:next w:val="ECHRParaQuote"/>
    <w:uiPriority w:val="27"/>
    <w:qFormat/>
    <w:rsid w:val="00B27475"/>
    <w:pPr>
      <w:keepNext/>
      <w:keepLines/>
      <w:spacing w:before="240" w:after="120"/>
      <w:jc w:val="center"/>
      <w:outlineLvl w:val="3"/>
    </w:pPr>
    <w:rPr>
      <w:b/>
      <w:sz w:val="20"/>
      <w:lang w:bidi="en-US"/>
    </w:rPr>
  </w:style>
  <w:style w:type="paragraph" w:customStyle="1" w:styleId="ECHRTitleCentre1">
    <w:name w:val="ECHR_Title_Centre_1"/>
    <w:aliases w:val="Opi_H_Head"/>
    <w:basedOn w:val="Normalny"/>
    <w:next w:val="OpiPara"/>
    <w:uiPriority w:val="39"/>
    <w:qFormat/>
    <w:rsid w:val="00B27475"/>
    <w:pPr>
      <w:keepNext/>
      <w:keepLines/>
      <w:spacing w:after="240"/>
      <w:jc w:val="center"/>
      <w:outlineLvl w:val="0"/>
    </w:pPr>
    <w:rPr>
      <w:sz w:val="28"/>
    </w:rPr>
  </w:style>
  <w:style w:type="paragraph" w:customStyle="1" w:styleId="DummyStyle">
    <w:name w:val="Dummy_Style"/>
    <w:basedOn w:val="Normalny"/>
    <w:semiHidden/>
    <w:qFormat/>
    <w:rsid w:val="00B27475"/>
    <w:rPr>
      <w:color w:val="00B050"/>
    </w:rPr>
  </w:style>
  <w:style w:type="paragraph" w:customStyle="1" w:styleId="JuAppQuestion">
    <w:name w:val="Ju_App_Question"/>
    <w:basedOn w:val="Normalny"/>
    <w:uiPriority w:val="5"/>
    <w:semiHidden/>
    <w:qFormat/>
    <w:rsid w:val="00B27475"/>
    <w:pPr>
      <w:numPr>
        <w:numId w:val="16"/>
      </w:numPr>
      <w:jc w:val="left"/>
    </w:pPr>
    <w:rPr>
      <w:b/>
    </w:rPr>
  </w:style>
  <w:style w:type="paragraph" w:customStyle="1" w:styleId="JuCourt">
    <w:name w:val="Ju_Court"/>
    <w:basedOn w:val="Normalny"/>
    <w:next w:val="Normalny"/>
    <w:uiPriority w:val="16"/>
    <w:qFormat/>
    <w:rsid w:val="00B27475"/>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ny"/>
    <w:next w:val="ECHRPara"/>
    <w:uiPriority w:val="8"/>
    <w:qFormat/>
    <w:rsid w:val="00B27475"/>
    <w:pPr>
      <w:spacing w:after="240"/>
      <w:jc w:val="center"/>
      <w:outlineLvl w:val="0"/>
    </w:pPr>
  </w:style>
  <w:style w:type="paragraph" w:customStyle="1" w:styleId="JuHeaderLandscape">
    <w:name w:val="Ju_Header_Landscape"/>
    <w:basedOn w:val="ECHRHeader"/>
    <w:uiPriority w:val="4"/>
    <w:qFormat/>
    <w:rsid w:val="00B27475"/>
    <w:pPr>
      <w:tabs>
        <w:tab w:val="clear" w:pos="3686"/>
        <w:tab w:val="clear" w:pos="7371"/>
        <w:tab w:val="center" w:pos="6146"/>
        <w:tab w:val="right" w:pos="12293"/>
      </w:tabs>
    </w:pPr>
  </w:style>
  <w:style w:type="paragraph" w:styleId="Tytu">
    <w:name w:val="Title"/>
    <w:basedOn w:val="Normalny"/>
    <w:next w:val="Normalny"/>
    <w:link w:val="TytuZnak"/>
    <w:uiPriority w:val="99"/>
    <w:semiHidden/>
    <w:qFormat/>
    <w:rsid w:val="00B27475"/>
    <w:pPr>
      <w:pBdr>
        <w:bottom w:val="single" w:sz="4" w:space="1" w:color="auto"/>
      </w:pBdr>
      <w:contextualSpacing/>
    </w:pPr>
    <w:rPr>
      <w:rFonts w:eastAsia="MS Gothic"/>
      <w:spacing w:val="5"/>
      <w:sz w:val="52"/>
      <w:szCs w:val="52"/>
      <w:lang w:bidi="en-US"/>
    </w:rPr>
  </w:style>
  <w:style w:type="character" w:customStyle="1" w:styleId="TytuZnak">
    <w:name w:val="Tytuł Znak"/>
    <w:link w:val="Tytu"/>
    <w:uiPriority w:val="99"/>
    <w:semiHidden/>
    <w:rsid w:val="00B27475"/>
    <w:rPr>
      <w:rFonts w:ascii="Times New Roman" w:eastAsia="MS Gothic" w:hAnsi="Times New Roman" w:cs="Times New Roman"/>
      <w:spacing w:val="5"/>
      <w:sz w:val="52"/>
      <w:szCs w:val="52"/>
      <w:lang w:val="pl-PL" w:eastAsia="pl-PL" w:bidi="en-US"/>
    </w:rPr>
  </w:style>
  <w:style w:type="paragraph" w:customStyle="1" w:styleId="ECHRHeading3">
    <w:name w:val="ECHR_Heading_3"/>
    <w:aliases w:val="Ju_H_1."/>
    <w:basedOn w:val="Nagwek3"/>
    <w:next w:val="ECHRPara"/>
    <w:uiPriority w:val="21"/>
    <w:qFormat/>
    <w:rsid w:val="00B27475"/>
    <w:pPr>
      <w:keepNext/>
      <w:keepLines/>
      <w:tabs>
        <w:tab w:val="left" w:pos="731"/>
      </w:tabs>
      <w:spacing w:before="240" w:after="120" w:line="240" w:lineRule="auto"/>
      <w:ind w:left="732" w:hanging="301"/>
    </w:pPr>
    <w:rPr>
      <w:b w:val="0"/>
      <w:i/>
      <w:color w:val="000000"/>
    </w:rPr>
  </w:style>
  <w:style w:type="paragraph" w:customStyle="1" w:styleId="ECHRHeading4">
    <w:name w:val="ECHR_Heading_4"/>
    <w:aliases w:val="Ju_H_a"/>
    <w:basedOn w:val="Nagwek4"/>
    <w:next w:val="ECHRPara"/>
    <w:uiPriority w:val="22"/>
    <w:qFormat/>
    <w:rsid w:val="00B27475"/>
    <w:pPr>
      <w:keepNext/>
      <w:keepLines/>
      <w:tabs>
        <w:tab w:val="left" w:pos="975"/>
      </w:tabs>
      <w:spacing w:before="240" w:after="120"/>
      <w:ind w:left="975" w:hanging="340"/>
    </w:pPr>
    <w:rPr>
      <w:i w:val="0"/>
      <w:color w:val="000000"/>
      <w:sz w:val="20"/>
    </w:rPr>
  </w:style>
  <w:style w:type="paragraph" w:customStyle="1" w:styleId="ECHRHeading5">
    <w:name w:val="ECHR_Heading_5"/>
    <w:aliases w:val="Ju_H_i"/>
    <w:basedOn w:val="Nagwek5"/>
    <w:next w:val="ECHRPara"/>
    <w:uiPriority w:val="23"/>
    <w:qFormat/>
    <w:rsid w:val="00B27475"/>
    <w:pPr>
      <w:keepNext/>
      <w:keepLines/>
      <w:tabs>
        <w:tab w:val="left" w:pos="1191"/>
      </w:tabs>
      <w:spacing w:before="240" w:after="120"/>
      <w:ind w:left="1190" w:hanging="357"/>
    </w:pPr>
    <w:rPr>
      <w:b w:val="0"/>
      <w:i/>
      <w:color w:val="000000"/>
    </w:rPr>
  </w:style>
  <w:style w:type="paragraph" w:customStyle="1" w:styleId="ECHRHeading6">
    <w:name w:val="ECHR_Heading_6"/>
    <w:aliases w:val="Ju_H_alpha"/>
    <w:basedOn w:val="Nagwek6"/>
    <w:next w:val="ECHRPara"/>
    <w:uiPriority w:val="24"/>
    <w:qFormat/>
    <w:rsid w:val="00B27475"/>
    <w:pPr>
      <w:keepNext/>
      <w:keepLines/>
      <w:tabs>
        <w:tab w:val="left" w:pos="1372"/>
      </w:tabs>
      <w:spacing w:before="240" w:after="120" w:line="240" w:lineRule="auto"/>
      <w:ind w:left="1373" w:hanging="335"/>
    </w:pPr>
    <w:rPr>
      <w:b w:val="0"/>
      <w:color w:val="000000"/>
      <w:sz w:val="20"/>
    </w:rPr>
  </w:style>
  <w:style w:type="paragraph" w:customStyle="1" w:styleId="ECHRHeading7">
    <w:name w:val="ECHR_Heading_7"/>
    <w:aliases w:val="Ju_H_–"/>
    <w:basedOn w:val="Nagwek7"/>
    <w:next w:val="ECHRPara"/>
    <w:uiPriority w:val="25"/>
    <w:qFormat/>
    <w:rsid w:val="00B27475"/>
    <w:pPr>
      <w:keepNext/>
      <w:keepLines/>
      <w:spacing w:before="240" w:after="120"/>
      <w:ind w:left="1236"/>
    </w:pPr>
  </w:style>
  <w:style w:type="paragraph" w:customStyle="1" w:styleId="JuQuotSub">
    <w:name w:val="Ju_Quot_Sub"/>
    <w:basedOn w:val="ECHRParaQuote"/>
    <w:uiPriority w:val="15"/>
    <w:qFormat/>
    <w:rsid w:val="00B27475"/>
    <w:pPr>
      <w:ind w:left="567"/>
    </w:pPr>
  </w:style>
  <w:style w:type="paragraph" w:customStyle="1" w:styleId="JuInitialled">
    <w:name w:val="Ju_Initialled"/>
    <w:basedOn w:val="Normalny"/>
    <w:uiPriority w:val="31"/>
    <w:qFormat/>
    <w:rsid w:val="00B27475"/>
    <w:pPr>
      <w:tabs>
        <w:tab w:val="center" w:pos="6407"/>
      </w:tabs>
      <w:spacing w:before="720"/>
      <w:jc w:val="right"/>
    </w:pPr>
  </w:style>
  <w:style w:type="character" w:customStyle="1" w:styleId="JuITMark">
    <w:name w:val="Ju_ITMark"/>
    <w:uiPriority w:val="38"/>
    <w:qFormat/>
    <w:rsid w:val="00B27475"/>
    <w:rPr>
      <w:color w:val="000000"/>
      <w:sz w:val="14"/>
      <w:bdr w:val="none" w:sz="0" w:space="0" w:color="auto"/>
      <w:lang w:val="pl-PL" w:eastAsia="pl-PL"/>
    </w:rPr>
  </w:style>
  <w:style w:type="paragraph" w:styleId="Nagwek">
    <w:name w:val="header"/>
    <w:basedOn w:val="Normalny"/>
    <w:link w:val="NagwekZnak"/>
    <w:uiPriority w:val="57"/>
    <w:semiHidden/>
    <w:rsid w:val="00B27475"/>
    <w:pPr>
      <w:tabs>
        <w:tab w:val="center" w:pos="4536"/>
        <w:tab w:val="right" w:pos="9072"/>
      </w:tabs>
    </w:pPr>
    <w:rPr>
      <w:rFonts w:eastAsia="Times New Roman"/>
      <w:szCs w:val="20"/>
    </w:rPr>
  </w:style>
  <w:style w:type="character" w:customStyle="1" w:styleId="NagwekZnak">
    <w:name w:val="Nagłówek Znak"/>
    <w:link w:val="Nagwek"/>
    <w:uiPriority w:val="57"/>
    <w:semiHidden/>
    <w:rsid w:val="00B27475"/>
    <w:rPr>
      <w:sz w:val="24"/>
      <w:lang w:val="pl-PL" w:eastAsia="pl-PL"/>
    </w:rPr>
  </w:style>
  <w:style w:type="character" w:customStyle="1" w:styleId="Nagwek1Znak">
    <w:name w:val="Nagłówek 1 Znak"/>
    <w:link w:val="Nagwek1"/>
    <w:uiPriority w:val="99"/>
    <w:semiHidden/>
    <w:rsid w:val="00B27475"/>
    <w:rPr>
      <w:rFonts w:ascii="Times New Roman" w:eastAsia="MS Gothic" w:hAnsi="Times New Roman" w:cs="Times New Roman"/>
      <w:b/>
      <w:bCs/>
      <w:color w:val="333333"/>
      <w:sz w:val="28"/>
      <w:szCs w:val="28"/>
      <w:lang w:val="pl-PL" w:eastAsia="pl-PL"/>
    </w:rPr>
  </w:style>
  <w:style w:type="paragraph" w:customStyle="1" w:styleId="ECHRHeading1">
    <w:name w:val="ECHR_Heading_1"/>
    <w:aliases w:val="Ju_H_I_Roman"/>
    <w:basedOn w:val="Nagwek1"/>
    <w:next w:val="ECHRPara"/>
    <w:uiPriority w:val="19"/>
    <w:qFormat/>
    <w:rsid w:val="00B27475"/>
    <w:pPr>
      <w:keepNext/>
      <w:keepLines/>
      <w:tabs>
        <w:tab w:val="left" w:pos="357"/>
      </w:tabs>
      <w:spacing w:before="360" w:after="240"/>
      <w:ind w:left="357" w:hanging="357"/>
      <w:contextualSpacing w:val="0"/>
    </w:pPr>
    <w:rPr>
      <w:b w:val="0"/>
      <w:color w:val="000000"/>
      <w:sz w:val="24"/>
    </w:rPr>
  </w:style>
  <w:style w:type="paragraph" w:customStyle="1" w:styleId="ECHRHeading2">
    <w:name w:val="ECHR_Heading_2"/>
    <w:aliases w:val="Ju_H_A"/>
    <w:basedOn w:val="Nagwek2"/>
    <w:next w:val="ECHRPara"/>
    <w:uiPriority w:val="20"/>
    <w:qFormat/>
    <w:rsid w:val="00B27475"/>
    <w:pPr>
      <w:keepNext/>
      <w:keepLines/>
      <w:tabs>
        <w:tab w:val="left" w:pos="584"/>
      </w:tabs>
      <w:spacing w:before="360" w:after="240"/>
      <w:ind w:left="584" w:hanging="352"/>
    </w:pPr>
    <w:rPr>
      <w:color w:val="000000"/>
      <w:sz w:val="24"/>
    </w:rPr>
  </w:style>
  <w:style w:type="character" w:customStyle="1" w:styleId="Nagwek2Znak">
    <w:name w:val="Nagłówek 2 Znak"/>
    <w:link w:val="Nagwek2"/>
    <w:uiPriority w:val="99"/>
    <w:semiHidden/>
    <w:rsid w:val="00B27475"/>
    <w:rPr>
      <w:rFonts w:ascii="Times New Roman" w:eastAsia="MS Gothic" w:hAnsi="Times New Roman" w:cs="Times New Roman"/>
      <w:b/>
      <w:bCs/>
      <w:color w:val="4D4D4D"/>
      <w:sz w:val="26"/>
      <w:szCs w:val="26"/>
      <w:lang w:val="pl-PL" w:eastAsia="pl-PL"/>
    </w:rPr>
  </w:style>
  <w:style w:type="paragraph" w:customStyle="1" w:styleId="JuListi">
    <w:name w:val="Ju_List_i"/>
    <w:basedOn w:val="Normalny"/>
    <w:next w:val="JuLista"/>
    <w:uiPriority w:val="28"/>
    <w:qFormat/>
    <w:rsid w:val="00B27475"/>
    <w:pPr>
      <w:ind w:left="794"/>
    </w:pPr>
  </w:style>
  <w:style w:type="paragraph" w:customStyle="1" w:styleId="JuCase">
    <w:name w:val="Ju_Case"/>
    <w:basedOn w:val="Normalny"/>
    <w:next w:val="ECHRPara"/>
    <w:uiPriority w:val="10"/>
    <w:rsid w:val="00B27475"/>
    <w:pPr>
      <w:ind w:firstLine="284"/>
    </w:pPr>
    <w:rPr>
      <w:b/>
    </w:rPr>
  </w:style>
  <w:style w:type="character" w:customStyle="1" w:styleId="Nagwek3Znak">
    <w:name w:val="Nagłówek 3 Znak"/>
    <w:link w:val="Nagwek3"/>
    <w:uiPriority w:val="99"/>
    <w:semiHidden/>
    <w:rsid w:val="00B27475"/>
    <w:rPr>
      <w:rFonts w:ascii="Times New Roman" w:eastAsia="MS Gothic" w:hAnsi="Times New Roman" w:cs="Times New Roman"/>
      <w:b/>
      <w:bCs/>
      <w:color w:val="5F5F5F"/>
      <w:sz w:val="24"/>
      <w:lang w:val="pl-PL" w:eastAsia="pl-PL"/>
    </w:rPr>
  </w:style>
  <w:style w:type="character" w:customStyle="1" w:styleId="Nagwek4Znak">
    <w:name w:val="Nagłówek 4 Znak"/>
    <w:link w:val="Nagwek4"/>
    <w:uiPriority w:val="99"/>
    <w:semiHidden/>
    <w:rsid w:val="00B27475"/>
    <w:rPr>
      <w:rFonts w:ascii="Times New Roman" w:eastAsia="MS Gothic" w:hAnsi="Times New Roman" w:cs="Times New Roman"/>
      <w:b/>
      <w:bCs/>
      <w:i/>
      <w:iCs/>
      <w:color w:val="777777"/>
      <w:sz w:val="24"/>
      <w:lang w:val="pl-PL" w:eastAsia="pl-PL"/>
    </w:rPr>
  </w:style>
  <w:style w:type="character" w:customStyle="1" w:styleId="Nagwek5Znak">
    <w:name w:val="Nagłówek 5 Znak"/>
    <w:link w:val="Nagwek5"/>
    <w:uiPriority w:val="99"/>
    <w:semiHidden/>
    <w:rsid w:val="00B27475"/>
    <w:rPr>
      <w:rFonts w:ascii="Times New Roman" w:eastAsia="MS Gothic" w:hAnsi="Times New Roman" w:cs="Times New Roman"/>
      <w:b/>
      <w:bCs/>
      <w:color w:val="808080"/>
      <w:lang w:val="pl-PL" w:eastAsia="pl-PL"/>
    </w:rPr>
  </w:style>
  <w:style w:type="character" w:styleId="Wyrnieniedelikatne">
    <w:name w:val="Subtle Emphasis"/>
    <w:uiPriority w:val="99"/>
    <w:semiHidden/>
    <w:qFormat/>
    <w:rsid w:val="00B27475"/>
    <w:rPr>
      <w:i/>
      <w:iCs/>
      <w:lang w:val="pl-PL" w:eastAsia="pl-PL"/>
    </w:rPr>
  </w:style>
  <w:style w:type="table" w:customStyle="1" w:styleId="ECHRTable">
    <w:name w:val="ECHR_Table"/>
    <w:basedOn w:val="Standardowy"/>
    <w:rsid w:val="00860B03"/>
    <w:rPr>
      <w:lang w:val="en-GB"/>
    </w:rPr>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cPr>
    </w:tblStylePr>
    <w:tblStylePr w:type="band2Horz">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shd w:val="clear" w:color="auto" w:fill="DFDFDF"/>
      </w:tcPr>
    </w:tblStylePr>
  </w:style>
  <w:style w:type="table" w:customStyle="1" w:styleId="ECHRTableBoxHeader">
    <w:name w:val="ECHR_Table_Box_Header"/>
    <w:basedOn w:val="Standardowy"/>
    <w:rsid w:val="004C086C"/>
    <w:rPr>
      <w:rFonts w:ascii="Verdana" w:hAnsi="Verdana"/>
      <w:lang w:val="en-GB"/>
    </w:rPr>
    <w:tblPr>
      <w:tblCellMar>
        <w:top w:w="57" w:type="dxa"/>
        <w:left w:w="57" w:type="dxa"/>
        <w:bottom w:w="57" w:type="dxa"/>
        <w:right w:w="57" w:type="dxa"/>
      </w:tblCellMar>
    </w:tblPr>
    <w:tcPr>
      <w:shd w:val="clear" w:color="auto" w:fill="F8F8F8"/>
    </w:tcPr>
    <w:tblStylePr w:type="firstCol">
      <w:rPr>
        <w:b/>
        <w:color w:val="5F5F5F"/>
      </w:rPr>
    </w:tblStylePr>
  </w:style>
  <w:style w:type="paragraph" w:customStyle="1" w:styleId="ECHRTitle1">
    <w:name w:val="ECHR_Title_1"/>
    <w:aliases w:val="Ju_H_Head"/>
    <w:basedOn w:val="Normalny"/>
    <w:next w:val="ECHRPara"/>
    <w:uiPriority w:val="18"/>
    <w:qFormat/>
    <w:rsid w:val="00B27475"/>
    <w:pPr>
      <w:keepNext/>
      <w:keepLines/>
      <w:spacing w:before="720" w:after="240"/>
      <w:outlineLvl w:val="0"/>
    </w:pPr>
    <w:rPr>
      <w:sz w:val="28"/>
    </w:rPr>
  </w:style>
  <w:style w:type="character" w:styleId="Uwydatnienie">
    <w:name w:val="Emphasis"/>
    <w:uiPriority w:val="99"/>
    <w:semiHidden/>
    <w:qFormat/>
    <w:rsid w:val="00B27475"/>
    <w:rPr>
      <w:b/>
      <w:bCs/>
      <w:i/>
      <w:iCs/>
      <w:spacing w:val="10"/>
      <w:bdr w:val="none" w:sz="0" w:space="0" w:color="auto"/>
      <w:lang w:val="pl-PL" w:eastAsia="pl-PL"/>
    </w:rPr>
  </w:style>
  <w:style w:type="paragraph" w:styleId="Stopka">
    <w:name w:val="footer"/>
    <w:basedOn w:val="Normalny"/>
    <w:link w:val="StopkaZnak"/>
    <w:uiPriority w:val="57"/>
    <w:semiHidden/>
    <w:rsid w:val="00B27475"/>
    <w:pPr>
      <w:tabs>
        <w:tab w:val="center" w:pos="4536"/>
        <w:tab w:val="right" w:pos="9696"/>
      </w:tabs>
      <w:ind w:left="-680" w:right="-680"/>
    </w:pPr>
    <w:rPr>
      <w:rFonts w:eastAsia="Times New Roman"/>
      <w:szCs w:val="20"/>
    </w:rPr>
  </w:style>
  <w:style w:type="character" w:customStyle="1" w:styleId="StopkaZnak">
    <w:name w:val="Stopka Znak"/>
    <w:link w:val="Stopka"/>
    <w:uiPriority w:val="57"/>
    <w:semiHidden/>
    <w:rsid w:val="00B27475"/>
    <w:rPr>
      <w:sz w:val="24"/>
      <w:lang w:val="pl-PL" w:eastAsia="pl-PL"/>
    </w:rPr>
  </w:style>
  <w:style w:type="character" w:styleId="Odwoanieprzypisudolnego">
    <w:name w:val="footnote reference"/>
    <w:uiPriority w:val="99"/>
    <w:semiHidden/>
    <w:rsid w:val="00B27475"/>
    <w:rPr>
      <w:vertAlign w:val="superscript"/>
      <w:lang w:val="pl-PL" w:eastAsia="pl-PL"/>
    </w:rPr>
  </w:style>
  <w:style w:type="paragraph" w:styleId="Tekstprzypisudolnego">
    <w:name w:val="footnote text"/>
    <w:basedOn w:val="Normalny"/>
    <w:link w:val="TekstprzypisudolnegoZnak"/>
    <w:uiPriority w:val="99"/>
    <w:semiHidden/>
    <w:rsid w:val="00B27475"/>
    <w:rPr>
      <w:sz w:val="20"/>
      <w:szCs w:val="20"/>
    </w:rPr>
  </w:style>
  <w:style w:type="character" w:customStyle="1" w:styleId="TekstprzypisudolnegoZnak">
    <w:name w:val="Tekst przypisu dolnego Znak"/>
    <w:link w:val="Tekstprzypisudolnego"/>
    <w:uiPriority w:val="99"/>
    <w:semiHidden/>
    <w:rsid w:val="00B27475"/>
    <w:rPr>
      <w:rFonts w:eastAsia="MS Mincho"/>
      <w:sz w:val="20"/>
      <w:szCs w:val="20"/>
      <w:lang w:val="pl-PL" w:eastAsia="pl-PL"/>
    </w:rPr>
  </w:style>
  <w:style w:type="character" w:customStyle="1" w:styleId="Nagwek6Znak">
    <w:name w:val="Nagłówek 6 Znak"/>
    <w:link w:val="Nagwek6"/>
    <w:uiPriority w:val="99"/>
    <w:semiHidden/>
    <w:rsid w:val="00B27475"/>
    <w:rPr>
      <w:rFonts w:ascii="Times New Roman" w:eastAsia="MS Gothic" w:hAnsi="Times New Roman" w:cs="Times New Roman"/>
      <w:b/>
      <w:bCs/>
      <w:i/>
      <w:iCs/>
      <w:color w:val="7F7F7F"/>
      <w:sz w:val="24"/>
      <w:lang w:val="pl-PL" w:eastAsia="pl-PL" w:bidi="en-US"/>
    </w:rPr>
  </w:style>
  <w:style w:type="character" w:customStyle="1" w:styleId="Nagwek7Znak">
    <w:name w:val="Nagłówek 7 Znak"/>
    <w:link w:val="Nagwek7"/>
    <w:uiPriority w:val="99"/>
    <w:semiHidden/>
    <w:rsid w:val="00B27475"/>
    <w:rPr>
      <w:rFonts w:ascii="Times New Roman" w:eastAsia="MS Gothic" w:hAnsi="Times New Roman" w:cs="Times New Roman"/>
      <w:i/>
      <w:iCs/>
      <w:lang w:val="pl-PL" w:eastAsia="pl-PL" w:bidi="en-US"/>
    </w:rPr>
  </w:style>
  <w:style w:type="character" w:customStyle="1" w:styleId="Nagwek8Znak">
    <w:name w:val="Nagłówek 8 Znak"/>
    <w:link w:val="Nagwek8"/>
    <w:uiPriority w:val="99"/>
    <w:semiHidden/>
    <w:rsid w:val="00B27475"/>
    <w:rPr>
      <w:rFonts w:ascii="Times New Roman" w:eastAsia="MS Gothic" w:hAnsi="Times New Roman" w:cs="Times New Roman"/>
      <w:sz w:val="20"/>
      <w:szCs w:val="20"/>
      <w:lang w:val="pl-PL" w:eastAsia="pl-PL" w:bidi="en-US"/>
    </w:rPr>
  </w:style>
  <w:style w:type="character" w:customStyle="1" w:styleId="Nagwek9Znak">
    <w:name w:val="Nagłówek 9 Znak"/>
    <w:link w:val="Nagwek9"/>
    <w:uiPriority w:val="99"/>
    <w:semiHidden/>
    <w:rsid w:val="00B27475"/>
    <w:rPr>
      <w:rFonts w:ascii="Times New Roman" w:eastAsia="MS Gothic" w:hAnsi="Times New Roman" w:cs="Times New Roman"/>
      <w:i/>
      <w:iCs/>
      <w:spacing w:val="5"/>
      <w:sz w:val="20"/>
      <w:szCs w:val="20"/>
      <w:lang w:val="pl-PL" w:eastAsia="pl-PL" w:bidi="en-US"/>
    </w:rPr>
  </w:style>
  <w:style w:type="character" w:styleId="Hipercze">
    <w:name w:val="Hyperlink"/>
    <w:uiPriority w:val="99"/>
    <w:semiHidden/>
    <w:rsid w:val="00B27475"/>
    <w:rPr>
      <w:color w:val="0072BC"/>
      <w:u w:val="single"/>
      <w:lang w:val="pl-PL" w:eastAsia="pl-PL"/>
    </w:rPr>
  </w:style>
  <w:style w:type="character" w:styleId="Wyrnienieintensywne">
    <w:name w:val="Intense Emphasis"/>
    <w:uiPriority w:val="99"/>
    <w:semiHidden/>
    <w:qFormat/>
    <w:rsid w:val="00B27475"/>
    <w:rPr>
      <w:b/>
      <w:bCs/>
      <w:lang w:val="pl-PL" w:eastAsia="pl-PL"/>
    </w:rPr>
  </w:style>
  <w:style w:type="paragraph" w:styleId="Cytatintensywny">
    <w:name w:val="Intense Quote"/>
    <w:basedOn w:val="Normalny"/>
    <w:next w:val="Normalny"/>
    <w:link w:val="CytatintensywnyZnak"/>
    <w:uiPriority w:val="99"/>
    <w:semiHidden/>
    <w:qFormat/>
    <w:rsid w:val="00B27475"/>
    <w:pPr>
      <w:pBdr>
        <w:bottom w:val="single" w:sz="4" w:space="1" w:color="auto"/>
      </w:pBdr>
      <w:spacing w:before="200" w:after="280"/>
      <w:ind w:left="1008" w:right="1152"/>
    </w:pPr>
    <w:rPr>
      <w:b/>
      <w:bCs/>
      <w:i/>
      <w:iCs/>
      <w:sz w:val="20"/>
      <w:szCs w:val="20"/>
      <w:lang w:bidi="en-US"/>
    </w:rPr>
  </w:style>
  <w:style w:type="character" w:customStyle="1" w:styleId="CytatintensywnyZnak">
    <w:name w:val="Cytat intensywny Znak"/>
    <w:link w:val="Cytatintensywny"/>
    <w:uiPriority w:val="99"/>
    <w:semiHidden/>
    <w:rsid w:val="00B27475"/>
    <w:rPr>
      <w:rFonts w:eastAsia="MS Mincho"/>
      <w:b/>
      <w:bCs/>
      <w:i/>
      <w:iCs/>
      <w:lang w:val="pl-PL" w:eastAsia="pl-PL" w:bidi="en-US"/>
    </w:rPr>
  </w:style>
  <w:style w:type="character" w:styleId="Odwoanieintensywne">
    <w:name w:val="Intense Reference"/>
    <w:uiPriority w:val="99"/>
    <w:semiHidden/>
    <w:qFormat/>
    <w:rsid w:val="00B27475"/>
    <w:rPr>
      <w:smallCaps/>
      <w:spacing w:val="5"/>
      <w:u w:val="single"/>
      <w:lang w:val="pl-PL" w:eastAsia="pl-PL"/>
    </w:rPr>
  </w:style>
  <w:style w:type="paragraph" w:styleId="Akapitzlist">
    <w:name w:val="List Paragraph"/>
    <w:basedOn w:val="Normalny"/>
    <w:uiPriority w:val="99"/>
    <w:semiHidden/>
    <w:qFormat/>
    <w:rsid w:val="00B2747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27475"/>
    <w:pPr>
      <w:spacing w:before="200"/>
      <w:ind w:left="360" w:right="360"/>
    </w:pPr>
    <w:rPr>
      <w:i/>
      <w:iCs/>
      <w:sz w:val="20"/>
      <w:szCs w:val="20"/>
      <w:lang w:bidi="en-US"/>
    </w:rPr>
  </w:style>
  <w:style w:type="character" w:customStyle="1" w:styleId="CytatZnak">
    <w:name w:val="Cytat Znak"/>
    <w:link w:val="Cytat"/>
    <w:uiPriority w:val="99"/>
    <w:semiHidden/>
    <w:rsid w:val="00B27475"/>
    <w:rPr>
      <w:rFonts w:eastAsia="MS Mincho"/>
      <w:i/>
      <w:iCs/>
      <w:lang w:val="pl-PL" w:eastAsia="pl-PL" w:bidi="en-US"/>
    </w:rPr>
  </w:style>
  <w:style w:type="character" w:styleId="Odwoaniedelikatne">
    <w:name w:val="Subtle Reference"/>
    <w:uiPriority w:val="99"/>
    <w:semiHidden/>
    <w:qFormat/>
    <w:rsid w:val="00B27475"/>
    <w:rPr>
      <w:smallCaps/>
      <w:lang w:val="pl-PL" w:eastAsia="pl-PL"/>
    </w:rPr>
  </w:style>
  <w:style w:type="table" w:styleId="Tabela-Siatka">
    <w:name w:val="Table Grid"/>
    <w:basedOn w:val="Standardowy"/>
    <w:uiPriority w:val="59"/>
    <w:semiHidden/>
    <w:rsid w:val="00B2747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27475"/>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27475"/>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27475"/>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27475"/>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27475"/>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27475"/>
    <w:pPr>
      <w:keepNext/>
      <w:keepLines/>
      <w:spacing w:before="240"/>
      <w:contextualSpacing/>
      <w:jc w:val="center"/>
    </w:pPr>
    <w:rPr>
      <w:rFonts w:eastAsia="Times New Roman"/>
      <w:b/>
      <w:color w:val="474747"/>
      <w:sz w:val="28"/>
    </w:rPr>
  </w:style>
  <w:style w:type="table" w:customStyle="1" w:styleId="UGTable">
    <w:name w:val="UG_Table"/>
    <w:basedOn w:val="Standardowy"/>
    <w:uiPriority w:val="99"/>
    <w:rsid w:val="00801300"/>
    <w:rPr>
      <w:rFonts w:eastAsia="MS Mincho"/>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MS Mincho"/>
      <w:lang w:val="en-GB" w:eastAsia="en-GB"/>
    </w:rPr>
    <w:tblPr>
      <w:tblBorders>
        <w:top w:val="single" w:sz="4" w:space="0" w:color="B9B9B9"/>
        <w:left w:val="single" w:sz="4" w:space="0" w:color="B9B9B9"/>
        <w:bottom w:val="single" w:sz="4" w:space="0" w:color="B9B9B9"/>
        <w:right w:val="single" w:sz="4" w:space="0" w:color="B9B9B9"/>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sz w:val="18"/>
    </w:rPr>
    <w:tblPr>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rPr>
    <w:tblPr>
      <w:tblInd w:w="-680" w:type="dxa"/>
      <w:tblBorders>
        <w:insideH w:val="single" w:sz="4" w:space="0" w:color="C6C6C6"/>
        <w:insideV w:val="single" w:sz="4" w:space="0" w:color="C6C6C6"/>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bottom w:val="single" w:sz="4" w:space="0" w:color="949494"/>
        <w:right w:val="single" w:sz="4" w:space="0" w:color="949494"/>
        <w:insideH w:val="single" w:sz="4" w:space="0" w:color="949494"/>
        <w:insideV w:val="single" w:sz="4" w:space="0" w:color="949494"/>
      </w:tblBorders>
      <w:tblCellMar>
        <w:top w:w="57" w:type="dxa"/>
        <w:bottom w:w="57" w:type="dxa"/>
      </w:tblCellMar>
    </w:tblPr>
    <w:trPr>
      <w:jc w:val="center"/>
    </w:trPr>
    <w:tcPr>
      <w:vAlign w:val="center"/>
    </w:tcPr>
    <w:tblStylePr w:type="firstRow">
      <w:pPr>
        <w:wordWrap/>
        <w:spacing w:beforeLines="0"/>
        <w:ind w:leftChars="0" w:left="0"/>
      </w:pPr>
      <w:rPr>
        <w:rFonts w:ascii="Times New Roman" w:hAnsi="Times New Roman"/>
        <w:b/>
        <w:i w:val="0"/>
        <w:color w:val="474747"/>
        <w:sz w:val="24"/>
      </w:rPr>
      <w:tblPr/>
      <w:tcPr>
        <w:tcBorders>
          <w:top w:val="single" w:sz="4" w:space="0" w:color="949494"/>
          <w:left w:val="single" w:sz="4" w:space="0" w:color="949494"/>
          <w:bottom w:val="nil"/>
          <w:right w:val="single" w:sz="4" w:space="0" w:color="949494"/>
          <w:insideH w:val="nil"/>
          <w:insideV w:val="nil"/>
          <w:tl2br w:val="nil"/>
          <w:tr2bl w:val="nil"/>
        </w:tcBorders>
        <w:shd w:val="clear" w:color="auto" w:fill="DFDFDF"/>
      </w:tcPr>
    </w:tblStylePr>
  </w:style>
  <w:style w:type="paragraph" w:styleId="Nagwekwykazurde">
    <w:name w:val="toa heading"/>
    <w:basedOn w:val="Normalny"/>
    <w:next w:val="Normalny"/>
    <w:uiPriority w:val="99"/>
    <w:semiHidden/>
    <w:rsid w:val="00B27475"/>
    <w:pPr>
      <w:keepNext/>
      <w:keepLines/>
      <w:spacing w:before="240"/>
      <w:contextualSpacing/>
      <w:jc w:val="center"/>
    </w:pPr>
    <w:rPr>
      <w:rFonts w:eastAsia="MS Gothic"/>
      <w:b/>
      <w:bCs/>
      <w:color w:val="474747"/>
      <w:sz w:val="28"/>
      <w:szCs w:val="24"/>
    </w:rPr>
  </w:style>
  <w:style w:type="paragraph" w:customStyle="1" w:styleId="ECHRParaQuote">
    <w:name w:val="ECHR_Para_Quote"/>
    <w:aliases w:val="Ju_Quot"/>
    <w:basedOn w:val="Normalny"/>
    <w:uiPriority w:val="14"/>
    <w:qFormat/>
    <w:rsid w:val="00B27475"/>
    <w:pPr>
      <w:spacing w:before="120" w:after="120"/>
      <w:ind w:left="425" w:firstLine="142"/>
    </w:pPr>
    <w:rPr>
      <w:sz w:val="20"/>
    </w:rPr>
  </w:style>
  <w:style w:type="paragraph" w:customStyle="1" w:styleId="ECHRPara">
    <w:name w:val="ECHR_Para"/>
    <w:aliases w:val="Ju_Para"/>
    <w:basedOn w:val="Normalny"/>
    <w:link w:val="ECHRParaChar"/>
    <w:uiPriority w:val="12"/>
    <w:qFormat/>
    <w:rsid w:val="00B27475"/>
    <w:pPr>
      <w:ind w:firstLine="284"/>
    </w:pPr>
    <w:rPr>
      <w:szCs w:val="20"/>
    </w:rPr>
  </w:style>
  <w:style w:type="table" w:customStyle="1" w:styleId="ECHRTableSimpleBox">
    <w:name w:val="ECHR_Table_Simple_Box"/>
    <w:basedOn w:val="Standardowy"/>
    <w:uiPriority w:val="99"/>
    <w:rsid w:val="00AE354C"/>
    <w:tblPr>
      <w:tblBorders>
        <w:top w:val="single" w:sz="4" w:space="0" w:color="9F9F9F"/>
        <w:left w:val="single" w:sz="4" w:space="0" w:color="9F9F9F"/>
        <w:bottom w:val="single" w:sz="4" w:space="0" w:color="9F9F9F"/>
        <w:right w:val="single" w:sz="4" w:space="0" w:color="9F9F9F"/>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imes New Roman" w:hAnsi="Times New Roman"/>
        <w:b/>
        <w:i w:val="0"/>
        <w:color w:val="474747"/>
        <w:sz w:val="24"/>
      </w:rPr>
      <w:tblPr/>
      <w:tcPr>
        <w:tcBorders>
          <w:top w:val="single" w:sz="4" w:space="0" w:color="949494"/>
          <w:left w:val="single" w:sz="4" w:space="0" w:color="949494"/>
          <w:bottom w:val="single" w:sz="4" w:space="0" w:color="949494"/>
          <w:right w:val="single" w:sz="4" w:space="0" w:color="949494"/>
          <w:insideH w:val="nil"/>
          <w:insideV w:val="nil"/>
          <w:tl2br w:val="nil"/>
          <w:tr2bl w:val="nil"/>
        </w:tcBorders>
        <w:shd w:val="clear" w:color="auto" w:fill="DFDFDF"/>
      </w:tcPr>
    </w:tblStylePr>
    <w:tblStylePr w:type="firstCol">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tcPr>
    </w:tblStylePr>
  </w:style>
  <w:style w:type="table" w:customStyle="1" w:styleId="ECHRTableForInternalUse">
    <w:name w:val="ECHR_Table_For_Internal_Use"/>
    <w:basedOn w:val="Standardowy"/>
    <w:uiPriority w:val="99"/>
    <w:rsid w:val="005474E7"/>
    <w:rPr>
      <w:color w:val="636363"/>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tblStylePr w:type="band1Vert">
      <w:tbl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l2br w:val="nil"/>
          <w:tr2bl w:val="nil"/>
        </w:tcBorders>
      </w:tcPr>
    </w:tblStylePr>
  </w:style>
  <w:style w:type="table" w:customStyle="1" w:styleId="ECHRListTable">
    <w:name w:val="ECHR_List_Table"/>
    <w:basedOn w:val="Standardowy"/>
    <w:uiPriority w:val="99"/>
    <w:rsid w:val="00B27475"/>
    <w:tblPr>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b/>
        <w:color w:val="474747"/>
      </w:rPr>
      <w:tblPr/>
      <w:trPr>
        <w:tblHeader/>
      </w:trPr>
      <w:tcPr>
        <w:tcBorders>
          <w:top w:val="single" w:sz="4" w:space="0" w:color="949494"/>
          <w:left w:val="single" w:sz="4" w:space="0" w:color="949494"/>
          <w:bottom w:val="single" w:sz="4" w:space="0" w:color="949494"/>
          <w:right w:val="single" w:sz="4" w:space="0" w:color="949494"/>
          <w:insideH w:val="single" w:sz="4" w:space="0" w:color="949494"/>
          <w:insideV w:val="single" w:sz="4" w:space="0" w:color="949494"/>
        </w:tcBorders>
        <w:shd w:val="clear" w:color="auto" w:fill="DFDFDF"/>
      </w:tcPr>
    </w:tblStylePr>
  </w:style>
  <w:style w:type="table" w:customStyle="1" w:styleId="ECHRHeaderTable">
    <w:name w:val="ECHR_Header_Table"/>
    <w:basedOn w:val="Standardowy"/>
    <w:uiPriority w:val="99"/>
    <w:rsid w:val="00661971"/>
    <w:tblPr>
      <w:tblInd w:w="-680" w:type="dxa"/>
      <w:tblBorders>
        <w:bottom w:val="single" w:sz="6" w:space="0" w:color="949494"/>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bottom w:w="28" w:type="dxa"/>
      </w:tblCellMar>
    </w:tblPr>
    <w:tblStylePr w:type="firstRow">
      <w:rPr>
        <w:rFonts w:ascii="Times New Roman" w:hAnsi="Times New Roman"/>
        <w:b/>
        <w:i w:val="0"/>
        <w:color w:val="474747"/>
        <w:sz w:val="22"/>
      </w:rPr>
      <w:tblPr/>
      <w:tcPr>
        <w:tcBorders>
          <w:top w:val="single" w:sz="4" w:space="0" w:color="949494"/>
          <w:left w:val="single" w:sz="4" w:space="0" w:color="949494"/>
          <w:bottom w:val="single" w:sz="4" w:space="0" w:color="949494"/>
          <w:right w:val="single" w:sz="4" w:space="0" w:color="949494"/>
          <w:insideH w:val="nil"/>
          <w:insideV w:val="single" w:sz="4" w:space="0" w:color="949494"/>
          <w:tl2br w:val="nil"/>
          <w:tr2bl w:val="nil"/>
        </w:tcBorders>
        <w:shd w:val="clear" w:color="auto" w:fill="DFDFDF"/>
      </w:tcPr>
    </w:tblStylePr>
    <w:tblStylePr w:type="band1Vert">
      <w:tblPr/>
      <w:tcPr>
        <w:tcBorders>
          <w:top w:val="nil"/>
          <w:left w:val="nil"/>
          <w:bottom w:val="nil"/>
          <w:right w:val="nil"/>
          <w:insideH w:val="nil"/>
          <w:insideV w:val="nil"/>
          <w:tl2br w:val="nil"/>
          <w:tr2bl w:val="nil"/>
        </w:tcBorders>
        <w:shd w:val="clear" w:color="auto" w:fill="DFDFDF"/>
      </w:tcPr>
    </w:tblStylePr>
    <w:tblStylePr w:type="band1Horz">
      <w:rPr>
        <w:b/>
      </w:rPr>
      <w:tblPr/>
      <w:tcPr>
        <w:shd w:val="clear" w:color="auto" w:fill="DFDFDF"/>
      </w:tcPr>
    </w:tblStylePr>
  </w:style>
  <w:style w:type="paragraph" w:customStyle="1" w:styleId="ECHRDecisionBody">
    <w:name w:val="ECHR_Decision_Body"/>
    <w:aliases w:val="Ju_Judges"/>
    <w:basedOn w:val="Normalny"/>
    <w:uiPriority w:val="11"/>
    <w:qFormat/>
    <w:rsid w:val="00B2747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right w:val="nil"/>
          <w:insideH w:val="nil"/>
          <w:insideV w:val="nil"/>
          <w:tl2br w:val="nil"/>
          <w:tr2bl w:val="nil"/>
        </w:tcBorders>
      </w:tcPr>
    </w:tblStylePr>
    <w:tblStylePr w:type="lastRow">
      <w:pPr>
        <w:jc w:val="right"/>
      </w:pPr>
      <w:tblPr/>
      <w:tcPr>
        <w:tcBorders>
          <w:top w:val="single" w:sz="6" w:space="0" w:color="949494"/>
          <w:left w:val="nil"/>
          <w:bottom w:val="nil"/>
          <w:right w:val="nil"/>
          <w:insideH w:val="nil"/>
          <w:insideV w:val="nil"/>
          <w:tl2br w:val="nil"/>
          <w:tr2bl w:val="nil"/>
        </w:tcBorders>
      </w:tcPr>
    </w:tblStylePr>
  </w:style>
  <w:style w:type="paragraph" w:customStyle="1" w:styleId="JuList">
    <w:name w:val="Ju_List"/>
    <w:basedOn w:val="Normalny"/>
    <w:uiPriority w:val="28"/>
    <w:qFormat/>
    <w:rsid w:val="00B27475"/>
    <w:pPr>
      <w:ind w:left="340" w:hanging="340"/>
    </w:pPr>
  </w:style>
  <w:style w:type="paragraph" w:customStyle="1" w:styleId="JuSigned">
    <w:name w:val="Ju_Signed"/>
    <w:basedOn w:val="Normalny"/>
    <w:next w:val="JuParaLast"/>
    <w:uiPriority w:val="32"/>
    <w:qFormat/>
    <w:rsid w:val="00B27475"/>
    <w:pPr>
      <w:tabs>
        <w:tab w:val="center" w:pos="851"/>
        <w:tab w:val="center" w:pos="6407"/>
      </w:tabs>
      <w:spacing w:before="720"/>
      <w:jc w:val="left"/>
    </w:pPr>
  </w:style>
  <w:style w:type="paragraph" w:customStyle="1" w:styleId="JuParaLast">
    <w:name w:val="Ju_Para_Last"/>
    <w:basedOn w:val="Normalny"/>
    <w:next w:val="ECHRPara"/>
    <w:uiPriority w:val="30"/>
    <w:qFormat/>
    <w:rsid w:val="00B27475"/>
    <w:pPr>
      <w:keepNext/>
      <w:keepLines/>
      <w:spacing w:before="240"/>
      <w:ind w:firstLine="284"/>
    </w:pPr>
  </w:style>
  <w:style w:type="character" w:customStyle="1" w:styleId="JUNAMES">
    <w:name w:val="JU_NAMES"/>
    <w:uiPriority w:val="17"/>
    <w:qFormat/>
    <w:rsid w:val="00B27475"/>
    <w:rPr>
      <w:smallCaps/>
      <w:lang w:val="pl-PL" w:eastAsia="pl-PL"/>
    </w:rPr>
  </w:style>
  <w:style w:type="character" w:styleId="Numerstrony">
    <w:name w:val="page number"/>
    <w:uiPriority w:val="99"/>
    <w:semiHidden/>
    <w:rsid w:val="00014566"/>
    <w:rPr>
      <w:sz w:val="18"/>
      <w:lang w:val="pl-PL" w:eastAsia="pl-PL"/>
    </w:rPr>
  </w:style>
  <w:style w:type="paragraph" w:customStyle="1" w:styleId="JuLista">
    <w:name w:val="Ju_List_a"/>
    <w:basedOn w:val="JuList"/>
    <w:uiPriority w:val="28"/>
    <w:qFormat/>
    <w:rsid w:val="00B27475"/>
    <w:pPr>
      <w:ind w:left="346" w:firstLine="0"/>
    </w:pPr>
  </w:style>
  <w:style w:type="paragraph" w:customStyle="1" w:styleId="JuTitle">
    <w:name w:val="Ju_Title"/>
    <w:basedOn w:val="Normalny"/>
    <w:next w:val="ECHRPara"/>
    <w:uiPriority w:val="3"/>
    <w:semiHidden/>
    <w:qFormat/>
    <w:rsid w:val="00B27475"/>
    <w:pPr>
      <w:spacing w:before="720" w:after="240"/>
      <w:jc w:val="center"/>
      <w:outlineLvl w:val="0"/>
    </w:pPr>
    <w:rPr>
      <w:b/>
      <w:caps/>
    </w:rPr>
  </w:style>
  <w:style w:type="character" w:styleId="Odwoaniedokomentarza">
    <w:name w:val="annotation reference"/>
    <w:uiPriority w:val="99"/>
    <w:semiHidden/>
    <w:rsid w:val="00014566"/>
    <w:rPr>
      <w:sz w:val="16"/>
      <w:lang w:val="pl-PL" w:eastAsia="pl-PL"/>
    </w:rPr>
  </w:style>
  <w:style w:type="paragraph" w:styleId="Tekstkomentarza">
    <w:name w:val="annotation text"/>
    <w:basedOn w:val="Normalny"/>
    <w:link w:val="TekstkomentarzaZnak"/>
    <w:semiHidden/>
    <w:rsid w:val="00014566"/>
    <w:rPr>
      <w:sz w:val="20"/>
      <w:szCs w:val="20"/>
    </w:rPr>
  </w:style>
  <w:style w:type="character" w:customStyle="1" w:styleId="TekstkomentarzaZnak">
    <w:name w:val="Tekst komentarza Znak"/>
    <w:link w:val="Tekstkomentarza"/>
    <w:semiHidden/>
    <w:rsid w:val="00014566"/>
    <w:rPr>
      <w:rFonts w:eastAsia="MS Mincho"/>
      <w:sz w:val="20"/>
      <w:lang w:val="pl-PL" w:eastAsia="pl-PL"/>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link w:val="Tematkomentarza"/>
    <w:uiPriority w:val="99"/>
    <w:semiHidden/>
    <w:rsid w:val="00014566"/>
    <w:rPr>
      <w:rFonts w:eastAsia="MS Mincho"/>
      <w:b/>
      <w:bCs/>
      <w:sz w:val="20"/>
      <w:lang w:val="pl-PL" w:eastAsia="pl-PL"/>
    </w:rPr>
  </w:style>
  <w:style w:type="character" w:styleId="Odwoanieprzypisukocowego">
    <w:name w:val="endnote reference"/>
    <w:uiPriority w:val="99"/>
    <w:semiHidden/>
    <w:rsid w:val="00014566"/>
    <w:rPr>
      <w:vertAlign w:val="superscript"/>
      <w:lang w:val="pl-PL" w:eastAsia="pl-PL"/>
    </w:rPr>
  </w:style>
  <w:style w:type="paragraph" w:styleId="Tekstprzypisukocowego">
    <w:name w:val="endnote text"/>
    <w:basedOn w:val="Normalny"/>
    <w:link w:val="TekstprzypisukocowegoZnak"/>
    <w:uiPriority w:val="99"/>
    <w:semiHidden/>
    <w:rsid w:val="00014566"/>
    <w:rPr>
      <w:sz w:val="20"/>
      <w:szCs w:val="20"/>
    </w:rPr>
  </w:style>
  <w:style w:type="character" w:customStyle="1" w:styleId="TekstprzypisukocowegoZnak">
    <w:name w:val="Tekst przypisu końcowego Znak"/>
    <w:link w:val="Tekstprzypisukocowego"/>
    <w:uiPriority w:val="99"/>
    <w:semiHidden/>
    <w:rsid w:val="00014566"/>
    <w:rPr>
      <w:rFonts w:eastAsia="MS Mincho"/>
      <w:sz w:val="20"/>
      <w:lang w:val="pl-PL" w:eastAsia="pl-PL"/>
    </w:rPr>
  </w:style>
  <w:style w:type="character" w:styleId="UyteHipercze">
    <w:name w:val="FollowedHyperlink"/>
    <w:uiPriority w:val="99"/>
    <w:semiHidden/>
    <w:rsid w:val="00014566"/>
    <w:rPr>
      <w:color w:val="800080"/>
      <w:u w:val="single"/>
      <w:lang w:val="pl-PL" w:eastAsia="pl-PL"/>
    </w:rPr>
  </w:style>
  <w:style w:type="paragraph" w:styleId="Mapadokumentu">
    <w:name w:val="Document Map"/>
    <w:basedOn w:val="Normalny"/>
    <w:link w:val="MapadokumentuZnak"/>
    <w:uiPriority w:val="99"/>
    <w:semiHidden/>
    <w:rsid w:val="00014566"/>
    <w:pPr>
      <w:shd w:val="clear" w:color="auto" w:fill="000080"/>
    </w:pPr>
    <w:rPr>
      <w:rFonts w:ascii="Tahoma" w:hAnsi="Tahoma"/>
      <w:sz w:val="20"/>
      <w:szCs w:val="20"/>
    </w:rPr>
  </w:style>
  <w:style w:type="character" w:customStyle="1" w:styleId="MapadokumentuZnak">
    <w:name w:val="Mapa dokumentu Znak"/>
    <w:link w:val="Mapadokumentu"/>
    <w:uiPriority w:val="99"/>
    <w:semiHidden/>
    <w:rsid w:val="00014566"/>
    <w:rPr>
      <w:rFonts w:ascii="Tahoma" w:eastAsia="MS Mincho" w:hAnsi="Tahoma" w:cs="Tahoma"/>
      <w:sz w:val="20"/>
      <w:lang w:val="pl-PL" w:eastAsia="pl-PL"/>
    </w:rPr>
  </w:style>
  <w:style w:type="paragraph" w:customStyle="1" w:styleId="OpiH1">
    <w:name w:val="Opi_H_1"/>
    <w:basedOn w:val="ECHRHeading2"/>
    <w:uiPriority w:val="42"/>
    <w:qFormat/>
    <w:rsid w:val="00B27475"/>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B27475"/>
    <w:pPr>
      <w:ind w:left="833" w:hanging="357"/>
      <w:outlineLvl w:val="3"/>
    </w:pPr>
    <w:rPr>
      <w:b/>
      <w:i w:val="0"/>
      <w:sz w:val="20"/>
    </w:rPr>
  </w:style>
  <w:style w:type="paragraph" w:styleId="Podtytu">
    <w:name w:val="Subtitle"/>
    <w:basedOn w:val="Normalny"/>
    <w:next w:val="Normalny"/>
    <w:link w:val="PodtytuZnak"/>
    <w:uiPriority w:val="99"/>
    <w:semiHidden/>
    <w:qFormat/>
    <w:rsid w:val="00B27475"/>
    <w:pPr>
      <w:spacing w:after="600"/>
    </w:pPr>
    <w:rPr>
      <w:rFonts w:eastAsia="MS Gothic"/>
      <w:i/>
      <w:iCs/>
      <w:spacing w:val="13"/>
      <w:szCs w:val="24"/>
      <w:lang w:bidi="en-US"/>
    </w:rPr>
  </w:style>
  <w:style w:type="character" w:customStyle="1" w:styleId="PodtytuZnak">
    <w:name w:val="Podtytuł Znak"/>
    <w:link w:val="Podtytu"/>
    <w:uiPriority w:val="99"/>
    <w:semiHidden/>
    <w:rsid w:val="00B27475"/>
    <w:rPr>
      <w:rFonts w:ascii="Times New Roman" w:eastAsia="MS Gothic" w:hAnsi="Times New Roman" w:cs="Times New Roman"/>
      <w:i/>
      <w:iCs/>
      <w:spacing w:val="13"/>
      <w:sz w:val="24"/>
      <w:szCs w:val="24"/>
      <w:lang w:val="pl-PL" w:eastAsia="pl-PL" w:bidi="en-US"/>
    </w:rPr>
  </w:style>
  <w:style w:type="numbering" w:styleId="111111">
    <w:name w:val="Outline List 2"/>
    <w:basedOn w:val="Bezlisty"/>
    <w:uiPriority w:val="99"/>
    <w:semiHidden/>
    <w:rsid w:val="00014566"/>
  </w:style>
  <w:style w:type="numbering" w:styleId="1ai">
    <w:name w:val="Outline List 1"/>
    <w:basedOn w:val="Bezlisty"/>
    <w:uiPriority w:val="99"/>
    <w:semiHidden/>
    <w:rsid w:val="00014566"/>
  </w:style>
  <w:style w:type="numbering" w:styleId="Artykusekcja">
    <w:name w:val="Outline List 3"/>
    <w:basedOn w:val="Bezlisty"/>
    <w:uiPriority w:val="99"/>
    <w:semiHidden/>
    <w:rsid w:val="00014566"/>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Tekstpodstawowy">
    <w:name w:val="Body Text"/>
    <w:basedOn w:val="Normalny"/>
    <w:link w:val="TekstpodstawowyZnak"/>
    <w:uiPriority w:val="99"/>
    <w:semiHidden/>
    <w:rsid w:val="00014566"/>
    <w:pPr>
      <w:spacing w:after="120"/>
    </w:pPr>
    <w:rPr>
      <w:szCs w:val="20"/>
    </w:rPr>
  </w:style>
  <w:style w:type="character" w:customStyle="1" w:styleId="TekstpodstawowyZnak">
    <w:name w:val="Tekst podstawowy Znak"/>
    <w:link w:val="Tekstpodstawowy"/>
    <w:uiPriority w:val="99"/>
    <w:semiHidden/>
    <w:rsid w:val="00014566"/>
    <w:rPr>
      <w:rFonts w:eastAsia="MS Mincho"/>
      <w:sz w:val="24"/>
      <w:lang w:val="pl-PL" w:eastAsia="pl-PL"/>
    </w:rPr>
  </w:style>
  <w:style w:type="paragraph" w:styleId="Tekstpodstawowy2">
    <w:name w:val="Body Text 2"/>
    <w:basedOn w:val="Normalny"/>
    <w:link w:val="Tekstpodstawowy2Znak"/>
    <w:uiPriority w:val="99"/>
    <w:semiHidden/>
    <w:rsid w:val="00014566"/>
    <w:pPr>
      <w:spacing w:after="120" w:line="480" w:lineRule="auto"/>
    </w:pPr>
    <w:rPr>
      <w:szCs w:val="20"/>
    </w:rPr>
  </w:style>
  <w:style w:type="character" w:customStyle="1" w:styleId="Tekstpodstawowy2Znak">
    <w:name w:val="Tekst podstawowy 2 Znak"/>
    <w:link w:val="Tekstpodstawowy2"/>
    <w:uiPriority w:val="99"/>
    <w:semiHidden/>
    <w:rsid w:val="00014566"/>
    <w:rPr>
      <w:rFonts w:eastAsia="MS Mincho"/>
      <w:sz w:val="24"/>
      <w:lang w:val="pl-PL" w:eastAsia="pl-PL"/>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link w:val="Tekstpodstawowy3"/>
    <w:uiPriority w:val="99"/>
    <w:semiHidden/>
    <w:rsid w:val="00014566"/>
    <w:rPr>
      <w:rFonts w:eastAsia="MS Mincho"/>
      <w:sz w:val="16"/>
      <w:szCs w:val="16"/>
      <w:lang w:val="pl-PL" w:eastAsia="pl-PL"/>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link w:val="Tekstpodstawowyzwciciem"/>
    <w:uiPriority w:val="99"/>
    <w:semiHidden/>
    <w:rsid w:val="00014566"/>
    <w:rPr>
      <w:rFonts w:eastAsia="MS Mincho"/>
      <w:sz w:val="24"/>
      <w:lang w:val="pl-PL" w:eastAsia="pl-PL"/>
    </w:rPr>
  </w:style>
  <w:style w:type="paragraph" w:styleId="Tekstpodstawowywcity">
    <w:name w:val="Body Text Indent"/>
    <w:basedOn w:val="Normalny"/>
    <w:link w:val="TekstpodstawowywcityZnak"/>
    <w:uiPriority w:val="99"/>
    <w:semiHidden/>
    <w:rsid w:val="00014566"/>
    <w:pPr>
      <w:spacing w:after="120"/>
      <w:ind w:left="283"/>
    </w:pPr>
    <w:rPr>
      <w:szCs w:val="20"/>
    </w:rPr>
  </w:style>
  <w:style w:type="character" w:customStyle="1" w:styleId="TekstpodstawowywcityZnak">
    <w:name w:val="Tekst podstawowy wcięty Znak"/>
    <w:link w:val="Tekstpodstawowywcity"/>
    <w:uiPriority w:val="99"/>
    <w:semiHidden/>
    <w:rsid w:val="00014566"/>
    <w:rPr>
      <w:rFonts w:eastAsia="MS Mincho"/>
      <w:sz w:val="24"/>
      <w:lang w:val="pl-PL" w:eastAsia="pl-PL"/>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link w:val="Tekstpodstawowyzwciciem2"/>
    <w:uiPriority w:val="99"/>
    <w:semiHidden/>
    <w:rsid w:val="00014566"/>
    <w:rPr>
      <w:rFonts w:eastAsia="MS Mincho"/>
      <w:sz w:val="24"/>
      <w:lang w:val="pl-PL" w:eastAsia="pl-PL"/>
    </w:rPr>
  </w:style>
  <w:style w:type="paragraph" w:styleId="Tekstpodstawowywcity2">
    <w:name w:val="Body Text Indent 2"/>
    <w:basedOn w:val="Normalny"/>
    <w:link w:val="Tekstpodstawowywcity2Znak"/>
    <w:uiPriority w:val="99"/>
    <w:semiHidden/>
    <w:rsid w:val="00014566"/>
    <w:pPr>
      <w:spacing w:after="120" w:line="480" w:lineRule="auto"/>
      <w:ind w:left="283"/>
    </w:pPr>
    <w:rPr>
      <w:szCs w:val="20"/>
    </w:rPr>
  </w:style>
  <w:style w:type="character" w:customStyle="1" w:styleId="Tekstpodstawowywcity2Znak">
    <w:name w:val="Tekst podstawowy wcięty 2 Znak"/>
    <w:link w:val="Tekstpodstawowywcity2"/>
    <w:uiPriority w:val="99"/>
    <w:semiHidden/>
    <w:rsid w:val="00014566"/>
    <w:rPr>
      <w:rFonts w:eastAsia="MS Mincho"/>
      <w:sz w:val="24"/>
      <w:lang w:val="pl-PL" w:eastAsia="pl-PL"/>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link w:val="Tekstpodstawowywcity3"/>
    <w:uiPriority w:val="99"/>
    <w:semiHidden/>
    <w:rsid w:val="00014566"/>
    <w:rPr>
      <w:rFonts w:eastAsia="MS Mincho"/>
      <w:sz w:val="16"/>
      <w:szCs w:val="16"/>
      <w:lang w:val="pl-PL" w:eastAsia="pl-PL"/>
    </w:rPr>
  </w:style>
  <w:style w:type="paragraph" w:styleId="Legenda">
    <w:name w:val="caption"/>
    <w:basedOn w:val="Normalny"/>
    <w:next w:val="Normalny"/>
    <w:uiPriority w:val="99"/>
    <w:semiHidden/>
    <w:qFormat/>
    <w:rsid w:val="00014566"/>
    <w:pPr>
      <w:spacing w:after="200"/>
    </w:pPr>
    <w:rPr>
      <w:b/>
      <w:bCs/>
      <w:color w:val="0072BC"/>
      <w:sz w:val="18"/>
      <w:szCs w:val="18"/>
    </w:rPr>
  </w:style>
  <w:style w:type="paragraph" w:styleId="Zwrotpoegnalny">
    <w:name w:val="Closing"/>
    <w:basedOn w:val="Normalny"/>
    <w:link w:val="ZwrotpoegnalnyZnak"/>
    <w:uiPriority w:val="99"/>
    <w:semiHidden/>
    <w:rsid w:val="00014566"/>
    <w:pPr>
      <w:ind w:left="4252"/>
    </w:pPr>
    <w:rPr>
      <w:szCs w:val="20"/>
    </w:rPr>
  </w:style>
  <w:style w:type="character" w:customStyle="1" w:styleId="ZwrotpoegnalnyZnak">
    <w:name w:val="Zwrot pożegnalny Znak"/>
    <w:link w:val="Zwrotpoegnalny"/>
    <w:uiPriority w:val="99"/>
    <w:semiHidden/>
    <w:rsid w:val="00014566"/>
    <w:rPr>
      <w:rFonts w:eastAsia="MS Mincho"/>
      <w:sz w:val="24"/>
      <w:lang w:val="pl-PL" w:eastAsia="pl-PL"/>
    </w:rPr>
  </w:style>
  <w:style w:type="table" w:styleId="Kolorowasiatka">
    <w:name w:val="Colorful Grid"/>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Kolorowasiatkaakcent1">
    <w:name w:val="Colorful Grid Accent 1"/>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BEE5FF"/>
    </w:tcPr>
    <w:tblStylePr w:type="firstRow">
      <w:rPr>
        <w:b/>
        <w:bCs/>
      </w:rPr>
      <w:tblPr/>
      <w:tcPr>
        <w:shd w:val="clear" w:color="auto" w:fill="7ECBFF"/>
      </w:tcPr>
    </w:tblStylePr>
    <w:tblStylePr w:type="lastRow">
      <w:rPr>
        <w:b/>
        <w:bCs/>
        <w:color w:val="000000"/>
      </w:rPr>
      <w:tblPr/>
      <w:tcPr>
        <w:shd w:val="clear" w:color="auto" w:fill="7ECBFF"/>
      </w:tcPr>
    </w:tblStylePr>
    <w:tblStylePr w:type="firstCol">
      <w:rPr>
        <w:color w:val="0072BC"/>
      </w:rPr>
      <w:tblPr/>
      <w:tcPr>
        <w:shd w:val="clear" w:color="auto" w:fill="00548C"/>
      </w:tcPr>
    </w:tblStylePr>
    <w:tblStylePr w:type="lastCol">
      <w:rPr>
        <w:color w:val="0072BC"/>
      </w:rPr>
      <w:tblPr/>
      <w:tcPr>
        <w:shd w:val="clear" w:color="auto" w:fill="00548C"/>
      </w:tcPr>
    </w:tblStylePr>
    <w:tblStylePr w:type="band1Vert">
      <w:tblPr/>
      <w:tcPr>
        <w:shd w:val="clear" w:color="auto" w:fill="5EBFFF"/>
      </w:tcPr>
    </w:tblStylePr>
    <w:tblStylePr w:type="band1Horz">
      <w:tblPr/>
      <w:tcPr>
        <w:shd w:val="clear" w:color="auto" w:fill="5EBFFF"/>
      </w:tcPr>
    </w:tblStylePr>
  </w:style>
  <w:style w:type="table" w:styleId="Kolorowasiatkaakcent2">
    <w:name w:val="Colorful Grid Accent 2"/>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FFBFBF"/>
    </w:tcPr>
    <w:tblStylePr w:type="firstRow">
      <w:rPr>
        <w:b/>
        <w:bCs/>
      </w:rPr>
      <w:tblPr/>
      <w:tcPr>
        <w:shd w:val="clear" w:color="auto" w:fill="FF7F7F"/>
      </w:tcPr>
    </w:tblStylePr>
    <w:tblStylePr w:type="lastRow">
      <w:rPr>
        <w:b/>
        <w:bCs/>
        <w:color w:val="000000"/>
      </w:rPr>
      <w:tblPr/>
      <w:tcPr>
        <w:shd w:val="clear" w:color="auto" w:fill="FF7F7F"/>
      </w:tcPr>
    </w:tblStylePr>
    <w:tblStylePr w:type="firstCol">
      <w:rPr>
        <w:color w:val="0072BC"/>
      </w:rPr>
      <w:tblPr/>
      <w:tcPr>
        <w:shd w:val="clear" w:color="auto" w:fill="8F0000"/>
      </w:tcPr>
    </w:tblStylePr>
    <w:tblStylePr w:type="lastCol">
      <w:rPr>
        <w:color w:val="0072BC"/>
      </w:rPr>
      <w:tblPr/>
      <w:tcPr>
        <w:shd w:val="clear" w:color="auto" w:fill="8F0000"/>
      </w:tcPr>
    </w:tblStylePr>
    <w:tblStylePr w:type="band1Vert">
      <w:tblPr/>
      <w:tcPr>
        <w:shd w:val="clear" w:color="auto" w:fill="FF6060"/>
      </w:tcPr>
    </w:tblStylePr>
    <w:tblStylePr w:type="band1Horz">
      <w:tblPr/>
      <w:tcPr>
        <w:shd w:val="clear" w:color="auto" w:fill="FF6060"/>
      </w:tcPr>
    </w:tblStylePr>
  </w:style>
  <w:style w:type="table" w:styleId="Kolorowasiatkaakcent3">
    <w:name w:val="Colorful Grid Accent 3"/>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4">
    <w:name w:val="Colorful Grid Accent 4"/>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0072BC"/>
      </w:rPr>
      <w:tblPr/>
      <w:tcPr>
        <w:shd w:val="clear" w:color="auto" w:fill="707070"/>
      </w:tcPr>
    </w:tblStylePr>
    <w:tblStylePr w:type="lastCol">
      <w:rPr>
        <w:color w:val="0072BC"/>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Kolorowasiatkaakcent5">
    <w:name w:val="Colorful Grid Accent 5"/>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0072BC"/>
      </w:rPr>
      <w:tblPr/>
      <w:tcPr>
        <w:shd w:val="clear" w:color="auto" w:fill="474747"/>
      </w:tcPr>
    </w:tblStylePr>
    <w:tblStylePr w:type="lastCol">
      <w:rPr>
        <w:color w:val="0072BC"/>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Kolorowasiatkaakcent6">
    <w:name w:val="Colorful Grid Accent 6"/>
    <w:basedOn w:val="Standardowy"/>
    <w:uiPriority w:val="99"/>
    <w:semiHidden/>
    <w:rsid w:val="00014566"/>
    <w:rPr>
      <w:color w:val="000000"/>
      <w:lang w:val="fr-FR" w:eastAsia="fr-FR"/>
    </w:rPr>
    <w:tblPr>
      <w:tblStyleRowBandSize w:val="1"/>
      <w:tblStyleColBandSize w:val="1"/>
      <w:tblBorders>
        <w:insideH w:val="single" w:sz="4" w:space="0" w:color="0072BC"/>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0072BC"/>
      </w:rPr>
      <w:tblPr/>
      <w:tcPr>
        <w:shd w:val="clear" w:color="auto" w:fill="393939"/>
      </w:tcPr>
    </w:tblStylePr>
    <w:tblStylePr w:type="lastCol">
      <w:rPr>
        <w:color w:val="0072BC"/>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Kolorowalista">
    <w:name w:val="Colorful List"/>
    <w:basedOn w:val="Standardowy"/>
    <w:uiPriority w:val="99"/>
    <w:semiHidden/>
    <w:rsid w:val="00014566"/>
    <w:rPr>
      <w:color w:val="000000"/>
      <w:lang w:val="fr-FR" w:eastAsia="fr-FR"/>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Kolorowalistaakcent1">
    <w:name w:val="Colorful List Accent 1"/>
    <w:basedOn w:val="Standardowy"/>
    <w:uiPriority w:val="99"/>
    <w:semiHidden/>
    <w:rsid w:val="00014566"/>
    <w:rPr>
      <w:color w:val="000000"/>
      <w:lang w:val="fr-FR" w:eastAsia="fr-FR"/>
    </w:rPr>
    <w:tblPr>
      <w:tblStyleRowBandSize w:val="1"/>
      <w:tblStyleColBandSize w:val="1"/>
    </w:tblPr>
    <w:tcPr>
      <w:shd w:val="clear" w:color="auto" w:fill="DFF2F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cPr>
    </w:tblStylePr>
    <w:tblStylePr w:type="band1Horz">
      <w:tblPr/>
      <w:tcPr>
        <w:shd w:val="clear" w:color="auto" w:fill="BEE5FF"/>
      </w:tcPr>
    </w:tblStylePr>
  </w:style>
  <w:style w:type="table" w:styleId="Kolorowalistaakcent2">
    <w:name w:val="Colorful List Accent 2"/>
    <w:basedOn w:val="Standardowy"/>
    <w:uiPriority w:val="99"/>
    <w:semiHidden/>
    <w:rsid w:val="00014566"/>
    <w:rPr>
      <w:color w:val="000000"/>
      <w:lang w:val="fr-FR" w:eastAsia="fr-FR"/>
    </w:rPr>
    <w:tblPr>
      <w:tblStyleRowBandSize w:val="1"/>
      <w:tblStyleColBandSize w:val="1"/>
    </w:tblPr>
    <w:tcPr>
      <w:shd w:val="clear" w:color="auto" w:fill="FFDFDF"/>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cPr>
    </w:tblStylePr>
    <w:tblStylePr w:type="band1Horz">
      <w:tblPr/>
      <w:tcPr>
        <w:shd w:val="clear" w:color="auto" w:fill="FFBFBF"/>
      </w:tcPr>
    </w:tblStylePr>
  </w:style>
  <w:style w:type="table" w:styleId="Kolorowalistaakcent3">
    <w:name w:val="Colorful List Accent 3"/>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787878"/>
      </w:tcPr>
    </w:tblStylePr>
    <w:tblStylePr w:type="lastRow">
      <w:rPr>
        <w:b/>
        <w:bCs/>
        <w:color w:val="787878"/>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4">
    <w:name w:val="Colorful List Accent 4"/>
    <w:basedOn w:val="Standardowy"/>
    <w:uiPriority w:val="99"/>
    <w:semiHidden/>
    <w:rsid w:val="00014566"/>
    <w:rPr>
      <w:color w:val="000000"/>
      <w:lang w:val="fr-FR" w:eastAsia="fr-FR"/>
    </w:rPr>
    <w:tblPr>
      <w:tblStyleRowBandSize w:val="1"/>
      <w:tblStyleColBandSize w:val="1"/>
    </w:tblPr>
    <w:tcPr>
      <w:shd w:val="clear" w:color="auto" w:fill="F4F4F4"/>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Kolorowalistaakcent5">
    <w:name w:val="Colorful List Accent 5"/>
    <w:basedOn w:val="Standardowy"/>
    <w:uiPriority w:val="99"/>
    <w:semiHidden/>
    <w:rsid w:val="00014566"/>
    <w:rPr>
      <w:color w:val="000000"/>
      <w:lang w:val="fr-FR" w:eastAsia="fr-FR"/>
    </w:rPr>
    <w:tblPr>
      <w:tblStyleRowBandSize w:val="1"/>
      <w:tblStyleColBandSize w:val="1"/>
    </w:tblPr>
    <w:tcPr>
      <w:shd w:val="clear" w:color="auto" w:fill="EFEFEF"/>
    </w:tcPr>
    <w:tblStylePr w:type="firstRow">
      <w:rPr>
        <w:b/>
        <w:bCs/>
        <w:color w:val="0072BC"/>
      </w:rPr>
      <w:tblPr/>
      <w:tcPr>
        <w:tcBorders>
          <w:bottom w:val="single" w:sz="12" w:space="0" w:color="0072BC"/>
        </w:tcBorders>
        <w:shd w:val="clear" w:color="auto" w:fill="3D3D3D"/>
      </w:tcPr>
    </w:tblStylePr>
    <w:tblStylePr w:type="lastRow">
      <w:rPr>
        <w:b/>
        <w:bCs/>
        <w:color w:val="3D3D3D"/>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Kolorowalistaakcent6">
    <w:name w:val="Colorful List Accent 6"/>
    <w:basedOn w:val="Standardowy"/>
    <w:uiPriority w:val="99"/>
    <w:semiHidden/>
    <w:rsid w:val="00014566"/>
    <w:rPr>
      <w:color w:val="000000"/>
      <w:lang w:val="fr-FR" w:eastAsia="fr-FR"/>
    </w:rPr>
    <w:tblPr>
      <w:tblStyleRowBandSize w:val="1"/>
      <w:tblStyleColBandSize w:val="1"/>
    </w:tblPr>
    <w:tcPr>
      <w:shd w:val="clear" w:color="auto" w:fill="EDEDED"/>
    </w:tcPr>
    <w:tblStylePr w:type="firstRow">
      <w:rPr>
        <w:b/>
        <w:bCs/>
        <w:color w:val="0072BC"/>
      </w:rPr>
      <w:tblPr/>
      <w:tcPr>
        <w:tcBorders>
          <w:bottom w:val="single" w:sz="12" w:space="0" w:color="0072BC"/>
        </w:tcBorders>
        <w:shd w:val="clear" w:color="auto" w:fill="4C4C4C"/>
      </w:tcPr>
    </w:tblStylePr>
    <w:tblStylePr w:type="lastRow">
      <w:rPr>
        <w:b/>
        <w:bCs/>
        <w:color w:val="4C4C4C"/>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Kolorowecieniowanie">
    <w:name w:val="Colorful Shading"/>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Kolorowecieniowanieakcent1">
    <w:name w:val="Colorful Shading Accent 1"/>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4470"/>
      </w:tcPr>
    </w:tblStylePr>
    <w:tblStylePr w:type="firstCol">
      <w:rPr>
        <w:color w:val="0072BC"/>
      </w:rPr>
      <w:tblPr/>
      <w:tcPr>
        <w:tcBorders>
          <w:top w:val="nil"/>
          <w:left w:val="nil"/>
          <w:bottom w:val="nil"/>
          <w:right w:val="nil"/>
          <w:insideH w:val="single" w:sz="4" w:space="0" w:color="004470"/>
          <w:insideV w:val="nil"/>
        </w:tcBorders>
        <w:shd w:val="clear" w:color="auto" w:fill="004470"/>
      </w:tcPr>
    </w:tblStylePr>
    <w:tblStylePr w:type="lastCol">
      <w:rPr>
        <w:color w:val="0072BC"/>
      </w:rPr>
      <w:tblPr/>
      <w:tcPr>
        <w:tcBorders>
          <w:top w:val="nil"/>
          <w:left w:val="nil"/>
          <w:bottom w:val="nil"/>
          <w:right w:val="nil"/>
          <w:insideH w:val="nil"/>
          <w:insideV w:val="nil"/>
        </w:tcBorders>
        <w:shd w:val="clear" w:color="auto" w:fill="004470"/>
      </w:tcPr>
    </w:tblStylePr>
    <w:tblStylePr w:type="band1Vert">
      <w:tblPr/>
      <w:tcPr>
        <w:shd w:val="clear" w:color="auto" w:fill="7ECBFF"/>
      </w:tcPr>
    </w:tblStylePr>
    <w:tblStylePr w:type="band1Horz">
      <w:tblPr/>
      <w:tcPr>
        <w:shd w:val="clear" w:color="auto" w:fill="5EBFFF"/>
      </w:tcPr>
    </w:tblStylePr>
    <w:tblStylePr w:type="neCell">
      <w:rPr>
        <w:color w:val="000000"/>
      </w:rPr>
    </w:tblStylePr>
    <w:tblStylePr w:type="nwCell">
      <w:rPr>
        <w:color w:val="000000"/>
      </w:rPr>
    </w:tblStylePr>
  </w:style>
  <w:style w:type="table" w:styleId="Kolorowecieniowanieakcent2">
    <w:name w:val="Colorful Shading Accent 2"/>
    <w:basedOn w:val="Standardowy"/>
    <w:uiPriority w:val="99"/>
    <w:semiHidden/>
    <w:rsid w:val="00014566"/>
    <w:rPr>
      <w:color w:val="000000"/>
      <w:lang w:val="fr-FR" w:eastAsia="fr-FR"/>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730000"/>
      </w:tcPr>
    </w:tblStylePr>
    <w:tblStylePr w:type="firstCol">
      <w:rPr>
        <w:color w:val="0072BC"/>
      </w:rPr>
      <w:tblPr/>
      <w:tcPr>
        <w:tcBorders>
          <w:top w:val="nil"/>
          <w:left w:val="nil"/>
          <w:bottom w:val="nil"/>
          <w:right w:val="nil"/>
          <w:insideH w:val="single" w:sz="4" w:space="0" w:color="730000"/>
          <w:insideV w:val="nil"/>
        </w:tcBorders>
        <w:shd w:val="clear" w:color="auto" w:fill="730000"/>
      </w:tcPr>
    </w:tblStylePr>
    <w:tblStylePr w:type="lastCol">
      <w:rPr>
        <w:color w:val="0072BC"/>
      </w:rPr>
      <w:tblPr/>
      <w:tcPr>
        <w:tcBorders>
          <w:top w:val="nil"/>
          <w:left w:val="nil"/>
          <w:bottom w:val="nil"/>
          <w:right w:val="nil"/>
          <w:insideH w:val="nil"/>
          <w:insideV w:val="nil"/>
        </w:tcBorders>
        <w:shd w:val="clear" w:color="auto" w:fill="730000"/>
      </w:tcPr>
    </w:tblStylePr>
    <w:tblStylePr w:type="band1Vert">
      <w:tblPr/>
      <w:tcPr>
        <w:shd w:val="clear" w:color="auto" w:fill="FF7F7F"/>
      </w:tcPr>
    </w:tblStylePr>
    <w:tblStylePr w:type="band1Horz">
      <w:tblPr/>
      <w:tcPr>
        <w:shd w:val="clear" w:color="auto" w:fill="FF6060"/>
      </w:tcPr>
    </w:tblStylePr>
    <w:tblStylePr w:type="neCell">
      <w:rPr>
        <w:color w:val="000000"/>
      </w:rPr>
    </w:tblStylePr>
    <w:tblStylePr w:type="nwCell">
      <w:rPr>
        <w:color w:val="000000"/>
      </w:rPr>
    </w:tblStylePr>
  </w:style>
  <w:style w:type="table" w:styleId="Kolorowecieniowanieakcent3">
    <w:name w:val="Colorful Shading Accent 3"/>
    <w:basedOn w:val="Standardowy"/>
    <w:uiPriority w:val="99"/>
    <w:semiHidden/>
    <w:rsid w:val="00014566"/>
    <w:rPr>
      <w:color w:val="000000"/>
      <w:lang w:val="fr-FR" w:eastAsia="fr-FR"/>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969696"/>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style>
  <w:style w:type="table" w:styleId="Kolorowecieniowanieakcent4">
    <w:name w:val="Colorful Shading Accent 4"/>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5A5A5A"/>
      </w:tcPr>
    </w:tblStylePr>
    <w:tblStylePr w:type="firstCol">
      <w:rPr>
        <w:color w:val="0072BC"/>
      </w:rPr>
      <w:tblPr/>
      <w:tcPr>
        <w:tcBorders>
          <w:top w:val="nil"/>
          <w:left w:val="nil"/>
          <w:bottom w:val="nil"/>
          <w:right w:val="nil"/>
          <w:insideH w:val="single" w:sz="4" w:space="0" w:color="5A5A5A"/>
          <w:insideV w:val="nil"/>
        </w:tcBorders>
        <w:shd w:val="clear" w:color="auto" w:fill="5A5A5A"/>
      </w:tcPr>
    </w:tblStylePr>
    <w:tblStylePr w:type="lastCol">
      <w:rPr>
        <w:color w:val="0072BC"/>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tblStylePr w:type="neCell">
      <w:rPr>
        <w:color w:val="000000"/>
      </w:rPr>
    </w:tblStylePr>
    <w:tblStylePr w:type="nwCell">
      <w:rPr>
        <w:color w:val="000000"/>
      </w:rPr>
    </w:tblStylePr>
  </w:style>
  <w:style w:type="table" w:styleId="Kolorowecieniowanieakcent5">
    <w:name w:val="Colorful Shading Accent 5"/>
    <w:basedOn w:val="Standardowy"/>
    <w:uiPriority w:val="99"/>
    <w:semiHidden/>
    <w:rsid w:val="00014566"/>
    <w:rPr>
      <w:color w:val="000000"/>
      <w:lang w:val="fr-FR" w:eastAsia="fr-FR"/>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393939"/>
      </w:tcPr>
    </w:tblStylePr>
    <w:tblStylePr w:type="firstCol">
      <w:rPr>
        <w:color w:val="0072BC"/>
      </w:rPr>
      <w:tblPr/>
      <w:tcPr>
        <w:tcBorders>
          <w:top w:val="nil"/>
          <w:left w:val="nil"/>
          <w:bottom w:val="nil"/>
          <w:right w:val="nil"/>
          <w:insideH w:val="single" w:sz="4" w:space="0" w:color="393939"/>
          <w:insideV w:val="nil"/>
        </w:tcBorders>
        <w:shd w:val="clear" w:color="auto" w:fill="393939"/>
      </w:tcPr>
    </w:tblStylePr>
    <w:tblStylePr w:type="lastCol">
      <w:rPr>
        <w:color w:val="0072BC"/>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Kolorowecieniowanieakcent6">
    <w:name w:val="Colorful Shading Accent 6"/>
    <w:basedOn w:val="Standardowy"/>
    <w:uiPriority w:val="99"/>
    <w:semiHidden/>
    <w:rsid w:val="00014566"/>
    <w:rPr>
      <w:color w:val="000000"/>
      <w:lang w:val="fr-FR" w:eastAsia="fr-FR"/>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2E2E2E"/>
      </w:tcPr>
    </w:tblStylePr>
    <w:tblStylePr w:type="firstCol">
      <w:rPr>
        <w:color w:val="0072BC"/>
      </w:rPr>
      <w:tblPr/>
      <w:tcPr>
        <w:tcBorders>
          <w:top w:val="nil"/>
          <w:left w:val="nil"/>
          <w:bottom w:val="nil"/>
          <w:right w:val="nil"/>
          <w:insideH w:val="single" w:sz="4" w:space="0" w:color="2E2E2E"/>
          <w:insideV w:val="nil"/>
        </w:tcBorders>
        <w:shd w:val="clear" w:color="auto" w:fill="2E2E2E"/>
      </w:tcPr>
    </w:tblStylePr>
    <w:tblStylePr w:type="lastCol">
      <w:rPr>
        <w:color w:val="0072BC"/>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table" w:styleId="Ciemnalista">
    <w:name w:val="Dark List"/>
    <w:basedOn w:val="Standardowy"/>
    <w:uiPriority w:val="99"/>
    <w:semiHidden/>
    <w:rsid w:val="00014566"/>
    <w:rPr>
      <w:color w:val="0072BC"/>
      <w:lang w:val="fr-FR" w:eastAsia="fr-FR"/>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Ciemnalista2akcent1">
    <w:name w:val="Dark List Accent 1"/>
    <w:basedOn w:val="Standardowy"/>
    <w:uiPriority w:val="99"/>
    <w:semiHidden/>
    <w:rsid w:val="00014566"/>
    <w:rPr>
      <w:color w:val="0072BC"/>
      <w:lang w:val="fr-FR" w:eastAsia="fr-FR"/>
    </w:rPr>
    <w:tblPr>
      <w:tblStyleRowBandSize w:val="1"/>
      <w:tblStyleColBandSize w:val="1"/>
    </w:tblPr>
    <w:tcPr>
      <w:shd w:val="clear" w:color="auto" w:fill="0072BC"/>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385D"/>
      </w:tcPr>
    </w:tblStylePr>
    <w:tblStylePr w:type="firstCol">
      <w:tblPr/>
      <w:tcPr>
        <w:tcBorders>
          <w:top w:val="nil"/>
          <w:left w:val="nil"/>
          <w:bottom w:val="nil"/>
          <w:right w:val="single" w:sz="18" w:space="0" w:color="0072BC"/>
          <w:insideH w:val="nil"/>
          <w:insideV w:val="nil"/>
        </w:tcBorders>
        <w:shd w:val="clear" w:color="auto" w:fill="00548C"/>
      </w:tcPr>
    </w:tblStylePr>
    <w:tblStylePr w:type="lastCol">
      <w:tblPr/>
      <w:tcPr>
        <w:tcBorders>
          <w:top w:val="nil"/>
          <w:left w:val="single" w:sz="18" w:space="0" w:color="0072BC"/>
          <w:bottom w:val="nil"/>
          <w:right w:val="nil"/>
          <w:insideH w:val="nil"/>
          <w:insideV w:val="nil"/>
        </w:tcBorders>
        <w:shd w:val="clear" w:color="auto" w:fill="00548C"/>
      </w:tcPr>
    </w:tblStylePr>
    <w:tblStylePr w:type="band1Vert">
      <w:tblPr/>
      <w:tcPr>
        <w:tcBorders>
          <w:top w:val="nil"/>
          <w:left w:val="nil"/>
          <w:bottom w:val="nil"/>
          <w:right w:val="nil"/>
          <w:insideH w:val="nil"/>
          <w:insideV w:val="nil"/>
        </w:tcBorders>
        <w:shd w:val="clear" w:color="auto" w:fill="00548C"/>
      </w:tcPr>
    </w:tblStylePr>
    <w:tblStylePr w:type="band1Horz">
      <w:tblPr/>
      <w:tcPr>
        <w:tcBorders>
          <w:top w:val="nil"/>
          <w:left w:val="nil"/>
          <w:bottom w:val="nil"/>
          <w:right w:val="nil"/>
          <w:insideH w:val="nil"/>
          <w:insideV w:val="nil"/>
        </w:tcBorders>
        <w:shd w:val="clear" w:color="auto" w:fill="00548C"/>
      </w:tcPr>
    </w:tblStylePr>
  </w:style>
  <w:style w:type="table" w:styleId="Ciemnalistaakcent2">
    <w:name w:val="Dark List Accent 2"/>
    <w:basedOn w:val="Standardowy"/>
    <w:uiPriority w:val="99"/>
    <w:semiHidden/>
    <w:rsid w:val="00014566"/>
    <w:rPr>
      <w:color w:val="0072BC"/>
      <w:lang w:val="fr-FR" w:eastAsia="fr-FR"/>
    </w:rPr>
    <w:tblPr>
      <w:tblStyleRowBandSize w:val="1"/>
      <w:tblStyleColBandSize w:val="1"/>
    </w:tblPr>
    <w:tcPr>
      <w:shd w:val="clear" w:color="auto" w:fill="C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5F0000"/>
      </w:tcPr>
    </w:tblStylePr>
    <w:tblStylePr w:type="firstCol">
      <w:tblPr/>
      <w:tcPr>
        <w:tcBorders>
          <w:top w:val="nil"/>
          <w:left w:val="nil"/>
          <w:bottom w:val="nil"/>
          <w:right w:val="single" w:sz="18" w:space="0" w:color="0072BC"/>
          <w:insideH w:val="nil"/>
          <w:insideV w:val="nil"/>
        </w:tcBorders>
        <w:shd w:val="clear" w:color="auto" w:fill="8F0000"/>
      </w:tcPr>
    </w:tblStylePr>
    <w:tblStylePr w:type="lastCol">
      <w:tblPr/>
      <w:tcPr>
        <w:tcBorders>
          <w:top w:val="nil"/>
          <w:left w:val="single" w:sz="18" w:space="0" w:color="0072BC"/>
          <w:bottom w:val="nil"/>
          <w:right w:val="nil"/>
          <w:insideH w:val="nil"/>
          <w:insideV w:val="nil"/>
        </w:tcBorders>
        <w:shd w:val="clear" w:color="auto" w:fill="8F0000"/>
      </w:tcPr>
    </w:tblStylePr>
    <w:tblStylePr w:type="band1Vert">
      <w:tblPr/>
      <w:tcPr>
        <w:tcBorders>
          <w:top w:val="nil"/>
          <w:left w:val="nil"/>
          <w:bottom w:val="nil"/>
          <w:right w:val="nil"/>
          <w:insideH w:val="nil"/>
          <w:insideV w:val="nil"/>
        </w:tcBorders>
        <w:shd w:val="clear" w:color="auto" w:fill="8F0000"/>
      </w:tcPr>
    </w:tblStylePr>
    <w:tblStylePr w:type="band1Horz">
      <w:tblPr/>
      <w:tcPr>
        <w:tcBorders>
          <w:top w:val="nil"/>
          <w:left w:val="nil"/>
          <w:bottom w:val="nil"/>
          <w:right w:val="nil"/>
          <w:insideH w:val="nil"/>
          <w:insideV w:val="nil"/>
        </w:tcBorders>
        <w:shd w:val="clear" w:color="auto" w:fill="8F0000"/>
      </w:tcPr>
    </w:tblStylePr>
  </w:style>
  <w:style w:type="table" w:styleId="Ciemnalistaakcent3">
    <w:name w:val="Dark List Accent 3"/>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4">
    <w:name w:val="Dark List Accent 4"/>
    <w:basedOn w:val="Standardowy"/>
    <w:uiPriority w:val="99"/>
    <w:semiHidden/>
    <w:rsid w:val="00014566"/>
    <w:rPr>
      <w:color w:val="0072BC"/>
      <w:lang w:val="fr-FR" w:eastAsia="fr-FR"/>
    </w:rPr>
    <w:tblPr>
      <w:tblStyleRowBandSize w:val="1"/>
      <w:tblStyleColBandSize w:val="1"/>
    </w:tblPr>
    <w:tcPr>
      <w:shd w:val="clear" w:color="auto" w:fill="969696"/>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4A4A4A"/>
      </w:tcPr>
    </w:tblStylePr>
    <w:tblStylePr w:type="firstCol">
      <w:tblPr/>
      <w:tcPr>
        <w:tcBorders>
          <w:top w:val="nil"/>
          <w:left w:val="nil"/>
          <w:bottom w:val="nil"/>
          <w:right w:val="single" w:sz="18" w:space="0" w:color="0072BC"/>
          <w:insideH w:val="nil"/>
          <w:insideV w:val="nil"/>
        </w:tcBorders>
        <w:shd w:val="clear" w:color="auto" w:fill="707070"/>
      </w:tcPr>
    </w:tblStylePr>
    <w:tblStylePr w:type="lastCol">
      <w:tblPr/>
      <w:tcPr>
        <w:tcBorders>
          <w:top w:val="nil"/>
          <w:left w:val="single" w:sz="18" w:space="0" w:color="0072BC"/>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Ciemnalistaakcent5">
    <w:name w:val="Dark List Accent 5"/>
    <w:basedOn w:val="Standardowy"/>
    <w:uiPriority w:val="99"/>
    <w:semiHidden/>
    <w:rsid w:val="00014566"/>
    <w:rPr>
      <w:color w:val="0072BC"/>
      <w:lang w:val="fr-FR" w:eastAsia="fr-FR"/>
    </w:rPr>
    <w:tblPr>
      <w:tblStyleRowBandSize w:val="1"/>
      <w:tblStyleColBandSize w:val="1"/>
    </w:tblPr>
    <w:tcPr>
      <w:shd w:val="clear" w:color="auto" w:fill="5F5F5F"/>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F2F2F"/>
      </w:tcPr>
    </w:tblStylePr>
    <w:tblStylePr w:type="firstCol">
      <w:tblPr/>
      <w:tcPr>
        <w:tcBorders>
          <w:top w:val="nil"/>
          <w:left w:val="nil"/>
          <w:bottom w:val="nil"/>
          <w:right w:val="single" w:sz="18" w:space="0" w:color="0072BC"/>
          <w:insideH w:val="nil"/>
          <w:insideV w:val="nil"/>
        </w:tcBorders>
        <w:shd w:val="clear" w:color="auto" w:fill="474747"/>
      </w:tcPr>
    </w:tblStylePr>
    <w:tblStylePr w:type="lastCol">
      <w:tblPr/>
      <w:tcPr>
        <w:tcBorders>
          <w:top w:val="nil"/>
          <w:left w:val="single" w:sz="18" w:space="0" w:color="0072BC"/>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Ciemnalistaakcent6">
    <w:name w:val="Dark List Accent 6"/>
    <w:basedOn w:val="Standardowy"/>
    <w:uiPriority w:val="99"/>
    <w:semiHidden/>
    <w:rsid w:val="00014566"/>
    <w:rPr>
      <w:color w:val="0072BC"/>
      <w:lang w:val="fr-FR" w:eastAsia="fr-FR"/>
    </w:rPr>
    <w:tblPr>
      <w:tblStyleRowBandSize w:val="1"/>
      <w:tblStyleColBandSize w:val="1"/>
    </w:tblPr>
    <w:tcPr>
      <w:shd w:val="clear" w:color="auto" w:fill="4D4D4D"/>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262626"/>
      </w:tcPr>
    </w:tblStylePr>
    <w:tblStylePr w:type="firstCol">
      <w:tblPr/>
      <w:tcPr>
        <w:tcBorders>
          <w:top w:val="nil"/>
          <w:left w:val="nil"/>
          <w:bottom w:val="nil"/>
          <w:right w:val="single" w:sz="18" w:space="0" w:color="0072BC"/>
          <w:insideH w:val="nil"/>
          <w:insideV w:val="nil"/>
        </w:tcBorders>
        <w:shd w:val="clear" w:color="auto" w:fill="393939"/>
      </w:tcPr>
    </w:tblStylePr>
    <w:tblStylePr w:type="lastCol">
      <w:tblPr/>
      <w:tcPr>
        <w:tcBorders>
          <w:top w:val="nil"/>
          <w:left w:val="single" w:sz="18" w:space="0" w:color="0072BC"/>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a">
    <w:name w:val="Date"/>
    <w:basedOn w:val="Normalny"/>
    <w:next w:val="Normalny"/>
    <w:link w:val="DataZnak"/>
    <w:uiPriority w:val="99"/>
    <w:semiHidden/>
    <w:rsid w:val="00014566"/>
    <w:rPr>
      <w:szCs w:val="20"/>
    </w:rPr>
  </w:style>
  <w:style w:type="character" w:customStyle="1" w:styleId="DataZnak">
    <w:name w:val="Data Znak"/>
    <w:link w:val="Data"/>
    <w:uiPriority w:val="99"/>
    <w:semiHidden/>
    <w:rsid w:val="00014566"/>
    <w:rPr>
      <w:rFonts w:eastAsia="MS Mincho"/>
      <w:sz w:val="24"/>
      <w:lang w:val="pl-PL" w:eastAsia="pl-PL"/>
    </w:rPr>
  </w:style>
  <w:style w:type="paragraph" w:styleId="Podpise-mail">
    <w:name w:val="E-mail Signature"/>
    <w:basedOn w:val="Normalny"/>
    <w:link w:val="Podpise-mailZnak"/>
    <w:uiPriority w:val="99"/>
    <w:semiHidden/>
    <w:rsid w:val="00014566"/>
    <w:rPr>
      <w:szCs w:val="20"/>
    </w:rPr>
  </w:style>
  <w:style w:type="character" w:customStyle="1" w:styleId="Podpise-mailZnak">
    <w:name w:val="Podpis e-mail Znak"/>
    <w:link w:val="Podpise-mail"/>
    <w:uiPriority w:val="99"/>
    <w:semiHidden/>
    <w:rsid w:val="00014566"/>
    <w:rPr>
      <w:rFonts w:eastAsia="MS Mincho"/>
      <w:sz w:val="24"/>
      <w:lang w:val="pl-PL" w:eastAsia="pl-PL"/>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eastAsia="MS Gothic"/>
      <w:szCs w:val="24"/>
    </w:rPr>
  </w:style>
  <w:style w:type="paragraph" w:styleId="Adreszwrotnynakopercie">
    <w:name w:val="envelope return"/>
    <w:basedOn w:val="Normalny"/>
    <w:uiPriority w:val="99"/>
    <w:semiHidden/>
    <w:rsid w:val="00014566"/>
    <w:rPr>
      <w:rFonts w:eastAsia="MS Gothic"/>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szCs w:val="20"/>
    </w:rPr>
  </w:style>
  <w:style w:type="character" w:customStyle="1" w:styleId="HTML-adresZnak">
    <w:name w:val="HTML - adres Znak"/>
    <w:link w:val="HTML-adres"/>
    <w:uiPriority w:val="99"/>
    <w:semiHidden/>
    <w:rsid w:val="00014566"/>
    <w:rPr>
      <w:rFonts w:eastAsia="MS Mincho"/>
      <w:i/>
      <w:iCs/>
      <w:sz w:val="24"/>
      <w:lang w:val="pl-PL" w:eastAsia="pl-PL"/>
    </w:rPr>
  </w:style>
  <w:style w:type="character" w:styleId="HTML-cytat">
    <w:name w:val="HTML Cite"/>
    <w:uiPriority w:val="99"/>
    <w:semiHidden/>
    <w:rsid w:val="00014566"/>
    <w:rPr>
      <w:i/>
      <w:iCs/>
      <w:lang w:val="pl-PL" w:eastAsia="pl-PL"/>
    </w:rPr>
  </w:style>
  <w:style w:type="character" w:styleId="HTML-kod">
    <w:name w:val="HTML Code"/>
    <w:uiPriority w:val="99"/>
    <w:semiHidden/>
    <w:rsid w:val="00014566"/>
    <w:rPr>
      <w:rFonts w:ascii="Consolas" w:hAnsi="Consolas" w:cs="Consolas"/>
      <w:sz w:val="20"/>
      <w:szCs w:val="20"/>
      <w:lang w:val="pl-PL" w:eastAsia="pl-PL"/>
    </w:rPr>
  </w:style>
  <w:style w:type="character" w:styleId="HTML-definicja">
    <w:name w:val="HTML Definition"/>
    <w:uiPriority w:val="99"/>
    <w:semiHidden/>
    <w:rsid w:val="00014566"/>
    <w:rPr>
      <w:i/>
      <w:iCs/>
      <w:lang w:val="pl-PL" w:eastAsia="pl-PL"/>
    </w:rPr>
  </w:style>
  <w:style w:type="character" w:styleId="HTML-klawiatura">
    <w:name w:val="HTML Keyboard"/>
    <w:uiPriority w:val="99"/>
    <w:semiHidden/>
    <w:rsid w:val="00014566"/>
    <w:rPr>
      <w:rFonts w:ascii="Consolas" w:hAnsi="Consolas" w:cs="Consolas"/>
      <w:sz w:val="20"/>
      <w:szCs w:val="20"/>
      <w:lang w:val="pl-PL" w:eastAsia="pl-PL"/>
    </w:rPr>
  </w:style>
  <w:style w:type="paragraph" w:styleId="HTML-wstpniesformatowany">
    <w:name w:val="HTML Preformatted"/>
    <w:basedOn w:val="Normalny"/>
    <w:link w:val="HTML-wstpniesformatowanyZnak"/>
    <w:uiPriority w:val="99"/>
    <w:semiHidden/>
    <w:rsid w:val="00014566"/>
    <w:rPr>
      <w:rFonts w:ascii="Consolas" w:hAnsi="Consolas"/>
      <w:sz w:val="20"/>
      <w:szCs w:val="20"/>
    </w:rPr>
  </w:style>
  <w:style w:type="character" w:customStyle="1" w:styleId="HTML-wstpniesformatowanyZnak">
    <w:name w:val="HTML - wstępnie sformatowany Znak"/>
    <w:link w:val="HTML-wstpniesformatowany"/>
    <w:uiPriority w:val="99"/>
    <w:semiHidden/>
    <w:rsid w:val="00014566"/>
    <w:rPr>
      <w:rFonts w:ascii="Consolas" w:eastAsia="MS Mincho" w:hAnsi="Consolas" w:cs="Consolas"/>
      <w:sz w:val="20"/>
      <w:szCs w:val="20"/>
      <w:lang w:val="pl-PL" w:eastAsia="pl-PL"/>
    </w:rPr>
  </w:style>
  <w:style w:type="character" w:styleId="HTML-przykad">
    <w:name w:val="HTML Sample"/>
    <w:uiPriority w:val="99"/>
    <w:semiHidden/>
    <w:rsid w:val="00014566"/>
    <w:rPr>
      <w:rFonts w:ascii="Consolas" w:hAnsi="Consolas" w:cs="Consolas"/>
      <w:sz w:val="24"/>
      <w:szCs w:val="24"/>
      <w:lang w:val="pl-PL" w:eastAsia="pl-PL"/>
    </w:rPr>
  </w:style>
  <w:style w:type="character" w:styleId="HTML-staaszeroko">
    <w:name w:val="HTML Typewriter"/>
    <w:uiPriority w:val="99"/>
    <w:semiHidden/>
    <w:rsid w:val="00014566"/>
    <w:rPr>
      <w:rFonts w:ascii="Consolas" w:hAnsi="Consolas" w:cs="Consolas"/>
      <w:sz w:val="20"/>
      <w:szCs w:val="20"/>
      <w:lang w:val="pl-PL" w:eastAsia="pl-PL"/>
    </w:rPr>
  </w:style>
  <w:style w:type="character" w:styleId="HTML-zmienna">
    <w:name w:val="HTML Variable"/>
    <w:uiPriority w:val="99"/>
    <w:semiHidden/>
    <w:rsid w:val="00014566"/>
    <w:rPr>
      <w:i/>
      <w:iCs/>
      <w:lang w:val="pl-PL" w:eastAsia="pl-PL"/>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eastAsia="MS Gothic"/>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line="240" w:lineRule="auto"/>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line="240" w:lineRule="auto"/>
      </w:pPr>
      <w:rPr>
        <w:b/>
        <w:bCs/>
        <w:color w:val="0072BC"/>
      </w:rPr>
      <w:tblPr/>
      <w:tcPr>
        <w:shd w:val="clear" w:color="auto" w:fill="C00000"/>
      </w:tcPr>
    </w:tblStylePr>
    <w:tblStylePr w:type="lastRow">
      <w:pPr>
        <w:spacing w:before="0" w:after="0" w:line="240" w:lineRule="auto"/>
      </w:pPr>
      <w:rPr>
        <w:b/>
        <w:bCs/>
      </w:rPr>
      <w:tblPr/>
      <w:tcPr>
        <w:tcBorders>
          <w:top w:val="double" w:sz="6" w:space="0" w:color="C00000"/>
          <w:left w:val="single" w:sz="8" w:space="0" w:color="C00000"/>
          <w:bottom w:val="single" w:sz="8" w:space="0" w:color="C00000"/>
          <w:right w:val="single" w:sz="8" w:space="0" w:color="C00000"/>
        </w:tcBorders>
      </w:tcPr>
    </w:tblStylePr>
    <w:tblStylePr w:type="firstCol">
      <w:rPr>
        <w:b/>
        <w:bCs/>
      </w:rPr>
    </w:tblStylePr>
    <w:tblStylePr w:type="lastCol">
      <w:rPr>
        <w:b/>
        <w:bCs/>
      </w:rPr>
    </w:tblStylePr>
    <w:tblStylePr w:type="band1Vert">
      <w:tblPr/>
      <w:tcPr>
        <w:tcBorders>
          <w:top w:val="single" w:sz="8" w:space="0" w:color="C00000"/>
          <w:left w:val="single" w:sz="8" w:space="0" w:color="C00000"/>
          <w:bottom w:val="single" w:sz="8" w:space="0" w:color="C00000"/>
          <w:right w:val="single" w:sz="8" w:space="0" w:color="C00000"/>
        </w:tcBorders>
      </w:tcPr>
    </w:tblStylePr>
    <w:tblStylePr w:type="band1Horz">
      <w:tblPr/>
      <w:tcPr>
        <w:tcBorders>
          <w:top w:val="single" w:sz="8" w:space="0" w:color="C00000"/>
          <w:left w:val="single" w:sz="8" w:space="0" w:color="C00000"/>
          <w:bottom w:val="single" w:sz="8" w:space="0" w:color="C00000"/>
          <w:right w:val="single" w:sz="8" w:space="0" w:color="C00000"/>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0072BC"/>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0072BC"/>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0072BC"/>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Jasnecieniowanie">
    <w:name w:val="Light Shading"/>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Jasnecieniowanieakcent1">
    <w:name w:val="Light Shading Accent 1"/>
    <w:basedOn w:val="Standardowy"/>
    <w:uiPriority w:val="99"/>
    <w:semiHidden/>
    <w:rsid w:val="00014566"/>
    <w:rPr>
      <w:color w:val="00548C"/>
      <w:lang w:val="fr-FR" w:eastAsia="fr-FR"/>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styleId="Jasnecieniowanieakcent2">
    <w:name w:val="Light Shading Accent 2"/>
    <w:basedOn w:val="Standardowy"/>
    <w:uiPriority w:val="99"/>
    <w:semiHidden/>
    <w:rsid w:val="00014566"/>
    <w:rPr>
      <w:color w:val="8F0000"/>
      <w:lang w:val="fr-FR" w:eastAsia="fr-FR"/>
    </w:rPr>
    <w:tblPr>
      <w:tblStyleRowBandSize w:val="1"/>
      <w:tblStyleColBandSize w:val="1"/>
      <w:tblBorders>
        <w:top w:val="single" w:sz="8" w:space="0" w:color="C00000"/>
        <w:bottom w:val="single" w:sz="8" w:space="0" w:color="C00000"/>
      </w:tblBorders>
    </w:tblPr>
    <w:tblStylePr w:type="fir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lastRow">
      <w:pPr>
        <w:spacing w:before="0" w:after="0" w:line="240" w:lineRule="auto"/>
      </w:pPr>
      <w:rPr>
        <w:b/>
        <w:bCs/>
      </w:rPr>
      <w:tblPr/>
      <w:tcPr>
        <w:tcBorders>
          <w:top w:val="single" w:sz="8" w:space="0" w:color="C00000"/>
          <w:left w:val="nil"/>
          <w:bottom w:val="single" w:sz="8" w:space="0" w:color="C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cPr>
    </w:tblStylePr>
    <w:tblStylePr w:type="band1Horz">
      <w:tblPr/>
      <w:tcPr>
        <w:tcBorders>
          <w:left w:val="nil"/>
          <w:right w:val="nil"/>
          <w:insideH w:val="nil"/>
          <w:insideV w:val="nil"/>
        </w:tcBorders>
        <w:shd w:val="clear" w:color="auto" w:fill="FFB0B0"/>
      </w:tcPr>
    </w:tblStylePr>
  </w:style>
  <w:style w:type="table" w:styleId="Jasnecieniowanieakcent3">
    <w:name w:val="Light Shading Accent 3"/>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4">
    <w:name w:val="Light Shading Accent 4"/>
    <w:basedOn w:val="Standardowy"/>
    <w:uiPriority w:val="99"/>
    <w:semiHidden/>
    <w:rsid w:val="00014566"/>
    <w:rPr>
      <w:color w:val="707070"/>
      <w:lang w:val="fr-FR" w:eastAsia="fr-FR"/>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Jasnecieniowanieakcent5">
    <w:name w:val="Light Shading Accent 5"/>
    <w:basedOn w:val="Standardowy"/>
    <w:uiPriority w:val="99"/>
    <w:semiHidden/>
    <w:rsid w:val="00014566"/>
    <w:rPr>
      <w:color w:val="474747"/>
      <w:lang w:val="fr-FR" w:eastAsia="fr-FR"/>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Jasnecieniowanieakcent6">
    <w:name w:val="Light Shading Accent 6"/>
    <w:basedOn w:val="Standardowy"/>
    <w:uiPriority w:val="99"/>
    <w:semiHidden/>
    <w:rsid w:val="00014566"/>
    <w:rPr>
      <w:color w:val="393939"/>
      <w:lang w:val="fr-FR" w:eastAsia="fr-FR"/>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rPr>
  </w:style>
  <w:style w:type="character" w:customStyle="1" w:styleId="TekstmakraZnak">
    <w:name w:val="Tekst makra Znak"/>
    <w:link w:val="Tekstmakra"/>
    <w:uiPriority w:val="99"/>
    <w:semiHidden/>
    <w:rsid w:val="00014566"/>
    <w:rPr>
      <w:rFonts w:ascii="Consolas" w:hAnsi="Consolas" w:cs="Consolas"/>
      <w:lang w:val="pl-PL" w:eastAsia="pl-PL" w:bidi="ar-SA"/>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b/>
        <w:bCs/>
      </w:rPr>
    </w:tblStylePr>
    <w:tblStylePr w:type="lastRow">
      <w:rPr>
        <w:b/>
        <w:bCs/>
      </w:rPr>
      <w:tblPr/>
      <w:tcPr>
        <w:tcBorders>
          <w:top w:val="single" w:sz="18" w:space="0" w:color="0D9FFF"/>
        </w:tcBorders>
      </w:tcPr>
    </w:tblStylePr>
    <w:tblStylePr w:type="firstCol">
      <w:rPr>
        <w:b/>
        <w:bCs/>
      </w:rPr>
    </w:tblStylePr>
    <w:tblStylePr w:type="lastCol">
      <w:rPr>
        <w:b/>
        <w:bCs/>
      </w:rPr>
    </w:tblStylePr>
    <w:tblStylePr w:type="band1Vert">
      <w:tblPr/>
      <w:tcPr>
        <w:shd w:val="clear" w:color="auto" w:fill="5EBFFF"/>
      </w:tcPr>
    </w:tblStylePr>
    <w:tblStylePr w:type="band1Horz">
      <w:tblPr/>
      <w:tcPr>
        <w:shd w:val="clear" w:color="auto" w:fill="5EBFF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b/>
        <w:bCs/>
      </w:rPr>
    </w:tblStylePr>
    <w:tblStylePr w:type="lastRow">
      <w:rPr>
        <w:b/>
        <w:bCs/>
      </w:rPr>
      <w:tblPr/>
      <w:tcPr>
        <w:tcBorders>
          <w:top w:val="single" w:sz="18" w:space="0" w:color="FF1010"/>
        </w:tcBorders>
      </w:tcPr>
    </w:tblStylePr>
    <w:tblStylePr w:type="firstCol">
      <w:rPr>
        <w:b/>
        <w:bCs/>
      </w:rPr>
    </w:tblStylePr>
    <w:tblStylePr w:type="lastCol">
      <w:rPr>
        <w:b/>
        <w:bCs/>
      </w:rPr>
    </w:tblStylePr>
    <w:tblStylePr w:type="band1Vert">
      <w:tblPr/>
      <w:tcPr>
        <w:shd w:val="clear" w:color="auto" w:fill="FF6060"/>
      </w:tcPr>
    </w:tblStylePr>
    <w:tblStylePr w:type="band1Horz">
      <w:tblPr/>
      <w:tcPr>
        <w:shd w:val="clear" w:color="auto" w:fill="FF6060"/>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redniasiatka2">
    <w:name w:val="Medium Grid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styleId="redniasiatka2akcent1">
    <w:name w:val="Medium Grid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b/>
        <w:bCs/>
        <w:color w:val="000000"/>
      </w:rPr>
      <w:tblPr/>
      <w:tcPr>
        <w:shd w:val="clear" w:color="auto" w:fill="DFF2F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BEE5FF"/>
      </w:tcPr>
    </w:tblStylePr>
    <w:tblStylePr w:type="band1Vert">
      <w:tblPr/>
      <w:tcPr>
        <w:shd w:val="clear" w:color="auto" w:fill="5EBFFF"/>
      </w:tcPr>
    </w:tblStylePr>
    <w:tblStylePr w:type="band1Horz">
      <w:tblPr/>
      <w:tcPr>
        <w:tcBorders>
          <w:insideH w:val="single" w:sz="6" w:space="0" w:color="0072BC"/>
          <w:insideV w:val="single" w:sz="6" w:space="0" w:color="0072BC"/>
        </w:tcBorders>
        <w:shd w:val="clear" w:color="auto" w:fill="5EBFFF"/>
      </w:tcPr>
    </w:tblStylePr>
    <w:tblStylePr w:type="nwCell">
      <w:tblPr/>
      <w:tcPr>
        <w:shd w:val="clear" w:color="auto" w:fill="0072BC"/>
      </w:tcPr>
    </w:tblStylePr>
  </w:style>
  <w:style w:type="table" w:styleId="redniasiatka2akcent2">
    <w:name w:val="Medium Grid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b/>
        <w:bCs/>
        <w:color w:val="000000"/>
      </w:rPr>
      <w:tblPr/>
      <w:tcPr>
        <w:shd w:val="clear" w:color="auto" w:fill="FFDFD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FFBFBF"/>
      </w:tcPr>
    </w:tblStylePr>
    <w:tblStylePr w:type="band1Vert">
      <w:tblPr/>
      <w:tcPr>
        <w:shd w:val="clear" w:color="auto" w:fill="FF6060"/>
      </w:tcPr>
    </w:tblStylePr>
    <w:tblStylePr w:type="band1Horz">
      <w:tblPr/>
      <w:tcPr>
        <w:tcBorders>
          <w:insideH w:val="single" w:sz="6" w:space="0" w:color="C00000"/>
          <w:insideV w:val="single" w:sz="6" w:space="0" w:color="C00000"/>
        </w:tcBorders>
        <w:shd w:val="clear" w:color="auto" w:fill="FF6060"/>
      </w:tcPr>
    </w:tblStylePr>
    <w:tblStylePr w:type="nwCell">
      <w:tblPr/>
      <w:tcPr>
        <w:shd w:val="clear" w:color="auto" w:fill="0072BC"/>
      </w:tcPr>
    </w:tblStylePr>
  </w:style>
  <w:style w:type="table" w:styleId="redniasiatka2akcent3">
    <w:name w:val="Medium Grid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4">
    <w:name w:val="Medium Grid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0072BC"/>
      </w:tcPr>
    </w:tblStylePr>
  </w:style>
  <w:style w:type="table" w:styleId="redniasiatka2akcent5">
    <w:name w:val="Medium Grid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0072BC"/>
      </w:tcPr>
    </w:tblStylePr>
  </w:style>
  <w:style w:type="table" w:styleId="redniasiatka2akcent6">
    <w:name w:val="Medium Grid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0072BC"/>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rednialista1">
    <w:name w:val="Medium List 1"/>
    <w:basedOn w:val="Standardowy"/>
    <w:uiPriority w:val="99"/>
    <w:semiHidden/>
    <w:rsid w:val="00014566"/>
    <w:rPr>
      <w:color w:val="000000"/>
      <w:lang w:val="fr-FR" w:eastAsia="fr-FR"/>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rednialista1akcent1">
    <w:name w:val="Medium List 1 Accent 1"/>
    <w:basedOn w:val="Standardowy"/>
    <w:uiPriority w:val="99"/>
    <w:semiHidden/>
    <w:rsid w:val="00014566"/>
    <w:rPr>
      <w:color w:val="000000"/>
      <w:lang w:val="fr-FR" w:eastAsia="fr-FR"/>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styleId="rednialista1akcent2">
    <w:name w:val="Medium List 1 Accent 2"/>
    <w:basedOn w:val="Standardowy"/>
    <w:uiPriority w:val="99"/>
    <w:semiHidden/>
    <w:rsid w:val="00014566"/>
    <w:rPr>
      <w:color w:val="000000"/>
      <w:lang w:val="fr-FR" w:eastAsia="fr-FR"/>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b/>
        <w:bCs/>
        <w:color w:val="C6C6C6"/>
      </w:rPr>
      <w:tblPr/>
      <w:tcPr>
        <w:tcBorders>
          <w:top w:val="single" w:sz="8" w:space="0" w:color="C00000"/>
          <w:bottom w:val="single" w:sz="8" w:space="0" w:color="C00000"/>
        </w:tcBorders>
      </w:tcPr>
    </w:tblStylePr>
    <w:tblStylePr w:type="firstCol">
      <w:rPr>
        <w:b/>
        <w:bCs/>
      </w:rPr>
    </w:tblStylePr>
    <w:tblStylePr w:type="lastCol">
      <w:rPr>
        <w:b/>
        <w:bCs/>
      </w:rPr>
      <w:tblPr/>
      <w:tcPr>
        <w:tcBorders>
          <w:top w:val="single" w:sz="8" w:space="0" w:color="C00000"/>
          <w:bottom w:val="single" w:sz="8" w:space="0" w:color="C00000"/>
        </w:tcBorders>
      </w:tcPr>
    </w:tblStylePr>
    <w:tblStylePr w:type="band1Vert">
      <w:tblPr/>
      <w:tcPr>
        <w:shd w:val="clear" w:color="auto" w:fill="FFB0B0"/>
      </w:tcPr>
    </w:tblStylePr>
    <w:tblStylePr w:type="band1Horz">
      <w:tblPr/>
      <w:tcPr>
        <w:shd w:val="clear" w:color="auto" w:fill="FFB0B0"/>
      </w:tcPr>
    </w:tblStylePr>
  </w:style>
  <w:style w:type="table" w:styleId="rednialista1akcent3">
    <w:name w:val="Medium List 1 Accent 3"/>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4">
    <w:name w:val="Medium List 1 Accent 4"/>
    <w:basedOn w:val="Standardowy"/>
    <w:uiPriority w:val="99"/>
    <w:semiHidden/>
    <w:rsid w:val="00014566"/>
    <w:rPr>
      <w:color w:val="000000"/>
      <w:lang w:val="fr-FR" w:eastAsia="fr-FR"/>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b/>
        <w:bCs/>
        <w:color w:val="C6C6C6"/>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rednialista1akcent5">
    <w:name w:val="Medium List 1 Accent 5"/>
    <w:basedOn w:val="Standardowy"/>
    <w:uiPriority w:val="99"/>
    <w:semiHidden/>
    <w:rsid w:val="00014566"/>
    <w:rPr>
      <w:color w:val="000000"/>
      <w:lang w:val="fr-FR" w:eastAsia="fr-FR"/>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b/>
        <w:bCs/>
        <w:color w:val="C6C6C6"/>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rednialista1akcent6">
    <w:name w:val="Medium List 1 Accent 6"/>
    <w:basedOn w:val="Standardowy"/>
    <w:uiPriority w:val="99"/>
    <w:semiHidden/>
    <w:rsid w:val="00014566"/>
    <w:rPr>
      <w:color w:val="000000"/>
      <w:lang w:val="fr-FR" w:eastAsia="fr-FR"/>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b/>
        <w:bCs/>
        <w:color w:val="C6C6C6"/>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rednialista2">
    <w:name w:val="Medium List 2"/>
    <w:basedOn w:val="Standardowy"/>
    <w:uiPriority w:val="99"/>
    <w:semiHidden/>
    <w:rsid w:val="00014566"/>
    <w:rPr>
      <w:rFonts w:eastAsia="MS Gothic"/>
      <w:color w:val="000000"/>
      <w:lang w:val="fr-FR" w:eastAsia="fr-FR"/>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eastAsia="MS Gothic"/>
      <w:color w:val="000000"/>
      <w:lang w:val="fr-FR" w:eastAsia="fr-FR"/>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sz w:val="24"/>
        <w:szCs w:val="24"/>
      </w:rPr>
      <w:tblPr/>
      <w:tcPr>
        <w:tcBorders>
          <w:top w:val="nil"/>
          <w:left w:val="nil"/>
          <w:bottom w:val="single" w:sz="24" w:space="0" w:color="0072BC"/>
          <w:right w:val="nil"/>
          <w:insideH w:val="nil"/>
          <w:insideV w:val="nil"/>
        </w:tcBorders>
        <w:shd w:val="clear" w:color="auto" w:fill="0072BC"/>
      </w:tcPr>
    </w:tblStylePr>
    <w:tblStylePr w:type="lastRow">
      <w:tblPr/>
      <w:tcPr>
        <w:tcBorders>
          <w:top w:val="single" w:sz="8" w:space="0" w:color="0072BC"/>
          <w:left w:val="nil"/>
          <w:bottom w:val="nil"/>
          <w:right w:val="nil"/>
          <w:insideH w:val="nil"/>
          <w:insideV w:val="nil"/>
        </w:tcBorders>
        <w:shd w:val="clear" w:color="auto" w:fill="0072BC"/>
      </w:tcPr>
    </w:tblStylePr>
    <w:tblStylePr w:type="firstCol">
      <w:tblPr/>
      <w:tcPr>
        <w:tcBorders>
          <w:top w:val="nil"/>
          <w:left w:val="nil"/>
          <w:bottom w:val="nil"/>
          <w:right w:val="single" w:sz="8" w:space="0" w:color="0072BC"/>
          <w:insideH w:val="nil"/>
          <w:insideV w:val="nil"/>
        </w:tcBorders>
        <w:shd w:val="clear" w:color="auto" w:fill="0072BC"/>
      </w:tcPr>
    </w:tblStylePr>
    <w:tblStylePr w:type="lastCol">
      <w:tblPr/>
      <w:tcPr>
        <w:tcBorders>
          <w:top w:val="nil"/>
          <w:left w:val="single" w:sz="8" w:space="0" w:color="0072BC"/>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AFDFFF"/>
      </w:tcPr>
    </w:tblStylePr>
    <w:tblStylePr w:type="band1Horz">
      <w:tblPr/>
      <w:tcPr>
        <w:tcBorders>
          <w:top w:val="nil"/>
          <w:bottom w:val="nil"/>
          <w:insideH w:val="nil"/>
          <w:insideV w:val="nil"/>
        </w:tcBorders>
        <w:shd w:val="clear" w:color="auto" w:fill="AFDFFF"/>
      </w:tcPr>
    </w:tblStylePr>
    <w:tblStylePr w:type="nwCell">
      <w:tblPr/>
      <w:tcPr>
        <w:shd w:val="clear" w:color="auto" w:fill="0072BC"/>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eastAsia="MS Gothic"/>
      <w:color w:val="000000"/>
      <w:lang w:val="fr-FR" w:eastAsia="fr-FR"/>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sz w:val="24"/>
        <w:szCs w:val="24"/>
      </w:rPr>
      <w:tblPr/>
      <w:tcPr>
        <w:tcBorders>
          <w:top w:val="nil"/>
          <w:left w:val="nil"/>
          <w:bottom w:val="single" w:sz="24" w:space="0" w:color="C00000"/>
          <w:right w:val="nil"/>
          <w:insideH w:val="nil"/>
          <w:insideV w:val="nil"/>
        </w:tcBorders>
        <w:shd w:val="clear" w:color="auto" w:fill="0072BC"/>
      </w:tcPr>
    </w:tblStylePr>
    <w:tblStylePr w:type="lastRow">
      <w:tblPr/>
      <w:tcPr>
        <w:tcBorders>
          <w:top w:val="single" w:sz="8" w:space="0" w:color="C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C00000"/>
          <w:insideH w:val="nil"/>
          <w:insideV w:val="nil"/>
        </w:tcBorders>
        <w:shd w:val="clear" w:color="auto" w:fill="0072BC"/>
      </w:tcPr>
    </w:tblStylePr>
    <w:tblStylePr w:type="lastCol">
      <w:tblPr/>
      <w:tcPr>
        <w:tcBorders>
          <w:top w:val="nil"/>
          <w:left w:val="single" w:sz="8" w:space="0" w:color="C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FFB0B0"/>
      </w:tcPr>
    </w:tblStylePr>
    <w:tblStylePr w:type="band1Horz">
      <w:tblPr/>
      <w:tcPr>
        <w:tcBorders>
          <w:top w:val="nil"/>
          <w:bottom w:val="nil"/>
          <w:insideH w:val="nil"/>
          <w:insideV w:val="nil"/>
        </w:tcBorders>
        <w:shd w:val="clear" w:color="auto" w:fill="FFB0B0"/>
      </w:tcPr>
    </w:tblStylePr>
    <w:tblStylePr w:type="nwCell">
      <w:tblPr/>
      <w:tcPr>
        <w:shd w:val="clear" w:color="auto" w:fill="0072BC"/>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eastAsia="MS Gothic"/>
      <w:color w:val="000000"/>
      <w:lang w:val="fr-FR" w:eastAsia="fr-FR"/>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0072BC"/>
      </w:tcPr>
    </w:tblStylePr>
    <w:tblStylePr w:type="lastRow">
      <w:tblPr/>
      <w:tcPr>
        <w:tcBorders>
          <w:top w:val="single" w:sz="8" w:space="0" w:color="969696"/>
          <w:left w:val="nil"/>
          <w:bottom w:val="nil"/>
          <w:right w:val="nil"/>
          <w:insideH w:val="nil"/>
          <w:insideV w:val="nil"/>
        </w:tcBorders>
        <w:shd w:val="clear" w:color="auto" w:fill="0072BC"/>
      </w:tcPr>
    </w:tblStylePr>
    <w:tblStylePr w:type="firstCol">
      <w:tblPr/>
      <w:tcPr>
        <w:tcBorders>
          <w:top w:val="nil"/>
          <w:left w:val="nil"/>
          <w:bottom w:val="nil"/>
          <w:right w:val="single" w:sz="8" w:space="0" w:color="969696"/>
          <w:insideH w:val="nil"/>
          <w:insideV w:val="nil"/>
        </w:tcBorders>
        <w:shd w:val="clear" w:color="auto" w:fill="0072BC"/>
      </w:tcPr>
    </w:tblStylePr>
    <w:tblStylePr w:type="lastCol">
      <w:tblPr/>
      <w:tcPr>
        <w:tcBorders>
          <w:top w:val="nil"/>
          <w:left w:val="single" w:sz="8" w:space="0" w:color="969696"/>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0072BC"/>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eastAsia="MS Gothic"/>
      <w:color w:val="000000"/>
      <w:lang w:val="fr-FR" w:eastAsia="fr-FR"/>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0072BC"/>
      </w:tcPr>
    </w:tblStylePr>
    <w:tblStylePr w:type="lastRow">
      <w:tblPr/>
      <w:tcPr>
        <w:tcBorders>
          <w:top w:val="single" w:sz="8" w:space="0" w:color="5F5F5F"/>
          <w:left w:val="nil"/>
          <w:bottom w:val="nil"/>
          <w:right w:val="nil"/>
          <w:insideH w:val="nil"/>
          <w:insideV w:val="nil"/>
        </w:tcBorders>
        <w:shd w:val="clear" w:color="auto" w:fill="0072BC"/>
      </w:tcPr>
    </w:tblStylePr>
    <w:tblStylePr w:type="firstCol">
      <w:tblPr/>
      <w:tcPr>
        <w:tcBorders>
          <w:top w:val="nil"/>
          <w:left w:val="nil"/>
          <w:bottom w:val="nil"/>
          <w:right w:val="single" w:sz="8" w:space="0" w:color="5F5F5F"/>
          <w:insideH w:val="nil"/>
          <w:insideV w:val="nil"/>
        </w:tcBorders>
        <w:shd w:val="clear" w:color="auto" w:fill="0072BC"/>
      </w:tcPr>
    </w:tblStylePr>
    <w:tblStylePr w:type="lastCol">
      <w:tblPr/>
      <w:tcPr>
        <w:tcBorders>
          <w:top w:val="nil"/>
          <w:left w:val="single" w:sz="8" w:space="0" w:color="5F5F5F"/>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0072BC"/>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eastAsia="MS Gothic"/>
      <w:color w:val="000000"/>
      <w:lang w:val="fr-FR" w:eastAsia="fr-FR"/>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0072BC"/>
      </w:tcPr>
    </w:tblStylePr>
    <w:tblStylePr w:type="lastRow">
      <w:tblPr/>
      <w:tcPr>
        <w:tcBorders>
          <w:top w:val="single" w:sz="8" w:space="0" w:color="4D4D4D"/>
          <w:left w:val="nil"/>
          <w:bottom w:val="nil"/>
          <w:right w:val="nil"/>
          <w:insideH w:val="nil"/>
          <w:insideV w:val="nil"/>
        </w:tcBorders>
        <w:shd w:val="clear" w:color="auto" w:fill="0072BC"/>
      </w:tcPr>
    </w:tblStylePr>
    <w:tblStylePr w:type="firstCol">
      <w:tblPr/>
      <w:tcPr>
        <w:tcBorders>
          <w:top w:val="nil"/>
          <w:left w:val="nil"/>
          <w:bottom w:val="nil"/>
          <w:right w:val="single" w:sz="8" w:space="0" w:color="4D4D4D"/>
          <w:insideH w:val="nil"/>
          <w:insideV w:val="nil"/>
        </w:tcBorders>
        <w:shd w:val="clear" w:color="auto" w:fill="0072BC"/>
      </w:tcPr>
    </w:tblStylePr>
    <w:tblStylePr w:type="lastCol">
      <w:tblPr/>
      <w:tcPr>
        <w:tcBorders>
          <w:top w:val="nil"/>
          <w:left w:val="single" w:sz="8" w:space="0" w:color="4D4D4D"/>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0072BC"/>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line="240" w:lineRule="auto"/>
      </w:pPr>
      <w:rPr>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line="240" w:lineRule="auto"/>
      </w:pPr>
      <w:rPr>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b/>
        <w:bCs/>
      </w:rPr>
    </w:tblStylePr>
    <w:tblStylePr w:type="lastCol">
      <w:rPr>
        <w:b/>
        <w:bCs/>
      </w:rPr>
    </w:tblStylePr>
    <w:tblStylePr w:type="band1Vert">
      <w:tblPr/>
      <w:tcPr>
        <w:shd w:val="clear" w:color="auto" w:fill="FFB0B0"/>
      </w:tcPr>
    </w:tblStylePr>
    <w:tblStylePr w:type="band1Horz">
      <w:tblPr/>
      <w:tcPr>
        <w:tcBorders>
          <w:insideH w:val="nil"/>
          <w:insideV w:val="nil"/>
        </w:tcBorders>
        <w:shd w:val="clear" w:color="auto" w:fill="FFB0B0"/>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C00000"/>
      </w:tcPr>
    </w:tblStylePr>
    <w:tblStylePr w:type="lastCol">
      <w:rPr>
        <w:b/>
        <w:bCs/>
        <w:color w:val="0072BC"/>
      </w:rPr>
      <w:tblPr/>
      <w:tcPr>
        <w:tcBorders>
          <w:left w:val="nil"/>
          <w:right w:val="nil"/>
          <w:insideH w:val="nil"/>
          <w:insideV w:val="nil"/>
        </w:tcBorders>
        <w:shd w:val="clear" w:color="auto" w:fill="C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969696"/>
      </w:tcPr>
    </w:tblStylePr>
    <w:tblStylePr w:type="lastCol">
      <w:rPr>
        <w:b/>
        <w:bCs/>
        <w:color w:val="0072BC"/>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5F5F5F"/>
      </w:tcPr>
    </w:tblStylePr>
    <w:tblStylePr w:type="lastCol">
      <w:rPr>
        <w:b/>
        <w:bCs/>
        <w:color w:val="0072BC"/>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4D4D4D"/>
      </w:tcPr>
    </w:tblStylePr>
    <w:tblStylePr w:type="lastCol">
      <w:rPr>
        <w:b/>
        <w:bCs/>
        <w:color w:val="0072BC"/>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NagwekwiadomociZnak">
    <w:name w:val="Nagłówek wiadomości Znak"/>
    <w:link w:val="Nagwekwiadomoci"/>
    <w:uiPriority w:val="99"/>
    <w:semiHidden/>
    <w:rsid w:val="00014566"/>
    <w:rPr>
      <w:rFonts w:ascii="Times New Roman" w:eastAsia="MS Gothic" w:hAnsi="Times New Roman" w:cs="Times New Roman"/>
      <w:sz w:val="24"/>
      <w:szCs w:val="24"/>
      <w:lang w:val="pl-PL" w:eastAsia="pl-PL"/>
    </w:rPr>
  </w:style>
  <w:style w:type="paragraph" w:styleId="NormalnyWeb">
    <w:name w:val="Normal (Web)"/>
    <w:basedOn w:val="Normalny"/>
    <w:uiPriority w:val="99"/>
    <w:semiHidden/>
    <w:rsid w:val="00014566"/>
    <w:rPr>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rPr>
      <w:szCs w:val="20"/>
    </w:rPr>
  </w:style>
  <w:style w:type="character" w:customStyle="1" w:styleId="NagweknotatkiZnak">
    <w:name w:val="Nagłówek notatki Znak"/>
    <w:link w:val="Nagweknotatki"/>
    <w:uiPriority w:val="99"/>
    <w:semiHidden/>
    <w:rsid w:val="00014566"/>
    <w:rPr>
      <w:rFonts w:eastAsia="MS Mincho"/>
      <w:sz w:val="24"/>
      <w:lang w:val="pl-PL" w:eastAsia="pl-PL"/>
    </w:rPr>
  </w:style>
  <w:style w:type="character" w:styleId="Tekstzastpczy">
    <w:name w:val="Placeholder Text"/>
    <w:uiPriority w:val="99"/>
    <w:semiHidden/>
    <w:rsid w:val="00B27475"/>
    <w:rPr>
      <w:color w:val="000000"/>
      <w:bdr w:val="none" w:sz="0" w:space="0" w:color="auto"/>
      <w:lang w:val="pl-PL" w:eastAsia="pl-PL"/>
    </w:rPr>
  </w:style>
  <w:style w:type="paragraph" w:styleId="Zwykytekst">
    <w:name w:val="Plain Text"/>
    <w:basedOn w:val="Normalny"/>
    <w:link w:val="ZwykytekstZnak"/>
    <w:uiPriority w:val="99"/>
    <w:semiHidden/>
    <w:rsid w:val="00014566"/>
    <w:rPr>
      <w:rFonts w:ascii="Consolas" w:hAnsi="Consolas"/>
      <w:sz w:val="21"/>
      <w:szCs w:val="21"/>
    </w:rPr>
  </w:style>
  <w:style w:type="character" w:customStyle="1" w:styleId="ZwykytekstZnak">
    <w:name w:val="Zwykły tekst Znak"/>
    <w:link w:val="Zwykytekst"/>
    <w:uiPriority w:val="99"/>
    <w:semiHidden/>
    <w:rsid w:val="00014566"/>
    <w:rPr>
      <w:rFonts w:ascii="Consolas" w:eastAsia="MS Mincho" w:hAnsi="Consolas" w:cs="Consolas"/>
      <w:sz w:val="21"/>
      <w:szCs w:val="21"/>
      <w:lang w:val="pl-PL" w:eastAsia="pl-PL"/>
    </w:rPr>
  </w:style>
  <w:style w:type="paragraph" w:styleId="Zwrotgrzecznociowy">
    <w:name w:val="Salutation"/>
    <w:basedOn w:val="Normalny"/>
    <w:next w:val="Normalny"/>
    <w:link w:val="ZwrotgrzecznociowyZnak"/>
    <w:uiPriority w:val="99"/>
    <w:semiHidden/>
    <w:rsid w:val="00014566"/>
    <w:rPr>
      <w:szCs w:val="20"/>
    </w:rPr>
  </w:style>
  <w:style w:type="character" w:customStyle="1" w:styleId="ZwrotgrzecznociowyZnak">
    <w:name w:val="Zwrot grzecznościowy Znak"/>
    <w:link w:val="Zwrotgrzecznociowy"/>
    <w:uiPriority w:val="99"/>
    <w:semiHidden/>
    <w:rsid w:val="00014566"/>
    <w:rPr>
      <w:rFonts w:eastAsia="MS Mincho"/>
      <w:sz w:val="24"/>
      <w:lang w:val="pl-PL" w:eastAsia="pl-PL"/>
    </w:rPr>
  </w:style>
  <w:style w:type="paragraph" w:styleId="Podpis">
    <w:name w:val="Signature"/>
    <w:basedOn w:val="Normalny"/>
    <w:link w:val="PodpisZnak"/>
    <w:uiPriority w:val="99"/>
    <w:semiHidden/>
    <w:rsid w:val="00014566"/>
    <w:pPr>
      <w:ind w:left="4252"/>
    </w:pPr>
    <w:rPr>
      <w:szCs w:val="20"/>
    </w:rPr>
  </w:style>
  <w:style w:type="character" w:customStyle="1" w:styleId="PodpisZnak">
    <w:name w:val="Podpis Znak"/>
    <w:link w:val="Podpis"/>
    <w:uiPriority w:val="99"/>
    <w:semiHidden/>
    <w:rsid w:val="00014566"/>
    <w:rPr>
      <w:rFonts w:eastAsia="MS Mincho"/>
      <w:sz w:val="24"/>
      <w:lang w:val="pl-PL" w:eastAsia="pl-PL"/>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27475"/>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27475"/>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B27475"/>
    <w:pPr>
      <w:tabs>
        <w:tab w:val="clear" w:pos="357"/>
      </w:tabs>
      <w:outlineLvl w:val="1"/>
    </w:pPr>
    <w:rPr>
      <w:b/>
    </w:rPr>
  </w:style>
  <w:style w:type="paragraph" w:customStyle="1" w:styleId="OpiHi">
    <w:name w:val="Opi_H_i"/>
    <w:basedOn w:val="ECHRHeading4"/>
    <w:uiPriority w:val="44"/>
    <w:qFormat/>
    <w:rsid w:val="00B27475"/>
    <w:pPr>
      <w:ind w:left="1037" w:hanging="357"/>
      <w:outlineLvl w:val="4"/>
    </w:pPr>
    <w:rPr>
      <w:b w:val="0"/>
      <w:i/>
    </w:rPr>
  </w:style>
  <w:style w:type="paragraph" w:customStyle="1" w:styleId="OpiPara">
    <w:name w:val="Opi_Para"/>
    <w:basedOn w:val="ECHRPara"/>
    <w:uiPriority w:val="46"/>
    <w:qFormat/>
    <w:rsid w:val="00B27475"/>
  </w:style>
  <w:style w:type="paragraph" w:customStyle="1" w:styleId="OpiParaSub">
    <w:name w:val="Opi_Para_Sub"/>
    <w:basedOn w:val="JuParaSub"/>
    <w:uiPriority w:val="47"/>
    <w:qFormat/>
    <w:rsid w:val="00B27475"/>
  </w:style>
  <w:style w:type="paragraph" w:customStyle="1" w:styleId="OpiQuot">
    <w:name w:val="Opi_Quot"/>
    <w:basedOn w:val="ECHRParaQuote"/>
    <w:uiPriority w:val="48"/>
    <w:qFormat/>
    <w:rsid w:val="00B27475"/>
  </w:style>
  <w:style w:type="paragraph" w:customStyle="1" w:styleId="OpiQuotSub">
    <w:name w:val="Opi_Quot_Sub"/>
    <w:basedOn w:val="JuQuotSub"/>
    <w:uiPriority w:val="49"/>
    <w:qFormat/>
    <w:rsid w:val="00B27475"/>
  </w:style>
  <w:style w:type="paragraph" w:customStyle="1" w:styleId="OpiTranslation">
    <w:name w:val="Opi_Translation"/>
    <w:basedOn w:val="Normalny"/>
    <w:next w:val="OpiPara"/>
    <w:uiPriority w:val="40"/>
    <w:qFormat/>
    <w:rsid w:val="00B27475"/>
    <w:pPr>
      <w:jc w:val="center"/>
      <w:outlineLvl w:val="0"/>
    </w:pPr>
    <w:rPr>
      <w:i/>
    </w:rPr>
  </w:style>
  <w:style w:type="character" w:customStyle="1" w:styleId="ECHRParaChar">
    <w:name w:val="ECHR_Para Char"/>
    <w:aliases w:val="Ju_Para Char"/>
    <w:link w:val="ECHRPara"/>
    <w:uiPriority w:val="12"/>
    <w:rsid w:val="0086160E"/>
    <w:rPr>
      <w:rFonts w:eastAsia="MS Mincho"/>
      <w:sz w:val="24"/>
      <w:lang w:val="pl-PL" w:eastAsia="pl-PL"/>
    </w:rPr>
  </w:style>
  <w:style w:type="paragraph" w:styleId="Poprawka">
    <w:name w:val="Revision"/>
    <w:hidden/>
    <w:uiPriority w:val="99"/>
    <w:semiHidden/>
    <w:rsid w:val="00843A40"/>
    <w:rPr>
      <w:rFonts w:eastAsia="MS Mincho"/>
      <w:sz w:val="24"/>
      <w:szCs w:val="22"/>
    </w:rPr>
  </w:style>
  <w:style w:type="paragraph" w:customStyle="1" w:styleId="jupara">
    <w:name w:val="jupara"/>
    <w:basedOn w:val="Normalny"/>
    <w:rsid w:val="00DA2125"/>
    <w:pPr>
      <w:ind w:firstLine="284"/>
    </w:pPr>
    <w:rPr>
      <w:rFonts w:eastAsia="Times New Roman"/>
      <w:szCs w:val="24"/>
    </w:rPr>
  </w:style>
  <w:style w:type="paragraph" w:customStyle="1" w:styleId="jucase0">
    <w:name w:val="jucase"/>
    <w:basedOn w:val="Normalny"/>
    <w:rsid w:val="00DA2125"/>
    <w:pPr>
      <w:ind w:firstLine="284"/>
    </w:pPr>
    <w:rPr>
      <w:rFonts w:eastAsia="Times New Roman"/>
      <w:b/>
      <w:b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DF783-4F9D-470F-A93A-C0010D9E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3077</Words>
  <Characters>18466</Characters>
  <Application>Microsoft Office Word</Application>
  <DocSecurity>4</DocSecurity>
  <Lines>153</Lines>
  <Paragraphs>42</Paragraphs>
  <ScaleCrop>false</ScaleCrop>
  <LinksUpToDate>false</LinksUpToDate>
  <CharactersWithSpaces>21501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2020-01-30T10:23:00Z</dcterms:created>
  <dcterms:modified xsi:type="dcterms:W3CDTF">2020-01-30T10:23:00Z</dcterms:modified>
  <cp:category/>
</cp:coreProperties>
</file>