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E91BC" w14:textId="77777777" w:rsidR="008402CD" w:rsidRPr="008362B2" w:rsidRDefault="008402CD" w:rsidP="008402CD">
      <w:pPr>
        <w:jc w:val="center"/>
      </w:pPr>
      <w:bookmarkStart w:id="0" w:name="_GoBack"/>
      <w:bookmarkEnd w:id="0"/>
      <w:r>
        <w:t>EUROPEJSKI TRYBUNAŁ PRAW CZŁOWIEKA</w:t>
      </w:r>
    </w:p>
    <w:p w14:paraId="5B4FB0F0" w14:textId="77777777" w:rsidR="00380BA6" w:rsidRPr="00380BA6" w:rsidRDefault="00380BA6" w:rsidP="00380BA6">
      <w:pPr>
        <w:jc w:val="center"/>
      </w:pPr>
    </w:p>
    <w:p w14:paraId="1B43BEDB" w14:textId="726943B0" w:rsidR="00976DB8" w:rsidRPr="00380BA6" w:rsidRDefault="00114816" w:rsidP="00380BA6">
      <w:pPr>
        <w:pStyle w:val="DecHCase"/>
      </w:pPr>
      <w:r>
        <w:t>SEKCJA PIERWSZA</w:t>
      </w:r>
    </w:p>
    <w:p w14:paraId="10FD9EF8" w14:textId="77777777" w:rsidR="00976DB8" w:rsidRPr="00380BA6" w:rsidRDefault="007A534F" w:rsidP="00380BA6">
      <w:pPr>
        <w:pStyle w:val="JuTitle"/>
      </w:pPr>
      <w:r>
        <w:rPr>
          <w:bCs/>
        </w:rPr>
        <w:t>SPRAWA BRZEZIŃSKI przeciwko POLSCE</w:t>
      </w:r>
    </w:p>
    <w:p w14:paraId="6CC8478A" w14:textId="77777777" w:rsidR="00976DB8" w:rsidRPr="00380BA6" w:rsidRDefault="007A534F" w:rsidP="00380BA6">
      <w:pPr>
        <w:pStyle w:val="Title4"/>
      </w:pPr>
      <w:r>
        <w:t>(Skarga nr 47542/07)</w:t>
      </w:r>
    </w:p>
    <w:p w14:paraId="5A6D62DB" w14:textId="77777777" w:rsidR="00976DB8" w:rsidRPr="00380BA6" w:rsidRDefault="00976DB8" w:rsidP="00380BA6">
      <w:pPr>
        <w:pStyle w:val="DecHCase"/>
      </w:pPr>
    </w:p>
    <w:p w14:paraId="317650CA" w14:textId="77777777" w:rsidR="00976DB8" w:rsidRPr="00380BA6" w:rsidRDefault="00976DB8" w:rsidP="00380BA6">
      <w:pPr>
        <w:pStyle w:val="DecHCase"/>
      </w:pPr>
    </w:p>
    <w:p w14:paraId="23061812" w14:textId="77777777" w:rsidR="00976DB8" w:rsidRPr="00380BA6" w:rsidRDefault="00976DB8" w:rsidP="00380BA6">
      <w:pPr>
        <w:pStyle w:val="DecHCase"/>
      </w:pPr>
    </w:p>
    <w:p w14:paraId="3BD63757" w14:textId="77777777" w:rsidR="00976DB8" w:rsidRPr="00380BA6" w:rsidRDefault="00976DB8" w:rsidP="00380BA6">
      <w:pPr>
        <w:pStyle w:val="DecHCase"/>
      </w:pPr>
    </w:p>
    <w:p w14:paraId="2415E56A" w14:textId="77777777" w:rsidR="00976DB8" w:rsidRPr="00380BA6" w:rsidRDefault="00976DB8" w:rsidP="00380BA6">
      <w:pPr>
        <w:pStyle w:val="DecHCase"/>
      </w:pPr>
    </w:p>
    <w:p w14:paraId="770EE10E" w14:textId="77777777" w:rsidR="00976DB8" w:rsidRPr="00380BA6" w:rsidRDefault="00976DB8" w:rsidP="00380BA6">
      <w:pPr>
        <w:pStyle w:val="DecHCase"/>
      </w:pPr>
    </w:p>
    <w:p w14:paraId="10DCD637" w14:textId="77777777" w:rsidR="00976DB8" w:rsidRPr="00380BA6" w:rsidRDefault="007A534F" w:rsidP="00380BA6">
      <w:pPr>
        <w:pStyle w:val="DecHCase"/>
      </w:pPr>
      <w:r>
        <w:t>WYROK</w:t>
      </w:r>
    </w:p>
    <w:p w14:paraId="0312C6D6" w14:textId="77777777" w:rsidR="00976DB8" w:rsidRPr="00380BA6" w:rsidRDefault="007A534F" w:rsidP="00380BA6">
      <w:pPr>
        <w:pStyle w:val="DecHCase"/>
      </w:pPr>
      <w:r>
        <w:t>STRASBURG</w:t>
      </w:r>
    </w:p>
    <w:p w14:paraId="0262C4D5" w14:textId="542D763B" w:rsidR="00976DB8" w:rsidRPr="00380BA6" w:rsidRDefault="00114816" w:rsidP="00380BA6">
      <w:pPr>
        <w:pStyle w:val="DecHCase"/>
      </w:pPr>
      <w:r>
        <w:t xml:space="preserve">25 lipca 2019 </w:t>
      </w:r>
      <w:r w:rsidR="001D45B2">
        <w:t>roku</w:t>
      </w:r>
    </w:p>
    <w:p w14:paraId="2225BEA1" w14:textId="77777777" w:rsidR="00976DB8" w:rsidRPr="00380BA6" w:rsidRDefault="00976DB8" w:rsidP="00380BA6">
      <w:pPr>
        <w:pStyle w:val="DecHCase"/>
      </w:pPr>
    </w:p>
    <w:p w14:paraId="1D0EE726" w14:textId="5E9BE9A0" w:rsidR="00976DB8" w:rsidRPr="00636C04" w:rsidRDefault="00A60360" w:rsidP="00636C04">
      <w:pPr>
        <w:pStyle w:val="JuCase"/>
        <w:ind w:firstLine="0"/>
        <w:jc w:val="center"/>
        <w:rPr>
          <w:i/>
          <w:sz w:val="22"/>
        </w:rPr>
      </w:pPr>
      <w:r>
        <w:rPr>
          <w:i/>
          <w:sz w:val="22"/>
        </w:rPr>
        <w:t xml:space="preserve"> </w:t>
      </w:r>
      <w:r w:rsidRPr="00BE2707">
        <w:rPr>
          <w:b w:val="0"/>
          <w:i/>
          <w:sz w:val="22"/>
        </w:rPr>
        <w:t>Wyrok jest ostateczny</w:t>
      </w:r>
      <w:r w:rsidR="00723775">
        <w:rPr>
          <w:b w:val="0"/>
          <w:i/>
          <w:sz w:val="22"/>
        </w:rPr>
        <w:t>. M</w:t>
      </w:r>
      <w:r w:rsidR="007A534F" w:rsidRPr="00BE2707">
        <w:rPr>
          <w:b w:val="0"/>
          <w:i/>
          <w:sz w:val="22"/>
        </w:rPr>
        <w:t>oże podlegać korekcie wydawniczej.</w:t>
      </w:r>
    </w:p>
    <w:p w14:paraId="25298312" w14:textId="77777777" w:rsidR="00976DB8" w:rsidRDefault="00976DB8" w:rsidP="00380BA6"/>
    <w:p w14:paraId="4ACA6099" w14:textId="77777777" w:rsidR="00636C04" w:rsidRDefault="00636C04" w:rsidP="00380BA6"/>
    <w:p w14:paraId="5FC665A2" w14:textId="44960854" w:rsidR="00636C04" w:rsidRPr="00380BA6" w:rsidRDefault="00636C04" w:rsidP="00380BA6">
      <w:pPr>
        <w:sectPr w:rsidR="00636C04" w:rsidRPr="00380BA6" w:rsidSect="00976D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07159B4D" w14:textId="77777777" w:rsidR="00636C04" w:rsidRDefault="00636C04" w:rsidP="00380BA6">
      <w:pPr>
        <w:pStyle w:val="JuCase"/>
        <w:rPr>
          <w:bCs/>
        </w:rPr>
      </w:pPr>
    </w:p>
    <w:p w14:paraId="5935E6F8" w14:textId="50E89E81" w:rsidR="00976DB8" w:rsidRPr="00380BA6" w:rsidRDefault="007A534F" w:rsidP="00380BA6">
      <w:pPr>
        <w:pStyle w:val="JuCase"/>
      </w:pPr>
      <w:r>
        <w:rPr>
          <w:bCs/>
        </w:rPr>
        <w:t xml:space="preserve">W sprawie Brzeziński przeciwko Polsce, </w:t>
      </w:r>
    </w:p>
    <w:p w14:paraId="03EAA040" w14:textId="76BF4424" w:rsidR="00976DB8" w:rsidRPr="00380BA6" w:rsidRDefault="007A534F" w:rsidP="00380BA6">
      <w:pPr>
        <w:pStyle w:val="JuPara"/>
      </w:pPr>
      <w:r>
        <w:t>Europejski Trybunał Praw Człowieka (</w:t>
      </w:r>
      <w:r w:rsidR="00286467">
        <w:t>Sekcja Pierwsza</w:t>
      </w:r>
      <w:r>
        <w:t xml:space="preserve">), zasiadając jako </w:t>
      </w:r>
      <w:r w:rsidR="00034E96">
        <w:t xml:space="preserve">Komitet </w:t>
      </w:r>
      <w:r>
        <w:t>w składzie:</w:t>
      </w:r>
    </w:p>
    <w:p w14:paraId="5B1256CB" w14:textId="22A61144" w:rsidR="00976DB8" w:rsidRPr="00380BA6" w:rsidRDefault="009362E4" w:rsidP="00380BA6">
      <w:pPr>
        <w:pStyle w:val="JuJudges"/>
      </w:pPr>
      <w:r>
        <w:tab/>
      </w:r>
      <w:proofErr w:type="spellStart"/>
      <w:r>
        <w:t>Armen</w:t>
      </w:r>
      <w:proofErr w:type="spellEnd"/>
      <w:r>
        <w:t xml:space="preserve"> </w:t>
      </w:r>
      <w:proofErr w:type="spellStart"/>
      <w:r>
        <w:t>Harutyunyan</w:t>
      </w:r>
      <w:proofErr w:type="spellEnd"/>
      <w:r>
        <w:t>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oraz Renata </w:t>
      </w:r>
      <w:proofErr w:type="spellStart"/>
      <w:r>
        <w:t>Degener</w:t>
      </w:r>
      <w:proofErr w:type="spellEnd"/>
      <w:r>
        <w:t xml:space="preserve">, </w:t>
      </w:r>
      <w:r w:rsidR="00286467">
        <w:rPr>
          <w:i/>
        </w:rPr>
        <w:t xml:space="preserve">Zastępca </w:t>
      </w:r>
      <w:r>
        <w:rPr>
          <w:i/>
        </w:rPr>
        <w:t>Kanclerza Sekcji</w:t>
      </w:r>
      <w:r>
        <w:t>,</w:t>
      </w:r>
    </w:p>
    <w:p w14:paraId="699895A4" w14:textId="119697D2" w:rsidR="00976DB8" w:rsidRPr="00380BA6" w:rsidRDefault="007A534F" w:rsidP="00380BA6">
      <w:pPr>
        <w:pStyle w:val="JuPara"/>
      </w:pPr>
      <w:r>
        <w:t xml:space="preserve">obradując na posiedzeniu niejawnym w dniu 2 lipca 2019 </w:t>
      </w:r>
      <w:r w:rsidR="001D45B2">
        <w:t>roku</w:t>
      </w:r>
      <w:r>
        <w:t>,</w:t>
      </w:r>
    </w:p>
    <w:p w14:paraId="1DB1A400" w14:textId="77777777" w:rsidR="00976DB8" w:rsidRPr="00380BA6" w:rsidRDefault="007A534F" w:rsidP="00380BA6">
      <w:pPr>
        <w:pStyle w:val="JuPara"/>
      </w:pPr>
      <w:r>
        <w:t>wydaje następujący wyrok, który został przyjęty w tym dniu:</w:t>
      </w:r>
    </w:p>
    <w:p w14:paraId="42ED4B4C" w14:textId="77777777" w:rsidR="00114816" w:rsidRPr="00380BA6" w:rsidRDefault="00114816" w:rsidP="00380BA6">
      <w:pPr>
        <w:pStyle w:val="JuHHead"/>
      </w:pPr>
      <w:r>
        <w:t>POSTĘPOWANIE</w:t>
      </w:r>
    </w:p>
    <w:p w14:paraId="246E7E66" w14:textId="1C9E7450" w:rsidR="00114816" w:rsidRPr="00380BA6" w:rsidRDefault="00114816" w:rsidP="00380BA6">
      <w:pPr>
        <w:pStyle w:val="JuPara"/>
      </w:pPr>
      <w:r>
        <w:t>1.</w:t>
      </w:r>
      <w:r w:rsidR="00EE6FF2">
        <w:t xml:space="preserve"> </w:t>
      </w:r>
      <w:r>
        <w:t xml:space="preserve">Sprawa wywodzi się ze skargi (nr 47542/07) przeciwko Rzeczypospolitej Polskiej wniesionej </w:t>
      </w:r>
      <w:r w:rsidR="008402CD">
        <w:t xml:space="preserve">w dniu 24 października 2007 </w:t>
      </w:r>
      <w:r w:rsidR="001D45B2">
        <w:t>roku</w:t>
      </w:r>
      <w:r w:rsidR="008402CD">
        <w:t xml:space="preserve"> </w:t>
      </w:r>
      <w:r>
        <w:t>do</w:t>
      </w:r>
      <w:r w:rsidR="00F5020F">
        <w:t> </w:t>
      </w:r>
      <w:r>
        <w:t>Trybunału na podstawie art. 34 Konwencji o ochronie praw człowieka i</w:t>
      </w:r>
      <w:r w:rsidR="00F5020F">
        <w:t> </w:t>
      </w:r>
      <w:r>
        <w:t>podstawowych wolności („Konwencj</w:t>
      </w:r>
      <w:r w:rsidR="008402CD">
        <w:t>i</w:t>
      </w:r>
      <w:r>
        <w:t>”) przez obywatela polskiego Zenona Brzezińskiego („skarżąc</w:t>
      </w:r>
      <w:r w:rsidR="008402CD">
        <w:t>ego</w:t>
      </w:r>
      <w:r>
        <w:t>”)</w:t>
      </w:r>
      <w:r w:rsidR="008402CD">
        <w:t>.</w:t>
      </w:r>
    </w:p>
    <w:p w14:paraId="3DF3D616" w14:textId="3FD0318A" w:rsidR="00114816" w:rsidRPr="00380BA6" w:rsidRDefault="00114816" w:rsidP="00380BA6">
      <w:pPr>
        <w:pStyle w:val="JuPara"/>
      </w:pPr>
      <w:r>
        <w:t>2.</w:t>
      </w:r>
      <w:r w:rsidR="00EE6FF2">
        <w:t xml:space="preserve"> </w:t>
      </w:r>
      <w:r>
        <w:t xml:space="preserve">Skarżącego reprezentował K. </w:t>
      </w:r>
      <w:proofErr w:type="spellStart"/>
      <w:r>
        <w:t>Hłąd</w:t>
      </w:r>
      <w:proofErr w:type="spellEnd"/>
      <w:r>
        <w:t>, adwokat praktykując</w:t>
      </w:r>
      <w:r w:rsidR="00EE35B3">
        <w:t>y</w:t>
      </w:r>
      <w:r>
        <w:t xml:space="preserve"> w</w:t>
      </w:r>
      <w:r w:rsidR="00F5020F">
        <w:t> </w:t>
      </w:r>
      <w:r>
        <w:t xml:space="preserve">Częstochowie. Rząd polski („Rząd”) reprezentowany był przez swojego pełnomocnika J. Chrzanowską, </w:t>
      </w:r>
      <w:r w:rsidR="008402CD">
        <w:t xml:space="preserve">a następnie przez </w:t>
      </w:r>
      <w:r>
        <w:t>J. Sobczak</w:t>
      </w:r>
      <w:r w:rsidR="008402CD">
        <w:t>a</w:t>
      </w:r>
      <w:r>
        <w:t xml:space="preserve"> z</w:t>
      </w:r>
      <w:r w:rsidR="00F5020F">
        <w:t> </w:t>
      </w:r>
      <w:r>
        <w:t>Ministerstwa Spraw Zagranicznych.</w:t>
      </w:r>
    </w:p>
    <w:p w14:paraId="4E68EB53" w14:textId="31095E57" w:rsidR="00114816" w:rsidRPr="00380BA6" w:rsidRDefault="00114816" w:rsidP="00380BA6">
      <w:pPr>
        <w:pStyle w:val="JuPara"/>
        <w:rPr>
          <w:szCs w:val="24"/>
        </w:rPr>
      </w:pPr>
      <w:r>
        <w:t>3.</w:t>
      </w:r>
      <w:r w:rsidR="00EE6FF2">
        <w:t xml:space="preserve"> </w:t>
      </w:r>
      <w:r w:rsidR="008402CD">
        <w:t xml:space="preserve">W dniu 30 czerwca 2008 </w:t>
      </w:r>
      <w:r w:rsidR="001D45B2">
        <w:t>roku</w:t>
      </w:r>
      <w:r w:rsidR="008402CD">
        <w:t xml:space="preserve"> s</w:t>
      </w:r>
      <w:r>
        <w:t>prawa została zakomunikowana Rządowi</w:t>
      </w:r>
      <w:r w:rsidR="008402CD">
        <w:t>.</w:t>
      </w:r>
    </w:p>
    <w:p w14:paraId="2A18A71F" w14:textId="77777777" w:rsidR="00114816" w:rsidRPr="00380BA6" w:rsidRDefault="00114816" w:rsidP="00380BA6">
      <w:pPr>
        <w:pStyle w:val="JuHHead"/>
        <w:tabs>
          <w:tab w:val="left" w:pos="5387"/>
        </w:tabs>
      </w:pPr>
      <w:r>
        <w:t>FAKTY</w:t>
      </w:r>
    </w:p>
    <w:p w14:paraId="0ED00D2F" w14:textId="77777777" w:rsidR="00114816" w:rsidRPr="00380BA6" w:rsidRDefault="00114816" w:rsidP="00380BA6">
      <w:pPr>
        <w:pStyle w:val="JuHIRoman"/>
      </w:pPr>
      <w:r>
        <w:t>OKOLICZNOŚCI SPRAWY</w:t>
      </w:r>
    </w:p>
    <w:p w14:paraId="5E966B09" w14:textId="4F74F5F6" w:rsidR="00114816" w:rsidRPr="00380BA6" w:rsidRDefault="00114816" w:rsidP="00380BA6">
      <w:pPr>
        <w:pStyle w:val="JuPara"/>
      </w:pPr>
      <w:r>
        <w:t>4.</w:t>
      </w:r>
      <w:r w:rsidR="00EE6FF2">
        <w:t xml:space="preserve"> </w:t>
      </w:r>
      <w:r>
        <w:t xml:space="preserve">Skarżący urodził się w 1954 </w:t>
      </w:r>
      <w:r w:rsidR="001D45B2">
        <w:t>roku</w:t>
      </w:r>
      <w:r>
        <w:t xml:space="preserve"> i mieszka w miejscowości Koziegłówki.</w:t>
      </w:r>
    </w:p>
    <w:p w14:paraId="4B95237E" w14:textId="673C95CF" w:rsidR="00114816" w:rsidRPr="00380BA6" w:rsidRDefault="00114816" w:rsidP="00380BA6">
      <w:pPr>
        <w:pStyle w:val="JuPara"/>
      </w:pPr>
      <w:r>
        <w:t>5.</w:t>
      </w:r>
      <w:r w:rsidR="00EE6FF2">
        <w:t xml:space="preserve"> </w:t>
      </w:r>
      <w:r>
        <w:t xml:space="preserve">W październiku 2006 </w:t>
      </w:r>
      <w:r w:rsidR="001D45B2">
        <w:t>roku</w:t>
      </w:r>
      <w:r>
        <w:t>, podczas kampanii politycznej prowadzonej w</w:t>
      </w:r>
      <w:r w:rsidR="00EE6FF2">
        <w:t xml:space="preserve"> </w:t>
      </w:r>
      <w:r>
        <w:t xml:space="preserve">ramach wyborów do rad gmin, rad powiatów i sejmików województw, wyznaczonych na dzień 12 listopada 2006 </w:t>
      </w:r>
      <w:r w:rsidR="001D45B2">
        <w:t>roku</w:t>
      </w:r>
      <w:r>
        <w:t xml:space="preserve">, skarżący, który kandydował wówczas na stanowisko radnego gminy, oraz A.B. opublikowali – </w:t>
      </w:r>
      <w:r w:rsidRPr="00034E96">
        <w:t xml:space="preserve">w imieniu i na rzecz komitetu wyborczego, </w:t>
      </w:r>
      <w:r>
        <w:t xml:space="preserve">którego byli członkami – ulotkę pt. „List Otwarty Nr 5”. W przedmiotowej ulotce skarżący i A.B. nawoływali do głosowania na członków ich komitetu wyborczego oraz krytykowali ówczesny samorząd za </w:t>
      </w:r>
      <w:r w:rsidR="00061E9E">
        <w:t xml:space="preserve">sposób </w:t>
      </w:r>
      <w:r>
        <w:t>prowadzeni</w:t>
      </w:r>
      <w:r w:rsidR="00061E9E">
        <w:t>a</w:t>
      </w:r>
      <w:r>
        <w:t xml:space="preserve"> spraw gminy.</w:t>
      </w:r>
    </w:p>
    <w:p w14:paraId="337F6FD7" w14:textId="354577DF" w:rsidR="00114816" w:rsidRPr="00380BA6" w:rsidRDefault="00114816" w:rsidP="00380BA6">
      <w:pPr>
        <w:pStyle w:val="JuPara"/>
      </w:pPr>
      <w:r>
        <w:t>6.</w:t>
      </w:r>
      <w:r w:rsidR="00EE6FF2">
        <w:t xml:space="preserve"> </w:t>
      </w:r>
      <w:r>
        <w:t xml:space="preserve">Krytyczne uwagi kierowane były głównie pod adresem J.Ś., </w:t>
      </w:r>
      <w:r w:rsidR="007703BB">
        <w:t>burmistrza</w:t>
      </w:r>
      <w:r>
        <w:t xml:space="preserve"> gminy ubiegającego się o </w:t>
      </w:r>
      <w:r w:rsidR="001D7F5E">
        <w:t xml:space="preserve">reelekcję, </w:t>
      </w:r>
      <w:r w:rsidR="000E0D59">
        <w:t>a także</w:t>
      </w:r>
      <w:r>
        <w:t xml:space="preserve"> pod adresem członków ówczesnej rady gminy. Skarżący twierdził, że w okresie czteroletniej kadencji pozostawali oni bezczynni i nie zrealizowali żadnych obietnic, które złożyli w poprzednich wyborach. Stwierdził, że nie rozwiązano ważnych problemów dotyczących wspólnoty lokalnej. W </w:t>
      </w:r>
      <w:r>
        <w:lastRenderedPageBreak/>
        <w:t xml:space="preserve">szczególności wskazywał na nieprawidłowe funkcjonowanie </w:t>
      </w:r>
      <w:r w:rsidR="00245A27">
        <w:t xml:space="preserve">sieci </w:t>
      </w:r>
      <w:r>
        <w:t>wodno-kanalizacyjnej, niedostateczną jakość dróg publicznych o strategicznym znaczeniu, a także zgłaszał trudności związane z systemem szkolnictwa. W jednej z części listu otwartego pt. „Niewolnicy i Beneficjenci Układu” skarżący sugerował, że</w:t>
      </w:r>
      <w:r w:rsidR="00F5020F">
        <w:t> </w:t>
      </w:r>
      <w:r>
        <w:t xml:space="preserve">członkowie władz samorządowych stworzyli rodzaj kartelu, który miał wyłącznie na celu czerpanie korzyści z pełnionych przez nich funkcji. Doszedł do wniosku, że jedynym sposobem na położenie kresu temu procederowi było wybranie nowych „nieskażonych” członków władz samorządowych spośród kandydatów należących do komitetu wyborczego wspomnianego w „Liście </w:t>
      </w:r>
      <w:r w:rsidR="00B93B9B">
        <w:t>O</w:t>
      </w:r>
      <w:r>
        <w:t>twartym nr 5”. Dodał, że kandydaci ci będą gwarantami niezależnej i uczciwej administracji samorządowej oraz że jego zdaniem będą oni w stanie najlepiej wykonywać powierzone im zadania.</w:t>
      </w:r>
    </w:p>
    <w:p w14:paraId="3AF2677E" w14:textId="3B8E417E" w:rsidR="00114816" w:rsidRPr="00575082" w:rsidRDefault="00114816" w:rsidP="00380BA6">
      <w:pPr>
        <w:pStyle w:val="JuPara"/>
      </w:pPr>
      <w:r>
        <w:t>7.</w:t>
      </w:r>
      <w:r w:rsidR="00EE6FF2">
        <w:t xml:space="preserve"> </w:t>
      </w:r>
      <w:r>
        <w:t xml:space="preserve">Skarżący odniósł się również do wszczętego wobec niektórych członków ówczesnego samorządu postępowania karnego w sprawie nadużycia władzy przy zawieraniu umów </w:t>
      </w:r>
      <w:r w:rsidR="00C46E77">
        <w:t xml:space="preserve">na </w:t>
      </w:r>
      <w:r w:rsidRPr="00C46E77">
        <w:t>zaopatrzeni</w:t>
      </w:r>
      <w:r w:rsidR="00C46E77" w:rsidRPr="00C46E77">
        <w:t>e</w:t>
      </w:r>
      <w:r w:rsidRPr="00C46E77">
        <w:t xml:space="preserve"> w wodę,</w:t>
      </w:r>
      <w:r>
        <w:t xml:space="preserve"> które – jego zdaniem – były niekorzystne. Wskazał, że z pism</w:t>
      </w:r>
      <w:r w:rsidR="00C15690">
        <w:t>a</w:t>
      </w:r>
      <w:r>
        <w:t xml:space="preserve"> przesłan</w:t>
      </w:r>
      <w:r w:rsidR="00C15690">
        <w:t>ego przez prokuraturę</w:t>
      </w:r>
      <w:r>
        <w:t xml:space="preserve"> członkom komitetu wyborczego skarżącego</w:t>
      </w:r>
      <w:r w:rsidR="00C15690">
        <w:t xml:space="preserve"> </w:t>
      </w:r>
      <w:r>
        <w:t>opublikowany</w:t>
      </w:r>
      <w:r w:rsidR="00575082">
        <w:t>m</w:t>
      </w:r>
      <w:r>
        <w:t xml:space="preserve"> na</w:t>
      </w:r>
      <w:r w:rsidR="00F5020F">
        <w:t> </w:t>
      </w:r>
      <w:r>
        <w:t xml:space="preserve">stronie internetowej tegoż komitetu, </w:t>
      </w:r>
      <w:r w:rsidR="00C15690">
        <w:t xml:space="preserve">wynikało, że </w:t>
      </w:r>
      <w:r>
        <w:t>postępowanie prowadzon</w:t>
      </w:r>
      <w:r w:rsidR="00822F42">
        <w:t>e</w:t>
      </w:r>
      <w:r>
        <w:t xml:space="preserve"> </w:t>
      </w:r>
      <w:r w:rsidRPr="009C4318">
        <w:t xml:space="preserve">w chwili sporządzenia </w:t>
      </w:r>
      <w:r w:rsidR="00C15690">
        <w:t>ulotki</w:t>
      </w:r>
      <w:r w:rsidRPr="00701F9B">
        <w:t xml:space="preserve">, </w:t>
      </w:r>
      <w:r>
        <w:t xml:space="preserve">miało zakończyć się pod koniec listopada 2006 </w:t>
      </w:r>
      <w:r w:rsidR="001D45B2">
        <w:t>roku</w:t>
      </w:r>
      <w:r>
        <w:t xml:space="preserve"> </w:t>
      </w:r>
      <w:r w:rsidR="00575082" w:rsidRPr="00575082">
        <w:t xml:space="preserve">przedstawieniem zarzutów </w:t>
      </w:r>
      <w:r w:rsidRPr="00575082">
        <w:t>niektóry</w:t>
      </w:r>
      <w:r w:rsidR="00575082" w:rsidRPr="00575082">
        <w:t>m</w:t>
      </w:r>
      <w:r w:rsidRPr="00575082">
        <w:t xml:space="preserve"> członk</w:t>
      </w:r>
      <w:r w:rsidR="00575082" w:rsidRPr="00575082">
        <w:t>om</w:t>
      </w:r>
      <w:r w:rsidRPr="00575082">
        <w:t xml:space="preserve"> władz gminy i niektóry</w:t>
      </w:r>
      <w:r w:rsidR="00575082" w:rsidRPr="00575082">
        <w:t>m</w:t>
      </w:r>
      <w:r w:rsidRPr="00575082">
        <w:t xml:space="preserve"> członk</w:t>
      </w:r>
      <w:r w:rsidR="00575082" w:rsidRPr="00575082">
        <w:t>om</w:t>
      </w:r>
      <w:r w:rsidRPr="00575082">
        <w:t xml:space="preserve"> zarządu przedsiębiorstwa gospodarki wodnej („spółka X”).</w:t>
      </w:r>
    </w:p>
    <w:p w14:paraId="00792531" w14:textId="5B735577" w:rsidR="00114816" w:rsidRPr="00380BA6" w:rsidRDefault="00114816" w:rsidP="00380BA6">
      <w:pPr>
        <w:pStyle w:val="JuPara"/>
      </w:pPr>
      <w:r>
        <w:t>8.</w:t>
      </w:r>
      <w:r w:rsidR="00EE6FF2">
        <w:t xml:space="preserve"> </w:t>
      </w:r>
      <w:r>
        <w:t xml:space="preserve">Ponadto skarżący określił </w:t>
      </w:r>
      <w:r w:rsidRPr="007547A9">
        <w:t xml:space="preserve">trwające wybory </w:t>
      </w:r>
      <w:r w:rsidR="00BB6200">
        <w:t>mia</w:t>
      </w:r>
      <w:r>
        <w:t>nem „układu wzajemnej adoracji i autoreklamy”.</w:t>
      </w:r>
    </w:p>
    <w:p w14:paraId="4294892A" w14:textId="1C4D5DE3" w:rsidR="00114816" w:rsidRPr="00380BA6" w:rsidRDefault="00114816" w:rsidP="00380BA6">
      <w:pPr>
        <w:pStyle w:val="JuPara"/>
      </w:pPr>
      <w:r>
        <w:t>9.</w:t>
      </w:r>
      <w:r w:rsidR="00EE6FF2">
        <w:t xml:space="preserve"> </w:t>
      </w:r>
      <w:r>
        <w:t xml:space="preserve">We fragmencie zatytułowanym „Dlaczego nowy </w:t>
      </w:r>
      <w:r w:rsidR="007703BB">
        <w:t>burmistrz</w:t>
      </w:r>
      <w:r>
        <w:t>?”</w:t>
      </w:r>
      <w:r w:rsidR="00EE6FF2">
        <w:t xml:space="preserve"> </w:t>
      </w:r>
      <w:r>
        <w:t xml:space="preserve">skarżący obwiniał ustępującego </w:t>
      </w:r>
      <w:r w:rsidR="007703BB">
        <w:t>burmistrza</w:t>
      </w:r>
      <w:r>
        <w:t xml:space="preserve"> za brak skutecznego rozwiązania problemów związanych z</w:t>
      </w:r>
      <w:r w:rsidR="00621318">
        <w:t xml:space="preserve"> zaopatrzeniem w wodę oraz</w:t>
      </w:r>
      <w:r>
        <w:t xml:space="preserve"> </w:t>
      </w:r>
      <w:r w:rsidR="00621318">
        <w:t xml:space="preserve">brakiem </w:t>
      </w:r>
      <w:r>
        <w:t>infrastruktur</w:t>
      </w:r>
      <w:r w:rsidR="00621318">
        <w:t>y</w:t>
      </w:r>
      <w:r>
        <w:t xml:space="preserve"> wodno-kanalizacyj</w:t>
      </w:r>
      <w:r w:rsidR="00621318">
        <w:t>nej</w:t>
      </w:r>
      <w:r>
        <w:t xml:space="preserve">. W tym zakresie krytykował – jego zdaniem zbyt łagodną – postawę </w:t>
      </w:r>
      <w:r w:rsidR="007703BB">
        <w:t>burmistrza</w:t>
      </w:r>
      <w:r>
        <w:t xml:space="preserve"> wobec spółki X, która utrzymywała monopol na zaopatrzenie w wodę i odprowadzanie ścieków w gminie. Wskazał, że decyzje podejmowane przez J.Ś. w tym </w:t>
      </w:r>
      <w:r w:rsidRPr="007547A9">
        <w:t xml:space="preserve">zakresie </w:t>
      </w:r>
      <w:r>
        <w:t>umocniły ten monopol, co</w:t>
      </w:r>
      <w:r w:rsidR="00F5020F">
        <w:t> </w:t>
      </w:r>
      <w:r>
        <w:t xml:space="preserve">przełożyło się na wzrost ceny wody w gminie. Twierdził, że na polecenie J.Ś. gmina </w:t>
      </w:r>
      <w:r w:rsidR="00A053D8" w:rsidRPr="00EE35B3">
        <w:t>kontynuowała</w:t>
      </w:r>
      <w:r w:rsidR="00A053D8">
        <w:t xml:space="preserve"> </w:t>
      </w:r>
      <w:r>
        <w:t>niekorzystne umowy zawarte z przedmiotowym przedsiębiorstwem.</w:t>
      </w:r>
      <w:r>
        <w:rPr>
          <w:i/>
        </w:rPr>
        <w:t xml:space="preserve"> </w:t>
      </w:r>
      <w:r>
        <w:t xml:space="preserve">Twierdził również, że pomimo publicznego ogłoszenia o rozwiązaniu przedmiotowych umów, </w:t>
      </w:r>
      <w:r w:rsidR="007703BB">
        <w:t>burmistrz</w:t>
      </w:r>
      <w:r>
        <w:t xml:space="preserve"> wykazał się pod tym względem nieudolnością, bowiem proces rozwiązywania umów trwał już kilka lat. W</w:t>
      </w:r>
      <w:r w:rsidR="00F5020F">
        <w:t> </w:t>
      </w:r>
      <w:r>
        <w:t>tym zakresie skarżący złożył następujące oświadczenie:</w:t>
      </w:r>
    </w:p>
    <w:p w14:paraId="575EEB39" w14:textId="3392EA1A" w:rsidR="00114816" w:rsidRPr="00380BA6" w:rsidRDefault="00114816" w:rsidP="00380BA6">
      <w:pPr>
        <w:pStyle w:val="JuQuot"/>
      </w:pPr>
      <w:r>
        <w:t>„Zamiast rozwiązać – bez żadnego ryzyka i kosztów – niekorzystną umowę na</w:t>
      </w:r>
      <w:r w:rsidR="00F5020F">
        <w:t> </w:t>
      </w:r>
      <w:r>
        <w:t>eksploatację sieci wodociągowo-kanalizacyjnej zawart</w:t>
      </w:r>
      <w:r w:rsidR="00EE35B3">
        <w:t>ą</w:t>
      </w:r>
      <w:r>
        <w:t xml:space="preserve"> przez gminę ze spółką X i</w:t>
      </w:r>
      <w:r w:rsidR="00F5020F">
        <w:t> </w:t>
      </w:r>
      <w:r>
        <w:t xml:space="preserve">doprowadzić do jej skutecznego zakończenia w listopadzie 2005 </w:t>
      </w:r>
      <w:r w:rsidR="001D45B2">
        <w:t>roku</w:t>
      </w:r>
      <w:r>
        <w:t>, jak</w:t>
      </w:r>
      <w:r w:rsidR="00F5020F">
        <w:t> </w:t>
      </w:r>
      <w:r>
        <w:t>to</w:t>
      </w:r>
      <w:r w:rsidR="00F5020F">
        <w:t> </w:t>
      </w:r>
      <w:r>
        <w:t xml:space="preserve">sugerowaliśmy </w:t>
      </w:r>
      <w:r w:rsidR="00B35B46">
        <w:t>od</w:t>
      </w:r>
      <w:r>
        <w:t xml:space="preserve"> początku kadencji </w:t>
      </w:r>
      <w:r w:rsidR="007703BB">
        <w:t>burmistrza</w:t>
      </w:r>
      <w:r>
        <w:t xml:space="preserve"> – ten zdecydował się na niepewny, kosztowny i ślimaczący się sposób, czyli </w:t>
      </w:r>
      <w:r w:rsidRPr="00C348E8">
        <w:t>powództwo</w:t>
      </w:r>
      <w:r>
        <w:t xml:space="preserve">. Niedawno podana przez </w:t>
      </w:r>
      <w:r w:rsidR="007703BB">
        <w:t>burmistrza</w:t>
      </w:r>
      <w:r>
        <w:t xml:space="preserve"> do wiadomości publicznej informacja o rozwiązaniu umów [zawartych ze spółką, która wykon</w:t>
      </w:r>
      <w:r w:rsidR="00B35B46">
        <w:t>yw</w:t>
      </w:r>
      <w:r>
        <w:t>ała prace] jest nieprawdziwa, bowiem pismo wysłane do spółki było pozbawione jakiegokolwiek profesjonalizmu, nie odnosiło się do umowy i zostało całkowicie pominięte przez [przedmiotową spółkę]”.</w:t>
      </w:r>
    </w:p>
    <w:p w14:paraId="6F72BC47" w14:textId="76BFC968" w:rsidR="00114816" w:rsidRPr="00380BA6" w:rsidRDefault="00114816" w:rsidP="00380BA6">
      <w:pPr>
        <w:pStyle w:val="JuPara"/>
      </w:pPr>
      <w:r>
        <w:lastRenderedPageBreak/>
        <w:t>10.</w:t>
      </w:r>
      <w:r w:rsidR="00EE6FF2">
        <w:t xml:space="preserve"> </w:t>
      </w:r>
      <w:r>
        <w:t>We fragmencie zatytułowanym „Dlaczego nowi radni?”</w:t>
      </w:r>
      <w:r w:rsidR="00EE6FF2">
        <w:t xml:space="preserve"> </w:t>
      </w:r>
      <w:r>
        <w:t>skarżący skrytykował niektórych radnych, w tym J.K., w następujący sposób:</w:t>
      </w:r>
    </w:p>
    <w:p w14:paraId="1FADD014" w14:textId="48BD54A6" w:rsidR="00114816" w:rsidRPr="00421EF5" w:rsidRDefault="00380BA6" w:rsidP="00380BA6">
      <w:pPr>
        <w:pStyle w:val="JuQuot"/>
      </w:pPr>
      <w:r>
        <w:t>„Pięć lat temu J.K., zasiadająca obecnie w radzie miasta, zeznawała przeciwko nam w ramach dochodzenia wszczętego wobec nas przez „układ spółkowy” w związku z</w:t>
      </w:r>
      <w:r w:rsidR="00F5020F">
        <w:t> </w:t>
      </w:r>
      <w:r>
        <w:t>publiczn</w:t>
      </w:r>
      <w:r w:rsidR="00C46E77">
        <w:t>ą</w:t>
      </w:r>
      <w:r>
        <w:t xml:space="preserve"> </w:t>
      </w:r>
      <w:r w:rsidR="00C46E77">
        <w:t>krytyką dotyczącą</w:t>
      </w:r>
      <w:r>
        <w:t xml:space="preserve"> nadużyć popełnionych na szkodę gminy. Dzisiaj J.K. </w:t>
      </w:r>
      <w:r w:rsidR="007703BB">
        <w:t>cieszy się łaskami burmistrza, otrzymuje bezzwrotną pomoc gminną</w:t>
      </w:r>
      <w:r>
        <w:t xml:space="preserve"> w</w:t>
      </w:r>
      <w:r w:rsidR="00F5020F">
        <w:t> </w:t>
      </w:r>
      <w:r>
        <w:t xml:space="preserve">wysokości 100 000 złotych polskich (PLN) </w:t>
      </w:r>
      <w:r w:rsidR="00545390">
        <w:t>dla kolejnej innej spółki</w:t>
      </w:r>
      <w:r>
        <w:t xml:space="preserve">, </w:t>
      </w:r>
      <w:r w:rsidR="00545390">
        <w:t xml:space="preserve">elastycznie porusza się w układach międzypartyjnych </w:t>
      </w:r>
      <w:r>
        <w:t xml:space="preserve">i </w:t>
      </w:r>
      <w:r w:rsidR="00421EF5" w:rsidRPr="00421EF5">
        <w:t xml:space="preserve">generalnie </w:t>
      </w:r>
      <w:r w:rsidR="007703BB">
        <w:t>znakomicie</w:t>
      </w:r>
      <w:r w:rsidR="00015C59">
        <w:t xml:space="preserve"> </w:t>
      </w:r>
      <w:r w:rsidRPr="00421EF5">
        <w:t>dba o swoje interesy”.</w:t>
      </w:r>
    </w:p>
    <w:p w14:paraId="6A145279" w14:textId="22653C7F" w:rsidR="00114816" w:rsidRPr="00380BA6" w:rsidRDefault="00114816" w:rsidP="00380BA6">
      <w:pPr>
        <w:pStyle w:val="JuPara"/>
      </w:pPr>
      <w:r>
        <w:t>11.</w:t>
      </w:r>
      <w:r w:rsidR="00EE6FF2">
        <w:t xml:space="preserve"> </w:t>
      </w:r>
      <w:r>
        <w:t>Ponadto we fragmencie zatytułowanym „Festiwal wyborczy” skarżący skrytykował sposób wykonania prac izolacyjnych w gminnym budynku szkolnym. Zasugerował, że prace wykonano pospiesznie i wbrew zasadom sztuki budowlanej. Zaistniałą sytuację opisał następującymi słowami:</w:t>
      </w:r>
    </w:p>
    <w:p w14:paraId="28ACE98A" w14:textId="20CEA5F6" w:rsidR="00114816" w:rsidRPr="00380BA6" w:rsidRDefault="00114816" w:rsidP="00380BA6">
      <w:pPr>
        <w:pStyle w:val="JuQuot"/>
      </w:pPr>
      <w:r>
        <w:t>„Szkoda, że prace izolacyjne w budynkach szkolnych, które pospiesznie ukończono przed jesiennym</w:t>
      </w:r>
      <w:r w:rsidRPr="004D355E">
        <w:t xml:space="preserve"> festiwalem</w:t>
      </w:r>
      <w:r>
        <w:t>, zostały wykonane wadliwie: nie położono siatki na</w:t>
      </w:r>
      <w:r w:rsidR="00F5020F">
        <w:t> </w:t>
      </w:r>
      <w:r>
        <w:t>warstwę styropianu pod tynkiem i elewacja prawdopodobnie nie wytrzyma dłużej niż rok czy dwa”.</w:t>
      </w:r>
    </w:p>
    <w:p w14:paraId="0C881719" w14:textId="46A475DD" w:rsidR="00114816" w:rsidRPr="00380BA6" w:rsidRDefault="00114816" w:rsidP="00380BA6">
      <w:pPr>
        <w:pStyle w:val="JuPara"/>
      </w:pPr>
      <w:r>
        <w:t>12.</w:t>
      </w:r>
      <w:r w:rsidR="00EE6FF2">
        <w:t xml:space="preserve"> </w:t>
      </w:r>
      <w:r>
        <w:t xml:space="preserve">W bliżej nieokreślonym dniu w październiku 2006 </w:t>
      </w:r>
      <w:r w:rsidR="001D45B2">
        <w:t>roku</w:t>
      </w:r>
      <w:r>
        <w:t>, po</w:t>
      </w:r>
      <w:r w:rsidR="00F5020F">
        <w:t> </w:t>
      </w:r>
      <w:r>
        <w:t xml:space="preserve">zakończeniu niedzielnej mszy, skarżący </w:t>
      </w:r>
      <w:r w:rsidR="00997EC8">
        <w:t>rozdawał ulotki w dużej ilości egzemplarzy</w:t>
      </w:r>
      <w:r>
        <w:t xml:space="preserve"> przed budynkiem kościoła.</w:t>
      </w:r>
    </w:p>
    <w:p w14:paraId="5BEAC3E4" w14:textId="2E4A6BCA" w:rsidR="00114816" w:rsidRPr="00380BA6" w:rsidRDefault="00114816" w:rsidP="00380BA6">
      <w:pPr>
        <w:pStyle w:val="JuPara"/>
      </w:pPr>
      <w:r>
        <w:t>13.</w:t>
      </w:r>
      <w:r w:rsidR="00EE6FF2">
        <w:t xml:space="preserve"> </w:t>
      </w:r>
      <w:r>
        <w:t>W bliżej nieokreślonym dniu J.Ś. i J.K. wystąpili przeciwko skarżące</w:t>
      </w:r>
      <w:r w:rsidR="00A77974">
        <w:t>mu</w:t>
      </w:r>
      <w:r>
        <w:t xml:space="preserve"> i A.B. na drogę sądową w trybie art. 72 ustawy Ordynacja wyborcza do rad gmin, rad powiatów i sejmików województw (zob. </w:t>
      </w:r>
      <w:r w:rsidR="00492762">
        <w:t xml:space="preserve">pkt </w:t>
      </w:r>
      <w:r>
        <w:t>28 poniżej).</w:t>
      </w:r>
    </w:p>
    <w:p w14:paraId="5869E94E" w14:textId="7E4ADAEA" w:rsidR="00114816" w:rsidRPr="00380BA6" w:rsidRDefault="00114816" w:rsidP="00380BA6">
      <w:pPr>
        <w:pStyle w:val="JuPara"/>
      </w:pPr>
      <w:r>
        <w:t>14.</w:t>
      </w:r>
      <w:r w:rsidR="00EE6FF2">
        <w:t xml:space="preserve"> </w:t>
      </w:r>
      <w:r>
        <w:t xml:space="preserve">Wnieśli o zakazanie rozpowszechniania „Listu </w:t>
      </w:r>
      <w:r w:rsidR="00B93B9B">
        <w:t>O</w:t>
      </w:r>
      <w:r>
        <w:t>twartego nr 5”</w:t>
      </w:r>
      <w:r w:rsidR="00A77974">
        <w:t xml:space="preserve"> oraz</w:t>
      </w:r>
      <w:r w:rsidR="00F5020F">
        <w:t> </w:t>
      </w:r>
      <w:r>
        <w:t>zobowiązanie skarżącego i A.B. do sprostowania</w:t>
      </w:r>
      <w:r w:rsidR="00F77411" w:rsidRPr="00F77411">
        <w:t xml:space="preserve"> </w:t>
      </w:r>
      <w:r w:rsidR="00F77411">
        <w:t>niedokładnych</w:t>
      </w:r>
      <w:r w:rsidR="001A054D">
        <w:t>,</w:t>
      </w:r>
      <w:r>
        <w:t xml:space="preserve"> ich</w:t>
      </w:r>
      <w:r w:rsidR="00F5020F">
        <w:t> </w:t>
      </w:r>
      <w:r>
        <w:t>zdaniem</w:t>
      </w:r>
      <w:r w:rsidR="001A054D">
        <w:t>,</w:t>
      </w:r>
      <w:r>
        <w:t xml:space="preserve"> informacji rozpowszechnianych w ulotce oraz o nakazanie publicznego przeproszenia ich za tego rodzaju wypowiedzi. Ponadto wnieśli</w:t>
      </w:r>
      <w:r w:rsidR="00F5020F">
        <w:t> </w:t>
      </w:r>
      <w:r>
        <w:t xml:space="preserve">o </w:t>
      </w:r>
      <w:r w:rsidR="00C46E77">
        <w:t>zasądzenie od</w:t>
      </w:r>
      <w:r>
        <w:t xml:space="preserve"> skarżące</w:t>
      </w:r>
      <w:r w:rsidR="00C46E77">
        <w:t>go</w:t>
      </w:r>
      <w:r>
        <w:t xml:space="preserve"> i A.B.</w:t>
      </w:r>
      <w:r w:rsidR="00C46E77">
        <w:t xml:space="preserve">, </w:t>
      </w:r>
      <w:r w:rsidR="00C46E77" w:rsidRPr="00B5352A">
        <w:t>każdego z nich</w:t>
      </w:r>
      <w:r w:rsidR="00B5352A">
        <w:t xml:space="preserve"> osobno</w:t>
      </w:r>
      <w:r w:rsidR="00C46E77">
        <w:t>,</w:t>
      </w:r>
      <w:r>
        <w:t xml:space="preserve"> kwoty </w:t>
      </w:r>
      <w:r w:rsidR="00A12BFE">
        <w:t xml:space="preserve">po </w:t>
      </w:r>
      <w:r>
        <w:t>5000 PLN</w:t>
      </w:r>
      <w:r w:rsidR="00C46E77">
        <w:t xml:space="preserve"> </w:t>
      </w:r>
      <w:r>
        <w:t>na rzecz instytucji charytatywnej oraz o zwrot kosztów postępowania.</w:t>
      </w:r>
    </w:p>
    <w:p w14:paraId="72282941" w14:textId="18BD3221" w:rsidR="00114816" w:rsidRPr="00380BA6" w:rsidRDefault="00114816" w:rsidP="00380BA6">
      <w:pPr>
        <w:pStyle w:val="JuPara"/>
      </w:pPr>
      <w:r>
        <w:t>15.</w:t>
      </w:r>
      <w:r w:rsidR="00EE6FF2">
        <w:t xml:space="preserve"> </w:t>
      </w:r>
      <w:r>
        <w:t xml:space="preserve">W dniu 27 października 2006 </w:t>
      </w:r>
      <w:r w:rsidR="001D45B2">
        <w:t>roku</w:t>
      </w:r>
      <w:r>
        <w:t xml:space="preserve"> o godz. 10:30 skarżący został wezwany telefonicznie na rozprawę wyznaczoną na ten sam </w:t>
      </w:r>
      <w:r w:rsidR="00A77974">
        <w:t>dzień na</w:t>
      </w:r>
      <w:r>
        <w:t xml:space="preserve"> godz. 13:30 w Sądzie Okręgowym w </w:t>
      </w:r>
      <w:r w:rsidRPr="007F3A90">
        <w:t>Częstochowie („sąd”).</w:t>
      </w:r>
    </w:p>
    <w:p w14:paraId="09C38D3D" w14:textId="79A3C112" w:rsidR="00114816" w:rsidRPr="00380BA6" w:rsidRDefault="00114816" w:rsidP="00380BA6">
      <w:pPr>
        <w:pStyle w:val="JuPara"/>
        <w:rPr>
          <w:i/>
        </w:rPr>
      </w:pPr>
      <w:r>
        <w:t>16.</w:t>
      </w:r>
      <w:r w:rsidR="00EE6FF2">
        <w:t xml:space="preserve"> </w:t>
      </w:r>
      <w:r>
        <w:t xml:space="preserve">Na rozprawie w dniu 27 października 2006 </w:t>
      </w:r>
      <w:r w:rsidR="001D45B2">
        <w:t>roku</w:t>
      </w:r>
      <w:r>
        <w:t>, na którą skarżący się nie stawił, sąd przesłuchał świadków i zapoznał się z treścią złożonych przez stron</w:t>
      </w:r>
      <w:r w:rsidR="008664E3">
        <w:t>y</w:t>
      </w:r>
      <w:r>
        <w:t xml:space="preserve"> pism.</w:t>
      </w:r>
      <w:r w:rsidRPr="00FB768F">
        <w:t xml:space="preserve"> Postanowieniem wydanym </w:t>
      </w:r>
      <w:r>
        <w:t xml:space="preserve">tego samego dnia sąd </w:t>
      </w:r>
      <w:r w:rsidR="00C46E77">
        <w:t xml:space="preserve">oddalił </w:t>
      </w:r>
      <w:r>
        <w:t xml:space="preserve">skierowane wobec A.B. </w:t>
      </w:r>
      <w:r w:rsidRPr="00260E0B">
        <w:t xml:space="preserve">żądania, uzasadniając to cofnięciem przez wnioskodawców złożonego </w:t>
      </w:r>
      <w:r w:rsidRPr="009121A7">
        <w:t xml:space="preserve">przeciwko niemu wniosku. Uwzględnił natomiast </w:t>
      </w:r>
      <w:r w:rsidRPr="005D74D3">
        <w:t xml:space="preserve">żądania </w:t>
      </w:r>
      <w:r w:rsidRPr="004504A5">
        <w:t xml:space="preserve">skierowane wobec skarżącego. Sąd zakazał skarżącemu dalszego rozpowszechniania ulotki </w:t>
      </w:r>
      <w:r>
        <w:t xml:space="preserve">i nakazał mu </w:t>
      </w:r>
      <w:r w:rsidR="00245A27">
        <w:t>przeprosić</w:t>
      </w:r>
      <w:r>
        <w:t xml:space="preserve"> oraz sprostowa</w:t>
      </w:r>
      <w:r w:rsidR="00245A27">
        <w:t>ć</w:t>
      </w:r>
      <w:r>
        <w:t xml:space="preserve"> </w:t>
      </w:r>
      <w:r w:rsidR="00421EF5">
        <w:t xml:space="preserve">nieścisłe </w:t>
      </w:r>
      <w:r>
        <w:t>informacj</w:t>
      </w:r>
      <w:r w:rsidR="00245A27">
        <w:t>e</w:t>
      </w:r>
      <w:r>
        <w:t xml:space="preserve"> </w:t>
      </w:r>
      <w:r w:rsidR="00421EF5">
        <w:t>po</w:t>
      </w:r>
      <w:r>
        <w:t>przez publikację następującego oświadczenia na</w:t>
      </w:r>
      <w:r w:rsidR="00F5020F">
        <w:t> </w:t>
      </w:r>
      <w:r>
        <w:t>pierwszej stronie dwóch lokalnych dzienników:</w:t>
      </w:r>
    </w:p>
    <w:p w14:paraId="2E0E22EB" w14:textId="26AF67EF" w:rsidR="00114816" w:rsidRPr="00380BA6" w:rsidRDefault="00114816" w:rsidP="00380BA6">
      <w:pPr>
        <w:pStyle w:val="JuQuot"/>
      </w:pPr>
      <w:r>
        <w:t>„Zenon Brzeziński przeprasza J.K., kandydatkę na stanowisko radnego gminy i</w:t>
      </w:r>
      <w:r w:rsidR="00F5020F">
        <w:t> </w:t>
      </w:r>
      <w:r>
        <w:t>miasta K.</w:t>
      </w:r>
      <w:r w:rsidR="00F77411">
        <w:t>,</w:t>
      </w:r>
      <w:r>
        <w:t xml:space="preserve"> oraz J.Ś., kandydata na urząd </w:t>
      </w:r>
      <w:r w:rsidR="007703BB">
        <w:t>burmistrza</w:t>
      </w:r>
      <w:r>
        <w:t>, za nieprawdziwe wypowiedzi zawarte w</w:t>
      </w:r>
      <w:r w:rsidR="001D7F5E">
        <w:t xml:space="preserve"> </w:t>
      </w:r>
      <w:r>
        <w:t xml:space="preserve">„Liście </w:t>
      </w:r>
      <w:r w:rsidR="00B93B9B">
        <w:t>O</w:t>
      </w:r>
      <w:r>
        <w:t>twartym nr 5”, w których sugerował, jakoby:</w:t>
      </w:r>
    </w:p>
    <w:p w14:paraId="6F5E6F54" w14:textId="3232F692" w:rsidR="00114816" w:rsidRPr="00380BA6" w:rsidRDefault="00114816" w:rsidP="00380BA6">
      <w:pPr>
        <w:pStyle w:val="JuQuot"/>
      </w:pPr>
      <w:r>
        <w:lastRenderedPageBreak/>
        <w:t>–</w:t>
      </w:r>
      <w:r>
        <w:tab/>
        <w:t xml:space="preserve">J.K. otrzymała od gminy i rady miasta K. kwotę 100 000 zł tytułem bezzwrotnej </w:t>
      </w:r>
      <w:r w:rsidR="007703BB">
        <w:t>pomocy finansowej</w:t>
      </w:r>
      <w:r>
        <w:t>;</w:t>
      </w:r>
    </w:p>
    <w:p w14:paraId="14E1E12E" w14:textId="348173C6" w:rsidR="00114816" w:rsidRPr="00380BA6" w:rsidRDefault="00114816" w:rsidP="00380BA6">
      <w:pPr>
        <w:pStyle w:val="JuQuot"/>
      </w:pPr>
      <w:r>
        <w:t>–</w:t>
      </w:r>
      <w:r w:rsidR="00EE6FF2">
        <w:t xml:space="preserve"> </w:t>
      </w:r>
      <w:r w:rsidR="000E0D59">
        <w:t xml:space="preserve">Jako </w:t>
      </w:r>
      <w:r w:rsidR="007703BB">
        <w:t>burmistrz</w:t>
      </w:r>
      <w:r w:rsidR="000E0D59">
        <w:t xml:space="preserve"> </w:t>
      </w:r>
      <w:r>
        <w:t>J.Ś.</w:t>
      </w:r>
      <w:r w:rsidR="000E0D59">
        <w:t xml:space="preserve"> </w:t>
      </w:r>
      <w:r>
        <w:t>pomógł J.K. w uzyskaniu przedmiotowej</w:t>
      </w:r>
      <w:r w:rsidR="007703BB">
        <w:t xml:space="preserve"> pomocy finansowej</w:t>
      </w:r>
      <w:r>
        <w:t>;</w:t>
      </w:r>
    </w:p>
    <w:p w14:paraId="38885856" w14:textId="1C671744" w:rsidR="00114816" w:rsidRPr="00380BA6" w:rsidRDefault="00114816" w:rsidP="00380BA6">
      <w:pPr>
        <w:pStyle w:val="JuQuot"/>
      </w:pPr>
      <w:r>
        <w:t>–</w:t>
      </w:r>
      <w:r w:rsidR="00EE6FF2">
        <w:t xml:space="preserve"> </w:t>
      </w:r>
      <w:r>
        <w:t>podczas prowadzenia prac remontowych w szkole podstawowej w</w:t>
      </w:r>
      <w:r w:rsidR="00F5020F">
        <w:t> </w:t>
      </w:r>
      <w:r>
        <w:t>C.</w:t>
      </w:r>
      <w:r w:rsidR="00F5020F">
        <w:t> </w:t>
      </w:r>
      <w:r>
        <w:t>dopuszczono się zaniedbań polegających na nieumieszczeniu siatki na</w:t>
      </w:r>
      <w:r w:rsidR="00F5020F">
        <w:t> </w:t>
      </w:r>
      <w:r>
        <w:t>styropianie, co mogło przyczynić się do zniszczenia elewacji po roku lub dwóch latach;</w:t>
      </w:r>
    </w:p>
    <w:p w14:paraId="61B19EAD" w14:textId="39F44E3D" w:rsidR="00114816" w:rsidRPr="00380BA6" w:rsidRDefault="00114816" w:rsidP="00380BA6">
      <w:pPr>
        <w:pStyle w:val="JuQuot"/>
      </w:pPr>
      <w:r>
        <w:t>–</w:t>
      </w:r>
      <w:r w:rsidR="00EE6FF2">
        <w:t xml:space="preserve"> </w:t>
      </w:r>
      <w:r>
        <w:t>J.Ś. nie rozwiązał zawartej ze spółką B.S. umowy na eksploatację sieci wodno-kanalizacyjnej.</w:t>
      </w:r>
    </w:p>
    <w:p w14:paraId="76213EF7" w14:textId="6C6A5F63" w:rsidR="00114816" w:rsidRPr="00380BA6" w:rsidRDefault="00114816" w:rsidP="00380BA6">
      <w:pPr>
        <w:pStyle w:val="JuQuot"/>
      </w:pPr>
      <w:r>
        <w:t>Zenon Brzeziński żałuje, że powyższe nieprawdziwe informacje zostały podane do</w:t>
      </w:r>
      <w:r w:rsidR="00F5020F">
        <w:t> </w:t>
      </w:r>
      <w:r>
        <w:t>wiadomości publicznej, gdyż mogły wprowadzić opinię publiczną w błąd”.</w:t>
      </w:r>
    </w:p>
    <w:p w14:paraId="74798E0D" w14:textId="47DA4204" w:rsidR="00114816" w:rsidRPr="00380BA6" w:rsidRDefault="00114816" w:rsidP="00380BA6">
      <w:pPr>
        <w:pStyle w:val="JuPara"/>
      </w:pPr>
      <w:r>
        <w:t>17.</w:t>
      </w:r>
      <w:r w:rsidR="00EE6FF2">
        <w:t xml:space="preserve"> </w:t>
      </w:r>
      <w:r>
        <w:t xml:space="preserve">Ponadto sąd zasądził od skarżącego kwotę 5000 PLN na rzecz instytucji charytatywnej oraz kwotę 360 PLN na rzecz </w:t>
      </w:r>
      <w:r w:rsidRPr="00FB768F">
        <w:t xml:space="preserve">wnioskodawców </w:t>
      </w:r>
      <w:r>
        <w:t>tytułem zwrotu kosztów postępowania.</w:t>
      </w:r>
    </w:p>
    <w:p w14:paraId="764B8088" w14:textId="0AC51D9D" w:rsidR="00114816" w:rsidRPr="00380BA6" w:rsidRDefault="00114816" w:rsidP="00380BA6">
      <w:pPr>
        <w:pStyle w:val="JuPara"/>
      </w:pPr>
      <w:r>
        <w:t>18.</w:t>
      </w:r>
      <w:r w:rsidR="00EE6FF2">
        <w:t xml:space="preserve"> </w:t>
      </w:r>
      <w:r>
        <w:t xml:space="preserve">W uzasadnieniu postanowienia sąd wskazał, że skarżący zasugerował jakoby doszło do nieprawidłowości w związku z wypłatą </w:t>
      </w:r>
      <w:r w:rsidRPr="009121A7">
        <w:t>dotacji fin</w:t>
      </w:r>
      <w:r w:rsidRPr="005D74D3">
        <w:t>ansowanych ze środków publicznych. Tymczasem w ocenie sądu wypowiedzi te nie z</w:t>
      </w:r>
      <w:r w:rsidR="00C46E77" w:rsidRPr="004504A5">
        <w:t>ostały poparte</w:t>
      </w:r>
      <w:r w:rsidRPr="004504A5">
        <w:t xml:space="preserve"> materia</w:t>
      </w:r>
      <w:r w:rsidR="00C46E77" w:rsidRPr="00FE1D10">
        <w:t>łem</w:t>
      </w:r>
      <w:r w:rsidRPr="00FE1D10">
        <w:t xml:space="preserve"> dowodowym. Sąd wskazał w</w:t>
      </w:r>
      <w:r w:rsidR="00F5020F">
        <w:t> </w:t>
      </w:r>
      <w:r w:rsidRPr="00FE1D10">
        <w:t>szczególności, że z dokumentacji finansowej gminy jasno wynika, że</w:t>
      </w:r>
      <w:r w:rsidR="00F5020F">
        <w:t> </w:t>
      </w:r>
      <w:r w:rsidR="007703BB">
        <w:t>dotacje były systematycznie przyznawane</w:t>
      </w:r>
      <w:r w:rsidRPr="004504A5">
        <w:t xml:space="preserve"> spółce gminnej zajmującej się gospodarką</w:t>
      </w:r>
      <w:r>
        <w:t xml:space="preserve"> </w:t>
      </w:r>
      <w:r w:rsidRPr="00421EF5">
        <w:t>gruntów rolnych,</w:t>
      </w:r>
      <w:r>
        <w:t xml:space="preserve"> której J.K. była wiceprezesem – nie zaś samej J.K. – na potrzeby prowadzenia modernizacji podupadających obiektów gminnych. Dodał, że jednoczesne pełnienie przez J.K. funkcji członka rady nadzorczej i członka zarządu w przedmiotowej spółce nie prowadziło do</w:t>
      </w:r>
      <w:r w:rsidR="00F5020F">
        <w:t> </w:t>
      </w:r>
      <w:r>
        <w:t>powstania konfliktu interesów ani nie świadczyło o prawdziwości twierdzeń skarżącego, zgodnie z którymi J.K. „</w:t>
      </w:r>
      <w:r w:rsidR="00545390" w:rsidRPr="00545390">
        <w:t>elastycznie porusza</w:t>
      </w:r>
      <w:r w:rsidR="00545390">
        <w:t>ła</w:t>
      </w:r>
      <w:r w:rsidR="00545390" w:rsidRPr="00545390">
        <w:t xml:space="preserve"> się w układach międzypartyjnych i generalnie znakomicie dba</w:t>
      </w:r>
      <w:r w:rsidR="00545390">
        <w:t>ła</w:t>
      </w:r>
      <w:r w:rsidR="00545390" w:rsidRPr="00545390">
        <w:t xml:space="preserve"> o swoje interesy</w:t>
      </w:r>
      <w:r>
        <w:t xml:space="preserve">”. </w:t>
      </w:r>
    </w:p>
    <w:p w14:paraId="498ECC54" w14:textId="331BC879" w:rsidR="00114816" w:rsidRPr="00380BA6" w:rsidRDefault="00114816" w:rsidP="00380BA6">
      <w:pPr>
        <w:pStyle w:val="JuPara"/>
      </w:pPr>
      <w:r>
        <w:t>19.</w:t>
      </w:r>
      <w:r w:rsidR="00EE6FF2">
        <w:t xml:space="preserve"> </w:t>
      </w:r>
      <w:r>
        <w:t>Sąd uznał ponadto, że brak było dowodów świadczących o</w:t>
      </w:r>
      <w:r w:rsidR="00F5020F">
        <w:t> </w:t>
      </w:r>
      <w:r>
        <w:t>prawdziwości wypowiedzi dotyczących J.Ś. Zdaniem sądu ze</w:t>
      </w:r>
      <w:r w:rsidR="00F5020F">
        <w:t> </w:t>
      </w:r>
      <w:r>
        <w:t>zgromadzonego w sprawie materiału dowodowego wynikało, że J.Ś. przedłożył spółce X pismo zawierające oświadczenie o rozwiązaniu umowy, którą spółka ta zawarła z gminą</w:t>
      </w:r>
      <w:r w:rsidR="00015C59">
        <w:t>,</w:t>
      </w:r>
      <w:r>
        <w:t xml:space="preserve"> oraz że po upływie okresu wypowiedzenia wystąpił z powództwem wobec niej. Sąd wskazał, że</w:t>
      </w:r>
      <w:r w:rsidR="00F5020F">
        <w:t> </w:t>
      </w:r>
      <w:r>
        <w:t xml:space="preserve">wszczęte w ten sposób przez </w:t>
      </w:r>
      <w:r w:rsidR="007703BB">
        <w:t>burmistrza</w:t>
      </w:r>
      <w:r>
        <w:t xml:space="preserve"> postępowanie doprowadziło do</w:t>
      </w:r>
      <w:r w:rsidR="00F5020F">
        <w:t> </w:t>
      </w:r>
      <w:r>
        <w:t xml:space="preserve">wydania orzeczenia nakazującego spółce X zwrot </w:t>
      </w:r>
      <w:r w:rsidRPr="007E0D27">
        <w:t xml:space="preserve">gminie wszystkich </w:t>
      </w:r>
      <w:r w:rsidRPr="008A79DD">
        <w:t>należących do niej</w:t>
      </w:r>
      <w:r w:rsidR="00E241A7" w:rsidRPr="005B0396">
        <w:t xml:space="preserve"> sieci wodociągowo-kanalizacyj</w:t>
      </w:r>
      <w:r w:rsidR="00E2660E" w:rsidRPr="008A79DD">
        <w:t>nych</w:t>
      </w:r>
      <w:r>
        <w:t xml:space="preserve">. Uznał, że w tych okolicznościach wypowiedzi zarzucające J.Ś. brak profesjonalizmu były bezpodstawne oraz że zarówno te wypowiedzi jak i wypowiedzi dotyczące J.K. godziły w cześć i dobre </w:t>
      </w:r>
      <w:r w:rsidRPr="00DC3E90">
        <w:t xml:space="preserve">imię </w:t>
      </w:r>
      <w:r w:rsidR="00015C59" w:rsidRPr="00DC3E90">
        <w:t>wnioskodawców</w:t>
      </w:r>
      <w:r w:rsidRPr="00DC3E90">
        <w:t>.</w:t>
      </w:r>
      <w:r>
        <w:t xml:space="preserve"> </w:t>
      </w:r>
      <w:r w:rsidR="00391216">
        <w:t xml:space="preserve">Ponadto </w:t>
      </w:r>
      <w:r>
        <w:t xml:space="preserve">sąd </w:t>
      </w:r>
      <w:r w:rsidR="00836A99">
        <w:t>wskazał</w:t>
      </w:r>
      <w:r>
        <w:t>, że</w:t>
      </w:r>
      <w:r w:rsidR="00F5020F">
        <w:t> </w:t>
      </w:r>
      <w:r>
        <w:t>twierdzenia skarżącego dotyczące nieprawidłowości w prowadzeniu prac remontowych w gminnym budynku szkolnym zostały zakwestionowane przez świadków, w tym dyrektora szkoły i inspektora nadzoru budowlanego.</w:t>
      </w:r>
    </w:p>
    <w:p w14:paraId="06419427" w14:textId="4BD1CB44" w:rsidR="00114816" w:rsidRPr="00380BA6" w:rsidRDefault="00114816" w:rsidP="00380BA6">
      <w:pPr>
        <w:pStyle w:val="JuPara"/>
      </w:pPr>
      <w:r>
        <w:lastRenderedPageBreak/>
        <w:t>20.</w:t>
      </w:r>
      <w:r w:rsidR="00EE6FF2">
        <w:t xml:space="preserve"> </w:t>
      </w:r>
      <w:r>
        <w:t>Sąd stwierdził, że pismo miało charakter złośliwy i w</w:t>
      </w:r>
      <w:r w:rsidR="00015C59">
        <w:t>ykraczał</w:t>
      </w:r>
      <w:r>
        <w:t xml:space="preserve">o poza dopuszczalne </w:t>
      </w:r>
      <w:r w:rsidR="0012770B">
        <w:t>formy kampanii</w:t>
      </w:r>
      <w:r>
        <w:t xml:space="preserve"> wyborczej, co uzasadniało zobowiązanie skarżącego do zapłaty kwoty na rzecz instytucji charytatywnej. Sąd</w:t>
      </w:r>
      <w:r w:rsidR="00F5020F">
        <w:t> </w:t>
      </w:r>
      <w:r>
        <w:t>zarządził doręczenie postanowienia skarżącemu wraz z pouczeniem o</w:t>
      </w:r>
      <w:r w:rsidR="00F5020F">
        <w:t> </w:t>
      </w:r>
      <w:r>
        <w:t>przysługujących mu środkach odwoławczych.</w:t>
      </w:r>
    </w:p>
    <w:p w14:paraId="1CDD4348" w14:textId="4A6FCDBD" w:rsidR="00114816" w:rsidRPr="00380BA6" w:rsidRDefault="00114816" w:rsidP="00380BA6">
      <w:pPr>
        <w:pStyle w:val="JuPara"/>
      </w:pPr>
      <w:r>
        <w:t>21.</w:t>
      </w:r>
      <w:r w:rsidR="00EE6FF2">
        <w:t xml:space="preserve"> </w:t>
      </w:r>
      <w:r>
        <w:t xml:space="preserve">W dniu 30 października 2006 </w:t>
      </w:r>
      <w:r w:rsidR="001D45B2">
        <w:t>roku</w:t>
      </w:r>
      <w:r>
        <w:t xml:space="preserve"> skarżący </w:t>
      </w:r>
      <w:r w:rsidR="001D7F5E">
        <w:t>za</w:t>
      </w:r>
      <w:r w:rsidR="00C46E77">
        <w:t>dzwonił</w:t>
      </w:r>
      <w:r>
        <w:t xml:space="preserve"> do sądu i</w:t>
      </w:r>
      <w:r w:rsidR="00F5020F">
        <w:t> </w:t>
      </w:r>
      <w:r>
        <w:t>został poinformowany przez pracownika sekretariatu o postanowieniu z</w:t>
      </w:r>
      <w:r w:rsidR="00F5020F">
        <w:t> </w:t>
      </w:r>
      <w:r>
        <w:t xml:space="preserve">dnia 27 października 2006 </w:t>
      </w:r>
      <w:r w:rsidR="001D45B2">
        <w:t>roku</w:t>
      </w:r>
      <w:r w:rsidR="009B4D5E">
        <w:t>.</w:t>
      </w:r>
    </w:p>
    <w:p w14:paraId="6F6AF3F3" w14:textId="7CB44185" w:rsidR="00114816" w:rsidRPr="00380BA6" w:rsidRDefault="00114816" w:rsidP="00380BA6">
      <w:pPr>
        <w:pStyle w:val="JuPara"/>
        <w:rPr>
          <w:i/>
        </w:rPr>
      </w:pPr>
      <w:r>
        <w:t>22.</w:t>
      </w:r>
      <w:r w:rsidR="00EE6FF2">
        <w:t xml:space="preserve"> </w:t>
      </w:r>
      <w:r>
        <w:t>Tego samego dnia skarżący wniósł zażalenie na to postanowienie. Pismo zawierające zażalenie przesłał faksem o godz. 16:26, a następnie oryginał listem poleconym. Wniósł o uchylenie postanowienia wydanego w</w:t>
      </w:r>
      <w:r w:rsidR="00F5020F">
        <w:t> </w:t>
      </w:r>
      <w:r>
        <w:t xml:space="preserve">pierwszej instancji w całości, wywodząc, że dochował 24-godzinnego terminu przewidzianego w odpowiednich przepisach prawa, bowiem – </w:t>
      </w:r>
      <w:r w:rsidR="008B65FB">
        <w:t>jak</w:t>
      </w:r>
      <w:r w:rsidR="00F5020F">
        <w:t> </w:t>
      </w:r>
      <w:r w:rsidR="008B65FB">
        <w:t>twierdził</w:t>
      </w:r>
      <w:r>
        <w:t xml:space="preserve"> – </w:t>
      </w:r>
      <w:r w:rsidR="008B65FB">
        <w:t xml:space="preserve">nie zapoznał się z treścią </w:t>
      </w:r>
      <w:r>
        <w:t>postanowienia</w:t>
      </w:r>
      <w:r w:rsidR="008B65FB">
        <w:t xml:space="preserve"> aż do</w:t>
      </w:r>
      <w:r>
        <w:t xml:space="preserve"> dni</w:t>
      </w:r>
      <w:r w:rsidR="008B65FB">
        <w:t>a</w:t>
      </w:r>
      <w:r>
        <w:t xml:space="preserve"> 30</w:t>
      </w:r>
      <w:r w:rsidR="00F5020F">
        <w:t> </w:t>
      </w:r>
      <w:r>
        <w:t xml:space="preserve">października 2006 </w:t>
      </w:r>
      <w:r w:rsidR="001D45B2">
        <w:t>roku</w:t>
      </w:r>
      <w:r w:rsidR="009B4D5E">
        <w:t>.</w:t>
      </w:r>
      <w:r>
        <w:t xml:space="preserve"> Wskazał, że jego niestawiennictwo na</w:t>
      </w:r>
      <w:r w:rsidR="00F5020F">
        <w:t> </w:t>
      </w:r>
      <w:r>
        <w:t xml:space="preserve">rozprawie w dniu 27 października 2006 </w:t>
      </w:r>
      <w:r w:rsidR="001D45B2">
        <w:t>roku</w:t>
      </w:r>
      <w:r>
        <w:t xml:space="preserve"> spowodowane było złym stanem zdrowia, w związku z którym następnego dnia Zakład Ubezpieczeń Społecznych wezwał go na komisję lekarską w celu ustalenia jego prawa do</w:t>
      </w:r>
      <w:r w:rsidR="00F5020F">
        <w:t> </w:t>
      </w:r>
      <w:r>
        <w:t>dodatkowego świadczenia rehabilitacyjnego. Wskazał, że otrzymuje świadczenie rehabilitacyjne w związku z przewlekłą chorobą i ma trudności z samodzielnym prowadzeniem pojazdu. Stwierdził, że nie był w stanie znaleźć środka transportu, którym mógłby dotrzeć do sądu w ciągu trzech godzin od wezwania na termin rozprawy do</w:t>
      </w:r>
      <w:r w:rsidR="00522E47">
        <w:t xml:space="preserve"> jej</w:t>
      </w:r>
      <w:r>
        <w:t xml:space="preserve"> rozpoczęcia.</w:t>
      </w:r>
    </w:p>
    <w:p w14:paraId="751DA676" w14:textId="2A428F57" w:rsidR="00114816" w:rsidRPr="00380BA6" w:rsidRDefault="00114816" w:rsidP="00380BA6">
      <w:pPr>
        <w:pStyle w:val="JuPara"/>
      </w:pPr>
      <w:r>
        <w:t>Skarżący zarzucił ponadto, że z uwagi na sposób powiadomienia go o</w:t>
      </w:r>
      <w:r w:rsidR="00F5020F">
        <w:t> </w:t>
      </w:r>
      <w:r>
        <w:t>terminie rozprawy oraz o wydaniu orzeczenia po jej przeprowadzeniu, nie</w:t>
      </w:r>
      <w:r w:rsidR="00F5020F">
        <w:t> </w:t>
      </w:r>
      <w:r>
        <w:t xml:space="preserve">miał </w:t>
      </w:r>
      <w:r w:rsidR="00701F9B">
        <w:t xml:space="preserve">dostatecznej </w:t>
      </w:r>
      <w:r>
        <w:t>możliwości przedstawienia swojego stanowiska. Ponadto stwierdził, że orzeczenie wydane w pierwszej instancji nie zostało mu jeszcze doręczone.</w:t>
      </w:r>
    </w:p>
    <w:p w14:paraId="0D88005F" w14:textId="5681D88B" w:rsidR="00114816" w:rsidRPr="00380BA6" w:rsidRDefault="00114816" w:rsidP="00380BA6">
      <w:pPr>
        <w:pStyle w:val="JuPara"/>
      </w:pPr>
      <w:r>
        <w:t>23.</w:t>
      </w:r>
      <w:r w:rsidR="00EE6FF2">
        <w:t xml:space="preserve"> </w:t>
      </w:r>
      <w:r>
        <w:t xml:space="preserve">W dniu 31 października 2006 </w:t>
      </w:r>
      <w:r w:rsidR="001D45B2">
        <w:t>roku</w:t>
      </w:r>
      <w:r>
        <w:t xml:space="preserve"> o godz. 10:30 skarżącemu doręczono odpis orzeczenia wraz z uzasadnieniem.</w:t>
      </w:r>
    </w:p>
    <w:p w14:paraId="3582E799" w14:textId="543C9DDA" w:rsidR="00114816" w:rsidRPr="00380BA6" w:rsidRDefault="00114816" w:rsidP="00380BA6">
      <w:pPr>
        <w:pStyle w:val="JuPara"/>
        <w:rPr>
          <w:b/>
        </w:rPr>
      </w:pPr>
      <w:r>
        <w:t>24.</w:t>
      </w:r>
      <w:r w:rsidR="00EE6FF2">
        <w:t xml:space="preserve"> </w:t>
      </w:r>
      <w:r>
        <w:t xml:space="preserve">Tego samego dnia, po zapoznaniu się z treścią orzeczenia, skarżący ponownie wniósł środek odwoławczy. Twierdził, że jego sprawa nie została rozpoznana rzetelnie, bowiem nie miał możliwości </w:t>
      </w:r>
      <w:r w:rsidRPr="00C46E77">
        <w:t>prowadzenia</w:t>
      </w:r>
      <w:r>
        <w:t xml:space="preserve"> obrony w</w:t>
      </w:r>
      <w:r w:rsidR="00F5020F">
        <w:t> </w:t>
      </w:r>
      <w:r>
        <w:t xml:space="preserve">związku z nieobecnością na rozprawie. Powtórzył wszystkie </w:t>
      </w:r>
      <w:r w:rsidR="00CD2D14">
        <w:t xml:space="preserve">twierdzenia </w:t>
      </w:r>
      <w:r>
        <w:t xml:space="preserve">przytoczone w zażaleniu z dnia 30 października 2006 </w:t>
      </w:r>
      <w:r w:rsidR="001D45B2">
        <w:t>roku</w:t>
      </w:r>
      <w:r>
        <w:t xml:space="preserve"> oraz </w:t>
      </w:r>
      <w:r w:rsidR="00C34009">
        <w:t xml:space="preserve">sformułował </w:t>
      </w:r>
      <w:r>
        <w:t>inne</w:t>
      </w:r>
      <w:r w:rsidR="00B178A5">
        <w:t>,</w:t>
      </w:r>
      <w:r>
        <w:t xml:space="preserve"> </w:t>
      </w:r>
      <w:r w:rsidR="0035687F">
        <w:t>dotyczące meritum sprawy</w:t>
      </w:r>
      <w:r>
        <w:t xml:space="preserve">. W tym </w:t>
      </w:r>
      <w:r w:rsidR="00E7451E">
        <w:t>kontekście</w:t>
      </w:r>
      <w:r>
        <w:t xml:space="preserve"> stwierdził w szczególności, </w:t>
      </w:r>
      <w:r w:rsidRPr="00C34009">
        <w:t xml:space="preserve">że </w:t>
      </w:r>
      <w:r w:rsidR="0035687F" w:rsidRPr="00C34009">
        <w:t xml:space="preserve">miał na </w:t>
      </w:r>
      <w:r w:rsidRPr="00C34009">
        <w:t>względ</w:t>
      </w:r>
      <w:r w:rsidR="0035687F" w:rsidRPr="00C34009">
        <w:t>zie</w:t>
      </w:r>
      <w:r w:rsidRPr="00C34009">
        <w:t xml:space="preserve"> interes społeczn</w:t>
      </w:r>
      <w:r w:rsidR="0035687F" w:rsidRPr="00C34009">
        <w:t>y</w:t>
      </w:r>
      <w:r w:rsidRPr="00C34009">
        <w:t xml:space="preserve"> </w:t>
      </w:r>
      <w:r w:rsidR="0035687F" w:rsidRPr="00C34009">
        <w:t>oraz, że</w:t>
      </w:r>
      <w:r>
        <w:t xml:space="preserve"> nigdy nie powiedział, że J.K. otrzymała </w:t>
      </w:r>
      <w:r w:rsidR="00545390">
        <w:t>pomoc finansową</w:t>
      </w:r>
      <w:r>
        <w:t xml:space="preserve"> </w:t>
      </w:r>
      <w:r w:rsidR="00545390">
        <w:t xml:space="preserve">dla swojej prywatnej </w:t>
      </w:r>
      <w:r>
        <w:t>spółki. Jego zdaniem z publikacji jasno wynikało, że w niniejszej sprawie chodziło o spółkę gminną za</w:t>
      </w:r>
      <w:r w:rsidR="00C46E77">
        <w:t>jmującą się</w:t>
      </w:r>
      <w:r>
        <w:t xml:space="preserve"> gruntami rolnymi, w której J.K. była wiceprezesem, podobnie zresztą jak spółka X. Skarżący stwierdził, że</w:t>
      </w:r>
      <w:r w:rsidR="00F5020F">
        <w:t> </w:t>
      </w:r>
      <w:r>
        <w:t xml:space="preserve">pomimo nieścisłości jego stwierdzenia można było z łatwością sprostować bez konieczności przymuszania go do tego. </w:t>
      </w:r>
      <w:r w:rsidR="006C21D3">
        <w:t>Dodatkowo</w:t>
      </w:r>
      <w:r>
        <w:t xml:space="preserve"> do</w:t>
      </w:r>
      <w:r w:rsidR="00F5020F">
        <w:t> </w:t>
      </w:r>
      <w:r>
        <w:t>zażalenia skarżący załączył dokument, zgodnie z</w:t>
      </w:r>
      <w:r w:rsidR="00EE6FF2">
        <w:t xml:space="preserve"> </w:t>
      </w:r>
      <w:r>
        <w:t xml:space="preserve">którym wnioskodawczyni sama przyznała się do otrzymania w imieniu przedmiotowej spółki pomocy w wysokości 100 000 PLN. Skarżący </w:t>
      </w:r>
      <w:r>
        <w:lastRenderedPageBreak/>
        <w:t xml:space="preserve">stwierdził ponadto, że pismo zawierające oświadczenie o rozwiązaniu umowy zawartej pomiędzy gminą a spółką X nie zostało prawidłowo sformułowane, w wyniku czego umowa ta, która była bardzo niekorzystna dla mieszkańców gminy, nadal obowiązywała w czasie prowadzenia postępowania sądowego. Wreszcie wskazał, że podczas wizyty w gminnym budynku szkoły sam zauważył, że technika zastosowana podczas prac izolacyjnych była nieskuteczna i sprzeczna z </w:t>
      </w:r>
      <w:r w:rsidRPr="00B93B9B">
        <w:t>zaleceniami</w:t>
      </w:r>
      <w:r w:rsidR="00B93B9B">
        <w:t xml:space="preserve"> producenta</w:t>
      </w:r>
      <w:r w:rsidRPr="00B93B9B">
        <w:t>,</w:t>
      </w:r>
      <w:r>
        <w:t xml:space="preserve"> zgodnie z któr</w:t>
      </w:r>
      <w:r w:rsidR="00B93B9B">
        <w:t>ymi</w:t>
      </w:r>
      <w:r>
        <w:t xml:space="preserve"> siatkę wzmacniającą należało umieścić nad (a nie pod) tynkiem.</w:t>
      </w:r>
    </w:p>
    <w:p w14:paraId="79FB9D10" w14:textId="34809C6C" w:rsidR="00114816" w:rsidRPr="00380BA6" w:rsidRDefault="00114816" w:rsidP="00380BA6">
      <w:pPr>
        <w:pStyle w:val="JuPara"/>
      </w:pPr>
      <w:r>
        <w:t>25.</w:t>
      </w:r>
      <w:r w:rsidR="00EE6FF2">
        <w:t xml:space="preserve"> </w:t>
      </w:r>
      <w:r>
        <w:t xml:space="preserve">W dniu 2 listopada 2006 </w:t>
      </w:r>
      <w:r w:rsidR="001D45B2">
        <w:t>roku</w:t>
      </w:r>
      <w:r>
        <w:t xml:space="preserve"> Sąd Okręgowy w Częstochowie uznał zażalenie skarżącego za niedopuszczalne jako spóźnione. Skarżący zaskarżył to </w:t>
      </w:r>
      <w:r w:rsidR="00735E5C">
        <w:t>orzeczenie</w:t>
      </w:r>
      <w:r>
        <w:t>.</w:t>
      </w:r>
    </w:p>
    <w:p w14:paraId="44C56FC4" w14:textId="2DEE7083" w:rsidR="00114816" w:rsidRPr="00380BA6" w:rsidRDefault="00114816" w:rsidP="00380BA6">
      <w:pPr>
        <w:pStyle w:val="JuPara"/>
      </w:pPr>
      <w:r>
        <w:t>26.</w:t>
      </w:r>
      <w:r w:rsidR="00EE6FF2">
        <w:t xml:space="preserve"> </w:t>
      </w:r>
      <w:r>
        <w:t xml:space="preserve">W dniu 12 stycznia 2007 </w:t>
      </w:r>
      <w:r w:rsidR="001D45B2">
        <w:t>roku</w:t>
      </w:r>
      <w:r>
        <w:t xml:space="preserve"> Sąd Apelacyjny w Katowicach („</w:t>
      </w:r>
      <w:r w:rsidR="00735E5C">
        <w:t>s</w:t>
      </w:r>
      <w:r>
        <w:t>ąd</w:t>
      </w:r>
      <w:r w:rsidR="00F5020F">
        <w:t> </w:t>
      </w:r>
      <w:r w:rsidR="00735E5C">
        <w:t>a</w:t>
      </w:r>
      <w:r>
        <w:t xml:space="preserve">pelacyjny”) uwzględnił zażalenie skarżącego, lecz z przyczyn innych niż te, na które powołał się skarżący. Uchylił orzeczenie z dnia 2 listopada 2006 </w:t>
      </w:r>
      <w:r w:rsidR="001D45B2">
        <w:t>roku</w:t>
      </w:r>
      <w:r>
        <w:t xml:space="preserve">, uznając, że skarżący dotrzymał </w:t>
      </w:r>
      <w:r w:rsidRPr="00C46E77">
        <w:t xml:space="preserve">przepisanego </w:t>
      </w:r>
      <w:r>
        <w:t xml:space="preserve">terminu. W tym względzie </w:t>
      </w:r>
      <w:r w:rsidRPr="00F741A2">
        <w:t>sąd drugiej instancji</w:t>
      </w:r>
      <w:r>
        <w:t xml:space="preserve"> zauważył, że orzeczenie sądu pierwszej instancji </w:t>
      </w:r>
      <w:r w:rsidRPr="00F94D2C">
        <w:t>doręczono</w:t>
      </w:r>
      <w:r>
        <w:t xml:space="preserve"> osobie zainteresowanej niezwłocznie, stosownie do</w:t>
      </w:r>
      <w:r w:rsidR="00F5020F">
        <w:t> </w:t>
      </w:r>
      <w:r>
        <w:t xml:space="preserve">dyspozycji art. 7 ust. 2 Ordynacji wyborczej. </w:t>
      </w:r>
      <w:r w:rsidRPr="00FE1D10">
        <w:t>Wskazał, że w aktach niniejszej sprawy nie było żadnego dowodu otrzymania przez osobę zainteresowaną orzeczenia sądu pierwszej instancji.</w:t>
      </w:r>
      <w:r>
        <w:t xml:space="preserve"> Przypomniał również, że zgodnie z</w:t>
      </w:r>
      <w:r w:rsidR="00EE6FF2">
        <w:t xml:space="preserve"> </w:t>
      </w:r>
      <w:r>
        <w:t>wyżej wymienioną ustawą bieg 24-godzinnego terminu na</w:t>
      </w:r>
      <w:r w:rsidR="00F5020F">
        <w:t> </w:t>
      </w:r>
      <w:r>
        <w:t>wniesienie środka odwoławczego rozpoczął się z chwilą wydania orzeczenia w</w:t>
      </w:r>
      <w:r w:rsidR="00EE6FF2">
        <w:t xml:space="preserve"> </w:t>
      </w:r>
      <w:r>
        <w:t>pierwszej instancji, a nie z chwilą doręczenia go osobie zainteresowanej, w szczególności</w:t>
      </w:r>
      <w:r w:rsidR="001D7F5E">
        <w:t>,</w:t>
      </w:r>
      <w:r>
        <w:t xml:space="preserve"> jeżeli osoba ta została powiadomiona o</w:t>
      </w:r>
      <w:r w:rsidR="00F5020F">
        <w:t> </w:t>
      </w:r>
      <w:r>
        <w:t xml:space="preserve">terminie rozprawy, na której </w:t>
      </w:r>
      <w:r w:rsidR="00F741A2">
        <w:t xml:space="preserve">wydano </w:t>
      </w:r>
      <w:r>
        <w:t xml:space="preserve">orzeczenie. W niniejszej sprawie upływ 24-godzinnego terminu następował w sobotę, w związku z czym </w:t>
      </w:r>
      <w:r w:rsidRPr="002D2287">
        <w:t>termin ten</w:t>
      </w:r>
      <w:r w:rsidR="00204880" w:rsidRPr="00636C04">
        <w:t xml:space="preserve"> upływał</w:t>
      </w:r>
      <w:r w:rsidR="00EE6FF2">
        <w:t xml:space="preserve"> </w:t>
      </w:r>
      <w:r>
        <w:t>następnego dnia</w:t>
      </w:r>
      <w:r w:rsidR="0004308C">
        <w:t>, który nie był dniem wolnym od pracy</w:t>
      </w:r>
      <w:r>
        <w:t>, tj.</w:t>
      </w:r>
      <w:r w:rsidR="005200A9">
        <w:t xml:space="preserve"> w</w:t>
      </w:r>
      <w:r>
        <w:t xml:space="preserve"> poniedział</w:t>
      </w:r>
      <w:r w:rsidR="005200A9">
        <w:t>e</w:t>
      </w:r>
      <w:r>
        <w:t xml:space="preserve">k. Sąd </w:t>
      </w:r>
      <w:r w:rsidR="00F3602C">
        <w:t>a</w:t>
      </w:r>
      <w:r>
        <w:t xml:space="preserve">pelacyjny stwierdził ponadto, że sąd pierwszej instancji słusznie </w:t>
      </w:r>
      <w:r w:rsidR="00F741A2">
        <w:t>uznał</w:t>
      </w:r>
      <w:r>
        <w:t>, że twierdzenia skarżącego, iż jego niestawiennictwo na rozprawie spowodowane było niezawinionymi przez niego okolicznościami, nie były poparte żadnymi dowodami. Zauważył, że</w:t>
      </w:r>
      <w:r w:rsidR="00F5020F">
        <w:t> </w:t>
      </w:r>
      <w:r>
        <w:t>podczas rozmowy telefonicznej z pracownikiem sekretariatu skarżący nie poinformował o zaistnieniu przeszkody uniemożliwiającej mu osobiste stawiennictwo w sądzie.</w:t>
      </w:r>
    </w:p>
    <w:p w14:paraId="655D7CE8" w14:textId="2F5F1E51" w:rsidR="00114816" w:rsidRPr="00380BA6" w:rsidRDefault="00114816" w:rsidP="00380BA6">
      <w:pPr>
        <w:pStyle w:val="JuPara"/>
      </w:pPr>
      <w:r>
        <w:t>27.</w:t>
      </w:r>
      <w:r w:rsidR="00EE6FF2">
        <w:t xml:space="preserve"> </w:t>
      </w:r>
      <w:r>
        <w:t xml:space="preserve">W dniu 19 kwietnia 2007 </w:t>
      </w:r>
      <w:r w:rsidR="001D45B2">
        <w:t>roku</w:t>
      </w:r>
      <w:r>
        <w:t xml:space="preserve"> </w:t>
      </w:r>
      <w:r w:rsidR="00735E5C">
        <w:t>s</w:t>
      </w:r>
      <w:r>
        <w:t xml:space="preserve">ąd </w:t>
      </w:r>
      <w:r w:rsidR="00735E5C">
        <w:t>a</w:t>
      </w:r>
      <w:r>
        <w:t xml:space="preserve">pelacyjny rozpoznał zażalenie na postanowienie z dnia 27 października 2006 </w:t>
      </w:r>
      <w:r w:rsidR="001D45B2">
        <w:t>roku</w:t>
      </w:r>
      <w:r>
        <w:t xml:space="preserve"> i </w:t>
      </w:r>
      <w:r w:rsidRPr="0012770B">
        <w:t>od</w:t>
      </w:r>
      <w:r w:rsidR="009732AE" w:rsidRPr="0012770B">
        <w:t>dalił</w:t>
      </w:r>
      <w:r w:rsidRPr="0012770B">
        <w:t xml:space="preserve"> je</w:t>
      </w:r>
      <w:r>
        <w:t>. Potwierdził prawidłowość wezwania skarżącego na termin rozprawy w pierwszej instancji. Ponadto uznał, że wyciągnięty przez sąd wniosek znajdował potwierdzenie w zgromadzonym materiale dowodowym.</w:t>
      </w:r>
    </w:p>
    <w:p w14:paraId="4E8DADCB" w14:textId="77777777" w:rsidR="00114816" w:rsidRPr="00380BA6" w:rsidRDefault="00114816" w:rsidP="00380BA6">
      <w:pPr>
        <w:pStyle w:val="JuHIRoman"/>
      </w:pPr>
      <w:r>
        <w:lastRenderedPageBreak/>
        <w:t>WŁAŚCIWE PRAWO KRAJOWE</w:t>
      </w:r>
    </w:p>
    <w:p w14:paraId="2C511299" w14:textId="77777777" w:rsidR="00114816" w:rsidRPr="00380BA6" w:rsidRDefault="00114816" w:rsidP="00380BA6">
      <w:pPr>
        <w:pStyle w:val="JuHA"/>
        <w:numPr>
          <w:ilvl w:val="0"/>
          <w:numId w:val="0"/>
        </w:numPr>
        <w:ind w:left="584"/>
      </w:pPr>
      <w:r>
        <w:t>Ordynacja wyborcza w brzmieniu obowiązującym w opisywanym stanie faktycznym</w:t>
      </w:r>
    </w:p>
    <w:p w14:paraId="3D4346DB" w14:textId="6F1AE343" w:rsidR="00114816" w:rsidRPr="00380BA6" w:rsidRDefault="00114816" w:rsidP="00380BA6">
      <w:pPr>
        <w:pStyle w:val="JuPara"/>
      </w:pPr>
      <w:r>
        <w:t>28.</w:t>
      </w:r>
      <w:r w:rsidR="00EE6FF2">
        <w:t xml:space="preserve"> </w:t>
      </w:r>
      <w:r>
        <w:t>Art</w:t>
      </w:r>
      <w:r w:rsidR="009801AE">
        <w:t>.</w:t>
      </w:r>
      <w:r>
        <w:t xml:space="preserve"> 72 ustawy z dnia 16 lipca 1998 </w:t>
      </w:r>
      <w:r w:rsidR="001D45B2">
        <w:t>roku</w:t>
      </w:r>
      <w:r>
        <w:t xml:space="preserve"> Ordynacji wyborczej do rad gmin, rad powiatów i sejmików województw</w:t>
      </w:r>
      <w:r w:rsidR="001D7F5E">
        <w:t xml:space="preserve"> </w:t>
      </w:r>
      <w:r>
        <w:t>(„Ordynacja wyborcza”) stanowił:</w:t>
      </w:r>
    </w:p>
    <w:p w14:paraId="59022024" w14:textId="0F09E693" w:rsidR="00114816" w:rsidRPr="006F2B1A" w:rsidRDefault="00114816" w:rsidP="00380BA6">
      <w:pPr>
        <w:pStyle w:val="JuQuot"/>
        <w:rPr>
          <w:b/>
        </w:rPr>
      </w:pPr>
      <w:r w:rsidRPr="006F2B1A">
        <w:t>„§ 1.</w:t>
      </w:r>
      <w:r w:rsidRPr="006F2B1A">
        <w:rPr>
          <w:b/>
        </w:rPr>
        <w:t xml:space="preserve"> </w:t>
      </w:r>
      <w:r w:rsidR="006F2B1A" w:rsidRPr="006F2B1A">
        <w:t xml:space="preserve">Jeżeli plakaty, </w:t>
      </w:r>
      <w:r>
        <w:t xml:space="preserve">hasła, </w:t>
      </w:r>
      <w:r w:rsidR="006F2B1A" w:rsidRPr="006F2B1A">
        <w:t xml:space="preserve">ulotki, wypowiedzi </w:t>
      </w:r>
      <w:r>
        <w:t>a</w:t>
      </w:r>
      <w:r w:rsidR="006F2B1A" w:rsidRPr="006F2B1A">
        <w:t>lb</w:t>
      </w:r>
      <w:r>
        <w:t>o</w:t>
      </w:r>
      <w:r w:rsidR="006F2B1A" w:rsidRPr="006F2B1A">
        <w:t xml:space="preserve"> inne formy </w:t>
      </w:r>
      <w:r>
        <w:t xml:space="preserve">propagandy i </w:t>
      </w:r>
      <w:r w:rsidR="006F2B1A" w:rsidRPr="006F2B1A">
        <w:t>agitacji zawierają nieprawdziwe</w:t>
      </w:r>
      <w:r>
        <w:t xml:space="preserve"> dane i informacje</w:t>
      </w:r>
      <w:r w:rsidR="006F2B1A" w:rsidRPr="006F2B1A">
        <w:t>, kandydat na radnego lub pełnomocnik komitetu wyborczego ma prawo wnieść do sądu okręgowego wniosek o</w:t>
      </w:r>
      <w:r w:rsidR="006F2B1A">
        <w:t>:</w:t>
      </w:r>
    </w:p>
    <w:p w14:paraId="4DDE8F4E" w14:textId="0BB91514" w:rsidR="006F2B1A" w:rsidRDefault="006F2B1A" w:rsidP="006F2B1A">
      <w:pPr>
        <w:pStyle w:val="JuQuot"/>
      </w:pPr>
      <w:r>
        <w:t>1</w:t>
      </w:r>
      <w:r w:rsidR="00114816">
        <w:t>.  wydanie [wobec uczestnika postępowania]</w:t>
      </w:r>
      <w:r>
        <w:t xml:space="preserve"> zakazu rozpowszechniania takich informacji;</w:t>
      </w:r>
    </w:p>
    <w:p w14:paraId="6E2C7275" w14:textId="465DE5BE" w:rsidR="006F2B1A" w:rsidRDefault="006F2B1A" w:rsidP="006F2B1A">
      <w:pPr>
        <w:pStyle w:val="JuQuot"/>
      </w:pPr>
      <w:r>
        <w:t>2</w:t>
      </w:r>
      <w:r w:rsidR="00114816">
        <w:t>.  orzeczenie konfiskaty takich</w:t>
      </w:r>
      <w:r>
        <w:t xml:space="preserve"> materiałów</w:t>
      </w:r>
      <w:r w:rsidR="00114816">
        <w:t>;</w:t>
      </w:r>
    </w:p>
    <w:p w14:paraId="3A2FEB84" w14:textId="1831B8A0" w:rsidR="006F2B1A" w:rsidRDefault="006F2B1A" w:rsidP="006F2B1A">
      <w:pPr>
        <w:pStyle w:val="JuQuot"/>
      </w:pPr>
      <w:r>
        <w:t>3</w:t>
      </w:r>
      <w:r w:rsidR="00114816">
        <w:t>.  </w:t>
      </w:r>
      <w:r>
        <w:t>nakazani</w:t>
      </w:r>
      <w:r w:rsidR="00114816">
        <w:t>e</w:t>
      </w:r>
      <w:r>
        <w:t xml:space="preserve"> sprostowania takich informacji;</w:t>
      </w:r>
    </w:p>
    <w:p w14:paraId="5B6AE7EA" w14:textId="1B02FAEA" w:rsidR="006F2B1A" w:rsidRDefault="006F2B1A" w:rsidP="006F2B1A">
      <w:pPr>
        <w:pStyle w:val="JuQuot"/>
      </w:pPr>
      <w:r>
        <w:t>4</w:t>
      </w:r>
      <w:r w:rsidR="00114816">
        <w:t>.  </w:t>
      </w:r>
      <w:r>
        <w:t>nakazani</w:t>
      </w:r>
      <w:r w:rsidR="00114816">
        <w:t>e</w:t>
      </w:r>
      <w:r>
        <w:t xml:space="preserve"> publikacji odpowiedzi na stwierdzenia naruszające dobra osobiste;</w:t>
      </w:r>
    </w:p>
    <w:p w14:paraId="2F4FE85B" w14:textId="5B6918BA" w:rsidR="006F2B1A" w:rsidRDefault="006F2B1A" w:rsidP="006F2B1A">
      <w:pPr>
        <w:pStyle w:val="JuQuot"/>
      </w:pPr>
      <w:r>
        <w:t>5</w:t>
      </w:r>
      <w:r w:rsidR="00114816">
        <w:t>.  nakazanie [uczestnik</w:t>
      </w:r>
      <w:r w:rsidR="00FA4040">
        <w:t>owi</w:t>
      </w:r>
      <w:r w:rsidR="00114816">
        <w:t xml:space="preserve"> postępowania]</w:t>
      </w:r>
      <w:r>
        <w:t xml:space="preserve"> przeproszenia </w:t>
      </w:r>
      <w:r w:rsidR="00114816">
        <w:t>pomówionego;</w:t>
      </w:r>
    </w:p>
    <w:p w14:paraId="2D80C4E4" w14:textId="6FC92BA2" w:rsidR="00114816" w:rsidRPr="00380BA6" w:rsidRDefault="006F2B1A" w:rsidP="006F2B1A">
      <w:pPr>
        <w:pStyle w:val="JuQuot"/>
      </w:pPr>
      <w:r>
        <w:t>6</w:t>
      </w:r>
      <w:r w:rsidR="00114816">
        <w:t>.  </w:t>
      </w:r>
      <w:r>
        <w:t>nakazani</w:t>
      </w:r>
      <w:r w:rsidR="00114816">
        <w:t>e</w:t>
      </w:r>
      <w:r>
        <w:t xml:space="preserve"> </w:t>
      </w:r>
      <w:r w:rsidR="00114816">
        <w:t>[</w:t>
      </w:r>
      <w:r>
        <w:t>uczestnikowi postępowania</w:t>
      </w:r>
      <w:r w:rsidR="00114816">
        <w:t>]</w:t>
      </w:r>
      <w:r>
        <w:t xml:space="preserve"> wpłacenia kwoty do 10 000 złotych na rzecz instytucji charytatywnej</w:t>
      </w:r>
      <w:r>
        <w:rPr>
          <w:rStyle w:val="Odwoanieprzypisudolnego"/>
        </w:rPr>
        <w:footnoteReference w:id="2"/>
      </w:r>
      <w:r>
        <w:t>.</w:t>
      </w:r>
    </w:p>
    <w:p w14:paraId="400E2855" w14:textId="026CD54F" w:rsidR="00114816" w:rsidRPr="00380BA6" w:rsidRDefault="00114816" w:rsidP="00380BA6">
      <w:pPr>
        <w:pStyle w:val="JuQuot"/>
        <w:rPr>
          <w:b/>
        </w:rPr>
      </w:pPr>
      <w:r>
        <w:t>§ 2. Sąd okręgowy, w składzie jednego sędziego, rozpoznaje wniosek, o którym mowa w ust. 1, w ciągu 24 godzin w [cywilnym] postępowaniu nieprocesowym. Sąd może rozpoznać sprawę w przypadku usprawiedliwionej nieobecności wnioskodawcy lub uczestnika postępowania, pod warunkiem że o terminie rozprawy zostali oni prawidłowo powiadomieni. Postanowienie kończące postępowanie w sprawie sąd niezwłocznie doręcza osobie zainteresowanej, o której mowa w ust. 1, właściwemu okręgowemu komisarzowi wyborczemu i obowiązanemu do wykonania postanowienia sądu.</w:t>
      </w:r>
    </w:p>
    <w:p w14:paraId="7A2E25FC" w14:textId="32A3C7F6" w:rsidR="00114816" w:rsidRPr="00380BA6" w:rsidRDefault="00114816" w:rsidP="00380BA6">
      <w:pPr>
        <w:pStyle w:val="JuQuot"/>
      </w:pPr>
      <w:r>
        <w:t>§ 3. Na postanowienie sądu okręgowego, w terminie 24 godzin od jego wydania, służy zażalenie do sądu apelacyjnego. Sąd apelacyjny, w składzie trzech sędziów, rozpoznaje zażalenie w [cywilnym] postępowaniu nieprocesowym, w trybie i</w:t>
      </w:r>
      <w:r w:rsidR="00F5020F">
        <w:t> </w:t>
      </w:r>
      <w:r>
        <w:t>terminie, o których mowa w ust. 2. Na postanowienie sądu apelacyjnego nie</w:t>
      </w:r>
      <w:r w:rsidR="00F5020F">
        <w:t> </w:t>
      </w:r>
      <w:r>
        <w:t>przysługuje środek zaskarżenia i podlega ono natychmiastowemu wykonaniu”</w:t>
      </w:r>
      <w:r w:rsidR="00EA1D5E">
        <w:t>.</w:t>
      </w:r>
    </w:p>
    <w:p w14:paraId="57741DF8" w14:textId="77777777" w:rsidR="00114816" w:rsidRPr="00380BA6" w:rsidRDefault="00114816" w:rsidP="00380BA6">
      <w:pPr>
        <w:pStyle w:val="JuHHead"/>
      </w:pPr>
      <w:r>
        <w:t>PRAWO</w:t>
      </w:r>
    </w:p>
    <w:p w14:paraId="1CAEA2D0" w14:textId="77777777" w:rsidR="00114816" w:rsidRPr="00380BA6" w:rsidRDefault="00114816" w:rsidP="00380BA6">
      <w:pPr>
        <w:pStyle w:val="JuHIRoman"/>
      </w:pPr>
      <w:r>
        <w:t>ZARZUCANE NARUSZENIE ART. 10 KONWENCJI</w:t>
      </w:r>
    </w:p>
    <w:p w14:paraId="72A8D8BB" w14:textId="4462BEC9" w:rsidR="00114816" w:rsidRPr="00380BA6" w:rsidRDefault="00114816" w:rsidP="00380BA6">
      <w:pPr>
        <w:pStyle w:val="JuPara"/>
      </w:pPr>
      <w:r>
        <w:t>29.</w:t>
      </w:r>
      <w:r w:rsidR="00EE6FF2">
        <w:t xml:space="preserve"> </w:t>
      </w:r>
      <w:r>
        <w:t xml:space="preserve">Skarżący twierdził, że doszło do naruszenia jego prawa do </w:t>
      </w:r>
      <w:r w:rsidR="00EE6FF2">
        <w:t>wolności wyrażania opinii</w:t>
      </w:r>
      <w:r>
        <w:t>. W tym względzie powoływał się na art. 10 Konwencji, który w</w:t>
      </w:r>
      <w:r w:rsidR="00EE6FF2">
        <w:t xml:space="preserve"> </w:t>
      </w:r>
      <w:r>
        <w:t>częściach mających znaczenie dla niniejszej sprawy stanowi:</w:t>
      </w:r>
    </w:p>
    <w:p w14:paraId="528F6F99" w14:textId="32842552" w:rsidR="00114816" w:rsidRPr="00380BA6" w:rsidRDefault="00114816" w:rsidP="00380BA6">
      <w:pPr>
        <w:pStyle w:val="JuQuot"/>
      </w:pPr>
      <w:r>
        <w:lastRenderedPageBreak/>
        <w:t>„1.</w:t>
      </w:r>
      <w:r w:rsidR="00EE6FF2">
        <w:t xml:space="preserve"> </w:t>
      </w:r>
      <w:r>
        <w:t>Każdy ma prawo do wolności wyrażania opinii.</w:t>
      </w:r>
      <w:r w:rsidR="00EE6FF2">
        <w:t xml:space="preserve"> </w:t>
      </w:r>
      <w:r>
        <w:t>(…)</w:t>
      </w:r>
    </w:p>
    <w:p w14:paraId="63B92F8D" w14:textId="31CB8452" w:rsidR="00114816" w:rsidRPr="00380BA6" w:rsidRDefault="00114816" w:rsidP="00380BA6">
      <w:pPr>
        <w:pStyle w:val="JuQuot"/>
      </w:pPr>
      <w:r>
        <w:t>2.</w:t>
      </w:r>
      <w:r w:rsidR="00EE6FF2">
        <w:t xml:space="preserve"> </w:t>
      </w:r>
      <w:r>
        <w:t>Korzystanie z tych wolności pociągających za sobą obowiązki i</w:t>
      </w:r>
      <w:r w:rsidR="00F5020F">
        <w:t> </w:t>
      </w:r>
      <w:r>
        <w:t>odpowiedzialność może podlegać takim wymogom formalnym, warunkom, ograniczeniom i sankcjom, jakie są przewidziane przez ustawę i niezbędne w</w:t>
      </w:r>
      <w:r w:rsidR="00F5020F">
        <w:t> </w:t>
      </w:r>
      <w:r>
        <w:t>społeczeństwie demokratycznym w interesie bezpieczeństwa państwowego, integralności terytorialnej</w:t>
      </w:r>
      <w:r w:rsidR="00EE6FF2">
        <w:t xml:space="preserve"> </w:t>
      </w:r>
      <w:r>
        <w:t>lub bezpieczeństwa publicznego ze względu na konieczność zapobieżenia zakłóceniu porządku lub przestępstwu, z uwagi na ochronę zdrowia i</w:t>
      </w:r>
      <w:r w:rsidR="00F5020F">
        <w:t> </w:t>
      </w:r>
      <w:r>
        <w:t>moralności, ochronę dobrego imienia i</w:t>
      </w:r>
      <w:r w:rsidR="00EE6FF2">
        <w:t xml:space="preserve"> </w:t>
      </w:r>
      <w:r>
        <w:t>praw innych osób oraz ze względu na</w:t>
      </w:r>
      <w:r w:rsidR="00F5020F">
        <w:t> </w:t>
      </w:r>
      <w:r>
        <w:t>zapobieżenie ujawnieniu informacji poufnych</w:t>
      </w:r>
      <w:r w:rsidR="00EE6FF2">
        <w:t xml:space="preserve"> </w:t>
      </w:r>
      <w:r>
        <w:t>lub na zagwarantowanie powagi i</w:t>
      </w:r>
      <w:r w:rsidR="00F5020F">
        <w:t> </w:t>
      </w:r>
      <w:r>
        <w:t>bezstronności władzy sądowej”</w:t>
      </w:r>
      <w:r w:rsidR="00EA338D">
        <w:t>.</w:t>
      </w:r>
    </w:p>
    <w:p w14:paraId="52620E6F" w14:textId="15897092" w:rsidR="00114816" w:rsidRPr="00380BA6" w:rsidRDefault="00114816" w:rsidP="00380BA6">
      <w:pPr>
        <w:pStyle w:val="JuHA"/>
      </w:pPr>
      <w:r>
        <w:t>Dopuszczalność</w:t>
      </w:r>
      <w:r w:rsidR="00D41470">
        <w:t xml:space="preserve"> skargi</w:t>
      </w:r>
    </w:p>
    <w:p w14:paraId="16D0ACD7" w14:textId="4C9CA888" w:rsidR="00114816" w:rsidRPr="00380BA6" w:rsidRDefault="00114816" w:rsidP="00380BA6">
      <w:pPr>
        <w:pStyle w:val="JuPara"/>
      </w:pPr>
      <w:r>
        <w:t>30.</w:t>
      </w:r>
      <w:r w:rsidR="00EE6FF2">
        <w:t xml:space="preserve"> </w:t>
      </w:r>
      <w:r>
        <w:t>Rząd podniósł za</w:t>
      </w:r>
      <w:r w:rsidR="00BA45C9">
        <w:t>strzeżenie w sprawie niedopuszczalności oparte</w:t>
      </w:r>
      <w:r>
        <w:t xml:space="preserve"> na</w:t>
      </w:r>
      <w:r w:rsidR="00F5020F">
        <w:t> </w:t>
      </w:r>
      <w:r>
        <w:t>braku wyczerpania krajowych środków odwoławczych. Twierdził, że</w:t>
      </w:r>
      <w:r w:rsidR="00F5020F">
        <w:t> </w:t>
      </w:r>
      <w:r>
        <w:t>na</w:t>
      </w:r>
      <w:r w:rsidR="00F5020F">
        <w:t> </w:t>
      </w:r>
      <w:r>
        <w:t xml:space="preserve">żadnym etapie postępowania krajowego skarżący nie podniósł zarzutu naruszenia jego prawa do </w:t>
      </w:r>
      <w:r w:rsidR="00EE6FF2">
        <w:t>wolności wyrażania opinii</w:t>
      </w:r>
      <w:r>
        <w:t xml:space="preserve">. Jego zdaniem skarżący ograniczył się do </w:t>
      </w:r>
      <w:r w:rsidR="009F02D9">
        <w:t xml:space="preserve">podniesienia </w:t>
      </w:r>
      <w:r>
        <w:t>aspektów p</w:t>
      </w:r>
      <w:r w:rsidR="009F02D9">
        <w:t>roceduralnych</w:t>
      </w:r>
      <w:r>
        <w:t>.</w:t>
      </w:r>
    </w:p>
    <w:p w14:paraId="5E8378E3" w14:textId="0CE8C475" w:rsidR="00114816" w:rsidRPr="00380BA6" w:rsidRDefault="00114816" w:rsidP="00380BA6">
      <w:pPr>
        <w:pStyle w:val="JuPara"/>
        <w:rPr>
          <w:i/>
        </w:rPr>
      </w:pPr>
      <w:r>
        <w:t>31.</w:t>
      </w:r>
      <w:r w:rsidR="00EE6FF2">
        <w:t xml:space="preserve"> </w:t>
      </w:r>
      <w:r>
        <w:t xml:space="preserve">Trybunał przypomina, że celem zasady wyrażonej w art. 35 ust. 1 Konwencji jest zapewnienie Układającym się </w:t>
      </w:r>
      <w:r w:rsidR="001E70FA">
        <w:t>P</w:t>
      </w:r>
      <w:r>
        <w:t>aństwom możliwości zapobieżenia lub naprawienia – zazwyczaj na drodze sądowej – zarzucanych im naruszeń</w:t>
      </w:r>
      <w:r w:rsidR="00BA45C9">
        <w:t>,</w:t>
      </w:r>
      <w:r>
        <w:t xml:space="preserve"> zanim zarzuty te zostaną zgłoszone do Trybunału. Powyższe postanowienie Konwencji należy stosować „z pewną dozą elastyczności i bez nadmiernego formalizmu”; wystarczy, aby osoba zainteresowana podniosła przed organami krajowymi – „co najmniej co</w:t>
      </w:r>
      <w:r w:rsidR="00F5020F">
        <w:t> </w:t>
      </w:r>
      <w:r>
        <w:t>do</w:t>
      </w:r>
      <w:r w:rsidR="00F5020F">
        <w:t> </w:t>
      </w:r>
      <w:r>
        <w:t>istoty oraz w trybie i</w:t>
      </w:r>
      <w:r w:rsidR="00EE6FF2">
        <w:t xml:space="preserve"> </w:t>
      </w:r>
      <w:r>
        <w:t>terminach zakreślonych w prawie krajowym” – zarzuty, które zamierza następnie przytoczyć w Strasburgu (</w:t>
      </w:r>
      <w:proofErr w:type="spellStart"/>
      <w:r>
        <w:rPr>
          <w:i/>
          <w:iCs/>
        </w:rPr>
        <w:t>Vučković</w:t>
      </w:r>
      <w:proofErr w:type="spellEnd"/>
      <w:r>
        <w:rPr>
          <w:i/>
          <w:iCs/>
        </w:rPr>
        <w:t xml:space="preserve"> i In</w:t>
      </w:r>
      <w:r w:rsidR="00EA338D">
        <w:rPr>
          <w:i/>
          <w:iCs/>
        </w:rPr>
        <w:t>ni</w:t>
      </w:r>
      <w:r>
        <w:rPr>
          <w:i/>
          <w:iCs/>
        </w:rPr>
        <w:t xml:space="preserve"> przeciwko Serbii </w:t>
      </w:r>
      <w:r>
        <w:t>(zastrzeżenie wstępne) [WI], skarga nr 17153/11 i</w:t>
      </w:r>
      <w:r w:rsidR="00F5020F">
        <w:t> </w:t>
      </w:r>
      <w:r>
        <w:t>29</w:t>
      </w:r>
      <w:r w:rsidR="00F5020F">
        <w:t> </w:t>
      </w:r>
      <w:r>
        <w:t>innych skarg, §§ 72 i</w:t>
      </w:r>
      <w:r w:rsidR="00EE6FF2">
        <w:t xml:space="preserve"> </w:t>
      </w:r>
      <w:r>
        <w:t xml:space="preserve">76, 25 marca 2014 </w:t>
      </w:r>
      <w:r w:rsidR="001D45B2">
        <w:t>roku</w:t>
      </w:r>
      <w:r>
        <w:t>).</w:t>
      </w:r>
    </w:p>
    <w:p w14:paraId="74C192EC" w14:textId="39D1C112" w:rsidR="00114816" w:rsidRPr="00380BA6" w:rsidRDefault="00114816" w:rsidP="00380BA6">
      <w:pPr>
        <w:pStyle w:val="JuPara"/>
      </w:pPr>
      <w:r>
        <w:t>32.</w:t>
      </w:r>
      <w:r w:rsidR="00EE6FF2">
        <w:t xml:space="preserve"> </w:t>
      </w:r>
      <w:r w:rsidR="00AB13AC">
        <w:t>S</w:t>
      </w:r>
      <w:r>
        <w:t>karg</w:t>
      </w:r>
      <w:r w:rsidR="00AB13AC">
        <w:t>a</w:t>
      </w:r>
      <w:r>
        <w:t xml:space="preserve"> nie może</w:t>
      </w:r>
      <w:r w:rsidR="00AB13AC">
        <w:t xml:space="preserve"> zostać odrzucona</w:t>
      </w:r>
      <w:r>
        <w:t xml:space="preserve"> z powodu braku wyczerpania krajowych środków odwoławczych, jeżeli sąd krajowy</w:t>
      </w:r>
      <w:r w:rsidR="00CD681C">
        <w:t>, chociażby w</w:t>
      </w:r>
      <w:r w:rsidR="00F5020F">
        <w:t> </w:t>
      </w:r>
      <w:r w:rsidR="00CD681C">
        <w:t>ograniczonym zakresie,</w:t>
      </w:r>
      <w:r>
        <w:t xml:space="preserve"> rozpoznał sprawę co do istoty</w:t>
      </w:r>
      <w:r w:rsidR="00CD681C">
        <w:t xml:space="preserve"> </w:t>
      </w:r>
      <w:r>
        <w:t>(</w:t>
      </w:r>
      <w:proofErr w:type="spellStart"/>
      <w:r>
        <w:rPr>
          <w:i/>
          <w:iCs/>
        </w:rPr>
        <w:t>Verein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gegen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Tierfabriken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VgT</w:t>
      </w:r>
      <w:proofErr w:type="spellEnd"/>
      <w:r>
        <w:rPr>
          <w:i/>
          <w:iCs/>
        </w:rPr>
        <w:t>) przeciwko Szwajcarii</w:t>
      </w:r>
      <w:r>
        <w:t xml:space="preserve"> (nr 2), skarga nr 32772/02, § 34, 4</w:t>
      </w:r>
      <w:r w:rsidR="00F5020F">
        <w:t> </w:t>
      </w:r>
      <w:r>
        <w:t xml:space="preserve">października 2007 </w:t>
      </w:r>
      <w:r w:rsidR="001D45B2">
        <w:t>roku</w:t>
      </w:r>
      <w:r>
        <w:t xml:space="preserve">). Ponadto zasady tej nie stosuje się automatycznie i nie ma ona charakteru bezwzględnego; badając </w:t>
      </w:r>
      <w:r w:rsidR="00310CDA">
        <w:t xml:space="preserve">tę </w:t>
      </w:r>
      <w:r>
        <w:t xml:space="preserve">kwestię, należy rozważyć, czy uwzględniając wszystkie okoliczności sprawy, skarżący uczynił wszystko, czego można było od niego </w:t>
      </w:r>
      <w:r w:rsidR="00091EA6">
        <w:t xml:space="preserve">rozsądnie </w:t>
      </w:r>
      <w:r>
        <w:t>oczekiwać, by</w:t>
      </w:r>
      <w:r w:rsidR="00F5020F">
        <w:t> </w:t>
      </w:r>
      <w:r>
        <w:t>wyczerpać krajowe środki odwoławcze (</w:t>
      </w:r>
      <w:r>
        <w:rPr>
          <w:i/>
          <w:iCs/>
        </w:rPr>
        <w:t>D.H. przeciwko Republice Czeskiej [WI]</w:t>
      </w:r>
      <w:r>
        <w:t xml:space="preserve">, skarga nr 57325/00, § 116, 13 listopada 2007 </w:t>
      </w:r>
      <w:r w:rsidR="001D45B2">
        <w:t>roku</w:t>
      </w:r>
      <w:r>
        <w:t>).</w:t>
      </w:r>
    </w:p>
    <w:p w14:paraId="412E6E9B" w14:textId="7D2FD17F" w:rsidR="00114816" w:rsidRPr="00380BA6" w:rsidRDefault="00114816" w:rsidP="00380BA6">
      <w:pPr>
        <w:pStyle w:val="JuPara"/>
      </w:pPr>
      <w:r>
        <w:t>33.</w:t>
      </w:r>
      <w:r w:rsidR="00EE6FF2">
        <w:t xml:space="preserve"> </w:t>
      </w:r>
      <w:r>
        <w:t>W niniejszej sprawie Trybunał dostrzega, że</w:t>
      </w:r>
      <w:r w:rsidR="00091EA6">
        <w:t xml:space="preserve"> skarżący,</w:t>
      </w:r>
      <w:r>
        <w:t xml:space="preserve"> pod koniec prowadzonego przeciwko niemu postępowania w trybie wyborczym</w:t>
      </w:r>
      <w:r w:rsidR="00091EA6">
        <w:t>,</w:t>
      </w:r>
      <w:r>
        <w:t xml:space="preserve"> został zmuszony do sprostowania swoich wypowiedzi dotyczących ówczesnych członków władz samorządowych, którzy w tym samym czasie kandydowali w nadchodzących wyborach samorządowych</w:t>
      </w:r>
      <w:r w:rsidR="00BA45C9">
        <w:t>,</w:t>
      </w:r>
      <w:r>
        <w:t xml:space="preserve"> oraz do złożenia przeprosin za takie wypowiedzi. Skarżący wniósł zażalenie na postanowienie wydane w pierwszej instancji w przepisanym 24-godzinnym terminie, wnosząc </w:t>
      </w:r>
      <w:r>
        <w:lastRenderedPageBreak/>
        <w:t>o</w:t>
      </w:r>
      <w:r w:rsidR="00F5020F">
        <w:t> </w:t>
      </w:r>
      <w:r>
        <w:t>jego uchylenie w całości. Zarzucił ponadto, że nie miał możliwości przedstawienia swojej linii obrony.</w:t>
      </w:r>
    </w:p>
    <w:p w14:paraId="2D56085A" w14:textId="2E84E5E8" w:rsidR="00114816" w:rsidRPr="00380BA6" w:rsidRDefault="00114816" w:rsidP="00380BA6">
      <w:pPr>
        <w:pStyle w:val="JuPara"/>
      </w:pPr>
      <w:r>
        <w:t>34.</w:t>
      </w:r>
      <w:r w:rsidR="00EE6FF2">
        <w:t xml:space="preserve"> </w:t>
      </w:r>
      <w:r>
        <w:t>Trybunał dostrzega, że orzeczenie wydane w pierwszej instancji wraz z uzasadnieniem doręczono skarżącemu w dniu następującym po upływie terminu do wniesienia zażalenia. W chwili sporządzania zażalenia zainteresowany nie znał jeszcze treści orzeczenia i mógł opierać się wyłącznie na informacjach przekazanych mu przez pracownika sądu.</w:t>
      </w:r>
    </w:p>
    <w:p w14:paraId="588B2894" w14:textId="2F17FB31" w:rsidR="00114816" w:rsidRPr="00380BA6" w:rsidRDefault="00114816" w:rsidP="00380BA6">
      <w:pPr>
        <w:pStyle w:val="JuPara"/>
      </w:pPr>
      <w:r>
        <w:t>35.</w:t>
      </w:r>
      <w:r w:rsidR="00EE6FF2">
        <w:t xml:space="preserve"> </w:t>
      </w:r>
      <w:r>
        <w:t>Trybunał przypomina, że w przeszłości stwierdził, że sytuacja, w</w:t>
      </w:r>
      <w:r w:rsidR="00F5020F">
        <w:t> </w:t>
      </w:r>
      <w:r>
        <w:t xml:space="preserve">której dochodzi do upływu terminu na wniesienie środka odwoławczego bez możliwości zapoznania się przez skarżącego z treścią zaskarżonego orzeczenia, może ograniczyć skuteczne skorzystanie przez osobę zainteresowaną z tego środka odwoławczego i pozbawić ją możliwości przedstawienia swojego stanowiska (zob. </w:t>
      </w:r>
      <w:proofErr w:type="spellStart"/>
      <w:r>
        <w:rPr>
          <w:i/>
          <w:iCs/>
        </w:rPr>
        <w:t>Hadijanastassiou</w:t>
      </w:r>
      <w:proofErr w:type="spellEnd"/>
      <w:r>
        <w:rPr>
          <w:i/>
          <w:iCs/>
        </w:rPr>
        <w:t xml:space="preserve"> przeciwko Grecji</w:t>
      </w:r>
      <w:r>
        <w:t xml:space="preserve">, skarga nr 12945/87, §§ 34-36, 16 grudnia 1992 </w:t>
      </w:r>
      <w:r w:rsidR="001D45B2">
        <w:t>roku</w:t>
      </w:r>
      <w:r>
        <w:t>). W niniejszej sprawie Trybunał dostrzega, że bieg terminu na wniesienie zażalenia na</w:t>
      </w:r>
      <w:r w:rsidR="00F5020F">
        <w:t> </w:t>
      </w:r>
      <w:r>
        <w:t>postanowienie wydane w pierwszej instancji rozpoczął się w chwili wydania postanowienia, a nie w chwili doręczenia go skarżącemu. Trybunał ma świadomość tego, że jest to jedna z cech postępowania przewidzianego w</w:t>
      </w:r>
      <w:r w:rsidR="00EE6FF2">
        <w:t xml:space="preserve"> </w:t>
      </w:r>
      <w:r>
        <w:t xml:space="preserve">prawie wyborczym. Trybunał dostrzega, że krótki i </w:t>
      </w:r>
      <w:r w:rsidR="008D1B3C">
        <w:t xml:space="preserve">szybki </w:t>
      </w:r>
      <w:r>
        <w:t xml:space="preserve">charakter przedmiotowego postępowania podyktowany jest potrzebą zapewnienia sprostowania </w:t>
      </w:r>
      <w:r w:rsidR="001D7F5E">
        <w:t>–</w:t>
      </w:r>
      <w:r>
        <w:t xml:space="preserve"> w możliwie najkrótszym terminie </w:t>
      </w:r>
      <w:r w:rsidR="001D7F5E">
        <w:t>–</w:t>
      </w:r>
      <w:r>
        <w:t xml:space="preserve"> tzw. „</w:t>
      </w:r>
      <w:proofErr w:type="spellStart"/>
      <w:r w:rsidRPr="00BA45C9">
        <w:rPr>
          <w:i/>
        </w:rPr>
        <w:t>fake</w:t>
      </w:r>
      <w:proofErr w:type="spellEnd"/>
      <w:r w:rsidRPr="00BA45C9">
        <w:rPr>
          <w:i/>
        </w:rPr>
        <w:t xml:space="preserve"> news</w:t>
      </w:r>
      <w:r>
        <w:t xml:space="preserve">” </w:t>
      </w:r>
      <w:r w:rsidR="001D7F5E">
        <w:t>i</w:t>
      </w:r>
      <w:r w:rsidR="00EE6FF2">
        <w:t xml:space="preserve"> </w:t>
      </w:r>
      <w:r>
        <w:t>wypowiedzi godzących w dobra osobiste kandydatów startujących w wyborach, które mogłyby wpłynąć na wynik wyborów. Niemniej jednak przypomina, iż gwarancje procesowe przyznane uczestnikom postępowania, w szczególności tym, wobec których postępowanie zostało wszczęte, nie mogą być niesłusznie uszczuplane za</w:t>
      </w:r>
      <w:r w:rsidR="00F5020F">
        <w:t> </w:t>
      </w:r>
      <w:r>
        <w:t xml:space="preserve">cenę szybkiego </w:t>
      </w:r>
      <w:r w:rsidR="002E30F3">
        <w:t xml:space="preserve">rozpoznawania </w:t>
      </w:r>
      <w:r>
        <w:t>sporów w trybie wyborczym (</w:t>
      </w:r>
      <w:r>
        <w:rPr>
          <w:i/>
          <w:iCs/>
        </w:rPr>
        <w:t>Kwiecień przeciwko Polsce</w:t>
      </w:r>
      <w:r>
        <w:t xml:space="preserve">, skarga nr 51744/99, § 55, 9 stycznia 2007 </w:t>
      </w:r>
      <w:r w:rsidR="001D45B2">
        <w:t>roku</w:t>
      </w:r>
      <w:r>
        <w:t>).</w:t>
      </w:r>
    </w:p>
    <w:p w14:paraId="6DA0A555" w14:textId="63383AB5" w:rsidR="00114816" w:rsidRPr="00380BA6" w:rsidRDefault="00114816" w:rsidP="00380BA6">
      <w:pPr>
        <w:pStyle w:val="JuPara"/>
      </w:pPr>
      <w:r>
        <w:t>36.</w:t>
      </w:r>
      <w:r w:rsidR="00EE6FF2">
        <w:t xml:space="preserve"> </w:t>
      </w:r>
      <w:r>
        <w:t xml:space="preserve">Trybunał wskazuje, że </w:t>
      </w:r>
      <w:r w:rsidR="009A2590">
        <w:t xml:space="preserve">stosując </w:t>
      </w:r>
      <w:r>
        <w:t>art. 72 § 2 Ordynacji wyborczej orzeczeni</w:t>
      </w:r>
      <w:r w:rsidR="009A2590">
        <w:t>e</w:t>
      </w:r>
      <w:r>
        <w:t xml:space="preserve"> wydane w pierwszej instancji</w:t>
      </w:r>
      <w:r w:rsidR="009A2590">
        <w:t xml:space="preserve"> powinno zostać doręczone osobie zainteresowanej niezwłocznie</w:t>
      </w:r>
      <w:r>
        <w:t>. W niniejszej sprawie orzeczenie doręczono skarżącemu w dniu następującym po upływie terminu do wniesienia zażalenia. W tych okolicznościach Trybunał jest zdania, że gdyby skarżący miał możliwość zapoznania się z treścią orzeczenia wydanego w pierwszej instancji przed upływem terminu do wniesienia zażalenia, nie miałoby to</w:t>
      </w:r>
      <w:r w:rsidR="00F5020F">
        <w:t> </w:t>
      </w:r>
      <w:r>
        <w:t xml:space="preserve">wpływu ani na </w:t>
      </w:r>
      <w:r w:rsidR="001D7F5E">
        <w:t>szybkość,</w:t>
      </w:r>
      <w:r>
        <w:t xml:space="preserve"> ani na cel prowadzonego wobec niego postępowania w trybie wyborczym. Trybunał stwierdza, że</w:t>
      </w:r>
      <w:r w:rsidR="00075E11">
        <w:t xml:space="preserve"> w istocie</w:t>
      </w:r>
      <w:r>
        <w:t xml:space="preserve"> przedmiotowe postępowanie </w:t>
      </w:r>
      <w:r w:rsidR="00075E11">
        <w:t xml:space="preserve">przedłużyło się </w:t>
      </w:r>
      <w:r>
        <w:t xml:space="preserve">znacznie </w:t>
      </w:r>
      <w:r w:rsidR="009A2590">
        <w:t>w stosunku do</w:t>
      </w:r>
      <w:r w:rsidR="00075E11">
        <w:t xml:space="preserve"> dat</w:t>
      </w:r>
      <w:r w:rsidR="009A2590">
        <w:t>y</w:t>
      </w:r>
      <w:r w:rsidR="00075E11">
        <w:t xml:space="preserve"> wyborów </w:t>
      </w:r>
      <w:r>
        <w:t>z</w:t>
      </w:r>
      <w:r w:rsidR="00EE6FF2">
        <w:t xml:space="preserve"> </w:t>
      </w:r>
      <w:r>
        <w:t xml:space="preserve">przyczyny leżącej po stronie sądu krajowego, który dopuścił się błędu przy obliczaniu terminu </w:t>
      </w:r>
      <w:r w:rsidR="00640A44">
        <w:t>do</w:t>
      </w:r>
      <w:r>
        <w:t xml:space="preserve"> wniesieni</w:t>
      </w:r>
      <w:r w:rsidR="00640A44">
        <w:t>a</w:t>
      </w:r>
      <w:r>
        <w:t xml:space="preserve"> zażalenia na orzeczenie wydane w pierwszej instancji.</w:t>
      </w:r>
    </w:p>
    <w:p w14:paraId="46F3997A" w14:textId="7F312404" w:rsidR="00114816" w:rsidRPr="00380BA6" w:rsidRDefault="00114816" w:rsidP="00380BA6">
      <w:pPr>
        <w:pStyle w:val="JuPara"/>
      </w:pPr>
      <w:r>
        <w:t>37.</w:t>
      </w:r>
      <w:r w:rsidR="00EE6FF2">
        <w:t xml:space="preserve"> </w:t>
      </w:r>
      <w:r>
        <w:t xml:space="preserve">W świetle powyższego Trybunał uważa, że w niniejszej sprawie skarżący uczynił wszystko, czego można było od niego </w:t>
      </w:r>
      <w:r w:rsidR="009A2590">
        <w:t>rozsądnie oczekiwać</w:t>
      </w:r>
      <w:r>
        <w:t>, by wyczerpać krajowe środki odwoławcze.</w:t>
      </w:r>
    </w:p>
    <w:p w14:paraId="0A53B0DE" w14:textId="04A757AD" w:rsidR="00114816" w:rsidRPr="00380BA6" w:rsidRDefault="00114816" w:rsidP="00380BA6">
      <w:pPr>
        <w:pStyle w:val="JuPara"/>
      </w:pPr>
      <w:r>
        <w:t>38.</w:t>
      </w:r>
      <w:r w:rsidR="00EE6FF2">
        <w:t xml:space="preserve"> </w:t>
      </w:r>
      <w:r>
        <w:t>Tym samym Trybunał odrzuca podniesion</w:t>
      </w:r>
      <w:r w:rsidR="00BA45C9">
        <w:t>e przez Rząd zastrzeżenie w sprawie</w:t>
      </w:r>
      <w:r>
        <w:t xml:space="preserve"> niedopuszczalności.</w:t>
      </w:r>
    </w:p>
    <w:p w14:paraId="47B4FC6E" w14:textId="2FFA303A" w:rsidR="00114816" w:rsidRPr="00380BA6" w:rsidRDefault="00114816" w:rsidP="00380BA6">
      <w:pPr>
        <w:pStyle w:val="JuPara"/>
      </w:pPr>
      <w:r>
        <w:lastRenderedPageBreak/>
        <w:t>39.</w:t>
      </w:r>
      <w:r w:rsidR="00EE6FF2">
        <w:t xml:space="preserve"> </w:t>
      </w:r>
      <w:r>
        <w:t xml:space="preserve">Biorąc pod uwagę, że zarzut </w:t>
      </w:r>
      <w:r w:rsidR="00BA45C9">
        <w:t xml:space="preserve">skargi </w:t>
      </w:r>
      <w:r>
        <w:t>nie jest w sposób oczywisty nieuzasadniony w rozumieniu art. 35 ust. 3 lit. a Konwencji oraz że nie jest on pod żadnym innym względem niedopuszczalny, Trybunał uznaje go za</w:t>
      </w:r>
      <w:r w:rsidR="00F5020F">
        <w:t> </w:t>
      </w:r>
      <w:r>
        <w:t>dopuszczalny.</w:t>
      </w:r>
    </w:p>
    <w:p w14:paraId="0544E241" w14:textId="77777777" w:rsidR="00114816" w:rsidRPr="00380BA6" w:rsidRDefault="00114816" w:rsidP="00380BA6">
      <w:pPr>
        <w:pStyle w:val="JuHA"/>
      </w:pPr>
      <w:r>
        <w:t>Przedmiot skargi</w:t>
      </w:r>
    </w:p>
    <w:p w14:paraId="3EA8865E" w14:textId="2F251B6A" w:rsidR="00114816" w:rsidRPr="00380BA6" w:rsidRDefault="00CD2D14" w:rsidP="00380BA6">
      <w:pPr>
        <w:pStyle w:val="JuH1"/>
        <w:rPr>
          <w:i w:val="0"/>
        </w:rPr>
      </w:pPr>
      <w:r>
        <w:t>Stanowiska</w:t>
      </w:r>
      <w:r w:rsidR="00114816">
        <w:t xml:space="preserve"> stron</w:t>
      </w:r>
    </w:p>
    <w:p w14:paraId="6237AB2C" w14:textId="77777777" w:rsidR="00114816" w:rsidRPr="00380BA6" w:rsidRDefault="00114816" w:rsidP="00380BA6">
      <w:pPr>
        <w:pStyle w:val="JuHa0"/>
      </w:pPr>
      <w:r>
        <w:t>Skarżący</w:t>
      </w:r>
    </w:p>
    <w:p w14:paraId="0CAEADD3" w14:textId="29226975" w:rsidR="00114816" w:rsidRPr="00380BA6" w:rsidRDefault="00114816" w:rsidP="00380BA6">
      <w:pPr>
        <w:pStyle w:val="JuPara"/>
      </w:pPr>
      <w:r>
        <w:t>40.</w:t>
      </w:r>
      <w:r w:rsidR="00EE6FF2">
        <w:t xml:space="preserve"> </w:t>
      </w:r>
      <w:r>
        <w:t xml:space="preserve">Skarżący twierdzi, że ingerencja w jego prawo do </w:t>
      </w:r>
      <w:r w:rsidR="00EE6FF2">
        <w:t>wolności wyrażania opinii</w:t>
      </w:r>
      <w:r>
        <w:t xml:space="preserve"> nie była konieczna w </w:t>
      </w:r>
      <w:r w:rsidR="00D41470">
        <w:t xml:space="preserve">społeczeństwie </w:t>
      </w:r>
      <w:r>
        <w:t>demokratycznym, bowiem nie była podyktowana pilną potrzebą społeczną. Twierdzi w</w:t>
      </w:r>
      <w:r w:rsidR="00F5020F">
        <w:t> </w:t>
      </w:r>
      <w:r>
        <w:t xml:space="preserve">szczególności, że na termin rozprawy wezwany został zaledwie trzy godziny przed </w:t>
      </w:r>
      <w:r w:rsidR="00D41470">
        <w:t xml:space="preserve">jej </w:t>
      </w:r>
      <w:r>
        <w:t>rozpoczęciem, co pozbawiło go możliwości przygotowania linii obrony i uczestnictw</w:t>
      </w:r>
      <w:r w:rsidR="00D41470">
        <w:t>a</w:t>
      </w:r>
      <w:r>
        <w:t xml:space="preserve"> w rozprawie. Ponadto skarżący twierdzi, że w</w:t>
      </w:r>
      <w:r w:rsidR="00EE6FF2">
        <w:t xml:space="preserve"> </w:t>
      </w:r>
      <w:r>
        <w:t xml:space="preserve">orzeczeniu z dnia 19 kwietnia 2007 </w:t>
      </w:r>
      <w:r w:rsidR="001D45B2">
        <w:t>roku</w:t>
      </w:r>
      <w:r>
        <w:t xml:space="preserve"> </w:t>
      </w:r>
      <w:r w:rsidR="006C07FF">
        <w:t>s</w:t>
      </w:r>
      <w:r>
        <w:t xml:space="preserve">ąd </w:t>
      </w:r>
      <w:r w:rsidR="006C07FF">
        <w:t>a</w:t>
      </w:r>
      <w:r>
        <w:t>pelacyjny nie</w:t>
      </w:r>
      <w:r w:rsidR="00F5020F">
        <w:t> </w:t>
      </w:r>
      <w:r>
        <w:t xml:space="preserve">odniósł się do zarzutów i </w:t>
      </w:r>
      <w:r w:rsidR="006C07FF">
        <w:t xml:space="preserve">twierdzeń </w:t>
      </w:r>
      <w:r>
        <w:t>podniesionych w zażaleniu skarżącego w zakresie prawdziwości kwestionowanych wypowiedzi ani</w:t>
      </w:r>
      <w:r w:rsidR="00F5020F">
        <w:t> </w:t>
      </w:r>
      <w:r>
        <w:t>nie</w:t>
      </w:r>
      <w:r w:rsidR="00F5020F">
        <w:t> </w:t>
      </w:r>
      <w:r>
        <w:t>wziął pod uwagę żadnego dowodu przedstawionego w niniejszej sprawie.</w:t>
      </w:r>
    </w:p>
    <w:p w14:paraId="244F2E47" w14:textId="77777777" w:rsidR="00114816" w:rsidRPr="00380BA6" w:rsidRDefault="00114816" w:rsidP="00380BA6">
      <w:pPr>
        <w:pStyle w:val="JuHa0"/>
      </w:pPr>
      <w:r>
        <w:t>Rząd</w:t>
      </w:r>
    </w:p>
    <w:p w14:paraId="0CAF1D3B" w14:textId="42E00F5A" w:rsidR="00114816" w:rsidRPr="00380BA6" w:rsidRDefault="00114816" w:rsidP="00380BA6">
      <w:pPr>
        <w:pStyle w:val="JuPara"/>
      </w:pPr>
      <w:r>
        <w:t>41.</w:t>
      </w:r>
      <w:r w:rsidR="00EE6FF2">
        <w:t xml:space="preserve"> </w:t>
      </w:r>
      <w:r>
        <w:t xml:space="preserve">Rząd przyznaje, że nałożona na skarżącego sankcja stanowiła ingerencję w jego prawo do </w:t>
      </w:r>
      <w:r w:rsidR="00EE6FF2">
        <w:t>wolności wyrażania opinii</w:t>
      </w:r>
      <w:r>
        <w:t>. Twierdzi, że</w:t>
      </w:r>
      <w:r w:rsidR="00F5020F">
        <w:t> </w:t>
      </w:r>
      <w:r>
        <w:t xml:space="preserve">ingerencja ta została jednak „przewidziana przez </w:t>
      </w:r>
      <w:r w:rsidR="00597F38">
        <w:t>ustawę</w:t>
      </w:r>
      <w:r>
        <w:t>” (w</w:t>
      </w:r>
      <w:r w:rsidR="00F5020F">
        <w:t> </w:t>
      </w:r>
      <w:r>
        <w:t>szczególności art. 72 Ordynacji wyborczej) i realizowała u</w:t>
      </w:r>
      <w:r w:rsidR="00EE6FF2">
        <w:t>prawniony</w:t>
      </w:r>
      <w:r>
        <w:t xml:space="preserve"> cel, jakim jest ochrona dobrego imienia i praw innych osób, a także zapewnienie właściwego przebiegu kampanii wyborczej poprzez zapobieżenie naruszeniom dóbr osobistych osób startujących w wyborach, które mogłyby wpłynąć na wynik wyborów. Rząd podnosi, że p</w:t>
      </w:r>
      <w:r w:rsidR="00597F38">
        <w:t>odane</w:t>
      </w:r>
      <w:r>
        <w:t xml:space="preserve"> przez sądy krajowe </w:t>
      </w:r>
      <w:r w:rsidR="00597F38">
        <w:t xml:space="preserve">uzasadnienie </w:t>
      </w:r>
      <w:r>
        <w:t>był</w:t>
      </w:r>
      <w:r w:rsidR="00597F38">
        <w:t>o</w:t>
      </w:r>
      <w:r>
        <w:t xml:space="preserve"> zgodne z celami ochrony dobrego imienia i</w:t>
      </w:r>
      <w:r w:rsidR="00F5020F">
        <w:t> </w:t>
      </w:r>
      <w:r>
        <w:t>praw członków władz samorządowych, którzy twierdzili, że ich dobra osobiste, jako kandydatów startujących w wyborach samorządowych, zostały naruszone przez nieprawdziwe wypowiedzi skarżącego, w związku z czym wystąpili przeciwko niemu na drogę sądową.</w:t>
      </w:r>
    </w:p>
    <w:p w14:paraId="35012631" w14:textId="220EA843" w:rsidR="00114816" w:rsidRPr="00380BA6" w:rsidRDefault="00114816" w:rsidP="00380BA6">
      <w:pPr>
        <w:pStyle w:val="JuPara"/>
      </w:pPr>
      <w:r>
        <w:t>42.</w:t>
      </w:r>
      <w:r w:rsidR="00EE6FF2">
        <w:t xml:space="preserve"> </w:t>
      </w:r>
      <w:r>
        <w:t>Ponadto Rząd jest przekonany, że</w:t>
      </w:r>
      <w:r w:rsidR="00597F38">
        <w:t xml:space="preserve"> ingerencja była proporcjonalna</w:t>
      </w:r>
      <w:r>
        <w:t xml:space="preserve"> </w:t>
      </w:r>
      <w:r w:rsidR="002F6F11">
        <w:t>w</w:t>
      </w:r>
      <w:r w:rsidR="00F5020F">
        <w:t> </w:t>
      </w:r>
      <w:r w:rsidR="002F6F11">
        <w:t>zakresie</w:t>
      </w:r>
      <w:r w:rsidR="00597F38">
        <w:t>,</w:t>
      </w:r>
      <w:r w:rsidR="002F6F11">
        <w:t xml:space="preserve"> w jakim</w:t>
      </w:r>
      <w:r w:rsidR="00597F38">
        <w:t xml:space="preserve"> </w:t>
      </w:r>
      <w:r>
        <w:t xml:space="preserve">Sąd </w:t>
      </w:r>
      <w:r w:rsidR="00597F38">
        <w:t xml:space="preserve">Okręgowy w Częstochowie nalegał, jego zdaniem, </w:t>
      </w:r>
      <w:r>
        <w:t>na konieczność przywrócenia stanu zgodnego z prawdą poprzez publikację przeprosin skarżącego. Dodaje, że ostatecznie zasądzonej od skarżącego kwoty 5000 PLN nie można uznać za wygórowaną, zważywszy na to</w:t>
      </w:r>
      <w:r w:rsidR="002F6F11">
        <w:t>,</w:t>
      </w:r>
      <w:r>
        <w:t xml:space="preserve"> że</w:t>
      </w:r>
      <w:r w:rsidR="00F5020F">
        <w:t> </w:t>
      </w:r>
      <w:r>
        <w:t>wnioskodawcy dochodzili maksymalnej kwoty przewidzianej w</w:t>
      </w:r>
      <w:r w:rsidR="00F5020F">
        <w:t> </w:t>
      </w:r>
      <w:r>
        <w:t>Ordynacji wyborczej, tj. 10 000 PLN.</w:t>
      </w:r>
    </w:p>
    <w:p w14:paraId="082303C4" w14:textId="6C6F6261" w:rsidR="00114816" w:rsidRPr="00380BA6" w:rsidRDefault="00114816" w:rsidP="00380BA6">
      <w:pPr>
        <w:pStyle w:val="JuPara"/>
      </w:pPr>
      <w:r>
        <w:t>43.</w:t>
      </w:r>
      <w:r w:rsidR="00EE6FF2">
        <w:t xml:space="preserve"> </w:t>
      </w:r>
      <w:r>
        <w:t>Rząd twierdzi, że wnioskodawcy nie zakwestionowali treści ulotki w</w:t>
      </w:r>
      <w:r w:rsidR="00F5020F">
        <w:t> </w:t>
      </w:r>
      <w:r>
        <w:t xml:space="preserve">całości, a jedynie niektóre </w:t>
      </w:r>
      <w:r w:rsidR="00F741A2">
        <w:t>wypowiedzi co do faktów</w:t>
      </w:r>
      <w:r>
        <w:t xml:space="preserve">, które miały okazać się nieprawdziwe. Tym samym jego zdaniem postępowanie krajowe </w:t>
      </w:r>
      <w:r>
        <w:lastRenderedPageBreak/>
        <w:t>dotyczyło wyłącznie t</w:t>
      </w:r>
      <w:r w:rsidR="007703BB">
        <w:t>wierdzeń w zakresie bezzwrotnej pomocy</w:t>
      </w:r>
      <w:r>
        <w:t xml:space="preserve"> </w:t>
      </w:r>
      <w:r w:rsidR="007703BB">
        <w:t>gminnej</w:t>
      </w:r>
      <w:r>
        <w:t xml:space="preserve"> </w:t>
      </w:r>
      <w:r w:rsidR="007703BB">
        <w:t>otrzymywanej</w:t>
      </w:r>
      <w:r>
        <w:t xml:space="preserve"> przez J.K., nienależytego wykonania prac izolacyjnych w</w:t>
      </w:r>
      <w:r w:rsidR="00F5020F">
        <w:t> </w:t>
      </w:r>
      <w:r>
        <w:t>budynkach szkół publicznych oraz utrzymania niekorzystnych umów na</w:t>
      </w:r>
      <w:r w:rsidR="00F5020F">
        <w:t> </w:t>
      </w:r>
      <w:r>
        <w:t>zaopatrzenie w wodę i odprowadzanie ścieków w gminie.</w:t>
      </w:r>
    </w:p>
    <w:p w14:paraId="42542123" w14:textId="58A67793" w:rsidR="00114816" w:rsidRPr="00380BA6" w:rsidRDefault="00114816" w:rsidP="00380BA6">
      <w:pPr>
        <w:pStyle w:val="JuPara"/>
      </w:pPr>
      <w:r>
        <w:t>44.</w:t>
      </w:r>
      <w:r w:rsidR="00EE6FF2">
        <w:t xml:space="preserve"> </w:t>
      </w:r>
      <w:r>
        <w:t>Rząd uważa, że powyższe twierdzenia stanowią wyłącznie twierdzenia faktyczne i należy je poprzeć niezbędnymi dowodami. Jego</w:t>
      </w:r>
      <w:r w:rsidR="00EE6FF2">
        <w:t xml:space="preserve"> </w:t>
      </w:r>
      <w:r>
        <w:t>zdaniem u</w:t>
      </w:r>
      <w:r w:rsidR="00EE6FF2">
        <w:t>prawniona</w:t>
      </w:r>
      <w:r>
        <w:t xml:space="preserve"> krytyka z pewnością nie powinna prowadzić do tego typu pomówień, a przedmiotowe wypowiedzi wykraczają poza zakres ochrony przewidziany w art. 10 Konwencji.</w:t>
      </w:r>
    </w:p>
    <w:p w14:paraId="308818A1" w14:textId="6E5D00B1" w:rsidR="00114816" w:rsidRPr="00380BA6" w:rsidRDefault="00114816" w:rsidP="00380BA6">
      <w:pPr>
        <w:pStyle w:val="JuPara"/>
      </w:pPr>
      <w:r>
        <w:t>45.</w:t>
      </w:r>
      <w:r w:rsidR="00EE6FF2">
        <w:t xml:space="preserve"> </w:t>
      </w:r>
      <w:r>
        <w:t>Podsumowując, zdaniem Rządu</w:t>
      </w:r>
      <w:r w:rsidR="004F7621">
        <w:t>,</w:t>
      </w:r>
      <w:r>
        <w:t xml:space="preserve"> ingerencja w prawo skarżącego do</w:t>
      </w:r>
      <w:r w:rsidR="00F5020F">
        <w:t> </w:t>
      </w:r>
      <w:r w:rsidR="00EE6FF2">
        <w:t>wolności wyrażania opinii</w:t>
      </w:r>
      <w:r>
        <w:t xml:space="preserve"> była konieczna w celu ochrony praw innych osób.</w:t>
      </w:r>
    </w:p>
    <w:p w14:paraId="702594F4" w14:textId="77777777" w:rsidR="00114816" w:rsidRPr="00380BA6" w:rsidRDefault="00114816" w:rsidP="00380BA6">
      <w:pPr>
        <w:pStyle w:val="JuH1"/>
      </w:pPr>
      <w:r>
        <w:t>Ocena Trybunału</w:t>
      </w:r>
    </w:p>
    <w:p w14:paraId="6CD044E1" w14:textId="1B21FA97" w:rsidR="00114816" w:rsidRPr="00380BA6" w:rsidRDefault="00114816" w:rsidP="00380BA6">
      <w:pPr>
        <w:pStyle w:val="JuPara"/>
      </w:pPr>
      <w:r>
        <w:t>46.</w:t>
      </w:r>
      <w:r w:rsidR="00EE6FF2">
        <w:t xml:space="preserve"> </w:t>
      </w:r>
      <w:r>
        <w:t>Trybunał zauważa, że w niniejszej sprawie nie ma wątpliwości, że</w:t>
      </w:r>
      <w:r w:rsidR="00F5020F">
        <w:t> </w:t>
      </w:r>
      <w:r>
        <w:t>wydane wobec skarżącego orzeczenia stanowią ingerencję władz publiczn</w:t>
      </w:r>
      <w:r w:rsidR="00597F38">
        <w:t>ych w korzystanie przez niego z</w:t>
      </w:r>
      <w:r>
        <w:t xml:space="preserve"> </w:t>
      </w:r>
      <w:r w:rsidR="00EE6FF2">
        <w:t>wolności wyrażania opinii</w:t>
      </w:r>
      <w:r>
        <w:t xml:space="preserve"> w</w:t>
      </w:r>
      <w:r w:rsidR="00F5020F">
        <w:t> </w:t>
      </w:r>
      <w:r>
        <w:t xml:space="preserve">rozumieniu art. 10 </w:t>
      </w:r>
      <w:bookmarkStart w:id="1" w:name="0100000B"/>
      <w:bookmarkEnd w:id="1"/>
      <w:r>
        <w:t>Konwencji.</w:t>
      </w:r>
    </w:p>
    <w:p w14:paraId="0CEF6FD7" w14:textId="5F3F2DE6" w:rsidR="00114816" w:rsidRPr="00380BA6" w:rsidRDefault="00114816" w:rsidP="00380BA6">
      <w:pPr>
        <w:pStyle w:val="JuPara"/>
      </w:pPr>
      <w:r>
        <w:t>47.</w:t>
      </w:r>
      <w:r w:rsidR="00EE6FF2">
        <w:t xml:space="preserve"> </w:t>
      </w:r>
      <w:r>
        <w:t>W ocenie Trybunału ingerencja ta była „przewidziana przez</w:t>
      </w:r>
      <w:r w:rsidR="00597F38">
        <w:t xml:space="preserve"> ustawę</w:t>
      </w:r>
      <w:r>
        <w:t xml:space="preserve">”, co zresztą </w:t>
      </w:r>
      <w:r w:rsidR="004F7621">
        <w:t>nie zostało zakwestionowane</w:t>
      </w:r>
      <w:r w:rsidR="005401CE">
        <w:t xml:space="preserve"> </w:t>
      </w:r>
      <w:r w:rsidR="004F7621">
        <w:t>w niniejszym</w:t>
      </w:r>
      <w:r>
        <w:t xml:space="preserve"> postępowani</w:t>
      </w:r>
      <w:r w:rsidR="005401CE">
        <w:t>u</w:t>
      </w:r>
      <w:r>
        <w:t>; podstawę prawną kwestionowanych orzeczeń stanowił art. 72 Ordynacji wyborczej. Ingerencja ta miała na celu realizację u</w:t>
      </w:r>
      <w:r w:rsidR="00EE6FF2">
        <w:t>prawnionego</w:t>
      </w:r>
      <w:r>
        <w:t xml:space="preserve"> celu przewidzianego w art. 10</w:t>
      </w:r>
      <w:bookmarkStart w:id="2" w:name="0100000C"/>
      <w:bookmarkEnd w:id="2"/>
      <w:r>
        <w:t xml:space="preserve"> ust. 2, jakim jest ochrona dobrego imienia innych osób, w tym przypadku J.Ś. i J.K. jako kandydatów startujących w</w:t>
      </w:r>
      <w:r w:rsidR="00F5020F">
        <w:t> </w:t>
      </w:r>
      <w:r>
        <w:t>wyborach samorządowych. Zatem jedynym pytaniem jest</w:t>
      </w:r>
      <w:r w:rsidR="00492762">
        <w:t xml:space="preserve"> to</w:t>
      </w:r>
      <w:r w:rsidR="00F741A2">
        <w:t>,</w:t>
      </w:r>
      <w:r>
        <w:t xml:space="preserve"> czy</w:t>
      </w:r>
      <w:r w:rsidR="00F5020F">
        <w:t> </w:t>
      </w:r>
      <w:r>
        <w:t>ingerencja była „konieczna w społeczeństwie demokratycznym”.</w:t>
      </w:r>
    </w:p>
    <w:p w14:paraId="58A24792" w14:textId="04E2EB4D" w:rsidR="00114816" w:rsidRPr="00380BA6" w:rsidRDefault="00114816" w:rsidP="00380BA6">
      <w:pPr>
        <w:pStyle w:val="JuPara"/>
      </w:pPr>
      <w:r>
        <w:t>48.</w:t>
      </w:r>
      <w:r w:rsidR="00EE6FF2">
        <w:t xml:space="preserve"> </w:t>
      </w:r>
      <w:r>
        <w:t>W tym względzie Trybunał odsyła do podstawowych zasad, które wynikają z jego orzecznictwa w tym przedmiocie (zob. m</w:t>
      </w:r>
      <w:r w:rsidR="00E7776A">
        <w:t>.</w:t>
      </w:r>
      <w:r>
        <w:t>in</w:t>
      </w:r>
      <w:r w:rsidR="00E7776A">
        <w:t>.</w:t>
      </w:r>
      <w:r>
        <w:t xml:space="preserve"> </w:t>
      </w:r>
      <w:proofErr w:type="spellStart"/>
      <w:r>
        <w:rPr>
          <w:i/>
          <w:iCs/>
        </w:rPr>
        <w:t>Lindon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Otchakovsky-Laurens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July</w:t>
      </w:r>
      <w:proofErr w:type="spellEnd"/>
      <w:r>
        <w:rPr>
          <w:i/>
          <w:iCs/>
        </w:rPr>
        <w:t xml:space="preserve"> przeciwko Francji</w:t>
      </w:r>
      <w:r>
        <w:t xml:space="preserve"> [WI], skargi nr 21279/02 i</w:t>
      </w:r>
      <w:r w:rsidR="00F5020F">
        <w:t> </w:t>
      </w:r>
      <w:r>
        <w:t>36448/02, §§ 45 i 46, ETPCz 2007</w:t>
      </w:r>
      <w:r>
        <w:noBreakHyphen/>
        <w:t xml:space="preserve">XI oraz </w:t>
      </w:r>
      <w:proofErr w:type="spellStart"/>
      <w:r>
        <w:rPr>
          <w:i/>
          <w:iCs/>
        </w:rPr>
        <w:t>July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Sarl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Libération</w:t>
      </w:r>
      <w:proofErr w:type="spellEnd"/>
      <w:r>
        <w:rPr>
          <w:i/>
          <w:iCs/>
        </w:rPr>
        <w:t xml:space="preserve"> przeciwko Francji</w:t>
      </w:r>
      <w:r>
        <w:t>, skarga nr 20893/03, §§ 60</w:t>
      </w:r>
      <w:r w:rsidR="00492762">
        <w:t>-</w:t>
      </w:r>
      <w:r>
        <w:t>64, ETPCz 2008 (fragmenty)).</w:t>
      </w:r>
    </w:p>
    <w:p w14:paraId="64A09C48" w14:textId="4D485A75" w:rsidR="00114816" w:rsidRPr="00380BA6" w:rsidRDefault="00114816" w:rsidP="00380BA6">
      <w:pPr>
        <w:pStyle w:val="JuPara"/>
      </w:pPr>
      <w:r>
        <w:t>49.</w:t>
      </w:r>
      <w:r w:rsidR="00EE6FF2">
        <w:t xml:space="preserve"> </w:t>
      </w:r>
      <w:r>
        <w:t>Przypomina, że sprawowanie przez niego funkcji kontrolnych nie</w:t>
      </w:r>
      <w:r w:rsidR="00F5020F">
        <w:t> </w:t>
      </w:r>
      <w:r>
        <w:t>ma</w:t>
      </w:r>
      <w:r w:rsidR="00F5020F">
        <w:t> </w:t>
      </w:r>
      <w:r>
        <w:t>polegać na zastępowaniu właściwych sądów krajowych, lecz na</w:t>
      </w:r>
      <w:r w:rsidR="00F5020F">
        <w:t> </w:t>
      </w:r>
      <w:r w:rsidRPr="007C0D06">
        <w:t xml:space="preserve">dokonywaniu </w:t>
      </w:r>
      <w:r w:rsidR="0010301A" w:rsidRPr="007C0D06">
        <w:t>kontroli</w:t>
      </w:r>
      <w:r>
        <w:t xml:space="preserve"> orzeczeń wydawanych w granicach przysługującego im marginesu</w:t>
      </w:r>
      <w:r w:rsidR="00597F38">
        <w:t xml:space="preserve"> oceny</w:t>
      </w:r>
      <w:r w:rsidR="00631F16">
        <w:t>,</w:t>
      </w:r>
      <w:r>
        <w:t xml:space="preserve"> pod kątem </w:t>
      </w:r>
      <w:r w:rsidR="005401CE">
        <w:t xml:space="preserve">ich </w:t>
      </w:r>
      <w:r>
        <w:t>zgodności z</w:t>
      </w:r>
      <w:r w:rsidR="00F5020F">
        <w:t> </w:t>
      </w:r>
      <w:r w:rsidR="00CD3E61">
        <w:t>przepisami</w:t>
      </w:r>
      <w:r>
        <w:t xml:space="preserve"> Konwencji (</w:t>
      </w:r>
      <w:r>
        <w:rPr>
          <w:i/>
          <w:iCs/>
        </w:rPr>
        <w:t xml:space="preserve">News </w:t>
      </w:r>
      <w:proofErr w:type="spellStart"/>
      <w:r>
        <w:rPr>
          <w:i/>
          <w:iCs/>
        </w:rPr>
        <w:t>Verlags</w:t>
      </w:r>
      <w:proofErr w:type="spellEnd"/>
      <w:r>
        <w:rPr>
          <w:i/>
          <w:iCs/>
        </w:rPr>
        <w:t xml:space="preserve"> GmbH &amp; Co. KG przeciwko Austrii</w:t>
      </w:r>
      <w:r>
        <w:t>, skarga nr 31457/96, § 52, ETPCz 2000-I).</w:t>
      </w:r>
    </w:p>
    <w:p w14:paraId="009853BF" w14:textId="4A9C77C5" w:rsidR="00114816" w:rsidRPr="00380BA6" w:rsidRDefault="00114816" w:rsidP="00380BA6">
      <w:pPr>
        <w:pStyle w:val="JuPara"/>
      </w:pPr>
      <w:r>
        <w:t>50.</w:t>
      </w:r>
      <w:r w:rsidR="00EE6FF2">
        <w:t xml:space="preserve"> </w:t>
      </w:r>
      <w:r>
        <w:t xml:space="preserve">Trybunał w szczególności </w:t>
      </w:r>
      <w:r w:rsidR="00083D48">
        <w:t xml:space="preserve">ma za zadanie </w:t>
      </w:r>
      <w:r>
        <w:t>określić, czy przytoczone przez władze krajowe przesłanki uzasadniające ingerencję były „odpowiednie i</w:t>
      </w:r>
      <w:r w:rsidR="00F5020F">
        <w:t> </w:t>
      </w:r>
      <w:r>
        <w:t>wystarczające” oraz czy podjęte środki były „proporcjonalne do</w:t>
      </w:r>
      <w:r w:rsidR="00F5020F">
        <w:t> </w:t>
      </w:r>
      <w:r>
        <w:t>u</w:t>
      </w:r>
      <w:r w:rsidR="00EE6FF2">
        <w:t>prawnionych</w:t>
      </w:r>
      <w:r>
        <w:t xml:space="preserve"> celów, które były zamierzone” (</w:t>
      </w:r>
      <w:proofErr w:type="spellStart"/>
      <w:r>
        <w:rPr>
          <w:i/>
          <w:iCs/>
        </w:rPr>
        <w:t>Chauvy</w:t>
      </w:r>
      <w:proofErr w:type="spellEnd"/>
      <w:r>
        <w:rPr>
          <w:i/>
          <w:iCs/>
        </w:rPr>
        <w:t xml:space="preserve"> i In</w:t>
      </w:r>
      <w:r w:rsidR="00492762">
        <w:rPr>
          <w:i/>
          <w:iCs/>
        </w:rPr>
        <w:t>ni</w:t>
      </w:r>
      <w:r>
        <w:rPr>
          <w:i/>
          <w:iCs/>
        </w:rPr>
        <w:t xml:space="preserve"> przeciwko Francji</w:t>
      </w:r>
      <w:r>
        <w:t>, skarga nr 64915/01, § 70, ETPCz 2004</w:t>
      </w:r>
      <w:r>
        <w:noBreakHyphen/>
        <w:t xml:space="preserve">VI, oraz </w:t>
      </w:r>
      <w:proofErr w:type="spellStart"/>
      <w:r>
        <w:rPr>
          <w:i/>
          <w:iCs/>
        </w:rPr>
        <w:t>Alves</w:t>
      </w:r>
      <w:proofErr w:type="spellEnd"/>
      <w:r>
        <w:rPr>
          <w:i/>
          <w:iCs/>
        </w:rPr>
        <w:t xml:space="preserve"> da Silva przeciwko Portugalii</w:t>
      </w:r>
      <w:r>
        <w:t xml:space="preserve">, skarga nr 41665/07, § 23, 20 października 2009 </w:t>
      </w:r>
      <w:r w:rsidR="001D45B2">
        <w:t>roku</w:t>
      </w:r>
      <w:r>
        <w:t xml:space="preserve">). Czyniąc to, Trybunał musi być przekonany, że </w:t>
      </w:r>
      <w:r>
        <w:lastRenderedPageBreak/>
        <w:t>władze krajowe, bazując na dopuszczalnej ocenie odpowiednich faktów, zastosowały standardy zgodne z</w:t>
      </w:r>
      <w:r w:rsidR="00EE6FF2">
        <w:t xml:space="preserve"> </w:t>
      </w:r>
      <w:r>
        <w:t>zasadami wyrażonymi w art. 10 (</w:t>
      </w:r>
      <w:r>
        <w:rPr>
          <w:i/>
          <w:iCs/>
        </w:rPr>
        <w:t>Zana przeciwko Turcji</w:t>
      </w:r>
      <w:r>
        <w:t xml:space="preserve">, 25 listopada 1997, Zbiór 1997-VII, § 51 oraz </w:t>
      </w:r>
      <w:r>
        <w:rPr>
          <w:i/>
          <w:iCs/>
        </w:rPr>
        <w:t>Braun przeciwko Polsce</w:t>
      </w:r>
      <w:r>
        <w:t>, skarga nr 30162/10, 4</w:t>
      </w:r>
      <w:r w:rsidR="00EE6FF2">
        <w:t xml:space="preserve"> </w:t>
      </w:r>
      <w:r>
        <w:t xml:space="preserve">listopada 2014 </w:t>
      </w:r>
      <w:r w:rsidR="001D45B2">
        <w:t>roku</w:t>
      </w:r>
      <w:r>
        <w:t>, § 41).</w:t>
      </w:r>
    </w:p>
    <w:p w14:paraId="6ED174D7" w14:textId="132E3A3F" w:rsidR="00114816" w:rsidRPr="00380BA6" w:rsidRDefault="00114816" w:rsidP="00380BA6">
      <w:pPr>
        <w:pStyle w:val="JuPara"/>
      </w:pPr>
      <w:r>
        <w:t>51.</w:t>
      </w:r>
      <w:r w:rsidR="00EE6FF2">
        <w:t xml:space="preserve"> </w:t>
      </w:r>
      <w:r>
        <w:t>W niniejszej sprawie Trybunał dostrzega, że w ulotce opublikowanej podczas kampanii dotyczącej wyborów samorządowych skarżący –</w:t>
      </w:r>
      <w:r w:rsidR="00EE6FF2">
        <w:t xml:space="preserve"> </w:t>
      </w:r>
      <w:r>
        <w:t>kandydujący na stanowisko radnego gminy – czynił krytyczne uwagi pod</w:t>
      </w:r>
      <w:r w:rsidR="00F5020F">
        <w:t> </w:t>
      </w:r>
      <w:r>
        <w:t xml:space="preserve">adresem </w:t>
      </w:r>
      <w:r w:rsidR="007703BB">
        <w:t>burmistrza</w:t>
      </w:r>
      <w:r>
        <w:t xml:space="preserve"> ubiegającego się o reelekcję w gminie, w której mieszkał skarżący, a także pod adresem niektórych radnych gminy. W ulotce zainteresowany zwrócił w szczególności uwagę na brak realizacji obietnic wyborczych przez ówczesne władze samorządowe i </w:t>
      </w:r>
      <w:r w:rsidR="00695ED6">
        <w:t>poddał w wątpliwość</w:t>
      </w:r>
      <w:r w:rsidR="00115341">
        <w:t xml:space="preserve"> </w:t>
      </w:r>
      <w:r w:rsidR="00D37C45">
        <w:t xml:space="preserve">ich </w:t>
      </w:r>
      <w:r w:rsidR="00695ED6">
        <w:t xml:space="preserve">umiejętność kierowania </w:t>
      </w:r>
      <w:r>
        <w:t>spraw</w:t>
      </w:r>
      <w:r w:rsidR="00695ED6">
        <w:t>ami</w:t>
      </w:r>
      <w:r>
        <w:t xml:space="preserve"> gminy. Skarżący poruszył m.in.</w:t>
      </w:r>
      <w:r w:rsidR="00F5020F">
        <w:t> </w:t>
      </w:r>
      <w:r>
        <w:t xml:space="preserve">kwestię prowadzenia spraw gminy i zarządzania środkami publicznymi oraz brak zaproponowania przez </w:t>
      </w:r>
      <w:r w:rsidR="00D37C45">
        <w:t>urząd gminy</w:t>
      </w:r>
      <w:r>
        <w:t xml:space="preserve"> odpowiedniego rozwiązania różnych problemów mieszkańców gminy.</w:t>
      </w:r>
    </w:p>
    <w:p w14:paraId="747C4D9F" w14:textId="74328B41" w:rsidR="00114816" w:rsidRPr="00380BA6" w:rsidRDefault="00114816" w:rsidP="00380BA6">
      <w:pPr>
        <w:pStyle w:val="JuPara"/>
      </w:pPr>
      <w:r>
        <w:t>52.</w:t>
      </w:r>
      <w:r w:rsidR="00EE6FF2">
        <w:t xml:space="preserve"> </w:t>
      </w:r>
      <w:r>
        <w:t>Trybunał wskazuje, że prowadzenie spraw gminy jest niewątpliwie przedmiotem ogólnego zainteresowania wspólnoty. Tym samym skarżący był uprawniony do publicznego przekazywania informacji w tym zakresie. W ocenie</w:t>
      </w:r>
      <w:r w:rsidR="000E5AF4">
        <w:t xml:space="preserve"> Trybunału</w:t>
      </w:r>
      <w:r>
        <w:t xml:space="preserve"> prowadzona w przedmiotowym okresie kampania wyborcza bez wątpienia stwarzała </w:t>
      </w:r>
      <w:r w:rsidR="000E5AF4">
        <w:t xml:space="preserve">najlepszą </w:t>
      </w:r>
      <w:r>
        <w:t xml:space="preserve">okazję do </w:t>
      </w:r>
      <w:r w:rsidR="000E5AF4">
        <w:t xml:space="preserve">poruszania </w:t>
      </w:r>
      <w:r>
        <w:t>tego rodza</w:t>
      </w:r>
      <w:r w:rsidR="00733807">
        <w:t>ju problemów. Trybunał dostrzega</w:t>
      </w:r>
      <w:r>
        <w:t>, że kwestionowane wypowiedzi dotyczyły w</w:t>
      </w:r>
      <w:r w:rsidR="00EE6FF2">
        <w:t xml:space="preserve"> </w:t>
      </w:r>
      <w:r>
        <w:t xml:space="preserve">szczególności </w:t>
      </w:r>
      <w:r w:rsidR="007703BB">
        <w:t>burmistrza</w:t>
      </w:r>
      <w:r>
        <w:t xml:space="preserve"> i </w:t>
      </w:r>
      <w:r w:rsidR="000E5AF4">
        <w:t xml:space="preserve">radnej </w:t>
      </w:r>
      <w:r>
        <w:t>gminy, którzy ubiegali się o</w:t>
      </w:r>
      <w:r w:rsidR="00F5020F">
        <w:t> </w:t>
      </w:r>
      <w:r>
        <w:t>reelekcję w</w:t>
      </w:r>
      <w:r w:rsidR="00EE6FF2">
        <w:t xml:space="preserve"> </w:t>
      </w:r>
      <w:r>
        <w:t>wyborach samorządowych. W</w:t>
      </w:r>
      <w:r w:rsidR="001D7F5E">
        <w:t>łaśnie w</w:t>
      </w:r>
      <w:r>
        <w:t xml:space="preserve"> tym charakterze byli oni przedmiotem wypowiedzi skarżącego.</w:t>
      </w:r>
    </w:p>
    <w:p w14:paraId="5FBAB955" w14:textId="128F020E" w:rsidR="00114816" w:rsidRPr="00380BA6" w:rsidRDefault="00114816" w:rsidP="00380BA6">
      <w:pPr>
        <w:pStyle w:val="JuPara"/>
      </w:pPr>
      <w:r>
        <w:t>53.</w:t>
      </w:r>
      <w:r w:rsidR="00EE6FF2">
        <w:t xml:space="preserve"> </w:t>
      </w:r>
      <w:r>
        <w:t xml:space="preserve">Trybunał przypomina w tym kontekście, że art. 10 ust. 2 Konwencji pozostawia niewiele miejsca na ograniczenia </w:t>
      </w:r>
      <w:r w:rsidR="00EE6FF2">
        <w:t>wolności wyrażania opinii</w:t>
      </w:r>
      <w:r>
        <w:t xml:space="preserve"> w</w:t>
      </w:r>
      <w:r w:rsidR="00F5020F">
        <w:t> </w:t>
      </w:r>
      <w:r>
        <w:t xml:space="preserve">debacie </w:t>
      </w:r>
      <w:r w:rsidR="00733807">
        <w:t xml:space="preserve">politycznej lub </w:t>
      </w:r>
      <w:r>
        <w:t xml:space="preserve">dotyczącej </w:t>
      </w:r>
      <w:r w:rsidR="00733807">
        <w:t xml:space="preserve">kwestii </w:t>
      </w:r>
      <w:r>
        <w:t xml:space="preserve">interesu </w:t>
      </w:r>
      <w:r w:rsidRPr="0010301A">
        <w:t>powszechnego.</w:t>
      </w:r>
      <w:r>
        <w:t xml:space="preserve"> Granice dopuszczalnej krytyki w przypadku polityka, w wypowiedziach dotyczących jego działalności publicznej, są znacznie szersze niż</w:t>
      </w:r>
      <w:r w:rsidR="00F5020F">
        <w:t> </w:t>
      </w:r>
      <w:r>
        <w:t>w</w:t>
      </w:r>
      <w:r w:rsidR="00F5020F">
        <w:t> </w:t>
      </w:r>
      <w:r>
        <w:t>przypadku przeciętnego obywatela: w przeciwieństwie do</w:t>
      </w:r>
      <w:r w:rsidR="00F5020F">
        <w:t> </w:t>
      </w:r>
      <w:r>
        <w:t xml:space="preserve">przeciętnych </w:t>
      </w:r>
      <w:r w:rsidRPr="000C63C6">
        <w:t xml:space="preserve">obywateli politycy </w:t>
      </w:r>
      <w:r w:rsidR="000C63C6" w:rsidRPr="000C63C6">
        <w:t xml:space="preserve">nieuchronnie i świadomie poddają swe </w:t>
      </w:r>
      <w:r w:rsidRPr="000C63C6">
        <w:t xml:space="preserve">słowa i działania </w:t>
      </w:r>
      <w:r w:rsidR="000C63C6" w:rsidRPr="000C63C6">
        <w:t>ścisłej kontroli dziennikarzy</w:t>
      </w:r>
      <w:r w:rsidR="000C63C6">
        <w:t xml:space="preserve"> i społeczeństwa</w:t>
      </w:r>
      <w:r>
        <w:t>, a</w:t>
      </w:r>
      <w:r w:rsidR="00F5020F">
        <w:t> </w:t>
      </w:r>
      <w:r>
        <w:t>w</w:t>
      </w:r>
      <w:r w:rsidR="00F5020F">
        <w:t> </w:t>
      </w:r>
      <w:r>
        <w:t>konsekwencji muszą wykazywać większą tolerancję (</w:t>
      </w:r>
      <w:proofErr w:type="spellStart"/>
      <w:r>
        <w:rPr>
          <w:i/>
          <w:iCs/>
        </w:rPr>
        <w:t>Feldek</w:t>
      </w:r>
      <w:proofErr w:type="spellEnd"/>
      <w:r>
        <w:rPr>
          <w:i/>
          <w:iCs/>
        </w:rPr>
        <w:t xml:space="preserve"> przeciwko Słowacji</w:t>
      </w:r>
      <w:r>
        <w:t xml:space="preserve">, skarga nr 20032/95, § 74, ETPCz 2001-VIII oraz </w:t>
      </w:r>
      <w:proofErr w:type="spellStart"/>
      <w:r>
        <w:rPr>
          <w:i/>
          <w:iCs/>
        </w:rPr>
        <w:t>Lacroix</w:t>
      </w:r>
      <w:proofErr w:type="spellEnd"/>
      <w:r>
        <w:rPr>
          <w:i/>
          <w:iCs/>
        </w:rPr>
        <w:t xml:space="preserve"> przeciwko Francji</w:t>
      </w:r>
      <w:r>
        <w:t xml:space="preserve">, skarga nr 41519/12, § 31, 7 września 2017 </w:t>
      </w:r>
      <w:r w:rsidR="001D45B2">
        <w:t>roku</w:t>
      </w:r>
      <w:r>
        <w:t>).</w:t>
      </w:r>
    </w:p>
    <w:p w14:paraId="1964D35D" w14:textId="72A3903E" w:rsidR="00114816" w:rsidRPr="00380BA6" w:rsidRDefault="00114816" w:rsidP="00380BA6">
      <w:pPr>
        <w:pStyle w:val="JuPara"/>
      </w:pPr>
      <w:r>
        <w:t>54.</w:t>
      </w:r>
      <w:r w:rsidR="00EE6FF2">
        <w:t xml:space="preserve"> </w:t>
      </w:r>
      <w:r>
        <w:t xml:space="preserve">Trybunał zauważa ponadto, że skarżący sformułował swoje wypowiedzi jako kandydat na stanowisko radnego gminy i przedstawiciel komitetu wyborczego niezależnego od ustępującego </w:t>
      </w:r>
      <w:r w:rsidR="007703BB">
        <w:t>burmistrza</w:t>
      </w:r>
      <w:r>
        <w:t xml:space="preserve">. Wypowiedzi </w:t>
      </w:r>
      <w:r w:rsidR="004F63F1">
        <w:t xml:space="preserve">skarżącego </w:t>
      </w:r>
      <w:r>
        <w:t xml:space="preserve">należy zatem uznać za wypowiedzi przeciwnika politycznego, </w:t>
      </w:r>
      <w:r w:rsidR="00F30782">
        <w:t>w</w:t>
      </w:r>
      <w:r w:rsidR="00F5020F">
        <w:t> </w:t>
      </w:r>
      <w:r w:rsidR="00F30782">
        <w:t xml:space="preserve">przypadku </w:t>
      </w:r>
      <w:r>
        <w:t xml:space="preserve">których margines </w:t>
      </w:r>
      <w:r w:rsidR="00EE6FF2">
        <w:t>oceny</w:t>
      </w:r>
      <w:r w:rsidR="00631F16">
        <w:t xml:space="preserve"> </w:t>
      </w:r>
      <w:r>
        <w:t>państw jest bardzo ograniczony (</w:t>
      </w:r>
      <w:r>
        <w:rPr>
          <w:i/>
          <w:iCs/>
        </w:rPr>
        <w:t>Jean</w:t>
      </w:r>
      <w:r>
        <w:rPr>
          <w:i/>
          <w:iCs/>
        </w:rPr>
        <w:noBreakHyphen/>
        <w:t>Jacques Morel przeciwko Francji</w:t>
      </w:r>
      <w:r>
        <w:t>, skarga nr 25689/10, § 39, 10</w:t>
      </w:r>
      <w:r w:rsidR="00F5020F">
        <w:t> </w:t>
      </w:r>
      <w:r>
        <w:t>października 2013</w:t>
      </w:r>
      <w:r w:rsidR="00F5020F">
        <w:t xml:space="preserve"> roku</w:t>
      </w:r>
      <w:r>
        <w:t>).</w:t>
      </w:r>
    </w:p>
    <w:p w14:paraId="4C0D5653" w14:textId="75C89A01" w:rsidR="00114816" w:rsidRPr="00380BA6" w:rsidRDefault="00114816" w:rsidP="00380BA6">
      <w:pPr>
        <w:pStyle w:val="JuPara"/>
      </w:pPr>
      <w:r>
        <w:t>55.</w:t>
      </w:r>
      <w:r w:rsidR="00EE6FF2">
        <w:t xml:space="preserve"> </w:t>
      </w:r>
      <w:r>
        <w:t xml:space="preserve">Trybunał podziela konkluzje sądów krajowych, że kwestionowane wypowiedzi miały wyraźny związek z prowadzoną w tym czasie kampanią wyborczą. Uznaje </w:t>
      </w:r>
      <w:r w:rsidR="00D57653">
        <w:t xml:space="preserve">konieczność </w:t>
      </w:r>
      <w:r>
        <w:t xml:space="preserve">zwalczania rozpowszechniania wprowadzających w błąd informacji o kandydatach w wyborach, </w:t>
      </w:r>
      <w:r>
        <w:lastRenderedPageBreak/>
        <w:t>aby</w:t>
      </w:r>
      <w:r w:rsidR="00F5020F">
        <w:t> </w:t>
      </w:r>
      <w:r>
        <w:t>zapewnić jakość debaty publicznej w okresie przedwyborczym. Trybunał przypomina jednocześnie, że w okresie przedwyborczym szczególnie istotnego znaczenia nabiera możliwość swobodnego rozpowszechniania wszelkiego rodzaju informacji i opinii (</w:t>
      </w:r>
      <w:r>
        <w:rPr>
          <w:i/>
          <w:iCs/>
        </w:rPr>
        <w:t>Kwiecień przeciwko Polsce</w:t>
      </w:r>
      <w:r>
        <w:t xml:space="preserve">, skarga nr 51744/99, § 48, 9 kwietnia 2007 </w:t>
      </w:r>
      <w:r w:rsidR="001D45B2">
        <w:t>roku</w:t>
      </w:r>
      <w:r>
        <w:t>).</w:t>
      </w:r>
    </w:p>
    <w:p w14:paraId="36B58931" w14:textId="69F05604" w:rsidR="00114816" w:rsidRPr="00380BA6" w:rsidRDefault="00114816" w:rsidP="00380BA6">
      <w:pPr>
        <w:pStyle w:val="JuPara"/>
      </w:pPr>
      <w:r>
        <w:t>56.</w:t>
      </w:r>
      <w:r w:rsidR="00EE6FF2">
        <w:t xml:space="preserve"> </w:t>
      </w:r>
      <w:r>
        <w:t>Trybunał przypomina, że nie ma obowiązku zbadania, czy</w:t>
      </w:r>
      <w:r w:rsidR="00F5020F">
        <w:t> </w:t>
      </w:r>
      <w:r>
        <w:t>w</w:t>
      </w:r>
      <w:r w:rsidR="00F5020F">
        <w:t> </w:t>
      </w:r>
      <w:r>
        <w:t>niniejszej sprawie skarżący oparł się na wystarczająco dokładnych i</w:t>
      </w:r>
      <w:r w:rsidR="00F5020F">
        <w:t> </w:t>
      </w:r>
      <w:r>
        <w:t>wiarygodnych informacjach, ani rozstrzygnięcia, czy podstawa faktyczna, na której skarżący – jak twierdzi – się oparł, miała związek z charakterem i</w:t>
      </w:r>
      <w:r w:rsidR="00F5020F">
        <w:t> </w:t>
      </w:r>
      <w:r>
        <w:t xml:space="preserve">zakresem jego wypowiedzi. Zadanie to należało do sądów krajowych, które co do zasady </w:t>
      </w:r>
      <w:r w:rsidR="0062594E">
        <w:t>znajdują się</w:t>
      </w:r>
      <w:r>
        <w:t xml:space="preserve"> </w:t>
      </w:r>
      <w:r w:rsidR="000C63C6">
        <w:t xml:space="preserve">w </w:t>
      </w:r>
      <w:r>
        <w:t>lep</w:t>
      </w:r>
      <w:r w:rsidR="000C63C6">
        <w:t xml:space="preserve">szej sytuacji niż sąd międzynarodowy do </w:t>
      </w:r>
      <w:r>
        <w:t xml:space="preserve">oceny okoliczności faktycznych. </w:t>
      </w:r>
      <w:r w:rsidR="000C63C6">
        <w:t>Niemniej jednak</w:t>
      </w:r>
      <w:r>
        <w:t xml:space="preserve"> Trybunał przypomina, że rozstrzygając w tym przedmiocie</w:t>
      </w:r>
      <w:r w:rsidR="000C63C6">
        <w:t>,</w:t>
      </w:r>
      <w:r>
        <w:t xml:space="preserve"> sądy krajowe były zobowiązane do</w:t>
      </w:r>
      <w:r w:rsidR="00F5020F">
        <w:t> </w:t>
      </w:r>
      <w:r>
        <w:t xml:space="preserve">przestrzegania zasad wyrażonych w art. 10 Konwencji (zob. </w:t>
      </w:r>
      <w:r w:rsidRPr="00F741A2">
        <w:rPr>
          <w:i/>
          <w:iCs/>
        </w:rPr>
        <w:t>Braun</w:t>
      </w:r>
      <w:r>
        <w:t xml:space="preserve">, </w:t>
      </w:r>
      <w:r w:rsidRPr="00F741A2">
        <w:t>op.</w:t>
      </w:r>
      <w:r w:rsidR="00F5020F">
        <w:t> </w:t>
      </w:r>
      <w:r w:rsidRPr="00F741A2">
        <w:t>cit.</w:t>
      </w:r>
      <w:r w:rsidRPr="00E7776A">
        <w:t>,</w:t>
      </w:r>
      <w:r>
        <w:t xml:space="preserve"> § 49, </w:t>
      </w:r>
      <w:r>
        <w:rPr>
          <w:i/>
          <w:iCs/>
        </w:rPr>
        <w:t>Kurski przeciwko Polsce</w:t>
      </w:r>
      <w:r>
        <w:t xml:space="preserve">, skarga nr 26115/10, § 55, 5 lipca 2016 </w:t>
      </w:r>
      <w:r w:rsidR="001D45B2">
        <w:t>roku</w:t>
      </w:r>
      <w:r>
        <w:t>).</w:t>
      </w:r>
    </w:p>
    <w:p w14:paraId="6D5CEAE0" w14:textId="78481F7B" w:rsidR="00114816" w:rsidRPr="00380BA6" w:rsidRDefault="00114816" w:rsidP="00380BA6">
      <w:pPr>
        <w:pStyle w:val="JuPara"/>
      </w:pPr>
      <w:r>
        <w:t>57.</w:t>
      </w:r>
      <w:r w:rsidR="00EE6FF2">
        <w:t xml:space="preserve"> </w:t>
      </w:r>
      <w:r>
        <w:t xml:space="preserve">W niniejszej sprawie z uzasadnienia rozstrzygnięć sądów krajowych nie wynika, by sądy zbadały, czy sporne wypowiedzi skarżącego miały </w:t>
      </w:r>
      <w:r w:rsidR="00D4594F">
        <w:t xml:space="preserve">wystarczająco </w:t>
      </w:r>
      <w:r>
        <w:t>wiarygodną podstawę faktyczną lub czy skarżący działał w</w:t>
      </w:r>
      <w:r w:rsidR="00F5020F">
        <w:t> </w:t>
      </w:r>
      <w:r>
        <w:t>tym przypadku z</w:t>
      </w:r>
      <w:r w:rsidR="00EE6FF2">
        <w:t xml:space="preserve"> </w:t>
      </w:r>
      <w:r>
        <w:t xml:space="preserve">wymaganą od niego starannością. Jego wypowiedzi zostały </w:t>
      </w:r>
      <w:r w:rsidR="006036E2">
        <w:t>bez najmniejszego zawahania</w:t>
      </w:r>
      <w:r>
        <w:t xml:space="preserve"> uznane za nieprawdziwe oraz godzące w dobre imię wnioskodawców jako kandydatów startujących w wyborach samorządowych. Trybunał dostrzega, że sądy krajowe uznały, że</w:t>
      </w:r>
      <w:r w:rsidR="00F5020F">
        <w:t> </w:t>
      </w:r>
      <w:r>
        <w:t>kwestionowane wypowiedzi zawierały zarzuty dotyczące defraudacji i</w:t>
      </w:r>
      <w:r w:rsidR="00F5020F">
        <w:t> </w:t>
      </w:r>
      <w:r>
        <w:t xml:space="preserve">oszustwa związanych z wydatkami publicznymi oraz że ich treść była złośliwa i przekraczała dopuszczalne formy </w:t>
      </w:r>
      <w:r w:rsidR="0012770B">
        <w:t xml:space="preserve">kampanii </w:t>
      </w:r>
      <w:r>
        <w:t>wyborczej.</w:t>
      </w:r>
    </w:p>
    <w:p w14:paraId="20AB778E" w14:textId="3B81A13E" w:rsidR="00114816" w:rsidRPr="00380BA6" w:rsidRDefault="00114816" w:rsidP="00380BA6">
      <w:pPr>
        <w:pStyle w:val="JuPara"/>
      </w:pPr>
      <w:r>
        <w:t>58.</w:t>
      </w:r>
      <w:r w:rsidR="00EE6FF2">
        <w:t xml:space="preserve"> </w:t>
      </w:r>
      <w:r>
        <w:t xml:space="preserve">Trybunał uważa, że w niniejszej sprawie </w:t>
      </w:r>
      <w:r w:rsidR="00335509">
        <w:t>nie ma wątpliwości</w:t>
      </w:r>
      <w:r>
        <w:t>, że</w:t>
      </w:r>
      <w:r w:rsidR="00F5020F">
        <w:t> </w:t>
      </w:r>
      <w:r>
        <w:t>kwestionowane wypowiedzi padły w toku debaty na temat kwestii istotnych dla lokalnej społeczności (</w:t>
      </w:r>
      <w:r>
        <w:rPr>
          <w:i/>
          <w:iCs/>
        </w:rPr>
        <w:t xml:space="preserve">Braun, </w:t>
      </w:r>
      <w:r w:rsidRPr="00F741A2">
        <w:t>op. cit.</w:t>
      </w:r>
      <w:r w:rsidRPr="00E7776A">
        <w:t>,</w:t>
      </w:r>
      <w:r>
        <w:t xml:space="preserve"> § 50, </w:t>
      </w:r>
      <w:r>
        <w:rPr>
          <w:i/>
          <w:iCs/>
        </w:rPr>
        <w:t xml:space="preserve">Kurski, </w:t>
      </w:r>
      <w:r w:rsidRPr="00F741A2">
        <w:t>op. cit.</w:t>
      </w:r>
      <w:r w:rsidRPr="00E7776A">
        <w:t>,</w:t>
      </w:r>
      <w:r>
        <w:t xml:space="preserve"> §</w:t>
      </w:r>
      <w:r w:rsidR="00F5020F">
        <w:t> </w:t>
      </w:r>
      <w:r>
        <w:t>56). Tym samym Trybunał nie może podzielić stanowiska sądów krajowych, że skarżący w niniejszej sprawie był zobowiązany do wykazania prawdziwości swoich wypowiedzi. Zdaniem Trybunału wymaganie od</w:t>
      </w:r>
      <w:r w:rsidR="00F5020F">
        <w:t> </w:t>
      </w:r>
      <w:r>
        <w:t xml:space="preserve">skarżącego spełnienia bardziej rygorystycznego </w:t>
      </w:r>
      <w:r w:rsidR="003B026B">
        <w:t xml:space="preserve">wymagań </w:t>
      </w:r>
      <w:r>
        <w:t>w</w:t>
      </w:r>
      <w:r w:rsidR="00EE6FF2">
        <w:t xml:space="preserve"> </w:t>
      </w:r>
      <w:r>
        <w:t>tym zakresie niż standard „</w:t>
      </w:r>
      <w:r w:rsidRPr="00335509">
        <w:t>wymaganej staranności”</w:t>
      </w:r>
      <w:r>
        <w:t xml:space="preserve"> było nieuzasadnione w</w:t>
      </w:r>
      <w:r w:rsidR="00F5020F">
        <w:t> </w:t>
      </w:r>
      <w:r>
        <w:t>świetle zasad wyrażonych w orzecznictwie Trybunału i okoliczności sprawy. Trybunał dostrzega, że swoim podejściem sądy krajowe pozbawiły skarżącego ochrony wynikającej z art. 10 Konwencji.</w:t>
      </w:r>
    </w:p>
    <w:p w14:paraId="6D1656E1" w14:textId="7713A6FB" w:rsidR="00114816" w:rsidRPr="00380BA6" w:rsidRDefault="00114816" w:rsidP="00380BA6">
      <w:pPr>
        <w:pStyle w:val="JuPara"/>
      </w:pPr>
      <w:r>
        <w:t>59.</w:t>
      </w:r>
      <w:r w:rsidR="00EE6FF2">
        <w:t xml:space="preserve"> </w:t>
      </w:r>
      <w:r>
        <w:t>Chociaż ton wypowiedzi skarżącego był dosadny, a niekiedy ironiczny, użyty język nie był ani wulgarny</w:t>
      </w:r>
      <w:r w:rsidR="0009509A">
        <w:t>,</w:t>
      </w:r>
      <w:r>
        <w:t xml:space="preserve"> ani obraźliwy. Trybunału</w:t>
      </w:r>
      <w:r w:rsidR="003B026B">
        <w:t xml:space="preserve"> stwierdza, że</w:t>
      </w:r>
      <w:r>
        <w:t xml:space="preserve"> zastosowane </w:t>
      </w:r>
      <w:r w:rsidR="003B026B">
        <w:t xml:space="preserve">wyrażenia </w:t>
      </w:r>
      <w:r>
        <w:t>mieściły się w granicach dopuszczalnej przesady i prowokacji, zważywszy na przeciętny ton i rejestr językowy prowadzenia debaty politycznej na szczeblu samorządowym (</w:t>
      </w:r>
      <w:r>
        <w:rPr>
          <w:i/>
          <w:iCs/>
        </w:rPr>
        <w:t>Jean-Jacques Morel</w:t>
      </w:r>
      <w:r>
        <w:t xml:space="preserve">, </w:t>
      </w:r>
      <w:r w:rsidRPr="00F741A2">
        <w:t>op. cit.</w:t>
      </w:r>
      <w:r w:rsidRPr="00E7776A">
        <w:t>,</w:t>
      </w:r>
      <w:r>
        <w:t xml:space="preserve"> § 42).</w:t>
      </w:r>
    </w:p>
    <w:p w14:paraId="0D0FDCD8" w14:textId="08808E4B" w:rsidR="00114816" w:rsidRPr="00380BA6" w:rsidRDefault="00114816" w:rsidP="001D7F5E">
      <w:pPr>
        <w:pStyle w:val="JuPara"/>
      </w:pPr>
      <w:r>
        <w:t>60.</w:t>
      </w:r>
      <w:r w:rsidR="00EE6FF2">
        <w:t xml:space="preserve"> </w:t>
      </w:r>
      <w:r>
        <w:t xml:space="preserve">W świetle powyższego Trybunał jest zdania, że nie zachowano właściwej równowagi </w:t>
      </w:r>
      <w:r w:rsidR="001D13A3">
        <w:t>po</w:t>
      </w:r>
      <w:r>
        <w:t>między potrzebą ochrony prawa skarżącego do</w:t>
      </w:r>
      <w:r w:rsidR="00F5020F">
        <w:t> </w:t>
      </w:r>
      <w:r w:rsidR="00EE6FF2">
        <w:t>wolności wyrażania opinii</w:t>
      </w:r>
      <w:r>
        <w:t xml:space="preserve"> a prawem do ochrony praw i dobrego imienia </w:t>
      </w:r>
      <w:r>
        <w:lastRenderedPageBreak/>
        <w:t xml:space="preserve">wnioskodawców w postępowaniu przed sądem krajowym. </w:t>
      </w:r>
      <w:r w:rsidR="006C07FF">
        <w:t xml:space="preserve">Twierdzenia </w:t>
      </w:r>
      <w:r>
        <w:t xml:space="preserve">przytoczone </w:t>
      </w:r>
      <w:r w:rsidR="001D13A3">
        <w:t xml:space="preserve">celem </w:t>
      </w:r>
      <w:r>
        <w:t>uzasadnieni</w:t>
      </w:r>
      <w:r w:rsidR="001D13A3">
        <w:t>a</w:t>
      </w:r>
      <w:r>
        <w:t xml:space="preserve"> wydanego na niekorzyść skarżącego rozstrzygni</w:t>
      </w:r>
      <w:r w:rsidR="00A15985">
        <w:t>ęcia nie mogą zostać uznane za odpowiednie</w:t>
      </w:r>
      <w:r>
        <w:t xml:space="preserve"> i wystarczające, a</w:t>
      </w:r>
      <w:r w:rsidR="00F5020F">
        <w:t> </w:t>
      </w:r>
      <w:r>
        <w:t xml:space="preserve">ingerencja w </w:t>
      </w:r>
      <w:r w:rsidR="00EE6FF2">
        <w:t>wolność wyrażania opinii</w:t>
      </w:r>
      <w:r>
        <w:t xml:space="preserve"> skarżącego nie odpowiadała pilnej potrzebie społecznej.</w:t>
      </w:r>
    </w:p>
    <w:p w14:paraId="3497FB8C" w14:textId="0B06CCB9" w:rsidR="00114816" w:rsidRPr="00380BA6" w:rsidRDefault="00114816" w:rsidP="00380BA6">
      <w:pPr>
        <w:pStyle w:val="JuPara"/>
      </w:pPr>
      <w:r>
        <w:t>61.</w:t>
      </w:r>
      <w:r w:rsidR="00EE6FF2">
        <w:t xml:space="preserve"> </w:t>
      </w:r>
      <w:r>
        <w:t xml:space="preserve">Trybunał przypomina również, że przy ocenie proporcjonalności naruszenia prawa do </w:t>
      </w:r>
      <w:r w:rsidR="00EE6FF2">
        <w:t>wolności wyrażania opinii</w:t>
      </w:r>
      <w:r>
        <w:t xml:space="preserve"> zagwarantowanego w</w:t>
      </w:r>
      <w:r w:rsidR="00F5020F">
        <w:t> </w:t>
      </w:r>
      <w:r>
        <w:t>art.</w:t>
      </w:r>
      <w:r w:rsidR="00F5020F">
        <w:t> </w:t>
      </w:r>
      <w:r>
        <w:t>10 Konwencj</w:t>
      </w:r>
      <w:r w:rsidR="00FB768F">
        <w:t>i</w:t>
      </w:r>
      <w:r>
        <w:t xml:space="preserve"> należy wziąć pod uwagę charakter i dotkliwość nałożonych sankcji (</w:t>
      </w:r>
      <w:r>
        <w:rPr>
          <w:i/>
          <w:iCs/>
        </w:rPr>
        <w:t>Skałka przeciwko Polsce</w:t>
      </w:r>
      <w:r>
        <w:t xml:space="preserve">, skarga nr 43425/98, §§ 41-42, 27 maja 2003 </w:t>
      </w:r>
      <w:r w:rsidR="001D45B2">
        <w:t>roku</w:t>
      </w:r>
      <w:r>
        <w:t>). Dostrzega, że w niniejszej sprawie, oprócz zakazu dalszego rozpowszechniania ulotki, skarżącego zobowiązano do</w:t>
      </w:r>
      <w:r w:rsidR="00F5020F">
        <w:t> </w:t>
      </w:r>
      <w:r>
        <w:t xml:space="preserve">wystosowania przeprosin i sprostowania informacji, które zostały uznane za niedokładne, poprzez publikację oświadczenia w tej sprawie na pierwszej stronie dwóch lokalnych dzienników. </w:t>
      </w:r>
      <w:r w:rsidR="000817E9">
        <w:t>Trybunał o</w:t>
      </w:r>
      <w:r>
        <w:t xml:space="preserve">dnotowuje, że skarżącego zobowiązano również do zapłaty na rzecz wnioskodawców kwoty 360 PLN tytułem zwrotu kosztów postępowania i kwoty 5000 PLN na cele charytatywne. </w:t>
      </w:r>
      <w:r w:rsidR="00EF2D7E">
        <w:t>Choć</w:t>
      </w:r>
      <w:r>
        <w:t xml:space="preserve"> kwota na cele charytatywne wynosiła połowę maksymalnej kwoty przewidzianej w art. 72 Ordynacji podatkowej, Trybunał jest zdania, że przy łącznym zastosowaniu wobec skarżącego wyżej wymienionych środków podlegał </w:t>
      </w:r>
      <w:r w:rsidR="00B12628">
        <w:t xml:space="preserve">on </w:t>
      </w:r>
      <w:r>
        <w:t xml:space="preserve">sankcji, która mogła mieć „mrożący” wpływ na </w:t>
      </w:r>
      <w:r w:rsidR="00B12628">
        <w:t>każd</w:t>
      </w:r>
      <w:r w:rsidR="00D4061E">
        <w:t>ego kto,</w:t>
      </w:r>
      <w:r w:rsidR="00F5783F">
        <w:t xml:space="preserve"> podobnie</w:t>
      </w:r>
      <w:r w:rsidR="00D4061E">
        <w:t xml:space="preserve"> jak</w:t>
      </w:r>
      <w:r w:rsidR="00EE6FF2">
        <w:t xml:space="preserve"> </w:t>
      </w:r>
      <w:r>
        <w:t>skarżąc</w:t>
      </w:r>
      <w:r w:rsidR="00D4061E">
        <w:t xml:space="preserve">y </w:t>
      </w:r>
      <w:r>
        <w:t>w niniejszej sprawie</w:t>
      </w:r>
      <w:r w:rsidR="00D4061E">
        <w:t>,</w:t>
      </w:r>
      <w:r>
        <w:t xml:space="preserve"> uczestniczył w debacie publicznej prowadzonej na szczeblu samorządowym.</w:t>
      </w:r>
    </w:p>
    <w:p w14:paraId="459A02B9" w14:textId="1EE89F2A" w:rsidR="00114816" w:rsidRPr="00380BA6" w:rsidRDefault="00114816" w:rsidP="00380BA6">
      <w:pPr>
        <w:pStyle w:val="JuPara"/>
      </w:pPr>
      <w:r>
        <w:t>62.</w:t>
      </w:r>
      <w:r w:rsidR="00EE6FF2">
        <w:t xml:space="preserve"> </w:t>
      </w:r>
      <w:r>
        <w:t>W zakresie, w jakim skarżący zarzuca, że nie był w stanie prowadzić obrony ze względu na sposób powiadomienia go o terminie rozprawy oraz na okoliczności, które uniemożliwiły mu osobiste stawiennictwo, Trybunał dostrzega, że z uzasadnień orzeczeń sądów krajowych wynika, że skarżący został prawidłowo wezwany na rozprawę w pierwszej instancji. Mając świadomość krótkiego czasu, jaki upłynął między wezwaniem na termin rozprawy a rozpoczęciem rozprawy, Trybunał zauważa, że sądy krajowe ustaliły, że skarżący nie zgłosił żadnych przeszkód w związku z osobistym stawiennictwem w sądzie ani nie usprawiedliwił swojego niestawiennictwa, chociaż miał taką możliwość przy wnoszeniu zażalenia na orzeczenie wydane w pierwszej instancji. W tych okolicznościach Trybunał nie wyraża przekonania, że niestawiennictwo skarżącego na rozprawie w pierwszej instancji i związany z tym brak możliwości przedstawienia stanowiska przed sądem pierwszej instancji należy przypisać wyłącznie organom krajowym.</w:t>
      </w:r>
    </w:p>
    <w:p w14:paraId="40675D61" w14:textId="67662879" w:rsidR="00114816" w:rsidRPr="00380BA6" w:rsidRDefault="00114816" w:rsidP="00380BA6">
      <w:pPr>
        <w:pStyle w:val="JuPara"/>
      </w:pPr>
      <w:r>
        <w:t>63.</w:t>
      </w:r>
      <w:r w:rsidR="00EE6FF2">
        <w:t xml:space="preserve"> </w:t>
      </w:r>
      <w:r>
        <w:t>Podsumowując, Trybunał jest zdania, że wydane wobec skarżącego rozstrzygnięcia stanowią nieproporcjonalną ingerencję w jego prawo do</w:t>
      </w:r>
      <w:r w:rsidR="00F5020F">
        <w:t> </w:t>
      </w:r>
      <w:r w:rsidR="00EE6FF2">
        <w:t>wolności wyrażania opinii</w:t>
      </w:r>
      <w:r>
        <w:t xml:space="preserve"> oraz że nie były </w:t>
      </w:r>
      <w:r w:rsidR="00A31F53">
        <w:t xml:space="preserve">one </w:t>
      </w:r>
      <w:r>
        <w:t>konieczne w społeczeństwie demokratycznym.</w:t>
      </w:r>
    </w:p>
    <w:p w14:paraId="58763AD6" w14:textId="552B9BD9" w:rsidR="00114816" w:rsidRPr="00380BA6" w:rsidRDefault="00114816" w:rsidP="00380BA6">
      <w:pPr>
        <w:pStyle w:val="JuPara"/>
      </w:pPr>
      <w:r>
        <w:t>64.</w:t>
      </w:r>
      <w:r w:rsidR="00EE6FF2">
        <w:t xml:space="preserve"> </w:t>
      </w:r>
      <w:r>
        <w:t>Tym samym doszło do naruszenia art. 10 Konwencji.</w:t>
      </w:r>
    </w:p>
    <w:p w14:paraId="4ABC1376" w14:textId="77777777" w:rsidR="00114816" w:rsidRPr="00380BA6" w:rsidRDefault="00114816" w:rsidP="00380BA6">
      <w:pPr>
        <w:pStyle w:val="JuHIRoman"/>
      </w:pPr>
      <w:r>
        <w:lastRenderedPageBreak/>
        <w:t>ZARZUCANE NARUSZENIE ART. 6 KONWENCJI</w:t>
      </w:r>
    </w:p>
    <w:p w14:paraId="2C43690A" w14:textId="0506B146" w:rsidR="00114816" w:rsidRPr="00380BA6" w:rsidRDefault="00114816" w:rsidP="00380BA6">
      <w:pPr>
        <w:pStyle w:val="JuPara"/>
      </w:pPr>
      <w:r>
        <w:t>65.</w:t>
      </w:r>
      <w:r w:rsidR="00EE6FF2">
        <w:t xml:space="preserve"> </w:t>
      </w:r>
      <w:r>
        <w:t>Powołując się na art. 6 Konwencji, skarżący zarzuca brak rzetelności postępowania prowadzonego w trybie art. 72 Ordynacji wyborczej przed sądem pierwszej i drugiej instancji. Zarzuca sądom krajowym pozbawienie go możliwości prowadzenia obrony.</w:t>
      </w:r>
    </w:p>
    <w:p w14:paraId="31216FF0" w14:textId="6CCB6AF2" w:rsidR="00114816" w:rsidRPr="00380BA6" w:rsidRDefault="00114816" w:rsidP="00380BA6">
      <w:pPr>
        <w:pStyle w:val="JuPara"/>
      </w:pPr>
      <w:r>
        <w:t>66.</w:t>
      </w:r>
      <w:r w:rsidR="00EE6FF2">
        <w:t xml:space="preserve"> </w:t>
      </w:r>
      <w:r>
        <w:t>Rząd kwestionuje ten zarzut.</w:t>
      </w:r>
    </w:p>
    <w:p w14:paraId="6AD012B7" w14:textId="7A1009C4" w:rsidR="00114816" w:rsidRPr="00380BA6" w:rsidRDefault="00114816" w:rsidP="00380BA6">
      <w:pPr>
        <w:pStyle w:val="JuPara"/>
      </w:pPr>
      <w:r>
        <w:t>67.</w:t>
      </w:r>
      <w:r w:rsidR="00EE6FF2">
        <w:t xml:space="preserve"> </w:t>
      </w:r>
      <w:r>
        <w:t>Trybunał stwierdza, że zarzut ten związany jest z zarzutem rozp</w:t>
      </w:r>
      <w:r w:rsidR="002E30F3">
        <w:t>ozna</w:t>
      </w:r>
      <w:r>
        <w:t>wanym powyżej i z tego względu należy uznać go za</w:t>
      </w:r>
      <w:r w:rsidR="00F5020F">
        <w:t> </w:t>
      </w:r>
      <w:r>
        <w:t>dopuszczalny.</w:t>
      </w:r>
    </w:p>
    <w:p w14:paraId="4B6AF017" w14:textId="6851917D" w:rsidR="00114816" w:rsidRPr="00380BA6" w:rsidRDefault="00114816" w:rsidP="00380BA6">
      <w:pPr>
        <w:pStyle w:val="JuPara"/>
      </w:pPr>
      <w:r>
        <w:t>68.</w:t>
      </w:r>
      <w:r w:rsidR="00EE6FF2">
        <w:t xml:space="preserve"> </w:t>
      </w:r>
      <w:r>
        <w:t>Mając na uwadze konkluzje odnoszące się do art. 10 Konwencji (pkt</w:t>
      </w:r>
      <w:r w:rsidR="00F5020F">
        <w:t> </w:t>
      </w:r>
      <w:r>
        <w:t>64 powyżej)</w:t>
      </w:r>
      <w:r w:rsidR="00E0009A">
        <w:t>,</w:t>
      </w:r>
      <w:r>
        <w:t xml:space="preserve"> Trybunał nie uważa za konieczne badania, czy</w:t>
      </w:r>
      <w:r w:rsidR="00F5020F">
        <w:t> </w:t>
      </w:r>
      <w:r>
        <w:t>w</w:t>
      </w:r>
      <w:r w:rsidR="00F5020F">
        <w:t> </w:t>
      </w:r>
      <w:r>
        <w:t xml:space="preserve">niniejszej sprawie doszło do naruszenia tego </w:t>
      </w:r>
      <w:r w:rsidR="008A79DD">
        <w:t>przepisu</w:t>
      </w:r>
      <w:r>
        <w:t xml:space="preserve"> (zob.</w:t>
      </w:r>
      <w:r w:rsidR="00F5020F">
        <w:t> </w:t>
      </w:r>
      <w:r>
        <w:t>m.in.</w:t>
      </w:r>
      <w:r w:rsidR="00F5020F">
        <w:t> </w:t>
      </w:r>
      <w:r>
        <w:rPr>
          <w:i/>
          <w:iCs/>
        </w:rPr>
        <w:t>Kwiecień</w:t>
      </w:r>
      <w:r>
        <w:t xml:space="preserve">, </w:t>
      </w:r>
      <w:r w:rsidRPr="00F741A2">
        <w:t>op.</w:t>
      </w:r>
      <w:r w:rsidR="00EE6FF2">
        <w:t xml:space="preserve"> </w:t>
      </w:r>
      <w:r w:rsidRPr="00F741A2">
        <w:t>cit.</w:t>
      </w:r>
      <w:r w:rsidRPr="0028568A">
        <w:t>,</w:t>
      </w:r>
      <w:r>
        <w:t xml:space="preserve"> § 62).</w:t>
      </w:r>
    </w:p>
    <w:p w14:paraId="608974B3" w14:textId="77777777" w:rsidR="00114816" w:rsidRPr="00380BA6" w:rsidRDefault="00114816" w:rsidP="00380BA6">
      <w:pPr>
        <w:pStyle w:val="JuHIRoman"/>
      </w:pPr>
      <w:r>
        <w:t>ZASTOSOWANIE ART. 41 KONWENCJI</w:t>
      </w:r>
    </w:p>
    <w:p w14:paraId="144EE8C5" w14:textId="1C476671" w:rsidR="00114816" w:rsidRPr="00380BA6" w:rsidRDefault="00114816" w:rsidP="00380BA6">
      <w:pPr>
        <w:pStyle w:val="JuPara"/>
      </w:pPr>
      <w:r>
        <w:t>69.</w:t>
      </w:r>
      <w:r w:rsidR="00EE6FF2">
        <w:t xml:space="preserve"> </w:t>
      </w:r>
      <w:r>
        <w:t>Zgodnie z art. 41 Konwencji:</w:t>
      </w:r>
    </w:p>
    <w:p w14:paraId="32449D11" w14:textId="630ED8C9" w:rsidR="00114816" w:rsidRPr="00380BA6" w:rsidRDefault="00114816" w:rsidP="00380BA6">
      <w:pPr>
        <w:pStyle w:val="JuQuot"/>
        <w:keepNext/>
        <w:keepLines/>
      </w:pPr>
      <w:r>
        <w:t>„Je</w:t>
      </w:r>
      <w:r w:rsidR="00EE6FF2">
        <w:t>śli</w:t>
      </w:r>
      <w:r>
        <w:t xml:space="preserve"> Trybunał stwierdzi, że nastąpiło naruszenie Konwencji lub jej Protokołów, oraz je</w:t>
      </w:r>
      <w:r w:rsidR="00EE6FF2">
        <w:t>śli</w:t>
      </w:r>
      <w:r>
        <w:t xml:space="preserve"> prawo wewnętrzne zainteresowanej Wysokiej Układającej się Strony pozwala tylko na częściowe usunięcie konsekwencji tego naruszenia, Trybunał orzeka, gdy zachodzi potrzeba, </w:t>
      </w:r>
      <w:r w:rsidR="00EE6FF2">
        <w:t>słuszne zadośćuczynienie</w:t>
      </w:r>
      <w:r>
        <w:t xml:space="preserve"> pokrzywdzonej stronie”.</w:t>
      </w:r>
    </w:p>
    <w:p w14:paraId="0D4A644E" w14:textId="77777777" w:rsidR="00114816" w:rsidRPr="00380BA6" w:rsidRDefault="00114816" w:rsidP="00380BA6">
      <w:pPr>
        <w:pStyle w:val="JuHA"/>
      </w:pPr>
      <w:r>
        <w:t>Szkoda</w:t>
      </w:r>
    </w:p>
    <w:p w14:paraId="79F6B09E" w14:textId="406B8611" w:rsidR="00114816" w:rsidRPr="00380BA6" w:rsidRDefault="00114816" w:rsidP="00380BA6">
      <w:pPr>
        <w:pStyle w:val="JuPara"/>
      </w:pPr>
      <w:r>
        <w:t>70.</w:t>
      </w:r>
      <w:r w:rsidR="00EE6FF2">
        <w:t xml:space="preserve"> </w:t>
      </w:r>
      <w:r>
        <w:t>Skarżący domagał się kwoty 10</w:t>
      </w:r>
      <w:r w:rsidR="00EE6FF2">
        <w:t xml:space="preserve"> </w:t>
      </w:r>
      <w:r>
        <w:t>000 euro (EUR) tytułem zadośćuczynienia za poniesioną przez niego szkodę niemajątkową.</w:t>
      </w:r>
    </w:p>
    <w:p w14:paraId="07E284A7" w14:textId="78030B18" w:rsidR="00114816" w:rsidRPr="00380BA6" w:rsidRDefault="00114816" w:rsidP="00380BA6">
      <w:pPr>
        <w:pStyle w:val="JuPara"/>
      </w:pPr>
      <w:r>
        <w:t>71.</w:t>
      </w:r>
      <w:r w:rsidR="00EE6FF2">
        <w:t xml:space="preserve"> </w:t>
      </w:r>
      <w:r>
        <w:t>Rząd nie odniósł się do tego żądania.</w:t>
      </w:r>
    </w:p>
    <w:p w14:paraId="1807B9D6" w14:textId="27CD9E84" w:rsidR="00114816" w:rsidRPr="00380BA6" w:rsidRDefault="00114816" w:rsidP="00380BA6">
      <w:pPr>
        <w:pStyle w:val="JuPara"/>
      </w:pPr>
      <w:r>
        <w:t>72.</w:t>
      </w:r>
      <w:r w:rsidR="00EE6FF2">
        <w:t xml:space="preserve"> </w:t>
      </w:r>
      <w:r>
        <w:t>Trybunał uznaje, że skarżącemu należy przyznać kwotę 9700 EUR tytułem zadośćuczynienia za szkodę niemajątkową.</w:t>
      </w:r>
    </w:p>
    <w:p w14:paraId="7B70FEEF" w14:textId="77777777" w:rsidR="00114816" w:rsidRPr="00380BA6" w:rsidRDefault="00114816" w:rsidP="00380BA6">
      <w:pPr>
        <w:pStyle w:val="JuHA"/>
      </w:pPr>
      <w:r>
        <w:t>Koszty i wydatki</w:t>
      </w:r>
    </w:p>
    <w:p w14:paraId="38F11FDE" w14:textId="1646FF1A" w:rsidR="00114816" w:rsidRPr="00380BA6" w:rsidRDefault="00114816" w:rsidP="00380BA6">
      <w:pPr>
        <w:pStyle w:val="JuPara"/>
      </w:pPr>
      <w:r>
        <w:t>73.</w:t>
      </w:r>
      <w:r w:rsidR="00EE6FF2">
        <w:t xml:space="preserve"> </w:t>
      </w:r>
      <w:r>
        <w:t>Skarżący domagał się również rozsądnej kwoty tytułem zwrotu kosztów zastępstwa procesowego oraz kwoty 170,80 PLN tytułem zwrotu kosztów związanych z tłumaczeniem przedłożonych Trybunałowi dokumentów.</w:t>
      </w:r>
    </w:p>
    <w:p w14:paraId="15606A08" w14:textId="3CB5576C" w:rsidR="00114816" w:rsidRPr="00380BA6" w:rsidRDefault="00114816" w:rsidP="00380BA6">
      <w:pPr>
        <w:pStyle w:val="JuPara"/>
      </w:pPr>
      <w:r>
        <w:t>74.</w:t>
      </w:r>
      <w:r w:rsidR="00EE6FF2">
        <w:t xml:space="preserve"> </w:t>
      </w:r>
      <w:r>
        <w:t>Rząd nie odniósł się do tego żądania.</w:t>
      </w:r>
    </w:p>
    <w:p w14:paraId="2ED07B57" w14:textId="3563A30C" w:rsidR="00114816" w:rsidRPr="00380BA6" w:rsidRDefault="00114816" w:rsidP="00380BA6">
      <w:pPr>
        <w:pStyle w:val="JuPara"/>
        <w:rPr>
          <w:bCs/>
        </w:rPr>
      </w:pPr>
      <w:r>
        <w:t>75.</w:t>
      </w:r>
      <w:r w:rsidR="00EE6FF2">
        <w:t xml:space="preserve"> </w:t>
      </w:r>
      <w:r>
        <w:t>Zgodnie z orzecznictwem Trybunału skarżący jest uprawniony do</w:t>
      </w:r>
      <w:r w:rsidR="00F5020F">
        <w:t> </w:t>
      </w:r>
      <w:r>
        <w:t>zwrotu poniesionych kosztów i wydatków tylko do wysokości</w:t>
      </w:r>
      <w:r w:rsidR="001D7F5E">
        <w:t>,</w:t>
      </w:r>
      <w:r>
        <w:t xml:space="preserve"> do której wykaże, że zostały one faktycznie poniesione, były konieczne i uzasadnione co do wysokości. W niniejszej sprawie, w świetle posiadanych dokumentów i orzecznictwa Trybunału, Trybunał uznaje za rozsądną kwotę 100 EUR tytułem zwrotu wszystkich kosztów i zasądza ją na rzecz skarżącego.</w:t>
      </w:r>
    </w:p>
    <w:p w14:paraId="0F18888F" w14:textId="77777777" w:rsidR="00114816" w:rsidRPr="00380BA6" w:rsidRDefault="00114816" w:rsidP="00380BA6">
      <w:pPr>
        <w:pStyle w:val="JuHA"/>
      </w:pPr>
      <w:r>
        <w:lastRenderedPageBreak/>
        <w:t>Odsetki za zwłokę</w:t>
      </w:r>
    </w:p>
    <w:p w14:paraId="3B3B8228" w14:textId="2F7AEECB" w:rsidR="00114816" w:rsidRPr="00380BA6" w:rsidRDefault="00114816" w:rsidP="00380BA6">
      <w:pPr>
        <w:pStyle w:val="JuPara"/>
      </w:pPr>
      <w:r>
        <w:t>76.</w:t>
      </w:r>
      <w:r w:rsidR="00EE6FF2">
        <w:t xml:space="preserve"> </w:t>
      </w:r>
      <w:r>
        <w:t>Trybunał za słuszne uznaje wyznaczenie wysokości odsetek za</w:t>
      </w:r>
      <w:r w:rsidR="00F5020F">
        <w:t> </w:t>
      </w:r>
      <w:r>
        <w:t>zwłokę na podstawie marginalnej stopy procentowej Europejskiego Banku Centralnego powiększonej o trzy punkty procentowe.</w:t>
      </w:r>
    </w:p>
    <w:p w14:paraId="74FD18D0" w14:textId="4F36647A" w:rsidR="00114816" w:rsidRPr="00380BA6" w:rsidRDefault="00114816" w:rsidP="00380BA6">
      <w:pPr>
        <w:pStyle w:val="JuHHead"/>
      </w:pPr>
      <w:r>
        <w:t xml:space="preserve">Z TYCH </w:t>
      </w:r>
      <w:r w:rsidR="006548C7">
        <w:t xml:space="preserve">Przyczyn </w:t>
      </w:r>
      <w:r>
        <w:t>TRYBUNAŁ JEDNOGŁOŚNIE</w:t>
      </w:r>
    </w:p>
    <w:p w14:paraId="2CADCD10" w14:textId="77777777" w:rsidR="00114816" w:rsidRPr="00380BA6" w:rsidRDefault="00114816" w:rsidP="00380BA6">
      <w:pPr>
        <w:pStyle w:val="JuList"/>
        <w:keepNext/>
        <w:keepLines/>
      </w:pPr>
      <w:r w:rsidRPr="00E0009A">
        <w:rPr>
          <w:i/>
        </w:rPr>
        <w:t>uznaje</w:t>
      </w:r>
      <w:r>
        <w:t xml:space="preserve"> skargę za dopuszczalną;</w:t>
      </w:r>
    </w:p>
    <w:p w14:paraId="22A0AF10" w14:textId="74B96C31" w:rsidR="00114816" w:rsidRPr="00380BA6" w:rsidRDefault="006548C7" w:rsidP="00380BA6">
      <w:pPr>
        <w:pStyle w:val="JuList"/>
        <w:keepNext/>
        <w:keepLines/>
      </w:pPr>
      <w:r w:rsidRPr="00E0009A">
        <w:rPr>
          <w:i/>
        </w:rPr>
        <w:t>orzeka</w:t>
      </w:r>
      <w:r w:rsidR="00114816">
        <w:t>, że doszło do naruszenia art. 10 Konwencji;</w:t>
      </w:r>
    </w:p>
    <w:p w14:paraId="0968C0E6" w14:textId="1A27A928" w:rsidR="00114816" w:rsidRDefault="006548C7" w:rsidP="00380BA6">
      <w:pPr>
        <w:pStyle w:val="JuList"/>
        <w:ind w:left="0" w:firstLine="0"/>
      </w:pPr>
      <w:r>
        <w:rPr>
          <w:i/>
          <w:iCs/>
        </w:rPr>
        <w:t>orzeka</w:t>
      </w:r>
      <w:r w:rsidR="00114816">
        <w:t xml:space="preserve">, że nie ma potrzeby </w:t>
      </w:r>
      <w:r w:rsidR="004A112C">
        <w:t xml:space="preserve">rozpoznawania </w:t>
      </w:r>
      <w:r w:rsidR="00114816">
        <w:t>zarzutu podniesionego na</w:t>
      </w:r>
      <w:r w:rsidR="00F5020F">
        <w:t> </w:t>
      </w:r>
      <w:r w:rsidR="00114816">
        <w:t>gruncie art. 6 Konwencji;</w:t>
      </w:r>
    </w:p>
    <w:p w14:paraId="12BCE0FE" w14:textId="1B44C74E" w:rsidR="00114816" w:rsidRPr="00380BA6" w:rsidRDefault="006548C7" w:rsidP="00380BA6">
      <w:pPr>
        <w:pStyle w:val="JuList"/>
      </w:pPr>
      <w:r>
        <w:rPr>
          <w:i/>
          <w:iCs/>
        </w:rPr>
        <w:t>orzeka</w:t>
      </w:r>
      <w:r w:rsidR="00114816">
        <w:t>:</w:t>
      </w:r>
    </w:p>
    <w:p w14:paraId="731034E8" w14:textId="7E911AFA" w:rsidR="00114816" w:rsidRPr="00380BA6" w:rsidRDefault="00114816" w:rsidP="00380BA6">
      <w:pPr>
        <w:pStyle w:val="JuLista"/>
      </w:pPr>
      <w:r>
        <w:t xml:space="preserve">że pozwane państwo </w:t>
      </w:r>
      <w:r w:rsidR="004A112C">
        <w:t>winno</w:t>
      </w:r>
      <w:r>
        <w:t>, w terminie trzech miesięcy, uiścić na</w:t>
      </w:r>
      <w:r w:rsidR="00F5020F">
        <w:t> </w:t>
      </w:r>
      <w:r>
        <w:t>rzecz skarżącego następujące kwoty, przeliczone na walutę pozwanego państwa według kursu obowiązującego w dniu płatności:</w:t>
      </w:r>
    </w:p>
    <w:p w14:paraId="4FCA90CE" w14:textId="1FC4D28C" w:rsidR="00114816" w:rsidRPr="00380BA6" w:rsidRDefault="00F34BF2" w:rsidP="00380BA6">
      <w:pPr>
        <w:pStyle w:val="JuListi"/>
      </w:pPr>
      <w:r>
        <w:t>9700 EUR (dziewięć tysięcy siedemset euro), plus wszelkie należne od skarżącego podatki, tytułem zadośćuczynienia za</w:t>
      </w:r>
      <w:r w:rsidR="00F5020F">
        <w:t> </w:t>
      </w:r>
      <w:r>
        <w:t>szkodę niemajątkową;</w:t>
      </w:r>
    </w:p>
    <w:p w14:paraId="292217AA" w14:textId="77777777" w:rsidR="00114816" w:rsidRPr="00380BA6" w:rsidRDefault="00F34BF2" w:rsidP="00380BA6">
      <w:pPr>
        <w:pStyle w:val="JuListi"/>
      </w:pPr>
      <w:r>
        <w:t>100 EUR (sto euro), plus wszelkie należne od skarżącego podatki, tytułem zwrotu poniesionych kosztów i wydatków;</w:t>
      </w:r>
    </w:p>
    <w:p w14:paraId="1BF28CA8" w14:textId="6671B941" w:rsidR="00114816" w:rsidRPr="00380BA6" w:rsidRDefault="00114816" w:rsidP="00380BA6">
      <w:pPr>
        <w:pStyle w:val="JuLista"/>
      </w:pPr>
      <w:r>
        <w:t>że od upływu wyżej wskazanego terminu trzech miesięcy aż</w:t>
      </w:r>
      <w:r w:rsidR="00F5020F">
        <w:t> </w:t>
      </w:r>
      <w:r>
        <w:t>do</w:t>
      </w:r>
      <w:r w:rsidR="00F5020F">
        <w:t> </w:t>
      </w:r>
      <w:r>
        <w:t>momentu uregulowania należności, należne będą odsetki zwykłe od określonych powyżej kwot, naliczone według stopy równej marginalnej stopie procentowej Europejskiego Banku Centralnego obowiązującej w tym okresie, powiększonej o trzy punkty procentowe;</w:t>
      </w:r>
    </w:p>
    <w:p w14:paraId="430ACFD7" w14:textId="77777777" w:rsidR="00976DB8" w:rsidRPr="00380BA6" w:rsidRDefault="00114816" w:rsidP="00380BA6">
      <w:pPr>
        <w:pStyle w:val="JuList"/>
      </w:pPr>
      <w:r>
        <w:rPr>
          <w:i/>
          <w:iCs/>
        </w:rPr>
        <w:t>oddala</w:t>
      </w:r>
      <w:r>
        <w:t xml:space="preserve"> pozostałe żądania skarżącego w zakresie słusznego zadośćuczynienia.</w:t>
      </w:r>
    </w:p>
    <w:p w14:paraId="10D43789" w14:textId="696ACD01" w:rsidR="00976DB8" w:rsidRPr="00380BA6" w:rsidRDefault="007A534F" w:rsidP="00380BA6">
      <w:pPr>
        <w:pStyle w:val="JuParaLast"/>
      </w:pPr>
      <w:r>
        <w:t>Sporządzono w języku francuskim i obwieszczono pisemnie w dniu 25</w:t>
      </w:r>
      <w:r w:rsidR="00F5020F">
        <w:t> </w:t>
      </w:r>
      <w:r>
        <w:t xml:space="preserve">lipca 2019 </w:t>
      </w:r>
      <w:r w:rsidR="001D45B2">
        <w:t>roku</w:t>
      </w:r>
      <w:r>
        <w:t>, zgodnie z Regułą 77 §§ 2 i 3 Regulaminu Trybunału.</w:t>
      </w:r>
    </w:p>
    <w:p w14:paraId="386340BC" w14:textId="77777777" w:rsidR="00976DB8" w:rsidRPr="00380BA6" w:rsidRDefault="00F34BF2" w:rsidP="00380BA6">
      <w:pPr>
        <w:pStyle w:val="JuSigned"/>
      </w:pPr>
      <w:r>
        <w:tab/>
        <w:t xml:space="preserve">Renata </w:t>
      </w:r>
      <w:proofErr w:type="spellStart"/>
      <w:r>
        <w:t>Degener</w:t>
      </w:r>
      <w:proofErr w:type="spellEnd"/>
      <w:r>
        <w:tab/>
      </w:r>
      <w:proofErr w:type="spellStart"/>
      <w:r>
        <w:t>Armen</w:t>
      </w:r>
      <w:proofErr w:type="spellEnd"/>
      <w:r>
        <w:t xml:space="preserve"> </w:t>
      </w:r>
      <w:proofErr w:type="spellStart"/>
      <w:r>
        <w:t>Harutyunyan</w:t>
      </w:r>
      <w:proofErr w:type="spellEnd"/>
      <w:r>
        <w:br/>
      </w:r>
      <w:r>
        <w:tab/>
        <w:t>Zastępca Kanclerza</w:t>
      </w:r>
      <w:r>
        <w:tab/>
        <w:t>Przewodniczący</w:t>
      </w:r>
    </w:p>
    <w:sectPr w:rsidR="00976DB8" w:rsidRPr="00380BA6" w:rsidSect="00B078AA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1843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39FFC" w14:textId="77777777" w:rsidR="008007CF" w:rsidRDefault="008007CF">
      <w:r>
        <w:separator/>
      </w:r>
    </w:p>
  </w:endnote>
  <w:endnote w:type="continuationSeparator" w:id="0">
    <w:p w14:paraId="47F8D76A" w14:textId="77777777" w:rsidR="008007CF" w:rsidRDefault="008007CF">
      <w:r>
        <w:continuationSeparator/>
      </w:r>
    </w:p>
  </w:endnote>
  <w:endnote w:type="continuationNotice" w:id="1">
    <w:p w14:paraId="5B183CCB" w14:textId="77777777" w:rsidR="008007CF" w:rsidRDefault="008007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88397" w14:textId="77777777" w:rsidR="00A15985" w:rsidRDefault="00A159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261A1" w14:textId="77777777" w:rsidR="00A15985" w:rsidRPr="00150BFA" w:rsidRDefault="00A15985" w:rsidP="00976DB8">
    <w:pPr>
      <w:jc w:val="center"/>
    </w:pPr>
    <w:r>
      <w:rPr>
        <w:noProof/>
        <w:lang w:eastAsia="pl-PL"/>
      </w:rPr>
      <w:drawing>
        <wp:inline distT="0" distB="0" distL="0" distR="0" wp14:anchorId="21B84936" wp14:editId="35DD73FC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D81B60" w14:textId="77777777" w:rsidR="00A15985" w:rsidRPr="00EA4BD7" w:rsidRDefault="00A15985" w:rsidP="00976DB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2EF61" w14:textId="77777777" w:rsidR="00A15985" w:rsidRDefault="00A1598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D8D35" w14:textId="77777777" w:rsidR="00A15985" w:rsidRDefault="00A15985" w:rsidP="00976DB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53DB1" w14:textId="77777777" w:rsidR="00A15985" w:rsidRDefault="00A15985" w:rsidP="00976D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397D9" w14:textId="77777777" w:rsidR="008007CF" w:rsidRPr="00EA4BD7" w:rsidRDefault="008007CF" w:rsidP="00976DB8">
      <w:r w:rsidRPr="00EA4BD7">
        <w:separator/>
      </w:r>
    </w:p>
  </w:footnote>
  <w:footnote w:type="continuationSeparator" w:id="0">
    <w:p w14:paraId="67919076" w14:textId="77777777" w:rsidR="008007CF" w:rsidRPr="00EA4BD7" w:rsidRDefault="008007CF" w:rsidP="00976DB8">
      <w:r w:rsidRPr="00EA4BD7">
        <w:continuationSeparator/>
      </w:r>
    </w:p>
  </w:footnote>
  <w:footnote w:type="continuationNotice" w:id="1">
    <w:p w14:paraId="37DB147A" w14:textId="77777777" w:rsidR="008007CF" w:rsidRDefault="008007CF"/>
  </w:footnote>
  <w:footnote w:id="2">
    <w:p w14:paraId="1878D8CB" w14:textId="0D64B230" w:rsidR="006F2B1A" w:rsidRDefault="006F2B1A" w:rsidP="006F2B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Przepis art. 72 </w:t>
      </w:r>
      <w:r w:rsidRPr="006F2B1A">
        <w:t>§</w:t>
      </w:r>
      <w:r>
        <w:t xml:space="preserve"> 1 </w:t>
      </w:r>
      <w:r w:rsidR="00FA4040">
        <w:t xml:space="preserve">został przetłumaczony zgodnie z wyrokiem Trybunału. Porównaj jednak </w:t>
      </w:r>
      <w:r>
        <w:t>brzmieni</w:t>
      </w:r>
      <w:r w:rsidR="00FA4040">
        <w:t>e</w:t>
      </w:r>
      <w:r>
        <w:t xml:space="preserve"> </w:t>
      </w:r>
      <w:r w:rsidR="00FA4040">
        <w:t xml:space="preserve">art. 72 </w:t>
      </w:r>
      <w:r w:rsidR="00FA4040" w:rsidRPr="006F2B1A">
        <w:t>§</w:t>
      </w:r>
      <w:r w:rsidR="00FA4040">
        <w:t xml:space="preserve"> 1 </w:t>
      </w:r>
      <w:r w:rsidRPr="006F2B1A">
        <w:t>ustalon</w:t>
      </w:r>
      <w:r w:rsidR="00FA4040">
        <w:t>e</w:t>
      </w:r>
      <w:r w:rsidRPr="006F2B1A">
        <w:t xml:space="preserve"> przez art. 1 pkt 9 ustawy</w:t>
      </w:r>
      <w:r w:rsidR="00F066BF">
        <w:t xml:space="preserve"> </w:t>
      </w:r>
      <w:r>
        <w:t xml:space="preserve">z dnia 26 lipca 2002 r. o zmianie ustawy </w:t>
      </w:r>
      <w:r w:rsidR="00E46626">
        <w:t>–</w:t>
      </w:r>
      <w:r>
        <w:t xml:space="preserve"> Ordynacja wyborcza do rad gmin, rad</w:t>
      </w:r>
      <w:r w:rsidR="00F066BF">
        <w:t xml:space="preserve"> </w:t>
      </w:r>
      <w:r>
        <w:t xml:space="preserve">powiatów i sejmików województw oraz o zmianie niektórych innych ustaw (Dz. U. Nr 127, poz. 1089), która weszła w życie z dniem 10 sierpnia 2002 r. </w:t>
      </w:r>
      <w:r>
        <w:rPr>
          <w:rFonts w:eastAsia="Times New Roman" w:cs="Times New Roman"/>
          <w:lang w:eastAsia="pl-PL"/>
        </w:rPr>
        <w:t>[przyp. red.]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9F27D" w14:textId="77777777" w:rsidR="00A15985" w:rsidRDefault="00A15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E0BFF" w14:textId="77777777" w:rsidR="00A15985" w:rsidRPr="00A45145" w:rsidRDefault="00A15985" w:rsidP="00976DB8">
    <w:pPr>
      <w:jc w:val="center"/>
    </w:pPr>
    <w:r>
      <w:rPr>
        <w:noProof/>
        <w:lang w:eastAsia="pl-PL"/>
      </w:rPr>
      <w:drawing>
        <wp:inline distT="0" distB="0" distL="0" distR="0" wp14:anchorId="6A70B6FE" wp14:editId="01291FDE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4F0489" w14:textId="77777777" w:rsidR="00A15985" w:rsidRPr="00EA4BD7" w:rsidRDefault="00A15985" w:rsidP="00976DB8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462BE" w14:textId="77777777" w:rsidR="00A15985" w:rsidRDefault="00A1598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4B8AF" w14:textId="33DCE5C7" w:rsidR="00A15985" w:rsidRPr="00F5432B" w:rsidRDefault="00A15985" w:rsidP="00976DB8">
    <w:pPr>
      <w:pStyle w:val="JuHeader"/>
    </w:pPr>
    <w:r>
      <w:fldChar w:fldCharType="begin"/>
    </w:r>
    <w:r w:rsidRPr="00F921AB">
      <w:instrText xml:space="preserve"> PAGE </w:instrText>
    </w:r>
    <w:r>
      <w:fldChar w:fldCharType="separate"/>
    </w:r>
    <w:r w:rsidR="00E46626">
      <w:rPr>
        <w:noProof/>
      </w:rPr>
      <w:t>16</w:t>
    </w:r>
    <w:r>
      <w:fldChar w:fldCharType="end"/>
    </w:r>
    <w:r>
      <w:tab/>
      <w:t>WYROK w sprawie BRZEZIŃSKI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E388" w14:textId="3C67E41A" w:rsidR="00A15985" w:rsidRPr="007100AD" w:rsidRDefault="00A15985" w:rsidP="00976DB8">
    <w:pPr>
      <w:pStyle w:val="JuHeader"/>
    </w:pPr>
    <w:r>
      <w:tab/>
      <w:t>WYROK w sprawie BRZEZIŃSKI przeciwko POLSCE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46626">
      <w:rPr>
        <w:rStyle w:val="Numerstrony"/>
        <w:noProof/>
      </w:rPr>
      <w:t>7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5E6A40"/>
    <w:multiLevelType w:val="multilevel"/>
    <w:tmpl w:val="3704F6F0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%3.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4CD28D7E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%6.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3"/>
  </w:num>
  <w:num w:numId="4">
    <w:abstractNumId w:val="10"/>
  </w:num>
  <w:num w:numId="5">
    <w:abstractNumId w:val="9"/>
  </w:num>
  <w:num w:numId="6">
    <w:abstractNumId w:val="14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114816"/>
    <w:rsid w:val="00015C59"/>
    <w:rsid w:val="000217A3"/>
    <w:rsid w:val="00034E96"/>
    <w:rsid w:val="0004308C"/>
    <w:rsid w:val="00061E9E"/>
    <w:rsid w:val="00075E11"/>
    <w:rsid w:val="000817E9"/>
    <w:rsid w:val="00083D48"/>
    <w:rsid w:val="00091B48"/>
    <w:rsid w:val="00091EA6"/>
    <w:rsid w:val="0009509A"/>
    <w:rsid w:val="000C63C6"/>
    <w:rsid w:val="000E0D59"/>
    <w:rsid w:val="000E5AF4"/>
    <w:rsid w:val="0010301A"/>
    <w:rsid w:val="0010402B"/>
    <w:rsid w:val="00114816"/>
    <w:rsid w:val="00115341"/>
    <w:rsid w:val="0012770B"/>
    <w:rsid w:val="00164D12"/>
    <w:rsid w:val="001959C5"/>
    <w:rsid w:val="001A054D"/>
    <w:rsid w:val="001B07AE"/>
    <w:rsid w:val="001D13A3"/>
    <w:rsid w:val="001D45B2"/>
    <w:rsid w:val="001D7F5E"/>
    <w:rsid w:val="001E70FA"/>
    <w:rsid w:val="00204880"/>
    <w:rsid w:val="00234E2D"/>
    <w:rsid w:val="00245A27"/>
    <w:rsid w:val="00260E0B"/>
    <w:rsid w:val="00272DB8"/>
    <w:rsid w:val="0028568A"/>
    <w:rsid w:val="00286467"/>
    <w:rsid w:val="002D2287"/>
    <w:rsid w:val="002D6E39"/>
    <w:rsid w:val="002E30F3"/>
    <w:rsid w:val="002F6F11"/>
    <w:rsid w:val="00310CDA"/>
    <w:rsid w:val="00320C93"/>
    <w:rsid w:val="00335509"/>
    <w:rsid w:val="0035687F"/>
    <w:rsid w:val="00380BA6"/>
    <w:rsid w:val="00391216"/>
    <w:rsid w:val="00396377"/>
    <w:rsid w:val="003B026B"/>
    <w:rsid w:val="003C2259"/>
    <w:rsid w:val="003C2B2A"/>
    <w:rsid w:val="00410D87"/>
    <w:rsid w:val="00421EF5"/>
    <w:rsid w:val="004333C9"/>
    <w:rsid w:val="004504A5"/>
    <w:rsid w:val="0045141B"/>
    <w:rsid w:val="004710EA"/>
    <w:rsid w:val="00492762"/>
    <w:rsid w:val="004A112C"/>
    <w:rsid w:val="004D355E"/>
    <w:rsid w:val="004F0BDF"/>
    <w:rsid w:val="004F63F1"/>
    <w:rsid w:val="004F7621"/>
    <w:rsid w:val="00500696"/>
    <w:rsid w:val="005050C7"/>
    <w:rsid w:val="005200A9"/>
    <w:rsid w:val="00522E47"/>
    <w:rsid w:val="00523475"/>
    <w:rsid w:val="00536F59"/>
    <w:rsid w:val="005401CE"/>
    <w:rsid w:val="00545390"/>
    <w:rsid w:val="0055394B"/>
    <w:rsid w:val="00571C9E"/>
    <w:rsid w:val="00575082"/>
    <w:rsid w:val="00592D62"/>
    <w:rsid w:val="00595DF9"/>
    <w:rsid w:val="00597F38"/>
    <w:rsid w:val="005A55F2"/>
    <w:rsid w:val="005B0396"/>
    <w:rsid w:val="005C55CB"/>
    <w:rsid w:val="005D74D3"/>
    <w:rsid w:val="005F7E4C"/>
    <w:rsid w:val="00601F23"/>
    <w:rsid w:val="006029A8"/>
    <w:rsid w:val="006036E2"/>
    <w:rsid w:val="00621318"/>
    <w:rsid w:val="0062594E"/>
    <w:rsid w:val="00631F16"/>
    <w:rsid w:val="00636C04"/>
    <w:rsid w:val="00640A44"/>
    <w:rsid w:val="006471F9"/>
    <w:rsid w:val="006548C7"/>
    <w:rsid w:val="006625BB"/>
    <w:rsid w:val="006927A4"/>
    <w:rsid w:val="00695ED6"/>
    <w:rsid w:val="006C07FF"/>
    <w:rsid w:val="006C21D3"/>
    <w:rsid w:val="006D0F9F"/>
    <w:rsid w:val="006D1E26"/>
    <w:rsid w:val="006D66A6"/>
    <w:rsid w:val="006F2B1A"/>
    <w:rsid w:val="00701F9B"/>
    <w:rsid w:val="007132D0"/>
    <w:rsid w:val="00723775"/>
    <w:rsid w:val="00733807"/>
    <w:rsid w:val="00734384"/>
    <w:rsid w:val="00734D51"/>
    <w:rsid w:val="00735E5C"/>
    <w:rsid w:val="00742215"/>
    <w:rsid w:val="007547A9"/>
    <w:rsid w:val="007554A3"/>
    <w:rsid w:val="007703BB"/>
    <w:rsid w:val="007A534F"/>
    <w:rsid w:val="007C0D06"/>
    <w:rsid w:val="007E0D27"/>
    <w:rsid w:val="007F1E67"/>
    <w:rsid w:val="007F3A90"/>
    <w:rsid w:val="008007CF"/>
    <w:rsid w:val="00811D67"/>
    <w:rsid w:val="00822F42"/>
    <w:rsid w:val="00832933"/>
    <w:rsid w:val="00835C58"/>
    <w:rsid w:val="00836A99"/>
    <w:rsid w:val="008402CD"/>
    <w:rsid w:val="008664E3"/>
    <w:rsid w:val="008A79DD"/>
    <w:rsid w:val="008B65FB"/>
    <w:rsid w:val="008D0676"/>
    <w:rsid w:val="008D1B3C"/>
    <w:rsid w:val="008E37C6"/>
    <w:rsid w:val="008F1C2F"/>
    <w:rsid w:val="009121A7"/>
    <w:rsid w:val="00925C26"/>
    <w:rsid w:val="00932F46"/>
    <w:rsid w:val="009362E4"/>
    <w:rsid w:val="009632BF"/>
    <w:rsid w:val="009732AE"/>
    <w:rsid w:val="00976DB8"/>
    <w:rsid w:val="009801AE"/>
    <w:rsid w:val="00997EC8"/>
    <w:rsid w:val="009A2590"/>
    <w:rsid w:val="009B4D5E"/>
    <w:rsid w:val="009C4318"/>
    <w:rsid w:val="009F02D9"/>
    <w:rsid w:val="00A053D8"/>
    <w:rsid w:val="00A12BFE"/>
    <w:rsid w:val="00A15985"/>
    <w:rsid w:val="00A2269B"/>
    <w:rsid w:val="00A303D9"/>
    <w:rsid w:val="00A31F53"/>
    <w:rsid w:val="00A53465"/>
    <w:rsid w:val="00A60360"/>
    <w:rsid w:val="00A70006"/>
    <w:rsid w:val="00A72C6C"/>
    <w:rsid w:val="00A77974"/>
    <w:rsid w:val="00AA6F8E"/>
    <w:rsid w:val="00AB13AC"/>
    <w:rsid w:val="00AD7B71"/>
    <w:rsid w:val="00B078AA"/>
    <w:rsid w:val="00B12628"/>
    <w:rsid w:val="00B1777A"/>
    <w:rsid w:val="00B178A5"/>
    <w:rsid w:val="00B25E06"/>
    <w:rsid w:val="00B345CA"/>
    <w:rsid w:val="00B35B46"/>
    <w:rsid w:val="00B5352A"/>
    <w:rsid w:val="00B93B9B"/>
    <w:rsid w:val="00BA45C9"/>
    <w:rsid w:val="00BB3746"/>
    <w:rsid w:val="00BB4E5B"/>
    <w:rsid w:val="00BB6200"/>
    <w:rsid w:val="00BB737C"/>
    <w:rsid w:val="00BD58BC"/>
    <w:rsid w:val="00BE2707"/>
    <w:rsid w:val="00C15690"/>
    <w:rsid w:val="00C2602E"/>
    <w:rsid w:val="00C34009"/>
    <w:rsid w:val="00C348E8"/>
    <w:rsid w:val="00C46E77"/>
    <w:rsid w:val="00C66EC9"/>
    <w:rsid w:val="00C73D8A"/>
    <w:rsid w:val="00C831CA"/>
    <w:rsid w:val="00C93CBB"/>
    <w:rsid w:val="00CC1361"/>
    <w:rsid w:val="00CC2AD7"/>
    <w:rsid w:val="00CD2D14"/>
    <w:rsid w:val="00CD3E61"/>
    <w:rsid w:val="00CD681C"/>
    <w:rsid w:val="00D37C45"/>
    <w:rsid w:val="00D4061E"/>
    <w:rsid w:val="00D41470"/>
    <w:rsid w:val="00D4594F"/>
    <w:rsid w:val="00D53E44"/>
    <w:rsid w:val="00D57653"/>
    <w:rsid w:val="00D57B4E"/>
    <w:rsid w:val="00D8782D"/>
    <w:rsid w:val="00DA6211"/>
    <w:rsid w:val="00DC0781"/>
    <w:rsid w:val="00DC3E90"/>
    <w:rsid w:val="00DE4444"/>
    <w:rsid w:val="00DF0460"/>
    <w:rsid w:val="00E0009A"/>
    <w:rsid w:val="00E241A7"/>
    <w:rsid w:val="00E2660E"/>
    <w:rsid w:val="00E46626"/>
    <w:rsid w:val="00E517F6"/>
    <w:rsid w:val="00E5390C"/>
    <w:rsid w:val="00E5437A"/>
    <w:rsid w:val="00E67D71"/>
    <w:rsid w:val="00E7451E"/>
    <w:rsid w:val="00E7776A"/>
    <w:rsid w:val="00E94F3D"/>
    <w:rsid w:val="00EA0360"/>
    <w:rsid w:val="00EA1D5E"/>
    <w:rsid w:val="00EA338D"/>
    <w:rsid w:val="00EC2987"/>
    <w:rsid w:val="00EC6290"/>
    <w:rsid w:val="00ED4666"/>
    <w:rsid w:val="00EE35B3"/>
    <w:rsid w:val="00EE6FF2"/>
    <w:rsid w:val="00EF2D7E"/>
    <w:rsid w:val="00F000A5"/>
    <w:rsid w:val="00F01E63"/>
    <w:rsid w:val="00F066BF"/>
    <w:rsid w:val="00F1567E"/>
    <w:rsid w:val="00F30782"/>
    <w:rsid w:val="00F34BF2"/>
    <w:rsid w:val="00F3602C"/>
    <w:rsid w:val="00F5020F"/>
    <w:rsid w:val="00F5783F"/>
    <w:rsid w:val="00F741A2"/>
    <w:rsid w:val="00F77411"/>
    <w:rsid w:val="00F83274"/>
    <w:rsid w:val="00F94D2C"/>
    <w:rsid w:val="00F96148"/>
    <w:rsid w:val="00FA4040"/>
    <w:rsid w:val="00FB768F"/>
    <w:rsid w:val="00FC6741"/>
    <w:rsid w:val="00FD37AA"/>
    <w:rsid w:val="00FE00DB"/>
    <w:rsid w:val="00FE1D10"/>
    <w:rsid w:val="00FF1F55"/>
    <w:rsid w:val="00F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61B85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380BA6"/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64D1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164D1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164D1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164D1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164D1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164D1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164D12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164D12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164D1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64D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4D12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164D12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64D12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NormalJustified">
    <w:name w:val="Normal_Justified"/>
    <w:basedOn w:val="Normalny"/>
    <w:semiHidden/>
    <w:rsid w:val="00164D12"/>
    <w:pPr>
      <w:jc w:val="both"/>
    </w:pPr>
  </w:style>
  <w:style w:type="character" w:styleId="Pogrubienie">
    <w:name w:val="Strong"/>
    <w:uiPriority w:val="99"/>
    <w:semiHidden/>
    <w:qFormat/>
    <w:rsid w:val="00164D12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164D12"/>
  </w:style>
  <w:style w:type="character" w:customStyle="1" w:styleId="BezodstpwZnak">
    <w:name w:val="Bez odstępów Znak"/>
    <w:basedOn w:val="Domylnaczcionkaakapitu"/>
    <w:link w:val="Bezodstpw"/>
    <w:semiHidden/>
    <w:rsid w:val="00164D12"/>
    <w:rPr>
      <w:rFonts w:eastAsiaTheme="minorEastAsia"/>
      <w:sz w:val="24"/>
      <w:lang w:val="pl-PL"/>
    </w:rPr>
  </w:style>
  <w:style w:type="paragraph" w:customStyle="1" w:styleId="JuQuot">
    <w:name w:val="Ju_Quot"/>
    <w:aliases w:val="_Quote"/>
    <w:basedOn w:val="NormalJustified"/>
    <w:uiPriority w:val="21"/>
    <w:qFormat/>
    <w:rsid w:val="00164D12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164D12"/>
    <w:pPr>
      <w:numPr>
        <w:numId w:val="0"/>
      </w:numPr>
      <w:ind w:left="340"/>
    </w:pPr>
  </w:style>
  <w:style w:type="paragraph" w:customStyle="1" w:styleId="Title4">
    <w:name w:val="_Title_4"/>
    <w:basedOn w:val="JuPara"/>
    <w:next w:val="JuPara"/>
    <w:uiPriority w:val="35"/>
    <w:qFormat/>
    <w:rsid w:val="00164D12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numbering" w:customStyle="1" w:styleId="ECHRA1StyleBulletedSquare">
    <w:name w:val="ECHR_A1_Style_Bulleted_Square"/>
    <w:basedOn w:val="Bezlisty"/>
    <w:rsid w:val="00164D12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164D12"/>
    <w:pPr>
      <w:numPr>
        <w:numId w:val="7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20"/>
    <w:qFormat/>
    <w:rsid w:val="00164D12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NumberedList">
    <w:name w:val="ECHR_A1_Style_Numbered_List"/>
    <w:basedOn w:val="Bezlisty"/>
    <w:rsid w:val="00164D12"/>
    <w:pPr>
      <w:numPr>
        <w:numId w:val="8"/>
      </w:numPr>
    </w:pPr>
  </w:style>
  <w:style w:type="table" w:customStyle="1" w:styleId="ECHRTable2019">
    <w:name w:val="ECHR_Table_2019"/>
    <w:basedOn w:val="Standardowy"/>
    <w:uiPriority w:val="99"/>
    <w:rsid w:val="00164D12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164D12"/>
    <w:pPr>
      <w:keepNext/>
      <w:keepLines/>
      <w:numPr>
        <w:numId w:val="1"/>
      </w:numPr>
      <w:spacing w:before="100" w:beforeAutospacing="1" w:after="240"/>
      <w:jc w:val="both"/>
      <w:outlineLvl w:val="0"/>
    </w:pPr>
    <w:rPr>
      <w:caps/>
      <w:sz w:val="28"/>
    </w:rPr>
  </w:style>
  <w:style w:type="paragraph" w:customStyle="1" w:styleId="JuInitialled">
    <w:name w:val="Ju_Initialled"/>
    <w:aliases w:val="_Right"/>
    <w:basedOn w:val="Normalny"/>
    <w:uiPriority w:val="30"/>
    <w:qFormat/>
    <w:rsid w:val="00164D12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164D12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164D1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164D12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164D12"/>
    <w:rPr>
      <w:sz w:val="8"/>
    </w:rPr>
  </w:style>
  <w:style w:type="character" w:customStyle="1" w:styleId="JUNAMES">
    <w:name w:val="JU_NAMES"/>
    <w:uiPriority w:val="34"/>
    <w:qFormat/>
    <w:rsid w:val="00164D12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164D12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164D12"/>
    <w:rPr>
      <w:rFonts w:eastAsiaTheme="minorEastAsia"/>
      <w:sz w:val="24"/>
      <w:lang w:val="pl-PL"/>
    </w:rPr>
  </w:style>
  <w:style w:type="paragraph" w:customStyle="1" w:styleId="JuCourt">
    <w:name w:val="Ju_Court"/>
    <w:basedOn w:val="Normalny"/>
    <w:next w:val="Normalny"/>
    <w:uiPriority w:val="31"/>
    <w:qFormat/>
    <w:rsid w:val="00164D12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164D12"/>
    <w:pPr>
      <w:keepNext/>
      <w:keepLines/>
      <w:numPr>
        <w:ilvl w:val="1"/>
        <w:numId w:val="1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164D12"/>
    <w:pPr>
      <w:keepNext/>
      <w:keepLines/>
      <w:numPr>
        <w:ilvl w:val="2"/>
        <w:numId w:val="1"/>
      </w:numPr>
      <w:spacing w:before="100" w:beforeAutospacing="1" w:after="240"/>
      <w:jc w:val="both"/>
      <w:outlineLvl w:val="2"/>
    </w:pPr>
    <w:rPr>
      <w:b/>
    </w:rPr>
  </w:style>
  <w:style w:type="paragraph" w:customStyle="1" w:styleId="JuH1">
    <w:name w:val="Ju_H_1."/>
    <w:aliases w:val="_Head_4"/>
    <w:basedOn w:val="Normalny"/>
    <w:next w:val="JuPara"/>
    <w:uiPriority w:val="19"/>
    <w:rsid w:val="00164D12"/>
    <w:pPr>
      <w:keepNext/>
      <w:keepLines/>
      <w:numPr>
        <w:ilvl w:val="3"/>
        <w:numId w:val="1"/>
      </w:numPr>
      <w:spacing w:before="100" w:beforeAutospacing="1" w:after="120"/>
      <w:jc w:val="both"/>
      <w:outlineLvl w:val="3"/>
    </w:pPr>
    <w:rPr>
      <w:i/>
    </w:rPr>
  </w:style>
  <w:style w:type="paragraph" w:styleId="Nagwek">
    <w:name w:val="header"/>
    <w:basedOn w:val="Normalny"/>
    <w:link w:val="NagwekZnak"/>
    <w:uiPriority w:val="57"/>
    <w:semiHidden/>
    <w:rsid w:val="00164D1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164D12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164D12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ormalny"/>
    <w:next w:val="JuPara"/>
    <w:uiPriority w:val="19"/>
    <w:rsid w:val="00164D12"/>
    <w:pPr>
      <w:keepNext/>
      <w:keepLines/>
      <w:numPr>
        <w:ilvl w:val="4"/>
        <w:numId w:val="1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9"/>
    <w:rsid w:val="00164D12"/>
    <w:pPr>
      <w:keepNext/>
      <w:keepLines/>
      <w:numPr>
        <w:ilvl w:val="5"/>
        <w:numId w:val="1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164D12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164D12"/>
    <w:pPr>
      <w:keepNext/>
      <w:keepLines/>
      <w:numPr>
        <w:ilvl w:val="6"/>
        <w:numId w:val="1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9"/>
    <w:rsid w:val="00164D12"/>
    <w:pPr>
      <w:keepNext/>
      <w:keepLines/>
      <w:numPr>
        <w:ilvl w:val="7"/>
        <w:numId w:val="1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164D12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paragraph" w:customStyle="1" w:styleId="JuParaLast">
    <w:name w:val="Ju_Para_Last"/>
    <w:aliases w:val="_Para_Spaced"/>
    <w:basedOn w:val="NormalJustified"/>
    <w:uiPriority w:val="9"/>
    <w:qFormat/>
    <w:rsid w:val="00164D12"/>
    <w:pPr>
      <w:keepNext/>
      <w:keepLines/>
      <w:spacing w:before="240" w:after="240"/>
      <w:ind w:firstLine="284"/>
    </w:pPr>
    <w:rPr>
      <w:rFonts w:eastAsiaTheme="minorHAnsi"/>
    </w:rPr>
  </w:style>
  <w:style w:type="paragraph" w:customStyle="1" w:styleId="JuList">
    <w:name w:val="Ju_List"/>
    <w:aliases w:val="_List_1"/>
    <w:basedOn w:val="NormalJustified"/>
    <w:uiPriority w:val="23"/>
    <w:qFormat/>
    <w:rsid w:val="00164D12"/>
    <w:pPr>
      <w:numPr>
        <w:numId w:val="2"/>
      </w:numPr>
      <w:spacing w:before="280" w:after="60"/>
    </w:pPr>
    <w:rPr>
      <w:rFonts w:eastAsiaTheme="minorHAnsi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164D12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164D12"/>
    <w:pPr>
      <w:numPr>
        <w:ilvl w:val="1"/>
        <w:numId w:val="2"/>
      </w:numPr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164D12"/>
    <w:rPr>
      <w:rFonts w:asciiTheme="majorHAnsi" w:eastAsiaTheme="majorEastAsia" w:hAnsiTheme="majorHAnsi" w:cstheme="majorBidi"/>
      <w:b/>
      <w:bCs/>
      <w:color w:val="808080"/>
      <w:sz w:val="24"/>
      <w:lang w:val="pl-PL"/>
    </w:rPr>
  </w:style>
  <w:style w:type="paragraph" w:customStyle="1" w:styleId="JuListi">
    <w:name w:val="Ju_List_i"/>
    <w:aliases w:val="_List_3"/>
    <w:basedOn w:val="NormalJustified"/>
    <w:uiPriority w:val="23"/>
    <w:rsid w:val="00164D12"/>
    <w:pPr>
      <w:numPr>
        <w:ilvl w:val="2"/>
        <w:numId w:val="2"/>
      </w:numPr>
    </w:pPr>
  </w:style>
  <w:style w:type="character" w:styleId="Wyrnieniedelikatne">
    <w:name w:val="Subtle Emphasis"/>
    <w:uiPriority w:val="99"/>
    <w:semiHidden/>
    <w:qFormat/>
    <w:rsid w:val="00164D12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64D12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164D12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styleId="Uwydatnienie">
    <w:name w:val="Emphasis"/>
    <w:uiPriority w:val="99"/>
    <w:semiHidden/>
    <w:qFormat/>
    <w:rsid w:val="00164D1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164D12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164D12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164D1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64D1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4D12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164D12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64D12"/>
    <w:rPr>
      <w:rFonts w:asciiTheme="majorHAnsi" w:eastAsiaTheme="majorEastAsia" w:hAnsiTheme="majorHAnsi" w:cstheme="majorBidi"/>
      <w:i/>
      <w:iCs/>
      <w:sz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64D12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64D12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9"/>
    <w:semiHidden/>
    <w:rsid w:val="00164D12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164D12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164D12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164D12"/>
    <w:rPr>
      <w:rFonts w:eastAsiaTheme="minorEastAsia"/>
      <w:b/>
      <w:bCs/>
      <w:i/>
      <w:iCs/>
      <w:sz w:val="24"/>
      <w:lang w:val="pl-PL" w:bidi="en-US"/>
    </w:rPr>
  </w:style>
  <w:style w:type="character" w:styleId="Odwoanieintensywne">
    <w:name w:val="Intense Reference"/>
    <w:uiPriority w:val="99"/>
    <w:semiHidden/>
    <w:qFormat/>
    <w:rsid w:val="00164D12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164D12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164D12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164D12"/>
    <w:rPr>
      <w:rFonts w:eastAsiaTheme="minorEastAsia"/>
      <w:i/>
      <w:iCs/>
      <w:sz w:val="24"/>
      <w:lang w:val="pl-PL" w:bidi="en-US"/>
    </w:rPr>
  </w:style>
  <w:style w:type="character" w:styleId="Odwoaniedelikatne">
    <w:name w:val="Subtle Reference"/>
    <w:uiPriority w:val="99"/>
    <w:semiHidden/>
    <w:qFormat/>
    <w:rsid w:val="00164D12"/>
    <w:rPr>
      <w:smallCaps/>
    </w:rPr>
  </w:style>
  <w:style w:type="table" w:styleId="Tabela-Siatka">
    <w:name w:val="Table Grid"/>
    <w:basedOn w:val="Standardowy"/>
    <w:uiPriority w:val="59"/>
    <w:semiHidden/>
    <w:rsid w:val="00164D1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164D1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164D1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164D1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164D1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164D1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164D12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64D12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64D12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164D12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164D1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164D12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164D12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164D12"/>
    <w:pPr>
      <w:numPr>
        <w:numId w:val="4"/>
      </w:numPr>
    </w:p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164D12"/>
    <w:pPr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164D12"/>
    <w:pPr>
      <w:numPr>
        <w:numId w:val="5"/>
      </w:numPr>
    </w:pPr>
  </w:style>
  <w:style w:type="table" w:customStyle="1" w:styleId="ECHRTableSimpleBox">
    <w:name w:val="ECHR_Table_Simple_Box"/>
    <w:basedOn w:val="Standardowy"/>
    <w:uiPriority w:val="99"/>
    <w:rsid w:val="00164D12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64D12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ibliografia">
    <w:name w:val="Bibliography"/>
    <w:basedOn w:val="Normalny"/>
    <w:next w:val="Normalny"/>
    <w:uiPriority w:val="99"/>
    <w:semiHidden/>
    <w:rsid w:val="00164D12"/>
  </w:style>
  <w:style w:type="table" w:customStyle="1" w:styleId="ECHRTableForInternalUse">
    <w:name w:val="ECHR_Table_For_Internal_Use"/>
    <w:basedOn w:val="Standardowy"/>
    <w:uiPriority w:val="99"/>
    <w:rsid w:val="00164D12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20A92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Tekstblokowy">
    <w:name w:val="Block Text"/>
    <w:basedOn w:val="Normalny"/>
    <w:uiPriority w:val="99"/>
    <w:semiHidden/>
    <w:rsid w:val="00164D1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164D12"/>
    <w:pPr>
      <w:spacing w:after="120"/>
    </w:pPr>
  </w:style>
  <w:style w:type="table" w:customStyle="1" w:styleId="ECHRHeaderTable">
    <w:name w:val="ECHR_Header_Table"/>
    <w:basedOn w:val="Standardowy"/>
    <w:uiPriority w:val="99"/>
    <w:rsid w:val="00164D12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164D12"/>
    <w:pPr>
      <w:spacing w:after="120" w:line="480" w:lineRule="auto"/>
    </w:p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basedOn w:val="Normalny"/>
    <w:uiPriority w:val="31"/>
    <w:qFormat/>
    <w:rsid w:val="00164D12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164D12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JuPara"/>
    <w:uiPriority w:val="10"/>
    <w:rsid w:val="00164D12"/>
    <w:pPr>
      <w:ind w:firstLine="284"/>
    </w:pPr>
    <w:rPr>
      <w:b/>
    </w:rPr>
  </w:style>
  <w:style w:type="character" w:styleId="Numerstrony">
    <w:name w:val="page number"/>
    <w:uiPriority w:val="99"/>
    <w:semiHidden/>
    <w:rsid w:val="00164D12"/>
    <w:rPr>
      <w:sz w:val="18"/>
    </w:rPr>
  </w:style>
  <w:style w:type="paragraph" w:styleId="Listapunktowana2">
    <w:name w:val="List Bullet 2"/>
    <w:basedOn w:val="Normalny"/>
    <w:uiPriority w:val="99"/>
    <w:semiHidden/>
    <w:rsid w:val="00164D12"/>
    <w:pPr>
      <w:numPr>
        <w:numId w:val="10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164D1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64D12"/>
    <w:rPr>
      <w:rFonts w:eastAsiaTheme="minorEastAsia"/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164D1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64D1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164D1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64D1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64D12"/>
    <w:rPr>
      <w:rFonts w:eastAsiaTheme="minorEastAsia"/>
      <w:sz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64D1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64D12"/>
    <w:rPr>
      <w:rFonts w:eastAsiaTheme="minorEastAsia"/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9"/>
    <w:semiHidden/>
    <w:qFormat/>
    <w:rsid w:val="00164D12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164D1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164D12"/>
    <w:rPr>
      <w:rFonts w:eastAsiaTheme="minorEastAsia"/>
      <w:sz w:val="24"/>
      <w:lang w:val="pl-PL"/>
    </w:rPr>
  </w:style>
  <w:style w:type="table" w:styleId="Kolorowasiatka">
    <w:name w:val="Colorful Grid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64D1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64D1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164D1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64D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4D12"/>
    <w:rPr>
      <w:rFonts w:eastAsiaTheme="minorEastAsi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4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4D12"/>
    <w:rPr>
      <w:rFonts w:eastAsiaTheme="minorEastAsia"/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64D1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164D12"/>
  </w:style>
  <w:style w:type="character" w:customStyle="1" w:styleId="DataZnak">
    <w:name w:val="Data Znak"/>
    <w:basedOn w:val="Domylnaczcionkaakapitu"/>
    <w:link w:val="Data"/>
    <w:uiPriority w:val="99"/>
    <w:semiHidden/>
    <w:rsid w:val="00164D12"/>
    <w:rPr>
      <w:rFonts w:eastAsiaTheme="minorEastAsia"/>
      <w:sz w:val="24"/>
      <w:lang w:val="pl-PL"/>
    </w:rPr>
  </w:style>
  <w:style w:type="paragraph" w:styleId="Mapadokumentu">
    <w:name w:val="Document Map"/>
    <w:basedOn w:val="Normalny"/>
    <w:link w:val="MapadokumentuZnak"/>
    <w:uiPriority w:val="99"/>
    <w:semiHidden/>
    <w:rsid w:val="00164D1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164D12"/>
    <w:rPr>
      <w:rFonts w:ascii="Tahoma" w:eastAsiaTheme="minorEastAsi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9"/>
    <w:semiHidden/>
    <w:rsid w:val="00164D12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164D12"/>
    <w:rPr>
      <w:rFonts w:eastAsiaTheme="minorEastAsia"/>
      <w:sz w:val="24"/>
      <w:lang w:val="pl-PL"/>
    </w:rPr>
  </w:style>
  <w:style w:type="character" w:styleId="Odwoanieprzypisukocowego">
    <w:name w:val="endnote reference"/>
    <w:basedOn w:val="Domylnaczcionkaakapitu"/>
    <w:uiPriority w:val="99"/>
    <w:semiHidden/>
    <w:rsid w:val="00164D12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64D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4D12"/>
    <w:rPr>
      <w:rFonts w:eastAsiaTheme="minorEastAsia"/>
      <w:sz w:val="20"/>
      <w:szCs w:val="20"/>
      <w:lang w:val="pl-PL"/>
    </w:rPr>
  </w:style>
  <w:style w:type="paragraph" w:styleId="Adresnakopercie">
    <w:name w:val="envelope address"/>
    <w:basedOn w:val="Normalny"/>
    <w:uiPriority w:val="99"/>
    <w:semiHidden/>
    <w:rsid w:val="00164D1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164D12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164D12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164D12"/>
  </w:style>
  <w:style w:type="paragraph" w:styleId="HTML-adres">
    <w:name w:val="HTML Address"/>
    <w:basedOn w:val="Normalny"/>
    <w:link w:val="HTML-adresZnak"/>
    <w:uiPriority w:val="99"/>
    <w:semiHidden/>
    <w:rsid w:val="00164D12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164D12"/>
    <w:rPr>
      <w:rFonts w:eastAsiaTheme="minorEastAsia"/>
      <w:i/>
      <w:iCs/>
      <w:sz w:val="24"/>
      <w:lang w:val="pl-PL"/>
    </w:rPr>
  </w:style>
  <w:style w:type="character" w:styleId="HTML-cytat">
    <w:name w:val="HTML Cite"/>
    <w:basedOn w:val="Domylnaczcionkaakapitu"/>
    <w:uiPriority w:val="99"/>
    <w:semiHidden/>
    <w:rsid w:val="00164D12"/>
    <w:rPr>
      <w:i/>
      <w:iCs/>
    </w:rPr>
  </w:style>
  <w:style w:type="character" w:styleId="HTML-kod">
    <w:name w:val="HTML Code"/>
    <w:basedOn w:val="Domylnaczcionkaakapitu"/>
    <w:uiPriority w:val="99"/>
    <w:semiHidden/>
    <w:rsid w:val="00164D1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164D1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164D1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64D1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64D12"/>
    <w:rPr>
      <w:rFonts w:ascii="Consolas" w:eastAsiaTheme="minorEastAsia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9"/>
    <w:semiHidden/>
    <w:rsid w:val="00164D1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164D1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164D1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164D1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164D1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164D1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164D1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164D1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164D1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164D1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164D1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164D1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164D1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64D1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64D1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64D1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64D1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64D1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64D1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64D1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64D1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64D1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164D12"/>
  </w:style>
  <w:style w:type="paragraph" w:styleId="Lista">
    <w:name w:val="List"/>
    <w:basedOn w:val="Normalny"/>
    <w:uiPriority w:val="99"/>
    <w:semiHidden/>
    <w:rsid w:val="00164D1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164D1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164D1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164D1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164D12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164D12"/>
    <w:pPr>
      <w:numPr>
        <w:numId w:val="9"/>
      </w:numPr>
    </w:pPr>
  </w:style>
  <w:style w:type="paragraph" w:styleId="Listapunktowana3">
    <w:name w:val="List Bullet 3"/>
    <w:basedOn w:val="Normalny"/>
    <w:uiPriority w:val="99"/>
    <w:semiHidden/>
    <w:rsid w:val="00164D12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9"/>
    <w:semiHidden/>
    <w:rsid w:val="00164D12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9"/>
    <w:semiHidden/>
    <w:rsid w:val="00164D12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9"/>
    <w:semiHidden/>
    <w:rsid w:val="00164D1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164D1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164D1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164D1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164D1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164D12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9"/>
    <w:semiHidden/>
    <w:rsid w:val="00164D12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9"/>
    <w:semiHidden/>
    <w:rsid w:val="00164D12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9"/>
    <w:semiHidden/>
    <w:rsid w:val="00164D12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9"/>
    <w:semiHidden/>
    <w:rsid w:val="00164D12"/>
    <w:pPr>
      <w:numPr>
        <w:numId w:val="18"/>
      </w:numPr>
      <w:contextualSpacing/>
    </w:pPr>
  </w:style>
  <w:style w:type="paragraph" w:styleId="Tekstmakra">
    <w:name w:val="macro"/>
    <w:link w:val="TekstmakraZnak"/>
    <w:uiPriority w:val="99"/>
    <w:semiHidden/>
    <w:rsid w:val="00164D1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164D12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64D1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64D1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64D1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64D1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64D1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64D1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164D1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164D12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9"/>
    <w:semiHidden/>
    <w:rsid w:val="00164D1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164D12"/>
    <w:pPr>
      <w:ind w:left="720"/>
    </w:pPr>
  </w:style>
  <w:style w:type="character" w:styleId="Tekstzastpczy">
    <w:name w:val="Placeholder Text"/>
    <w:basedOn w:val="Domylnaczcionkaakapitu"/>
    <w:uiPriority w:val="99"/>
    <w:semiHidden/>
    <w:rsid w:val="00164D1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164D1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64D12"/>
    <w:rPr>
      <w:rFonts w:ascii="Consolas" w:eastAsiaTheme="minorEastAsia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164D12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164D12"/>
    <w:rPr>
      <w:rFonts w:eastAsiaTheme="minorEastAsia"/>
      <w:sz w:val="24"/>
      <w:lang w:val="pl-PL"/>
    </w:rPr>
  </w:style>
  <w:style w:type="paragraph" w:styleId="Podpis">
    <w:name w:val="Signature"/>
    <w:basedOn w:val="Normalny"/>
    <w:link w:val="PodpisZnak"/>
    <w:uiPriority w:val="99"/>
    <w:semiHidden/>
    <w:rsid w:val="00164D12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164D12"/>
    <w:rPr>
      <w:rFonts w:eastAsiaTheme="minorEastAsia"/>
      <w:sz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164D1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164D1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164D1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64D1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64D1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64D1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64D1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64D1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64D1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64D1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64D1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64D1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64D1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64D1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64D1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64D1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64D1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64D1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64D1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64D1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64D1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64D1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64D1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64D1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64D1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64D1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164D1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164D12"/>
  </w:style>
  <w:style w:type="table" w:styleId="Tabela-Profesjonalny">
    <w:name w:val="Table Professional"/>
    <w:basedOn w:val="Standardowy"/>
    <w:uiPriority w:val="99"/>
    <w:semiHidden/>
    <w:unhideWhenUsed/>
    <w:rsid w:val="00164D1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64D1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64D1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64D1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64D1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64D1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64D1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64D1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64D1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164D1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164D1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164D1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64D12"/>
    <w:pPr>
      <w:spacing w:after="100"/>
      <w:ind w:left="1920"/>
    </w:p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164D12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Footer">
    <w:name w:val="ECHR_Footer"/>
    <w:aliases w:val="Footer_ECHR"/>
    <w:basedOn w:val="Stopka"/>
    <w:uiPriority w:val="57"/>
    <w:semiHidden/>
    <w:rsid w:val="00D20A92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164D1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164D12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164D12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aliases w:val="_Title_2"/>
    <w:basedOn w:val="Normalny"/>
    <w:next w:val="JuPara"/>
    <w:uiPriority w:val="35"/>
    <w:qFormat/>
    <w:rsid w:val="00164D12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164D12"/>
  </w:style>
  <w:style w:type="character" w:customStyle="1" w:styleId="JuParaChar">
    <w:name w:val="Ju_Para Char"/>
    <w:aliases w:val="_Para Char"/>
    <w:basedOn w:val="Domylnaczcionkaakapitu"/>
    <w:link w:val="JuPara"/>
    <w:uiPriority w:val="8"/>
    <w:locked/>
    <w:rsid w:val="00114816"/>
    <w:rPr>
      <w:rFonts w:eastAsiaTheme="minorEastAsia"/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2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70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5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947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57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3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38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317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377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754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097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630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1864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21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195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704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8880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674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329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5675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18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5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51412-8010-4A08-9ABB-B65D691AE1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280719-11BC-4A6F-9747-E93818C50D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494998-6963-4F54-B8F9-D9750BE61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5892EB5-A5D5-4062-923D-2BA3F88F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5979</Words>
  <Characters>35880</Characters>
  <Application>Microsoft Office Word</Application>
  <DocSecurity>4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2019-12-14T10:33:00Z</dcterms:created>
  <dcterms:modified xsi:type="dcterms:W3CDTF">2019-12-14T10:33:00Z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47542/07</vt:lpwstr>
  </property>
  <property fmtid="{D5CDD505-2E9C-101B-9397-08002B2CF9AE}" pid="4" name="CASEID">
    <vt:lpwstr>475041</vt:lpwstr>
  </property>
  <property fmtid="{D5CDD505-2E9C-101B-9397-08002B2CF9AE}" pid="5" name="ContentTypeId">
    <vt:lpwstr>0x010100558EB02BDB9E204AB350EDD385B68E10</vt:lpwstr>
  </property>
</Properties>
</file>