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0399E" w14:textId="77777777" w:rsidR="005D62EF" w:rsidRPr="00EB3E93" w:rsidRDefault="005D62EF" w:rsidP="00EB3E93">
      <w:pPr>
        <w:rPr>
          <w:lang w:val="en-GB"/>
        </w:rPr>
      </w:pPr>
      <w:bookmarkStart w:id="0" w:name="_GoBack"/>
      <w:bookmarkEnd w:id="0"/>
    </w:p>
    <w:p w14:paraId="08DF3B7E" w14:textId="77777777" w:rsidR="005D62EF" w:rsidRPr="00EB3E93" w:rsidRDefault="002E32CE" w:rsidP="00EB3E93">
      <w:pPr>
        <w:pStyle w:val="DecHTitle"/>
        <w:rPr>
          <w:lang w:val="en-GB"/>
        </w:rPr>
      </w:pPr>
      <w:r w:rsidRPr="00EB3E93">
        <w:rPr>
          <w:szCs w:val="24"/>
          <w:lang w:val="en-GB"/>
        </w:rPr>
        <w:t>THIRD SECTION</w:t>
      </w:r>
    </w:p>
    <w:p w14:paraId="76FA031F" w14:textId="77777777" w:rsidR="005D62EF" w:rsidRPr="00EB3E93" w:rsidRDefault="005D62EF" w:rsidP="00EB3E93">
      <w:pPr>
        <w:pStyle w:val="DecHTitle"/>
        <w:rPr>
          <w:lang w:val="en-GB"/>
        </w:rPr>
      </w:pPr>
      <w:r w:rsidRPr="00EB3E93">
        <w:rPr>
          <w:lang w:val="en-GB"/>
        </w:rPr>
        <w:t>DECISION</w:t>
      </w:r>
    </w:p>
    <w:p w14:paraId="7056BEDC" w14:textId="77777777" w:rsidR="005D62EF" w:rsidRPr="00EB3E93" w:rsidRDefault="002E32CE" w:rsidP="00EB3E93">
      <w:pPr>
        <w:pStyle w:val="ECHRTitleCentre2"/>
        <w:rPr>
          <w:i w:val="0"/>
          <w:lang w:val="en-GB"/>
        </w:rPr>
      </w:pPr>
      <w:r w:rsidRPr="00EB3E93">
        <w:rPr>
          <w:i w:val="0"/>
          <w:lang w:val="en-GB"/>
        </w:rPr>
        <w:t>Application no</w:t>
      </w:r>
      <w:r w:rsidR="00BE6ED4" w:rsidRPr="00EB3E93">
        <w:rPr>
          <w:i w:val="0"/>
          <w:lang w:val="en-GB"/>
        </w:rPr>
        <w:t xml:space="preserve"> </w:t>
      </w:r>
      <w:r w:rsidRPr="00EB3E93">
        <w:rPr>
          <w:i w:val="0"/>
          <w:lang w:val="en-GB"/>
        </w:rPr>
        <w:t>74742/14</w:t>
      </w:r>
      <w:r w:rsidR="00BE6ED4" w:rsidRPr="00EB3E93">
        <w:rPr>
          <w:i w:val="0"/>
          <w:lang w:val="en-GB"/>
        </w:rPr>
        <w:br/>
      </w:r>
      <w:r w:rsidRPr="00EB3E93">
        <w:rPr>
          <w:i w:val="0"/>
          <w:lang w:val="en-GB"/>
        </w:rPr>
        <w:t>Rolf Anders Daniel</w:t>
      </w:r>
      <w:r w:rsidR="00BE6ED4" w:rsidRPr="00EB3E93">
        <w:rPr>
          <w:i w:val="0"/>
          <w:lang w:val="en-GB"/>
        </w:rPr>
        <w:t xml:space="preserve"> </w:t>
      </w:r>
      <w:r w:rsidRPr="00EB3E93">
        <w:rPr>
          <w:i w:val="0"/>
          <w:lang w:val="en-GB"/>
        </w:rPr>
        <w:t>PIHL</w:t>
      </w:r>
      <w:r w:rsidRPr="00EB3E93">
        <w:rPr>
          <w:i w:val="0"/>
          <w:lang w:val="en-GB"/>
        </w:rPr>
        <w:br/>
      </w:r>
      <w:r w:rsidR="00BE6ED4" w:rsidRPr="00EB3E93">
        <w:rPr>
          <w:i w:val="0"/>
          <w:lang w:val="en-GB"/>
        </w:rPr>
        <w:t xml:space="preserve">against </w:t>
      </w:r>
      <w:r w:rsidRPr="00EB3E93">
        <w:rPr>
          <w:i w:val="0"/>
          <w:lang w:val="en-GB"/>
        </w:rPr>
        <w:t>Sweden</w:t>
      </w:r>
    </w:p>
    <w:p w14:paraId="4AE4EED7" w14:textId="77777777" w:rsidR="005D62EF" w:rsidRPr="00EB3E93" w:rsidRDefault="005D62EF" w:rsidP="00EB3E93">
      <w:pPr>
        <w:pStyle w:val="ECHRPara"/>
        <w:rPr>
          <w:lang w:val="en-GB"/>
        </w:rPr>
      </w:pPr>
      <w:r w:rsidRPr="00EB3E93">
        <w:rPr>
          <w:lang w:val="en-GB"/>
        </w:rPr>
        <w:t>The European Court of Human Rights</w:t>
      </w:r>
      <w:r w:rsidR="002E32CE" w:rsidRPr="00EB3E93">
        <w:rPr>
          <w:lang w:val="en-GB"/>
        </w:rPr>
        <w:t xml:space="preserve"> (Third Section), sitting on</w:t>
      </w:r>
      <w:r w:rsidRPr="00EB3E93">
        <w:rPr>
          <w:lang w:val="en-GB"/>
        </w:rPr>
        <w:t xml:space="preserve"> </w:t>
      </w:r>
      <w:r w:rsidR="002E32CE" w:rsidRPr="00EB3E93">
        <w:rPr>
          <w:lang w:val="en-GB"/>
        </w:rPr>
        <w:t>7 February 2017</w:t>
      </w:r>
      <w:r w:rsidRPr="00EB3E93">
        <w:rPr>
          <w:lang w:val="en-GB"/>
        </w:rPr>
        <w:t xml:space="preserve"> as a </w:t>
      </w:r>
      <w:r w:rsidR="002E32CE" w:rsidRPr="00EB3E93">
        <w:rPr>
          <w:szCs w:val="24"/>
          <w:lang w:val="en-GB"/>
        </w:rPr>
        <w:t>Chamber</w:t>
      </w:r>
      <w:r w:rsidRPr="00EB3E93">
        <w:rPr>
          <w:lang w:val="en-GB"/>
        </w:rPr>
        <w:t xml:space="preserve"> composed of:</w:t>
      </w:r>
    </w:p>
    <w:p w14:paraId="4BAB7DC1" w14:textId="77777777" w:rsidR="005D62EF" w:rsidRPr="00EB3E93" w:rsidRDefault="002E32CE" w:rsidP="00EB3E93">
      <w:pPr>
        <w:pStyle w:val="ECHRDecisionBody"/>
        <w:rPr>
          <w:lang w:val="en-GB"/>
        </w:rPr>
      </w:pPr>
      <w:r w:rsidRPr="00EB3E93">
        <w:tab/>
      </w:r>
      <w:proofErr w:type="spellStart"/>
      <w:r w:rsidRPr="00EB3E93">
        <w:t>Branko</w:t>
      </w:r>
      <w:proofErr w:type="spellEnd"/>
      <w:r w:rsidRPr="00EB3E93">
        <w:t xml:space="preserve"> </w:t>
      </w:r>
      <w:proofErr w:type="spellStart"/>
      <w:r w:rsidRPr="00EB3E93">
        <w:t>Lubarda</w:t>
      </w:r>
      <w:proofErr w:type="spellEnd"/>
      <w:r w:rsidRPr="00EB3E93">
        <w:t>,</w:t>
      </w:r>
      <w:r w:rsidRPr="00EB3E93">
        <w:rPr>
          <w:i/>
        </w:rPr>
        <w:t xml:space="preserve"> President,</w:t>
      </w:r>
      <w:r w:rsidRPr="00EB3E93">
        <w:rPr>
          <w:i/>
        </w:rPr>
        <w:br/>
      </w:r>
      <w:r w:rsidRPr="00EB3E93">
        <w:tab/>
        <w:t xml:space="preserve">Helena </w:t>
      </w:r>
      <w:proofErr w:type="spellStart"/>
      <w:r w:rsidRPr="00EB3E93">
        <w:t>Jäderblom</w:t>
      </w:r>
      <w:proofErr w:type="spellEnd"/>
      <w:r w:rsidRPr="00EB3E93">
        <w:t>,</w:t>
      </w:r>
      <w:r w:rsidRPr="00EB3E93">
        <w:rPr>
          <w:i/>
        </w:rPr>
        <w:br/>
      </w:r>
      <w:r w:rsidRPr="00EB3E93">
        <w:tab/>
        <w:t>Luis López Guerra,</w:t>
      </w:r>
      <w:r w:rsidRPr="00EB3E93">
        <w:rPr>
          <w:i/>
        </w:rPr>
        <w:br/>
      </w:r>
      <w:r w:rsidRPr="00EB3E93">
        <w:tab/>
        <w:t>Helen Keller,</w:t>
      </w:r>
      <w:r w:rsidRPr="00EB3E93">
        <w:rPr>
          <w:i/>
        </w:rPr>
        <w:br/>
      </w:r>
      <w:r w:rsidRPr="00EB3E93">
        <w:tab/>
        <w:t xml:space="preserve">Pere Pastor </w:t>
      </w:r>
      <w:proofErr w:type="spellStart"/>
      <w:r w:rsidRPr="00EB3E93">
        <w:t>Vilanova</w:t>
      </w:r>
      <w:proofErr w:type="spellEnd"/>
      <w:r w:rsidRPr="00EB3E93">
        <w:t>,</w:t>
      </w:r>
      <w:r w:rsidRPr="00EB3E93">
        <w:rPr>
          <w:i/>
        </w:rPr>
        <w:br/>
      </w:r>
      <w:r w:rsidRPr="00EB3E93">
        <w:tab/>
        <w:t xml:space="preserve">Alena </w:t>
      </w:r>
      <w:proofErr w:type="spellStart"/>
      <w:r w:rsidRPr="00EB3E93">
        <w:t>Poláčková</w:t>
      </w:r>
      <w:proofErr w:type="spellEnd"/>
      <w:r w:rsidRPr="00EB3E93">
        <w:t>,</w:t>
      </w:r>
      <w:r w:rsidRPr="00EB3E93">
        <w:rPr>
          <w:i/>
        </w:rPr>
        <w:br/>
      </w:r>
      <w:r w:rsidRPr="00EB3E93">
        <w:tab/>
        <w:t xml:space="preserve">Georgios A. </w:t>
      </w:r>
      <w:proofErr w:type="spellStart"/>
      <w:r w:rsidRPr="00EB3E93">
        <w:t>Serghides</w:t>
      </w:r>
      <w:proofErr w:type="spellEnd"/>
      <w:r w:rsidRPr="00EB3E93">
        <w:t>,</w:t>
      </w:r>
      <w:r w:rsidRPr="00EB3E93">
        <w:rPr>
          <w:i/>
        </w:rPr>
        <w:t xml:space="preserve"> judges,</w:t>
      </w:r>
      <w:r w:rsidRPr="00EB3E93">
        <w:rPr>
          <w:i/>
        </w:rPr>
        <w:br/>
      </w:r>
      <w:r w:rsidR="005D62EF" w:rsidRPr="00EB3E93">
        <w:rPr>
          <w:lang w:val="en-GB"/>
        </w:rPr>
        <w:t xml:space="preserve">and </w:t>
      </w:r>
      <w:r w:rsidRPr="00EB3E93">
        <w:rPr>
          <w:lang w:val="en-GB"/>
        </w:rPr>
        <w:t>Stephen Phillips</w:t>
      </w:r>
      <w:r w:rsidR="005D62EF" w:rsidRPr="00EB3E93">
        <w:rPr>
          <w:lang w:val="en-GB"/>
        </w:rPr>
        <w:t xml:space="preserve">, </w:t>
      </w:r>
      <w:r w:rsidRPr="00EB3E93">
        <w:rPr>
          <w:i/>
          <w:iCs/>
          <w:lang w:val="en-GB"/>
        </w:rPr>
        <w:t>Section Registrar</w:t>
      </w:r>
      <w:r w:rsidR="005D62EF" w:rsidRPr="00EB3E93">
        <w:rPr>
          <w:i/>
          <w:lang w:val="en-GB"/>
        </w:rPr>
        <w:t>,</w:t>
      </w:r>
    </w:p>
    <w:p w14:paraId="0D04322D" w14:textId="77777777" w:rsidR="005D62EF" w:rsidRPr="00EB3E93" w:rsidRDefault="005D62EF" w:rsidP="00EB3E93">
      <w:pPr>
        <w:pStyle w:val="ECHRPara"/>
        <w:rPr>
          <w:lang w:val="en-GB"/>
        </w:rPr>
      </w:pPr>
      <w:r w:rsidRPr="00EB3E93">
        <w:rPr>
          <w:lang w:val="en-GB"/>
        </w:rPr>
        <w:t xml:space="preserve">Having regard to the above application lodged on </w:t>
      </w:r>
      <w:r w:rsidR="002E32CE" w:rsidRPr="00EB3E93">
        <w:rPr>
          <w:lang w:val="en-GB"/>
        </w:rPr>
        <w:t>22 November 2014</w:t>
      </w:r>
      <w:r w:rsidRPr="00EB3E93">
        <w:rPr>
          <w:lang w:val="en-GB"/>
        </w:rPr>
        <w:t>,</w:t>
      </w:r>
    </w:p>
    <w:p w14:paraId="7505B2C0" w14:textId="77777777" w:rsidR="005D62EF" w:rsidRPr="00EB3E93" w:rsidRDefault="005D62EF" w:rsidP="00EB3E93">
      <w:pPr>
        <w:pStyle w:val="ECHRPara"/>
        <w:rPr>
          <w:lang w:val="en-GB"/>
        </w:rPr>
      </w:pPr>
      <w:r w:rsidRPr="00EB3E93">
        <w:rPr>
          <w:lang w:val="en-GB"/>
        </w:rPr>
        <w:t>Having deliberated, decides as follows:</w:t>
      </w:r>
    </w:p>
    <w:p w14:paraId="76A757BF" w14:textId="77777777" w:rsidR="005D62EF" w:rsidRPr="00EB3E93" w:rsidRDefault="005D62EF" w:rsidP="00EB3E93">
      <w:pPr>
        <w:pStyle w:val="ECHRTitle1"/>
        <w:rPr>
          <w:lang w:val="en-GB"/>
        </w:rPr>
      </w:pPr>
      <w:r w:rsidRPr="00EB3E93">
        <w:rPr>
          <w:lang w:val="en-GB"/>
        </w:rPr>
        <w:t>THE FACTS</w:t>
      </w:r>
    </w:p>
    <w:p w14:paraId="0CDE3F17" w14:textId="77777777" w:rsidR="008461BF"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1</w:t>
      </w:r>
      <w:r w:rsidRPr="00EB3E93">
        <w:rPr>
          <w:lang w:val="en-GB"/>
        </w:rPr>
        <w:fldChar w:fldCharType="end"/>
      </w:r>
      <w:r w:rsidRPr="00EB3E93">
        <w:rPr>
          <w:lang w:val="en-GB"/>
        </w:rPr>
        <w:t>.  The applicant, Mr Rolf Anders Daniel Pihl, is a Swedish national who was born in 1986 and lives in Linköping, Sweden.</w:t>
      </w:r>
    </w:p>
    <w:p w14:paraId="4526FCD8" w14:textId="77777777" w:rsidR="002E32CE" w:rsidRPr="00EB3E93" w:rsidRDefault="002E32CE" w:rsidP="00EB3E93">
      <w:pPr>
        <w:pStyle w:val="ECHRHeading2"/>
        <w:rPr>
          <w:lang w:val="en-GB"/>
        </w:rPr>
      </w:pPr>
      <w:r w:rsidRPr="00EB3E93">
        <w:rPr>
          <w:lang w:val="en-GB"/>
        </w:rPr>
        <w:t>A.  The circumstances of the case</w:t>
      </w:r>
    </w:p>
    <w:p w14:paraId="03BEB9BF" w14:textId="77777777" w:rsidR="002E32CE"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2</w:t>
      </w:r>
      <w:r w:rsidRPr="00EB3E93">
        <w:rPr>
          <w:lang w:val="en-GB"/>
        </w:rPr>
        <w:fldChar w:fldCharType="end"/>
      </w:r>
      <w:r w:rsidRPr="00EB3E93">
        <w:rPr>
          <w:lang w:val="en-GB"/>
        </w:rPr>
        <w:t>.  The facts of the case, as submitted by the applicant, may be summarised as follows.</w:t>
      </w:r>
    </w:p>
    <w:p w14:paraId="46E88E9B" w14:textId="77777777" w:rsidR="008461BF"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3</w:t>
      </w:r>
      <w:r w:rsidRPr="00EB3E93">
        <w:rPr>
          <w:lang w:val="en-GB"/>
        </w:rPr>
        <w:fldChar w:fldCharType="end"/>
      </w:r>
      <w:r w:rsidRPr="00EB3E93">
        <w:rPr>
          <w:lang w:val="en-GB"/>
        </w:rPr>
        <w:t xml:space="preserve">.  On 29 September 2011, a blog post was published accusing the applicant of being involved in a Nazi party. The blog on which the post appeared was a small one run by a non-profit association. Although the blog allowed comments to be posted, it was clearly stated that such comments were not checked before publication and that commentators were </w:t>
      </w:r>
      <w:r w:rsidRPr="00EB3E93">
        <w:rPr>
          <w:lang w:val="en-GB"/>
        </w:rPr>
        <w:lastRenderedPageBreak/>
        <w:t>responsible for their own statements. Commentators were therefore requested to “display good manners and obey the law”.</w:t>
      </w:r>
    </w:p>
    <w:p w14:paraId="62B3AF51" w14:textId="77777777" w:rsidR="002E32CE"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4</w:t>
      </w:r>
      <w:r w:rsidRPr="00EB3E93">
        <w:rPr>
          <w:lang w:val="en-GB"/>
        </w:rPr>
        <w:fldChar w:fldCharType="end"/>
      </w:r>
      <w:r w:rsidRPr="00EB3E93">
        <w:rPr>
          <w:lang w:val="en-GB"/>
        </w:rPr>
        <w:t>.  The day after publication of the post, an anonymous person using the name “</w:t>
      </w:r>
      <w:proofErr w:type="spellStart"/>
      <w:r w:rsidRPr="00EB3E93">
        <w:rPr>
          <w:lang w:val="en-GB"/>
        </w:rPr>
        <w:t>björnpeder</w:t>
      </w:r>
      <w:proofErr w:type="spellEnd"/>
      <w:r w:rsidRPr="00EB3E93">
        <w:rPr>
          <w:lang w:val="en-GB"/>
        </w:rPr>
        <w:t xml:space="preserve">” posted a comment stating that “that guy </w:t>
      </w:r>
      <w:proofErr w:type="spellStart"/>
      <w:r w:rsidRPr="00EB3E93">
        <w:rPr>
          <w:lang w:val="en-GB"/>
        </w:rPr>
        <w:t>pihl</w:t>
      </w:r>
      <w:proofErr w:type="spellEnd"/>
      <w:r w:rsidRPr="00EB3E93">
        <w:rPr>
          <w:lang w:val="en-GB"/>
        </w:rPr>
        <w:t xml:space="preserve"> is also a real hash-junkie according to several people I have spoken to” (“</w:t>
      </w:r>
      <w:proofErr w:type="spellStart"/>
      <w:r w:rsidRPr="00EB3E93">
        <w:rPr>
          <w:i/>
          <w:lang w:val="en-GB"/>
        </w:rPr>
        <w:t>han</w:t>
      </w:r>
      <w:proofErr w:type="spellEnd"/>
      <w:r w:rsidRPr="00EB3E93">
        <w:rPr>
          <w:i/>
          <w:lang w:val="en-GB"/>
        </w:rPr>
        <w:t xml:space="preserve"> </w:t>
      </w:r>
      <w:proofErr w:type="spellStart"/>
      <w:r w:rsidRPr="00EB3E93">
        <w:rPr>
          <w:i/>
          <w:lang w:val="en-GB"/>
        </w:rPr>
        <w:t>där</w:t>
      </w:r>
      <w:proofErr w:type="spellEnd"/>
      <w:r w:rsidRPr="00EB3E93">
        <w:rPr>
          <w:i/>
          <w:lang w:val="en-GB"/>
        </w:rPr>
        <w:t xml:space="preserve"> </w:t>
      </w:r>
      <w:proofErr w:type="spellStart"/>
      <w:r w:rsidRPr="00EB3E93">
        <w:rPr>
          <w:i/>
          <w:lang w:val="en-GB"/>
        </w:rPr>
        <w:t>pihl</w:t>
      </w:r>
      <w:proofErr w:type="spellEnd"/>
      <w:r w:rsidRPr="00EB3E93">
        <w:rPr>
          <w:i/>
          <w:lang w:val="en-GB"/>
        </w:rPr>
        <w:t xml:space="preserve"> </w:t>
      </w:r>
      <w:proofErr w:type="spellStart"/>
      <w:r w:rsidRPr="00EB3E93">
        <w:rPr>
          <w:i/>
          <w:lang w:val="en-GB"/>
        </w:rPr>
        <w:t>är</w:t>
      </w:r>
      <w:proofErr w:type="spellEnd"/>
      <w:r w:rsidRPr="00EB3E93">
        <w:rPr>
          <w:i/>
          <w:lang w:val="en-GB"/>
        </w:rPr>
        <w:t xml:space="preserve"> </w:t>
      </w:r>
      <w:proofErr w:type="spellStart"/>
      <w:r w:rsidRPr="00EB3E93">
        <w:rPr>
          <w:i/>
          <w:lang w:val="en-GB"/>
        </w:rPr>
        <w:t>ju</w:t>
      </w:r>
      <w:proofErr w:type="spellEnd"/>
      <w:r w:rsidRPr="00EB3E93">
        <w:rPr>
          <w:i/>
          <w:lang w:val="en-GB"/>
        </w:rPr>
        <w:t xml:space="preserve"> </w:t>
      </w:r>
      <w:proofErr w:type="spellStart"/>
      <w:r w:rsidRPr="00EB3E93">
        <w:rPr>
          <w:i/>
          <w:lang w:val="en-GB"/>
        </w:rPr>
        <w:t>dessutom</w:t>
      </w:r>
      <w:proofErr w:type="spellEnd"/>
      <w:r w:rsidRPr="00EB3E93">
        <w:rPr>
          <w:i/>
          <w:lang w:val="en-GB"/>
        </w:rPr>
        <w:t xml:space="preserve"> </w:t>
      </w:r>
      <w:proofErr w:type="spellStart"/>
      <w:r w:rsidRPr="00EB3E93">
        <w:rPr>
          <w:i/>
          <w:lang w:val="en-GB"/>
        </w:rPr>
        <w:t>en</w:t>
      </w:r>
      <w:proofErr w:type="spellEnd"/>
      <w:r w:rsidRPr="00EB3E93">
        <w:rPr>
          <w:i/>
          <w:lang w:val="en-GB"/>
        </w:rPr>
        <w:t xml:space="preserve"> </w:t>
      </w:r>
      <w:proofErr w:type="spellStart"/>
      <w:r w:rsidRPr="00EB3E93">
        <w:rPr>
          <w:i/>
          <w:lang w:val="en-GB"/>
        </w:rPr>
        <w:t>rejäler</w:t>
      </w:r>
      <w:proofErr w:type="spellEnd"/>
      <w:r w:rsidRPr="00EB3E93">
        <w:rPr>
          <w:i/>
          <w:lang w:val="en-GB"/>
        </w:rPr>
        <w:t xml:space="preserve"> </w:t>
      </w:r>
      <w:proofErr w:type="spellStart"/>
      <w:r w:rsidRPr="00EB3E93">
        <w:rPr>
          <w:i/>
          <w:lang w:val="en-GB"/>
        </w:rPr>
        <w:t>hasch</w:t>
      </w:r>
      <w:proofErr w:type="spellEnd"/>
      <w:r w:rsidRPr="00EB3E93">
        <w:rPr>
          <w:i/>
          <w:lang w:val="en-GB"/>
        </w:rPr>
        <w:t xml:space="preserve"> </w:t>
      </w:r>
      <w:proofErr w:type="spellStart"/>
      <w:r w:rsidRPr="00EB3E93">
        <w:rPr>
          <w:i/>
          <w:lang w:val="en-GB"/>
        </w:rPr>
        <w:t>pundare</w:t>
      </w:r>
      <w:proofErr w:type="spellEnd"/>
      <w:r w:rsidRPr="00EB3E93">
        <w:rPr>
          <w:i/>
          <w:lang w:val="en-GB"/>
        </w:rPr>
        <w:t xml:space="preserve"> </w:t>
      </w:r>
      <w:proofErr w:type="spellStart"/>
      <w:r w:rsidRPr="00EB3E93">
        <w:rPr>
          <w:i/>
          <w:lang w:val="en-GB"/>
        </w:rPr>
        <w:t>enligt</w:t>
      </w:r>
      <w:proofErr w:type="spellEnd"/>
      <w:r w:rsidRPr="00EB3E93">
        <w:rPr>
          <w:i/>
          <w:lang w:val="en-GB"/>
        </w:rPr>
        <w:t xml:space="preserve"> </w:t>
      </w:r>
      <w:proofErr w:type="spellStart"/>
      <w:r w:rsidRPr="00EB3E93">
        <w:rPr>
          <w:i/>
          <w:lang w:val="en-GB"/>
        </w:rPr>
        <w:t>flera</w:t>
      </w:r>
      <w:proofErr w:type="spellEnd"/>
      <w:r w:rsidRPr="00EB3E93">
        <w:rPr>
          <w:i/>
          <w:lang w:val="en-GB"/>
        </w:rPr>
        <w:t xml:space="preserve"> jag </w:t>
      </w:r>
      <w:proofErr w:type="spellStart"/>
      <w:r w:rsidRPr="00EB3E93">
        <w:rPr>
          <w:i/>
          <w:lang w:val="en-GB"/>
        </w:rPr>
        <w:t>snackat</w:t>
      </w:r>
      <w:proofErr w:type="spellEnd"/>
      <w:r w:rsidRPr="00EB3E93">
        <w:rPr>
          <w:i/>
          <w:lang w:val="en-GB"/>
        </w:rPr>
        <w:t xml:space="preserve"> me</w:t>
      </w:r>
      <w:r w:rsidRPr="00EB3E93">
        <w:rPr>
          <w:lang w:val="en-GB"/>
        </w:rPr>
        <w:t>”).</w:t>
      </w:r>
    </w:p>
    <w:p w14:paraId="22599C8E" w14:textId="77777777" w:rsidR="002E32CE"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5</w:t>
      </w:r>
      <w:r w:rsidRPr="00EB3E93">
        <w:rPr>
          <w:lang w:val="en-GB"/>
        </w:rPr>
        <w:fldChar w:fldCharType="end"/>
      </w:r>
      <w:r w:rsidRPr="00EB3E93">
        <w:rPr>
          <w:lang w:val="en-GB"/>
        </w:rPr>
        <w:t>.  On 8 October 2011 the applicant posted a comment on the blog in reply to the above comment and blog post about him, stating that the information there was wrong and should immediately be removed.</w:t>
      </w:r>
    </w:p>
    <w:p w14:paraId="62D7BD2A" w14:textId="77777777" w:rsidR="008461BF"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6</w:t>
      </w:r>
      <w:r w:rsidRPr="00EB3E93">
        <w:rPr>
          <w:lang w:val="en-GB"/>
        </w:rPr>
        <w:fldChar w:fldCharType="end"/>
      </w:r>
      <w:r w:rsidRPr="00EB3E93">
        <w:rPr>
          <w:lang w:val="en-GB"/>
        </w:rPr>
        <w:t xml:space="preserve">.  The following day the blog post and the comment were removed and a new post was added on the blog by the association </w:t>
      </w:r>
      <w:r w:rsidRPr="00EB3E93">
        <w:rPr>
          <w:rFonts w:cstheme="minorHAnsi"/>
          <w:lang w:val="en-GB"/>
        </w:rPr>
        <w:t>–</w:t>
      </w:r>
      <w:r w:rsidRPr="00EB3E93">
        <w:rPr>
          <w:lang w:val="en-GB"/>
        </w:rPr>
        <w:t xml:space="preserve"> stating that the earlier post had been wrong and based on inaccurate information </w:t>
      </w:r>
      <w:r w:rsidRPr="00EB3E93">
        <w:rPr>
          <w:rFonts w:cstheme="minorHAnsi"/>
          <w:lang w:val="en-GB"/>
        </w:rPr>
        <w:t>–</w:t>
      </w:r>
      <w:r w:rsidRPr="00EB3E93">
        <w:rPr>
          <w:lang w:val="en-GB"/>
        </w:rPr>
        <w:t xml:space="preserve"> and it apologised for the mistake. However, according to the applicant, it was still possible to find the old post and the comment on the Internet via search engines.</w:t>
      </w:r>
    </w:p>
    <w:p w14:paraId="0980DC56" w14:textId="77777777" w:rsidR="008461BF"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7</w:t>
      </w:r>
      <w:r w:rsidRPr="00EB3E93">
        <w:rPr>
          <w:lang w:val="en-GB"/>
        </w:rPr>
        <w:fldChar w:fldCharType="end"/>
      </w:r>
      <w:r w:rsidRPr="00EB3E93">
        <w:rPr>
          <w:lang w:val="en-GB"/>
        </w:rPr>
        <w:t xml:space="preserve">.  On 11 October 2011, the applicant sued the association and claimed symbolic damages of 1 Swedish krona (SEK), approximately 0.10 euro (EUR). He submitted that the post and the comment constituted defamation and that the association was responsible for both </w:t>
      </w:r>
      <w:r w:rsidRPr="00EB3E93">
        <w:rPr>
          <w:rFonts w:cstheme="minorHAnsi"/>
          <w:lang w:val="en-GB"/>
        </w:rPr>
        <w:t>–</w:t>
      </w:r>
      <w:r w:rsidRPr="00EB3E93">
        <w:rPr>
          <w:lang w:val="en-GB"/>
        </w:rPr>
        <w:t xml:space="preserve"> for the latter because the association had failed to remove it immediately.</w:t>
      </w:r>
    </w:p>
    <w:p w14:paraId="2F918E2F" w14:textId="77777777" w:rsidR="002E32CE"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8</w:t>
      </w:r>
      <w:r w:rsidRPr="00EB3E93">
        <w:rPr>
          <w:lang w:val="en-GB"/>
        </w:rPr>
        <w:fldChar w:fldCharType="end"/>
      </w:r>
      <w:r w:rsidRPr="00EB3E93">
        <w:rPr>
          <w:lang w:val="en-GB"/>
        </w:rPr>
        <w:t>.  On 11 November 2011 Linköping District Court (</w:t>
      </w:r>
      <w:proofErr w:type="spellStart"/>
      <w:r w:rsidRPr="00EB3E93">
        <w:rPr>
          <w:i/>
          <w:lang w:val="en-GB"/>
        </w:rPr>
        <w:t>tingsrätt</w:t>
      </w:r>
      <w:proofErr w:type="spellEnd"/>
      <w:r w:rsidRPr="00EB3E93">
        <w:rPr>
          <w:lang w:val="en-GB"/>
        </w:rPr>
        <w:t xml:space="preserve">) rejected his claims but, on 10 July 2012, </w:t>
      </w:r>
      <w:proofErr w:type="spellStart"/>
      <w:r w:rsidRPr="00EB3E93">
        <w:rPr>
          <w:lang w:val="en-GB"/>
        </w:rPr>
        <w:t>Göta</w:t>
      </w:r>
      <w:proofErr w:type="spellEnd"/>
      <w:r w:rsidRPr="00EB3E93">
        <w:rPr>
          <w:lang w:val="en-GB"/>
        </w:rPr>
        <w:t xml:space="preserve"> Court of Appeal (</w:t>
      </w:r>
      <w:proofErr w:type="spellStart"/>
      <w:r w:rsidRPr="00EB3E93">
        <w:rPr>
          <w:i/>
          <w:lang w:val="en-GB"/>
        </w:rPr>
        <w:t>hovrätt</w:t>
      </w:r>
      <w:proofErr w:type="spellEnd"/>
      <w:r w:rsidRPr="00EB3E93">
        <w:rPr>
          <w:lang w:val="en-GB"/>
        </w:rPr>
        <w:t>) found that a procedural error had been committed. It quashed the lower court</w:t>
      </w:r>
      <w:r w:rsidR="00EB3E93" w:rsidRPr="00EB3E93">
        <w:rPr>
          <w:lang w:val="en-GB"/>
        </w:rPr>
        <w:t>’</w:t>
      </w:r>
      <w:r w:rsidRPr="00EB3E93">
        <w:rPr>
          <w:lang w:val="en-GB"/>
        </w:rPr>
        <w:t>s judgment and referred the case back to it.</w:t>
      </w:r>
    </w:p>
    <w:p w14:paraId="7E086ABA" w14:textId="77777777" w:rsidR="002E32CE"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9</w:t>
      </w:r>
      <w:r w:rsidRPr="00EB3E93">
        <w:rPr>
          <w:lang w:val="en-GB"/>
        </w:rPr>
        <w:fldChar w:fldCharType="end"/>
      </w:r>
      <w:r w:rsidRPr="00EB3E93">
        <w:rPr>
          <w:lang w:val="en-GB"/>
        </w:rPr>
        <w:t>.  The Linköping District Court subsequently dismissed the claim relating to the publication of the blog post on the grounds that it was covered by a regulation in the Fundamental Law on Freedom of Expression (</w:t>
      </w:r>
      <w:proofErr w:type="spellStart"/>
      <w:r w:rsidRPr="00EB3E93">
        <w:rPr>
          <w:i/>
          <w:lang w:val="en-GB"/>
        </w:rPr>
        <w:t>Yttrandefrihetsgrundlagen</w:t>
      </w:r>
      <w:proofErr w:type="spellEnd"/>
      <w:r w:rsidRPr="00EB3E93">
        <w:rPr>
          <w:i/>
          <w:lang w:val="en-GB"/>
        </w:rPr>
        <w:t xml:space="preserve"> (1991:1469)</w:t>
      </w:r>
      <w:r w:rsidRPr="00EB3E93">
        <w:rPr>
          <w:lang w:val="en-GB"/>
        </w:rPr>
        <w:t>) and that the court competent to examine that part of the claim was therefore Stockholm District Court. However, it found that it was competent to examine the applicant</w:t>
      </w:r>
      <w:r w:rsidR="00EB3E93" w:rsidRPr="00EB3E93">
        <w:rPr>
          <w:lang w:val="en-GB"/>
        </w:rPr>
        <w:t>’</w:t>
      </w:r>
      <w:r w:rsidRPr="00EB3E93">
        <w:rPr>
          <w:lang w:val="en-GB"/>
        </w:rPr>
        <w:t>s claim in so far as it related to the comment posted on the blog.</w:t>
      </w:r>
    </w:p>
    <w:p w14:paraId="23F3509E" w14:textId="77777777" w:rsidR="002E32CE"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10</w:t>
      </w:r>
      <w:r w:rsidRPr="00EB3E93">
        <w:rPr>
          <w:lang w:val="en-GB"/>
        </w:rPr>
        <w:fldChar w:fldCharType="end"/>
      </w:r>
      <w:r w:rsidRPr="00EB3E93">
        <w:rPr>
          <w:lang w:val="en-GB"/>
        </w:rPr>
        <w:t>.  The applicant argued before the District Court that the comment on the blog was untrue and constituted defamation. The association had received an email when the comment was posted and, on the basis of an analogous interpretation of Section 5 of the Act on Responsibility for Electronic Bulletin Boards (</w:t>
      </w:r>
      <w:r w:rsidRPr="00EB3E93">
        <w:rPr>
          <w:i/>
          <w:lang w:val="en-GB"/>
        </w:rPr>
        <w:t xml:space="preserve">lag [1998:112] om </w:t>
      </w:r>
      <w:proofErr w:type="spellStart"/>
      <w:r w:rsidRPr="00EB3E93">
        <w:rPr>
          <w:i/>
          <w:lang w:val="en-GB"/>
        </w:rPr>
        <w:t>ansvar</w:t>
      </w:r>
      <w:proofErr w:type="spellEnd"/>
      <w:r w:rsidRPr="00EB3E93">
        <w:rPr>
          <w:i/>
          <w:lang w:val="en-GB"/>
        </w:rPr>
        <w:t xml:space="preserve"> </w:t>
      </w:r>
      <w:proofErr w:type="spellStart"/>
      <w:r w:rsidRPr="00EB3E93">
        <w:rPr>
          <w:i/>
          <w:lang w:val="en-GB"/>
        </w:rPr>
        <w:t>för</w:t>
      </w:r>
      <w:proofErr w:type="spellEnd"/>
      <w:r w:rsidRPr="00EB3E93">
        <w:rPr>
          <w:i/>
          <w:lang w:val="en-GB"/>
        </w:rPr>
        <w:t xml:space="preserve"> </w:t>
      </w:r>
      <w:proofErr w:type="spellStart"/>
      <w:r w:rsidRPr="00EB3E93">
        <w:rPr>
          <w:i/>
          <w:lang w:val="en-GB"/>
        </w:rPr>
        <w:t>elektroniska</w:t>
      </w:r>
      <w:proofErr w:type="spellEnd"/>
      <w:r w:rsidRPr="00EB3E93">
        <w:rPr>
          <w:i/>
          <w:lang w:val="en-GB"/>
        </w:rPr>
        <w:t xml:space="preserve"> </w:t>
      </w:r>
      <w:proofErr w:type="spellStart"/>
      <w:r w:rsidRPr="00EB3E93">
        <w:rPr>
          <w:i/>
          <w:lang w:val="en-GB"/>
        </w:rPr>
        <w:t>anslagstavlor</w:t>
      </w:r>
      <w:proofErr w:type="spellEnd"/>
      <w:r w:rsidRPr="00EB3E93">
        <w:rPr>
          <w:lang w:val="en-GB"/>
        </w:rPr>
        <w:t xml:space="preserve">; see paragraph 18 below), was obliged to remove the comment immediately since it was defamatory. It was unacceptable that the comment had been allowed to remain on the blog for nine days, as it had been spread and was searchable. Moreover, the applicant submitted that since it had been impossible to find the person who had written the comment </w:t>
      </w:r>
      <w:r w:rsidRPr="00EB3E93">
        <w:rPr>
          <w:rFonts w:cstheme="minorHAnsi"/>
          <w:lang w:val="en-GB"/>
        </w:rPr>
        <w:t>–</w:t>
      </w:r>
      <w:r w:rsidRPr="00EB3E93">
        <w:rPr>
          <w:lang w:val="en-GB"/>
        </w:rPr>
        <w:t xml:space="preserve"> the last trace being a French IP-address </w:t>
      </w:r>
      <w:r w:rsidRPr="00EB3E93">
        <w:rPr>
          <w:rFonts w:cstheme="minorHAnsi"/>
          <w:lang w:val="en-GB"/>
        </w:rPr>
        <w:t>–</w:t>
      </w:r>
      <w:r w:rsidRPr="00EB3E93">
        <w:rPr>
          <w:lang w:val="en-GB"/>
        </w:rPr>
        <w:t xml:space="preserve"> the association could be held responsible for failing to remove the defamatory comment immediately.</w:t>
      </w:r>
    </w:p>
    <w:p w14:paraId="4868785E" w14:textId="77777777" w:rsidR="002E32CE" w:rsidRPr="00EB3E93" w:rsidRDefault="002E32CE" w:rsidP="00EB3E93">
      <w:pPr>
        <w:pStyle w:val="ECHRPara"/>
        <w:rPr>
          <w:lang w:val="en-GB"/>
        </w:rPr>
      </w:pPr>
      <w:r w:rsidRPr="00EB3E93">
        <w:rPr>
          <w:lang w:val="en-GB"/>
        </w:rPr>
        <w:lastRenderedPageBreak/>
        <w:fldChar w:fldCharType="begin"/>
      </w:r>
      <w:r w:rsidRPr="00EB3E93">
        <w:rPr>
          <w:lang w:val="en-GB"/>
        </w:rPr>
        <w:instrText xml:space="preserve"> SEQ level0 \*arabic </w:instrText>
      </w:r>
      <w:r w:rsidRPr="00EB3E93">
        <w:rPr>
          <w:lang w:val="en-GB"/>
        </w:rPr>
        <w:fldChar w:fldCharType="separate"/>
      </w:r>
      <w:r w:rsidR="00EB3E93">
        <w:rPr>
          <w:noProof/>
          <w:lang w:val="en-GB"/>
        </w:rPr>
        <w:t>11</w:t>
      </w:r>
      <w:r w:rsidRPr="00EB3E93">
        <w:rPr>
          <w:lang w:val="en-GB"/>
        </w:rPr>
        <w:fldChar w:fldCharType="end"/>
      </w:r>
      <w:r w:rsidRPr="00EB3E93">
        <w:rPr>
          <w:lang w:val="en-GB"/>
        </w:rPr>
        <w:t>.  The association admitted that the comment constituted defamation and that it had received an email when it was published. However, it stressed that comments posted on the blog were not reviewed before they were published and it was expressly stated on the webpage that everyone was responsible for their own comments. The association was therefore not responsible for the comment. Moreover, it had not been obliged to remove the comment under the Act on Responsibility for Electronic Bulletin Boards since defamation was not one of the offences listed in the Act for which such an obligation existed.</w:t>
      </w:r>
    </w:p>
    <w:p w14:paraId="6ADE861D" w14:textId="77777777" w:rsidR="002E32CE"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12</w:t>
      </w:r>
      <w:r w:rsidRPr="00EB3E93">
        <w:rPr>
          <w:lang w:val="en-GB"/>
        </w:rPr>
        <w:fldChar w:fldCharType="end"/>
      </w:r>
      <w:r w:rsidRPr="00EB3E93">
        <w:rPr>
          <w:lang w:val="en-GB"/>
        </w:rPr>
        <w:t>.  On 11 March 2013, the District Court rejected the applicant</w:t>
      </w:r>
      <w:r w:rsidR="00EB3E93" w:rsidRPr="00EB3E93">
        <w:rPr>
          <w:lang w:val="en-GB"/>
        </w:rPr>
        <w:t>’</w:t>
      </w:r>
      <w:r w:rsidRPr="00EB3E93">
        <w:rPr>
          <w:lang w:val="en-GB"/>
        </w:rPr>
        <w:t>s claim. It found the comment constituted defamation based on the content and the context in which it had been made. However, it found no legal grounds on which to hold the association responsible for failing to remove the comment sooner than it had done. It noted that Section 5 of the Act on Responsibility for Electronic Bulletin Boards did not include defamation, for which reason the association, or its legal representative, could not be accused of defamation, either as the principal or as an accomplice, according to the Penal Code or Section 5 of the Act.</w:t>
      </w:r>
    </w:p>
    <w:p w14:paraId="75CBE9D0" w14:textId="77777777" w:rsidR="002E32CE"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13</w:t>
      </w:r>
      <w:r w:rsidRPr="00EB3E93">
        <w:rPr>
          <w:lang w:val="en-GB"/>
        </w:rPr>
        <w:fldChar w:fldCharType="end"/>
      </w:r>
      <w:r w:rsidRPr="00EB3E93">
        <w:rPr>
          <w:lang w:val="en-GB"/>
        </w:rPr>
        <w:t>.  The applicant appealed against the judgment to the Court of Appeal, which granted leave to appeal. On 28 November 2013, it upheld the District Court</w:t>
      </w:r>
      <w:r w:rsidR="00EB3E93" w:rsidRPr="00EB3E93">
        <w:rPr>
          <w:lang w:val="en-GB"/>
        </w:rPr>
        <w:t>’</w:t>
      </w:r>
      <w:r w:rsidRPr="00EB3E93">
        <w:rPr>
          <w:lang w:val="en-GB"/>
        </w:rPr>
        <w:t>s judgment in full, finding no reason to divert from the lower court</w:t>
      </w:r>
      <w:r w:rsidR="00EB3E93" w:rsidRPr="00EB3E93">
        <w:rPr>
          <w:lang w:val="en-GB"/>
        </w:rPr>
        <w:t>’</w:t>
      </w:r>
      <w:r w:rsidRPr="00EB3E93">
        <w:rPr>
          <w:lang w:val="en-GB"/>
        </w:rPr>
        <w:t>s conclusions.</w:t>
      </w:r>
    </w:p>
    <w:p w14:paraId="2AD5C454" w14:textId="77777777" w:rsidR="002E32CE"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14</w:t>
      </w:r>
      <w:r w:rsidRPr="00EB3E93">
        <w:rPr>
          <w:lang w:val="en-GB"/>
        </w:rPr>
        <w:fldChar w:fldCharType="end"/>
      </w:r>
      <w:r w:rsidRPr="00EB3E93">
        <w:rPr>
          <w:lang w:val="en-GB"/>
        </w:rPr>
        <w:t>.  On 19 March 2014 the Supreme Court (</w:t>
      </w:r>
      <w:proofErr w:type="spellStart"/>
      <w:r w:rsidRPr="00EB3E93">
        <w:rPr>
          <w:i/>
          <w:lang w:val="en-GB"/>
        </w:rPr>
        <w:t>Högsta</w:t>
      </w:r>
      <w:proofErr w:type="spellEnd"/>
      <w:r w:rsidRPr="00EB3E93">
        <w:rPr>
          <w:i/>
          <w:lang w:val="en-GB"/>
        </w:rPr>
        <w:t xml:space="preserve"> </w:t>
      </w:r>
      <w:proofErr w:type="spellStart"/>
      <w:r w:rsidRPr="00EB3E93">
        <w:rPr>
          <w:i/>
          <w:lang w:val="en-GB"/>
        </w:rPr>
        <w:t>domstolen</w:t>
      </w:r>
      <w:proofErr w:type="spellEnd"/>
      <w:r w:rsidRPr="00EB3E93">
        <w:rPr>
          <w:lang w:val="en-GB"/>
        </w:rPr>
        <w:t>) refused the applicant leave to appeal.</w:t>
      </w:r>
    </w:p>
    <w:p w14:paraId="65D9966A" w14:textId="77777777" w:rsidR="008461BF"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15</w:t>
      </w:r>
      <w:r w:rsidRPr="00EB3E93">
        <w:rPr>
          <w:lang w:val="en-GB"/>
        </w:rPr>
        <w:fldChar w:fldCharType="end"/>
      </w:r>
      <w:r w:rsidRPr="00EB3E93">
        <w:rPr>
          <w:lang w:val="en-GB"/>
        </w:rPr>
        <w:t>.  On 11 April 2014 the applicant lodged an application with the Chancellor of Justice (</w:t>
      </w:r>
      <w:proofErr w:type="spellStart"/>
      <w:r w:rsidRPr="00EB3E93">
        <w:rPr>
          <w:i/>
          <w:lang w:val="en-GB"/>
        </w:rPr>
        <w:t>Justitiekanslern</w:t>
      </w:r>
      <w:proofErr w:type="spellEnd"/>
      <w:r w:rsidRPr="00EB3E93">
        <w:rPr>
          <w:lang w:val="en-GB"/>
        </w:rPr>
        <w:t>) for payment of damages on the basis that the State had failed in its positive obligations under Article 8 of the Convention through the national courts</w:t>
      </w:r>
      <w:r w:rsidR="00EB3E93" w:rsidRPr="00EB3E93">
        <w:rPr>
          <w:lang w:val="en-GB"/>
        </w:rPr>
        <w:t>’</w:t>
      </w:r>
      <w:r w:rsidRPr="00EB3E93">
        <w:rPr>
          <w:lang w:val="en-GB"/>
        </w:rPr>
        <w:t xml:space="preserve"> decision not to hold the association responsible for the defamatory comment against him.</w:t>
      </w:r>
    </w:p>
    <w:p w14:paraId="676C60C8" w14:textId="77777777" w:rsidR="002E32CE"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16</w:t>
      </w:r>
      <w:r w:rsidRPr="00EB3E93">
        <w:rPr>
          <w:lang w:val="en-GB"/>
        </w:rPr>
        <w:fldChar w:fldCharType="end"/>
      </w:r>
      <w:r w:rsidRPr="00EB3E93">
        <w:rPr>
          <w:lang w:val="en-GB"/>
        </w:rPr>
        <w:t>.  On 25 July 2015 the Chancellor of Justice rejected the application. The Chancellor noted that protection against defamatory statements fell within the scope of Article 8 of the Convention but that, in situations like the present one, the applicant</w:t>
      </w:r>
      <w:r w:rsidR="00EB3E93" w:rsidRPr="00EB3E93">
        <w:rPr>
          <w:lang w:val="en-GB"/>
        </w:rPr>
        <w:t>’</w:t>
      </w:r>
      <w:r w:rsidRPr="00EB3E93">
        <w:rPr>
          <w:lang w:val="en-GB"/>
        </w:rPr>
        <w:t>s rights under that Article had to be balanced against the right to freedom of expression under Article 10. Referring to the Court</w:t>
      </w:r>
      <w:r w:rsidR="00EB3E93" w:rsidRPr="00EB3E93">
        <w:rPr>
          <w:lang w:val="en-GB"/>
        </w:rPr>
        <w:t>’</w:t>
      </w:r>
      <w:r w:rsidRPr="00EB3E93">
        <w:rPr>
          <w:lang w:val="en-GB"/>
        </w:rPr>
        <w:t xml:space="preserve">s reasoning in the case of </w:t>
      </w:r>
      <w:proofErr w:type="spellStart"/>
      <w:r w:rsidRPr="00EB3E93">
        <w:rPr>
          <w:i/>
          <w:lang w:val="en-GB"/>
        </w:rPr>
        <w:t>Delfi</w:t>
      </w:r>
      <w:proofErr w:type="spellEnd"/>
      <w:r w:rsidRPr="00EB3E93">
        <w:rPr>
          <w:i/>
          <w:lang w:val="en-GB"/>
        </w:rPr>
        <w:t xml:space="preserve"> AS v. Estonia</w:t>
      </w:r>
      <w:r w:rsidRPr="00EB3E93">
        <w:rPr>
          <w:lang w:val="en-GB"/>
        </w:rPr>
        <w:t xml:space="preserve"> (no. 64569/09, 10 October 2013) and noting that the case had been referred to the Grand Chamber, the Chancellor found that it could not be deduced from the Court</w:t>
      </w:r>
      <w:r w:rsidR="00EB3E93" w:rsidRPr="00EB3E93">
        <w:rPr>
          <w:lang w:val="en-GB"/>
        </w:rPr>
        <w:t>’</w:t>
      </w:r>
      <w:r w:rsidRPr="00EB3E93">
        <w:rPr>
          <w:lang w:val="en-GB"/>
        </w:rPr>
        <w:t xml:space="preserve">s case-law that there was an absolute obligation on States to have legislation in place, in each individual case, enabling the person responsible for a blog to be held accountable for comments made on it. Instead, the rights under Article 8 and Article 10 had to be balanced against each other in each individual case and, in doing so, the State had a margin of appreciation. Having regard to the above, the Chancellor found that the </w:t>
      </w:r>
      <w:r w:rsidRPr="00EB3E93">
        <w:rPr>
          <w:lang w:val="en-GB"/>
        </w:rPr>
        <w:lastRenderedPageBreak/>
        <w:t>circumstances of the case in question did not support the conclusion that Article 8 had been violated.</w:t>
      </w:r>
    </w:p>
    <w:p w14:paraId="43C9D7A9" w14:textId="77777777" w:rsidR="002E32CE" w:rsidRPr="00EB3E93" w:rsidRDefault="002E32CE" w:rsidP="00EB3E93">
      <w:pPr>
        <w:pStyle w:val="ECHRHeading2"/>
        <w:spacing w:line="276" w:lineRule="auto"/>
        <w:rPr>
          <w:lang w:val="en-GB"/>
        </w:rPr>
      </w:pPr>
      <w:r w:rsidRPr="00EB3E93">
        <w:rPr>
          <w:lang w:val="en-GB"/>
        </w:rPr>
        <w:t>B.  Relevant domestic law</w:t>
      </w:r>
    </w:p>
    <w:p w14:paraId="316343AA" w14:textId="77777777" w:rsidR="002E32CE" w:rsidRPr="00EB3E93" w:rsidRDefault="00021668" w:rsidP="00EB3E93">
      <w:pPr>
        <w:pStyle w:val="ECHRPara"/>
        <w:rPr>
          <w:lang w:val="en-GB"/>
        </w:rPr>
      </w:pPr>
      <w:r>
        <w:fldChar w:fldCharType="begin"/>
      </w:r>
      <w:r>
        <w:instrText xml:space="preserve"> SEQ level0 \*arabic </w:instrText>
      </w:r>
      <w:r>
        <w:fldChar w:fldCharType="separate"/>
      </w:r>
      <w:r w:rsidR="00EB3E93">
        <w:rPr>
          <w:noProof/>
        </w:rPr>
        <w:t>17</w:t>
      </w:r>
      <w:r>
        <w:rPr>
          <w:noProof/>
        </w:rPr>
        <w:fldChar w:fldCharType="end"/>
      </w:r>
      <w:r w:rsidR="002E32CE" w:rsidRPr="00EB3E93">
        <w:t>.  </w:t>
      </w:r>
      <w:r w:rsidR="002E32CE" w:rsidRPr="00EB3E93">
        <w:rPr>
          <w:lang w:val="en-GB"/>
        </w:rPr>
        <w:t>Defamation is criminalised under Chapter 5, Section 1 of the Penal Code (</w:t>
      </w:r>
      <w:proofErr w:type="spellStart"/>
      <w:r w:rsidR="002E32CE" w:rsidRPr="00EB3E93">
        <w:rPr>
          <w:i/>
          <w:lang w:val="en-GB"/>
        </w:rPr>
        <w:t>Brottsbalken</w:t>
      </w:r>
      <w:proofErr w:type="spellEnd"/>
      <w:r w:rsidR="002E32CE" w:rsidRPr="00EB3E93">
        <w:rPr>
          <w:i/>
          <w:lang w:val="en-GB"/>
        </w:rPr>
        <w:t>(1962:700)</w:t>
      </w:r>
      <w:r w:rsidR="002E32CE" w:rsidRPr="00EB3E93">
        <w:rPr>
          <w:lang w:val="en-GB"/>
        </w:rPr>
        <w:t>) which reads as follows:</w:t>
      </w:r>
    </w:p>
    <w:p w14:paraId="48279F5B" w14:textId="77777777" w:rsidR="002E32CE" w:rsidRPr="00EB3E93" w:rsidRDefault="002E32CE" w:rsidP="00EB3E93">
      <w:pPr>
        <w:pStyle w:val="ECHRParaQuote"/>
      </w:pPr>
      <w:r w:rsidRPr="00EB3E93">
        <w:rPr>
          <w:lang w:val="en-GB"/>
        </w:rPr>
        <w:t>“</w:t>
      </w:r>
      <w:r w:rsidRPr="00EB3E93">
        <w:t xml:space="preserve">A person who points out someone as being a criminal or as having a reprehensible way of living or otherwise furnishes information intended to cause exposure to the disrespect of others, shall be sentenced to a fine for </w:t>
      </w:r>
      <w:r w:rsidRPr="00EB3E93">
        <w:rPr>
          <w:i/>
          <w:iCs/>
        </w:rPr>
        <w:t>defamation</w:t>
      </w:r>
      <w:r w:rsidRPr="00EB3E93">
        <w:t>.</w:t>
      </w:r>
    </w:p>
    <w:p w14:paraId="331954A7" w14:textId="77777777" w:rsidR="002E32CE" w:rsidRPr="00EB3E93" w:rsidRDefault="002E32CE" w:rsidP="00EB3E93">
      <w:pPr>
        <w:pStyle w:val="ECHRParaQuote"/>
      </w:pPr>
      <w:r w:rsidRPr="00EB3E93">
        <w:t>If he was duty-bound to express himself or if, considering the circumstances, the furnishing of information on the matter was defensible, or if he can show that the information was true or that he had reasonable grounds for it, no punishment shall be imposed.”</w:t>
      </w:r>
    </w:p>
    <w:p w14:paraId="6DD16867" w14:textId="77777777" w:rsidR="002E32CE" w:rsidRPr="00EB3E93" w:rsidRDefault="00021668" w:rsidP="00EB3E93">
      <w:pPr>
        <w:pStyle w:val="ECHRPara"/>
      </w:pPr>
      <w:r>
        <w:fldChar w:fldCharType="begin"/>
      </w:r>
      <w:r>
        <w:instrText xml:space="preserve"> S</w:instrText>
      </w:r>
      <w:r>
        <w:instrText xml:space="preserve">EQ level0 \*arabic </w:instrText>
      </w:r>
      <w:r>
        <w:fldChar w:fldCharType="separate"/>
      </w:r>
      <w:r w:rsidR="00EB3E93">
        <w:rPr>
          <w:noProof/>
        </w:rPr>
        <w:t>18</w:t>
      </w:r>
      <w:r>
        <w:rPr>
          <w:noProof/>
        </w:rPr>
        <w:fldChar w:fldCharType="end"/>
      </w:r>
      <w:r w:rsidR="002E32CE" w:rsidRPr="00EB3E93">
        <w:t>.  Section 5 of the Act on Responsibility for Electronic Bulletin Boards, concerning the obligation to erase certain messages, states:</w:t>
      </w:r>
    </w:p>
    <w:p w14:paraId="159F1A2D" w14:textId="77777777" w:rsidR="002E32CE" w:rsidRPr="00EB3E93" w:rsidRDefault="002E32CE" w:rsidP="00EB3E93">
      <w:pPr>
        <w:pStyle w:val="ECHRParaQuote"/>
      </w:pPr>
      <w:r w:rsidRPr="00EB3E93">
        <w:t>“If a user submits a message to an electronic bulletin board, the supplier of the service must remove the message from the service, or in some other way prevent its further dissemination, if</w:t>
      </w:r>
    </w:p>
    <w:p w14:paraId="13BBF369" w14:textId="77777777" w:rsidR="002E32CE" w:rsidRPr="00EB3E93" w:rsidRDefault="002E32CE" w:rsidP="00EB3E93">
      <w:pPr>
        <w:pStyle w:val="ECHRParaQuote"/>
      </w:pPr>
      <w:r w:rsidRPr="00EB3E93">
        <w:t>1. the message content is obviously such as is referred to in the Penal Code, Chapter 16, Section 5, about inciting rebellion, Chapter 16, Section 8, about agitation against a national ethnic group, Chapter 16, Section 10a, about child pornography crime, or Chapter 16, Section 10b, about unlawful depiction of violence, or</w:t>
      </w:r>
    </w:p>
    <w:p w14:paraId="2C75CC6D" w14:textId="77777777" w:rsidR="002E32CE" w:rsidRPr="00EB3E93" w:rsidRDefault="002E32CE" w:rsidP="00EB3E93">
      <w:pPr>
        <w:pStyle w:val="ECHRParaQuote"/>
      </w:pPr>
      <w:r w:rsidRPr="00EB3E93">
        <w:t>2. it is obvious that the user has, by submitting the message, infringed the copyright or other right protected by Section 5 of the Copyright (Artistic and Literary Works) Act (1960:729).</w:t>
      </w:r>
    </w:p>
    <w:p w14:paraId="3E303DCD" w14:textId="77777777" w:rsidR="002E32CE" w:rsidRPr="00EB3E93" w:rsidRDefault="002E32CE" w:rsidP="00EB3E93">
      <w:pPr>
        <w:pStyle w:val="ECHRParaQuote"/>
      </w:pPr>
      <w:r w:rsidRPr="00EB3E93">
        <w:t>In order to be able to fulfil the obligation under the first paragraph, the supplier is allowed to review the content of messages in the service.</w:t>
      </w:r>
    </w:p>
    <w:p w14:paraId="5BBFB0E5" w14:textId="77777777" w:rsidR="008461BF" w:rsidRPr="00EB3E93" w:rsidRDefault="002E32CE" w:rsidP="00EB3E93">
      <w:pPr>
        <w:pStyle w:val="ECHRParaQuote"/>
      </w:pPr>
      <w:r w:rsidRPr="00EB3E93">
        <w:t>The obligation under the first paragraph and the right under the second paragraph also apply to those who have been appointed by the supplier to supervise the service.”</w:t>
      </w:r>
    </w:p>
    <w:p w14:paraId="63F22FB5" w14:textId="77777777" w:rsidR="008461BF"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19</w:t>
      </w:r>
      <w:r w:rsidRPr="00EB3E93">
        <w:rPr>
          <w:lang w:val="en-GB"/>
        </w:rPr>
        <w:fldChar w:fldCharType="end"/>
      </w:r>
      <w:r w:rsidRPr="00EB3E93">
        <w:rPr>
          <w:lang w:val="en-GB"/>
        </w:rPr>
        <w:t>.  According to Section 7 of the Act, a person who intentionally or through gross negligence violates Section 5, paragraph 1, of the Act will be sentenced to a fine or a maximum of six months</w:t>
      </w:r>
      <w:r w:rsidR="00EB3E93" w:rsidRPr="00EB3E93">
        <w:rPr>
          <w:lang w:val="en-GB"/>
        </w:rPr>
        <w:t>’</w:t>
      </w:r>
      <w:r w:rsidRPr="00EB3E93">
        <w:rPr>
          <w:lang w:val="en-GB"/>
        </w:rPr>
        <w:t xml:space="preserve"> imprisonment or, if the crime is aggravated, to a maximum of two years</w:t>
      </w:r>
      <w:r w:rsidR="00EB3E93" w:rsidRPr="00EB3E93">
        <w:rPr>
          <w:lang w:val="en-GB"/>
        </w:rPr>
        <w:t>’</w:t>
      </w:r>
      <w:r w:rsidRPr="00EB3E93">
        <w:rPr>
          <w:lang w:val="en-GB"/>
        </w:rPr>
        <w:t xml:space="preserve"> imprisonment. In cases of minor violations, the person will not be held responsible. Moreover, paragraph 2 of Section 7 provides that the first paragraph will not be applied if the offence is subject to criminal liability under the Penal Code or the Copyright Act.</w:t>
      </w:r>
    </w:p>
    <w:p w14:paraId="5D1D2FE2" w14:textId="77777777" w:rsidR="008461BF"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20</w:t>
      </w:r>
      <w:r w:rsidRPr="00EB3E93">
        <w:rPr>
          <w:lang w:val="en-GB"/>
        </w:rPr>
        <w:fldChar w:fldCharType="end"/>
      </w:r>
      <w:r w:rsidRPr="00EB3E93">
        <w:rPr>
          <w:lang w:val="en-GB"/>
        </w:rPr>
        <w:t>.  Section 4 of the Act states that, in order to be able to fulfil the obligations under Section 5 of the Act, the supplier of an electronic bulletin board must supervise such monitoring of the service as can reasonably be demanded, taking into consideration the extent and focus of the service.</w:t>
      </w:r>
    </w:p>
    <w:p w14:paraId="43C2D7FA" w14:textId="77777777" w:rsidR="002E32CE" w:rsidRPr="00EB3E93" w:rsidRDefault="002E32CE" w:rsidP="00EB3E93">
      <w:pPr>
        <w:pStyle w:val="ECHRTitle1"/>
        <w:spacing w:line="276" w:lineRule="auto"/>
        <w:rPr>
          <w:lang w:val="en-GB"/>
        </w:rPr>
      </w:pPr>
      <w:r w:rsidRPr="00EB3E93">
        <w:rPr>
          <w:lang w:val="en-GB"/>
        </w:rPr>
        <w:lastRenderedPageBreak/>
        <w:t>COMPLAINT</w:t>
      </w:r>
    </w:p>
    <w:p w14:paraId="24E47AB9" w14:textId="77777777" w:rsidR="002E32CE" w:rsidRPr="00EB3E93" w:rsidRDefault="002E32CE" w:rsidP="00EB3E93">
      <w:pPr>
        <w:pStyle w:val="ECHRPara"/>
        <w:rPr>
          <w:rStyle w:val="JuParaCar"/>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21</w:t>
      </w:r>
      <w:r w:rsidRPr="00EB3E93">
        <w:rPr>
          <w:lang w:val="en-GB"/>
        </w:rPr>
        <w:fldChar w:fldCharType="end"/>
      </w:r>
      <w:r w:rsidRPr="00EB3E93">
        <w:rPr>
          <w:lang w:val="en-GB"/>
        </w:rPr>
        <w:t>.  </w:t>
      </w:r>
      <w:r w:rsidRPr="00EB3E93">
        <w:rPr>
          <w:rStyle w:val="JuParaCar"/>
        </w:rPr>
        <w:t>The applicant complained under Article 8 of the Convention that the fact that Swedish legislation prevented him from holding the association responsible for the defamatory comment had violated his right to respect for his private life.</w:t>
      </w:r>
    </w:p>
    <w:p w14:paraId="6C44CA12" w14:textId="77777777" w:rsidR="002E32CE" w:rsidRPr="00EB3E93" w:rsidRDefault="002E32CE" w:rsidP="00EB3E93">
      <w:pPr>
        <w:pStyle w:val="ECHRTitle1"/>
        <w:rPr>
          <w:lang w:val="en-GB"/>
        </w:rPr>
      </w:pPr>
      <w:r w:rsidRPr="00EB3E93">
        <w:rPr>
          <w:lang w:val="en-GB"/>
        </w:rPr>
        <w:fldChar w:fldCharType="begin"/>
      </w:r>
      <w:r w:rsidRPr="00EB3E93">
        <w:rPr>
          <w:lang w:val="en-GB"/>
        </w:rPr>
        <w:instrText xml:space="preserve"> MACROBUTTON [ITMARKFactsComplaintsEnd]</w:instrText>
      </w:r>
      <w:r w:rsidRPr="00EB3E93">
        <w:rPr>
          <w:lang w:val="en-GB"/>
        </w:rPr>
        <w:fldChar w:fldCharType="end"/>
      </w:r>
      <w:r w:rsidRPr="00EB3E93">
        <w:rPr>
          <w:lang w:val="en-GB"/>
        </w:rPr>
        <w:t>THE LAW</w:t>
      </w:r>
    </w:p>
    <w:p w14:paraId="2608FD97" w14:textId="77777777" w:rsidR="002E32CE" w:rsidRPr="00EB3E93" w:rsidRDefault="002E32CE" w:rsidP="00EB3E93">
      <w:pPr>
        <w:pStyle w:val="ECHRPara"/>
        <w:rPr>
          <w:lang w:val="en-GB"/>
        </w:rPr>
      </w:pPr>
      <w:r w:rsidRPr="00EB3E93">
        <w:rPr>
          <w:lang w:val="en-GB"/>
        </w:rPr>
        <w:fldChar w:fldCharType="begin"/>
      </w:r>
      <w:r w:rsidRPr="00EB3E93">
        <w:rPr>
          <w:lang w:val="en-GB"/>
        </w:rPr>
        <w:instrText xml:space="preserve"> SEQ level0 \*arabic </w:instrText>
      </w:r>
      <w:r w:rsidRPr="00EB3E93">
        <w:rPr>
          <w:lang w:val="en-GB"/>
        </w:rPr>
        <w:fldChar w:fldCharType="separate"/>
      </w:r>
      <w:r w:rsidR="00EB3E93">
        <w:rPr>
          <w:noProof/>
          <w:lang w:val="en-GB"/>
        </w:rPr>
        <w:t>22</w:t>
      </w:r>
      <w:r w:rsidRPr="00EB3E93">
        <w:rPr>
          <w:lang w:val="en-GB"/>
        </w:rPr>
        <w:fldChar w:fldCharType="end"/>
      </w:r>
      <w:r w:rsidRPr="00EB3E93">
        <w:rPr>
          <w:lang w:val="en-GB"/>
        </w:rPr>
        <w:t>.  The applicant complained that his right to privacy had been violated, contrary to Article 8 of the Convention, which in the relevant parts, reads:</w:t>
      </w:r>
    </w:p>
    <w:p w14:paraId="41F556CF" w14:textId="77777777" w:rsidR="002E32CE" w:rsidRPr="00EB3E93" w:rsidRDefault="002E32CE" w:rsidP="00EB3E93">
      <w:pPr>
        <w:pStyle w:val="ECHRParaQuote"/>
        <w:rPr>
          <w:lang w:val="en-GB"/>
        </w:rPr>
      </w:pPr>
      <w:r w:rsidRPr="00EB3E93">
        <w:rPr>
          <w:lang w:val="en-GB"/>
        </w:rPr>
        <w:t>“1. Everyone has the right to respect for his private ... life ...</w:t>
      </w:r>
    </w:p>
    <w:p w14:paraId="7C100B94" w14:textId="77777777" w:rsidR="002E32CE" w:rsidRPr="00EB3E93" w:rsidRDefault="002E32CE" w:rsidP="00EB3E93">
      <w:pPr>
        <w:pStyle w:val="ECHRParaQuote"/>
        <w:rPr>
          <w:lang w:val="en-GB"/>
        </w:rPr>
      </w:pPr>
      <w:r w:rsidRPr="00EB3E93">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0E991871" w14:textId="77777777" w:rsidR="002E32CE" w:rsidRPr="00EB3E93" w:rsidRDefault="002E32CE" w:rsidP="00EB3E93">
      <w:pPr>
        <w:pStyle w:val="ECHRPara"/>
        <w:rPr>
          <w:rFonts w:cstheme="minorHAnsi"/>
          <w:szCs w:val="24"/>
        </w:rPr>
      </w:pPr>
      <w:r w:rsidRPr="00EB3E93">
        <w:rPr>
          <w:sz w:val="23"/>
          <w:szCs w:val="23"/>
        </w:rPr>
        <w:fldChar w:fldCharType="begin"/>
      </w:r>
      <w:r w:rsidRPr="00EB3E93">
        <w:rPr>
          <w:sz w:val="23"/>
          <w:szCs w:val="23"/>
        </w:rPr>
        <w:instrText xml:space="preserve"> SEQ level0 \*arabic </w:instrText>
      </w:r>
      <w:r w:rsidRPr="00EB3E93">
        <w:rPr>
          <w:sz w:val="23"/>
          <w:szCs w:val="23"/>
        </w:rPr>
        <w:fldChar w:fldCharType="separate"/>
      </w:r>
      <w:r w:rsidR="00EB3E93">
        <w:rPr>
          <w:noProof/>
          <w:sz w:val="23"/>
          <w:szCs w:val="23"/>
        </w:rPr>
        <w:t>23</w:t>
      </w:r>
      <w:r w:rsidRPr="00EB3E93">
        <w:rPr>
          <w:sz w:val="23"/>
          <w:szCs w:val="23"/>
        </w:rPr>
        <w:fldChar w:fldCharType="end"/>
      </w:r>
      <w:r w:rsidRPr="00EB3E93">
        <w:rPr>
          <w:sz w:val="23"/>
          <w:szCs w:val="23"/>
        </w:rPr>
        <w:t>.  </w:t>
      </w:r>
      <w:r w:rsidRPr="00EB3E93">
        <w:rPr>
          <w:rFonts w:cstheme="minorHAnsi"/>
          <w:szCs w:val="24"/>
        </w:rPr>
        <w:t>The Court reiterates that the notion of “private life” within the meaning of Article 8 of the Convention is a broad concept which extends to a number of aspects relating to personal identity, such as a person</w:t>
      </w:r>
      <w:r w:rsidR="00EB3E93" w:rsidRPr="00EB3E93">
        <w:rPr>
          <w:rFonts w:cstheme="minorHAnsi"/>
          <w:szCs w:val="24"/>
        </w:rPr>
        <w:t>’</w:t>
      </w:r>
      <w:r w:rsidRPr="00EB3E93">
        <w:rPr>
          <w:rFonts w:cstheme="minorHAnsi"/>
          <w:szCs w:val="24"/>
        </w:rPr>
        <w:t>s name or image, and furthermore includes a person</w:t>
      </w:r>
      <w:r w:rsidR="00EB3E93" w:rsidRPr="00EB3E93">
        <w:rPr>
          <w:rFonts w:cstheme="minorHAnsi"/>
          <w:szCs w:val="24"/>
        </w:rPr>
        <w:t>’</w:t>
      </w:r>
      <w:r w:rsidRPr="00EB3E93">
        <w:rPr>
          <w:rFonts w:cstheme="minorHAnsi"/>
          <w:szCs w:val="24"/>
        </w:rPr>
        <w:t xml:space="preserve">s physical and psychological integrity (see </w:t>
      </w:r>
      <w:r w:rsidRPr="00EB3E93">
        <w:rPr>
          <w:rFonts w:cstheme="minorHAnsi"/>
          <w:i/>
          <w:szCs w:val="24"/>
        </w:rPr>
        <w:t>Von Hannover v. Germany</w:t>
      </w:r>
      <w:r w:rsidRPr="00EB3E93">
        <w:rPr>
          <w:rFonts w:cstheme="minorHAnsi"/>
          <w:szCs w:val="24"/>
        </w:rPr>
        <w:t>, no. 59320/00, § 50, ECHR 2004</w:t>
      </w:r>
      <w:r w:rsidRPr="00EB3E93">
        <w:rPr>
          <w:rFonts w:ascii="MS Mincho" w:eastAsia="MS Mincho" w:hAnsi="MS Mincho" w:cs="MS Mincho"/>
          <w:szCs w:val="24"/>
        </w:rPr>
        <w:noBreakHyphen/>
      </w:r>
      <w:r w:rsidRPr="00EB3E93">
        <w:rPr>
          <w:rFonts w:cstheme="minorHAnsi"/>
          <w:szCs w:val="24"/>
        </w:rPr>
        <w:t>VI, with further references). It has also been accepted by the Court that a person</w:t>
      </w:r>
      <w:r w:rsidR="00EB3E93" w:rsidRPr="00EB3E93">
        <w:rPr>
          <w:rFonts w:cstheme="minorHAnsi"/>
          <w:szCs w:val="24"/>
        </w:rPr>
        <w:t>’</w:t>
      </w:r>
      <w:r w:rsidRPr="00EB3E93">
        <w:rPr>
          <w:rFonts w:cstheme="minorHAnsi"/>
          <w:szCs w:val="24"/>
        </w:rPr>
        <w:t xml:space="preserve">s right to protection of his or her reputation is encompassed by Article 8 as part of the right to respect for private life (see </w:t>
      </w:r>
      <w:r w:rsidRPr="00EB3E93">
        <w:rPr>
          <w:i/>
        </w:rPr>
        <w:t xml:space="preserve">Magyar </w:t>
      </w:r>
      <w:proofErr w:type="spellStart"/>
      <w:r w:rsidRPr="00EB3E93">
        <w:rPr>
          <w:i/>
        </w:rPr>
        <w:t>Tartalomszolgáltatók</w:t>
      </w:r>
      <w:proofErr w:type="spellEnd"/>
      <w:r w:rsidRPr="00EB3E93">
        <w:rPr>
          <w:i/>
        </w:rPr>
        <w:t xml:space="preserve"> </w:t>
      </w:r>
      <w:proofErr w:type="spellStart"/>
      <w:r w:rsidRPr="00EB3E93">
        <w:rPr>
          <w:i/>
        </w:rPr>
        <w:t>Egyesülete</w:t>
      </w:r>
      <w:proofErr w:type="spellEnd"/>
      <w:r w:rsidRPr="00EB3E93">
        <w:rPr>
          <w:i/>
        </w:rPr>
        <w:t xml:space="preserve"> and Index.hu </w:t>
      </w:r>
      <w:proofErr w:type="spellStart"/>
      <w:r w:rsidRPr="00EB3E93">
        <w:rPr>
          <w:i/>
        </w:rPr>
        <w:t>Zrt</w:t>
      </w:r>
      <w:proofErr w:type="spellEnd"/>
      <w:r w:rsidRPr="00EB3E93">
        <w:t xml:space="preserve"> </w:t>
      </w:r>
      <w:r w:rsidRPr="00EB3E93">
        <w:rPr>
          <w:i/>
        </w:rPr>
        <w:t>v. Hungary</w:t>
      </w:r>
      <w:r w:rsidRPr="00EB3E93">
        <w:t>, no. 22947/13</w:t>
      </w:r>
      <w:r w:rsidRPr="00EB3E93">
        <w:rPr>
          <w:snapToGrid w:val="0"/>
        </w:rPr>
        <w:t xml:space="preserve">, § 57, 2 February 2016, and </w:t>
      </w:r>
      <w:r w:rsidRPr="00EB3E93">
        <w:rPr>
          <w:rFonts w:cstheme="minorHAnsi"/>
          <w:i/>
          <w:szCs w:val="24"/>
        </w:rPr>
        <w:t>Pfeifer v. Austria</w:t>
      </w:r>
      <w:r w:rsidRPr="00EB3E93">
        <w:rPr>
          <w:rFonts w:cstheme="minorHAnsi"/>
          <w:szCs w:val="24"/>
        </w:rPr>
        <w:t>, no. 12556/03, § 35, ECHR 2007</w:t>
      </w:r>
      <w:r w:rsidRPr="00EB3E93">
        <w:rPr>
          <w:rFonts w:ascii="MS Mincho" w:eastAsia="MS Mincho" w:hAnsi="MS Mincho" w:cs="MS Mincho" w:hint="eastAsia"/>
          <w:szCs w:val="24"/>
        </w:rPr>
        <w:t>‑</w:t>
      </w:r>
      <w:r w:rsidRPr="00EB3E93">
        <w:rPr>
          <w:rFonts w:cstheme="minorHAnsi"/>
          <w:szCs w:val="24"/>
        </w:rPr>
        <w:t>XII).</w:t>
      </w:r>
    </w:p>
    <w:p w14:paraId="224B5B47" w14:textId="77777777" w:rsidR="002E32CE" w:rsidRPr="00EB3E93" w:rsidRDefault="002E32CE" w:rsidP="00EB3E93">
      <w:pPr>
        <w:pStyle w:val="ECHRPara"/>
        <w:rPr>
          <w:rFonts w:cstheme="minorHAnsi"/>
          <w:szCs w:val="24"/>
        </w:rPr>
      </w:pPr>
      <w:r w:rsidRPr="00EB3E93">
        <w:rPr>
          <w:rFonts w:cstheme="minorHAnsi"/>
          <w:szCs w:val="24"/>
        </w:rPr>
        <w:fldChar w:fldCharType="begin"/>
      </w:r>
      <w:r w:rsidRPr="00EB3E93">
        <w:rPr>
          <w:rFonts w:cstheme="minorHAnsi"/>
          <w:szCs w:val="24"/>
        </w:rPr>
        <w:instrText xml:space="preserve"> SEQ level0 \*arabic </w:instrText>
      </w:r>
      <w:r w:rsidRPr="00EB3E93">
        <w:rPr>
          <w:rFonts w:cstheme="minorHAnsi"/>
          <w:szCs w:val="24"/>
        </w:rPr>
        <w:fldChar w:fldCharType="separate"/>
      </w:r>
      <w:r w:rsidR="00EB3E93">
        <w:rPr>
          <w:rFonts w:cstheme="minorHAnsi"/>
          <w:noProof/>
          <w:szCs w:val="24"/>
        </w:rPr>
        <w:t>24</w:t>
      </w:r>
      <w:r w:rsidRPr="00EB3E93">
        <w:rPr>
          <w:rFonts w:cstheme="minorHAnsi"/>
          <w:szCs w:val="24"/>
        </w:rPr>
        <w:fldChar w:fldCharType="end"/>
      </w:r>
      <w:r w:rsidRPr="00EB3E93">
        <w:rPr>
          <w:rFonts w:cstheme="minorHAnsi"/>
          <w:szCs w:val="24"/>
        </w:rPr>
        <w:t xml:space="preserve">.  However, in order for Article 8 to come into play, the attack on personal </w:t>
      </w:r>
      <w:proofErr w:type="spellStart"/>
      <w:r w:rsidRPr="00EB3E93">
        <w:rPr>
          <w:rFonts w:cstheme="minorHAnsi"/>
          <w:szCs w:val="24"/>
        </w:rPr>
        <w:t>honour</w:t>
      </w:r>
      <w:proofErr w:type="spellEnd"/>
      <w:r w:rsidRPr="00EB3E93">
        <w:rPr>
          <w:rFonts w:cstheme="minorHAnsi"/>
          <w:szCs w:val="24"/>
        </w:rPr>
        <w:t xml:space="preserve"> and reputation must attain a certain level of seriousness and must have been carried out in a manner causing prejudice to personal enjoyment of the right to respect for private life (see </w:t>
      </w:r>
      <w:proofErr w:type="spellStart"/>
      <w:r w:rsidRPr="00EB3E93">
        <w:rPr>
          <w:i/>
          <w:lang w:val="en-GB"/>
        </w:rPr>
        <w:t>Delfi</w:t>
      </w:r>
      <w:proofErr w:type="spellEnd"/>
      <w:r w:rsidRPr="00EB3E93">
        <w:rPr>
          <w:i/>
          <w:lang w:val="en-GB"/>
        </w:rPr>
        <w:t xml:space="preserve"> AS</w:t>
      </w:r>
      <w:r w:rsidRPr="00EB3E93">
        <w:rPr>
          <w:lang w:val="en-GB"/>
        </w:rPr>
        <w:t xml:space="preserve"> </w:t>
      </w:r>
      <w:r w:rsidRPr="00EB3E93">
        <w:rPr>
          <w:i/>
          <w:lang w:val="en-GB"/>
        </w:rPr>
        <w:t xml:space="preserve">v. Estonia </w:t>
      </w:r>
      <w:r w:rsidRPr="00EB3E93">
        <w:rPr>
          <w:lang w:val="en-GB"/>
        </w:rPr>
        <w:t>[GC], no. 64569/09, § 137, ECHR 2015, and</w:t>
      </w:r>
      <w:r w:rsidRPr="00EB3E93">
        <w:rPr>
          <w:rFonts w:cstheme="minorHAnsi"/>
          <w:szCs w:val="24"/>
        </w:rPr>
        <w:t xml:space="preserve"> </w:t>
      </w:r>
      <w:r w:rsidRPr="00EB3E93">
        <w:rPr>
          <w:rFonts w:cstheme="minorHAnsi"/>
          <w:i/>
          <w:szCs w:val="24"/>
        </w:rPr>
        <w:t>Axel Springer AG v. Germany</w:t>
      </w:r>
      <w:r w:rsidRPr="00EB3E93">
        <w:rPr>
          <w:rFonts w:cstheme="minorHAnsi"/>
          <w:szCs w:val="24"/>
        </w:rPr>
        <w:t xml:space="preserve"> [GC], no. 39954/08, § 83, 7 February 2012).</w:t>
      </w:r>
    </w:p>
    <w:p w14:paraId="3FF97D6C" w14:textId="77777777" w:rsidR="002E32CE" w:rsidRPr="00EB3E93" w:rsidRDefault="002E32CE" w:rsidP="00EB3E93">
      <w:pPr>
        <w:pStyle w:val="ECHRPara"/>
        <w:rPr>
          <w:rFonts w:cstheme="minorHAnsi"/>
          <w:szCs w:val="24"/>
        </w:rPr>
      </w:pPr>
      <w:r w:rsidRPr="00EB3E93">
        <w:rPr>
          <w:rFonts w:cstheme="minorHAnsi"/>
          <w:szCs w:val="24"/>
        </w:rPr>
        <w:fldChar w:fldCharType="begin"/>
      </w:r>
      <w:r w:rsidRPr="00EB3E93">
        <w:rPr>
          <w:rFonts w:cstheme="minorHAnsi"/>
          <w:szCs w:val="24"/>
        </w:rPr>
        <w:instrText xml:space="preserve"> SEQ level0 \*arabic </w:instrText>
      </w:r>
      <w:r w:rsidRPr="00EB3E93">
        <w:rPr>
          <w:rFonts w:cstheme="minorHAnsi"/>
          <w:szCs w:val="24"/>
        </w:rPr>
        <w:fldChar w:fldCharType="separate"/>
      </w:r>
      <w:r w:rsidR="00EB3E93">
        <w:rPr>
          <w:rFonts w:cstheme="minorHAnsi"/>
          <w:noProof/>
          <w:szCs w:val="24"/>
        </w:rPr>
        <w:t>25</w:t>
      </w:r>
      <w:r w:rsidRPr="00EB3E93">
        <w:rPr>
          <w:rFonts w:cstheme="minorHAnsi"/>
          <w:szCs w:val="24"/>
        </w:rPr>
        <w:fldChar w:fldCharType="end"/>
      </w:r>
      <w:r w:rsidRPr="00EB3E93">
        <w:rPr>
          <w:rFonts w:cstheme="minorHAnsi"/>
          <w:szCs w:val="24"/>
        </w:rPr>
        <w:t xml:space="preserve">.  In the present case, the Court notes that the comment made about the applicant was found by the national courts to constitute defamation because of the context in which it had been made. While the Court considers that the comment, although offensive, certainly did not amount to hate speech or incitement to violence (contrast </w:t>
      </w:r>
      <w:proofErr w:type="spellStart"/>
      <w:r w:rsidRPr="00EB3E93">
        <w:rPr>
          <w:rFonts w:cstheme="minorHAnsi"/>
          <w:i/>
          <w:szCs w:val="24"/>
        </w:rPr>
        <w:t>Delfi</w:t>
      </w:r>
      <w:proofErr w:type="spellEnd"/>
      <w:r w:rsidRPr="00EB3E93">
        <w:rPr>
          <w:rFonts w:cstheme="minorHAnsi"/>
          <w:i/>
          <w:szCs w:val="24"/>
        </w:rPr>
        <w:t xml:space="preserve"> AS</w:t>
      </w:r>
      <w:r w:rsidRPr="00EB3E93">
        <w:rPr>
          <w:rFonts w:cstheme="minorHAnsi"/>
          <w:szCs w:val="24"/>
        </w:rPr>
        <w:t>, cited above, §§ 18, 114 and 162), it accepts the national courts</w:t>
      </w:r>
      <w:r w:rsidR="00EB3E93" w:rsidRPr="00EB3E93">
        <w:rPr>
          <w:rFonts w:cstheme="minorHAnsi"/>
          <w:szCs w:val="24"/>
        </w:rPr>
        <w:t>’</w:t>
      </w:r>
      <w:r w:rsidRPr="00EB3E93">
        <w:rPr>
          <w:rFonts w:cstheme="minorHAnsi"/>
          <w:szCs w:val="24"/>
        </w:rPr>
        <w:t xml:space="preserve"> finding and, consequently, that the comment falls within the scope of Article 8.</w:t>
      </w:r>
    </w:p>
    <w:p w14:paraId="614D6EC6" w14:textId="77777777" w:rsidR="002E32CE" w:rsidRPr="00EB3E93" w:rsidRDefault="002E32CE" w:rsidP="00EB3E93">
      <w:pPr>
        <w:pStyle w:val="ECHRPara"/>
        <w:rPr>
          <w:i/>
          <w:lang w:val="en-GB"/>
        </w:rPr>
      </w:pPr>
      <w:r w:rsidRPr="00EB3E93">
        <w:rPr>
          <w:rFonts w:cstheme="minorHAnsi"/>
          <w:szCs w:val="24"/>
        </w:rPr>
        <w:lastRenderedPageBreak/>
        <w:fldChar w:fldCharType="begin"/>
      </w:r>
      <w:r w:rsidRPr="00EB3E93">
        <w:rPr>
          <w:rFonts w:cstheme="minorHAnsi"/>
          <w:szCs w:val="24"/>
        </w:rPr>
        <w:instrText xml:space="preserve"> SEQ level0 \*arabic </w:instrText>
      </w:r>
      <w:r w:rsidRPr="00EB3E93">
        <w:rPr>
          <w:rFonts w:cstheme="minorHAnsi"/>
          <w:szCs w:val="24"/>
        </w:rPr>
        <w:fldChar w:fldCharType="separate"/>
      </w:r>
      <w:r w:rsidR="00EB3E93">
        <w:rPr>
          <w:rFonts w:cstheme="minorHAnsi"/>
          <w:noProof/>
          <w:szCs w:val="24"/>
        </w:rPr>
        <w:t>26</w:t>
      </w:r>
      <w:r w:rsidRPr="00EB3E93">
        <w:rPr>
          <w:rFonts w:cstheme="minorHAnsi"/>
          <w:szCs w:val="24"/>
        </w:rPr>
        <w:fldChar w:fldCharType="end"/>
      </w:r>
      <w:r w:rsidRPr="00EB3E93">
        <w:rPr>
          <w:rFonts w:cstheme="minorHAnsi"/>
          <w:szCs w:val="24"/>
        </w:rPr>
        <w:t>.  The Court next observes that what is at issue in the present case is not an act by the State but the alleged inadequacy of the protection afforded by the domestic courts to the applicant</w:t>
      </w:r>
      <w:r w:rsidR="00EB3E93" w:rsidRPr="00EB3E93">
        <w:rPr>
          <w:rFonts w:cstheme="minorHAnsi"/>
          <w:szCs w:val="24"/>
        </w:rPr>
        <w:t>’</w:t>
      </w:r>
      <w:r w:rsidRPr="00EB3E93">
        <w:rPr>
          <w:rFonts w:cstheme="minorHAnsi"/>
          <w:szCs w:val="24"/>
        </w:rPr>
        <w:t>s private life. While the essential object of Article 8 is to protect the individual against arbitrary interference by the public authorities, it does not merely compel the State to abstain from such interference: in addition to this negative undertaking, there may be positive obligations inherent in effective respect for private or family life. These obligations may also involve the adoption of measures designed to secure respect for private life even in the sphere of the relations of individuals between themselves. The boundary between the State</w:t>
      </w:r>
      <w:r w:rsidR="00EB3E93" w:rsidRPr="00EB3E93">
        <w:rPr>
          <w:rFonts w:cstheme="minorHAnsi"/>
          <w:szCs w:val="24"/>
        </w:rPr>
        <w:t>’</w:t>
      </w:r>
      <w:r w:rsidRPr="00EB3E93">
        <w:rPr>
          <w:rFonts w:cstheme="minorHAnsi"/>
          <w:szCs w:val="24"/>
        </w:rPr>
        <w:t xml:space="preserve">s positive and negative obligations under Article 8 does not lend itself to precise definition; the applicable principles are, nonetheless, similar. In both contexts regard must be had to the fair balance that has to be struck between the relevant competing interests; and in both contexts the State enjoys a certain margin of appreciation (see </w:t>
      </w:r>
      <w:r w:rsidRPr="00EB3E93">
        <w:rPr>
          <w:i/>
          <w:lang w:val="en-GB"/>
        </w:rPr>
        <w:t xml:space="preserve">Von Hannover v. Germany (no. 2) </w:t>
      </w:r>
      <w:r w:rsidRPr="00EB3E93">
        <w:rPr>
          <w:lang w:val="en-GB"/>
        </w:rPr>
        <w:t>[GC], nos. 40660/08 and 60641/08</w:t>
      </w:r>
      <w:r w:rsidRPr="00EB3E93">
        <w:rPr>
          <w:snapToGrid w:val="0"/>
          <w:szCs w:val="24"/>
          <w:lang w:val="en-GB"/>
        </w:rPr>
        <w:t xml:space="preserve">, §§ 98-99, </w:t>
      </w:r>
      <w:r w:rsidRPr="00EB3E93">
        <w:rPr>
          <w:snapToGrid w:val="0"/>
          <w:lang w:val="en-GB"/>
        </w:rPr>
        <w:t>ECHR 2012</w:t>
      </w:r>
      <w:r w:rsidRPr="00EB3E93">
        <w:rPr>
          <w:rFonts w:cstheme="minorHAnsi"/>
          <w:szCs w:val="24"/>
        </w:rPr>
        <w:t>).</w:t>
      </w:r>
    </w:p>
    <w:p w14:paraId="729F9A43" w14:textId="77777777" w:rsidR="002E32CE" w:rsidRPr="00EB3E93" w:rsidRDefault="002E32CE" w:rsidP="00EB3E93">
      <w:pPr>
        <w:pStyle w:val="ECHRPara"/>
        <w:rPr>
          <w:rFonts w:cstheme="minorHAnsi"/>
          <w:szCs w:val="24"/>
        </w:rPr>
      </w:pPr>
      <w:r w:rsidRPr="00EB3E93">
        <w:rPr>
          <w:rFonts w:cstheme="minorHAnsi"/>
          <w:szCs w:val="24"/>
        </w:rPr>
        <w:fldChar w:fldCharType="begin"/>
      </w:r>
      <w:r w:rsidRPr="00EB3E93">
        <w:rPr>
          <w:rFonts w:cstheme="minorHAnsi"/>
          <w:szCs w:val="24"/>
        </w:rPr>
        <w:instrText xml:space="preserve"> SEQ level0 \*arabic </w:instrText>
      </w:r>
      <w:r w:rsidRPr="00EB3E93">
        <w:rPr>
          <w:rFonts w:cstheme="minorHAnsi"/>
          <w:szCs w:val="24"/>
        </w:rPr>
        <w:fldChar w:fldCharType="separate"/>
      </w:r>
      <w:r w:rsidR="00EB3E93">
        <w:rPr>
          <w:rFonts w:cstheme="minorHAnsi"/>
          <w:noProof/>
          <w:szCs w:val="24"/>
        </w:rPr>
        <w:t>27</w:t>
      </w:r>
      <w:r w:rsidRPr="00EB3E93">
        <w:rPr>
          <w:rFonts w:cstheme="minorHAnsi"/>
          <w:szCs w:val="24"/>
        </w:rPr>
        <w:fldChar w:fldCharType="end"/>
      </w:r>
      <w:r w:rsidRPr="00EB3E93">
        <w:rPr>
          <w:rFonts w:cstheme="minorHAnsi"/>
          <w:szCs w:val="24"/>
        </w:rPr>
        <w:t xml:space="preserve">.  In this respect, as concerns competing interests under Article 8 and Article 10 of the Convention, the Court has established the following, as </w:t>
      </w:r>
      <w:proofErr w:type="spellStart"/>
      <w:r w:rsidRPr="00EB3E93">
        <w:rPr>
          <w:rFonts w:cstheme="minorHAnsi"/>
          <w:szCs w:val="24"/>
        </w:rPr>
        <w:t>summarised</w:t>
      </w:r>
      <w:proofErr w:type="spellEnd"/>
      <w:r w:rsidRPr="00EB3E93">
        <w:rPr>
          <w:rFonts w:cstheme="minorHAnsi"/>
          <w:szCs w:val="24"/>
        </w:rPr>
        <w:t xml:space="preserve"> in </w:t>
      </w:r>
      <w:proofErr w:type="spellStart"/>
      <w:r w:rsidRPr="00EB3E93">
        <w:rPr>
          <w:rFonts w:cstheme="minorHAnsi"/>
          <w:i/>
          <w:szCs w:val="24"/>
        </w:rPr>
        <w:t>Delfi</w:t>
      </w:r>
      <w:proofErr w:type="spellEnd"/>
      <w:r w:rsidRPr="00EB3E93">
        <w:rPr>
          <w:rFonts w:cstheme="minorHAnsi"/>
          <w:i/>
          <w:szCs w:val="24"/>
        </w:rPr>
        <w:t xml:space="preserve"> AS</w:t>
      </w:r>
      <w:r w:rsidRPr="00EB3E93">
        <w:rPr>
          <w:rFonts w:cstheme="minorHAnsi"/>
          <w:szCs w:val="24"/>
        </w:rPr>
        <w:t xml:space="preserve"> (cited above, § 139):</w:t>
      </w:r>
    </w:p>
    <w:p w14:paraId="6FEDF19A" w14:textId="77777777" w:rsidR="002E32CE" w:rsidRPr="00EB3E93" w:rsidRDefault="002E32CE" w:rsidP="00EB3E93">
      <w:pPr>
        <w:pStyle w:val="ECHRParaQuote"/>
        <w:rPr>
          <w:szCs w:val="24"/>
        </w:rPr>
      </w:pPr>
      <w:r w:rsidRPr="00EB3E93">
        <w:rPr>
          <w:snapToGrid w:val="0"/>
          <w:lang w:val="en-GB"/>
        </w:rPr>
        <w:t xml:space="preserve">“The Court has found that, as a matter of principle, the rights guaranteed under Articles 8 and 10 deserve equal respect, and the outcome of an application should not, in principle, vary according to whether it has been lodged with the Court under Article 10 of the Convention by the publisher of an offending article or under Article 8 of the Convention by the person who has been the subject of that article. Accordingly, the margin of appreciation should in principle be the same in both cases (see </w:t>
      </w:r>
      <w:r w:rsidRPr="00EB3E93">
        <w:rPr>
          <w:i/>
          <w:lang w:val="en-GB"/>
        </w:rPr>
        <w:t>Axel Springer AG</w:t>
      </w:r>
      <w:r w:rsidRPr="00EB3E93">
        <w:rPr>
          <w:lang w:val="en-GB"/>
        </w:rPr>
        <w:t>, cited above</w:t>
      </w:r>
      <w:r w:rsidRPr="00EB3E93">
        <w:rPr>
          <w:snapToGrid w:val="0"/>
          <w:szCs w:val="24"/>
          <w:lang w:val="en-GB"/>
        </w:rPr>
        <w:t>, § 87</w:t>
      </w:r>
      <w:r w:rsidRPr="00EB3E93">
        <w:rPr>
          <w:lang w:val="en-GB"/>
        </w:rPr>
        <w:t xml:space="preserve">, and </w:t>
      </w:r>
      <w:r w:rsidRPr="00EB3E93">
        <w:rPr>
          <w:i/>
          <w:lang w:val="en-GB"/>
        </w:rPr>
        <w:t xml:space="preserve">Von Hannover v. Germany (no. 2) </w:t>
      </w:r>
      <w:r w:rsidRPr="00EB3E93">
        <w:rPr>
          <w:lang w:val="en-GB"/>
        </w:rPr>
        <w:t>[GC], nos. 40660/08 and 60641/08</w:t>
      </w:r>
      <w:r w:rsidRPr="00EB3E93">
        <w:rPr>
          <w:snapToGrid w:val="0"/>
          <w:szCs w:val="24"/>
          <w:lang w:val="en-GB"/>
        </w:rPr>
        <w:t xml:space="preserve">, § 106, </w:t>
      </w:r>
      <w:r w:rsidRPr="00EB3E93">
        <w:rPr>
          <w:snapToGrid w:val="0"/>
          <w:lang w:val="en-GB"/>
        </w:rPr>
        <w:t xml:space="preserve">ECHR 2012, </w:t>
      </w:r>
      <w:r w:rsidRPr="00EB3E93">
        <w:rPr>
          <w:lang w:val="en-GB"/>
        </w:rPr>
        <w:t xml:space="preserve">with further references to the cases of </w:t>
      </w:r>
      <w:r w:rsidRPr="00EB3E93">
        <w:rPr>
          <w:i/>
          <w:lang w:val="en-GB"/>
        </w:rPr>
        <w:t xml:space="preserve">Hachette Filipacchi </w:t>
      </w:r>
      <w:proofErr w:type="spellStart"/>
      <w:r w:rsidRPr="00EB3E93">
        <w:rPr>
          <w:i/>
          <w:lang w:val="en-GB"/>
        </w:rPr>
        <w:t>Associés</w:t>
      </w:r>
      <w:proofErr w:type="spellEnd"/>
      <w:r w:rsidRPr="00EB3E93">
        <w:rPr>
          <w:lang w:val="en-GB"/>
        </w:rPr>
        <w:t xml:space="preserve">, cited above, § 41; </w:t>
      </w:r>
      <w:proofErr w:type="spellStart"/>
      <w:r w:rsidRPr="00EB3E93">
        <w:rPr>
          <w:i/>
          <w:snapToGrid w:val="0"/>
          <w:lang w:val="en-GB"/>
        </w:rPr>
        <w:t>Timciuc</w:t>
      </w:r>
      <w:proofErr w:type="spellEnd"/>
      <w:r w:rsidRPr="00EB3E93">
        <w:rPr>
          <w:i/>
          <w:snapToGrid w:val="0"/>
          <w:lang w:val="en-GB"/>
        </w:rPr>
        <w:t xml:space="preserve"> v. Romania</w:t>
      </w:r>
      <w:r w:rsidRPr="00EB3E93">
        <w:rPr>
          <w:snapToGrid w:val="0"/>
          <w:lang w:val="en-GB"/>
        </w:rPr>
        <w:t xml:space="preserve"> (</w:t>
      </w:r>
      <w:proofErr w:type="spellStart"/>
      <w:r w:rsidRPr="00EB3E93">
        <w:rPr>
          <w:snapToGrid w:val="0"/>
          <w:lang w:val="en-GB"/>
        </w:rPr>
        <w:t>dec.</w:t>
      </w:r>
      <w:proofErr w:type="spellEnd"/>
      <w:r w:rsidRPr="00EB3E93">
        <w:rPr>
          <w:snapToGrid w:val="0"/>
          <w:lang w:val="en-GB"/>
        </w:rPr>
        <w:t>), no. 28999/03, § 144, 12 October 2010</w:t>
      </w:r>
      <w:r w:rsidRPr="00EB3E93">
        <w:rPr>
          <w:lang w:val="en-GB"/>
        </w:rPr>
        <w:t xml:space="preserve">; and </w:t>
      </w:r>
      <w:r w:rsidRPr="00EB3E93">
        <w:rPr>
          <w:i/>
          <w:lang w:val="en-GB"/>
        </w:rPr>
        <w:t>Mosley v. the United Kingdom</w:t>
      </w:r>
      <w:r w:rsidRPr="00EB3E93">
        <w:rPr>
          <w:lang w:val="en-GB"/>
        </w:rPr>
        <w:t>, no. 48009/08</w:t>
      </w:r>
      <w:r w:rsidRPr="00EB3E93">
        <w:rPr>
          <w:snapToGrid w:val="0"/>
          <w:szCs w:val="24"/>
          <w:lang w:val="en-GB"/>
        </w:rPr>
        <w:t xml:space="preserve">, § 111, 10 May 2011). </w:t>
      </w:r>
      <w:r w:rsidRPr="00EB3E93">
        <w:t>Where the balancing exercise between those two rights has been undertaken by the national authorities in conformity with the criteria laid down in the Court</w:t>
      </w:r>
      <w:r w:rsidR="00EB3E93" w:rsidRPr="00EB3E93">
        <w:t>’</w:t>
      </w:r>
      <w:r w:rsidRPr="00EB3E93">
        <w:t xml:space="preserve">s case-law, the Court would require strong reasons to substitute its view for that of the domestic courts (see </w:t>
      </w:r>
      <w:r w:rsidRPr="00EB3E93">
        <w:rPr>
          <w:i/>
          <w:lang w:val="en-GB"/>
        </w:rPr>
        <w:t>Axel Springer AG</w:t>
      </w:r>
      <w:r w:rsidRPr="00EB3E93">
        <w:rPr>
          <w:lang w:val="en-GB"/>
        </w:rPr>
        <w:t>, cited above</w:t>
      </w:r>
      <w:r w:rsidRPr="00EB3E93">
        <w:rPr>
          <w:snapToGrid w:val="0"/>
          <w:szCs w:val="24"/>
          <w:lang w:val="en-GB"/>
        </w:rPr>
        <w:t xml:space="preserve">, § 88, </w:t>
      </w:r>
      <w:r w:rsidRPr="00EB3E93">
        <w:rPr>
          <w:lang w:val="en-GB"/>
        </w:rPr>
        <w:t xml:space="preserve">and </w:t>
      </w:r>
      <w:r w:rsidRPr="00EB3E93">
        <w:rPr>
          <w:i/>
          <w:lang w:val="en-GB"/>
        </w:rPr>
        <w:t>Von Hannover (no. 2)</w:t>
      </w:r>
      <w:r w:rsidRPr="00EB3E93">
        <w:rPr>
          <w:lang w:val="en-GB"/>
        </w:rPr>
        <w:t xml:space="preserve">, cited above, </w:t>
      </w:r>
      <w:r w:rsidRPr="00EB3E93">
        <w:rPr>
          <w:lang w:val="et-EE"/>
        </w:rPr>
        <w:t>§</w:t>
      </w:r>
      <w:r w:rsidRPr="00EB3E93">
        <w:rPr>
          <w:lang w:val="en-GB"/>
        </w:rPr>
        <w:t xml:space="preserve"> 107, with further references to </w:t>
      </w:r>
      <w:r w:rsidRPr="00EB3E93">
        <w:rPr>
          <w:i/>
        </w:rPr>
        <w:t>MGN Limited</w:t>
      </w:r>
      <w:r w:rsidRPr="00EB3E93">
        <w:rPr>
          <w:snapToGrid w:val="0"/>
        </w:rPr>
        <w:t>, cited above, §§ 150 and 155</w:t>
      </w:r>
      <w:r w:rsidRPr="00EB3E93">
        <w:t>, and</w:t>
      </w:r>
      <w:r w:rsidRPr="00EB3E93">
        <w:rPr>
          <w:snapToGrid w:val="0"/>
        </w:rPr>
        <w:t xml:space="preserve"> </w:t>
      </w:r>
      <w:proofErr w:type="spellStart"/>
      <w:r w:rsidRPr="00EB3E93">
        <w:rPr>
          <w:i/>
        </w:rPr>
        <w:t>Palomo</w:t>
      </w:r>
      <w:proofErr w:type="spellEnd"/>
      <w:r w:rsidRPr="00EB3E93">
        <w:rPr>
          <w:i/>
        </w:rPr>
        <w:t xml:space="preserve"> Sánchez and Others v. Spain</w:t>
      </w:r>
      <w:r w:rsidRPr="00EB3E93">
        <w:t xml:space="preserve"> [GC], </w:t>
      </w:r>
      <w:r w:rsidRPr="00EB3E93">
        <w:rPr>
          <w:snapToGrid w:val="0"/>
        </w:rPr>
        <w:t>no</w:t>
      </w:r>
      <w:r w:rsidRPr="00EB3E93">
        <w:t>s</w:t>
      </w:r>
      <w:r w:rsidRPr="00EB3E93">
        <w:rPr>
          <w:snapToGrid w:val="0"/>
        </w:rPr>
        <w:t>.</w:t>
      </w:r>
      <w:r w:rsidRPr="00EB3E93">
        <w:t> 28955/06, 28957/06, 28959/06 and 28964/06</w:t>
      </w:r>
      <w:r w:rsidRPr="00EB3E93">
        <w:rPr>
          <w:snapToGrid w:val="0"/>
        </w:rPr>
        <w:t xml:space="preserve">, § 57, </w:t>
      </w:r>
      <w:r w:rsidRPr="00EB3E93">
        <w:t>12 September </w:t>
      </w:r>
      <w:r w:rsidRPr="00EB3E93">
        <w:rPr>
          <w:snapToGrid w:val="0"/>
        </w:rPr>
        <w:t>2011</w:t>
      </w:r>
      <w:r w:rsidRPr="00EB3E93">
        <w:t>). In other words, t</w:t>
      </w:r>
      <w:r w:rsidRPr="00EB3E93">
        <w:rPr>
          <w:snapToGrid w:val="0"/>
          <w:szCs w:val="24"/>
          <w:lang w:val="en-GB"/>
        </w:rPr>
        <w:t xml:space="preserve">here will usually be a wide margin afforded by the Court if the State is required to strike a balance between competing private interests or competing Convention rights (see </w:t>
      </w:r>
      <w:r w:rsidRPr="00EB3E93">
        <w:rPr>
          <w:i/>
          <w:szCs w:val="24"/>
          <w:lang w:val="en-GB"/>
        </w:rPr>
        <w:t>Evans v. the United Kingdom</w:t>
      </w:r>
      <w:r w:rsidRPr="00EB3E93">
        <w:rPr>
          <w:szCs w:val="24"/>
          <w:lang w:val="en-GB"/>
        </w:rPr>
        <w:t xml:space="preserve"> [GC], no. 6339/05</w:t>
      </w:r>
      <w:r w:rsidRPr="00EB3E93">
        <w:rPr>
          <w:lang w:val="en-GB"/>
        </w:rPr>
        <w:t>, § 77, ECHR 2007</w:t>
      </w:r>
      <w:r w:rsidRPr="00EB3E93">
        <w:rPr>
          <w:lang w:val="en-GB"/>
        </w:rPr>
        <w:noBreakHyphen/>
        <w:t xml:space="preserve">I; </w:t>
      </w:r>
      <w:proofErr w:type="spellStart"/>
      <w:r w:rsidRPr="00EB3E93">
        <w:rPr>
          <w:i/>
          <w:lang w:val="en-GB"/>
        </w:rPr>
        <w:t>Chassagnou</w:t>
      </w:r>
      <w:proofErr w:type="spellEnd"/>
      <w:r w:rsidRPr="00EB3E93">
        <w:rPr>
          <w:i/>
          <w:lang w:val="en-GB"/>
        </w:rPr>
        <w:t xml:space="preserve"> and Others v. France</w:t>
      </w:r>
      <w:r w:rsidRPr="00EB3E93">
        <w:rPr>
          <w:lang w:val="en-GB"/>
        </w:rPr>
        <w:t xml:space="preserve"> [GC], nos. 25088/94, 28331/95 and 28443/95, § 113, ECHR 1999</w:t>
      </w:r>
      <w:r w:rsidRPr="00EB3E93">
        <w:rPr>
          <w:lang w:val="en-GB"/>
        </w:rPr>
        <w:noBreakHyphen/>
        <w:t xml:space="preserve">III; and </w:t>
      </w:r>
      <w:r w:rsidRPr="00EB3E93">
        <w:rPr>
          <w:i/>
          <w:lang w:val="en-GB"/>
        </w:rPr>
        <w:t>Ashby Donald and Others v. France</w:t>
      </w:r>
      <w:r w:rsidRPr="00EB3E93">
        <w:rPr>
          <w:lang w:val="en-GB"/>
        </w:rPr>
        <w:t>, no. 36769/08</w:t>
      </w:r>
      <w:r w:rsidRPr="00EB3E93">
        <w:rPr>
          <w:snapToGrid w:val="0"/>
          <w:lang w:val="en-GB"/>
        </w:rPr>
        <w:t xml:space="preserve">, § 40, </w:t>
      </w:r>
      <w:r w:rsidRPr="00EB3E93">
        <w:rPr>
          <w:lang w:val="en-GB"/>
        </w:rPr>
        <w:t>10</w:t>
      </w:r>
      <w:r w:rsidRPr="00EB3E93">
        <w:rPr>
          <w:snapToGrid w:val="0"/>
          <w:lang w:val="en-GB"/>
        </w:rPr>
        <w:t xml:space="preserve"> January 2013</w:t>
      </w:r>
      <w:r w:rsidRPr="00EB3E93">
        <w:rPr>
          <w:snapToGrid w:val="0"/>
          <w:szCs w:val="24"/>
          <w:lang w:val="en-GB"/>
        </w:rPr>
        <w:t>).”</w:t>
      </w:r>
    </w:p>
    <w:p w14:paraId="165A8521" w14:textId="77777777" w:rsidR="002E32CE" w:rsidRPr="00EB3E93" w:rsidRDefault="002E32CE" w:rsidP="00EB3E93">
      <w:pPr>
        <w:pStyle w:val="ECHRPara"/>
        <w:rPr>
          <w:rFonts w:cstheme="minorHAnsi"/>
          <w:szCs w:val="24"/>
        </w:rPr>
      </w:pPr>
      <w:r w:rsidRPr="00EB3E93">
        <w:rPr>
          <w:rFonts w:cstheme="minorHAnsi"/>
          <w:szCs w:val="24"/>
        </w:rPr>
        <w:fldChar w:fldCharType="begin"/>
      </w:r>
      <w:r w:rsidRPr="00EB3E93">
        <w:rPr>
          <w:rFonts w:cstheme="minorHAnsi"/>
          <w:szCs w:val="24"/>
        </w:rPr>
        <w:instrText xml:space="preserve"> SEQ level0 \*arabic </w:instrText>
      </w:r>
      <w:r w:rsidRPr="00EB3E93">
        <w:rPr>
          <w:rFonts w:cstheme="minorHAnsi"/>
          <w:szCs w:val="24"/>
        </w:rPr>
        <w:fldChar w:fldCharType="separate"/>
      </w:r>
      <w:r w:rsidR="00EB3E93">
        <w:rPr>
          <w:rFonts w:cstheme="minorHAnsi"/>
          <w:noProof/>
          <w:szCs w:val="24"/>
        </w:rPr>
        <w:t>28</w:t>
      </w:r>
      <w:r w:rsidRPr="00EB3E93">
        <w:rPr>
          <w:rFonts w:cstheme="minorHAnsi"/>
          <w:szCs w:val="24"/>
        </w:rPr>
        <w:fldChar w:fldCharType="end"/>
      </w:r>
      <w:r w:rsidRPr="00EB3E93">
        <w:rPr>
          <w:rFonts w:cstheme="minorHAnsi"/>
          <w:szCs w:val="24"/>
        </w:rPr>
        <w:t xml:space="preserve">.  In making this assessment, the Court has also identified the following specific aspects of freedom of expression in terms of protagonists playing an intermediary role on internet, as being relevant for the concrete assessment of the interference in question: the context of the comments, the measures applied by the company in order to prevent or remove defamatory </w:t>
      </w:r>
      <w:r w:rsidRPr="00EB3E93">
        <w:rPr>
          <w:rFonts w:cstheme="minorHAnsi"/>
          <w:szCs w:val="24"/>
        </w:rPr>
        <w:lastRenderedPageBreak/>
        <w:t>comments, the liability of the actual authors of the comments as an alternative to the intermediary</w:t>
      </w:r>
      <w:r w:rsidR="00EB3E93" w:rsidRPr="00EB3E93">
        <w:rPr>
          <w:rFonts w:cstheme="minorHAnsi"/>
          <w:szCs w:val="24"/>
        </w:rPr>
        <w:t>’</w:t>
      </w:r>
      <w:r w:rsidRPr="00EB3E93">
        <w:rPr>
          <w:rFonts w:cstheme="minorHAnsi"/>
          <w:szCs w:val="24"/>
        </w:rPr>
        <w:t xml:space="preserve">s liability, and the consequences of the domestic proceedings for the company (see </w:t>
      </w:r>
      <w:r w:rsidRPr="00EB3E93">
        <w:rPr>
          <w:i/>
        </w:rPr>
        <w:t xml:space="preserve">Magyar </w:t>
      </w:r>
      <w:proofErr w:type="spellStart"/>
      <w:r w:rsidRPr="00EB3E93">
        <w:rPr>
          <w:i/>
        </w:rPr>
        <w:t>Tartalomszolgáltatók</w:t>
      </w:r>
      <w:proofErr w:type="spellEnd"/>
      <w:r w:rsidRPr="00EB3E93">
        <w:rPr>
          <w:i/>
        </w:rPr>
        <w:t xml:space="preserve"> </w:t>
      </w:r>
      <w:proofErr w:type="spellStart"/>
      <w:r w:rsidRPr="00EB3E93">
        <w:rPr>
          <w:i/>
        </w:rPr>
        <w:t>Egyesülete</w:t>
      </w:r>
      <w:proofErr w:type="spellEnd"/>
      <w:r w:rsidRPr="00EB3E93">
        <w:rPr>
          <w:i/>
        </w:rPr>
        <w:t xml:space="preserve"> and Index.hu </w:t>
      </w:r>
      <w:proofErr w:type="spellStart"/>
      <w:r w:rsidRPr="00EB3E93">
        <w:rPr>
          <w:i/>
        </w:rPr>
        <w:t>Zrt</w:t>
      </w:r>
      <w:proofErr w:type="spellEnd"/>
      <w:r w:rsidRPr="00EB3E93">
        <w:rPr>
          <w:rFonts w:cstheme="minorHAnsi"/>
          <w:szCs w:val="24"/>
        </w:rPr>
        <w:t xml:space="preserve">, cited above, § 69, with reference to </w:t>
      </w:r>
      <w:proofErr w:type="spellStart"/>
      <w:r w:rsidRPr="00EB3E93">
        <w:rPr>
          <w:rFonts w:cstheme="minorHAnsi"/>
          <w:i/>
          <w:szCs w:val="24"/>
        </w:rPr>
        <w:t>Delfi</w:t>
      </w:r>
      <w:proofErr w:type="spellEnd"/>
      <w:r w:rsidRPr="00EB3E93">
        <w:rPr>
          <w:rFonts w:cstheme="minorHAnsi"/>
          <w:i/>
          <w:szCs w:val="24"/>
        </w:rPr>
        <w:t xml:space="preserve"> AS</w:t>
      </w:r>
      <w:r w:rsidRPr="00EB3E93">
        <w:rPr>
          <w:rFonts w:cstheme="minorHAnsi"/>
          <w:szCs w:val="24"/>
        </w:rPr>
        <w:t>, cited above, §§ 142-143).</w:t>
      </w:r>
    </w:p>
    <w:p w14:paraId="29B1F0EC" w14:textId="77777777" w:rsidR="008461BF" w:rsidRPr="00EB3E93" w:rsidRDefault="002E32CE" w:rsidP="00EB3E93">
      <w:pPr>
        <w:pStyle w:val="ECHRPara"/>
        <w:rPr>
          <w:rFonts w:cstheme="minorHAnsi"/>
          <w:szCs w:val="24"/>
        </w:rPr>
      </w:pPr>
      <w:r w:rsidRPr="00EB3E93">
        <w:rPr>
          <w:rFonts w:cstheme="minorHAnsi"/>
          <w:szCs w:val="24"/>
        </w:rPr>
        <w:fldChar w:fldCharType="begin"/>
      </w:r>
      <w:r w:rsidRPr="00EB3E93">
        <w:rPr>
          <w:rFonts w:cstheme="minorHAnsi"/>
          <w:szCs w:val="24"/>
        </w:rPr>
        <w:instrText xml:space="preserve"> SEQ level0 \*arabic </w:instrText>
      </w:r>
      <w:r w:rsidRPr="00EB3E93">
        <w:rPr>
          <w:rFonts w:cstheme="minorHAnsi"/>
          <w:szCs w:val="24"/>
        </w:rPr>
        <w:fldChar w:fldCharType="separate"/>
      </w:r>
      <w:r w:rsidR="00EB3E93">
        <w:rPr>
          <w:rFonts w:cstheme="minorHAnsi"/>
          <w:noProof/>
          <w:szCs w:val="24"/>
        </w:rPr>
        <w:t>29</w:t>
      </w:r>
      <w:r w:rsidRPr="00EB3E93">
        <w:rPr>
          <w:rFonts w:cstheme="minorHAnsi"/>
          <w:szCs w:val="24"/>
        </w:rPr>
        <w:fldChar w:fldCharType="end"/>
      </w:r>
      <w:r w:rsidRPr="00EB3E93">
        <w:rPr>
          <w:rFonts w:cstheme="minorHAnsi"/>
          <w:szCs w:val="24"/>
        </w:rPr>
        <w:t>.</w:t>
      </w:r>
      <w:r w:rsidR="008461BF" w:rsidRPr="00EB3E93">
        <w:rPr>
          <w:rFonts w:cstheme="minorHAnsi"/>
          <w:szCs w:val="24"/>
        </w:rPr>
        <w:t xml:space="preserve"> </w:t>
      </w:r>
      <w:r w:rsidRPr="00EB3E93">
        <w:rPr>
          <w:rFonts w:cstheme="minorHAnsi"/>
          <w:szCs w:val="24"/>
        </w:rPr>
        <w:t>The question is thus whether, in the present case, the State has achieved a fair balance between the applicant</w:t>
      </w:r>
      <w:r w:rsidR="00EB3E93" w:rsidRPr="00EB3E93">
        <w:rPr>
          <w:rFonts w:cstheme="minorHAnsi"/>
          <w:szCs w:val="24"/>
        </w:rPr>
        <w:t>’</w:t>
      </w:r>
      <w:r w:rsidRPr="00EB3E93">
        <w:rPr>
          <w:rFonts w:cstheme="minorHAnsi"/>
          <w:szCs w:val="24"/>
        </w:rPr>
        <w:t>s right to respect for his private life under Article 8 and the association</w:t>
      </w:r>
      <w:r w:rsidR="00EB3E93" w:rsidRPr="00EB3E93">
        <w:rPr>
          <w:rFonts w:cstheme="minorHAnsi"/>
          <w:szCs w:val="24"/>
        </w:rPr>
        <w:t>’</w:t>
      </w:r>
      <w:r w:rsidRPr="00EB3E93">
        <w:rPr>
          <w:rFonts w:cstheme="minorHAnsi"/>
          <w:szCs w:val="24"/>
        </w:rPr>
        <w:t>s right to freedom of expression guaranteed by Article 10 of the Convention.</w:t>
      </w:r>
    </w:p>
    <w:p w14:paraId="2A744E79" w14:textId="77777777" w:rsidR="008461BF" w:rsidRPr="00EB3E93" w:rsidRDefault="002E32CE" w:rsidP="00EB3E93">
      <w:pPr>
        <w:pStyle w:val="ECHRPara"/>
        <w:rPr>
          <w:rFonts w:cstheme="minorHAnsi"/>
          <w:szCs w:val="24"/>
          <w:lang w:val="en-GB"/>
        </w:rPr>
      </w:pPr>
      <w:r w:rsidRPr="00EB3E93">
        <w:rPr>
          <w:rFonts w:cstheme="minorHAnsi"/>
          <w:szCs w:val="24"/>
          <w:lang w:val="en-GB"/>
        </w:rPr>
        <w:fldChar w:fldCharType="begin"/>
      </w:r>
      <w:r w:rsidRPr="00EB3E93">
        <w:rPr>
          <w:rFonts w:cstheme="minorHAnsi"/>
          <w:szCs w:val="24"/>
          <w:lang w:val="en-GB"/>
        </w:rPr>
        <w:instrText xml:space="preserve"> SEQ level0 \*arabic </w:instrText>
      </w:r>
      <w:r w:rsidRPr="00EB3E93">
        <w:rPr>
          <w:rFonts w:cstheme="minorHAnsi"/>
          <w:szCs w:val="24"/>
          <w:lang w:val="en-GB"/>
        </w:rPr>
        <w:fldChar w:fldCharType="separate"/>
      </w:r>
      <w:r w:rsidR="00EB3E93">
        <w:rPr>
          <w:rFonts w:cstheme="minorHAnsi"/>
          <w:noProof/>
          <w:szCs w:val="24"/>
          <w:lang w:val="en-GB"/>
        </w:rPr>
        <w:t>30</w:t>
      </w:r>
      <w:r w:rsidRPr="00EB3E93">
        <w:rPr>
          <w:rFonts w:cstheme="minorHAnsi"/>
          <w:szCs w:val="24"/>
          <w:lang w:val="en-GB"/>
        </w:rPr>
        <w:fldChar w:fldCharType="end"/>
      </w:r>
      <w:r w:rsidRPr="00EB3E93">
        <w:rPr>
          <w:rFonts w:cstheme="minorHAnsi"/>
          <w:szCs w:val="24"/>
          <w:lang w:val="en-GB"/>
        </w:rPr>
        <w:t>.  As regards the context of the comment, the Court notes that the underlying blog post accused the applicant, incorrectly, of being involved in a Nazi party. However, the post was removed and an apology published when the applicant notified the association of the inaccuracy of the post. The applicant sued the association in relation to this blog post before the national courts but the Court has not been informed about the outcome of these proceedings. Moreover, the Court observes that the comment about the applicant did not concern his political views and had nothing to do with the content of the blog post. It could therefore hardly have been anticipated by the association.</w:t>
      </w:r>
    </w:p>
    <w:p w14:paraId="4AF34F66" w14:textId="77777777" w:rsidR="00F96030" w:rsidRPr="00EB3E93" w:rsidRDefault="002E32CE" w:rsidP="00EB3E93">
      <w:pPr>
        <w:pStyle w:val="ECHRPara"/>
        <w:rPr>
          <w:rFonts w:cstheme="minorHAnsi"/>
          <w:szCs w:val="24"/>
        </w:rPr>
      </w:pPr>
      <w:r w:rsidRPr="00EB3E93">
        <w:rPr>
          <w:rFonts w:cstheme="minorHAnsi"/>
          <w:szCs w:val="24"/>
          <w:lang w:val="en-GB"/>
        </w:rPr>
        <w:fldChar w:fldCharType="begin"/>
      </w:r>
      <w:r w:rsidRPr="00EB3E93">
        <w:rPr>
          <w:rFonts w:cstheme="minorHAnsi"/>
          <w:szCs w:val="24"/>
          <w:lang w:val="en-GB"/>
        </w:rPr>
        <w:instrText xml:space="preserve"> SEQ level0 \*arabic </w:instrText>
      </w:r>
      <w:r w:rsidRPr="00EB3E93">
        <w:rPr>
          <w:rFonts w:cstheme="minorHAnsi"/>
          <w:szCs w:val="24"/>
          <w:lang w:val="en-GB"/>
        </w:rPr>
        <w:fldChar w:fldCharType="separate"/>
      </w:r>
      <w:r w:rsidR="00EB3E93">
        <w:rPr>
          <w:rFonts w:cstheme="minorHAnsi"/>
          <w:noProof/>
          <w:szCs w:val="24"/>
          <w:lang w:val="en-GB"/>
        </w:rPr>
        <w:t>31</w:t>
      </w:r>
      <w:r w:rsidRPr="00EB3E93">
        <w:rPr>
          <w:rFonts w:cstheme="minorHAnsi"/>
          <w:szCs w:val="24"/>
          <w:lang w:val="en-GB"/>
        </w:rPr>
        <w:fldChar w:fldCharType="end"/>
      </w:r>
      <w:r w:rsidRPr="00EB3E93">
        <w:rPr>
          <w:rFonts w:cstheme="minorHAnsi"/>
          <w:szCs w:val="24"/>
          <w:lang w:val="en-GB"/>
        </w:rPr>
        <w:t xml:space="preserve">.  In relation thereto, the Court attaches importance to the fact that the association is a small non-profit association, unknown to the wider public, and it was thus unlikely that it would attract a large number of comments or that the comment about the applicant would be widely read (contrast </w:t>
      </w:r>
      <w:proofErr w:type="spellStart"/>
      <w:r w:rsidRPr="00EB3E93">
        <w:rPr>
          <w:rFonts w:cstheme="minorHAnsi"/>
          <w:i/>
          <w:szCs w:val="24"/>
          <w:lang w:val="en-GB"/>
        </w:rPr>
        <w:t>Delfi</w:t>
      </w:r>
      <w:proofErr w:type="spellEnd"/>
      <w:r w:rsidRPr="00EB3E93">
        <w:rPr>
          <w:rFonts w:cstheme="minorHAnsi"/>
          <w:i/>
          <w:szCs w:val="24"/>
          <w:lang w:val="en-GB"/>
        </w:rPr>
        <w:t xml:space="preserve"> AS</w:t>
      </w:r>
      <w:r w:rsidRPr="00EB3E93">
        <w:rPr>
          <w:rFonts w:cstheme="minorHAnsi"/>
          <w:szCs w:val="24"/>
          <w:lang w:val="en-GB"/>
        </w:rPr>
        <w:t xml:space="preserve">, cited above, §§ 115-116). As the Court found in </w:t>
      </w:r>
      <w:r w:rsidRPr="00EB3E93">
        <w:rPr>
          <w:i/>
        </w:rPr>
        <w:t xml:space="preserve">Magyar </w:t>
      </w:r>
      <w:proofErr w:type="spellStart"/>
      <w:r w:rsidRPr="00EB3E93">
        <w:rPr>
          <w:i/>
        </w:rPr>
        <w:t>Tartalomszolgáltatók</w:t>
      </w:r>
      <w:proofErr w:type="spellEnd"/>
      <w:r w:rsidRPr="00EB3E93">
        <w:rPr>
          <w:i/>
        </w:rPr>
        <w:t xml:space="preserve"> </w:t>
      </w:r>
      <w:proofErr w:type="spellStart"/>
      <w:r w:rsidRPr="00EB3E93">
        <w:rPr>
          <w:i/>
        </w:rPr>
        <w:t>Egyesülete</w:t>
      </w:r>
      <w:proofErr w:type="spellEnd"/>
      <w:r w:rsidRPr="00EB3E93">
        <w:rPr>
          <w:i/>
        </w:rPr>
        <w:t xml:space="preserve"> and Index.hu </w:t>
      </w:r>
      <w:proofErr w:type="spellStart"/>
      <w:r w:rsidRPr="00EB3E93">
        <w:rPr>
          <w:i/>
        </w:rPr>
        <w:t>Zrt</w:t>
      </w:r>
      <w:proofErr w:type="spellEnd"/>
      <w:r w:rsidRPr="00EB3E93">
        <w:rPr>
          <w:rFonts w:cstheme="minorHAnsi"/>
          <w:szCs w:val="24"/>
        </w:rPr>
        <w:t xml:space="preserve"> (cited above, § 82), expecting the association to assume that some unfiltered comments might be in breach of the law would amount to requiring excessive and impractical forethought capable of undermining the right to impart information via internet.</w:t>
      </w:r>
    </w:p>
    <w:p w14:paraId="7339D4EB" w14:textId="77777777" w:rsidR="008461BF" w:rsidRPr="00EB3E93" w:rsidRDefault="002E32CE" w:rsidP="00EB3E93">
      <w:pPr>
        <w:pStyle w:val="ECHRPara"/>
        <w:rPr>
          <w:rFonts w:cstheme="minorHAnsi"/>
          <w:szCs w:val="24"/>
          <w:lang w:val="en-GB"/>
        </w:rPr>
      </w:pPr>
      <w:r w:rsidRPr="00EB3E93">
        <w:rPr>
          <w:rFonts w:cstheme="minorHAnsi"/>
          <w:szCs w:val="24"/>
          <w:lang w:val="en-GB"/>
        </w:rPr>
        <w:fldChar w:fldCharType="begin"/>
      </w:r>
      <w:r w:rsidRPr="00EB3E93">
        <w:rPr>
          <w:rFonts w:cstheme="minorHAnsi"/>
          <w:szCs w:val="24"/>
          <w:lang w:val="en-GB"/>
        </w:rPr>
        <w:instrText xml:space="preserve"> SEQ level0 \*arabic </w:instrText>
      </w:r>
      <w:r w:rsidRPr="00EB3E93">
        <w:rPr>
          <w:rFonts w:cstheme="minorHAnsi"/>
          <w:szCs w:val="24"/>
          <w:lang w:val="en-GB"/>
        </w:rPr>
        <w:fldChar w:fldCharType="separate"/>
      </w:r>
      <w:r w:rsidR="00EB3E93">
        <w:rPr>
          <w:rFonts w:cstheme="minorHAnsi"/>
          <w:noProof/>
          <w:szCs w:val="24"/>
          <w:lang w:val="en-GB"/>
        </w:rPr>
        <w:t>32</w:t>
      </w:r>
      <w:r w:rsidRPr="00EB3E93">
        <w:rPr>
          <w:rFonts w:cstheme="minorHAnsi"/>
          <w:szCs w:val="24"/>
          <w:lang w:val="en-GB"/>
        </w:rPr>
        <w:fldChar w:fldCharType="end"/>
      </w:r>
      <w:r w:rsidRPr="00EB3E93">
        <w:rPr>
          <w:rFonts w:cstheme="minorHAnsi"/>
          <w:szCs w:val="24"/>
          <w:lang w:val="en-GB"/>
        </w:rPr>
        <w:t xml:space="preserve">.  As regards the measures taken by the association to prevent or remove defamatory comments, the Court notes that the blog had a function through which the association was notified when comments were posted on it. However, it was clearly stated on the blog that the association did not check such comments before they were published and that commentators were responsible for their own statements. Commentators were also requested to display good manners and obey the law. Moreover, the Court observes that the association removed the blog post and the comment one day after being notified by the applicant that the post was incorrect and that he wanted the post and the comment removed. The association furthermore posted a new blog post with an explanation for the error and an apology. The comment had been on the blog for about nine days in total (contrast </w:t>
      </w:r>
      <w:proofErr w:type="spellStart"/>
      <w:r w:rsidRPr="00EB3E93">
        <w:rPr>
          <w:rFonts w:cstheme="minorHAnsi"/>
          <w:i/>
          <w:szCs w:val="24"/>
          <w:lang w:val="en-GB"/>
        </w:rPr>
        <w:t>Delfi</w:t>
      </w:r>
      <w:proofErr w:type="spellEnd"/>
      <w:r w:rsidRPr="00EB3E93">
        <w:rPr>
          <w:rFonts w:cstheme="minorHAnsi"/>
          <w:i/>
          <w:szCs w:val="24"/>
          <w:lang w:val="en-GB"/>
        </w:rPr>
        <w:t xml:space="preserve"> AS</w:t>
      </w:r>
      <w:r w:rsidRPr="00EB3E93">
        <w:rPr>
          <w:rFonts w:cstheme="minorHAnsi"/>
          <w:szCs w:val="24"/>
          <w:lang w:val="en-GB"/>
        </w:rPr>
        <w:t>, cited above, § 19, where the clearly unlawful comments were removed only about six weeks after their publication).</w:t>
      </w:r>
    </w:p>
    <w:p w14:paraId="0CAA258C" w14:textId="77777777" w:rsidR="002E32CE" w:rsidRPr="00EB3E93" w:rsidRDefault="002E32CE" w:rsidP="00EB3E93">
      <w:pPr>
        <w:pStyle w:val="ECHRPara"/>
        <w:rPr>
          <w:rFonts w:cstheme="minorHAnsi"/>
          <w:szCs w:val="24"/>
          <w:lang w:val="en-GB"/>
        </w:rPr>
      </w:pPr>
      <w:r w:rsidRPr="00EB3E93">
        <w:rPr>
          <w:rFonts w:cstheme="minorHAnsi"/>
          <w:szCs w:val="24"/>
          <w:lang w:val="en-GB"/>
        </w:rPr>
        <w:lastRenderedPageBreak/>
        <w:fldChar w:fldCharType="begin"/>
      </w:r>
      <w:r w:rsidRPr="00EB3E93">
        <w:rPr>
          <w:rFonts w:cstheme="minorHAnsi"/>
          <w:szCs w:val="24"/>
          <w:lang w:val="en-GB"/>
        </w:rPr>
        <w:instrText xml:space="preserve"> SEQ level0 \*arabic </w:instrText>
      </w:r>
      <w:r w:rsidRPr="00EB3E93">
        <w:rPr>
          <w:rFonts w:cstheme="minorHAnsi"/>
          <w:szCs w:val="24"/>
          <w:lang w:val="en-GB"/>
        </w:rPr>
        <w:fldChar w:fldCharType="separate"/>
      </w:r>
      <w:r w:rsidR="00EB3E93">
        <w:rPr>
          <w:rFonts w:cstheme="minorHAnsi"/>
          <w:noProof/>
          <w:szCs w:val="24"/>
          <w:lang w:val="en-GB"/>
        </w:rPr>
        <w:t>33</w:t>
      </w:r>
      <w:r w:rsidRPr="00EB3E93">
        <w:rPr>
          <w:rFonts w:cstheme="minorHAnsi"/>
          <w:szCs w:val="24"/>
          <w:lang w:val="en-GB"/>
        </w:rPr>
        <w:fldChar w:fldCharType="end"/>
      </w:r>
      <w:r w:rsidRPr="00EB3E93">
        <w:rPr>
          <w:rFonts w:cstheme="minorHAnsi"/>
          <w:szCs w:val="24"/>
          <w:lang w:val="en-GB"/>
        </w:rPr>
        <w:t xml:space="preserve">.  The Court also notes that, as concerns the alleged possibility of still being able to find the comment via search engines, the applicant is entitled to request that the search engines remove any such traces of the comment (see the Court of Justice of the European Union judgment of 13 May 2014, </w:t>
      </w:r>
      <w:r w:rsidRPr="00EB3E93">
        <w:rPr>
          <w:rFonts w:cstheme="minorHAnsi"/>
          <w:i/>
          <w:szCs w:val="24"/>
          <w:lang w:val="en-GB"/>
        </w:rPr>
        <w:t>Google Spain and Google</w:t>
      </w:r>
      <w:r w:rsidRPr="00EB3E93">
        <w:rPr>
          <w:rFonts w:cstheme="minorHAnsi"/>
          <w:szCs w:val="24"/>
          <w:lang w:val="en-GB"/>
        </w:rPr>
        <w:t xml:space="preserve">, no. C-131/12, </w:t>
      </w:r>
      <w:r w:rsidRPr="00EB3E93">
        <w:rPr>
          <w:rStyle w:val="outputecli"/>
        </w:rPr>
        <w:t>EU:C:2014:317</w:t>
      </w:r>
      <w:r w:rsidRPr="00EB3E93">
        <w:rPr>
          <w:rFonts w:cstheme="minorHAnsi"/>
          <w:szCs w:val="24"/>
          <w:lang w:val="en-GB"/>
        </w:rPr>
        <w:t>).</w:t>
      </w:r>
    </w:p>
    <w:p w14:paraId="766F2E2B" w14:textId="77777777" w:rsidR="002E32CE" w:rsidRPr="00EB3E93" w:rsidRDefault="002E32CE" w:rsidP="00EB3E93">
      <w:pPr>
        <w:pStyle w:val="ECHRPara"/>
        <w:rPr>
          <w:rFonts w:cstheme="minorHAnsi"/>
          <w:szCs w:val="24"/>
          <w:lang w:val="en-GB"/>
        </w:rPr>
      </w:pPr>
      <w:r w:rsidRPr="00EB3E93">
        <w:rPr>
          <w:rFonts w:cstheme="minorHAnsi"/>
          <w:szCs w:val="24"/>
          <w:lang w:val="en-GB"/>
        </w:rPr>
        <w:fldChar w:fldCharType="begin"/>
      </w:r>
      <w:r w:rsidRPr="00EB3E93">
        <w:rPr>
          <w:rFonts w:cstheme="minorHAnsi"/>
          <w:szCs w:val="24"/>
          <w:lang w:val="en-GB"/>
        </w:rPr>
        <w:instrText xml:space="preserve"> SEQ level0 \*arabic </w:instrText>
      </w:r>
      <w:r w:rsidRPr="00EB3E93">
        <w:rPr>
          <w:rFonts w:cstheme="minorHAnsi"/>
          <w:szCs w:val="24"/>
          <w:lang w:val="en-GB"/>
        </w:rPr>
        <w:fldChar w:fldCharType="separate"/>
      </w:r>
      <w:r w:rsidR="00EB3E93">
        <w:rPr>
          <w:rFonts w:cstheme="minorHAnsi"/>
          <w:noProof/>
          <w:szCs w:val="24"/>
          <w:lang w:val="en-GB"/>
        </w:rPr>
        <w:t>34</w:t>
      </w:r>
      <w:r w:rsidRPr="00EB3E93">
        <w:rPr>
          <w:rFonts w:cstheme="minorHAnsi"/>
          <w:szCs w:val="24"/>
          <w:lang w:val="en-GB"/>
        </w:rPr>
        <w:fldChar w:fldCharType="end"/>
      </w:r>
      <w:r w:rsidRPr="00EB3E93">
        <w:rPr>
          <w:rFonts w:cstheme="minorHAnsi"/>
          <w:szCs w:val="24"/>
          <w:lang w:val="en-GB"/>
        </w:rPr>
        <w:t>.  Turning to the liability of the originator of the comment, the Court observes that the applicant obtained the IP-address of the computer used to submit the comment. However, he has not stated that he took any further measures to try to obtain the identity of the author of the comment.</w:t>
      </w:r>
    </w:p>
    <w:p w14:paraId="224B1E4F" w14:textId="77777777" w:rsidR="00F96030" w:rsidRPr="00EB3E93" w:rsidRDefault="002E32CE" w:rsidP="00EB3E93">
      <w:pPr>
        <w:pStyle w:val="ECHRPara"/>
        <w:rPr>
          <w:rFonts w:cstheme="minorHAnsi"/>
          <w:szCs w:val="24"/>
          <w:lang w:val="en-GB"/>
        </w:rPr>
      </w:pPr>
      <w:r w:rsidRPr="00EB3E93">
        <w:rPr>
          <w:rFonts w:cstheme="minorHAnsi"/>
          <w:szCs w:val="24"/>
          <w:lang w:val="en-GB"/>
        </w:rPr>
        <w:fldChar w:fldCharType="begin"/>
      </w:r>
      <w:r w:rsidRPr="00EB3E93">
        <w:rPr>
          <w:rFonts w:cstheme="minorHAnsi"/>
          <w:szCs w:val="24"/>
          <w:lang w:val="en-GB"/>
        </w:rPr>
        <w:instrText xml:space="preserve"> SEQ level0 \*arabic </w:instrText>
      </w:r>
      <w:r w:rsidRPr="00EB3E93">
        <w:rPr>
          <w:rFonts w:cstheme="minorHAnsi"/>
          <w:szCs w:val="24"/>
          <w:lang w:val="en-GB"/>
        </w:rPr>
        <w:fldChar w:fldCharType="separate"/>
      </w:r>
      <w:r w:rsidR="00EB3E93">
        <w:rPr>
          <w:rFonts w:cstheme="minorHAnsi"/>
          <w:noProof/>
          <w:szCs w:val="24"/>
          <w:lang w:val="en-GB"/>
        </w:rPr>
        <w:t>35</w:t>
      </w:r>
      <w:r w:rsidRPr="00EB3E93">
        <w:rPr>
          <w:rFonts w:cstheme="minorHAnsi"/>
          <w:szCs w:val="24"/>
          <w:lang w:val="en-GB"/>
        </w:rPr>
        <w:fldChar w:fldCharType="end"/>
      </w:r>
      <w:r w:rsidRPr="00EB3E93">
        <w:rPr>
          <w:rFonts w:cstheme="minorHAnsi"/>
          <w:szCs w:val="24"/>
          <w:lang w:val="en-GB"/>
        </w:rPr>
        <w:t>.  Furthermore, since the applicant</w:t>
      </w:r>
      <w:r w:rsidR="00EB3E93" w:rsidRPr="00EB3E93">
        <w:rPr>
          <w:rFonts w:cstheme="minorHAnsi"/>
          <w:szCs w:val="24"/>
          <w:lang w:val="en-GB"/>
        </w:rPr>
        <w:t>’</w:t>
      </w:r>
      <w:r w:rsidRPr="00EB3E93">
        <w:rPr>
          <w:rFonts w:cstheme="minorHAnsi"/>
          <w:szCs w:val="24"/>
          <w:lang w:val="en-GB"/>
        </w:rPr>
        <w:t xml:space="preserve">s claim was rejected by the domestic courts, the domestic proceedings had no consequences for the association in the present case. However, the Court has previously found that liability for third-party comments may have negative consequences on the comment-related environment of an internet portal and thus a chilling effect on freedom of expression via internet. This effect could be particularly detrimental for a non-commercial website (see </w:t>
      </w:r>
      <w:r w:rsidRPr="00EB3E93">
        <w:rPr>
          <w:i/>
        </w:rPr>
        <w:t xml:space="preserve">Magyar </w:t>
      </w:r>
      <w:proofErr w:type="spellStart"/>
      <w:r w:rsidRPr="00EB3E93">
        <w:rPr>
          <w:i/>
        </w:rPr>
        <w:t>Tartalomszolgáltatók</w:t>
      </w:r>
      <w:proofErr w:type="spellEnd"/>
      <w:r w:rsidRPr="00EB3E93">
        <w:rPr>
          <w:i/>
        </w:rPr>
        <w:t xml:space="preserve"> </w:t>
      </w:r>
      <w:proofErr w:type="spellStart"/>
      <w:r w:rsidRPr="00EB3E93">
        <w:rPr>
          <w:i/>
        </w:rPr>
        <w:t>Egyesülete</w:t>
      </w:r>
      <w:proofErr w:type="spellEnd"/>
      <w:r w:rsidRPr="00EB3E93">
        <w:rPr>
          <w:i/>
        </w:rPr>
        <w:t xml:space="preserve"> and Index.hu </w:t>
      </w:r>
      <w:proofErr w:type="spellStart"/>
      <w:r w:rsidRPr="00EB3E93">
        <w:rPr>
          <w:i/>
        </w:rPr>
        <w:t>Zrt</w:t>
      </w:r>
      <w:proofErr w:type="spellEnd"/>
      <w:r w:rsidRPr="00EB3E93">
        <w:t>, cited above, § 86).</w:t>
      </w:r>
    </w:p>
    <w:p w14:paraId="36D68BC0" w14:textId="77777777" w:rsidR="002E32CE" w:rsidRPr="00EB3E93" w:rsidRDefault="002E32CE" w:rsidP="00EB3E93">
      <w:pPr>
        <w:pStyle w:val="ECHRPara"/>
        <w:rPr>
          <w:rFonts w:cstheme="minorHAnsi"/>
          <w:szCs w:val="24"/>
          <w:lang w:val="en-GB"/>
        </w:rPr>
      </w:pPr>
      <w:r w:rsidRPr="00EB3E93">
        <w:rPr>
          <w:rFonts w:cstheme="minorHAnsi"/>
          <w:szCs w:val="24"/>
          <w:lang w:val="en-GB"/>
        </w:rPr>
        <w:fldChar w:fldCharType="begin"/>
      </w:r>
      <w:r w:rsidRPr="00EB3E93">
        <w:rPr>
          <w:rFonts w:cstheme="minorHAnsi"/>
          <w:szCs w:val="24"/>
          <w:lang w:val="en-GB"/>
        </w:rPr>
        <w:instrText xml:space="preserve"> SEQ level0 \*arabic </w:instrText>
      </w:r>
      <w:r w:rsidRPr="00EB3E93">
        <w:rPr>
          <w:rFonts w:cstheme="minorHAnsi"/>
          <w:szCs w:val="24"/>
          <w:lang w:val="en-GB"/>
        </w:rPr>
        <w:fldChar w:fldCharType="separate"/>
      </w:r>
      <w:r w:rsidR="00EB3E93">
        <w:rPr>
          <w:rFonts w:cstheme="minorHAnsi"/>
          <w:noProof/>
          <w:szCs w:val="24"/>
          <w:lang w:val="en-GB"/>
        </w:rPr>
        <w:t>36</w:t>
      </w:r>
      <w:r w:rsidRPr="00EB3E93">
        <w:rPr>
          <w:rFonts w:cstheme="minorHAnsi"/>
          <w:szCs w:val="24"/>
          <w:lang w:val="en-GB"/>
        </w:rPr>
        <w:fldChar w:fldCharType="end"/>
      </w:r>
      <w:r w:rsidRPr="00EB3E93">
        <w:rPr>
          <w:rFonts w:cstheme="minorHAnsi"/>
          <w:szCs w:val="24"/>
          <w:lang w:val="en-GB"/>
        </w:rPr>
        <w:t>.  Lastly the Court notes that the applicant</w:t>
      </w:r>
      <w:r w:rsidR="00EB3E93" w:rsidRPr="00EB3E93">
        <w:rPr>
          <w:rFonts w:cstheme="minorHAnsi"/>
          <w:szCs w:val="24"/>
          <w:lang w:val="en-GB"/>
        </w:rPr>
        <w:t>’</w:t>
      </w:r>
      <w:r w:rsidRPr="00EB3E93">
        <w:rPr>
          <w:rFonts w:cstheme="minorHAnsi"/>
          <w:szCs w:val="24"/>
          <w:lang w:val="en-GB"/>
        </w:rPr>
        <w:t>s case was considered on its merits by two judicial instances at the domestic level before the Supreme Court refused leave to appeal. Moreover, the Chancellor of Justice examined that applicant</w:t>
      </w:r>
      <w:r w:rsidR="00EB3E93" w:rsidRPr="00EB3E93">
        <w:rPr>
          <w:rFonts w:cstheme="minorHAnsi"/>
          <w:szCs w:val="24"/>
          <w:lang w:val="en-GB"/>
        </w:rPr>
        <w:t>’</w:t>
      </w:r>
      <w:r w:rsidRPr="00EB3E93">
        <w:rPr>
          <w:rFonts w:cstheme="minorHAnsi"/>
          <w:szCs w:val="24"/>
          <w:lang w:val="en-GB"/>
        </w:rPr>
        <w:t>s complaint under Article 8 of the Convention, referring to the Court</w:t>
      </w:r>
      <w:r w:rsidR="00EB3E93" w:rsidRPr="00EB3E93">
        <w:rPr>
          <w:rFonts w:cstheme="minorHAnsi"/>
          <w:szCs w:val="24"/>
          <w:lang w:val="en-GB"/>
        </w:rPr>
        <w:t>’</w:t>
      </w:r>
      <w:r w:rsidRPr="00EB3E93">
        <w:rPr>
          <w:rFonts w:cstheme="minorHAnsi"/>
          <w:szCs w:val="24"/>
          <w:lang w:val="en-GB"/>
        </w:rPr>
        <w:t>s case-law and the need to balance the interests under Article 8 and Article 10 before finding that the case did not disclose a violation of the applicant</w:t>
      </w:r>
      <w:r w:rsidR="00EB3E93" w:rsidRPr="00EB3E93">
        <w:rPr>
          <w:rFonts w:cstheme="minorHAnsi"/>
          <w:szCs w:val="24"/>
          <w:lang w:val="en-GB"/>
        </w:rPr>
        <w:t>’</w:t>
      </w:r>
      <w:r w:rsidRPr="00EB3E93">
        <w:rPr>
          <w:rFonts w:cstheme="minorHAnsi"/>
          <w:szCs w:val="24"/>
          <w:lang w:val="en-GB"/>
        </w:rPr>
        <w:t>s rights under Article 8. The Court further observes that the scope of responsibility of those running blogs is regulated by domestic law and that, had the comment been of a different and more severe nature, the association could have been found responsible for not removing it sooner (see paragraphs 18-20 above).</w:t>
      </w:r>
    </w:p>
    <w:p w14:paraId="5FBC106D" w14:textId="77777777" w:rsidR="008461BF" w:rsidRPr="00EB3E93" w:rsidRDefault="002E32CE" w:rsidP="00EB3E93">
      <w:pPr>
        <w:pStyle w:val="ECHRPara"/>
        <w:rPr>
          <w:rFonts w:cstheme="minorHAnsi"/>
          <w:szCs w:val="24"/>
          <w:lang w:val="en-GB"/>
        </w:rPr>
      </w:pPr>
      <w:r w:rsidRPr="00EB3E93">
        <w:rPr>
          <w:rFonts w:cstheme="minorHAnsi"/>
          <w:szCs w:val="24"/>
          <w:lang w:val="en-GB"/>
        </w:rPr>
        <w:fldChar w:fldCharType="begin"/>
      </w:r>
      <w:r w:rsidRPr="00EB3E93">
        <w:rPr>
          <w:rFonts w:cstheme="minorHAnsi"/>
          <w:szCs w:val="24"/>
          <w:lang w:val="en-GB"/>
        </w:rPr>
        <w:instrText xml:space="preserve"> SEQ level0 \*arabic </w:instrText>
      </w:r>
      <w:r w:rsidRPr="00EB3E93">
        <w:rPr>
          <w:rFonts w:cstheme="minorHAnsi"/>
          <w:szCs w:val="24"/>
          <w:lang w:val="en-GB"/>
        </w:rPr>
        <w:fldChar w:fldCharType="separate"/>
      </w:r>
      <w:r w:rsidR="00EB3E93">
        <w:rPr>
          <w:rFonts w:cstheme="minorHAnsi"/>
          <w:noProof/>
          <w:szCs w:val="24"/>
          <w:lang w:val="en-GB"/>
        </w:rPr>
        <w:t>37</w:t>
      </w:r>
      <w:r w:rsidRPr="00EB3E93">
        <w:rPr>
          <w:rFonts w:cstheme="minorHAnsi"/>
          <w:szCs w:val="24"/>
          <w:lang w:val="en-GB"/>
        </w:rPr>
        <w:fldChar w:fldCharType="end"/>
      </w:r>
      <w:r w:rsidRPr="00EB3E93">
        <w:rPr>
          <w:rFonts w:cstheme="minorHAnsi"/>
          <w:szCs w:val="24"/>
          <w:lang w:val="en-GB"/>
        </w:rPr>
        <w:t>.  In view of the above, and especially the fact that the comment, although offensive, did not amount to hate speech or incitement to violence and was posted on a small blog run by a non-profit association which took it down the day after the applicant</w:t>
      </w:r>
      <w:r w:rsidR="00EB3E93" w:rsidRPr="00EB3E93">
        <w:rPr>
          <w:rFonts w:cstheme="minorHAnsi"/>
          <w:szCs w:val="24"/>
          <w:lang w:val="en-GB"/>
        </w:rPr>
        <w:t>’</w:t>
      </w:r>
      <w:r w:rsidRPr="00EB3E93">
        <w:rPr>
          <w:rFonts w:cstheme="minorHAnsi"/>
          <w:szCs w:val="24"/>
          <w:lang w:val="en-GB"/>
        </w:rPr>
        <w:t>s request and nine days after it had been posted, the Court finds that the domestic courts acted within their margin of appreciation and struck a fair balance between the applicant</w:t>
      </w:r>
      <w:r w:rsidR="00EB3E93" w:rsidRPr="00EB3E93">
        <w:rPr>
          <w:rFonts w:cstheme="minorHAnsi"/>
          <w:szCs w:val="24"/>
          <w:lang w:val="en-GB"/>
        </w:rPr>
        <w:t>’</w:t>
      </w:r>
      <w:r w:rsidRPr="00EB3E93">
        <w:rPr>
          <w:rFonts w:cstheme="minorHAnsi"/>
          <w:szCs w:val="24"/>
          <w:lang w:val="en-GB"/>
        </w:rPr>
        <w:t>s rights under Article 8 and the association</w:t>
      </w:r>
      <w:r w:rsidR="00EB3E93" w:rsidRPr="00EB3E93">
        <w:rPr>
          <w:rFonts w:cstheme="minorHAnsi"/>
          <w:szCs w:val="24"/>
          <w:lang w:val="en-GB"/>
        </w:rPr>
        <w:t>’</w:t>
      </w:r>
      <w:r w:rsidRPr="00EB3E93">
        <w:rPr>
          <w:rFonts w:cstheme="minorHAnsi"/>
          <w:szCs w:val="24"/>
          <w:lang w:val="en-GB"/>
        </w:rPr>
        <w:t>s opposing right to freedom of expression under Article 10.</w:t>
      </w:r>
    </w:p>
    <w:p w14:paraId="4CCF10F8" w14:textId="77777777" w:rsidR="002E32CE" w:rsidRPr="00EB3E93" w:rsidRDefault="002E32CE" w:rsidP="00EB3E93">
      <w:pPr>
        <w:pStyle w:val="ECHRPara"/>
        <w:rPr>
          <w:rFonts w:cstheme="minorHAnsi"/>
          <w:szCs w:val="24"/>
          <w:lang w:val="en-GB"/>
        </w:rPr>
      </w:pPr>
      <w:r w:rsidRPr="00EB3E93">
        <w:rPr>
          <w:rFonts w:cstheme="minorHAnsi"/>
          <w:szCs w:val="24"/>
          <w:lang w:val="en-GB"/>
        </w:rPr>
        <w:fldChar w:fldCharType="begin"/>
      </w:r>
      <w:r w:rsidRPr="00EB3E93">
        <w:rPr>
          <w:rFonts w:cstheme="minorHAnsi"/>
          <w:szCs w:val="24"/>
          <w:lang w:val="en-GB"/>
        </w:rPr>
        <w:instrText xml:space="preserve"> SEQ level0 \*arabic </w:instrText>
      </w:r>
      <w:r w:rsidRPr="00EB3E93">
        <w:rPr>
          <w:rFonts w:cstheme="minorHAnsi"/>
          <w:szCs w:val="24"/>
          <w:lang w:val="en-GB"/>
        </w:rPr>
        <w:fldChar w:fldCharType="separate"/>
      </w:r>
      <w:r w:rsidR="00EB3E93">
        <w:rPr>
          <w:rFonts w:cstheme="minorHAnsi"/>
          <w:noProof/>
          <w:szCs w:val="24"/>
          <w:lang w:val="en-GB"/>
        </w:rPr>
        <w:t>38</w:t>
      </w:r>
      <w:r w:rsidRPr="00EB3E93">
        <w:rPr>
          <w:rFonts w:cstheme="minorHAnsi"/>
          <w:szCs w:val="24"/>
          <w:lang w:val="en-GB"/>
        </w:rPr>
        <w:fldChar w:fldCharType="end"/>
      </w:r>
      <w:r w:rsidRPr="00EB3E93">
        <w:rPr>
          <w:rFonts w:cstheme="minorHAnsi"/>
          <w:szCs w:val="24"/>
          <w:lang w:val="en-GB"/>
        </w:rPr>
        <w:t>.  It follows that the application is manifestly ill-founded and must be rejected in accordance with Article 35 §§ 3 (a) and 4 of the Convention.</w:t>
      </w:r>
    </w:p>
    <w:p w14:paraId="3ECADF19" w14:textId="77777777" w:rsidR="002E32CE" w:rsidRPr="00EB3E93" w:rsidRDefault="002E32CE" w:rsidP="00EB3E93">
      <w:pPr>
        <w:pStyle w:val="JuParaLast"/>
        <w:rPr>
          <w:lang w:val="en-GB"/>
        </w:rPr>
      </w:pPr>
      <w:r w:rsidRPr="00EB3E93">
        <w:rPr>
          <w:lang w:val="en-GB"/>
        </w:rPr>
        <w:lastRenderedPageBreak/>
        <w:t>For these reasons, the Court, unanimously</w:t>
      </w:r>
      <w:r w:rsidR="008461BF" w:rsidRPr="00EB3E93">
        <w:rPr>
          <w:lang w:val="en-GB"/>
        </w:rPr>
        <w:t>,</w:t>
      </w:r>
    </w:p>
    <w:p w14:paraId="07DD963B" w14:textId="77777777" w:rsidR="002E32CE" w:rsidRPr="00EB3E93" w:rsidRDefault="002E32CE" w:rsidP="00EB3E93">
      <w:pPr>
        <w:pStyle w:val="DecList"/>
        <w:keepNext/>
        <w:keepLines/>
        <w:rPr>
          <w:lang w:val="en-GB"/>
        </w:rPr>
      </w:pPr>
      <w:r w:rsidRPr="00EB3E93">
        <w:rPr>
          <w:i/>
          <w:lang w:val="en-GB"/>
        </w:rPr>
        <w:t>Declares</w:t>
      </w:r>
      <w:r w:rsidRPr="00EB3E93">
        <w:rPr>
          <w:lang w:val="en-GB"/>
        </w:rPr>
        <w:t xml:space="preserve"> the application inadmissible.</w:t>
      </w:r>
    </w:p>
    <w:p w14:paraId="5AD9083C" w14:textId="77777777" w:rsidR="005E02D4" w:rsidRPr="00EB3E93" w:rsidRDefault="005E02D4" w:rsidP="00EB3E93">
      <w:pPr>
        <w:pStyle w:val="JuParaLast"/>
        <w:rPr>
          <w:lang w:val="en-GB"/>
        </w:rPr>
      </w:pPr>
      <w:r w:rsidRPr="00EB3E93">
        <w:rPr>
          <w:lang w:val="en-GB"/>
        </w:rPr>
        <w:t xml:space="preserve">Done in English and notified in writing on </w:t>
      </w:r>
      <w:r w:rsidR="002E32CE" w:rsidRPr="00EB3E93">
        <w:rPr>
          <w:szCs w:val="24"/>
          <w:lang w:val="en-GB"/>
        </w:rPr>
        <w:t>9 March 2017</w:t>
      </w:r>
      <w:r w:rsidRPr="00EB3E93">
        <w:rPr>
          <w:lang w:val="en-GB"/>
        </w:rPr>
        <w:t>.</w:t>
      </w:r>
    </w:p>
    <w:p w14:paraId="531DC57B" w14:textId="77777777" w:rsidR="00A85AFC" w:rsidRPr="00EB3E93" w:rsidRDefault="00A85AFC" w:rsidP="00EB3E93">
      <w:pPr>
        <w:pStyle w:val="JuSigned"/>
        <w:keepNext/>
        <w:keepLines/>
        <w:rPr>
          <w:lang w:val="en-GB"/>
        </w:rPr>
      </w:pPr>
      <w:r w:rsidRPr="00EB3E93">
        <w:rPr>
          <w:lang w:val="en-GB"/>
        </w:rPr>
        <w:tab/>
      </w:r>
      <w:r w:rsidR="002E32CE" w:rsidRPr="00EB3E93">
        <w:rPr>
          <w:lang w:val="en-GB"/>
        </w:rPr>
        <w:t>Stephen Phillips</w:t>
      </w:r>
      <w:r w:rsidRPr="00EB3E93">
        <w:rPr>
          <w:lang w:val="en-GB"/>
        </w:rPr>
        <w:tab/>
      </w:r>
      <w:proofErr w:type="spellStart"/>
      <w:r w:rsidR="002E32CE" w:rsidRPr="00EB3E93">
        <w:rPr>
          <w:lang w:val="en-GB"/>
        </w:rPr>
        <w:t>Branko</w:t>
      </w:r>
      <w:proofErr w:type="spellEnd"/>
      <w:r w:rsidR="002E32CE" w:rsidRPr="00EB3E93">
        <w:rPr>
          <w:lang w:val="en-GB"/>
        </w:rPr>
        <w:t xml:space="preserve"> </w:t>
      </w:r>
      <w:proofErr w:type="spellStart"/>
      <w:r w:rsidR="002E32CE" w:rsidRPr="00EB3E93">
        <w:rPr>
          <w:lang w:val="en-GB"/>
        </w:rPr>
        <w:t>Lubarda</w:t>
      </w:r>
      <w:proofErr w:type="spellEnd"/>
      <w:r w:rsidRPr="00EB3E93">
        <w:rPr>
          <w:lang w:val="en-GB"/>
        </w:rPr>
        <w:br/>
      </w:r>
      <w:r w:rsidRPr="00EB3E93">
        <w:rPr>
          <w:lang w:val="en-GB"/>
        </w:rPr>
        <w:tab/>
      </w:r>
      <w:r w:rsidR="002E32CE" w:rsidRPr="00EB3E93">
        <w:rPr>
          <w:iCs/>
          <w:lang w:val="en-GB"/>
        </w:rPr>
        <w:t>Registrar</w:t>
      </w:r>
      <w:r w:rsidRPr="00EB3E93">
        <w:rPr>
          <w:lang w:val="en-GB"/>
        </w:rPr>
        <w:tab/>
        <w:t>President</w:t>
      </w:r>
    </w:p>
    <w:sectPr w:rsidR="00A85AFC" w:rsidRPr="00EB3E93" w:rsidSect="005D62EF">
      <w:headerReference w:type="even" r:id="rId11"/>
      <w:headerReference w:type="default" r:id="rId12"/>
      <w:headerReference w:type="first" r:id="rId13"/>
      <w:footerReference w:type="first" r:id="rId14"/>
      <w:pgSz w:w="11906" w:h="16838" w:code="9"/>
      <w:pgMar w:top="2274" w:right="2274" w:bottom="2274" w:left="2274" w:header="1701"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4759C" w14:textId="77777777" w:rsidR="002E32CE" w:rsidRPr="0007151C" w:rsidRDefault="002E32CE" w:rsidP="00F35DE8">
      <w:pPr>
        <w:rPr>
          <w:lang w:val="en-GB"/>
        </w:rPr>
      </w:pPr>
      <w:r w:rsidRPr="0007151C">
        <w:rPr>
          <w:lang w:val="en-GB"/>
        </w:rPr>
        <w:separator/>
      </w:r>
    </w:p>
  </w:endnote>
  <w:endnote w:type="continuationSeparator" w:id="0">
    <w:p w14:paraId="24CAE2C8" w14:textId="77777777" w:rsidR="002E32CE" w:rsidRPr="0007151C" w:rsidRDefault="002E32CE" w:rsidP="00F35DE8">
      <w:pPr>
        <w:rPr>
          <w:lang w:val="en-GB"/>
        </w:rPr>
      </w:pPr>
      <w:r w:rsidRPr="0007151C">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6AB0F" w14:textId="77777777" w:rsidR="00EB3E93" w:rsidRDefault="00EB3E93" w:rsidP="00EB3E93">
    <w:pPr>
      <w:pStyle w:val="ECHRFooter"/>
      <w:jc w:val="center"/>
    </w:pPr>
    <w:r>
      <w:rPr>
        <w:noProof/>
        <w:lang w:eastAsia="ja-JP"/>
      </w:rPr>
      <w:drawing>
        <wp:inline distT="0" distB="0" distL="0" distR="0" wp14:anchorId="3FCBB3C8" wp14:editId="04BCDFCB">
          <wp:extent cx="774194" cy="621793"/>
          <wp:effectExtent l="0" t="0" r="6985" b="6985"/>
          <wp:docPr id="3" name="Picture 3" descr="R:\1_Graphics&amp;Web\1_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1_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194" cy="621793"/>
                  </a:xfrm>
                  <a:prstGeom prst="rect">
                    <a:avLst/>
                  </a:prstGeom>
                  <a:noFill/>
                  <a:ln>
                    <a:noFill/>
                  </a:ln>
                </pic:spPr>
              </pic:pic>
            </a:graphicData>
          </a:graphic>
        </wp:inline>
      </w:drawing>
    </w:r>
  </w:p>
  <w:p w14:paraId="45FD574F" w14:textId="77777777" w:rsidR="00501A79" w:rsidRPr="0007151C" w:rsidRDefault="00021668" w:rsidP="0089645F">
    <w:pPr>
      <w:pStyle w:val="Stopka"/>
      <w:jc w:val="center"/>
      <w:rPr>
        <w:sz w:val="4"/>
        <w:szCs w:val="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DD7CD" w14:textId="77777777" w:rsidR="002E32CE" w:rsidRPr="0007151C" w:rsidRDefault="002E32CE" w:rsidP="00F35DE8">
      <w:pPr>
        <w:rPr>
          <w:lang w:val="en-GB"/>
        </w:rPr>
      </w:pPr>
      <w:r w:rsidRPr="0007151C">
        <w:rPr>
          <w:lang w:val="en-GB"/>
        </w:rPr>
        <w:separator/>
      </w:r>
    </w:p>
  </w:footnote>
  <w:footnote w:type="continuationSeparator" w:id="0">
    <w:p w14:paraId="4C12C199" w14:textId="77777777" w:rsidR="002E32CE" w:rsidRPr="0007151C" w:rsidRDefault="002E32CE" w:rsidP="00F35DE8">
      <w:pPr>
        <w:rPr>
          <w:lang w:val="en-GB"/>
        </w:rPr>
      </w:pPr>
      <w:r w:rsidRPr="0007151C">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6FC5A" w14:textId="77777777" w:rsidR="00501A79" w:rsidRPr="0007151C" w:rsidRDefault="002E32CE" w:rsidP="00AB7A14">
    <w:pP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Pr>
        <w:rStyle w:val="Numerstrony"/>
        <w:noProof/>
        <w:szCs w:val="18"/>
        <w:lang w:val="en-GB"/>
      </w:rPr>
      <w:t>1</w:t>
    </w:r>
    <w:r>
      <w:rPr>
        <w:rStyle w:val="Numerstrony"/>
        <w:szCs w:val="18"/>
        <w:lang w:val="en-GB"/>
      </w:rPr>
      <w:fldChar w:fldCharType="end"/>
    </w:r>
    <w:r w:rsidR="00F35DE8" w:rsidRPr="0007151C">
      <w:rPr>
        <w:lang w:val="en-GB"/>
      </w:rPr>
      <w:tab/>
    </w:r>
    <w:r>
      <w:rPr>
        <w:lang w:val="en-GB"/>
      </w:rPr>
      <w:t>PIHL v. SWEDEN</w:t>
    </w:r>
    <w:r w:rsidR="00F35DE8" w:rsidRPr="0007151C">
      <w:rPr>
        <w:lang w:val="en-GB"/>
      </w:rPr>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EB5A8" w14:textId="77777777" w:rsidR="00501A79" w:rsidRPr="0007151C" w:rsidRDefault="00F35DE8" w:rsidP="00F35DE8">
    <w:pPr>
      <w:pStyle w:val="ECHRHeader"/>
      <w:rPr>
        <w:lang w:val="en-GB"/>
      </w:rPr>
    </w:pPr>
    <w:r w:rsidRPr="0007151C">
      <w:rPr>
        <w:lang w:val="en-GB"/>
      </w:rPr>
      <w:tab/>
    </w:r>
    <w:r w:rsidR="002E32CE">
      <w:rPr>
        <w:lang w:val="en-GB"/>
      </w:rPr>
      <w:t>PIHL v. SWEDEN</w:t>
    </w:r>
    <w:r w:rsidRPr="0007151C">
      <w:rPr>
        <w:lang w:val="en-GB"/>
      </w:rPr>
      <w:t xml:space="preserve"> DECISION</w:t>
    </w:r>
    <w:r w:rsidRPr="0007151C">
      <w:rPr>
        <w:lang w:val="en-GB"/>
      </w:rPr>
      <w:tab/>
    </w:r>
    <w:r w:rsidR="002E32CE">
      <w:rPr>
        <w:rStyle w:val="Numerstrony"/>
        <w:szCs w:val="18"/>
        <w:lang w:val="en-GB"/>
      </w:rPr>
      <w:fldChar w:fldCharType="begin"/>
    </w:r>
    <w:r w:rsidR="002E32CE">
      <w:rPr>
        <w:rStyle w:val="Numerstrony"/>
        <w:szCs w:val="18"/>
        <w:lang w:val="en-GB"/>
      </w:rPr>
      <w:instrText xml:space="preserve"> PAGE </w:instrText>
    </w:r>
    <w:r w:rsidR="002E32CE">
      <w:rPr>
        <w:rStyle w:val="Numerstrony"/>
        <w:szCs w:val="18"/>
        <w:lang w:val="en-GB"/>
      </w:rPr>
      <w:fldChar w:fldCharType="separate"/>
    </w:r>
    <w:r w:rsidR="00EB3E93">
      <w:rPr>
        <w:rStyle w:val="Numerstrony"/>
        <w:noProof/>
        <w:szCs w:val="18"/>
        <w:lang w:val="en-GB"/>
      </w:rPr>
      <w:t>2</w:t>
    </w:r>
    <w:r w:rsidR="002E32CE">
      <w:rPr>
        <w:rStyle w:val="Numerstrony"/>
        <w:szCs w:val="18"/>
        <w:lang w:val="en-G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40833" w14:textId="77777777" w:rsidR="002E32CE" w:rsidRPr="00A45145" w:rsidRDefault="002E32CE" w:rsidP="00A45145">
    <w:pPr>
      <w:jc w:val="center"/>
    </w:pPr>
    <w:r>
      <w:rPr>
        <w:noProof/>
        <w:lang w:eastAsia="ja-JP"/>
      </w:rPr>
      <w:drawing>
        <wp:inline distT="0" distB="0" distL="0" distR="0" wp14:anchorId="3A80D8FE" wp14:editId="7C1153E0">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4CB768D" w14:textId="77777777" w:rsidR="00501A79" w:rsidRPr="0007151C" w:rsidRDefault="00021668">
    <w:pPr>
      <w:pStyle w:val="Nagwek"/>
      <w:rPr>
        <w:sz w:val="4"/>
        <w:szCs w:val="4"/>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3A4766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F1CBDC6"/>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7108B296"/>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2024476E"/>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1E8C20E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9F6BEE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8EC2A0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F8159A"/>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FEE58A4"/>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EF24BFDE"/>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2F77AC4"/>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0C2047"/>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17E4EC7"/>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4"/>
  </w:num>
  <w:num w:numId="2">
    <w:abstractNumId w:val="8"/>
  </w:num>
  <w:num w:numId="3">
    <w:abstractNumId w:val="3"/>
  </w:num>
  <w:num w:numId="4">
    <w:abstractNumId w:val="11"/>
  </w:num>
  <w:num w:numId="5">
    <w:abstractNumId w:val="10"/>
  </w:num>
  <w:num w:numId="6">
    <w:abstractNumId w:val="12"/>
  </w:num>
  <w:num w:numId="7">
    <w:abstractNumId w:val="9"/>
  </w:num>
  <w:num w:numId="8">
    <w:abstractNumId w:val="7"/>
  </w:num>
  <w:num w:numId="9">
    <w:abstractNumId w:val="6"/>
  </w:num>
  <w:num w:numId="10">
    <w:abstractNumId w:val="5"/>
  </w:num>
  <w:num w:numId="11">
    <w:abstractNumId w:val="2"/>
  </w:num>
  <w:num w:numId="12">
    <w:abstractNumId w:val="1"/>
  </w:num>
  <w:num w:numId="13">
    <w:abstractNumId w:val="0"/>
  </w:num>
  <w:num w:numId="14">
    <w:abstractNumId w:val="13"/>
  </w:num>
  <w:num w:numId="1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E32CE"/>
    <w:rsid w:val="000041F8"/>
    <w:rsid w:val="000042A8"/>
    <w:rsid w:val="00004308"/>
    <w:rsid w:val="00005BF0"/>
    <w:rsid w:val="00007154"/>
    <w:rsid w:val="000103AE"/>
    <w:rsid w:val="00011D69"/>
    <w:rsid w:val="00012AD3"/>
    <w:rsid w:val="00015C2D"/>
    <w:rsid w:val="00015F00"/>
    <w:rsid w:val="00021668"/>
    <w:rsid w:val="00022C1D"/>
    <w:rsid w:val="00034987"/>
    <w:rsid w:val="00035EF6"/>
    <w:rsid w:val="0005438D"/>
    <w:rsid w:val="000602DF"/>
    <w:rsid w:val="00061B05"/>
    <w:rsid w:val="000632D5"/>
    <w:rsid w:val="000644EE"/>
    <w:rsid w:val="0007151C"/>
    <w:rsid w:val="000925AD"/>
    <w:rsid w:val="000A0ED8"/>
    <w:rsid w:val="000A24EB"/>
    <w:rsid w:val="000B6923"/>
    <w:rsid w:val="000B79D7"/>
    <w:rsid w:val="000C5F3C"/>
    <w:rsid w:val="000C6DCC"/>
    <w:rsid w:val="000D47AA"/>
    <w:rsid w:val="000D721F"/>
    <w:rsid w:val="000E069B"/>
    <w:rsid w:val="000E0E82"/>
    <w:rsid w:val="000E1DC5"/>
    <w:rsid w:val="000E223F"/>
    <w:rsid w:val="000E7D45"/>
    <w:rsid w:val="000F7851"/>
    <w:rsid w:val="00104E23"/>
    <w:rsid w:val="00111B0C"/>
    <w:rsid w:val="00120D6C"/>
    <w:rsid w:val="00121027"/>
    <w:rsid w:val="001257EC"/>
    <w:rsid w:val="00133D33"/>
    <w:rsid w:val="00134D64"/>
    <w:rsid w:val="00135A30"/>
    <w:rsid w:val="0013612C"/>
    <w:rsid w:val="00137FF6"/>
    <w:rsid w:val="00141650"/>
    <w:rsid w:val="00162A12"/>
    <w:rsid w:val="00166530"/>
    <w:rsid w:val="001832BD"/>
    <w:rsid w:val="001943B5"/>
    <w:rsid w:val="0019491D"/>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4CEF"/>
    <w:rsid w:val="002E32CE"/>
    <w:rsid w:val="002F2AF7"/>
    <w:rsid w:val="002F7E1C"/>
    <w:rsid w:val="00301A75"/>
    <w:rsid w:val="00302F70"/>
    <w:rsid w:val="0030336F"/>
    <w:rsid w:val="0030375E"/>
    <w:rsid w:val="00312A30"/>
    <w:rsid w:val="00320F72"/>
    <w:rsid w:val="0032463E"/>
    <w:rsid w:val="00326224"/>
    <w:rsid w:val="00337EE4"/>
    <w:rsid w:val="00340FFD"/>
    <w:rsid w:val="003506B1"/>
    <w:rsid w:val="00350F09"/>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56D6"/>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2EF"/>
    <w:rsid w:val="005D67A3"/>
    <w:rsid w:val="005E02D4"/>
    <w:rsid w:val="005E2988"/>
    <w:rsid w:val="005E3085"/>
    <w:rsid w:val="005F51E1"/>
    <w:rsid w:val="00611C80"/>
    <w:rsid w:val="00620692"/>
    <w:rsid w:val="006242CA"/>
    <w:rsid w:val="00627507"/>
    <w:rsid w:val="00633717"/>
    <w:rsid w:val="006344E1"/>
    <w:rsid w:val="00642E96"/>
    <w:rsid w:val="006545C4"/>
    <w:rsid w:val="00661971"/>
    <w:rsid w:val="00661CE8"/>
    <w:rsid w:val="006623D9"/>
    <w:rsid w:val="0066550C"/>
    <w:rsid w:val="006716F2"/>
    <w:rsid w:val="00682BF2"/>
    <w:rsid w:val="00684825"/>
    <w:rsid w:val="006859CE"/>
    <w:rsid w:val="00691270"/>
    <w:rsid w:val="00694BA8"/>
    <w:rsid w:val="006A037C"/>
    <w:rsid w:val="006A36F4"/>
    <w:rsid w:val="006A406F"/>
    <w:rsid w:val="006A5D3A"/>
    <w:rsid w:val="006B5F4E"/>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461BF"/>
    <w:rsid w:val="00851EF9"/>
    <w:rsid w:val="008577FD"/>
    <w:rsid w:val="00860B03"/>
    <w:rsid w:val="0086497A"/>
    <w:rsid w:val="008713A1"/>
    <w:rsid w:val="008754AB"/>
    <w:rsid w:val="0088060C"/>
    <w:rsid w:val="00893576"/>
    <w:rsid w:val="00893E73"/>
    <w:rsid w:val="008B02DC"/>
    <w:rsid w:val="008B57CE"/>
    <w:rsid w:val="008C26DE"/>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33B9F"/>
    <w:rsid w:val="00934301"/>
    <w:rsid w:val="00936CD1"/>
    <w:rsid w:val="00941747"/>
    <w:rsid w:val="00941EFB"/>
    <w:rsid w:val="00947AFB"/>
    <w:rsid w:val="00951D7D"/>
    <w:rsid w:val="009630C7"/>
    <w:rsid w:val="00972B55"/>
    <w:rsid w:val="009743B7"/>
    <w:rsid w:val="0098228B"/>
    <w:rsid w:val="009828DA"/>
    <w:rsid w:val="00985BAB"/>
    <w:rsid w:val="009B1B5F"/>
    <w:rsid w:val="009B6673"/>
    <w:rsid w:val="009C191B"/>
    <w:rsid w:val="009C2BD6"/>
    <w:rsid w:val="009E1F32"/>
    <w:rsid w:val="009E776C"/>
    <w:rsid w:val="00A045CD"/>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5AFC"/>
    <w:rsid w:val="00A865D2"/>
    <w:rsid w:val="00A94C20"/>
    <w:rsid w:val="00A96BBE"/>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3184"/>
    <w:rsid w:val="00B44E56"/>
    <w:rsid w:val="00B46543"/>
    <w:rsid w:val="00B47D33"/>
    <w:rsid w:val="00B52BE0"/>
    <w:rsid w:val="00B54133"/>
    <w:rsid w:val="00B701ED"/>
    <w:rsid w:val="00B8086C"/>
    <w:rsid w:val="00B82BB3"/>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E6ED4"/>
    <w:rsid w:val="00BF4109"/>
    <w:rsid w:val="00BF4CC3"/>
    <w:rsid w:val="00C054C7"/>
    <w:rsid w:val="00C057B5"/>
    <w:rsid w:val="00C22687"/>
    <w:rsid w:val="00C32E4D"/>
    <w:rsid w:val="00C333A0"/>
    <w:rsid w:val="00C36A81"/>
    <w:rsid w:val="00C4007C"/>
    <w:rsid w:val="00C41974"/>
    <w:rsid w:val="00C53F4A"/>
    <w:rsid w:val="00C54125"/>
    <w:rsid w:val="00C55B54"/>
    <w:rsid w:val="00C6098E"/>
    <w:rsid w:val="00C6152C"/>
    <w:rsid w:val="00C74810"/>
    <w:rsid w:val="00C90D68"/>
    <w:rsid w:val="00C939FE"/>
    <w:rsid w:val="00CA4BDA"/>
    <w:rsid w:val="00CB1F66"/>
    <w:rsid w:val="00CB2951"/>
    <w:rsid w:val="00CC7E9D"/>
    <w:rsid w:val="00CD282B"/>
    <w:rsid w:val="00CD4C35"/>
    <w:rsid w:val="00CD7369"/>
    <w:rsid w:val="00CE0B0E"/>
    <w:rsid w:val="00CE3831"/>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4A8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3E93"/>
    <w:rsid w:val="00EB447C"/>
    <w:rsid w:val="00EB7BE0"/>
    <w:rsid w:val="00EC315E"/>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35DE8"/>
    <w:rsid w:val="00F56A6F"/>
    <w:rsid w:val="00F5709C"/>
    <w:rsid w:val="00F64EF1"/>
    <w:rsid w:val="00F8765F"/>
    <w:rsid w:val="00F90767"/>
    <w:rsid w:val="00F9353D"/>
    <w:rsid w:val="00F96030"/>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A89D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B43184"/>
    <w:pPr>
      <w:jc w:val="both"/>
    </w:pPr>
    <w:rPr>
      <w:rFonts w:eastAsiaTheme="minorEastAsia"/>
      <w:sz w:val="24"/>
    </w:rPr>
  </w:style>
  <w:style w:type="paragraph" w:styleId="Nagwek1">
    <w:name w:val="heading 1"/>
    <w:basedOn w:val="Normalny"/>
    <w:next w:val="Normalny"/>
    <w:link w:val="Nagwek1Znak"/>
    <w:uiPriority w:val="99"/>
    <w:semiHidden/>
    <w:rsid w:val="00B4318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4318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4318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4318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43184"/>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B4318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43184"/>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B4318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4318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43184"/>
    <w:rPr>
      <w:rFonts w:ascii="Tahoma" w:hAnsi="Tahoma" w:cs="Tahoma"/>
      <w:sz w:val="16"/>
      <w:szCs w:val="16"/>
    </w:rPr>
  </w:style>
  <w:style w:type="character" w:customStyle="1" w:styleId="TekstdymkaZnak">
    <w:name w:val="Tekst dymka Znak"/>
    <w:basedOn w:val="Domylnaczcionkaakapitu"/>
    <w:link w:val="Tekstdymka"/>
    <w:uiPriority w:val="99"/>
    <w:semiHidden/>
    <w:rsid w:val="00B43184"/>
    <w:rPr>
      <w:rFonts w:ascii="Tahoma" w:eastAsiaTheme="minorEastAsia" w:hAnsi="Tahoma" w:cs="Tahoma"/>
      <w:sz w:val="16"/>
      <w:szCs w:val="16"/>
    </w:rPr>
  </w:style>
  <w:style w:type="character" w:styleId="Tytuksiki">
    <w:name w:val="Book Title"/>
    <w:uiPriority w:val="99"/>
    <w:semiHidden/>
    <w:qFormat/>
    <w:rsid w:val="00B43184"/>
    <w:rPr>
      <w:i/>
      <w:iCs/>
      <w:smallCaps/>
      <w:spacing w:val="5"/>
    </w:rPr>
  </w:style>
  <w:style w:type="paragraph" w:customStyle="1" w:styleId="ECHRHeader">
    <w:name w:val="ECHR_Header"/>
    <w:aliases w:val="Ju_Header"/>
    <w:basedOn w:val="Nagwek"/>
    <w:uiPriority w:val="4"/>
    <w:qFormat/>
    <w:rsid w:val="00B4318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link w:val="ECHRFooterChar"/>
    <w:uiPriority w:val="40"/>
    <w:rsid w:val="00B43184"/>
    <w:pPr>
      <w:jc w:val="left"/>
    </w:pPr>
    <w:rPr>
      <w:sz w:val="8"/>
    </w:rPr>
  </w:style>
  <w:style w:type="character" w:styleId="Pogrubienie">
    <w:name w:val="Strong"/>
    <w:uiPriority w:val="99"/>
    <w:semiHidden/>
    <w:qFormat/>
    <w:rsid w:val="00B43184"/>
    <w:rPr>
      <w:b/>
      <w:bCs/>
    </w:rPr>
  </w:style>
  <w:style w:type="paragraph" w:styleId="Bezodstpw">
    <w:name w:val="No Spacing"/>
    <w:basedOn w:val="Normalny"/>
    <w:link w:val="BezodstpwZnak"/>
    <w:semiHidden/>
    <w:qFormat/>
    <w:rsid w:val="00B43184"/>
  </w:style>
  <w:style w:type="character" w:customStyle="1" w:styleId="BezodstpwZnak">
    <w:name w:val="Bez odstępów Znak"/>
    <w:basedOn w:val="Domylnaczcionkaakapitu"/>
    <w:link w:val="Bezodstpw"/>
    <w:semiHidden/>
    <w:rsid w:val="00B43184"/>
    <w:rPr>
      <w:rFonts w:eastAsiaTheme="minorEastAsia"/>
      <w:sz w:val="24"/>
    </w:rPr>
  </w:style>
  <w:style w:type="paragraph" w:customStyle="1" w:styleId="ECHRFooterLine">
    <w:name w:val="ECHR_Footer_Line"/>
    <w:aliases w:val="Footer_Line"/>
    <w:basedOn w:val="Normalny"/>
    <w:next w:val="ECHRFooter"/>
    <w:uiPriority w:val="57"/>
    <w:semiHidden/>
    <w:rsid w:val="00B43184"/>
    <w:pPr>
      <w:pBdr>
        <w:top w:val="single" w:sz="6" w:space="1" w:color="5F5F5F"/>
      </w:pBdr>
      <w:tabs>
        <w:tab w:val="center" w:pos="4536"/>
        <w:tab w:val="right" w:pos="9696"/>
      </w:tabs>
      <w:ind w:left="-680" w:right="-680"/>
      <w:jc w:val="left"/>
    </w:pPr>
    <w:rPr>
      <w:color w:val="5F5F5F"/>
    </w:rPr>
  </w:style>
  <w:style w:type="paragraph" w:customStyle="1" w:styleId="ECHRParaQuote">
    <w:name w:val="ECHR_Para_Quote"/>
    <w:aliases w:val="Ju_Quot"/>
    <w:basedOn w:val="Normalny"/>
    <w:uiPriority w:val="14"/>
    <w:qFormat/>
    <w:rsid w:val="00B43184"/>
    <w:pPr>
      <w:spacing w:before="120" w:after="120"/>
      <w:ind w:left="425" w:firstLine="142"/>
    </w:pPr>
    <w:rPr>
      <w:sz w:val="20"/>
    </w:rPr>
  </w:style>
  <w:style w:type="paragraph" w:customStyle="1" w:styleId="JuAppQuestion">
    <w:name w:val="Ju_App_Question"/>
    <w:basedOn w:val="Normalny"/>
    <w:uiPriority w:val="5"/>
    <w:qFormat/>
    <w:rsid w:val="00B43184"/>
    <w:pPr>
      <w:numPr>
        <w:numId w:val="15"/>
      </w:numPr>
      <w:jc w:val="left"/>
    </w:pPr>
    <w:rPr>
      <w:b/>
    </w:rPr>
  </w:style>
  <w:style w:type="paragraph" w:customStyle="1" w:styleId="OpiPara">
    <w:name w:val="Opi_Para"/>
    <w:basedOn w:val="ECHRPara"/>
    <w:uiPriority w:val="46"/>
    <w:qFormat/>
    <w:rsid w:val="00B43184"/>
  </w:style>
  <w:style w:type="paragraph" w:customStyle="1" w:styleId="JuParaSub">
    <w:name w:val="Ju_Para_Sub"/>
    <w:basedOn w:val="ECHRPara"/>
    <w:uiPriority w:val="13"/>
    <w:unhideWhenUsed/>
    <w:qFormat/>
    <w:rsid w:val="00B43184"/>
    <w:pPr>
      <w:ind w:left="284"/>
    </w:pPr>
  </w:style>
  <w:style w:type="paragraph" w:customStyle="1" w:styleId="OpiParaSub">
    <w:name w:val="Opi_Para_Sub"/>
    <w:basedOn w:val="JuParaSub"/>
    <w:uiPriority w:val="47"/>
    <w:unhideWhenUsed/>
    <w:qFormat/>
    <w:rsid w:val="00B43184"/>
  </w:style>
  <w:style w:type="paragraph" w:customStyle="1" w:styleId="ECHRTitleCentre3">
    <w:name w:val="ECHR_Title_Centre_3"/>
    <w:aliases w:val="Ju_H_Article"/>
    <w:basedOn w:val="Normalny"/>
    <w:next w:val="ECHRParaQuote"/>
    <w:uiPriority w:val="27"/>
    <w:qFormat/>
    <w:rsid w:val="00B43184"/>
    <w:pPr>
      <w:keepNext/>
      <w:keepLines/>
      <w:spacing w:before="240" w:after="120"/>
      <w:jc w:val="center"/>
      <w:outlineLvl w:val="3"/>
    </w:pPr>
    <w:rPr>
      <w:rFonts w:asciiTheme="majorHAnsi" w:hAnsiTheme="majorHAnsi"/>
      <w:b/>
      <w:sz w:val="20"/>
      <w:lang w:bidi="en-US"/>
    </w:rPr>
  </w:style>
  <w:style w:type="paragraph" w:customStyle="1" w:styleId="JuTitle">
    <w:name w:val="Ju_Title"/>
    <w:basedOn w:val="Normalny"/>
    <w:next w:val="ECHRPara"/>
    <w:uiPriority w:val="3"/>
    <w:qFormat/>
    <w:rsid w:val="00B43184"/>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B43184"/>
    <w:pPr>
      <w:keepNext/>
      <w:keepLines/>
      <w:spacing w:after="240"/>
      <w:jc w:val="center"/>
      <w:outlineLvl w:val="0"/>
    </w:pPr>
    <w:rPr>
      <w:rFonts w:asciiTheme="majorHAnsi" w:hAnsiTheme="majorHAnsi"/>
      <w:sz w:val="28"/>
    </w:rPr>
  </w:style>
  <w:style w:type="paragraph" w:customStyle="1" w:styleId="OpiQuot">
    <w:name w:val="Opi_Quot"/>
    <w:basedOn w:val="ECHRParaQuote"/>
    <w:uiPriority w:val="48"/>
    <w:qFormat/>
    <w:rsid w:val="00B43184"/>
  </w:style>
  <w:style w:type="paragraph" w:customStyle="1" w:styleId="OpiQuotSub">
    <w:name w:val="Opi_Quot_Sub"/>
    <w:basedOn w:val="JuQuotSub"/>
    <w:uiPriority w:val="49"/>
    <w:qFormat/>
    <w:rsid w:val="00B43184"/>
  </w:style>
  <w:style w:type="paragraph" w:styleId="Tytu">
    <w:name w:val="Title"/>
    <w:basedOn w:val="Normalny"/>
    <w:next w:val="Normalny"/>
    <w:link w:val="TytuZnak"/>
    <w:uiPriority w:val="99"/>
    <w:semiHidden/>
    <w:qFormat/>
    <w:rsid w:val="00B4318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43184"/>
    <w:rPr>
      <w:rFonts w:asciiTheme="majorHAnsi" w:eastAsiaTheme="majorEastAsia" w:hAnsiTheme="majorHAnsi" w:cstheme="majorBidi"/>
      <w:spacing w:val="5"/>
      <w:sz w:val="52"/>
      <w:szCs w:val="52"/>
      <w:lang w:bidi="en-US"/>
    </w:rPr>
  </w:style>
  <w:style w:type="paragraph" w:customStyle="1" w:styleId="JuSigned">
    <w:name w:val="Ju_Signed"/>
    <w:basedOn w:val="Normalny"/>
    <w:next w:val="JuParaLast"/>
    <w:uiPriority w:val="32"/>
    <w:qFormat/>
    <w:rsid w:val="00B43184"/>
    <w:pPr>
      <w:tabs>
        <w:tab w:val="center" w:pos="851"/>
        <w:tab w:val="center" w:pos="6407"/>
      </w:tabs>
      <w:spacing w:before="720"/>
      <w:jc w:val="left"/>
    </w:pPr>
  </w:style>
  <w:style w:type="paragraph" w:customStyle="1" w:styleId="JuCase">
    <w:name w:val="Ju_Case"/>
    <w:basedOn w:val="Normalny"/>
    <w:next w:val="ECHRPara"/>
    <w:uiPriority w:val="10"/>
    <w:rsid w:val="00B43184"/>
    <w:pPr>
      <w:ind w:firstLine="284"/>
    </w:pPr>
    <w:rPr>
      <w:b/>
    </w:rPr>
  </w:style>
  <w:style w:type="paragraph" w:customStyle="1" w:styleId="JuQuotSub">
    <w:name w:val="Ju_Quot_Sub"/>
    <w:basedOn w:val="ECHRParaQuote"/>
    <w:uiPriority w:val="15"/>
    <w:qFormat/>
    <w:rsid w:val="00B43184"/>
    <w:pPr>
      <w:ind w:left="567"/>
    </w:pPr>
  </w:style>
  <w:style w:type="paragraph" w:customStyle="1" w:styleId="JuInitialled">
    <w:name w:val="Ju_Initialled"/>
    <w:basedOn w:val="Normalny"/>
    <w:uiPriority w:val="31"/>
    <w:qFormat/>
    <w:rsid w:val="00B43184"/>
    <w:pPr>
      <w:tabs>
        <w:tab w:val="center" w:pos="6407"/>
      </w:tabs>
      <w:spacing w:before="720"/>
      <w:jc w:val="right"/>
    </w:pPr>
  </w:style>
  <w:style w:type="paragraph" w:customStyle="1" w:styleId="OpiHA">
    <w:name w:val="Opi_H_A"/>
    <w:basedOn w:val="ECHRHeading1"/>
    <w:next w:val="OpiPara"/>
    <w:uiPriority w:val="41"/>
    <w:qFormat/>
    <w:rsid w:val="00B43184"/>
    <w:pPr>
      <w:tabs>
        <w:tab w:val="clear" w:pos="357"/>
      </w:tabs>
      <w:outlineLvl w:val="1"/>
    </w:pPr>
    <w:rPr>
      <w:b/>
    </w:rPr>
  </w:style>
  <w:style w:type="character" w:customStyle="1" w:styleId="JUNAMES">
    <w:name w:val="JU_NAMES"/>
    <w:uiPriority w:val="17"/>
    <w:qFormat/>
    <w:rsid w:val="00B43184"/>
    <w:rPr>
      <w:caps w:val="0"/>
      <w:smallCaps/>
    </w:rPr>
  </w:style>
  <w:style w:type="paragraph" w:customStyle="1" w:styleId="ECHRHeading1">
    <w:name w:val="ECHR_Heading_1"/>
    <w:aliases w:val="Ju_H_I_Roman"/>
    <w:basedOn w:val="Nagwek1"/>
    <w:next w:val="ECHRPara"/>
    <w:uiPriority w:val="19"/>
    <w:qFormat/>
    <w:rsid w:val="00B4318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B43184"/>
    <w:pPr>
      <w:keepNext/>
      <w:keepLines/>
      <w:tabs>
        <w:tab w:val="left" w:pos="584"/>
      </w:tabs>
      <w:spacing w:before="360" w:after="240"/>
      <w:ind w:left="584" w:hanging="352"/>
    </w:pPr>
    <w:rPr>
      <w:color w:val="auto"/>
      <w:sz w:val="24"/>
    </w:rPr>
  </w:style>
  <w:style w:type="paragraph" w:styleId="Nagwek">
    <w:name w:val="header"/>
    <w:basedOn w:val="Normalny"/>
    <w:link w:val="NagwekZnak"/>
    <w:uiPriority w:val="57"/>
    <w:semiHidden/>
    <w:rsid w:val="00B4318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43184"/>
    <w:rPr>
      <w:sz w:val="24"/>
    </w:rPr>
  </w:style>
  <w:style w:type="character" w:customStyle="1" w:styleId="Nagwek1Znak">
    <w:name w:val="Nagłówek 1 Znak"/>
    <w:basedOn w:val="Domylnaczcionkaakapitu"/>
    <w:link w:val="Nagwek1"/>
    <w:uiPriority w:val="99"/>
    <w:semiHidden/>
    <w:rsid w:val="00B43184"/>
    <w:rPr>
      <w:rFonts w:asciiTheme="majorHAnsi" w:eastAsiaTheme="majorEastAsia" w:hAnsiTheme="majorHAnsi" w:cstheme="majorBidi"/>
      <w:b/>
      <w:bCs/>
      <w:color w:val="333333"/>
      <w:sz w:val="28"/>
      <w:szCs w:val="28"/>
    </w:rPr>
  </w:style>
  <w:style w:type="paragraph" w:customStyle="1" w:styleId="ECHRHeading3">
    <w:name w:val="ECHR_Heading_3"/>
    <w:aliases w:val="Ju_H_1."/>
    <w:basedOn w:val="Nagwek3"/>
    <w:next w:val="ECHRPara"/>
    <w:uiPriority w:val="21"/>
    <w:qFormat/>
    <w:rsid w:val="00B4318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43184"/>
    <w:pPr>
      <w:keepNext/>
      <w:keepLines/>
      <w:tabs>
        <w:tab w:val="left" w:pos="975"/>
      </w:tabs>
      <w:spacing w:before="240" w:after="120"/>
      <w:ind w:left="975" w:hanging="340"/>
    </w:pPr>
    <w:rPr>
      <w:i w:val="0"/>
      <w:color w:val="auto"/>
      <w:sz w:val="20"/>
    </w:rPr>
  </w:style>
  <w:style w:type="character" w:customStyle="1" w:styleId="Nagwek2Znak">
    <w:name w:val="Nagłówek 2 Znak"/>
    <w:basedOn w:val="Domylnaczcionkaakapitu"/>
    <w:link w:val="Nagwek2"/>
    <w:uiPriority w:val="99"/>
    <w:semiHidden/>
    <w:rsid w:val="00B43184"/>
    <w:rPr>
      <w:rFonts w:asciiTheme="majorHAnsi" w:eastAsiaTheme="majorEastAsia" w:hAnsiTheme="majorHAnsi" w:cstheme="majorBidi"/>
      <w:b/>
      <w:bCs/>
      <w:color w:val="4D4D4D"/>
      <w:sz w:val="26"/>
      <w:szCs w:val="26"/>
    </w:rPr>
  </w:style>
  <w:style w:type="paragraph" w:customStyle="1" w:styleId="ECHRHeading5">
    <w:name w:val="ECHR_Heading_5"/>
    <w:aliases w:val="Ju_H_i"/>
    <w:basedOn w:val="Nagwek5"/>
    <w:next w:val="ECHRPara"/>
    <w:uiPriority w:val="23"/>
    <w:qFormat/>
    <w:rsid w:val="00B4318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43184"/>
    <w:pPr>
      <w:keepNext/>
      <w:keepLines/>
      <w:tabs>
        <w:tab w:val="left" w:pos="1372"/>
      </w:tabs>
      <w:spacing w:before="240" w:after="120" w:line="240" w:lineRule="auto"/>
      <w:ind w:left="1373" w:hanging="335"/>
    </w:pPr>
    <w:rPr>
      <w:b w:val="0"/>
      <w:i w:val="0"/>
      <w:color w:val="auto"/>
      <w:sz w:val="20"/>
    </w:rPr>
  </w:style>
  <w:style w:type="character" w:customStyle="1" w:styleId="Nagwek3Znak">
    <w:name w:val="Nagłówek 3 Znak"/>
    <w:basedOn w:val="Domylnaczcionkaakapitu"/>
    <w:link w:val="Nagwek3"/>
    <w:uiPriority w:val="99"/>
    <w:semiHidden/>
    <w:rsid w:val="00B43184"/>
    <w:rPr>
      <w:rFonts w:asciiTheme="majorHAnsi" w:eastAsiaTheme="majorEastAsia" w:hAnsiTheme="majorHAnsi" w:cstheme="majorBidi"/>
      <w:b/>
      <w:bCs/>
      <w:color w:val="5F5F5F"/>
      <w:sz w:val="24"/>
    </w:rPr>
  </w:style>
  <w:style w:type="paragraph" w:customStyle="1" w:styleId="ECHRHeading7">
    <w:name w:val="ECHR_Heading_7"/>
    <w:aliases w:val="Ju_H_–"/>
    <w:basedOn w:val="Nagwek7"/>
    <w:next w:val="ECHRPara"/>
    <w:uiPriority w:val="25"/>
    <w:qFormat/>
    <w:rsid w:val="00B43184"/>
    <w:pPr>
      <w:keepNext/>
      <w:keepLines/>
      <w:spacing w:before="240" w:after="120"/>
      <w:ind w:left="1236"/>
    </w:pPr>
    <w:rPr>
      <w:sz w:val="20"/>
    </w:rPr>
  </w:style>
  <w:style w:type="paragraph" w:customStyle="1" w:styleId="JuParaLast">
    <w:name w:val="Ju_Para_Last"/>
    <w:basedOn w:val="Normalny"/>
    <w:next w:val="ECHRPara"/>
    <w:uiPriority w:val="30"/>
    <w:qFormat/>
    <w:rsid w:val="00B43184"/>
    <w:pPr>
      <w:keepNext/>
      <w:keepLines/>
      <w:spacing w:before="240"/>
      <w:ind w:firstLine="284"/>
    </w:pPr>
  </w:style>
  <w:style w:type="character" w:customStyle="1" w:styleId="Nagwek4Znak">
    <w:name w:val="Nagłówek 4 Znak"/>
    <w:basedOn w:val="Domylnaczcionkaakapitu"/>
    <w:link w:val="Nagwek4"/>
    <w:uiPriority w:val="99"/>
    <w:semiHidden/>
    <w:rsid w:val="00B43184"/>
    <w:rPr>
      <w:rFonts w:asciiTheme="majorHAnsi" w:eastAsiaTheme="majorEastAsia" w:hAnsiTheme="majorHAnsi" w:cstheme="majorBidi"/>
      <w:b/>
      <w:bCs/>
      <w:i/>
      <w:iCs/>
      <w:color w:val="777777"/>
      <w:sz w:val="24"/>
    </w:rPr>
  </w:style>
  <w:style w:type="character" w:customStyle="1" w:styleId="JuITMark">
    <w:name w:val="Ju_ITMark"/>
    <w:basedOn w:val="Domylnaczcionkaakapitu"/>
    <w:uiPriority w:val="38"/>
    <w:qFormat/>
    <w:rsid w:val="00B43184"/>
    <w:rPr>
      <w:vanish w:val="0"/>
      <w:color w:val="auto"/>
      <w:sz w:val="14"/>
    </w:rPr>
  </w:style>
  <w:style w:type="character" w:customStyle="1" w:styleId="Nagwek5Znak">
    <w:name w:val="Nagłówek 5 Znak"/>
    <w:basedOn w:val="Domylnaczcionkaakapitu"/>
    <w:link w:val="Nagwek5"/>
    <w:uiPriority w:val="99"/>
    <w:semiHidden/>
    <w:rsid w:val="00B43184"/>
    <w:rPr>
      <w:rFonts w:asciiTheme="majorHAnsi" w:eastAsiaTheme="majorEastAsia" w:hAnsiTheme="majorHAnsi" w:cstheme="majorBidi"/>
      <w:b/>
      <w:bCs/>
      <w:color w:val="808080"/>
      <w:sz w:val="24"/>
    </w:rPr>
  </w:style>
  <w:style w:type="paragraph" w:customStyle="1" w:styleId="OpiTranslation">
    <w:name w:val="Opi_Translation"/>
    <w:basedOn w:val="Normalny"/>
    <w:next w:val="OpiPara"/>
    <w:uiPriority w:val="40"/>
    <w:qFormat/>
    <w:rsid w:val="00B43184"/>
    <w:pPr>
      <w:jc w:val="center"/>
      <w:outlineLvl w:val="0"/>
    </w:pPr>
    <w:rPr>
      <w:i/>
    </w:rPr>
  </w:style>
  <w:style w:type="paragraph" w:customStyle="1" w:styleId="JuCourt">
    <w:name w:val="Ju_Court"/>
    <w:basedOn w:val="Normalny"/>
    <w:next w:val="Normalny"/>
    <w:uiPriority w:val="16"/>
    <w:qFormat/>
    <w:rsid w:val="00B43184"/>
    <w:pPr>
      <w:tabs>
        <w:tab w:val="left" w:pos="907"/>
        <w:tab w:val="left" w:pos="1701"/>
        <w:tab w:val="right" w:pos="7371"/>
      </w:tabs>
      <w:spacing w:before="240"/>
      <w:ind w:left="397" w:hanging="397"/>
      <w:jc w:val="left"/>
    </w:pPr>
    <w:rPr>
      <w:lang w:bidi="en-US"/>
    </w:rPr>
  </w:style>
  <w:style w:type="character" w:styleId="Wyrnieniedelikatne">
    <w:name w:val="Subtle Emphasis"/>
    <w:uiPriority w:val="99"/>
    <w:semiHidden/>
    <w:qFormat/>
    <w:rsid w:val="00B43184"/>
    <w:rPr>
      <w:i/>
      <w:iCs/>
    </w:rPr>
  </w:style>
  <w:style w:type="paragraph" w:customStyle="1" w:styleId="DecList">
    <w:name w:val="Dec_List"/>
    <w:basedOn w:val="Normalny"/>
    <w:uiPriority w:val="9"/>
    <w:qFormat/>
    <w:rsid w:val="00B43184"/>
    <w:pPr>
      <w:spacing w:before="240"/>
      <w:ind w:left="28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43184"/>
    <w:pPr>
      <w:keepNext/>
      <w:keepLines/>
      <w:spacing w:before="720" w:after="240"/>
      <w:outlineLvl w:val="0"/>
    </w:pPr>
    <w:rPr>
      <w:rFonts w:asciiTheme="majorHAnsi" w:hAnsiTheme="majorHAnsi"/>
      <w:sz w:val="28"/>
    </w:rPr>
  </w:style>
  <w:style w:type="paragraph" w:customStyle="1" w:styleId="JuList">
    <w:name w:val="Ju_List"/>
    <w:basedOn w:val="Normalny"/>
    <w:uiPriority w:val="28"/>
    <w:qFormat/>
    <w:rsid w:val="00B43184"/>
    <w:pPr>
      <w:ind w:left="340" w:hanging="340"/>
    </w:pPr>
  </w:style>
  <w:style w:type="paragraph" w:customStyle="1" w:styleId="ECHRTitleCentre2">
    <w:name w:val="ECHR_Title_Centre_2"/>
    <w:aliases w:val="Dec_H_Case"/>
    <w:basedOn w:val="Normalny"/>
    <w:next w:val="ECHRPara"/>
    <w:uiPriority w:val="8"/>
    <w:qFormat/>
    <w:rsid w:val="00B43184"/>
    <w:pPr>
      <w:spacing w:after="240"/>
      <w:jc w:val="center"/>
      <w:outlineLvl w:val="0"/>
    </w:pPr>
    <w:rPr>
      <w:rFonts w:asciiTheme="majorHAnsi" w:hAnsiTheme="majorHAnsi"/>
      <w:i/>
    </w:rPr>
  </w:style>
  <w:style w:type="character" w:styleId="Uwydatnienie">
    <w:name w:val="Emphasis"/>
    <w:uiPriority w:val="99"/>
    <w:semiHidden/>
    <w:qFormat/>
    <w:rsid w:val="00B43184"/>
    <w:rPr>
      <w:b/>
      <w:bCs/>
      <w:i/>
      <w:iCs/>
      <w:spacing w:val="10"/>
      <w:bdr w:val="none" w:sz="0" w:space="0" w:color="auto"/>
      <w:shd w:val="clear" w:color="auto" w:fill="auto"/>
    </w:rPr>
  </w:style>
  <w:style w:type="paragraph" w:styleId="Stopka">
    <w:name w:val="footer"/>
    <w:basedOn w:val="Normalny"/>
    <w:link w:val="StopkaZnak"/>
    <w:uiPriority w:val="57"/>
    <w:semiHidden/>
    <w:rsid w:val="00B4318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43184"/>
    <w:rPr>
      <w:sz w:val="24"/>
    </w:rPr>
  </w:style>
  <w:style w:type="character" w:styleId="Odwoanieprzypisudolnego">
    <w:name w:val="footnote reference"/>
    <w:basedOn w:val="Domylnaczcionkaakapitu"/>
    <w:uiPriority w:val="99"/>
    <w:semiHidden/>
    <w:rsid w:val="00B43184"/>
    <w:rPr>
      <w:vertAlign w:val="superscript"/>
    </w:rPr>
  </w:style>
  <w:style w:type="paragraph" w:styleId="Tekstprzypisudolnego">
    <w:name w:val="footnote text"/>
    <w:basedOn w:val="Normalny"/>
    <w:link w:val="TekstprzypisudolnegoZnak"/>
    <w:uiPriority w:val="99"/>
    <w:semiHidden/>
    <w:rsid w:val="00B43184"/>
    <w:rPr>
      <w:sz w:val="20"/>
      <w:szCs w:val="20"/>
    </w:rPr>
  </w:style>
  <w:style w:type="character" w:customStyle="1" w:styleId="TekstprzypisudolnegoZnak">
    <w:name w:val="Tekst przypisu dolnego Znak"/>
    <w:basedOn w:val="Domylnaczcionkaakapitu"/>
    <w:link w:val="Tekstprzypisudolnego"/>
    <w:uiPriority w:val="99"/>
    <w:semiHidden/>
    <w:rsid w:val="00B43184"/>
    <w:rPr>
      <w:rFonts w:eastAsiaTheme="minorEastAsia"/>
      <w:sz w:val="20"/>
      <w:szCs w:val="20"/>
    </w:rPr>
  </w:style>
  <w:style w:type="character" w:customStyle="1" w:styleId="Nagwek6Znak">
    <w:name w:val="Nagłówek 6 Znak"/>
    <w:basedOn w:val="Domylnaczcionkaakapitu"/>
    <w:link w:val="Nagwek6"/>
    <w:uiPriority w:val="99"/>
    <w:semiHidden/>
    <w:rsid w:val="00B4318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43184"/>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B4318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4318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B43184"/>
    <w:rPr>
      <w:color w:val="0072BC" w:themeColor="hyperlink"/>
      <w:u w:val="single"/>
    </w:rPr>
  </w:style>
  <w:style w:type="character" w:styleId="Wyrnienieintensywne">
    <w:name w:val="Intense Emphasis"/>
    <w:uiPriority w:val="99"/>
    <w:semiHidden/>
    <w:qFormat/>
    <w:rsid w:val="00B43184"/>
    <w:rPr>
      <w:b/>
      <w:bCs/>
    </w:rPr>
  </w:style>
  <w:style w:type="paragraph" w:styleId="Cytatintensywny">
    <w:name w:val="Intense Quote"/>
    <w:basedOn w:val="Normalny"/>
    <w:next w:val="Normalny"/>
    <w:link w:val="CytatintensywnyZnak"/>
    <w:uiPriority w:val="99"/>
    <w:semiHidden/>
    <w:qFormat/>
    <w:rsid w:val="00B4318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B43184"/>
    <w:rPr>
      <w:rFonts w:eastAsiaTheme="minorEastAsia"/>
      <w:b/>
      <w:bCs/>
      <w:i/>
      <w:iCs/>
      <w:sz w:val="24"/>
      <w:lang w:bidi="en-US"/>
    </w:rPr>
  </w:style>
  <w:style w:type="character" w:styleId="Odwoanieintensywne">
    <w:name w:val="Intense Reference"/>
    <w:uiPriority w:val="99"/>
    <w:semiHidden/>
    <w:qFormat/>
    <w:rsid w:val="00B43184"/>
    <w:rPr>
      <w:smallCaps/>
      <w:spacing w:val="5"/>
      <w:u w:val="single"/>
    </w:rPr>
  </w:style>
  <w:style w:type="paragraph" w:styleId="Akapitzlist">
    <w:name w:val="List Paragraph"/>
    <w:basedOn w:val="Normalny"/>
    <w:uiPriority w:val="99"/>
    <w:semiHidden/>
    <w:qFormat/>
    <w:rsid w:val="00B4318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43184"/>
    <w:pPr>
      <w:spacing w:before="200"/>
      <w:ind w:left="360" w:right="360"/>
    </w:pPr>
    <w:rPr>
      <w:i/>
      <w:iCs/>
      <w:lang w:bidi="en-US"/>
    </w:rPr>
  </w:style>
  <w:style w:type="character" w:customStyle="1" w:styleId="CytatZnak">
    <w:name w:val="Cytat Znak"/>
    <w:basedOn w:val="Domylnaczcionkaakapitu"/>
    <w:link w:val="Cytat"/>
    <w:uiPriority w:val="99"/>
    <w:semiHidden/>
    <w:rsid w:val="00B43184"/>
    <w:rPr>
      <w:rFonts w:eastAsiaTheme="minorEastAsia"/>
      <w:i/>
      <w:iCs/>
      <w:sz w:val="24"/>
      <w:lang w:bidi="en-US"/>
    </w:rPr>
  </w:style>
  <w:style w:type="character" w:styleId="Odwoaniedelikatne">
    <w:name w:val="Subtle Reference"/>
    <w:uiPriority w:val="99"/>
    <w:semiHidden/>
    <w:qFormat/>
    <w:rsid w:val="00B43184"/>
    <w:rPr>
      <w:smallCaps/>
    </w:rPr>
  </w:style>
  <w:style w:type="table" w:styleId="Tabela-Siatka">
    <w:name w:val="Table Grid"/>
    <w:basedOn w:val="Standardowy"/>
    <w:uiPriority w:val="59"/>
    <w:rsid w:val="00B4318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4318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4318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4318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4318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4318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4318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4318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Lista">
    <w:name w:val="Ju_List_a"/>
    <w:basedOn w:val="JuList"/>
    <w:uiPriority w:val="28"/>
    <w:qFormat/>
    <w:rsid w:val="00B43184"/>
    <w:pPr>
      <w:ind w:left="346" w:firstLine="0"/>
    </w:pPr>
  </w:style>
  <w:style w:type="paragraph" w:customStyle="1" w:styleId="JuListi">
    <w:name w:val="Ju_List_i"/>
    <w:basedOn w:val="Normalny"/>
    <w:next w:val="JuLista"/>
    <w:uiPriority w:val="28"/>
    <w:qFormat/>
    <w:rsid w:val="00B43184"/>
    <w:pPr>
      <w:ind w:left="794"/>
    </w:pPr>
  </w:style>
  <w:style w:type="paragraph" w:customStyle="1" w:styleId="OpiH1">
    <w:name w:val="Opi_H_1"/>
    <w:basedOn w:val="ECHRHeading2"/>
    <w:uiPriority w:val="42"/>
    <w:qFormat/>
    <w:rsid w:val="00B43184"/>
    <w:pPr>
      <w:ind w:left="635" w:hanging="357"/>
      <w:outlineLvl w:val="2"/>
    </w:pPr>
  </w:style>
  <w:style w:type="paragraph" w:customStyle="1" w:styleId="ECHRPara">
    <w:name w:val="ECHR_Para"/>
    <w:aliases w:val="Ju_Para,Para"/>
    <w:basedOn w:val="Normalny"/>
    <w:link w:val="JuParaCar"/>
    <w:uiPriority w:val="12"/>
    <w:qFormat/>
    <w:rsid w:val="00B43184"/>
    <w:pPr>
      <w:ind w:firstLine="284"/>
    </w:pPr>
  </w:style>
  <w:style w:type="paragraph" w:styleId="Podtytu">
    <w:name w:val="Subtitle"/>
    <w:basedOn w:val="Normalny"/>
    <w:next w:val="Normalny"/>
    <w:link w:val="PodtytuZnak"/>
    <w:uiPriority w:val="99"/>
    <w:semiHidden/>
    <w:qFormat/>
    <w:rsid w:val="00B43184"/>
    <w:pPr>
      <w:spacing w:after="600"/>
    </w:pPr>
    <w:rPr>
      <w:rFonts w:asciiTheme="majorHAnsi" w:eastAsiaTheme="majorEastAsia" w:hAnsiTheme="majorHAnsi" w:cstheme="majorBidi"/>
      <w:i/>
      <w:iCs/>
      <w:spacing w:val="13"/>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character" w:customStyle="1" w:styleId="PodtytuZnak">
    <w:name w:val="Podtytuł Znak"/>
    <w:basedOn w:val="Domylnaczcionkaakapitu"/>
    <w:link w:val="Podtytu"/>
    <w:uiPriority w:val="99"/>
    <w:semiHidden/>
    <w:rsid w:val="00B43184"/>
    <w:rPr>
      <w:rFonts w:asciiTheme="majorHAnsi" w:eastAsiaTheme="majorEastAsia" w:hAnsiTheme="majorHAnsi" w:cstheme="majorBidi"/>
      <w:i/>
      <w:iCs/>
      <w:spacing w:val="13"/>
      <w:sz w:val="24"/>
      <w:szCs w:val="24"/>
      <w:lang w:bidi="en-US"/>
    </w:r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4318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Bezlisty"/>
    <w:uiPriority w:val="99"/>
    <w:semiHidden/>
    <w:unhideWhenUsed/>
    <w:rsid w:val="005D62EF"/>
    <w:pPr>
      <w:numPr>
        <w:numId w:val="4"/>
      </w:numPr>
    </w:pPr>
  </w:style>
  <w:style w:type="numbering" w:styleId="1ai">
    <w:name w:val="Outline List 1"/>
    <w:basedOn w:val="Bezlisty"/>
    <w:uiPriority w:val="99"/>
    <w:semiHidden/>
    <w:unhideWhenUsed/>
    <w:rsid w:val="005D62EF"/>
    <w:pPr>
      <w:numPr>
        <w:numId w:val="5"/>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numbering" w:styleId="Artykusekcja">
    <w:name w:val="Outline List 3"/>
    <w:basedOn w:val="Bezlisty"/>
    <w:uiPriority w:val="99"/>
    <w:semiHidden/>
    <w:unhideWhenUsed/>
    <w:rsid w:val="005D62EF"/>
    <w:pPr>
      <w:numPr>
        <w:numId w:val="6"/>
      </w:numPr>
    </w:pPr>
  </w:style>
  <w:style w:type="paragraph" w:styleId="Bibliografia">
    <w:name w:val="Bibliography"/>
    <w:basedOn w:val="Normalny"/>
    <w:next w:val="Normalny"/>
    <w:uiPriority w:val="99"/>
    <w:semiHidden/>
    <w:rsid w:val="005D62EF"/>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4318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uiPriority w:val="99"/>
    <w:semiHidden/>
    <w:rsid w:val="005D62EF"/>
    <w:rPr>
      <w:sz w:val="18"/>
    </w:rPr>
  </w:style>
  <w:style w:type="character" w:styleId="Odwoaniedokomentarza">
    <w:name w:val="annotation reference"/>
    <w:uiPriority w:val="99"/>
    <w:semiHidden/>
    <w:rsid w:val="005D62EF"/>
    <w:rPr>
      <w:sz w:val="16"/>
    </w:rPr>
  </w:style>
  <w:style w:type="paragraph" w:styleId="Tekstkomentarza">
    <w:name w:val="annotation text"/>
    <w:basedOn w:val="Normalny"/>
    <w:link w:val="TekstkomentarzaZnak"/>
    <w:semiHidden/>
    <w:rsid w:val="005D62EF"/>
    <w:rPr>
      <w:sz w:val="20"/>
    </w:rPr>
  </w:style>
  <w:style w:type="character" w:customStyle="1" w:styleId="TekstkomentarzaZnak">
    <w:name w:val="Tekst komentarza Znak"/>
    <w:basedOn w:val="Domylnaczcionkaakapitu"/>
    <w:link w:val="Tekstkomentarza"/>
    <w:semiHidden/>
    <w:rsid w:val="005D62EF"/>
    <w:rPr>
      <w:rFonts w:eastAsiaTheme="minorEastAsia"/>
      <w:sz w:val="20"/>
    </w:rPr>
  </w:style>
  <w:style w:type="paragraph" w:customStyle="1" w:styleId="DecHTitle">
    <w:name w:val="Dec_H_Title"/>
    <w:basedOn w:val="ECHRTitleCentre1"/>
    <w:uiPriority w:val="7"/>
    <w:qFormat/>
    <w:rsid w:val="00B43184"/>
  </w:style>
  <w:style w:type="paragraph" w:styleId="Tekstblokowy">
    <w:name w:val="Block Text"/>
    <w:basedOn w:val="Normalny"/>
    <w:uiPriority w:val="99"/>
    <w:semiHidden/>
    <w:rsid w:val="005D62E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Listapunktowana5">
    <w:name w:val="List Bullet 5"/>
    <w:basedOn w:val="Normalny"/>
    <w:uiPriority w:val="99"/>
    <w:semiHidden/>
    <w:rsid w:val="005D62EF"/>
    <w:pPr>
      <w:numPr>
        <w:numId w:val="1"/>
      </w:numPr>
      <w:contextualSpacing/>
    </w:pPr>
  </w:style>
  <w:style w:type="paragraph" w:styleId="Listanumerowana">
    <w:name w:val="List Number"/>
    <w:basedOn w:val="Normalny"/>
    <w:uiPriority w:val="99"/>
    <w:semiHidden/>
    <w:rsid w:val="005D62EF"/>
    <w:pPr>
      <w:numPr>
        <w:numId w:val="2"/>
      </w:numPr>
      <w:contextualSpacing/>
    </w:pPr>
  </w:style>
  <w:style w:type="paragraph" w:styleId="Listanumerowana2">
    <w:name w:val="List Number 2"/>
    <w:basedOn w:val="Normalny"/>
    <w:uiPriority w:val="99"/>
    <w:semiHidden/>
    <w:rsid w:val="005D62EF"/>
    <w:pPr>
      <w:numPr>
        <w:numId w:val="3"/>
      </w:numPr>
      <w:contextualSpacing/>
    </w:pPr>
  </w:style>
  <w:style w:type="paragraph" w:styleId="Tekstpodstawowy">
    <w:name w:val="Body Text"/>
    <w:basedOn w:val="Normalny"/>
    <w:link w:val="TekstpodstawowyZnak"/>
    <w:uiPriority w:val="99"/>
    <w:semiHidden/>
    <w:rsid w:val="005D62EF"/>
    <w:pPr>
      <w:spacing w:after="120"/>
    </w:pPr>
  </w:style>
  <w:style w:type="character" w:customStyle="1" w:styleId="TekstpodstawowyZnak">
    <w:name w:val="Tekst podstawowy Znak"/>
    <w:basedOn w:val="Domylnaczcionkaakapitu"/>
    <w:link w:val="Tekstpodstawowy"/>
    <w:uiPriority w:val="99"/>
    <w:semiHidden/>
    <w:rsid w:val="005D62EF"/>
    <w:rPr>
      <w:rFonts w:eastAsiaTheme="minorEastAsia"/>
      <w:sz w:val="24"/>
    </w:rPr>
  </w:style>
  <w:style w:type="paragraph" w:styleId="Tekstpodstawowy2">
    <w:name w:val="Body Text 2"/>
    <w:basedOn w:val="Normalny"/>
    <w:link w:val="Tekstpodstawowy2Znak"/>
    <w:uiPriority w:val="99"/>
    <w:semiHidden/>
    <w:rsid w:val="005D62EF"/>
    <w:pPr>
      <w:spacing w:after="120" w:line="480" w:lineRule="auto"/>
    </w:pPr>
  </w:style>
  <w:style w:type="character" w:customStyle="1" w:styleId="Tekstpodstawowy2Znak">
    <w:name w:val="Tekst podstawowy 2 Znak"/>
    <w:basedOn w:val="Domylnaczcionkaakapitu"/>
    <w:link w:val="Tekstpodstawowy2"/>
    <w:uiPriority w:val="99"/>
    <w:semiHidden/>
    <w:rsid w:val="005D62EF"/>
    <w:rPr>
      <w:rFonts w:eastAsiaTheme="minorEastAsia"/>
      <w:sz w:val="24"/>
    </w:rPr>
  </w:style>
  <w:style w:type="paragraph" w:styleId="Tekstpodstawowy3">
    <w:name w:val="Body Text 3"/>
    <w:basedOn w:val="Normalny"/>
    <w:link w:val="Tekstpodstawowy3Znak"/>
    <w:uiPriority w:val="99"/>
    <w:semiHidden/>
    <w:rsid w:val="005D62EF"/>
    <w:pPr>
      <w:spacing w:after="120"/>
    </w:pPr>
    <w:rPr>
      <w:sz w:val="16"/>
      <w:szCs w:val="16"/>
    </w:rPr>
  </w:style>
  <w:style w:type="character" w:customStyle="1" w:styleId="Tekstpodstawowy3Znak">
    <w:name w:val="Tekst podstawowy 3 Znak"/>
    <w:basedOn w:val="Domylnaczcionkaakapitu"/>
    <w:link w:val="Tekstpodstawowy3"/>
    <w:uiPriority w:val="99"/>
    <w:semiHidden/>
    <w:rsid w:val="005D62EF"/>
    <w:rPr>
      <w:rFonts w:eastAsiaTheme="minorEastAsia"/>
      <w:sz w:val="16"/>
      <w:szCs w:val="16"/>
    </w:rPr>
  </w:style>
  <w:style w:type="paragraph" w:styleId="Tekstpodstawowyzwciciem">
    <w:name w:val="Body Text First Indent"/>
    <w:basedOn w:val="Tekstpodstawowy"/>
    <w:link w:val="TekstpodstawowyzwciciemZnak"/>
    <w:uiPriority w:val="99"/>
    <w:semiHidden/>
    <w:rsid w:val="005D62EF"/>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D62EF"/>
    <w:rPr>
      <w:rFonts w:eastAsiaTheme="minorEastAsia"/>
      <w:sz w:val="24"/>
    </w:rPr>
  </w:style>
  <w:style w:type="paragraph" w:styleId="Tekstpodstawowywcity">
    <w:name w:val="Body Text Indent"/>
    <w:basedOn w:val="Normalny"/>
    <w:link w:val="TekstpodstawowywcityZnak"/>
    <w:uiPriority w:val="99"/>
    <w:semiHidden/>
    <w:rsid w:val="005D62EF"/>
    <w:pPr>
      <w:spacing w:after="120"/>
      <w:ind w:left="283"/>
    </w:pPr>
  </w:style>
  <w:style w:type="character" w:customStyle="1" w:styleId="TekstpodstawowywcityZnak">
    <w:name w:val="Tekst podstawowy wcięty Znak"/>
    <w:basedOn w:val="Domylnaczcionkaakapitu"/>
    <w:link w:val="Tekstpodstawowywcity"/>
    <w:uiPriority w:val="99"/>
    <w:semiHidden/>
    <w:rsid w:val="005D62EF"/>
    <w:rPr>
      <w:rFonts w:eastAsiaTheme="minorEastAsia"/>
      <w:sz w:val="24"/>
    </w:rPr>
  </w:style>
  <w:style w:type="paragraph" w:styleId="Tekstpodstawowyzwciciem2">
    <w:name w:val="Body Text First Indent 2"/>
    <w:basedOn w:val="Tekstpodstawowywcity"/>
    <w:link w:val="Tekstpodstawowyzwciciem2Znak"/>
    <w:uiPriority w:val="99"/>
    <w:semiHidden/>
    <w:rsid w:val="005D62EF"/>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D62EF"/>
    <w:rPr>
      <w:rFonts w:eastAsiaTheme="minorEastAsia"/>
      <w:sz w:val="24"/>
    </w:rPr>
  </w:style>
  <w:style w:type="paragraph" w:styleId="Tekstpodstawowywcity2">
    <w:name w:val="Body Text Indent 2"/>
    <w:basedOn w:val="Normalny"/>
    <w:link w:val="Tekstpodstawowywcity2Znak"/>
    <w:uiPriority w:val="99"/>
    <w:semiHidden/>
    <w:rsid w:val="005D62E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D62EF"/>
    <w:rPr>
      <w:rFonts w:eastAsiaTheme="minorEastAsia"/>
      <w:sz w:val="24"/>
    </w:rPr>
  </w:style>
  <w:style w:type="paragraph" w:styleId="Tekstpodstawowywcity3">
    <w:name w:val="Body Text Indent 3"/>
    <w:basedOn w:val="Normalny"/>
    <w:link w:val="Tekstpodstawowywcity3Znak"/>
    <w:uiPriority w:val="99"/>
    <w:semiHidden/>
    <w:rsid w:val="005D62E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D62EF"/>
    <w:rPr>
      <w:rFonts w:eastAsiaTheme="minorEastAsia"/>
      <w:sz w:val="16"/>
      <w:szCs w:val="16"/>
    </w:rPr>
  </w:style>
  <w:style w:type="paragraph" w:styleId="Legenda">
    <w:name w:val="caption"/>
    <w:basedOn w:val="Normalny"/>
    <w:next w:val="Normalny"/>
    <w:uiPriority w:val="99"/>
    <w:semiHidden/>
    <w:qFormat/>
    <w:rsid w:val="005D62EF"/>
    <w:pPr>
      <w:spacing w:after="200"/>
    </w:pPr>
    <w:rPr>
      <w:b/>
      <w:bCs/>
      <w:color w:val="0072BC" w:themeColor="accent1"/>
      <w:sz w:val="18"/>
      <w:szCs w:val="18"/>
    </w:rPr>
  </w:style>
  <w:style w:type="paragraph" w:styleId="Zwrotpoegnalny">
    <w:name w:val="Closing"/>
    <w:basedOn w:val="Normalny"/>
    <w:link w:val="ZwrotpoegnalnyZnak"/>
    <w:uiPriority w:val="99"/>
    <w:semiHidden/>
    <w:rsid w:val="005D62EF"/>
    <w:pPr>
      <w:ind w:left="4252"/>
    </w:pPr>
  </w:style>
  <w:style w:type="character" w:customStyle="1" w:styleId="ZwrotpoegnalnyZnak">
    <w:name w:val="Zwrot pożegnalny Znak"/>
    <w:basedOn w:val="Domylnaczcionkaakapitu"/>
    <w:link w:val="Zwrotpoegnalny"/>
    <w:uiPriority w:val="99"/>
    <w:semiHidden/>
    <w:rsid w:val="005D62EF"/>
    <w:rPr>
      <w:rFonts w:eastAsiaTheme="minorEastAsia"/>
      <w:sz w:val="24"/>
    </w:rPr>
  </w:style>
  <w:style w:type="table" w:styleId="Kolorowasiatka">
    <w:name w:val="Colorful Grid"/>
    <w:basedOn w:val="Standardowy"/>
    <w:uiPriority w:val="73"/>
    <w:semiHidden/>
    <w:rsid w:val="005D62EF"/>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D62EF"/>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D62EF"/>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D62EF"/>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D62EF"/>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D62EF"/>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D62EF"/>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D62EF"/>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D62EF"/>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D62EF"/>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D62EF"/>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D62EF"/>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D62EF"/>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D62EF"/>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D62EF"/>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D62EF"/>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D62EF"/>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D62EF"/>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D62EF"/>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D62EF"/>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D62EF"/>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5D62EF"/>
    <w:rPr>
      <w:b/>
      <w:bCs/>
      <w:szCs w:val="20"/>
    </w:rPr>
  </w:style>
  <w:style w:type="character" w:customStyle="1" w:styleId="TematkomentarzaZnak">
    <w:name w:val="Temat komentarza Znak"/>
    <w:basedOn w:val="TekstkomentarzaZnak"/>
    <w:link w:val="Tematkomentarza"/>
    <w:uiPriority w:val="99"/>
    <w:semiHidden/>
    <w:rsid w:val="005D62EF"/>
    <w:rPr>
      <w:rFonts w:eastAsiaTheme="minorEastAsia"/>
      <w:b/>
      <w:bCs/>
      <w:sz w:val="20"/>
      <w:szCs w:val="20"/>
    </w:rPr>
  </w:style>
  <w:style w:type="table" w:styleId="Ciemnalista">
    <w:name w:val="Dark List"/>
    <w:basedOn w:val="Standardowy"/>
    <w:uiPriority w:val="70"/>
    <w:semiHidden/>
    <w:rsid w:val="005D62EF"/>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D62EF"/>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D62EF"/>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D62EF"/>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D62EF"/>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D62EF"/>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D62EF"/>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5D62EF"/>
  </w:style>
  <w:style w:type="character" w:customStyle="1" w:styleId="DataZnak">
    <w:name w:val="Data Znak"/>
    <w:basedOn w:val="Domylnaczcionkaakapitu"/>
    <w:link w:val="Data"/>
    <w:uiPriority w:val="99"/>
    <w:semiHidden/>
    <w:rsid w:val="005D62EF"/>
    <w:rPr>
      <w:rFonts w:eastAsiaTheme="minorEastAsia"/>
      <w:sz w:val="24"/>
    </w:rPr>
  </w:style>
  <w:style w:type="paragraph" w:styleId="Mapadokumentu">
    <w:name w:val="Document Map"/>
    <w:basedOn w:val="Normalny"/>
    <w:link w:val="MapadokumentuZnak"/>
    <w:uiPriority w:val="99"/>
    <w:semiHidden/>
    <w:rsid w:val="005D62EF"/>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D62EF"/>
    <w:rPr>
      <w:rFonts w:ascii="Tahoma" w:eastAsiaTheme="minorEastAsia" w:hAnsi="Tahoma" w:cs="Tahoma"/>
      <w:sz w:val="16"/>
      <w:szCs w:val="16"/>
    </w:rPr>
  </w:style>
  <w:style w:type="paragraph" w:styleId="Podpise-mail">
    <w:name w:val="E-mail Signature"/>
    <w:basedOn w:val="Normalny"/>
    <w:link w:val="Podpise-mailZnak"/>
    <w:uiPriority w:val="99"/>
    <w:semiHidden/>
    <w:rsid w:val="005D62EF"/>
  </w:style>
  <w:style w:type="character" w:customStyle="1" w:styleId="Podpise-mailZnak">
    <w:name w:val="Podpis e-mail Znak"/>
    <w:basedOn w:val="Domylnaczcionkaakapitu"/>
    <w:link w:val="Podpise-mail"/>
    <w:uiPriority w:val="99"/>
    <w:semiHidden/>
    <w:rsid w:val="005D62EF"/>
    <w:rPr>
      <w:rFonts w:eastAsiaTheme="minorEastAsia"/>
      <w:sz w:val="24"/>
    </w:rPr>
  </w:style>
  <w:style w:type="character" w:styleId="Odwoanieprzypisukocowego">
    <w:name w:val="endnote reference"/>
    <w:basedOn w:val="Domylnaczcionkaakapitu"/>
    <w:uiPriority w:val="99"/>
    <w:semiHidden/>
    <w:rsid w:val="005D62EF"/>
    <w:rPr>
      <w:vertAlign w:val="superscript"/>
    </w:rPr>
  </w:style>
  <w:style w:type="paragraph" w:styleId="Tekstprzypisukocowego">
    <w:name w:val="endnote text"/>
    <w:basedOn w:val="Normalny"/>
    <w:link w:val="TekstprzypisukocowegoZnak"/>
    <w:uiPriority w:val="99"/>
    <w:semiHidden/>
    <w:rsid w:val="005D62EF"/>
    <w:rPr>
      <w:sz w:val="20"/>
      <w:szCs w:val="20"/>
    </w:rPr>
  </w:style>
  <w:style w:type="character" w:customStyle="1" w:styleId="TekstprzypisukocowegoZnak">
    <w:name w:val="Tekst przypisu końcowego Znak"/>
    <w:basedOn w:val="Domylnaczcionkaakapitu"/>
    <w:link w:val="Tekstprzypisukocowego"/>
    <w:uiPriority w:val="99"/>
    <w:semiHidden/>
    <w:rsid w:val="005D62EF"/>
    <w:rPr>
      <w:rFonts w:eastAsiaTheme="minorEastAsia"/>
      <w:sz w:val="20"/>
      <w:szCs w:val="20"/>
    </w:rPr>
  </w:style>
  <w:style w:type="paragraph" w:styleId="Adresnakopercie">
    <w:name w:val="envelope address"/>
    <w:basedOn w:val="Normalny"/>
    <w:uiPriority w:val="99"/>
    <w:semiHidden/>
    <w:rsid w:val="005D62EF"/>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D62EF"/>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5D62EF"/>
    <w:rPr>
      <w:color w:val="7030A0" w:themeColor="followedHyperlink"/>
      <w:u w:val="single"/>
    </w:rPr>
  </w:style>
  <w:style w:type="character" w:styleId="HTML-akronim">
    <w:name w:val="HTML Acronym"/>
    <w:basedOn w:val="Domylnaczcionkaakapitu"/>
    <w:uiPriority w:val="99"/>
    <w:semiHidden/>
    <w:rsid w:val="005D62EF"/>
  </w:style>
  <w:style w:type="paragraph" w:styleId="HTML-adres">
    <w:name w:val="HTML Address"/>
    <w:basedOn w:val="Normalny"/>
    <w:link w:val="HTML-adresZnak"/>
    <w:uiPriority w:val="99"/>
    <w:semiHidden/>
    <w:rsid w:val="005D62EF"/>
    <w:rPr>
      <w:i/>
      <w:iCs/>
    </w:rPr>
  </w:style>
  <w:style w:type="character" w:customStyle="1" w:styleId="HTML-adresZnak">
    <w:name w:val="HTML - adres Znak"/>
    <w:basedOn w:val="Domylnaczcionkaakapitu"/>
    <w:link w:val="HTML-adres"/>
    <w:uiPriority w:val="99"/>
    <w:semiHidden/>
    <w:rsid w:val="005D62EF"/>
    <w:rPr>
      <w:rFonts w:eastAsiaTheme="minorEastAsia"/>
      <w:i/>
      <w:iCs/>
      <w:sz w:val="24"/>
    </w:rPr>
  </w:style>
  <w:style w:type="character" w:styleId="HTML-cytat">
    <w:name w:val="HTML Cite"/>
    <w:basedOn w:val="Domylnaczcionkaakapitu"/>
    <w:uiPriority w:val="99"/>
    <w:semiHidden/>
    <w:rsid w:val="005D62EF"/>
    <w:rPr>
      <w:i/>
      <w:iCs/>
    </w:rPr>
  </w:style>
  <w:style w:type="character" w:styleId="HTML-kod">
    <w:name w:val="HTML Code"/>
    <w:basedOn w:val="Domylnaczcionkaakapitu"/>
    <w:uiPriority w:val="99"/>
    <w:semiHidden/>
    <w:rsid w:val="005D62EF"/>
    <w:rPr>
      <w:rFonts w:ascii="Consolas" w:hAnsi="Consolas" w:cs="Consolas"/>
      <w:sz w:val="20"/>
      <w:szCs w:val="20"/>
    </w:rPr>
  </w:style>
  <w:style w:type="character" w:styleId="HTML-definicja">
    <w:name w:val="HTML Definition"/>
    <w:basedOn w:val="Domylnaczcionkaakapitu"/>
    <w:uiPriority w:val="99"/>
    <w:semiHidden/>
    <w:rsid w:val="005D62EF"/>
    <w:rPr>
      <w:i/>
      <w:iCs/>
    </w:rPr>
  </w:style>
  <w:style w:type="character" w:styleId="HTML-klawiatura">
    <w:name w:val="HTML Keyboard"/>
    <w:basedOn w:val="Domylnaczcionkaakapitu"/>
    <w:uiPriority w:val="99"/>
    <w:semiHidden/>
    <w:rsid w:val="005D62EF"/>
    <w:rPr>
      <w:rFonts w:ascii="Consolas" w:hAnsi="Consolas" w:cs="Consolas"/>
      <w:sz w:val="20"/>
      <w:szCs w:val="20"/>
    </w:rPr>
  </w:style>
  <w:style w:type="paragraph" w:styleId="HTML-wstpniesformatowany">
    <w:name w:val="HTML Preformatted"/>
    <w:basedOn w:val="Normalny"/>
    <w:link w:val="HTML-wstpniesformatowanyZnak"/>
    <w:uiPriority w:val="99"/>
    <w:semiHidden/>
    <w:rsid w:val="005D62E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5D62EF"/>
    <w:rPr>
      <w:rFonts w:ascii="Consolas" w:eastAsiaTheme="minorEastAsia" w:hAnsi="Consolas" w:cs="Consolas"/>
      <w:sz w:val="20"/>
      <w:szCs w:val="20"/>
    </w:rPr>
  </w:style>
  <w:style w:type="character" w:styleId="HTML-przykad">
    <w:name w:val="HTML Sample"/>
    <w:basedOn w:val="Domylnaczcionkaakapitu"/>
    <w:uiPriority w:val="99"/>
    <w:semiHidden/>
    <w:rsid w:val="005D62EF"/>
    <w:rPr>
      <w:rFonts w:ascii="Consolas" w:hAnsi="Consolas" w:cs="Consolas"/>
      <w:sz w:val="24"/>
      <w:szCs w:val="24"/>
    </w:rPr>
  </w:style>
  <w:style w:type="character" w:styleId="HTML-staaszeroko">
    <w:name w:val="HTML Typewriter"/>
    <w:basedOn w:val="Domylnaczcionkaakapitu"/>
    <w:uiPriority w:val="99"/>
    <w:semiHidden/>
    <w:rsid w:val="005D62EF"/>
    <w:rPr>
      <w:rFonts w:ascii="Consolas" w:hAnsi="Consolas" w:cs="Consolas"/>
      <w:sz w:val="20"/>
      <w:szCs w:val="20"/>
    </w:rPr>
  </w:style>
  <w:style w:type="character" w:styleId="HTML-zmienna">
    <w:name w:val="HTML Variable"/>
    <w:basedOn w:val="Domylnaczcionkaakapitu"/>
    <w:uiPriority w:val="99"/>
    <w:semiHidden/>
    <w:rsid w:val="005D62EF"/>
    <w:rPr>
      <w:i/>
      <w:iCs/>
    </w:rPr>
  </w:style>
  <w:style w:type="paragraph" w:styleId="Indeks1">
    <w:name w:val="index 1"/>
    <w:basedOn w:val="Normalny"/>
    <w:next w:val="Normalny"/>
    <w:autoRedefine/>
    <w:uiPriority w:val="99"/>
    <w:semiHidden/>
    <w:rsid w:val="005D62EF"/>
    <w:pPr>
      <w:ind w:left="240" w:hanging="240"/>
    </w:pPr>
  </w:style>
  <w:style w:type="paragraph" w:styleId="Indeks2">
    <w:name w:val="index 2"/>
    <w:basedOn w:val="Normalny"/>
    <w:next w:val="Normalny"/>
    <w:autoRedefine/>
    <w:uiPriority w:val="99"/>
    <w:semiHidden/>
    <w:rsid w:val="005D62EF"/>
    <w:pPr>
      <w:ind w:left="480" w:hanging="240"/>
    </w:pPr>
  </w:style>
  <w:style w:type="paragraph" w:styleId="Indeks3">
    <w:name w:val="index 3"/>
    <w:basedOn w:val="Normalny"/>
    <w:next w:val="Normalny"/>
    <w:autoRedefine/>
    <w:uiPriority w:val="99"/>
    <w:semiHidden/>
    <w:rsid w:val="005D62EF"/>
    <w:pPr>
      <w:ind w:left="720" w:hanging="240"/>
    </w:pPr>
  </w:style>
  <w:style w:type="paragraph" w:styleId="Indeks4">
    <w:name w:val="index 4"/>
    <w:basedOn w:val="Normalny"/>
    <w:next w:val="Normalny"/>
    <w:autoRedefine/>
    <w:uiPriority w:val="99"/>
    <w:semiHidden/>
    <w:rsid w:val="005D62EF"/>
    <w:pPr>
      <w:ind w:left="960" w:hanging="240"/>
    </w:pPr>
  </w:style>
  <w:style w:type="paragraph" w:styleId="Indeks5">
    <w:name w:val="index 5"/>
    <w:basedOn w:val="Normalny"/>
    <w:next w:val="Normalny"/>
    <w:autoRedefine/>
    <w:uiPriority w:val="99"/>
    <w:semiHidden/>
    <w:rsid w:val="005D62EF"/>
    <w:pPr>
      <w:ind w:left="1200" w:hanging="240"/>
    </w:pPr>
  </w:style>
  <w:style w:type="paragraph" w:styleId="Indeks6">
    <w:name w:val="index 6"/>
    <w:basedOn w:val="Normalny"/>
    <w:next w:val="Normalny"/>
    <w:autoRedefine/>
    <w:uiPriority w:val="99"/>
    <w:semiHidden/>
    <w:rsid w:val="005D62EF"/>
    <w:pPr>
      <w:ind w:left="1440" w:hanging="240"/>
    </w:pPr>
  </w:style>
  <w:style w:type="paragraph" w:styleId="Indeks7">
    <w:name w:val="index 7"/>
    <w:basedOn w:val="Normalny"/>
    <w:next w:val="Normalny"/>
    <w:autoRedefine/>
    <w:uiPriority w:val="99"/>
    <w:semiHidden/>
    <w:rsid w:val="005D62EF"/>
    <w:pPr>
      <w:ind w:left="1680" w:hanging="240"/>
    </w:pPr>
  </w:style>
  <w:style w:type="paragraph" w:styleId="Indeks8">
    <w:name w:val="index 8"/>
    <w:basedOn w:val="Normalny"/>
    <w:next w:val="Normalny"/>
    <w:autoRedefine/>
    <w:uiPriority w:val="99"/>
    <w:semiHidden/>
    <w:rsid w:val="005D62EF"/>
    <w:pPr>
      <w:ind w:left="1920" w:hanging="240"/>
    </w:pPr>
  </w:style>
  <w:style w:type="paragraph" w:styleId="Indeks9">
    <w:name w:val="index 9"/>
    <w:basedOn w:val="Normalny"/>
    <w:next w:val="Normalny"/>
    <w:autoRedefine/>
    <w:uiPriority w:val="99"/>
    <w:semiHidden/>
    <w:rsid w:val="005D62EF"/>
    <w:pPr>
      <w:ind w:left="2160" w:hanging="240"/>
    </w:pPr>
  </w:style>
  <w:style w:type="paragraph" w:styleId="Nagwekindeksu">
    <w:name w:val="index heading"/>
    <w:basedOn w:val="Normalny"/>
    <w:next w:val="Indeks1"/>
    <w:uiPriority w:val="99"/>
    <w:semiHidden/>
    <w:rsid w:val="005D62EF"/>
    <w:rPr>
      <w:rFonts w:asciiTheme="majorHAnsi" w:eastAsiaTheme="majorEastAsia" w:hAnsiTheme="majorHAnsi" w:cstheme="majorBidi"/>
      <w:b/>
      <w:bCs/>
    </w:rPr>
  </w:style>
  <w:style w:type="table" w:styleId="Jasnasiatka">
    <w:name w:val="Light Grid"/>
    <w:basedOn w:val="Standardowy"/>
    <w:uiPriority w:val="62"/>
    <w:semiHidden/>
    <w:rsid w:val="005D62E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D62E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D62E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D62E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D62E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D62E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D62E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D62E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D62E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D62E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D62E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D62E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D62E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D62E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D62E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D62EF"/>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D62EF"/>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D62EF"/>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D62EF"/>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D62EF"/>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D62EF"/>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5D62EF"/>
  </w:style>
  <w:style w:type="paragraph" w:styleId="Lista">
    <w:name w:val="List"/>
    <w:basedOn w:val="Normalny"/>
    <w:uiPriority w:val="99"/>
    <w:semiHidden/>
    <w:rsid w:val="005D62EF"/>
    <w:pPr>
      <w:ind w:left="283" w:hanging="283"/>
      <w:contextualSpacing/>
    </w:pPr>
  </w:style>
  <w:style w:type="paragraph" w:styleId="Lista2">
    <w:name w:val="List 2"/>
    <w:basedOn w:val="Normalny"/>
    <w:uiPriority w:val="99"/>
    <w:semiHidden/>
    <w:rsid w:val="005D62EF"/>
    <w:pPr>
      <w:ind w:left="566" w:hanging="283"/>
      <w:contextualSpacing/>
    </w:pPr>
  </w:style>
  <w:style w:type="paragraph" w:styleId="Lista3">
    <w:name w:val="List 3"/>
    <w:basedOn w:val="Normalny"/>
    <w:uiPriority w:val="99"/>
    <w:semiHidden/>
    <w:rsid w:val="005D62EF"/>
    <w:pPr>
      <w:ind w:left="849" w:hanging="283"/>
      <w:contextualSpacing/>
    </w:pPr>
  </w:style>
  <w:style w:type="paragraph" w:styleId="Lista4">
    <w:name w:val="List 4"/>
    <w:basedOn w:val="Normalny"/>
    <w:uiPriority w:val="99"/>
    <w:semiHidden/>
    <w:rsid w:val="005D62EF"/>
    <w:pPr>
      <w:ind w:left="1132" w:hanging="283"/>
      <w:contextualSpacing/>
    </w:pPr>
  </w:style>
  <w:style w:type="paragraph" w:styleId="Lista5">
    <w:name w:val="List 5"/>
    <w:basedOn w:val="Normalny"/>
    <w:uiPriority w:val="99"/>
    <w:semiHidden/>
    <w:rsid w:val="005D62EF"/>
    <w:pPr>
      <w:ind w:left="1415" w:hanging="283"/>
      <w:contextualSpacing/>
    </w:pPr>
  </w:style>
  <w:style w:type="paragraph" w:styleId="Listapunktowana">
    <w:name w:val="List Bullet"/>
    <w:basedOn w:val="Normalny"/>
    <w:uiPriority w:val="99"/>
    <w:semiHidden/>
    <w:rsid w:val="005D62EF"/>
    <w:pPr>
      <w:numPr>
        <w:numId w:val="7"/>
      </w:numPr>
      <w:contextualSpacing/>
    </w:pPr>
  </w:style>
  <w:style w:type="paragraph" w:styleId="Listapunktowana2">
    <w:name w:val="List Bullet 2"/>
    <w:basedOn w:val="Normalny"/>
    <w:uiPriority w:val="99"/>
    <w:semiHidden/>
    <w:rsid w:val="005D62EF"/>
    <w:pPr>
      <w:numPr>
        <w:numId w:val="8"/>
      </w:numPr>
      <w:contextualSpacing/>
    </w:pPr>
  </w:style>
  <w:style w:type="paragraph" w:styleId="Listapunktowana3">
    <w:name w:val="List Bullet 3"/>
    <w:basedOn w:val="Normalny"/>
    <w:uiPriority w:val="99"/>
    <w:semiHidden/>
    <w:rsid w:val="005D62EF"/>
    <w:pPr>
      <w:numPr>
        <w:numId w:val="9"/>
      </w:numPr>
      <w:contextualSpacing/>
    </w:pPr>
  </w:style>
  <w:style w:type="paragraph" w:styleId="Listapunktowana4">
    <w:name w:val="List Bullet 4"/>
    <w:basedOn w:val="Normalny"/>
    <w:uiPriority w:val="99"/>
    <w:semiHidden/>
    <w:rsid w:val="005D62EF"/>
    <w:pPr>
      <w:numPr>
        <w:numId w:val="10"/>
      </w:numPr>
      <w:contextualSpacing/>
    </w:pPr>
  </w:style>
  <w:style w:type="paragraph" w:styleId="Lista-kontynuacja">
    <w:name w:val="List Continue"/>
    <w:basedOn w:val="Normalny"/>
    <w:uiPriority w:val="99"/>
    <w:semiHidden/>
    <w:rsid w:val="005D62EF"/>
    <w:pPr>
      <w:spacing w:after="120"/>
      <w:ind w:left="283"/>
      <w:contextualSpacing/>
    </w:pPr>
  </w:style>
  <w:style w:type="paragraph" w:styleId="Lista-kontynuacja2">
    <w:name w:val="List Continue 2"/>
    <w:basedOn w:val="Normalny"/>
    <w:uiPriority w:val="99"/>
    <w:semiHidden/>
    <w:rsid w:val="005D62EF"/>
    <w:pPr>
      <w:spacing w:after="120"/>
      <w:ind w:left="566"/>
      <w:contextualSpacing/>
    </w:pPr>
  </w:style>
  <w:style w:type="paragraph" w:styleId="Lista-kontynuacja3">
    <w:name w:val="List Continue 3"/>
    <w:basedOn w:val="Normalny"/>
    <w:uiPriority w:val="99"/>
    <w:semiHidden/>
    <w:rsid w:val="005D62EF"/>
    <w:pPr>
      <w:spacing w:after="120"/>
      <w:ind w:left="849"/>
      <w:contextualSpacing/>
    </w:pPr>
  </w:style>
  <w:style w:type="paragraph" w:styleId="Lista-kontynuacja4">
    <w:name w:val="List Continue 4"/>
    <w:basedOn w:val="Normalny"/>
    <w:uiPriority w:val="99"/>
    <w:semiHidden/>
    <w:rsid w:val="005D62EF"/>
    <w:pPr>
      <w:spacing w:after="120"/>
      <w:ind w:left="1132"/>
      <w:contextualSpacing/>
    </w:pPr>
  </w:style>
  <w:style w:type="paragraph" w:styleId="Lista-kontynuacja5">
    <w:name w:val="List Continue 5"/>
    <w:basedOn w:val="Normalny"/>
    <w:uiPriority w:val="99"/>
    <w:semiHidden/>
    <w:rsid w:val="005D62EF"/>
    <w:pPr>
      <w:spacing w:after="120"/>
      <w:ind w:left="1415"/>
      <w:contextualSpacing/>
    </w:pPr>
  </w:style>
  <w:style w:type="paragraph" w:styleId="Listanumerowana3">
    <w:name w:val="List Number 3"/>
    <w:basedOn w:val="Normalny"/>
    <w:uiPriority w:val="99"/>
    <w:semiHidden/>
    <w:rsid w:val="005D62EF"/>
    <w:pPr>
      <w:numPr>
        <w:numId w:val="11"/>
      </w:numPr>
      <w:contextualSpacing/>
    </w:pPr>
  </w:style>
  <w:style w:type="paragraph" w:styleId="Listanumerowana4">
    <w:name w:val="List Number 4"/>
    <w:basedOn w:val="Normalny"/>
    <w:uiPriority w:val="99"/>
    <w:semiHidden/>
    <w:rsid w:val="005D62EF"/>
    <w:pPr>
      <w:numPr>
        <w:numId w:val="12"/>
      </w:numPr>
      <w:contextualSpacing/>
    </w:pPr>
  </w:style>
  <w:style w:type="paragraph" w:styleId="Listanumerowana5">
    <w:name w:val="List Number 5"/>
    <w:basedOn w:val="Normalny"/>
    <w:uiPriority w:val="99"/>
    <w:semiHidden/>
    <w:rsid w:val="005D62EF"/>
    <w:pPr>
      <w:numPr>
        <w:numId w:val="13"/>
      </w:numPr>
      <w:contextualSpacing/>
    </w:pPr>
  </w:style>
  <w:style w:type="paragraph" w:styleId="Tekstmakra">
    <w:name w:val="macro"/>
    <w:link w:val="TekstmakraZnak"/>
    <w:uiPriority w:val="99"/>
    <w:semiHidden/>
    <w:rsid w:val="005D62E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5D62EF"/>
    <w:rPr>
      <w:rFonts w:ascii="Consolas" w:eastAsiaTheme="minorEastAsia" w:hAnsi="Consolas" w:cs="Consolas"/>
      <w:sz w:val="20"/>
      <w:szCs w:val="20"/>
    </w:rPr>
  </w:style>
  <w:style w:type="table" w:styleId="redniasiatka1">
    <w:name w:val="Medium Grid 1"/>
    <w:basedOn w:val="Standardowy"/>
    <w:uiPriority w:val="67"/>
    <w:semiHidden/>
    <w:rsid w:val="005D62E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D62E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D62E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D62E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D62E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D62E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D62E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D6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D6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D6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D6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D6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D6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D6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D62EF"/>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D62EF"/>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D62EF"/>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D62EF"/>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D62EF"/>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D62EF"/>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D62EF"/>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D62E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D62E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D62E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D62E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D62E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D62E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D62E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D62E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D6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D6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D6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D6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D6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D6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D6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D62E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D62EF"/>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5D62EF"/>
    <w:rPr>
      <w:rFonts w:ascii="Times New Roman" w:hAnsi="Times New Roman" w:cs="Times New Roman"/>
      <w:szCs w:val="24"/>
    </w:rPr>
  </w:style>
  <w:style w:type="paragraph" w:styleId="Wcicienormalne">
    <w:name w:val="Normal Indent"/>
    <w:basedOn w:val="Normalny"/>
    <w:uiPriority w:val="99"/>
    <w:semiHidden/>
    <w:rsid w:val="005D62EF"/>
    <w:pPr>
      <w:ind w:left="720"/>
    </w:pPr>
  </w:style>
  <w:style w:type="paragraph" w:styleId="Nagweknotatki">
    <w:name w:val="Note Heading"/>
    <w:basedOn w:val="Normalny"/>
    <w:next w:val="Normalny"/>
    <w:link w:val="NagweknotatkiZnak"/>
    <w:uiPriority w:val="99"/>
    <w:semiHidden/>
    <w:rsid w:val="005D62EF"/>
  </w:style>
  <w:style w:type="character" w:customStyle="1" w:styleId="NagweknotatkiZnak">
    <w:name w:val="Nagłówek notatki Znak"/>
    <w:basedOn w:val="Domylnaczcionkaakapitu"/>
    <w:link w:val="Nagweknotatki"/>
    <w:uiPriority w:val="99"/>
    <w:semiHidden/>
    <w:rsid w:val="005D62EF"/>
    <w:rPr>
      <w:rFonts w:eastAsiaTheme="minorEastAsia"/>
      <w:sz w:val="24"/>
    </w:rPr>
  </w:style>
  <w:style w:type="character" w:styleId="Tekstzastpczy">
    <w:name w:val="Placeholder Text"/>
    <w:basedOn w:val="Domylnaczcionkaakapitu"/>
    <w:uiPriority w:val="99"/>
    <w:semiHidden/>
    <w:rsid w:val="00B4318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5D62EF"/>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5D62EF"/>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5D62EF"/>
  </w:style>
  <w:style w:type="character" w:customStyle="1" w:styleId="ZwrotgrzecznociowyZnak">
    <w:name w:val="Zwrot grzecznościowy Znak"/>
    <w:basedOn w:val="Domylnaczcionkaakapitu"/>
    <w:link w:val="Zwrotgrzecznociowy"/>
    <w:uiPriority w:val="99"/>
    <w:semiHidden/>
    <w:rsid w:val="005D62EF"/>
    <w:rPr>
      <w:rFonts w:eastAsiaTheme="minorEastAsia"/>
      <w:sz w:val="24"/>
    </w:rPr>
  </w:style>
  <w:style w:type="paragraph" w:styleId="Podpis">
    <w:name w:val="Signature"/>
    <w:basedOn w:val="Normalny"/>
    <w:link w:val="PodpisZnak"/>
    <w:uiPriority w:val="99"/>
    <w:semiHidden/>
    <w:rsid w:val="005D62EF"/>
    <w:pPr>
      <w:ind w:left="4252"/>
    </w:pPr>
  </w:style>
  <w:style w:type="character" w:customStyle="1" w:styleId="PodpisZnak">
    <w:name w:val="Podpis Znak"/>
    <w:basedOn w:val="Domylnaczcionkaakapitu"/>
    <w:link w:val="Podpis"/>
    <w:uiPriority w:val="99"/>
    <w:semiHidden/>
    <w:rsid w:val="005D62EF"/>
    <w:rPr>
      <w:rFonts w:eastAsiaTheme="minorEastAsia"/>
      <w:sz w:val="24"/>
    </w:rPr>
  </w:style>
  <w:style w:type="table" w:styleId="Tabela-Efekty3D1">
    <w:name w:val="Table 3D effects 1"/>
    <w:basedOn w:val="Standardowy"/>
    <w:uiPriority w:val="99"/>
    <w:semiHidden/>
    <w:unhideWhenUsed/>
    <w:rsid w:val="005D62EF"/>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D62EF"/>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D62EF"/>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D62EF"/>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D62EF"/>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D62EF"/>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D62EF"/>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D62EF"/>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D62EF"/>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D62EF"/>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D62EF"/>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D62EF"/>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D62EF"/>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D62EF"/>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D62EF"/>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D62EF"/>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D62EF"/>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D62E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D62EF"/>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D62EF"/>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D62EF"/>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D62EF"/>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D62EF"/>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D62EF"/>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D62EF"/>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D62EF"/>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D62EF"/>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D62EF"/>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D62EF"/>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D62EF"/>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D62EF"/>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D62EF"/>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D62EF"/>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D62EF"/>
    <w:pPr>
      <w:ind w:left="240" w:hanging="240"/>
    </w:pPr>
  </w:style>
  <w:style w:type="paragraph" w:styleId="Spisilustracji">
    <w:name w:val="table of figures"/>
    <w:basedOn w:val="Normalny"/>
    <w:next w:val="Normalny"/>
    <w:uiPriority w:val="99"/>
    <w:semiHidden/>
    <w:rsid w:val="005D62EF"/>
  </w:style>
  <w:style w:type="table" w:styleId="Tabela-Profesjonalny">
    <w:name w:val="Table Professional"/>
    <w:basedOn w:val="Standardowy"/>
    <w:uiPriority w:val="99"/>
    <w:semiHidden/>
    <w:unhideWhenUsed/>
    <w:rsid w:val="005D62E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D62EF"/>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D62EF"/>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D62EF"/>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D62EF"/>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D62EF"/>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D62E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D62EF"/>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D62EF"/>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D62EF"/>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4318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4318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5D62EF"/>
    <w:pPr>
      <w:spacing w:after="100"/>
      <w:ind w:left="1680"/>
    </w:pPr>
  </w:style>
  <w:style w:type="paragraph" w:styleId="Spistreci9">
    <w:name w:val="toc 9"/>
    <w:basedOn w:val="Normalny"/>
    <w:next w:val="Normalny"/>
    <w:autoRedefine/>
    <w:uiPriority w:val="99"/>
    <w:semiHidden/>
    <w:rsid w:val="005D62EF"/>
    <w:pPr>
      <w:spacing w:after="100"/>
      <w:ind w:left="1920"/>
    </w:pPr>
  </w:style>
  <w:style w:type="paragraph" w:customStyle="1" w:styleId="OpiHa0">
    <w:name w:val="Opi_H_a"/>
    <w:basedOn w:val="ECHRHeading3"/>
    <w:uiPriority w:val="43"/>
    <w:qFormat/>
    <w:rsid w:val="00B43184"/>
    <w:pPr>
      <w:ind w:left="833" w:hanging="357"/>
      <w:outlineLvl w:val="3"/>
    </w:pPr>
    <w:rPr>
      <w:b/>
      <w:i w:val="0"/>
      <w:sz w:val="20"/>
    </w:rPr>
  </w:style>
  <w:style w:type="paragraph" w:customStyle="1" w:styleId="OpiHi">
    <w:name w:val="Opi_H_i"/>
    <w:basedOn w:val="ECHRHeading4"/>
    <w:uiPriority w:val="44"/>
    <w:qFormat/>
    <w:rsid w:val="00B43184"/>
    <w:pPr>
      <w:ind w:left="1037" w:hanging="357"/>
      <w:outlineLvl w:val="4"/>
    </w:pPr>
    <w:rPr>
      <w:b w:val="0"/>
      <w:i/>
    </w:rPr>
  </w:style>
  <w:style w:type="paragraph" w:customStyle="1" w:styleId="DummyStyle">
    <w:name w:val="Dummy_Style"/>
    <w:basedOn w:val="Normalny"/>
    <w:semiHidden/>
    <w:qFormat/>
    <w:rsid w:val="00B43184"/>
    <w:rPr>
      <w:color w:val="00B050"/>
    </w:rPr>
  </w:style>
  <w:style w:type="paragraph" w:customStyle="1" w:styleId="JuHeaderLandscape">
    <w:name w:val="Ju_Header_Landscape"/>
    <w:basedOn w:val="ECHRHeader"/>
    <w:uiPriority w:val="4"/>
    <w:qFormat/>
    <w:rsid w:val="00B43184"/>
    <w:pPr>
      <w:tabs>
        <w:tab w:val="clear" w:pos="3686"/>
        <w:tab w:val="clear" w:pos="7371"/>
        <w:tab w:val="center" w:pos="6146"/>
        <w:tab w:val="right" w:pos="12293"/>
      </w:tabs>
    </w:pPr>
  </w:style>
  <w:style w:type="character" w:customStyle="1" w:styleId="JuParaCar">
    <w:name w:val="Ju_Para Car"/>
    <w:link w:val="ECHRPara"/>
    <w:uiPriority w:val="12"/>
    <w:rsid w:val="002E32CE"/>
    <w:rPr>
      <w:rFonts w:eastAsiaTheme="minorEastAsia"/>
      <w:sz w:val="24"/>
    </w:rPr>
  </w:style>
  <w:style w:type="character" w:customStyle="1" w:styleId="outputecli">
    <w:name w:val="outputecli"/>
    <w:basedOn w:val="Domylnaczcionkaakapitu"/>
    <w:rsid w:val="002E32CE"/>
  </w:style>
  <w:style w:type="character" w:customStyle="1" w:styleId="ECHRFooterChar">
    <w:name w:val="ECHR_Footer Char"/>
    <w:basedOn w:val="Domylnaczcionkaakapitu"/>
    <w:link w:val="ECHRFooter"/>
    <w:uiPriority w:val="40"/>
    <w:rsid w:val="00EB3E93"/>
    <w:rPr>
      <w:sz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51BFE-2D5C-4CEA-81A2-567C57950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076BAC7-7BB5-48A9-969E-E9A94BD16C35}">
  <ds:schemaRefs>
    <ds:schemaRef ds:uri="http://schemas.microsoft.com/sharepoint/v3/contenttype/forms"/>
  </ds:schemaRefs>
</ds:datastoreItem>
</file>

<file path=customXml/itemProps3.xml><?xml version="1.0" encoding="utf-8"?>
<ds:datastoreItem xmlns:ds="http://schemas.openxmlformats.org/officeDocument/2006/customXml" ds:itemID="{5A4CE053-C3B7-4AA8-A6EB-D6D8D52B1F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FFC1AC-2C2D-4FA6-9B84-322B17958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3219</Words>
  <Characters>19314</Characters>
  <Application>Microsoft Office Word</Application>
  <DocSecurity>0</DocSecurity>
  <Lines>160</Lines>
  <Paragraphs>44</Paragraphs>
  <ScaleCrop>false</ScaleCrop>
  <HeadingPairs>
    <vt:vector size="2" baseType="variant">
      <vt:variant>
        <vt:lpstr>Title</vt:lpstr>
      </vt:variant>
      <vt:variant>
        <vt:i4>1</vt:i4>
      </vt:variant>
    </vt:vector>
  </HeadingPairs>
  <TitlesOfParts>
    <vt:vector size="1" baseType="lpstr">
      <vt:lpstr>Decision</vt:lpstr>
    </vt:vector>
  </TitlesOfParts>
  <Manager/>
  <Company/>
  <LinksUpToDate>false</LinksUpToDate>
  <CharactersWithSpaces>22489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2019-12-13T13:32:00Z</dcterms:created>
  <dcterms:modified xsi:type="dcterms:W3CDTF">2019-12-13T13:32:00Z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