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A8F94" w14:textId="77777777" w:rsidR="005D62EF" w:rsidRPr="00C721CD" w:rsidRDefault="005D62EF" w:rsidP="00C721CD">
      <w:pPr>
        <w:rPr>
          <w:szCs w:val="24"/>
          <w:lang w:val="pl-PL"/>
        </w:rPr>
      </w:pPr>
    </w:p>
    <w:p w14:paraId="7B60FB45" w14:textId="77777777" w:rsidR="0052723F" w:rsidRPr="0052723F" w:rsidRDefault="0052723F" w:rsidP="0052723F">
      <w:pPr>
        <w:pStyle w:val="DecHTitle"/>
        <w:spacing w:after="120"/>
        <w:rPr>
          <w:rFonts w:eastAsia="CIDFont+F1"/>
          <w:sz w:val="20"/>
          <w:szCs w:val="20"/>
          <w:lang w:eastAsia="pl-PL"/>
        </w:rPr>
      </w:pPr>
      <w:r w:rsidRPr="0052723F">
        <w:rPr>
          <w:rFonts w:eastAsia="CIDFont+F1"/>
          <w:sz w:val="20"/>
          <w:szCs w:val="20"/>
          <w:lang w:eastAsia="pl-PL"/>
        </w:rPr>
        <w:t>© Trybunał Konstytucyjny</w:t>
      </w:r>
    </w:p>
    <w:p w14:paraId="529490AF" w14:textId="77777777" w:rsidR="0052723F" w:rsidRPr="0052723F" w:rsidRDefault="0052723F" w:rsidP="0052723F">
      <w:pPr>
        <w:pStyle w:val="DecHTitle"/>
        <w:spacing w:after="120"/>
        <w:rPr>
          <w:rFonts w:eastAsia="CIDFont+F1"/>
          <w:sz w:val="20"/>
          <w:szCs w:val="20"/>
          <w:lang w:eastAsia="pl-PL"/>
        </w:rPr>
      </w:pPr>
      <w:r w:rsidRPr="0052723F">
        <w:rPr>
          <w:rFonts w:eastAsia="CIDFont+F1"/>
          <w:sz w:val="20"/>
          <w:szCs w:val="20"/>
          <w:lang w:eastAsia="pl-PL"/>
        </w:rPr>
        <w:t>© Copyright for the Polish translation by the Polish Constitutional Tribunal</w:t>
      </w:r>
    </w:p>
    <w:p w14:paraId="30B1D279" w14:textId="287F64EA" w:rsidR="009074D3" w:rsidRDefault="0052723F" w:rsidP="0052723F">
      <w:pPr>
        <w:pStyle w:val="DecHTitle"/>
        <w:spacing w:after="120"/>
        <w:rPr>
          <w:rFonts w:eastAsia="CIDFont+F1"/>
          <w:sz w:val="20"/>
          <w:szCs w:val="20"/>
          <w:lang w:val="pl-PL" w:eastAsia="pl-PL"/>
        </w:rPr>
      </w:pPr>
      <w:r w:rsidRPr="0052723F">
        <w:rPr>
          <w:rFonts w:eastAsia="CIDFont+F1"/>
          <w:sz w:val="20"/>
          <w:szCs w:val="20"/>
          <w:lang w:val="pl-PL" w:eastAsia="pl-PL"/>
        </w:rPr>
        <w:t>Warszawa 2019</w:t>
      </w:r>
    </w:p>
    <w:p w14:paraId="09D522EB" w14:textId="77777777" w:rsidR="0052723F" w:rsidRPr="0052723F" w:rsidRDefault="0052723F" w:rsidP="0052723F">
      <w:pPr>
        <w:pStyle w:val="DecHTitle"/>
        <w:spacing w:after="120"/>
        <w:rPr>
          <w:szCs w:val="24"/>
          <w:lang w:val="pl-PL"/>
        </w:rPr>
      </w:pPr>
    </w:p>
    <w:p w14:paraId="30E42E92" w14:textId="77777777" w:rsidR="009074D3" w:rsidRDefault="00C01F21" w:rsidP="00EB3E93">
      <w:pPr>
        <w:pStyle w:val="DecHTitle"/>
        <w:rPr>
          <w:szCs w:val="24"/>
          <w:lang w:val="pl-PL"/>
        </w:rPr>
      </w:pPr>
      <w:r>
        <w:rPr>
          <w:szCs w:val="24"/>
          <w:lang w:val="pl-PL"/>
        </w:rPr>
        <w:t>EUROPEJSKI TRYBUNAŁ PRAW CZŁOWIEKA</w:t>
      </w:r>
    </w:p>
    <w:p w14:paraId="3CDB5CDF" w14:textId="77777777" w:rsidR="005D62EF" w:rsidRPr="002D390C" w:rsidRDefault="002E32CE" w:rsidP="00EB3E93">
      <w:pPr>
        <w:pStyle w:val="DecHTitle"/>
        <w:rPr>
          <w:lang w:val="pl-PL"/>
        </w:rPr>
      </w:pPr>
      <w:r w:rsidRPr="002D390C">
        <w:rPr>
          <w:szCs w:val="24"/>
          <w:lang w:val="pl-PL"/>
        </w:rPr>
        <w:t>TRZECIA SEKCJA</w:t>
      </w:r>
    </w:p>
    <w:p w14:paraId="4686BBF1" w14:textId="77777777" w:rsidR="005D62EF" w:rsidRDefault="005D62EF" w:rsidP="00EB3E93">
      <w:pPr>
        <w:pStyle w:val="DecHTitle"/>
        <w:rPr>
          <w:lang w:val="pl-PL"/>
        </w:rPr>
      </w:pPr>
      <w:r w:rsidRPr="002D390C">
        <w:rPr>
          <w:lang w:val="pl-PL"/>
        </w:rPr>
        <w:t>DECYZJA</w:t>
      </w:r>
    </w:p>
    <w:p w14:paraId="50A940BA" w14:textId="77777777" w:rsidR="0052723F" w:rsidRPr="002D390C" w:rsidRDefault="0052723F" w:rsidP="00EB3E93">
      <w:pPr>
        <w:pStyle w:val="DecHTitle"/>
        <w:rPr>
          <w:lang w:val="pl-PL"/>
        </w:rPr>
      </w:pPr>
    </w:p>
    <w:p w14:paraId="39E4D9BA" w14:textId="77777777" w:rsidR="005D62EF" w:rsidRPr="002D390C" w:rsidRDefault="002E32CE" w:rsidP="00EB3E93">
      <w:pPr>
        <w:pStyle w:val="ECHRTitleCentre2"/>
        <w:rPr>
          <w:i w:val="0"/>
          <w:lang w:val="pl-PL"/>
        </w:rPr>
      </w:pPr>
      <w:r w:rsidRPr="002D390C">
        <w:rPr>
          <w:i w:val="0"/>
          <w:lang w:val="pl-PL"/>
        </w:rPr>
        <w:t>(Skarga nr 74742/14)</w:t>
      </w:r>
      <w:r w:rsidRPr="002D390C">
        <w:rPr>
          <w:i w:val="0"/>
          <w:lang w:val="pl-PL"/>
        </w:rPr>
        <w:br/>
        <w:t>Rolf Anders Daniel PIHL</w:t>
      </w:r>
      <w:r w:rsidRPr="002D390C">
        <w:rPr>
          <w:i w:val="0"/>
          <w:lang w:val="pl-PL"/>
        </w:rPr>
        <w:br/>
        <w:t>przeciwko Szwecji</w:t>
      </w:r>
    </w:p>
    <w:p w14:paraId="1B8191DC" w14:textId="7BDF73DC" w:rsidR="005D62EF" w:rsidRPr="002D390C" w:rsidRDefault="005D62EF" w:rsidP="00EB3E93">
      <w:pPr>
        <w:pStyle w:val="ECHRPara"/>
        <w:rPr>
          <w:lang w:val="pl-PL"/>
        </w:rPr>
      </w:pPr>
      <w:r w:rsidRPr="002D390C">
        <w:rPr>
          <w:lang w:val="pl-PL"/>
        </w:rPr>
        <w:t>Europejski Trybunał Praw Człowieka (Trzecia Sekcja), zasiadając w</w:t>
      </w:r>
      <w:r w:rsidR="00FD7F11">
        <w:rPr>
          <w:lang w:val="pl-PL"/>
        </w:rPr>
        <w:t> </w:t>
      </w:r>
      <w:r w:rsidRPr="002D390C">
        <w:rPr>
          <w:lang w:val="pl-PL"/>
        </w:rPr>
        <w:t xml:space="preserve">dniu 7 lutego 2017 r. jako </w:t>
      </w:r>
      <w:r w:rsidRPr="002D390C">
        <w:rPr>
          <w:szCs w:val="24"/>
          <w:lang w:val="pl-PL"/>
        </w:rPr>
        <w:t xml:space="preserve">Izba </w:t>
      </w:r>
      <w:r w:rsidRPr="002D390C">
        <w:rPr>
          <w:lang w:val="pl-PL"/>
        </w:rPr>
        <w:t>składająca się z następujących sędziów:</w:t>
      </w:r>
    </w:p>
    <w:p w14:paraId="54C55DDE" w14:textId="77777777" w:rsidR="005D62EF" w:rsidRPr="002D390C" w:rsidRDefault="002E32CE" w:rsidP="00EB3E93">
      <w:pPr>
        <w:pStyle w:val="ECHRDecisionBody"/>
        <w:rPr>
          <w:lang w:val="pl-PL"/>
        </w:rPr>
      </w:pPr>
      <w:r w:rsidRPr="002D390C">
        <w:rPr>
          <w:lang w:val="pl-PL"/>
        </w:rPr>
        <w:tab/>
        <w:t>Branko Lubarda,</w:t>
      </w:r>
      <w:r w:rsidRPr="002D390C">
        <w:rPr>
          <w:i/>
          <w:iCs/>
          <w:lang w:val="pl-PL"/>
        </w:rPr>
        <w:t xml:space="preserve"> Przewodniczący,</w:t>
      </w:r>
      <w:r w:rsidRPr="002D390C">
        <w:rPr>
          <w:lang w:val="pl-PL"/>
        </w:rPr>
        <w:br/>
      </w:r>
      <w:r w:rsidRPr="002D390C">
        <w:rPr>
          <w:lang w:val="pl-PL"/>
        </w:rPr>
        <w:tab/>
        <w:t>Helena Jäderblom,</w:t>
      </w:r>
      <w:r w:rsidRPr="002D390C">
        <w:rPr>
          <w:lang w:val="pl-PL"/>
        </w:rPr>
        <w:br/>
      </w:r>
      <w:r w:rsidRPr="002D390C">
        <w:rPr>
          <w:lang w:val="pl-PL"/>
        </w:rPr>
        <w:tab/>
        <w:t>Luis López Guerra,</w:t>
      </w:r>
      <w:r w:rsidRPr="002D390C">
        <w:rPr>
          <w:lang w:val="pl-PL"/>
        </w:rPr>
        <w:br/>
      </w:r>
      <w:r w:rsidRPr="002D390C">
        <w:rPr>
          <w:lang w:val="pl-PL"/>
        </w:rPr>
        <w:tab/>
        <w:t>Helen Keller,</w:t>
      </w:r>
      <w:r w:rsidRPr="002D390C">
        <w:rPr>
          <w:lang w:val="pl-PL"/>
        </w:rPr>
        <w:br/>
      </w:r>
      <w:r w:rsidRPr="002D390C">
        <w:rPr>
          <w:lang w:val="pl-PL"/>
        </w:rPr>
        <w:tab/>
        <w:t>Pere Pastor Vilanova,</w:t>
      </w:r>
      <w:r w:rsidRPr="002D390C">
        <w:rPr>
          <w:lang w:val="pl-PL"/>
        </w:rPr>
        <w:br/>
      </w:r>
      <w:r w:rsidRPr="002D390C">
        <w:rPr>
          <w:lang w:val="pl-PL"/>
        </w:rPr>
        <w:tab/>
        <w:t>Alena Poláčková,</w:t>
      </w:r>
      <w:r w:rsidRPr="002D390C">
        <w:rPr>
          <w:lang w:val="pl-PL"/>
        </w:rPr>
        <w:br/>
      </w:r>
      <w:r w:rsidRPr="002D390C">
        <w:rPr>
          <w:lang w:val="pl-PL"/>
        </w:rPr>
        <w:tab/>
        <w:t>Georgios A. Serghides,</w:t>
      </w:r>
      <w:r w:rsidRPr="002D390C">
        <w:rPr>
          <w:i/>
          <w:iCs/>
          <w:lang w:val="pl-PL"/>
        </w:rPr>
        <w:t xml:space="preserve"> Sędziowie,</w:t>
      </w:r>
      <w:r w:rsidRPr="002D390C">
        <w:rPr>
          <w:lang w:val="pl-PL"/>
        </w:rPr>
        <w:br/>
        <w:t xml:space="preserve">oraz Stephen Phillips, </w:t>
      </w:r>
      <w:r w:rsidRPr="002D390C">
        <w:rPr>
          <w:i/>
          <w:iCs/>
          <w:lang w:val="pl-PL"/>
        </w:rPr>
        <w:t>Kanclerz</w:t>
      </w:r>
      <w:r w:rsidRPr="002D390C">
        <w:rPr>
          <w:lang w:val="pl-PL"/>
        </w:rPr>
        <w:t xml:space="preserve"> </w:t>
      </w:r>
      <w:r w:rsidRPr="002D390C">
        <w:rPr>
          <w:i/>
          <w:iCs/>
          <w:lang w:val="pl-PL"/>
        </w:rPr>
        <w:t>Sekcji,</w:t>
      </w:r>
    </w:p>
    <w:p w14:paraId="32AEE949" w14:textId="4B7125B0" w:rsidR="005D62EF" w:rsidRPr="002D390C" w:rsidRDefault="005D62EF" w:rsidP="00EB3E93">
      <w:pPr>
        <w:pStyle w:val="ECHRPara"/>
        <w:rPr>
          <w:lang w:val="pl-PL"/>
        </w:rPr>
      </w:pPr>
      <w:r w:rsidRPr="002D390C">
        <w:rPr>
          <w:lang w:val="pl-PL"/>
        </w:rPr>
        <w:t>Uwzględniając powyższą skargę wniesioną w dniu 22 listopada 2014</w:t>
      </w:r>
      <w:r w:rsidR="00F760D9">
        <w:rPr>
          <w:lang w:val="pl-PL"/>
        </w:rPr>
        <w:t xml:space="preserve"> r.</w:t>
      </w:r>
      <w:r w:rsidRPr="002D390C">
        <w:rPr>
          <w:lang w:val="pl-PL"/>
        </w:rPr>
        <w:t>,</w:t>
      </w:r>
    </w:p>
    <w:p w14:paraId="7B3874FA" w14:textId="77777777" w:rsidR="005D62EF" w:rsidRPr="002D390C" w:rsidRDefault="005D62EF" w:rsidP="00EB3E93">
      <w:pPr>
        <w:pStyle w:val="ECHRPara"/>
        <w:rPr>
          <w:lang w:val="pl-PL"/>
        </w:rPr>
      </w:pPr>
      <w:r w:rsidRPr="002D390C">
        <w:rPr>
          <w:lang w:val="pl-PL"/>
        </w:rPr>
        <w:t>Wydaje następującą decyzję:</w:t>
      </w:r>
    </w:p>
    <w:p w14:paraId="3FEC8465" w14:textId="77777777" w:rsidR="005D62EF" w:rsidRPr="002D390C" w:rsidRDefault="005D62EF" w:rsidP="00EB3E93">
      <w:pPr>
        <w:pStyle w:val="ECHRTitle1"/>
        <w:rPr>
          <w:lang w:val="pl-PL"/>
        </w:rPr>
      </w:pPr>
      <w:r w:rsidRPr="002D390C">
        <w:rPr>
          <w:lang w:val="pl-PL"/>
        </w:rPr>
        <w:t>FAKTY</w:t>
      </w:r>
    </w:p>
    <w:p w14:paraId="6F9FEDFB" w14:textId="36E496D2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</w:t>
      </w:r>
      <w:r w:rsidR="002E32CE" w:rsidRPr="002D390C">
        <w:rPr>
          <w:lang w:val="pl-PL"/>
        </w:rPr>
        <w:t>.  Skarżący, pan Rolf Anders Daniel Pihl, jest obywatelem szwedzkim, urodził się w 1986 r. i mieszka w Linköping, w Szwecji.</w:t>
      </w:r>
    </w:p>
    <w:p w14:paraId="6579A779" w14:textId="77777777" w:rsidR="002E32CE" w:rsidRPr="002D390C" w:rsidRDefault="002E32CE" w:rsidP="00EB3E93">
      <w:pPr>
        <w:pStyle w:val="ECHRHeading2"/>
        <w:rPr>
          <w:lang w:val="pl-PL"/>
        </w:rPr>
      </w:pPr>
      <w:r w:rsidRPr="002D390C">
        <w:rPr>
          <w:lang w:val="pl-PL"/>
        </w:rPr>
        <w:lastRenderedPageBreak/>
        <w:t>A.  Okoliczności sprawy</w:t>
      </w:r>
    </w:p>
    <w:p w14:paraId="071ABF60" w14:textId="5288C762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2</w:t>
      </w:r>
      <w:r w:rsidR="002E32CE" w:rsidRPr="002D390C">
        <w:rPr>
          <w:lang w:val="pl-PL"/>
        </w:rPr>
        <w:t>.  Przedstawione przez skarżącego fakty sprawy można podsumować w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sposób następujący:</w:t>
      </w:r>
    </w:p>
    <w:p w14:paraId="282C875D" w14:textId="4ADAEF33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3</w:t>
      </w:r>
      <w:r w:rsidR="002E32CE" w:rsidRPr="002D390C">
        <w:rPr>
          <w:lang w:val="pl-PL"/>
        </w:rPr>
        <w:t>.  W dniu 29 września 2011 r. ukazał się wpis na blogu oskarżający skarżącego o przynależność do partii nazistowskiej. Blog, na którym pojawił się post, był niewielkim blogiem prowadzonym przez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stowarzyszenie non-profit. Chociaż blog umożliwiał zamieszczanie komentarzy, wyraźnie stwierdzono, że komentarze takie nie są sprawdzane przed publikacją i że odpowiedzialność za takie wypowiedzi ponoszą osoby je zamieszczające. Z tego względu osoby zamieszczające komentarz proszono o „zachowanie dobrych obyczajów i przestrzeganie prawa”.</w:t>
      </w:r>
    </w:p>
    <w:p w14:paraId="4F51CB2F" w14:textId="27781B97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4</w:t>
      </w:r>
      <w:r w:rsidR="002E32CE" w:rsidRPr="002D390C">
        <w:rPr>
          <w:lang w:val="pl-PL"/>
        </w:rPr>
        <w:t>.  Dzień po opublikowaniu wiadomości anonimowa osoba używająca pseudonimu „björnpeder” zamieściła komentarz stwierdzający, że „według kilku osób, z którymi rozmawiałem, guy pihl jest również niezłym haszyszowym ćpunem” („</w:t>
      </w:r>
      <w:r w:rsidR="002E32CE" w:rsidRPr="00865A7E">
        <w:rPr>
          <w:i/>
          <w:lang w:val="pl-PL"/>
        </w:rPr>
        <w:t>han där pihl är ju dessutom en rejäler hasch pundare enligt flera jag snackat me</w:t>
      </w:r>
      <w:r w:rsidR="002E32CE" w:rsidRPr="002D390C">
        <w:rPr>
          <w:lang w:val="pl-PL"/>
        </w:rPr>
        <w:t>”).</w:t>
      </w:r>
    </w:p>
    <w:p w14:paraId="0FECA018" w14:textId="06AB62A3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5</w:t>
      </w:r>
      <w:r w:rsidR="002E32CE" w:rsidRPr="002D390C">
        <w:rPr>
          <w:lang w:val="pl-PL"/>
        </w:rPr>
        <w:t>.  W dniu 8 października 2011 r. skarżący zamieścił na blogu komentarz w odpowiedzi na powyższy komentarz i wpis na blogu na swój temat, stwierdzając, że informacje tam zawarte są błędne i powinny zostać natychmiast usunięte.</w:t>
      </w:r>
    </w:p>
    <w:p w14:paraId="03C68047" w14:textId="403E3929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6</w:t>
      </w:r>
      <w:r w:rsidR="002E32CE" w:rsidRPr="002D390C">
        <w:rPr>
          <w:lang w:val="pl-PL"/>
        </w:rPr>
        <w:t>.  W następnym dniu post na blogu i komentarz zostały usunięte, 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stowarzyszenie dodało nowy post - stwierdzając, że wcześniejszy post był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 xml:space="preserve">błędny i oparty na niedokładnych informacjach </w:t>
      </w:r>
      <w:r w:rsidR="00271DD3">
        <w:rPr>
          <w:lang w:val="pl-PL"/>
        </w:rPr>
        <w:t>–</w:t>
      </w:r>
      <w:r w:rsidR="002E32CE" w:rsidRPr="002D390C">
        <w:rPr>
          <w:lang w:val="pl-PL"/>
        </w:rPr>
        <w:t xml:space="preserve"> oraz</w:t>
      </w:r>
      <w:r w:rsidR="00271DD3">
        <w:rPr>
          <w:lang w:val="pl-PL"/>
        </w:rPr>
        <w:t xml:space="preserve"> </w:t>
      </w:r>
      <w:r w:rsidR="002E32CE" w:rsidRPr="002D390C">
        <w:rPr>
          <w:lang w:val="pl-PL"/>
        </w:rPr>
        <w:t>przeprosiło za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błąd. Jednak zdaniem skarżąceg</w:t>
      </w:r>
      <w:r w:rsidR="002D390C">
        <w:rPr>
          <w:lang w:val="pl-PL"/>
        </w:rPr>
        <w:t>o,</w:t>
      </w:r>
      <w:r w:rsidR="002E32CE" w:rsidRPr="002D390C">
        <w:rPr>
          <w:lang w:val="pl-PL"/>
        </w:rPr>
        <w:t xml:space="preserve"> za pośrednictwem </w:t>
      </w:r>
      <w:r w:rsidR="002D390C">
        <w:rPr>
          <w:lang w:val="pl-PL"/>
        </w:rPr>
        <w:t xml:space="preserve">wyszukiwarek, </w:t>
      </w:r>
      <w:r w:rsidR="002E32CE" w:rsidRPr="002D390C">
        <w:rPr>
          <w:lang w:val="pl-PL"/>
        </w:rPr>
        <w:t>w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internecie nadal można było znaleźć stary post i komentarz.</w:t>
      </w:r>
    </w:p>
    <w:p w14:paraId="7133E92D" w14:textId="2A17CBF4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7</w:t>
      </w:r>
      <w:r w:rsidR="002E32CE" w:rsidRPr="002D390C">
        <w:rPr>
          <w:lang w:val="pl-PL"/>
        </w:rPr>
        <w:t>.  W dniu 11 października 2011 r. skarżący pozwał stowarzyszenie, domagając się symbolicznego odszkodowania w wysokości 1 korony szwedzkiej (SEK), czyli około 0,10 euro (EUR). Twierdził, że post i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komentarz stanowią zniesławienie i że stowarzyszenie ponosi za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nie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odpowiedzialność - za komentarz z tego względu, że nie usunęło go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natychmiast.</w:t>
      </w:r>
    </w:p>
    <w:p w14:paraId="6F8544D4" w14:textId="6325B352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8</w:t>
      </w:r>
      <w:r w:rsidR="002E32CE" w:rsidRPr="002D390C">
        <w:rPr>
          <w:lang w:val="pl-PL"/>
        </w:rPr>
        <w:t>.  W dniu 11 listopada 2011 r. Sąd Rejonowy w Linköping (</w:t>
      </w:r>
      <w:r w:rsidR="002E32CE" w:rsidRPr="002D390C">
        <w:rPr>
          <w:i/>
          <w:iCs/>
          <w:lang w:val="pl-PL"/>
        </w:rPr>
        <w:t>tingsrätt</w:t>
      </w:r>
      <w:r w:rsidR="002E32CE" w:rsidRPr="002D390C">
        <w:rPr>
          <w:lang w:val="pl-PL"/>
        </w:rPr>
        <w:t>) oddalił roszczenia skarżącego, ale w dniu 10 lipca 2012 r. Sąd Apelacyjny w Göta (</w:t>
      </w:r>
      <w:r w:rsidR="002E32CE" w:rsidRPr="002D390C">
        <w:rPr>
          <w:i/>
          <w:iCs/>
          <w:lang w:val="pl-PL"/>
        </w:rPr>
        <w:t>hovrätt</w:t>
      </w:r>
      <w:r w:rsidR="002E32CE" w:rsidRPr="002D390C">
        <w:rPr>
          <w:lang w:val="pl-PL"/>
        </w:rPr>
        <w:t>) stwierdził popełnieni</w:t>
      </w:r>
      <w:r w:rsidR="00865A7E">
        <w:rPr>
          <w:lang w:val="pl-PL"/>
        </w:rPr>
        <w:t>e błędu proceduralnego. Uchylił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wyrok sąd</w:t>
      </w:r>
      <w:r w:rsidR="00865A7E">
        <w:rPr>
          <w:lang w:val="pl-PL"/>
        </w:rPr>
        <w:t>u niższej instancji i przekazał</w:t>
      </w:r>
      <w:r w:rsidR="002E32CE" w:rsidRPr="002D390C">
        <w:rPr>
          <w:lang w:val="pl-PL"/>
        </w:rPr>
        <w:t xml:space="preserve"> sprawę do ponownego rozpoznania.</w:t>
      </w:r>
    </w:p>
    <w:p w14:paraId="66AE5EFE" w14:textId="6C9D4D1A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9</w:t>
      </w:r>
      <w:r w:rsidR="002E32CE" w:rsidRPr="002D390C">
        <w:rPr>
          <w:lang w:val="pl-PL"/>
        </w:rPr>
        <w:t>.  Sąd Rejonowy w Linköping oddalił następnie powództwo dotyczące publikacji wpisu na blogu na tej podstawie, że w sprawie zastosowanie miał przepis ustawy o wolności wypowiedzi (</w:t>
      </w:r>
      <w:r w:rsidR="002E32CE" w:rsidRPr="002D390C">
        <w:rPr>
          <w:i/>
          <w:iCs/>
          <w:lang w:val="pl-PL"/>
        </w:rPr>
        <w:t>Yttrandefrihetsgrundlagen</w:t>
      </w:r>
      <w:r w:rsidR="002E32CE" w:rsidRPr="002D390C">
        <w:rPr>
          <w:lang w:val="pl-PL"/>
        </w:rPr>
        <w:t xml:space="preserve"> (1991:1469)) i że sądem właściwym do rozpatrzenia tej części powództwa był Sąd Okręgowy w Sztokholmie. Sąd ustalił jednak, że w odniesieniu do</w:t>
      </w:r>
      <w:r w:rsidR="00FD7F11">
        <w:rPr>
          <w:lang w:val="pl-PL"/>
        </w:rPr>
        <w:t> </w:t>
      </w:r>
      <w:r w:rsidR="00865A7E">
        <w:rPr>
          <w:lang w:val="pl-PL"/>
        </w:rPr>
        <w:t>komentarza zamieszczonego</w:t>
      </w:r>
      <w:r w:rsidR="002E32CE" w:rsidRPr="002D390C">
        <w:rPr>
          <w:lang w:val="pl-PL"/>
        </w:rPr>
        <w:t xml:space="preserve"> na blogu, jest sądem właściwym do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zbadania zarzutu skarżącego.</w:t>
      </w:r>
    </w:p>
    <w:p w14:paraId="4A7F185B" w14:textId="665B31C2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lastRenderedPageBreak/>
        <w:t>10</w:t>
      </w:r>
      <w:r w:rsidR="002E32CE" w:rsidRPr="002D390C">
        <w:rPr>
          <w:lang w:val="pl-PL"/>
        </w:rPr>
        <w:t>.  Skarżący argumentował przed Sądem Rejonowym, że komentarz na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blogu był niezgodny z prawdą i stanowił zniesławienie. Stowarzyszenie otrzymało wiadomość e-mail z chwilą wysłania komentarza i na podstawie analogicznej interpretacji art. 5 ustawy o odpowiedzialności za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elektroniczne tablice ogłoszeń (</w:t>
      </w:r>
      <w:r w:rsidR="002E32CE" w:rsidRPr="002D390C">
        <w:rPr>
          <w:i/>
          <w:iCs/>
          <w:lang w:val="pl-PL"/>
        </w:rPr>
        <w:t>lag [1998:112] om ansvar för</w:t>
      </w:r>
      <w:r w:rsidR="00FD7F11">
        <w:rPr>
          <w:i/>
          <w:iCs/>
          <w:lang w:val="pl-PL"/>
        </w:rPr>
        <w:t> </w:t>
      </w:r>
      <w:r w:rsidR="002E32CE" w:rsidRPr="002D390C">
        <w:rPr>
          <w:i/>
          <w:iCs/>
          <w:lang w:val="pl-PL"/>
        </w:rPr>
        <w:t>elektroniska anslagstavlor</w:t>
      </w:r>
      <w:r w:rsidR="002E32CE" w:rsidRPr="002D390C">
        <w:rPr>
          <w:lang w:val="pl-PL"/>
        </w:rPr>
        <w:t>; zob. par. 18 poniżej) było zobowiązane do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natychmiastowego usunięcia komentarza, ponieważ był on obraźliwy. Nie do przyjęcia było to, że komentarz pozostawał na blogu przez dziewięć dni, ponieważ został rozpowszechniony i można go było wyszukiwać. Ponadto skarżący oświadczył, że skoro nie można znaleźć osoby, która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 xml:space="preserve">napisała komentarz - ostatnim śladem był bowiem francuski adres IP </w:t>
      </w:r>
      <w:r w:rsidR="00271DD3">
        <w:rPr>
          <w:lang w:val="pl-PL"/>
        </w:rPr>
        <w:t>–</w:t>
      </w:r>
      <w:r w:rsidR="002E32CE" w:rsidRPr="002D390C">
        <w:rPr>
          <w:lang w:val="pl-PL"/>
        </w:rPr>
        <w:t xml:space="preserve"> stowarzyszenie może zostać pociągnięte do odpowiedzialności za brak niezwłocznego usunięcia zniesławiającego komentarza.</w:t>
      </w:r>
    </w:p>
    <w:p w14:paraId="08D62BFC" w14:textId="6B4CCEA8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11</w:t>
      </w:r>
      <w:r w:rsidR="002E32CE" w:rsidRPr="002D390C">
        <w:rPr>
          <w:lang w:val="pl-PL"/>
        </w:rPr>
        <w:t>.  Stowarzyszenie przyznało, że komentarz ten stanowił zniesławienie i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że po jego opublikowaniu otrzymało wiadomość e-mail. Podkreśl</w:t>
      </w:r>
      <w:r w:rsidR="00865A7E">
        <w:rPr>
          <w:lang w:val="pl-PL"/>
        </w:rPr>
        <w:t>iło</w:t>
      </w:r>
      <w:r w:rsidR="002E32CE" w:rsidRPr="002D390C">
        <w:rPr>
          <w:lang w:val="pl-PL"/>
        </w:rPr>
        <w:t xml:space="preserve"> jednak, że komentarze zamieszczone na blogu nie były recenzowane przed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ich publikacją, a na stronie internetowej wyraźnie zaznaczono, że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za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komentarze odpowiedzialni są ich autorzy. Stowarzyszenie nie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ponosiło zatem odpowiedzialności za ten komentarz. Ponadto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stowarzyszenie nie miało obowiązku usunięcia komentarza na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podstawie ustawy o odpowiedzialności za elektroniczne tablice ogłoszeń, ponieważ zniesławienie nie było jednym z przestępstw wymienionych w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ustawie, w odniesieniu do których taki obowiązek istniał.</w:t>
      </w:r>
    </w:p>
    <w:p w14:paraId="1B621C9E" w14:textId="73F6B504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12</w:t>
      </w:r>
      <w:r w:rsidR="002E32CE" w:rsidRPr="002D390C">
        <w:rPr>
          <w:lang w:val="pl-PL"/>
        </w:rPr>
        <w:t>.  W dniu 11 marca 2013 r. Sąd Rejonowy oddalił wniosek skarżącego. Sąd uznał, że komentarz stanowił zniesławienie w oparciu o treść i kontekst, w jakim został sformułowany. Nie znalazł jednak podstaw prawnych pociągnięcia stowarzyszenia do odpowiedzialności na podstawie braku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usunięcia komentarza w terminie wcześniejszym. Sąd zauważył, że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art. 5 ustawy o odpowiedzialności za elektroniczne tablice ogłoszeń nie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obejmuje zniesławienia i z tego powodu stowarzyszenie lub jego prawny przedstawiciel nie mogą z</w:t>
      </w:r>
      <w:r w:rsidR="00865A7E">
        <w:rPr>
          <w:lang w:val="pl-PL"/>
        </w:rPr>
        <w:t>ostać oskarżeni o zniesławienie</w:t>
      </w:r>
      <w:r w:rsidR="002E32CE" w:rsidRPr="002D390C">
        <w:rPr>
          <w:lang w:val="pl-PL"/>
        </w:rPr>
        <w:t xml:space="preserve"> ani w charakterze zleceniodawcy, ani wspólnika, zgodnie z Kodeksem karnym lub art. 5 ustawy.</w:t>
      </w:r>
    </w:p>
    <w:p w14:paraId="1DF0AA79" w14:textId="3E91EEFE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13</w:t>
      </w:r>
      <w:r w:rsidR="002E32CE" w:rsidRPr="002D390C">
        <w:rPr>
          <w:lang w:val="pl-PL"/>
        </w:rPr>
        <w:t>.  Skarżący złożył apelację od wyroku do Sądu Apelacyjnego, który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ją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przyjął. W dniu 28 listopada 2013 r. Sąd ten utrzymał w mocy wyrok Sądu Rejonowego w całości, nie znajdując żadnego powodu do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uchylenia wniosków sądu niższej instancji.</w:t>
      </w:r>
    </w:p>
    <w:p w14:paraId="34C8ABF7" w14:textId="3B53D3A4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14</w:t>
      </w:r>
      <w:r w:rsidR="002E32CE" w:rsidRPr="00FB6F89">
        <w:rPr>
          <w:lang w:val="pl-PL"/>
        </w:rPr>
        <w:t>.  W dniu 19 marca 2014 r. Sąd Najwyższy (</w:t>
      </w:r>
      <w:r w:rsidR="002E32CE" w:rsidRPr="00FB6F89">
        <w:rPr>
          <w:i/>
          <w:iCs/>
          <w:lang w:val="pl-PL"/>
        </w:rPr>
        <w:t>Högsta domstolen</w:t>
      </w:r>
      <w:r w:rsidR="002E32CE" w:rsidRPr="00FB6F89">
        <w:rPr>
          <w:lang w:val="pl-PL"/>
        </w:rPr>
        <w:t>)</w:t>
      </w:r>
      <w:r w:rsidR="00FB6F89" w:rsidRPr="00FB6F89">
        <w:rPr>
          <w:lang w:val="pl-PL"/>
        </w:rPr>
        <w:t xml:space="preserve"> od</w:t>
      </w:r>
      <w:r w:rsidR="00A92B88">
        <w:rPr>
          <w:lang w:val="pl-PL"/>
        </w:rPr>
        <w:t>mówił przyjęcia apelacji</w:t>
      </w:r>
      <w:r w:rsidR="00FB6F89" w:rsidRPr="00FB6F89">
        <w:rPr>
          <w:lang w:val="pl-PL"/>
        </w:rPr>
        <w:t xml:space="preserve"> skarżącego.</w:t>
      </w:r>
    </w:p>
    <w:p w14:paraId="1179EB90" w14:textId="1C3C8501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15</w:t>
      </w:r>
      <w:r w:rsidR="002E32CE" w:rsidRPr="002D390C">
        <w:rPr>
          <w:lang w:val="pl-PL"/>
        </w:rPr>
        <w:t>.  W dniu 11 kwietnia 2014 r. skarżący złożył do Kanclerza Sprawiedliwości</w:t>
      </w:r>
      <w:r w:rsidR="002E32CE" w:rsidRPr="002D390C">
        <w:rPr>
          <w:b/>
          <w:bCs/>
          <w:i/>
          <w:iCs/>
          <w:lang w:val="pl-PL"/>
        </w:rPr>
        <w:t xml:space="preserve"> </w:t>
      </w:r>
      <w:r w:rsidR="002E32CE" w:rsidRPr="002D390C">
        <w:rPr>
          <w:i/>
          <w:iCs/>
          <w:lang w:val="pl-PL"/>
        </w:rPr>
        <w:t>(Justitiekanslern</w:t>
      </w:r>
      <w:r w:rsidR="002E32CE" w:rsidRPr="002D390C">
        <w:rPr>
          <w:lang w:val="pl-PL"/>
        </w:rPr>
        <w:t>) wniosek o odszkodowanie na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tej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 xml:space="preserve">podstawie, że państwo uchybiło ciążącym na nim obowiązkom pozytywnym wynikającym z art. 8 Konwencji ze względu na decyzję sądów </w:t>
      </w:r>
      <w:r w:rsidR="002E32CE" w:rsidRPr="002D390C">
        <w:rPr>
          <w:lang w:val="pl-PL"/>
        </w:rPr>
        <w:lastRenderedPageBreak/>
        <w:t>krajowych o niepociągnięciu stowarzyszenia do odpowiedzialności za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zniesławiający go komentarz</w:t>
      </w:r>
    </w:p>
    <w:p w14:paraId="0D4EBC12" w14:textId="3AFF1AB8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16</w:t>
      </w:r>
      <w:r w:rsidR="002E32CE" w:rsidRPr="002D390C">
        <w:rPr>
          <w:lang w:val="pl-PL"/>
        </w:rPr>
        <w:t>.  W dniu 25 lipca 2015 r. Kanclerz Sprawiedliwości odrzucił wniosek. Kanclerz zauważył, że ochrona przed zniesławiającymi stwierdzeniami wchodzi w zakres art. 8 Konwencji, ale w sytuacjach takich jak obecna należy dokonać równoważenia praw skarżącego wynikających z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tego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 xml:space="preserve">artykułu z prawem do wolności </w:t>
      </w:r>
      <w:r w:rsidR="00865A7E">
        <w:rPr>
          <w:lang w:val="pl-PL"/>
        </w:rPr>
        <w:t>wyrażania opinii</w:t>
      </w:r>
      <w:r w:rsidR="002E32CE" w:rsidRPr="002D390C">
        <w:rPr>
          <w:lang w:val="pl-PL"/>
        </w:rPr>
        <w:t xml:space="preserve"> zagwarantowanym art. 10. Odwołując się do argumentacji Trybunału w sprawie </w:t>
      </w:r>
      <w:r w:rsidR="002E32CE" w:rsidRPr="002D390C">
        <w:rPr>
          <w:i/>
          <w:iCs/>
          <w:lang w:val="pl-PL"/>
        </w:rPr>
        <w:t>Delfi AS przeciwko Estonii</w:t>
      </w:r>
      <w:r w:rsidR="002E32CE" w:rsidRPr="002D390C">
        <w:rPr>
          <w:lang w:val="pl-PL"/>
        </w:rPr>
        <w:t xml:space="preserve"> (nr 64569/09, 10 października 2013 r.) i stwierdzając, że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sprawa została przekazana Wielkiej Izbie, Kanclerz stwierdził, że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z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orzecznictwa Trybunału nie można wywnioskować, iż na państwach ciąży bezwzględny obowiązek posiadania, w każdym indywidualnym przypadku, przepisów prawnych umożliwiających pociągnięcie osoby odpowiedzialnej za bloga do odpowiedzialności za zamieszczane tam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komentarze. Zamiast powyższego, prawa wynikające z art. 8 i 10 muszą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być w każdym indywidualnym przypadku równoważone, przy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czym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 xml:space="preserve">państwu przysługuje w tym zakresie pewien margines </w:t>
      </w:r>
      <w:r w:rsidR="00865A7E">
        <w:rPr>
          <w:lang w:val="pl-PL"/>
        </w:rPr>
        <w:t>oceny</w:t>
      </w:r>
      <w:r w:rsidR="002E32CE" w:rsidRPr="002D390C">
        <w:rPr>
          <w:lang w:val="pl-PL"/>
        </w:rPr>
        <w:t>. W</w:t>
      </w:r>
      <w:r w:rsidR="00271DD3">
        <w:rPr>
          <w:lang w:val="pl-PL"/>
        </w:rPr>
        <w:t> </w:t>
      </w:r>
      <w:r w:rsidR="002E32CE" w:rsidRPr="002D390C">
        <w:rPr>
          <w:lang w:val="pl-PL"/>
        </w:rPr>
        <w:t>związku z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powyższym Kanclerz uznał, iż okoliczności przedmiotowej sprawy nie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uzasadniają wniosku, że doszło do naruszenia art. 8.</w:t>
      </w:r>
    </w:p>
    <w:p w14:paraId="2091C054" w14:textId="77777777" w:rsidR="002E32CE" w:rsidRPr="002D390C" w:rsidRDefault="002E32CE" w:rsidP="00EB3E93">
      <w:pPr>
        <w:pStyle w:val="ECHRHeading2"/>
        <w:spacing w:line="276" w:lineRule="auto"/>
        <w:rPr>
          <w:lang w:val="pl-PL"/>
        </w:rPr>
      </w:pPr>
      <w:r w:rsidRPr="002D390C">
        <w:rPr>
          <w:lang w:val="pl-PL"/>
        </w:rPr>
        <w:t>B.  Właściwe prawo krajowe</w:t>
      </w:r>
    </w:p>
    <w:p w14:paraId="128C1C6D" w14:textId="05AEA25A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17</w:t>
      </w:r>
      <w:r w:rsidR="0013457B" w:rsidRPr="002D390C">
        <w:rPr>
          <w:lang w:val="pl-PL"/>
        </w:rPr>
        <w:t>.  Zniesławienie podlega karze na mocy rozdziału 5, art. 1 Kodeksu karnego (</w:t>
      </w:r>
      <w:r w:rsidR="0013457B" w:rsidRPr="002D390C">
        <w:rPr>
          <w:i/>
          <w:iCs/>
          <w:lang w:val="pl-PL"/>
        </w:rPr>
        <w:t>Brottsbalken</w:t>
      </w:r>
      <w:r w:rsidR="0013457B" w:rsidRPr="002D390C">
        <w:rPr>
          <w:lang w:val="pl-PL"/>
        </w:rPr>
        <w:t xml:space="preserve"> (1962:700)), który brzmi następująco</w:t>
      </w:r>
    </w:p>
    <w:p w14:paraId="242B4722" w14:textId="77777777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 xml:space="preserve">„Osoba, która wskazuje na kogoś jako przestępcę lub osobę o nagannym sposobie życia lub w inny sposób przekazuje informacje mające na celu narażenie na brak szacunku ze strony innych osób, podlega karze grzywny za </w:t>
      </w:r>
      <w:r w:rsidRPr="002D390C">
        <w:rPr>
          <w:i/>
          <w:iCs/>
          <w:lang w:val="pl-PL"/>
        </w:rPr>
        <w:t>zniesławienie</w:t>
      </w:r>
      <w:r w:rsidRPr="002D390C">
        <w:rPr>
          <w:lang w:val="pl-PL"/>
        </w:rPr>
        <w:t>.</w:t>
      </w:r>
    </w:p>
    <w:p w14:paraId="2B54AC69" w14:textId="3610209D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Jeżeli taka osoba miała obowiązek wyrażenia opinii lub jeżeli, biorąc pod uwagę okoliczności, przekazanie informacji w danej sprawie było uzasadnione lub jeżeli osoba może wykazać, że informacje były prawdziwe lub istniały uzasadnione podstawy takich informacji, kara nie zostanie zastosowana</w:t>
      </w:r>
      <w:r w:rsidR="003F1520">
        <w:rPr>
          <w:lang w:val="pl-PL"/>
        </w:rPr>
        <w:t>”.</w:t>
      </w:r>
    </w:p>
    <w:p w14:paraId="6A66EF70" w14:textId="17DB7241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18</w:t>
      </w:r>
      <w:r w:rsidR="0013457B" w:rsidRPr="002D390C">
        <w:rPr>
          <w:lang w:val="pl-PL"/>
        </w:rPr>
        <w:t>.  Art</w:t>
      </w:r>
      <w:r w:rsidR="00FE20C9">
        <w:rPr>
          <w:lang w:val="pl-PL"/>
        </w:rPr>
        <w:t>.</w:t>
      </w:r>
      <w:r w:rsidR="0013457B" w:rsidRPr="002D390C">
        <w:rPr>
          <w:lang w:val="pl-PL"/>
        </w:rPr>
        <w:t xml:space="preserve"> 5 ustawy o odpowiedzialności za elektroniczne tablice ogłoszeń, dotyczący obowiązku usuwania niektórych komunikatów, stanowi:</w:t>
      </w:r>
    </w:p>
    <w:p w14:paraId="09FC9DD7" w14:textId="77777777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„Jeżeli użytkownik zamieszcza wiadomość na elektronicznej tablicy ogłoszeń, dostawca usługi ma obowiązek usunąć wiadomość z usługi lub w inny sposób uniemożliwić jej dalsze rozpowszechnianie, jeżeli:</w:t>
      </w:r>
    </w:p>
    <w:p w14:paraId="3B400823" w14:textId="1C1713F2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1. treść wiadomości w sposób oczywisty spełnia przesłanki, o których mowa w</w:t>
      </w:r>
      <w:r w:rsidR="00FD7F11">
        <w:rPr>
          <w:lang w:val="pl-PL"/>
        </w:rPr>
        <w:t> </w:t>
      </w:r>
      <w:r w:rsidRPr="002D390C">
        <w:rPr>
          <w:lang w:val="pl-PL"/>
        </w:rPr>
        <w:t>Kodeksie karnym, rozdział 16, art. 5, o podżeganiu do buntu, rozdział 16, art. 8, o</w:t>
      </w:r>
      <w:r w:rsidR="00FD7F11">
        <w:rPr>
          <w:lang w:val="pl-PL"/>
        </w:rPr>
        <w:t> </w:t>
      </w:r>
      <w:r w:rsidRPr="002D390C">
        <w:rPr>
          <w:lang w:val="pl-PL"/>
        </w:rPr>
        <w:t>agitacji przeciwko narodowej grupie etnicznej, rozdział 16, art. 10a, o pornografii dziecięcej lub rozdział 16, art. 10b, o bezprawnym przedstawianiu przemocy, lub</w:t>
      </w:r>
    </w:p>
    <w:p w14:paraId="2285080C" w14:textId="0B85CE75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2. oczywiste jest, że zamieszczając wiadomość, użytkownik naruszył prawa autorskie lub inne prawa chronione art. 5 ustawy o prawie autorskim (dzieła</w:t>
      </w:r>
      <w:r w:rsidR="00271DD3">
        <w:rPr>
          <w:lang w:val="pl-PL"/>
        </w:rPr>
        <w:t> </w:t>
      </w:r>
      <w:r w:rsidRPr="002D390C">
        <w:rPr>
          <w:lang w:val="pl-PL"/>
        </w:rPr>
        <w:t>artystyczne i literackie) (1960:729).</w:t>
      </w:r>
    </w:p>
    <w:p w14:paraId="64928C53" w14:textId="77777777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lastRenderedPageBreak/>
        <w:t xml:space="preserve">Dostawca ma prawo weryfikowania treści zamieszczanych komunikatów, aby móc wypełniać zobowiązanie wynikające z akapitu pierwszego. </w:t>
      </w:r>
    </w:p>
    <w:p w14:paraId="651E2F6E" w14:textId="18C8D939" w:rsidR="008461BF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Obowiązek wynikający z akapitu pierwszego i prawo wynikające z akapitu drugiego mają również zastosowanie do osób wyznaczonych przez dostawcę do nadzorowania usługi</w:t>
      </w:r>
      <w:r w:rsidR="003F1520">
        <w:rPr>
          <w:lang w:val="pl-PL"/>
        </w:rPr>
        <w:t>”.</w:t>
      </w:r>
    </w:p>
    <w:p w14:paraId="520E82A6" w14:textId="239AE528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19</w:t>
      </w:r>
      <w:r w:rsidR="002E32CE" w:rsidRPr="002D390C">
        <w:rPr>
          <w:lang w:val="pl-PL"/>
        </w:rPr>
        <w:t xml:space="preserve">.  Zgodnie z art. 7 ustawy osoba, która umyślnie lub wskutek rażącego niedbalstwa naruszy art. 5 ust. 1 ustawy, zostanie skazana na karę grzywny lub maksymalnie sześć miesięcy pozbawienia wolności albo, w przypadku popełnienia </w:t>
      </w:r>
      <w:r w:rsidR="00FE20C9">
        <w:rPr>
          <w:lang w:val="pl-PL"/>
        </w:rPr>
        <w:t xml:space="preserve">kwalifikowanego </w:t>
      </w:r>
      <w:r w:rsidR="002E32CE" w:rsidRPr="002D390C">
        <w:rPr>
          <w:lang w:val="pl-PL"/>
        </w:rPr>
        <w:t>przestępstwa, na maksymalnie dwa lata pozbawienia wolności. W przypadku mniej poważnych naruszeń osoba nie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będzie pociągana do odpowiedzialności. Ponadto art. 7 ust. 2 stanowi, że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akapit pierwszy nie będzie miał zastosowania, jeżeli przestępstwo podlega odpowiedzialności karnej na podstawie Kodeksu karnego lub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ustawy o prawie autorskim.</w:t>
      </w:r>
    </w:p>
    <w:p w14:paraId="11B70588" w14:textId="62BBCC58" w:rsidR="008461BF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20</w:t>
      </w:r>
      <w:r w:rsidR="002E32CE" w:rsidRPr="002D390C">
        <w:rPr>
          <w:lang w:val="pl-PL"/>
        </w:rPr>
        <w:t>.  Art. 4 ustawy stanowi, że aby móc wypełnić obowiązki wynikające z</w:t>
      </w:r>
      <w:r w:rsidR="00FD7F11">
        <w:rPr>
          <w:lang w:val="pl-PL"/>
        </w:rPr>
        <w:t> </w:t>
      </w:r>
      <w:r w:rsidR="002E32CE" w:rsidRPr="002D390C">
        <w:rPr>
          <w:lang w:val="pl-PL"/>
        </w:rPr>
        <w:t>art. 5 ustawy, dostawca biuletynu elektronicznego musi nadzorować monitorowanie usługi w sposób, jakiego można racjonalnie oczekiwać, biorąc pod uwagę zakres i tematykę usługi.</w:t>
      </w:r>
    </w:p>
    <w:p w14:paraId="355BE31C" w14:textId="77777777" w:rsidR="002E32CE" w:rsidRPr="002D390C" w:rsidRDefault="002E32CE" w:rsidP="00EB3E93">
      <w:pPr>
        <w:pStyle w:val="ECHRTitle1"/>
        <w:spacing w:line="276" w:lineRule="auto"/>
        <w:rPr>
          <w:lang w:val="pl-PL"/>
        </w:rPr>
      </w:pPr>
      <w:r w:rsidRPr="002D390C">
        <w:rPr>
          <w:lang w:val="pl-PL"/>
        </w:rPr>
        <w:t>SKARGA</w:t>
      </w:r>
    </w:p>
    <w:p w14:paraId="21248590" w14:textId="6352B32F" w:rsidR="002E32CE" w:rsidRPr="002D390C" w:rsidRDefault="00FB6A16" w:rsidP="00EB3E93">
      <w:pPr>
        <w:pStyle w:val="ECHRPara"/>
        <w:rPr>
          <w:rStyle w:val="JuParaCar"/>
          <w:lang w:val="pl-PL"/>
        </w:rPr>
      </w:pPr>
      <w:r>
        <w:rPr>
          <w:lang w:val="pl-PL"/>
        </w:rPr>
        <w:t>21</w:t>
      </w:r>
      <w:r w:rsidR="002E32CE" w:rsidRPr="002D390C">
        <w:rPr>
          <w:lang w:val="pl-PL"/>
        </w:rPr>
        <w:t>.  </w:t>
      </w:r>
      <w:r w:rsidR="002E32CE" w:rsidRPr="002D390C">
        <w:rPr>
          <w:rStyle w:val="JuParaCar"/>
          <w:lang w:val="pl-PL"/>
        </w:rPr>
        <w:t>Skarżący podniósł zarzut naruszenia art. 8 Konwencji w</w:t>
      </w:r>
      <w:r w:rsidR="00FD7F11">
        <w:rPr>
          <w:rStyle w:val="JuParaCar"/>
          <w:lang w:val="pl-PL"/>
        </w:rPr>
        <w:t> </w:t>
      </w:r>
      <w:r w:rsidR="002E32CE" w:rsidRPr="002D390C">
        <w:rPr>
          <w:rStyle w:val="JuParaCar"/>
          <w:lang w:val="pl-PL"/>
        </w:rPr>
        <w:t>tym</w:t>
      </w:r>
      <w:r w:rsidR="00FD7F11">
        <w:rPr>
          <w:rStyle w:val="JuParaCar"/>
          <w:lang w:val="pl-PL"/>
        </w:rPr>
        <w:t> </w:t>
      </w:r>
      <w:r w:rsidR="002E32CE" w:rsidRPr="002D390C">
        <w:rPr>
          <w:rStyle w:val="JuParaCar"/>
          <w:lang w:val="pl-PL"/>
        </w:rPr>
        <w:t>względzie, że szwedzkie ustawodawstwo uniemożliwiło mu</w:t>
      </w:r>
      <w:r w:rsidR="00FD7F11">
        <w:rPr>
          <w:rStyle w:val="JuParaCar"/>
          <w:lang w:val="pl-PL"/>
        </w:rPr>
        <w:t> </w:t>
      </w:r>
      <w:r w:rsidR="002E32CE" w:rsidRPr="002D390C">
        <w:rPr>
          <w:rStyle w:val="JuParaCar"/>
          <w:lang w:val="pl-PL"/>
        </w:rPr>
        <w:t>pociągnięcie stowarzyszenia do odpowiedzialności za zniesławiający komentarz, który stanowił naruszenie jego prawa do poszanowania życia prywatnego.</w:t>
      </w:r>
    </w:p>
    <w:p w14:paraId="1124975E" w14:textId="77777777" w:rsidR="002E32CE" w:rsidRPr="002D390C" w:rsidRDefault="002E32CE" w:rsidP="00EB3E93">
      <w:pPr>
        <w:pStyle w:val="ECHRTitle1"/>
        <w:rPr>
          <w:lang w:val="pl-PL"/>
        </w:rPr>
      </w:pPr>
      <w:r w:rsidRPr="002D390C">
        <w:rPr>
          <w:lang w:val="pl-PL"/>
        </w:rPr>
        <w:fldChar w:fldCharType="begin"/>
      </w:r>
      <w:r w:rsidRPr="002D390C">
        <w:rPr>
          <w:lang w:val="pl-PL"/>
        </w:rPr>
        <w:instrText xml:space="preserve"> MACROBUTTON [ITMARKFactsComplaintsEnd]</w:instrText>
      </w:r>
      <w:r w:rsidRPr="002D390C">
        <w:rPr>
          <w:lang w:val="pl-PL"/>
        </w:rPr>
        <w:fldChar w:fldCharType="end"/>
      </w:r>
      <w:r w:rsidRPr="002D390C">
        <w:rPr>
          <w:lang w:val="pl-PL"/>
        </w:rPr>
        <w:t>PRAWO</w:t>
      </w:r>
    </w:p>
    <w:p w14:paraId="43CFB183" w14:textId="1902AFEB" w:rsidR="002E32CE" w:rsidRPr="002D390C" w:rsidRDefault="00FB6A16" w:rsidP="00EB3E93">
      <w:pPr>
        <w:pStyle w:val="ECHRPara"/>
        <w:rPr>
          <w:lang w:val="pl-PL"/>
        </w:rPr>
      </w:pPr>
      <w:r>
        <w:rPr>
          <w:lang w:val="pl-PL"/>
        </w:rPr>
        <w:t>22</w:t>
      </w:r>
      <w:r w:rsidR="002E32CE" w:rsidRPr="002D390C">
        <w:rPr>
          <w:lang w:val="pl-PL"/>
        </w:rPr>
        <w:t>.  Skarżący podniósł zarzut naruszenia jego prawa do prywatności niezgodnie z art. 8 Konwencji, który w odpowiednich częściach brzmi:</w:t>
      </w:r>
    </w:p>
    <w:p w14:paraId="11D9C98E" w14:textId="77777777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„1. Każdy ma prawo do poszanowania swojego życia ... prywatnego ...</w:t>
      </w:r>
    </w:p>
    <w:p w14:paraId="6B1613B1" w14:textId="3CE40F63" w:rsidR="002E32CE" w:rsidRPr="002D390C" w:rsidRDefault="002E32CE" w:rsidP="00EB3E93">
      <w:pPr>
        <w:pStyle w:val="ECHRParaQuote"/>
        <w:rPr>
          <w:lang w:val="pl-PL"/>
        </w:rPr>
      </w:pPr>
      <w:r w:rsidRPr="002D390C">
        <w:rPr>
          <w:lang w:val="pl-PL"/>
        </w:rPr>
        <w:t>2. Niedopuszczalna jest ingerencja władzy publicznej w korzystanie z tego prawa z</w:t>
      </w:r>
      <w:r w:rsidR="00FD7F11">
        <w:rPr>
          <w:lang w:val="pl-PL"/>
        </w:rPr>
        <w:t> </w:t>
      </w:r>
      <w:r w:rsidRPr="002D390C">
        <w:rPr>
          <w:lang w:val="pl-PL"/>
        </w:rPr>
        <w:t>wyjątkiem przypadków przewidzianych przez ustawę i koniecznych w</w:t>
      </w:r>
      <w:r w:rsidR="00FD7F11">
        <w:rPr>
          <w:lang w:val="pl-PL"/>
        </w:rPr>
        <w:t> </w:t>
      </w:r>
      <w:r w:rsidRPr="002D390C">
        <w:rPr>
          <w:lang w:val="pl-PL"/>
        </w:rPr>
        <w:t>demokratycznym społeczeństwie z uwagi na bezpieczeństwo państwowe, bezpieczeństwo publiczne lub dobrobyt gospodarczy kraju, ochronę porządku i</w:t>
      </w:r>
      <w:r w:rsidR="00FD7F11">
        <w:rPr>
          <w:lang w:val="pl-PL"/>
        </w:rPr>
        <w:t> </w:t>
      </w:r>
      <w:r w:rsidRPr="002D390C">
        <w:rPr>
          <w:lang w:val="pl-PL"/>
        </w:rPr>
        <w:t>zapobieganie przestępstwom, ochronę zdrowia i moralności lub ochronę praw i</w:t>
      </w:r>
      <w:r w:rsidR="00FD7F11">
        <w:rPr>
          <w:lang w:val="pl-PL"/>
        </w:rPr>
        <w:t> </w:t>
      </w:r>
      <w:r w:rsidRPr="002D390C">
        <w:rPr>
          <w:lang w:val="pl-PL"/>
        </w:rPr>
        <w:t>wolności osób</w:t>
      </w:r>
      <w:r w:rsidR="003F1520">
        <w:rPr>
          <w:lang w:val="pl-PL"/>
        </w:rPr>
        <w:t>”.</w:t>
      </w:r>
    </w:p>
    <w:p w14:paraId="48FE559A" w14:textId="54862BD7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 w:val="23"/>
          <w:szCs w:val="23"/>
          <w:lang w:val="pl-PL"/>
        </w:rPr>
        <w:t>23</w:t>
      </w:r>
      <w:r w:rsidR="002E32CE" w:rsidRPr="002D390C">
        <w:rPr>
          <w:sz w:val="23"/>
          <w:szCs w:val="23"/>
          <w:lang w:val="pl-PL"/>
        </w:rPr>
        <w:t>.  </w:t>
      </w:r>
      <w:r w:rsidR="002E32CE" w:rsidRPr="002D390C">
        <w:rPr>
          <w:szCs w:val="24"/>
          <w:lang w:val="pl-PL"/>
        </w:rPr>
        <w:t>Trybunał przypomina, że koncepcja „życia prywatnego” w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rozumieniu art. 8 Konwencji jest pojęciem szerokim, obejmującym kilka </w:t>
      </w:r>
      <w:r w:rsidR="002E32CE" w:rsidRPr="002D390C">
        <w:rPr>
          <w:szCs w:val="24"/>
          <w:lang w:val="pl-PL"/>
        </w:rPr>
        <w:lastRenderedPageBreak/>
        <w:t>aspektów dotyczących tożsamości osoby, takich jak imię i nazwisko czy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wizerunek osoby, a także integralność fizyczną i psychiczną osoby (zob.</w:t>
      </w:r>
      <w:r w:rsidR="00FD7F11">
        <w:rPr>
          <w:szCs w:val="24"/>
          <w:lang w:val="pl-PL"/>
        </w:rPr>
        <w:t> </w:t>
      </w:r>
      <w:r w:rsidR="002E32CE" w:rsidRPr="002D390C">
        <w:rPr>
          <w:i/>
          <w:iCs/>
          <w:szCs w:val="24"/>
          <w:lang w:val="pl-PL"/>
        </w:rPr>
        <w:t>Von Hannover przeciwko Niemcom</w:t>
      </w:r>
      <w:r w:rsidR="002E32CE" w:rsidRPr="002D390C">
        <w:rPr>
          <w:szCs w:val="24"/>
          <w:lang w:val="pl-PL"/>
        </w:rPr>
        <w:t>, nr 59320/00, § 50, ETPCz 2004</w:t>
      </w:r>
      <w:r w:rsidR="002E32CE" w:rsidRPr="002D390C">
        <w:rPr>
          <w:szCs w:val="24"/>
          <w:lang w:val="pl-PL"/>
        </w:rPr>
        <w:noBreakHyphen/>
        <w:t>VI, z dalszymi odniesieniami). Trybunał przyjmował ponadto, że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prawo osoby do ochrony </w:t>
      </w:r>
      <w:r w:rsidR="00FE20C9">
        <w:rPr>
          <w:szCs w:val="24"/>
          <w:lang w:val="pl-PL"/>
        </w:rPr>
        <w:t>dobrego imienia</w:t>
      </w:r>
      <w:r w:rsidR="002E32CE" w:rsidRPr="002D390C">
        <w:rPr>
          <w:szCs w:val="24"/>
          <w:lang w:val="pl-PL"/>
        </w:rPr>
        <w:t xml:space="preserve"> mieści się w zakresie art. 8 w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ramach prawa do poszanowania życia prywatnego (zob. </w:t>
      </w:r>
      <w:r w:rsidR="002E32CE" w:rsidRPr="002D390C">
        <w:rPr>
          <w:i/>
          <w:iCs/>
          <w:lang w:val="pl-PL"/>
        </w:rPr>
        <w:t>Magyar Tartalomszolgáltatók Egyesülete i Index.hu Zrt przeciwko Węgrom</w:t>
      </w:r>
      <w:r w:rsidR="002E32CE" w:rsidRPr="002D390C">
        <w:rPr>
          <w:lang w:val="pl-PL"/>
        </w:rPr>
        <w:t>, nr 22947/13</w:t>
      </w:r>
      <w:r w:rsidR="002E32CE" w:rsidRPr="002D390C">
        <w:rPr>
          <w:snapToGrid w:val="0"/>
          <w:lang w:val="pl-PL"/>
        </w:rPr>
        <w:t xml:space="preserve">, § 57, 2 lutego 2016 r. oraz </w:t>
      </w:r>
      <w:r w:rsidR="002E32CE" w:rsidRPr="002D390C">
        <w:rPr>
          <w:i/>
          <w:iCs/>
          <w:szCs w:val="24"/>
          <w:lang w:val="pl-PL"/>
        </w:rPr>
        <w:t>Pfeifer przeciwko Austrii</w:t>
      </w:r>
      <w:r w:rsidR="002E32CE" w:rsidRPr="002D390C">
        <w:rPr>
          <w:szCs w:val="24"/>
          <w:lang w:val="pl-PL"/>
        </w:rPr>
        <w:t>, nr 12556/03, § 35, ETPCz 2007</w:t>
      </w:r>
      <w:r w:rsidR="002E32CE" w:rsidRPr="002D390C">
        <w:rPr>
          <w:rFonts w:ascii="MS Mincho" w:hAnsi="MS Mincho"/>
          <w:szCs w:val="24"/>
          <w:lang w:val="pl-PL"/>
        </w:rPr>
        <w:noBreakHyphen/>
      </w:r>
      <w:r w:rsidR="002E32CE" w:rsidRPr="002D390C">
        <w:rPr>
          <w:szCs w:val="24"/>
          <w:lang w:val="pl-PL"/>
        </w:rPr>
        <w:t>XII).</w:t>
      </w:r>
    </w:p>
    <w:p w14:paraId="6026C8CA" w14:textId="4939829A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24</w:t>
      </w:r>
      <w:r w:rsidR="002E32CE" w:rsidRPr="002D390C">
        <w:rPr>
          <w:szCs w:val="24"/>
          <w:lang w:val="pl-PL"/>
        </w:rPr>
        <w:t>.  Jednakże, aby uwzględnić przepis art. 8, atak na honor i dobre imię osoby musi osiągnąć pewien stopień intensywności i zostać przeprowadzony w sposób szkodzący korzystaniu przez nią z prawa do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poszanowania życia prywatnego (zob. </w:t>
      </w:r>
      <w:r w:rsidR="002E32CE" w:rsidRPr="002D390C">
        <w:rPr>
          <w:i/>
          <w:iCs/>
          <w:szCs w:val="24"/>
          <w:lang w:val="pl-PL"/>
        </w:rPr>
        <w:t>Delfi AS przeciwko Estonii</w:t>
      </w:r>
      <w:r w:rsidR="002E32CE" w:rsidRPr="002D390C">
        <w:rPr>
          <w:szCs w:val="24"/>
          <w:lang w:val="pl-PL"/>
        </w:rPr>
        <w:t xml:space="preserve"> [WI], nr 64569/09, § 137, ETPCz 2015 r. oraz między innymi </w:t>
      </w:r>
      <w:r w:rsidR="002E32CE" w:rsidRPr="002D390C">
        <w:rPr>
          <w:i/>
          <w:iCs/>
          <w:szCs w:val="24"/>
          <w:lang w:val="pl-PL"/>
        </w:rPr>
        <w:t xml:space="preserve">Axel Springer AG przeciwko Niemcom </w:t>
      </w:r>
      <w:r w:rsidR="002E32CE" w:rsidRPr="002D390C">
        <w:rPr>
          <w:szCs w:val="24"/>
          <w:lang w:val="pl-PL"/>
        </w:rPr>
        <w:t>[WI], nr 39954/08, § 83, 7 lutego 2012 r.).</w:t>
      </w:r>
    </w:p>
    <w:p w14:paraId="4AF1D109" w14:textId="4D27F1C6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25</w:t>
      </w:r>
      <w:r w:rsidR="002E32CE" w:rsidRPr="002D390C">
        <w:rPr>
          <w:szCs w:val="24"/>
          <w:lang w:val="pl-PL"/>
        </w:rPr>
        <w:t>.  W niniejszej sprawie Trybunał zauważ</w:t>
      </w:r>
      <w:r w:rsidR="006625FF">
        <w:rPr>
          <w:szCs w:val="24"/>
          <w:lang w:val="pl-PL"/>
        </w:rPr>
        <w:t>a</w:t>
      </w:r>
      <w:r w:rsidR="002E32CE" w:rsidRPr="002D390C">
        <w:rPr>
          <w:szCs w:val="24"/>
          <w:lang w:val="pl-PL"/>
        </w:rPr>
        <w:t xml:space="preserve">, że sąd krajowy uznał komentarz dotyczący skarżącego za zniesławienie ze względu na kontekst, w jakim został on przedstawiony. </w:t>
      </w:r>
      <w:r w:rsidR="00C43829">
        <w:rPr>
          <w:szCs w:val="24"/>
          <w:lang w:val="pl-PL"/>
        </w:rPr>
        <w:t>O ile</w:t>
      </w:r>
      <w:r w:rsidR="002E32CE" w:rsidRPr="002D390C">
        <w:rPr>
          <w:szCs w:val="24"/>
          <w:lang w:val="pl-PL"/>
        </w:rPr>
        <w:t xml:space="preserve"> Trybunał uważa, że komentarz, choć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obraźliwy, z pewnością nie stanowi mowy nienawiści lub podżegania do przemocy (w przeciwieństwie do przywołanego powyżej </w:t>
      </w:r>
      <w:r w:rsidR="002E32CE" w:rsidRPr="002D390C">
        <w:rPr>
          <w:i/>
          <w:iCs/>
          <w:szCs w:val="24"/>
          <w:lang w:val="pl-PL"/>
        </w:rPr>
        <w:t>Delfi AS</w:t>
      </w:r>
      <w:r w:rsidR="002E32CE" w:rsidRPr="002D390C">
        <w:rPr>
          <w:szCs w:val="24"/>
          <w:lang w:val="pl-PL"/>
        </w:rPr>
        <w:t>, cyt.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powyżej, §§ 18, 114 i 162), przyjmuje ustalenia sądów krajowych, a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konsekwencji komentarz ten mieści się w zakresie art. 8.</w:t>
      </w:r>
    </w:p>
    <w:p w14:paraId="39ED3670" w14:textId="3A8A6372" w:rsidR="002E32CE" w:rsidRPr="002D390C" w:rsidRDefault="00FB6A16" w:rsidP="00EB3E93">
      <w:pPr>
        <w:pStyle w:val="ECHRPara"/>
        <w:rPr>
          <w:i/>
          <w:lang w:val="pl-PL"/>
        </w:rPr>
      </w:pPr>
      <w:r>
        <w:rPr>
          <w:szCs w:val="24"/>
          <w:lang w:val="pl-PL"/>
        </w:rPr>
        <w:t>26</w:t>
      </w:r>
      <w:r w:rsidR="002E32CE" w:rsidRPr="002D390C">
        <w:rPr>
          <w:szCs w:val="24"/>
          <w:lang w:val="pl-PL"/>
        </w:rPr>
        <w:t>.  Trybunał zauważa następnie, że niniejsza sprawa nie dotyczy działania państwa, lecz domniemanej niewystarczającej ochrony życia prywatnego skarżącego zapewnionej przez sądy krajowe. O ile zasadniczym celem art. 8 jest ochrona jednostki przed arbitralną ingerencją wład</w:t>
      </w:r>
      <w:r w:rsidR="006625FF">
        <w:rPr>
          <w:szCs w:val="24"/>
          <w:lang w:val="pl-PL"/>
        </w:rPr>
        <w:t>z publicznych, nie wiąże się ona</w:t>
      </w:r>
      <w:r w:rsidR="002E32CE" w:rsidRPr="002D390C">
        <w:rPr>
          <w:szCs w:val="24"/>
          <w:lang w:val="pl-PL"/>
        </w:rPr>
        <w:t xml:space="preserve"> jedynie z wymogiem powstrzymania się państwa od takiej ingerencji: oprócz takiego negatywnego obowiązku mogą istnieć obowiązki p</w:t>
      </w:r>
      <w:r w:rsidR="006625FF">
        <w:rPr>
          <w:szCs w:val="24"/>
          <w:lang w:val="pl-PL"/>
        </w:rPr>
        <w:t>ozytywne nieodłącznie związane ze skutecznym</w:t>
      </w:r>
      <w:r w:rsidR="002E32CE" w:rsidRPr="002D390C">
        <w:rPr>
          <w:szCs w:val="24"/>
          <w:lang w:val="pl-PL"/>
        </w:rPr>
        <w:t xml:space="preserve"> poszanowaniem życia prywatnego lub rodzinnego. Obowiązki takie mogą obejmować przyjęcie środków mających na celu zapewnienie poszanowania życia prywatnego nawet w sferze stosunków między jednostkami. </w:t>
      </w:r>
      <w:r w:rsidR="002E32CE" w:rsidRPr="00502C1C">
        <w:rPr>
          <w:szCs w:val="24"/>
          <w:lang w:val="pl-PL"/>
        </w:rPr>
        <w:t>O</w:t>
      </w:r>
      <w:r w:rsidR="00FD7F11">
        <w:rPr>
          <w:szCs w:val="24"/>
          <w:lang w:val="pl-PL"/>
        </w:rPr>
        <w:t> </w:t>
      </w:r>
      <w:r w:rsidR="002E32CE" w:rsidRPr="00502C1C">
        <w:rPr>
          <w:szCs w:val="24"/>
          <w:lang w:val="pl-PL"/>
        </w:rPr>
        <w:t>ile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trudno jest precyzyjnie określić granice między pozytywnymi </w:t>
      </w:r>
      <w:r w:rsidR="004D3959">
        <w:rPr>
          <w:szCs w:val="24"/>
          <w:lang w:val="pl-PL"/>
        </w:rPr>
        <w:t>i</w:t>
      </w:r>
      <w:r w:rsidR="00FD7F11" w:rsidRPr="00FD7F11">
        <w:rPr>
          <w:lang w:val="pl-PL"/>
        </w:rPr>
        <w:t> </w:t>
      </w:r>
      <w:r w:rsidR="002E32CE" w:rsidRPr="002D390C">
        <w:rPr>
          <w:szCs w:val="24"/>
          <w:lang w:val="pl-PL"/>
        </w:rPr>
        <w:t xml:space="preserve">negatywnymi obowiązkami państwa wynikającymi z art. 8 Konwencji, stosowane zasady są do siebie zbliżone. W obu kontekstach należy uwzględnić sprawiedliwą równowagę, jaką należy osiągnąć między odpowiednimi konkurencyjnymi interesami; w obu kontekstach państwu przysłuchuje pewien margines </w:t>
      </w:r>
      <w:r w:rsidR="006625FF">
        <w:rPr>
          <w:szCs w:val="24"/>
          <w:lang w:val="pl-PL"/>
        </w:rPr>
        <w:t xml:space="preserve">oceny </w:t>
      </w:r>
      <w:r w:rsidR="002E32CE" w:rsidRPr="002D390C">
        <w:rPr>
          <w:szCs w:val="24"/>
          <w:lang w:val="pl-PL"/>
        </w:rPr>
        <w:t xml:space="preserve">(zob. </w:t>
      </w:r>
      <w:r w:rsidR="002E32CE" w:rsidRPr="002D390C">
        <w:rPr>
          <w:i/>
          <w:iCs/>
          <w:lang w:val="pl-PL"/>
        </w:rPr>
        <w:t>Von Hannover przeciwko Niemcom (nr 2)</w:t>
      </w:r>
      <w:r w:rsidR="002E32CE" w:rsidRPr="002D390C">
        <w:rPr>
          <w:lang w:val="pl-PL"/>
        </w:rPr>
        <w:t xml:space="preserve"> [WI], nr 40660/08 i 60641/08</w:t>
      </w:r>
      <w:r w:rsidR="002E32CE" w:rsidRPr="002D390C">
        <w:rPr>
          <w:snapToGrid w:val="0"/>
          <w:szCs w:val="24"/>
          <w:lang w:val="pl-PL"/>
        </w:rPr>
        <w:t xml:space="preserve">, §§ 98-99, </w:t>
      </w:r>
      <w:r w:rsidR="002E32CE" w:rsidRPr="002D390C">
        <w:rPr>
          <w:snapToGrid w:val="0"/>
          <w:lang w:val="pl-PL"/>
        </w:rPr>
        <w:t>ETPCz 2012 r.</w:t>
      </w:r>
      <w:r w:rsidR="002E32CE" w:rsidRPr="002D390C">
        <w:rPr>
          <w:szCs w:val="24"/>
          <w:lang w:val="pl-PL"/>
        </w:rPr>
        <w:t>).</w:t>
      </w:r>
    </w:p>
    <w:p w14:paraId="5C4E3D4E" w14:textId="2B7B0AD8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27</w:t>
      </w:r>
      <w:r w:rsidR="002E32CE" w:rsidRPr="002D390C">
        <w:rPr>
          <w:szCs w:val="24"/>
          <w:lang w:val="pl-PL"/>
        </w:rPr>
        <w:t xml:space="preserve">.  W tym względzie, jeśli chodzi o konkurencyjne interesy wynikające z art. 8 i 10 Konwencji, Trybunał ustalił, co następuje, </w:t>
      </w:r>
      <w:r w:rsidR="006625FF">
        <w:rPr>
          <w:szCs w:val="24"/>
          <w:lang w:val="pl-PL"/>
        </w:rPr>
        <w:t xml:space="preserve">jak </w:t>
      </w:r>
      <w:r w:rsidR="002E32CE" w:rsidRPr="002D390C">
        <w:rPr>
          <w:szCs w:val="24"/>
          <w:lang w:val="pl-PL"/>
        </w:rPr>
        <w:t>podsumowano w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wyroku w sprawie </w:t>
      </w:r>
      <w:r w:rsidR="002E32CE" w:rsidRPr="002D390C">
        <w:rPr>
          <w:i/>
          <w:iCs/>
          <w:szCs w:val="24"/>
          <w:lang w:val="pl-PL"/>
        </w:rPr>
        <w:t>Delfi AS</w:t>
      </w:r>
      <w:r w:rsidR="002E32CE" w:rsidRPr="002D390C">
        <w:rPr>
          <w:szCs w:val="24"/>
          <w:lang w:val="pl-PL"/>
        </w:rPr>
        <w:t xml:space="preserve"> (cyt. powyżej, § 139):</w:t>
      </w:r>
    </w:p>
    <w:p w14:paraId="4092B247" w14:textId="6D5D2144" w:rsidR="002E32CE" w:rsidRPr="002D390C" w:rsidRDefault="002E32CE" w:rsidP="00EB3E93">
      <w:pPr>
        <w:pStyle w:val="ECHRParaQuote"/>
        <w:rPr>
          <w:szCs w:val="24"/>
          <w:lang w:val="pl-PL"/>
        </w:rPr>
      </w:pPr>
      <w:r w:rsidRPr="002D390C">
        <w:rPr>
          <w:snapToGrid w:val="0"/>
          <w:lang w:val="pl-PL"/>
        </w:rPr>
        <w:t xml:space="preserve">„Trybunał stwierdził, że co do zasady prawa zagwarantowane na mocy art. 8 i 10 zasługują na równy szacunek, a wynik skargi nie powinien co do zasady różnić się </w:t>
      </w:r>
      <w:r w:rsidRPr="002D390C">
        <w:rPr>
          <w:snapToGrid w:val="0"/>
          <w:lang w:val="pl-PL"/>
        </w:rPr>
        <w:lastRenderedPageBreak/>
        <w:t>w</w:t>
      </w:r>
      <w:r w:rsidR="00FD7F11">
        <w:rPr>
          <w:snapToGrid w:val="0"/>
          <w:lang w:val="pl-PL"/>
        </w:rPr>
        <w:t> </w:t>
      </w:r>
      <w:r w:rsidRPr="002D390C">
        <w:rPr>
          <w:snapToGrid w:val="0"/>
          <w:lang w:val="pl-PL"/>
        </w:rPr>
        <w:t>zależności od tego, czy został</w:t>
      </w:r>
      <w:r w:rsidR="006625FF">
        <w:rPr>
          <w:snapToGrid w:val="0"/>
          <w:lang w:val="pl-PL"/>
        </w:rPr>
        <w:t>a złożona</w:t>
      </w:r>
      <w:r w:rsidRPr="002D390C">
        <w:rPr>
          <w:snapToGrid w:val="0"/>
          <w:lang w:val="pl-PL"/>
        </w:rPr>
        <w:t xml:space="preserve"> do Trybunału na mocy art. 10 Konwencji przez wydawcę </w:t>
      </w:r>
      <w:r w:rsidR="006625FF">
        <w:rPr>
          <w:snapToGrid w:val="0"/>
          <w:lang w:val="pl-PL"/>
        </w:rPr>
        <w:t xml:space="preserve">obrażającego </w:t>
      </w:r>
      <w:r w:rsidRPr="002D390C">
        <w:rPr>
          <w:snapToGrid w:val="0"/>
          <w:lang w:val="pl-PL"/>
        </w:rPr>
        <w:t xml:space="preserve">artykułu, czy też na mocy art. 8 Konwencji przez osobę, której taki artykuł dotyczy. W związku z tym margines </w:t>
      </w:r>
      <w:r w:rsidR="006625FF">
        <w:rPr>
          <w:snapToGrid w:val="0"/>
          <w:lang w:val="pl-PL"/>
        </w:rPr>
        <w:t>oceny</w:t>
      </w:r>
      <w:r w:rsidRPr="002D390C">
        <w:rPr>
          <w:snapToGrid w:val="0"/>
          <w:lang w:val="pl-PL"/>
        </w:rPr>
        <w:t xml:space="preserve"> powinien być zasadniczo taki sam w obu przypadkach (zob. </w:t>
      </w:r>
      <w:r w:rsidRPr="002D390C">
        <w:rPr>
          <w:i/>
          <w:iCs/>
          <w:lang w:val="pl-PL"/>
        </w:rPr>
        <w:t>Axel Springer AG</w:t>
      </w:r>
      <w:r w:rsidRPr="002D390C">
        <w:rPr>
          <w:lang w:val="pl-PL"/>
        </w:rPr>
        <w:t>, cyt. powyżej</w:t>
      </w:r>
      <w:r w:rsidRPr="002D390C">
        <w:rPr>
          <w:snapToGrid w:val="0"/>
          <w:szCs w:val="24"/>
          <w:lang w:val="pl-PL"/>
        </w:rPr>
        <w:t>, § 87</w:t>
      </w:r>
      <w:r w:rsidR="006625FF">
        <w:rPr>
          <w:snapToGrid w:val="0"/>
          <w:szCs w:val="24"/>
          <w:lang w:val="pl-PL"/>
        </w:rPr>
        <w:t xml:space="preserve"> </w:t>
      </w:r>
      <w:r w:rsidRPr="002D390C">
        <w:rPr>
          <w:lang w:val="pl-PL"/>
        </w:rPr>
        <w:t xml:space="preserve">oraz </w:t>
      </w:r>
      <w:r w:rsidRPr="002D390C">
        <w:rPr>
          <w:i/>
          <w:iCs/>
          <w:lang w:val="pl-PL"/>
        </w:rPr>
        <w:t xml:space="preserve">Von Hannover przeciwko Niemcom (nr 2) </w:t>
      </w:r>
      <w:r w:rsidRPr="002D390C">
        <w:rPr>
          <w:lang w:val="pl-PL"/>
        </w:rPr>
        <w:t>[WI], nr 40660/08 i 60641/08</w:t>
      </w:r>
      <w:r w:rsidRPr="002D390C">
        <w:rPr>
          <w:snapToGrid w:val="0"/>
          <w:szCs w:val="24"/>
          <w:lang w:val="pl-PL"/>
        </w:rPr>
        <w:t xml:space="preserve">, § 106, </w:t>
      </w:r>
      <w:r w:rsidRPr="002D390C">
        <w:rPr>
          <w:snapToGrid w:val="0"/>
          <w:lang w:val="pl-PL"/>
        </w:rPr>
        <w:t xml:space="preserve">ETPCz 2012 r., </w:t>
      </w:r>
      <w:r w:rsidRPr="002D390C">
        <w:rPr>
          <w:lang w:val="pl-PL"/>
        </w:rPr>
        <w:t xml:space="preserve">z dalszymi odniesieniami do spraw </w:t>
      </w:r>
      <w:r w:rsidRPr="002D390C">
        <w:rPr>
          <w:i/>
          <w:iCs/>
          <w:lang w:val="pl-PL"/>
        </w:rPr>
        <w:t>Hachette Filipacchi Associés</w:t>
      </w:r>
      <w:r w:rsidRPr="002D390C">
        <w:rPr>
          <w:lang w:val="pl-PL"/>
        </w:rPr>
        <w:t>, cyt.</w:t>
      </w:r>
      <w:r w:rsidR="00FD7F11">
        <w:rPr>
          <w:lang w:val="pl-PL"/>
        </w:rPr>
        <w:t> </w:t>
      </w:r>
      <w:r w:rsidRPr="002D390C">
        <w:rPr>
          <w:lang w:val="pl-PL"/>
        </w:rPr>
        <w:t xml:space="preserve">powyżej, § 41; </w:t>
      </w:r>
      <w:r w:rsidRPr="002D390C">
        <w:rPr>
          <w:i/>
          <w:iCs/>
          <w:snapToGrid w:val="0"/>
          <w:lang w:val="pl-PL"/>
        </w:rPr>
        <w:t>Timciuc przeciwko Rumunii</w:t>
      </w:r>
      <w:r w:rsidRPr="002D390C">
        <w:rPr>
          <w:snapToGrid w:val="0"/>
          <w:lang w:val="pl-PL"/>
        </w:rPr>
        <w:t xml:space="preserve"> (dec.), no. 28999/03, § 144, 12 października 2010 r.</w:t>
      </w:r>
      <w:r w:rsidRPr="002D390C">
        <w:rPr>
          <w:lang w:val="pl-PL"/>
        </w:rPr>
        <w:t xml:space="preserve"> oraz </w:t>
      </w:r>
      <w:r w:rsidRPr="002D390C">
        <w:rPr>
          <w:i/>
          <w:iCs/>
          <w:lang w:val="pl-PL"/>
        </w:rPr>
        <w:t>Mosley przeciwko Zjednoczonemu Królestwu</w:t>
      </w:r>
      <w:r w:rsidRPr="002D390C">
        <w:rPr>
          <w:lang w:val="pl-PL"/>
        </w:rPr>
        <w:t>, nr</w:t>
      </w:r>
      <w:r w:rsidR="00FD7F11">
        <w:rPr>
          <w:lang w:val="pl-PL"/>
        </w:rPr>
        <w:t> </w:t>
      </w:r>
      <w:r w:rsidRPr="002D390C">
        <w:rPr>
          <w:lang w:val="pl-PL"/>
        </w:rPr>
        <w:t>48009/08</w:t>
      </w:r>
      <w:r w:rsidRPr="002D390C">
        <w:rPr>
          <w:snapToGrid w:val="0"/>
          <w:szCs w:val="24"/>
          <w:lang w:val="pl-PL"/>
        </w:rPr>
        <w:t xml:space="preserve">, § 111, 10 maja 2011 r.). </w:t>
      </w:r>
      <w:r w:rsidRPr="002D390C">
        <w:rPr>
          <w:lang w:val="pl-PL"/>
        </w:rPr>
        <w:t xml:space="preserve">W sytuacji, gdy władze krajowe dokonały równoważenia interesów zgodnie z kryteriami ustalonymi w orzecznictwie Trybunału, muszą istnieć silne podstawy, by zastąpić opinie sądów krajowych opinią Trybunału (zob. </w:t>
      </w:r>
      <w:r w:rsidRPr="002D390C">
        <w:rPr>
          <w:i/>
          <w:iCs/>
          <w:lang w:val="pl-PL"/>
        </w:rPr>
        <w:t>Axel Springer AG</w:t>
      </w:r>
      <w:r w:rsidRPr="002D390C">
        <w:rPr>
          <w:lang w:val="pl-PL"/>
        </w:rPr>
        <w:t>, cyt. powyżej</w:t>
      </w:r>
      <w:r w:rsidRPr="002D390C">
        <w:rPr>
          <w:snapToGrid w:val="0"/>
          <w:szCs w:val="24"/>
          <w:lang w:val="pl-PL"/>
        </w:rPr>
        <w:t xml:space="preserve">, § 88, </w:t>
      </w:r>
      <w:r w:rsidRPr="002D390C">
        <w:rPr>
          <w:lang w:val="pl-PL"/>
        </w:rPr>
        <w:t xml:space="preserve"> i </w:t>
      </w:r>
      <w:r w:rsidRPr="002D390C">
        <w:rPr>
          <w:i/>
          <w:iCs/>
          <w:lang w:val="pl-PL"/>
        </w:rPr>
        <w:t>Von Hannover (nr 2)</w:t>
      </w:r>
      <w:r w:rsidRPr="002D390C">
        <w:rPr>
          <w:lang w:val="pl-PL"/>
        </w:rPr>
        <w:t>, cyt. powyżej, §</w:t>
      </w:r>
      <w:r w:rsidR="00FD7F11">
        <w:rPr>
          <w:lang w:val="pl-PL"/>
        </w:rPr>
        <w:t> </w:t>
      </w:r>
      <w:r w:rsidRPr="002D390C">
        <w:rPr>
          <w:lang w:val="pl-PL"/>
        </w:rPr>
        <w:t xml:space="preserve">107, z dalszymi odniesieniami do </w:t>
      </w:r>
      <w:r w:rsidRPr="002D390C">
        <w:rPr>
          <w:i/>
          <w:iCs/>
          <w:lang w:val="pl-PL"/>
        </w:rPr>
        <w:t>MGN Limited</w:t>
      </w:r>
      <w:r w:rsidRPr="002D390C">
        <w:rPr>
          <w:snapToGrid w:val="0"/>
          <w:lang w:val="pl-PL"/>
        </w:rPr>
        <w:t>, cyt. powyżej, §§ 150 i 155</w:t>
      </w:r>
      <w:r w:rsidRPr="002D390C">
        <w:rPr>
          <w:lang w:val="pl-PL"/>
        </w:rPr>
        <w:t xml:space="preserve"> oraz</w:t>
      </w:r>
      <w:r w:rsidR="00FD7F11">
        <w:rPr>
          <w:snapToGrid w:val="0"/>
          <w:lang w:val="pl-PL"/>
        </w:rPr>
        <w:t> </w:t>
      </w:r>
      <w:r w:rsidRPr="002D390C">
        <w:rPr>
          <w:i/>
          <w:iCs/>
          <w:lang w:val="pl-PL"/>
        </w:rPr>
        <w:t>Palomo Sánchez i Inni przeciwko Hiszpanii</w:t>
      </w:r>
      <w:r w:rsidRPr="002D390C">
        <w:rPr>
          <w:lang w:val="pl-PL"/>
        </w:rPr>
        <w:t xml:space="preserve"> [WI],</w:t>
      </w:r>
      <w:r w:rsidRPr="002D390C">
        <w:rPr>
          <w:snapToGrid w:val="0"/>
          <w:lang w:val="pl-PL"/>
        </w:rPr>
        <w:t>nr</w:t>
      </w:r>
      <w:r w:rsidRPr="002D390C">
        <w:rPr>
          <w:lang w:val="pl-PL"/>
        </w:rPr>
        <w:t> 28955/06, 28957/06, 28959/06 i 28964/06</w:t>
      </w:r>
      <w:r w:rsidRPr="002D390C">
        <w:rPr>
          <w:snapToGrid w:val="0"/>
          <w:lang w:val="pl-PL"/>
        </w:rPr>
        <w:t xml:space="preserve">, § 57, </w:t>
      </w:r>
      <w:r w:rsidRPr="002D390C">
        <w:rPr>
          <w:lang w:val="pl-PL"/>
        </w:rPr>
        <w:t>12 września </w:t>
      </w:r>
      <w:r w:rsidRPr="002D390C">
        <w:rPr>
          <w:snapToGrid w:val="0"/>
          <w:lang w:val="pl-PL"/>
        </w:rPr>
        <w:t>2011 r.</w:t>
      </w:r>
      <w:r w:rsidRPr="002D390C">
        <w:rPr>
          <w:lang w:val="pl-PL"/>
        </w:rPr>
        <w:t xml:space="preserve">). Innymi słowy, </w:t>
      </w:r>
      <w:r w:rsidRPr="002D390C">
        <w:rPr>
          <w:snapToGrid w:val="0"/>
          <w:szCs w:val="24"/>
          <w:lang w:val="pl-PL"/>
        </w:rPr>
        <w:t xml:space="preserve">Trybunał będzie zazwyczaj przyznawał szeroki margines </w:t>
      </w:r>
      <w:r w:rsidR="007F751D">
        <w:rPr>
          <w:snapToGrid w:val="0"/>
          <w:szCs w:val="24"/>
          <w:lang w:val="pl-PL"/>
        </w:rPr>
        <w:t xml:space="preserve">oceny </w:t>
      </w:r>
      <w:r w:rsidRPr="002D390C">
        <w:rPr>
          <w:snapToGrid w:val="0"/>
          <w:szCs w:val="24"/>
          <w:lang w:val="pl-PL"/>
        </w:rPr>
        <w:t>w przypadku, gdy państwo będzie zobowiązane do określenia równowagi między konkurencyjnymi interesami prywatnymi lub konkurencyjnymi prawami wynikającymi z Konwencji (zob.</w:t>
      </w:r>
      <w:r w:rsidR="00FD7F11">
        <w:rPr>
          <w:snapToGrid w:val="0"/>
          <w:szCs w:val="24"/>
          <w:lang w:val="pl-PL"/>
        </w:rPr>
        <w:t> </w:t>
      </w:r>
      <w:r w:rsidRPr="002D390C">
        <w:rPr>
          <w:i/>
          <w:iCs/>
          <w:szCs w:val="24"/>
          <w:lang w:val="pl-PL"/>
        </w:rPr>
        <w:t>Evans</w:t>
      </w:r>
      <w:r w:rsidR="00FD7F11">
        <w:rPr>
          <w:i/>
          <w:iCs/>
          <w:szCs w:val="24"/>
          <w:lang w:val="pl-PL"/>
        </w:rPr>
        <w:t> </w:t>
      </w:r>
      <w:r w:rsidRPr="002D390C">
        <w:rPr>
          <w:i/>
          <w:iCs/>
          <w:szCs w:val="24"/>
          <w:lang w:val="pl-PL"/>
        </w:rPr>
        <w:t>przeciwko Zjednoczonemu Królestwu</w:t>
      </w:r>
      <w:r w:rsidRPr="002D390C">
        <w:rPr>
          <w:szCs w:val="24"/>
          <w:lang w:val="pl-PL"/>
        </w:rPr>
        <w:t xml:space="preserve"> [WI], nr 6339/05</w:t>
      </w:r>
      <w:r w:rsidRPr="002D390C">
        <w:rPr>
          <w:lang w:val="pl-PL"/>
        </w:rPr>
        <w:t>, § 77, ETPCz 2007</w:t>
      </w:r>
      <w:r w:rsidRPr="002D390C">
        <w:rPr>
          <w:lang w:val="pl-PL"/>
        </w:rPr>
        <w:noBreakHyphen/>
        <w:t xml:space="preserve">I; </w:t>
      </w:r>
      <w:r w:rsidRPr="002D390C">
        <w:rPr>
          <w:i/>
          <w:iCs/>
          <w:lang w:val="pl-PL"/>
        </w:rPr>
        <w:t>Chassagnou i Inni przeciwko Francji</w:t>
      </w:r>
      <w:r w:rsidRPr="002D390C">
        <w:rPr>
          <w:lang w:val="pl-PL"/>
        </w:rPr>
        <w:t xml:space="preserve"> [WI], nr 25088/94, 28331/95 i</w:t>
      </w:r>
      <w:r w:rsidR="00FD7F11">
        <w:rPr>
          <w:lang w:val="pl-PL"/>
        </w:rPr>
        <w:t> </w:t>
      </w:r>
      <w:r w:rsidRPr="002D390C">
        <w:rPr>
          <w:lang w:val="pl-PL"/>
        </w:rPr>
        <w:t>28443/95, § 113, ETPCz 1999</w:t>
      </w:r>
      <w:r w:rsidRPr="002D390C">
        <w:rPr>
          <w:lang w:val="pl-PL"/>
        </w:rPr>
        <w:noBreakHyphen/>
        <w:t xml:space="preserve">III oraz </w:t>
      </w:r>
      <w:r w:rsidRPr="002D390C">
        <w:rPr>
          <w:i/>
          <w:iCs/>
          <w:lang w:val="pl-PL"/>
        </w:rPr>
        <w:t>Ashby Donald i Inni przeciwko Francji</w:t>
      </w:r>
      <w:r w:rsidRPr="002D390C">
        <w:rPr>
          <w:lang w:val="pl-PL"/>
        </w:rPr>
        <w:t>, nr</w:t>
      </w:r>
      <w:r w:rsidR="00FD7F11">
        <w:rPr>
          <w:lang w:val="pl-PL"/>
        </w:rPr>
        <w:t> </w:t>
      </w:r>
      <w:r w:rsidRPr="002D390C">
        <w:rPr>
          <w:lang w:val="pl-PL"/>
        </w:rPr>
        <w:t>36769/08</w:t>
      </w:r>
      <w:r w:rsidRPr="002D390C">
        <w:rPr>
          <w:snapToGrid w:val="0"/>
          <w:lang w:val="pl-PL"/>
        </w:rPr>
        <w:t xml:space="preserve">, § 40, </w:t>
      </w:r>
      <w:r w:rsidRPr="002D390C">
        <w:rPr>
          <w:lang w:val="pl-PL"/>
        </w:rPr>
        <w:t>10</w:t>
      </w:r>
      <w:r w:rsidRPr="002D390C">
        <w:rPr>
          <w:snapToGrid w:val="0"/>
          <w:lang w:val="pl-PL"/>
        </w:rPr>
        <w:t xml:space="preserve"> stycznia 2013 r.</w:t>
      </w:r>
      <w:r w:rsidRPr="002D390C">
        <w:rPr>
          <w:snapToGrid w:val="0"/>
          <w:szCs w:val="24"/>
          <w:lang w:val="pl-PL"/>
        </w:rPr>
        <w:t>)</w:t>
      </w:r>
      <w:r w:rsidR="003F1520">
        <w:rPr>
          <w:snapToGrid w:val="0"/>
          <w:szCs w:val="24"/>
          <w:lang w:val="pl-PL"/>
        </w:rPr>
        <w:t>”.</w:t>
      </w:r>
    </w:p>
    <w:p w14:paraId="56CE1892" w14:textId="0EB3C34F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28</w:t>
      </w:r>
      <w:r w:rsidR="002E32CE" w:rsidRPr="002D390C">
        <w:rPr>
          <w:szCs w:val="24"/>
          <w:lang w:val="pl-PL"/>
        </w:rPr>
        <w:t xml:space="preserve">.  Dokonując </w:t>
      </w:r>
      <w:r w:rsidR="007F751D">
        <w:rPr>
          <w:szCs w:val="24"/>
          <w:lang w:val="pl-PL"/>
        </w:rPr>
        <w:t xml:space="preserve">tej </w:t>
      </w:r>
      <w:r w:rsidR="002E32CE" w:rsidRPr="002D390C">
        <w:rPr>
          <w:szCs w:val="24"/>
          <w:lang w:val="pl-PL"/>
        </w:rPr>
        <w:t xml:space="preserve">oceny Trybunał wskazał również następujące szczególne aspekty wolności </w:t>
      </w:r>
      <w:r w:rsidR="007F751D">
        <w:rPr>
          <w:szCs w:val="24"/>
          <w:lang w:val="pl-PL"/>
        </w:rPr>
        <w:t xml:space="preserve">wyrażania opinii </w:t>
      </w:r>
      <w:r w:rsidR="002E32CE" w:rsidRPr="002D390C">
        <w:rPr>
          <w:szCs w:val="24"/>
          <w:lang w:val="pl-PL"/>
        </w:rPr>
        <w:t>w odniesieniu do osób pełniących rolę pośrednika w Internecie, jako istotne dla konkretnej oceny danej ingerencji: kontekst komentarzy, środki stosowane przez spółkę w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celu zapobiegania </w:t>
      </w:r>
      <w:r w:rsidR="007F751D" w:rsidRPr="002D390C">
        <w:rPr>
          <w:szCs w:val="24"/>
          <w:lang w:val="pl-PL"/>
        </w:rPr>
        <w:t xml:space="preserve">zniesławiającym </w:t>
      </w:r>
      <w:r w:rsidR="002E32CE" w:rsidRPr="002D390C">
        <w:rPr>
          <w:szCs w:val="24"/>
          <w:lang w:val="pl-PL"/>
        </w:rPr>
        <w:t xml:space="preserve">komentarzom lub usuwania </w:t>
      </w:r>
      <w:r w:rsidR="007F751D" w:rsidRPr="002D390C">
        <w:rPr>
          <w:szCs w:val="24"/>
          <w:lang w:val="pl-PL"/>
        </w:rPr>
        <w:t xml:space="preserve">zniesławiających </w:t>
      </w:r>
      <w:r w:rsidR="002E32CE" w:rsidRPr="002D390C">
        <w:rPr>
          <w:szCs w:val="24"/>
          <w:lang w:val="pl-PL"/>
        </w:rPr>
        <w:t>komentarzy, odpowiedzialność faktycznych autorów komentarzy jako alternatywa dla odpowiedzialności pośrednika oraz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konsekwencje postępowania krajowego dla spółki (zob. </w:t>
      </w:r>
      <w:r w:rsidR="002E32CE" w:rsidRPr="002D390C">
        <w:rPr>
          <w:i/>
          <w:iCs/>
          <w:lang w:val="pl-PL"/>
        </w:rPr>
        <w:t>Magyar Tartalomszolgáltatók Egyesülete i Index.hu Zrt</w:t>
      </w:r>
      <w:r w:rsidR="002E32CE" w:rsidRPr="002D390C">
        <w:rPr>
          <w:szCs w:val="24"/>
          <w:lang w:val="pl-PL"/>
        </w:rPr>
        <w:t>, cyt. powyżej, § 69, 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odniesieniem do </w:t>
      </w:r>
      <w:r w:rsidR="002E32CE" w:rsidRPr="002D390C">
        <w:rPr>
          <w:i/>
          <w:iCs/>
          <w:szCs w:val="24"/>
          <w:lang w:val="pl-PL"/>
        </w:rPr>
        <w:t>Delfi AS</w:t>
      </w:r>
      <w:r w:rsidR="002E32CE" w:rsidRPr="002D390C">
        <w:rPr>
          <w:szCs w:val="24"/>
          <w:lang w:val="pl-PL"/>
        </w:rPr>
        <w:t>, cyt. powyżej, §§ 142-143).</w:t>
      </w:r>
    </w:p>
    <w:p w14:paraId="3B917D85" w14:textId="57F37D3E" w:rsidR="008461BF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29</w:t>
      </w:r>
      <w:r w:rsidR="002E32CE" w:rsidRPr="002D390C">
        <w:rPr>
          <w:szCs w:val="24"/>
          <w:lang w:val="pl-PL"/>
        </w:rPr>
        <w:t>. A zatem pytanie brzmi, czy w niniejszej sprawie państwo zachowało właściwą równowagę pomiędzy prawem skarżącego do ochrony jego życia prywatnego wynikającym z art. 8 Konwencji oraz prawem drugiej strony do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wolności wyrażania opinii gwarantowanym przepisem art. 10.</w:t>
      </w:r>
    </w:p>
    <w:p w14:paraId="5789210B" w14:textId="6D2571B7" w:rsidR="008461BF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30</w:t>
      </w:r>
      <w:r w:rsidR="002E32CE" w:rsidRPr="002D390C">
        <w:rPr>
          <w:szCs w:val="24"/>
          <w:lang w:val="pl-PL"/>
        </w:rPr>
        <w:t>.  W odniesieniu do kontekstu komentarza Trybunał zauważa, że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wpisie na blogu skarżący został niesłusznie oskarżony o udział w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partii nazistowskiej. Jednakże post usunięto, a po powiadomieniu stowarzyszenia przez skarżącego o nieprawdziwości jego treści, opublikowano przeprosiny. W związku z wpisem na blogu skarżący wszczął wobec stowarzyszenia postępowanie przed sądami krajowymi, ale Trybunał nie został poinformowany o wyniku tego postępowania. Ponadto Trybunał zauważa, że </w:t>
      </w:r>
      <w:r w:rsidR="007F751D">
        <w:rPr>
          <w:szCs w:val="24"/>
          <w:lang w:val="pl-PL"/>
        </w:rPr>
        <w:t xml:space="preserve">komentarz </w:t>
      </w:r>
      <w:r w:rsidR="002E32CE" w:rsidRPr="002D390C">
        <w:rPr>
          <w:szCs w:val="24"/>
          <w:lang w:val="pl-PL"/>
        </w:rPr>
        <w:t>n</w:t>
      </w:r>
      <w:r w:rsidR="007F751D">
        <w:rPr>
          <w:szCs w:val="24"/>
          <w:lang w:val="pl-PL"/>
        </w:rPr>
        <w:t>a temat skarżącego nie dotyczył</w:t>
      </w:r>
      <w:r w:rsidR="002E32CE" w:rsidRPr="002D390C">
        <w:rPr>
          <w:szCs w:val="24"/>
          <w:lang w:val="pl-PL"/>
        </w:rPr>
        <w:t xml:space="preserve"> jego p</w:t>
      </w:r>
      <w:r w:rsidR="007F751D">
        <w:rPr>
          <w:szCs w:val="24"/>
          <w:lang w:val="pl-PL"/>
        </w:rPr>
        <w:t>oglądów politycznych i nie miał</w:t>
      </w:r>
      <w:r w:rsidR="002E32CE" w:rsidRPr="002D390C">
        <w:rPr>
          <w:szCs w:val="24"/>
          <w:lang w:val="pl-PL"/>
        </w:rPr>
        <w:t xml:space="preserve"> nic wspólnego z treścią wpisu na blogu. W związku z tym stowarzyszenie nie mogło </w:t>
      </w:r>
      <w:r w:rsidR="007F751D">
        <w:rPr>
          <w:szCs w:val="24"/>
          <w:lang w:val="pl-PL"/>
        </w:rPr>
        <w:t xml:space="preserve">go </w:t>
      </w:r>
      <w:r w:rsidR="002E32CE" w:rsidRPr="002D390C">
        <w:rPr>
          <w:szCs w:val="24"/>
          <w:lang w:val="pl-PL"/>
        </w:rPr>
        <w:t>przewidzieć.</w:t>
      </w:r>
    </w:p>
    <w:p w14:paraId="42C59902" w14:textId="1632D251" w:rsidR="00F96030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lastRenderedPageBreak/>
        <w:t>31</w:t>
      </w:r>
      <w:r w:rsidR="002E32CE" w:rsidRPr="002D390C">
        <w:rPr>
          <w:szCs w:val="24"/>
          <w:lang w:val="pl-PL"/>
        </w:rPr>
        <w:t xml:space="preserve">.  W związku z tym Trybunał zwraca uwagę na fakt, że stowarzyszenie jest małym stowarzyszeniem nienastawionym na zysk, nieznanym szerszej publiczności, a zatem prawdopodobieństwo przyciągnięcia znacznej liczby komentarzy lub odczytania </w:t>
      </w:r>
      <w:r w:rsidR="007F751D">
        <w:rPr>
          <w:szCs w:val="24"/>
          <w:lang w:val="pl-PL"/>
        </w:rPr>
        <w:t>komentarza dotyczącego</w:t>
      </w:r>
      <w:r w:rsidR="002E32CE" w:rsidRPr="002D390C">
        <w:rPr>
          <w:szCs w:val="24"/>
          <w:lang w:val="pl-PL"/>
        </w:rPr>
        <w:t xml:space="preserve"> skarżącego przez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szerokie grono odbiorców, było niskie (inaczej niż w sprawie </w:t>
      </w:r>
      <w:r w:rsidR="002E32CE" w:rsidRPr="002D390C">
        <w:rPr>
          <w:i/>
          <w:iCs/>
          <w:szCs w:val="24"/>
          <w:lang w:val="pl-PL"/>
        </w:rPr>
        <w:t>Delfi</w:t>
      </w:r>
      <w:r w:rsidR="00271DD3">
        <w:rPr>
          <w:i/>
          <w:iCs/>
          <w:szCs w:val="24"/>
          <w:lang w:val="pl-PL"/>
        </w:rPr>
        <w:t> </w:t>
      </w:r>
      <w:r w:rsidR="002E32CE" w:rsidRPr="002D390C">
        <w:rPr>
          <w:i/>
          <w:iCs/>
          <w:szCs w:val="24"/>
          <w:lang w:val="pl-PL"/>
        </w:rPr>
        <w:t>AS</w:t>
      </w:r>
      <w:r w:rsidR="002E32CE" w:rsidRPr="002D390C">
        <w:rPr>
          <w:szCs w:val="24"/>
          <w:lang w:val="pl-PL"/>
        </w:rPr>
        <w:t xml:space="preserve">, cyt. powyżej, §§ 115-116). Jak Trybunał stwierdził w sprawie </w:t>
      </w:r>
      <w:r w:rsidR="002E32CE" w:rsidRPr="002D390C">
        <w:rPr>
          <w:i/>
          <w:iCs/>
          <w:lang w:val="pl-PL"/>
        </w:rPr>
        <w:t>Magyar Tartalomszolgáltatók Egyesülete i Index.hu Zrt</w:t>
      </w:r>
      <w:r w:rsidR="002E32CE" w:rsidRPr="002D390C">
        <w:rPr>
          <w:szCs w:val="24"/>
          <w:lang w:val="pl-PL"/>
        </w:rPr>
        <w:t xml:space="preserve"> (cyt. powyżej, §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82), oczekiwanie, że stowarzyszenie przyjmie, iż niektóre niefiltrowane komentarze mogą być niezgodne z prawem, oznaczałoby wymaganie nadmiernej i niepraktycznej przezorności mogące osłabić wolność przekazywania informacji przez Internet.</w:t>
      </w:r>
    </w:p>
    <w:p w14:paraId="318BBECA" w14:textId="5E3A5008" w:rsidR="008461BF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32</w:t>
      </w:r>
      <w:r w:rsidR="002E32CE" w:rsidRPr="002D390C">
        <w:rPr>
          <w:szCs w:val="24"/>
          <w:lang w:val="pl-PL"/>
        </w:rPr>
        <w:t xml:space="preserve">.  W odniesieniu do środków podjętych przez stowarzyszenie w celu zapobiegania lub usuwania </w:t>
      </w:r>
      <w:r w:rsidR="007F751D" w:rsidRPr="002D390C">
        <w:rPr>
          <w:szCs w:val="24"/>
          <w:lang w:val="pl-PL"/>
        </w:rPr>
        <w:t xml:space="preserve">zniesławiających </w:t>
      </w:r>
      <w:r w:rsidR="002E32CE" w:rsidRPr="002D390C">
        <w:rPr>
          <w:szCs w:val="24"/>
          <w:lang w:val="pl-PL"/>
        </w:rPr>
        <w:t>komentarzy Trybunał zauważa, że blog posiadał funkcję, za pośrednictwem której stowarzyszenie było powiadamiane o zamieszczeniu komentarzy. Jednakże na blogu wyraźnie stwierdzono, że stowarzyszenie nie weryfikuje komentarzy przed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publikacją i że odpowiedzialność za wypowiedzi ponoszą osoby je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zamieszczające. Osoby zamieszczające komentarze proszono o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zachowanie dobrych obyczajów i przestrzeganie prawa. Ponadto Trybunał zauważa, że stowarzyszenie usunęło wpis na blogu i komentarz jeden dzień po tym, jak skarżący poinformował je, że wpis jest nieprawdziwy i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że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pragnie, aby wpis i komentarz zostały usunięte. Ponadto stowarzyszenie zamieściło na blogu nowy wpis z wyjaśnieniem błędu i przeprosinami. Komentarz znajdował się na blogu łącznie przez około dziewięć dni (por.</w:t>
      </w:r>
      <w:r w:rsidR="00FD7F11">
        <w:rPr>
          <w:szCs w:val="24"/>
          <w:lang w:val="pl-PL"/>
        </w:rPr>
        <w:t> </w:t>
      </w:r>
      <w:r w:rsidR="002E32CE" w:rsidRPr="002D390C">
        <w:rPr>
          <w:i/>
          <w:iCs/>
          <w:szCs w:val="24"/>
          <w:lang w:val="pl-PL"/>
        </w:rPr>
        <w:t>Delfi AS</w:t>
      </w:r>
      <w:r w:rsidR="002E32CE" w:rsidRPr="002D390C">
        <w:rPr>
          <w:szCs w:val="24"/>
          <w:lang w:val="pl-PL"/>
        </w:rPr>
        <w:t>, cyt. powyżej, § 19, w której to sprawie niezgodne z prawem komentarze usunięto dopiero po upływie około sześciu tygodni od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ich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publikacji).</w:t>
      </w:r>
    </w:p>
    <w:p w14:paraId="592315C9" w14:textId="364E669C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33</w:t>
      </w:r>
      <w:r w:rsidR="002E32CE" w:rsidRPr="002D390C">
        <w:rPr>
          <w:szCs w:val="24"/>
          <w:lang w:val="pl-PL"/>
        </w:rPr>
        <w:t xml:space="preserve">.  Trybunał zauważa również, że w odniesieniu do rzekomej możliwości wyszukiwania komentarza za pośrednictwem wyszukiwarek internetowych skarżący ma prawo zażądać od wyszukiwarek usunięcia śladów komentarza (zob. wyrok Trybunału Sprawiedliwości Unii Europejskiej z dnia 13 maja 2014 r., </w:t>
      </w:r>
      <w:r w:rsidR="002E32CE" w:rsidRPr="002D390C">
        <w:rPr>
          <w:i/>
          <w:iCs/>
          <w:szCs w:val="24"/>
          <w:lang w:val="pl-PL"/>
        </w:rPr>
        <w:t>Google Spain i Google</w:t>
      </w:r>
      <w:r w:rsidR="002E32CE" w:rsidRPr="002D390C">
        <w:rPr>
          <w:szCs w:val="24"/>
          <w:lang w:val="pl-PL"/>
        </w:rPr>
        <w:t xml:space="preserve">, nr C-131/12, </w:t>
      </w:r>
      <w:r w:rsidR="002E32CE" w:rsidRPr="002D390C">
        <w:rPr>
          <w:rStyle w:val="outputecli"/>
          <w:lang w:val="pl-PL"/>
        </w:rPr>
        <w:t>EU:C:2014:317</w:t>
      </w:r>
      <w:r w:rsidR="002E32CE" w:rsidRPr="002D390C">
        <w:rPr>
          <w:szCs w:val="24"/>
          <w:lang w:val="pl-PL"/>
        </w:rPr>
        <w:t>).</w:t>
      </w:r>
    </w:p>
    <w:p w14:paraId="3207A805" w14:textId="75DBA59B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34</w:t>
      </w:r>
      <w:r w:rsidR="002E32CE" w:rsidRPr="002D390C">
        <w:rPr>
          <w:szCs w:val="24"/>
          <w:lang w:val="pl-PL"/>
        </w:rPr>
        <w:t xml:space="preserve">.  Odnosząc się do odpowiedzialności twórcy komentarza, Trybunał zauważa, że skarżący uzyskał adres IP komputera użytego do zamieszczenia komentarza. </w:t>
      </w:r>
      <w:r w:rsidR="007F751D">
        <w:rPr>
          <w:szCs w:val="24"/>
          <w:lang w:val="pl-PL"/>
        </w:rPr>
        <w:t>N</w:t>
      </w:r>
      <w:r w:rsidR="002E32CE" w:rsidRPr="002D390C">
        <w:rPr>
          <w:szCs w:val="24"/>
          <w:lang w:val="pl-PL"/>
        </w:rPr>
        <w:t>ie</w:t>
      </w:r>
      <w:r w:rsidR="007F751D">
        <w:rPr>
          <w:szCs w:val="24"/>
          <w:lang w:val="pl-PL"/>
        </w:rPr>
        <w:t xml:space="preserve"> wskazał on</w:t>
      </w:r>
      <w:r w:rsidR="002E32CE" w:rsidRPr="002D390C">
        <w:rPr>
          <w:szCs w:val="24"/>
          <w:lang w:val="pl-PL"/>
        </w:rPr>
        <w:t xml:space="preserve"> jednak, że</w:t>
      </w:r>
      <w:r w:rsidR="007F751D">
        <w:rPr>
          <w:szCs w:val="24"/>
          <w:lang w:val="pl-PL"/>
        </w:rPr>
        <w:t xml:space="preserve"> </w:t>
      </w:r>
      <w:r w:rsidR="002E32CE" w:rsidRPr="002D390C">
        <w:rPr>
          <w:szCs w:val="24"/>
          <w:lang w:val="pl-PL"/>
        </w:rPr>
        <w:t>podjął dalsze kroki w celu określenia tożsamości autora komentarza.</w:t>
      </w:r>
    </w:p>
    <w:p w14:paraId="6AC5A626" w14:textId="148AC272" w:rsidR="00F96030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35</w:t>
      </w:r>
      <w:r w:rsidR="002E32CE" w:rsidRPr="002D390C">
        <w:rPr>
          <w:szCs w:val="24"/>
          <w:lang w:val="pl-PL"/>
        </w:rPr>
        <w:t>.  Ponadto, ponieważ roszczenie skarżącego zostało odrzucone przez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sądy krajowe, w niniejszej sprawie postępowanie krajowe nie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spowodowało jakichkolwiek konsekwencji dla stowarzyszenia. Trybunał stwierdzał jednak już wcześniej, że odpowiedzialność za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wypowiedzi osób trzecich może mieć negatywne konsekwencje dla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możliwości zamieszczania komentarzy w portalu internetowym, a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rezultacie wywierać efekt mrożący wolność </w:t>
      </w:r>
      <w:r w:rsidR="007F751D">
        <w:rPr>
          <w:szCs w:val="24"/>
          <w:lang w:val="pl-PL"/>
        </w:rPr>
        <w:t xml:space="preserve">wyrażania opinii </w:t>
      </w:r>
      <w:r w:rsidR="002E32CE" w:rsidRPr="002D390C">
        <w:rPr>
          <w:szCs w:val="24"/>
          <w:lang w:val="pl-PL"/>
        </w:rPr>
        <w:lastRenderedPageBreak/>
        <w:t>w</w:t>
      </w:r>
      <w:r w:rsidR="00271DD3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Internecie. Dla niekomercyjnej strony internetowej efekt ten mógłby być szczególnie szkodliwy (zob. </w:t>
      </w:r>
      <w:r w:rsidR="002E32CE" w:rsidRPr="002D390C">
        <w:rPr>
          <w:i/>
          <w:iCs/>
          <w:lang w:val="pl-PL"/>
        </w:rPr>
        <w:t>Magyar Tartalomszolgáltatók Egyesülete i</w:t>
      </w:r>
      <w:r w:rsidR="00271DD3">
        <w:rPr>
          <w:i/>
          <w:iCs/>
          <w:lang w:val="pl-PL"/>
        </w:rPr>
        <w:t> </w:t>
      </w:r>
      <w:r w:rsidR="002E32CE" w:rsidRPr="002D390C">
        <w:rPr>
          <w:i/>
          <w:iCs/>
          <w:lang w:val="pl-PL"/>
        </w:rPr>
        <w:t>Index.hu Zrt</w:t>
      </w:r>
      <w:r w:rsidR="002E32CE" w:rsidRPr="002D390C">
        <w:rPr>
          <w:lang w:val="pl-PL"/>
        </w:rPr>
        <w:t>, cyt. powyżej, § 86).</w:t>
      </w:r>
    </w:p>
    <w:p w14:paraId="3B83F3F2" w14:textId="0555AF68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36</w:t>
      </w:r>
      <w:r w:rsidR="002E32CE" w:rsidRPr="002D390C">
        <w:rPr>
          <w:szCs w:val="24"/>
          <w:lang w:val="pl-PL"/>
        </w:rPr>
        <w:t>.  Wreszcie Trybunał zauważa, że sprawa skarżącego została zbadana co do meritum przez dwie instancje sądowe na szczeblu krajowym, zanim Sąd Najwyższy odmówił przyjęcia odwołania. Ponadto przed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stwierdzeniem, że sprawa nie wskazuje na naruszenie praw skarżącego wynikających z art. 8 Konwencji, Kanclerz Sprawiedliwości zbadał skargę wniesioną przez skarżącego na podstawie art. 8, powołując się na orzecznictwo Trybunału oraz konieczność wyważenia interesów wynikających z art. 8 i 10. Trybunał zauważa ponadto, że zakres odpowiedzialności osób prowadzących blogi reguluje prawo krajowe oraz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że gdyby komentarz miał inny i poważniejszy charakter, stowarzyszenie mogłoby zostać pociągnięte do odpowiedzialności ze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względu na brak usunięcia go w terminie wcześniejszym (zob. par. 18-20 powyżej).</w:t>
      </w:r>
    </w:p>
    <w:p w14:paraId="5032535E" w14:textId="692365D6" w:rsidR="008461BF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37</w:t>
      </w:r>
      <w:r w:rsidR="002E32CE" w:rsidRPr="002D390C">
        <w:rPr>
          <w:szCs w:val="24"/>
          <w:lang w:val="pl-PL"/>
        </w:rPr>
        <w:t>.  W świetle powyższego, a w szczególności faktu, że komentarz, choć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obraźliwy, nie stanowił nawoływania do nienawiści lub podżegania do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przemocy i został zamieszczony na małym blogu prowadzonym przez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stowarzyszenie </w:t>
      </w:r>
      <w:r w:rsidR="002E32CE" w:rsidRPr="00393EA1">
        <w:rPr>
          <w:i/>
          <w:szCs w:val="24"/>
          <w:lang w:val="pl-PL"/>
        </w:rPr>
        <w:t>non-profit</w:t>
      </w:r>
      <w:r w:rsidR="002E32CE" w:rsidRPr="002D390C">
        <w:rPr>
          <w:szCs w:val="24"/>
          <w:lang w:val="pl-PL"/>
        </w:rPr>
        <w:t>, które usunęło go w dniu następującym po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 xml:space="preserve">złożeniu przez skarżącego wniosku i dziewięć dni po jego zamieszczeniu, Trybunał uznaje, że sądy krajowe działały w ramach przyznanego im marginesu </w:t>
      </w:r>
      <w:r w:rsidR="00393EA1">
        <w:rPr>
          <w:szCs w:val="24"/>
          <w:lang w:val="pl-PL"/>
        </w:rPr>
        <w:t>oceny</w:t>
      </w:r>
      <w:r w:rsidR="002E32CE" w:rsidRPr="002D390C">
        <w:rPr>
          <w:szCs w:val="24"/>
          <w:lang w:val="pl-PL"/>
        </w:rPr>
        <w:t xml:space="preserve"> i zachowały właściwą równowagę pomiędzy prawami skarżącego wynikającymi z art. 8 a przeciwstawnym prawem stowarzyszenia do wolności </w:t>
      </w:r>
      <w:r w:rsidR="00393EA1">
        <w:rPr>
          <w:szCs w:val="24"/>
          <w:lang w:val="pl-PL"/>
        </w:rPr>
        <w:t xml:space="preserve">wyrażania opinii </w:t>
      </w:r>
      <w:r w:rsidR="002E32CE" w:rsidRPr="002D390C">
        <w:rPr>
          <w:szCs w:val="24"/>
          <w:lang w:val="pl-PL"/>
        </w:rPr>
        <w:t>wynikającym z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art.</w:t>
      </w:r>
      <w:r w:rsidR="00FD7F11">
        <w:rPr>
          <w:szCs w:val="24"/>
          <w:lang w:val="pl-PL"/>
        </w:rPr>
        <w:t> </w:t>
      </w:r>
      <w:r w:rsidR="002E32CE" w:rsidRPr="002D390C">
        <w:rPr>
          <w:szCs w:val="24"/>
          <w:lang w:val="pl-PL"/>
        </w:rPr>
        <w:t>10.</w:t>
      </w:r>
    </w:p>
    <w:p w14:paraId="35B52FCA" w14:textId="1FEBB89C" w:rsidR="002E32CE" w:rsidRPr="002D390C" w:rsidRDefault="00FB6A16" w:rsidP="00EB3E93">
      <w:pPr>
        <w:pStyle w:val="ECHRPara"/>
        <w:rPr>
          <w:szCs w:val="24"/>
          <w:lang w:val="pl-PL"/>
        </w:rPr>
      </w:pPr>
      <w:r>
        <w:rPr>
          <w:szCs w:val="24"/>
          <w:lang w:val="pl-PL"/>
        </w:rPr>
        <w:t>38</w:t>
      </w:r>
      <w:r w:rsidR="002E32CE" w:rsidRPr="002D390C">
        <w:rPr>
          <w:szCs w:val="24"/>
          <w:lang w:val="pl-PL"/>
        </w:rPr>
        <w:t xml:space="preserve">.  Zatem skarga jest </w:t>
      </w:r>
      <w:r w:rsidR="001E782F">
        <w:rPr>
          <w:szCs w:val="24"/>
          <w:lang w:val="pl-PL"/>
        </w:rPr>
        <w:t xml:space="preserve">w sposób oczywisty nieuzasadniona </w:t>
      </w:r>
      <w:r w:rsidR="002E32CE" w:rsidRPr="002D390C">
        <w:rPr>
          <w:szCs w:val="24"/>
          <w:lang w:val="pl-PL"/>
        </w:rPr>
        <w:t>i musi zostać odrzucona zgodnie z art. 35 ust. 3 i 4 Konwencji.</w:t>
      </w:r>
    </w:p>
    <w:p w14:paraId="02F72EC7" w14:textId="77777777" w:rsidR="002E32CE" w:rsidRPr="002D390C" w:rsidRDefault="002E32CE" w:rsidP="00EB3E93">
      <w:pPr>
        <w:pStyle w:val="JuParaLast"/>
        <w:rPr>
          <w:lang w:val="pl-PL"/>
        </w:rPr>
      </w:pPr>
      <w:r w:rsidRPr="002D390C">
        <w:rPr>
          <w:lang w:val="pl-PL"/>
        </w:rPr>
        <w:t>Z tych przyczyn Trybunał, jednogłośnie,</w:t>
      </w:r>
    </w:p>
    <w:p w14:paraId="5FCA4C54" w14:textId="77777777" w:rsidR="002E32CE" w:rsidRPr="002D390C" w:rsidRDefault="002E32CE" w:rsidP="00EB3E93">
      <w:pPr>
        <w:pStyle w:val="DecList"/>
        <w:keepNext/>
        <w:keepLines/>
        <w:rPr>
          <w:lang w:val="pl-PL"/>
        </w:rPr>
      </w:pPr>
      <w:r w:rsidRPr="002D390C">
        <w:rPr>
          <w:i/>
          <w:iCs/>
          <w:lang w:val="pl-PL"/>
        </w:rPr>
        <w:t>Uznaje</w:t>
      </w:r>
      <w:r w:rsidRPr="002D390C">
        <w:rPr>
          <w:lang w:val="pl-PL"/>
        </w:rPr>
        <w:t xml:space="preserve"> skargę za </w:t>
      </w:r>
      <w:r w:rsidR="001E782F">
        <w:rPr>
          <w:lang w:val="pl-PL"/>
        </w:rPr>
        <w:t>nie</w:t>
      </w:r>
      <w:r w:rsidRPr="002D390C">
        <w:rPr>
          <w:lang w:val="pl-PL"/>
        </w:rPr>
        <w:t>dopuszczalną.</w:t>
      </w:r>
    </w:p>
    <w:p w14:paraId="6EDF09A8" w14:textId="16C549C6" w:rsidR="005E02D4" w:rsidRPr="002D390C" w:rsidRDefault="005E02D4" w:rsidP="00EB3E93">
      <w:pPr>
        <w:pStyle w:val="JuParaLast"/>
        <w:rPr>
          <w:lang w:val="pl-PL"/>
        </w:rPr>
      </w:pPr>
      <w:r w:rsidRPr="002D390C">
        <w:rPr>
          <w:lang w:val="pl-PL"/>
        </w:rPr>
        <w:t xml:space="preserve">Sporządzono w języku angielskim i obwieszczono na piśmie w dniu </w:t>
      </w:r>
      <w:r w:rsidRPr="002D390C">
        <w:rPr>
          <w:szCs w:val="24"/>
          <w:lang w:val="pl-PL"/>
        </w:rPr>
        <w:t>9</w:t>
      </w:r>
      <w:r w:rsidR="00FD7F11">
        <w:rPr>
          <w:szCs w:val="24"/>
          <w:lang w:val="pl-PL"/>
        </w:rPr>
        <w:t> </w:t>
      </w:r>
      <w:r w:rsidR="007633AA">
        <w:rPr>
          <w:szCs w:val="24"/>
          <w:lang w:val="pl-PL"/>
        </w:rPr>
        <w:t>marca</w:t>
      </w:r>
      <w:bookmarkStart w:id="0" w:name="_GoBack"/>
      <w:bookmarkEnd w:id="0"/>
      <w:r w:rsidRPr="002D390C">
        <w:rPr>
          <w:szCs w:val="24"/>
          <w:lang w:val="pl-PL"/>
        </w:rPr>
        <w:t xml:space="preserve"> 2017 r</w:t>
      </w:r>
      <w:r w:rsidRPr="002D390C">
        <w:rPr>
          <w:lang w:val="pl-PL"/>
        </w:rPr>
        <w:t>.</w:t>
      </w:r>
    </w:p>
    <w:p w14:paraId="7D826C63" w14:textId="77777777" w:rsidR="00A85AFC" w:rsidRPr="002D390C" w:rsidRDefault="00A85AFC" w:rsidP="00EB3E93">
      <w:pPr>
        <w:pStyle w:val="JuSigned"/>
        <w:keepNext/>
        <w:keepLines/>
        <w:rPr>
          <w:lang w:val="pl-PL"/>
        </w:rPr>
      </w:pPr>
      <w:r w:rsidRPr="002D390C">
        <w:rPr>
          <w:lang w:val="pl-PL"/>
        </w:rPr>
        <w:tab/>
        <w:t>Stephen Phillips</w:t>
      </w:r>
      <w:r w:rsidRPr="002D390C">
        <w:rPr>
          <w:lang w:val="pl-PL"/>
        </w:rPr>
        <w:tab/>
        <w:t>Branko Lubarda</w:t>
      </w:r>
      <w:r w:rsidRPr="002D390C">
        <w:rPr>
          <w:lang w:val="pl-PL"/>
        </w:rPr>
        <w:br/>
      </w:r>
      <w:r w:rsidRPr="002D390C">
        <w:rPr>
          <w:lang w:val="pl-PL"/>
        </w:rPr>
        <w:tab/>
        <w:t>Kanclerz</w:t>
      </w:r>
      <w:r w:rsidRPr="002D390C">
        <w:rPr>
          <w:lang w:val="pl-PL"/>
        </w:rPr>
        <w:tab/>
        <w:t>Przewodniczący</w:t>
      </w:r>
    </w:p>
    <w:sectPr w:rsidR="00A85AFC" w:rsidRPr="002D390C" w:rsidSect="005D62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74" w:right="2274" w:bottom="2274" w:left="2274" w:header="1701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FB18D" w14:textId="77777777" w:rsidR="00255392" w:rsidRPr="0007151C" w:rsidRDefault="00255392" w:rsidP="00F35DE8">
      <w:r>
        <w:separator/>
      </w:r>
    </w:p>
  </w:endnote>
  <w:endnote w:type="continuationSeparator" w:id="0">
    <w:p w14:paraId="6FC11E60" w14:textId="77777777" w:rsidR="00255392" w:rsidRPr="0007151C" w:rsidRDefault="00255392" w:rsidP="00F35DE8">
      <w:r>
        <w:continuationSeparator/>
      </w:r>
    </w:p>
  </w:endnote>
  <w:endnote w:type="continuationNotice" w:id="1">
    <w:p w14:paraId="38A67426" w14:textId="77777777" w:rsidR="00255392" w:rsidRDefault="002553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5E2E4" w14:textId="77777777" w:rsidR="00756A23" w:rsidRDefault="00756A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4FB0B" w14:textId="77777777" w:rsidR="00A92B88" w:rsidRDefault="00A92B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9A501" w14:textId="77777777" w:rsidR="00EB3E93" w:rsidRDefault="007633AA" w:rsidP="00EB3E93">
    <w:pPr>
      <w:pStyle w:val="ECHRFooter"/>
      <w:jc w:val="center"/>
    </w:pPr>
    <w:r>
      <w:rPr>
        <w:noProof/>
        <w:lang w:val="pl"/>
      </w:rPr>
      <w:pict w14:anchorId="62E8CA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6" type="#_x0000_t75" style="width:61.5pt;height:49.5pt;visibility:visible">
          <v:imagedata r:id="rId1" o:title="ECHR_CoverpageCS61_ECHR_Coverpage_Footer_COE_Black"/>
        </v:shape>
      </w:pict>
    </w:r>
  </w:p>
  <w:p w14:paraId="52AC019C" w14:textId="77777777" w:rsidR="00FD69B6" w:rsidRPr="0007151C" w:rsidRDefault="00FD69B6" w:rsidP="00FD69B6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3A370" w14:textId="77777777" w:rsidR="00255392" w:rsidRPr="0007151C" w:rsidRDefault="00255392" w:rsidP="00F35DE8">
      <w:r>
        <w:separator/>
      </w:r>
    </w:p>
  </w:footnote>
  <w:footnote w:type="continuationSeparator" w:id="0">
    <w:p w14:paraId="467FDC7C" w14:textId="77777777" w:rsidR="00255392" w:rsidRPr="0007151C" w:rsidRDefault="00255392" w:rsidP="00F35DE8">
      <w:r>
        <w:continuationSeparator/>
      </w:r>
    </w:p>
  </w:footnote>
  <w:footnote w:type="continuationNotice" w:id="1">
    <w:p w14:paraId="050AF924" w14:textId="77777777" w:rsidR="00255392" w:rsidRDefault="002553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503A2" w14:textId="77777777" w:rsidR="00FD69B6" w:rsidRPr="009074D3" w:rsidRDefault="002E32CE" w:rsidP="00FD69B6">
    <w:pPr>
      <w:rPr>
        <w:lang w:val="pl-PL"/>
      </w:rPr>
    </w:pPr>
    <w:r>
      <w:rPr>
        <w:rStyle w:val="Numerstrony"/>
        <w:szCs w:val="18"/>
        <w:lang w:val="pl"/>
      </w:rPr>
      <w:fldChar w:fldCharType="begin"/>
    </w:r>
    <w:r>
      <w:rPr>
        <w:rStyle w:val="Numerstrony"/>
        <w:szCs w:val="18"/>
        <w:lang w:val="pl"/>
      </w:rPr>
      <w:instrText xml:space="preserve"> PAGE </w:instrText>
    </w:r>
    <w:r>
      <w:rPr>
        <w:rStyle w:val="Numerstrony"/>
        <w:szCs w:val="18"/>
        <w:lang w:val="pl"/>
      </w:rPr>
      <w:fldChar w:fldCharType="separate"/>
    </w:r>
    <w:r>
      <w:rPr>
        <w:rStyle w:val="Numerstrony"/>
        <w:noProof/>
        <w:szCs w:val="18"/>
        <w:lang w:val="pl"/>
      </w:rPr>
      <w:t>1</w:t>
    </w:r>
    <w:r>
      <w:rPr>
        <w:rStyle w:val="Numerstrony"/>
        <w:szCs w:val="18"/>
        <w:lang w:val="pl"/>
      </w:rPr>
      <w:fldChar w:fldCharType="end"/>
    </w:r>
    <w:r>
      <w:rPr>
        <w:lang w:val="pl"/>
      </w:rPr>
      <w:tab/>
      <w:t>DECYZJA w sprawie PIHL przeciwko SZWECJI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530B8" w14:textId="77777777" w:rsidR="00FD69B6" w:rsidRPr="009074D3" w:rsidRDefault="00F35DE8" w:rsidP="00F35DE8">
    <w:pPr>
      <w:pStyle w:val="ECHRHeader"/>
      <w:rPr>
        <w:lang w:val="pl-PL"/>
      </w:rPr>
    </w:pPr>
    <w:r>
      <w:rPr>
        <w:lang w:val="pl"/>
      </w:rPr>
      <w:tab/>
      <w:t>DECYZJA w sprawie PIHL przeciwko SZWECJI</w:t>
    </w:r>
    <w:r>
      <w:rPr>
        <w:lang w:val="pl"/>
      </w:rPr>
      <w:tab/>
    </w:r>
    <w:r>
      <w:rPr>
        <w:rStyle w:val="Numerstrony"/>
        <w:szCs w:val="18"/>
        <w:lang w:val="pl"/>
      </w:rPr>
      <w:fldChar w:fldCharType="begin"/>
    </w:r>
    <w:r>
      <w:rPr>
        <w:rStyle w:val="Numerstrony"/>
        <w:szCs w:val="18"/>
        <w:lang w:val="pl"/>
      </w:rPr>
      <w:instrText xml:space="preserve"> PAGE </w:instrText>
    </w:r>
    <w:r>
      <w:rPr>
        <w:rStyle w:val="Numerstrony"/>
        <w:szCs w:val="18"/>
        <w:lang w:val="pl"/>
      </w:rPr>
      <w:fldChar w:fldCharType="separate"/>
    </w:r>
    <w:r w:rsidR="0052723F">
      <w:rPr>
        <w:rStyle w:val="Numerstrony"/>
        <w:noProof/>
        <w:szCs w:val="18"/>
        <w:lang w:val="pl"/>
      </w:rPr>
      <w:t>2</w:t>
    </w:r>
    <w:r>
      <w:rPr>
        <w:rStyle w:val="Numerstrony"/>
        <w:szCs w:val="18"/>
        <w:lang w:val="pl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08B6C" w14:textId="77777777" w:rsidR="002E32CE" w:rsidRPr="00A45145" w:rsidRDefault="007633AA" w:rsidP="00FD69B6">
    <w:pPr>
      <w:jc w:val="center"/>
    </w:pPr>
    <w:r>
      <w:rPr>
        <w:noProof/>
        <w:lang w:val="pl"/>
      </w:rPr>
      <w:pict w14:anchorId="0736F2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8" o:spid="_x0000_i1025" type="#_x0000_t75" style="width:233.25pt;height:96pt;visibility:visible">
          <v:imagedata r:id="rId1" o:title="ECHR_CoverpageCS61_ECHR_Coverpage_Header_Black"/>
        </v:shape>
      </w:pict>
    </w:r>
  </w:p>
  <w:p w14:paraId="62417E55" w14:textId="77777777" w:rsidR="00FD69B6" w:rsidRPr="0007151C" w:rsidRDefault="00FD69B6">
    <w:pPr>
      <w:pStyle w:val="Nagwek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3A4766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F1CBDC6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108B296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024476E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E8C20E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F6BEEE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EC2A0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F8159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FEE58A4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24BFD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77AC4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A0C2047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17E4EC7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1"/>
  </w:num>
  <w:num w:numId="5">
    <w:abstractNumId w:val="10"/>
  </w:num>
  <w:num w:numId="6">
    <w:abstractNumId w:val="1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oNotTrackMove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2E32CE"/>
    <w:rsid w:val="000041F8"/>
    <w:rsid w:val="000042A8"/>
    <w:rsid w:val="00004308"/>
    <w:rsid w:val="00005BF0"/>
    <w:rsid w:val="00007154"/>
    <w:rsid w:val="000103AE"/>
    <w:rsid w:val="00010E2E"/>
    <w:rsid w:val="00011D69"/>
    <w:rsid w:val="00012AD3"/>
    <w:rsid w:val="00015C2D"/>
    <w:rsid w:val="00015F00"/>
    <w:rsid w:val="00022C1D"/>
    <w:rsid w:val="00034987"/>
    <w:rsid w:val="00035EF6"/>
    <w:rsid w:val="0005438D"/>
    <w:rsid w:val="000602DF"/>
    <w:rsid w:val="00061B05"/>
    <w:rsid w:val="000632D5"/>
    <w:rsid w:val="000644EE"/>
    <w:rsid w:val="0007151C"/>
    <w:rsid w:val="000925AD"/>
    <w:rsid w:val="000A0ED8"/>
    <w:rsid w:val="000A24EB"/>
    <w:rsid w:val="000B6923"/>
    <w:rsid w:val="000B79D7"/>
    <w:rsid w:val="000C5F3C"/>
    <w:rsid w:val="000C6DCC"/>
    <w:rsid w:val="000D47AA"/>
    <w:rsid w:val="000D721F"/>
    <w:rsid w:val="000E069B"/>
    <w:rsid w:val="000E0E82"/>
    <w:rsid w:val="000E1DC5"/>
    <w:rsid w:val="000E223F"/>
    <w:rsid w:val="000E7D45"/>
    <w:rsid w:val="000F7851"/>
    <w:rsid w:val="00104E23"/>
    <w:rsid w:val="00111B0C"/>
    <w:rsid w:val="00120D6C"/>
    <w:rsid w:val="00121027"/>
    <w:rsid w:val="001257EC"/>
    <w:rsid w:val="00131884"/>
    <w:rsid w:val="00133D33"/>
    <w:rsid w:val="0013457B"/>
    <w:rsid w:val="00134D64"/>
    <w:rsid w:val="00135A30"/>
    <w:rsid w:val="0013612C"/>
    <w:rsid w:val="00137FF6"/>
    <w:rsid w:val="00141650"/>
    <w:rsid w:val="00162A12"/>
    <w:rsid w:val="00166530"/>
    <w:rsid w:val="001832BD"/>
    <w:rsid w:val="001943B5"/>
    <w:rsid w:val="0019491D"/>
    <w:rsid w:val="00195134"/>
    <w:rsid w:val="001A145B"/>
    <w:rsid w:val="001A674C"/>
    <w:rsid w:val="001B29FB"/>
    <w:rsid w:val="001B3B24"/>
    <w:rsid w:val="001C0F98"/>
    <w:rsid w:val="001C2A42"/>
    <w:rsid w:val="001D63ED"/>
    <w:rsid w:val="001D7348"/>
    <w:rsid w:val="001E035B"/>
    <w:rsid w:val="001E0961"/>
    <w:rsid w:val="001E3EAE"/>
    <w:rsid w:val="001E6F32"/>
    <w:rsid w:val="001E782F"/>
    <w:rsid w:val="001F2145"/>
    <w:rsid w:val="001F6262"/>
    <w:rsid w:val="001F67B0"/>
    <w:rsid w:val="001F7B3D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32C5"/>
    <w:rsid w:val="00255392"/>
    <w:rsid w:val="00260C03"/>
    <w:rsid w:val="0026540E"/>
    <w:rsid w:val="00271DD3"/>
    <w:rsid w:val="00275123"/>
    <w:rsid w:val="00282240"/>
    <w:rsid w:val="002948AD"/>
    <w:rsid w:val="002A01CC"/>
    <w:rsid w:val="002A61B1"/>
    <w:rsid w:val="002A663C"/>
    <w:rsid w:val="002B444B"/>
    <w:rsid w:val="002B5887"/>
    <w:rsid w:val="002C0E27"/>
    <w:rsid w:val="002C3040"/>
    <w:rsid w:val="002D022D"/>
    <w:rsid w:val="002D24BB"/>
    <w:rsid w:val="002D390C"/>
    <w:rsid w:val="002D4CEF"/>
    <w:rsid w:val="002E32CE"/>
    <w:rsid w:val="002F2AF7"/>
    <w:rsid w:val="002F7E1C"/>
    <w:rsid w:val="00301A75"/>
    <w:rsid w:val="00302F70"/>
    <w:rsid w:val="0030336F"/>
    <w:rsid w:val="0030375E"/>
    <w:rsid w:val="00312A30"/>
    <w:rsid w:val="00320F72"/>
    <w:rsid w:val="0032463E"/>
    <w:rsid w:val="00326224"/>
    <w:rsid w:val="00337EE4"/>
    <w:rsid w:val="00340FFD"/>
    <w:rsid w:val="00343B3E"/>
    <w:rsid w:val="003506B1"/>
    <w:rsid w:val="00350F09"/>
    <w:rsid w:val="00356AC7"/>
    <w:rsid w:val="003609FA"/>
    <w:rsid w:val="003710C8"/>
    <w:rsid w:val="003750BE"/>
    <w:rsid w:val="00387B9D"/>
    <w:rsid w:val="0039364F"/>
    <w:rsid w:val="00393EA1"/>
    <w:rsid w:val="00396686"/>
    <w:rsid w:val="0039778E"/>
    <w:rsid w:val="003A5CD5"/>
    <w:rsid w:val="003B4941"/>
    <w:rsid w:val="003C5714"/>
    <w:rsid w:val="003C6B9F"/>
    <w:rsid w:val="003C6E2A"/>
    <w:rsid w:val="003D0299"/>
    <w:rsid w:val="003E6D80"/>
    <w:rsid w:val="003F05FA"/>
    <w:rsid w:val="003F1520"/>
    <w:rsid w:val="003F244A"/>
    <w:rsid w:val="003F30B8"/>
    <w:rsid w:val="003F4C45"/>
    <w:rsid w:val="003F5F7B"/>
    <w:rsid w:val="003F7D64"/>
    <w:rsid w:val="004025D9"/>
    <w:rsid w:val="004135BE"/>
    <w:rsid w:val="00414300"/>
    <w:rsid w:val="00425C67"/>
    <w:rsid w:val="00427E7A"/>
    <w:rsid w:val="00436C49"/>
    <w:rsid w:val="00445366"/>
    <w:rsid w:val="00447F5B"/>
    <w:rsid w:val="00461DB0"/>
    <w:rsid w:val="00463926"/>
    <w:rsid w:val="00464C9A"/>
    <w:rsid w:val="00474F3D"/>
    <w:rsid w:val="00477E3A"/>
    <w:rsid w:val="00483E5F"/>
    <w:rsid w:val="00485FF9"/>
    <w:rsid w:val="004907F0"/>
    <w:rsid w:val="0049140B"/>
    <w:rsid w:val="004923A5"/>
    <w:rsid w:val="004956D6"/>
    <w:rsid w:val="00496BFB"/>
    <w:rsid w:val="004A15C7"/>
    <w:rsid w:val="004B013B"/>
    <w:rsid w:val="004B112B"/>
    <w:rsid w:val="004C01E4"/>
    <w:rsid w:val="004C086C"/>
    <w:rsid w:val="004C1F56"/>
    <w:rsid w:val="004C27BC"/>
    <w:rsid w:val="004D15F3"/>
    <w:rsid w:val="004D3959"/>
    <w:rsid w:val="004D5311"/>
    <w:rsid w:val="004D5DCC"/>
    <w:rsid w:val="004F10AF"/>
    <w:rsid w:val="004F11A4"/>
    <w:rsid w:val="004F2389"/>
    <w:rsid w:val="004F304D"/>
    <w:rsid w:val="004F61BE"/>
    <w:rsid w:val="004F66B1"/>
    <w:rsid w:val="005016BB"/>
    <w:rsid w:val="00502C1C"/>
    <w:rsid w:val="00511C07"/>
    <w:rsid w:val="005173A6"/>
    <w:rsid w:val="00520BAA"/>
    <w:rsid w:val="00525208"/>
    <w:rsid w:val="005257A5"/>
    <w:rsid w:val="005264C0"/>
    <w:rsid w:val="00526A8A"/>
    <w:rsid w:val="0052723F"/>
    <w:rsid w:val="00531DF2"/>
    <w:rsid w:val="005442EE"/>
    <w:rsid w:val="00547353"/>
    <w:rsid w:val="005474E7"/>
    <w:rsid w:val="005512A3"/>
    <w:rsid w:val="005578CE"/>
    <w:rsid w:val="00562781"/>
    <w:rsid w:val="0057271C"/>
    <w:rsid w:val="00572845"/>
    <w:rsid w:val="00592772"/>
    <w:rsid w:val="0059574A"/>
    <w:rsid w:val="005A1B9B"/>
    <w:rsid w:val="005A6751"/>
    <w:rsid w:val="005B092E"/>
    <w:rsid w:val="005B152C"/>
    <w:rsid w:val="005B1EE0"/>
    <w:rsid w:val="005B2B24"/>
    <w:rsid w:val="005B4425"/>
    <w:rsid w:val="005B4B94"/>
    <w:rsid w:val="005C3EE8"/>
    <w:rsid w:val="005D34F9"/>
    <w:rsid w:val="005D4190"/>
    <w:rsid w:val="005D62EF"/>
    <w:rsid w:val="005D67A3"/>
    <w:rsid w:val="005E02D4"/>
    <w:rsid w:val="005E2988"/>
    <w:rsid w:val="005E3085"/>
    <w:rsid w:val="005F51E1"/>
    <w:rsid w:val="00611C80"/>
    <w:rsid w:val="00620692"/>
    <w:rsid w:val="006242CA"/>
    <w:rsid w:val="00627507"/>
    <w:rsid w:val="00633717"/>
    <w:rsid w:val="006344E1"/>
    <w:rsid w:val="00642E96"/>
    <w:rsid w:val="006545C4"/>
    <w:rsid w:val="00661971"/>
    <w:rsid w:val="00661CE8"/>
    <w:rsid w:val="006623D9"/>
    <w:rsid w:val="006625FF"/>
    <w:rsid w:val="0066550C"/>
    <w:rsid w:val="006716F2"/>
    <w:rsid w:val="00682BF2"/>
    <w:rsid w:val="00684825"/>
    <w:rsid w:val="006859CE"/>
    <w:rsid w:val="00691270"/>
    <w:rsid w:val="00694BA8"/>
    <w:rsid w:val="006A037C"/>
    <w:rsid w:val="006A36F4"/>
    <w:rsid w:val="006A406F"/>
    <w:rsid w:val="006A5D3A"/>
    <w:rsid w:val="006B5F4E"/>
    <w:rsid w:val="006C23D4"/>
    <w:rsid w:val="006C7BB0"/>
    <w:rsid w:val="006D3237"/>
    <w:rsid w:val="006E2E37"/>
    <w:rsid w:val="006E3CF1"/>
    <w:rsid w:val="006E7E80"/>
    <w:rsid w:val="006F48CA"/>
    <w:rsid w:val="006F64D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FF0"/>
    <w:rsid w:val="0075220C"/>
    <w:rsid w:val="00756A23"/>
    <w:rsid w:val="007633AA"/>
    <w:rsid w:val="00764D4E"/>
    <w:rsid w:val="00765A1F"/>
    <w:rsid w:val="00775B6D"/>
    <w:rsid w:val="00776D68"/>
    <w:rsid w:val="007850EE"/>
    <w:rsid w:val="00785B95"/>
    <w:rsid w:val="00790E96"/>
    <w:rsid w:val="00793366"/>
    <w:rsid w:val="007A716F"/>
    <w:rsid w:val="007B270A"/>
    <w:rsid w:val="007C0695"/>
    <w:rsid w:val="007C419A"/>
    <w:rsid w:val="007C4CC8"/>
    <w:rsid w:val="007C5426"/>
    <w:rsid w:val="007C5798"/>
    <w:rsid w:val="007C683E"/>
    <w:rsid w:val="007D4832"/>
    <w:rsid w:val="007E21B2"/>
    <w:rsid w:val="007E2C4E"/>
    <w:rsid w:val="007F1905"/>
    <w:rsid w:val="007F751D"/>
    <w:rsid w:val="00802C64"/>
    <w:rsid w:val="00805E52"/>
    <w:rsid w:val="008061D0"/>
    <w:rsid w:val="00807D11"/>
    <w:rsid w:val="00810B38"/>
    <w:rsid w:val="008204C7"/>
    <w:rsid w:val="00820992"/>
    <w:rsid w:val="00823602"/>
    <w:rsid w:val="008255F5"/>
    <w:rsid w:val="0083014E"/>
    <w:rsid w:val="0083214A"/>
    <w:rsid w:val="00834220"/>
    <w:rsid w:val="00845723"/>
    <w:rsid w:val="008461BF"/>
    <w:rsid w:val="00851EF9"/>
    <w:rsid w:val="008577FD"/>
    <w:rsid w:val="00860B03"/>
    <w:rsid w:val="0086497A"/>
    <w:rsid w:val="00865A7E"/>
    <w:rsid w:val="008713A1"/>
    <w:rsid w:val="008754AB"/>
    <w:rsid w:val="0088060C"/>
    <w:rsid w:val="00893576"/>
    <w:rsid w:val="00893E73"/>
    <w:rsid w:val="008B02DC"/>
    <w:rsid w:val="008B57CE"/>
    <w:rsid w:val="008C26DE"/>
    <w:rsid w:val="008D2225"/>
    <w:rsid w:val="008D4752"/>
    <w:rsid w:val="008E271C"/>
    <w:rsid w:val="008E418E"/>
    <w:rsid w:val="008E5BC6"/>
    <w:rsid w:val="008E6A25"/>
    <w:rsid w:val="008F5193"/>
    <w:rsid w:val="009013A7"/>
    <w:rsid w:val="009017FB"/>
    <w:rsid w:val="009017FC"/>
    <w:rsid w:val="0090506B"/>
    <w:rsid w:val="009050C9"/>
    <w:rsid w:val="009066FC"/>
    <w:rsid w:val="009074D3"/>
    <w:rsid w:val="009140A3"/>
    <w:rsid w:val="009144A2"/>
    <w:rsid w:val="0091510C"/>
    <w:rsid w:val="009259AC"/>
    <w:rsid w:val="00926F38"/>
    <w:rsid w:val="00933B9F"/>
    <w:rsid w:val="00934301"/>
    <w:rsid w:val="00936CD1"/>
    <w:rsid w:val="00941747"/>
    <w:rsid w:val="00941EFB"/>
    <w:rsid w:val="00947AFB"/>
    <w:rsid w:val="00951D7D"/>
    <w:rsid w:val="00952D8D"/>
    <w:rsid w:val="009630C7"/>
    <w:rsid w:val="00963C4E"/>
    <w:rsid w:val="00972B55"/>
    <w:rsid w:val="009743B7"/>
    <w:rsid w:val="0098228B"/>
    <w:rsid w:val="009828DA"/>
    <w:rsid w:val="00985BAB"/>
    <w:rsid w:val="009B1B5F"/>
    <w:rsid w:val="009B6673"/>
    <w:rsid w:val="009C191B"/>
    <w:rsid w:val="009C2BD6"/>
    <w:rsid w:val="009E1F32"/>
    <w:rsid w:val="009E776C"/>
    <w:rsid w:val="00A045CD"/>
    <w:rsid w:val="00A1592E"/>
    <w:rsid w:val="00A1726E"/>
    <w:rsid w:val="00A204CF"/>
    <w:rsid w:val="00A23D49"/>
    <w:rsid w:val="00A27004"/>
    <w:rsid w:val="00A30C29"/>
    <w:rsid w:val="00A34DD6"/>
    <w:rsid w:val="00A36819"/>
    <w:rsid w:val="00A36989"/>
    <w:rsid w:val="00A43628"/>
    <w:rsid w:val="00A54192"/>
    <w:rsid w:val="00A6035E"/>
    <w:rsid w:val="00A6144C"/>
    <w:rsid w:val="00A66617"/>
    <w:rsid w:val="00A671F8"/>
    <w:rsid w:val="00A673A4"/>
    <w:rsid w:val="00A724AE"/>
    <w:rsid w:val="00A73329"/>
    <w:rsid w:val="00A82359"/>
    <w:rsid w:val="00A85AFC"/>
    <w:rsid w:val="00A865D2"/>
    <w:rsid w:val="00A92B88"/>
    <w:rsid w:val="00A94C20"/>
    <w:rsid w:val="00A96BBE"/>
    <w:rsid w:val="00AA21BB"/>
    <w:rsid w:val="00AA227F"/>
    <w:rsid w:val="00AA3BC7"/>
    <w:rsid w:val="00AA754A"/>
    <w:rsid w:val="00AB099E"/>
    <w:rsid w:val="00AB4328"/>
    <w:rsid w:val="00AE0A2E"/>
    <w:rsid w:val="00AE354C"/>
    <w:rsid w:val="00AF4B07"/>
    <w:rsid w:val="00AF6186"/>
    <w:rsid w:val="00AF7A3A"/>
    <w:rsid w:val="00B160DB"/>
    <w:rsid w:val="00B20836"/>
    <w:rsid w:val="00B235BB"/>
    <w:rsid w:val="00B27A44"/>
    <w:rsid w:val="00B30BBF"/>
    <w:rsid w:val="00B33C03"/>
    <w:rsid w:val="00B43184"/>
    <w:rsid w:val="00B44E56"/>
    <w:rsid w:val="00B46543"/>
    <w:rsid w:val="00B47D33"/>
    <w:rsid w:val="00B52BE0"/>
    <w:rsid w:val="00B54133"/>
    <w:rsid w:val="00B701ED"/>
    <w:rsid w:val="00B8086C"/>
    <w:rsid w:val="00B82BB3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1C27"/>
    <w:rsid w:val="00BC6BBF"/>
    <w:rsid w:val="00BD1572"/>
    <w:rsid w:val="00BE14E3"/>
    <w:rsid w:val="00BE3774"/>
    <w:rsid w:val="00BE41E5"/>
    <w:rsid w:val="00BE475C"/>
    <w:rsid w:val="00BE6ED4"/>
    <w:rsid w:val="00BF4109"/>
    <w:rsid w:val="00BF4CC3"/>
    <w:rsid w:val="00C01F21"/>
    <w:rsid w:val="00C054C7"/>
    <w:rsid w:val="00C057B5"/>
    <w:rsid w:val="00C22687"/>
    <w:rsid w:val="00C25E64"/>
    <w:rsid w:val="00C32E4D"/>
    <w:rsid w:val="00C333A0"/>
    <w:rsid w:val="00C36A81"/>
    <w:rsid w:val="00C4007C"/>
    <w:rsid w:val="00C41974"/>
    <w:rsid w:val="00C43829"/>
    <w:rsid w:val="00C53F4A"/>
    <w:rsid w:val="00C54125"/>
    <w:rsid w:val="00C55B54"/>
    <w:rsid w:val="00C6098E"/>
    <w:rsid w:val="00C6152C"/>
    <w:rsid w:val="00C721CD"/>
    <w:rsid w:val="00C74810"/>
    <w:rsid w:val="00C90D68"/>
    <w:rsid w:val="00C939FE"/>
    <w:rsid w:val="00CA4BDA"/>
    <w:rsid w:val="00CB1F66"/>
    <w:rsid w:val="00CB2951"/>
    <w:rsid w:val="00CC7E9D"/>
    <w:rsid w:val="00CD282B"/>
    <w:rsid w:val="00CD4C35"/>
    <w:rsid w:val="00CD7369"/>
    <w:rsid w:val="00CE0B0E"/>
    <w:rsid w:val="00CE3831"/>
    <w:rsid w:val="00D00ABB"/>
    <w:rsid w:val="00D02EEC"/>
    <w:rsid w:val="00D03551"/>
    <w:rsid w:val="00D06A63"/>
    <w:rsid w:val="00D07E0E"/>
    <w:rsid w:val="00D11478"/>
    <w:rsid w:val="00D15ED0"/>
    <w:rsid w:val="00D21B3E"/>
    <w:rsid w:val="00D21FED"/>
    <w:rsid w:val="00D24251"/>
    <w:rsid w:val="00D343E2"/>
    <w:rsid w:val="00D361A2"/>
    <w:rsid w:val="00D44C2E"/>
    <w:rsid w:val="00D45414"/>
    <w:rsid w:val="00D566BD"/>
    <w:rsid w:val="00D57A4D"/>
    <w:rsid w:val="00D60AA7"/>
    <w:rsid w:val="00D6435F"/>
    <w:rsid w:val="00D75E28"/>
    <w:rsid w:val="00D772C2"/>
    <w:rsid w:val="00D8008E"/>
    <w:rsid w:val="00D82C45"/>
    <w:rsid w:val="00D908A8"/>
    <w:rsid w:val="00D977B6"/>
    <w:rsid w:val="00DA4A31"/>
    <w:rsid w:val="00DA7B04"/>
    <w:rsid w:val="00DB36C2"/>
    <w:rsid w:val="00DC169B"/>
    <w:rsid w:val="00DC2AB9"/>
    <w:rsid w:val="00DC63F0"/>
    <w:rsid w:val="00DD6EE5"/>
    <w:rsid w:val="00DE386C"/>
    <w:rsid w:val="00DE4D35"/>
    <w:rsid w:val="00DF098B"/>
    <w:rsid w:val="00DF11C4"/>
    <w:rsid w:val="00DF210C"/>
    <w:rsid w:val="00DF4B6A"/>
    <w:rsid w:val="00E02C09"/>
    <w:rsid w:val="00E04D59"/>
    <w:rsid w:val="00E07DA1"/>
    <w:rsid w:val="00E123CB"/>
    <w:rsid w:val="00E20E13"/>
    <w:rsid w:val="00E21DBC"/>
    <w:rsid w:val="00E24A8C"/>
    <w:rsid w:val="00E275D7"/>
    <w:rsid w:val="00E27DBE"/>
    <w:rsid w:val="00E32AB1"/>
    <w:rsid w:val="00E36C71"/>
    <w:rsid w:val="00E40404"/>
    <w:rsid w:val="00E459C6"/>
    <w:rsid w:val="00E47589"/>
    <w:rsid w:val="00E607B2"/>
    <w:rsid w:val="00E64915"/>
    <w:rsid w:val="00E661D4"/>
    <w:rsid w:val="00E70091"/>
    <w:rsid w:val="00E720F5"/>
    <w:rsid w:val="00E76D47"/>
    <w:rsid w:val="00E849F7"/>
    <w:rsid w:val="00E90302"/>
    <w:rsid w:val="00E97396"/>
    <w:rsid w:val="00EA185E"/>
    <w:rsid w:val="00EA592A"/>
    <w:rsid w:val="00EB14E4"/>
    <w:rsid w:val="00EB32A5"/>
    <w:rsid w:val="00EB34ED"/>
    <w:rsid w:val="00EB3E93"/>
    <w:rsid w:val="00EB447C"/>
    <w:rsid w:val="00EB7BE0"/>
    <w:rsid w:val="00EC315E"/>
    <w:rsid w:val="00ED077C"/>
    <w:rsid w:val="00ED1190"/>
    <w:rsid w:val="00ED6544"/>
    <w:rsid w:val="00EE0277"/>
    <w:rsid w:val="00EE3E00"/>
    <w:rsid w:val="00EE5DD2"/>
    <w:rsid w:val="00F00A79"/>
    <w:rsid w:val="00F00E86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32269"/>
    <w:rsid w:val="00F35DE8"/>
    <w:rsid w:val="00F56A6F"/>
    <w:rsid w:val="00F5709C"/>
    <w:rsid w:val="00F64EF1"/>
    <w:rsid w:val="00F760D9"/>
    <w:rsid w:val="00F8765F"/>
    <w:rsid w:val="00F90767"/>
    <w:rsid w:val="00F9353D"/>
    <w:rsid w:val="00F96030"/>
    <w:rsid w:val="00FA685B"/>
    <w:rsid w:val="00FB0C01"/>
    <w:rsid w:val="00FB6A16"/>
    <w:rsid w:val="00FB6F89"/>
    <w:rsid w:val="00FC18F2"/>
    <w:rsid w:val="00FC39E5"/>
    <w:rsid w:val="00FC3A78"/>
    <w:rsid w:val="00FD1005"/>
    <w:rsid w:val="00FD69B6"/>
    <w:rsid w:val="00FD6C75"/>
    <w:rsid w:val="00FD7F11"/>
    <w:rsid w:val="00FE20C9"/>
    <w:rsid w:val="00FE71B3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9"/>
    <o:shapelayout v:ext="edit">
      <o:idmap v:ext="edit" data="1"/>
    </o:shapelayout>
  </w:shapeDefaults>
  <w:decimalSymbol w:val=","/>
  <w:listSeparator w:val=";"/>
  <w14:docId w14:val="369255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B43184"/>
    <w:pPr>
      <w:jc w:val="both"/>
    </w:pPr>
    <w:rPr>
      <w:rFonts w:eastAsia="PMingLiU"/>
      <w:sz w:val="24"/>
      <w:szCs w:val="22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43184"/>
    <w:pPr>
      <w:spacing w:before="480"/>
      <w:contextualSpacing/>
      <w:outlineLvl w:val="0"/>
    </w:pPr>
    <w:rPr>
      <w:rFonts w:eastAsia="MingLiU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43184"/>
    <w:pPr>
      <w:spacing w:before="200"/>
      <w:outlineLvl w:val="1"/>
    </w:pPr>
    <w:rPr>
      <w:rFonts w:eastAsia="MingLiU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43184"/>
    <w:pPr>
      <w:spacing w:before="200" w:line="271" w:lineRule="auto"/>
      <w:outlineLvl w:val="2"/>
    </w:pPr>
    <w:rPr>
      <w:rFonts w:eastAsia="MingLiU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43184"/>
    <w:pPr>
      <w:spacing w:before="200"/>
      <w:outlineLvl w:val="3"/>
    </w:pPr>
    <w:rPr>
      <w:rFonts w:eastAsia="MingLiU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43184"/>
    <w:pPr>
      <w:spacing w:before="200"/>
      <w:outlineLvl w:val="4"/>
    </w:pPr>
    <w:rPr>
      <w:rFonts w:eastAsia="MingLiU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43184"/>
    <w:pPr>
      <w:spacing w:line="271" w:lineRule="auto"/>
      <w:outlineLvl w:val="5"/>
    </w:pPr>
    <w:rPr>
      <w:rFonts w:eastAsia="MingLiU"/>
      <w:b/>
      <w:bCs/>
      <w:i/>
      <w:iCs/>
      <w:color w:val="7F7F7F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43184"/>
    <w:pPr>
      <w:outlineLvl w:val="6"/>
    </w:pPr>
    <w:rPr>
      <w:rFonts w:eastAsia="MingLiU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43184"/>
    <w:pPr>
      <w:outlineLvl w:val="7"/>
    </w:pPr>
    <w:rPr>
      <w:rFonts w:eastAsia="MingLiU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43184"/>
    <w:pPr>
      <w:outlineLvl w:val="8"/>
    </w:pPr>
    <w:rPr>
      <w:rFonts w:eastAsia="MingLiU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431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3184"/>
    <w:rPr>
      <w:rFonts w:ascii="Tahoma" w:eastAsia="PMingLiU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B43184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B43184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B43184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B43184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B43184"/>
  </w:style>
  <w:style w:type="character" w:customStyle="1" w:styleId="BezodstpwZnak">
    <w:name w:val="Bez odstępów Znak"/>
    <w:link w:val="Bezodstpw"/>
    <w:semiHidden/>
    <w:rsid w:val="00B43184"/>
    <w:rPr>
      <w:rFonts w:eastAsia="PMingLiU"/>
      <w:sz w:val="24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4318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43184"/>
    <w:pPr>
      <w:spacing w:before="120" w:after="120"/>
      <w:ind w:left="425" w:firstLine="142"/>
    </w:pPr>
    <w:rPr>
      <w:sz w:val="20"/>
    </w:rPr>
  </w:style>
  <w:style w:type="paragraph" w:customStyle="1" w:styleId="JuAppQuestion">
    <w:name w:val="Ju_App_Question"/>
    <w:basedOn w:val="Normalny"/>
    <w:uiPriority w:val="5"/>
    <w:qFormat/>
    <w:rsid w:val="00B43184"/>
    <w:pPr>
      <w:numPr>
        <w:numId w:val="15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B43184"/>
  </w:style>
  <w:style w:type="paragraph" w:customStyle="1" w:styleId="JuParaSub">
    <w:name w:val="Ju_Para_Sub"/>
    <w:basedOn w:val="ECHRPara"/>
    <w:uiPriority w:val="13"/>
    <w:unhideWhenUsed/>
    <w:qFormat/>
    <w:rsid w:val="00B43184"/>
    <w:pPr>
      <w:ind w:left="284"/>
    </w:pPr>
  </w:style>
  <w:style w:type="paragraph" w:customStyle="1" w:styleId="OpiParaSub">
    <w:name w:val="Opi_Para_Sub"/>
    <w:basedOn w:val="JuParaSub"/>
    <w:uiPriority w:val="47"/>
    <w:unhideWhenUsed/>
    <w:qFormat/>
    <w:rsid w:val="00B43184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43184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JuTitle">
    <w:name w:val="Ju_Title"/>
    <w:basedOn w:val="Normalny"/>
    <w:next w:val="ECHRPara"/>
    <w:uiPriority w:val="3"/>
    <w:qFormat/>
    <w:rsid w:val="00B43184"/>
    <w:pPr>
      <w:spacing w:before="720" w:after="240"/>
      <w:jc w:val="center"/>
      <w:outlineLvl w:val="0"/>
    </w:pPr>
    <w:rPr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43184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OpiQuot">
    <w:name w:val="Opi_Quot"/>
    <w:basedOn w:val="ECHRParaQuote"/>
    <w:uiPriority w:val="48"/>
    <w:qFormat/>
    <w:rsid w:val="00B43184"/>
  </w:style>
  <w:style w:type="paragraph" w:customStyle="1" w:styleId="OpiQuotSub">
    <w:name w:val="Opi_Quot_Sub"/>
    <w:basedOn w:val="JuQuotSub"/>
    <w:uiPriority w:val="49"/>
    <w:qFormat/>
    <w:rsid w:val="00B43184"/>
  </w:style>
  <w:style w:type="paragraph" w:styleId="Tytu">
    <w:name w:val="Title"/>
    <w:basedOn w:val="Normalny"/>
    <w:next w:val="Normalny"/>
    <w:link w:val="TytuZnak"/>
    <w:uiPriority w:val="99"/>
    <w:semiHidden/>
    <w:qFormat/>
    <w:rsid w:val="00B43184"/>
    <w:pPr>
      <w:pBdr>
        <w:bottom w:val="single" w:sz="4" w:space="1" w:color="auto"/>
      </w:pBdr>
      <w:contextualSpacing/>
    </w:pPr>
    <w:rPr>
      <w:rFonts w:eastAsia="MingLiU"/>
      <w:spacing w:val="5"/>
      <w:sz w:val="52"/>
      <w:szCs w:val="52"/>
      <w:lang w:bidi="en-US"/>
    </w:rPr>
  </w:style>
  <w:style w:type="character" w:customStyle="1" w:styleId="TytuZnak">
    <w:name w:val="Tytuł Znak"/>
    <w:link w:val="Tytu"/>
    <w:uiPriority w:val="99"/>
    <w:semiHidden/>
    <w:rsid w:val="00B43184"/>
    <w:rPr>
      <w:rFonts w:ascii="Times New Roman" w:eastAsia="MingLiU" w:hAnsi="Times New Roman" w:cs="Times New Roman"/>
      <w:spacing w:val="5"/>
      <w:sz w:val="52"/>
      <w:szCs w:val="52"/>
      <w:lang w:bidi="en-US"/>
    </w:rPr>
  </w:style>
  <w:style w:type="paragraph" w:customStyle="1" w:styleId="JuSigned">
    <w:name w:val="Ju_Signed"/>
    <w:basedOn w:val="Normalny"/>
    <w:next w:val="JuParaLast"/>
    <w:uiPriority w:val="32"/>
    <w:qFormat/>
    <w:rsid w:val="00B43184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Case">
    <w:name w:val="Ju_Case"/>
    <w:basedOn w:val="Normalny"/>
    <w:next w:val="ECHRPara"/>
    <w:uiPriority w:val="10"/>
    <w:rsid w:val="00B43184"/>
    <w:pPr>
      <w:ind w:firstLine="284"/>
    </w:pPr>
    <w:rPr>
      <w:b/>
    </w:rPr>
  </w:style>
  <w:style w:type="paragraph" w:customStyle="1" w:styleId="JuQuotSub">
    <w:name w:val="Ju_Quot_Sub"/>
    <w:basedOn w:val="ECHRParaQuote"/>
    <w:uiPriority w:val="15"/>
    <w:qFormat/>
    <w:rsid w:val="00B43184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B43184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B43184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B43184"/>
    <w:rPr>
      <w:caps w:val="0"/>
      <w:smallCaps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43184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B43184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styleId="Nagwek">
    <w:name w:val="header"/>
    <w:basedOn w:val="Normalny"/>
    <w:link w:val="NagwekZnak"/>
    <w:uiPriority w:val="57"/>
    <w:semiHidden/>
    <w:rsid w:val="00B43184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57"/>
    <w:semiHidden/>
    <w:rsid w:val="00B43184"/>
    <w:rPr>
      <w:sz w:val="24"/>
    </w:rPr>
  </w:style>
  <w:style w:type="character" w:customStyle="1" w:styleId="Nagwek1Znak">
    <w:name w:val="Nagłówek 1 Znak"/>
    <w:link w:val="Nagwek1"/>
    <w:uiPriority w:val="99"/>
    <w:semiHidden/>
    <w:rsid w:val="00B43184"/>
    <w:rPr>
      <w:rFonts w:ascii="Times New Roman" w:eastAsia="MingLiU" w:hAnsi="Times New Roman" w:cs="Times New Roman"/>
      <w:b/>
      <w:bCs/>
      <w:color w:val="333333"/>
      <w:sz w:val="28"/>
      <w:szCs w:val="28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43184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43184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character" w:customStyle="1" w:styleId="Nagwek2Znak">
    <w:name w:val="Nagłówek 2 Znak"/>
    <w:link w:val="Nagwek2"/>
    <w:uiPriority w:val="99"/>
    <w:semiHidden/>
    <w:rsid w:val="00B43184"/>
    <w:rPr>
      <w:rFonts w:ascii="Times New Roman" w:eastAsia="MingLiU" w:hAnsi="Times New Roman" w:cs="Times New Roman"/>
      <w:b/>
      <w:bCs/>
      <w:color w:val="4D4D4D"/>
      <w:sz w:val="26"/>
      <w:szCs w:val="26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43184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43184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character" w:customStyle="1" w:styleId="Nagwek3Znak">
    <w:name w:val="Nagłówek 3 Znak"/>
    <w:link w:val="Nagwek3"/>
    <w:uiPriority w:val="99"/>
    <w:semiHidden/>
    <w:rsid w:val="00B43184"/>
    <w:rPr>
      <w:rFonts w:ascii="Times New Roman" w:eastAsia="MingLiU" w:hAnsi="Times New Roman" w:cs="Times New Roman"/>
      <w:b/>
      <w:bCs/>
      <w:color w:val="5F5F5F"/>
      <w:sz w:val="24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43184"/>
    <w:pPr>
      <w:keepNext/>
      <w:keepLines/>
      <w:spacing w:before="240" w:after="120"/>
      <w:ind w:left="1236"/>
    </w:pPr>
    <w:rPr>
      <w:sz w:val="20"/>
    </w:rPr>
  </w:style>
  <w:style w:type="paragraph" w:customStyle="1" w:styleId="JuParaLast">
    <w:name w:val="Ju_Para_Last"/>
    <w:basedOn w:val="Normalny"/>
    <w:next w:val="ECHRPara"/>
    <w:uiPriority w:val="30"/>
    <w:qFormat/>
    <w:rsid w:val="00B43184"/>
    <w:pPr>
      <w:keepNext/>
      <w:keepLines/>
      <w:spacing w:before="240"/>
      <w:ind w:firstLine="284"/>
    </w:pPr>
  </w:style>
  <w:style w:type="character" w:customStyle="1" w:styleId="Nagwek4Znak">
    <w:name w:val="Nagłówek 4 Znak"/>
    <w:link w:val="Nagwek4"/>
    <w:uiPriority w:val="99"/>
    <w:semiHidden/>
    <w:rsid w:val="00B43184"/>
    <w:rPr>
      <w:rFonts w:ascii="Times New Roman" w:eastAsia="MingLiU" w:hAnsi="Times New Roman" w:cs="Times New Roman"/>
      <w:b/>
      <w:bCs/>
      <w:i/>
      <w:iCs/>
      <w:color w:val="777777"/>
      <w:sz w:val="24"/>
    </w:rPr>
  </w:style>
  <w:style w:type="character" w:customStyle="1" w:styleId="JuITMark">
    <w:name w:val="Ju_ITMark"/>
    <w:uiPriority w:val="38"/>
    <w:qFormat/>
    <w:rsid w:val="00B43184"/>
    <w:rPr>
      <w:vanish w:val="0"/>
      <w:color w:val="auto"/>
      <w:sz w:val="14"/>
    </w:rPr>
  </w:style>
  <w:style w:type="character" w:customStyle="1" w:styleId="Nagwek5Znak">
    <w:name w:val="Nagłówek 5 Znak"/>
    <w:link w:val="Nagwek5"/>
    <w:uiPriority w:val="99"/>
    <w:semiHidden/>
    <w:rsid w:val="00B43184"/>
    <w:rPr>
      <w:rFonts w:ascii="Times New Roman" w:eastAsia="MingLiU" w:hAnsi="Times New Roman" w:cs="Times New Roman"/>
      <w:b/>
      <w:bCs/>
      <w:color w:val="808080"/>
      <w:sz w:val="24"/>
    </w:rPr>
  </w:style>
  <w:style w:type="paragraph" w:customStyle="1" w:styleId="OpiTranslation">
    <w:name w:val="Opi_Translation"/>
    <w:basedOn w:val="Normalny"/>
    <w:next w:val="OpiPara"/>
    <w:uiPriority w:val="40"/>
    <w:qFormat/>
    <w:rsid w:val="00B43184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B43184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Wyrnieniedelikatne">
    <w:name w:val="Subtle Emphasis"/>
    <w:uiPriority w:val="99"/>
    <w:semiHidden/>
    <w:qFormat/>
    <w:rsid w:val="00B43184"/>
    <w:rPr>
      <w:i/>
      <w:iCs/>
    </w:rPr>
  </w:style>
  <w:style w:type="paragraph" w:customStyle="1" w:styleId="DecList">
    <w:name w:val="Dec_List"/>
    <w:basedOn w:val="Normalny"/>
    <w:uiPriority w:val="9"/>
    <w:qFormat/>
    <w:rsid w:val="00B43184"/>
    <w:pPr>
      <w:spacing w:before="240"/>
      <w:ind w:left="284"/>
    </w:pPr>
  </w:style>
  <w:style w:type="table" w:customStyle="1" w:styleId="ECHRTable">
    <w:name w:val="ECHR_Table"/>
    <w:basedOn w:val="Standardowy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hAnsi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43184"/>
    <w:pPr>
      <w:keepNext/>
      <w:keepLines/>
      <w:spacing w:before="720" w:after="240"/>
      <w:outlineLvl w:val="0"/>
    </w:pPr>
    <w:rPr>
      <w:sz w:val="28"/>
    </w:rPr>
  </w:style>
  <w:style w:type="paragraph" w:customStyle="1" w:styleId="JuList">
    <w:name w:val="Ju_List"/>
    <w:basedOn w:val="Normalny"/>
    <w:uiPriority w:val="28"/>
    <w:qFormat/>
    <w:rsid w:val="00B43184"/>
    <w:pPr>
      <w:ind w:left="340" w:hanging="340"/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B43184"/>
    <w:pPr>
      <w:spacing w:after="240"/>
      <w:jc w:val="center"/>
      <w:outlineLvl w:val="0"/>
    </w:pPr>
    <w:rPr>
      <w:i/>
    </w:rPr>
  </w:style>
  <w:style w:type="character" w:styleId="Uwydatnienie">
    <w:name w:val="Emphasis"/>
    <w:uiPriority w:val="99"/>
    <w:semiHidden/>
    <w:qFormat/>
    <w:rsid w:val="00B4318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B43184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57"/>
    <w:semiHidden/>
    <w:rsid w:val="00B43184"/>
    <w:rPr>
      <w:sz w:val="24"/>
    </w:rPr>
  </w:style>
  <w:style w:type="character" w:styleId="Odwoanieprzypisudolnego">
    <w:name w:val="footnote reference"/>
    <w:uiPriority w:val="99"/>
    <w:semiHidden/>
    <w:rsid w:val="00B4318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431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43184"/>
    <w:rPr>
      <w:rFonts w:eastAsia="PMingLiU"/>
      <w:sz w:val="20"/>
      <w:szCs w:val="20"/>
    </w:rPr>
  </w:style>
  <w:style w:type="character" w:customStyle="1" w:styleId="Nagwek6Znak">
    <w:name w:val="Nagłówek 6 Znak"/>
    <w:link w:val="Nagwek6"/>
    <w:uiPriority w:val="99"/>
    <w:semiHidden/>
    <w:rsid w:val="00B43184"/>
    <w:rPr>
      <w:rFonts w:ascii="Times New Roman" w:eastAsia="MingLiU" w:hAnsi="Times New Roman" w:cs="Times New Roman"/>
      <w:b/>
      <w:bCs/>
      <w:i/>
      <w:iCs/>
      <w:color w:val="7F7F7F"/>
      <w:sz w:val="24"/>
      <w:lang w:bidi="en-US"/>
    </w:rPr>
  </w:style>
  <w:style w:type="character" w:customStyle="1" w:styleId="Nagwek7Znak">
    <w:name w:val="Nagłówek 7 Znak"/>
    <w:link w:val="Nagwek7"/>
    <w:uiPriority w:val="99"/>
    <w:semiHidden/>
    <w:rsid w:val="00B43184"/>
    <w:rPr>
      <w:rFonts w:ascii="Times New Roman" w:eastAsia="MingLiU" w:hAnsi="Times New Roman" w:cs="Times New Roman"/>
      <w:i/>
      <w:iCs/>
      <w:sz w:val="24"/>
      <w:lang w:bidi="en-US"/>
    </w:rPr>
  </w:style>
  <w:style w:type="character" w:customStyle="1" w:styleId="Nagwek8Znak">
    <w:name w:val="Nagłówek 8 Znak"/>
    <w:link w:val="Nagwek8"/>
    <w:uiPriority w:val="99"/>
    <w:semiHidden/>
    <w:rsid w:val="00B43184"/>
    <w:rPr>
      <w:rFonts w:ascii="Times New Roman" w:eastAsia="MingLiU" w:hAnsi="Times New Roman" w:cs="Times New Roman"/>
      <w:sz w:val="20"/>
      <w:szCs w:val="20"/>
      <w:lang w:bidi="en-US"/>
    </w:rPr>
  </w:style>
  <w:style w:type="character" w:customStyle="1" w:styleId="Nagwek9Znak">
    <w:name w:val="Nagłówek 9 Znak"/>
    <w:link w:val="Nagwek9"/>
    <w:uiPriority w:val="99"/>
    <w:semiHidden/>
    <w:rsid w:val="00B43184"/>
    <w:rPr>
      <w:rFonts w:ascii="Times New Roman" w:eastAsia="MingLiU" w:hAnsi="Times New Roman" w:cs="Times New Roman"/>
      <w:i/>
      <w:iCs/>
      <w:spacing w:val="5"/>
      <w:sz w:val="20"/>
      <w:szCs w:val="20"/>
      <w:lang w:bidi="en-US"/>
    </w:rPr>
  </w:style>
  <w:style w:type="character" w:styleId="Hipercze">
    <w:name w:val="Hyperlink"/>
    <w:uiPriority w:val="99"/>
    <w:rsid w:val="00B43184"/>
    <w:rPr>
      <w:color w:val="0072BC"/>
      <w:u w:val="single"/>
    </w:rPr>
  </w:style>
  <w:style w:type="character" w:styleId="Wyrnienieintensywne">
    <w:name w:val="Intense Emphasis"/>
    <w:uiPriority w:val="99"/>
    <w:semiHidden/>
    <w:qFormat/>
    <w:rsid w:val="00B43184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4318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link w:val="Cytatintensywny"/>
    <w:uiPriority w:val="99"/>
    <w:semiHidden/>
    <w:rsid w:val="00B43184"/>
    <w:rPr>
      <w:rFonts w:eastAsia="PMingLiU"/>
      <w:b/>
      <w:bCs/>
      <w:i/>
      <w:iCs/>
      <w:sz w:val="24"/>
      <w:lang w:bidi="en-US"/>
    </w:rPr>
  </w:style>
  <w:style w:type="character" w:styleId="Odwoanieintensywne">
    <w:name w:val="Intense Reference"/>
    <w:uiPriority w:val="99"/>
    <w:semiHidden/>
    <w:qFormat/>
    <w:rsid w:val="00B43184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B43184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4318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link w:val="Cytat"/>
    <w:uiPriority w:val="99"/>
    <w:semiHidden/>
    <w:rsid w:val="00B43184"/>
    <w:rPr>
      <w:rFonts w:eastAsia="PMingLiU"/>
      <w:i/>
      <w:iCs/>
      <w:sz w:val="24"/>
      <w:lang w:bidi="en-US"/>
    </w:rPr>
  </w:style>
  <w:style w:type="character" w:styleId="Odwoaniedelikatne">
    <w:name w:val="Subtle Reference"/>
    <w:uiPriority w:val="99"/>
    <w:semiHidden/>
    <w:qFormat/>
    <w:rsid w:val="00B43184"/>
    <w:rPr>
      <w:smallCaps/>
    </w:rPr>
  </w:style>
  <w:style w:type="table" w:styleId="Tabela-Siatka">
    <w:name w:val="Table Grid"/>
    <w:basedOn w:val="Standardowy"/>
    <w:uiPriority w:val="59"/>
    <w:rsid w:val="00B43184"/>
    <w:rPr>
      <w:rFonts w:eastAsia="PMingLi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B4318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B4318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B4318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B43184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B4318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B43184"/>
    <w:pPr>
      <w:keepNext/>
      <w:keepLines/>
      <w:spacing w:before="240"/>
      <w:contextualSpacing/>
      <w:jc w:val="center"/>
    </w:pPr>
    <w:rPr>
      <w:rFonts w:eastAsia="Times New Roman"/>
      <w:b/>
      <w:color w:val="474747"/>
      <w:sz w:val="28"/>
    </w:rPr>
  </w:style>
  <w:style w:type="table" w:customStyle="1" w:styleId="UGTable">
    <w:name w:val="UG_Table"/>
    <w:basedOn w:val="Standardowy"/>
    <w:uiPriority w:val="99"/>
    <w:rsid w:val="00572845"/>
    <w:rPr>
      <w:rFonts w:eastAsia="PMingLiU"/>
      <w:lang w:val="en-GB"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="PMingLiU"/>
      <w:lang w:val="en-GB" w:eastAsia="en-GB"/>
    </w:rPr>
    <w:tblPr>
      <w:tblInd w:w="113" w:type="dxa"/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B43184"/>
    <w:pPr>
      <w:keepNext/>
      <w:keepLines/>
      <w:spacing w:before="240"/>
      <w:contextualSpacing/>
      <w:jc w:val="center"/>
    </w:pPr>
    <w:rPr>
      <w:rFonts w:eastAsia="MingLiU"/>
      <w:b/>
      <w:bCs/>
      <w:color w:val="474747"/>
      <w:sz w:val="28"/>
      <w:szCs w:val="24"/>
    </w:rPr>
  </w:style>
  <w:style w:type="paragraph" w:customStyle="1" w:styleId="JuLista">
    <w:name w:val="Ju_List_a"/>
    <w:basedOn w:val="JuList"/>
    <w:uiPriority w:val="28"/>
    <w:qFormat/>
    <w:rsid w:val="00B43184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B43184"/>
    <w:pPr>
      <w:ind w:left="794"/>
    </w:pPr>
  </w:style>
  <w:style w:type="paragraph" w:customStyle="1" w:styleId="OpiH1">
    <w:name w:val="Opi_H_1"/>
    <w:basedOn w:val="ECHRHeading2"/>
    <w:uiPriority w:val="42"/>
    <w:qFormat/>
    <w:rsid w:val="00B43184"/>
    <w:pPr>
      <w:ind w:left="635" w:hanging="357"/>
      <w:outlineLvl w:val="2"/>
    </w:pPr>
  </w:style>
  <w:style w:type="paragraph" w:customStyle="1" w:styleId="ECHRPara">
    <w:name w:val="ECHR_Para"/>
    <w:aliases w:val="Ju_Para,Para"/>
    <w:basedOn w:val="Normalny"/>
    <w:link w:val="JuParaCar"/>
    <w:uiPriority w:val="12"/>
    <w:qFormat/>
    <w:rsid w:val="00B43184"/>
    <w:pPr>
      <w:ind w:firstLine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43184"/>
    <w:pPr>
      <w:spacing w:after="600"/>
    </w:pPr>
    <w:rPr>
      <w:rFonts w:eastAsia="MingLiU"/>
      <w:i/>
      <w:iCs/>
      <w:spacing w:val="13"/>
      <w:szCs w:val="24"/>
      <w:lang w:bidi="en-US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character" w:customStyle="1" w:styleId="PodtytuZnak">
    <w:name w:val="Podtytuł Znak"/>
    <w:link w:val="Podtytu"/>
    <w:uiPriority w:val="99"/>
    <w:semiHidden/>
    <w:rsid w:val="00B43184"/>
    <w:rPr>
      <w:rFonts w:ascii="Times New Roman" w:eastAsia="MingLiU" w:hAnsi="Times New Roman" w:cs="Times New Roman"/>
      <w:i/>
      <w:iCs/>
      <w:spacing w:val="13"/>
      <w:sz w:val="24"/>
      <w:szCs w:val="24"/>
      <w:lang w:bidi="en-US"/>
    </w:r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B43184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numbering" w:styleId="111111">
    <w:name w:val="Outline List 2"/>
    <w:basedOn w:val="Bezlisty"/>
    <w:uiPriority w:val="99"/>
    <w:semiHidden/>
    <w:unhideWhenUsed/>
    <w:rsid w:val="005D62EF"/>
    <w:pPr>
      <w:numPr>
        <w:numId w:val="4"/>
      </w:numPr>
    </w:pPr>
  </w:style>
  <w:style w:type="numbering" w:styleId="1ai">
    <w:name w:val="Outline List 1"/>
    <w:basedOn w:val="Bezlisty"/>
    <w:uiPriority w:val="99"/>
    <w:semiHidden/>
    <w:unhideWhenUsed/>
    <w:rsid w:val="005D62EF"/>
    <w:pPr>
      <w:numPr>
        <w:numId w:val="5"/>
      </w:numPr>
    </w:p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numbering" w:styleId="Artykusekcja">
    <w:name w:val="Outline List 3"/>
    <w:basedOn w:val="Bezlisty"/>
    <w:uiPriority w:val="99"/>
    <w:semiHidden/>
    <w:unhideWhenUsed/>
    <w:rsid w:val="005D62EF"/>
    <w:pPr>
      <w:numPr>
        <w:numId w:val="6"/>
      </w:numPr>
    </w:pPr>
  </w:style>
  <w:style w:type="paragraph" w:styleId="Bibliografia">
    <w:name w:val="Bibliography"/>
    <w:basedOn w:val="Normalny"/>
    <w:next w:val="Normalny"/>
    <w:uiPriority w:val="99"/>
    <w:semiHidden/>
    <w:rsid w:val="005D62EF"/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B43184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Numerstrony">
    <w:name w:val="page number"/>
    <w:uiPriority w:val="99"/>
    <w:semiHidden/>
    <w:rsid w:val="005D62EF"/>
    <w:rPr>
      <w:sz w:val="18"/>
    </w:rPr>
  </w:style>
  <w:style w:type="character" w:styleId="Odwoaniedokomentarza">
    <w:name w:val="annotation reference"/>
    <w:uiPriority w:val="99"/>
    <w:semiHidden/>
    <w:rsid w:val="005D62EF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5D62EF"/>
    <w:rPr>
      <w:sz w:val="20"/>
    </w:rPr>
  </w:style>
  <w:style w:type="character" w:customStyle="1" w:styleId="TekstkomentarzaZnak">
    <w:name w:val="Tekst komentarza Znak"/>
    <w:link w:val="Tekstkomentarza"/>
    <w:semiHidden/>
    <w:rsid w:val="005D62EF"/>
    <w:rPr>
      <w:rFonts w:eastAsia="PMingLiU"/>
      <w:sz w:val="20"/>
    </w:rPr>
  </w:style>
  <w:style w:type="paragraph" w:customStyle="1" w:styleId="DecHTitle">
    <w:name w:val="Dec_H_Title"/>
    <w:basedOn w:val="ECHRTitleCentre1"/>
    <w:uiPriority w:val="7"/>
    <w:qFormat/>
    <w:rsid w:val="00B43184"/>
  </w:style>
  <w:style w:type="paragraph" w:styleId="Tekstblokowy">
    <w:name w:val="Block Text"/>
    <w:basedOn w:val="Normalny"/>
    <w:uiPriority w:val="99"/>
    <w:semiHidden/>
    <w:rsid w:val="005D62EF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paragraph" w:styleId="Listapunktowana5">
    <w:name w:val="List Bullet 5"/>
    <w:basedOn w:val="Normalny"/>
    <w:uiPriority w:val="99"/>
    <w:semiHidden/>
    <w:rsid w:val="005D62EF"/>
    <w:pPr>
      <w:numPr>
        <w:numId w:val="1"/>
      </w:numPr>
      <w:contextualSpacing/>
    </w:pPr>
  </w:style>
  <w:style w:type="paragraph" w:styleId="Listanumerowana">
    <w:name w:val="List Number"/>
    <w:basedOn w:val="Normalny"/>
    <w:uiPriority w:val="99"/>
    <w:semiHidden/>
    <w:rsid w:val="005D62EF"/>
    <w:pPr>
      <w:numPr>
        <w:numId w:val="2"/>
      </w:numPr>
      <w:contextualSpacing/>
    </w:pPr>
  </w:style>
  <w:style w:type="paragraph" w:styleId="Listanumerowana2">
    <w:name w:val="List Number 2"/>
    <w:basedOn w:val="Normalny"/>
    <w:uiPriority w:val="99"/>
    <w:semiHidden/>
    <w:rsid w:val="005D62EF"/>
    <w:pPr>
      <w:numPr>
        <w:numId w:val="3"/>
      </w:numPr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5D62E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5D62EF"/>
    <w:rPr>
      <w:rFonts w:eastAsia="PMingLiU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5D62E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5D62EF"/>
    <w:rPr>
      <w:rFonts w:eastAsia="PMingLiU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5D62E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5D62EF"/>
    <w:rPr>
      <w:rFonts w:eastAsia="PMingLiU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D62EF"/>
    <w:pPr>
      <w:spacing w:after="0"/>
      <w:ind w:firstLine="360"/>
    </w:pPr>
  </w:style>
  <w:style w:type="character" w:customStyle="1" w:styleId="TekstpodstawowyzwciciemZnak">
    <w:name w:val="Tekst podstawowy z wcięciem Znak"/>
    <w:link w:val="Tekstpodstawowyzwciciem"/>
    <w:uiPriority w:val="99"/>
    <w:semiHidden/>
    <w:rsid w:val="005D62EF"/>
    <w:rPr>
      <w:rFonts w:eastAsia="PMingLiU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D62E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5D62EF"/>
    <w:rPr>
      <w:rFonts w:eastAsia="PMingLiU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5D62EF"/>
    <w:pPr>
      <w:spacing w:after="0"/>
      <w:ind w:left="360" w:firstLine="360"/>
    </w:pPr>
  </w:style>
  <w:style w:type="character" w:customStyle="1" w:styleId="Tekstpodstawowyzwciciem2Znak">
    <w:name w:val="Tekst podstawowy z wcięciem 2 Znak"/>
    <w:link w:val="Tekstpodstawowyzwciciem2"/>
    <w:uiPriority w:val="99"/>
    <w:semiHidden/>
    <w:rsid w:val="005D62EF"/>
    <w:rPr>
      <w:rFonts w:eastAsia="PMingLiU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D62E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5D62EF"/>
    <w:rPr>
      <w:rFonts w:eastAsia="PMingLiU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D62E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5D62EF"/>
    <w:rPr>
      <w:rFonts w:eastAsia="PMingLiU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5D62EF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5D62EF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rsid w:val="005D62EF"/>
    <w:rPr>
      <w:rFonts w:eastAsia="PMingLiU"/>
      <w:sz w:val="24"/>
    </w:rPr>
  </w:style>
  <w:style w:type="table" w:styleId="Kolorowasiatka">
    <w:name w:val="Colorful Grid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73"/>
    <w:semiHidden/>
    <w:rsid w:val="005D62EF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72"/>
    <w:semiHidden/>
    <w:rsid w:val="005D62EF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71"/>
    <w:semiHidden/>
    <w:rsid w:val="005D62EF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D62EF"/>
    <w:rPr>
      <w:b/>
      <w:bCs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5D62EF"/>
    <w:rPr>
      <w:rFonts w:eastAsia="PMingLiU"/>
      <w:b/>
      <w:bCs/>
      <w:sz w:val="20"/>
      <w:szCs w:val="20"/>
    </w:rPr>
  </w:style>
  <w:style w:type="table" w:styleId="Ciemnalista">
    <w:name w:val="Dark List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70"/>
    <w:semiHidden/>
    <w:rsid w:val="005D62EF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5D62EF"/>
  </w:style>
  <w:style w:type="character" w:customStyle="1" w:styleId="DataZnak">
    <w:name w:val="Data Znak"/>
    <w:link w:val="Data"/>
    <w:uiPriority w:val="99"/>
    <w:semiHidden/>
    <w:rsid w:val="005D62EF"/>
    <w:rPr>
      <w:rFonts w:eastAsia="PMingLiU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5D62EF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5D62EF"/>
    <w:rPr>
      <w:rFonts w:ascii="Tahoma" w:eastAsia="PMingLiU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5D62EF"/>
  </w:style>
  <w:style w:type="character" w:customStyle="1" w:styleId="Podpise-mailZnak">
    <w:name w:val="Podpis e-mail Znak"/>
    <w:link w:val="Podpise-mail"/>
    <w:uiPriority w:val="99"/>
    <w:semiHidden/>
    <w:rsid w:val="005D62EF"/>
    <w:rPr>
      <w:rFonts w:eastAsia="PMingLiU"/>
      <w:sz w:val="24"/>
    </w:rPr>
  </w:style>
  <w:style w:type="character" w:styleId="Odwoanieprzypisukocowego">
    <w:name w:val="endnote reference"/>
    <w:uiPriority w:val="99"/>
    <w:semiHidden/>
    <w:rsid w:val="005D62E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5D62E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D62EF"/>
    <w:rPr>
      <w:rFonts w:eastAsia="PMingLiU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5D62EF"/>
    <w:pPr>
      <w:framePr w:w="7938" w:h="1985" w:hRule="exact" w:hSpace="141" w:wrap="auto" w:hAnchor="page" w:xAlign="center" w:yAlign="bottom"/>
      <w:ind w:left="2835"/>
    </w:pPr>
    <w:rPr>
      <w:rFonts w:eastAsia="MingLiU"/>
      <w:szCs w:val="24"/>
    </w:rPr>
  </w:style>
  <w:style w:type="paragraph" w:styleId="Adreszwrotnynakopercie">
    <w:name w:val="envelope return"/>
    <w:basedOn w:val="Normalny"/>
    <w:uiPriority w:val="99"/>
    <w:semiHidden/>
    <w:rsid w:val="005D62EF"/>
    <w:rPr>
      <w:rFonts w:eastAsia="MingLiU"/>
      <w:sz w:val="20"/>
      <w:szCs w:val="20"/>
    </w:rPr>
  </w:style>
  <w:style w:type="character" w:styleId="UyteHipercze">
    <w:name w:val="FollowedHyperlink"/>
    <w:uiPriority w:val="99"/>
    <w:semiHidden/>
    <w:rsid w:val="005D62EF"/>
    <w:rPr>
      <w:color w:val="7030A0"/>
      <w:u w:val="single"/>
    </w:rPr>
  </w:style>
  <w:style w:type="character" w:styleId="HTML-akronim">
    <w:name w:val="HTML Acronym"/>
    <w:basedOn w:val="Domylnaczcionkaakapitu"/>
    <w:uiPriority w:val="99"/>
    <w:semiHidden/>
    <w:rsid w:val="005D62EF"/>
  </w:style>
  <w:style w:type="paragraph" w:styleId="HTML-adres">
    <w:name w:val="HTML Address"/>
    <w:basedOn w:val="Normalny"/>
    <w:link w:val="HTML-adresZnak"/>
    <w:uiPriority w:val="99"/>
    <w:semiHidden/>
    <w:rsid w:val="005D62EF"/>
    <w:rPr>
      <w:i/>
      <w:iCs/>
    </w:rPr>
  </w:style>
  <w:style w:type="character" w:customStyle="1" w:styleId="HTML-adresZnak">
    <w:name w:val="HTML - adres Znak"/>
    <w:link w:val="HTML-adres"/>
    <w:uiPriority w:val="99"/>
    <w:semiHidden/>
    <w:rsid w:val="005D62EF"/>
    <w:rPr>
      <w:rFonts w:eastAsia="PMingLiU"/>
      <w:i/>
      <w:iCs/>
      <w:sz w:val="24"/>
    </w:rPr>
  </w:style>
  <w:style w:type="character" w:styleId="HTML-cytat">
    <w:name w:val="HTML Cite"/>
    <w:uiPriority w:val="99"/>
    <w:semiHidden/>
    <w:rsid w:val="005D62EF"/>
    <w:rPr>
      <w:i/>
      <w:iCs/>
    </w:rPr>
  </w:style>
  <w:style w:type="character" w:styleId="HTML-kod">
    <w:name w:val="HTML Code"/>
    <w:uiPriority w:val="99"/>
    <w:semiHidden/>
    <w:rsid w:val="005D62EF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5D62EF"/>
    <w:rPr>
      <w:i/>
      <w:iCs/>
    </w:rPr>
  </w:style>
  <w:style w:type="character" w:styleId="HTML-klawiatura">
    <w:name w:val="HTML Keyboard"/>
    <w:uiPriority w:val="99"/>
    <w:semiHidden/>
    <w:rsid w:val="005D62EF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5D62EF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5D62EF"/>
    <w:rPr>
      <w:rFonts w:ascii="Consolas" w:eastAsia="PMingLiU" w:hAnsi="Consolas" w:cs="Consolas"/>
      <w:sz w:val="20"/>
      <w:szCs w:val="20"/>
    </w:rPr>
  </w:style>
  <w:style w:type="character" w:styleId="HTML-przykad">
    <w:name w:val="HTML Sample"/>
    <w:uiPriority w:val="99"/>
    <w:semiHidden/>
    <w:rsid w:val="005D62EF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5D62EF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5D62EF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5D62EF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5D62EF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5D62EF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5D62EF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5D62EF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5D62EF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5D62EF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5D62EF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5D62EF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5D62EF"/>
    <w:rPr>
      <w:rFonts w:eastAsia="MingLiU"/>
      <w:b/>
      <w:bCs/>
    </w:rPr>
  </w:style>
  <w:style w:type="table" w:styleId="Jasnasiatka">
    <w:name w:val="Light Grid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D62EF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ingLiU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ingLiU" w:hAnsi="Times New Roman" w:cs="Times New Roman"/>
        <w:b/>
        <w:bCs/>
      </w:rPr>
    </w:tblStylePr>
    <w:tblStylePr w:type="lastCol">
      <w:rPr>
        <w:rFonts w:ascii="Times New Roman" w:eastAsia="MingLiU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D62EF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60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60"/>
    <w:semiHidden/>
    <w:rsid w:val="005D62EF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60"/>
    <w:semiHidden/>
    <w:rsid w:val="005D62EF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60"/>
    <w:semiHidden/>
    <w:rsid w:val="005D62EF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60"/>
    <w:semiHidden/>
    <w:rsid w:val="005D62EF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60"/>
    <w:semiHidden/>
    <w:rsid w:val="005D62EF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60"/>
    <w:semiHidden/>
    <w:rsid w:val="005D62EF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5D62EF"/>
  </w:style>
  <w:style w:type="paragraph" w:styleId="Lista">
    <w:name w:val="List"/>
    <w:basedOn w:val="Normalny"/>
    <w:uiPriority w:val="99"/>
    <w:semiHidden/>
    <w:rsid w:val="005D62EF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5D62E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5D62EF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5D62EF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5D62EF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5D62EF"/>
    <w:pPr>
      <w:numPr>
        <w:numId w:val="7"/>
      </w:numPr>
      <w:contextualSpacing/>
    </w:pPr>
  </w:style>
  <w:style w:type="paragraph" w:styleId="Listapunktowana2">
    <w:name w:val="List Bullet 2"/>
    <w:basedOn w:val="Normalny"/>
    <w:uiPriority w:val="99"/>
    <w:semiHidden/>
    <w:rsid w:val="005D62EF"/>
    <w:pPr>
      <w:numPr>
        <w:numId w:val="8"/>
      </w:numPr>
      <w:contextualSpacing/>
    </w:pPr>
  </w:style>
  <w:style w:type="paragraph" w:styleId="Listapunktowana3">
    <w:name w:val="List Bullet 3"/>
    <w:basedOn w:val="Normalny"/>
    <w:uiPriority w:val="99"/>
    <w:semiHidden/>
    <w:rsid w:val="005D62EF"/>
    <w:pPr>
      <w:numPr>
        <w:numId w:val="9"/>
      </w:numPr>
      <w:contextualSpacing/>
    </w:pPr>
  </w:style>
  <w:style w:type="paragraph" w:styleId="Listapunktowana4">
    <w:name w:val="List Bullet 4"/>
    <w:basedOn w:val="Normalny"/>
    <w:uiPriority w:val="99"/>
    <w:semiHidden/>
    <w:rsid w:val="005D62EF"/>
    <w:pPr>
      <w:numPr>
        <w:numId w:val="10"/>
      </w:numPr>
      <w:contextualSpacing/>
    </w:pPr>
  </w:style>
  <w:style w:type="paragraph" w:styleId="Lista-kontynuacja">
    <w:name w:val="List Continue"/>
    <w:basedOn w:val="Normalny"/>
    <w:uiPriority w:val="99"/>
    <w:semiHidden/>
    <w:rsid w:val="005D62EF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5D62EF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5D62EF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5D62EF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5D62EF"/>
    <w:pPr>
      <w:spacing w:after="120"/>
      <w:ind w:left="1415"/>
      <w:contextualSpacing/>
    </w:pPr>
  </w:style>
  <w:style w:type="paragraph" w:styleId="Listanumerowana3">
    <w:name w:val="List Number 3"/>
    <w:basedOn w:val="Normalny"/>
    <w:uiPriority w:val="99"/>
    <w:semiHidden/>
    <w:rsid w:val="005D62EF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5D62EF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5D62EF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5D62E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PMingLiU" w:hAnsi="Consolas" w:cs="Consolas"/>
      <w:lang w:val="en-US" w:eastAsia="en-US"/>
    </w:rPr>
  </w:style>
  <w:style w:type="character" w:customStyle="1" w:styleId="TekstmakraZnak">
    <w:name w:val="Tekst makra Znak"/>
    <w:link w:val="Tekstmakra"/>
    <w:uiPriority w:val="99"/>
    <w:semiHidden/>
    <w:rsid w:val="005D62EF"/>
    <w:rPr>
      <w:rFonts w:ascii="Consolas" w:eastAsia="PMingLiU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67"/>
    <w:semiHidden/>
    <w:rsid w:val="005D62EF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68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69"/>
    <w:semiHidden/>
    <w:rsid w:val="005D62EF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65"/>
    <w:semiHidden/>
    <w:rsid w:val="005D62EF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ingLiU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D62EF"/>
    <w:rPr>
      <w:rFonts w:eastAsia="MingLiU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D62EF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D62E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5D62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ingLiU"/>
      <w:szCs w:val="24"/>
    </w:rPr>
  </w:style>
  <w:style w:type="character" w:customStyle="1" w:styleId="NagwekwiadomociZnak">
    <w:name w:val="Nagłówek wiadomości Znak"/>
    <w:link w:val="Nagwekwiadomoci"/>
    <w:uiPriority w:val="99"/>
    <w:semiHidden/>
    <w:rsid w:val="005D62EF"/>
    <w:rPr>
      <w:rFonts w:ascii="Times New Roman" w:eastAsia="MingLiU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5D62EF"/>
    <w:rPr>
      <w:szCs w:val="24"/>
    </w:rPr>
  </w:style>
  <w:style w:type="paragraph" w:styleId="Wcicienormalne">
    <w:name w:val="Normal Indent"/>
    <w:basedOn w:val="Normalny"/>
    <w:uiPriority w:val="99"/>
    <w:semiHidden/>
    <w:rsid w:val="005D62EF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5D62EF"/>
  </w:style>
  <w:style w:type="character" w:customStyle="1" w:styleId="NagweknotatkiZnak">
    <w:name w:val="Nagłówek notatki Znak"/>
    <w:link w:val="Nagweknotatki"/>
    <w:uiPriority w:val="99"/>
    <w:semiHidden/>
    <w:rsid w:val="005D62EF"/>
    <w:rPr>
      <w:rFonts w:eastAsia="PMingLiU"/>
      <w:sz w:val="24"/>
    </w:rPr>
  </w:style>
  <w:style w:type="character" w:styleId="Tekstzastpczy">
    <w:name w:val="Placeholder Text"/>
    <w:uiPriority w:val="99"/>
    <w:semiHidden/>
    <w:rsid w:val="00B43184"/>
    <w:rPr>
      <w:color w:val="auto"/>
      <w:bdr w:val="none" w:sz="0" w:space="0" w:color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5D62EF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rsid w:val="005D62EF"/>
    <w:rPr>
      <w:rFonts w:ascii="Consolas" w:eastAsia="PMingLiU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5D62EF"/>
  </w:style>
  <w:style w:type="character" w:customStyle="1" w:styleId="ZwrotgrzecznociowyZnak">
    <w:name w:val="Zwrot grzecznościowy Znak"/>
    <w:link w:val="Zwrotgrzecznociowy"/>
    <w:uiPriority w:val="99"/>
    <w:semiHidden/>
    <w:rsid w:val="005D62EF"/>
    <w:rPr>
      <w:rFonts w:eastAsia="PMingLiU"/>
      <w:sz w:val="24"/>
    </w:rPr>
  </w:style>
  <w:style w:type="paragraph" w:styleId="Podpis">
    <w:name w:val="Signature"/>
    <w:basedOn w:val="Normalny"/>
    <w:link w:val="PodpisZnak"/>
    <w:uiPriority w:val="99"/>
    <w:semiHidden/>
    <w:rsid w:val="005D62EF"/>
    <w:pPr>
      <w:ind w:left="4252"/>
    </w:pPr>
  </w:style>
  <w:style w:type="character" w:customStyle="1" w:styleId="PodpisZnak">
    <w:name w:val="Podpis Znak"/>
    <w:link w:val="Podpis"/>
    <w:uiPriority w:val="99"/>
    <w:semiHidden/>
    <w:rsid w:val="005D62EF"/>
    <w:rPr>
      <w:rFonts w:eastAsia="PMingLiU"/>
      <w:sz w:val="24"/>
    </w:rPr>
  </w:style>
  <w:style w:type="table" w:customStyle="1" w:styleId="Tabela-Efekty3D11">
    <w:name w:val="Tabela - Efekty 3D 11"/>
    <w:basedOn w:val="Standardowy"/>
    <w:uiPriority w:val="99"/>
    <w:semiHidden/>
    <w:unhideWhenUsed/>
    <w:rsid w:val="005D62EF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D21">
    <w:name w:val="Tabela - Efekty 3D 21"/>
    <w:basedOn w:val="Standardowy"/>
    <w:uiPriority w:val="99"/>
    <w:semiHidden/>
    <w:unhideWhenUsed/>
    <w:rsid w:val="005D62EF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Efekty3D31">
    <w:name w:val="Tabela - Efekty 3D 31"/>
    <w:basedOn w:val="Standardowy"/>
    <w:uiPriority w:val="99"/>
    <w:semiHidden/>
    <w:unhideWhenUsed/>
    <w:rsid w:val="005D62EF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D62EF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5D62EF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5D62EF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5D62EF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D62EF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D62EF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D62EF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D62EF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D62EF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D62EF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D62EF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5D62EF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D62EF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D62EF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D62EF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D62EF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D62EF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D62EF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D62EF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D62EF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D62EF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D62EF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D62EF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5D62EF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5D62EF"/>
  </w:style>
  <w:style w:type="table" w:styleId="Tabela-Profesjonalny">
    <w:name w:val="Table Professional"/>
    <w:basedOn w:val="Standardowy"/>
    <w:uiPriority w:val="99"/>
    <w:semiHidden/>
    <w:unhideWhenUsed/>
    <w:rsid w:val="005D62EF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D62EF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D62E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D62EF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D62EF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D62EF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D62EF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D62EF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D62EF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B4318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B4318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5D62EF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5D62EF"/>
    <w:pPr>
      <w:spacing w:after="100"/>
      <w:ind w:left="1920"/>
    </w:pPr>
  </w:style>
  <w:style w:type="paragraph" w:customStyle="1" w:styleId="OpiHa0">
    <w:name w:val="Opi_H_a"/>
    <w:basedOn w:val="ECHRHeading3"/>
    <w:uiPriority w:val="43"/>
    <w:qFormat/>
    <w:rsid w:val="00B43184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B43184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B43184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B43184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ar">
    <w:name w:val="Ju_Para Car"/>
    <w:link w:val="ECHRPara"/>
    <w:uiPriority w:val="12"/>
    <w:rsid w:val="002E32CE"/>
    <w:rPr>
      <w:rFonts w:eastAsia="PMingLiU"/>
      <w:sz w:val="24"/>
    </w:rPr>
  </w:style>
  <w:style w:type="character" w:customStyle="1" w:styleId="outputecli">
    <w:name w:val="outputecli"/>
    <w:basedOn w:val="Domylnaczcionkaakapitu"/>
    <w:rsid w:val="002E32CE"/>
  </w:style>
  <w:style w:type="character" w:customStyle="1" w:styleId="ECHRFooterChar">
    <w:name w:val="ECHR_Footer Char"/>
    <w:link w:val="ECHRFooter"/>
    <w:uiPriority w:val="40"/>
    <w:rsid w:val="00EB3E93"/>
    <w:rPr>
      <w:sz w:val="8"/>
    </w:rPr>
  </w:style>
  <w:style w:type="character" w:customStyle="1" w:styleId="s4f807e54">
    <w:name w:val="s4f807e54"/>
    <w:uiPriority w:val="99"/>
    <w:rsid w:val="009074D3"/>
  </w:style>
  <w:style w:type="paragraph" w:customStyle="1" w:styleId="sc8420256">
    <w:name w:val="sc8420256"/>
    <w:basedOn w:val="Normalny"/>
    <w:rsid w:val="009074D3"/>
    <w:pPr>
      <w:spacing w:before="100" w:beforeAutospacing="1" w:after="100" w:afterAutospacing="1"/>
      <w:jc w:val="left"/>
    </w:pPr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3130</Words>
  <Characters>18786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2019-07-29T14:00:00Z</dcterms:created>
  <dcterms:modified xsi:type="dcterms:W3CDTF">2019-12-14T09:56:00Z</dcterms:modified>
  <cp:category/>
</cp:coreProperties>
</file>