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51840E" w14:textId="77777777" w:rsidR="00493A6D" w:rsidRPr="003F5B64" w:rsidRDefault="00493A6D" w:rsidP="009B41DF">
      <w:pPr>
        <w:jc w:val="center"/>
        <w:rPr>
          <w:sz w:val="18"/>
          <w:szCs w:val="18"/>
        </w:rPr>
      </w:pPr>
      <w:r w:rsidRPr="003F5B64">
        <w:rPr>
          <w:rStyle w:val="s4f807e54"/>
          <w:rFonts w:ascii="Arial" w:hAnsi="Arial" w:cs="Arial"/>
          <w:sz w:val="18"/>
          <w:szCs w:val="18"/>
        </w:rPr>
        <w:t xml:space="preserve">© Copyright for the </w:t>
      </w:r>
      <w:proofErr w:type="spellStart"/>
      <w:r w:rsidRPr="003F5B64">
        <w:rPr>
          <w:rStyle w:val="s4f807e54"/>
          <w:rFonts w:ascii="Arial" w:hAnsi="Arial" w:cs="Arial"/>
          <w:sz w:val="18"/>
          <w:szCs w:val="18"/>
        </w:rPr>
        <w:t>Polish</w:t>
      </w:r>
      <w:proofErr w:type="spellEnd"/>
      <w:r w:rsidRPr="003F5B64">
        <w:rPr>
          <w:rStyle w:val="s4f807e54"/>
          <w:rFonts w:ascii="Arial" w:hAnsi="Arial" w:cs="Arial"/>
          <w:sz w:val="18"/>
          <w:szCs w:val="18"/>
        </w:rPr>
        <w:t xml:space="preserve"> </w:t>
      </w:r>
      <w:proofErr w:type="spellStart"/>
      <w:r w:rsidRPr="003F5B64">
        <w:rPr>
          <w:rStyle w:val="s4f807e54"/>
          <w:rFonts w:ascii="Arial" w:hAnsi="Arial" w:cs="Arial"/>
          <w:sz w:val="18"/>
          <w:szCs w:val="18"/>
        </w:rPr>
        <w:t>translation</w:t>
      </w:r>
      <w:proofErr w:type="spellEnd"/>
      <w:r w:rsidRPr="003F5B64">
        <w:rPr>
          <w:rStyle w:val="s4f807e54"/>
          <w:rFonts w:ascii="Arial" w:hAnsi="Arial" w:cs="Arial"/>
          <w:sz w:val="18"/>
          <w:szCs w:val="18"/>
        </w:rPr>
        <w:t xml:space="preserve"> by Naczelny Sąd Administracyjny, Warszawa 2018</w:t>
      </w:r>
    </w:p>
    <w:p w14:paraId="024410F7" w14:textId="77777777" w:rsidR="00493A6D" w:rsidRPr="003F5B64" w:rsidRDefault="00493A6D" w:rsidP="009B41DF">
      <w:pPr>
        <w:jc w:val="center"/>
      </w:pPr>
    </w:p>
    <w:p w14:paraId="084B7B39" w14:textId="77777777" w:rsidR="00493A6D" w:rsidRPr="003F5B64" w:rsidRDefault="00493A6D" w:rsidP="009B41DF">
      <w:pPr>
        <w:jc w:val="center"/>
      </w:pPr>
      <w:r w:rsidRPr="003F5B64">
        <w:t>EUROPEJSKI TRYBUNAŁ PRAW CZŁOWIEKA</w:t>
      </w:r>
    </w:p>
    <w:p w14:paraId="52C2E29F" w14:textId="77777777" w:rsidR="00493A6D" w:rsidRPr="003F5B64" w:rsidRDefault="00493A6D" w:rsidP="004739EF">
      <w:pPr>
        <w:pStyle w:val="ECHRDecisionBody"/>
        <w:rPr>
          <w:b/>
          <w:bCs/>
        </w:rPr>
      </w:pPr>
    </w:p>
    <w:p w14:paraId="197CBEFA" w14:textId="77777777" w:rsidR="00493A6D" w:rsidRPr="003F5B64" w:rsidRDefault="00493A6D" w:rsidP="004739EF">
      <w:pPr>
        <w:jc w:val="center"/>
      </w:pPr>
      <w:r w:rsidRPr="003F5B64">
        <w:t xml:space="preserve">TRZECIA SEKCJA </w:t>
      </w:r>
    </w:p>
    <w:p w14:paraId="61B7437A" w14:textId="77777777" w:rsidR="00493A6D" w:rsidRPr="003F5B64" w:rsidRDefault="00493A6D" w:rsidP="004739EF">
      <w:pPr>
        <w:jc w:val="center"/>
      </w:pPr>
    </w:p>
    <w:p w14:paraId="4EA4842C" w14:textId="77777777" w:rsidR="00493A6D" w:rsidRPr="003F5B64" w:rsidRDefault="00493A6D" w:rsidP="004739EF">
      <w:pPr>
        <w:jc w:val="center"/>
      </w:pPr>
    </w:p>
    <w:p w14:paraId="186F788F" w14:textId="77777777" w:rsidR="00493A6D" w:rsidRPr="003F5B64" w:rsidRDefault="00493A6D" w:rsidP="004739EF">
      <w:pPr>
        <w:jc w:val="center"/>
      </w:pPr>
    </w:p>
    <w:p w14:paraId="0770C0FF" w14:textId="77777777" w:rsidR="00493A6D" w:rsidRPr="003F5B64" w:rsidRDefault="00493A6D" w:rsidP="004739EF">
      <w:pPr>
        <w:jc w:val="center"/>
      </w:pPr>
    </w:p>
    <w:p w14:paraId="0BA8AF36" w14:textId="77777777" w:rsidR="00493A6D" w:rsidRPr="003F5B64" w:rsidRDefault="00493A6D" w:rsidP="004739EF">
      <w:pPr>
        <w:jc w:val="center"/>
      </w:pPr>
    </w:p>
    <w:p w14:paraId="61566369" w14:textId="77777777" w:rsidR="00493A6D" w:rsidRPr="003F5B64" w:rsidRDefault="00493A6D" w:rsidP="004739EF">
      <w:pPr>
        <w:jc w:val="center"/>
        <w:rPr>
          <w:b/>
          <w:bCs/>
        </w:rPr>
      </w:pPr>
      <w:bookmarkStart w:id="0" w:name="To"/>
      <w:r w:rsidRPr="003F5B64">
        <w:rPr>
          <w:b/>
          <w:bCs/>
        </w:rPr>
        <w:t xml:space="preserve">SPRAWA </w:t>
      </w:r>
      <w:bookmarkEnd w:id="0"/>
      <w:r w:rsidRPr="003F5B64">
        <w:rPr>
          <w:b/>
          <w:bCs/>
        </w:rPr>
        <w:t>PALUDA przeciwko SŁOWACJI</w:t>
      </w:r>
    </w:p>
    <w:p w14:paraId="4A30A735" w14:textId="77777777" w:rsidR="00493A6D" w:rsidRPr="003F5B64" w:rsidRDefault="00493A6D" w:rsidP="004739EF">
      <w:pPr>
        <w:jc w:val="center"/>
      </w:pPr>
    </w:p>
    <w:p w14:paraId="478B83F4" w14:textId="77777777" w:rsidR="00493A6D" w:rsidRPr="003F5B64" w:rsidRDefault="00493A6D" w:rsidP="004739EF">
      <w:pPr>
        <w:jc w:val="center"/>
        <w:rPr>
          <w:i/>
          <w:iCs/>
        </w:rPr>
      </w:pPr>
      <w:r w:rsidRPr="003F5B64">
        <w:rPr>
          <w:i/>
          <w:iCs/>
        </w:rPr>
        <w:t>(Skarga nr 33392/12)</w:t>
      </w:r>
    </w:p>
    <w:p w14:paraId="4E521077" w14:textId="77777777" w:rsidR="00493A6D" w:rsidRPr="003F5B64" w:rsidRDefault="00493A6D" w:rsidP="004739EF">
      <w:pPr>
        <w:jc w:val="center"/>
      </w:pPr>
    </w:p>
    <w:p w14:paraId="3D4E837E" w14:textId="77777777" w:rsidR="00493A6D" w:rsidRPr="003F5B64" w:rsidRDefault="00493A6D" w:rsidP="004739EF">
      <w:pPr>
        <w:jc w:val="center"/>
      </w:pPr>
    </w:p>
    <w:p w14:paraId="08173F96" w14:textId="77777777" w:rsidR="00493A6D" w:rsidRPr="003F5B64" w:rsidRDefault="00493A6D" w:rsidP="004739EF">
      <w:pPr>
        <w:jc w:val="center"/>
      </w:pPr>
    </w:p>
    <w:p w14:paraId="7EEF038D" w14:textId="77777777" w:rsidR="00493A6D" w:rsidRPr="003F5B64" w:rsidRDefault="00493A6D" w:rsidP="004739EF">
      <w:pPr>
        <w:jc w:val="center"/>
      </w:pPr>
    </w:p>
    <w:p w14:paraId="326842EB" w14:textId="77777777" w:rsidR="00493A6D" w:rsidRPr="003F5B64" w:rsidRDefault="00493A6D" w:rsidP="004739EF"/>
    <w:p w14:paraId="64DBED3D" w14:textId="77777777" w:rsidR="00493A6D" w:rsidRPr="003F5B64" w:rsidRDefault="00493A6D" w:rsidP="004739EF"/>
    <w:p w14:paraId="64291C04" w14:textId="77777777" w:rsidR="00493A6D" w:rsidRPr="003F5B64" w:rsidRDefault="00493A6D" w:rsidP="004739EF"/>
    <w:p w14:paraId="1824C402" w14:textId="77777777" w:rsidR="00493A6D" w:rsidRPr="003F5B64" w:rsidRDefault="00493A6D" w:rsidP="004739EF">
      <w:pPr>
        <w:jc w:val="center"/>
      </w:pPr>
      <w:r w:rsidRPr="003F5B64">
        <w:t>WYROK</w:t>
      </w:r>
    </w:p>
    <w:p w14:paraId="5580528C" w14:textId="2031F6A6" w:rsidR="00493A6D" w:rsidRPr="003F5B64" w:rsidRDefault="00E11EFE" w:rsidP="004739EF">
      <w:pPr>
        <w:pStyle w:val="JuCase"/>
        <w:ind w:firstLine="0"/>
        <w:jc w:val="center"/>
        <w:rPr>
          <w:b w:val="0"/>
          <w:bCs w:val="0"/>
        </w:rPr>
      </w:pPr>
      <w:r>
        <w:rPr>
          <w:b w:val="0"/>
          <w:bCs w:val="0"/>
        </w:rPr>
        <w:t>[wyciąg]</w:t>
      </w:r>
    </w:p>
    <w:p w14:paraId="36EBAC30" w14:textId="77777777" w:rsidR="00493A6D" w:rsidRPr="003F5B64" w:rsidRDefault="00493A6D" w:rsidP="004739EF">
      <w:pPr>
        <w:pStyle w:val="JuCase"/>
        <w:ind w:firstLine="0"/>
        <w:jc w:val="center"/>
        <w:rPr>
          <w:b w:val="0"/>
          <w:bCs w:val="0"/>
        </w:rPr>
      </w:pPr>
    </w:p>
    <w:p w14:paraId="0A39736D" w14:textId="77777777" w:rsidR="00493A6D" w:rsidRPr="003F5B64" w:rsidRDefault="00493A6D" w:rsidP="004739EF">
      <w:pPr>
        <w:pStyle w:val="JuCase"/>
        <w:ind w:firstLine="0"/>
        <w:jc w:val="center"/>
        <w:rPr>
          <w:b w:val="0"/>
          <w:bCs w:val="0"/>
        </w:rPr>
      </w:pPr>
      <w:r w:rsidRPr="003F5B64">
        <w:rPr>
          <w:b w:val="0"/>
          <w:bCs w:val="0"/>
        </w:rPr>
        <w:t>STRASBURG</w:t>
      </w:r>
    </w:p>
    <w:p w14:paraId="590DC2BC" w14:textId="77777777" w:rsidR="00493A6D" w:rsidRPr="003F5B64" w:rsidRDefault="00493A6D" w:rsidP="004739EF">
      <w:pPr>
        <w:pStyle w:val="JuCase"/>
        <w:ind w:firstLine="0"/>
        <w:jc w:val="center"/>
        <w:rPr>
          <w:b w:val="0"/>
          <w:bCs w:val="0"/>
        </w:rPr>
      </w:pPr>
    </w:p>
    <w:p w14:paraId="7FF49197" w14:textId="77777777" w:rsidR="00493A6D" w:rsidRPr="003F5B64" w:rsidRDefault="00493A6D" w:rsidP="004739EF">
      <w:pPr>
        <w:pStyle w:val="JuCase"/>
        <w:ind w:firstLine="0"/>
        <w:jc w:val="center"/>
        <w:rPr>
          <w:b w:val="0"/>
          <w:bCs w:val="0"/>
        </w:rPr>
      </w:pPr>
      <w:r w:rsidRPr="003F5B64">
        <w:rPr>
          <w:b w:val="0"/>
          <w:bCs w:val="0"/>
        </w:rPr>
        <w:t>23 maja 2017</w:t>
      </w:r>
    </w:p>
    <w:p w14:paraId="64825240" w14:textId="77777777" w:rsidR="00493A6D" w:rsidRPr="003F5B64" w:rsidRDefault="00493A6D" w:rsidP="004739EF">
      <w:pPr>
        <w:pStyle w:val="JuCase"/>
        <w:ind w:firstLine="0"/>
        <w:jc w:val="center"/>
        <w:rPr>
          <w:b w:val="0"/>
          <w:bCs w:val="0"/>
        </w:rPr>
      </w:pPr>
    </w:p>
    <w:p w14:paraId="769A5FF3" w14:textId="77777777" w:rsidR="00493A6D" w:rsidRPr="003F5B64" w:rsidRDefault="00493A6D" w:rsidP="004739EF">
      <w:pPr>
        <w:pStyle w:val="ECHRPara"/>
      </w:pPr>
    </w:p>
    <w:p w14:paraId="1B5FF367" w14:textId="77777777" w:rsidR="00493A6D" w:rsidRPr="003F5B64" w:rsidRDefault="00493A6D" w:rsidP="004739EF">
      <w:pPr>
        <w:pStyle w:val="jucase0"/>
        <w:ind w:firstLine="0"/>
        <w:jc w:val="center"/>
        <w:rPr>
          <w:color w:val="FF0000"/>
          <w:sz w:val="28"/>
          <w:szCs w:val="28"/>
          <w:u w:val="single"/>
        </w:rPr>
      </w:pPr>
      <w:r w:rsidRPr="003F5B64">
        <w:rPr>
          <w:color w:val="FF0000"/>
          <w:sz w:val="28"/>
          <w:szCs w:val="28"/>
          <w:u w:val="single"/>
        </w:rPr>
        <w:t>OSTATECZNY</w:t>
      </w:r>
    </w:p>
    <w:p w14:paraId="4B096F23" w14:textId="77777777" w:rsidR="00493A6D" w:rsidRPr="003F5B64" w:rsidRDefault="00493A6D" w:rsidP="004739EF">
      <w:pPr>
        <w:pStyle w:val="jupara"/>
        <w:tabs>
          <w:tab w:val="left" w:pos="4650"/>
        </w:tabs>
        <w:ind w:firstLine="0"/>
        <w:jc w:val="center"/>
        <w:rPr>
          <w:color w:val="FF0000"/>
          <w:sz w:val="28"/>
          <w:szCs w:val="28"/>
        </w:rPr>
      </w:pPr>
    </w:p>
    <w:p w14:paraId="43F97ECF" w14:textId="77777777" w:rsidR="00493A6D" w:rsidRPr="003F5B64" w:rsidRDefault="00493A6D" w:rsidP="004739EF">
      <w:pPr>
        <w:pStyle w:val="jupara"/>
        <w:ind w:firstLine="0"/>
        <w:jc w:val="center"/>
        <w:rPr>
          <w:color w:val="FF0000"/>
          <w:sz w:val="28"/>
          <w:szCs w:val="28"/>
        </w:rPr>
      </w:pPr>
      <w:r w:rsidRPr="003F5B64">
        <w:rPr>
          <w:color w:val="FF0000"/>
          <w:sz w:val="28"/>
          <w:szCs w:val="28"/>
        </w:rPr>
        <w:t>23/08/2017</w:t>
      </w:r>
    </w:p>
    <w:p w14:paraId="5582B705" w14:textId="77777777" w:rsidR="00493A6D" w:rsidRPr="003F5B64" w:rsidRDefault="00493A6D" w:rsidP="004739EF">
      <w:pPr>
        <w:pStyle w:val="jupara"/>
        <w:ind w:firstLine="0"/>
        <w:jc w:val="center"/>
      </w:pPr>
    </w:p>
    <w:p w14:paraId="12B42345" w14:textId="77777777" w:rsidR="00493A6D" w:rsidRPr="003F5B64" w:rsidRDefault="00493A6D" w:rsidP="004739EF">
      <w:pPr>
        <w:pStyle w:val="jupara"/>
        <w:ind w:firstLine="0"/>
        <w:jc w:val="center"/>
      </w:pPr>
    </w:p>
    <w:p w14:paraId="23B9C97D" w14:textId="77777777" w:rsidR="00493A6D" w:rsidRPr="003F5B64" w:rsidRDefault="00493A6D" w:rsidP="004739EF">
      <w:pPr>
        <w:pStyle w:val="jupara"/>
        <w:ind w:firstLine="0"/>
        <w:jc w:val="center"/>
      </w:pPr>
    </w:p>
    <w:p w14:paraId="29737576" w14:textId="7220A8F3" w:rsidR="00493A6D" w:rsidRPr="003F5B64" w:rsidRDefault="00493A6D" w:rsidP="009B41DF">
      <w:pPr>
        <w:jc w:val="center"/>
        <w:rPr>
          <w:i/>
          <w:iCs/>
          <w:sz w:val="22"/>
          <w:szCs w:val="22"/>
        </w:rPr>
      </w:pPr>
      <w:r w:rsidRPr="003F5B64">
        <w:rPr>
          <w:i/>
          <w:iCs/>
          <w:sz w:val="22"/>
          <w:szCs w:val="22"/>
        </w:rPr>
        <w:t xml:space="preserve">Niniejszy wyrok </w:t>
      </w:r>
      <w:r w:rsidR="009F5F76" w:rsidRPr="003F5B64">
        <w:rPr>
          <w:i/>
          <w:iCs/>
          <w:sz w:val="22"/>
          <w:szCs w:val="22"/>
        </w:rPr>
        <w:t xml:space="preserve">stał się ostateczny </w:t>
      </w:r>
      <w:r w:rsidRPr="003F5B64">
        <w:rPr>
          <w:i/>
          <w:iCs/>
          <w:sz w:val="22"/>
          <w:szCs w:val="22"/>
        </w:rPr>
        <w:t>się na warunkach określonych w art. 44 ust. 2 Konwencji. Wyrok może podlegać korekcie wydawniczej.</w:t>
      </w:r>
    </w:p>
    <w:p w14:paraId="4D6DFA6C" w14:textId="77777777" w:rsidR="00493A6D" w:rsidRPr="003F5B64" w:rsidRDefault="00493A6D" w:rsidP="004739EF">
      <w:pPr>
        <w:pStyle w:val="ECHRPara"/>
      </w:pPr>
    </w:p>
    <w:p w14:paraId="0F2CD0D0" w14:textId="77777777" w:rsidR="00493A6D" w:rsidRPr="003F5B64" w:rsidRDefault="00493A6D" w:rsidP="004739EF">
      <w:pPr>
        <w:pStyle w:val="ECHRPara"/>
        <w:sectPr w:rsidR="00493A6D" w:rsidRPr="003F5B64" w:rsidSect="00665A0F">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08" w:gutter="0"/>
          <w:pgNumType w:start="1"/>
          <w:cols w:space="708"/>
          <w:titlePg/>
          <w:docGrid w:linePitch="326"/>
        </w:sectPr>
      </w:pPr>
    </w:p>
    <w:p w14:paraId="45536B4B" w14:textId="77777777" w:rsidR="00493A6D" w:rsidRPr="003F5B64" w:rsidRDefault="00493A6D" w:rsidP="004739EF">
      <w:pPr>
        <w:pStyle w:val="JuCase"/>
      </w:pPr>
      <w:r w:rsidRPr="003F5B64">
        <w:lastRenderedPageBreak/>
        <w:t xml:space="preserve">W sprawie </w:t>
      </w:r>
      <w:proofErr w:type="spellStart"/>
      <w:r w:rsidRPr="003F5B64">
        <w:t>Paluda</w:t>
      </w:r>
      <w:proofErr w:type="spellEnd"/>
      <w:r w:rsidRPr="003F5B64">
        <w:t xml:space="preserve"> przeciwko Słowacji,</w:t>
      </w:r>
    </w:p>
    <w:p w14:paraId="2C47EAC6" w14:textId="77777777" w:rsidR="00493A6D" w:rsidRPr="003F5B64" w:rsidRDefault="00493A6D" w:rsidP="004739EF">
      <w:pPr>
        <w:pStyle w:val="ECHRPara"/>
      </w:pPr>
      <w:r w:rsidRPr="003F5B64">
        <w:t>Europejski Trybunał Praw Człowieka (Trzecia Sekcja), zasiadając jako Izba w składzie:</w:t>
      </w:r>
    </w:p>
    <w:p w14:paraId="5E066F31" w14:textId="77777777" w:rsidR="00493A6D" w:rsidRPr="003F5B64" w:rsidRDefault="00493A6D" w:rsidP="004739EF">
      <w:pPr>
        <w:pStyle w:val="ECHRDecisionBody"/>
      </w:pPr>
      <w:r w:rsidRPr="003F5B64">
        <w:tab/>
        <w:t xml:space="preserve">Branko </w:t>
      </w:r>
      <w:proofErr w:type="spellStart"/>
      <w:r w:rsidRPr="003F5B64">
        <w:t>Lubarda</w:t>
      </w:r>
      <w:proofErr w:type="spellEnd"/>
      <w:r w:rsidRPr="003F5B64">
        <w:t>,</w:t>
      </w:r>
      <w:r w:rsidRPr="003F5B64">
        <w:rPr>
          <w:i/>
          <w:iCs/>
        </w:rPr>
        <w:t xml:space="preserve"> Przewodniczący,</w:t>
      </w:r>
      <w:r w:rsidRPr="003F5B64">
        <w:rPr>
          <w:i/>
          <w:iCs/>
        </w:rPr>
        <w:br/>
      </w:r>
      <w:r w:rsidRPr="003F5B64">
        <w:tab/>
        <w:t xml:space="preserve">Helena </w:t>
      </w:r>
      <w:proofErr w:type="spellStart"/>
      <w:r w:rsidRPr="003F5B64">
        <w:t>Jäderblom</w:t>
      </w:r>
      <w:proofErr w:type="spellEnd"/>
      <w:r w:rsidRPr="003F5B64">
        <w:t>,</w:t>
      </w:r>
      <w:r w:rsidRPr="003F5B64">
        <w:rPr>
          <w:i/>
          <w:iCs/>
        </w:rPr>
        <w:br/>
      </w:r>
      <w:r w:rsidRPr="003F5B64">
        <w:tab/>
        <w:t xml:space="preserve">Luis </w:t>
      </w:r>
      <w:proofErr w:type="spellStart"/>
      <w:r w:rsidRPr="003F5B64">
        <w:t>López</w:t>
      </w:r>
      <w:proofErr w:type="spellEnd"/>
      <w:r w:rsidRPr="003F5B64">
        <w:t xml:space="preserve"> </w:t>
      </w:r>
      <w:proofErr w:type="spellStart"/>
      <w:r w:rsidRPr="003F5B64">
        <w:t>Guerra</w:t>
      </w:r>
      <w:proofErr w:type="spellEnd"/>
      <w:r w:rsidRPr="003F5B64">
        <w:t>,</w:t>
      </w:r>
      <w:r w:rsidRPr="003F5B64">
        <w:rPr>
          <w:i/>
          <w:iCs/>
        </w:rPr>
        <w:br/>
      </w:r>
      <w:r w:rsidRPr="003F5B64">
        <w:tab/>
        <w:t>Helen Keller,</w:t>
      </w:r>
      <w:r w:rsidRPr="003F5B64">
        <w:rPr>
          <w:i/>
          <w:iCs/>
        </w:rPr>
        <w:br/>
      </w:r>
      <w:r w:rsidRPr="003F5B64">
        <w:tab/>
      </w:r>
      <w:proofErr w:type="spellStart"/>
      <w:r w:rsidRPr="003F5B64">
        <w:t>Dmitry</w:t>
      </w:r>
      <w:proofErr w:type="spellEnd"/>
      <w:r w:rsidRPr="003F5B64">
        <w:t xml:space="preserve"> </w:t>
      </w:r>
      <w:proofErr w:type="spellStart"/>
      <w:r w:rsidRPr="003F5B64">
        <w:t>Dedov</w:t>
      </w:r>
      <w:proofErr w:type="spellEnd"/>
      <w:r w:rsidRPr="003F5B64">
        <w:t>,</w:t>
      </w:r>
      <w:r w:rsidRPr="003F5B64">
        <w:rPr>
          <w:i/>
          <w:iCs/>
        </w:rPr>
        <w:br/>
      </w:r>
      <w:r w:rsidRPr="003F5B64">
        <w:tab/>
      </w:r>
      <w:proofErr w:type="spellStart"/>
      <w:r w:rsidRPr="003F5B64">
        <w:t>Pere</w:t>
      </w:r>
      <w:proofErr w:type="spellEnd"/>
      <w:r w:rsidRPr="003F5B64">
        <w:t xml:space="preserve"> Pastor </w:t>
      </w:r>
      <w:proofErr w:type="spellStart"/>
      <w:r w:rsidRPr="003F5B64">
        <w:t>Vilanova</w:t>
      </w:r>
      <w:proofErr w:type="spellEnd"/>
      <w:r w:rsidRPr="003F5B64">
        <w:t>,</w:t>
      </w:r>
      <w:r w:rsidRPr="003F5B64">
        <w:rPr>
          <w:i/>
          <w:iCs/>
        </w:rPr>
        <w:br/>
      </w:r>
      <w:r w:rsidRPr="003F5B64">
        <w:tab/>
        <w:t xml:space="preserve">Georgios A. </w:t>
      </w:r>
      <w:proofErr w:type="spellStart"/>
      <w:r w:rsidRPr="003F5B64">
        <w:t>Serghides</w:t>
      </w:r>
      <w:proofErr w:type="spellEnd"/>
      <w:r w:rsidRPr="003F5B64">
        <w:t>,</w:t>
      </w:r>
      <w:r w:rsidRPr="003F5B64">
        <w:rPr>
          <w:i/>
          <w:iCs/>
        </w:rPr>
        <w:t xml:space="preserve"> sędziowie,</w:t>
      </w:r>
      <w:r w:rsidRPr="003F5B64">
        <w:rPr>
          <w:i/>
          <w:iCs/>
        </w:rPr>
        <w:br/>
      </w:r>
      <w:r w:rsidRPr="003F5B64">
        <w:t xml:space="preserve">oraz </w:t>
      </w:r>
      <w:proofErr w:type="spellStart"/>
      <w:r w:rsidRPr="003F5B64">
        <w:t>Fatoş</w:t>
      </w:r>
      <w:proofErr w:type="spellEnd"/>
      <w:r w:rsidRPr="003F5B64">
        <w:t xml:space="preserve"> </w:t>
      </w:r>
      <w:proofErr w:type="spellStart"/>
      <w:r w:rsidRPr="003F5B64">
        <w:t>Aracı</w:t>
      </w:r>
      <w:proofErr w:type="spellEnd"/>
      <w:r w:rsidRPr="003F5B64">
        <w:t xml:space="preserve">, </w:t>
      </w:r>
      <w:r w:rsidRPr="003F5B64">
        <w:rPr>
          <w:i/>
          <w:iCs/>
        </w:rPr>
        <w:t>Zastępca</w:t>
      </w:r>
      <w:r w:rsidRPr="003F5B64">
        <w:t xml:space="preserve"> </w:t>
      </w:r>
      <w:r w:rsidRPr="003F5B64">
        <w:rPr>
          <w:i/>
          <w:iCs/>
        </w:rPr>
        <w:t>Kanclerza Sekcji,</w:t>
      </w:r>
    </w:p>
    <w:p w14:paraId="37E48CA8" w14:textId="77777777" w:rsidR="00493A6D" w:rsidRPr="003F5B64" w:rsidRDefault="00493A6D" w:rsidP="004739EF">
      <w:pPr>
        <w:pStyle w:val="ECHRPara"/>
      </w:pPr>
      <w:r w:rsidRPr="003F5B64">
        <w:t>obradując na posiedzeniu niejawnym w dniu 2 maja 2017 r.</w:t>
      </w:r>
    </w:p>
    <w:p w14:paraId="55F4EB69" w14:textId="77777777" w:rsidR="00493A6D" w:rsidRPr="003F5B64" w:rsidRDefault="00493A6D" w:rsidP="004739EF">
      <w:pPr>
        <w:pStyle w:val="ECHRPara"/>
      </w:pPr>
      <w:r w:rsidRPr="003F5B64">
        <w:t>wydaje następujący wyrok, który został przyjęty w tym dniu:</w:t>
      </w:r>
    </w:p>
    <w:p w14:paraId="2FF807F1" w14:textId="77777777" w:rsidR="00493A6D" w:rsidRPr="003F5B64" w:rsidRDefault="00493A6D" w:rsidP="004739EF">
      <w:pPr>
        <w:pStyle w:val="ECHRTitle1"/>
      </w:pPr>
      <w:r w:rsidRPr="003F5B64">
        <w:t>POSTĘPOWANIE</w:t>
      </w:r>
    </w:p>
    <w:p w14:paraId="59557880" w14:textId="77777777" w:rsidR="00493A6D" w:rsidRPr="003F5B64" w:rsidRDefault="00493A6D" w:rsidP="0000309A">
      <w:pPr>
        <w:pStyle w:val="ECHRPara"/>
        <w:ind w:firstLine="0"/>
      </w:pPr>
      <w:r w:rsidRPr="003F5B64">
        <w:rPr>
          <w:i/>
          <w:iCs/>
        </w:rPr>
        <w:t>[Paragrafy 1- 5 wyroku pominięto]</w:t>
      </w:r>
    </w:p>
    <w:p w14:paraId="3EFC9912" w14:textId="77777777" w:rsidR="00493A6D" w:rsidRPr="003F5B64" w:rsidRDefault="00493A6D" w:rsidP="004739EF">
      <w:pPr>
        <w:pStyle w:val="ECHRTitle1"/>
      </w:pPr>
      <w:r w:rsidRPr="003F5B64">
        <w:t>FAKTY</w:t>
      </w:r>
    </w:p>
    <w:p w14:paraId="57C98CC9" w14:textId="05A4200D" w:rsidR="00493A6D" w:rsidRPr="003F5B64" w:rsidRDefault="00493A6D" w:rsidP="00844ED6">
      <w:pPr>
        <w:pStyle w:val="ECHRPara"/>
        <w:ind w:firstLine="0"/>
        <w:rPr>
          <w:i/>
          <w:iCs/>
        </w:rPr>
      </w:pPr>
      <w:r w:rsidRPr="003F5B64">
        <w:rPr>
          <w:i/>
          <w:iCs/>
        </w:rPr>
        <w:t>[Paragrafy 6-24 wyroku pominięte i zastąpione tłumaczeniem poniższego streszczenia przygotowanego przez Kancelarię Europejskiego Trybunału Praw Człowieka</w:t>
      </w:r>
    </w:p>
    <w:p w14:paraId="6A2AF1A1" w14:textId="77777777" w:rsidR="00493A6D" w:rsidRPr="003F5B64" w:rsidRDefault="00493A6D" w:rsidP="00844ED6">
      <w:pPr>
        <w:pStyle w:val="ECHRPara"/>
        <w:ind w:firstLine="0"/>
        <w:rPr>
          <w:i/>
          <w:iCs/>
        </w:rPr>
      </w:pPr>
    </w:p>
    <w:p w14:paraId="0C849BF0" w14:textId="77777777" w:rsidR="00493A6D" w:rsidRPr="003F5B64" w:rsidRDefault="00493A6D" w:rsidP="00844ED6">
      <w:pPr>
        <w:pStyle w:val="ECHRPara"/>
        <w:ind w:firstLine="0"/>
      </w:pPr>
      <w:r w:rsidRPr="003F5B64">
        <w:rPr>
          <w:i/>
          <w:iCs/>
          <w:u w:val="single"/>
        </w:rPr>
        <w:t>Streszczenie stanu faktycznego</w:t>
      </w:r>
      <w:r w:rsidRPr="003F5B64">
        <w:rPr>
          <w:rStyle w:val="Odwoanieprzypisudolnego"/>
          <w:i/>
          <w:iCs/>
          <w:u w:val="single"/>
        </w:rPr>
        <w:footnoteReference w:id="2"/>
      </w:r>
      <w:r w:rsidRPr="003F5B64">
        <w:rPr>
          <w:u w:val="single"/>
        </w:rPr>
        <w:t>:</w:t>
      </w:r>
    </w:p>
    <w:p w14:paraId="565EEF9F" w14:textId="77777777" w:rsidR="00493A6D" w:rsidRPr="003F5B64" w:rsidRDefault="00493A6D" w:rsidP="00844ED6">
      <w:pPr>
        <w:pStyle w:val="ECHRPara"/>
        <w:rPr>
          <w:color w:val="000000"/>
          <w:sz w:val="20"/>
          <w:szCs w:val="20"/>
        </w:rPr>
      </w:pPr>
    </w:p>
    <w:p w14:paraId="131B91C3" w14:textId="77777777" w:rsidR="00493A6D" w:rsidRPr="003F5B64" w:rsidRDefault="00493A6D" w:rsidP="00844ED6">
      <w:pPr>
        <w:pStyle w:val="ECHRPara"/>
      </w:pPr>
      <w:r w:rsidRPr="003F5B64">
        <w:rPr>
          <w:color w:val="000000"/>
        </w:rPr>
        <w:t>We wrześniu 2009 r. Rada Sądownictwa Republiki Słowackiej (najwyższy organ władzy sądowniczej na Słowacji, któremu przewodniczył w tamtym czasie Prezes Sądu Najwyższego) podjęła decyzję o zawieszeniu skarżącego w pełnieniu obowiązków sędziego Sądu Najwyższego i</w:t>
      </w:r>
      <w:r w:rsidR="003A17FA">
        <w:rPr>
          <w:color w:val="000000"/>
        </w:rPr>
        <w:t> </w:t>
      </w:r>
      <w:r w:rsidRPr="003F5B64">
        <w:rPr>
          <w:color w:val="000000"/>
        </w:rPr>
        <w:t>o</w:t>
      </w:r>
      <w:r w:rsidR="003A17FA">
        <w:rPr>
          <w:color w:val="000000"/>
        </w:rPr>
        <w:t> </w:t>
      </w:r>
      <w:r w:rsidRPr="003F5B64">
        <w:rPr>
          <w:color w:val="000000"/>
        </w:rPr>
        <w:t>wszczęciu przeciwko niemu postępowania dyscyplinarnego. W</w:t>
      </w:r>
      <w:r w:rsidR="003A17FA">
        <w:rPr>
          <w:color w:val="000000"/>
        </w:rPr>
        <w:t> </w:t>
      </w:r>
      <w:r w:rsidRPr="003F5B64">
        <w:rPr>
          <w:color w:val="000000"/>
        </w:rPr>
        <w:t>szczególności skarżącemu zarzucono, że złożył doniesienie o</w:t>
      </w:r>
      <w:r w:rsidR="003A17FA">
        <w:rPr>
          <w:color w:val="000000"/>
        </w:rPr>
        <w:t> </w:t>
      </w:r>
      <w:r w:rsidRPr="003F5B64">
        <w:rPr>
          <w:color w:val="000000"/>
        </w:rPr>
        <w:t>popełnieniu przestępstwa, oskarżając Prezesa Sądu Najwyższego o</w:t>
      </w:r>
      <w:r w:rsidR="003A17FA">
        <w:rPr>
          <w:color w:val="000000"/>
        </w:rPr>
        <w:t> </w:t>
      </w:r>
      <w:r w:rsidRPr="003F5B64">
        <w:rPr>
          <w:color w:val="000000"/>
        </w:rPr>
        <w:t>nadużycie władzy a ponadto publicznie oświadczył, że Prezes starał się wywrzeć wpływ na wynik postępowania. Zawieszenie, które zgodnie z</w:t>
      </w:r>
      <w:r w:rsidR="003A17FA">
        <w:rPr>
          <w:color w:val="000000"/>
        </w:rPr>
        <w:t> </w:t>
      </w:r>
      <w:r w:rsidRPr="003F5B64">
        <w:rPr>
          <w:color w:val="000000"/>
        </w:rPr>
        <w:t xml:space="preserve">obowiązującymi przepisami mogło trwać do dwóch lat, pociągało za sobą </w:t>
      </w:r>
      <w:r w:rsidRPr="003F5B64">
        <w:rPr>
          <w:color w:val="000000"/>
        </w:rPr>
        <w:lastRenderedPageBreak/>
        <w:t>obniżenie wynagrodzenia skarżącego o 50%. Podejmowane przez skarżącego próby zaskarżenia decyzji o zawieszeniu były nieskuteczne. Jego odwołanie do Rady Sądownictwa zostało odrzucone ze względu na</w:t>
      </w:r>
      <w:r w:rsidR="003A17FA">
        <w:rPr>
          <w:color w:val="000000"/>
        </w:rPr>
        <w:t> </w:t>
      </w:r>
      <w:r w:rsidRPr="003F5B64">
        <w:rPr>
          <w:color w:val="000000"/>
        </w:rPr>
        <w:t>fakt, że była to sprawa, którą winny rozpatrzyć sądy administracyjne. Sądy administracyjne orzekły, że decyzja o zawieszeniu skarżącego miała charakter wstępny, nie była równoznaczna z ustaleniem jego praw ze</w:t>
      </w:r>
      <w:r w:rsidR="003A17FA">
        <w:rPr>
          <w:color w:val="000000"/>
        </w:rPr>
        <w:t> </w:t>
      </w:r>
      <w:r w:rsidRPr="003F5B64">
        <w:rPr>
          <w:color w:val="000000"/>
        </w:rPr>
        <w:t>skutkiem ostatecznym i jako taka nie miała wpływu na jego podstawowe prawa i wolności. Skargi skarżącego do Trybunału Konstytucyjnego zostały uznane za niedopuszczalne.]</w:t>
      </w:r>
    </w:p>
    <w:p w14:paraId="23B3A801" w14:textId="77777777" w:rsidR="00493A6D" w:rsidRPr="003F5B64" w:rsidRDefault="00493A6D" w:rsidP="007F5740">
      <w:pPr>
        <w:pStyle w:val="ECHRTitle1"/>
        <w:spacing w:before="600"/>
        <w:rPr>
          <w:sz w:val="24"/>
          <w:szCs w:val="24"/>
        </w:rPr>
      </w:pPr>
      <w:r w:rsidRPr="003F5B64">
        <w:rPr>
          <w:sz w:val="24"/>
          <w:szCs w:val="24"/>
        </w:rPr>
        <w:t>PRAWO</w:t>
      </w:r>
    </w:p>
    <w:p w14:paraId="3E40F0C0" w14:textId="397E835F" w:rsidR="00493A6D" w:rsidRPr="003F5B64" w:rsidRDefault="00493A6D" w:rsidP="004739EF">
      <w:pPr>
        <w:pStyle w:val="ECHRHeading1"/>
      </w:pPr>
      <w:r w:rsidRPr="003F5B64">
        <w:t>I. ZARZUT NARUSZENIA ART</w:t>
      </w:r>
      <w:r w:rsidR="003C0E73" w:rsidRPr="003F5B64">
        <w:t>.</w:t>
      </w:r>
      <w:r w:rsidRPr="003F5B64">
        <w:t xml:space="preserve"> 6 KONWENCJI</w:t>
      </w:r>
    </w:p>
    <w:p w14:paraId="5C60CD0A" w14:textId="44847121" w:rsidR="00493A6D" w:rsidRPr="003F5B64" w:rsidRDefault="003C0E73" w:rsidP="004739EF">
      <w:pPr>
        <w:pStyle w:val="ECHRPara"/>
      </w:pPr>
      <w:r w:rsidRPr="003F5B64">
        <w:t>25</w:t>
      </w:r>
      <w:r w:rsidR="00493A6D" w:rsidRPr="003F5B64">
        <w:t>.</w:t>
      </w:r>
      <w:r w:rsidR="00637775" w:rsidRPr="003F5B64">
        <w:t xml:space="preserve"> </w:t>
      </w:r>
      <w:r w:rsidR="00493A6D" w:rsidRPr="003F5B64">
        <w:t>Skarżący podniósł, że odmówiono mu</w:t>
      </w:r>
      <w:r w:rsidR="00536412" w:rsidRPr="003F5B64">
        <w:t xml:space="preserve"> prawa</w:t>
      </w:r>
      <w:r w:rsidR="00493A6D" w:rsidRPr="003F5B64">
        <w:t xml:space="preserve"> do</w:t>
      </w:r>
      <w:r w:rsidR="00637775" w:rsidRPr="003F5B64">
        <w:t>stępu do</w:t>
      </w:r>
      <w:r w:rsidR="00493A6D" w:rsidRPr="003F5B64">
        <w:t xml:space="preserve"> sądu w</w:t>
      </w:r>
      <w:r w:rsidR="003A17FA">
        <w:t> </w:t>
      </w:r>
      <w:r w:rsidR="00493A6D" w:rsidRPr="003F5B64">
        <w:t>związku z decyzją o zawieszeniu go w pełnieniu obowiązków sędziego w</w:t>
      </w:r>
      <w:r w:rsidR="003A17FA">
        <w:t> </w:t>
      </w:r>
      <w:r w:rsidR="00493A6D" w:rsidRPr="003F5B64">
        <w:t>oczekiwaniu na wynik postępowania dyscyplinarnego prowadzonego przeciwko niemu. W tym względzie zarzucał naruszenie przysługujących mu praw z art. 6 ust. 1 Konwencji</w:t>
      </w:r>
      <w:r w:rsidR="00C54E5D">
        <w:t xml:space="preserve"> [o ochronie praw człowieka i podstawowych wolności]</w:t>
      </w:r>
      <w:r w:rsidR="00493A6D" w:rsidRPr="003F5B64">
        <w:t>, którego stosowny fragment brzmi następująco:</w:t>
      </w:r>
    </w:p>
    <w:p w14:paraId="08A6E9EE" w14:textId="69B76752" w:rsidR="00493A6D" w:rsidRPr="003F5B64" w:rsidRDefault="00493A6D" w:rsidP="004739EF">
      <w:pPr>
        <w:pStyle w:val="ECHRParaQuote"/>
      </w:pPr>
      <w:r w:rsidRPr="003F5B64">
        <w:t>„Każdy ma prawo do ... rozpatrzenia jego sprawy ... przez ... sąd ... przy rozstrzyganiu o jego prawach i obowiązkach o charakterze cywilnym ....”</w:t>
      </w:r>
      <w:r w:rsidR="00562BC5" w:rsidRPr="003F5B64">
        <w:t>.</w:t>
      </w:r>
      <w:r w:rsidRPr="003F5B64">
        <w:t xml:space="preserve"> </w:t>
      </w:r>
    </w:p>
    <w:p w14:paraId="0668F527" w14:textId="77777777" w:rsidR="00493A6D" w:rsidRPr="003F5B64" w:rsidRDefault="00493A6D" w:rsidP="004739EF">
      <w:pPr>
        <w:pStyle w:val="ECHRHeading2"/>
      </w:pPr>
      <w:r w:rsidRPr="003F5B64">
        <w:t>A.</w:t>
      </w:r>
      <w:r w:rsidR="00637775" w:rsidRPr="003F5B64">
        <w:t xml:space="preserve"> </w:t>
      </w:r>
      <w:r w:rsidRPr="003F5B64">
        <w:t>Dopuszczalność</w:t>
      </w:r>
    </w:p>
    <w:p w14:paraId="03919AA9" w14:textId="77777777" w:rsidR="00493A6D" w:rsidRPr="003F5B64" w:rsidRDefault="00493A6D" w:rsidP="004739EF">
      <w:pPr>
        <w:pStyle w:val="ECHRHeading3"/>
      </w:pPr>
      <w:r w:rsidRPr="003F5B64">
        <w:t>1.</w:t>
      </w:r>
      <w:r w:rsidR="00637775" w:rsidRPr="003F5B64">
        <w:t xml:space="preserve"> </w:t>
      </w:r>
      <w:r w:rsidRPr="003F5B64">
        <w:t>Argumenty Stron</w:t>
      </w:r>
    </w:p>
    <w:p w14:paraId="03E6EF6F" w14:textId="258AA03B" w:rsidR="00493A6D" w:rsidRPr="003F5B64" w:rsidRDefault="003C0E73" w:rsidP="004739EF">
      <w:pPr>
        <w:pStyle w:val="ECHRPara"/>
      </w:pPr>
      <w:r w:rsidRPr="003F5B64">
        <w:t>26</w:t>
      </w:r>
      <w:r w:rsidR="00493A6D" w:rsidRPr="003F5B64">
        <w:t>.</w:t>
      </w:r>
      <w:r w:rsidR="00637775" w:rsidRPr="003F5B64">
        <w:t xml:space="preserve"> </w:t>
      </w:r>
      <w:r w:rsidR="00493A6D" w:rsidRPr="003F5B64">
        <w:t>Rząd zakwestionował zgodność skargi</w:t>
      </w:r>
      <w:r w:rsidR="00493A6D" w:rsidRPr="003F5B64" w:rsidDel="002C5CEC">
        <w:rPr>
          <w:i/>
          <w:iCs/>
        </w:rPr>
        <w:t xml:space="preserve"> </w:t>
      </w:r>
      <w:r w:rsidR="00493A6D" w:rsidRPr="003F5B64">
        <w:rPr>
          <w:i/>
          <w:iCs/>
        </w:rPr>
        <w:t>ratione materiae</w:t>
      </w:r>
      <w:r w:rsidR="00493A6D" w:rsidRPr="003F5B64">
        <w:t xml:space="preserve"> z</w:t>
      </w:r>
      <w:r w:rsidR="003A17FA">
        <w:t> </w:t>
      </w:r>
      <w:r w:rsidR="00493A6D" w:rsidRPr="003F5B64">
        <w:t>postanowieniami Konwencji. W tym względzie powoływa</w:t>
      </w:r>
      <w:r w:rsidR="00562BC5" w:rsidRPr="003F5B64">
        <w:t>ł</w:t>
      </w:r>
      <w:r w:rsidR="00493A6D" w:rsidRPr="003F5B64">
        <w:t xml:space="preserve"> się na wnioski sądów krajowych w odniesieniu do skargi opartej o prawo administracyjne wniesione</w:t>
      </w:r>
      <w:r w:rsidR="00562BC5" w:rsidRPr="003F5B64">
        <w:t>j przez skarżącego i podkreślał</w:t>
      </w:r>
      <w:r w:rsidR="00493A6D" w:rsidRPr="003F5B64">
        <w:t>, że zaskarżony środek polegający na zawieszeniu skarżącego stanowił tymczasowy środek zabezpieczający dotyczący stosunków pomiędzy skarżącym a państwem. Nie stanowił on</w:t>
      </w:r>
      <w:r w:rsidR="003A17FA">
        <w:t> </w:t>
      </w:r>
      <w:r w:rsidR="00493A6D" w:rsidRPr="003F5B64">
        <w:t>decyzji co do istoty praw i obowiązków o charakterze cywilnym, nie był sankcją, i miał na celu zabezpieczenie integralności wykonywania władzy sądowej. Dodatkowo, Rząd podniósł, że skarżący nie wnioskował o</w:t>
      </w:r>
      <w:r w:rsidR="003A17FA">
        <w:t> </w:t>
      </w:r>
      <w:r w:rsidR="00493A6D" w:rsidRPr="003F5B64">
        <w:t>zniesienie zawieszenia na podstawie art. 22 ust. 5 ustawy i stwierdził, że</w:t>
      </w:r>
      <w:r w:rsidR="003A17FA">
        <w:t> </w:t>
      </w:r>
      <w:r w:rsidR="00493A6D" w:rsidRPr="003F5B64">
        <w:t>w przedmiotowej sprawie nie spełniono wymogów dopuszczalności zastosowania gwarancji z art. 6 ust. 1 Konwencji, zgodnie z orzecznictwem Trybunału.</w:t>
      </w:r>
    </w:p>
    <w:p w14:paraId="4D7C24FA" w14:textId="74E320FF" w:rsidR="00493A6D" w:rsidRPr="003F5B64" w:rsidRDefault="003C0E73" w:rsidP="004739EF">
      <w:pPr>
        <w:pStyle w:val="ECHRPara"/>
      </w:pPr>
      <w:r w:rsidRPr="003F5B64">
        <w:t>27</w:t>
      </w:r>
      <w:r w:rsidR="00493A6D" w:rsidRPr="003F5B64">
        <w:t>.</w:t>
      </w:r>
      <w:r w:rsidR="00637775" w:rsidRPr="003F5B64">
        <w:t xml:space="preserve"> </w:t>
      </w:r>
      <w:r w:rsidR="00493A6D" w:rsidRPr="003F5B64">
        <w:t>Skarżący nie zgodził się z powyższym stanowiskiem i podniósł, że</w:t>
      </w:r>
      <w:r w:rsidR="003A17FA">
        <w:t> </w:t>
      </w:r>
      <w:r w:rsidR="00493A6D" w:rsidRPr="003F5B64">
        <w:t xml:space="preserve">postępowanie dyscyplinarne leżące u podstaw zawieszenia nie było związane z żadnymi działaniami, które podjął lub zaniechaniami, </w:t>
      </w:r>
      <w:r w:rsidR="00493A6D" w:rsidRPr="003F5B64">
        <w:lastRenderedPageBreak/>
        <w:t>których</w:t>
      </w:r>
      <w:r w:rsidR="003A17FA">
        <w:t> </w:t>
      </w:r>
      <w:r w:rsidR="00493A6D" w:rsidRPr="003F5B64">
        <w:t>skarżący dopuścił się w ramach swojej działalności, lecz raczej zostało wszczęte z uwagi na korzystanie z niego z wolności słowa. Ponadto</w:t>
      </w:r>
      <w:r w:rsidR="003A17FA">
        <w:t> </w:t>
      </w:r>
      <w:r w:rsidR="00493A6D" w:rsidRPr="003F5B64">
        <w:t>skarżący podniósł, że przypisywane mu działania nie mogłyby skutkować karą złożenia z urzędu oraz że w konsekwencji zarzuty dyscyplinarne podniesione przeciwko skarżącemu nie mogły stanowić podstawy do zawieszenia. Skarżący podniósł również, że w trakcie okresu zawieszenia nie tylko wypłacono mu tylko część wynagrodzenia i</w:t>
      </w:r>
      <w:r w:rsidR="003A17FA">
        <w:t> </w:t>
      </w:r>
      <w:r w:rsidR="00493A6D" w:rsidRPr="003F5B64">
        <w:t>odmówiono mu prawa do wykonywania swojego mandatu sędziowskiego, ale jednocześnie nadal podlegał ograniczeniom, jakim podlegają sędziowie, takim jak brak możliwości prowadzenia działalności gospodarczej, angażowania się w działalność polityczną, lub wykonywania pracy zarobkowej. Podniósł również, że samo postępowanie dyscyplinarne było długotrwałe, co sprawiło, że skutki zawieszenia były jeszcze bardziej dotkliwe, oraz że wstrzymanie wypłaty części wynagrodzenia zostało anulowane dopiero w lipcu 2012 r</w:t>
      </w:r>
      <w:r w:rsidRPr="003F5B64">
        <w:t>.</w:t>
      </w:r>
      <w:r w:rsidR="00493A6D" w:rsidRPr="003F5B64">
        <w:t>, chociaż postępowanie dyscyplinarne zostało zakończone we wrześniu 2011 r.</w:t>
      </w:r>
    </w:p>
    <w:p w14:paraId="2EA378BE" w14:textId="6919665F" w:rsidR="00493A6D" w:rsidRPr="003F5B64" w:rsidRDefault="003C0E73" w:rsidP="004739EF">
      <w:pPr>
        <w:pStyle w:val="ECHRPara"/>
      </w:pPr>
      <w:r w:rsidRPr="003F5B64">
        <w:t>28</w:t>
      </w:r>
      <w:r w:rsidR="00493A6D" w:rsidRPr="003F5B64">
        <w:t>.</w:t>
      </w:r>
      <w:r w:rsidR="00637775" w:rsidRPr="003F5B64">
        <w:t xml:space="preserve"> </w:t>
      </w:r>
      <w:r w:rsidR="00493A6D" w:rsidRPr="003F5B64">
        <w:t>W kolejnej odpowiedzi Rząd stwierdził, że skargi skarżącego dotyczące postępowania dyscyplinarnego nie wchodzą w zakres przedmiotowej skargi i podniósł, że o ile można zrozumieć, że skarżący skarży się na fakt, iż zawieszoną część wynagrodzenia przywrócono mu</w:t>
      </w:r>
      <w:r w:rsidR="003A17FA">
        <w:t> </w:t>
      </w:r>
      <w:r w:rsidR="00493A6D" w:rsidRPr="003F5B64">
        <w:t>zbyt późno, mógł on dochodzić swoich praw na szczeblu krajowym, lecz na to się nie zdecydował.</w:t>
      </w:r>
    </w:p>
    <w:p w14:paraId="505BD668" w14:textId="77777777" w:rsidR="00493A6D" w:rsidRPr="003F5B64" w:rsidRDefault="00493A6D" w:rsidP="004739EF">
      <w:pPr>
        <w:pStyle w:val="ECHRHeading3"/>
      </w:pPr>
      <w:r w:rsidRPr="003F5B64">
        <w:t>2.</w:t>
      </w:r>
      <w:r w:rsidR="00637775" w:rsidRPr="003F5B64">
        <w:t xml:space="preserve"> </w:t>
      </w:r>
      <w:r w:rsidRPr="003F5B64">
        <w:t>Ocena Trybunału</w:t>
      </w:r>
    </w:p>
    <w:p w14:paraId="6E3D3543" w14:textId="5B73DFD6" w:rsidR="00493A6D" w:rsidRPr="003F5B64" w:rsidRDefault="003C0E73" w:rsidP="004739EF">
      <w:pPr>
        <w:pStyle w:val="ECHRPara"/>
      </w:pPr>
      <w:r w:rsidRPr="003F5B64">
        <w:t>29</w:t>
      </w:r>
      <w:r w:rsidR="00493A6D" w:rsidRPr="003F5B64">
        <w:t>.</w:t>
      </w:r>
      <w:r w:rsidR="00637775" w:rsidRPr="003F5B64">
        <w:t xml:space="preserve"> </w:t>
      </w:r>
      <w:r w:rsidR="00493A6D" w:rsidRPr="003F5B64">
        <w:t>Trybunał zauważa, że przeciwko skarżącemu w niniejszej sprawie, który jest sędzią, wniesiono zarzuty dyscyplinarne, a w trakcie prowadzonego przeciwko niemu postępowania dyscyplinarnego został zawieszony w pełnieniu swojej funkcji sędziowskiej.</w:t>
      </w:r>
    </w:p>
    <w:p w14:paraId="3D31313E" w14:textId="7079A76C" w:rsidR="00493A6D" w:rsidRPr="003F5B64" w:rsidRDefault="003C0E73" w:rsidP="004739EF">
      <w:pPr>
        <w:pStyle w:val="ECHRPara"/>
      </w:pPr>
      <w:r w:rsidRPr="003F5B64">
        <w:t>30</w:t>
      </w:r>
      <w:r w:rsidR="00493A6D" w:rsidRPr="003F5B64">
        <w:t>.</w:t>
      </w:r>
      <w:r w:rsidR="00637775" w:rsidRPr="003F5B64">
        <w:t xml:space="preserve"> </w:t>
      </w:r>
      <w:r w:rsidR="00493A6D" w:rsidRPr="003F5B64">
        <w:t>W odniesieniu do zakresu sprawy, Trybunał uważa za ist</w:t>
      </w:r>
      <w:r w:rsidR="008D4F5B" w:rsidRPr="003F5B64">
        <w:t>otne zwrócenie na wstępie uwagi</w:t>
      </w:r>
      <w:r w:rsidR="00493A6D" w:rsidRPr="003F5B64">
        <w:t xml:space="preserve">, że dotyczy ona tymczasowego zawieszenia skarżącego, a nie zakończenia jego mandatu (zob. </w:t>
      </w:r>
      <w:r w:rsidR="00704085" w:rsidRPr="003F5B64">
        <w:rPr>
          <w:i/>
          <w:iCs/>
        </w:rPr>
        <w:t xml:space="preserve">a contrario </w:t>
      </w:r>
      <w:r w:rsidR="00493A6D" w:rsidRPr="003F5B64">
        <w:t xml:space="preserve">np. </w:t>
      </w:r>
      <w:r w:rsidR="00493A6D" w:rsidRPr="003F5B64">
        <w:rPr>
          <w:i/>
          <w:iCs/>
        </w:rPr>
        <w:t>Baka</w:t>
      </w:r>
      <w:r w:rsidR="008D4F5B" w:rsidRPr="003F5B64">
        <w:rPr>
          <w:i/>
          <w:iCs/>
        </w:rPr>
        <w:t xml:space="preserve"> przeciwko </w:t>
      </w:r>
      <w:r w:rsidR="00493A6D" w:rsidRPr="003F5B64">
        <w:rPr>
          <w:i/>
          <w:iCs/>
        </w:rPr>
        <w:t>Węgr</w:t>
      </w:r>
      <w:r w:rsidR="008D4F5B" w:rsidRPr="003F5B64">
        <w:rPr>
          <w:i/>
          <w:iCs/>
        </w:rPr>
        <w:t>om</w:t>
      </w:r>
      <w:r w:rsidR="00493A6D" w:rsidRPr="003F5B64">
        <w:t xml:space="preserve"> [</w:t>
      </w:r>
      <w:r w:rsidR="00637775" w:rsidRPr="003F5B64">
        <w:t>WI</w:t>
      </w:r>
      <w:r w:rsidR="00493A6D" w:rsidRPr="003F5B64">
        <w:t>], nr 20261/12, § 88, ECHR 2016) lub też</w:t>
      </w:r>
      <w:r w:rsidR="00704085" w:rsidRPr="003F5B64">
        <w:t xml:space="preserve"> leżącego u jego podstaw</w:t>
      </w:r>
      <w:r w:rsidR="008D4F5B" w:rsidRPr="003F5B64">
        <w:t xml:space="preserve"> </w:t>
      </w:r>
      <w:r w:rsidR="00704085" w:rsidRPr="003F5B64">
        <w:t>postępowania</w:t>
      </w:r>
      <w:r w:rsidR="00493A6D" w:rsidRPr="003F5B64">
        <w:t xml:space="preserve"> w związku z zarzutami dyscyplinarnymi przeciwko niemu (zob. </w:t>
      </w:r>
      <w:r w:rsidR="00704085" w:rsidRPr="003F5B64">
        <w:rPr>
          <w:i/>
          <w:iCs/>
        </w:rPr>
        <w:t xml:space="preserve">a contrario </w:t>
      </w:r>
      <w:r w:rsidR="00493A6D" w:rsidRPr="003F5B64">
        <w:t xml:space="preserve">np. </w:t>
      </w:r>
      <w:proofErr w:type="spellStart"/>
      <w:r w:rsidR="00493A6D" w:rsidRPr="003F5B64">
        <w:rPr>
          <w:i/>
          <w:iCs/>
        </w:rPr>
        <w:t>Harabin</w:t>
      </w:r>
      <w:proofErr w:type="spellEnd"/>
      <w:r w:rsidR="008D4F5B" w:rsidRPr="003F5B64">
        <w:rPr>
          <w:i/>
          <w:iCs/>
        </w:rPr>
        <w:t xml:space="preserve"> przeciwko Słowacji</w:t>
      </w:r>
      <w:r w:rsidR="00493A6D" w:rsidRPr="003F5B64">
        <w:t>, nr</w:t>
      </w:r>
      <w:r w:rsidR="003A17FA">
        <w:t> </w:t>
      </w:r>
      <w:r w:rsidR="00493A6D" w:rsidRPr="003F5B64">
        <w:t>58688/11, § 113, 20 listopada 2012 r.). Dodatkowo, w związku z</w:t>
      </w:r>
      <w:r w:rsidR="003A17FA">
        <w:t> </w:t>
      </w:r>
      <w:r w:rsidR="00493A6D" w:rsidRPr="003F5B64">
        <w:t xml:space="preserve">zawieszeniem, skarga skarżącego ograniczona jest do konkretnej kwestii, a mianowicie prawa </w:t>
      </w:r>
      <w:r w:rsidR="00536412" w:rsidRPr="003F5B64">
        <w:t xml:space="preserve">dostępu </w:t>
      </w:r>
      <w:r w:rsidR="00493A6D" w:rsidRPr="003F5B64">
        <w:t>do sądu na mocy art. 6 ust. 1 Konwencji. Innymi słowy, nie dotyczy ona innych aspektów praw skarżącego z tego artykułu czy też innych jego praw i wolności, które są chronione pozostałymi postanowieniami Konwencji oraz jej Protokołów.</w:t>
      </w:r>
    </w:p>
    <w:p w14:paraId="233AF290" w14:textId="1927D97F" w:rsidR="00493A6D" w:rsidRPr="003F5B64" w:rsidRDefault="003C0E73" w:rsidP="004739EF">
      <w:pPr>
        <w:pStyle w:val="ECHRPara"/>
      </w:pPr>
      <w:r w:rsidRPr="003F5B64">
        <w:t>31</w:t>
      </w:r>
      <w:r w:rsidR="00493A6D" w:rsidRPr="003F5B64">
        <w:t>.</w:t>
      </w:r>
      <w:r w:rsidR="00637775" w:rsidRPr="003F5B64">
        <w:t xml:space="preserve"> </w:t>
      </w:r>
      <w:r w:rsidR="00493A6D" w:rsidRPr="003F5B64">
        <w:t xml:space="preserve">Rząd zakwestionował </w:t>
      </w:r>
      <w:r w:rsidR="008D4F5B" w:rsidRPr="003F5B64">
        <w:t>zastosowalność</w:t>
      </w:r>
      <w:r w:rsidR="00493A6D" w:rsidRPr="003F5B64">
        <w:t xml:space="preserve"> wspomnianej gwarancji w</w:t>
      </w:r>
      <w:r w:rsidR="003A17FA">
        <w:t> </w:t>
      </w:r>
      <w:r w:rsidR="00493A6D" w:rsidRPr="003F5B64">
        <w:t>związku ze skargą skarżącego.</w:t>
      </w:r>
    </w:p>
    <w:p w14:paraId="27784C64" w14:textId="30BBB2A4" w:rsidR="00493A6D" w:rsidRPr="003F5B64" w:rsidRDefault="003C0E73" w:rsidP="004739EF">
      <w:pPr>
        <w:pStyle w:val="ECHRPara"/>
      </w:pPr>
      <w:r w:rsidRPr="003F5B64">
        <w:t>32</w:t>
      </w:r>
      <w:r w:rsidR="00493A6D" w:rsidRPr="003F5B64">
        <w:t>.</w:t>
      </w:r>
      <w:r w:rsidR="00637775" w:rsidRPr="003F5B64">
        <w:t xml:space="preserve"> </w:t>
      </w:r>
      <w:r w:rsidR="00493A6D" w:rsidRPr="003F5B64">
        <w:t>W tym względzie Trybunał uznaje, że sprzeciw Rządu w</w:t>
      </w:r>
      <w:r w:rsidR="003A17FA">
        <w:t> </w:t>
      </w:r>
      <w:r w:rsidR="00493A6D" w:rsidRPr="003F5B64">
        <w:t xml:space="preserve">rzeczywistości podnosi powiązane kwestie </w:t>
      </w:r>
      <w:r w:rsidR="008D4F5B" w:rsidRPr="003F5B64">
        <w:t>zastosowalności</w:t>
      </w:r>
      <w:r w:rsidR="00493A6D" w:rsidRPr="003F5B64">
        <w:t xml:space="preserve"> gwarancji </w:t>
      </w:r>
      <w:r w:rsidR="00493A6D" w:rsidRPr="003F5B64">
        <w:lastRenderedPageBreak/>
        <w:t>z</w:t>
      </w:r>
      <w:r w:rsidR="003A17FA">
        <w:t> </w:t>
      </w:r>
      <w:r w:rsidR="00493A6D" w:rsidRPr="003F5B64">
        <w:t xml:space="preserve">art. 6, w tym </w:t>
      </w:r>
      <w:r w:rsidR="008D4F5B" w:rsidRPr="003F5B64">
        <w:t>dotyczących</w:t>
      </w:r>
      <w:r w:rsidR="00493A6D" w:rsidRPr="003F5B64">
        <w:t xml:space="preserve"> </w:t>
      </w:r>
      <w:r w:rsidR="00536412" w:rsidRPr="003F5B64">
        <w:t xml:space="preserve">dostępu </w:t>
      </w:r>
      <w:r w:rsidR="00493A6D" w:rsidRPr="003F5B64">
        <w:t xml:space="preserve">do sądu, do głównego postępowania </w:t>
      </w:r>
      <w:r w:rsidR="00745A7E">
        <w:t>w przedmiocie</w:t>
      </w:r>
      <w:r w:rsidR="00493A6D" w:rsidRPr="003F5B64">
        <w:t xml:space="preserve"> zarzutów dyscyplinarnych przeciwko skarżącemu oraz tymczasowego zawieszenia skarżącego.</w:t>
      </w:r>
    </w:p>
    <w:p w14:paraId="4D175625" w14:textId="6E55B307" w:rsidR="00493A6D" w:rsidRPr="003F5B64" w:rsidRDefault="003C0E73" w:rsidP="004739EF">
      <w:pPr>
        <w:pStyle w:val="ECHRPara"/>
      </w:pPr>
      <w:r w:rsidRPr="003F5B64">
        <w:t>33</w:t>
      </w:r>
      <w:r w:rsidR="00493A6D" w:rsidRPr="003F5B64">
        <w:t>.</w:t>
      </w:r>
      <w:r w:rsidR="00637775" w:rsidRPr="003F5B64">
        <w:t xml:space="preserve"> </w:t>
      </w:r>
      <w:r w:rsidR="00493A6D" w:rsidRPr="003F5B64">
        <w:t xml:space="preserve">W odniesieniu do postępowania głównego, kwestię </w:t>
      </w:r>
      <w:r w:rsidR="008D4F5B" w:rsidRPr="003F5B64">
        <w:t>zastosowalności</w:t>
      </w:r>
      <w:r w:rsidR="00493A6D" w:rsidRPr="003F5B64">
        <w:t xml:space="preserve"> należy ustalić kierując się kryteriami ogólnymi ustalonymi przez Trybunał w sprawie </w:t>
      </w:r>
      <w:proofErr w:type="spellStart"/>
      <w:r w:rsidR="00493A6D" w:rsidRPr="003F5B64">
        <w:rPr>
          <w:i/>
          <w:iCs/>
        </w:rPr>
        <w:t>Vilho</w:t>
      </w:r>
      <w:proofErr w:type="spellEnd"/>
      <w:r w:rsidR="00493A6D" w:rsidRPr="003F5B64">
        <w:rPr>
          <w:i/>
          <w:iCs/>
        </w:rPr>
        <w:t xml:space="preserve"> </w:t>
      </w:r>
      <w:proofErr w:type="spellStart"/>
      <w:r w:rsidR="00493A6D" w:rsidRPr="003F5B64">
        <w:rPr>
          <w:i/>
          <w:iCs/>
        </w:rPr>
        <w:t>Eskelinen</w:t>
      </w:r>
      <w:proofErr w:type="spellEnd"/>
      <w:r w:rsidR="00493A6D" w:rsidRPr="003F5B64">
        <w:rPr>
          <w:i/>
          <w:iCs/>
        </w:rPr>
        <w:t xml:space="preserve"> i </w:t>
      </w:r>
      <w:r w:rsidR="00B21DD6" w:rsidRPr="003F5B64">
        <w:rPr>
          <w:i/>
          <w:iCs/>
        </w:rPr>
        <w:t xml:space="preserve">Inni </w:t>
      </w:r>
      <w:r w:rsidR="008D4F5B" w:rsidRPr="003F5B64">
        <w:rPr>
          <w:i/>
          <w:iCs/>
        </w:rPr>
        <w:t xml:space="preserve">przeciwko </w:t>
      </w:r>
      <w:r w:rsidR="00493A6D" w:rsidRPr="003F5B64">
        <w:rPr>
          <w:i/>
          <w:iCs/>
        </w:rPr>
        <w:t>Finlandii</w:t>
      </w:r>
      <w:r w:rsidR="00493A6D" w:rsidRPr="003F5B64">
        <w:t xml:space="preserve"> ([WI], nr 63235/00, §</w:t>
      </w:r>
      <w:r w:rsidR="003A17FA">
        <w:t> </w:t>
      </w:r>
      <w:r w:rsidR="00493A6D" w:rsidRPr="003F5B64">
        <w:t xml:space="preserve">62, ECHR 2007-II), stosowanymi w sprawach dotyczących konkretnie sędziów (zob. podsumowanie </w:t>
      </w:r>
      <w:r w:rsidR="004C072F" w:rsidRPr="003F5B64">
        <w:t xml:space="preserve">zawarte </w:t>
      </w:r>
      <w:r w:rsidR="00493A6D" w:rsidRPr="003F5B64">
        <w:t xml:space="preserve">w sprawie </w:t>
      </w:r>
      <w:r w:rsidR="00493A6D" w:rsidRPr="003F5B64">
        <w:rPr>
          <w:i/>
          <w:iCs/>
        </w:rPr>
        <w:t>Baka</w:t>
      </w:r>
      <w:r w:rsidR="00493A6D" w:rsidRPr="003F5B64">
        <w:t xml:space="preserve"> [WI], cyt. powyżej, §§ 105-106). Stwierdzając, że zawieszenie skarżącego było środkiem tymczasowym zastosowanym w kontekście postępowania w sprawie zasadności zarzutów przeciwko niemu, Trybunał uzna</w:t>
      </w:r>
      <w:r w:rsidR="004C072F" w:rsidRPr="003F5B64">
        <w:t>je</w:t>
      </w:r>
      <w:r w:rsidR="00493A6D" w:rsidRPr="003F5B64">
        <w:t>, że zastosowanie wspomnianych gwarancji do zawieszenia należy rozpatrywać również w</w:t>
      </w:r>
      <w:r w:rsidR="003A17FA">
        <w:t> </w:t>
      </w:r>
      <w:r w:rsidR="00493A6D" w:rsidRPr="003F5B64">
        <w:t xml:space="preserve">świetle kryteriów ustalonych przez Trybunał w sprawie </w:t>
      </w:r>
      <w:proofErr w:type="spellStart"/>
      <w:r w:rsidR="00493A6D" w:rsidRPr="003F5B64">
        <w:rPr>
          <w:i/>
          <w:iCs/>
        </w:rPr>
        <w:t>Micallef</w:t>
      </w:r>
      <w:proofErr w:type="spellEnd"/>
      <w:r w:rsidR="008D4F5B" w:rsidRPr="003F5B64">
        <w:rPr>
          <w:i/>
          <w:iCs/>
        </w:rPr>
        <w:t xml:space="preserve"> przeciwko </w:t>
      </w:r>
      <w:r w:rsidR="00493A6D" w:rsidRPr="003F5B64">
        <w:rPr>
          <w:i/>
          <w:iCs/>
        </w:rPr>
        <w:t>Mal</w:t>
      </w:r>
      <w:r w:rsidR="008D4F5B" w:rsidRPr="003F5B64">
        <w:rPr>
          <w:i/>
          <w:iCs/>
        </w:rPr>
        <w:t>cie</w:t>
      </w:r>
      <w:r w:rsidR="00493A6D" w:rsidRPr="003F5B64">
        <w:t xml:space="preserve"> ([WI], nr 17056/06, § 87, ECHR 2009). Ponadto, jeśli</w:t>
      </w:r>
      <w:r w:rsidR="003A17FA">
        <w:t> </w:t>
      </w:r>
      <w:r w:rsidR="00493A6D" w:rsidRPr="003F5B64">
        <w:t>chodzi o</w:t>
      </w:r>
      <w:r w:rsidR="004C072F" w:rsidRPr="003F5B64">
        <w:t xml:space="preserve"> zastosowalność</w:t>
      </w:r>
      <w:r w:rsidR="00493A6D" w:rsidRPr="003F5B64">
        <w:t xml:space="preserve">, Trybunał podkreśla, że </w:t>
      </w:r>
      <w:r w:rsidR="00493A6D" w:rsidRPr="003F5B64">
        <w:rPr>
          <w:i/>
          <w:iCs/>
        </w:rPr>
        <w:t xml:space="preserve">kryteria </w:t>
      </w:r>
      <w:proofErr w:type="spellStart"/>
      <w:r w:rsidR="00493A6D" w:rsidRPr="003F5B64">
        <w:rPr>
          <w:i/>
          <w:iCs/>
        </w:rPr>
        <w:t>Eskelinen</w:t>
      </w:r>
      <w:proofErr w:type="spellEnd"/>
      <w:r w:rsidR="00493A6D" w:rsidRPr="003F5B64">
        <w:t xml:space="preserve"> odnoszą się do spraw dotyczących prawa </w:t>
      </w:r>
      <w:r w:rsidR="004C072F" w:rsidRPr="003F5B64">
        <w:t xml:space="preserve">dostępu </w:t>
      </w:r>
      <w:r w:rsidR="00493A6D" w:rsidRPr="003F5B64">
        <w:t>do sądu, tak samo jak do</w:t>
      </w:r>
      <w:r w:rsidR="003A17FA">
        <w:t> </w:t>
      </w:r>
      <w:r w:rsidR="00493A6D" w:rsidRPr="003F5B64">
        <w:t xml:space="preserve">spraw dotyczących innych gwarancji ujętych w przedmiotowym przepisie (zob. </w:t>
      </w:r>
      <w:r w:rsidR="00493A6D" w:rsidRPr="003F5B64">
        <w:rPr>
          <w:i/>
          <w:iCs/>
        </w:rPr>
        <w:t>Baka</w:t>
      </w:r>
      <w:r w:rsidR="00493A6D" w:rsidRPr="003F5B64">
        <w:t xml:space="preserve"> [WI], cyt. powyżej, § 106).</w:t>
      </w:r>
    </w:p>
    <w:p w14:paraId="13509DAA" w14:textId="63116F93" w:rsidR="00493A6D" w:rsidRPr="003F5B64" w:rsidRDefault="003C0E73" w:rsidP="004739EF">
      <w:pPr>
        <w:pStyle w:val="ECHRPara"/>
      </w:pPr>
      <w:r w:rsidRPr="003F5B64">
        <w:t>34</w:t>
      </w:r>
      <w:r w:rsidR="00493A6D" w:rsidRPr="003F5B64">
        <w:t>.</w:t>
      </w:r>
      <w:r w:rsidR="00637775" w:rsidRPr="003F5B64">
        <w:t xml:space="preserve"> </w:t>
      </w:r>
      <w:r w:rsidR="00493A6D" w:rsidRPr="003F5B64">
        <w:t xml:space="preserve">W tym zakresie Trybunał jest gotowy przyjąć, że gwarancje z art. 6 ust. 1 miały zastosowanie do postępowania głównego w sprawie zarzutów dyscyplinarnych przeciwko skarżącemu (zob. zwł. </w:t>
      </w:r>
      <w:proofErr w:type="spellStart"/>
      <w:r w:rsidR="00493A6D" w:rsidRPr="003F5B64">
        <w:rPr>
          <w:i/>
          <w:iCs/>
        </w:rPr>
        <w:t>Harabin</w:t>
      </w:r>
      <w:proofErr w:type="spellEnd"/>
      <w:r w:rsidR="00493A6D" w:rsidRPr="003F5B64">
        <w:t xml:space="preserve">, odwołanie powyżej, §123) oraz że zawieszenie skarżącego stanowiło </w:t>
      </w:r>
      <w:r w:rsidR="004C072F" w:rsidRPr="003F5B64">
        <w:t>rozstrzyganie o</w:t>
      </w:r>
      <w:r w:rsidR="003A17FA">
        <w:t> </w:t>
      </w:r>
      <w:r w:rsidR="00493A6D" w:rsidRPr="003F5B64">
        <w:t>tych samych praw</w:t>
      </w:r>
      <w:r w:rsidR="004C072F" w:rsidRPr="003F5B64">
        <w:t>ach i obowiązkach</w:t>
      </w:r>
      <w:r w:rsidR="00493A6D" w:rsidRPr="003F5B64">
        <w:t xml:space="preserve"> o charakterze cywilnym w</w:t>
      </w:r>
      <w:r w:rsidR="003A17FA">
        <w:t> </w:t>
      </w:r>
      <w:r w:rsidR="00493A6D" w:rsidRPr="003F5B64">
        <w:t xml:space="preserve">rozumieniu orzecznictwa Trybunału. Gwarancja </w:t>
      </w:r>
      <w:r w:rsidR="00536412" w:rsidRPr="003F5B64">
        <w:t xml:space="preserve">dostępu </w:t>
      </w:r>
      <w:r w:rsidR="00493A6D" w:rsidRPr="003F5B64">
        <w:t>do sądu ma zatem zastosowanie do samego zawieszenia. Sprzeciw Rządu należy zatem oddalić.</w:t>
      </w:r>
    </w:p>
    <w:p w14:paraId="16BD3C88" w14:textId="7E3C7A5F" w:rsidR="00493A6D" w:rsidRPr="003F5B64" w:rsidRDefault="003C0E73" w:rsidP="004739EF">
      <w:pPr>
        <w:pStyle w:val="ECHRPara"/>
      </w:pPr>
      <w:r w:rsidRPr="003F5B64">
        <w:t>35</w:t>
      </w:r>
      <w:r w:rsidR="00493A6D" w:rsidRPr="003F5B64">
        <w:t>.</w:t>
      </w:r>
      <w:r w:rsidR="00637775" w:rsidRPr="003F5B64">
        <w:t xml:space="preserve"> </w:t>
      </w:r>
      <w:r w:rsidR="00493A6D" w:rsidRPr="003F5B64">
        <w:t>Trybunał stwierdza, że skarga nie jest</w:t>
      </w:r>
      <w:r w:rsidR="00637775" w:rsidRPr="003F5B64">
        <w:t xml:space="preserve"> w sposób oczywisty nieuzasadniona</w:t>
      </w:r>
      <w:r w:rsidR="00493A6D" w:rsidRPr="003F5B64">
        <w:t xml:space="preserve"> w rozumie</w:t>
      </w:r>
      <w:r w:rsidRPr="003F5B64">
        <w:t>niu art. 3</w:t>
      </w:r>
      <w:r w:rsidR="00637775" w:rsidRPr="003F5B64">
        <w:t>5</w:t>
      </w:r>
      <w:r w:rsidRPr="003F5B64">
        <w:t xml:space="preserve"> ust. 3 lit. a</w:t>
      </w:r>
      <w:r w:rsidR="00493A6D" w:rsidRPr="003F5B64">
        <w:t xml:space="preserve"> Konwencji. Dalej zauważa, iż nie jest ona niedopuszczalna z jakichkolwiek innych przyczyn. Musi</w:t>
      </w:r>
      <w:r w:rsidR="003A17FA">
        <w:t> </w:t>
      </w:r>
      <w:r w:rsidR="00493A6D" w:rsidRPr="003F5B64">
        <w:t>zatem być uznana za dopuszczalną.</w:t>
      </w:r>
    </w:p>
    <w:p w14:paraId="74C7E29A" w14:textId="712F99F3" w:rsidR="00493A6D" w:rsidRPr="003F5B64" w:rsidRDefault="00493A6D" w:rsidP="004739EF">
      <w:pPr>
        <w:pStyle w:val="ECHRHeading2"/>
      </w:pPr>
      <w:r w:rsidRPr="003F5B64">
        <w:t xml:space="preserve">B. </w:t>
      </w:r>
      <w:r w:rsidR="004C072F" w:rsidRPr="003F5B64">
        <w:t xml:space="preserve">Przedmiot </w:t>
      </w:r>
      <w:r w:rsidRPr="003F5B64">
        <w:t>sprawy</w:t>
      </w:r>
    </w:p>
    <w:p w14:paraId="334D2CCD" w14:textId="7B56A119" w:rsidR="00493A6D" w:rsidRPr="003F5B64" w:rsidRDefault="003C0E73" w:rsidP="004739EF">
      <w:pPr>
        <w:pStyle w:val="ECHRPara"/>
      </w:pPr>
      <w:r w:rsidRPr="003F5B64">
        <w:t>36</w:t>
      </w:r>
      <w:r w:rsidR="00493A6D" w:rsidRPr="003F5B64">
        <w:t>.</w:t>
      </w:r>
      <w:r w:rsidR="00637775" w:rsidRPr="003F5B64">
        <w:t xml:space="preserve"> </w:t>
      </w:r>
      <w:r w:rsidR="00493A6D" w:rsidRPr="003F5B64">
        <w:t>Strony nie zgłosiły żadnych innych twierdzeń poza tymi, które</w:t>
      </w:r>
      <w:r w:rsidR="003A17FA">
        <w:t> </w:t>
      </w:r>
      <w:r w:rsidR="00493A6D" w:rsidRPr="003F5B64">
        <w:t>podsumowano powyżej.</w:t>
      </w:r>
    </w:p>
    <w:p w14:paraId="32BC7BE1" w14:textId="006BD3F7" w:rsidR="00493A6D" w:rsidRPr="003F5B64" w:rsidRDefault="003C0E73" w:rsidP="004739EF">
      <w:pPr>
        <w:pStyle w:val="ECHRPara"/>
      </w:pPr>
      <w:r w:rsidRPr="003F5B64">
        <w:t>37</w:t>
      </w:r>
      <w:r w:rsidR="00493A6D" w:rsidRPr="003F5B64">
        <w:t>.</w:t>
      </w:r>
      <w:r w:rsidR="00637775" w:rsidRPr="003F5B64">
        <w:t xml:space="preserve"> </w:t>
      </w:r>
      <w:r w:rsidR="00493A6D" w:rsidRPr="003F5B64">
        <w:t>Trybunał zauważa, że skarżący zmierzał do zaskarżenia zawieszenia w drodze (i) instrumentu, który nazwał odwołaniem do Rady Sądownictwa, (ii) skargi opartej na prawie administracyjnym, oraz (iii) dwóch skarg konstytucyjnych.</w:t>
      </w:r>
      <w:r w:rsidR="00637775" w:rsidRPr="003F5B64">
        <w:t xml:space="preserve"> </w:t>
      </w:r>
      <w:r w:rsidR="00493A6D" w:rsidRPr="003F5B64">
        <w:t>Jak stwierdziły Rada Sądownictwa i sądy administracyjne, odwołanie takie</w:t>
      </w:r>
      <w:r w:rsidR="00B3368C">
        <w:t xml:space="preserve"> nie było możliwe i przedmiotowa sprawa była wyłączona</w:t>
      </w:r>
      <w:r w:rsidR="00493A6D" w:rsidRPr="003F5B64">
        <w:t xml:space="preserve"> z</w:t>
      </w:r>
      <w:r w:rsidR="003A17FA">
        <w:t> </w:t>
      </w:r>
      <w:r w:rsidR="00493A6D" w:rsidRPr="003F5B64">
        <w:t xml:space="preserve">badania przez sąd, w </w:t>
      </w:r>
      <w:r w:rsidR="004C072F" w:rsidRPr="003F5B64">
        <w:t xml:space="preserve">odniesieniu do czego </w:t>
      </w:r>
      <w:r w:rsidR="00493A6D" w:rsidRPr="003F5B64">
        <w:t>Trybunał Konstytucyjny nie</w:t>
      </w:r>
      <w:r w:rsidR="003A17FA">
        <w:t> </w:t>
      </w:r>
      <w:r w:rsidR="00493A6D" w:rsidRPr="003F5B64">
        <w:t>zapewnił skarżącemu żadnego środka odwoławczego.</w:t>
      </w:r>
    </w:p>
    <w:p w14:paraId="03E9448D" w14:textId="17A8AB5D" w:rsidR="00493A6D" w:rsidRPr="003F5B64" w:rsidRDefault="003C0E73" w:rsidP="004739EF">
      <w:pPr>
        <w:pStyle w:val="ECHRPara"/>
      </w:pPr>
      <w:r w:rsidRPr="003F5B64">
        <w:t>38</w:t>
      </w:r>
      <w:r w:rsidR="00493A6D" w:rsidRPr="003F5B64">
        <w:t>.</w:t>
      </w:r>
      <w:r w:rsidR="00637775" w:rsidRPr="003F5B64">
        <w:t xml:space="preserve"> </w:t>
      </w:r>
      <w:r w:rsidR="00493A6D" w:rsidRPr="003F5B64">
        <w:t xml:space="preserve">W zakresie, w jakim Rząd zasugerował, że skarżący mógł – lecz tego nie uczynił – ubiegać się o zniesienie zawieszenia przez Radę Sądownictwa </w:t>
      </w:r>
      <w:r w:rsidR="00493A6D" w:rsidRPr="003F5B64">
        <w:lastRenderedPageBreak/>
        <w:t>zgodnie z art. 22 ust. 5 ustawy, Trybunał zwraca uwagę, że skład tego organu jest w połowie wybierany bezpośrednio przez władzę ustawodawczą i wykonawczą (</w:t>
      </w:r>
      <w:r w:rsidRPr="003F5B64">
        <w:t>zob.</w:t>
      </w:r>
      <w:r w:rsidR="00493A6D" w:rsidRPr="003F5B64">
        <w:t xml:space="preserve"> paragraf 7 powyżej). Dalej zauważa, że Rząd nie podniósł i w inny sposób nie ustalono</w:t>
      </w:r>
      <w:r w:rsidR="004C072F" w:rsidRPr="003F5B64">
        <w:t>,</w:t>
      </w:r>
      <w:r w:rsidR="00493A6D" w:rsidRPr="003F5B64">
        <w:t xml:space="preserve"> by postępowanie przed przedmiotowym organem miało charakter sądowy</w:t>
      </w:r>
      <w:r w:rsidR="004C072F" w:rsidRPr="003F5B64">
        <w:t xml:space="preserve"> lub by</w:t>
      </w:r>
      <w:r w:rsidR="00493A6D" w:rsidRPr="003F5B64">
        <w:t xml:space="preserve"> skarżący miał dostęp do jakiejkolwiek inne</w:t>
      </w:r>
      <w:r w:rsidR="004C072F" w:rsidRPr="003F5B64">
        <w:t>j procedury o takim charakterze w celu dochodzenia swych</w:t>
      </w:r>
      <w:r w:rsidR="00493A6D" w:rsidRPr="003F5B64">
        <w:t xml:space="preserve"> praw i obowiązków o charakterze cywilnym w związku z zawieszeniem.</w:t>
      </w:r>
    </w:p>
    <w:p w14:paraId="26F79896" w14:textId="192184CE" w:rsidR="00493A6D" w:rsidRPr="003F5B64" w:rsidRDefault="003C0E73" w:rsidP="004739EF">
      <w:pPr>
        <w:pStyle w:val="ECHRPara"/>
      </w:pPr>
      <w:r w:rsidRPr="003F5B64">
        <w:t>39</w:t>
      </w:r>
      <w:r w:rsidR="00493A6D" w:rsidRPr="003F5B64">
        <w:t>.</w:t>
      </w:r>
      <w:r w:rsidR="00637775" w:rsidRPr="003F5B64">
        <w:t xml:space="preserve"> </w:t>
      </w:r>
      <w:r w:rsidR="00493A6D" w:rsidRPr="003F5B64">
        <w:t>W przedmiotowych okolicznościach Trybunał uznaje, że skarżący nie mógł skutecznie korzystać z ochrony sądowej w związku z</w:t>
      </w:r>
      <w:r w:rsidR="003A17FA">
        <w:t> </w:t>
      </w:r>
      <w:r w:rsidR="00493A6D" w:rsidRPr="003F5B64">
        <w:t>zawieszeniem.</w:t>
      </w:r>
    </w:p>
    <w:p w14:paraId="03A57149" w14:textId="521D9CE6" w:rsidR="00493A6D" w:rsidRPr="003F5B64" w:rsidRDefault="003C0E73" w:rsidP="004739EF">
      <w:pPr>
        <w:pStyle w:val="ECHRPara"/>
      </w:pPr>
      <w:r w:rsidRPr="003F5B64">
        <w:t>40</w:t>
      </w:r>
      <w:r w:rsidR="00493A6D" w:rsidRPr="003F5B64">
        <w:t>.</w:t>
      </w:r>
      <w:r w:rsidR="00637775" w:rsidRPr="003F5B64">
        <w:t xml:space="preserve"> </w:t>
      </w:r>
      <w:r w:rsidR="00493A6D" w:rsidRPr="003F5B64">
        <w:t xml:space="preserve">Jako że </w:t>
      </w:r>
      <w:r w:rsidR="004C072F" w:rsidRPr="003F5B64">
        <w:t>gwarancja</w:t>
      </w:r>
      <w:r w:rsidR="00493A6D" w:rsidRPr="003F5B64">
        <w:t xml:space="preserve"> </w:t>
      </w:r>
      <w:r w:rsidR="00536412" w:rsidRPr="003F5B64">
        <w:t>dostępu</w:t>
      </w:r>
      <w:r w:rsidR="00493A6D" w:rsidRPr="003F5B64">
        <w:t xml:space="preserve"> do sądu w odniesieniu do zawieszenia skarżącego </w:t>
      </w:r>
      <w:r w:rsidR="004C072F" w:rsidRPr="003F5B64">
        <w:t xml:space="preserve">miała zastosowanie </w:t>
      </w:r>
      <w:r w:rsidR="00493A6D" w:rsidRPr="003F5B64">
        <w:t xml:space="preserve">i jako że nie </w:t>
      </w:r>
      <w:r w:rsidR="004C072F" w:rsidRPr="003F5B64">
        <w:t xml:space="preserve">miał takiego </w:t>
      </w:r>
      <w:r w:rsidR="00536412" w:rsidRPr="003F5B64">
        <w:t xml:space="preserve">dostępu </w:t>
      </w:r>
      <w:r w:rsidR="00493A6D" w:rsidRPr="003F5B64">
        <w:t xml:space="preserve">do sądu, należy ustalić, czy taki stan rzeczy stanowił naruszenie praw skarżącego </w:t>
      </w:r>
      <w:r w:rsidR="004C072F" w:rsidRPr="003F5B64">
        <w:t>na</w:t>
      </w:r>
      <w:r w:rsidR="003A17FA">
        <w:t> </w:t>
      </w:r>
      <w:r w:rsidR="004C072F" w:rsidRPr="003F5B64">
        <w:t>podstawie</w:t>
      </w:r>
      <w:r w:rsidR="00493A6D" w:rsidRPr="003F5B64">
        <w:t xml:space="preserve"> art. 6 ust. 1 Konwencji.</w:t>
      </w:r>
    </w:p>
    <w:p w14:paraId="7CF7B93C" w14:textId="0AB86A36" w:rsidR="00493A6D" w:rsidRPr="003F5B64" w:rsidRDefault="003C0E73" w:rsidP="004739EF">
      <w:pPr>
        <w:pStyle w:val="ECHRPara"/>
      </w:pPr>
      <w:r w:rsidRPr="003F5B64">
        <w:t>41</w:t>
      </w:r>
      <w:r w:rsidR="00493A6D" w:rsidRPr="003F5B64">
        <w:t>.</w:t>
      </w:r>
      <w:r w:rsidR="00637775" w:rsidRPr="003F5B64">
        <w:t xml:space="preserve"> </w:t>
      </w:r>
      <w:r w:rsidR="00493A6D" w:rsidRPr="003F5B64">
        <w:t>W tym względzie Trybunał przypom</w:t>
      </w:r>
      <w:r w:rsidR="004C072F" w:rsidRPr="003F5B64">
        <w:t>ina</w:t>
      </w:r>
      <w:r w:rsidR="00493A6D" w:rsidRPr="003F5B64">
        <w:t xml:space="preserve">, że prawo </w:t>
      </w:r>
      <w:r w:rsidR="00536412" w:rsidRPr="003F5B64">
        <w:t xml:space="preserve">dostępu </w:t>
      </w:r>
      <w:r w:rsidR="00493A6D" w:rsidRPr="003F5B64">
        <w:t xml:space="preserve">do sądu nie jest bezwzględne. Jeżeli prawo osoby fizycznej </w:t>
      </w:r>
      <w:r w:rsidR="00536412" w:rsidRPr="003F5B64">
        <w:t xml:space="preserve">dostępu </w:t>
      </w:r>
      <w:r w:rsidR="00493A6D" w:rsidRPr="003F5B64">
        <w:t>do sądu jest ograniczone czy to z mocy prawa</w:t>
      </w:r>
      <w:r w:rsidR="00704085" w:rsidRPr="003F5B64">
        <w:t>,</w:t>
      </w:r>
      <w:r w:rsidR="00493A6D" w:rsidRPr="003F5B64">
        <w:t xml:space="preserve"> czy to w rzeczywistości, Trybunał zbada, czy nałożone ograniczenie naruszył</w:t>
      </w:r>
      <w:r w:rsidR="004C072F" w:rsidRPr="003F5B64">
        <w:t>o</w:t>
      </w:r>
      <w:r w:rsidR="00493A6D" w:rsidRPr="003F5B64">
        <w:t xml:space="preserve"> istotę tego prawa i w szczególności</w:t>
      </w:r>
      <w:r w:rsidR="004C072F" w:rsidRPr="003F5B64">
        <w:t>,</w:t>
      </w:r>
      <w:r w:rsidR="00493A6D" w:rsidRPr="003F5B64">
        <w:t xml:space="preserve"> czy realizowało ono </w:t>
      </w:r>
      <w:r w:rsidR="004C072F" w:rsidRPr="003F5B64">
        <w:t xml:space="preserve">uprawniony </w:t>
      </w:r>
      <w:r w:rsidR="00493A6D" w:rsidRPr="003F5B64">
        <w:t xml:space="preserve">cel i czy istniała uzasadniona proporcjonalność pomiędzy zastosowanym środkiem a celem, jaki miał być osiągnięty. Jeżeli ograniczenie jest zgodne z tymi zasadami, nie </w:t>
      </w:r>
      <w:r w:rsidR="00474305" w:rsidRPr="003F5B64">
        <w:t>dojdzie do</w:t>
      </w:r>
      <w:r w:rsidR="003A17FA">
        <w:t> </w:t>
      </w:r>
      <w:r w:rsidR="00474305" w:rsidRPr="003F5B64">
        <w:t>naruszenia</w:t>
      </w:r>
      <w:r w:rsidR="00493A6D" w:rsidRPr="003F5B64">
        <w:t xml:space="preserve"> art. 6 (zob. np. </w:t>
      </w:r>
      <w:r w:rsidR="00493A6D" w:rsidRPr="003F5B64">
        <w:rPr>
          <w:i/>
          <w:iCs/>
        </w:rPr>
        <w:t xml:space="preserve">Z i </w:t>
      </w:r>
      <w:r w:rsidR="00B21DD6" w:rsidRPr="003F5B64">
        <w:rPr>
          <w:i/>
          <w:iCs/>
        </w:rPr>
        <w:t xml:space="preserve">Inni </w:t>
      </w:r>
      <w:r w:rsidR="008D4F5B" w:rsidRPr="003F5B64">
        <w:rPr>
          <w:i/>
          <w:iCs/>
        </w:rPr>
        <w:t xml:space="preserve">przeciwko </w:t>
      </w:r>
      <w:r w:rsidR="00493A6D" w:rsidRPr="003F5B64">
        <w:rPr>
          <w:i/>
          <w:iCs/>
        </w:rPr>
        <w:t>Zjednoczone</w:t>
      </w:r>
      <w:r w:rsidR="00474305" w:rsidRPr="003F5B64">
        <w:rPr>
          <w:i/>
          <w:iCs/>
        </w:rPr>
        <w:t>mu Królestwu</w:t>
      </w:r>
      <w:r w:rsidR="00493A6D" w:rsidRPr="003F5B64">
        <w:t xml:space="preserve"> [WI], nr 29392/95, § 92, ECHR 2001-V, wraz z dalszymi odwołaniami, oraz niedawna sprawa, </w:t>
      </w:r>
      <w:r w:rsidR="00493A6D" w:rsidRPr="003F5B64">
        <w:rPr>
          <w:i/>
          <w:iCs/>
        </w:rPr>
        <w:t>Baka</w:t>
      </w:r>
      <w:r w:rsidR="00637775" w:rsidRPr="003F5B64">
        <w:rPr>
          <w:i/>
          <w:iCs/>
        </w:rPr>
        <w:t xml:space="preserve"> </w:t>
      </w:r>
      <w:r w:rsidR="00493A6D" w:rsidRPr="003F5B64">
        <w:t xml:space="preserve">[WI], </w:t>
      </w:r>
      <w:r w:rsidR="00474305" w:rsidRPr="003F5B64">
        <w:t xml:space="preserve">cyt. </w:t>
      </w:r>
      <w:r w:rsidR="00493A6D" w:rsidRPr="003F5B64">
        <w:t>powyżej, § 120).</w:t>
      </w:r>
    </w:p>
    <w:p w14:paraId="468A2A15" w14:textId="0A0A6B8E" w:rsidR="00493A6D" w:rsidRPr="003F5B64" w:rsidRDefault="003C0E73" w:rsidP="004739EF">
      <w:pPr>
        <w:pStyle w:val="ECHRPara"/>
      </w:pPr>
      <w:r w:rsidRPr="003F5B64">
        <w:t>42</w:t>
      </w:r>
      <w:r w:rsidR="00493A6D" w:rsidRPr="003F5B64">
        <w:t>.</w:t>
      </w:r>
      <w:r w:rsidR="00637775" w:rsidRPr="003F5B64">
        <w:t xml:space="preserve"> </w:t>
      </w:r>
      <w:r w:rsidR="00493A6D" w:rsidRPr="003F5B64">
        <w:t>Nawiązując do stanu faktycznego przedmiotowej sprawy</w:t>
      </w:r>
      <w:r w:rsidR="00474305" w:rsidRPr="003F5B64">
        <w:t>,</w:t>
      </w:r>
      <w:r w:rsidR="00493A6D" w:rsidRPr="003F5B64">
        <w:t xml:space="preserve"> Trybunał odnotowuje przede wszystkim, że sądy administracyjne na dwóch szczeblach jednomyślnie stwierdziły (a ich wnioski zostały ostatecznie zatwierdzone przez Trybunał Konstytucyj</w:t>
      </w:r>
      <w:r w:rsidRPr="003F5B64">
        <w:t>ny), że na mocy art. 248 lit. a</w:t>
      </w:r>
      <w:r w:rsidR="00493A6D" w:rsidRPr="003F5B64">
        <w:t xml:space="preserve"> </w:t>
      </w:r>
      <w:r w:rsidRPr="003F5B64">
        <w:t xml:space="preserve">Kodeksu </w:t>
      </w:r>
      <w:r w:rsidR="00493A6D" w:rsidRPr="003F5B64">
        <w:t>postępowania cywilnego decyzja o zawieszeniu skarżącego nie</w:t>
      </w:r>
      <w:r w:rsidR="003A17FA">
        <w:t> </w:t>
      </w:r>
      <w:r w:rsidR="00493A6D" w:rsidRPr="003F5B64">
        <w:t>podlegała kontroli sądowej. W związku z tym Trybunał jest gotów przyjąć, iż było to zgodne z prawem krajowym.</w:t>
      </w:r>
    </w:p>
    <w:p w14:paraId="3D7D4810" w14:textId="7101B911" w:rsidR="00493A6D" w:rsidRPr="003F5B64" w:rsidRDefault="003C0E73" w:rsidP="004739EF">
      <w:pPr>
        <w:pStyle w:val="ECHRPara"/>
      </w:pPr>
      <w:r w:rsidRPr="003F5B64">
        <w:t>43</w:t>
      </w:r>
      <w:r w:rsidR="00493A6D" w:rsidRPr="003F5B64">
        <w:t>.</w:t>
      </w:r>
      <w:r w:rsidR="00637775" w:rsidRPr="003F5B64">
        <w:t xml:space="preserve"> </w:t>
      </w:r>
      <w:r w:rsidR="00493A6D" w:rsidRPr="003F5B64">
        <w:t>W odniesieniu do podstawy prawnej wyłączenia zawieszenia skarżącego spod kontroli sądowej Trybunał również odnotowuje, że</w:t>
      </w:r>
      <w:r w:rsidR="003A17FA">
        <w:t> </w:t>
      </w:r>
      <w:r w:rsidR="00493A6D" w:rsidRPr="003F5B64">
        <w:t xml:space="preserve">podstawa taka istniała przed zawieszeniem i wynikała z instrumentu </w:t>
      </w:r>
      <w:r w:rsidR="00704085" w:rsidRPr="003F5B64">
        <w:t>mającego zastosowanie</w:t>
      </w:r>
      <w:r w:rsidR="00493A6D" w:rsidRPr="003F5B64">
        <w:t xml:space="preserve"> </w:t>
      </w:r>
      <w:r w:rsidR="00E23233" w:rsidRPr="003F5B64">
        <w:t>ogólne</w:t>
      </w:r>
      <w:r w:rsidR="00E23233" w:rsidRPr="003F5B64">
        <w:t xml:space="preserve"> </w:t>
      </w:r>
      <w:r w:rsidR="00493A6D" w:rsidRPr="003F5B64">
        <w:t xml:space="preserve">(dla porównania, zob. </w:t>
      </w:r>
      <w:r w:rsidR="00493A6D" w:rsidRPr="003F5B64">
        <w:rPr>
          <w:i/>
          <w:iCs/>
        </w:rPr>
        <w:t>Baka</w:t>
      </w:r>
      <w:r w:rsidR="00493A6D" w:rsidRPr="003F5B64">
        <w:t xml:space="preserve"> [WI], </w:t>
      </w:r>
      <w:r w:rsidR="00474305" w:rsidRPr="003F5B64">
        <w:t>cyt.</w:t>
      </w:r>
      <w:r w:rsidR="003A17FA">
        <w:t> </w:t>
      </w:r>
      <w:r w:rsidR="00493A6D" w:rsidRPr="003F5B64">
        <w:t>powyżej, §§ 116 i 117, wraz z dalszymi odwołaniami).</w:t>
      </w:r>
    </w:p>
    <w:p w14:paraId="0A425EE3" w14:textId="3FE96144" w:rsidR="00493A6D" w:rsidRPr="003F5B64" w:rsidRDefault="003C0E73" w:rsidP="004739EF">
      <w:pPr>
        <w:pStyle w:val="ECHRPara"/>
      </w:pPr>
      <w:r w:rsidRPr="003F5B64">
        <w:t>44</w:t>
      </w:r>
      <w:r w:rsidR="00493A6D" w:rsidRPr="003F5B64">
        <w:t>.</w:t>
      </w:r>
      <w:r w:rsidR="00637775" w:rsidRPr="003F5B64">
        <w:t xml:space="preserve"> </w:t>
      </w:r>
      <w:r w:rsidR="00493A6D" w:rsidRPr="003F5B64">
        <w:t>W kontekście</w:t>
      </w:r>
      <w:r w:rsidR="00474305" w:rsidRPr="003F5B64">
        <w:t xml:space="preserve"> tego, czy cel </w:t>
      </w:r>
      <w:r w:rsidR="00493A6D" w:rsidRPr="003F5B64">
        <w:t>spornego ograniczenia</w:t>
      </w:r>
      <w:r w:rsidR="00474305" w:rsidRPr="003F5B64">
        <w:t xml:space="preserve"> był uprawniony</w:t>
      </w:r>
      <w:r w:rsidR="00493A6D" w:rsidRPr="003F5B64">
        <w:t>, Trybunał zauważa, że opierał</w:t>
      </w:r>
      <w:r w:rsidR="00B3368C">
        <w:t>o</w:t>
      </w:r>
      <w:r w:rsidR="00493A6D" w:rsidRPr="003F5B64">
        <w:t xml:space="preserve"> się </w:t>
      </w:r>
      <w:r w:rsidR="00B3368C">
        <w:t xml:space="preserve">ono </w:t>
      </w:r>
      <w:r w:rsidR="00493A6D" w:rsidRPr="003F5B64">
        <w:t xml:space="preserve">na postanowieniu </w:t>
      </w:r>
      <w:r w:rsidR="00704085" w:rsidRPr="003F5B64">
        <w:t xml:space="preserve">mającym </w:t>
      </w:r>
      <w:r w:rsidR="00493A6D" w:rsidRPr="003F5B64">
        <w:t>ogóln</w:t>
      </w:r>
      <w:r w:rsidR="00704085" w:rsidRPr="003F5B64">
        <w:t>e zastosowanie</w:t>
      </w:r>
      <w:r w:rsidR="00493A6D" w:rsidRPr="003F5B64">
        <w:t xml:space="preserve"> (art. 248 lit. a </w:t>
      </w:r>
      <w:r w:rsidRPr="003F5B64">
        <w:t xml:space="preserve">Kodeksu </w:t>
      </w:r>
      <w:r w:rsidR="00493A6D" w:rsidRPr="003F5B64">
        <w:t>postępowania cywilnego), wyłączającym spod kontroli sądowej każdą decyzję organu administracyjnego, która miała charakter wstępny. Innymi słowy, nie</w:t>
      </w:r>
      <w:r w:rsidR="00493A6D">
        <w:t xml:space="preserve"> uwzględniono</w:t>
      </w:r>
      <w:r w:rsidR="00474305" w:rsidRPr="003F5B64">
        <w:t xml:space="preserve"> szczególnego aspektu środka leż</w:t>
      </w:r>
      <w:r w:rsidR="00493A6D" w:rsidRPr="003F5B64">
        <w:t>ącego u</w:t>
      </w:r>
      <w:r w:rsidR="003A17FA">
        <w:t> </w:t>
      </w:r>
      <w:r w:rsidR="00493A6D" w:rsidRPr="003F5B64">
        <w:t xml:space="preserve">podstaw </w:t>
      </w:r>
      <w:r w:rsidR="00493A6D" w:rsidRPr="003F5B64">
        <w:lastRenderedPageBreak/>
        <w:t>przedmiotowej skargi, to jest zawieszenia sędziego w</w:t>
      </w:r>
      <w:r w:rsidR="003A17FA">
        <w:t> </w:t>
      </w:r>
      <w:r w:rsidR="00493A6D" w:rsidRPr="003F5B64">
        <w:t>wykonywaniu mandatu sędziowskiego.</w:t>
      </w:r>
    </w:p>
    <w:p w14:paraId="2F3EF279" w14:textId="5F1F4B1F" w:rsidR="00493A6D" w:rsidRPr="003F5B64" w:rsidRDefault="003C0E73" w:rsidP="004739EF">
      <w:pPr>
        <w:pStyle w:val="ECHRPara"/>
      </w:pPr>
      <w:r w:rsidRPr="003F5B64">
        <w:t>45</w:t>
      </w:r>
      <w:r w:rsidR="00493A6D" w:rsidRPr="003F5B64">
        <w:t>.</w:t>
      </w:r>
      <w:r w:rsidR="00637775" w:rsidRPr="003F5B64">
        <w:t xml:space="preserve"> </w:t>
      </w:r>
      <w:r w:rsidR="00493A6D" w:rsidRPr="003F5B64">
        <w:t xml:space="preserve">Trybunał zauważa rosnące znaczenie, jakie instrumenty międzynarodowe oraz instrumenty Rady Europy, a także orzecznictwo sądów międzynarodowych i praktyka innych organów międzynarodowych przywiązują do </w:t>
      </w:r>
      <w:r w:rsidR="00704085" w:rsidRPr="003F5B64">
        <w:t>rzetelności</w:t>
      </w:r>
      <w:r w:rsidR="00493A6D" w:rsidRPr="003F5B64">
        <w:t xml:space="preserve"> proceduralnej w sprawach dotyczących odwołania lub usunięcia sędziów ze stanowisk, w tym interwencji organu niezależnego od władzy wykonawczej i władzy wykonawczej w</w:t>
      </w:r>
      <w:r w:rsidR="00474305" w:rsidRPr="003F5B64">
        <w:t xml:space="preserve"> odniesieniu do</w:t>
      </w:r>
      <w:r w:rsidR="00493A6D" w:rsidRPr="003F5B64">
        <w:t xml:space="preserve"> każdej decyzji, która ma wpływ na zakończenie pełnienia urzędu przez sędziego (zob. </w:t>
      </w:r>
      <w:r w:rsidR="00493A6D" w:rsidRPr="003F5B64">
        <w:rPr>
          <w:i/>
          <w:iCs/>
        </w:rPr>
        <w:t>Baka</w:t>
      </w:r>
      <w:r w:rsidR="00493A6D" w:rsidRPr="003F5B64">
        <w:t xml:space="preserve"> [WI], cyt. powyżej, § 121). </w:t>
      </w:r>
    </w:p>
    <w:p w14:paraId="1CE8D4CA" w14:textId="54750A2B" w:rsidR="00493A6D" w:rsidRPr="003F5B64" w:rsidRDefault="003C0E73" w:rsidP="004739EF">
      <w:pPr>
        <w:pStyle w:val="ECHRPara"/>
      </w:pPr>
      <w:r w:rsidRPr="003F5B64">
        <w:t>46</w:t>
      </w:r>
      <w:r w:rsidR="00493A6D" w:rsidRPr="003F5B64">
        <w:t>.</w:t>
      </w:r>
      <w:r w:rsidR="00637775" w:rsidRPr="003F5B64">
        <w:t xml:space="preserve"> </w:t>
      </w:r>
      <w:r w:rsidR="00493A6D" w:rsidRPr="003F5B64">
        <w:t xml:space="preserve">Wobec braku </w:t>
      </w:r>
      <w:r w:rsidR="00B3368C">
        <w:t>przeciwnych argumentów ze strony Rządu</w:t>
      </w:r>
      <w:r w:rsidR="00493A6D" w:rsidRPr="003F5B64">
        <w:t xml:space="preserve"> Trybunał stwierdza, że</w:t>
      </w:r>
      <w:r w:rsidR="003A17FA">
        <w:t> </w:t>
      </w:r>
      <w:r w:rsidR="00474305" w:rsidRPr="003F5B64">
        <w:t xml:space="preserve">uprawniony charakter </w:t>
      </w:r>
      <w:r w:rsidR="00493A6D" w:rsidRPr="003F5B64">
        <w:t>celu, jaki zamierzano osiągnąć</w:t>
      </w:r>
      <w:r w:rsidR="00474305" w:rsidRPr="003F5B64">
        <w:t>,</w:t>
      </w:r>
      <w:r w:rsidR="00493A6D" w:rsidRPr="003F5B64">
        <w:t xml:space="preserve"> odmawiając skarżącemu prawa </w:t>
      </w:r>
      <w:r w:rsidR="00536412" w:rsidRPr="003F5B64">
        <w:t xml:space="preserve">dostępu </w:t>
      </w:r>
      <w:r w:rsidR="00493A6D" w:rsidRPr="003F5B64">
        <w:t>do sądu w sprawie</w:t>
      </w:r>
      <w:r w:rsidR="00B3368C">
        <w:t xml:space="preserve"> jego</w:t>
      </w:r>
      <w:r w:rsidR="00493A6D" w:rsidRPr="003F5B64">
        <w:t xml:space="preserve"> zawieszenia, jest kwestią</w:t>
      </w:r>
      <w:r w:rsidR="00474305" w:rsidRPr="003F5B64">
        <w:t xml:space="preserve"> </w:t>
      </w:r>
      <w:r w:rsidR="007E6285">
        <w:t>sporną</w:t>
      </w:r>
      <w:r w:rsidR="00493A6D" w:rsidRPr="003F5B64">
        <w:t>. Trybunał uważa jednakże, iż udzielenie ostatecznej odpowiedzi na to pytanie nie jest niezbędne, jako że prawo</w:t>
      </w:r>
      <w:r w:rsidR="00536412" w:rsidRPr="003F5B64">
        <w:t xml:space="preserve"> dostępu</w:t>
      </w:r>
      <w:r w:rsidR="00493A6D" w:rsidRPr="003F5B64">
        <w:t xml:space="preserve"> do sądu skarżącego w przedmiotowej sprawie zostało tak czy inaczej naruszone z powodów przedstawionych poniżej.</w:t>
      </w:r>
    </w:p>
    <w:p w14:paraId="2B381224" w14:textId="68091094" w:rsidR="00493A6D" w:rsidRPr="003F5B64" w:rsidRDefault="003C0E73" w:rsidP="004739EF">
      <w:pPr>
        <w:pStyle w:val="ECHRPara"/>
      </w:pPr>
      <w:r w:rsidRPr="003F5B64">
        <w:t>47</w:t>
      </w:r>
      <w:r w:rsidR="00493A6D" w:rsidRPr="003F5B64">
        <w:t>.</w:t>
      </w:r>
      <w:r w:rsidR="00637775" w:rsidRPr="003F5B64">
        <w:t xml:space="preserve"> </w:t>
      </w:r>
      <w:r w:rsidR="00493A6D" w:rsidRPr="003F5B64">
        <w:t>W kwestii proporcjonalności Trybunał zauważa, że brak możliwości realizacji przez skarżącego prawa do sądu dotyczył środka nałożonego na skarżącego przez organ, który, jak stwierdzono powyżej, nie</w:t>
      </w:r>
      <w:r w:rsidR="003A17FA">
        <w:t> </w:t>
      </w:r>
      <w:r w:rsidR="00493A6D" w:rsidRPr="003F5B64">
        <w:t>zapewniał gwarancji instytucjonalnych i proceduralnych nierozerwalnie</w:t>
      </w:r>
      <w:r w:rsidR="008046A7" w:rsidRPr="003F5B64">
        <w:t xml:space="preserve"> </w:t>
      </w:r>
      <w:r w:rsidR="00704085" w:rsidRPr="003F5B64">
        <w:t xml:space="preserve">związanych z </w:t>
      </w:r>
      <w:r w:rsidR="00493A6D" w:rsidRPr="003F5B64">
        <w:t>art. 6 ust. 1 Konwencji.</w:t>
      </w:r>
    </w:p>
    <w:p w14:paraId="211CB0DE" w14:textId="56620014" w:rsidR="00493A6D" w:rsidRPr="003F5B64" w:rsidRDefault="003C0E73" w:rsidP="004739EF">
      <w:pPr>
        <w:pStyle w:val="ECHRPara"/>
      </w:pPr>
      <w:r w:rsidRPr="003F5B64">
        <w:t>48</w:t>
      </w:r>
      <w:r w:rsidR="00493A6D" w:rsidRPr="003F5B64">
        <w:t>.</w:t>
      </w:r>
      <w:r w:rsidR="00637775" w:rsidRPr="003F5B64">
        <w:t xml:space="preserve"> </w:t>
      </w:r>
      <w:r w:rsidR="00493A6D" w:rsidRPr="003F5B64">
        <w:t>Na szczeblu instytucjonalnym Trybunał dalej zauważa, że</w:t>
      </w:r>
      <w:r w:rsidR="003A17FA">
        <w:t> </w:t>
      </w:r>
      <w:r w:rsidR="00493A6D" w:rsidRPr="003F5B64">
        <w:t>przedmiotowy organ, Rada Sądownictwa, w danym czasie kierowana była przez Prezesa Sądu Najwyższego (zob. punkt 6 powyżej). Biorąc</w:t>
      </w:r>
      <w:r w:rsidR="003A17FA">
        <w:t> </w:t>
      </w:r>
      <w:r w:rsidR="00493A6D" w:rsidRPr="003F5B64">
        <w:t>pod</w:t>
      </w:r>
      <w:r w:rsidR="003A17FA">
        <w:t> </w:t>
      </w:r>
      <w:r w:rsidR="00493A6D" w:rsidRPr="003F5B64">
        <w:t>uwagę stan faktyczny w niniejszej sprawie, ma to szczególne znaczenie o tyle, że zawieszenie zostało nałożone na skarżącego przez Radę Sądownictwa w</w:t>
      </w:r>
      <w:r w:rsidR="008046A7" w:rsidRPr="003F5B64">
        <w:t xml:space="preserve"> kontekście</w:t>
      </w:r>
      <w:r w:rsidR="00493A6D" w:rsidRPr="003F5B64">
        <w:t xml:space="preserve"> postępowania dyscyplinarnego wszczętego przeciwko niemu przez ten sam organ w związku z</w:t>
      </w:r>
      <w:r w:rsidR="008046A7" w:rsidRPr="003F5B64">
        <w:t xml:space="preserve"> jego zawiadomieniem o</w:t>
      </w:r>
      <w:r w:rsidR="003A17FA">
        <w:t> </w:t>
      </w:r>
      <w:r w:rsidR="008046A7" w:rsidRPr="003F5B64">
        <w:t xml:space="preserve">przestępstwie </w:t>
      </w:r>
      <w:r w:rsidR="00493A6D" w:rsidRPr="003F5B64">
        <w:t>oraz publicznymi oświadczeniami dotyczącymi wykonywania przez Prezesa Sądu Najwyższego jego obowiązków (zob.</w:t>
      </w:r>
      <w:r w:rsidR="003A17FA">
        <w:t> </w:t>
      </w:r>
      <w:r w:rsidR="00493A6D" w:rsidRPr="003F5B64">
        <w:t>paragraf 8 powyżej).</w:t>
      </w:r>
    </w:p>
    <w:p w14:paraId="64B9FA8E" w14:textId="6BE890AE" w:rsidR="00493A6D" w:rsidRPr="003F5B64" w:rsidRDefault="003C0E73" w:rsidP="004739EF">
      <w:pPr>
        <w:pStyle w:val="ECHRPara"/>
      </w:pPr>
      <w:r w:rsidRPr="003F5B64">
        <w:t>49</w:t>
      </w:r>
      <w:r w:rsidR="00493A6D" w:rsidRPr="003F5B64">
        <w:t>.</w:t>
      </w:r>
      <w:r w:rsidR="00637775" w:rsidRPr="003F5B64">
        <w:t xml:space="preserve"> </w:t>
      </w:r>
      <w:r w:rsidR="00493A6D" w:rsidRPr="003F5B64">
        <w:t>Z punktu widzenia procedury Trybunał zauważa, że w związku z</w:t>
      </w:r>
      <w:r w:rsidR="003A17FA">
        <w:t> </w:t>
      </w:r>
      <w:r w:rsidR="00493A6D" w:rsidRPr="003F5B64">
        <w:t>zawieszeniem</w:t>
      </w:r>
      <w:r w:rsidR="008046A7" w:rsidRPr="003F5B64">
        <w:t xml:space="preserve"> skarżący nie został wysłuchany</w:t>
      </w:r>
      <w:r w:rsidR="00493A6D" w:rsidRPr="003F5B64">
        <w:t xml:space="preserve"> ani w odniesieniu do</w:t>
      </w:r>
      <w:r w:rsidR="003A17FA">
        <w:t> </w:t>
      </w:r>
      <w:r w:rsidR="00493A6D" w:rsidRPr="003F5B64">
        <w:t>samego zawieszenia</w:t>
      </w:r>
      <w:r w:rsidR="008046A7" w:rsidRPr="003F5B64">
        <w:t>,</w:t>
      </w:r>
      <w:r w:rsidR="00493A6D" w:rsidRPr="003F5B64">
        <w:t xml:space="preserve"> ani do zarzutów dyscyplinarnych będących jego podstawą.</w:t>
      </w:r>
    </w:p>
    <w:p w14:paraId="4DCE057B" w14:textId="1E779A53" w:rsidR="00493A6D" w:rsidRPr="003F5B64" w:rsidRDefault="003C0E73" w:rsidP="004739EF">
      <w:pPr>
        <w:pStyle w:val="ECHRPara"/>
      </w:pPr>
      <w:r w:rsidRPr="003F5B64">
        <w:t>50</w:t>
      </w:r>
      <w:r w:rsidR="00493A6D" w:rsidRPr="003F5B64">
        <w:t>.</w:t>
      </w:r>
      <w:r w:rsidR="00637775" w:rsidRPr="003F5B64">
        <w:t xml:space="preserve"> </w:t>
      </w:r>
      <w:r w:rsidR="00493A6D" w:rsidRPr="003F5B64">
        <w:t>Ponadto, choć samo zawieszenie nie stanowi przedmiotu n</w:t>
      </w:r>
      <w:r w:rsidR="008046A7" w:rsidRPr="003F5B64">
        <w:t>iniejszej skargi, Trybunał uznaje</w:t>
      </w:r>
      <w:r w:rsidR="00493A6D" w:rsidRPr="003F5B64">
        <w:t xml:space="preserve">, że konsekwencje, jakie spowodowało </w:t>
      </w:r>
      <w:r w:rsidR="008046A7" w:rsidRPr="003F5B64">
        <w:t xml:space="preserve">ono </w:t>
      </w:r>
      <w:r w:rsidR="00493A6D" w:rsidRPr="003F5B64">
        <w:t xml:space="preserve">wobec skarżącego, są istotne dla oceny proporcjonalności braku prawa </w:t>
      </w:r>
      <w:r w:rsidR="00536412" w:rsidRPr="003F5B64">
        <w:t xml:space="preserve">dostępu </w:t>
      </w:r>
      <w:r w:rsidR="00493A6D" w:rsidRPr="003F5B64">
        <w:t>do sądu w przypadku zawieszenia. Z tej perspektywy Trybunał uznaje, że zawieszenie wiązało się z pozbawieniem skarżącego prawa do</w:t>
      </w:r>
      <w:r w:rsidR="003A17FA">
        <w:t> </w:t>
      </w:r>
      <w:r w:rsidR="00493A6D" w:rsidRPr="003F5B64">
        <w:t>sprawowania urzędu oraz pozbawieniem go 50% wynagrodzenia (zob.</w:t>
      </w:r>
      <w:r w:rsidR="003A17FA">
        <w:t> </w:t>
      </w:r>
      <w:r w:rsidR="00493A6D" w:rsidRPr="003F5B64">
        <w:t xml:space="preserve">punkt 10 powyżej), podczas gdy jednocześnie skarżący nadal podlegał ograniczeniom </w:t>
      </w:r>
      <w:r w:rsidR="00493A6D" w:rsidRPr="003F5B64">
        <w:lastRenderedPageBreak/>
        <w:t>takim jak brak możliwości wykonywania pracy zarobkowej w inny sposób (zob. paragraf 27 powyżej).</w:t>
      </w:r>
    </w:p>
    <w:p w14:paraId="73B52F19" w14:textId="40EBE681" w:rsidR="00493A6D" w:rsidRPr="003F5B64" w:rsidRDefault="003C0E73" w:rsidP="004739EF">
      <w:pPr>
        <w:pStyle w:val="ECHRPara"/>
      </w:pPr>
      <w:r w:rsidRPr="003F5B64">
        <w:t>51</w:t>
      </w:r>
      <w:r w:rsidR="00493A6D" w:rsidRPr="003F5B64">
        <w:t>.</w:t>
      </w:r>
      <w:r w:rsidR="00637775" w:rsidRPr="003F5B64">
        <w:t xml:space="preserve"> </w:t>
      </w:r>
      <w:r w:rsidR="00493A6D" w:rsidRPr="003F5B64">
        <w:t xml:space="preserve">O ile przywrócenie zatrzymanej części wynagrodzenia ma znaczenie dla naprawienia skutków zawieszenia dla skarżącego, samo w sobie nie ma bezpośredniego związku z faktem, że skarżący był pozbawiony prawa </w:t>
      </w:r>
      <w:r w:rsidR="00536412" w:rsidRPr="003F5B64">
        <w:t xml:space="preserve">dostępu </w:t>
      </w:r>
      <w:r w:rsidR="00493A6D" w:rsidRPr="003F5B64">
        <w:t xml:space="preserve">do sądu. Jeśli chodzi o brak prawa </w:t>
      </w:r>
      <w:r w:rsidR="00536412" w:rsidRPr="003F5B64">
        <w:t xml:space="preserve">dostępu </w:t>
      </w:r>
      <w:r w:rsidR="00493A6D" w:rsidRPr="003F5B64">
        <w:t xml:space="preserve">do sądu, nie wydaje się, aby w chwili zawieszenia lub później podjęto jakiekolwiek dodatkowe środki </w:t>
      </w:r>
      <w:r w:rsidR="00704085" w:rsidRPr="003F5B64">
        <w:t xml:space="preserve">korygujące lub </w:t>
      </w:r>
      <w:r w:rsidR="00493A6D" w:rsidRPr="003F5B64">
        <w:t>naprawcze.</w:t>
      </w:r>
    </w:p>
    <w:p w14:paraId="08DCD61C" w14:textId="16AFB2AF" w:rsidR="00493A6D" w:rsidRPr="003F5B64" w:rsidRDefault="003C0E73" w:rsidP="004739EF">
      <w:pPr>
        <w:pStyle w:val="ECHRPara"/>
      </w:pPr>
      <w:r w:rsidRPr="003F5B64">
        <w:t>52</w:t>
      </w:r>
      <w:r w:rsidR="00493A6D" w:rsidRPr="003F5B64">
        <w:t>.</w:t>
      </w:r>
      <w:r w:rsidR="00637775" w:rsidRPr="003F5B64">
        <w:t xml:space="preserve"> </w:t>
      </w:r>
      <w:r w:rsidR="00493A6D" w:rsidRPr="003F5B64">
        <w:t>W odniesieniu do długości okresu, w którym skarżący nie mógł zaskarżyć zawieszenia, Trybunał stwierdza, iż mogło to trwać tak długo, jak</w:t>
      </w:r>
      <w:r w:rsidR="003A17FA">
        <w:t> </w:t>
      </w:r>
      <w:r w:rsidR="00493A6D" w:rsidRPr="003F5B64">
        <w:t xml:space="preserve">samo zawieszenie. A zatem, zgodnie z prawem, nawet do dwóch lat. Wobec braku informacji przeciwnych zakłada się, iż trwało </w:t>
      </w:r>
      <w:r w:rsidR="007D5446" w:rsidRPr="003F5B64">
        <w:t xml:space="preserve">to </w:t>
      </w:r>
      <w:r w:rsidR="00493A6D" w:rsidRPr="003F5B64">
        <w:t>rzeczywiście dwa lata (mając na uwadze fakt, iż samo postępowanie dyscyplinarne trwało dwa lata i dziewiętnaście dni – od 8 września 2009 r. do 27 września 2011</w:t>
      </w:r>
      <w:r w:rsidR="003A17FA">
        <w:t> </w:t>
      </w:r>
      <w:r w:rsidR="00493A6D" w:rsidRPr="003F5B64">
        <w:t>r.).</w:t>
      </w:r>
    </w:p>
    <w:p w14:paraId="1B0EA599" w14:textId="0A0EDBB9" w:rsidR="00493A6D" w:rsidRPr="003F5B64" w:rsidRDefault="003C0E73" w:rsidP="004739EF">
      <w:pPr>
        <w:pStyle w:val="ECHRPara"/>
      </w:pPr>
      <w:r w:rsidRPr="003F5B64">
        <w:t>53</w:t>
      </w:r>
      <w:r w:rsidR="00493A6D" w:rsidRPr="003F5B64">
        <w:t>.</w:t>
      </w:r>
      <w:r w:rsidR="00637775" w:rsidRPr="003F5B64">
        <w:t xml:space="preserve"> </w:t>
      </w:r>
      <w:r w:rsidR="00493A6D" w:rsidRPr="003F5B64">
        <w:t xml:space="preserve">Podsumowując, skarżący był pozbawiony prawa </w:t>
      </w:r>
      <w:r w:rsidR="00536412" w:rsidRPr="003F5B64">
        <w:t xml:space="preserve">dostępu </w:t>
      </w:r>
      <w:r w:rsidR="00493A6D" w:rsidRPr="003F5B64">
        <w:t>do sądu w</w:t>
      </w:r>
      <w:r w:rsidR="003A17FA">
        <w:t> </w:t>
      </w:r>
      <w:r w:rsidR="00493A6D" w:rsidRPr="003F5B64">
        <w:t>rozumieniu art. 6 ust. 1 Konwencji w odniesieniu do środka, który</w:t>
      </w:r>
      <w:r w:rsidR="003A17FA">
        <w:t> </w:t>
      </w:r>
      <w:r w:rsidR="00493A6D" w:rsidRPr="003F5B64">
        <w:t>spowodował, że przez dwa lata nie był w stanie wykonywać swojego mandatu oraz otrzymywał połowę wynagrodzenia, a jednocześn</w:t>
      </w:r>
      <w:r w:rsidR="007D5446" w:rsidRPr="003F5B64">
        <w:t>ie nie miał możliwości wykonywania</w:t>
      </w:r>
      <w:r w:rsidR="00493A6D" w:rsidRPr="003F5B64">
        <w:t xml:space="preserve"> innej pracy zarobkowej.</w:t>
      </w:r>
    </w:p>
    <w:p w14:paraId="1BF3A59E" w14:textId="6776555D" w:rsidR="00493A6D" w:rsidRPr="003F5B64" w:rsidRDefault="003C0E73" w:rsidP="004739EF">
      <w:pPr>
        <w:pStyle w:val="ECHRPara"/>
      </w:pPr>
      <w:r w:rsidRPr="003F5B64">
        <w:t>54</w:t>
      </w:r>
      <w:r w:rsidR="00493A6D" w:rsidRPr="003F5B64">
        <w:t>.</w:t>
      </w:r>
      <w:r w:rsidR="00637775" w:rsidRPr="003F5B64">
        <w:t xml:space="preserve"> </w:t>
      </w:r>
      <w:r w:rsidR="00493A6D" w:rsidRPr="003F5B64">
        <w:t xml:space="preserve">Dodatkowo Trybunał zauważa, że Rząd nie powołał się </w:t>
      </w:r>
      <w:r w:rsidR="005503A2" w:rsidRPr="003F5B64">
        <w:t>ani w inny sposób nie ustalił żadnej</w:t>
      </w:r>
      <w:r w:rsidR="00493A6D" w:rsidRPr="003F5B64">
        <w:t xml:space="preserve"> </w:t>
      </w:r>
      <w:r w:rsidR="005503A2" w:rsidRPr="003F5B64">
        <w:t xml:space="preserve">rozstrzygającej </w:t>
      </w:r>
      <w:r w:rsidR="00493A6D" w:rsidRPr="003F5B64">
        <w:t>przyczyny dla odmówienia skarżącemu ochrony sądowej w odniesieniu do zastosowanego środka. W</w:t>
      </w:r>
      <w:r w:rsidR="003A17FA">
        <w:t> </w:t>
      </w:r>
      <w:r w:rsidR="00493A6D" w:rsidRPr="003F5B64">
        <w:t xml:space="preserve">tym względzie Trybunał uważa, że należy dokonać wyraźnego rozróżnienia pomiędzy rzekomo istotnymi powodami zawieszenia sędziego, któremu postawiono </w:t>
      </w:r>
      <w:r w:rsidR="007D5446" w:rsidRPr="003F5B64">
        <w:t xml:space="preserve">danego rodzaju </w:t>
      </w:r>
      <w:r w:rsidR="00493A6D" w:rsidRPr="003F5B64">
        <w:t>zarzut dyscyplinarny, a powodami, dla</w:t>
      </w:r>
      <w:r w:rsidR="003A17FA">
        <w:t> </w:t>
      </w:r>
      <w:r w:rsidR="00493A6D" w:rsidRPr="003F5B64">
        <w:t xml:space="preserve">których nie umożliwiono mu </w:t>
      </w:r>
      <w:r w:rsidR="007D5446" w:rsidRPr="003F5B64">
        <w:t xml:space="preserve">korzystania z </w:t>
      </w:r>
      <w:r w:rsidR="00493A6D" w:rsidRPr="003F5B64">
        <w:t xml:space="preserve">prawa </w:t>
      </w:r>
      <w:r w:rsidR="00536412" w:rsidRPr="003F5B64">
        <w:t xml:space="preserve">dostępu </w:t>
      </w:r>
      <w:r w:rsidR="00493A6D" w:rsidRPr="003F5B64">
        <w:t>do sądu w</w:t>
      </w:r>
      <w:r w:rsidR="003A17FA">
        <w:t> </w:t>
      </w:r>
      <w:r w:rsidR="00493A6D" w:rsidRPr="003F5B64">
        <w:t xml:space="preserve">związku z tym zawieszeniem. Zdaniem Trybunału znaczenie tego rozróżnienia </w:t>
      </w:r>
      <w:r w:rsidR="008337BA">
        <w:t xml:space="preserve">podkreśla </w:t>
      </w:r>
      <w:r w:rsidR="00493A6D" w:rsidRPr="003F5B64">
        <w:t>fakt, że organ stosujący ten środek oraz procedura, w</w:t>
      </w:r>
      <w:r w:rsidR="003A17FA">
        <w:t> </w:t>
      </w:r>
      <w:r w:rsidR="00493A6D" w:rsidRPr="003F5B64">
        <w:t>ramach której środek ten zastosowano</w:t>
      </w:r>
      <w:r w:rsidR="007D5446" w:rsidRPr="003F5B64">
        <w:t>,</w:t>
      </w:r>
      <w:r w:rsidR="00493A6D" w:rsidRPr="003F5B64">
        <w:t xml:space="preserve"> nie spełnia</w:t>
      </w:r>
      <w:r w:rsidR="007D5446" w:rsidRPr="003F5B64">
        <w:t>ł</w:t>
      </w:r>
      <w:r w:rsidR="00493A6D" w:rsidRPr="003F5B64">
        <w:t xml:space="preserve"> wymogów art. 6 ust. 1 Konwencji, a także fakt, że środek ten zastosowano w tak szczególnym kontekście jak w przedmiotowej sprawie.</w:t>
      </w:r>
    </w:p>
    <w:p w14:paraId="6D25595D" w14:textId="12CCE993" w:rsidR="00493A6D" w:rsidRPr="003F5B64" w:rsidRDefault="003C0E73" w:rsidP="004739EF">
      <w:pPr>
        <w:pStyle w:val="ECHRPara"/>
      </w:pPr>
      <w:r w:rsidRPr="003F5B64">
        <w:t>55</w:t>
      </w:r>
      <w:r w:rsidR="00493A6D" w:rsidRPr="003F5B64">
        <w:t>.</w:t>
      </w:r>
      <w:r w:rsidR="00637775" w:rsidRPr="003F5B64">
        <w:t xml:space="preserve"> </w:t>
      </w:r>
      <w:r w:rsidR="00493A6D" w:rsidRPr="003F5B64">
        <w:t xml:space="preserve">W świetle powyższych rozważań Trybunał uznaje, że brak </w:t>
      </w:r>
      <w:r w:rsidR="007D5446" w:rsidRPr="003F5B64">
        <w:t xml:space="preserve">prawa dostępu skarżącego </w:t>
      </w:r>
      <w:r w:rsidR="00493A6D" w:rsidRPr="003F5B64">
        <w:t xml:space="preserve">do sądu nie mógł być proporcjonalny do jakiegokolwiek </w:t>
      </w:r>
      <w:r w:rsidR="007D5446" w:rsidRPr="003F5B64">
        <w:t xml:space="preserve">uprawnionego </w:t>
      </w:r>
      <w:r w:rsidR="00493A6D" w:rsidRPr="003F5B64">
        <w:t xml:space="preserve">celu oraz że, odpowiednio, sama istota tego prawa została naruszona (zob. </w:t>
      </w:r>
      <w:r w:rsidR="00493A6D" w:rsidRPr="003F5B64">
        <w:rPr>
          <w:i/>
          <w:iCs/>
        </w:rPr>
        <w:t>Baka</w:t>
      </w:r>
      <w:r w:rsidR="00493A6D" w:rsidRPr="003F5B64">
        <w:t>, [WI], cyt. powyżej,</w:t>
      </w:r>
      <w:r w:rsidR="00637775" w:rsidRPr="003F5B64">
        <w:t xml:space="preserve"> </w:t>
      </w:r>
      <w:r w:rsidR="00493A6D" w:rsidRPr="003F5B64">
        <w:t>§121).</w:t>
      </w:r>
    </w:p>
    <w:p w14:paraId="4CE2431D" w14:textId="77777777" w:rsidR="00493A6D" w:rsidRPr="003F5B64" w:rsidRDefault="00493A6D" w:rsidP="004739EF">
      <w:pPr>
        <w:pStyle w:val="ECHRPara"/>
      </w:pPr>
      <w:r w:rsidRPr="003F5B64">
        <w:t>A zatem doszło do naruszenia art. 6 ust. 1 Konwencji.</w:t>
      </w:r>
    </w:p>
    <w:p w14:paraId="1F3592D1" w14:textId="5A296858" w:rsidR="00493A6D" w:rsidRPr="003F5B64" w:rsidRDefault="00493A6D" w:rsidP="004739EF">
      <w:pPr>
        <w:pStyle w:val="ECHRHeading1"/>
      </w:pPr>
      <w:r w:rsidRPr="003F5B64">
        <w:t>II.</w:t>
      </w:r>
      <w:r w:rsidR="00637775" w:rsidRPr="003F5B64">
        <w:t xml:space="preserve"> </w:t>
      </w:r>
      <w:r w:rsidRPr="003F5B64">
        <w:t>ZASTOSOWANIE ART</w:t>
      </w:r>
      <w:r w:rsidR="003C0E73" w:rsidRPr="003F5B64">
        <w:t>.</w:t>
      </w:r>
      <w:r w:rsidRPr="003F5B64">
        <w:t xml:space="preserve"> 41 KONWENCJI</w:t>
      </w:r>
    </w:p>
    <w:p w14:paraId="654E2940" w14:textId="470DAF2E" w:rsidR="00493A6D" w:rsidRPr="003F5B64" w:rsidRDefault="003C0E73" w:rsidP="004739EF">
      <w:pPr>
        <w:pStyle w:val="ECHRPara"/>
      </w:pPr>
      <w:r w:rsidRPr="003F5B64">
        <w:t>56</w:t>
      </w:r>
      <w:r w:rsidR="00493A6D" w:rsidRPr="003F5B64">
        <w:t>.</w:t>
      </w:r>
      <w:r w:rsidR="00637775" w:rsidRPr="003F5B64">
        <w:t xml:space="preserve"> </w:t>
      </w:r>
      <w:r w:rsidR="00493A6D" w:rsidRPr="003F5B64">
        <w:t>Art</w:t>
      </w:r>
      <w:r w:rsidRPr="003F5B64">
        <w:t>.</w:t>
      </w:r>
      <w:r w:rsidR="00493A6D" w:rsidRPr="003F5B64">
        <w:t xml:space="preserve"> 41 Konwencji stwierdza:</w:t>
      </w:r>
    </w:p>
    <w:p w14:paraId="0291677A" w14:textId="730649E8" w:rsidR="00493A6D" w:rsidRPr="003F5B64" w:rsidRDefault="00493A6D" w:rsidP="004739EF">
      <w:pPr>
        <w:pStyle w:val="ECHRParaQuote"/>
        <w:keepNext/>
        <w:keepLines/>
      </w:pPr>
      <w:r w:rsidRPr="003F5B64">
        <w:lastRenderedPageBreak/>
        <w:t>„Je</w:t>
      </w:r>
      <w:r w:rsidR="003C0E73" w:rsidRPr="003F5B64">
        <w:t>śl</w:t>
      </w:r>
      <w:r w:rsidRPr="003F5B64">
        <w:t>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F3B6407" w14:textId="77777777" w:rsidR="00493A6D" w:rsidRPr="003F5B64" w:rsidRDefault="00493A6D" w:rsidP="004739EF">
      <w:pPr>
        <w:pStyle w:val="ECHRHeading2"/>
      </w:pPr>
      <w:r w:rsidRPr="003F5B64">
        <w:t>A. Szkoda</w:t>
      </w:r>
    </w:p>
    <w:p w14:paraId="44791692" w14:textId="7965086A" w:rsidR="00493A6D" w:rsidRPr="003F5B64" w:rsidRDefault="003C0E73" w:rsidP="004739EF">
      <w:pPr>
        <w:pStyle w:val="ECHRPara"/>
      </w:pPr>
      <w:r w:rsidRPr="003F5B64">
        <w:t>57</w:t>
      </w:r>
      <w:r w:rsidR="00493A6D" w:rsidRPr="003F5B64">
        <w:t>.</w:t>
      </w:r>
      <w:r w:rsidR="00637775" w:rsidRPr="003F5B64">
        <w:t xml:space="preserve"> </w:t>
      </w:r>
      <w:r w:rsidR="00493A6D" w:rsidRPr="003F5B64">
        <w:t>Skarżący domagał się 88 789 euro (EUR) z tytułu szkody majątkowej. Na kwotę tę składały się różne świadczenia, potencjalny wzrost wynagrodzenia i premia, których</w:t>
      </w:r>
      <w:r w:rsidR="007D5446" w:rsidRPr="003F5B64">
        <w:t>, jak</w:t>
      </w:r>
      <w:r w:rsidR="00493A6D" w:rsidRPr="003F5B64">
        <w:t xml:space="preserve"> skarżący </w:t>
      </w:r>
      <w:r w:rsidR="007D5446" w:rsidRPr="003F5B64">
        <w:t xml:space="preserve">twierdził, </w:t>
      </w:r>
      <w:r w:rsidR="00493A6D" w:rsidRPr="003F5B64">
        <w:t xml:space="preserve">został pozbawiony w wyniku zawieszenia. Dodatkowo skarżący domagał się 50 000 euro (EUR) z tytułu szkody niemajątkowej, odwołując się do </w:t>
      </w:r>
      <w:r w:rsidR="005503A2" w:rsidRPr="003F5B64">
        <w:t>konsekwencji, jakie</w:t>
      </w:r>
      <w:r w:rsidR="003A17FA">
        <w:t> </w:t>
      </w:r>
      <w:r w:rsidR="005503A2" w:rsidRPr="003F5B64">
        <w:t>miało dla niego postępowanie dyscyplinarne</w:t>
      </w:r>
      <w:r w:rsidR="007D5446" w:rsidRPr="003F5B64">
        <w:t xml:space="preserve"> </w:t>
      </w:r>
      <w:r w:rsidR="00F91B61">
        <w:t xml:space="preserve">prowadzone </w:t>
      </w:r>
      <w:r w:rsidR="007D5446" w:rsidRPr="003F5B64">
        <w:t>przeciwko niemu</w:t>
      </w:r>
      <w:r w:rsidR="005503A2" w:rsidRPr="003F5B64">
        <w:t xml:space="preserve"> </w:t>
      </w:r>
      <w:r w:rsidR="00493A6D" w:rsidRPr="003F5B64">
        <w:t>oraz</w:t>
      </w:r>
      <w:r w:rsidR="003A17FA">
        <w:t> </w:t>
      </w:r>
      <w:r w:rsidR="005503A2" w:rsidRPr="003F5B64">
        <w:t>oświadczenia</w:t>
      </w:r>
      <w:r w:rsidR="00493A6D" w:rsidRPr="003F5B64">
        <w:t xml:space="preserve"> </w:t>
      </w:r>
      <w:r w:rsidR="00D57D35" w:rsidRPr="003F5B64">
        <w:t xml:space="preserve">ówczesnego </w:t>
      </w:r>
      <w:r w:rsidR="00493A6D" w:rsidRPr="003F5B64">
        <w:t>Prezesa Sądu N</w:t>
      </w:r>
      <w:r w:rsidR="007D5446" w:rsidRPr="003F5B64">
        <w:t>ajwyższego na temat jego osoby.</w:t>
      </w:r>
    </w:p>
    <w:p w14:paraId="7463A817" w14:textId="6B88A292" w:rsidR="00493A6D" w:rsidRPr="003F5B64" w:rsidRDefault="003C0E73" w:rsidP="004739EF">
      <w:pPr>
        <w:pStyle w:val="ECHRPara"/>
      </w:pPr>
      <w:r w:rsidRPr="003F5B64">
        <w:t>58</w:t>
      </w:r>
      <w:r w:rsidR="00493A6D" w:rsidRPr="003F5B64">
        <w:t>.</w:t>
      </w:r>
      <w:r w:rsidR="00637775" w:rsidRPr="003F5B64">
        <w:t xml:space="preserve"> </w:t>
      </w:r>
      <w:r w:rsidR="00493A6D" w:rsidRPr="003F5B64">
        <w:t xml:space="preserve">Rząd zakwestionował oba te roszczenia, </w:t>
      </w:r>
      <w:r w:rsidR="007D5446" w:rsidRPr="003F5B64">
        <w:t xml:space="preserve">głównie </w:t>
      </w:r>
      <w:r w:rsidR="00493A6D" w:rsidRPr="003F5B64">
        <w:t xml:space="preserve">z uwagi na </w:t>
      </w:r>
      <w:r w:rsidR="007D5446" w:rsidRPr="003F5B64">
        <w:t xml:space="preserve">brak </w:t>
      </w:r>
      <w:r w:rsidR="00493A6D" w:rsidRPr="003F5B64">
        <w:t>ich związ</w:t>
      </w:r>
      <w:r w:rsidR="007D5446" w:rsidRPr="003F5B64">
        <w:t>ku</w:t>
      </w:r>
      <w:r w:rsidR="00493A6D" w:rsidRPr="003F5B64">
        <w:t xml:space="preserve"> z </w:t>
      </w:r>
      <w:r w:rsidR="007D5446" w:rsidRPr="003F5B64">
        <w:t xml:space="preserve">przedmiotem obecnego </w:t>
      </w:r>
      <w:r w:rsidR="00493A6D" w:rsidRPr="003F5B64">
        <w:t>postępowania.</w:t>
      </w:r>
    </w:p>
    <w:p w14:paraId="2E347E61" w14:textId="347DD880" w:rsidR="00493A6D" w:rsidRPr="003F5B64" w:rsidRDefault="003C0E73" w:rsidP="004739EF">
      <w:pPr>
        <w:pStyle w:val="ECHRPara"/>
      </w:pPr>
      <w:r w:rsidRPr="003F5B64">
        <w:t>59</w:t>
      </w:r>
      <w:r w:rsidR="00493A6D" w:rsidRPr="003F5B64">
        <w:t>.</w:t>
      </w:r>
      <w:r w:rsidR="00637775" w:rsidRPr="003F5B64">
        <w:t xml:space="preserve"> </w:t>
      </w:r>
      <w:r w:rsidR="00493A6D" w:rsidRPr="003F5B64">
        <w:t>Trybunał wskazuje przede wszystkim, iż wszelkie zasądzone kwoty w przedmiotowej sprawie mogą wynikać wyłącznie ze stwierdzenia naruszenia prawa</w:t>
      </w:r>
      <w:r w:rsidR="00704085" w:rsidRPr="003F5B64">
        <w:t xml:space="preserve"> dostępu</w:t>
      </w:r>
      <w:r w:rsidR="00493A6D" w:rsidRPr="003F5B64">
        <w:t xml:space="preserve"> skarżącego do sądu. W przeciwieństwie do </w:t>
      </w:r>
      <w:r w:rsidR="007D5446" w:rsidRPr="003F5B64">
        <w:t>tego</w:t>
      </w:r>
      <w:bookmarkStart w:id="1" w:name="_GoBack"/>
      <w:bookmarkEnd w:id="1"/>
      <w:r w:rsidR="007D5446" w:rsidRPr="003F5B64">
        <w:t xml:space="preserve"> </w:t>
      </w:r>
      <w:r w:rsidR="00493A6D" w:rsidRPr="003F5B64">
        <w:t>skarga skarżącego w zakresie dotyczącym szkody majątkowej wyraźnie dotyczy zawieszeniu skarżącego w jego obowiązkach, a nie naruszenia (stwierdzonego przez Trybunał) jego praw wynikających z Konwencji. W</w:t>
      </w:r>
      <w:r w:rsidR="003A17FA">
        <w:t> </w:t>
      </w:r>
      <w:r w:rsidR="00493A6D" w:rsidRPr="003F5B64">
        <w:t>związku z tym Trybunał nie dostrzega związku przyczynowo-skutkowego pomiędzy stwierdzonym naruszeniem a zgłoszoną szkodą majątkową. W związku z tym Trybunał oddala roszczenie.</w:t>
      </w:r>
    </w:p>
    <w:p w14:paraId="2EE12B07" w14:textId="76C0259A" w:rsidR="00493A6D" w:rsidRPr="003F5B64" w:rsidRDefault="00493A6D" w:rsidP="004739EF">
      <w:pPr>
        <w:pStyle w:val="ECHRPara"/>
      </w:pPr>
      <w:r w:rsidRPr="003F5B64">
        <w:t>Z drugiej strony, biorąc pod uwagę szczególne okoliczności przedmiotowej sprawy, Trybunał uznaje, że roszczenie skarżącego dotyczące szkody niemajątkowej wykazuje wystarczający związek ze</w:t>
      </w:r>
      <w:r w:rsidR="003A17FA">
        <w:t> </w:t>
      </w:r>
      <w:r w:rsidRPr="003F5B64">
        <w:t>stwierdzonym naruszeniem, oraz że skarżący poniósł szkodę tego rodzaju. Odpowiednio, orze</w:t>
      </w:r>
      <w:r w:rsidR="00A742C1" w:rsidRPr="003F5B64">
        <w:t>kając</w:t>
      </w:r>
      <w:r w:rsidRPr="003F5B64">
        <w:t xml:space="preserve"> z uwzględnieniem zasady sprawiedliwości, przyznaje </w:t>
      </w:r>
      <w:r w:rsidR="00A742C1" w:rsidRPr="003F5B64">
        <w:t xml:space="preserve">skarżącemu </w:t>
      </w:r>
      <w:r w:rsidRPr="003F5B64">
        <w:t>kwotę 7 800 EUR tytułem szkody niemajątkowej, plus kwotę podatku, który może być należny.</w:t>
      </w:r>
    </w:p>
    <w:p w14:paraId="0F3C7294" w14:textId="77777777" w:rsidR="00493A6D" w:rsidRPr="003F5B64" w:rsidRDefault="00493A6D" w:rsidP="004739EF">
      <w:pPr>
        <w:pStyle w:val="ECHRHeading2"/>
      </w:pPr>
      <w:r w:rsidRPr="003F5B64">
        <w:t>B. Koszty i wydatki</w:t>
      </w:r>
    </w:p>
    <w:p w14:paraId="1D0452BD" w14:textId="3340C915" w:rsidR="00493A6D" w:rsidRPr="003F5B64" w:rsidRDefault="003C0E73" w:rsidP="004739EF">
      <w:pPr>
        <w:pStyle w:val="ECHRPara"/>
      </w:pPr>
      <w:r w:rsidRPr="003F5B64">
        <w:t>60</w:t>
      </w:r>
      <w:r w:rsidR="00493A6D" w:rsidRPr="003F5B64">
        <w:t>.</w:t>
      </w:r>
      <w:r w:rsidR="00637775" w:rsidRPr="003F5B64">
        <w:t xml:space="preserve"> </w:t>
      </w:r>
      <w:r w:rsidR="00493A6D" w:rsidRPr="003F5B64">
        <w:t>Skarżący podniósł, że jego prawnik złoży wniosek w zakresie kosztów i wydatków, jeżeli skarga zostanie rozpatrzona pozytywnie co</w:t>
      </w:r>
      <w:r w:rsidR="003A17FA">
        <w:t> </w:t>
      </w:r>
      <w:r w:rsidR="00493A6D" w:rsidRPr="003F5B64">
        <w:t>do</w:t>
      </w:r>
      <w:r w:rsidR="003A17FA">
        <w:t> </w:t>
      </w:r>
      <w:r w:rsidR="00A742C1" w:rsidRPr="003F5B64">
        <w:t xml:space="preserve">przedmiotu </w:t>
      </w:r>
      <w:r w:rsidR="00493A6D" w:rsidRPr="003F5B64">
        <w:t>sprawy.</w:t>
      </w:r>
    </w:p>
    <w:p w14:paraId="49E6CE43" w14:textId="54E3B11D" w:rsidR="00493A6D" w:rsidRPr="003F5B64" w:rsidRDefault="003C0E73" w:rsidP="004739EF">
      <w:pPr>
        <w:pStyle w:val="ECHRPara"/>
      </w:pPr>
      <w:r w:rsidRPr="003F5B64">
        <w:t>61</w:t>
      </w:r>
      <w:r w:rsidR="00493A6D" w:rsidRPr="003F5B64">
        <w:t>.</w:t>
      </w:r>
      <w:r w:rsidR="00637775" w:rsidRPr="003F5B64">
        <w:t xml:space="preserve"> </w:t>
      </w:r>
      <w:r w:rsidR="00493A6D" w:rsidRPr="003F5B64">
        <w:t>Rząd podniósł, że nie zgłoszono żadnego roszczenia w tym zakresie w dopuszczalnym terminie.</w:t>
      </w:r>
    </w:p>
    <w:p w14:paraId="3683C39F" w14:textId="342E84B7" w:rsidR="00493A6D" w:rsidRPr="003F5B64" w:rsidRDefault="003C0E73" w:rsidP="004739EF">
      <w:pPr>
        <w:pStyle w:val="ECHRPara"/>
      </w:pPr>
      <w:r w:rsidRPr="003F5B64">
        <w:t>62</w:t>
      </w:r>
      <w:r w:rsidR="00493A6D" w:rsidRPr="003F5B64">
        <w:t>.</w:t>
      </w:r>
      <w:r w:rsidR="00637775" w:rsidRPr="003F5B64">
        <w:t xml:space="preserve"> </w:t>
      </w:r>
      <w:r w:rsidR="00493A6D" w:rsidRPr="003F5B64">
        <w:t>Zgodnie z orzecznictwem Trybunału skarżący ma prawo do zwrotu kosztów i wydatków jedynie w takim zakresie, w jakim wykazano, iż</w:t>
      </w:r>
      <w:r w:rsidR="003A17FA">
        <w:t> </w:t>
      </w:r>
      <w:r w:rsidR="00493A6D" w:rsidRPr="003F5B64">
        <w:t xml:space="preserve">zostały one rzeczywiście i w sposób niezbędny poniesione i są rozsądne </w:t>
      </w:r>
      <w:r w:rsidR="00493A6D" w:rsidRPr="003F5B64">
        <w:lastRenderedPageBreak/>
        <w:t>pod względem kwoty. Skarżący nie udowodnił, że poniósł takie wydatki. A</w:t>
      </w:r>
      <w:r w:rsidR="003A17FA">
        <w:t> </w:t>
      </w:r>
      <w:r w:rsidR="00493A6D" w:rsidRPr="003F5B64">
        <w:t xml:space="preserve">zatem nie </w:t>
      </w:r>
      <w:r w:rsidR="00A742C1" w:rsidRPr="003F5B64">
        <w:t xml:space="preserve">zgłoszono żądania o zasądzenie </w:t>
      </w:r>
      <w:r w:rsidR="00493A6D" w:rsidRPr="003F5B64">
        <w:t>w tym zakresie.</w:t>
      </w:r>
    </w:p>
    <w:p w14:paraId="77F47816" w14:textId="77777777" w:rsidR="00493A6D" w:rsidRPr="003F5B64" w:rsidRDefault="00493A6D" w:rsidP="004739EF">
      <w:pPr>
        <w:pStyle w:val="ECHRHeading2"/>
      </w:pPr>
      <w:r w:rsidRPr="003F5B64">
        <w:t>C. Odsetki z tytułu zwłoki.</w:t>
      </w:r>
    </w:p>
    <w:p w14:paraId="78AFCF36" w14:textId="3FC4A5B4" w:rsidR="00493A6D" w:rsidRPr="003F5B64" w:rsidRDefault="003C0E73" w:rsidP="004739EF">
      <w:pPr>
        <w:pStyle w:val="ECHRPara"/>
      </w:pPr>
      <w:r w:rsidRPr="003F5B64">
        <w:t>63</w:t>
      </w:r>
      <w:r w:rsidR="00493A6D" w:rsidRPr="003F5B64">
        <w:t>.</w:t>
      </w:r>
      <w:r w:rsidR="00637775" w:rsidRPr="003F5B64">
        <w:t xml:space="preserve"> </w:t>
      </w:r>
      <w:r w:rsidR="00493A6D" w:rsidRPr="003F5B64">
        <w:t>Trybunał uważa, że odsetki z tytułu zwłoki należy ustalić zgodnie z</w:t>
      </w:r>
      <w:r w:rsidR="003A17FA">
        <w:t> </w:t>
      </w:r>
      <w:r w:rsidR="00493A6D" w:rsidRPr="003F5B64">
        <w:t>marginalną stopą procentową Europejskiego Banku Centralnego, plus trzy punkty procentowe.</w:t>
      </w:r>
    </w:p>
    <w:p w14:paraId="0BAD4820" w14:textId="77777777" w:rsidR="00493A6D" w:rsidRPr="003F5B64" w:rsidRDefault="00493A6D" w:rsidP="004739EF">
      <w:pPr>
        <w:pStyle w:val="ECHRTitle1"/>
      </w:pPr>
      <w:r w:rsidRPr="003F5B64">
        <w:t>Z TYCH PRZYCZYN TRYBUNAŁ JEDNOGŁOŚNIE</w:t>
      </w:r>
    </w:p>
    <w:p w14:paraId="11B4B0B2" w14:textId="77777777" w:rsidR="00493A6D" w:rsidRPr="003F5B64" w:rsidRDefault="00493A6D" w:rsidP="004739EF">
      <w:pPr>
        <w:pStyle w:val="JuList"/>
      </w:pPr>
      <w:r w:rsidRPr="003F5B64">
        <w:t>1.</w:t>
      </w:r>
      <w:r w:rsidR="00637775" w:rsidRPr="003F5B64">
        <w:t xml:space="preserve"> </w:t>
      </w:r>
      <w:r w:rsidRPr="003F5B64">
        <w:rPr>
          <w:i/>
          <w:iCs/>
        </w:rPr>
        <w:t>Uznaje</w:t>
      </w:r>
      <w:r w:rsidRPr="003F5B64">
        <w:t>, że skarga jest dopuszczalna;</w:t>
      </w:r>
    </w:p>
    <w:p w14:paraId="5BEB5190" w14:textId="77777777" w:rsidR="00493A6D" w:rsidRPr="003F5B64" w:rsidRDefault="00493A6D" w:rsidP="004739EF">
      <w:pPr>
        <w:pStyle w:val="JuList"/>
      </w:pPr>
    </w:p>
    <w:p w14:paraId="6DA4E44A" w14:textId="77777777" w:rsidR="00493A6D" w:rsidRPr="003F5B64" w:rsidRDefault="00493A6D" w:rsidP="004739EF">
      <w:pPr>
        <w:pStyle w:val="JuList"/>
      </w:pPr>
      <w:r w:rsidRPr="003F5B64">
        <w:t>2.</w:t>
      </w:r>
      <w:r w:rsidR="00637775" w:rsidRPr="003F5B64">
        <w:t xml:space="preserve"> </w:t>
      </w:r>
      <w:r w:rsidRPr="003F5B64">
        <w:rPr>
          <w:i/>
          <w:iCs/>
        </w:rPr>
        <w:t>Uznaje</w:t>
      </w:r>
      <w:r w:rsidRPr="003F5B64">
        <w:t>, że doszło do naruszenia art. 6 ust. 1 Konwencji;</w:t>
      </w:r>
    </w:p>
    <w:p w14:paraId="69D6E90F" w14:textId="77777777" w:rsidR="00493A6D" w:rsidRPr="003F5B64" w:rsidRDefault="00493A6D" w:rsidP="004739EF">
      <w:pPr>
        <w:pStyle w:val="JuList"/>
      </w:pPr>
    </w:p>
    <w:p w14:paraId="74B7E027" w14:textId="77777777" w:rsidR="00493A6D" w:rsidRPr="003F5B64" w:rsidRDefault="00493A6D" w:rsidP="004739EF">
      <w:pPr>
        <w:pStyle w:val="JuList"/>
        <w:rPr>
          <w:i/>
          <w:iCs/>
        </w:rPr>
      </w:pPr>
      <w:r w:rsidRPr="003F5B64">
        <w:t>3.</w:t>
      </w:r>
      <w:r w:rsidR="00637775" w:rsidRPr="003F5B64">
        <w:t xml:space="preserve"> </w:t>
      </w:r>
      <w:r w:rsidRPr="003F5B64">
        <w:rPr>
          <w:i/>
          <w:iCs/>
        </w:rPr>
        <w:t>Uznaje, że</w:t>
      </w:r>
    </w:p>
    <w:p w14:paraId="4D1F3419" w14:textId="7615B2B2" w:rsidR="00493A6D" w:rsidRPr="003F5B64" w:rsidRDefault="00493A6D" w:rsidP="00C1422A">
      <w:pPr>
        <w:pStyle w:val="JuListi"/>
        <w:ind w:left="567"/>
      </w:pPr>
      <w:r w:rsidRPr="003F5B64">
        <w:t>(a) pozwane państwo winno w terminie trzech miesięcy od daty, w</w:t>
      </w:r>
      <w:r w:rsidR="003A17FA">
        <w:t> </w:t>
      </w:r>
      <w:r w:rsidRPr="003F5B64">
        <w:t>której niniejszy wyrok stanie się ostateczny zgodnie z art. 44 ust. 2 Konwencji, uiścić na rzecz skarżącego kwotę 7 800 EUR (siedem</w:t>
      </w:r>
      <w:r w:rsidR="003A17FA">
        <w:t> </w:t>
      </w:r>
      <w:r w:rsidRPr="003F5B64">
        <w:t>tysięcy osiemset euro) plus</w:t>
      </w:r>
      <w:r w:rsidR="00C37DD9" w:rsidRPr="003F5B64">
        <w:t xml:space="preserve"> </w:t>
      </w:r>
      <w:r w:rsidRPr="003F5B64">
        <w:t>wszelkie należne podatki, tytułem zadośćuczynienia za szkodę niemajątkową;</w:t>
      </w:r>
    </w:p>
    <w:p w14:paraId="411E8D8E" w14:textId="77777777" w:rsidR="00493A6D" w:rsidRPr="003F5B64" w:rsidRDefault="00493A6D" w:rsidP="004739EF">
      <w:pPr>
        <w:pStyle w:val="JuLista"/>
      </w:pPr>
    </w:p>
    <w:p w14:paraId="4C295EB2" w14:textId="77777777" w:rsidR="00493A6D" w:rsidRPr="003F5B64" w:rsidRDefault="00493A6D" w:rsidP="00A742C1">
      <w:pPr>
        <w:pStyle w:val="JuListi"/>
        <w:ind w:left="567"/>
      </w:pPr>
      <w:r w:rsidRPr="003F5B64">
        <w:t>(b) od upływu wyżej wskazanego terminu trzech miesięcy aż</w:t>
      </w:r>
      <w:r w:rsidR="003A17FA">
        <w:t> </w:t>
      </w:r>
      <w:r w:rsidRPr="003F5B64">
        <w:t>do</w:t>
      </w:r>
      <w:r w:rsidR="003A17FA">
        <w:t> </w:t>
      </w:r>
      <w:r w:rsidRPr="003F5B64">
        <w:t>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6A22B1E5" w14:textId="77777777" w:rsidR="00493A6D" w:rsidRPr="003F5B64" w:rsidRDefault="00493A6D" w:rsidP="004739EF">
      <w:pPr>
        <w:pStyle w:val="JuList"/>
      </w:pPr>
    </w:p>
    <w:p w14:paraId="500F9939" w14:textId="39753B5E" w:rsidR="00493A6D" w:rsidRPr="003F5B64" w:rsidRDefault="00493A6D" w:rsidP="004739EF">
      <w:pPr>
        <w:pStyle w:val="JuList"/>
        <w:keepNext/>
        <w:keepLines/>
      </w:pPr>
      <w:r w:rsidRPr="003F5B64">
        <w:t>4.</w:t>
      </w:r>
      <w:r w:rsidR="00637775" w:rsidRPr="003F5B64">
        <w:t xml:space="preserve"> </w:t>
      </w:r>
      <w:r w:rsidRPr="003F5B64">
        <w:rPr>
          <w:i/>
          <w:iCs/>
        </w:rPr>
        <w:t>Oddala</w:t>
      </w:r>
      <w:r w:rsidRPr="003F5B64">
        <w:t xml:space="preserve"> pozostałą cz</w:t>
      </w:r>
      <w:r w:rsidR="00A742C1" w:rsidRPr="003F5B64">
        <w:t>ęść żądania skarżącego dotyczącego słusznego</w:t>
      </w:r>
      <w:r w:rsidRPr="003F5B64">
        <w:t xml:space="preserve"> zadośćuczynienia.</w:t>
      </w:r>
    </w:p>
    <w:p w14:paraId="0176034A" w14:textId="617363C8" w:rsidR="00493A6D" w:rsidRPr="003F5B64" w:rsidRDefault="00493A6D" w:rsidP="004739EF">
      <w:pPr>
        <w:pStyle w:val="JuParaLast"/>
      </w:pPr>
      <w:r w:rsidRPr="003F5B64">
        <w:t>Sporządzono w języku angielskim i obwieszczono pisemnie w dniu 23</w:t>
      </w:r>
      <w:r w:rsidR="003A17FA">
        <w:t> </w:t>
      </w:r>
      <w:r w:rsidRPr="003F5B64">
        <w:t>maja 2017 r., zgodnie z</w:t>
      </w:r>
      <w:r w:rsidR="00A742C1" w:rsidRPr="003F5B64">
        <w:t xml:space="preserve"> Regułą</w:t>
      </w:r>
      <w:r w:rsidRPr="003F5B64">
        <w:t xml:space="preserve"> 77 §§ 2 i 3 Regulaminu Trybunału.</w:t>
      </w:r>
    </w:p>
    <w:p w14:paraId="2768F0B8" w14:textId="77777777" w:rsidR="00493A6D" w:rsidRPr="004739EF" w:rsidRDefault="00493A6D" w:rsidP="004739EF">
      <w:pPr>
        <w:pStyle w:val="JuSigned"/>
        <w:keepNext/>
        <w:keepLines/>
        <w:suppressLineNumbers/>
      </w:pPr>
      <w:r w:rsidRPr="003F5B64">
        <w:tab/>
      </w:r>
      <w:proofErr w:type="spellStart"/>
      <w:r w:rsidRPr="003F5B64">
        <w:t>Fatoş</w:t>
      </w:r>
      <w:proofErr w:type="spellEnd"/>
      <w:r w:rsidRPr="003F5B64">
        <w:t xml:space="preserve"> </w:t>
      </w:r>
      <w:proofErr w:type="spellStart"/>
      <w:r w:rsidRPr="003F5B64">
        <w:t>Aracı</w:t>
      </w:r>
      <w:proofErr w:type="spellEnd"/>
      <w:r w:rsidRPr="003F5B64">
        <w:tab/>
        <w:t xml:space="preserve">Branko </w:t>
      </w:r>
      <w:proofErr w:type="spellStart"/>
      <w:r w:rsidRPr="003F5B64">
        <w:t>Lubarda</w:t>
      </w:r>
      <w:proofErr w:type="spellEnd"/>
      <w:r w:rsidRPr="003F5B64">
        <w:br/>
      </w:r>
      <w:r w:rsidRPr="003F5B64">
        <w:tab/>
        <w:t>Zastępca Kanclerza</w:t>
      </w:r>
      <w:r w:rsidRPr="003F5B64">
        <w:tab/>
        <w:t>Przewodniczący</w:t>
      </w:r>
    </w:p>
    <w:p w14:paraId="7FE79D94" w14:textId="77777777" w:rsidR="00493A6D" w:rsidRPr="004739EF" w:rsidRDefault="00493A6D" w:rsidP="004739EF">
      <w:pPr>
        <w:pStyle w:val="JuParaLast"/>
        <w:rPr>
          <w:lang w:val="pt-PT"/>
        </w:rPr>
      </w:pPr>
    </w:p>
    <w:sectPr w:rsidR="00493A6D" w:rsidRPr="004739EF">
      <w:headerReference w:type="even" r:id="rId14"/>
      <w:headerReference w:type="default" r:id="rId15"/>
      <w:footnotePr>
        <w:numRestart w:val="eachSect"/>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2456D5" w14:textId="77777777" w:rsidR="00063E92" w:rsidRPr="00512D5D" w:rsidRDefault="00063E92" w:rsidP="00014566">
      <w:pPr>
        <w:rPr>
          <w:lang w:val="en-GB"/>
        </w:rPr>
      </w:pPr>
      <w:r w:rsidRPr="00512D5D">
        <w:rPr>
          <w:lang w:val="en-GB"/>
        </w:rPr>
        <w:separator/>
      </w:r>
    </w:p>
  </w:endnote>
  <w:endnote w:type="continuationSeparator" w:id="0">
    <w:p w14:paraId="4274915B" w14:textId="77777777" w:rsidR="00063E92" w:rsidRPr="00512D5D" w:rsidRDefault="00063E92" w:rsidP="00014566">
      <w:pPr>
        <w:rPr>
          <w:lang w:val="en-GB"/>
        </w:rPr>
      </w:pPr>
      <w:r w:rsidRPr="00512D5D">
        <w:rPr>
          <w:lang w:val="en-GB"/>
        </w:rPr>
        <w:continuationSeparator/>
      </w:r>
    </w:p>
  </w:endnote>
  <w:endnote w:type="continuationNotice" w:id="1">
    <w:p w14:paraId="4EC902B7" w14:textId="77777777" w:rsidR="00063E92" w:rsidRDefault="00063E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16136" w14:textId="77777777" w:rsidR="00654EA6" w:rsidRDefault="00654EA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08EBC" w14:textId="77777777" w:rsidR="00654EA6" w:rsidRDefault="00654EA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66FD4" w14:textId="77777777" w:rsidR="00493A6D" w:rsidRPr="00150BFA" w:rsidRDefault="00FD3379" w:rsidP="0020718E">
    <w:pPr>
      <w:jc w:val="center"/>
    </w:pPr>
    <w:r>
      <w:rPr>
        <w:noProof/>
        <w:lang w:eastAsia="pl-PL"/>
      </w:rPr>
      <w:drawing>
        <wp:inline distT="0" distB="0" distL="0" distR="0" wp14:anchorId="0D6C67A5" wp14:editId="12D0E455">
          <wp:extent cx="762000" cy="61722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p w14:paraId="03ECE32C" w14:textId="77777777" w:rsidR="00493A6D" w:rsidRDefault="00493A6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F76089" w14:textId="77777777" w:rsidR="00063E92" w:rsidRPr="00512D5D" w:rsidRDefault="00063E92" w:rsidP="00014566">
      <w:pPr>
        <w:rPr>
          <w:lang w:val="en-GB"/>
        </w:rPr>
      </w:pPr>
      <w:r w:rsidRPr="00512D5D">
        <w:rPr>
          <w:lang w:val="en-GB"/>
        </w:rPr>
        <w:separator/>
      </w:r>
    </w:p>
  </w:footnote>
  <w:footnote w:type="continuationSeparator" w:id="0">
    <w:p w14:paraId="1F99B149" w14:textId="77777777" w:rsidR="00063E92" w:rsidRPr="00512D5D" w:rsidRDefault="00063E92" w:rsidP="00014566">
      <w:pPr>
        <w:rPr>
          <w:lang w:val="en-GB"/>
        </w:rPr>
      </w:pPr>
      <w:r w:rsidRPr="00512D5D">
        <w:rPr>
          <w:lang w:val="en-GB"/>
        </w:rPr>
        <w:continuationSeparator/>
      </w:r>
    </w:p>
  </w:footnote>
  <w:footnote w:type="continuationNotice" w:id="1">
    <w:p w14:paraId="4EC6B09B" w14:textId="77777777" w:rsidR="00063E92" w:rsidRDefault="00063E92"/>
  </w:footnote>
  <w:footnote w:id="2">
    <w:p w14:paraId="73954131" w14:textId="0E7A3B9F" w:rsidR="00D248B2" w:rsidRPr="009F5F76" w:rsidRDefault="00493A6D" w:rsidP="00844ED6">
      <w:pPr>
        <w:pStyle w:val="s50c0b1c7"/>
        <w:jc w:val="both"/>
        <w:rPr>
          <w:lang w:val="en-GB"/>
        </w:rPr>
      </w:pPr>
      <w:r>
        <w:rPr>
          <w:rStyle w:val="Odwoanieprzypisudolnego"/>
          <w:sz w:val="20"/>
          <w:szCs w:val="20"/>
        </w:rPr>
        <w:footnoteRef/>
      </w:r>
      <w:r>
        <w:t xml:space="preserve"> </w:t>
      </w:r>
      <w:r>
        <w:rPr>
          <w:sz w:val="20"/>
          <w:szCs w:val="20"/>
        </w:rPr>
        <w:t xml:space="preserve">Źródło: Nota informacyjna na temat orzecznictwa Trybunału nr 207, maj 2017 </w:t>
      </w:r>
      <w:r w:rsidR="00B64E0D">
        <w:rPr>
          <w:sz w:val="20"/>
          <w:szCs w:val="20"/>
        </w:rPr>
        <w:t xml:space="preserve">r. </w:t>
      </w:r>
      <w:r>
        <w:rPr>
          <w:sz w:val="20"/>
          <w:szCs w:val="20"/>
        </w:rPr>
        <w:t>(</w:t>
      </w:r>
      <w:r>
        <w:rPr>
          <w:rStyle w:val="s3aeeab2"/>
          <w:i/>
          <w:iCs/>
          <w:sz w:val="20"/>
          <w:szCs w:val="20"/>
        </w:rPr>
        <w:t xml:space="preserve">Information </w:t>
      </w:r>
      <w:proofErr w:type="spellStart"/>
      <w:r>
        <w:rPr>
          <w:rStyle w:val="s3aeeab2"/>
          <w:i/>
          <w:iCs/>
          <w:sz w:val="20"/>
          <w:szCs w:val="20"/>
        </w:rPr>
        <w:t>Note</w:t>
      </w:r>
      <w:proofErr w:type="spellEnd"/>
      <w:r>
        <w:rPr>
          <w:rStyle w:val="s3aeeab2"/>
          <w:i/>
          <w:iCs/>
          <w:sz w:val="20"/>
          <w:szCs w:val="20"/>
        </w:rPr>
        <w:t xml:space="preserve"> 207. </w:t>
      </w:r>
      <w:r w:rsidRPr="00C1422A">
        <w:rPr>
          <w:rStyle w:val="s3aeeab2"/>
          <w:i/>
          <w:iCs/>
          <w:sz w:val="20"/>
          <w:szCs w:val="20"/>
          <w:lang w:val="en-US"/>
        </w:rPr>
        <w:t>Case-law of the European Court of Human Rights, May</w:t>
      </w:r>
      <w:r w:rsidR="00637775">
        <w:rPr>
          <w:rStyle w:val="sfbbfee58"/>
          <w:i/>
          <w:iCs/>
          <w:sz w:val="20"/>
          <w:szCs w:val="20"/>
          <w:lang w:val="en-US"/>
        </w:rPr>
        <w:t xml:space="preserve"> </w:t>
      </w:r>
      <w:r w:rsidRPr="00C1422A">
        <w:rPr>
          <w:rStyle w:val="sfbbfee58"/>
          <w:i/>
          <w:iCs/>
          <w:sz w:val="20"/>
          <w:szCs w:val="20"/>
          <w:lang w:val="en-US"/>
        </w:rPr>
        <w:t>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2F827" w14:textId="77777777" w:rsidR="00654EA6" w:rsidRDefault="00654E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C7E6F0" w14:textId="77777777" w:rsidR="00493A6D" w:rsidRPr="00665A0F" w:rsidRDefault="00493A6D" w:rsidP="00665A0F">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6127C" w14:textId="77777777" w:rsidR="00493A6D" w:rsidRPr="00A45145" w:rsidRDefault="00FD3379" w:rsidP="00A45145">
    <w:pPr>
      <w:jc w:val="center"/>
    </w:pPr>
    <w:r>
      <w:rPr>
        <w:noProof/>
        <w:lang w:eastAsia="pl-PL"/>
      </w:rPr>
      <w:drawing>
        <wp:inline distT="0" distB="0" distL="0" distR="0" wp14:anchorId="427699AA" wp14:editId="5AF1E85F">
          <wp:extent cx="2956560" cy="12192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6560" cy="1219200"/>
                  </a:xfrm>
                  <a:prstGeom prst="rect">
                    <a:avLst/>
                  </a:prstGeom>
                  <a:noFill/>
                  <a:ln>
                    <a:noFill/>
                  </a:ln>
                </pic:spPr>
              </pic:pic>
            </a:graphicData>
          </a:graphic>
        </wp:inline>
      </w:drawing>
    </w:r>
  </w:p>
  <w:p w14:paraId="246FFFEE" w14:textId="77777777" w:rsidR="00493A6D" w:rsidRDefault="00493A6D">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E90E41" w14:textId="77777777" w:rsidR="00493A6D" w:rsidRPr="0000309A" w:rsidRDefault="00493A6D" w:rsidP="00EE1DA9">
    <w:pPr>
      <w:pStyle w:val="ECHRHeader"/>
    </w:pPr>
    <w:r w:rsidRPr="0000309A">
      <w:rPr>
        <w:rStyle w:val="Numerstrony"/>
      </w:rPr>
      <w:fldChar w:fldCharType="begin"/>
    </w:r>
    <w:r w:rsidRPr="0000309A">
      <w:rPr>
        <w:rStyle w:val="Numerstrony"/>
      </w:rPr>
      <w:instrText xml:space="preserve"> PAGE </w:instrText>
    </w:r>
    <w:r w:rsidRPr="0000309A">
      <w:rPr>
        <w:rStyle w:val="Numerstrony"/>
      </w:rPr>
      <w:fldChar w:fldCharType="separate"/>
    </w:r>
    <w:r w:rsidR="00A746EA">
      <w:rPr>
        <w:rStyle w:val="Numerstrony"/>
        <w:noProof/>
      </w:rPr>
      <w:t>8</w:t>
    </w:r>
    <w:r w:rsidRPr="0000309A">
      <w:rPr>
        <w:rStyle w:val="Numerstrony"/>
      </w:rPr>
      <w:fldChar w:fldCharType="end"/>
    </w:r>
    <w:r>
      <w:tab/>
      <w:t>WYROK W SPRAWIE PALUDA PRZECIWKO SŁOWACJI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FFB2B" w14:textId="77777777" w:rsidR="00493A6D" w:rsidRPr="0000309A" w:rsidRDefault="00493A6D" w:rsidP="00D60D87">
    <w:pPr>
      <w:pStyle w:val="ECHRHeader"/>
    </w:pPr>
    <w:r>
      <w:tab/>
      <w:t>WYROK W SPRAWIE PALUDA PRZECIWKO SŁOWACJI</w:t>
    </w:r>
    <w:r>
      <w:tab/>
    </w:r>
    <w:r w:rsidRPr="0000309A">
      <w:rPr>
        <w:rStyle w:val="Numerstrony"/>
      </w:rPr>
      <w:fldChar w:fldCharType="begin"/>
    </w:r>
    <w:r w:rsidRPr="0000309A">
      <w:rPr>
        <w:rStyle w:val="Numerstrony"/>
      </w:rPr>
      <w:instrText xml:space="preserve"> PAGE </w:instrText>
    </w:r>
    <w:r w:rsidRPr="0000309A">
      <w:rPr>
        <w:rStyle w:val="Numerstrony"/>
      </w:rPr>
      <w:fldChar w:fldCharType="separate"/>
    </w:r>
    <w:r w:rsidR="00A746EA">
      <w:rPr>
        <w:rStyle w:val="Numerstrony"/>
        <w:noProof/>
      </w:rPr>
      <w:t>9</w:t>
    </w:r>
    <w:r w:rsidRPr="0000309A">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90ECFBC"/>
    <w:lvl w:ilvl="0">
      <w:start w:val="1"/>
      <w:numFmt w:val="decimal"/>
      <w:pStyle w:val="Listanumerowana5"/>
      <w:lvlText w:val="%1."/>
      <w:lvlJc w:val="left"/>
      <w:pPr>
        <w:tabs>
          <w:tab w:val="num" w:pos="1209"/>
        </w:tabs>
        <w:ind w:left="1209" w:hanging="360"/>
      </w:pPr>
    </w:lvl>
  </w:abstractNum>
  <w:abstractNum w:abstractNumId="1">
    <w:nsid w:val="FFFFFF7E"/>
    <w:multiLevelType w:val="singleLevel"/>
    <w:tmpl w:val="C5B8BEFC"/>
    <w:lvl w:ilvl="0">
      <w:start w:val="1"/>
      <w:numFmt w:val="decimal"/>
      <w:pStyle w:val="Listanumerowana4"/>
      <w:lvlText w:val="%1."/>
      <w:lvlJc w:val="left"/>
      <w:pPr>
        <w:tabs>
          <w:tab w:val="num" w:pos="926"/>
        </w:tabs>
        <w:ind w:left="926" w:hanging="360"/>
      </w:pPr>
    </w:lvl>
  </w:abstractNum>
  <w:abstractNum w:abstractNumId="2">
    <w:nsid w:val="FFFFFF7F"/>
    <w:multiLevelType w:val="singleLevel"/>
    <w:tmpl w:val="6F1CF73A"/>
    <w:lvl w:ilvl="0">
      <w:start w:val="1"/>
      <w:numFmt w:val="decimal"/>
      <w:pStyle w:val="Listanumerowana3"/>
      <w:lvlText w:val="%1."/>
      <w:lvlJc w:val="left"/>
      <w:pPr>
        <w:tabs>
          <w:tab w:val="num" w:pos="643"/>
        </w:tabs>
        <w:ind w:left="643" w:hanging="360"/>
      </w:pPr>
    </w:lvl>
  </w:abstractNum>
  <w:abstractNum w:abstractNumId="3">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4">
    <w:nsid w:val="FFFFFF81"/>
    <w:multiLevelType w:val="singleLevel"/>
    <w:tmpl w:val="017E8E7C"/>
    <w:lvl w:ilvl="0">
      <w:start w:val="1"/>
      <w:numFmt w:val="bullet"/>
      <w:pStyle w:val="JuAppQuestion"/>
      <w:lvlText w:val=""/>
      <w:lvlJc w:val="left"/>
      <w:pPr>
        <w:tabs>
          <w:tab w:val="num" w:pos="1209"/>
        </w:tabs>
        <w:ind w:left="1209" w:hanging="360"/>
      </w:pPr>
      <w:rPr>
        <w:rFonts w:ascii="Symbol" w:hAnsi="Symbol" w:cs="Symbol" w:hint="default"/>
      </w:rPr>
    </w:lvl>
  </w:abstractNum>
  <w:abstractNum w:abstractNumId="5">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6">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7">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8">
    <w:nsid w:val="FFFFFF89"/>
    <w:multiLevelType w:val="singleLevel"/>
    <w:tmpl w:val="9EB8632A"/>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2">
    <w:nsid w:val="7737461D"/>
    <w:multiLevelType w:val="multilevel"/>
    <w:tmpl w:val="040C0023"/>
    <w:styleLink w:val="ArticleSection"/>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11"/>
  </w:num>
  <w:num w:numId="11">
    <w:abstractNumId w:val="10"/>
  </w:num>
  <w:num w:numId="12">
    <w:abstractNumId w:val="9"/>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95D7E"/>
    <w:rsid w:val="00000067"/>
    <w:rsid w:val="000010ED"/>
    <w:rsid w:val="0000309A"/>
    <w:rsid w:val="000041F8"/>
    <w:rsid w:val="000042A8"/>
    <w:rsid w:val="00004308"/>
    <w:rsid w:val="00005BF0"/>
    <w:rsid w:val="00007154"/>
    <w:rsid w:val="000103AE"/>
    <w:rsid w:val="00011D69"/>
    <w:rsid w:val="00012AD3"/>
    <w:rsid w:val="00014566"/>
    <w:rsid w:val="00015C2D"/>
    <w:rsid w:val="00015F00"/>
    <w:rsid w:val="00022C1D"/>
    <w:rsid w:val="00023CE2"/>
    <w:rsid w:val="00034987"/>
    <w:rsid w:val="000350E3"/>
    <w:rsid w:val="000602DF"/>
    <w:rsid w:val="00061B05"/>
    <w:rsid w:val="00062973"/>
    <w:rsid w:val="00062D5D"/>
    <w:rsid w:val="000632D5"/>
    <w:rsid w:val="00063E92"/>
    <w:rsid w:val="000644EE"/>
    <w:rsid w:val="00071ABC"/>
    <w:rsid w:val="00072875"/>
    <w:rsid w:val="000750A7"/>
    <w:rsid w:val="00081C0B"/>
    <w:rsid w:val="000856D7"/>
    <w:rsid w:val="000925AD"/>
    <w:rsid w:val="000954F9"/>
    <w:rsid w:val="000A24EB"/>
    <w:rsid w:val="000A3169"/>
    <w:rsid w:val="000B6923"/>
    <w:rsid w:val="000C033C"/>
    <w:rsid w:val="000C5F3C"/>
    <w:rsid w:val="000C6DCC"/>
    <w:rsid w:val="000C6F03"/>
    <w:rsid w:val="000D47AA"/>
    <w:rsid w:val="000D721F"/>
    <w:rsid w:val="000D7EFF"/>
    <w:rsid w:val="000E069B"/>
    <w:rsid w:val="000E0E82"/>
    <w:rsid w:val="000E1DC5"/>
    <w:rsid w:val="000E223F"/>
    <w:rsid w:val="000E35AC"/>
    <w:rsid w:val="000E7D45"/>
    <w:rsid w:val="000F7851"/>
    <w:rsid w:val="001003AD"/>
    <w:rsid w:val="0010077D"/>
    <w:rsid w:val="00104E23"/>
    <w:rsid w:val="00111B0C"/>
    <w:rsid w:val="00120D6C"/>
    <w:rsid w:val="001257EC"/>
    <w:rsid w:val="00132C6A"/>
    <w:rsid w:val="00133D33"/>
    <w:rsid w:val="00134D64"/>
    <w:rsid w:val="00135A30"/>
    <w:rsid w:val="0013612C"/>
    <w:rsid w:val="00137FF6"/>
    <w:rsid w:val="00141650"/>
    <w:rsid w:val="00143476"/>
    <w:rsid w:val="00146634"/>
    <w:rsid w:val="00150BFA"/>
    <w:rsid w:val="00162A12"/>
    <w:rsid w:val="001650D0"/>
    <w:rsid w:val="00166047"/>
    <w:rsid w:val="00166530"/>
    <w:rsid w:val="001832BD"/>
    <w:rsid w:val="00185051"/>
    <w:rsid w:val="00185AE1"/>
    <w:rsid w:val="0018649F"/>
    <w:rsid w:val="00187B18"/>
    <w:rsid w:val="001943B5"/>
    <w:rsid w:val="00195134"/>
    <w:rsid w:val="001A145B"/>
    <w:rsid w:val="001A674C"/>
    <w:rsid w:val="001A77C5"/>
    <w:rsid w:val="001B3B24"/>
    <w:rsid w:val="001C0F98"/>
    <w:rsid w:val="001C2A42"/>
    <w:rsid w:val="001C3A2C"/>
    <w:rsid w:val="001C44BB"/>
    <w:rsid w:val="001D63ED"/>
    <w:rsid w:val="001D7348"/>
    <w:rsid w:val="001E035B"/>
    <w:rsid w:val="001E0961"/>
    <w:rsid w:val="001E26C0"/>
    <w:rsid w:val="001E3EAE"/>
    <w:rsid w:val="001E5348"/>
    <w:rsid w:val="001E6F32"/>
    <w:rsid w:val="001E7FA6"/>
    <w:rsid w:val="001F2145"/>
    <w:rsid w:val="001F6262"/>
    <w:rsid w:val="001F67B0"/>
    <w:rsid w:val="001F7B3D"/>
    <w:rsid w:val="00201875"/>
    <w:rsid w:val="002035C3"/>
    <w:rsid w:val="00205F9F"/>
    <w:rsid w:val="0020718E"/>
    <w:rsid w:val="00210338"/>
    <w:rsid w:val="002115FC"/>
    <w:rsid w:val="00212324"/>
    <w:rsid w:val="002133F8"/>
    <w:rsid w:val="0021423C"/>
    <w:rsid w:val="00220724"/>
    <w:rsid w:val="00221D8A"/>
    <w:rsid w:val="00230D00"/>
    <w:rsid w:val="00231DF7"/>
    <w:rsid w:val="00231FD1"/>
    <w:rsid w:val="002339E0"/>
    <w:rsid w:val="00233CF8"/>
    <w:rsid w:val="0023575D"/>
    <w:rsid w:val="00237148"/>
    <w:rsid w:val="0024222D"/>
    <w:rsid w:val="00244B0E"/>
    <w:rsid w:val="00244F6C"/>
    <w:rsid w:val="00247622"/>
    <w:rsid w:val="002532C5"/>
    <w:rsid w:val="00260C03"/>
    <w:rsid w:val="0026540E"/>
    <w:rsid w:val="0027225C"/>
    <w:rsid w:val="0027321F"/>
    <w:rsid w:val="00275123"/>
    <w:rsid w:val="00282240"/>
    <w:rsid w:val="00282F77"/>
    <w:rsid w:val="0028572A"/>
    <w:rsid w:val="0029365B"/>
    <w:rsid w:val="002948AD"/>
    <w:rsid w:val="00294C05"/>
    <w:rsid w:val="00294C92"/>
    <w:rsid w:val="002A01CC"/>
    <w:rsid w:val="002A61B1"/>
    <w:rsid w:val="002A663C"/>
    <w:rsid w:val="002B1E6C"/>
    <w:rsid w:val="002B444B"/>
    <w:rsid w:val="002B5887"/>
    <w:rsid w:val="002C0692"/>
    <w:rsid w:val="002C0E27"/>
    <w:rsid w:val="002C3040"/>
    <w:rsid w:val="002C5CEC"/>
    <w:rsid w:val="002D022D"/>
    <w:rsid w:val="002D1428"/>
    <w:rsid w:val="002D24BB"/>
    <w:rsid w:val="002F2AF7"/>
    <w:rsid w:val="002F7E1C"/>
    <w:rsid w:val="003013F9"/>
    <w:rsid w:val="00301A75"/>
    <w:rsid w:val="00302F70"/>
    <w:rsid w:val="0030336F"/>
    <w:rsid w:val="0030375E"/>
    <w:rsid w:val="00312A30"/>
    <w:rsid w:val="00320356"/>
    <w:rsid w:val="00320F72"/>
    <w:rsid w:val="00322D34"/>
    <w:rsid w:val="0032463E"/>
    <w:rsid w:val="00326224"/>
    <w:rsid w:val="0032676F"/>
    <w:rsid w:val="00337EE4"/>
    <w:rsid w:val="00340FFD"/>
    <w:rsid w:val="0034680F"/>
    <w:rsid w:val="003506B1"/>
    <w:rsid w:val="00356AC7"/>
    <w:rsid w:val="003609FA"/>
    <w:rsid w:val="003630F1"/>
    <w:rsid w:val="003710C8"/>
    <w:rsid w:val="003750BE"/>
    <w:rsid w:val="00380E7D"/>
    <w:rsid w:val="00383A4C"/>
    <w:rsid w:val="00387B9D"/>
    <w:rsid w:val="0039364F"/>
    <w:rsid w:val="003940CE"/>
    <w:rsid w:val="00396686"/>
    <w:rsid w:val="0039778E"/>
    <w:rsid w:val="003A17FA"/>
    <w:rsid w:val="003A441D"/>
    <w:rsid w:val="003B4941"/>
    <w:rsid w:val="003C0E73"/>
    <w:rsid w:val="003C5714"/>
    <w:rsid w:val="003C6B9F"/>
    <w:rsid w:val="003C6E2A"/>
    <w:rsid w:val="003D0299"/>
    <w:rsid w:val="003E6D80"/>
    <w:rsid w:val="003F05FA"/>
    <w:rsid w:val="003F1236"/>
    <w:rsid w:val="003F244A"/>
    <w:rsid w:val="003F30B8"/>
    <w:rsid w:val="003F4C45"/>
    <w:rsid w:val="003F5B64"/>
    <w:rsid w:val="003F5F7B"/>
    <w:rsid w:val="003F7CBA"/>
    <w:rsid w:val="003F7D64"/>
    <w:rsid w:val="004049A7"/>
    <w:rsid w:val="00414300"/>
    <w:rsid w:val="00425C67"/>
    <w:rsid w:val="00427E7A"/>
    <w:rsid w:val="00436307"/>
    <w:rsid w:val="00436C49"/>
    <w:rsid w:val="004407B4"/>
    <w:rsid w:val="00445366"/>
    <w:rsid w:val="00447F5B"/>
    <w:rsid w:val="0045394F"/>
    <w:rsid w:val="00454BCD"/>
    <w:rsid w:val="004558C0"/>
    <w:rsid w:val="00460321"/>
    <w:rsid w:val="00461DB0"/>
    <w:rsid w:val="00463926"/>
    <w:rsid w:val="00464097"/>
    <w:rsid w:val="004646E0"/>
    <w:rsid w:val="00464C9A"/>
    <w:rsid w:val="004739EF"/>
    <w:rsid w:val="00473A1C"/>
    <w:rsid w:val="00474305"/>
    <w:rsid w:val="00474F3D"/>
    <w:rsid w:val="00475683"/>
    <w:rsid w:val="00477E3A"/>
    <w:rsid w:val="00483E5F"/>
    <w:rsid w:val="00485FF9"/>
    <w:rsid w:val="004907F0"/>
    <w:rsid w:val="0049140B"/>
    <w:rsid w:val="004923A5"/>
    <w:rsid w:val="0049388A"/>
    <w:rsid w:val="00493A6D"/>
    <w:rsid w:val="00496BFB"/>
    <w:rsid w:val="004A15C7"/>
    <w:rsid w:val="004A3E1A"/>
    <w:rsid w:val="004B013B"/>
    <w:rsid w:val="004B0764"/>
    <w:rsid w:val="004B112B"/>
    <w:rsid w:val="004B2FB2"/>
    <w:rsid w:val="004B370C"/>
    <w:rsid w:val="004B4BCC"/>
    <w:rsid w:val="004C01E4"/>
    <w:rsid w:val="004C072F"/>
    <w:rsid w:val="004C086C"/>
    <w:rsid w:val="004C1F56"/>
    <w:rsid w:val="004C27BC"/>
    <w:rsid w:val="004D15F3"/>
    <w:rsid w:val="004D5311"/>
    <w:rsid w:val="004D5DCC"/>
    <w:rsid w:val="004E174A"/>
    <w:rsid w:val="004E5994"/>
    <w:rsid w:val="004F10AF"/>
    <w:rsid w:val="004F11A4"/>
    <w:rsid w:val="004F2389"/>
    <w:rsid w:val="004F304D"/>
    <w:rsid w:val="004F61BE"/>
    <w:rsid w:val="004F66B1"/>
    <w:rsid w:val="00511C07"/>
    <w:rsid w:val="00512D5D"/>
    <w:rsid w:val="0051448B"/>
    <w:rsid w:val="005173A6"/>
    <w:rsid w:val="00520BAA"/>
    <w:rsid w:val="00523122"/>
    <w:rsid w:val="00525208"/>
    <w:rsid w:val="005257A5"/>
    <w:rsid w:val="005264C0"/>
    <w:rsid w:val="00526A8A"/>
    <w:rsid w:val="00531DF2"/>
    <w:rsid w:val="00535BB8"/>
    <w:rsid w:val="00536412"/>
    <w:rsid w:val="005442EE"/>
    <w:rsid w:val="00547353"/>
    <w:rsid w:val="005474E7"/>
    <w:rsid w:val="005503A2"/>
    <w:rsid w:val="005512A3"/>
    <w:rsid w:val="005578CE"/>
    <w:rsid w:val="00562781"/>
    <w:rsid w:val="00562BC5"/>
    <w:rsid w:val="00563E83"/>
    <w:rsid w:val="005648E2"/>
    <w:rsid w:val="00571D71"/>
    <w:rsid w:val="0057271C"/>
    <w:rsid w:val="00572845"/>
    <w:rsid w:val="0058615A"/>
    <w:rsid w:val="00592772"/>
    <w:rsid w:val="0059574A"/>
    <w:rsid w:val="005967DE"/>
    <w:rsid w:val="00596C22"/>
    <w:rsid w:val="005A1B9B"/>
    <w:rsid w:val="005A6751"/>
    <w:rsid w:val="005B092E"/>
    <w:rsid w:val="005B152C"/>
    <w:rsid w:val="005B1EE0"/>
    <w:rsid w:val="005B2B24"/>
    <w:rsid w:val="005B39F0"/>
    <w:rsid w:val="005B4425"/>
    <w:rsid w:val="005B4B94"/>
    <w:rsid w:val="005B5C5A"/>
    <w:rsid w:val="005C3EE8"/>
    <w:rsid w:val="005D34F9"/>
    <w:rsid w:val="005D4190"/>
    <w:rsid w:val="005D67A3"/>
    <w:rsid w:val="005E2988"/>
    <w:rsid w:val="005E2A43"/>
    <w:rsid w:val="005E3085"/>
    <w:rsid w:val="005E438A"/>
    <w:rsid w:val="005F51E1"/>
    <w:rsid w:val="00607615"/>
    <w:rsid w:val="00611C80"/>
    <w:rsid w:val="00616421"/>
    <w:rsid w:val="006177C8"/>
    <w:rsid w:val="00620692"/>
    <w:rsid w:val="006242CA"/>
    <w:rsid w:val="00627507"/>
    <w:rsid w:val="00633717"/>
    <w:rsid w:val="00633E63"/>
    <w:rsid w:val="006344E1"/>
    <w:rsid w:val="00637775"/>
    <w:rsid w:val="006545C4"/>
    <w:rsid w:val="00654EA6"/>
    <w:rsid w:val="00661735"/>
    <w:rsid w:val="00661971"/>
    <w:rsid w:val="00661CE8"/>
    <w:rsid w:val="006623D9"/>
    <w:rsid w:val="00662C6C"/>
    <w:rsid w:val="0066550C"/>
    <w:rsid w:val="00665A0F"/>
    <w:rsid w:val="006716F2"/>
    <w:rsid w:val="00676947"/>
    <w:rsid w:val="00682BF2"/>
    <w:rsid w:val="006859CE"/>
    <w:rsid w:val="00691270"/>
    <w:rsid w:val="00694BA8"/>
    <w:rsid w:val="006A037C"/>
    <w:rsid w:val="006A36F4"/>
    <w:rsid w:val="006A406F"/>
    <w:rsid w:val="006A5D3A"/>
    <w:rsid w:val="006A69AA"/>
    <w:rsid w:val="006A7D19"/>
    <w:rsid w:val="006C23D4"/>
    <w:rsid w:val="006C7BB0"/>
    <w:rsid w:val="006D3237"/>
    <w:rsid w:val="006E2E37"/>
    <w:rsid w:val="006E3CF1"/>
    <w:rsid w:val="006E7E80"/>
    <w:rsid w:val="006F1DF9"/>
    <w:rsid w:val="006F24DB"/>
    <w:rsid w:val="006F48CA"/>
    <w:rsid w:val="006F64DD"/>
    <w:rsid w:val="00704085"/>
    <w:rsid w:val="0071401C"/>
    <w:rsid w:val="00715127"/>
    <w:rsid w:val="00715E8E"/>
    <w:rsid w:val="00715F52"/>
    <w:rsid w:val="00723580"/>
    <w:rsid w:val="00723755"/>
    <w:rsid w:val="0073136C"/>
    <w:rsid w:val="00731F0F"/>
    <w:rsid w:val="00733250"/>
    <w:rsid w:val="00735916"/>
    <w:rsid w:val="00741404"/>
    <w:rsid w:val="007449E5"/>
    <w:rsid w:val="00745A7E"/>
    <w:rsid w:val="00746C5A"/>
    <w:rsid w:val="00747FF0"/>
    <w:rsid w:val="00764D4E"/>
    <w:rsid w:val="00765A1F"/>
    <w:rsid w:val="007716AB"/>
    <w:rsid w:val="00775B6D"/>
    <w:rsid w:val="00776D68"/>
    <w:rsid w:val="00776E5B"/>
    <w:rsid w:val="0078202A"/>
    <w:rsid w:val="007850EE"/>
    <w:rsid w:val="00785B95"/>
    <w:rsid w:val="007865EC"/>
    <w:rsid w:val="00790E96"/>
    <w:rsid w:val="00793366"/>
    <w:rsid w:val="0079700A"/>
    <w:rsid w:val="007A42C0"/>
    <w:rsid w:val="007A716F"/>
    <w:rsid w:val="007A7634"/>
    <w:rsid w:val="007B270A"/>
    <w:rsid w:val="007B3D18"/>
    <w:rsid w:val="007C0695"/>
    <w:rsid w:val="007C419A"/>
    <w:rsid w:val="007C4CC8"/>
    <w:rsid w:val="007C5426"/>
    <w:rsid w:val="007C5798"/>
    <w:rsid w:val="007D3818"/>
    <w:rsid w:val="007D4832"/>
    <w:rsid w:val="007D5446"/>
    <w:rsid w:val="007D7642"/>
    <w:rsid w:val="007E21B2"/>
    <w:rsid w:val="007E2C4E"/>
    <w:rsid w:val="007E6285"/>
    <w:rsid w:val="007F1905"/>
    <w:rsid w:val="007F5740"/>
    <w:rsid w:val="007F6933"/>
    <w:rsid w:val="007F77E2"/>
    <w:rsid w:val="0080048F"/>
    <w:rsid w:val="00801300"/>
    <w:rsid w:val="00802C64"/>
    <w:rsid w:val="008046A7"/>
    <w:rsid w:val="00805E52"/>
    <w:rsid w:val="008061D0"/>
    <w:rsid w:val="008064D1"/>
    <w:rsid w:val="00807F4B"/>
    <w:rsid w:val="00810B38"/>
    <w:rsid w:val="008204C7"/>
    <w:rsid w:val="00820992"/>
    <w:rsid w:val="00823602"/>
    <w:rsid w:val="008255F5"/>
    <w:rsid w:val="0083014E"/>
    <w:rsid w:val="00830DD1"/>
    <w:rsid w:val="0083214A"/>
    <w:rsid w:val="008337BA"/>
    <w:rsid w:val="00834220"/>
    <w:rsid w:val="00844ED6"/>
    <w:rsid w:val="00845723"/>
    <w:rsid w:val="00851EF9"/>
    <w:rsid w:val="008577FD"/>
    <w:rsid w:val="00860B03"/>
    <w:rsid w:val="0086497A"/>
    <w:rsid w:val="008713A1"/>
    <w:rsid w:val="008754AB"/>
    <w:rsid w:val="0088060C"/>
    <w:rsid w:val="00893576"/>
    <w:rsid w:val="00893E73"/>
    <w:rsid w:val="008A43C4"/>
    <w:rsid w:val="008B02DC"/>
    <w:rsid w:val="008B579D"/>
    <w:rsid w:val="008B57CE"/>
    <w:rsid w:val="008B659F"/>
    <w:rsid w:val="008C26DE"/>
    <w:rsid w:val="008D2225"/>
    <w:rsid w:val="008D4752"/>
    <w:rsid w:val="008D4F5B"/>
    <w:rsid w:val="008D552A"/>
    <w:rsid w:val="008E271C"/>
    <w:rsid w:val="008E418E"/>
    <w:rsid w:val="008E5BC6"/>
    <w:rsid w:val="008E6A25"/>
    <w:rsid w:val="008F5193"/>
    <w:rsid w:val="008F56D3"/>
    <w:rsid w:val="009013A7"/>
    <w:rsid w:val="009017FB"/>
    <w:rsid w:val="009017FC"/>
    <w:rsid w:val="00903B43"/>
    <w:rsid w:val="0090506B"/>
    <w:rsid w:val="009050C9"/>
    <w:rsid w:val="009066FC"/>
    <w:rsid w:val="00906D01"/>
    <w:rsid w:val="009140A3"/>
    <w:rsid w:val="009144A2"/>
    <w:rsid w:val="0091510C"/>
    <w:rsid w:val="0091553F"/>
    <w:rsid w:val="009259AC"/>
    <w:rsid w:val="00926F38"/>
    <w:rsid w:val="00934301"/>
    <w:rsid w:val="00936CD1"/>
    <w:rsid w:val="00941747"/>
    <w:rsid w:val="00941EC2"/>
    <w:rsid w:val="00941EFB"/>
    <w:rsid w:val="00944D7D"/>
    <w:rsid w:val="00947AFB"/>
    <w:rsid w:val="00951D7D"/>
    <w:rsid w:val="00952C12"/>
    <w:rsid w:val="009630C7"/>
    <w:rsid w:val="0097140F"/>
    <w:rsid w:val="00972B55"/>
    <w:rsid w:val="009743B7"/>
    <w:rsid w:val="0098228B"/>
    <w:rsid w:val="009828DA"/>
    <w:rsid w:val="00985BAB"/>
    <w:rsid w:val="00987D90"/>
    <w:rsid w:val="00995D7E"/>
    <w:rsid w:val="00997F03"/>
    <w:rsid w:val="009A46DF"/>
    <w:rsid w:val="009B1B5F"/>
    <w:rsid w:val="009B2EC2"/>
    <w:rsid w:val="009B3A04"/>
    <w:rsid w:val="009B41DF"/>
    <w:rsid w:val="009B6673"/>
    <w:rsid w:val="009C01D0"/>
    <w:rsid w:val="009C0612"/>
    <w:rsid w:val="009C191B"/>
    <w:rsid w:val="009C2BD6"/>
    <w:rsid w:val="009C6BA0"/>
    <w:rsid w:val="009D1688"/>
    <w:rsid w:val="009D2BD5"/>
    <w:rsid w:val="009E1F32"/>
    <w:rsid w:val="009E3BC5"/>
    <w:rsid w:val="009E5829"/>
    <w:rsid w:val="009E776C"/>
    <w:rsid w:val="009F5F76"/>
    <w:rsid w:val="00A066AC"/>
    <w:rsid w:val="00A106DC"/>
    <w:rsid w:val="00A1726E"/>
    <w:rsid w:val="00A204CF"/>
    <w:rsid w:val="00A23D49"/>
    <w:rsid w:val="00A27004"/>
    <w:rsid w:val="00A30C29"/>
    <w:rsid w:val="00A31F7C"/>
    <w:rsid w:val="00A34DD6"/>
    <w:rsid w:val="00A36819"/>
    <w:rsid w:val="00A36989"/>
    <w:rsid w:val="00A43628"/>
    <w:rsid w:val="00A439BF"/>
    <w:rsid w:val="00A45145"/>
    <w:rsid w:val="00A54192"/>
    <w:rsid w:val="00A6035E"/>
    <w:rsid w:val="00A6144C"/>
    <w:rsid w:val="00A64078"/>
    <w:rsid w:val="00A65778"/>
    <w:rsid w:val="00A665F2"/>
    <w:rsid w:val="00A66617"/>
    <w:rsid w:val="00A671F8"/>
    <w:rsid w:val="00A673A4"/>
    <w:rsid w:val="00A724AE"/>
    <w:rsid w:val="00A72C72"/>
    <w:rsid w:val="00A73329"/>
    <w:rsid w:val="00A742C1"/>
    <w:rsid w:val="00A746EA"/>
    <w:rsid w:val="00A76FD3"/>
    <w:rsid w:val="00A82359"/>
    <w:rsid w:val="00A865D2"/>
    <w:rsid w:val="00A94C20"/>
    <w:rsid w:val="00A96ED6"/>
    <w:rsid w:val="00AA227F"/>
    <w:rsid w:val="00AA3BC7"/>
    <w:rsid w:val="00AA754A"/>
    <w:rsid w:val="00AB099E"/>
    <w:rsid w:val="00AB1487"/>
    <w:rsid w:val="00AB4328"/>
    <w:rsid w:val="00AB5FA0"/>
    <w:rsid w:val="00AC7AF9"/>
    <w:rsid w:val="00AE0A2E"/>
    <w:rsid w:val="00AE10BF"/>
    <w:rsid w:val="00AE354C"/>
    <w:rsid w:val="00AF0A9B"/>
    <w:rsid w:val="00AF4B07"/>
    <w:rsid w:val="00AF6186"/>
    <w:rsid w:val="00AF7A3A"/>
    <w:rsid w:val="00B10D77"/>
    <w:rsid w:val="00B11B0C"/>
    <w:rsid w:val="00B14D8B"/>
    <w:rsid w:val="00B160DB"/>
    <w:rsid w:val="00B20836"/>
    <w:rsid w:val="00B21DD6"/>
    <w:rsid w:val="00B227BF"/>
    <w:rsid w:val="00B235BB"/>
    <w:rsid w:val="00B27A44"/>
    <w:rsid w:val="00B30BBF"/>
    <w:rsid w:val="00B3368C"/>
    <w:rsid w:val="00B33B9A"/>
    <w:rsid w:val="00B33C03"/>
    <w:rsid w:val="00B37909"/>
    <w:rsid w:val="00B40964"/>
    <w:rsid w:val="00B439C6"/>
    <w:rsid w:val="00B44E56"/>
    <w:rsid w:val="00B46543"/>
    <w:rsid w:val="00B47176"/>
    <w:rsid w:val="00B47D33"/>
    <w:rsid w:val="00B5123C"/>
    <w:rsid w:val="00B52BE0"/>
    <w:rsid w:val="00B54133"/>
    <w:rsid w:val="00B637B9"/>
    <w:rsid w:val="00B64E0D"/>
    <w:rsid w:val="00B701ED"/>
    <w:rsid w:val="00B73225"/>
    <w:rsid w:val="00B8086C"/>
    <w:rsid w:val="00B861B4"/>
    <w:rsid w:val="00B86DFE"/>
    <w:rsid w:val="00B90990"/>
    <w:rsid w:val="00B922FF"/>
    <w:rsid w:val="00B9281E"/>
    <w:rsid w:val="00B93925"/>
    <w:rsid w:val="00B95187"/>
    <w:rsid w:val="00BA2D55"/>
    <w:rsid w:val="00BA71B1"/>
    <w:rsid w:val="00BB0637"/>
    <w:rsid w:val="00BB28E8"/>
    <w:rsid w:val="00BB345F"/>
    <w:rsid w:val="00BB5883"/>
    <w:rsid w:val="00BB635B"/>
    <w:rsid w:val="00BB68EA"/>
    <w:rsid w:val="00BC1C27"/>
    <w:rsid w:val="00BC6BBF"/>
    <w:rsid w:val="00BD0103"/>
    <w:rsid w:val="00BD1572"/>
    <w:rsid w:val="00BE14E3"/>
    <w:rsid w:val="00BE3774"/>
    <w:rsid w:val="00BE41E5"/>
    <w:rsid w:val="00BF0BBB"/>
    <w:rsid w:val="00BF4109"/>
    <w:rsid w:val="00BF4CC3"/>
    <w:rsid w:val="00C03623"/>
    <w:rsid w:val="00C054C7"/>
    <w:rsid w:val="00C057B5"/>
    <w:rsid w:val="00C05D9C"/>
    <w:rsid w:val="00C1422A"/>
    <w:rsid w:val="00C21648"/>
    <w:rsid w:val="00C22687"/>
    <w:rsid w:val="00C22A35"/>
    <w:rsid w:val="00C32E4D"/>
    <w:rsid w:val="00C333A0"/>
    <w:rsid w:val="00C36A81"/>
    <w:rsid w:val="00C37DD9"/>
    <w:rsid w:val="00C41974"/>
    <w:rsid w:val="00C447AD"/>
    <w:rsid w:val="00C53F4A"/>
    <w:rsid w:val="00C54125"/>
    <w:rsid w:val="00C54E5D"/>
    <w:rsid w:val="00C55B54"/>
    <w:rsid w:val="00C6098E"/>
    <w:rsid w:val="00C6152C"/>
    <w:rsid w:val="00C621C2"/>
    <w:rsid w:val="00C74810"/>
    <w:rsid w:val="00C81C98"/>
    <w:rsid w:val="00C90D68"/>
    <w:rsid w:val="00C939FE"/>
    <w:rsid w:val="00C96432"/>
    <w:rsid w:val="00C9663B"/>
    <w:rsid w:val="00CA4BDA"/>
    <w:rsid w:val="00CB0DCF"/>
    <w:rsid w:val="00CB1F66"/>
    <w:rsid w:val="00CB2271"/>
    <w:rsid w:val="00CB2951"/>
    <w:rsid w:val="00CD282B"/>
    <w:rsid w:val="00CD4C35"/>
    <w:rsid w:val="00CD7369"/>
    <w:rsid w:val="00CE0B0E"/>
    <w:rsid w:val="00CE2BA9"/>
    <w:rsid w:val="00CE3831"/>
    <w:rsid w:val="00CE3BA6"/>
    <w:rsid w:val="00CF58D7"/>
    <w:rsid w:val="00D00ABB"/>
    <w:rsid w:val="00D02EEC"/>
    <w:rsid w:val="00D03551"/>
    <w:rsid w:val="00D03E47"/>
    <w:rsid w:val="00D06A63"/>
    <w:rsid w:val="00D07E0E"/>
    <w:rsid w:val="00D11478"/>
    <w:rsid w:val="00D11D23"/>
    <w:rsid w:val="00D15ED0"/>
    <w:rsid w:val="00D21B3E"/>
    <w:rsid w:val="00D21FED"/>
    <w:rsid w:val="00D24251"/>
    <w:rsid w:val="00D248B2"/>
    <w:rsid w:val="00D343E2"/>
    <w:rsid w:val="00D35825"/>
    <w:rsid w:val="00D361A2"/>
    <w:rsid w:val="00D41247"/>
    <w:rsid w:val="00D44C2E"/>
    <w:rsid w:val="00D45414"/>
    <w:rsid w:val="00D53C0F"/>
    <w:rsid w:val="00D566BD"/>
    <w:rsid w:val="00D57A4D"/>
    <w:rsid w:val="00D57BE0"/>
    <w:rsid w:val="00D57D35"/>
    <w:rsid w:val="00D600C1"/>
    <w:rsid w:val="00D60AA7"/>
    <w:rsid w:val="00D60D87"/>
    <w:rsid w:val="00D6435F"/>
    <w:rsid w:val="00D70E14"/>
    <w:rsid w:val="00D75E28"/>
    <w:rsid w:val="00D772C2"/>
    <w:rsid w:val="00D8008E"/>
    <w:rsid w:val="00D82C45"/>
    <w:rsid w:val="00D835EA"/>
    <w:rsid w:val="00D908A8"/>
    <w:rsid w:val="00D93F98"/>
    <w:rsid w:val="00D977B6"/>
    <w:rsid w:val="00DA137D"/>
    <w:rsid w:val="00DA25F0"/>
    <w:rsid w:val="00DA3B51"/>
    <w:rsid w:val="00DA4A31"/>
    <w:rsid w:val="00DA61F2"/>
    <w:rsid w:val="00DA7B04"/>
    <w:rsid w:val="00DB36C2"/>
    <w:rsid w:val="00DB5E3D"/>
    <w:rsid w:val="00DB7196"/>
    <w:rsid w:val="00DC169B"/>
    <w:rsid w:val="00DC2AB9"/>
    <w:rsid w:val="00DC63F0"/>
    <w:rsid w:val="00DD6EE5"/>
    <w:rsid w:val="00DE1B8E"/>
    <w:rsid w:val="00DE386C"/>
    <w:rsid w:val="00DE4D35"/>
    <w:rsid w:val="00DF0549"/>
    <w:rsid w:val="00DF098B"/>
    <w:rsid w:val="00DF11C4"/>
    <w:rsid w:val="00DF210C"/>
    <w:rsid w:val="00DF4B6A"/>
    <w:rsid w:val="00E02C09"/>
    <w:rsid w:val="00E04D59"/>
    <w:rsid w:val="00E04F81"/>
    <w:rsid w:val="00E051A5"/>
    <w:rsid w:val="00E07DA1"/>
    <w:rsid w:val="00E11EFE"/>
    <w:rsid w:val="00E123CB"/>
    <w:rsid w:val="00E1359B"/>
    <w:rsid w:val="00E1557C"/>
    <w:rsid w:val="00E20E13"/>
    <w:rsid w:val="00E21DBC"/>
    <w:rsid w:val="00E23233"/>
    <w:rsid w:val="00E275D7"/>
    <w:rsid w:val="00E27DBE"/>
    <w:rsid w:val="00E30BD4"/>
    <w:rsid w:val="00E32AB1"/>
    <w:rsid w:val="00E34299"/>
    <w:rsid w:val="00E36C71"/>
    <w:rsid w:val="00E40404"/>
    <w:rsid w:val="00E459C6"/>
    <w:rsid w:val="00E47589"/>
    <w:rsid w:val="00E47D08"/>
    <w:rsid w:val="00E64915"/>
    <w:rsid w:val="00E661D4"/>
    <w:rsid w:val="00E70091"/>
    <w:rsid w:val="00E720F5"/>
    <w:rsid w:val="00E74C53"/>
    <w:rsid w:val="00E76D47"/>
    <w:rsid w:val="00E849F7"/>
    <w:rsid w:val="00E8719A"/>
    <w:rsid w:val="00E90302"/>
    <w:rsid w:val="00E94BCA"/>
    <w:rsid w:val="00E9597F"/>
    <w:rsid w:val="00E97396"/>
    <w:rsid w:val="00EA185E"/>
    <w:rsid w:val="00EA1B76"/>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EF573B"/>
    <w:rsid w:val="00EF6E35"/>
    <w:rsid w:val="00F00A79"/>
    <w:rsid w:val="00F00E86"/>
    <w:rsid w:val="00F00F8B"/>
    <w:rsid w:val="00F041A3"/>
    <w:rsid w:val="00F07C1E"/>
    <w:rsid w:val="00F105DB"/>
    <w:rsid w:val="00F132BC"/>
    <w:rsid w:val="00F13D80"/>
    <w:rsid w:val="00F16AAA"/>
    <w:rsid w:val="00F21161"/>
    <w:rsid w:val="00F218C8"/>
    <w:rsid w:val="00F218EF"/>
    <w:rsid w:val="00F21BC7"/>
    <w:rsid w:val="00F266A2"/>
    <w:rsid w:val="00F32269"/>
    <w:rsid w:val="00F369F5"/>
    <w:rsid w:val="00F4457E"/>
    <w:rsid w:val="00F52966"/>
    <w:rsid w:val="00F56A6F"/>
    <w:rsid w:val="00F5709C"/>
    <w:rsid w:val="00F64EF1"/>
    <w:rsid w:val="00F73098"/>
    <w:rsid w:val="00F8765F"/>
    <w:rsid w:val="00F90767"/>
    <w:rsid w:val="00F91B61"/>
    <w:rsid w:val="00FA5430"/>
    <w:rsid w:val="00FA685B"/>
    <w:rsid w:val="00FA7A95"/>
    <w:rsid w:val="00FB0C01"/>
    <w:rsid w:val="00FB4FDE"/>
    <w:rsid w:val="00FB770D"/>
    <w:rsid w:val="00FC18F2"/>
    <w:rsid w:val="00FC2ACA"/>
    <w:rsid w:val="00FC39E5"/>
    <w:rsid w:val="00FC3A78"/>
    <w:rsid w:val="00FC5FFE"/>
    <w:rsid w:val="00FD1005"/>
    <w:rsid w:val="00FD3180"/>
    <w:rsid w:val="00FD3379"/>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807F4B"/>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807F4B"/>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807F4B"/>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807F4B"/>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807F4B"/>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807F4B"/>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807F4B"/>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807F4B"/>
    <w:pPr>
      <w:outlineLvl w:val="6"/>
    </w:pPr>
    <w:rPr>
      <w:rFonts w:eastAsia="MS Gothic"/>
      <w:i/>
      <w:iCs/>
      <w:sz w:val="22"/>
      <w:szCs w:val="22"/>
    </w:rPr>
  </w:style>
  <w:style w:type="paragraph" w:styleId="Nagwek8">
    <w:name w:val="heading 8"/>
    <w:basedOn w:val="Normalny"/>
    <w:next w:val="Normalny"/>
    <w:link w:val="Nagwek8Znak"/>
    <w:uiPriority w:val="99"/>
    <w:qFormat/>
    <w:rsid w:val="00807F4B"/>
    <w:pPr>
      <w:outlineLvl w:val="7"/>
    </w:pPr>
    <w:rPr>
      <w:rFonts w:eastAsia="MS Gothic"/>
      <w:sz w:val="20"/>
      <w:szCs w:val="20"/>
    </w:rPr>
  </w:style>
  <w:style w:type="paragraph" w:styleId="Nagwek9">
    <w:name w:val="heading 9"/>
    <w:basedOn w:val="Normalny"/>
    <w:next w:val="Normalny"/>
    <w:link w:val="Nagwek9Znak"/>
    <w:uiPriority w:val="99"/>
    <w:qFormat/>
    <w:rsid w:val="00807F4B"/>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semiHidden/>
    <w:locked/>
    <w:rsid w:val="00807F4B"/>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807F4B"/>
    <w:rPr>
      <w:rFonts w:ascii="Times New Roman" w:eastAsia="MS Gothic"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807F4B"/>
    <w:rPr>
      <w:rFonts w:ascii="Times New Roman" w:eastAsia="MS Gothic"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807F4B"/>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807F4B"/>
    <w:rPr>
      <w:rFonts w:ascii="Times New Roman" w:eastAsia="MS Gothic"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807F4B"/>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807F4B"/>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807F4B"/>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807F4B"/>
    <w:rPr>
      <w:rFonts w:ascii="Tahoma" w:hAnsi="Tahoma" w:cs="Tahoma"/>
      <w:sz w:val="16"/>
      <w:szCs w:val="16"/>
    </w:rPr>
  </w:style>
  <w:style w:type="character" w:customStyle="1" w:styleId="Nagwek1Znak">
    <w:name w:val="Nagłówek 1 Znak"/>
    <w:basedOn w:val="Domylnaczcionkaakapitu"/>
    <w:link w:val="Nagwek1"/>
    <w:uiPriority w:val="99"/>
    <w:semiHidden/>
    <w:locked/>
    <w:rsid w:val="00807F4B"/>
    <w:rPr>
      <w:rFonts w:ascii="Times New Roman" w:eastAsia="MS Gothic" w:hAnsi="Times New Roman" w:cs="Times New Roman"/>
      <w:b/>
      <w:bCs/>
      <w:color w:val="333333"/>
      <w:sz w:val="28"/>
      <w:szCs w:val="28"/>
    </w:rPr>
  </w:style>
  <w:style w:type="character" w:styleId="Tytuksiki">
    <w:name w:val="Book Title"/>
    <w:basedOn w:val="Domylnaczcionkaakapitu"/>
    <w:uiPriority w:val="99"/>
    <w:qFormat/>
    <w:rsid w:val="00807F4B"/>
    <w:rPr>
      <w:i/>
      <w:iCs/>
      <w:smallCaps/>
      <w:spacing w:val="5"/>
    </w:rPr>
  </w:style>
  <w:style w:type="character" w:customStyle="1" w:styleId="TekstdymkaZnak">
    <w:name w:val="Tekst dymka Znak"/>
    <w:basedOn w:val="Domylnaczcionkaakapitu"/>
    <w:link w:val="Tekstdymka"/>
    <w:uiPriority w:val="99"/>
    <w:semiHidden/>
    <w:locked/>
    <w:rsid w:val="00807F4B"/>
    <w:rPr>
      <w:rFonts w:ascii="Tahoma" w:eastAsia="MS Mincho" w:hAnsi="Tahoma" w:cs="Tahoma"/>
      <w:sz w:val="16"/>
      <w:szCs w:val="16"/>
    </w:rPr>
  </w:style>
  <w:style w:type="paragraph" w:customStyle="1" w:styleId="ECHRHeader">
    <w:name w:val="ECHR_Header"/>
    <w:aliases w:val="Ju_Header"/>
    <w:basedOn w:val="Nagwek"/>
    <w:uiPriority w:val="99"/>
    <w:rsid w:val="00807F4B"/>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807F4B"/>
    <w:pPr>
      <w:jc w:val="left"/>
    </w:pPr>
    <w:rPr>
      <w:sz w:val="8"/>
      <w:szCs w:val="8"/>
    </w:rPr>
  </w:style>
  <w:style w:type="character" w:styleId="Pogrubienie">
    <w:name w:val="Strong"/>
    <w:basedOn w:val="Domylnaczcionkaakapitu"/>
    <w:uiPriority w:val="99"/>
    <w:qFormat/>
    <w:rsid w:val="00807F4B"/>
    <w:rPr>
      <w:b/>
      <w:bCs/>
    </w:rPr>
  </w:style>
  <w:style w:type="paragraph" w:styleId="Bezodstpw">
    <w:name w:val="No Spacing"/>
    <w:basedOn w:val="Normalny"/>
    <w:link w:val="BezodstpwZnak"/>
    <w:uiPriority w:val="99"/>
    <w:qFormat/>
    <w:rsid w:val="00807F4B"/>
    <w:rPr>
      <w:sz w:val="22"/>
      <w:szCs w:val="22"/>
    </w:rPr>
  </w:style>
  <w:style w:type="character" w:customStyle="1" w:styleId="BezodstpwZnak">
    <w:name w:val="Bez odstępów Znak"/>
    <w:basedOn w:val="Domylnaczcionkaakapitu"/>
    <w:link w:val="Bezodstpw"/>
    <w:uiPriority w:val="99"/>
    <w:semiHidden/>
    <w:locked/>
    <w:rsid w:val="00807F4B"/>
    <w:rPr>
      <w:rFonts w:eastAsia="MS Mincho"/>
    </w:rPr>
  </w:style>
  <w:style w:type="paragraph" w:customStyle="1" w:styleId="ECHRFooterLine">
    <w:name w:val="ECHR_Footer_Line"/>
    <w:aliases w:val="Footer_Line"/>
    <w:basedOn w:val="Normalny"/>
    <w:next w:val="ECHRFooter"/>
    <w:uiPriority w:val="99"/>
    <w:semiHidden/>
    <w:rsid w:val="00807F4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807F4B"/>
  </w:style>
  <w:style w:type="paragraph" w:customStyle="1" w:styleId="DecList">
    <w:name w:val="Dec_List"/>
    <w:basedOn w:val="Normalny"/>
    <w:uiPriority w:val="99"/>
    <w:semiHidden/>
    <w:rsid w:val="00807F4B"/>
    <w:pPr>
      <w:spacing w:before="240"/>
      <w:ind w:left="284"/>
    </w:pPr>
  </w:style>
  <w:style w:type="paragraph" w:customStyle="1" w:styleId="DummyStyle">
    <w:name w:val="Dummy_Style"/>
    <w:basedOn w:val="Normalny"/>
    <w:uiPriority w:val="99"/>
    <w:semiHidden/>
    <w:rsid w:val="00807F4B"/>
    <w:rPr>
      <w:color w:val="00B050"/>
    </w:rPr>
  </w:style>
  <w:style w:type="paragraph" w:customStyle="1" w:styleId="ECHRTitleCentre3">
    <w:name w:val="ECHR_Title_Centre_3"/>
    <w:aliases w:val="Ju_H_Article"/>
    <w:basedOn w:val="Normalny"/>
    <w:next w:val="ECHRParaQuote"/>
    <w:uiPriority w:val="99"/>
    <w:rsid w:val="00807F4B"/>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807F4B"/>
    <w:pPr>
      <w:keepNext/>
      <w:keepLines/>
      <w:spacing w:after="240"/>
      <w:jc w:val="center"/>
      <w:outlineLvl w:val="0"/>
    </w:pPr>
    <w:rPr>
      <w:sz w:val="28"/>
      <w:szCs w:val="28"/>
    </w:rPr>
  </w:style>
  <w:style w:type="paragraph" w:customStyle="1" w:styleId="JuAppQuestion">
    <w:name w:val="Ju_App_Question"/>
    <w:basedOn w:val="Normalny"/>
    <w:uiPriority w:val="99"/>
    <w:semiHidden/>
    <w:rsid w:val="00807F4B"/>
    <w:pPr>
      <w:numPr>
        <w:numId w:val="4"/>
      </w:numPr>
      <w:tabs>
        <w:tab w:val="clear" w:pos="1209"/>
        <w:tab w:val="num" w:pos="720"/>
      </w:tabs>
      <w:ind w:left="720"/>
      <w:jc w:val="left"/>
    </w:pPr>
    <w:rPr>
      <w:b/>
      <w:bCs/>
    </w:rPr>
  </w:style>
  <w:style w:type="paragraph" w:customStyle="1" w:styleId="JuCourt">
    <w:name w:val="Ju_Court"/>
    <w:basedOn w:val="Normalny"/>
    <w:next w:val="Normalny"/>
    <w:uiPriority w:val="99"/>
    <w:rsid w:val="00807F4B"/>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807F4B"/>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807F4B"/>
    <w:pPr>
      <w:spacing w:after="240"/>
      <w:jc w:val="center"/>
      <w:outlineLvl w:val="0"/>
    </w:pPr>
  </w:style>
  <w:style w:type="paragraph" w:customStyle="1" w:styleId="JuInitialled">
    <w:name w:val="Ju_Initialled"/>
    <w:basedOn w:val="Normalny"/>
    <w:uiPriority w:val="99"/>
    <w:rsid w:val="00807F4B"/>
    <w:pPr>
      <w:tabs>
        <w:tab w:val="center" w:pos="6407"/>
      </w:tabs>
      <w:spacing w:before="720"/>
      <w:jc w:val="right"/>
    </w:pPr>
  </w:style>
  <w:style w:type="paragraph" w:styleId="Tytu">
    <w:name w:val="Title"/>
    <w:basedOn w:val="Normalny"/>
    <w:next w:val="Normalny"/>
    <w:link w:val="TytuZnak"/>
    <w:uiPriority w:val="99"/>
    <w:qFormat/>
    <w:rsid w:val="00807F4B"/>
    <w:pPr>
      <w:pBdr>
        <w:bottom w:val="single" w:sz="4" w:space="1" w:color="auto"/>
      </w:pBdr>
    </w:pPr>
    <w:rPr>
      <w:rFonts w:eastAsia="MS Gothic"/>
      <w:spacing w:val="5"/>
      <w:sz w:val="52"/>
      <w:szCs w:val="52"/>
    </w:rPr>
  </w:style>
  <w:style w:type="paragraph" w:customStyle="1" w:styleId="ECHRHeading3">
    <w:name w:val="ECHR_Heading_3"/>
    <w:aliases w:val="Ju_H_1."/>
    <w:basedOn w:val="Nagwek3"/>
    <w:next w:val="ECHRPara"/>
    <w:uiPriority w:val="99"/>
    <w:rsid w:val="00807F4B"/>
    <w:pPr>
      <w:keepNext/>
      <w:keepLines/>
      <w:tabs>
        <w:tab w:val="left" w:pos="731"/>
      </w:tabs>
      <w:spacing w:before="240" w:after="120" w:line="240" w:lineRule="auto"/>
      <w:ind w:left="732" w:hanging="301"/>
    </w:pPr>
    <w:rPr>
      <w:b w:val="0"/>
      <w:bCs w:val="0"/>
      <w:i/>
      <w:iCs/>
      <w:color w:val="auto"/>
    </w:rPr>
  </w:style>
  <w:style w:type="character" w:customStyle="1" w:styleId="TytuZnak">
    <w:name w:val="Tytuł Znak"/>
    <w:basedOn w:val="Domylnaczcionkaakapitu"/>
    <w:link w:val="Tytu"/>
    <w:uiPriority w:val="99"/>
    <w:semiHidden/>
    <w:locked/>
    <w:rsid w:val="00807F4B"/>
    <w:rPr>
      <w:rFonts w:ascii="Times New Roman" w:eastAsia="MS Gothic" w:hAnsi="Times New Roman" w:cs="Times New Roman"/>
      <w:spacing w:val="5"/>
      <w:sz w:val="52"/>
      <w:szCs w:val="52"/>
    </w:rPr>
  </w:style>
  <w:style w:type="paragraph" w:customStyle="1" w:styleId="ECHRHeading4">
    <w:name w:val="ECHR_Heading_4"/>
    <w:aliases w:val="Ju_H_a"/>
    <w:basedOn w:val="Nagwek4"/>
    <w:next w:val="ECHRPara"/>
    <w:uiPriority w:val="99"/>
    <w:rsid w:val="00807F4B"/>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807F4B"/>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807F4B"/>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807F4B"/>
    <w:pPr>
      <w:keepNext/>
      <w:keepLines/>
      <w:spacing w:before="240" w:after="120"/>
      <w:ind w:left="1236"/>
    </w:pPr>
    <w:rPr>
      <w:sz w:val="20"/>
      <w:szCs w:val="20"/>
    </w:rPr>
  </w:style>
  <w:style w:type="paragraph" w:customStyle="1" w:styleId="JuListi">
    <w:name w:val="Ju_List_i"/>
    <w:basedOn w:val="Normalny"/>
    <w:next w:val="JuLista"/>
    <w:uiPriority w:val="99"/>
    <w:rsid w:val="00807F4B"/>
    <w:pPr>
      <w:ind w:left="794"/>
    </w:pPr>
  </w:style>
  <w:style w:type="character" w:customStyle="1" w:styleId="JUNAMES">
    <w:name w:val="JU_NAMES"/>
    <w:uiPriority w:val="99"/>
    <w:rsid w:val="00807F4B"/>
    <w:rPr>
      <w:smallCaps/>
    </w:rPr>
  </w:style>
  <w:style w:type="paragraph" w:customStyle="1" w:styleId="JuParaSub">
    <w:name w:val="Ju_Para_Sub"/>
    <w:basedOn w:val="ECHRPara"/>
    <w:uiPriority w:val="99"/>
    <w:rsid w:val="00807F4B"/>
    <w:pPr>
      <w:ind w:left="284"/>
    </w:pPr>
  </w:style>
  <w:style w:type="paragraph" w:styleId="Nagwek">
    <w:name w:val="header"/>
    <w:basedOn w:val="Normalny"/>
    <w:link w:val="NagwekZnak"/>
    <w:uiPriority w:val="99"/>
    <w:semiHidden/>
    <w:rsid w:val="00807F4B"/>
    <w:pPr>
      <w:tabs>
        <w:tab w:val="center" w:pos="4536"/>
        <w:tab w:val="right" w:pos="9072"/>
      </w:tabs>
    </w:pPr>
    <w:rPr>
      <w:rFonts w:eastAsia="Times New Roman"/>
    </w:rPr>
  </w:style>
  <w:style w:type="paragraph" w:customStyle="1" w:styleId="ECHRHeading1">
    <w:name w:val="ECHR_Heading_1"/>
    <w:aliases w:val="Ju_H_I_Roman"/>
    <w:basedOn w:val="Nagwek1"/>
    <w:next w:val="ECHRPara"/>
    <w:uiPriority w:val="99"/>
    <w:rsid w:val="00807F4B"/>
    <w:pPr>
      <w:keepNext/>
      <w:keepLines/>
      <w:tabs>
        <w:tab w:val="left" w:pos="357"/>
      </w:tabs>
      <w:spacing w:before="360" w:after="240"/>
      <w:ind w:left="357" w:hanging="357"/>
    </w:pPr>
    <w:rPr>
      <w:b w:val="0"/>
      <w:bCs w:val="0"/>
      <w:color w:val="auto"/>
      <w:sz w:val="24"/>
      <w:szCs w:val="24"/>
    </w:rPr>
  </w:style>
  <w:style w:type="character" w:customStyle="1" w:styleId="NagwekZnak">
    <w:name w:val="Nagłówek Znak"/>
    <w:basedOn w:val="Domylnaczcionkaakapitu"/>
    <w:link w:val="Nagwek"/>
    <w:uiPriority w:val="99"/>
    <w:semiHidden/>
    <w:locked/>
    <w:rsid w:val="00807F4B"/>
    <w:rPr>
      <w:sz w:val="24"/>
      <w:szCs w:val="24"/>
    </w:rPr>
  </w:style>
  <w:style w:type="paragraph" w:customStyle="1" w:styleId="ECHRHeading2">
    <w:name w:val="ECHR_Heading_2"/>
    <w:aliases w:val="Ju_H_A"/>
    <w:basedOn w:val="Nagwek2"/>
    <w:next w:val="ECHRPara"/>
    <w:uiPriority w:val="99"/>
    <w:rsid w:val="00807F4B"/>
    <w:pPr>
      <w:keepNext/>
      <w:keepLines/>
      <w:tabs>
        <w:tab w:val="left" w:pos="584"/>
      </w:tabs>
      <w:spacing w:before="360" w:after="240"/>
      <w:ind w:left="584" w:hanging="352"/>
    </w:pPr>
    <w:rPr>
      <w:color w:val="auto"/>
      <w:sz w:val="24"/>
      <w:szCs w:val="24"/>
    </w:rPr>
  </w:style>
  <w:style w:type="paragraph" w:customStyle="1" w:styleId="JuQuotSub">
    <w:name w:val="Ju_Quot_Sub"/>
    <w:basedOn w:val="ECHRParaQuote"/>
    <w:uiPriority w:val="99"/>
    <w:rsid w:val="00807F4B"/>
    <w:pPr>
      <w:ind w:left="567"/>
    </w:pPr>
  </w:style>
  <w:style w:type="paragraph" w:customStyle="1" w:styleId="JuCase">
    <w:name w:val="Ju_Case"/>
    <w:basedOn w:val="Normalny"/>
    <w:next w:val="ECHRPara"/>
    <w:uiPriority w:val="99"/>
    <w:rsid w:val="00807F4B"/>
    <w:pPr>
      <w:ind w:firstLine="284"/>
    </w:pPr>
    <w:rPr>
      <w:b/>
      <w:bCs/>
    </w:rPr>
  </w:style>
  <w:style w:type="character" w:styleId="Wyrnieniedelikatne">
    <w:name w:val="Subtle Emphasis"/>
    <w:basedOn w:val="Domylnaczcionkaakapitu"/>
    <w:uiPriority w:val="99"/>
    <w:qFormat/>
    <w:rsid w:val="00807F4B"/>
    <w:rPr>
      <w:i/>
      <w:iCs/>
    </w:rPr>
  </w:style>
  <w:style w:type="table" w:customStyle="1" w:styleId="ECHRTable">
    <w:name w:val="ECHR_Table"/>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807F4B"/>
    <w:pPr>
      <w:keepNext/>
      <w:keepLines/>
      <w:spacing w:before="720" w:after="240"/>
      <w:outlineLvl w:val="0"/>
    </w:pPr>
    <w:rPr>
      <w:sz w:val="28"/>
      <w:szCs w:val="28"/>
    </w:rPr>
  </w:style>
  <w:style w:type="character" w:styleId="Uwydatnienie">
    <w:name w:val="Emphasis"/>
    <w:basedOn w:val="Domylnaczcionkaakapitu"/>
    <w:uiPriority w:val="99"/>
    <w:qFormat/>
    <w:rsid w:val="00807F4B"/>
    <w:rPr>
      <w:b/>
      <w:bCs/>
      <w:i/>
      <w:iCs/>
      <w:spacing w:val="10"/>
      <w:shd w:val="clear" w:color="auto" w:fill="auto"/>
    </w:rPr>
  </w:style>
  <w:style w:type="paragraph" w:styleId="Stopka">
    <w:name w:val="footer"/>
    <w:basedOn w:val="Normalny"/>
    <w:link w:val="StopkaZnak"/>
    <w:uiPriority w:val="99"/>
    <w:semiHidden/>
    <w:rsid w:val="00807F4B"/>
    <w:pPr>
      <w:tabs>
        <w:tab w:val="center" w:pos="4536"/>
        <w:tab w:val="right" w:pos="9696"/>
      </w:tabs>
      <w:ind w:left="-680" w:right="-680"/>
    </w:pPr>
    <w:rPr>
      <w:rFonts w:eastAsia="Times New Roman"/>
    </w:rPr>
  </w:style>
  <w:style w:type="character" w:styleId="Odwoanieprzypisudolnego">
    <w:name w:val="footnote reference"/>
    <w:basedOn w:val="Domylnaczcionkaakapitu"/>
    <w:uiPriority w:val="99"/>
    <w:semiHidden/>
    <w:rsid w:val="00807F4B"/>
    <w:rPr>
      <w:vertAlign w:val="superscript"/>
    </w:rPr>
  </w:style>
  <w:style w:type="character" w:customStyle="1" w:styleId="StopkaZnak">
    <w:name w:val="Stopka Znak"/>
    <w:basedOn w:val="Domylnaczcionkaakapitu"/>
    <w:link w:val="Stopka"/>
    <w:uiPriority w:val="99"/>
    <w:semiHidden/>
    <w:locked/>
    <w:rsid w:val="00807F4B"/>
    <w:rPr>
      <w:sz w:val="24"/>
      <w:szCs w:val="24"/>
    </w:rPr>
  </w:style>
  <w:style w:type="paragraph" w:styleId="Tekstprzypisudolnego">
    <w:name w:val="footnote text"/>
    <w:basedOn w:val="Normalny"/>
    <w:link w:val="TekstprzypisudolnegoZnak"/>
    <w:uiPriority w:val="99"/>
    <w:semiHidden/>
    <w:rsid w:val="00807F4B"/>
    <w:rPr>
      <w:sz w:val="20"/>
      <w:szCs w:val="20"/>
    </w:rPr>
  </w:style>
  <w:style w:type="character" w:styleId="Hipercze">
    <w:name w:val="Hyperlink"/>
    <w:basedOn w:val="Domylnaczcionkaakapitu"/>
    <w:uiPriority w:val="99"/>
    <w:semiHidden/>
    <w:rsid w:val="00807F4B"/>
    <w:rPr>
      <w:color w:val="0072BC"/>
      <w:u w:val="single"/>
    </w:rPr>
  </w:style>
  <w:style w:type="character" w:customStyle="1" w:styleId="TekstprzypisudolnegoZnak">
    <w:name w:val="Tekst przypisu dolnego Znak"/>
    <w:basedOn w:val="Domylnaczcionkaakapitu"/>
    <w:link w:val="Tekstprzypisudolnego"/>
    <w:uiPriority w:val="99"/>
    <w:semiHidden/>
    <w:locked/>
    <w:rsid w:val="00807F4B"/>
    <w:rPr>
      <w:rFonts w:eastAsia="MS Mincho"/>
      <w:sz w:val="20"/>
      <w:szCs w:val="20"/>
    </w:rPr>
  </w:style>
  <w:style w:type="character" w:styleId="Wyrnienieintensywne">
    <w:name w:val="Intense Emphasis"/>
    <w:basedOn w:val="Domylnaczcionkaakapitu"/>
    <w:uiPriority w:val="99"/>
    <w:qFormat/>
    <w:rsid w:val="00807F4B"/>
    <w:rPr>
      <w:b/>
      <w:bCs/>
    </w:rPr>
  </w:style>
  <w:style w:type="paragraph" w:styleId="Cytatintensywny">
    <w:name w:val="Intense Quote"/>
    <w:basedOn w:val="Normalny"/>
    <w:next w:val="Normalny"/>
    <w:link w:val="CytatintensywnyZnak"/>
    <w:uiPriority w:val="99"/>
    <w:qFormat/>
    <w:rsid w:val="00807F4B"/>
    <w:pPr>
      <w:pBdr>
        <w:bottom w:val="single" w:sz="4" w:space="1" w:color="auto"/>
      </w:pBdr>
      <w:spacing w:before="200" w:after="280"/>
      <w:ind w:left="1008" w:right="1152"/>
    </w:pPr>
    <w:rPr>
      <w:b/>
      <w:bCs/>
      <w:i/>
      <w:iCs/>
      <w:sz w:val="22"/>
      <w:szCs w:val="22"/>
    </w:rPr>
  </w:style>
  <w:style w:type="character" w:styleId="Odwoanieintensywne">
    <w:name w:val="Intense Reference"/>
    <w:basedOn w:val="Domylnaczcionkaakapitu"/>
    <w:uiPriority w:val="99"/>
    <w:qFormat/>
    <w:rsid w:val="00807F4B"/>
    <w:rPr>
      <w:smallCaps/>
      <w:spacing w:val="5"/>
      <w:u w:val="single"/>
    </w:rPr>
  </w:style>
  <w:style w:type="character" w:customStyle="1" w:styleId="CytatintensywnyZnak">
    <w:name w:val="Cytat intensywny Znak"/>
    <w:basedOn w:val="Domylnaczcionkaakapitu"/>
    <w:link w:val="Cytatintensywny"/>
    <w:uiPriority w:val="99"/>
    <w:semiHidden/>
    <w:locked/>
    <w:rsid w:val="00807F4B"/>
    <w:rPr>
      <w:rFonts w:eastAsia="MS Mincho"/>
      <w:b/>
      <w:bCs/>
      <w:i/>
      <w:iCs/>
    </w:rPr>
  </w:style>
  <w:style w:type="paragraph" w:styleId="Akapitzlist">
    <w:name w:val="List Paragraph"/>
    <w:basedOn w:val="Normalny"/>
    <w:uiPriority w:val="99"/>
    <w:qFormat/>
    <w:rsid w:val="00807F4B"/>
    <w:pPr>
      <w:ind w:left="720"/>
    </w:pPr>
  </w:style>
  <w:style w:type="table" w:customStyle="1" w:styleId="LtrTableAddress">
    <w:name w:val="Ltr_Table_Address"/>
    <w:uiPriority w:val="99"/>
    <w:rsid w:val="001E6F32"/>
    <w:pPr>
      <w:spacing w:after="0" w:line="240" w:lineRule="auto"/>
    </w:pPr>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807F4B"/>
    <w:pPr>
      <w:spacing w:before="200"/>
      <w:ind w:left="360" w:right="360"/>
    </w:pPr>
    <w:rPr>
      <w:i/>
      <w:iCs/>
      <w:sz w:val="22"/>
      <w:szCs w:val="22"/>
    </w:rPr>
  </w:style>
  <w:style w:type="character" w:styleId="Odwoaniedelikatne">
    <w:name w:val="Subtle Reference"/>
    <w:basedOn w:val="Domylnaczcionkaakapitu"/>
    <w:uiPriority w:val="99"/>
    <w:qFormat/>
    <w:rsid w:val="00807F4B"/>
    <w:rPr>
      <w:smallCaps/>
    </w:rPr>
  </w:style>
  <w:style w:type="character" w:customStyle="1" w:styleId="CytatZnak">
    <w:name w:val="Cytat Znak"/>
    <w:basedOn w:val="Domylnaczcionkaakapitu"/>
    <w:link w:val="Cytat"/>
    <w:uiPriority w:val="99"/>
    <w:semiHidden/>
    <w:locked/>
    <w:rsid w:val="00807F4B"/>
    <w:rPr>
      <w:rFonts w:eastAsia="MS Mincho"/>
      <w:i/>
      <w:iCs/>
    </w:rPr>
  </w:style>
  <w:style w:type="table" w:styleId="Tabela-Siatka">
    <w:name w:val="Table Grid"/>
    <w:basedOn w:val="Standardowy"/>
    <w:uiPriority w:val="99"/>
    <w:semiHidden/>
    <w:rsid w:val="00807F4B"/>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07F4B"/>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807F4B"/>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807F4B"/>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807F4B"/>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807F4B"/>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807F4B"/>
    <w:pPr>
      <w:keepNext/>
      <w:keepLines/>
      <w:spacing w:before="240"/>
      <w:jc w:val="center"/>
    </w:pPr>
    <w:rPr>
      <w:rFonts w:eastAsia="Times New Roman"/>
      <w:b/>
      <w:bCs/>
      <w:color w:val="474747"/>
      <w:sz w:val="28"/>
      <w:szCs w:val="28"/>
    </w:rPr>
  </w:style>
  <w:style w:type="table" w:customStyle="1" w:styleId="UGTable">
    <w:name w:val="UG_Table"/>
    <w:uiPriority w:val="99"/>
    <w:rsid w:val="00801300"/>
    <w:pPr>
      <w:spacing w:after="0" w:line="240" w:lineRule="auto"/>
    </w:pPr>
    <w:rPr>
      <w:rFonts w:eastAsia="MS Mincho"/>
      <w:sz w:val="20"/>
      <w:szCs w:val="20"/>
      <w:lang w:eastAsia="en-GB"/>
    </w:rPr>
    <w:tblPr>
      <w:tblCellMar>
        <w:top w:w="57" w:type="dxa"/>
        <w:left w:w="0" w:type="dxa"/>
        <w:bottom w:w="0" w:type="dxa"/>
        <w:right w:w="0" w:type="dxa"/>
      </w:tblCellMar>
    </w:tblPr>
  </w:style>
  <w:style w:type="table" w:customStyle="1" w:styleId="UGTableWhiteBox">
    <w:name w:val="UG_Table_White_Box"/>
    <w:uiPriority w:val="99"/>
    <w:rsid w:val="00801300"/>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807F4B"/>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807F4B"/>
    <w:pPr>
      <w:spacing w:before="120" w:after="120"/>
      <w:ind w:left="425" w:firstLine="142"/>
    </w:pPr>
    <w:rPr>
      <w:sz w:val="20"/>
      <w:szCs w:val="20"/>
    </w:rPr>
  </w:style>
  <w:style w:type="paragraph" w:customStyle="1" w:styleId="ECHRPara">
    <w:name w:val="ECHR_Para"/>
    <w:aliases w:val="Ju_Para,Left,First line:  0 cm"/>
    <w:basedOn w:val="Normalny"/>
    <w:link w:val="ECHRParaChar"/>
    <w:uiPriority w:val="99"/>
    <w:rsid w:val="00807F4B"/>
    <w:pPr>
      <w:ind w:firstLine="284"/>
    </w:pPr>
  </w:style>
  <w:style w:type="table" w:customStyle="1" w:styleId="ECHRTableSimpleBox">
    <w:name w:val="ECHR_Table_Simple_Box"/>
    <w:uiPriority w:val="99"/>
    <w:rsid w:val="00AE354C"/>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807F4B"/>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807F4B"/>
    <w:pPr>
      <w:tabs>
        <w:tab w:val="left" w:pos="567"/>
        <w:tab w:val="left" w:pos="1134"/>
      </w:tabs>
      <w:jc w:val="left"/>
    </w:pPr>
  </w:style>
  <w:style w:type="table" w:customStyle="1" w:styleId="ECHRHeaderTableReduced">
    <w:name w:val="ECHR_Header_Table_Reduced"/>
    <w:uiPriority w:val="99"/>
    <w:rsid w:val="00B52BE0"/>
    <w:pPr>
      <w:spacing w:after="0" w:line="240" w:lineRule="auto"/>
    </w:pPr>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807F4B"/>
    <w:pPr>
      <w:ind w:left="340" w:hanging="340"/>
    </w:pPr>
  </w:style>
  <w:style w:type="paragraph" w:customStyle="1" w:styleId="JuSigned">
    <w:name w:val="Ju_Signed"/>
    <w:basedOn w:val="Normalny"/>
    <w:next w:val="JuParaLast"/>
    <w:uiPriority w:val="99"/>
    <w:rsid w:val="00807F4B"/>
    <w:pPr>
      <w:tabs>
        <w:tab w:val="center" w:pos="851"/>
        <w:tab w:val="center" w:pos="6407"/>
      </w:tabs>
      <w:spacing w:before="720"/>
      <w:jc w:val="left"/>
    </w:pPr>
  </w:style>
  <w:style w:type="paragraph" w:customStyle="1" w:styleId="JuParaLast">
    <w:name w:val="Ju_Para_Last"/>
    <w:basedOn w:val="Normalny"/>
    <w:next w:val="ECHRPara"/>
    <w:uiPriority w:val="99"/>
    <w:rsid w:val="00807F4B"/>
    <w:pPr>
      <w:keepNext/>
      <w:keepLines/>
      <w:spacing w:before="240"/>
      <w:ind w:firstLine="284"/>
    </w:pPr>
  </w:style>
  <w:style w:type="paragraph" w:customStyle="1" w:styleId="JuTitle">
    <w:name w:val="Ju_Title"/>
    <w:basedOn w:val="Normalny"/>
    <w:next w:val="ECHRPara"/>
    <w:uiPriority w:val="99"/>
    <w:semiHidden/>
    <w:rsid w:val="00807F4B"/>
    <w:pPr>
      <w:spacing w:before="720" w:after="240"/>
      <w:jc w:val="center"/>
      <w:outlineLvl w:val="0"/>
    </w:pPr>
    <w:rPr>
      <w:b/>
      <w:bCs/>
      <w:caps/>
    </w:r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807F4B"/>
    <w:pPr>
      <w:ind w:left="346" w:firstLine="0"/>
    </w:pPr>
  </w:style>
  <w:style w:type="paragraph" w:customStyle="1" w:styleId="OpiH1">
    <w:name w:val="Opi_H_1"/>
    <w:basedOn w:val="ECHRHeading2"/>
    <w:uiPriority w:val="99"/>
    <w:rsid w:val="00807F4B"/>
    <w:pPr>
      <w:ind w:left="635" w:hanging="357"/>
      <w:outlineLvl w:val="2"/>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kstkomentarzaZnak">
    <w:name w:val="Tekst komentarza Znak"/>
    <w:basedOn w:val="Domylnaczcionkaakapitu"/>
    <w:link w:val="Tekstkomentarza"/>
    <w:uiPriority w:val="99"/>
    <w:semiHidden/>
    <w:locked/>
    <w:rsid w:val="00014566"/>
    <w:rPr>
      <w:rFonts w:eastAsia="MS Mincho"/>
      <w:sz w:val="20"/>
      <w:szCs w:val="20"/>
    </w:rPr>
  </w:style>
  <w:style w:type="character" w:styleId="Odwoanieprzypisukocowego">
    <w:name w:val="endnote reference"/>
    <w:basedOn w:val="Domylnaczcionkaakapitu"/>
    <w:uiPriority w:val="99"/>
    <w:semiHidden/>
    <w:rsid w:val="00014566"/>
    <w:rPr>
      <w:vertAlign w:val="superscript"/>
    </w:rPr>
  </w:style>
  <w:style w:type="character" w:customStyle="1" w:styleId="TematkomentarzaZnak">
    <w:name w:val="Temat komentarza Znak"/>
    <w:basedOn w:val="TekstkomentarzaZnak"/>
    <w:link w:val="Tematkomentarza"/>
    <w:uiPriority w:val="99"/>
    <w:semiHidden/>
    <w:locked/>
    <w:rsid w:val="00014566"/>
    <w:rPr>
      <w:rFonts w:eastAsia="MS Mincho"/>
      <w:b/>
      <w:bCs/>
      <w:sz w:val="20"/>
      <w:szCs w:val="20"/>
    </w:rPr>
  </w:style>
  <w:style w:type="paragraph" w:styleId="Tekstprzypisukocowego">
    <w:name w:val="endnote text"/>
    <w:basedOn w:val="Normalny"/>
    <w:link w:val="TekstprzypisukocowegoZnak"/>
    <w:uiPriority w:val="99"/>
    <w:semiHidden/>
    <w:rsid w:val="00014566"/>
    <w:rPr>
      <w:sz w:val="20"/>
      <w:szCs w:val="20"/>
    </w:rPr>
  </w:style>
  <w:style w:type="character" w:styleId="UyteHipercze">
    <w:name w:val="FollowedHyperlink"/>
    <w:basedOn w:val="Domylnaczcionkaakapitu"/>
    <w:uiPriority w:val="99"/>
    <w:semiHidden/>
    <w:rsid w:val="00014566"/>
    <w:rPr>
      <w:color w:val="800080"/>
      <w:u w:val="single"/>
    </w:rPr>
  </w:style>
  <w:style w:type="character" w:customStyle="1" w:styleId="TekstprzypisukocowegoZnak">
    <w:name w:val="Tekst przypisu końcowego Znak"/>
    <w:basedOn w:val="Domylnaczcionkaakapitu"/>
    <w:link w:val="Tekstprzypisukocowego"/>
    <w:uiPriority w:val="99"/>
    <w:semiHidden/>
    <w:locked/>
    <w:rsid w:val="00014566"/>
    <w:rPr>
      <w:rFonts w:eastAsia="MS Mincho"/>
      <w:sz w:val="20"/>
      <w:szCs w:val="20"/>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rPr>
  </w:style>
  <w:style w:type="paragraph" w:customStyle="1" w:styleId="OpiHa">
    <w:name w:val="Opi_H_a"/>
    <w:basedOn w:val="ECHRHeading3"/>
    <w:uiPriority w:val="99"/>
    <w:rsid w:val="00807F4B"/>
    <w:pPr>
      <w:ind w:left="833" w:hanging="357"/>
      <w:outlineLvl w:val="3"/>
    </w:pPr>
    <w:rPr>
      <w:b/>
      <w:bCs/>
      <w:i w:val="0"/>
      <w:iCs w:val="0"/>
      <w:sz w:val="20"/>
      <w:szCs w:val="20"/>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zCs w:val="20"/>
      <w:shd w:val="clear" w:color="auto" w:fill="000080"/>
    </w:rPr>
  </w:style>
  <w:style w:type="paragraph" w:styleId="Listapunktowana">
    <w:name w:val="List Bullet"/>
    <w:basedOn w:val="Normalny"/>
    <w:uiPriority w:val="99"/>
    <w:semiHidden/>
    <w:rsid w:val="00014566"/>
    <w:pPr>
      <w:numPr>
        <w:numId w:val="10"/>
      </w:numPr>
    </w:pPr>
  </w:style>
  <w:style w:type="character" w:customStyle="1" w:styleId="JuITMark">
    <w:name w:val="Ju_ITMark"/>
    <w:basedOn w:val="Domylnaczcionkaakapitu"/>
    <w:uiPriority w:val="99"/>
    <w:rsid w:val="00807F4B"/>
    <w:rPr>
      <w:color w:val="auto"/>
      <w:sz w:val="14"/>
      <w:szCs w:val="14"/>
      <w:shd w:val="clear" w:color="auto" w:fill="BEE5FF"/>
    </w:rPr>
  </w:style>
  <w:style w:type="paragraph" w:styleId="Podtytu">
    <w:name w:val="Subtitle"/>
    <w:basedOn w:val="Normalny"/>
    <w:next w:val="Normalny"/>
    <w:link w:val="PodtytuZnak"/>
    <w:uiPriority w:val="99"/>
    <w:qFormat/>
    <w:rsid w:val="00807F4B"/>
    <w:pPr>
      <w:spacing w:after="600"/>
    </w:pPr>
    <w:rPr>
      <w:rFonts w:eastAsia="MS Gothic"/>
      <w:i/>
      <w:iCs/>
      <w:spacing w:val="13"/>
    </w:rPr>
  </w:style>
  <w:style w:type="paragraph" w:styleId="Bibliografia">
    <w:name w:val="Bibliography"/>
    <w:basedOn w:val="Normalny"/>
    <w:next w:val="Normalny"/>
    <w:uiPriority w:val="99"/>
    <w:semiHidden/>
    <w:rsid w:val="00014566"/>
  </w:style>
  <w:style w:type="character" w:customStyle="1" w:styleId="PodtytuZnak">
    <w:name w:val="Podtytuł Znak"/>
    <w:basedOn w:val="Domylnaczcionkaakapitu"/>
    <w:link w:val="Podtytu"/>
    <w:uiPriority w:val="99"/>
    <w:semiHidden/>
    <w:locked/>
    <w:rsid w:val="00807F4B"/>
    <w:rPr>
      <w:rFonts w:ascii="Times New Roman" w:eastAsia="MS Gothic" w:hAnsi="Times New Roman" w:cs="Times New Roman"/>
      <w:i/>
      <w:iCs/>
      <w:spacing w:val="13"/>
      <w:sz w:val="24"/>
      <w:szCs w:val="24"/>
    </w:rPr>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Znak">
    <w:name w:val="Tekst podstawowy Znak"/>
    <w:basedOn w:val="Domylnaczcionkaakapitu"/>
    <w:link w:val="Tekstpodstawowy"/>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2Znak">
    <w:name w:val="Tekst podstawowy 2 Znak"/>
    <w:basedOn w:val="Domylnaczcionkaakapitu"/>
    <w:link w:val="Tekstpodstawowy2"/>
    <w:uiPriority w:val="99"/>
    <w:semiHidden/>
    <w:locked/>
    <w:rsid w:val="00014566"/>
    <w:rPr>
      <w:rFonts w:eastAsia="MS Mincho"/>
      <w:sz w:val="24"/>
      <w:szCs w:val="24"/>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3Znak">
    <w:name w:val="Tekst podstawowy 3 Znak"/>
    <w:basedOn w:val="Domylnaczcionkaakapitu"/>
    <w:link w:val="Tekstpodstawowy3"/>
    <w:uiPriority w:val="99"/>
    <w:semiHidden/>
    <w:locked/>
    <w:rsid w:val="00014566"/>
    <w:rPr>
      <w:rFonts w:eastAsia="MS Mincho"/>
      <w:sz w:val="16"/>
      <w:szCs w:val="16"/>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szCs w:val="24"/>
    </w:rPr>
  </w:style>
  <w:style w:type="paragraph" w:styleId="Legenda">
    <w:name w:val="caption"/>
    <w:basedOn w:val="Normalny"/>
    <w:next w:val="Normalny"/>
    <w:uiPriority w:val="99"/>
    <w:qFormat/>
    <w:rsid w:val="00014566"/>
    <w:pPr>
      <w:spacing w:after="200"/>
    </w:pPr>
    <w:rPr>
      <w:b/>
      <w:bCs/>
      <w:color w:val="0072BC"/>
      <w:sz w:val="18"/>
      <w:szCs w:val="18"/>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szCs w:val="16"/>
    </w:rPr>
  </w:style>
  <w:style w:type="paragraph" w:styleId="Zwrotpoegnalny">
    <w:name w:val="Closing"/>
    <w:basedOn w:val="Normalny"/>
    <w:link w:val="ZwrotpoegnalnyZnak"/>
    <w:uiPriority w:val="99"/>
    <w:semiHidden/>
    <w:rsid w:val="00014566"/>
    <w:pPr>
      <w:ind w:left="4252"/>
    </w:pPr>
  </w:style>
  <w:style w:type="table" w:styleId="Kolorowasiatka">
    <w:name w:val="Colorful Grid"/>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customStyle="1" w:styleId="ZwrotpoegnalnyZnak">
    <w:name w:val="Zwrot pożegnalny Znak"/>
    <w:basedOn w:val="Domylnaczcionkaakapitu"/>
    <w:link w:val="Zwrotpoegnalny"/>
    <w:uiPriority w:val="99"/>
    <w:semiHidden/>
    <w:locked/>
    <w:rsid w:val="00014566"/>
    <w:rPr>
      <w:rFonts w:eastAsia="MS Mincho"/>
      <w:sz w:val="24"/>
      <w:szCs w:val="24"/>
    </w:rPr>
  </w:style>
  <w:style w:type="table" w:styleId="Kolorowasiatkaakcent1">
    <w:name w:val="Colorful Grid Accen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paragraph" w:styleId="Podpise-mail">
    <w:name w:val="E-mail Signature"/>
    <w:basedOn w:val="Normalny"/>
    <w:link w:val="Podpise-mailZnak"/>
    <w:uiPriority w:val="99"/>
    <w:semiHidden/>
    <w:rsid w:val="00014566"/>
  </w:style>
  <w:style w:type="character" w:customStyle="1" w:styleId="DataZnak">
    <w:name w:val="Data Znak"/>
    <w:basedOn w:val="Domylnaczcionkaakapitu"/>
    <w:link w:val="Data"/>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character" w:customStyle="1" w:styleId="Podpise-mailZnak">
    <w:name w:val="Podpis e-mail Znak"/>
    <w:basedOn w:val="Domylnaczcionkaakapitu"/>
    <w:link w:val="Podpise-mail"/>
    <w:uiPriority w:val="99"/>
    <w:semiHidden/>
    <w:locked/>
    <w:rsid w:val="00014566"/>
    <w:rPr>
      <w:rFonts w:eastAsia="MS Mincho"/>
      <w:sz w:val="24"/>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styleId="HTML-cytat">
    <w:name w:val="HTML Cite"/>
    <w:basedOn w:val="Domylnaczcionkaakapitu"/>
    <w:uiPriority w:val="99"/>
    <w:semiHidden/>
    <w:rsid w:val="00014566"/>
    <w:rPr>
      <w:i/>
      <w:iCs/>
    </w:rPr>
  </w:style>
  <w:style w:type="character" w:customStyle="1" w:styleId="HTML-adresZnak">
    <w:name w:val="HTML - adres Znak"/>
    <w:basedOn w:val="Domylnaczcionkaakapitu"/>
    <w:link w:val="HTML-adres"/>
    <w:uiPriority w:val="99"/>
    <w:semiHidden/>
    <w:locked/>
    <w:rsid w:val="00014566"/>
    <w:rPr>
      <w:rFonts w:eastAsia="MS Mincho"/>
      <w:i/>
      <w:iCs/>
      <w:sz w:val="24"/>
      <w:szCs w:val="24"/>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pPr>
      <w:spacing w:after="0" w:line="240" w:lineRule="auto"/>
    </w:pPr>
    <w:rPr>
      <w:color w:val="00548C"/>
      <w:sz w:val="20"/>
      <w:szCs w:val="20"/>
      <w:lang w:eastAsia="fr-FR"/>
    </w:rPr>
    <w:tblPr>
      <w:tblStyleRowBandSize w:val="1"/>
      <w:tblStyleColBandSize w:val="1"/>
      <w:tblInd w:w="0" w:type="nil"/>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pPr>
      <w:spacing w:after="0" w:line="240" w:lineRule="auto"/>
    </w:pPr>
    <w:rPr>
      <w:color w:val="8F0000"/>
      <w:sz w:val="20"/>
      <w:szCs w:val="20"/>
      <w:lang w:eastAsia="fr-FR"/>
    </w:rPr>
    <w:tblPr>
      <w:tblStyleRowBandSize w:val="1"/>
      <w:tblStyleColBandSize w:val="1"/>
      <w:tblInd w:w="0" w:type="nil"/>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pPr>
      <w:spacing w:after="0" w:line="240" w:lineRule="auto"/>
    </w:pPr>
    <w:rPr>
      <w:color w:val="474747"/>
      <w:sz w:val="20"/>
      <w:szCs w:val="20"/>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pPr>
      <w:spacing w:after="0" w:line="240" w:lineRule="auto"/>
    </w:pPr>
    <w:rPr>
      <w:color w:val="707070"/>
      <w:sz w:val="20"/>
      <w:szCs w:val="20"/>
      <w:lang w:eastAsia="fr-FR"/>
    </w:rPr>
    <w:tblPr>
      <w:tblStyleRowBandSize w:val="1"/>
      <w:tblStyleColBandSize w:val="1"/>
      <w:tblInd w:w="0" w:type="nil"/>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pPr>
      <w:spacing w:after="0" w:line="240" w:lineRule="auto"/>
    </w:pPr>
    <w:rPr>
      <w:color w:val="474747"/>
      <w:sz w:val="20"/>
      <w:szCs w:val="20"/>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pPr>
      <w:spacing w:after="0" w:line="240" w:lineRule="auto"/>
    </w:pPr>
    <w:rPr>
      <w:color w:val="393939"/>
      <w:sz w:val="20"/>
      <w:szCs w:val="20"/>
      <w:lang w:eastAsia="fr-FR"/>
    </w:rPr>
    <w:tblPr>
      <w:tblStyleRowBandSize w:val="1"/>
      <w:tblStyleColBandSize w:val="1"/>
      <w:tblInd w:w="0" w:type="nil"/>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tabs>
        <w:tab w:val="num" w:pos="1492"/>
      </w:tabs>
      <w:ind w:left="1492" w:hanging="360"/>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nsolas" w:hAnsi="Consolas" w:cs="Consolas"/>
      <w:sz w:val="20"/>
      <w:szCs w:val="20"/>
      <w:lang w:eastAsia="fr-FR"/>
    </w:rPr>
  </w:style>
  <w:style w:type="table" w:styleId="redniasiatka1">
    <w:name w:val="Medium Grid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TekstmakraZnak">
    <w:name w:val="Tekst makra Znak"/>
    <w:basedOn w:val="Domylnaczcionkaakapitu"/>
    <w:link w:val="Tekstmakra"/>
    <w:uiPriority w:val="99"/>
    <w:semiHidden/>
    <w:locked/>
    <w:rsid w:val="00014566"/>
    <w:rPr>
      <w:rFonts w:ascii="Consolas" w:hAnsi="Consolas" w:cs="Consolas"/>
      <w:lang w:val="pl-PL" w:eastAsia="fr-FR"/>
    </w:rPr>
  </w:style>
  <w:style w:type="table" w:styleId="redniasiatka1akcent1">
    <w:name w:val="Medium Grid 1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paragraph" w:styleId="NormalnyWeb">
    <w:name w:val="Normal (Web)"/>
    <w:basedOn w:val="Normalny"/>
    <w:uiPriority w:val="99"/>
    <w:semiHidden/>
    <w:rsid w:val="00014566"/>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styleId="Tekstzastpczy">
    <w:name w:val="Placeholder Text"/>
    <w:basedOn w:val="Domylnaczcionkaakapitu"/>
    <w:uiPriority w:val="99"/>
    <w:semiHidden/>
    <w:rsid w:val="00807F4B"/>
    <w:rPr>
      <w:color w:val="auto"/>
      <w:shd w:val="clear" w:color="auto" w:fill="DFDFDF"/>
    </w:rPr>
  </w:style>
  <w:style w:type="character" w:customStyle="1" w:styleId="NagweknotatkiZnak">
    <w:name w:val="Nagłówek notatki Znak"/>
    <w:basedOn w:val="Domylnaczcionkaakapitu"/>
    <w:link w:val="Nagweknotatki"/>
    <w:uiPriority w:val="99"/>
    <w:semiHidden/>
    <w:locked/>
    <w:rsid w:val="00014566"/>
    <w:rPr>
      <w:rFonts w:eastAsia="MS Mincho"/>
      <w:sz w:val="24"/>
      <w:szCs w:val="24"/>
    </w:rPr>
  </w:style>
  <w:style w:type="paragraph" w:styleId="Zwykytekst">
    <w:name w:val="Plain Text"/>
    <w:basedOn w:val="Normalny"/>
    <w:link w:val="ZwykytekstZnak"/>
    <w:uiPriority w:val="99"/>
    <w:semiHidden/>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Podpis">
    <w:name w:val="Signature"/>
    <w:basedOn w:val="Normalny"/>
    <w:link w:val="PodpisZnak"/>
    <w:uiPriority w:val="99"/>
    <w:semiHidden/>
    <w:rsid w:val="00014566"/>
    <w:pPr>
      <w:ind w:left="4252"/>
    </w:p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spacing w:after="0" w:line="240" w:lineRule="auto"/>
    </w:pPr>
    <w:rPr>
      <w:sz w:val="20"/>
      <w:szCs w:val="20"/>
      <w:lang w:eastAsia="fr-FR"/>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PodpisZnak">
    <w:name w:val="Podpis Znak"/>
    <w:basedOn w:val="Domylnaczcionkaakapitu"/>
    <w:link w:val="Podpis"/>
    <w:uiPriority w:val="99"/>
    <w:semiHidden/>
    <w:locked/>
    <w:rsid w:val="00014566"/>
    <w:rPr>
      <w:rFonts w:eastAsia="MS Mincho"/>
      <w:sz w:val="24"/>
      <w:szCs w:val="24"/>
    </w:rPr>
  </w:style>
  <w:style w:type="table" w:styleId="Tabela-Efekty3W2">
    <w:name w:val="Table 3D effects 2"/>
    <w:basedOn w:val="Standardowy"/>
    <w:uiPriority w:val="99"/>
    <w:semiHidden/>
    <w:rsid w:val="00014566"/>
    <w:pPr>
      <w:suppressAutoHyphens/>
      <w:spacing w:after="0" w:line="240" w:lineRule="auto"/>
    </w:pPr>
    <w:rPr>
      <w:sz w:val="20"/>
      <w:szCs w:val="20"/>
      <w:lang w:eastAsia="fr-FR"/>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spacing w:after="0" w:line="240" w:lineRule="auto"/>
    </w:pPr>
    <w:rPr>
      <w:sz w:val="20"/>
      <w:szCs w:val="20"/>
      <w:lang w:eastAsia="fr-FR"/>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spacing w:after="0" w:line="240" w:lineRule="auto"/>
    </w:pPr>
    <w:rPr>
      <w:color w:val="000080"/>
      <w:sz w:val="20"/>
      <w:szCs w:val="20"/>
      <w:lang w:eastAsia="fr-FR"/>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spacing w:after="0" w:line="240" w:lineRule="auto"/>
    </w:pPr>
    <w:rPr>
      <w:color w:val="FFFFFF"/>
      <w:sz w:val="20"/>
      <w:szCs w:val="20"/>
      <w:lang w:eastAsia="fr-FR"/>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spacing w:after="0" w:line="240" w:lineRule="auto"/>
    </w:pPr>
    <w:rPr>
      <w:sz w:val="20"/>
      <w:szCs w:val="20"/>
      <w:lang w:eastAsia="fr-FR"/>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spacing w:after="0" w:line="240" w:lineRule="auto"/>
    </w:pPr>
    <w:rPr>
      <w:sz w:val="20"/>
      <w:szCs w:val="20"/>
      <w:lang w:eastAsia="fr-FR"/>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spacing w:after="0" w:line="240" w:lineRule="auto"/>
    </w:pPr>
    <w:rPr>
      <w:b/>
      <w:bCs/>
      <w:sz w:val="20"/>
      <w:szCs w:val="20"/>
      <w:lang w:eastAsia="fr-FR"/>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spacing w:after="0" w:line="240" w:lineRule="auto"/>
    </w:pPr>
    <w:rPr>
      <w:b/>
      <w:bCs/>
      <w:sz w:val="20"/>
      <w:szCs w:val="20"/>
      <w:lang w:eastAsia="fr-FR"/>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spacing w:after="0" w:line="240" w:lineRule="auto"/>
    </w:pPr>
    <w:rPr>
      <w:b/>
      <w:bCs/>
      <w:sz w:val="20"/>
      <w:szCs w:val="20"/>
      <w:lang w:eastAsia="fr-FR"/>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spacing w:after="0" w:line="240" w:lineRule="auto"/>
    </w:pPr>
    <w:rPr>
      <w:sz w:val="20"/>
      <w:szCs w:val="20"/>
      <w:lang w:eastAsia="fr-FR"/>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spacing w:after="0" w:line="240" w:lineRule="auto"/>
    </w:pPr>
    <w:rPr>
      <w:sz w:val="20"/>
      <w:szCs w:val="20"/>
      <w:lang w:eastAsia="fr-FR"/>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spacing w:after="0" w:line="240" w:lineRule="auto"/>
    </w:pPr>
    <w:rPr>
      <w:sz w:val="20"/>
      <w:szCs w:val="20"/>
      <w:lang w:eastAsia="fr-FR"/>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spacing w:after="0" w:line="240" w:lineRule="auto"/>
    </w:pPr>
    <w:rPr>
      <w:sz w:val="20"/>
      <w:szCs w:val="20"/>
      <w:lang w:eastAsia="fr-FR"/>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spacing w:after="0" w:line="240" w:lineRule="auto"/>
    </w:pPr>
    <w:rPr>
      <w:sz w:val="20"/>
      <w:szCs w:val="20"/>
      <w:lang w:eastAsia="fr-FR"/>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spacing w:after="0" w:line="240" w:lineRule="auto"/>
    </w:pPr>
    <w:rPr>
      <w:sz w:val="20"/>
      <w:szCs w:val="20"/>
      <w:lang w:eastAsia="fr-FR"/>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spacing w:after="0" w:line="240" w:lineRule="auto"/>
    </w:pPr>
    <w:rPr>
      <w:b/>
      <w:bCs/>
      <w:sz w:val="20"/>
      <w:szCs w:val="20"/>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spacing w:after="0" w:line="240" w:lineRule="auto"/>
    </w:pPr>
    <w:rPr>
      <w:sz w:val="20"/>
      <w:szCs w:val="20"/>
      <w:lang w:eastAsia="fr-FR"/>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spacing w:after="0" w:line="240" w:lineRule="auto"/>
    </w:pPr>
    <w:rPr>
      <w:sz w:val="20"/>
      <w:szCs w:val="20"/>
      <w:lang w:eastAsia="fr-FR"/>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spacing w:after="0" w:line="240" w:lineRule="auto"/>
    </w:pPr>
    <w:rPr>
      <w:sz w:val="20"/>
      <w:szCs w:val="20"/>
      <w:lang w:eastAsia="fr-FR"/>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spacing w:after="0" w:line="240" w:lineRule="auto"/>
    </w:pPr>
    <w:rPr>
      <w:sz w:val="20"/>
      <w:szCs w:val="20"/>
      <w:lang w:eastAsia="fr-FR"/>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spacing w:after="0" w:line="240" w:lineRule="auto"/>
    </w:pPr>
    <w:rPr>
      <w:sz w:val="20"/>
      <w:szCs w:val="20"/>
      <w:lang w:eastAsia="fr-FR"/>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spacing w:after="0" w:line="240" w:lineRule="auto"/>
    </w:pPr>
    <w:rPr>
      <w:sz w:val="20"/>
      <w:szCs w:val="20"/>
      <w:lang w:eastAsia="fr-FR"/>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spacing w:after="0" w:line="240" w:lineRule="auto"/>
    </w:pPr>
    <w:rPr>
      <w:sz w:val="20"/>
      <w:szCs w:val="20"/>
      <w:lang w:eastAsia="fr-FR"/>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spacing w:after="0" w:line="240" w:lineRule="auto"/>
    </w:pPr>
    <w:rPr>
      <w:sz w:val="20"/>
      <w:szCs w:val="20"/>
      <w:lang w:eastAsia="fr-FR"/>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spacing w:after="0" w:line="240" w:lineRule="auto"/>
    </w:pPr>
    <w:rPr>
      <w:sz w:val="20"/>
      <w:szCs w:val="20"/>
      <w:lang w:eastAsia="fr-FR"/>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spacing w:after="0" w:line="240" w:lineRule="auto"/>
    </w:pPr>
    <w:rPr>
      <w:sz w:val="20"/>
      <w:szCs w:val="20"/>
      <w:lang w:eastAsia="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spacing w:after="0" w:line="240" w:lineRule="auto"/>
    </w:pPr>
    <w:rPr>
      <w:sz w:val="20"/>
      <w:szCs w:val="20"/>
      <w:lang w:eastAsia="fr-FR"/>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spacing w:after="0" w:line="240" w:lineRule="auto"/>
    </w:pPr>
    <w:rPr>
      <w:sz w:val="20"/>
      <w:szCs w:val="20"/>
      <w:lang w:eastAsia="fr-FR"/>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spacing w:after="0" w:line="240" w:lineRule="auto"/>
    </w:pPr>
    <w:rPr>
      <w:sz w:val="20"/>
      <w:szCs w:val="20"/>
      <w:lang w:eastAsia="fr-FR"/>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07F4B"/>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807F4B"/>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99"/>
    <w:rsid w:val="00807F4B"/>
    <w:pPr>
      <w:tabs>
        <w:tab w:val="clear" w:pos="357"/>
      </w:tabs>
      <w:outlineLvl w:val="1"/>
    </w:pPr>
    <w:rPr>
      <w:b/>
      <w:bCs/>
    </w:rPr>
  </w:style>
  <w:style w:type="paragraph" w:customStyle="1" w:styleId="OpiHi">
    <w:name w:val="Opi_H_i"/>
    <w:basedOn w:val="ECHRHeading4"/>
    <w:uiPriority w:val="99"/>
    <w:rsid w:val="00807F4B"/>
    <w:pPr>
      <w:ind w:left="1037" w:hanging="357"/>
      <w:outlineLvl w:val="4"/>
    </w:pPr>
    <w:rPr>
      <w:b w:val="0"/>
      <w:bCs w:val="0"/>
      <w:i/>
      <w:iCs/>
    </w:rPr>
  </w:style>
  <w:style w:type="paragraph" w:customStyle="1" w:styleId="OpiPara">
    <w:name w:val="Opi_Para"/>
    <w:basedOn w:val="ECHRPara"/>
    <w:uiPriority w:val="99"/>
    <w:rsid w:val="00807F4B"/>
  </w:style>
  <w:style w:type="paragraph" w:customStyle="1" w:styleId="OpiParaSub">
    <w:name w:val="Opi_Para_Sub"/>
    <w:basedOn w:val="JuParaSub"/>
    <w:uiPriority w:val="99"/>
    <w:rsid w:val="00807F4B"/>
  </w:style>
  <w:style w:type="paragraph" w:customStyle="1" w:styleId="OpiQuot">
    <w:name w:val="Opi_Quot"/>
    <w:basedOn w:val="ECHRParaQuote"/>
    <w:uiPriority w:val="99"/>
    <w:rsid w:val="00807F4B"/>
  </w:style>
  <w:style w:type="paragraph" w:customStyle="1" w:styleId="OpiQuotSub">
    <w:name w:val="Opi_Quot_Sub"/>
    <w:basedOn w:val="JuQuotSub"/>
    <w:uiPriority w:val="99"/>
    <w:rsid w:val="00807F4B"/>
  </w:style>
  <w:style w:type="paragraph" w:customStyle="1" w:styleId="OpiTranslation">
    <w:name w:val="Opi_Translation"/>
    <w:basedOn w:val="Normalny"/>
    <w:next w:val="OpiPara"/>
    <w:uiPriority w:val="99"/>
    <w:rsid w:val="00807F4B"/>
    <w:pPr>
      <w:jc w:val="center"/>
      <w:outlineLvl w:val="0"/>
    </w:pPr>
    <w:rPr>
      <w:i/>
      <w:iCs/>
    </w:rPr>
  </w:style>
  <w:style w:type="paragraph" w:customStyle="1" w:styleId="jupara">
    <w:name w:val="jupara"/>
    <w:basedOn w:val="Normalny"/>
    <w:uiPriority w:val="99"/>
    <w:rsid w:val="00EF6E35"/>
    <w:pPr>
      <w:ind w:firstLine="284"/>
    </w:pPr>
    <w:rPr>
      <w:rFonts w:eastAsia="Times New Roman"/>
      <w:lang w:eastAsia="en-GB"/>
    </w:rPr>
  </w:style>
  <w:style w:type="paragraph" w:customStyle="1" w:styleId="jucase0">
    <w:name w:val="jucase"/>
    <w:basedOn w:val="Normalny"/>
    <w:uiPriority w:val="99"/>
    <w:rsid w:val="00EF6E35"/>
    <w:pPr>
      <w:ind w:firstLine="284"/>
    </w:pPr>
    <w:rPr>
      <w:rFonts w:eastAsia="Times New Roman"/>
      <w:b/>
      <w:bCs/>
      <w:lang w:eastAsia="en-GB"/>
    </w:rPr>
  </w:style>
  <w:style w:type="character" w:customStyle="1" w:styleId="s4f807e54">
    <w:name w:val="s4f807e54"/>
    <w:uiPriority w:val="99"/>
    <w:rsid w:val="009B41DF"/>
  </w:style>
  <w:style w:type="character" w:customStyle="1" w:styleId="ECHRParaChar">
    <w:name w:val="ECHR_Para Char"/>
    <w:aliases w:val="Ju_Para Char"/>
    <w:link w:val="ECHRPara"/>
    <w:uiPriority w:val="99"/>
    <w:locked/>
    <w:rsid w:val="0000309A"/>
    <w:rPr>
      <w:rFonts w:eastAsia="MS Mincho"/>
      <w:sz w:val="24"/>
      <w:szCs w:val="24"/>
      <w:lang w:val="pl-PL" w:eastAsia="en-US"/>
    </w:rPr>
  </w:style>
  <w:style w:type="paragraph" w:customStyle="1" w:styleId="s50c0b1c7">
    <w:name w:val="s50c0b1c7"/>
    <w:basedOn w:val="Normalny"/>
    <w:uiPriority w:val="99"/>
    <w:rsid w:val="00844ED6"/>
    <w:pPr>
      <w:spacing w:before="100" w:beforeAutospacing="1" w:after="100" w:afterAutospacing="1"/>
      <w:jc w:val="left"/>
    </w:pPr>
    <w:rPr>
      <w:rFonts w:eastAsia="Times New Roman"/>
      <w:lang w:eastAsia="pl-PL"/>
    </w:rPr>
  </w:style>
  <w:style w:type="character" w:customStyle="1" w:styleId="s3aeeab2">
    <w:name w:val="s3aeeab2"/>
    <w:uiPriority w:val="99"/>
    <w:rsid w:val="00844ED6"/>
    <w:rPr>
      <w:lang w:val="pl-PL" w:eastAsia="pl-PL"/>
    </w:rPr>
  </w:style>
  <w:style w:type="character" w:customStyle="1" w:styleId="sfbbfee58">
    <w:name w:val="sfbbfee58"/>
    <w:uiPriority w:val="99"/>
    <w:rsid w:val="00844ED6"/>
    <w:rPr>
      <w:lang w:val="pl-PL" w:eastAsia="pl-PL"/>
    </w:rPr>
  </w:style>
  <w:style w:type="numbering" w:styleId="1ai">
    <w:name w:val="Outline List 1"/>
    <w:basedOn w:val="Bezlisty"/>
    <w:uiPriority w:val="99"/>
    <w:semiHidden/>
    <w:unhideWhenUsed/>
    <w:locked/>
    <w:pPr>
      <w:numPr>
        <w:numId w:val="12"/>
      </w:numPr>
    </w:pPr>
  </w:style>
  <w:style w:type="numbering" w:styleId="111111">
    <w:name w:val="Outline List 2"/>
    <w:basedOn w:val="Bezlisty"/>
    <w:uiPriority w:val="99"/>
    <w:semiHidden/>
    <w:unhideWhenUsed/>
    <w:locked/>
    <w:pPr>
      <w:numPr>
        <w:numId w:val="11"/>
      </w:numPr>
    </w:pPr>
  </w:style>
  <w:style w:type="numbering" w:customStyle="1" w:styleId="ArticleSection">
    <w:name w:val="Article / Section"/>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807F4B"/>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807F4B"/>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807F4B"/>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807F4B"/>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807F4B"/>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807F4B"/>
    <w:pPr>
      <w:spacing w:before="200"/>
      <w:outlineLvl w:val="4"/>
    </w:pPr>
    <w:rPr>
      <w:rFonts w:eastAsia="MS Gothic"/>
      <w:b/>
      <w:bCs/>
      <w:color w:val="808080"/>
      <w:sz w:val="22"/>
      <w:szCs w:val="22"/>
    </w:rPr>
  </w:style>
  <w:style w:type="paragraph" w:styleId="Nagwek6">
    <w:name w:val="heading 6"/>
    <w:basedOn w:val="Normalny"/>
    <w:next w:val="Normalny"/>
    <w:link w:val="Nagwek6Znak"/>
    <w:uiPriority w:val="99"/>
    <w:qFormat/>
    <w:rsid w:val="00807F4B"/>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807F4B"/>
    <w:pPr>
      <w:outlineLvl w:val="6"/>
    </w:pPr>
    <w:rPr>
      <w:rFonts w:eastAsia="MS Gothic"/>
      <w:i/>
      <w:iCs/>
      <w:sz w:val="22"/>
      <w:szCs w:val="22"/>
    </w:rPr>
  </w:style>
  <w:style w:type="paragraph" w:styleId="Nagwek8">
    <w:name w:val="heading 8"/>
    <w:basedOn w:val="Normalny"/>
    <w:next w:val="Normalny"/>
    <w:link w:val="Nagwek8Znak"/>
    <w:uiPriority w:val="99"/>
    <w:qFormat/>
    <w:rsid w:val="00807F4B"/>
    <w:pPr>
      <w:outlineLvl w:val="7"/>
    </w:pPr>
    <w:rPr>
      <w:rFonts w:eastAsia="MS Gothic"/>
      <w:sz w:val="20"/>
      <w:szCs w:val="20"/>
    </w:rPr>
  </w:style>
  <w:style w:type="paragraph" w:styleId="Nagwek9">
    <w:name w:val="heading 9"/>
    <w:basedOn w:val="Normalny"/>
    <w:next w:val="Normalny"/>
    <w:link w:val="Nagwek9Znak"/>
    <w:uiPriority w:val="99"/>
    <w:qFormat/>
    <w:rsid w:val="00807F4B"/>
    <w:pPr>
      <w:outlineLvl w:val="8"/>
    </w:pPr>
    <w:rPr>
      <w:rFonts w:eastAsia="MS Gothic"/>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semiHidden/>
    <w:locked/>
    <w:rsid w:val="00807F4B"/>
    <w:rPr>
      <w:rFonts w:ascii="Times New Roman" w:eastAsia="MS Gothic" w:hAnsi="Times New Roman" w:cs="Times New Roman"/>
      <w:b/>
      <w:bCs/>
      <w:color w:val="4D4D4D"/>
      <w:sz w:val="26"/>
      <w:szCs w:val="26"/>
    </w:rPr>
  </w:style>
  <w:style w:type="character" w:customStyle="1" w:styleId="Nagwek3Znak">
    <w:name w:val="Nagłówek 3 Znak"/>
    <w:basedOn w:val="Domylnaczcionkaakapitu"/>
    <w:link w:val="Nagwek3"/>
    <w:uiPriority w:val="99"/>
    <w:semiHidden/>
    <w:locked/>
    <w:rsid w:val="00807F4B"/>
    <w:rPr>
      <w:rFonts w:ascii="Times New Roman" w:eastAsia="MS Gothic" w:hAnsi="Times New Roman" w:cs="Times New Roman"/>
      <w:b/>
      <w:bCs/>
      <w:color w:val="5F5F5F"/>
      <w:sz w:val="24"/>
      <w:szCs w:val="24"/>
    </w:rPr>
  </w:style>
  <w:style w:type="character" w:customStyle="1" w:styleId="Nagwek4Znak">
    <w:name w:val="Nagłówek 4 Znak"/>
    <w:basedOn w:val="Domylnaczcionkaakapitu"/>
    <w:link w:val="Nagwek4"/>
    <w:uiPriority w:val="99"/>
    <w:semiHidden/>
    <w:locked/>
    <w:rsid w:val="00807F4B"/>
    <w:rPr>
      <w:rFonts w:ascii="Times New Roman" w:eastAsia="MS Gothic" w:hAnsi="Times New Roman" w:cs="Times New Roman"/>
      <w:b/>
      <w:bCs/>
      <w:i/>
      <w:iCs/>
      <w:color w:val="777777"/>
      <w:sz w:val="24"/>
      <w:szCs w:val="24"/>
    </w:rPr>
  </w:style>
  <w:style w:type="character" w:customStyle="1" w:styleId="Nagwek5Znak">
    <w:name w:val="Nagłówek 5 Znak"/>
    <w:basedOn w:val="Domylnaczcionkaakapitu"/>
    <w:link w:val="Nagwek5"/>
    <w:uiPriority w:val="99"/>
    <w:semiHidden/>
    <w:locked/>
    <w:rsid w:val="00807F4B"/>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807F4B"/>
    <w:rPr>
      <w:rFonts w:ascii="Times New Roman" w:eastAsia="MS Gothic" w:hAnsi="Times New Roman" w:cs="Times New Roman"/>
      <w:b/>
      <w:bCs/>
      <w:i/>
      <w:iCs/>
      <w:color w:val="7F7F7F"/>
      <w:sz w:val="24"/>
      <w:szCs w:val="24"/>
    </w:rPr>
  </w:style>
  <w:style w:type="character" w:customStyle="1" w:styleId="Nagwek7Znak">
    <w:name w:val="Nagłówek 7 Znak"/>
    <w:basedOn w:val="Domylnaczcionkaakapitu"/>
    <w:link w:val="Nagwek7"/>
    <w:uiPriority w:val="99"/>
    <w:semiHidden/>
    <w:locked/>
    <w:rsid w:val="00807F4B"/>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807F4B"/>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807F4B"/>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807F4B"/>
    <w:rPr>
      <w:rFonts w:ascii="Tahoma" w:hAnsi="Tahoma" w:cs="Tahoma"/>
      <w:sz w:val="16"/>
      <w:szCs w:val="16"/>
    </w:rPr>
  </w:style>
  <w:style w:type="character" w:customStyle="1" w:styleId="Nagwek1Znak">
    <w:name w:val="Nagłówek 1 Znak"/>
    <w:basedOn w:val="Domylnaczcionkaakapitu"/>
    <w:link w:val="Nagwek1"/>
    <w:uiPriority w:val="99"/>
    <w:semiHidden/>
    <w:locked/>
    <w:rsid w:val="00807F4B"/>
    <w:rPr>
      <w:rFonts w:ascii="Times New Roman" w:eastAsia="MS Gothic" w:hAnsi="Times New Roman" w:cs="Times New Roman"/>
      <w:b/>
      <w:bCs/>
      <w:color w:val="333333"/>
      <w:sz w:val="28"/>
      <w:szCs w:val="28"/>
    </w:rPr>
  </w:style>
  <w:style w:type="character" w:styleId="Tytuksiki">
    <w:name w:val="Book Title"/>
    <w:basedOn w:val="Domylnaczcionkaakapitu"/>
    <w:uiPriority w:val="99"/>
    <w:qFormat/>
    <w:rsid w:val="00807F4B"/>
    <w:rPr>
      <w:i/>
      <w:iCs/>
      <w:smallCaps/>
      <w:spacing w:val="5"/>
    </w:rPr>
  </w:style>
  <w:style w:type="character" w:customStyle="1" w:styleId="TekstdymkaZnak">
    <w:name w:val="Tekst dymka Znak"/>
    <w:basedOn w:val="Domylnaczcionkaakapitu"/>
    <w:link w:val="Tekstdymka"/>
    <w:uiPriority w:val="99"/>
    <w:semiHidden/>
    <w:locked/>
    <w:rsid w:val="00807F4B"/>
    <w:rPr>
      <w:rFonts w:ascii="Tahoma" w:eastAsia="MS Mincho" w:hAnsi="Tahoma" w:cs="Tahoma"/>
      <w:sz w:val="16"/>
      <w:szCs w:val="16"/>
    </w:rPr>
  </w:style>
  <w:style w:type="paragraph" w:customStyle="1" w:styleId="ECHRHeader">
    <w:name w:val="ECHR_Header"/>
    <w:aliases w:val="Ju_Header"/>
    <w:basedOn w:val="Nagwek"/>
    <w:uiPriority w:val="99"/>
    <w:rsid w:val="00807F4B"/>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807F4B"/>
    <w:pPr>
      <w:jc w:val="left"/>
    </w:pPr>
    <w:rPr>
      <w:sz w:val="8"/>
      <w:szCs w:val="8"/>
    </w:rPr>
  </w:style>
  <w:style w:type="character" w:styleId="Pogrubienie">
    <w:name w:val="Strong"/>
    <w:basedOn w:val="Domylnaczcionkaakapitu"/>
    <w:uiPriority w:val="99"/>
    <w:qFormat/>
    <w:rsid w:val="00807F4B"/>
    <w:rPr>
      <w:b/>
      <w:bCs/>
    </w:rPr>
  </w:style>
  <w:style w:type="paragraph" w:styleId="Bezodstpw">
    <w:name w:val="No Spacing"/>
    <w:basedOn w:val="Normalny"/>
    <w:link w:val="BezodstpwZnak"/>
    <w:uiPriority w:val="99"/>
    <w:qFormat/>
    <w:rsid w:val="00807F4B"/>
    <w:rPr>
      <w:sz w:val="22"/>
      <w:szCs w:val="22"/>
    </w:rPr>
  </w:style>
  <w:style w:type="character" w:customStyle="1" w:styleId="BezodstpwZnak">
    <w:name w:val="Bez odstępów Znak"/>
    <w:basedOn w:val="Domylnaczcionkaakapitu"/>
    <w:link w:val="Bezodstpw"/>
    <w:uiPriority w:val="99"/>
    <w:semiHidden/>
    <w:locked/>
    <w:rsid w:val="00807F4B"/>
    <w:rPr>
      <w:rFonts w:eastAsia="MS Mincho"/>
    </w:rPr>
  </w:style>
  <w:style w:type="paragraph" w:customStyle="1" w:styleId="ECHRFooterLine">
    <w:name w:val="ECHR_Footer_Line"/>
    <w:aliases w:val="Footer_Line"/>
    <w:basedOn w:val="Normalny"/>
    <w:next w:val="ECHRFooter"/>
    <w:uiPriority w:val="99"/>
    <w:semiHidden/>
    <w:rsid w:val="00807F4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807F4B"/>
  </w:style>
  <w:style w:type="paragraph" w:customStyle="1" w:styleId="DecList">
    <w:name w:val="Dec_List"/>
    <w:basedOn w:val="Normalny"/>
    <w:uiPriority w:val="99"/>
    <w:semiHidden/>
    <w:rsid w:val="00807F4B"/>
    <w:pPr>
      <w:spacing w:before="240"/>
      <w:ind w:left="284"/>
    </w:pPr>
  </w:style>
  <w:style w:type="paragraph" w:customStyle="1" w:styleId="DummyStyle">
    <w:name w:val="Dummy_Style"/>
    <w:basedOn w:val="Normalny"/>
    <w:uiPriority w:val="99"/>
    <w:semiHidden/>
    <w:rsid w:val="00807F4B"/>
    <w:rPr>
      <w:color w:val="00B050"/>
    </w:rPr>
  </w:style>
  <w:style w:type="paragraph" w:customStyle="1" w:styleId="ECHRTitleCentre3">
    <w:name w:val="ECHR_Title_Centre_3"/>
    <w:aliases w:val="Ju_H_Article"/>
    <w:basedOn w:val="Normalny"/>
    <w:next w:val="ECHRParaQuote"/>
    <w:uiPriority w:val="99"/>
    <w:rsid w:val="00807F4B"/>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807F4B"/>
    <w:pPr>
      <w:keepNext/>
      <w:keepLines/>
      <w:spacing w:after="240"/>
      <w:jc w:val="center"/>
      <w:outlineLvl w:val="0"/>
    </w:pPr>
    <w:rPr>
      <w:sz w:val="28"/>
      <w:szCs w:val="28"/>
    </w:rPr>
  </w:style>
  <w:style w:type="paragraph" w:customStyle="1" w:styleId="JuAppQuestion">
    <w:name w:val="Ju_App_Question"/>
    <w:basedOn w:val="Normalny"/>
    <w:uiPriority w:val="99"/>
    <w:semiHidden/>
    <w:rsid w:val="00807F4B"/>
    <w:pPr>
      <w:numPr>
        <w:numId w:val="4"/>
      </w:numPr>
      <w:tabs>
        <w:tab w:val="clear" w:pos="1209"/>
        <w:tab w:val="num" w:pos="720"/>
      </w:tabs>
      <w:ind w:left="720"/>
      <w:jc w:val="left"/>
    </w:pPr>
    <w:rPr>
      <w:b/>
      <w:bCs/>
    </w:rPr>
  </w:style>
  <w:style w:type="paragraph" w:customStyle="1" w:styleId="JuCourt">
    <w:name w:val="Ju_Court"/>
    <w:basedOn w:val="Normalny"/>
    <w:next w:val="Normalny"/>
    <w:uiPriority w:val="99"/>
    <w:rsid w:val="00807F4B"/>
    <w:pPr>
      <w:tabs>
        <w:tab w:val="left" w:pos="907"/>
        <w:tab w:val="left" w:pos="1701"/>
        <w:tab w:val="right" w:pos="7371"/>
      </w:tabs>
      <w:spacing w:before="240"/>
      <w:ind w:left="397" w:hanging="397"/>
      <w:jc w:val="left"/>
    </w:pPr>
  </w:style>
  <w:style w:type="paragraph" w:customStyle="1" w:styleId="JuHeaderLandscape">
    <w:name w:val="Ju_Header_Landscape"/>
    <w:basedOn w:val="ECHRHeader"/>
    <w:uiPriority w:val="99"/>
    <w:rsid w:val="00807F4B"/>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99"/>
    <w:rsid w:val="00807F4B"/>
    <w:pPr>
      <w:spacing w:after="240"/>
      <w:jc w:val="center"/>
      <w:outlineLvl w:val="0"/>
    </w:pPr>
  </w:style>
  <w:style w:type="paragraph" w:customStyle="1" w:styleId="JuInitialled">
    <w:name w:val="Ju_Initialled"/>
    <w:basedOn w:val="Normalny"/>
    <w:uiPriority w:val="99"/>
    <w:rsid w:val="00807F4B"/>
    <w:pPr>
      <w:tabs>
        <w:tab w:val="center" w:pos="6407"/>
      </w:tabs>
      <w:spacing w:before="720"/>
      <w:jc w:val="right"/>
    </w:pPr>
  </w:style>
  <w:style w:type="paragraph" w:styleId="Tytu">
    <w:name w:val="Title"/>
    <w:basedOn w:val="Normalny"/>
    <w:next w:val="Normalny"/>
    <w:link w:val="TytuZnak"/>
    <w:uiPriority w:val="99"/>
    <w:qFormat/>
    <w:rsid w:val="00807F4B"/>
    <w:pPr>
      <w:pBdr>
        <w:bottom w:val="single" w:sz="4" w:space="1" w:color="auto"/>
      </w:pBdr>
    </w:pPr>
    <w:rPr>
      <w:rFonts w:eastAsia="MS Gothic"/>
      <w:spacing w:val="5"/>
      <w:sz w:val="52"/>
      <w:szCs w:val="52"/>
    </w:rPr>
  </w:style>
  <w:style w:type="paragraph" w:customStyle="1" w:styleId="ECHRHeading3">
    <w:name w:val="ECHR_Heading_3"/>
    <w:aliases w:val="Ju_H_1."/>
    <w:basedOn w:val="Nagwek3"/>
    <w:next w:val="ECHRPara"/>
    <w:uiPriority w:val="99"/>
    <w:rsid w:val="00807F4B"/>
    <w:pPr>
      <w:keepNext/>
      <w:keepLines/>
      <w:tabs>
        <w:tab w:val="left" w:pos="731"/>
      </w:tabs>
      <w:spacing w:before="240" w:after="120" w:line="240" w:lineRule="auto"/>
      <w:ind w:left="732" w:hanging="301"/>
    </w:pPr>
    <w:rPr>
      <w:b w:val="0"/>
      <w:bCs w:val="0"/>
      <w:i/>
      <w:iCs/>
      <w:color w:val="auto"/>
    </w:rPr>
  </w:style>
  <w:style w:type="character" w:customStyle="1" w:styleId="TytuZnak">
    <w:name w:val="Tytuł Znak"/>
    <w:basedOn w:val="Domylnaczcionkaakapitu"/>
    <w:link w:val="Tytu"/>
    <w:uiPriority w:val="99"/>
    <w:semiHidden/>
    <w:locked/>
    <w:rsid w:val="00807F4B"/>
    <w:rPr>
      <w:rFonts w:ascii="Times New Roman" w:eastAsia="MS Gothic" w:hAnsi="Times New Roman" w:cs="Times New Roman"/>
      <w:spacing w:val="5"/>
      <w:sz w:val="52"/>
      <w:szCs w:val="52"/>
    </w:rPr>
  </w:style>
  <w:style w:type="paragraph" w:customStyle="1" w:styleId="ECHRHeading4">
    <w:name w:val="ECHR_Heading_4"/>
    <w:aliases w:val="Ju_H_a"/>
    <w:basedOn w:val="Nagwek4"/>
    <w:next w:val="ECHRPara"/>
    <w:uiPriority w:val="99"/>
    <w:rsid w:val="00807F4B"/>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807F4B"/>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807F4B"/>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807F4B"/>
    <w:pPr>
      <w:keepNext/>
      <w:keepLines/>
      <w:spacing w:before="240" w:after="120"/>
      <w:ind w:left="1236"/>
    </w:pPr>
    <w:rPr>
      <w:sz w:val="20"/>
      <w:szCs w:val="20"/>
    </w:rPr>
  </w:style>
  <w:style w:type="paragraph" w:customStyle="1" w:styleId="JuListi">
    <w:name w:val="Ju_List_i"/>
    <w:basedOn w:val="Normalny"/>
    <w:next w:val="JuLista"/>
    <w:uiPriority w:val="99"/>
    <w:rsid w:val="00807F4B"/>
    <w:pPr>
      <w:ind w:left="794"/>
    </w:pPr>
  </w:style>
  <w:style w:type="character" w:customStyle="1" w:styleId="JUNAMES">
    <w:name w:val="JU_NAMES"/>
    <w:uiPriority w:val="99"/>
    <w:rsid w:val="00807F4B"/>
    <w:rPr>
      <w:smallCaps/>
    </w:rPr>
  </w:style>
  <w:style w:type="paragraph" w:customStyle="1" w:styleId="JuParaSub">
    <w:name w:val="Ju_Para_Sub"/>
    <w:basedOn w:val="ECHRPara"/>
    <w:uiPriority w:val="99"/>
    <w:rsid w:val="00807F4B"/>
    <w:pPr>
      <w:ind w:left="284"/>
    </w:pPr>
  </w:style>
  <w:style w:type="paragraph" w:styleId="Nagwek">
    <w:name w:val="header"/>
    <w:basedOn w:val="Normalny"/>
    <w:link w:val="NagwekZnak"/>
    <w:uiPriority w:val="99"/>
    <w:semiHidden/>
    <w:rsid w:val="00807F4B"/>
    <w:pPr>
      <w:tabs>
        <w:tab w:val="center" w:pos="4536"/>
        <w:tab w:val="right" w:pos="9072"/>
      </w:tabs>
    </w:pPr>
    <w:rPr>
      <w:rFonts w:eastAsia="Times New Roman"/>
    </w:rPr>
  </w:style>
  <w:style w:type="paragraph" w:customStyle="1" w:styleId="ECHRHeading1">
    <w:name w:val="ECHR_Heading_1"/>
    <w:aliases w:val="Ju_H_I_Roman"/>
    <w:basedOn w:val="Nagwek1"/>
    <w:next w:val="ECHRPara"/>
    <w:uiPriority w:val="99"/>
    <w:rsid w:val="00807F4B"/>
    <w:pPr>
      <w:keepNext/>
      <w:keepLines/>
      <w:tabs>
        <w:tab w:val="left" w:pos="357"/>
      </w:tabs>
      <w:spacing w:before="360" w:after="240"/>
      <w:ind w:left="357" w:hanging="357"/>
    </w:pPr>
    <w:rPr>
      <w:b w:val="0"/>
      <w:bCs w:val="0"/>
      <w:color w:val="auto"/>
      <w:sz w:val="24"/>
      <w:szCs w:val="24"/>
    </w:rPr>
  </w:style>
  <w:style w:type="character" w:customStyle="1" w:styleId="NagwekZnak">
    <w:name w:val="Nagłówek Znak"/>
    <w:basedOn w:val="Domylnaczcionkaakapitu"/>
    <w:link w:val="Nagwek"/>
    <w:uiPriority w:val="99"/>
    <w:semiHidden/>
    <w:locked/>
    <w:rsid w:val="00807F4B"/>
    <w:rPr>
      <w:sz w:val="24"/>
      <w:szCs w:val="24"/>
    </w:rPr>
  </w:style>
  <w:style w:type="paragraph" w:customStyle="1" w:styleId="ECHRHeading2">
    <w:name w:val="ECHR_Heading_2"/>
    <w:aliases w:val="Ju_H_A"/>
    <w:basedOn w:val="Nagwek2"/>
    <w:next w:val="ECHRPara"/>
    <w:uiPriority w:val="99"/>
    <w:rsid w:val="00807F4B"/>
    <w:pPr>
      <w:keepNext/>
      <w:keepLines/>
      <w:tabs>
        <w:tab w:val="left" w:pos="584"/>
      </w:tabs>
      <w:spacing w:before="360" w:after="240"/>
      <w:ind w:left="584" w:hanging="352"/>
    </w:pPr>
    <w:rPr>
      <w:color w:val="auto"/>
      <w:sz w:val="24"/>
      <w:szCs w:val="24"/>
    </w:rPr>
  </w:style>
  <w:style w:type="paragraph" w:customStyle="1" w:styleId="JuQuotSub">
    <w:name w:val="Ju_Quot_Sub"/>
    <w:basedOn w:val="ECHRParaQuote"/>
    <w:uiPriority w:val="99"/>
    <w:rsid w:val="00807F4B"/>
    <w:pPr>
      <w:ind w:left="567"/>
    </w:pPr>
  </w:style>
  <w:style w:type="paragraph" w:customStyle="1" w:styleId="JuCase">
    <w:name w:val="Ju_Case"/>
    <w:basedOn w:val="Normalny"/>
    <w:next w:val="ECHRPara"/>
    <w:uiPriority w:val="99"/>
    <w:rsid w:val="00807F4B"/>
    <w:pPr>
      <w:ind w:firstLine="284"/>
    </w:pPr>
    <w:rPr>
      <w:b/>
      <w:bCs/>
    </w:rPr>
  </w:style>
  <w:style w:type="character" w:styleId="Wyrnieniedelikatne">
    <w:name w:val="Subtle Emphasis"/>
    <w:basedOn w:val="Domylnaczcionkaakapitu"/>
    <w:uiPriority w:val="99"/>
    <w:qFormat/>
    <w:rsid w:val="00807F4B"/>
    <w:rPr>
      <w:i/>
      <w:iCs/>
    </w:rPr>
  </w:style>
  <w:style w:type="table" w:customStyle="1" w:styleId="ECHRTable">
    <w:name w:val="ECHR_Table"/>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807F4B"/>
    <w:pPr>
      <w:keepNext/>
      <w:keepLines/>
      <w:spacing w:before="720" w:after="240"/>
      <w:outlineLvl w:val="0"/>
    </w:pPr>
    <w:rPr>
      <w:sz w:val="28"/>
      <w:szCs w:val="28"/>
    </w:rPr>
  </w:style>
  <w:style w:type="character" w:styleId="Uwydatnienie">
    <w:name w:val="Emphasis"/>
    <w:basedOn w:val="Domylnaczcionkaakapitu"/>
    <w:uiPriority w:val="99"/>
    <w:qFormat/>
    <w:rsid w:val="00807F4B"/>
    <w:rPr>
      <w:b/>
      <w:bCs/>
      <w:i/>
      <w:iCs/>
      <w:spacing w:val="10"/>
      <w:shd w:val="clear" w:color="auto" w:fill="auto"/>
    </w:rPr>
  </w:style>
  <w:style w:type="paragraph" w:styleId="Stopka">
    <w:name w:val="footer"/>
    <w:basedOn w:val="Normalny"/>
    <w:link w:val="StopkaZnak"/>
    <w:uiPriority w:val="99"/>
    <w:semiHidden/>
    <w:rsid w:val="00807F4B"/>
    <w:pPr>
      <w:tabs>
        <w:tab w:val="center" w:pos="4536"/>
        <w:tab w:val="right" w:pos="9696"/>
      </w:tabs>
      <w:ind w:left="-680" w:right="-680"/>
    </w:pPr>
    <w:rPr>
      <w:rFonts w:eastAsia="Times New Roman"/>
    </w:rPr>
  </w:style>
  <w:style w:type="character" w:styleId="Odwoanieprzypisudolnego">
    <w:name w:val="footnote reference"/>
    <w:basedOn w:val="Domylnaczcionkaakapitu"/>
    <w:uiPriority w:val="99"/>
    <w:semiHidden/>
    <w:rsid w:val="00807F4B"/>
    <w:rPr>
      <w:vertAlign w:val="superscript"/>
    </w:rPr>
  </w:style>
  <w:style w:type="character" w:customStyle="1" w:styleId="StopkaZnak">
    <w:name w:val="Stopka Znak"/>
    <w:basedOn w:val="Domylnaczcionkaakapitu"/>
    <w:link w:val="Stopka"/>
    <w:uiPriority w:val="99"/>
    <w:semiHidden/>
    <w:locked/>
    <w:rsid w:val="00807F4B"/>
    <w:rPr>
      <w:sz w:val="24"/>
      <w:szCs w:val="24"/>
    </w:rPr>
  </w:style>
  <w:style w:type="paragraph" w:styleId="Tekstprzypisudolnego">
    <w:name w:val="footnote text"/>
    <w:basedOn w:val="Normalny"/>
    <w:link w:val="TekstprzypisudolnegoZnak"/>
    <w:uiPriority w:val="99"/>
    <w:semiHidden/>
    <w:rsid w:val="00807F4B"/>
    <w:rPr>
      <w:sz w:val="20"/>
      <w:szCs w:val="20"/>
    </w:rPr>
  </w:style>
  <w:style w:type="character" w:styleId="Hipercze">
    <w:name w:val="Hyperlink"/>
    <w:basedOn w:val="Domylnaczcionkaakapitu"/>
    <w:uiPriority w:val="99"/>
    <w:semiHidden/>
    <w:rsid w:val="00807F4B"/>
    <w:rPr>
      <w:color w:val="0072BC"/>
      <w:u w:val="single"/>
    </w:rPr>
  </w:style>
  <w:style w:type="character" w:customStyle="1" w:styleId="TekstprzypisudolnegoZnak">
    <w:name w:val="Tekst przypisu dolnego Znak"/>
    <w:basedOn w:val="Domylnaczcionkaakapitu"/>
    <w:link w:val="Tekstprzypisudolnego"/>
    <w:uiPriority w:val="99"/>
    <w:semiHidden/>
    <w:locked/>
    <w:rsid w:val="00807F4B"/>
    <w:rPr>
      <w:rFonts w:eastAsia="MS Mincho"/>
      <w:sz w:val="20"/>
      <w:szCs w:val="20"/>
    </w:rPr>
  </w:style>
  <w:style w:type="character" w:styleId="Wyrnienieintensywne">
    <w:name w:val="Intense Emphasis"/>
    <w:basedOn w:val="Domylnaczcionkaakapitu"/>
    <w:uiPriority w:val="99"/>
    <w:qFormat/>
    <w:rsid w:val="00807F4B"/>
    <w:rPr>
      <w:b/>
      <w:bCs/>
    </w:rPr>
  </w:style>
  <w:style w:type="paragraph" w:styleId="Cytatintensywny">
    <w:name w:val="Intense Quote"/>
    <w:basedOn w:val="Normalny"/>
    <w:next w:val="Normalny"/>
    <w:link w:val="CytatintensywnyZnak"/>
    <w:uiPriority w:val="99"/>
    <w:qFormat/>
    <w:rsid w:val="00807F4B"/>
    <w:pPr>
      <w:pBdr>
        <w:bottom w:val="single" w:sz="4" w:space="1" w:color="auto"/>
      </w:pBdr>
      <w:spacing w:before="200" w:after="280"/>
      <w:ind w:left="1008" w:right="1152"/>
    </w:pPr>
    <w:rPr>
      <w:b/>
      <w:bCs/>
      <w:i/>
      <w:iCs/>
      <w:sz w:val="22"/>
      <w:szCs w:val="22"/>
    </w:rPr>
  </w:style>
  <w:style w:type="character" w:styleId="Odwoanieintensywne">
    <w:name w:val="Intense Reference"/>
    <w:basedOn w:val="Domylnaczcionkaakapitu"/>
    <w:uiPriority w:val="99"/>
    <w:qFormat/>
    <w:rsid w:val="00807F4B"/>
    <w:rPr>
      <w:smallCaps/>
      <w:spacing w:val="5"/>
      <w:u w:val="single"/>
    </w:rPr>
  </w:style>
  <w:style w:type="character" w:customStyle="1" w:styleId="CytatintensywnyZnak">
    <w:name w:val="Cytat intensywny Znak"/>
    <w:basedOn w:val="Domylnaczcionkaakapitu"/>
    <w:link w:val="Cytatintensywny"/>
    <w:uiPriority w:val="99"/>
    <w:semiHidden/>
    <w:locked/>
    <w:rsid w:val="00807F4B"/>
    <w:rPr>
      <w:rFonts w:eastAsia="MS Mincho"/>
      <w:b/>
      <w:bCs/>
      <w:i/>
      <w:iCs/>
    </w:rPr>
  </w:style>
  <w:style w:type="paragraph" w:styleId="Akapitzlist">
    <w:name w:val="List Paragraph"/>
    <w:basedOn w:val="Normalny"/>
    <w:uiPriority w:val="99"/>
    <w:qFormat/>
    <w:rsid w:val="00807F4B"/>
    <w:pPr>
      <w:ind w:left="720"/>
    </w:pPr>
  </w:style>
  <w:style w:type="table" w:customStyle="1" w:styleId="LtrTableAddress">
    <w:name w:val="Ltr_Table_Address"/>
    <w:uiPriority w:val="99"/>
    <w:rsid w:val="001E6F32"/>
    <w:pPr>
      <w:spacing w:after="0" w:line="240" w:lineRule="auto"/>
    </w:pPr>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807F4B"/>
    <w:pPr>
      <w:spacing w:before="200"/>
      <w:ind w:left="360" w:right="360"/>
    </w:pPr>
    <w:rPr>
      <w:i/>
      <w:iCs/>
      <w:sz w:val="22"/>
      <w:szCs w:val="22"/>
    </w:rPr>
  </w:style>
  <w:style w:type="character" w:styleId="Odwoaniedelikatne">
    <w:name w:val="Subtle Reference"/>
    <w:basedOn w:val="Domylnaczcionkaakapitu"/>
    <w:uiPriority w:val="99"/>
    <w:qFormat/>
    <w:rsid w:val="00807F4B"/>
    <w:rPr>
      <w:smallCaps/>
    </w:rPr>
  </w:style>
  <w:style w:type="character" w:customStyle="1" w:styleId="CytatZnak">
    <w:name w:val="Cytat Znak"/>
    <w:basedOn w:val="Domylnaczcionkaakapitu"/>
    <w:link w:val="Cytat"/>
    <w:uiPriority w:val="99"/>
    <w:semiHidden/>
    <w:locked/>
    <w:rsid w:val="00807F4B"/>
    <w:rPr>
      <w:rFonts w:eastAsia="MS Mincho"/>
      <w:i/>
      <w:iCs/>
    </w:rPr>
  </w:style>
  <w:style w:type="table" w:styleId="Tabela-Siatka">
    <w:name w:val="Table Grid"/>
    <w:basedOn w:val="Standardowy"/>
    <w:uiPriority w:val="99"/>
    <w:semiHidden/>
    <w:rsid w:val="00807F4B"/>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07F4B"/>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807F4B"/>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807F4B"/>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807F4B"/>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807F4B"/>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807F4B"/>
    <w:pPr>
      <w:keepNext/>
      <w:keepLines/>
      <w:spacing w:before="240"/>
      <w:jc w:val="center"/>
    </w:pPr>
    <w:rPr>
      <w:rFonts w:eastAsia="Times New Roman"/>
      <w:b/>
      <w:bCs/>
      <w:color w:val="474747"/>
      <w:sz w:val="28"/>
      <w:szCs w:val="28"/>
    </w:rPr>
  </w:style>
  <w:style w:type="table" w:customStyle="1" w:styleId="UGTable">
    <w:name w:val="UG_Table"/>
    <w:uiPriority w:val="99"/>
    <w:rsid w:val="00801300"/>
    <w:pPr>
      <w:spacing w:after="0" w:line="240" w:lineRule="auto"/>
    </w:pPr>
    <w:rPr>
      <w:rFonts w:eastAsia="MS Mincho"/>
      <w:sz w:val="20"/>
      <w:szCs w:val="20"/>
      <w:lang w:eastAsia="en-GB"/>
    </w:rPr>
    <w:tblPr>
      <w:tblCellMar>
        <w:top w:w="57" w:type="dxa"/>
        <w:left w:w="0" w:type="dxa"/>
        <w:bottom w:w="0" w:type="dxa"/>
        <w:right w:w="0" w:type="dxa"/>
      </w:tblCellMar>
    </w:tblPr>
  </w:style>
  <w:style w:type="table" w:customStyle="1" w:styleId="UGTableWhiteBox">
    <w:name w:val="UG_Table_White_Box"/>
    <w:uiPriority w:val="99"/>
    <w:rsid w:val="00801300"/>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807F4B"/>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uiPriority w:val="99"/>
    <w:rsid w:val="00807F4B"/>
    <w:pPr>
      <w:spacing w:before="120" w:after="120"/>
      <w:ind w:left="425" w:firstLine="142"/>
    </w:pPr>
    <w:rPr>
      <w:sz w:val="20"/>
      <w:szCs w:val="20"/>
    </w:rPr>
  </w:style>
  <w:style w:type="paragraph" w:customStyle="1" w:styleId="ECHRPara">
    <w:name w:val="ECHR_Para"/>
    <w:aliases w:val="Ju_Para,Left,First line:  0 cm"/>
    <w:basedOn w:val="Normalny"/>
    <w:link w:val="ECHRParaChar"/>
    <w:uiPriority w:val="99"/>
    <w:rsid w:val="00807F4B"/>
    <w:pPr>
      <w:ind w:firstLine="284"/>
    </w:pPr>
  </w:style>
  <w:style w:type="table" w:customStyle="1" w:styleId="ECHRTableSimpleBox">
    <w:name w:val="ECHR_Table_Simple_Box"/>
    <w:uiPriority w:val="99"/>
    <w:rsid w:val="00AE354C"/>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807F4B"/>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807F4B"/>
    <w:pPr>
      <w:tabs>
        <w:tab w:val="left" w:pos="567"/>
        <w:tab w:val="left" w:pos="1134"/>
      </w:tabs>
      <w:jc w:val="left"/>
    </w:pPr>
  </w:style>
  <w:style w:type="table" w:customStyle="1" w:styleId="ECHRHeaderTableReduced">
    <w:name w:val="ECHR_Header_Table_Reduced"/>
    <w:uiPriority w:val="99"/>
    <w:rsid w:val="00B52BE0"/>
    <w:pPr>
      <w:spacing w:after="0" w:line="240" w:lineRule="auto"/>
    </w:pPr>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807F4B"/>
    <w:pPr>
      <w:ind w:left="340" w:hanging="340"/>
    </w:pPr>
  </w:style>
  <w:style w:type="paragraph" w:customStyle="1" w:styleId="JuSigned">
    <w:name w:val="Ju_Signed"/>
    <w:basedOn w:val="Normalny"/>
    <w:next w:val="JuParaLast"/>
    <w:uiPriority w:val="99"/>
    <w:rsid w:val="00807F4B"/>
    <w:pPr>
      <w:tabs>
        <w:tab w:val="center" w:pos="851"/>
        <w:tab w:val="center" w:pos="6407"/>
      </w:tabs>
      <w:spacing w:before="720"/>
      <w:jc w:val="left"/>
    </w:pPr>
  </w:style>
  <w:style w:type="paragraph" w:customStyle="1" w:styleId="JuParaLast">
    <w:name w:val="Ju_Para_Last"/>
    <w:basedOn w:val="Normalny"/>
    <w:next w:val="ECHRPara"/>
    <w:uiPriority w:val="99"/>
    <w:rsid w:val="00807F4B"/>
    <w:pPr>
      <w:keepNext/>
      <w:keepLines/>
      <w:spacing w:before="240"/>
      <w:ind w:firstLine="284"/>
    </w:pPr>
  </w:style>
  <w:style w:type="paragraph" w:customStyle="1" w:styleId="JuTitle">
    <w:name w:val="Ju_Title"/>
    <w:basedOn w:val="Normalny"/>
    <w:next w:val="ECHRPara"/>
    <w:uiPriority w:val="99"/>
    <w:semiHidden/>
    <w:rsid w:val="00807F4B"/>
    <w:pPr>
      <w:spacing w:before="720" w:after="240"/>
      <w:jc w:val="center"/>
      <w:outlineLvl w:val="0"/>
    </w:pPr>
    <w:rPr>
      <w:b/>
      <w:bCs/>
      <w:caps/>
    </w:r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807F4B"/>
    <w:pPr>
      <w:ind w:left="346" w:firstLine="0"/>
    </w:pPr>
  </w:style>
  <w:style w:type="paragraph" w:customStyle="1" w:styleId="OpiH1">
    <w:name w:val="Opi_H_1"/>
    <w:basedOn w:val="ECHRHeading2"/>
    <w:uiPriority w:val="99"/>
    <w:rsid w:val="00807F4B"/>
    <w:pPr>
      <w:ind w:left="635" w:hanging="357"/>
      <w:outlineLvl w:val="2"/>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kstkomentarzaZnak">
    <w:name w:val="Tekst komentarza Znak"/>
    <w:basedOn w:val="Domylnaczcionkaakapitu"/>
    <w:link w:val="Tekstkomentarza"/>
    <w:uiPriority w:val="99"/>
    <w:semiHidden/>
    <w:locked/>
    <w:rsid w:val="00014566"/>
    <w:rPr>
      <w:rFonts w:eastAsia="MS Mincho"/>
      <w:sz w:val="20"/>
      <w:szCs w:val="20"/>
    </w:rPr>
  </w:style>
  <w:style w:type="character" w:styleId="Odwoanieprzypisukocowego">
    <w:name w:val="endnote reference"/>
    <w:basedOn w:val="Domylnaczcionkaakapitu"/>
    <w:uiPriority w:val="99"/>
    <w:semiHidden/>
    <w:rsid w:val="00014566"/>
    <w:rPr>
      <w:vertAlign w:val="superscript"/>
    </w:rPr>
  </w:style>
  <w:style w:type="character" w:customStyle="1" w:styleId="TematkomentarzaZnak">
    <w:name w:val="Temat komentarza Znak"/>
    <w:basedOn w:val="TekstkomentarzaZnak"/>
    <w:link w:val="Tematkomentarza"/>
    <w:uiPriority w:val="99"/>
    <w:semiHidden/>
    <w:locked/>
    <w:rsid w:val="00014566"/>
    <w:rPr>
      <w:rFonts w:eastAsia="MS Mincho"/>
      <w:b/>
      <w:bCs/>
      <w:sz w:val="20"/>
      <w:szCs w:val="20"/>
    </w:rPr>
  </w:style>
  <w:style w:type="paragraph" w:styleId="Tekstprzypisukocowego">
    <w:name w:val="endnote text"/>
    <w:basedOn w:val="Normalny"/>
    <w:link w:val="TekstprzypisukocowegoZnak"/>
    <w:uiPriority w:val="99"/>
    <w:semiHidden/>
    <w:rsid w:val="00014566"/>
    <w:rPr>
      <w:sz w:val="20"/>
      <w:szCs w:val="20"/>
    </w:rPr>
  </w:style>
  <w:style w:type="character" w:styleId="UyteHipercze">
    <w:name w:val="FollowedHyperlink"/>
    <w:basedOn w:val="Domylnaczcionkaakapitu"/>
    <w:uiPriority w:val="99"/>
    <w:semiHidden/>
    <w:rsid w:val="00014566"/>
    <w:rPr>
      <w:color w:val="800080"/>
      <w:u w:val="single"/>
    </w:rPr>
  </w:style>
  <w:style w:type="character" w:customStyle="1" w:styleId="TekstprzypisukocowegoZnak">
    <w:name w:val="Tekst przypisu końcowego Znak"/>
    <w:basedOn w:val="Domylnaczcionkaakapitu"/>
    <w:link w:val="Tekstprzypisukocowego"/>
    <w:uiPriority w:val="99"/>
    <w:semiHidden/>
    <w:locked/>
    <w:rsid w:val="00014566"/>
    <w:rPr>
      <w:rFonts w:eastAsia="MS Mincho"/>
      <w:sz w:val="20"/>
      <w:szCs w:val="20"/>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rPr>
  </w:style>
  <w:style w:type="paragraph" w:customStyle="1" w:styleId="OpiHa">
    <w:name w:val="Opi_H_a"/>
    <w:basedOn w:val="ECHRHeading3"/>
    <w:uiPriority w:val="99"/>
    <w:rsid w:val="00807F4B"/>
    <w:pPr>
      <w:ind w:left="833" w:hanging="357"/>
      <w:outlineLvl w:val="3"/>
    </w:pPr>
    <w:rPr>
      <w:b/>
      <w:bCs/>
      <w:i w:val="0"/>
      <w:iCs w:val="0"/>
      <w:sz w:val="20"/>
      <w:szCs w:val="20"/>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zCs w:val="20"/>
      <w:shd w:val="clear" w:color="auto" w:fill="000080"/>
    </w:rPr>
  </w:style>
  <w:style w:type="paragraph" w:styleId="Listapunktowana">
    <w:name w:val="List Bullet"/>
    <w:basedOn w:val="Normalny"/>
    <w:uiPriority w:val="99"/>
    <w:semiHidden/>
    <w:rsid w:val="00014566"/>
    <w:pPr>
      <w:numPr>
        <w:numId w:val="10"/>
      </w:numPr>
    </w:pPr>
  </w:style>
  <w:style w:type="character" w:customStyle="1" w:styleId="JuITMark">
    <w:name w:val="Ju_ITMark"/>
    <w:basedOn w:val="Domylnaczcionkaakapitu"/>
    <w:uiPriority w:val="99"/>
    <w:rsid w:val="00807F4B"/>
    <w:rPr>
      <w:color w:val="auto"/>
      <w:sz w:val="14"/>
      <w:szCs w:val="14"/>
      <w:shd w:val="clear" w:color="auto" w:fill="BEE5FF"/>
    </w:rPr>
  </w:style>
  <w:style w:type="paragraph" w:styleId="Podtytu">
    <w:name w:val="Subtitle"/>
    <w:basedOn w:val="Normalny"/>
    <w:next w:val="Normalny"/>
    <w:link w:val="PodtytuZnak"/>
    <w:uiPriority w:val="99"/>
    <w:qFormat/>
    <w:rsid w:val="00807F4B"/>
    <w:pPr>
      <w:spacing w:after="600"/>
    </w:pPr>
    <w:rPr>
      <w:rFonts w:eastAsia="MS Gothic"/>
      <w:i/>
      <w:iCs/>
      <w:spacing w:val="13"/>
    </w:rPr>
  </w:style>
  <w:style w:type="paragraph" w:styleId="Bibliografia">
    <w:name w:val="Bibliography"/>
    <w:basedOn w:val="Normalny"/>
    <w:next w:val="Normalny"/>
    <w:uiPriority w:val="99"/>
    <w:semiHidden/>
    <w:rsid w:val="00014566"/>
  </w:style>
  <w:style w:type="character" w:customStyle="1" w:styleId="PodtytuZnak">
    <w:name w:val="Podtytuł Znak"/>
    <w:basedOn w:val="Domylnaczcionkaakapitu"/>
    <w:link w:val="Podtytu"/>
    <w:uiPriority w:val="99"/>
    <w:semiHidden/>
    <w:locked/>
    <w:rsid w:val="00807F4B"/>
    <w:rPr>
      <w:rFonts w:ascii="Times New Roman" w:eastAsia="MS Gothic" w:hAnsi="Times New Roman" w:cs="Times New Roman"/>
      <w:i/>
      <w:iCs/>
      <w:spacing w:val="13"/>
      <w:sz w:val="24"/>
      <w:szCs w:val="24"/>
    </w:rPr>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Znak">
    <w:name w:val="Tekst podstawowy Znak"/>
    <w:basedOn w:val="Domylnaczcionkaakapitu"/>
    <w:link w:val="Tekstpodstawowy"/>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2Znak">
    <w:name w:val="Tekst podstawowy 2 Znak"/>
    <w:basedOn w:val="Domylnaczcionkaakapitu"/>
    <w:link w:val="Tekstpodstawowy2"/>
    <w:uiPriority w:val="99"/>
    <w:semiHidden/>
    <w:locked/>
    <w:rsid w:val="00014566"/>
    <w:rPr>
      <w:rFonts w:eastAsia="MS Mincho"/>
      <w:sz w:val="24"/>
      <w:szCs w:val="24"/>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3Znak">
    <w:name w:val="Tekst podstawowy 3 Znak"/>
    <w:basedOn w:val="Domylnaczcionkaakapitu"/>
    <w:link w:val="Tekstpodstawowy3"/>
    <w:uiPriority w:val="99"/>
    <w:semiHidden/>
    <w:locked/>
    <w:rsid w:val="00014566"/>
    <w:rPr>
      <w:rFonts w:eastAsia="MS Mincho"/>
      <w:sz w:val="16"/>
      <w:szCs w:val="16"/>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szCs w:val="24"/>
    </w:rPr>
  </w:style>
  <w:style w:type="paragraph" w:styleId="Legenda">
    <w:name w:val="caption"/>
    <w:basedOn w:val="Normalny"/>
    <w:next w:val="Normalny"/>
    <w:uiPriority w:val="99"/>
    <w:qFormat/>
    <w:rsid w:val="00014566"/>
    <w:pPr>
      <w:spacing w:after="200"/>
    </w:pPr>
    <w:rPr>
      <w:b/>
      <w:bCs/>
      <w:color w:val="0072BC"/>
      <w:sz w:val="18"/>
      <w:szCs w:val="18"/>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szCs w:val="16"/>
    </w:rPr>
  </w:style>
  <w:style w:type="paragraph" w:styleId="Zwrotpoegnalny">
    <w:name w:val="Closing"/>
    <w:basedOn w:val="Normalny"/>
    <w:link w:val="ZwrotpoegnalnyZnak"/>
    <w:uiPriority w:val="99"/>
    <w:semiHidden/>
    <w:rsid w:val="00014566"/>
    <w:pPr>
      <w:ind w:left="4252"/>
    </w:pPr>
  </w:style>
  <w:style w:type="table" w:styleId="Kolorowasiatka">
    <w:name w:val="Colorful Grid"/>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customStyle="1" w:styleId="ZwrotpoegnalnyZnak">
    <w:name w:val="Zwrot pożegnalny Znak"/>
    <w:basedOn w:val="Domylnaczcionkaakapitu"/>
    <w:link w:val="Zwrotpoegnalny"/>
    <w:uiPriority w:val="99"/>
    <w:semiHidden/>
    <w:locked/>
    <w:rsid w:val="00014566"/>
    <w:rPr>
      <w:rFonts w:eastAsia="MS Mincho"/>
      <w:sz w:val="24"/>
      <w:szCs w:val="24"/>
    </w:rPr>
  </w:style>
  <w:style w:type="table" w:styleId="Kolorowasiatkaakcent1">
    <w:name w:val="Colorful Grid Accen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pPr>
      <w:spacing w:after="0" w:line="240" w:lineRule="auto"/>
    </w:pPr>
    <w:rPr>
      <w:color w:val="0072BC"/>
      <w:sz w:val="20"/>
      <w:szCs w:val="20"/>
      <w:lang w:eastAsia="fr-FR"/>
    </w:rPr>
    <w:tblPr>
      <w:tblStyleRowBandSize w:val="1"/>
      <w:tblStyleColBandSize w:val="1"/>
      <w:tblInd w:w="0" w:type="nil"/>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style>
  <w:style w:type="paragraph" w:styleId="Podpise-mail">
    <w:name w:val="E-mail Signature"/>
    <w:basedOn w:val="Normalny"/>
    <w:link w:val="Podpise-mailZnak"/>
    <w:uiPriority w:val="99"/>
    <w:semiHidden/>
    <w:rsid w:val="00014566"/>
  </w:style>
  <w:style w:type="character" w:customStyle="1" w:styleId="DataZnak">
    <w:name w:val="Data Znak"/>
    <w:basedOn w:val="Domylnaczcionkaakapitu"/>
    <w:link w:val="Data"/>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character" w:customStyle="1" w:styleId="Podpise-mailZnak">
    <w:name w:val="Podpis e-mail Znak"/>
    <w:basedOn w:val="Domylnaczcionkaakapitu"/>
    <w:link w:val="Podpise-mail"/>
    <w:uiPriority w:val="99"/>
    <w:semiHidden/>
    <w:locked/>
    <w:rsid w:val="00014566"/>
    <w:rPr>
      <w:rFonts w:eastAsia="MS Mincho"/>
      <w:sz w:val="24"/>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styleId="HTML-cytat">
    <w:name w:val="HTML Cite"/>
    <w:basedOn w:val="Domylnaczcionkaakapitu"/>
    <w:uiPriority w:val="99"/>
    <w:semiHidden/>
    <w:rsid w:val="00014566"/>
    <w:rPr>
      <w:i/>
      <w:iCs/>
    </w:rPr>
  </w:style>
  <w:style w:type="character" w:customStyle="1" w:styleId="HTML-adresZnak">
    <w:name w:val="HTML - adres Znak"/>
    <w:basedOn w:val="Domylnaczcionkaakapitu"/>
    <w:link w:val="HTML-adres"/>
    <w:uiPriority w:val="99"/>
    <w:semiHidden/>
    <w:locked/>
    <w:rsid w:val="00014566"/>
    <w:rPr>
      <w:rFonts w:eastAsia="MS Mincho"/>
      <w:i/>
      <w:iCs/>
      <w:sz w:val="24"/>
      <w:szCs w:val="24"/>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pPr>
      <w:spacing w:after="0" w:line="240" w:lineRule="auto"/>
    </w:pPr>
    <w:rPr>
      <w:color w:val="00548C"/>
      <w:sz w:val="20"/>
      <w:szCs w:val="20"/>
      <w:lang w:eastAsia="fr-FR"/>
    </w:rPr>
    <w:tblPr>
      <w:tblStyleRowBandSize w:val="1"/>
      <w:tblStyleColBandSize w:val="1"/>
      <w:tblInd w:w="0" w:type="nil"/>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pPr>
      <w:spacing w:after="0" w:line="240" w:lineRule="auto"/>
    </w:pPr>
    <w:rPr>
      <w:color w:val="8F0000"/>
      <w:sz w:val="20"/>
      <w:szCs w:val="20"/>
      <w:lang w:eastAsia="fr-FR"/>
    </w:rPr>
    <w:tblPr>
      <w:tblStyleRowBandSize w:val="1"/>
      <w:tblStyleColBandSize w:val="1"/>
      <w:tblInd w:w="0" w:type="nil"/>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pPr>
      <w:spacing w:after="0" w:line="240" w:lineRule="auto"/>
    </w:pPr>
    <w:rPr>
      <w:color w:val="474747"/>
      <w:sz w:val="20"/>
      <w:szCs w:val="20"/>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pPr>
      <w:spacing w:after="0" w:line="240" w:lineRule="auto"/>
    </w:pPr>
    <w:rPr>
      <w:color w:val="707070"/>
      <w:sz w:val="20"/>
      <w:szCs w:val="20"/>
      <w:lang w:eastAsia="fr-FR"/>
    </w:rPr>
    <w:tblPr>
      <w:tblStyleRowBandSize w:val="1"/>
      <w:tblStyleColBandSize w:val="1"/>
      <w:tblInd w:w="0" w:type="nil"/>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pPr>
      <w:spacing w:after="0" w:line="240" w:lineRule="auto"/>
    </w:pPr>
    <w:rPr>
      <w:color w:val="474747"/>
      <w:sz w:val="20"/>
      <w:szCs w:val="20"/>
      <w:lang w:eastAsia="fr-FR"/>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pPr>
      <w:spacing w:after="0" w:line="240" w:lineRule="auto"/>
    </w:pPr>
    <w:rPr>
      <w:color w:val="393939"/>
      <w:sz w:val="20"/>
      <w:szCs w:val="20"/>
      <w:lang w:eastAsia="fr-FR"/>
    </w:rPr>
    <w:tblPr>
      <w:tblStyleRowBandSize w:val="1"/>
      <w:tblStyleColBandSize w:val="1"/>
      <w:tblInd w:w="0" w:type="nil"/>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
      </w:numPr>
      <w:tabs>
        <w:tab w:val="clear" w:pos="360"/>
        <w:tab w:val="num" w:pos="643"/>
      </w:tabs>
      <w:ind w:left="643"/>
    </w:pPr>
  </w:style>
  <w:style w:type="paragraph" w:styleId="Listapunktowana3">
    <w:name w:val="List Bullet 3"/>
    <w:basedOn w:val="Normalny"/>
    <w:uiPriority w:val="99"/>
    <w:semiHidden/>
    <w:rsid w:val="00014566"/>
    <w:pPr>
      <w:numPr>
        <w:numId w:val="2"/>
      </w:numPr>
      <w:tabs>
        <w:tab w:val="clear" w:pos="643"/>
        <w:tab w:val="num" w:pos="926"/>
      </w:tabs>
      <w:ind w:left="926"/>
    </w:pPr>
  </w:style>
  <w:style w:type="paragraph" w:styleId="Listapunktowana4">
    <w:name w:val="List Bullet 4"/>
    <w:basedOn w:val="Normalny"/>
    <w:uiPriority w:val="99"/>
    <w:semiHidden/>
    <w:rsid w:val="00014566"/>
    <w:pPr>
      <w:numPr>
        <w:numId w:val="3"/>
      </w:numPr>
      <w:tabs>
        <w:tab w:val="clear" w:pos="926"/>
        <w:tab w:val="num" w:pos="1209"/>
      </w:tabs>
      <w:ind w:left="1209"/>
    </w:pPr>
  </w:style>
  <w:style w:type="paragraph" w:styleId="Listapunktowana5">
    <w:name w:val="List Bullet 5"/>
    <w:basedOn w:val="Normalny"/>
    <w:uiPriority w:val="99"/>
    <w:semiHidden/>
    <w:rsid w:val="00014566"/>
    <w:pPr>
      <w:tabs>
        <w:tab w:val="num" w:pos="1492"/>
      </w:tabs>
      <w:ind w:left="1492" w:hanging="360"/>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5"/>
      </w:numPr>
      <w:tabs>
        <w:tab w:val="clear" w:pos="1492"/>
        <w:tab w:val="num" w:pos="360"/>
      </w:tabs>
      <w:ind w:left="360"/>
    </w:pPr>
  </w:style>
  <w:style w:type="paragraph" w:styleId="Listanumerowana2">
    <w:name w:val="List Number 2"/>
    <w:basedOn w:val="Normalny"/>
    <w:uiPriority w:val="99"/>
    <w:semiHidden/>
    <w:rsid w:val="00014566"/>
    <w:pPr>
      <w:numPr>
        <w:numId w:val="6"/>
      </w:numPr>
      <w:tabs>
        <w:tab w:val="clear" w:pos="360"/>
        <w:tab w:val="num" w:pos="643"/>
      </w:tabs>
      <w:ind w:left="643"/>
    </w:pPr>
  </w:style>
  <w:style w:type="paragraph" w:styleId="Listanumerowana3">
    <w:name w:val="List Number 3"/>
    <w:basedOn w:val="Normalny"/>
    <w:uiPriority w:val="99"/>
    <w:semiHidden/>
    <w:rsid w:val="00014566"/>
    <w:pPr>
      <w:numPr>
        <w:numId w:val="7"/>
      </w:numPr>
      <w:tabs>
        <w:tab w:val="clear" w:pos="643"/>
        <w:tab w:val="num" w:pos="926"/>
      </w:tabs>
      <w:ind w:left="926"/>
    </w:pPr>
  </w:style>
  <w:style w:type="paragraph" w:styleId="Listanumerowana4">
    <w:name w:val="List Number 4"/>
    <w:basedOn w:val="Normalny"/>
    <w:uiPriority w:val="99"/>
    <w:semiHidden/>
    <w:rsid w:val="00014566"/>
    <w:pPr>
      <w:numPr>
        <w:numId w:val="8"/>
      </w:numPr>
      <w:tabs>
        <w:tab w:val="clear" w:pos="926"/>
        <w:tab w:val="num" w:pos="1209"/>
      </w:tabs>
      <w:ind w:left="1209"/>
    </w:pPr>
  </w:style>
  <w:style w:type="paragraph" w:styleId="Listanumerowana5">
    <w:name w:val="List Number 5"/>
    <w:basedOn w:val="Normalny"/>
    <w:uiPriority w:val="99"/>
    <w:semiHidden/>
    <w:rsid w:val="00014566"/>
    <w:pPr>
      <w:numPr>
        <w:numId w:val="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nsolas" w:hAnsi="Consolas" w:cs="Consolas"/>
      <w:sz w:val="20"/>
      <w:szCs w:val="20"/>
      <w:lang w:eastAsia="fr-FR"/>
    </w:rPr>
  </w:style>
  <w:style w:type="table" w:styleId="redniasiatka1">
    <w:name w:val="Medium Grid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TekstmakraZnak">
    <w:name w:val="Tekst makra Znak"/>
    <w:basedOn w:val="Domylnaczcionkaakapitu"/>
    <w:link w:val="Tekstmakra"/>
    <w:uiPriority w:val="99"/>
    <w:semiHidden/>
    <w:locked/>
    <w:rsid w:val="00014566"/>
    <w:rPr>
      <w:rFonts w:ascii="Consolas" w:hAnsi="Consolas" w:cs="Consolas"/>
      <w:lang w:val="pl-PL" w:eastAsia="fr-FR"/>
    </w:rPr>
  </w:style>
  <w:style w:type="table" w:styleId="redniasiatka1akcent1">
    <w:name w:val="Medium Grid 1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pPr>
      <w:spacing w:after="0" w:line="240" w:lineRule="auto"/>
    </w:pPr>
    <w:rPr>
      <w:color w:val="000000"/>
      <w:sz w:val="20"/>
      <w:szCs w:val="20"/>
      <w:lang w:eastAsia="fr-FR"/>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pPr>
      <w:spacing w:after="0" w:line="240" w:lineRule="auto"/>
    </w:pPr>
    <w:rPr>
      <w:rFonts w:eastAsia="MS Gothic"/>
      <w:color w:val="000000"/>
      <w:sz w:val="20"/>
      <w:szCs w:val="20"/>
      <w:lang w:eastAsia="fr-FR"/>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pPr>
      <w:spacing w:after="0" w:line="240" w:lineRule="auto"/>
    </w:pPr>
    <w:rPr>
      <w:sz w:val="20"/>
      <w:szCs w:val="20"/>
      <w:lang w:eastAsia="fr-FR"/>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paragraph" w:styleId="NormalnyWeb">
    <w:name w:val="Normal (Web)"/>
    <w:basedOn w:val="Normalny"/>
    <w:uiPriority w:val="99"/>
    <w:semiHidden/>
    <w:rsid w:val="00014566"/>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styleId="Tekstzastpczy">
    <w:name w:val="Placeholder Text"/>
    <w:basedOn w:val="Domylnaczcionkaakapitu"/>
    <w:uiPriority w:val="99"/>
    <w:semiHidden/>
    <w:rsid w:val="00807F4B"/>
    <w:rPr>
      <w:color w:val="auto"/>
      <w:shd w:val="clear" w:color="auto" w:fill="DFDFDF"/>
    </w:rPr>
  </w:style>
  <w:style w:type="character" w:customStyle="1" w:styleId="NagweknotatkiZnak">
    <w:name w:val="Nagłówek notatki Znak"/>
    <w:basedOn w:val="Domylnaczcionkaakapitu"/>
    <w:link w:val="Nagweknotatki"/>
    <w:uiPriority w:val="99"/>
    <w:semiHidden/>
    <w:locked/>
    <w:rsid w:val="00014566"/>
    <w:rPr>
      <w:rFonts w:eastAsia="MS Mincho"/>
      <w:sz w:val="24"/>
      <w:szCs w:val="24"/>
    </w:rPr>
  </w:style>
  <w:style w:type="paragraph" w:styleId="Zwykytekst">
    <w:name w:val="Plain Text"/>
    <w:basedOn w:val="Normalny"/>
    <w:link w:val="ZwykytekstZnak"/>
    <w:uiPriority w:val="99"/>
    <w:semiHidden/>
    <w:rsid w:val="00014566"/>
    <w:rPr>
      <w:rFonts w:ascii="Consolas"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Podpis">
    <w:name w:val="Signature"/>
    <w:basedOn w:val="Normalny"/>
    <w:link w:val="PodpisZnak"/>
    <w:uiPriority w:val="99"/>
    <w:semiHidden/>
    <w:rsid w:val="00014566"/>
    <w:pPr>
      <w:ind w:left="4252"/>
    </w:p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spacing w:after="0" w:line="240" w:lineRule="auto"/>
    </w:pPr>
    <w:rPr>
      <w:sz w:val="20"/>
      <w:szCs w:val="20"/>
      <w:lang w:eastAsia="fr-FR"/>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PodpisZnak">
    <w:name w:val="Podpis Znak"/>
    <w:basedOn w:val="Domylnaczcionkaakapitu"/>
    <w:link w:val="Podpis"/>
    <w:uiPriority w:val="99"/>
    <w:semiHidden/>
    <w:locked/>
    <w:rsid w:val="00014566"/>
    <w:rPr>
      <w:rFonts w:eastAsia="MS Mincho"/>
      <w:sz w:val="24"/>
      <w:szCs w:val="24"/>
    </w:rPr>
  </w:style>
  <w:style w:type="table" w:styleId="Tabela-Efekty3W2">
    <w:name w:val="Table 3D effects 2"/>
    <w:basedOn w:val="Standardowy"/>
    <w:uiPriority w:val="99"/>
    <w:semiHidden/>
    <w:rsid w:val="00014566"/>
    <w:pPr>
      <w:suppressAutoHyphens/>
      <w:spacing w:after="0" w:line="240" w:lineRule="auto"/>
    </w:pPr>
    <w:rPr>
      <w:sz w:val="20"/>
      <w:szCs w:val="20"/>
      <w:lang w:eastAsia="fr-FR"/>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spacing w:after="0" w:line="240" w:lineRule="auto"/>
    </w:pPr>
    <w:rPr>
      <w:sz w:val="20"/>
      <w:szCs w:val="20"/>
      <w:lang w:eastAsia="fr-FR"/>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spacing w:after="0" w:line="240" w:lineRule="auto"/>
    </w:pPr>
    <w:rPr>
      <w:color w:val="000080"/>
      <w:sz w:val="20"/>
      <w:szCs w:val="20"/>
      <w:lang w:eastAsia="fr-FR"/>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spacing w:after="0" w:line="240" w:lineRule="auto"/>
    </w:pPr>
    <w:rPr>
      <w:color w:val="FFFFFF"/>
      <w:sz w:val="20"/>
      <w:szCs w:val="20"/>
      <w:lang w:eastAsia="fr-FR"/>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spacing w:after="0" w:line="240" w:lineRule="auto"/>
    </w:pPr>
    <w:rPr>
      <w:sz w:val="20"/>
      <w:szCs w:val="20"/>
      <w:lang w:eastAsia="fr-FR"/>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spacing w:after="0" w:line="240" w:lineRule="auto"/>
    </w:pPr>
    <w:rPr>
      <w:sz w:val="20"/>
      <w:szCs w:val="20"/>
      <w:lang w:eastAsia="fr-FR"/>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spacing w:after="0" w:line="240" w:lineRule="auto"/>
    </w:pPr>
    <w:rPr>
      <w:b/>
      <w:bCs/>
      <w:sz w:val="20"/>
      <w:szCs w:val="20"/>
      <w:lang w:eastAsia="fr-FR"/>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spacing w:after="0" w:line="240" w:lineRule="auto"/>
    </w:pPr>
    <w:rPr>
      <w:b/>
      <w:bCs/>
      <w:sz w:val="20"/>
      <w:szCs w:val="20"/>
      <w:lang w:eastAsia="fr-FR"/>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spacing w:after="0" w:line="240" w:lineRule="auto"/>
    </w:pPr>
    <w:rPr>
      <w:b/>
      <w:bCs/>
      <w:sz w:val="20"/>
      <w:szCs w:val="20"/>
      <w:lang w:eastAsia="fr-FR"/>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spacing w:after="0" w:line="240" w:lineRule="auto"/>
    </w:pPr>
    <w:rPr>
      <w:sz w:val="20"/>
      <w:szCs w:val="20"/>
      <w:lang w:eastAsia="fr-FR"/>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spacing w:after="0" w:line="240" w:lineRule="auto"/>
    </w:pPr>
    <w:rPr>
      <w:sz w:val="20"/>
      <w:szCs w:val="20"/>
      <w:lang w:eastAsia="fr-FR"/>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spacing w:after="0" w:line="240" w:lineRule="auto"/>
    </w:pPr>
    <w:rPr>
      <w:sz w:val="20"/>
      <w:szCs w:val="20"/>
      <w:lang w:eastAsia="fr-FR"/>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spacing w:after="0" w:line="240" w:lineRule="auto"/>
    </w:pPr>
    <w:rPr>
      <w:sz w:val="20"/>
      <w:szCs w:val="20"/>
      <w:lang w:eastAsia="fr-FR"/>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spacing w:after="0" w:line="240" w:lineRule="auto"/>
    </w:pPr>
    <w:rPr>
      <w:sz w:val="20"/>
      <w:szCs w:val="20"/>
      <w:lang w:eastAsia="fr-FR"/>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spacing w:after="0" w:line="240" w:lineRule="auto"/>
    </w:pPr>
    <w:rPr>
      <w:sz w:val="20"/>
      <w:szCs w:val="20"/>
      <w:lang w:eastAsia="fr-FR"/>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spacing w:after="0" w:line="240" w:lineRule="auto"/>
    </w:pPr>
    <w:rPr>
      <w:b/>
      <w:bCs/>
      <w:sz w:val="20"/>
      <w:szCs w:val="20"/>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spacing w:after="0" w:line="240" w:lineRule="auto"/>
    </w:pPr>
    <w:rPr>
      <w:sz w:val="20"/>
      <w:szCs w:val="20"/>
      <w:lang w:eastAsia="fr-FR"/>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spacing w:after="0" w:line="240" w:lineRule="auto"/>
    </w:pPr>
    <w:rPr>
      <w:sz w:val="20"/>
      <w:szCs w:val="20"/>
      <w:lang w:eastAsia="fr-FR"/>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spacing w:after="0" w:line="240" w:lineRule="auto"/>
    </w:pPr>
    <w:rPr>
      <w:sz w:val="20"/>
      <w:szCs w:val="20"/>
      <w:lang w:eastAsia="fr-FR"/>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spacing w:after="0" w:line="240" w:lineRule="auto"/>
    </w:pPr>
    <w:rPr>
      <w:sz w:val="20"/>
      <w:szCs w:val="20"/>
      <w:lang w:eastAsia="fr-FR"/>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spacing w:after="0" w:line="240" w:lineRule="auto"/>
    </w:pPr>
    <w:rPr>
      <w:sz w:val="20"/>
      <w:szCs w:val="20"/>
      <w:lang w:eastAsia="fr-FR"/>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spacing w:after="0" w:line="240" w:lineRule="auto"/>
    </w:pPr>
    <w:rPr>
      <w:sz w:val="20"/>
      <w:szCs w:val="20"/>
      <w:lang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spacing w:after="0" w:line="240" w:lineRule="auto"/>
    </w:pPr>
    <w:rPr>
      <w:sz w:val="20"/>
      <w:szCs w:val="20"/>
      <w:lang w:eastAsia="fr-FR"/>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spacing w:after="0" w:line="240" w:lineRule="auto"/>
    </w:pPr>
    <w:rPr>
      <w:sz w:val="20"/>
      <w:szCs w:val="20"/>
      <w:lang w:eastAsia="fr-FR"/>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spacing w:after="0" w:line="240" w:lineRule="auto"/>
    </w:pPr>
    <w:rPr>
      <w:sz w:val="20"/>
      <w:szCs w:val="20"/>
      <w:lang w:eastAsia="fr-FR"/>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spacing w:after="0" w:line="240" w:lineRule="auto"/>
    </w:pPr>
    <w:rPr>
      <w:sz w:val="20"/>
      <w:szCs w:val="20"/>
      <w:lang w:eastAsia="fr-FR"/>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spacing w:after="0" w:line="240" w:lineRule="auto"/>
    </w:pPr>
    <w:rPr>
      <w:sz w:val="20"/>
      <w:szCs w:val="20"/>
      <w:lang w:eastAsia="fr-FR"/>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spacing w:after="0" w:line="240" w:lineRule="auto"/>
    </w:pPr>
    <w:rPr>
      <w:sz w:val="20"/>
      <w:szCs w:val="20"/>
      <w:lang w:eastAsia="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spacing w:after="0" w:line="240" w:lineRule="auto"/>
    </w:pPr>
    <w:rPr>
      <w:sz w:val="20"/>
      <w:szCs w:val="20"/>
      <w:lang w:eastAsia="fr-FR"/>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spacing w:after="0" w:line="240" w:lineRule="auto"/>
    </w:pPr>
    <w:rPr>
      <w:sz w:val="20"/>
      <w:szCs w:val="20"/>
      <w:lang w:eastAsia="fr-FR"/>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spacing w:after="0" w:line="240" w:lineRule="auto"/>
    </w:pPr>
    <w:rPr>
      <w:sz w:val="20"/>
      <w:szCs w:val="20"/>
      <w:lang w:eastAsia="fr-FR"/>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07F4B"/>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807F4B"/>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99"/>
    <w:rsid w:val="00807F4B"/>
    <w:pPr>
      <w:tabs>
        <w:tab w:val="clear" w:pos="357"/>
      </w:tabs>
      <w:outlineLvl w:val="1"/>
    </w:pPr>
    <w:rPr>
      <w:b/>
      <w:bCs/>
    </w:rPr>
  </w:style>
  <w:style w:type="paragraph" w:customStyle="1" w:styleId="OpiHi">
    <w:name w:val="Opi_H_i"/>
    <w:basedOn w:val="ECHRHeading4"/>
    <w:uiPriority w:val="99"/>
    <w:rsid w:val="00807F4B"/>
    <w:pPr>
      <w:ind w:left="1037" w:hanging="357"/>
      <w:outlineLvl w:val="4"/>
    </w:pPr>
    <w:rPr>
      <w:b w:val="0"/>
      <w:bCs w:val="0"/>
      <w:i/>
      <w:iCs/>
    </w:rPr>
  </w:style>
  <w:style w:type="paragraph" w:customStyle="1" w:styleId="OpiPara">
    <w:name w:val="Opi_Para"/>
    <w:basedOn w:val="ECHRPara"/>
    <w:uiPriority w:val="99"/>
    <w:rsid w:val="00807F4B"/>
  </w:style>
  <w:style w:type="paragraph" w:customStyle="1" w:styleId="OpiParaSub">
    <w:name w:val="Opi_Para_Sub"/>
    <w:basedOn w:val="JuParaSub"/>
    <w:uiPriority w:val="99"/>
    <w:rsid w:val="00807F4B"/>
  </w:style>
  <w:style w:type="paragraph" w:customStyle="1" w:styleId="OpiQuot">
    <w:name w:val="Opi_Quot"/>
    <w:basedOn w:val="ECHRParaQuote"/>
    <w:uiPriority w:val="99"/>
    <w:rsid w:val="00807F4B"/>
  </w:style>
  <w:style w:type="paragraph" w:customStyle="1" w:styleId="OpiQuotSub">
    <w:name w:val="Opi_Quot_Sub"/>
    <w:basedOn w:val="JuQuotSub"/>
    <w:uiPriority w:val="99"/>
    <w:rsid w:val="00807F4B"/>
  </w:style>
  <w:style w:type="paragraph" w:customStyle="1" w:styleId="OpiTranslation">
    <w:name w:val="Opi_Translation"/>
    <w:basedOn w:val="Normalny"/>
    <w:next w:val="OpiPara"/>
    <w:uiPriority w:val="99"/>
    <w:rsid w:val="00807F4B"/>
    <w:pPr>
      <w:jc w:val="center"/>
      <w:outlineLvl w:val="0"/>
    </w:pPr>
    <w:rPr>
      <w:i/>
      <w:iCs/>
    </w:rPr>
  </w:style>
  <w:style w:type="paragraph" w:customStyle="1" w:styleId="jupara">
    <w:name w:val="jupara"/>
    <w:basedOn w:val="Normalny"/>
    <w:uiPriority w:val="99"/>
    <w:rsid w:val="00EF6E35"/>
    <w:pPr>
      <w:ind w:firstLine="284"/>
    </w:pPr>
    <w:rPr>
      <w:rFonts w:eastAsia="Times New Roman"/>
      <w:lang w:eastAsia="en-GB"/>
    </w:rPr>
  </w:style>
  <w:style w:type="paragraph" w:customStyle="1" w:styleId="jucase0">
    <w:name w:val="jucase"/>
    <w:basedOn w:val="Normalny"/>
    <w:uiPriority w:val="99"/>
    <w:rsid w:val="00EF6E35"/>
    <w:pPr>
      <w:ind w:firstLine="284"/>
    </w:pPr>
    <w:rPr>
      <w:rFonts w:eastAsia="Times New Roman"/>
      <w:b/>
      <w:bCs/>
      <w:lang w:eastAsia="en-GB"/>
    </w:rPr>
  </w:style>
  <w:style w:type="character" w:customStyle="1" w:styleId="s4f807e54">
    <w:name w:val="s4f807e54"/>
    <w:uiPriority w:val="99"/>
    <w:rsid w:val="009B41DF"/>
  </w:style>
  <w:style w:type="character" w:customStyle="1" w:styleId="ECHRParaChar">
    <w:name w:val="ECHR_Para Char"/>
    <w:aliases w:val="Ju_Para Char"/>
    <w:link w:val="ECHRPara"/>
    <w:uiPriority w:val="99"/>
    <w:locked/>
    <w:rsid w:val="0000309A"/>
    <w:rPr>
      <w:rFonts w:eastAsia="MS Mincho"/>
      <w:sz w:val="24"/>
      <w:szCs w:val="24"/>
      <w:lang w:val="pl-PL" w:eastAsia="en-US"/>
    </w:rPr>
  </w:style>
  <w:style w:type="paragraph" w:customStyle="1" w:styleId="s50c0b1c7">
    <w:name w:val="s50c0b1c7"/>
    <w:basedOn w:val="Normalny"/>
    <w:uiPriority w:val="99"/>
    <w:rsid w:val="00844ED6"/>
    <w:pPr>
      <w:spacing w:before="100" w:beforeAutospacing="1" w:after="100" w:afterAutospacing="1"/>
      <w:jc w:val="left"/>
    </w:pPr>
    <w:rPr>
      <w:rFonts w:eastAsia="Times New Roman"/>
      <w:lang w:eastAsia="pl-PL"/>
    </w:rPr>
  </w:style>
  <w:style w:type="character" w:customStyle="1" w:styleId="s3aeeab2">
    <w:name w:val="s3aeeab2"/>
    <w:uiPriority w:val="99"/>
    <w:rsid w:val="00844ED6"/>
    <w:rPr>
      <w:lang w:val="pl-PL" w:eastAsia="pl-PL"/>
    </w:rPr>
  </w:style>
  <w:style w:type="character" w:customStyle="1" w:styleId="sfbbfee58">
    <w:name w:val="sfbbfee58"/>
    <w:uiPriority w:val="99"/>
    <w:rsid w:val="00844ED6"/>
    <w:rPr>
      <w:lang w:val="pl-PL" w:eastAsia="pl-PL"/>
    </w:rPr>
  </w:style>
  <w:style w:type="numbering" w:styleId="1ai">
    <w:name w:val="Outline List 1"/>
    <w:basedOn w:val="Bezlisty"/>
    <w:uiPriority w:val="99"/>
    <w:semiHidden/>
    <w:unhideWhenUsed/>
    <w:locked/>
    <w:pPr>
      <w:numPr>
        <w:numId w:val="12"/>
      </w:numPr>
    </w:pPr>
  </w:style>
  <w:style w:type="numbering" w:styleId="111111">
    <w:name w:val="Outline List 2"/>
    <w:basedOn w:val="Bezlisty"/>
    <w:uiPriority w:val="99"/>
    <w:semiHidden/>
    <w:unhideWhenUsed/>
    <w:locked/>
    <w:pPr>
      <w:numPr>
        <w:numId w:val="11"/>
      </w:numPr>
    </w:pPr>
  </w:style>
  <w:style w:type="numbering" w:customStyle="1" w:styleId="ArticleSection">
    <w:name w:val="Article / Section"/>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7048">
      <w:marLeft w:val="0"/>
      <w:marRight w:val="0"/>
      <w:marTop w:val="0"/>
      <w:marBottom w:val="0"/>
      <w:divBdr>
        <w:top w:val="none" w:sz="0" w:space="0" w:color="auto"/>
        <w:left w:val="none" w:sz="0" w:space="0" w:color="auto"/>
        <w:bottom w:val="none" w:sz="0" w:space="0" w:color="auto"/>
        <w:right w:val="none" w:sz="0" w:space="0" w:color="auto"/>
      </w:divBdr>
    </w:div>
    <w:div w:id="1785347049">
      <w:marLeft w:val="0"/>
      <w:marRight w:val="0"/>
      <w:marTop w:val="0"/>
      <w:marBottom w:val="0"/>
      <w:divBdr>
        <w:top w:val="none" w:sz="0" w:space="0" w:color="auto"/>
        <w:left w:val="none" w:sz="0" w:space="0" w:color="auto"/>
        <w:bottom w:val="none" w:sz="0" w:space="0" w:color="auto"/>
        <w:right w:val="none" w:sz="0" w:space="0" w:color="auto"/>
      </w:divBdr>
    </w:div>
    <w:div w:id="178534705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2982</Words>
  <Characters>17895</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20836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2019-09-11T12:02:00Z</dcterms:created>
  <dcterms:modified xsi:type="dcterms:W3CDTF">2019-09-11T12:04:00Z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33392/12</vt:lpwstr>
  </property>
  <property fmtid="{D5CDD505-2E9C-101B-9397-08002B2CF9AE}" pid="4" name="CASEID">
    <vt:lpwstr>801943</vt:lpwstr>
  </property>
  <property fmtid="{D5CDD505-2E9C-101B-9397-08002B2CF9AE}" pid="5" name="ContentTypeId">
    <vt:lpwstr>0x010100558EB02BDB9E204AB350EDD385B68E10</vt:lpwstr>
  </property>
</Properties>
</file>