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13B" w:rsidRPr="008F56D3" w:rsidRDefault="00FB413B" w:rsidP="00824331">
      <w:pPr>
        <w:jc w:val="center"/>
        <w:rPr>
          <w:sz w:val="18"/>
          <w:szCs w:val="18"/>
        </w:rPr>
      </w:pPr>
      <w:r>
        <w:rPr>
          <w:rStyle w:val="s4f807e54"/>
          <w:rFonts w:ascii="Arial" w:hAnsi="Arial" w:cs="Arial"/>
          <w:sz w:val="18"/>
          <w:szCs w:val="18"/>
        </w:rPr>
        <w:t xml:space="preserve">© Copyright for the </w:t>
      </w:r>
      <w:proofErr w:type="spellStart"/>
      <w:r>
        <w:rPr>
          <w:rStyle w:val="s4f807e54"/>
          <w:rFonts w:ascii="Arial" w:hAnsi="Arial" w:cs="Arial"/>
          <w:sz w:val="18"/>
          <w:szCs w:val="18"/>
        </w:rPr>
        <w:t>Polish</w:t>
      </w:r>
      <w:proofErr w:type="spellEnd"/>
      <w:r>
        <w:rPr>
          <w:rStyle w:val="s4f807e54"/>
          <w:rFonts w:ascii="Arial" w:hAnsi="Arial" w:cs="Arial"/>
          <w:sz w:val="18"/>
          <w:szCs w:val="18"/>
        </w:rPr>
        <w:t xml:space="preserve"> </w:t>
      </w:r>
      <w:proofErr w:type="spellStart"/>
      <w:r>
        <w:rPr>
          <w:rStyle w:val="s4f807e54"/>
          <w:rFonts w:ascii="Arial" w:hAnsi="Arial" w:cs="Arial"/>
          <w:sz w:val="18"/>
          <w:szCs w:val="18"/>
        </w:rPr>
        <w:t>translation</w:t>
      </w:r>
      <w:proofErr w:type="spellEnd"/>
      <w:r>
        <w:rPr>
          <w:rStyle w:val="s4f807e54"/>
          <w:rFonts w:ascii="Arial" w:hAnsi="Arial" w:cs="Arial"/>
          <w:sz w:val="18"/>
          <w:szCs w:val="18"/>
        </w:rPr>
        <w:t xml:space="preserve"> by Naczelny Sąd Administracyjny, Warszawa 2018</w:t>
      </w:r>
    </w:p>
    <w:p w:rsidR="00FB413B" w:rsidRPr="008F56D3" w:rsidRDefault="00FB413B" w:rsidP="00824331">
      <w:pPr>
        <w:jc w:val="center"/>
      </w:pPr>
    </w:p>
    <w:p w:rsidR="00FB413B" w:rsidRPr="00FB770D" w:rsidRDefault="00FB413B" w:rsidP="000279D6">
      <w:pPr>
        <w:pStyle w:val="DecHTitle"/>
      </w:pPr>
      <w:r>
        <w:t>EUROPEJSKI TRYBUNAŁ PRAW CZŁOWIEKA</w:t>
      </w:r>
    </w:p>
    <w:p w:rsidR="00FB413B" w:rsidRPr="00824331" w:rsidRDefault="00FB413B" w:rsidP="00952B84">
      <w:pPr>
        <w:jc w:val="center"/>
        <w:rPr>
          <w:sz w:val="4"/>
          <w:szCs w:val="4"/>
        </w:rPr>
      </w:pPr>
    </w:p>
    <w:p w:rsidR="00FB413B" w:rsidRPr="00952B84" w:rsidRDefault="00B92EEC" w:rsidP="00952B84">
      <w:pPr>
        <w:pStyle w:val="DecHTitle"/>
      </w:pPr>
      <w:r>
        <w:t xml:space="preserve">TRZECIA </w:t>
      </w:r>
      <w:r w:rsidR="00FB413B">
        <w:t xml:space="preserve">SEKCJA </w:t>
      </w:r>
    </w:p>
    <w:p w:rsidR="00FB413B" w:rsidRDefault="00FB413B" w:rsidP="00674CFC">
      <w:pPr>
        <w:pStyle w:val="DecHTitle"/>
        <w:spacing w:after="0"/>
      </w:pPr>
      <w:r>
        <w:t>DECYZJA</w:t>
      </w:r>
    </w:p>
    <w:p w:rsidR="00674CFC" w:rsidRPr="00674CFC" w:rsidRDefault="00674CFC" w:rsidP="00952B84">
      <w:pPr>
        <w:pStyle w:val="DecHTitle"/>
        <w:rPr>
          <w:sz w:val="24"/>
        </w:rPr>
      </w:pPr>
      <w:r w:rsidRPr="00674CFC">
        <w:rPr>
          <w:sz w:val="24"/>
        </w:rPr>
        <w:t>[wyciąg]</w:t>
      </w:r>
    </w:p>
    <w:p w:rsidR="00FB413B" w:rsidRPr="00824331" w:rsidRDefault="00FB413B" w:rsidP="00952B84">
      <w:pPr>
        <w:pStyle w:val="DecHTitle"/>
        <w:rPr>
          <w:i/>
          <w:iCs/>
          <w:sz w:val="24"/>
          <w:szCs w:val="24"/>
        </w:rPr>
      </w:pPr>
      <w:r>
        <w:rPr>
          <w:b/>
          <w:bCs/>
          <w:sz w:val="24"/>
          <w:szCs w:val="24"/>
        </w:rPr>
        <w:t>Skarga nr 46184/16</w:t>
      </w:r>
      <w:r>
        <w:rPr>
          <w:sz w:val="24"/>
          <w:szCs w:val="24"/>
        </w:rPr>
        <w:br/>
      </w:r>
      <w:r>
        <w:rPr>
          <w:b/>
          <w:bCs/>
          <w:sz w:val="24"/>
          <w:szCs w:val="24"/>
        </w:rPr>
        <w:t>P. PLAISIER B.V. przeciwko NIDERLANDOM</w:t>
      </w:r>
      <w:r>
        <w:rPr>
          <w:b/>
          <w:bCs/>
          <w:sz w:val="24"/>
          <w:szCs w:val="24"/>
        </w:rPr>
        <w:br/>
      </w:r>
      <w:r>
        <w:rPr>
          <w:sz w:val="24"/>
          <w:szCs w:val="24"/>
        </w:rPr>
        <w:t>oraz 2 innych skarżących</w:t>
      </w:r>
      <w:r>
        <w:rPr>
          <w:i/>
          <w:iCs/>
          <w:sz w:val="24"/>
          <w:szCs w:val="24"/>
        </w:rPr>
        <w:br/>
      </w:r>
      <w:r>
        <w:rPr>
          <w:sz w:val="24"/>
          <w:szCs w:val="24"/>
        </w:rPr>
        <w:t>(zobacz listę w załączeniu)</w:t>
      </w:r>
    </w:p>
    <w:p w:rsidR="00FB413B" w:rsidRPr="00952B84" w:rsidRDefault="00FB413B" w:rsidP="00952B84">
      <w:pPr>
        <w:pStyle w:val="ECHRPara"/>
      </w:pPr>
      <w:r>
        <w:t>Europejski Trybunał Praw Człowieka (Trzecia Sekcja), zasiadając w</w:t>
      </w:r>
      <w:r w:rsidR="00E06614">
        <w:t> </w:t>
      </w:r>
      <w:r>
        <w:t>dniu 14 listopada 2017 r. jako Izba w składzie:</w:t>
      </w:r>
    </w:p>
    <w:p w:rsidR="00FB413B" w:rsidRPr="00952B84" w:rsidRDefault="00FB413B" w:rsidP="00952B84">
      <w:pPr>
        <w:pStyle w:val="ECHRDecisionBody"/>
      </w:pPr>
      <w:r>
        <w:tab/>
        <w:t xml:space="preserve">Helena </w:t>
      </w:r>
      <w:proofErr w:type="spellStart"/>
      <w:r>
        <w:t>Jäderblom</w:t>
      </w:r>
      <w:proofErr w:type="spellEnd"/>
      <w:r>
        <w:t>,</w:t>
      </w:r>
      <w:r>
        <w:rPr>
          <w:i/>
          <w:iCs/>
        </w:rPr>
        <w:t xml:space="preserve"> Przewodnicząca,</w:t>
      </w:r>
      <w:r>
        <w:rPr>
          <w:i/>
          <w:iCs/>
        </w:rPr>
        <w:br/>
      </w:r>
      <w:r>
        <w:tab/>
        <w:t xml:space="preserve">Luis </w:t>
      </w:r>
      <w:proofErr w:type="spellStart"/>
      <w:r>
        <w:t>López</w:t>
      </w:r>
      <w:proofErr w:type="spellEnd"/>
      <w:r>
        <w:t xml:space="preserve"> </w:t>
      </w:r>
      <w:proofErr w:type="spellStart"/>
      <w:r>
        <w:t>Guerra</w:t>
      </w:r>
      <w:proofErr w:type="spellEnd"/>
      <w:r>
        <w:t>,</w:t>
      </w:r>
      <w:r>
        <w:rPr>
          <w:i/>
          <w:iCs/>
        </w:rPr>
        <w:br/>
      </w:r>
      <w:r>
        <w:tab/>
        <w:t>Helen Keller,</w:t>
      </w:r>
      <w:r>
        <w:rPr>
          <w:i/>
          <w:iCs/>
        </w:rPr>
        <w:br/>
      </w:r>
      <w:r>
        <w:tab/>
      </w:r>
      <w:proofErr w:type="spellStart"/>
      <w:r>
        <w:t>Dmitry</w:t>
      </w:r>
      <w:proofErr w:type="spellEnd"/>
      <w:r>
        <w:t xml:space="preserve"> </w:t>
      </w:r>
      <w:proofErr w:type="spellStart"/>
      <w:r>
        <w:t>Dedov</w:t>
      </w:r>
      <w:proofErr w:type="spellEnd"/>
      <w:r>
        <w:t>,</w:t>
      </w:r>
      <w:r>
        <w:rPr>
          <w:i/>
          <w:iCs/>
        </w:rPr>
        <w:br/>
      </w:r>
      <w:r>
        <w:tab/>
        <w:t xml:space="preserve">Alena </w:t>
      </w:r>
      <w:proofErr w:type="spellStart"/>
      <w:r>
        <w:t>Poláčková</w:t>
      </w:r>
      <w:proofErr w:type="spellEnd"/>
      <w:r>
        <w:t>,</w:t>
      </w:r>
      <w:r>
        <w:rPr>
          <w:i/>
          <w:iCs/>
        </w:rPr>
        <w:br/>
      </w:r>
      <w:r>
        <w:tab/>
        <w:t xml:space="preserve">Georgios A. </w:t>
      </w:r>
      <w:proofErr w:type="spellStart"/>
      <w:r>
        <w:t>Serghides</w:t>
      </w:r>
      <w:proofErr w:type="spellEnd"/>
      <w:r>
        <w:t>,</w:t>
      </w:r>
      <w:r>
        <w:rPr>
          <w:i/>
          <w:iCs/>
        </w:rPr>
        <w:br/>
      </w:r>
      <w:r>
        <w:tab/>
      </w:r>
      <w:proofErr w:type="spellStart"/>
      <w:r>
        <w:t>Jolien</w:t>
      </w:r>
      <w:proofErr w:type="spellEnd"/>
      <w:r>
        <w:t xml:space="preserve"> </w:t>
      </w:r>
      <w:proofErr w:type="spellStart"/>
      <w:r>
        <w:t>Schukking</w:t>
      </w:r>
      <w:proofErr w:type="spellEnd"/>
      <w:r>
        <w:t>,</w:t>
      </w:r>
      <w:r>
        <w:rPr>
          <w:i/>
          <w:iCs/>
        </w:rPr>
        <w:t xml:space="preserve"> sędziowie,</w:t>
      </w:r>
      <w:r>
        <w:rPr>
          <w:i/>
          <w:iCs/>
        </w:rPr>
        <w:br/>
      </w:r>
      <w:r>
        <w:t xml:space="preserve">oraz </w:t>
      </w:r>
      <w:proofErr w:type="spellStart"/>
      <w:r>
        <w:t>Fatoş</w:t>
      </w:r>
      <w:proofErr w:type="spellEnd"/>
      <w:r>
        <w:t xml:space="preserve"> </w:t>
      </w:r>
      <w:proofErr w:type="spellStart"/>
      <w:r>
        <w:t>Aracı</w:t>
      </w:r>
      <w:proofErr w:type="spellEnd"/>
      <w:r>
        <w:t xml:space="preserve">, </w:t>
      </w:r>
      <w:r>
        <w:rPr>
          <w:i/>
          <w:iCs/>
        </w:rPr>
        <w:t>Zastępca Kanclerza Sekcji</w:t>
      </w:r>
      <w:r>
        <w:t>,</w:t>
      </w:r>
    </w:p>
    <w:p w:rsidR="00FB413B" w:rsidRPr="00952B84" w:rsidRDefault="00FB413B" w:rsidP="00952B84">
      <w:pPr>
        <w:pStyle w:val="ECHRPara"/>
      </w:pPr>
      <w:r>
        <w:t>W sprawie przedmiotowych skarg złożonych odpowiednio 28 lipca 2016</w:t>
      </w:r>
      <w:r w:rsidR="00E06614">
        <w:t> </w:t>
      </w:r>
      <w:r>
        <w:t>r., 10 sierpnia 2016 r. i 9 marca 2017 r.,</w:t>
      </w:r>
    </w:p>
    <w:p w:rsidR="00FB413B" w:rsidRPr="00952B84" w:rsidRDefault="00FB413B" w:rsidP="00952B84">
      <w:pPr>
        <w:pStyle w:val="ECHRPara"/>
      </w:pPr>
      <w:r>
        <w:t>po przeprowadzeniu obrad wydaje następując</w:t>
      </w:r>
      <w:r w:rsidR="00BF4694">
        <w:t>ą decyzję</w:t>
      </w:r>
      <w:r>
        <w:t>:</w:t>
      </w:r>
    </w:p>
    <w:p w:rsidR="00FB413B" w:rsidRDefault="00FB413B" w:rsidP="00952B84">
      <w:pPr>
        <w:pStyle w:val="ECHRTitle1"/>
      </w:pPr>
      <w:r>
        <w:t>FAKTY</w:t>
      </w:r>
    </w:p>
    <w:p w:rsidR="00FB413B" w:rsidRPr="00B60958" w:rsidRDefault="00FB413B" w:rsidP="00DF79E4">
      <w:pPr>
        <w:pStyle w:val="ECHRPara"/>
        <w:ind w:firstLine="0"/>
        <w:rPr>
          <w:i/>
          <w:iCs/>
        </w:rPr>
      </w:pPr>
      <w:r>
        <w:rPr>
          <w:i/>
          <w:iCs/>
        </w:rPr>
        <w:t>[Paragrafy 1-58 decyzji pominięte i zastąpione tłumaczeniem poniższego streszczenia przygotowanego przez Kancelarię Europejskiego Trybunału Praw Człowieka</w:t>
      </w:r>
    </w:p>
    <w:p w:rsidR="00FB413B" w:rsidRPr="00B60958" w:rsidRDefault="00FB413B" w:rsidP="00DF79E4">
      <w:pPr>
        <w:pStyle w:val="ECHRPara"/>
        <w:ind w:firstLine="0"/>
        <w:rPr>
          <w:i/>
          <w:iCs/>
        </w:rPr>
      </w:pPr>
    </w:p>
    <w:p w:rsidR="00FB413B" w:rsidRPr="004F1F3F" w:rsidRDefault="00FB413B" w:rsidP="00DF79E4">
      <w:pPr>
        <w:pStyle w:val="ECHRPara"/>
        <w:rPr>
          <w:u w:val="single"/>
        </w:rPr>
      </w:pPr>
      <w:r>
        <w:rPr>
          <w:i/>
          <w:iCs/>
          <w:u w:val="single"/>
        </w:rPr>
        <w:lastRenderedPageBreak/>
        <w:t>Streszczenie stanu faktycznego</w:t>
      </w:r>
      <w:r w:rsidRPr="00B60958">
        <w:rPr>
          <w:rStyle w:val="Odwoanieprzypisudolnego"/>
          <w:u w:val="single"/>
        </w:rPr>
        <w:footnoteReference w:id="2"/>
      </w:r>
      <w:r>
        <w:rPr>
          <w:u w:val="single"/>
        </w:rPr>
        <w:t>:</w:t>
      </w:r>
    </w:p>
    <w:p w:rsidR="00FB413B" w:rsidRPr="00FB413B" w:rsidRDefault="00FB413B" w:rsidP="00DF79E4">
      <w:pPr>
        <w:pStyle w:val="ECHRPara"/>
        <w:ind w:firstLine="0"/>
        <w:rPr>
          <w:lang w:eastAsia="en-US"/>
        </w:rPr>
      </w:pPr>
    </w:p>
    <w:p w:rsidR="00FB413B" w:rsidRPr="004F1F3F" w:rsidRDefault="00FB413B" w:rsidP="004F1F3F">
      <w:pPr>
        <w:autoSpaceDE w:val="0"/>
        <w:autoSpaceDN w:val="0"/>
        <w:adjustRightInd w:val="0"/>
        <w:ind w:firstLine="284"/>
      </w:pPr>
      <w:r>
        <w:t xml:space="preserve">Wszystkie trzy </w:t>
      </w:r>
      <w:r w:rsidR="0073666D">
        <w:t xml:space="preserve">skarżące </w:t>
      </w:r>
      <w:r>
        <w:t>spółki są zarejestrowane w Niderlandach. P.</w:t>
      </w:r>
      <w:r w:rsidR="00E06614">
        <w:t> </w:t>
      </w:r>
      <w:proofErr w:type="spellStart"/>
      <w:r>
        <w:t>Plaisier</w:t>
      </w:r>
      <w:proofErr w:type="spellEnd"/>
      <w:r>
        <w:t xml:space="preserve"> B.V. oraz D.E.M. Management Services B.V. to finansowe spółki holdingowe z jednym pracownikiem, który jest również jedynym udziałowcem, podczas gdy trzecia spółka, </w:t>
      </w:r>
      <w:proofErr w:type="spellStart"/>
      <w:r>
        <w:t>Feyenoord</w:t>
      </w:r>
      <w:proofErr w:type="spellEnd"/>
      <w:r>
        <w:t xml:space="preserve"> Rotterdam N.V., jest</w:t>
      </w:r>
      <w:r w:rsidR="00E06614">
        <w:t> </w:t>
      </w:r>
      <w:r>
        <w:t>właścicielem i prowadzi klub piłkarski pod tą samą nazwą.</w:t>
      </w:r>
    </w:p>
    <w:p w:rsidR="00FB413B" w:rsidRPr="004F1F3F" w:rsidRDefault="00FB413B" w:rsidP="004F1F3F">
      <w:pPr>
        <w:autoSpaceDE w:val="0"/>
        <w:autoSpaceDN w:val="0"/>
        <w:adjustRightInd w:val="0"/>
        <w:ind w:firstLine="284"/>
        <w:rPr>
          <w:rFonts w:eastAsia="Times New Roman"/>
        </w:rPr>
      </w:pPr>
      <w:r>
        <w:t>Sprawa powstała po tym</w:t>
      </w:r>
      <w:r w:rsidR="0073666D">
        <w:t>,</w:t>
      </w:r>
      <w:r>
        <w:t xml:space="preserve"> jak władze holenderskie w 2012 r</w:t>
      </w:r>
      <w:r w:rsidR="00A97A05">
        <w:t>.</w:t>
      </w:r>
      <w:r>
        <w:t xml:space="preserve"> podjęły decyzję o wdrożeniu środków mających na celu zwalczanie skutków finansowych kryzysu gospodarczego, który nawiedził Europę</w:t>
      </w:r>
      <w:r w:rsidR="0073666D">
        <w:t>,</w:t>
      </w:r>
      <w:r>
        <w:t xml:space="preserve"> i redukcji deficytu budżetowego o około 12 miliardów euro. Środki te były bardzo różnorodne i obejmowały podwyższenie wieku emerytalnego, zamrożenie wynagrodzeń w sektorze publicznym oraz podwyższenie podatków.</w:t>
      </w:r>
    </w:p>
    <w:p w:rsidR="00FB413B" w:rsidRPr="004F1F3F" w:rsidRDefault="00FB413B" w:rsidP="004F1F3F">
      <w:pPr>
        <w:autoSpaceDE w:val="0"/>
        <w:autoSpaceDN w:val="0"/>
        <w:adjustRightInd w:val="0"/>
        <w:ind w:firstLine="284"/>
        <w:rPr>
          <w:rFonts w:eastAsia="Times New Roman"/>
        </w:rPr>
      </w:pPr>
      <w:r>
        <w:t>Jeden ze środków podatkowych był „daniną kryzysową”, tj. dodatkowym podatkiem od wynagrodzeń powyżej 150 000 euro, który miał być płacony przez pracodawców. Został nałożony na zarobki za rok 2012 i miał wpływ na budżet w roku 2013. Choć miał to być środek jednorazowy, został nałożony po raz kolejny dla budżetu za rok 2014.</w:t>
      </w:r>
    </w:p>
    <w:p w:rsidR="00FB413B" w:rsidRPr="004F1F3F" w:rsidRDefault="00FB413B" w:rsidP="004F1F3F">
      <w:pPr>
        <w:autoSpaceDE w:val="0"/>
        <w:autoSpaceDN w:val="0"/>
        <w:adjustRightInd w:val="0"/>
        <w:ind w:firstLine="284"/>
        <w:rPr>
          <w:rFonts w:eastAsia="Times New Roman"/>
        </w:rPr>
      </w:pPr>
      <w:r>
        <w:t xml:space="preserve">Spółka P. </w:t>
      </w:r>
      <w:proofErr w:type="spellStart"/>
      <w:r>
        <w:t>Plaisier</w:t>
      </w:r>
      <w:proofErr w:type="spellEnd"/>
      <w:r>
        <w:t xml:space="preserve"> B.V. zapłaciła daninę w wysokości 22 969 euro</w:t>
      </w:r>
      <w:r w:rsidR="0073666D">
        <w:t>,</w:t>
      </w:r>
      <w:r>
        <w:t xml:space="preserve"> a</w:t>
      </w:r>
      <w:r w:rsidR="00E06614">
        <w:t> </w:t>
      </w:r>
      <w:r>
        <w:t xml:space="preserve">D.E.M. Management Services B.V. zapłaciła 140 555 euro. Spółka </w:t>
      </w:r>
      <w:proofErr w:type="spellStart"/>
      <w:r>
        <w:t>Feyenoord</w:t>
      </w:r>
      <w:proofErr w:type="spellEnd"/>
      <w:r>
        <w:t xml:space="preserve"> Rotterdam N.V. wypłaciła wynagrodzenia przekraczające 150 000 euro dwudziestu pięciu pracownikom w 2012 r</w:t>
      </w:r>
      <w:r w:rsidR="00A97A05">
        <w:t>.</w:t>
      </w:r>
      <w:r>
        <w:t xml:space="preserve"> i musiała zapłacić daninę od wysokich wynagrodzeń w wysokości 593 472 euro.</w:t>
      </w:r>
    </w:p>
    <w:p w:rsidR="00FB413B" w:rsidRDefault="00FB413B" w:rsidP="004F1F3F">
      <w:pPr>
        <w:autoSpaceDE w:val="0"/>
        <w:autoSpaceDN w:val="0"/>
        <w:adjustRightInd w:val="0"/>
        <w:ind w:firstLine="284"/>
        <w:rPr>
          <w:rFonts w:eastAsia="Times New Roman"/>
        </w:rPr>
      </w:pPr>
      <w:r>
        <w:t>Spółki zakwestionowały podatek, najpierw składając sprzeciwy do</w:t>
      </w:r>
      <w:r w:rsidR="00E06614">
        <w:t> </w:t>
      </w:r>
      <w:r>
        <w:t>Inspektora Podatkowego, następnie odwołując się do sądu od od</w:t>
      </w:r>
      <w:r w:rsidR="0073666D">
        <w:t>dalenia</w:t>
      </w:r>
      <w:r>
        <w:t xml:space="preserve"> przez Inspektora Podatkowego ich sprzeciwów, a </w:t>
      </w:r>
      <w:r w:rsidR="0073666D">
        <w:t xml:space="preserve">wreszcie kierując sprawy </w:t>
      </w:r>
      <w:r>
        <w:t xml:space="preserve">do Sądu Najwyższego. Spółki </w:t>
      </w:r>
      <w:r w:rsidR="0073666D">
        <w:t xml:space="preserve">powoływały się </w:t>
      </w:r>
      <w:r>
        <w:t xml:space="preserve">w </w:t>
      </w:r>
      <w:r w:rsidR="0073666D">
        <w:t>szczególności na</w:t>
      </w:r>
      <w:r w:rsidR="00E06614">
        <w:t> </w:t>
      </w:r>
      <w:r w:rsidR="0073666D">
        <w:t>postanowienia</w:t>
      </w:r>
      <w:r>
        <w:t xml:space="preserve"> Europejs</w:t>
      </w:r>
      <w:r w:rsidR="0073666D">
        <w:t xml:space="preserve">kiej Konwencji </w:t>
      </w:r>
      <w:r w:rsidR="0086395B">
        <w:t xml:space="preserve">[o ochronie praw człowieka i podstawowych wolności] </w:t>
      </w:r>
      <w:r w:rsidR="0073666D">
        <w:t>i Międzynarodowego Paktu</w:t>
      </w:r>
      <w:r>
        <w:t xml:space="preserve"> Praw Obywatelskich i Politycznych.</w:t>
      </w:r>
    </w:p>
    <w:p w:rsidR="00FB413B" w:rsidRDefault="00FB413B" w:rsidP="0073666D">
      <w:pPr>
        <w:autoSpaceDE w:val="0"/>
        <w:autoSpaceDN w:val="0"/>
        <w:adjustRightInd w:val="0"/>
        <w:ind w:firstLine="284"/>
        <w:rPr>
          <w:rFonts w:eastAsia="Times New Roman"/>
        </w:rPr>
      </w:pPr>
      <w:r>
        <w:t>Wszystkie trzy spółki podniosły podobne argumenty, twierdząc, że</w:t>
      </w:r>
      <w:r w:rsidR="00E06614">
        <w:t> </w:t>
      </w:r>
      <w:r>
        <w:t xml:space="preserve">podatek był nieprzewidywalny, jako że został nałożony z mocą wsteczną, stanowił dyskryminację pracodawców, którzy wypłacali [wynagrodzenia] powyżej 150 000 euro, i nie był uzasadniony właściwą oceną rozkładu obciążeń podatkowych. Spółka </w:t>
      </w:r>
      <w:proofErr w:type="spellStart"/>
      <w:r>
        <w:t>Feyenoord</w:t>
      </w:r>
      <w:proofErr w:type="spellEnd"/>
      <w:r>
        <w:t xml:space="preserve"> Rotterdam N.V. również podniosła, że było to nieuzasadnione obciążenie dla tej spółki, zważywszy na stan jej finansów.</w:t>
      </w:r>
    </w:p>
    <w:p w:rsidR="00FB413B" w:rsidRPr="004F1F3F" w:rsidRDefault="00FB413B" w:rsidP="004F1F3F">
      <w:pPr>
        <w:autoSpaceDE w:val="0"/>
        <w:autoSpaceDN w:val="0"/>
        <w:adjustRightInd w:val="0"/>
        <w:ind w:firstLine="284"/>
        <w:rPr>
          <w:rFonts w:eastAsia="Times New Roman"/>
        </w:rPr>
      </w:pPr>
      <w:r>
        <w:t>Wszystkie trzy spółki przegrały swoje sprawy. Sądy krajowe uznały, że</w:t>
      </w:r>
      <w:r w:rsidR="00E06614">
        <w:t> </w:t>
      </w:r>
      <w:r>
        <w:t xml:space="preserve">środek podatkowy był uzasadniony potrzebą zmniejszenia deficytu </w:t>
      </w:r>
      <w:r>
        <w:lastRenderedPageBreak/>
        <w:t xml:space="preserve">budżetowego, mieścił się w szerokim </w:t>
      </w:r>
      <w:r w:rsidR="0073666D">
        <w:t xml:space="preserve">marginesie oceny </w:t>
      </w:r>
      <w:r>
        <w:t>ustawodawcy w</w:t>
      </w:r>
      <w:r w:rsidR="00E06614">
        <w:t> </w:t>
      </w:r>
      <w:r>
        <w:t>zakresie nakładania [takich obciążeń], oraz że danina nie była pozbawiona racjonalnych podstaw, mimo elementu nałożenia z mocą wsteczną.]</w:t>
      </w:r>
    </w:p>
    <w:p w:rsidR="00FB413B" w:rsidRPr="00952B84" w:rsidRDefault="0073666D" w:rsidP="00952B84">
      <w:pPr>
        <w:pStyle w:val="ECHRTitle1"/>
      </w:pPr>
      <w:r>
        <w:t xml:space="preserve">ZARZUTY </w:t>
      </w:r>
    </w:p>
    <w:p w:rsidR="00FB413B" w:rsidRPr="00952B84" w:rsidRDefault="00FB413B" w:rsidP="00952B84">
      <w:pPr>
        <w:pStyle w:val="ECHRPara"/>
      </w:pPr>
      <w:r>
        <w:t xml:space="preserve">59.  Skarżące spółki </w:t>
      </w:r>
      <w:r w:rsidR="0073666D">
        <w:t xml:space="preserve">zarzucały </w:t>
      </w:r>
      <w:r>
        <w:t xml:space="preserve">na podstawie </w:t>
      </w:r>
      <w:r w:rsidR="00A97A05">
        <w:t xml:space="preserve">art. </w:t>
      </w:r>
      <w:r>
        <w:t>1 Protokołu nr 1 do</w:t>
      </w:r>
      <w:r w:rsidR="00E06614">
        <w:t> </w:t>
      </w:r>
      <w:r>
        <w:t>Konwencji</w:t>
      </w:r>
      <w:r w:rsidR="0086395B">
        <w:t xml:space="preserve"> [o ochronie praw człowieka i podstawowych wolności]</w:t>
      </w:r>
      <w:r>
        <w:t>, ż</w:t>
      </w:r>
      <w:r w:rsidR="0073666D">
        <w:t>e</w:t>
      </w:r>
      <w:r>
        <w:t xml:space="preserve"> nałożono na nie podatek z mocą wsteczną. Skarżyły się również na mocy tego artykułu, że danina podatkowa od wysokich wynagrodzeń została nałożona bez względu na indywidualne trudności, była</w:t>
      </w:r>
      <w:r w:rsidR="00E06614">
        <w:t> </w:t>
      </w:r>
      <w:r>
        <w:t>skierowana do niewytłuma</w:t>
      </w:r>
      <w:r w:rsidR="0073666D">
        <w:t>czalnie małej grupy pracodawców</w:t>
      </w:r>
      <w:r>
        <w:t xml:space="preserve"> i</w:t>
      </w:r>
      <w:r w:rsidR="00E06614">
        <w:t> </w:t>
      </w:r>
      <w:r>
        <w:t>była</w:t>
      </w:r>
      <w:r w:rsidR="00E06614">
        <w:t> </w:t>
      </w:r>
      <w:r>
        <w:t>nieproporcjonalna w stosunku do rzeczywiście uzyskanych dochodów podatkowych.</w:t>
      </w:r>
    </w:p>
    <w:p w:rsidR="00FB413B" w:rsidRPr="00952B84" w:rsidRDefault="00FB413B" w:rsidP="00952B84">
      <w:pPr>
        <w:pStyle w:val="ECHRPara"/>
      </w:pPr>
      <w:r>
        <w:t xml:space="preserve">60.  Skarżące spółki </w:t>
      </w:r>
      <w:r w:rsidR="0073666D">
        <w:t xml:space="preserve">zarzucały </w:t>
      </w:r>
      <w:r>
        <w:t xml:space="preserve">na podstawie </w:t>
      </w:r>
      <w:r w:rsidR="00A97A05">
        <w:t xml:space="preserve">art. </w:t>
      </w:r>
      <w:r>
        <w:t>14 Konwencji w</w:t>
      </w:r>
      <w:r w:rsidR="00E06614">
        <w:t> </w:t>
      </w:r>
      <w:r>
        <w:t xml:space="preserve">związku z </w:t>
      </w:r>
      <w:r w:rsidR="00A97A05">
        <w:t xml:space="preserve">art. </w:t>
      </w:r>
      <w:r>
        <w:t>1 Protokołu nr 1, że danina podatkowa od wysokich wynagrodzeń została zastosowana arbitralnie tylko do niewielkiej grupy (części) podatników.</w:t>
      </w:r>
    </w:p>
    <w:p w:rsidR="00FB413B" w:rsidRPr="00952B84" w:rsidRDefault="00FB413B" w:rsidP="00952B84">
      <w:pPr>
        <w:pStyle w:val="ECHRTitle1"/>
      </w:pPr>
      <w:r>
        <w:t>PRAWO</w:t>
      </w:r>
    </w:p>
    <w:p w:rsidR="00FB413B" w:rsidRPr="00952B84" w:rsidRDefault="00FB413B" w:rsidP="00952B84">
      <w:pPr>
        <w:pStyle w:val="ECHRHeading2"/>
      </w:pPr>
      <w:r>
        <w:t>A. Połączenie skarg</w:t>
      </w:r>
    </w:p>
    <w:p w:rsidR="00FB413B" w:rsidRPr="00952B84" w:rsidRDefault="00FB413B" w:rsidP="00952B84">
      <w:pPr>
        <w:pStyle w:val="ECHRPara"/>
      </w:pPr>
      <w:r>
        <w:t>61.  Mając na uwadze wspólną podstawę faktyczną i prawną</w:t>
      </w:r>
      <w:r w:rsidR="0073666D">
        <w:t>,</w:t>
      </w:r>
      <w:r>
        <w:t xml:space="preserve"> Trybunał decyduje o tym, iż przedmiotowe trzy skargi powinny być połączone zgodnie z </w:t>
      </w:r>
      <w:r w:rsidR="00A97A05">
        <w:t>Regułą</w:t>
      </w:r>
      <w:r>
        <w:t xml:space="preserve"> 42 §1 Regulaminu Trybunału.</w:t>
      </w:r>
    </w:p>
    <w:p w:rsidR="00FB413B" w:rsidRPr="00952B84" w:rsidRDefault="00FB413B" w:rsidP="00952B84">
      <w:pPr>
        <w:pStyle w:val="ECHRHeading2"/>
      </w:pPr>
      <w:r>
        <w:t xml:space="preserve">B. </w:t>
      </w:r>
      <w:r w:rsidR="0073666D">
        <w:t xml:space="preserve">Zarzuty </w:t>
      </w:r>
      <w:r>
        <w:t xml:space="preserve">z </w:t>
      </w:r>
      <w:r w:rsidR="00A97A05">
        <w:t xml:space="preserve">art. </w:t>
      </w:r>
      <w:r>
        <w:t>1 Protokołu nr 1</w:t>
      </w:r>
    </w:p>
    <w:p w:rsidR="00FB413B" w:rsidRPr="00952B84" w:rsidRDefault="00FB413B" w:rsidP="00952B84">
      <w:pPr>
        <w:pStyle w:val="ECHRPara"/>
      </w:pPr>
      <w:r>
        <w:t xml:space="preserve">62.  Skarżące spółki zarzucają naruszenie </w:t>
      </w:r>
      <w:r w:rsidR="00A97A05">
        <w:t xml:space="preserve">art. </w:t>
      </w:r>
      <w:r>
        <w:t>1 Protokołu nr 1, który</w:t>
      </w:r>
      <w:r w:rsidR="00E06614">
        <w:t> </w:t>
      </w:r>
      <w:r>
        <w:t>brzmi następująco:</w:t>
      </w:r>
    </w:p>
    <w:p w:rsidR="00AB714E" w:rsidRDefault="00FB413B" w:rsidP="00AB714E">
      <w:pPr>
        <w:pStyle w:val="ECHRParaQuote"/>
      </w:pPr>
      <w:r>
        <w:t xml:space="preserve"> „</w:t>
      </w:r>
      <w:r w:rsidR="00AB714E">
        <w:t>Każda osoba fizyczna i prawna ma prawo do poszanowania swego mienia. Nikt nie może być pozbawiony swojej własności, chyba że w interesie publicznym i na warunkach przewidzianych przez ustawę oraz zgodnie z ogólnymi zasadami prawa międzynarodowego.</w:t>
      </w:r>
    </w:p>
    <w:p w:rsidR="00FB413B" w:rsidRPr="00952B84" w:rsidRDefault="00AB714E" w:rsidP="00AB714E">
      <w:pPr>
        <w:pStyle w:val="ECHRParaQuote"/>
      </w:pPr>
      <w:r>
        <w:t>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w:t>
      </w:r>
      <w:r w:rsidR="00FB413B">
        <w:t>”</w:t>
      </w:r>
    </w:p>
    <w:p w:rsidR="00FB413B" w:rsidRPr="00952B84" w:rsidRDefault="00FB413B" w:rsidP="00952B84">
      <w:pPr>
        <w:pStyle w:val="ECHRPara"/>
      </w:pPr>
      <w:r>
        <w:lastRenderedPageBreak/>
        <w:t>63.  Skarżące spółki podnosiły, że danina podatkowa od wysokich wynagrodzeń, jako że została nałożona z mocą wsteczną, była niemożliwa do przewidzenia. Skarżyły się również, że nie uwzględniała indywidualnych sytuacji finansowych, miała wpływ na tylko niewielką grupę pracodawców i</w:t>
      </w:r>
      <w:r w:rsidR="00E06614">
        <w:t> </w:t>
      </w:r>
      <w:r>
        <w:t xml:space="preserve">spowodowała nieproporcjonalnie duże trudności </w:t>
      </w:r>
      <w:r w:rsidR="00AB714E">
        <w:t xml:space="preserve">dla </w:t>
      </w:r>
      <w:r w:rsidR="005728AE">
        <w:t>indywidualnych osób</w:t>
      </w:r>
      <w:r>
        <w:t xml:space="preserve"> w stosunku do wpływu</w:t>
      </w:r>
      <w:r w:rsidR="00AB714E">
        <w:t>,</w:t>
      </w:r>
      <w:r>
        <w:t xml:space="preserve"> jaki wywarła na budżet Rządu.</w:t>
      </w:r>
    </w:p>
    <w:p w:rsidR="00FB413B" w:rsidRPr="00952B84" w:rsidRDefault="00FB413B" w:rsidP="00952B84">
      <w:pPr>
        <w:pStyle w:val="ECHRHeading3"/>
      </w:pPr>
      <w:r>
        <w:t>1.  </w:t>
      </w:r>
      <w:r w:rsidR="00AB714E">
        <w:t xml:space="preserve">Mające zastosowanie </w:t>
      </w:r>
      <w:r>
        <w:t>zasad</w:t>
      </w:r>
      <w:r w:rsidR="00AB714E">
        <w:t>y</w:t>
      </w:r>
    </w:p>
    <w:p w:rsidR="00FB413B" w:rsidRPr="00824331" w:rsidRDefault="00FB413B" w:rsidP="00952B84">
      <w:pPr>
        <w:pStyle w:val="ECHRPara"/>
      </w:pPr>
      <w:r>
        <w:t>64.  </w:t>
      </w:r>
      <w:r w:rsidR="00AB714E">
        <w:t>J</w:t>
      </w:r>
      <w:r>
        <w:t xml:space="preserve">ak Trybunał często stwierdzał, </w:t>
      </w:r>
      <w:r w:rsidR="00A97A05">
        <w:t xml:space="preserve">art. </w:t>
      </w:r>
      <w:r>
        <w:t>1 Protokołu nr 1 gwarantuje co</w:t>
      </w:r>
      <w:r w:rsidR="00E06614">
        <w:t> </w:t>
      </w:r>
      <w:r>
        <w:t xml:space="preserve">do zasady prawo własności. Obejmuje </w:t>
      </w:r>
      <w:r w:rsidRPr="009D7403">
        <w:t xml:space="preserve">trzy </w:t>
      </w:r>
      <w:r w:rsidR="00AB714E" w:rsidRPr="009D7403">
        <w:t>odrębne</w:t>
      </w:r>
      <w:r>
        <w:t xml:space="preserve"> zasady. Pierwsza, ujęta w pierwszym zdaniu pierwszego akapitu</w:t>
      </w:r>
      <w:r w:rsidR="00AB714E">
        <w:t xml:space="preserve"> i</w:t>
      </w:r>
      <w:r>
        <w:t xml:space="preserve"> mająca charakter ogólny, określa zasadę </w:t>
      </w:r>
      <w:r w:rsidR="00AB714E">
        <w:t xml:space="preserve">poszanowania </w:t>
      </w:r>
      <w:r>
        <w:t xml:space="preserve">własności. Druga, ujęta w drugim zdaniu tego samego akapitu, dotyczy kwestii pozbawiania własności i określa pewne tego warunki. Trzecia, ujęta w drugim akapicie, uznaje, że </w:t>
      </w:r>
      <w:r w:rsidRPr="00D641F3">
        <w:rPr>
          <w:rStyle w:val="sb8d990e2"/>
        </w:rPr>
        <w:t>Układając</w:t>
      </w:r>
      <w:r w:rsidR="00AB714E">
        <w:rPr>
          <w:rStyle w:val="sb8d990e2"/>
        </w:rPr>
        <w:t>e</w:t>
      </w:r>
      <w:r w:rsidRPr="00D641F3">
        <w:rPr>
          <w:rStyle w:val="sb8d990e2"/>
        </w:rPr>
        <w:t xml:space="preserve"> się Państw</w:t>
      </w:r>
      <w:r>
        <w:rPr>
          <w:rStyle w:val="sb8d990e2"/>
        </w:rPr>
        <w:t>a</w:t>
      </w:r>
      <w:r>
        <w:t xml:space="preserve"> są uprawnione do </w:t>
      </w:r>
      <w:r w:rsidR="00AB714E">
        <w:t xml:space="preserve">uregulowania sposobu korzystania z własności </w:t>
      </w:r>
      <w:r>
        <w:t xml:space="preserve">zgodnie z interesem </w:t>
      </w:r>
      <w:r w:rsidR="00AB714E">
        <w:t xml:space="preserve">powszechnym </w:t>
      </w:r>
      <w:r>
        <w:t xml:space="preserve">lub </w:t>
      </w:r>
      <w:r w:rsidR="00AB714E">
        <w:t xml:space="preserve">w celu zapewnienia uiszczania </w:t>
      </w:r>
      <w:r>
        <w:t xml:space="preserve">podatków </w:t>
      </w:r>
      <w:r w:rsidR="00AB714E">
        <w:t xml:space="preserve">bądź </w:t>
      </w:r>
      <w:r>
        <w:t xml:space="preserve">innych </w:t>
      </w:r>
      <w:r w:rsidR="00AB714E">
        <w:t xml:space="preserve">należności lub </w:t>
      </w:r>
      <w:r>
        <w:t>kar</w:t>
      </w:r>
      <w:r w:rsidR="00AB714E">
        <w:t xml:space="preserve"> pieniężnych</w:t>
      </w:r>
      <w:r>
        <w:t>. Jednakże te trzy zasady nie są „</w:t>
      </w:r>
      <w:r w:rsidR="00AB714E">
        <w:t>odrębne</w:t>
      </w:r>
      <w:r>
        <w:t xml:space="preserve">” w rozumieniu takim, że są </w:t>
      </w:r>
      <w:r w:rsidR="00AB714E">
        <w:t>niepowiązane</w:t>
      </w:r>
      <w:r>
        <w:t>: druga i</w:t>
      </w:r>
      <w:r w:rsidR="00E06614">
        <w:t> </w:t>
      </w:r>
      <w:r>
        <w:t xml:space="preserve">trzecia zasada dotyczą konkretnych przypadków </w:t>
      </w:r>
      <w:r w:rsidR="00AB714E">
        <w:t>ingerencji w prawo</w:t>
      </w:r>
      <w:r>
        <w:t xml:space="preserve"> do</w:t>
      </w:r>
      <w:r w:rsidR="00E06614">
        <w:t> </w:t>
      </w:r>
      <w:r w:rsidR="00AB714E">
        <w:t xml:space="preserve">poszanowania </w:t>
      </w:r>
      <w:r>
        <w:t xml:space="preserve">własności i winny zatem być interpretowane w świetle zasady ogólnej przedstawionej w zasadzie pierwszej (zob. m. in. </w:t>
      </w:r>
      <w:proofErr w:type="spellStart"/>
      <w:r>
        <w:rPr>
          <w:i/>
          <w:iCs/>
        </w:rPr>
        <w:t>Sporrong</w:t>
      </w:r>
      <w:proofErr w:type="spellEnd"/>
      <w:r>
        <w:rPr>
          <w:i/>
          <w:iCs/>
        </w:rPr>
        <w:t xml:space="preserve"> i</w:t>
      </w:r>
      <w:r w:rsidR="00E06614">
        <w:rPr>
          <w:i/>
          <w:iCs/>
        </w:rPr>
        <w:t> </w:t>
      </w:r>
      <w:proofErr w:type="spellStart"/>
      <w:r>
        <w:rPr>
          <w:i/>
          <w:iCs/>
        </w:rPr>
        <w:t>Lönnroth</w:t>
      </w:r>
      <w:proofErr w:type="spellEnd"/>
      <w:r>
        <w:rPr>
          <w:i/>
          <w:iCs/>
        </w:rPr>
        <w:t xml:space="preserve"> przeciwko Szwecji</w:t>
      </w:r>
      <w:r>
        <w:t xml:space="preserve">, 23 września 1982 r., § 61, seria A nr 52; </w:t>
      </w:r>
      <w:proofErr w:type="spellStart"/>
      <w:r>
        <w:rPr>
          <w:i/>
          <w:iCs/>
        </w:rPr>
        <w:t>Gasus</w:t>
      </w:r>
      <w:proofErr w:type="spellEnd"/>
      <w:r>
        <w:rPr>
          <w:i/>
          <w:iCs/>
        </w:rPr>
        <w:t xml:space="preserve"> </w:t>
      </w:r>
      <w:proofErr w:type="spellStart"/>
      <w:r>
        <w:rPr>
          <w:i/>
          <w:iCs/>
        </w:rPr>
        <w:t>Dosier</w:t>
      </w:r>
      <w:proofErr w:type="spellEnd"/>
      <w:r>
        <w:rPr>
          <w:i/>
          <w:iCs/>
        </w:rPr>
        <w:t xml:space="preserve">- </w:t>
      </w:r>
      <w:proofErr w:type="spellStart"/>
      <w:r>
        <w:rPr>
          <w:i/>
          <w:iCs/>
        </w:rPr>
        <w:t>und</w:t>
      </w:r>
      <w:proofErr w:type="spellEnd"/>
      <w:r>
        <w:rPr>
          <w:i/>
          <w:iCs/>
        </w:rPr>
        <w:t xml:space="preserve"> </w:t>
      </w:r>
      <w:proofErr w:type="spellStart"/>
      <w:r>
        <w:rPr>
          <w:i/>
          <w:iCs/>
        </w:rPr>
        <w:t>Fördertechnik</w:t>
      </w:r>
      <w:proofErr w:type="spellEnd"/>
      <w:r>
        <w:rPr>
          <w:i/>
          <w:iCs/>
        </w:rPr>
        <w:t xml:space="preserve"> GmbH przeciwko Niderlandom</w:t>
      </w:r>
      <w:r>
        <w:t>, 23 lutego 1995 r., § 55, seria A nr 306</w:t>
      </w:r>
      <w:r>
        <w:noBreakHyphen/>
        <w:t xml:space="preserve">B; </w:t>
      </w:r>
      <w:proofErr w:type="spellStart"/>
      <w:r>
        <w:rPr>
          <w:i/>
          <w:iCs/>
        </w:rPr>
        <w:t>National</w:t>
      </w:r>
      <w:proofErr w:type="spellEnd"/>
      <w:r>
        <w:rPr>
          <w:i/>
          <w:iCs/>
        </w:rPr>
        <w:t xml:space="preserve"> &amp; </w:t>
      </w:r>
      <w:proofErr w:type="spellStart"/>
      <w:r>
        <w:rPr>
          <w:i/>
          <w:iCs/>
        </w:rPr>
        <w:t>Provincial</w:t>
      </w:r>
      <w:proofErr w:type="spellEnd"/>
      <w:r>
        <w:rPr>
          <w:i/>
          <w:iCs/>
        </w:rPr>
        <w:t xml:space="preserve"> </w:t>
      </w:r>
      <w:proofErr w:type="spellStart"/>
      <w:r>
        <w:rPr>
          <w:i/>
          <w:iCs/>
        </w:rPr>
        <w:t>Building</w:t>
      </w:r>
      <w:proofErr w:type="spellEnd"/>
      <w:r>
        <w:rPr>
          <w:i/>
          <w:iCs/>
        </w:rPr>
        <w:t xml:space="preserve"> </w:t>
      </w:r>
      <w:proofErr w:type="spellStart"/>
      <w:r>
        <w:rPr>
          <w:i/>
          <w:iCs/>
        </w:rPr>
        <w:t>Society</w:t>
      </w:r>
      <w:proofErr w:type="spellEnd"/>
      <w:r>
        <w:rPr>
          <w:i/>
          <w:iCs/>
        </w:rPr>
        <w:t xml:space="preserve">, </w:t>
      </w:r>
      <w:proofErr w:type="spellStart"/>
      <w:r>
        <w:rPr>
          <w:i/>
          <w:iCs/>
        </w:rPr>
        <w:t>Leeds</w:t>
      </w:r>
      <w:proofErr w:type="spellEnd"/>
      <w:r>
        <w:rPr>
          <w:i/>
          <w:iCs/>
        </w:rPr>
        <w:t xml:space="preserve"> Permanent </w:t>
      </w:r>
      <w:proofErr w:type="spellStart"/>
      <w:r>
        <w:rPr>
          <w:i/>
          <w:iCs/>
        </w:rPr>
        <w:t>Building</w:t>
      </w:r>
      <w:proofErr w:type="spellEnd"/>
      <w:r>
        <w:rPr>
          <w:i/>
          <w:iCs/>
        </w:rPr>
        <w:t xml:space="preserve"> </w:t>
      </w:r>
      <w:proofErr w:type="spellStart"/>
      <w:r>
        <w:rPr>
          <w:i/>
          <w:iCs/>
        </w:rPr>
        <w:t>Society</w:t>
      </w:r>
      <w:proofErr w:type="spellEnd"/>
      <w:r>
        <w:rPr>
          <w:i/>
          <w:iCs/>
        </w:rPr>
        <w:t xml:space="preserve"> i Yorkshire </w:t>
      </w:r>
      <w:proofErr w:type="spellStart"/>
      <w:r>
        <w:rPr>
          <w:i/>
          <w:iCs/>
        </w:rPr>
        <w:t>Building</w:t>
      </w:r>
      <w:proofErr w:type="spellEnd"/>
      <w:r>
        <w:rPr>
          <w:i/>
          <w:iCs/>
        </w:rPr>
        <w:t xml:space="preserve"> </w:t>
      </w:r>
      <w:proofErr w:type="spellStart"/>
      <w:r>
        <w:rPr>
          <w:i/>
          <w:iCs/>
        </w:rPr>
        <w:t>Society</w:t>
      </w:r>
      <w:proofErr w:type="spellEnd"/>
      <w:r>
        <w:rPr>
          <w:i/>
          <w:iCs/>
        </w:rPr>
        <w:t xml:space="preserve"> przeciwko Wielkiej Brytanii</w:t>
      </w:r>
      <w:r>
        <w:t xml:space="preserve">, 23 października 1997 r., § 78, </w:t>
      </w:r>
      <w:proofErr w:type="spellStart"/>
      <w:r>
        <w:rPr>
          <w:i/>
          <w:iCs/>
        </w:rPr>
        <w:t>Reports</w:t>
      </w:r>
      <w:proofErr w:type="spellEnd"/>
      <w:r>
        <w:rPr>
          <w:i/>
          <w:iCs/>
        </w:rPr>
        <w:t xml:space="preserve"> of </w:t>
      </w:r>
      <w:proofErr w:type="spellStart"/>
      <w:r>
        <w:rPr>
          <w:i/>
          <w:iCs/>
        </w:rPr>
        <w:t>Judgments</w:t>
      </w:r>
      <w:proofErr w:type="spellEnd"/>
      <w:r>
        <w:rPr>
          <w:i/>
          <w:iCs/>
        </w:rPr>
        <w:t xml:space="preserve"> and</w:t>
      </w:r>
      <w:r w:rsidR="00E06614">
        <w:rPr>
          <w:i/>
          <w:iCs/>
        </w:rPr>
        <w:t> </w:t>
      </w:r>
      <w:proofErr w:type="spellStart"/>
      <w:r>
        <w:rPr>
          <w:i/>
          <w:iCs/>
        </w:rPr>
        <w:t>Decisions</w:t>
      </w:r>
      <w:proofErr w:type="spellEnd"/>
      <w:r>
        <w:rPr>
          <w:i/>
          <w:iCs/>
        </w:rPr>
        <w:t xml:space="preserve"> [Raporty z Wyroków i Postanowień]</w:t>
      </w:r>
      <w:r>
        <w:t xml:space="preserve"> 1997</w:t>
      </w:r>
      <w:r>
        <w:noBreakHyphen/>
        <w:t xml:space="preserve">VII; </w:t>
      </w:r>
      <w:r>
        <w:rPr>
          <w:i/>
          <w:iCs/>
        </w:rPr>
        <w:t>M.A. i</w:t>
      </w:r>
      <w:r w:rsidR="00E06614">
        <w:rPr>
          <w:i/>
          <w:iCs/>
        </w:rPr>
        <w:t> </w:t>
      </w:r>
      <w:r>
        <w:rPr>
          <w:i/>
          <w:iCs/>
        </w:rPr>
        <w:t>34</w:t>
      </w:r>
      <w:r w:rsidR="00E06614">
        <w:rPr>
          <w:i/>
          <w:iCs/>
        </w:rPr>
        <w:t> </w:t>
      </w:r>
      <w:r>
        <w:rPr>
          <w:i/>
          <w:iCs/>
        </w:rPr>
        <w:t>innych przeciwko Finlandii</w:t>
      </w:r>
      <w:r>
        <w:t xml:space="preserve"> (dec.), nr 27793/95, 1</w:t>
      </w:r>
      <w:r w:rsidR="00AB714E">
        <w:t>0 czerwca 2003 r.; oraz</w:t>
      </w:r>
      <w:r w:rsidR="00E06614">
        <w:t> </w:t>
      </w:r>
      <w:r w:rsidR="00AB714E">
        <w:t>niedawna sprawa</w:t>
      </w:r>
      <w:r>
        <w:t xml:space="preserve">, </w:t>
      </w:r>
      <w:proofErr w:type="spellStart"/>
      <w:r>
        <w:rPr>
          <w:i/>
          <w:iCs/>
        </w:rPr>
        <w:t>Béláné</w:t>
      </w:r>
      <w:proofErr w:type="spellEnd"/>
      <w:r>
        <w:rPr>
          <w:i/>
          <w:iCs/>
        </w:rPr>
        <w:t xml:space="preserve"> </w:t>
      </w:r>
      <w:proofErr w:type="spellStart"/>
      <w:r>
        <w:rPr>
          <w:i/>
          <w:iCs/>
        </w:rPr>
        <w:t>Nagy</w:t>
      </w:r>
      <w:proofErr w:type="spellEnd"/>
      <w:r>
        <w:rPr>
          <w:i/>
          <w:iCs/>
        </w:rPr>
        <w:t xml:space="preserve"> przeciwko Węgrom </w:t>
      </w:r>
      <w:r>
        <w:t>[WI],</w:t>
      </w:r>
      <w:r>
        <w:rPr>
          <w:snapToGrid w:val="0"/>
        </w:rPr>
        <w:t xml:space="preserve"> </w:t>
      </w:r>
      <w:r>
        <w:t>nr 53080/13, § 72, ECHR 2016).</w:t>
      </w:r>
    </w:p>
    <w:p w:rsidR="00FB413B" w:rsidRPr="00824331" w:rsidRDefault="00FB413B" w:rsidP="00952B84">
      <w:pPr>
        <w:pStyle w:val="ECHRPara"/>
      </w:pPr>
      <w:r>
        <w:t>65.  W opinii</w:t>
      </w:r>
      <w:r w:rsidR="00AB714E">
        <w:t xml:space="preserve"> Trybunału najbardziej naturalnym</w:t>
      </w:r>
      <w:r>
        <w:t xml:space="preserve"> podejście</w:t>
      </w:r>
      <w:r w:rsidR="00AB714E">
        <w:t>m jest</w:t>
      </w:r>
      <w:r>
        <w:t xml:space="preserve"> zbadanie skarg skarżących spółek w aspekcie „</w:t>
      </w:r>
      <w:r w:rsidR="00AB714E">
        <w:t>zapewnienia uiszczania</w:t>
      </w:r>
      <w:r>
        <w:t xml:space="preserve"> podatków”, które mieści się w zasadzie wprowadzonej w drugim akapicie </w:t>
      </w:r>
      <w:r w:rsidR="00A97A05">
        <w:t xml:space="preserve">art. </w:t>
      </w:r>
      <w:r>
        <w:t xml:space="preserve">1 Protokołu nr 1. Akapit ten wyraźnie zastrzega prawo </w:t>
      </w:r>
      <w:r w:rsidRPr="00D641F3">
        <w:rPr>
          <w:rStyle w:val="sb8d990e2"/>
        </w:rPr>
        <w:t>Układających się Państw</w:t>
      </w:r>
      <w:r>
        <w:t xml:space="preserve"> do przyjęcia takich ustaw, jakie uznają za stosowne do</w:t>
      </w:r>
      <w:r w:rsidR="00FE0B74">
        <w:t xml:space="preserve"> </w:t>
      </w:r>
      <w:r>
        <w:t xml:space="preserve"> za</w:t>
      </w:r>
      <w:r w:rsidR="00AB714E">
        <w:t>pewnienia</w:t>
      </w:r>
      <w:r>
        <w:t xml:space="preserve"> uiszczania podatków.</w:t>
      </w:r>
      <w:r w:rsidR="00B27E2A">
        <w:t xml:space="preserve"> Znaczenie, jakie</w:t>
      </w:r>
      <w:r>
        <w:t xml:space="preserve"> twórcy Konwencji przypisali temu aspektowi drugiego akapitu rzeczoneg</w:t>
      </w:r>
      <w:r w:rsidR="00B27E2A">
        <w:t>o artykułu, może być wywiedzione</w:t>
      </w:r>
      <w:r>
        <w:t xml:space="preserve"> z</w:t>
      </w:r>
      <w:r w:rsidR="00E06614">
        <w:t> </w:t>
      </w:r>
      <w:r>
        <w:t>faktu, że na etapie, kiedy to proponowany tekst nie zawierał takich wyraźnych odwołań do podatków, był już wtedy rozumiany jako zastrzegający uprawnienia Państw do przyjęcia dowolnych przepisów skarbowych, jakie uzna</w:t>
      </w:r>
      <w:r w:rsidR="00FE0B74">
        <w:t>ją</w:t>
      </w:r>
      <w:r>
        <w:t xml:space="preserve"> za stosowne, </w:t>
      </w:r>
      <w:r w:rsidR="00B27E2A">
        <w:t xml:space="preserve">zawsze </w:t>
      </w:r>
      <w:r>
        <w:t xml:space="preserve">pod warunkiem że środek taki w przedmiotowym obszarze </w:t>
      </w:r>
      <w:r w:rsidR="00B27E2A">
        <w:t>nie stanowi</w:t>
      </w:r>
      <w:r>
        <w:t xml:space="preserve"> arbitralnej konfiskaty (zob.</w:t>
      </w:r>
      <w:r w:rsidR="00E06614">
        <w:t> </w:t>
      </w:r>
      <w:proofErr w:type="spellStart"/>
      <w:r>
        <w:rPr>
          <w:i/>
          <w:iCs/>
        </w:rPr>
        <w:t>Gasus</w:t>
      </w:r>
      <w:proofErr w:type="spellEnd"/>
      <w:r>
        <w:rPr>
          <w:i/>
          <w:iCs/>
        </w:rPr>
        <w:t xml:space="preserve"> </w:t>
      </w:r>
      <w:proofErr w:type="spellStart"/>
      <w:r>
        <w:rPr>
          <w:i/>
          <w:iCs/>
        </w:rPr>
        <w:t>Dosier</w:t>
      </w:r>
      <w:proofErr w:type="spellEnd"/>
      <w:r>
        <w:rPr>
          <w:i/>
          <w:iCs/>
        </w:rPr>
        <w:t xml:space="preserve">- </w:t>
      </w:r>
      <w:proofErr w:type="spellStart"/>
      <w:r>
        <w:rPr>
          <w:i/>
          <w:iCs/>
        </w:rPr>
        <w:t>und</w:t>
      </w:r>
      <w:proofErr w:type="spellEnd"/>
      <w:r>
        <w:rPr>
          <w:i/>
          <w:iCs/>
        </w:rPr>
        <w:t xml:space="preserve"> </w:t>
      </w:r>
      <w:proofErr w:type="spellStart"/>
      <w:r>
        <w:rPr>
          <w:i/>
          <w:iCs/>
        </w:rPr>
        <w:t>Fördertechnik</w:t>
      </w:r>
      <w:proofErr w:type="spellEnd"/>
      <w:r>
        <w:t xml:space="preserve">, cyt. powyżej, § 59; </w:t>
      </w:r>
      <w:r>
        <w:rPr>
          <w:i/>
          <w:iCs/>
        </w:rPr>
        <w:t>N.K.M. przeciwko Węgrom</w:t>
      </w:r>
      <w:r>
        <w:t>, nr 66529/11</w:t>
      </w:r>
      <w:r>
        <w:rPr>
          <w:snapToGrid w:val="0"/>
        </w:rPr>
        <w:t xml:space="preserve">, § 45, 14 maja 2013 r.; </w:t>
      </w:r>
      <w:proofErr w:type="spellStart"/>
      <w:r>
        <w:rPr>
          <w:i/>
          <w:iCs/>
        </w:rPr>
        <w:t>Gáll</w:t>
      </w:r>
      <w:proofErr w:type="spellEnd"/>
      <w:r>
        <w:rPr>
          <w:i/>
          <w:iCs/>
        </w:rPr>
        <w:t xml:space="preserve"> przeciwko </w:t>
      </w:r>
      <w:r>
        <w:rPr>
          <w:i/>
          <w:iCs/>
        </w:rPr>
        <w:lastRenderedPageBreak/>
        <w:t>Węgrom</w:t>
      </w:r>
      <w:r>
        <w:rPr>
          <w:snapToGrid w:val="0"/>
        </w:rPr>
        <w:t xml:space="preserve">, nr 49570/11, § 44, 25 czerwca 2013 r.; </w:t>
      </w:r>
      <w:proofErr w:type="spellStart"/>
      <w:r>
        <w:rPr>
          <w:i/>
          <w:iCs/>
        </w:rPr>
        <w:t>R.Sz</w:t>
      </w:r>
      <w:proofErr w:type="spellEnd"/>
      <w:r>
        <w:rPr>
          <w:i/>
          <w:iCs/>
        </w:rPr>
        <w:t>.</w:t>
      </w:r>
      <w:r>
        <w:t xml:space="preserve"> </w:t>
      </w:r>
      <w:r>
        <w:rPr>
          <w:i/>
          <w:iCs/>
        </w:rPr>
        <w:t>przeciwko Węgrom</w:t>
      </w:r>
      <w:r>
        <w:rPr>
          <w:snapToGrid w:val="0"/>
        </w:rPr>
        <w:t xml:space="preserve">, nr 41838/11, § 34, 2 lipca 2013 r.; </w:t>
      </w:r>
      <w:r>
        <w:t xml:space="preserve">oraz </w:t>
      </w:r>
      <w:r>
        <w:rPr>
          <w:i/>
          <w:iCs/>
        </w:rPr>
        <w:t xml:space="preserve">Arnaud i </w:t>
      </w:r>
      <w:r w:rsidR="00B27E2A">
        <w:rPr>
          <w:i/>
          <w:iCs/>
        </w:rPr>
        <w:t>Inni</w:t>
      </w:r>
      <w:r>
        <w:rPr>
          <w:i/>
          <w:iCs/>
        </w:rPr>
        <w:t xml:space="preserve"> przeciwko Francji</w:t>
      </w:r>
      <w:r>
        <w:t>, nr 36918/11 i 5 innych, § 23, 15 stycznia 2015 r.).</w:t>
      </w:r>
    </w:p>
    <w:p w:rsidR="00FB413B" w:rsidRPr="00952B84" w:rsidRDefault="00FB413B" w:rsidP="00952B84">
      <w:pPr>
        <w:pStyle w:val="ECHRHeading3"/>
        <w:rPr>
          <w:snapToGrid w:val="0"/>
        </w:rPr>
      </w:pPr>
      <w:r>
        <w:rPr>
          <w:snapToGrid w:val="0"/>
        </w:rPr>
        <w:t>2.  Zgodność z prawem i interes</w:t>
      </w:r>
      <w:r w:rsidR="00A33233">
        <w:rPr>
          <w:snapToGrid w:val="0"/>
        </w:rPr>
        <w:t xml:space="preserve"> ogólny</w:t>
      </w:r>
    </w:p>
    <w:p w:rsidR="00FB413B" w:rsidRPr="00952B84" w:rsidRDefault="00FB413B" w:rsidP="00952B84">
      <w:pPr>
        <w:pStyle w:val="ECHRPara"/>
      </w:pPr>
      <w:r>
        <w:t>66.  Skarżące spółki nie</w:t>
      </w:r>
      <w:r w:rsidR="00B27E2A">
        <w:t xml:space="preserve"> kwestionowały</w:t>
      </w:r>
      <w:r>
        <w:t>, że danina podatkowa od</w:t>
      </w:r>
      <w:r w:rsidR="00E06614">
        <w:t> </w:t>
      </w:r>
      <w:r>
        <w:t>wysokich wynagrodzeń była „zgodna z prawem” w rozumieniu takim, że</w:t>
      </w:r>
      <w:r w:rsidR="00E06614">
        <w:t> </w:t>
      </w:r>
      <w:r>
        <w:t>miała podstaw</w:t>
      </w:r>
      <w:r w:rsidR="00B27E2A">
        <w:t>y ustawowe</w:t>
      </w:r>
      <w:r>
        <w:t xml:space="preserve"> i służyła „interesowi</w:t>
      </w:r>
      <w:r w:rsidR="00A33233" w:rsidRPr="00A33233">
        <w:t xml:space="preserve"> </w:t>
      </w:r>
      <w:r w:rsidR="00A33233">
        <w:t>ogólnemu</w:t>
      </w:r>
      <w:r>
        <w:t>”. Ich skarga dotyczyła proporcjonalności środka.</w:t>
      </w:r>
    </w:p>
    <w:p w:rsidR="00FB413B" w:rsidRPr="00952B84" w:rsidRDefault="00FB413B" w:rsidP="00952B84">
      <w:pPr>
        <w:pStyle w:val="ECHRHeading3"/>
      </w:pPr>
      <w:r>
        <w:t>3.  Proporcjonalność</w:t>
      </w:r>
    </w:p>
    <w:p w:rsidR="00FB413B" w:rsidRPr="00952B84" w:rsidRDefault="00FB413B" w:rsidP="00952B84">
      <w:pPr>
        <w:pStyle w:val="ECHRHeading4"/>
      </w:pPr>
      <w:r>
        <w:t xml:space="preserve">(a) </w:t>
      </w:r>
      <w:r w:rsidR="00B27E2A">
        <w:t xml:space="preserve">Zarzuty </w:t>
      </w:r>
      <w:r>
        <w:t>skarżących spółek</w:t>
      </w:r>
    </w:p>
    <w:p w:rsidR="00FB413B" w:rsidRPr="00952B84" w:rsidRDefault="00FB413B" w:rsidP="00952B84">
      <w:pPr>
        <w:pStyle w:val="ECHRPara"/>
      </w:pPr>
      <w:r>
        <w:t>67.  Skarżące spółki wskazały, że wprowadzenie daniny podatkowej od</w:t>
      </w:r>
      <w:r w:rsidR="00E06614">
        <w:t> </w:t>
      </w:r>
      <w:r>
        <w:t>wysokich wynagrodzeń było nie do przewidzenia wcześniej niż przed 25</w:t>
      </w:r>
      <w:r w:rsidR="00E06614">
        <w:t> </w:t>
      </w:r>
      <w:r>
        <w:t xml:space="preserve">maja 2012 r., to jest datą, w której opublikowano Memorandum Wiosenne (zob. paragraf 10 powyżej). Wskazały, że wprowadzenie daniny podatkowej zostało umotywowane wyłącznie względami budżetowymi; </w:t>
      </w:r>
      <w:r w:rsidR="00B27E2A">
        <w:t xml:space="preserve">powołując się </w:t>
      </w:r>
      <w:r>
        <w:t xml:space="preserve">na </w:t>
      </w:r>
      <w:proofErr w:type="spellStart"/>
      <w:r>
        <w:rPr>
          <w:i/>
          <w:iCs/>
        </w:rPr>
        <w:t>Pressos</w:t>
      </w:r>
      <w:proofErr w:type="spellEnd"/>
      <w:r>
        <w:rPr>
          <w:i/>
          <w:iCs/>
        </w:rPr>
        <w:t xml:space="preserve"> </w:t>
      </w:r>
      <w:proofErr w:type="spellStart"/>
      <w:r>
        <w:rPr>
          <w:i/>
          <w:iCs/>
        </w:rPr>
        <w:t>Compania</w:t>
      </w:r>
      <w:proofErr w:type="spellEnd"/>
      <w:r>
        <w:rPr>
          <w:i/>
          <w:iCs/>
        </w:rPr>
        <w:t xml:space="preserve"> </w:t>
      </w:r>
      <w:proofErr w:type="spellStart"/>
      <w:r>
        <w:rPr>
          <w:i/>
          <w:iCs/>
        </w:rPr>
        <w:t>Naviera</w:t>
      </w:r>
      <w:proofErr w:type="spellEnd"/>
      <w:r>
        <w:rPr>
          <w:i/>
          <w:iCs/>
        </w:rPr>
        <w:t xml:space="preserve"> S.A. i </w:t>
      </w:r>
      <w:r w:rsidR="00B27E2A">
        <w:rPr>
          <w:i/>
          <w:iCs/>
        </w:rPr>
        <w:t xml:space="preserve">Inni </w:t>
      </w:r>
      <w:r>
        <w:rPr>
          <w:i/>
          <w:iCs/>
        </w:rPr>
        <w:t>przeciwko Belgii</w:t>
      </w:r>
      <w:r>
        <w:t xml:space="preserve">, 20 listopada 1995 r., seria A nr 332, oraz </w:t>
      </w:r>
      <w:r>
        <w:rPr>
          <w:i/>
          <w:iCs/>
        </w:rPr>
        <w:t>Joubert przeciwko Francji</w:t>
      </w:r>
      <w:r>
        <w:t>, nr</w:t>
      </w:r>
      <w:r w:rsidR="00E06614">
        <w:t> </w:t>
      </w:r>
      <w:r>
        <w:t>30345/05</w:t>
      </w:r>
      <w:r>
        <w:rPr>
          <w:snapToGrid w:val="0"/>
        </w:rPr>
        <w:t xml:space="preserve">, 23 lipca 2009 r., </w:t>
      </w:r>
      <w:r>
        <w:t>podniosły, że nie stanowiło to uzasadnienia dla interwencji z mocą wsteczną. W takim stanie rzeczy retrospektywny char</w:t>
      </w:r>
      <w:r w:rsidR="00B27E2A">
        <w:t>akter daniny podatkowej sprawił</w:t>
      </w:r>
      <w:r>
        <w:t>, że skarżące spółki nie były w stanie z</w:t>
      </w:r>
      <w:r w:rsidR="00E06614">
        <w:t> </w:t>
      </w:r>
      <w:r>
        <w:t>wyprzedzeniem zapewnić rezerw na poczet zwiększonych zobowiązań podatkowych.</w:t>
      </w:r>
    </w:p>
    <w:p w:rsidR="00FB413B" w:rsidRPr="00952B84" w:rsidRDefault="00FB413B" w:rsidP="00952B84">
      <w:pPr>
        <w:pStyle w:val="ECHRPara"/>
      </w:pPr>
      <w:r>
        <w:t xml:space="preserve">68.  Środek był nieproporcjonalny </w:t>
      </w:r>
      <w:r w:rsidR="00B27E2A">
        <w:t xml:space="preserve">ponadto </w:t>
      </w:r>
      <w:r>
        <w:t>z tego względu, że</w:t>
      </w:r>
      <w:r w:rsidR="00E06614">
        <w:t> </w:t>
      </w:r>
      <w:r>
        <w:t>nie</w:t>
      </w:r>
      <w:r w:rsidR="00E06614">
        <w:t> </w:t>
      </w:r>
      <w:r>
        <w:t>przewidywał indywidualnej oceny środków. Nawet pracodawcy odno</w:t>
      </w:r>
      <w:r w:rsidR="00B27E2A">
        <w:t>towujący</w:t>
      </w:r>
      <w:r>
        <w:t xml:space="preserve"> straty byli zobowiązani zapłacić przedmiotową daninę. Trzecia skarżąca spółka w szczególności podniosła, że danina została wprowadzona w szczególnie trudnym momencie, kiedy to spółka już miała kłopoty finansowe i istniało ryzyko, iż w rezultacie straci licencję na grę zawodową w piłkę nożną.</w:t>
      </w:r>
    </w:p>
    <w:p w:rsidR="00FB413B" w:rsidRPr="00952B84" w:rsidRDefault="00FB413B" w:rsidP="00952B84">
      <w:pPr>
        <w:pStyle w:val="ECHRPara"/>
      </w:pPr>
      <w:r>
        <w:t xml:space="preserve">69.  Środek ten dotyczył tylko 2,1% pracodawców w Niderlandach, którzy wypłacali wynagrodzenia wynoszące ponad 150 000 EUR przynajmniej jednemu pracownikowi. Arbitralność przedmiotowego wyboru legislacyjnego ilustruje fakt, że danina ta została nałożona nie tylko na pracodawców, którzy wypłacali takie wynagrodzenie ze względów strukturalnych, ale również na pracodawców, którzy płacili wynagrodzenie podstawowe, które było niższe, lecz wypłacili </w:t>
      </w:r>
      <w:r w:rsidR="007704ED">
        <w:t xml:space="preserve">w 2012 r. </w:t>
      </w:r>
      <w:r>
        <w:t xml:space="preserve">dodatkowe kwoty, które podniosły łączny poziom wynagrodzenia powyżej przedmiotowego poziomu. </w:t>
      </w:r>
      <w:r w:rsidR="007704ED">
        <w:t>Nie zostały wzięte pod uwagę ś</w:t>
      </w:r>
      <w:r>
        <w:t>rodki alternatywne, które według argumentów skarżących spółek dałyby rezultat w postaci bardz</w:t>
      </w:r>
      <w:r w:rsidR="007704ED">
        <w:t>iej uczciwego podziału obciążeń</w:t>
      </w:r>
      <w:r>
        <w:t>. W szczególności, dodatkowy próg podatkowy dla przychodów przekraczających 150 000 EUR rozdzieliłby</w:t>
      </w:r>
      <w:r w:rsidR="007704ED">
        <w:t xml:space="preserve"> </w:t>
      </w:r>
      <w:r>
        <w:lastRenderedPageBreak/>
        <w:t>to</w:t>
      </w:r>
      <w:r w:rsidR="00E06614">
        <w:t> </w:t>
      </w:r>
      <w:r>
        <w:t>obciążenie bardziej równo pomiędzy wszystkie osoby osiągające tak</w:t>
      </w:r>
      <w:r w:rsidR="00E06614">
        <w:t> </w:t>
      </w:r>
      <w:r>
        <w:t>wysokie zarobki.</w:t>
      </w:r>
    </w:p>
    <w:p w:rsidR="00FB413B" w:rsidRPr="00952B84" w:rsidRDefault="00FB413B" w:rsidP="00952B84">
      <w:pPr>
        <w:pStyle w:val="ECHRPara"/>
      </w:pPr>
      <w:r>
        <w:t>70.  Wreszcie, wpływ tego środka na dochody podatkowe był minimalny. Łączny wpływ podatkowy do budżetu (wraz ze składkami na ubezpieczenie społeczne) w 2013 r</w:t>
      </w:r>
      <w:r w:rsidR="00A97A05">
        <w:t>.</w:t>
      </w:r>
      <w:r>
        <w:t xml:space="preserve"> wyniósł 235 427 000 000 EUR (zob. paragraf 21</w:t>
      </w:r>
      <w:r w:rsidR="00E06614">
        <w:t> </w:t>
      </w:r>
      <w:r>
        <w:t>powyżej); zamierzony wpływ daniny podatkowej od wysokich zarobków, 500 000 EUR, dał zatem zaledwie 0,2124%. Dodatkowo, obniżył deficyt budżetowy o</w:t>
      </w:r>
      <w:r w:rsidR="007704ED">
        <w:t xml:space="preserve"> nie więcej niż </w:t>
      </w:r>
      <w:r>
        <w:t>0,08% (zob. paragraf 22 powyżej). Zyski były zatem nieproporcjonalne do wpływu na skarżące spółki.</w:t>
      </w:r>
    </w:p>
    <w:p w:rsidR="00FB413B" w:rsidRPr="00952B84" w:rsidRDefault="00FB413B" w:rsidP="00952B84">
      <w:pPr>
        <w:pStyle w:val="ECHRHeading4"/>
      </w:pPr>
      <w:r>
        <w:t xml:space="preserve">(b) Zasady mające zastosowanie </w:t>
      </w:r>
    </w:p>
    <w:p w:rsidR="00FB413B" w:rsidRPr="00FB413B" w:rsidRDefault="00FB413B" w:rsidP="00952B84">
      <w:pPr>
        <w:pStyle w:val="ECHRPara"/>
        <w:rPr>
          <w:lang w:val="en-US" w:eastAsia="x-none"/>
        </w:rPr>
      </w:pPr>
      <w:r>
        <w:t>71.  Zgodnie z ugruntowanym orzecznictwem Trybunału, ingerencja, w</w:t>
      </w:r>
      <w:r w:rsidR="00E06614">
        <w:t> </w:t>
      </w:r>
      <w:r>
        <w:t>tym wynikająca ze środka mającego na celu za</w:t>
      </w:r>
      <w:r w:rsidR="007704ED">
        <w:t>pewnienie</w:t>
      </w:r>
      <w:r>
        <w:t xml:space="preserve"> uiszczania podatków, musi zapewniać „</w:t>
      </w:r>
      <w:r w:rsidR="007704ED">
        <w:t xml:space="preserve">sprawiedliwą </w:t>
      </w:r>
      <w:r>
        <w:t>równowagę” pomiędzy względami interesu ogólnego społeczeństwa oraz wymogiem ochrony praw podstawowych</w:t>
      </w:r>
      <w:r w:rsidR="007704ED">
        <w:t xml:space="preserve"> jednostki</w:t>
      </w:r>
      <w:r>
        <w:t xml:space="preserve">. Troska o osiągnięcie tej równowagi jest odzwierciedlona w strukturze </w:t>
      </w:r>
      <w:r w:rsidR="000A7C85">
        <w:t xml:space="preserve">całego </w:t>
      </w:r>
      <w:r w:rsidR="00A97A05">
        <w:t xml:space="preserve">art. </w:t>
      </w:r>
      <w:r>
        <w:t xml:space="preserve">1, </w:t>
      </w:r>
      <w:r w:rsidR="000A7C85">
        <w:t xml:space="preserve">w tym w </w:t>
      </w:r>
      <w:r>
        <w:t>drugi</w:t>
      </w:r>
      <w:r w:rsidR="000A7C85">
        <w:t>m jego akapicie</w:t>
      </w:r>
      <w:r>
        <w:t>: musi zostać zachowana rozsądna proporcjonalność pomiędzy zastosowanymi środkami a zamierzonymi celami. Ponadto przy ustalaniu</w:t>
      </w:r>
      <w:r w:rsidR="000A7C85">
        <w:t>,</w:t>
      </w:r>
      <w:r>
        <w:t xml:space="preserve"> czy wymóg ten został spełniony, </w:t>
      </w:r>
      <w:r w:rsidR="000A7C85">
        <w:t xml:space="preserve">uznaje </w:t>
      </w:r>
      <w:r>
        <w:t>się, że Układające się Państwo, nie</w:t>
      </w:r>
      <w:r w:rsidR="00E06614">
        <w:t> </w:t>
      </w:r>
      <w:r>
        <w:t xml:space="preserve">tylko przy opracowywaniu i wdrażaniu polityk w dziedzinie opodatkowania, korzysta z szerokiego </w:t>
      </w:r>
      <w:r w:rsidR="000A7C85">
        <w:t xml:space="preserve">marginesu oceny, </w:t>
      </w:r>
      <w:r>
        <w:t xml:space="preserve">a Trybunał będzie szanować ocenę władzy ustawodawczej w takich kwestiach, chyba że </w:t>
      </w:r>
      <w:r w:rsidR="000A7C85">
        <w:t>jest ona pozbawiona uzasadnionych podstaw</w:t>
      </w:r>
      <w:r>
        <w:t xml:space="preserve"> (zob. m. in. </w:t>
      </w:r>
      <w:r w:rsidRPr="00FB413B">
        <w:rPr>
          <w:i/>
          <w:iCs/>
          <w:lang w:val="en-US" w:eastAsia="x-none"/>
        </w:rPr>
        <w:t>National &amp; Provincial Building Society, the Leeds Permanent Building Society i the Yorkshire Building Society</w:t>
      </w:r>
      <w:r w:rsidRPr="00FB413B">
        <w:rPr>
          <w:lang w:val="en-US" w:eastAsia="x-none"/>
        </w:rPr>
        <w:t xml:space="preserve">, </w:t>
      </w:r>
      <w:proofErr w:type="spellStart"/>
      <w:r w:rsidR="000279D6">
        <w:rPr>
          <w:lang w:val="en-US" w:eastAsia="x-none"/>
        </w:rPr>
        <w:t>cyt</w:t>
      </w:r>
      <w:proofErr w:type="spellEnd"/>
      <w:r w:rsidR="000279D6">
        <w:rPr>
          <w:lang w:val="en-US" w:eastAsia="x-none"/>
        </w:rPr>
        <w:t>.</w:t>
      </w:r>
      <w:r w:rsidRPr="00FB413B">
        <w:rPr>
          <w:lang w:val="en-US" w:eastAsia="x-none"/>
        </w:rPr>
        <w:t xml:space="preserve"> </w:t>
      </w:r>
      <w:proofErr w:type="spellStart"/>
      <w:r w:rsidRPr="00FB413B">
        <w:rPr>
          <w:lang w:val="en-US" w:eastAsia="x-none"/>
        </w:rPr>
        <w:t>powyżej</w:t>
      </w:r>
      <w:proofErr w:type="spellEnd"/>
      <w:r w:rsidRPr="00FB413B">
        <w:rPr>
          <w:lang w:val="en-US" w:eastAsia="x-none"/>
        </w:rPr>
        <w:t xml:space="preserve">, §§ 80-82; </w:t>
      </w:r>
      <w:proofErr w:type="spellStart"/>
      <w:r w:rsidRPr="00FB413B">
        <w:rPr>
          <w:lang w:val="en-US" w:eastAsia="x-none"/>
        </w:rPr>
        <w:t>oraz</w:t>
      </w:r>
      <w:proofErr w:type="spellEnd"/>
      <w:r w:rsidRPr="00FB413B">
        <w:rPr>
          <w:lang w:val="en-US" w:eastAsia="x-none"/>
        </w:rPr>
        <w:t xml:space="preserve"> </w:t>
      </w:r>
      <w:r w:rsidRPr="00FB413B">
        <w:rPr>
          <w:i/>
          <w:iCs/>
          <w:lang w:val="en-US" w:eastAsia="x-none"/>
        </w:rPr>
        <w:t xml:space="preserve">M.A. i 34 </w:t>
      </w:r>
      <w:proofErr w:type="spellStart"/>
      <w:r w:rsidR="000A7C85" w:rsidRPr="00FB413B">
        <w:rPr>
          <w:i/>
          <w:iCs/>
          <w:lang w:val="en-US" w:eastAsia="x-none"/>
        </w:rPr>
        <w:t>Innych</w:t>
      </w:r>
      <w:proofErr w:type="spellEnd"/>
      <w:r w:rsidR="000A7C85" w:rsidRPr="00FB413B">
        <w:rPr>
          <w:i/>
          <w:iCs/>
          <w:lang w:val="en-US" w:eastAsia="x-none"/>
        </w:rPr>
        <w:t xml:space="preserve"> </w:t>
      </w:r>
      <w:r w:rsidRPr="00FB413B">
        <w:rPr>
          <w:lang w:val="en-US" w:eastAsia="x-none"/>
        </w:rPr>
        <w:t>(</w:t>
      </w:r>
      <w:proofErr w:type="spellStart"/>
      <w:r>
        <w:rPr>
          <w:lang w:val="en-US" w:eastAsia="x-none"/>
        </w:rPr>
        <w:t>dec</w:t>
      </w:r>
      <w:r w:rsidRPr="00FB413B">
        <w:rPr>
          <w:lang w:val="en-US" w:eastAsia="x-none"/>
        </w:rPr>
        <w:t>.</w:t>
      </w:r>
      <w:proofErr w:type="spellEnd"/>
      <w:r w:rsidRPr="00FB413B">
        <w:rPr>
          <w:lang w:val="en-US" w:eastAsia="x-none"/>
        </w:rPr>
        <w:t xml:space="preserve">), </w:t>
      </w:r>
      <w:proofErr w:type="spellStart"/>
      <w:r>
        <w:rPr>
          <w:lang w:val="en-US" w:eastAsia="x-none"/>
        </w:rPr>
        <w:t>cyt</w:t>
      </w:r>
      <w:proofErr w:type="spellEnd"/>
      <w:r>
        <w:rPr>
          <w:lang w:val="en-US" w:eastAsia="x-none"/>
        </w:rPr>
        <w:t>.</w:t>
      </w:r>
      <w:r w:rsidR="00E06614">
        <w:rPr>
          <w:lang w:val="en-US" w:eastAsia="x-none"/>
        </w:rPr>
        <w:t> </w:t>
      </w:r>
      <w:proofErr w:type="spellStart"/>
      <w:r w:rsidRPr="00FB413B">
        <w:rPr>
          <w:lang w:val="en-US" w:eastAsia="x-none"/>
        </w:rPr>
        <w:t>powyżej</w:t>
      </w:r>
      <w:proofErr w:type="spellEnd"/>
      <w:r w:rsidRPr="00FB413B">
        <w:rPr>
          <w:lang w:val="en-US" w:eastAsia="x-none"/>
        </w:rPr>
        <w:t>).</w:t>
      </w:r>
    </w:p>
    <w:p w:rsidR="00FB413B" w:rsidRPr="00952B84" w:rsidRDefault="00FB413B" w:rsidP="00952B84">
      <w:pPr>
        <w:pStyle w:val="ECHRHeading4"/>
      </w:pPr>
      <w:r w:rsidRPr="009D7403">
        <w:t>(c) Istotne orzecznictwo dotyczące środków os</w:t>
      </w:r>
      <w:r w:rsidR="000A7C85" w:rsidRPr="009D7403">
        <w:t>zczędnościowych</w:t>
      </w:r>
    </w:p>
    <w:p w:rsidR="00FB413B" w:rsidRPr="00824331" w:rsidRDefault="00FB413B" w:rsidP="00952B84">
      <w:pPr>
        <w:pStyle w:val="ECHRPara"/>
      </w:pPr>
      <w:r>
        <w:t xml:space="preserve">72.  Trybunał odnotowuje na wstępie, że rozważał </w:t>
      </w:r>
      <w:r w:rsidR="00BD1CD8">
        <w:t xml:space="preserve">przy innych okazjach </w:t>
      </w:r>
      <w:r>
        <w:t>środki os</w:t>
      </w:r>
      <w:r w:rsidR="000A7C85">
        <w:t>zczędnościowe</w:t>
      </w:r>
      <w:r>
        <w:t>, przy czym niektóre z nich wysoce inwazyjne, wdrażane przez Układające się Państwa w odpowiedzi na kryzys finansowy, który opanował Europę od 2008 r</w:t>
      </w:r>
      <w:r w:rsidR="00A97A05">
        <w:t>.</w:t>
      </w:r>
      <w:r w:rsidR="00BD1CD8">
        <w:t>,</w:t>
      </w:r>
      <w:r>
        <w:t xml:space="preserve"> i uznał, że nie naruszają </w:t>
      </w:r>
      <w:r w:rsidR="00A97A05">
        <w:t xml:space="preserve">art. </w:t>
      </w:r>
      <w:r>
        <w:t>1 Protokołu nr 1.</w:t>
      </w:r>
    </w:p>
    <w:p w:rsidR="00FB413B" w:rsidRPr="00824331" w:rsidRDefault="00FB413B" w:rsidP="00952B84">
      <w:pPr>
        <w:pStyle w:val="ECHRPara"/>
      </w:pPr>
      <w:r>
        <w:t xml:space="preserve">73.  Niektóre środki zaaprobowane przez Trybunał </w:t>
      </w:r>
      <w:r w:rsidR="00BD1CD8">
        <w:t>skutkowały tymczasową redukcją</w:t>
      </w:r>
      <w:r>
        <w:t xml:space="preserve"> dochodu pewnego segmentu populacji. W 2010 r</w:t>
      </w:r>
      <w:r w:rsidR="00A97A05">
        <w:t>.</w:t>
      </w:r>
      <w:r>
        <w:t xml:space="preserve"> Rumunia obniżyła zarobki w sektorze publicznym o 25% na sześć miesięcy w celu zbilansowania budżetu państwa (zob. </w:t>
      </w:r>
      <w:proofErr w:type="spellStart"/>
      <w:r>
        <w:rPr>
          <w:i/>
          <w:iCs/>
        </w:rPr>
        <w:t>Mihăieş</w:t>
      </w:r>
      <w:proofErr w:type="spellEnd"/>
      <w:r>
        <w:rPr>
          <w:i/>
          <w:iCs/>
        </w:rPr>
        <w:t xml:space="preserve"> </w:t>
      </w:r>
      <w:r w:rsidR="000A7C85">
        <w:rPr>
          <w:i/>
          <w:iCs/>
        </w:rPr>
        <w:t>i</w:t>
      </w:r>
      <w:r>
        <w:rPr>
          <w:i/>
          <w:iCs/>
        </w:rPr>
        <w:t xml:space="preserve"> </w:t>
      </w:r>
      <w:proofErr w:type="spellStart"/>
      <w:r>
        <w:rPr>
          <w:i/>
          <w:iCs/>
        </w:rPr>
        <w:t>Senteş</w:t>
      </w:r>
      <w:proofErr w:type="spellEnd"/>
      <w:r>
        <w:rPr>
          <w:i/>
          <w:iCs/>
        </w:rPr>
        <w:t xml:space="preserve"> przeciwko Rumunii</w:t>
      </w:r>
      <w:r>
        <w:t xml:space="preserve"> (dec.), nr 44232/11 i 44605/11, § 8, 6 grudnia 2011 r.). W 2012 r</w:t>
      </w:r>
      <w:r w:rsidR="00A97A05">
        <w:t>.</w:t>
      </w:r>
      <w:r>
        <w:t xml:space="preserve"> Portugalia obniżyła świadczenia urlopowe i świąteczne wypłacane pewnym kategoriom emerytów, których miesięczne emerytury były wyższe niż</w:t>
      </w:r>
      <w:r w:rsidR="00E06614">
        <w:t> </w:t>
      </w:r>
      <w:r>
        <w:t>600</w:t>
      </w:r>
      <w:r w:rsidR="00E06614">
        <w:t> </w:t>
      </w:r>
      <w:r>
        <w:t>EUR</w:t>
      </w:r>
      <w:r w:rsidR="00BD1CD8">
        <w:t>,</w:t>
      </w:r>
      <w:r>
        <w:t xml:space="preserve"> i zawiesił</w:t>
      </w:r>
      <w:r w:rsidR="00BD1CD8">
        <w:t>a</w:t>
      </w:r>
      <w:r>
        <w:t xml:space="preserve"> je całkowicie dla emerytów, których emerytury miesięczne były wyższe niż 1 100 EUR, c</w:t>
      </w:r>
      <w:r w:rsidR="00BD1CD8">
        <w:t>o</w:t>
      </w:r>
      <w:r>
        <w:t xml:space="preserve"> w przypadku dwóch skarżących doprowadziło do obniżenia wypłat emerytalnych </w:t>
      </w:r>
      <w:r w:rsidR="00BD1CD8">
        <w:t xml:space="preserve">o prawie </w:t>
      </w:r>
      <w:r>
        <w:t xml:space="preserve">11% </w:t>
      </w:r>
      <w:r>
        <w:lastRenderedPageBreak/>
        <w:t>(zob.</w:t>
      </w:r>
      <w:r w:rsidR="00E06614">
        <w:t> </w:t>
      </w:r>
      <w:r>
        <w:rPr>
          <w:i/>
          <w:iCs/>
        </w:rPr>
        <w:t>Da</w:t>
      </w:r>
      <w:r w:rsidR="00E06614">
        <w:rPr>
          <w:i/>
          <w:iCs/>
        </w:rPr>
        <w:t> </w:t>
      </w:r>
      <w:proofErr w:type="spellStart"/>
      <w:r>
        <w:rPr>
          <w:i/>
          <w:iCs/>
        </w:rPr>
        <w:t>Conceição</w:t>
      </w:r>
      <w:proofErr w:type="spellEnd"/>
      <w:r>
        <w:rPr>
          <w:i/>
          <w:iCs/>
        </w:rPr>
        <w:t xml:space="preserve"> </w:t>
      </w:r>
      <w:proofErr w:type="spellStart"/>
      <w:r>
        <w:rPr>
          <w:i/>
          <w:iCs/>
        </w:rPr>
        <w:t>Mateus</w:t>
      </w:r>
      <w:proofErr w:type="spellEnd"/>
      <w:r>
        <w:rPr>
          <w:i/>
          <w:iCs/>
        </w:rPr>
        <w:t xml:space="preserve"> and Santos </w:t>
      </w:r>
      <w:proofErr w:type="spellStart"/>
      <w:r>
        <w:rPr>
          <w:i/>
          <w:iCs/>
        </w:rPr>
        <w:t>Januário</w:t>
      </w:r>
      <w:proofErr w:type="spellEnd"/>
      <w:r>
        <w:rPr>
          <w:i/>
          <w:iCs/>
        </w:rPr>
        <w:t xml:space="preserve"> przeciwko Portugalii</w:t>
      </w:r>
      <w:r>
        <w:t xml:space="preserve"> (dec.), nr 62235/12 i 57725/12, 8 października 2013 r., </w:t>
      </w:r>
      <w:r>
        <w:rPr>
          <w:i/>
          <w:iCs/>
        </w:rPr>
        <w:t>passim</w:t>
      </w:r>
      <w:r>
        <w:t xml:space="preserve">); deficyt budżetowy w Portugalii poszybował w górę z 3,5% w 2008 </w:t>
      </w:r>
      <w:r w:rsidR="00BD1CD8">
        <w:t xml:space="preserve">r. </w:t>
      </w:r>
      <w:r>
        <w:t>do 10% w</w:t>
      </w:r>
      <w:r w:rsidR="00E06614">
        <w:t> </w:t>
      </w:r>
      <w:r>
        <w:t xml:space="preserve">2009 </w:t>
      </w:r>
      <w:r w:rsidR="00BD1CD8">
        <w:t xml:space="preserve">r. </w:t>
      </w:r>
      <w:r>
        <w:t xml:space="preserve">i 9% w 2010 </w:t>
      </w:r>
      <w:r w:rsidR="00BD1CD8">
        <w:t xml:space="preserve">r. </w:t>
      </w:r>
      <w:r>
        <w:t>(</w:t>
      </w:r>
      <w:r>
        <w:rPr>
          <w:i/>
          <w:iCs/>
        </w:rPr>
        <w:t>ibid.</w:t>
      </w:r>
      <w:r>
        <w:t>).</w:t>
      </w:r>
    </w:p>
    <w:p w:rsidR="00FB413B" w:rsidRPr="00824331" w:rsidRDefault="00FB413B" w:rsidP="00952B84">
      <w:pPr>
        <w:pStyle w:val="ECHRPara"/>
      </w:pPr>
      <w:r>
        <w:t>74.   Inne środki przyjęły formę tymczasowego dodatkowego podatku od</w:t>
      </w:r>
      <w:r w:rsidR="002E68E3">
        <w:t> </w:t>
      </w:r>
      <w:r>
        <w:t>dochodu. W 2013 r</w:t>
      </w:r>
      <w:r w:rsidR="00A97A05">
        <w:t>.</w:t>
      </w:r>
      <w:r>
        <w:t xml:space="preserve"> Portugalia nałożyła </w:t>
      </w:r>
      <w:r w:rsidR="00BD1CD8">
        <w:t xml:space="preserve">na </w:t>
      </w:r>
      <w:r>
        <w:t xml:space="preserve">emerytury z sektora publicznego daninę solidarnościową w wysokości 3,5% od części odpowiadającej pierwszym 1 800 EUR miesięcznie i 16% od części przekraczającej tej kwotę, co w sprawie rozpatrywanej przez Trybunał ograniczyło dochód z emerytury skarżącego o 4,6% (zob. </w:t>
      </w:r>
      <w:r>
        <w:rPr>
          <w:i/>
          <w:iCs/>
        </w:rPr>
        <w:t xml:space="preserve">Da Silva </w:t>
      </w:r>
      <w:proofErr w:type="spellStart"/>
      <w:r>
        <w:rPr>
          <w:i/>
          <w:iCs/>
        </w:rPr>
        <w:t>Carvalho</w:t>
      </w:r>
      <w:proofErr w:type="spellEnd"/>
      <w:r>
        <w:rPr>
          <w:i/>
          <w:iCs/>
        </w:rPr>
        <w:t xml:space="preserve"> Rico przeciwko Portugalii</w:t>
      </w:r>
      <w:r>
        <w:t xml:space="preserve"> (dec..), nr 13341/14, § 12, 1 września 2015 r.).</w:t>
      </w:r>
    </w:p>
    <w:p w:rsidR="00FB413B" w:rsidRPr="00824331" w:rsidRDefault="00FB413B" w:rsidP="00952B84">
      <w:pPr>
        <w:pStyle w:val="ECHRPara"/>
      </w:pPr>
      <w:r>
        <w:t>75.  </w:t>
      </w:r>
      <w:r w:rsidR="00BD1CD8">
        <w:t>Jeszcze i</w:t>
      </w:r>
      <w:r>
        <w:t xml:space="preserve">nne </w:t>
      </w:r>
      <w:r w:rsidR="00BD1CD8">
        <w:t xml:space="preserve">skutkowały stałym lub </w:t>
      </w:r>
      <w:r w:rsidR="00BD1CD8" w:rsidRPr="009D7403">
        <w:t>półstałym</w:t>
      </w:r>
      <w:r>
        <w:t xml:space="preserve"> obniżenie</w:t>
      </w:r>
      <w:r w:rsidR="00BD1CD8">
        <w:t>m</w:t>
      </w:r>
      <w:r>
        <w:t xml:space="preserve"> przychodu pewnych segmentów populacji. W 2010 r</w:t>
      </w:r>
      <w:r w:rsidR="00A97A05">
        <w:t>.</w:t>
      </w:r>
      <w:r>
        <w:t xml:space="preserve"> Rumunia </w:t>
      </w:r>
      <w:r w:rsidR="00BD1CD8">
        <w:t xml:space="preserve">zniosła </w:t>
      </w:r>
      <w:r>
        <w:t>sze</w:t>
      </w:r>
      <w:r w:rsidR="00BD1CD8">
        <w:t>reg</w:t>
      </w:r>
      <w:r>
        <w:t xml:space="preserve"> specjalnych systemów emerytalnych obowiązujących dla</w:t>
      </w:r>
      <w:r w:rsidR="002E68E3">
        <w:t> </w:t>
      </w:r>
      <w:r>
        <w:t xml:space="preserve">szczególnych kategorii emerytowanych pracowników sektora publicznego, co poskutkowało </w:t>
      </w:r>
      <w:r w:rsidR="006A409B">
        <w:t xml:space="preserve">w sprawie </w:t>
      </w:r>
      <w:r>
        <w:t xml:space="preserve">pięciu skarżących </w:t>
      </w:r>
      <w:r w:rsidR="006A409B">
        <w:t>obniżeniem</w:t>
      </w:r>
      <w:r>
        <w:t xml:space="preserve"> ich</w:t>
      </w:r>
      <w:r w:rsidR="002E68E3">
        <w:t> </w:t>
      </w:r>
      <w:r>
        <w:t xml:space="preserve">emerytur o około 70% (zob. </w:t>
      </w:r>
      <w:proofErr w:type="spellStart"/>
      <w:r>
        <w:rPr>
          <w:i/>
          <w:iCs/>
        </w:rPr>
        <w:t>Frimu</w:t>
      </w:r>
      <w:proofErr w:type="spellEnd"/>
      <w:r>
        <w:rPr>
          <w:i/>
          <w:iCs/>
        </w:rPr>
        <w:t xml:space="preserve"> i </w:t>
      </w:r>
      <w:r w:rsidR="00B27E2A">
        <w:rPr>
          <w:i/>
          <w:iCs/>
        </w:rPr>
        <w:t xml:space="preserve">Inni </w:t>
      </w:r>
      <w:r>
        <w:rPr>
          <w:i/>
          <w:iCs/>
        </w:rPr>
        <w:t>przeciwko Rumunii</w:t>
      </w:r>
      <w:r>
        <w:t xml:space="preserve"> (dec.), nr</w:t>
      </w:r>
      <w:r w:rsidR="002E68E3">
        <w:t> </w:t>
      </w:r>
      <w:r>
        <w:t>45312/11 i 4 inne, § 5, 7 lutego 2012 r.). Również w 2010 r</w:t>
      </w:r>
      <w:r w:rsidR="00A97A05">
        <w:t>.</w:t>
      </w:r>
      <w:r>
        <w:t xml:space="preserve"> Grecja ograniczyła wynagrodzenia w sektorze publicznym z mocą wsteczną o</w:t>
      </w:r>
      <w:r w:rsidR="006A409B">
        <w:t>d</w:t>
      </w:r>
      <w:r w:rsidR="002E68E3">
        <w:t> </w:t>
      </w:r>
      <w:r>
        <w:t xml:space="preserve">12% </w:t>
      </w:r>
      <w:r w:rsidR="006A409B">
        <w:t>do</w:t>
      </w:r>
      <w:r>
        <w:t xml:space="preserve"> 30%, </w:t>
      </w:r>
      <w:r w:rsidR="006A409B">
        <w:t xml:space="preserve">następnie </w:t>
      </w:r>
      <w:r>
        <w:t xml:space="preserve">obniżając je w tym samym roku o kolejne 8% oraz zmniejszając świadczenia urlopowe i świąteczne dla pracowników sektora publicznego o wysokich zarobkach (zob. </w:t>
      </w:r>
      <w:proofErr w:type="spellStart"/>
      <w:r>
        <w:rPr>
          <w:i/>
          <w:iCs/>
        </w:rPr>
        <w:t>Koufaki</w:t>
      </w:r>
      <w:proofErr w:type="spellEnd"/>
      <w:r>
        <w:rPr>
          <w:i/>
          <w:iCs/>
        </w:rPr>
        <w:t xml:space="preserve"> i </w:t>
      </w:r>
      <w:proofErr w:type="spellStart"/>
      <w:r>
        <w:rPr>
          <w:i/>
          <w:iCs/>
        </w:rPr>
        <w:t>Adedy</w:t>
      </w:r>
      <w:proofErr w:type="spellEnd"/>
      <w:r>
        <w:rPr>
          <w:i/>
          <w:iCs/>
        </w:rPr>
        <w:t xml:space="preserve"> przeciwko Grecji</w:t>
      </w:r>
      <w:r>
        <w:t xml:space="preserve"> (dec..), nr 57665/12 i 57657/12, 7 maja 2013 r., </w:t>
      </w:r>
      <w:r>
        <w:rPr>
          <w:i/>
          <w:iCs/>
        </w:rPr>
        <w:t>passim</w:t>
      </w:r>
      <w:r>
        <w:t>); deficyt budżetowy w tym czasie wynosił 12,7% r. produktu krajowego brutto a dług publiczny wynosił 120% produktu krajowego brutto (</w:t>
      </w:r>
      <w:r>
        <w:rPr>
          <w:i/>
          <w:iCs/>
        </w:rPr>
        <w:t>ibid.</w:t>
      </w:r>
      <w:r>
        <w:t>, § 17).</w:t>
      </w:r>
    </w:p>
    <w:p w:rsidR="00FB413B" w:rsidRPr="00824331" w:rsidRDefault="00FB413B" w:rsidP="00952B84">
      <w:pPr>
        <w:pStyle w:val="ECHRPara"/>
      </w:pPr>
      <w:r>
        <w:t>76.  </w:t>
      </w:r>
      <w:r w:rsidR="006A409B">
        <w:t>Jeszcze d</w:t>
      </w:r>
      <w:r>
        <w:t xml:space="preserve">alsze środki </w:t>
      </w:r>
      <w:r w:rsidR="006A409B">
        <w:t>skutkowały zmniejszeniem aktywów</w:t>
      </w:r>
      <w:r>
        <w:t xml:space="preserve"> osób indywidualnych. A zatem, w ramach środka, który zwano „postrzyżynami”, indywidualni prywatni inwestorzy musieli zaakceptować wynik negocjacji pomiędzy Międzynarodowym Funduszem Walutowym, rządami strefy euro, oraz Europejskim Bankiem Centralnym po jednej stronie, a inwestorami instytucjonalnymi – bankami, funduszami </w:t>
      </w:r>
      <w:proofErr w:type="spellStart"/>
      <w:r>
        <w:t>hedgingowymi</w:t>
      </w:r>
      <w:proofErr w:type="spellEnd"/>
      <w:r>
        <w:t xml:space="preserve"> – po drugiej stronie, co skutkowało obowiązkową wymianą obligacji greckiego </w:t>
      </w:r>
      <w:r w:rsidR="00A97A05">
        <w:t xml:space="preserve">rządu </w:t>
      </w:r>
      <w:r>
        <w:t>znajdujących się w ich posiadaniu na obligacje zamienne o wartości nominalnej o 53,5% niższej, o niższym oprocentowaniu oraz o</w:t>
      </w:r>
      <w:r w:rsidR="00567235">
        <w:t xml:space="preserve"> </w:t>
      </w:r>
      <w:r w:rsidR="006A409B">
        <w:t xml:space="preserve">znacznie </w:t>
      </w:r>
      <w:r>
        <w:t xml:space="preserve">dłuższym terminie wykupu (zob. </w:t>
      </w:r>
      <w:proofErr w:type="spellStart"/>
      <w:r>
        <w:rPr>
          <w:i/>
          <w:iCs/>
        </w:rPr>
        <w:t>Mamatas</w:t>
      </w:r>
      <w:proofErr w:type="spellEnd"/>
      <w:r>
        <w:rPr>
          <w:i/>
          <w:iCs/>
        </w:rPr>
        <w:t xml:space="preserve"> i </w:t>
      </w:r>
      <w:r w:rsidR="00B27E2A">
        <w:rPr>
          <w:i/>
          <w:iCs/>
        </w:rPr>
        <w:t xml:space="preserve">Inni </w:t>
      </w:r>
      <w:r>
        <w:rPr>
          <w:i/>
          <w:iCs/>
        </w:rPr>
        <w:t>przeciwko Grecji</w:t>
      </w:r>
      <w:r>
        <w:t>, nr</w:t>
      </w:r>
      <w:r w:rsidR="002E68E3">
        <w:t> </w:t>
      </w:r>
      <w:r>
        <w:t>63066/14 i 2 inne, § 22 i 48-51, 21 lipca 2016 r.).</w:t>
      </w:r>
    </w:p>
    <w:p w:rsidR="00FB413B" w:rsidRPr="00952B84" w:rsidRDefault="00FB413B" w:rsidP="00952B84">
      <w:pPr>
        <w:pStyle w:val="ECHRHeading4"/>
      </w:pPr>
      <w:r>
        <w:t>(d) Przedmiotowe sprawy</w:t>
      </w:r>
    </w:p>
    <w:p w:rsidR="00FB413B" w:rsidRPr="00824331" w:rsidRDefault="00FB413B" w:rsidP="00952B84">
      <w:pPr>
        <w:pStyle w:val="ECHRPara"/>
      </w:pPr>
      <w:r>
        <w:t>77.  Trybunał odnotowuje następujące cechy daniny podatkowej od</w:t>
      </w:r>
      <w:r w:rsidR="002E68E3">
        <w:t> </w:t>
      </w:r>
      <w:r>
        <w:t>wysokich wynagrodzeń będącej przedmiotem niniejszych spraw.</w:t>
      </w:r>
    </w:p>
    <w:p w:rsidR="00FB413B" w:rsidRPr="00824331" w:rsidRDefault="00FB413B" w:rsidP="00952B84">
      <w:pPr>
        <w:pStyle w:val="ECHRPara"/>
      </w:pPr>
      <w:r>
        <w:t xml:space="preserve">78.  Rezolucja Rady Europejskiej w sprawie Paktu Stabilności i Wzrostu (zob. paragraf 53 powyżej) i art. 126 TFUE (zob. ust. 54 powyżej) zobowiązują </w:t>
      </w:r>
      <w:r w:rsidR="00F71B06">
        <w:t xml:space="preserve">państwa członkowskie </w:t>
      </w:r>
      <w:r>
        <w:t xml:space="preserve">Unii Europejskiej do unikania </w:t>
      </w:r>
      <w:r>
        <w:lastRenderedPageBreak/>
        <w:t>nadmiernych deficytów budżetowych oraz do korygowania takowych, jeżeli</w:t>
      </w:r>
      <w:r w:rsidR="002E68E3">
        <w:t> </w:t>
      </w:r>
      <w:r>
        <w:t xml:space="preserve">się pojawią. </w:t>
      </w:r>
      <w:r w:rsidR="00A97A05">
        <w:t xml:space="preserve">Art. </w:t>
      </w:r>
      <w:r>
        <w:t>1 Protokołu (nr 12)</w:t>
      </w:r>
      <w:r w:rsidR="006A409B">
        <w:t xml:space="preserve"> do TFUE </w:t>
      </w:r>
      <w:r>
        <w:t>ogranicza dopuszczalny deficyt do 3 % dla stosunku planowanego lub rzeczywistego deficytu publicznego do produktu krajowego brutto w cenach rynkowych oraz do 60 % dla stosunku długu publicznego do produktu krajowego brutto w cenach rynkowych (zob. paragraf 55 powyżej).</w:t>
      </w:r>
    </w:p>
    <w:p w:rsidR="00FB413B" w:rsidRPr="00824331" w:rsidRDefault="00FB413B" w:rsidP="00952B84">
      <w:pPr>
        <w:pStyle w:val="ECHRPara"/>
      </w:pPr>
      <w:r>
        <w:t>79.  W Memorandum Wiosennym z 25 maja 2012 r. (zob. paragraf 10 powyżej) Rząd uznał prawdopodobieństwo, że deficyty przekroczą dozwolone limity</w:t>
      </w:r>
      <w:r w:rsidR="00F5504F">
        <w:t>,</w:t>
      </w:r>
      <w:r>
        <w:t xml:space="preserve"> oraz zagrożenie, że będą dalej rosły do niebezpiecznych poziomów (zob. paragraf 14 powyżej). Budżet rządowy na rok 2013 obejmował środki wyrównawcze (zob. paragraf 21 powyżej).</w:t>
      </w:r>
    </w:p>
    <w:p w:rsidR="00FB413B" w:rsidRPr="00824331" w:rsidRDefault="00FB413B" w:rsidP="00952B84">
      <w:pPr>
        <w:pStyle w:val="ECHRPara"/>
      </w:pPr>
      <w:r>
        <w:t>80.  Te środki wyrównawcze były wynikiem wcześniej osiągniętego porozumienia politycznego (zob. paragraf 7 powyżej). Środki te, których</w:t>
      </w:r>
      <w:r w:rsidR="002E68E3">
        <w:t> </w:t>
      </w:r>
      <w:r>
        <w:t>celem było sprawiedliwe rozłożenie obciążeń w całej gospodarce krajowej, obejmowały - oprócz „daniny kryzysowej”  - reformy strukturalne systemu zabezpieczenia społecznego, w tym przyspieszenie podnoszenia ustawowego wieku emerytalnego z 65 do 67 lat; zamrożenie wynagrodzeń w sektorze publicznym; reformę systemu opieki zdrowotnej;</w:t>
      </w:r>
      <w:r w:rsidR="00F5504F">
        <w:t xml:space="preserve"> </w:t>
      </w:r>
      <w:r>
        <w:t xml:space="preserve">i </w:t>
      </w:r>
      <w:r w:rsidR="00F5504F">
        <w:t xml:space="preserve">strukturalne podwyżki </w:t>
      </w:r>
      <w:r>
        <w:t>podatkó</w:t>
      </w:r>
      <w:r w:rsidR="00F5504F">
        <w:t>w, w tym wyższe podatki</w:t>
      </w:r>
      <w:r>
        <w:t xml:space="preserve"> od paliw kopalnych i wody pitnej, a także od alko</w:t>
      </w:r>
      <w:r w:rsidR="00F5504F">
        <w:t>holu i tytoniu oraz podwyższenie</w:t>
      </w:r>
      <w:r>
        <w:t xml:space="preserve"> najwyższej stawki podatku VAT z 19% do 21% (niektóre z tych ostatnich środków podążają w</w:t>
      </w:r>
      <w:r w:rsidR="002E68E3">
        <w:t> </w:t>
      </w:r>
      <w:r>
        <w:t>kierunku finansowania obniżenia podatku dochodowego gospodarstw domowych o ni</w:t>
      </w:r>
      <w:r w:rsidR="00F5504F">
        <w:t>skich dochodach) oraz podwojenie</w:t>
      </w:r>
      <w:r>
        <w:t xml:space="preserve"> podatku płaconego przez</w:t>
      </w:r>
      <w:r w:rsidR="002E68E3">
        <w:t> </w:t>
      </w:r>
      <w:r>
        <w:t>banki od niezabezpieczonych długów.</w:t>
      </w:r>
    </w:p>
    <w:p w:rsidR="00FB413B" w:rsidRPr="00824331" w:rsidRDefault="00FB413B" w:rsidP="00952B84">
      <w:pPr>
        <w:pStyle w:val="ECHRPara"/>
      </w:pPr>
      <w:r>
        <w:t>81.  Ta „danina kryzysowa”, która została ostatecznie wdrożona w</w:t>
      </w:r>
      <w:r w:rsidR="002E68E3">
        <w:t> </w:t>
      </w:r>
      <w:r>
        <w:t>formie daniny podatkowej od wysokich wynagrodzeń, będąca przedmiotem niniejszej sprawy, miała od samego początku być środkiem tymczasowym i zrezygnowano z niej po 2014 r. Nałożono ją na</w:t>
      </w:r>
      <w:r w:rsidR="002E68E3">
        <w:t> </w:t>
      </w:r>
      <w:r>
        <w:t>pracodawców, którzy w poprzednim roku zapłacili jednemu pracownikowi lub większej ich liczbie wynagrodzenie przekraczające 150 000 EUR. Wartość daniny wynosiła 16% nadwyżki.</w:t>
      </w:r>
    </w:p>
    <w:p w:rsidR="00FB413B" w:rsidRPr="00824331" w:rsidRDefault="00FB413B" w:rsidP="00952B84">
      <w:pPr>
        <w:pStyle w:val="ECHRPara"/>
      </w:pPr>
      <w:r>
        <w:t>82.  Nie ulega wątpliwości, że Niderlandy miały co do zasady prawo zastosować daleko idące środki</w:t>
      </w:r>
      <w:r w:rsidR="00F5504F">
        <w:t>,</w:t>
      </w:r>
      <w:r>
        <w:t xml:space="preserve"> by sprawić,</w:t>
      </w:r>
      <w:r w:rsidR="00F5504F">
        <w:t xml:space="preserve"> by</w:t>
      </w:r>
      <w:r>
        <w:t xml:space="preserve"> gospodarka krajowa spełnia</w:t>
      </w:r>
      <w:r w:rsidR="00F5504F">
        <w:t>ła</w:t>
      </w:r>
      <w:r>
        <w:t xml:space="preserve"> zobowiązania międzynarodowe, podobnie jak </w:t>
      </w:r>
      <w:r w:rsidR="00F5504F">
        <w:t xml:space="preserve">uprawnione były inne </w:t>
      </w:r>
      <w:r w:rsidR="00885FB0">
        <w:t>państwa członkowskie</w:t>
      </w:r>
      <w:r w:rsidR="00F5504F">
        <w:t>, które wdrożyły</w:t>
      </w:r>
      <w:r>
        <w:t xml:space="preserve"> środki – przy czym niektóre z</w:t>
      </w:r>
      <w:r w:rsidR="002E68E3">
        <w:t> </w:t>
      </w:r>
      <w:r>
        <w:t xml:space="preserve">nich nadal wpływają na sytuację finansową całych segmentów </w:t>
      </w:r>
      <w:r w:rsidR="00F5504F">
        <w:t>populacji do dnia dzisiejszego – które b</w:t>
      </w:r>
      <w:r>
        <w:t xml:space="preserve">yły przedmiotem skarg do Trybunału. Uprawnienie to podlega jednak zastrzeżeniu, iż </w:t>
      </w:r>
      <w:r w:rsidR="00F5504F">
        <w:t>na żadną osobę nie może być nałożone</w:t>
      </w:r>
      <w:bookmarkStart w:id="0" w:name="_GoBack"/>
      <w:bookmarkEnd w:id="0"/>
      <w:r>
        <w:t xml:space="preserve"> „indywidualne i nadmierne” obciążenie.</w:t>
      </w:r>
    </w:p>
    <w:p w:rsidR="00FB413B" w:rsidRPr="00824331" w:rsidRDefault="00FB413B" w:rsidP="00952B84">
      <w:pPr>
        <w:pStyle w:val="ECHRPara"/>
      </w:pPr>
      <w:r>
        <w:t xml:space="preserve">83.  Skarżące spółki podnoszą, że </w:t>
      </w:r>
      <w:r w:rsidR="00A63C22">
        <w:t>w ich sprawie nałożono na</w:t>
      </w:r>
      <w:r w:rsidR="002E68E3">
        <w:t> </w:t>
      </w:r>
      <w:r w:rsidR="00A63C22">
        <w:t>nie</w:t>
      </w:r>
      <w:r w:rsidR="002E68E3">
        <w:t> </w:t>
      </w:r>
      <w:r>
        <w:t>„indywidualne i nadmierne obciążenia”. Trybunał zajmie się obecnie szczegółami ich skarg.</w:t>
      </w:r>
    </w:p>
    <w:p w:rsidR="00FB413B" w:rsidRPr="00952B84" w:rsidRDefault="00FB413B" w:rsidP="00952B84">
      <w:pPr>
        <w:pStyle w:val="ECHRHeading5"/>
      </w:pPr>
      <w:r>
        <w:lastRenderedPageBreak/>
        <w:t>i. Retrospektywność</w:t>
      </w:r>
    </w:p>
    <w:p w:rsidR="00FB413B" w:rsidRPr="00824331" w:rsidRDefault="00FB413B" w:rsidP="00952B84">
      <w:pPr>
        <w:pStyle w:val="ECHRPara"/>
      </w:pPr>
      <w:r>
        <w:t>84.  Trybunał przyjmuje, że danina podatkowa została nałożona z mocą wsteczną. Wskazuje jednakże, że przepisy podatkowe obowiązujące z mocą wsteczną jako takie nie są zabronione</w:t>
      </w:r>
      <w:r w:rsidR="0051024F">
        <w:t xml:space="preserve"> przez</w:t>
      </w:r>
      <w:r>
        <w:t xml:space="preserve"> </w:t>
      </w:r>
      <w:r w:rsidR="00A97A05">
        <w:t xml:space="preserve">art. </w:t>
      </w:r>
      <w:r>
        <w:t>1 Protokołu nr 1. [Trybunał</w:t>
      </w:r>
      <w:r w:rsidR="0051024F">
        <w:t>]</w:t>
      </w:r>
      <w:r>
        <w:t xml:space="preserve"> przyjmuje, że interes publiczny może być nadrzędny w stosunku do interesu osoby indywidualnej polegającego na świadomości swoich zobowiązań podatkowych z góry, pod warunkiem, że istnieją konkretne i przekonujące powody. A zatem, w sprawie </w:t>
      </w:r>
      <w:proofErr w:type="spellStart"/>
      <w:r>
        <w:rPr>
          <w:i/>
          <w:iCs/>
        </w:rPr>
        <w:t>National</w:t>
      </w:r>
      <w:proofErr w:type="spellEnd"/>
      <w:r>
        <w:rPr>
          <w:i/>
          <w:iCs/>
        </w:rPr>
        <w:t xml:space="preserve"> &amp; </w:t>
      </w:r>
      <w:proofErr w:type="spellStart"/>
      <w:r>
        <w:rPr>
          <w:i/>
          <w:iCs/>
        </w:rPr>
        <w:t>Provincial</w:t>
      </w:r>
      <w:proofErr w:type="spellEnd"/>
      <w:r>
        <w:rPr>
          <w:i/>
          <w:iCs/>
        </w:rPr>
        <w:t xml:space="preserve"> </w:t>
      </w:r>
      <w:proofErr w:type="spellStart"/>
      <w:r>
        <w:rPr>
          <w:i/>
          <w:iCs/>
        </w:rPr>
        <w:t>Building</w:t>
      </w:r>
      <w:proofErr w:type="spellEnd"/>
      <w:r>
        <w:rPr>
          <w:i/>
          <w:iCs/>
        </w:rPr>
        <w:t xml:space="preserve"> </w:t>
      </w:r>
      <w:proofErr w:type="spellStart"/>
      <w:r>
        <w:rPr>
          <w:i/>
          <w:iCs/>
        </w:rPr>
        <w:t>Society</w:t>
      </w:r>
      <w:proofErr w:type="spellEnd"/>
      <w:r>
        <w:rPr>
          <w:i/>
          <w:iCs/>
        </w:rPr>
        <w:t xml:space="preserve">, </w:t>
      </w:r>
      <w:proofErr w:type="spellStart"/>
      <w:r>
        <w:rPr>
          <w:i/>
          <w:iCs/>
        </w:rPr>
        <w:t>Leeds</w:t>
      </w:r>
      <w:proofErr w:type="spellEnd"/>
      <w:r>
        <w:rPr>
          <w:i/>
          <w:iCs/>
        </w:rPr>
        <w:t xml:space="preserve"> Permanent </w:t>
      </w:r>
      <w:proofErr w:type="spellStart"/>
      <w:r>
        <w:rPr>
          <w:i/>
          <w:iCs/>
        </w:rPr>
        <w:t>Building</w:t>
      </w:r>
      <w:proofErr w:type="spellEnd"/>
      <w:r>
        <w:rPr>
          <w:i/>
          <w:iCs/>
        </w:rPr>
        <w:t xml:space="preserve"> </w:t>
      </w:r>
      <w:proofErr w:type="spellStart"/>
      <w:r>
        <w:rPr>
          <w:i/>
          <w:iCs/>
        </w:rPr>
        <w:t>Society</w:t>
      </w:r>
      <w:proofErr w:type="spellEnd"/>
      <w:r>
        <w:rPr>
          <w:i/>
          <w:iCs/>
        </w:rPr>
        <w:t xml:space="preserve"> i Yorkshire </w:t>
      </w:r>
      <w:proofErr w:type="spellStart"/>
      <w:r>
        <w:rPr>
          <w:i/>
          <w:iCs/>
        </w:rPr>
        <w:t>Building</w:t>
      </w:r>
      <w:proofErr w:type="spellEnd"/>
      <w:r>
        <w:rPr>
          <w:i/>
          <w:iCs/>
        </w:rPr>
        <w:t xml:space="preserve"> </w:t>
      </w:r>
      <w:proofErr w:type="spellStart"/>
      <w:r>
        <w:rPr>
          <w:i/>
          <w:iCs/>
        </w:rPr>
        <w:t>Society</w:t>
      </w:r>
      <w:proofErr w:type="spellEnd"/>
      <w:r>
        <w:t xml:space="preserve">, </w:t>
      </w:r>
      <w:r w:rsidR="000279D6">
        <w:t>cyt.</w:t>
      </w:r>
      <w:r>
        <w:t xml:space="preserve"> powyżej, § 81, Trybunał stwierdził, że wprowadzenie przepisów prawa z mocą wsteczną, których celem jest odmówienie podmiotom prywatnym nieprzewidzianych korzyści wynikających z przejścia na nowy system podatkowy obarczony niezamierzonymi wadami</w:t>
      </w:r>
      <w:r w:rsidR="0051024F">
        <w:t>,</w:t>
      </w:r>
      <w:r>
        <w:t xml:space="preserve"> nie stanowi naruszenia. W</w:t>
      </w:r>
      <w:r w:rsidR="002E68E3">
        <w:t> </w:t>
      </w:r>
      <w:r>
        <w:t xml:space="preserve">sprawie </w:t>
      </w:r>
      <w:r>
        <w:rPr>
          <w:i/>
          <w:iCs/>
        </w:rPr>
        <w:t xml:space="preserve">M.A. i 34 innych </w:t>
      </w:r>
      <w:r>
        <w:t>(dec..), cyt. powyżej, Trybunał przyjął jako u</w:t>
      </w:r>
      <w:r w:rsidR="0051024F">
        <w:t>prawnione</w:t>
      </w:r>
      <w:r>
        <w:t xml:space="preserve"> przepisy z mocą wsteczną, których celem było zapobieżenie niezamierzonemu stosowaniu korzystniejszej stawki podatkowej do zysków osiągniętych w wyniku realizacji opcji na akcje nabytych w ramach programów motywacyjnych obejmujących opcje na akcje prowadzonych przez pracodawców przed pierwotnie określonym terminem. W sprawie </w:t>
      </w:r>
      <w:proofErr w:type="spellStart"/>
      <w:r>
        <w:rPr>
          <w:i/>
          <w:iCs/>
        </w:rPr>
        <w:t>Huitson</w:t>
      </w:r>
      <w:proofErr w:type="spellEnd"/>
      <w:r>
        <w:rPr>
          <w:i/>
          <w:iCs/>
        </w:rPr>
        <w:t xml:space="preserve"> przeciwko Wielkiej Brytanii</w:t>
      </w:r>
      <w:r>
        <w:t xml:space="preserve"> (dec..), nr 50131/12, §§ 28-31, 13</w:t>
      </w:r>
      <w:r w:rsidR="002E68E3">
        <w:t> </w:t>
      </w:r>
      <w:r>
        <w:t>stycznia 2015 r., Trybunał uznał, że Wielka Brytania miała prawo do</w:t>
      </w:r>
      <w:r w:rsidR="002E68E3">
        <w:t> </w:t>
      </w:r>
      <w:r>
        <w:t xml:space="preserve">wydania przepisów obowiązujących z mocą wsteczną by uniemożliwić skarżącemu wykorzystania postanowień umowy o unikaniu podwójnego opodatkowania zawartej pomiędzy Wielką Brytanią a Wyspą Man w taki sposób, by obniżyć efektywną stopę podatkową do bardzo niskiego poziomu procentowego, obniżając jego wydatki oraz zapewniając nieuczciwą przewagę nad konkurentami rynkowymi. Sprawa </w:t>
      </w:r>
      <w:r>
        <w:rPr>
          <w:i/>
          <w:iCs/>
        </w:rPr>
        <w:t xml:space="preserve">Di </w:t>
      </w:r>
      <w:proofErr w:type="spellStart"/>
      <w:r>
        <w:rPr>
          <w:i/>
          <w:iCs/>
        </w:rPr>
        <w:t>Belmonte</w:t>
      </w:r>
      <w:proofErr w:type="spellEnd"/>
      <w:r>
        <w:rPr>
          <w:i/>
          <w:iCs/>
        </w:rPr>
        <w:t xml:space="preserve"> przeciwko Włochom (nr 2)</w:t>
      </w:r>
      <w:r>
        <w:t xml:space="preserve"> (dec..), nr 72665/01, 3 czerwca 2004 r. różni się nieco od innych wspomnianych spraw w taki sposób, że retrospektywność przedmiotowych przepisów podatkowych nie została uznana za</w:t>
      </w:r>
      <w:r w:rsidR="002E68E3">
        <w:t> </w:t>
      </w:r>
      <w:r>
        <w:t>nieproporcjonalną nie ze względu na cel środka, lecz ze względu na</w:t>
      </w:r>
      <w:r w:rsidR="002E68E3">
        <w:t> </w:t>
      </w:r>
      <w:r>
        <w:t>krótki czas, jaki upłynął pomiędzy opodatkowanym zdarzeniem – fakt</w:t>
      </w:r>
      <w:r w:rsidR="002E68E3">
        <w:t> </w:t>
      </w:r>
      <w:r>
        <w:t>uprawomocnienia się wyroku przyznającego skarżącemu zapłatę odszkodowania za wywłaszczone mienie – a wejściem w życie przedmiotowych przepisów (dwadzieścia dni) a także ze względu na</w:t>
      </w:r>
      <w:r w:rsidR="002E68E3">
        <w:t> </w:t>
      </w:r>
      <w:r>
        <w:t>względnie ograniczony skutek finansowy przedmiotowego podatku (20%</w:t>
      </w:r>
      <w:r w:rsidR="002E68E3">
        <w:t> </w:t>
      </w:r>
      <w:r>
        <w:t>wartości majątku).</w:t>
      </w:r>
    </w:p>
    <w:p w:rsidR="00FB413B" w:rsidRPr="00824331" w:rsidRDefault="00FB413B" w:rsidP="00952B84">
      <w:pPr>
        <w:pStyle w:val="ECHRPara"/>
      </w:pPr>
      <w:r>
        <w:t xml:space="preserve">85.  Jeśli chodzi o środki podejmowane przez </w:t>
      </w:r>
      <w:r w:rsidRPr="00D641F3">
        <w:rPr>
          <w:rStyle w:val="sb8d990e2"/>
        </w:rPr>
        <w:t>Układając</w:t>
      </w:r>
      <w:r>
        <w:rPr>
          <w:rStyle w:val="sb8d990e2"/>
        </w:rPr>
        <w:t>e</w:t>
      </w:r>
      <w:r w:rsidRPr="00D641F3">
        <w:rPr>
          <w:rStyle w:val="sb8d990e2"/>
        </w:rPr>
        <w:t xml:space="preserve"> się Państw</w:t>
      </w:r>
      <w:r>
        <w:rPr>
          <w:rStyle w:val="sb8d990e2"/>
        </w:rPr>
        <w:t>a</w:t>
      </w:r>
      <w:r>
        <w:t xml:space="preserve"> celem zwalczenia kryzysu finansowego, Trybunał </w:t>
      </w:r>
      <w:r w:rsidR="0051024F">
        <w:t>od</w:t>
      </w:r>
      <w:r>
        <w:t>not</w:t>
      </w:r>
      <w:r w:rsidR="0051024F">
        <w:t>ow</w:t>
      </w:r>
      <w:r>
        <w:t>uje, że</w:t>
      </w:r>
      <w:r w:rsidR="002E68E3">
        <w:t> </w:t>
      </w:r>
      <w:r>
        <w:t xml:space="preserve">retrospektywność była również cechą redukcji wynagrodzeń w sektorze publicznym w sprawie </w:t>
      </w:r>
      <w:proofErr w:type="spellStart"/>
      <w:r>
        <w:rPr>
          <w:i/>
          <w:iCs/>
        </w:rPr>
        <w:t>Koufaki</w:t>
      </w:r>
      <w:proofErr w:type="spellEnd"/>
      <w:r>
        <w:rPr>
          <w:i/>
          <w:iCs/>
        </w:rPr>
        <w:t xml:space="preserve"> i </w:t>
      </w:r>
      <w:proofErr w:type="spellStart"/>
      <w:r>
        <w:rPr>
          <w:i/>
          <w:iCs/>
        </w:rPr>
        <w:t>Adedy</w:t>
      </w:r>
      <w:proofErr w:type="spellEnd"/>
      <w:r>
        <w:t xml:space="preserve"> (zob. paragraf 75 </w:t>
      </w:r>
      <w:r w:rsidR="0051024F">
        <w:t>powyżej) i</w:t>
      </w:r>
      <w:r w:rsidR="002E68E3">
        <w:t> </w:t>
      </w:r>
      <w:r w:rsidR="0051024F">
        <w:t>„postrzyżyn” zaskarżo</w:t>
      </w:r>
      <w:r>
        <w:t xml:space="preserve">nych w sprawie </w:t>
      </w:r>
      <w:proofErr w:type="spellStart"/>
      <w:r>
        <w:rPr>
          <w:i/>
          <w:iCs/>
        </w:rPr>
        <w:t>Mamatas</w:t>
      </w:r>
      <w:proofErr w:type="spellEnd"/>
      <w:r>
        <w:rPr>
          <w:i/>
          <w:iCs/>
        </w:rPr>
        <w:t xml:space="preserve"> i </w:t>
      </w:r>
      <w:r w:rsidR="00B27E2A">
        <w:rPr>
          <w:i/>
          <w:iCs/>
        </w:rPr>
        <w:t>Inni</w:t>
      </w:r>
      <w:r w:rsidR="00B27E2A">
        <w:t xml:space="preserve"> </w:t>
      </w:r>
      <w:r>
        <w:t>(zob. paragraf 76).</w:t>
      </w:r>
    </w:p>
    <w:p w:rsidR="00FB413B" w:rsidRPr="00824331" w:rsidRDefault="00FB413B" w:rsidP="00952B84">
      <w:pPr>
        <w:pStyle w:val="ECHRPara"/>
      </w:pPr>
      <w:r>
        <w:t xml:space="preserve">86.  Wyroki w sprawach </w:t>
      </w:r>
      <w:proofErr w:type="spellStart"/>
      <w:r>
        <w:rPr>
          <w:i/>
          <w:iCs/>
        </w:rPr>
        <w:t>Pressos</w:t>
      </w:r>
      <w:proofErr w:type="spellEnd"/>
      <w:r>
        <w:rPr>
          <w:i/>
          <w:iCs/>
        </w:rPr>
        <w:t xml:space="preserve"> </w:t>
      </w:r>
      <w:proofErr w:type="spellStart"/>
      <w:r>
        <w:rPr>
          <w:i/>
          <w:iCs/>
        </w:rPr>
        <w:t>Compania</w:t>
      </w:r>
      <w:proofErr w:type="spellEnd"/>
      <w:r>
        <w:rPr>
          <w:i/>
          <w:iCs/>
        </w:rPr>
        <w:t xml:space="preserve"> </w:t>
      </w:r>
      <w:proofErr w:type="spellStart"/>
      <w:r>
        <w:rPr>
          <w:i/>
          <w:iCs/>
        </w:rPr>
        <w:t>Naviera</w:t>
      </w:r>
      <w:proofErr w:type="spellEnd"/>
      <w:r>
        <w:rPr>
          <w:i/>
          <w:iCs/>
        </w:rPr>
        <w:t xml:space="preserve"> S.A. i </w:t>
      </w:r>
      <w:r w:rsidR="00B27E2A">
        <w:rPr>
          <w:i/>
          <w:iCs/>
        </w:rPr>
        <w:t>Inni</w:t>
      </w:r>
      <w:r w:rsidR="00B27E2A">
        <w:t xml:space="preserve"> </w:t>
      </w:r>
      <w:r>
        <w:t>oraz</w:t>
      </w:r>
      <w:r w:rsidR="002E68E3">
        <w:t> </w:t>
      </w:r>
      <w:r>
        <w:rPr>
          <w:i/>
          <w:iCs/>
        </w:rPr>
        <w:t>Joubert</w:t>
      </w:r>
      <w:r>
        <w:t xml:space="preserve">, na których opierają się skarżące spółki, nie mają zastosowania </w:t>
      </w:r>
      <w:r>
        <w:lastRenderedPageBreak/>
        <w:t>w takim zakresie, w jakim dotyczą interwencji ustawodawczej w trwające pos</w:t>
      </w:r>
      <w:r w:rsidR="0051024F">
        <w:t xml:space="preserve">tępowanie sądowe, a nie </w:t>
      </w:r>
      <w:r>
        <w:t>przepisy podatkowe obowiązujące z mocą wsteczną.</w:t>
      </w:r>
    </w:p>
    <w:p w:rsidR="00FB413B" w:rsidRPr="00824331" w:rsidRDefault="00FB413B" w:rsidP="00952B84">
      <w:pPr>
        <w:pStyle w:val="ECHRPara"/>
      </w:pPr>
      <w:r>
        <w:t xml:space="preserve">87.  Przedmiotowe sprawy są również inne od spraw </w:t>
      </w:r>
      <w:r>
        <w:rPr>
          <w:i/>
          <w:iCs/>
        </w:rPr>
        <w:t>N.K.M. przeciwko Węgrom</w:t>
      </w:r>
      <w:r>
        <w:t xml:space="preserve">, </w:t>
      </w:r>
      <w:proofErr w:type="spellStart"/>
      <w:r>
        <w:rPr>
          <w:i/>
          <w:iCs/>
        </w:rPr>
        <w:t>Gáll</w:t>
      </w:r>
      <w:proofErr w:type="spellEnd"/>
      <w:r>
        <w:rPr>
          <w:i/>
          <w:iCs/>
        </w:rPr>
        <w:t xml:space="preserve"> </w:t>
      </w:r>
      <w:r>
        <w:rPr>
          <w:snapToGrid w:val="0"/>
        </w:rPr>
        <w:t xml:space="preserve">i </w:t>
      </w:r>
      <w:proofErr w:type="spellStart"/>
      <w:r>
        <w:rPr>
          <w:i/>
          <w:iCs/>
        </w:rPr>
        <w:t>R.Sz</w:t>
      </w:r>
      <w:proofErr w:type="spellEnd"/>
      <w:r>
        <w:rPr>
          <w:i/>
          <w:iCs/>
        </w:rPr>
        <w:t>. przeciwko Węgrom</w:t>
      </w:r>
      <w:r>
        <w:t xml:space="preserve">, </w:t>
      </w:r>
      <w:r w:rsidR="000279D6">
        <w:t>cyt.</w:t>
      </w:r>
      <w:r>
        <w:t xml:space="preserve"> powyżej, w których stwierdzono naruszenie </w:t>
      </w:r>
      <w:r w:rsidR="00A97A05">
        <w:t xml:space="preserve">art. </w:t>
      </w:r>
      <w:r>
        <w:t>1 Protokołu nr 1, ponieważ nałożenie wprowadzonego podatku z mocą wsteczną</w:t>
      </w:r>
      <w:r w:rsidR="00B84D3E">
        <w:t xml:space="preserve"> rzekomo</w:t>
      </w:r>
      <w:r>
        <w:t xml:space="preserve"> w </w:t>
      </w:r>
      <w:r w:rsidR="0051024F">
        <w:t>celu realizacji sprawiedliwości</w:t>
      </w:r>
      <w:r>
        <w:t xml:space="preserve"> </w:t>
      </w:r>
      <w:r w:rsidR="0051024F">
        <w:t>społecznej</w:t>
      </w:r>
      <w:r>
        <w:t xml:space="preserve"> pozbawiło skarżących większej części świadczenia w postaci odprawy, która była gwarantowan</w:t>
      </w:r>
      <w:r w:rsidR="00D566E3">
        <w:t>y</w:t>
      </w:r>
      <w:r w:rsidR="00B84D3E">
        <w:t>m</w:t>
      </w:r>
      <w:r>
        <w:t xml:space="preserve"> ustawowo</w:t>
      </w:r>
      <w:r w:rsidR="00D566E3">
        <w:t xml:space="preserve"> prawem nabytym służącym </w:t>
      </w:r>
      <w:r w:rsidR="008E235F">
        <w:t xml:space="preserve">szczególnemu </w:t>
      </w:r>
      <w:r w:rsidR="00D566E3">
        <w:t xml:space="preserve">celowi społecznemu </w:t>
      </w:r>
      <w:r>
        <w:t>ponownej integracji na</w:t>
      </w:r>
      <w:r w:rsidR="002E68E3">
        <w:t> </w:t>
      </w:r>
      <w:r>
        <w:t xml:space="preserve">rynku pracy (zob. </w:t>
      </w:r>
      <w:r>
        <w:rPr>
          <w:i/>
          <w:iCs/>
        </w:rPr>
        <w:t>N.K.M. przeciwko Węgrom</w:t>
      </w:r>
      <w:r>
        <w:t xml:space="preserve">, § 75; </w:t>
      </w:r>
      <w:proofErr w:type="spellStart"/>
      <w:r>
        <w:rPr>
          <w:i/>
          <w:iCs/>
        </w:rPr>
        <w:t>Gáll</w:t>
      </w:r>
      <w:proofErr w:type="spellEnd"/>
      <w:r>
        <w:t>, § 74; oraz</w:t>
      </w:r>
      <w:r w:rsidR="002E68E3">
        <w:t> </w:t>
      </w:r>
      <w:proofErr w:type="spellStart"/>
      <w:r>
        <w:rPr>
          <w:i/>
          <w:iCs/>
        </w:rPr>
        <w:t>R.Sz</w:t>
      </w:r>
      <w:proofErr w:type="spellEnd"/>
      <w:r>
        <w:rPr>
          <w:i/>
          <w:iCs/>
        </w:rPr>
        <w:t>. przeciwko Węgrom</w:t>
      </w:r>
      <w:r>
        <w:t>,  § 61).</w:t>
      </w:r>
    </w:p>
    <w:p w:rsidR="00FB413B" w:rsidRPr="00824331" w:rsidRDefault="00FB413B" w:rsidP="00952B84">
      <w:pPr>
        <w:pStyle w:val="ECHRPara"/>
      </w:pPr>
      <w:r>
        <w:t>88.  Wreszcie, nie można uznać, że rozważania, którymi kierował się ustawodawca w Niderlandach</w:t>
      </w:r>
      <w:r w:rsidR="00B84D3E">
        <w:t>,</w:t>
      </w:r>
      <w:r>
        <w:t xml:space="preserve"> działając w taki sposób</w:t>
      </w:r>
      <w:r w:rsidR="00B84D3E">
        <w:t>,</w:t>
      </w:r>
      <w:r>
        <w:t xml:space="preserve"> były „wyłącznie budżetowe”: podobnie jak Grecja, Portugalia i inne państwa członkowskie</w:t>
      </w:r>
      <w:r w:rsidR="00A97A05">
        <w:t xml:space="preserve"> </w:t>
      </w:r>
      <w:r>
        <w:t xml:space="preserve">Unii Europejskiej, Niderlandy </w:t>
      </w:r>
      <w:r w:rsidR="00B84D3E" w:rsidRPr="00F01D31">
        <w:t>starały się spełnić</w:t>
      </w:r>
      <w:r w:rsidR="001879E9">
        <w:t xml:space="preserve"> swe</w:t>
      </w:r>
      <w:r w:rsidR="00B84D3E">
        <w:t xml:space="preserve"> zobowiązania wynikające</w:t>
      </w:r>
      <w:r>
        <w:t xml:space="preserve"> z przepisów prawa Unii Europejskiej bez opóźnień, w</w:t>
      </w:r>
      <w:r w:rsidR="002E68E3">
        <w:t> </w:t>
      </w:r>
      <w:r>
        <w:t>okolicznościach utrudnionych kryzysem finansowym i gospodarczym o</w:t>
      </w:r>
      <w:r w:rsidR="002E68E3">
        <w:t> </w:t>
      </w:r>
      <w:r>
        <w:t>skali rzadko widywanej w okresie pokoju.</w:t>
      </w:r>
    </w:p>
    <w:p w:rsidR="00FB413B" w:rsidRPr="00952B84" w:rsidRDefault="00FB413B" w:rsidP="00952B84">
      <w:pPr>
        <w:pStyle w:val="ECHRHeading5"/>
      </w:pPr>
      <w:r>
        <w:t>ii.  Zarzucany brak indywidualnej oceny środków</w:t>
      </w:r>
    </w:p>
    <w:p w:rsidR="00FB413B" w:rsidRPr="00824331" w:rsidRDefault="00FB413B" w:rsidP="00952B84">
      <w:pPr>
        <w:pStyle w:val="ECHRPara"/>
      </w:pPr>
      <w:r>
        <w:t xml:space="preserve">89.  Pierwsze dwie skarżące spółki, P. </w:t>
      </w:r>
      <w:proofErr w:type="spellStart"/>
      <w:r>
        <w:t>Plaisier</w:t>
      </w:r>
      <w:proofErr w:type="spellEnd"/>
      <w:r>
        <w:t xml:space="preserve"> B.V. oraz D.E.M. Management Services B.V., to finansowe spółki holdingowe, zatrudniające po jednej osobie, która jest ich jedynym udziałowcem (zob. odpowiednio paragrafy 24 i 32)</w:t>
      </w:r>
      <w:r w:rsidR="008E235F">
        <w:t>. Żadna z nich nie twierdziła</w:t>
      </w:r>
      <w:r>
        <w:t>, że odniosła nieproporcjonalne szkody w wyniku daniny podatkowej od wysokich wynagrodzeń</w:t>
      </w:r>
      <w:r w:rsidR="00F54ECB">
        <w:t>,</w:t>
      </w:r>
      <w:r>
        <w:t xml:space="preserve"> ani</w:t>
      </w:r>
      <w:r w:rsidR="002E68E3">
        <w:t> </w:t>
      </w:r>
      <w:r w:rsidR="008E235F">
        <w:t xml:space="preserve"> </w:t>
      </w:r>
      <w:r>
        <w:t>nie</w:t>
      </w:r>
      <w:r w:rsidR="008E235F">
        <w:t xml:space="preserve"> podnosiła</w:t>
      </w:r>
      <w:r>
        <w:t>, że indywidualna ocena tego, czy dysponował</w:t>
      </w:r>
      <w:r w:rsidR="008E235F">
        <w:t xml:space="preserve">a </w:t>
      </w:r>
      <w:r>
        <w:t xml:space="preserve">środkami do zapłaty daniny, sprawiłaby jakąkolwiek różnicę w </w:t>
      </w:r>
      <w:r w:rsidR="00F54ECB">
        <w:t xml:space="preserve">jej </w:t>
      </w:r>
      <w:r>
        <w:t>przypadku.</w:t>
      </w:r>
    </w:p>
    <w:p w:rsidR="00FB413B" w:rsidRPr="00824331" w:rsidRDefault="00FB413B" w:rsidP="00952B84">
      <w:pPr>
        <w:pStyle w:val="ECHRPara"/>
      </w:pPr>
      <w:r>
        <w:t>90.  Trzeci</w:t>
      </w:r>
      <w:r w:rsidR="00F54ECB">
        <w:t>a</w:t>
      </w:r>
      <w:r>
        <w:t xml:space="preserve"> skarżąc</w:t>
      </w:r>
      <w:r w:rsidR="00F54ECB">
        <w:t>a</w:t>
      </w:r>
      <w:r>
        <w:t xml:space="preserve">, spółka </w:t>
      </w:r>
      <w:proofErr w:type="spellStart"/>
      <w:r>
        <w:t>Feyenoord</w:t>
      </w:r>
      <w:proofErr w:type="spellEnd"/>
      <w:r>
        <w:t xml:space="preserve"> Rotterdam N.V., pracodawca będący zawodowym klubem piłkarskim, którego wielu piłkarzy otrzymywało wysokie wynagrodzenia, podnosił</w:t>
      </w:r>
      <w:r w:rsidR="00F54ECB">
        <w:t>a</w:t>
      </w:r>
      <w:r>
        <w:t xml:space="preserve">, że danina zagroziła </w:t>
      </w:r>
      <w:r w:rsidR="00F54ECB">
        <w:t xml:space="preserve">jej </w:t>
      </w:r>
      <w:r>
        <w:t>istnieniu jako pracodawcy będącemu zawodowym klubem piłkarskim. Jednakże była w stanie pozyskać finansowanie zewnętrzne wystarczające do</w:t>
      </w:r>
      <w:r w:rsidR="002E68E3">
        <w:t> </w:t>
      </w:r>
      <w:r>
        <w:t>rozwiązania swych trudności (zob. paragraf 43 powyżej).</w:t>
      </w:r>
    </w:p>
    <w:p w:rsidR="00FB413B" w:rsidRPr="00824331" w:rsidRDefault="00FB413B" w:rsidP="00952B84">
      <w:pPr>
        <w:pStyle w:val="ECHRPara"/>
      </w:pPr>
      <w:r>
        <w:t xml:space="preserve">91. Trybunał odnotowuje, że spośród trzech skarżących tylko </w:t>
      </w:r>
      <w:proofErr w:type="spellStart"/>
      <w:r>
        <w:t>Feyenoord</w:t>
      </w:r>
      <w:proofErr w:type="spellEnd"/>
      <w:r>
        <w:t xml:space="preserve"> Rotterdam N.V. podnosił, że danina podatkowa od wysokich wynagrodzeń nałożona na niego stanowiła „indywidualne i nadmierne obciążenie”, naruszające </w:t>
      </w:r>
      <w:r w:rsidR="00A97A05">
        <w:t xml:space="preserve">art. </w:t>
      </w:r>
      <w:r>
        <w:t>1 Protokołu nr 1 (zob. paragrafy 46 i 48 powyżej). Argument ten został oceniony przez Sąd Apelacyjny w Hadze, który</w:t>
      </w:r>
      <w:r w:rsidR="002E68E3">
        <w:t> </w:t>
      </w:r>
      <w:r w:rsidR="00F54ECB">
        <w:t>szczegółowo rozważył</w:t>
      </w:r>
      <w:r>
        <w:t xml:space="preserve"> skutki środka dla ogólnej sytuacji finansowej </w:t>
      </w:r>
      <w:proofErr w:type="spellStart"/>
      <w:r>
        <w:t>Feyenoord</w:t>
      </w:r>
      <w:proofErr w:type="spellEnd"/>
      <w:r>
        <w:t xml:space="preserve"> Rotterdam N.V. przed od</w:t>
      </w:r>
      <w:r w:rsidR="00F54ECB">
        <w:t>daleniem</w:t>
      </w:r>
      <w:r>
        <w:t xml:space="preserve"> go (zob. paragraf 49 powyżej). Nie można zatem stwierdzić, że w przedmiotowej sprawie brak było indywidualnej oceny.</w:t>
      </w:r>
    </w:p>
    <w:p w:rsidR="00FB413B" w:rsidRPr="00952B84" w:rsidRDefault="00FB413B" w:rsidP="00952B84">
      <w:pPr>
        <w:pStyle w:val="ECHRHeading5"/>
      </w:pPr>
      <w:r>
        <w:lastRenderedPageBreak/>
        <w:t>iii.  Grupa podatników dotkniętych [daniną]</w:t>
      </w:r>
    </w:p>
    <w:p w:rsidR="00FB413B" w:rsidRPr="00824331" w:rsidRDefault="00FB413B" w:rsidP="00952B84">
      <w:pPr>
        <w:pStyle w:val="ECHRPara"/>
      </w:pPr>
      <w:r>
        <w:t>92.  Trybunał nie jest skłonny powątpiewać, że liczba pracodawców, którzy mogli sobie pozwolić</w:t>
      </w:r>
      <w:r w:rsidR="00F54ECB">
        <w:t xml:space="preserve">, by wśród </w:t>
      </w:r>
      <w:r>
        <w:t>pracowników</w:t>
      </w:r>
      <w:r w:rsidR="00F54ECB">
        <w:t xml:space="preserve"> mieć osoby</w:t>
      </w:r>
      <w:r>
        <w:t xml:space="preserve">, którym płacili ponad 150 000 EUR rocznie, była relatywnie niska w Niderlandach, oraz że </w:t>
      </w:r>
      <w:r w:rsidR="00A87A4B">
        <w:t xml:space="preserve">– stosownie do tego – </w:t>
      </w:r>
      <w:r>
        <w:t>danina podatkowa</w:t>
      </w:r>
      <w:r w:rsidR="00A87A4B">
        <w:t xml:space="preserve"> od wysokich wynagrodzeń dotknęła</w:t>
      </w:r>
      <w:r>
        <w:t xml:space="preserve"> tylko niewielką grupę podatników. Należy przyznać, że</w:t>
      </w:r>
      <w:r w:rsidR="002E68E3">
        <w:t> </w:t>
      </w:r>
      <w:r>
        <w:t>ustawodawca niderlandzki miał inne dostępne możliwości, takie</w:t>
      </w:r>
      <w:r w:rsidR="002E68E3">
        <w:t> </w:t>
      </w:r>
      <w:r>
        <w:t>jak</w:t>
      </w:r>
      <w:r w:rsidR="002E68E3">
        <w:t> </w:t>
      </w:r>
      <w:r>
        <w:t>wprowadzenie dodatkowego progu podatkowego mającego zastosowanie do wszystkich podatników zarabiających powyżej pewnej kwoty.</w:t>
      </w:r>
    </w:p>
    <w:p w:rsidR="00FB413B" w:rsidRPr="00824331" w:rsidRDefault="00FB413B" w:rsidP="00952B84">
      <w:pPr>
        <w:pStyle w:val="ECHRPara"/>
      </w:pPr>
      <w:r>
        <w:t>93.  Jednak z historii pr</w:t>
      </w:r>
      <w:r w:rsidR="00A87A4B">
        <w:t>ocesu legislacyjnego art. 32db u</w:t>
      </w:r>
      <w:r>
        <w:t>stawy o</w:t>
      </w:r>
      <w:r w:rsidR="002E68E3">
        <w:t> </w:t>
      </w:r>
      <w:r>
        <w:t xml:space="preserve">wynagrodzeniach (potrącenie podatku) z 1964 r. (zob. paragraf 18 powyżej), możliwość wprowadzenia dodatkowego progu podatkowego, który </w:t>
      </w:r>
      <w:r w:rsidR="00A87A4B">
        <w:t xml:space="preserve">objąłby </w:t>
      </w:r>
      <w:r>
        <w:t xml:space="preserve">wysoko opłacanych pracowników, samozatrudnionych </w:t>
      </w:r>
      <w:r w:rsidR="00A87A4B">
        <w:t>pracowników o wysokich dochodach</w:t>
      </w:r>
      <w:r>
        <w:t xml:space="preserve"> oraz </w:t>
      </w:r>
      <w:r w:rsidR="00A87A4B">
        <w:t>niezależne bogate osoby</w:t>
      </w:r>
      <w:r>
        <w:t>, była rozważana, lecz została odrzucona. W świetle podanych przyczyn – tj.</w:t>
      </w:r>
      <w:r w:rsidR="002E68E3">
        <w:t> </w:t>
      </w:r>
      <w:r>
        <w:t xml:space="preserve">tymczasowości środka oraz spodziewanych </w:t>
      </w:r>
      <w:r w:rsidR="00A87A4B">
        <w:t xml:space="preserve">zwiększonych </w:t>
      </w:r>
      <w:r>
        <w:t>trudności w</w:t>
      </w:r>
      <w:r w:rsidR="002E68E3">
        <w:t> </w:t>
      </w:r>
      <w:r>
        <w:t>przyciąganiu nowego biznesu – wybór ten, wedle opinii Trybunału, nie</w:t>
      </w:r>
      <w:r w:rsidR="002E68E3">
        <w:t> </w:t>
      </w:r>
      <w:r>
        <w:t>może zostać odrzucony jako pozbawiony uzasadnienia.</w:t>
      </w:r>
    </w:p>
    <w:p w:rsidR="00FB413B" w:rsidRPr="00952B84" w:rsidRDefault="00FB413B" w:rsidP="00952B84">
      <w:pPr>
        <w:pStyle w:val="ECHRHeading5"/>
      </w:pPr>
      <w:r>
        <w:t xml:space="preserve">iv.  Nieproporcjonalny wpływ środka w porównaniu z rzeczywistymi </w:t>
      </w:r>
      <w:r w:rsidR="00E55538">
        <w:t>przychodami</w:t>
      </w:r>
    </w:p>
    <w:p w:rsidR="00FB413B" w:rsidRPr="00824331" w:rsidRDefault="00FB413B" w:rsidP="00952B84">
      <w:pPr>
        <w:pStyle w:val="ECHRPara"/>
      </w:pPr>
      <w:r>
        <w:t xml:space="preserve">94.  W sprawie </w:t>
      </w:r>
      <w:proofErr w:type="spellStart"/>
      <w:r>
        <w:rPr>
          <w:i/>
          <w:iCs/>
        </w:rPr>
        <w:t>Mamatas</w:t>
      </w:r>
      <w:proofErr w:type="spellEnd"/>
      <w:r>
        <w:rPr>
          <w:i/>
          <w:iCs/>
        </w:rPr>
        <w:t xml:space="preserve"> i </w:t>
      </w:r>
      <w:r w:rsidR="00B27E2A">
        <w:rPr>
          <w:i/>
          <w:iCs/>
        </w:rPr>
        <w:t>Inni</w:t>
      </w:r>
      <w:r>
        <w:t xml:space="preserve"> skarżący podnosili</w:t>
      </w:r>
      <w:r w:rsidR="008E235F">
        <w:t>,</w:t>
      </w:r>
      <w:r>
        <w:t xml:space="preserve"> podobnie jak</w:t>
      </w:r>
      <w:r w:rsidR="002E68E3">
        <w:t> </w:t>
      </w:r>
      <w:r>
        <w:t>skarżące spółki w niniejszej sprawie, że pozytywny skutek środka, którym zostali objęci –</w:t>
      </w:r>
      <w:r w:rsidR="008E235F">
        <w:t xml:space="preserve"> </w:t>
      </w:r>
      <w:r w:rsidR="008424FE">
        <w:t xml:space="preserve">a </w:t>
      </w:r>
      <w:r w:rsidR="008E235F">
        <w:t>mianowicie</w:t>
      </w:r>
      <w:r>
        <w:t xml:space="preserve"> </w:t>
      </w:r>
      <w:r w:rsidR="00E55538">
        <w:t>ob</w:t>
      </w:r>
      <w:r w:rsidR="008E235F">
        <w:t>jęcia</w:t>
      </w:r>
      <w:r w:rsidR="00E55538">
        <w:t xml:space="preserve"> </w:t>
      </w:r>
      <w:r>
        <w:t xml:space="preserve">prywatnych inwestorów </w:t>
      </w:r>
      <w:r w:rsidR="00E55538">
        <w:t>tzw.</w:t>
      </w:r>
      <w:r w:rsidR="002E68E3">
        <w:t> </w:t>
      </w:r>
      <w:r w:rsidR="00E55538">
        <w:t>„postrzyżynami</w:t>
      </w:r>
      <w:r>
        <w:t>”</w:t>
      </w:r>
      <w:r w:rsidR="00E55538">
        <w:t>,</w:t>
      </w:r>
      <w:r>
        <w:t xml:space="preserve"> mimo iż </w:t>
      </w:r>
      <w:r w:rsidR="008424FE">
        <w:t xml:space="preserve">w przeciwieństwie do inwestorów instytucjonalnych </w:t>
      </w:r>
      <w:r>
        <w:t xml:space="preserve">nie mieli </w:t>
      </w:r>
      <w:r w:rsidR="008424FE">
        <w:t xml:space="preserve">oni </w:t>
      </w:r>
      <w:r>
        <w:t>prawa głosu w negocjacjach</w:t>
      </w:r>
      <w:r w:rsidR="008424FE">
        <w:t xml:space="preserve"> </w:t>
      </w:r>
      <w:r>
        <w:t>– był minimalny. Argumentowali, że obniżenie długu publicznego Grecji było nie większe niż</w:t>
      </w:r>
      <w:r w:rsidR="002E68E3">
        <w:t> </w:t>
      </w:r>
      <w:r>
        <w:t xml:space="preserve">0,7 - 0,8%; </w:t>
      </w:r>
      <w:r w:rsidR="00E55538">
        <w:t xml:space="preserve">w przeciwieństwie do tego </w:t>
      </w:r>
      <w:r>
        <w:t xml:space="preserve">odpowiadająca </w:t>
      </w:r>
      <w:r w:rsidR="00E55538">
        <w:t xml:space="preserve">temu </w:t>
      </w:r>
      <w:r>
        <w:t>strata dla małych oszczędzających takich jak oni sami, a także problemy społeczne, jakie to spowodowało, były znaczne (zob. § 75 wyroku). Ze</w:t>
      </w:r>
      <w:r w:rsidR="002E68E3">
        <w:t> </w:t>
      </w:r>
      <w:r>
        <w:t>swojej strony Trybunał uznał, że zaangażowanie skarżących w</w:t>
      </w:r>
      <w:r w:rsidR="002E68E3">
        <w:t> </w:t>
      </w:r>
      <w:r>
        <w:t>„postrzyżyny” było nieuniknioną częścią restrukturyzacji długu publicznego Grecji i z tego względu było stosowne i niezbędne (zob.</w:t>
      </w:r>
      <w:r w:rsidR="002E68E3">
        <w:t> </w:t>
      </w:r>
      <w:r>
        <w:t>paragrafy 115-116).</w:t>
      </w:r>
    </w:p>
    <w:p w:rsidR="00FB413B" w:rsidRPr="00824331" w:rsidRDefault="00FB413B" w:rsidP="00952B84">
      <w:pPr>
        <w:pStyle w:val="ECHRPara"/>
      </w:pPr>
      <w:r>
        <w:t>95.  Przyjmując inną perspektywę, Trybunał odnotowuje, że wkład przychodu spodziewanego z daniny podatkowej od wysokich wynagrodzeń w obniżenie deficytu budżetowego na 2013 rok (tj. 500 milionów EUR z</w:t>
      </w:r>
      <w:r w:rsidR="002E68E3">
        <w:t> </w:t>
      </w:r>
      <w:r>
        <w:t>12,4 miliardów EUR – zob. paragr</w:t>
      </w:r>
      <w:r w:rsidR="0028005E">
        <w:t>afy 8 i 16 powyżej) przekraczał</w:t>
      </w:r>
      <w:r>
        <w:t xml:space="preserve"> 4%, </w:t>
      </w:r>
      <w:r w:rsidR="0028005E">
        <w:t>a</w:t>
      </w:r>
      <w:r w:rsidR="002E68E3">
        <w:t> </w:t>
      </w:r>
      <w:r w:rsidR="0028005E">
        <w:t xml:space="preserve">więc </w:t>
      </w:r>
      <w:r w:rsidR="008424FE">
        <w:t>był to udział, którego</w:t>
      </w:r>
      <w:r>
        <w:t xml:space="preserve"> Trybunał nie jest </w:t>
      </w:r>
      <w:r w:rsidR="008424FE">
        <w:t>skłonny uznać za nieistotny</w:t>
      </w:r>
      <w:r>
        <w:t>.</w:t>
      </w:r>
    </w:p>
    <w:p w:rsidR="00FB413B" w:rsidRPr="00824331" w:rsidRDefault="00FB413B" w:rsidP="00952B84">
      <w:pPr>
        <w:pStyle w:val="ECHRPara"/>
      </w:pPr>
      <w:r>
        <w:t>96.  Dodatkowo, choć patrząc w wymiarze procentowym pozytywny skutek tego środka w przedmiotowych sprawach mógł być w podobnym rzędzie wielkości w porównaniu z całkowitym długiem publicznym, nie</w:t>
      </w:r>
      <w:r w:rsidR="002E68E3">
        <w:t> </w:t>
      </w:r>
      <w:r>
        <w:t xml:space="preserve">wydaje się, by jego indywidualny wpływ na przedmiotowe skarżące </w:t>
      </w:r>
      <w:r>
        <w:lastRenderedPageBreak/>
        <w:t>spółki był aż tak dramatyczny jak ten wywarty przez „postrzyżyny” na</w:t>
      </w:r>
      <w:r w:rsidR="002E68E3">
        <w:t> </w:t>
      </w:r>
      <w:r>
        <w:t>prywatnych inwestorów posiadających obligacje greckiego rządu. Również z tego względu nie jest możliwe, by Trybunał stwierdził, że</w:t>
      </w:r>
      <w:r w:rsidR="002E68E3">
        <w:t> </w:t>
      </w:r>
      <w:r w:rsidR="00F0727C">
        <w:t>szkoda</w:t>
      </w:r>
      <w:r>
        <w:t xml:space="preserve"> wyrządzona przez przedmiotowy środek była nieproporcjonalna do osiągniętych korzyści.</w:t>
      </w:r>
    </w:p>
    <w:p w:rsidR="00FB413B" w:rsidRPr="00824331" w:rsidRDefault="00FB413B" w:rsidP="00952B84">
      <w:pPr>
        <w:pStyle w:val="ECHRPara"/>
      </w:pPr>
      <w:r>
        <w:t>97.  Wreszcie, bardziej ogólnie, Trybunał nie może zaakceptować argumentu skarżących, zgodnie z którym sporna ingerencja legislacyjna dotknęła tak niewielu podatników, że jej wpływ na budżet państwa był minimalny i że inne środki przyniosłyby bardziej znaczące dochody. W</w:t>
      </w:r>
      <w:r w:rsidR="002E68E3">
        <w:t> </w:t>
      </w:r>
      <w:r>
        <w:t xml:space="preserve">związku z tym przypomina, że </w:t>
      </w:r>
      <w:r w:rsidR="00F0727C">
        <w:t>jeśli</w:t>
      </w:r>
      <w:r>
        <w:t xml:space="preserve"> ustawodawca wybrał metodę, którą</w:t>
      </w:r>
      <w:r w:rsidR="002E68E3">
        <w:t> </w:t>
      </w:r>
      <w:r>
        <w:t xml:space="preserve">można uznać za rozsądną i </w:t>
      </w:r>
      <w:r w:rsidR="00F0727C">
        <w:t xml:space="preserve">nadającą się do </w:t>
      </w:r>
      <w:r>
        <w:t xml:space="preserve">osiągnięcia </w:t>
      </w:r>
      <w:r w:rsidR="00F0727C">
        <w:t xml:space="preserve">uprawnionego </w:t>
      </w:r>
      <w:r>
        <w:t>celu, to nie do Trybunału należy stwierdz</w:t>
      </w:r>
      <w:r w:rsidR="00F0727C">
        <w:t>enie, czy dane przepisy stanowiły</w:t>
      </w:r>
      <w:r>
        <w:t xml:space="preserve"> najlepsze rozwiązanie problemu, czy też swoboda legislacyjna powinna była zostać zastosowana w inny sposób (zob. </w:t>
      </w:r>
      <w:r>
        <w:rPr>
          <w:i/>
          <w:iCs/>
        </w:rPr>
        <w:t xml:space="preserve">James i </w:t>
      </w:r>
      <w:r w:rsidR="00B27E2A">
        <w:rPr>
          <w:i/>
          <w:iCs/>
        </w:rPr>
        <w:t>Inni</w:t>
      </w:r>
      <w:r>
        <w:t>, cyt. powyżej, §</w:t>
      </w:r>
      <w:r w:rsidR="002E68E3">
        <w:t> </w:t>
      </w:r>
      <w:r>
        <w:t>51).</w:t>
      </w:r>
    </w:p>
    <w:p w:rsidR="00FB413B" w:rsidRPr="00952B84" w:rsidRDefault="00FB413B" w:rsidP="00952B84">
      <w:pPr>
        <w:pStyle w:val="ECHRHeading4"/>
      </w:pPr>
      <w:r>
        <w:t>(e) Podsumowanie</w:t>
      </w:r>
    </w:p>
    <w:p w:rsidR="00FB413B" w:rsidRPr="00824331" w:rsidRDefault="00FB413B" w:rsidP="00952B84">
      <w:pPr>
        <w:pStyle w:val="ECHRPara"/>
      </w:pPr>
      <w:r>
        <w:t>98.  Biorąc pod uwagę</w:t>
      </w:r>
      <w:r w:rsidR="004518FE">
        <w:t xml:space="preserve"> margines oceny, jaki</w:t>
      </w:r>
      <w:r>
        <w:t xml:space="preserve"> </w:t>
      </w:r>
      <w:r w:rsidR="00A97A05">
        <w:t xml:space="preserve">Państwa </w:t>
      </w:r>
      <w:r>
        <w:t>posiadają w</w:t>
      </w:r>
      <w:r w:rsidR="002E68E3">
        <w:t> </w:t>
      </w:r>
      <w:r>
        <w:t>kwestiach podatkowych, Trybunał uważa, że środki pod</w:t>
      </w:r>
      <w:r w:rsidR="004518FE">
        <w:t>jęte</w:t>
      </w:r>
      <w:r>
        <w:t xml:space="preserve"> przez</w:t>
      </w:r>
      <w:r w:rsidR="002E68E3">
        <w:t> </w:t>
      </w:r>
      <w:r>
        <w:t xml:space="preserve">pozwane Układające się Państwo nie naruszyły równowagi, jaką należy osiągnąć pomiędzy wymogami interesu publicznego a ochroną praw skarżących spółek. Z tego wynika, że ta część skargi jest </w:t>
      </w:r>
      <w:r w:rsidRPr="00722784">
        <w:t>w sposób oczywisty nieuzasadniona</w:t>
      </w:r>
      <w:r>
        <w:t xml:space="preserve"> </w:t>
      </w:r>
      <w:r w:rsidR="00A97A05">
        <w:t>i zgodnie z art. 35 ust. 3 lit. a</w:t>
      </w:r>
      <w:r>
        <w:t xml:space="preserve"> i</w:t>
      </w:r>
      <w:r w:rsidR="00A97A05">
        <w:t xml:space="preserve"> ust.</w:t>
      </w:r>
      <w:r>
        <w:t xml:space="preserve"> 4 Konwencji winna być odrzucona.</w:t>
      </w:r>
    </w:p>
    <w:p w:rsidR="00FB413B" w:rsidRPr="00952B84" w:rsidRDefault="00FB413B" w:rsidP="00952B84">
      <w:pPr>
        <w:pStyle w:val="ECHRHeading2"/>
      </w:pPr>
      <w:r>
        <w:t xml:space="preserve">C. </w:t>
      </w:r>
      <w:r w:rsidR="004518FE">
        <w:t xml:space="preserve">Zarzuty </w:t>
      </w:r>
      <w:r>
        <w:t xml:space="preserve">z </w:t>
      </w:r>
      <w:r w:rsidR="00A97A05">
        <w:t xml:space="preserve">art. </w:t>
      </w:r>
      <w:r>
        <w:t xml:space="preserve">14 Konwencji w związku z </w:t>
      </w:r>
      <w:r w:rsidR="00A97A05">
        <w:t xml:space="preserve">art. </w:t>
      </w:r>
      <w:r>
        <w:t>1 Protokołu nr 1</w:t>
      </w:r>
    </w:p>
    <w:p w:rsidR="00FB413B" w:rsidRPr="00952B84" w:rsidRDefault="00FB413B" w:rsidP="00952B84">
      <w:pPr>
        <w:pStyle w:val="ECHRPara"/>
      </w:pPr>
      <w:r>
        <w:t>99.  Skarżące spółki skarżyły się na dyskryminację w porównaniu do</w:t>
      </w:r>
      <w:r w:rsidR="002E68E3">
        <w:t> </w:t>
      </w:r>
      <w:r>
        <w:t>pracodawców, którzy nie wypłacali żadnym pracownikom wynagrodzeń wyż</w:t>
      </w:r>
      <w:r w:rsidR="004518FE">
        <w:t>szych niż 150 000 EUR. Podnosiły</w:t>
      </w:r>
      <w:r>
        <w:t xml:space="preserve"> również, że dyskryminowano</w:t>
      </w:r>
      <w:r w:rsidR="004518FE">
        <w:t xml:space="preserve"> je</w:t>
      </w:r>
      <w:r w:rsidR="002E68E3">
        <w:t> </w:t>
      </w:r>
      <w:r>
        <w:t>w</w:t>
      </w:r>
      <w:r w:rsidR="002E68E3">
        <w:t> </w:t>
      </w:r>
      <w:r>
        <w:t>porównaniu do pracodawców, którzy zatrudniali osobę tylko przez</w:t>
      </w:r>
      <w:r w:rsidR="002E68E3">
        <w:t> </w:t>
      </w:r>
      <w:r>
        <w:t>część roku 2012, mimo że całkowite wynagrodzenie danej osoby, wraz z tym wypłacanym przez innego pracodawcę, mogło wynieść więcej niż 150 000 EUR, oraz w porównaniu do podatników, którzy nie byli pracodawcami.</w:t>
      </w:r>
    </w:p>
    <w:p w:rsidR="00FB413B" w:rsidRPr="00952B84" w:rsidRDefault="00FB413B" w:rsidP="00952B84">
      <w:pPr>
        <w:pStyle w:val="ECHRPara"/>
      </w:pPr>
      <w:r>
        <w:t>100.  </w:t>
      </w:r>
      <w:r w:rsidR="00A97A05">
        <w:t xml:space="preserve">Art. </w:t>
      </w:r>
      <w:r>
        <w:t>14 Konwencji brzmi:</w:t>
      </w:r>
    </w:p>
    <w:p w:rsidR="00FB413B" w:rsidRPr="00952B84" w:rsidRDefault="00FB413B" w:rsidP="00952B84">
      <w:pPr>
        <w:pStyle w:val="ECHRParaQuote"/>
      </w:pPr>
      <w:r>
        <w:t>„Korzystanie z praw i wolności wymienionych w niniejszej konwencji powinno być zapewnione bez dyskryminacji wynikającej z takich powodów, jak płeć, rasa, kolor skóry, język, religia, przekonania polityczne i inne, pochodzenie narodowe lub</w:t>
      </w:r>
      <w:r w:rsidR="002E68E3">
        <w:t> </w:t>
      </w:r>
      <w:r>
        <w:t>społeczne, przynależność do mniejszości narodowej, majątek, urodzenie bądź z</w:t>
      </w:r>
      <w:r w:rsidR="002E68E3">
        <w:t> </w:t>
      </w:r>
      <w:r>
        <w:t>jakichkolwiek innych przyczyn.”</w:t>
      </w:r>
    </w:p>
    <w:p w:rsidR="00FB413B" w:rsidRPr="00952B84" w:rsidRDefault="00FB413B" w:rsidP="00952B84">
      <w:pPr>
        <w:pStyle w:val="ECHRPara"/>
      </w:pPr>
      <w:r>
        <w:t xml:space="preserve">101.  Trybunał </w:t>
      </w:r>
      <w:r w:rsidR="00CD19C7">
        <w:t>zauważa, że przedmiotowa skarga</w:t>
      </w:r>
      <w:r>
        <w:t xml:space="preserve"> </w:t>
      </w:r>
      <w:r w:rsidR="00CD19C7">
        <w:t xml:space="preserve">zasadniczo pokrywa się ze </w:t>
      </w:r>
      <w:r>
        <w:t xml:space="preserve">skargą, że danina podatkowa od wysokich wynagrodzeń dotyczyła tylko małej grupy pracodawców. Uważa, że niniejsza skarga została </w:t>
      </w:r>
      <w:r w:rsidR="00CD19C7">
        <w:t xml:space="preserve">już </w:t>
      </w:r>
      <w:r>
        <w:lastRenderedPageBreak/>
        <w:t xml:space="preserve">odpowiednio rozważona w </w:t>
      </w:r>
      <w:r w:rsidR="00CD19C7">
        <w:t xml:space="preserve">rozstrzygnięciu </w:t>
      </w:r>
      <w:r>
        <w:t xml:space="preserve">dotyczącym </w:t>
      </w:r>
      <w:r w:rsidR="00A97A05">
        <w:t xml:space="preserve">art. </w:t>
      </w:r>
      <w:r>
        <w:t>1 Protokołu nr 1 rozpatrywanego samodzielnie (zob. paragrafy 92 i 93 powyżej).</w:t>
      </w:r>
    </w:p>
    <w:p w:rsidR="00FB413B" w:rsidRPr="00952B84" w:rsidRDefault="00FB413B" w:rsidP="00952B84">
      <w:pPr>
        <w:pStyle w:val="ECHRPara"/>
      </w:pPr>
      <w:r>
        <w:t>102.  </w:t>
      </w:r>
      <w:r w:rsidR="00CD19C7">
        <w:t>W związku z powyższym</w:t>
      </w:r>
      <w:r>
        <w:t xml:space="preserve"> ta część skargi również jest </w:t>
      </w:r>
      <w:r w:rsidRPr="00722784">
        <w:t>w sposób oczywisty nieuzasadniona</w:t>
      </w:r>
      <w:r>
        <w:t xml:space="preserve"> i zgodnie z art. 35 </w:t>
      </w:r>
      <w:r w:rsidR="00A97A05">
        <w:t xml:space="preserve">ust. </w:t>
      </w:r>
      <w:r>
        <w:t xml:space="preserve">3 lit. a i </w:t>
      </w:r>
      <w:r w:rsidR="00A97A05">
        <w:t xml:space="preserve">ust. </w:t>
      </w:r>
      <w:r>
        <w:t>4 Konwencji winna być odrzucona.</w:t>
      </w:r>
    </w:p>
    <w:p w:rsidR="00FB413B" w:rsidRPr="00952B84" w:rsidRDefault="00FB413B" w:rsidP="00952B84">
      <w:pPr>
        <w:pStyle w:val="JuParaLast"/>
      </w:pPr>
      <w:r>
        <w:t>Z tych względów Trybunał jednogłośnie</w:t>
      </w:r>
    </w:p>
    <w:p w:rsidR="00FB413B" w:rsidRPr="00952B84" w:rsidRDefault="00FB413B" w:rsidP="00952B84">
      <w:pPr>
        <w:pStyle w:val="DecList"/>
      </w:pPr>
      <w:r>
        <w:rPr>
          <w:i/>
          <w:iCs/>
        </w:rPr>
        <w:t>Decyduje</w:t>
      </w:r>
      <w:r>
        <w:t xml:space="preserve"> o połączeniu skarg;</w:t>
      </w:r>
    </w:p>
    <w:p w:rsidR="00FB413B" w:rsidRPr="00952B84" w:rsidRDefault="00FB413B" w:rsidP="00952B84">
      <w:pPr>
        <w:pStyle w:val="DecList"/>
      </w:pPr>
      <w:r>
        <w:rPr>
          <w:i/>
          <w:iCs/>
        </w:rPr>
        <w:t>Uznaje</w:t>
      </w:r>
      <w:r>
        <w:t xml:space="preserve"> skargi za niedopuszczalne.</w:t>
      </w:r>
    </w:p>
    <w:p w:rsidR="00FB413B" w:rsidRPr="00FB413B" w:rsidRDefault="00FB413B" w:rsidP="00952B84">
      <w:pPr>
        <w:pStyle w:val="ECHRPara"/>
        <w:rPr>
          <w:sz w:val="2"/>
          <w:szCs w:val="2"/>
          <w:lang w:eastAsia="x-none"/>
        </w:rPr>
      </w:pPr>
    </w:p>
    <w:p w:rsidR="00FB413B" w:rsidRPr="00952B84" w:rsidRDefault="00FB413B" w:rsidP="00952B84">
      <w:pPr>
        <w:pStyle w:val="DecList"/>
      </w:pPr>
      <w:r>
        <w:t>Sporządzono w języku angielskim i obwieszczono pisemnie w dniu 7</w:t>
      </w:r>
      <w:r w:rsidR="002E68E3">
        <w:t> </w:t>
      </w:r>
      <w:r>
        <w:t>grudnia 2017 r.</w:t>
      </w:r>
    </w:p>
    <w:p w:rsidR="00FB413B" w:rsidRPr="00952B84" w:rsidRDefault="00FB413B" w:rsidP="00952B84">
      <w:pPr>
        <w:pStyle w:val="JuSigned"/>
      </w:pPr>
      <w:r>
        <w:tab/>
      </w:r>
      <w:proofErr w:type="spellStart"/>
      <w:r>
        <w:t>Fatoş</w:t>
      </w:r>
      <w:proofErr w:type="spellEnd"/>
      <w:r>
        <w:t xml:space="preserve"> </w:t>
      </w:r>
      <w:proofErr w:type="spellStart"/>
      <w:r>
        <w:t>Aracı</w:t>
      </w:r>
      <w:proofErr w:type="spellEnd"/>
      <w:r>
        <w:tab/>
        <w:t xml:space="preserve">Helena </w:t>
      </w:r>
      <w:proofErr w:type="spellStart"/>
      <w:r>
        <w:t>Jäderblom</w:t>
      </w:r>
      <w:proofErr w:type="spellEnd"/>
      <w:r>
        <w:br/>
      </w:r>
      <w:r>
        <w:tab/>
        <w:t>Zastępca Kanclerza</w:t>
      </w:r>
      <w:r>
        <w:tab/>
        <w:t>Przewodniczący</w:t>
      </w:r>
    </w:p>
    <w:p w:rsidR="00FB413B" w:rsidRPr="00952B84" w:rsidRDefault="00FB413B" w:rsidP="00952B84">
      <w:r>
        <w:br w:type="page"/>
      </w:r>
    </w:p>
    <w:p w:rsidR="00FB413B" w:rsidRPr="00824331" w:rsidRDefault="00FB413B" w:rsidP="00952B84">
      <w:pPr>
        <w:jc w:val="center"/>
      </w:pPr>
      <w:r>
        <w:lastRenderedPageBreak/>
        <w:t>ZAŁĄCZNIK</w:t>
      </w:r>
    </w:p>
    <w:p w:rsidR="00FB413B" w:rsidRPr="00824331" w:rsidRDefault="00FB413B" w:rsidP="00952B84">
      <w:pPr>
        <w:jc w:val="center"/>
      </w:pPr>
    </w:p>
    <w:p w:rsidR="00FB413B" w:rsidRPr="00824331" w:rsidRDefault="00FB413B" w:rsidP="00952B84">
      <w:pPr>
        <w:jc w:val="center"/>
      </w:pPr>
      <w:r>
        <w:t>Lista skarżących</w:t>
      </w:r>
    </w:p>
    <w:p w:rsidR="00FB413B" w:rsidRPr="00824331" w:rsidRDefault="00FB413B" w:rsidP="00952B84">
      <w:pPr>
        <w:jc w:val="center"/>
      </w:pPr>
    </w:p>
    <w:p w:rsidR="00FB413B" w:rsidRPr="00824331" w:rsidRDefault="00FB413B" w:rsidP="00952B84">
      <w:r>
        <w:t>1. 46184/16</w:t>
      </w:r>
      <w:r>
        <w:tab/>
        <w:t xml:space="preserve">P. </w:t>
      </w:r>
      <w:proofErr w:type="spellStart"/>
      <w:r>
        <w:t>Plaisier</w:t>
      </w:r>
      <w:proofErr w:type="spellEnd"/>
      <w:r>
        <w:t xml:space="preserve"> B.V. przeciwko Niderlandom</w:t>
      </w:r>
    </w:p>
    <w:p w:rsidR="00FB413B" w:rsidRPr="00824331" w:rsidRDefault="00FB413B" w:rsidP="00952B84">
      <w:r>
        <w:t>2. 47789/16</w:t>
      </w:r>
      <w:r>
        <w:tab/>
        <w:t>D.E.M. Management Services B.V. przeciwko Niderlandom</w:t>
      </w:r>
    </w:p>
    <w:p w:rsidR="00FB413B" w:rsidRPr="00824331" w:rsidRDefault="00FB413B" w:rsidP="00952B84">
      <w:r>
        <w:t>3. 19958/17</w:t>
      </w:r>
      <w:r>
        <w:tab/>
      </w:r>
      <w:proofErr w:type="spellStart"/>
      <w:r>
        <w:t>Feyenoord</w:t>
      </w:r>
      <w:proofErr w:type="spellEnd"/>
      <w:r>
        <w:t xml:space="preserve"> Rotterdam N.V. przeciwko Niderlandom</w:t>
      </w:r>
    </w:p>
    <w:p w:rsidR="00FB413B" w:rsidRPr="00824331" w:rsidRDefault="00FB413B" w:rsidP="00952B84">
      <w:pPr>
        <w:jc w:val="left"/>
      </w:pPr>
    </w:p>
    <w:sectPr w:rsidR="00FB413B" w:rsidRPr="00824331" w:rsidSect="0076040F">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D38" w:rsidRPr="00700638" w:rsidRDefault="00056D38" w:rsidP="005C4C1E">
      <w:pPr>
        <w:rPr>
          <w:lang w:val="en-GB"/>
        </w:rPr>
      </w:pPr>
      <w:r w:rsidRPr="00700638">
        <w:rPr>
          <w:lang w:val="en-GB"/>
        </w:rPr>
        <w:separator/>
      </w:r>
    </w:p>
  </w:endnote>
  <w:endnote w:type="continuationSeparator" w:id="0">
    <w:p w:rsidR="00056D38" w:rsidRPr="00700638" w:rsidRDefault="00056D38" w:rsidP="005C4C1E">
      <w:pPr>
        <w:rPr>
          <w:lang w:val="en-GB"/>
        </w:rPr>
      </w:pPr>
      <w:r w:rsidRPr="00700638">
        <w:rPr>
          <w:lang w:val="en-GB"/>
        </w:rPr>
        <w:continuationSeparator/>
      </w:r>
    </w:p>
  </w:endnote>
  <w:endnote w:type="continuationNotice" w:id="1">
    <w:p w:rsidR="00056D38" w:rsidRDefault="00056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36D" w:rsidRDefault="004B236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36D" w:rsidRDefault="004B236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13B" w:rsidRPr="009E5CE2" w:rsidRDefault="00377094" w:rsidP="0020718E">
    <w:pPr>
      <w:jc w:val="center"/>
    </w:pPr>
    <w:r>
      <w:rPr>
        <w:noProof/>
        <w:lang w:eastAsia="pl-PL"/>
      </w:rPr>
      <w:drawing>
        <wp:inline distT="0" distB="0" distL="0" distR="0">
          <wp:extent cx="762000" cy="617220"/>
          <wp:effectExtent l="0" t="0" r="0" b="0"/>
          <wp:docPr id="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rsidR="00FB413B" w:rsidRPr="00700638" w:rsidRDefault="00FB413B"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D38" w:rsidRPr="00700638" w:rsidRDefault="00056D38" w:rsidP="005C4C1E">
      <w:pPr>
        <w:rPr>
          <w:lang w:val="en-GB"/>
        </w:rPr>
      </w:pPr>
      <w:r w:rsidRPr="00700638">
        <w:rPr>
          <w:lang w:val="en-GB"/>
        </w:rPr>
        <w:separator/>
      </w:r>
    </w:p>
  </w:footnote>
  <w:footnote w:type="continuationSeparator" w:id="0">
    <w:p w:rsidR="00056D38" w:rsidRPr="00700638" w:rsidRDefault="00056D38" w:rsidP="005C4C1E">
      <w:pPr>
        <w:rPr>
          <w:lang w:val="en-GB"/>
        </w:rPr>
      </w:pPr>
      <w:r w:rsidRPr="00700638">
        <w:rPr>
          <w:lang w:val="en-GB"/>
        </w:rPr>
        <w:continuationSeparator/>
      </w:r>
    </w:p>
  </w:footnote>
  <w:footnote w:type="continuationNotice" w:id="1">
    <w:p w:rsidR="00056D38" w:rsidRDefault="00056D38"/>
  </w:footnote>
  <w:footnote w:id="2">
    <w:p w:rsidR="004234FC" w:rsidRPr="00A97A05" w:rsidRDefault="00FB413B" w:rsidP="00DF79E4">
      <w:pPr>
        <w:pStyle w:val="s50c0b1c7"/>
        <w:jc w:val="both"/>
        <w:rPr>
          <w:lang w:val="en-GB"/>
        </w:rPr>
      </w:pPr>
      <w:r>
        <w:rPr>
          <w:rStyle w:val="Odwoanieprzypisudolnego"/>
          <w:rFonts w:eastAsia="MS Gothic"/>
          <w:sz w:val="20"/>
          <w:szCs w:val="20"/>
        </w:rPr>
        <w:footnoteRef/>
      </w:r>
      <w:r w:rsidRPr="00FB413B">
        <w:rPr>
          <w:lang w:val="en-US"/>
        </w:rPr>
        <w:t xml:space="preserve"> </w:t>
      </w:r>
      <w:proofErr w:type="spellStart"/>
      <w:r w:rsidRPr="00FB413B">
        <w:rPr>
          <w:sz w:val="20"/>
          <w:szCs w:val="20"/>
          <w:lang w:val="en-US"/>
        </w:rPr>
        <w:t>Źródło</w:t>
      </w:r>
      <w:proofErr w:type="spellEnd"/>
      <w:r w:rsidRPr="00FB413B">
        <w:rPr>
          <w:sz w:val="20"/>
          <w:szCs w:val="20"/>
          <w:lang w:val="en-US"/>
        </w:rPr>
        <w:t xml:space="preserve">: </w:t>
      </w:r>
      <w:proofErr w:type="spellStart"/>
      <w:r w:rsidRPr="00FB413B">
        <w:rPr>
          <w:sz w:val="20"/>
          <w:szCs w:val="20"/>
          <w:lang w:val="en-US"/>
        </w:rPr>
        <w:t>Komunikat</w:t>
      </w:r>
      <w:proofErr w:type="spellEnd"/>
      <w:r w:rsidRPr="00FB413B">
        <w:rPr>
          <w:sz w:val="20"/>
          <w:szCs w:val="20"/>
          <w:lang w:val="en-US"/>
        </w:rPr>
        <w:t xml:space="preserve"> </w:t>
      </w:r>
      <w:proofErr w:type="spellStart"/>
      <w:r w:rsidRPr="00FB413B">
        <w:rPr>
          <w:sz w:val="20"/>
          <w:szCs w:val="20"/>
          <w:lang w:val="en-US"/>
        </w:rPr>
        <w:t>prasowy</w:t>
      </w:r>
      <w:proofErr w:type="spellEnd"/>
      <w:r w:rsidRPr="00FB413B">
        <w:rPr>
          <w:sz w:val="20"/>
          <w:szCs w:val="20"/>
          <w:lang w:val="en-US"/>
        </w:rPr>
        <w:t xml:space="preserve"> ECHR 380(2017), 7.12.2017 (</w:t>
      </w:r>
      <w:r w:rsidRPr="00FB413B">
        <w:rPr>
          <w:rStyle w:val="s3aeeab2"/>
          <w:i/>
          <w:iCs/>
          <w:sz w:val="20"/>
          <w:szCs w:val="20"/>
          <w:lang w:val="en-US"/>
        </w:rPr>
        <w:t xml:space="preserve">Press Release issued by the Registrar of the Court,  </w:t>
      </w:r>
      <w:r w:rsidRPr="00FB413B">
        <w:rPr>
          <w:sz w:val="20"/>
          <w:szCs w:val="20"/>
          <w:lang w:val="en-US"/>
        </w:rPr>
        <w:t>ECHR 380(2017), 7.12.2017</w:t>
      </w:r>
      <w:r w:rsidRPr="00FB413B">
        <w:rPr>
          <w:rStyle w:val="sfbbfee58"/>
          <w:i/>
          <w:iCs/>
          <w:sz w:val="20"/>
          <w:szCs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13B" w:rsidRPr="00824331" w:rsidRDefault="00FB413B" w:rsidP="004E344D">
    <w:pPr>
      <w:pStyle w:val="ECHRHeader"/>
    </w:pPr>
    <w:r w:rsidRPr="00824331">
      <w:rPr>
        <w:rStyle w:val="Numerstrony"/>
      </w:rPr>
      <w:fldChar w:fldCharType="begin"/>
    </w:r>
    <w:r w:rsidRPr="00824331">
      <w:rPr>
        <w:rStyle w:val="Numerstrony"/>
      </w:rPr>
      <w:instrText xml:space="preserve"> PAGE </w:instrText>
    </w:r>
    <w:r w:rsidRPr="00824331">
      <w:rPr>
        <w:rStyle w:val="Numerstrony"/>
      </w:rPr>
      <w:fldChar w:fldCharType="separate"/>
    </w:r>
    <w:r w:rsidR="00927F5C">
      <w:rPr>
        <w:rStyle w:val="Numerstrony"/>
        <w:noProof/>
      </w:rPr>
      <w:t>8</w:t>
    </w:r>
    <w:r w:rsidRPr="00824331">
      <w:rPr>
        <w:rStyle w:val="Numerstrony"/>
      </w:rPr>
      <w:fldChar w:fldCharType="end"/>
    </w:r>
    <w:r>
      <w:tab/>
      <w:t>DECYZJA W SPRAWIE P. PLAISIER B.V. I INNI  PRZECIWKO NIDERLANDOM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13B" w:rsidRPr="00824331" w:rsidRDefault="00FB413B" w:rsidP="0076040F">
    <w:pPr>
      <w:pStyle w:val="ECHRHeader"/>
      <w:rPr>
        <w:noProof/>
      </w:rPr>
    </w:pPr>
    <w:r>
      <w:tab/>
      <w:t xml:space="preserve">DECYZJA W SPRAWIE P. PLAISIER B.V. I INNI  PRZECIWKO NIDERLANDOM </w:t>
    </w:r>
    <w:r>
      <w:tab/>
    </w:r>
    <w:r w:rsidRPr="00824331">
      <w:rPr>
        <w:rStyle w:val="Numerstrony"/>
      </w:rPr>
      <w:fldChar w:fldCharType="begin"/>
    </w:r>
    <w:r w:rsidRPr="00824331">
      <w:rPr>
        <w:rStyle w:val="Numerstrony"/>
      </w:rPr>
      <w:instrText xml:space="preserve"> PAGE </w:instrText>
    </w:r>
    <w:r w:rsidRPr="00824331">
      <w:rPr>
        <w:rStyle w:val="Numerstrony"/>
      </w:rPr>
      <w:fldChar w:fldCharType="separate"/>
    </w:r>
    <w:r w:rsidR="00F71B06">
      <w:rPr>
        <w:rStyle w:val="Numerstrony"/>
        <w:noProof/>
      </w:rPr>
      <w:t>7</w:t>
    </w:r>
    <w:r w:rsidRPr="00824331">
      <w:rPr>
        <w:rStyle w:val="Numerstrony"/>
      </w:rPr>
      <w:fldChar w:fldCharType="end"/>
    </w:r>
    <w:r>
      <w:t xml:space="preserve"> </w:t>
    </w:r>
  </w:p>
  <w:p w:rsidR="00FB413B" w:rsidRPr="00824331" w:rsidRDefault="00FB413B" w:rsidP="00333C63">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13B" w:rsidRPr="00A45145" w:rsidRDefault="00377094" w:rsidP="00A45145">
    <w:pPr>
      <w:jc w:val="center"/>
    </w:pPr>
    <w:r>
      <w:rPr>
        <w:noProof/>
        <w:lang w:eastAsia="pl-PL"/>
      </w:rPr>
      <w:drawing>
        <wp:inline distT="0" distB="0" distL="0" distR="0">
          <wp:extent cx="2956560" cy="1219200"/>
          <wp:effectExtent l="0" t="0" r="0" b="0"/>
          <wp:docPr id="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6560" cy="1219200"/>
                  </a:xfrm>
                  <a:prstGeom prst="rect">
                    <a:avLst/>
                  </a:prstGeom>
                  <a:noFill/>
                  <a:ln>
                    <a:noFill/>
                  </a:ln>
                </pic:spPr>
              </pic:pic>
            </a:graphicData>
          </a:graphic>
        </wp:inline>
      </w:drawing>
    </w:r>
  </w:p>
  <w:p w:rsidR="00FB413B" w:rsidRPr="00700638" w:rsidRDefault="00FB413B"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cs="Symbol" w:hint="default"/>
      </w:rPr>
    </w:lvl>
  </w:abstractNum>
  <w:abstractNum w:abstractNumId="5">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cs="Symbol" w:hint="default"/>
      </w:rPr>
    </w:lvl>
  </w:abstractNum>
  <w:abstractNum w:abstractNumId="6">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42924700"/>
    <w:lvl w:ilvl="0">
      <w:start w:val="1"/>
      <w:numFmt w:val="bullet"/>
      <w:pStyle w:val="JuAppQuestion"/>
      <w:lvlText w:val=""/>
      <w:lvlJc w:val="left"/>
      <w:pPr>
        <w:tabs>
          <w:tab w:val="num" w:pos="360"/>
        </w:tabs>
        <w:ind w:left="360" w:hanging="360"/>
      </w:pPr>
      <w:rPr>
        <w:rFonts w:ascii="Symbol" w:hAnsi="Symbol" w:cs="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icleSection"/>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defaultTabStop w:val="720"/>
  <w:hyphenationZone w:val="425"/>
  <w:doNotHyphenateCaps/>
  <w:evenAndOddHeaders/>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9E5CE2"/>
    <w:rsid w:val="00024CA4"/>
    <w:rsid w:val="000279D6"/>
    <w:rsid w:val="0003197E"/>
    <w:rsid w:val="00056D38"/>
    <w:rsid w:val="000A7C85"/>
    <w:rsid w:val="000D2AA5"/>
    <w:rsid w:val="000F2A1B"/>
    <w:rsid w:val="000F4A55"/>
    <w:rsid w:val="000F4A7A"/>
    <w:rsid w:val="000F54CD"/>
    <w:rsid w:val="00100C54"/>
    <w:rsid w:val="00115035"/>
    <w:rsid w:val="001613A7"/>
    <w:rsid w:val="00165F90"/>
    <w:rsid w:val="00172585"/>
    <w:rsid w:val="001818B5"/>
    <w:rsid w:val="001879E9"/>
    <w:rsid w:val="001C32EE"/>
    <w:rsid w:val="00206A52"/>
    <w:rsid w:val="0020718E"/>
    <w:rsid w:val="00214615"/>
    <w:rsid w:val="002211C9"/>
    <w:rsid w:val="0028005E"/>
    <w:rsid w:val="00287048"/>
    <w:rsid w:val="0029715C"/>
    <w:rsid w:val="002B6368"/>
    <w:rsid w:val="002E2C77"/>
    <w:rsid w:val="002E4D19"/>
    <w:rsid w:val="002E68E3"/>
    <w:rsid w:val="003016B3"/>
    <w:rsid w:val="0032721E"/>
    <w:rsid w:val="00333C63"/>
    <w:rsid w:val="003361FE"/>
    <w:rsid w:val="003458D0"/>
    <w:rsid w:val="003460D0"/>
    <w:rsid w:val="003760D8"/>
    <w:rsid w:val="00377094"/>
    <w:rsid w:val="003D2893"/>
    <w:rsid w:val="003F5BAF"/>
    <w:rsid w:val="004234FC"/>
    <w:rsid w:val="00427E13"/>
    <w:rsid w:val="00436D42"/>
    <w:rsid w:val="004518FE"/>
    <w:rsid w:val="004648EE"/>
    <w:rsid w:val="00464F54"/>
    <w:rsid w:val="004B236D"/>
    <w:rsid w:val="004D59E7"/>
    <w:rsid w:val="004E344D"/>
    <w:rsid w:val="004F1F3F"/>
    <w:rsid w:val="0051024F"/>
    <w:rsid w:val="00515458"/>
    <w:rsid w:val="00542EC6"/>
    <w:rsid w:val="00567235"/>
    <w:rsid w:val="005728AE"/>
    <w:rsid w:val="005C4C1E"/>
    <w:rsid w:val="005D17D5"/>
    <w:rsid w:val="005D524D"/>
    <w:rsid w:val="00623174"/>
    <w:rsid w:val="00635391"/>
    <w:rsid w:val="00674CFC"/>
    <w:rsid w:val="00674E60"/>
    <w:rsid w:val="006A409B"/>
    <w:rsid w:val="006B09FB"/>
    <w:rsid w:val="006C406F"/>
    <w:rsid w:val="00700638"/>
    <w:rsid w:val="00722784"/>
    <w:rsid w:val="0073666D"/>
    <w:rsid w:val="00750F4F"/>
    <w:rsid w:val="0076040F"/>
    <w:rsid w:val="007704ED"/>
    <w:rsid w:val="007718BF"/>
    <w:rsid w:val="00824331"/>
    <w:rsid w:val="008319B8"/>
    <w:rsid w:val="008424FE"/>
    <w:rsid w:val="0086395B"/>
    <w:rsid w:val="00883450"/>
    <w:rsid w:val="00885FB0"/>
    <w:rsid w:val="008A08D5"/>
    <w:rsid w:val="008B5EFB"/>
    <w:rsid w:val="008E235F"/>
    <w:rsid w:val="008F56D3"/>
    <w:rsid w:val="0092414A"/>
    <w:rsid w:val="00927F5C"/>
    <w:rsid w:val="009464BC"/>
    <w:rsid w:val="00952B84"/>
    <w:rsid w:val="00965DB7"/>
    <w:rsid w:val="00987A64"/>
    <w:rsid w:val="009912DE"/>
    <w:rsid w:val="00992293"/>
    <w:rsid w:val="009A722F"/>
    <w:rsid w:val="009C723F"/>
    <w:rsid w:val="009D7403"/>
    <w:rsid w:val="009E4207"/>
    <w:rsid w:val="009E4DD0"/>
    <w:rsid w:val="009E5CE2"/>
    <w:rsid w:val="009F7CE2"/>
    <w:rsid w:val="00A07A66"/>
    <w:rsid w:val="00A20B94"/>
    <w:rsid w:val="00A24822"/>
    <w:rsid w:val="00A26346"/>
    <w:rsid w:val="00A30124"/>
    <w:rsid w:val="00A33233"/>
    <w:rsid w:val="00A3454F"/>
    <w:rsid w:val="00A45145"/>
    <w:rsid w:val="00A567CA"/>
    <w:rsid w:val="00A63C22"/>
    <w:rsid w:val="00A87A4B"/>
    <w:rsid w:val="00A92649"/>
    <w:rsid w:val="00A92D46"/>
    <w:rsid w:val="00A97A05"/>
    <w:rsid w:val="00AB714E"/>
    <w:rsid w:val="00B2397A"/>
    <w:rsid w:val="00B27E2A"/>
    <w:rsid w:val="00B60958"/>
    <w:rsid w:val="00B67325"/>
    <w:rsid w:val="00B719CC"/>
    <w:rsid w:val="00B84D3E"/>
    <w:rsid w:val="00B90EA9"/>
    <w:rsid w:val="00B92EEC"/>
    <w:rsid w:val="00BA1471"/>
    <w:rsid w:val="00BA6B27"/>
    <w:rsid w:val="00BB1BBD"/>
    <w:rsid w:val="00BD1CD8"/>
    <w:rsid w:val="00BE221E"/>
    <w:rsid w:val="00BF4694"/>
    <w:rsid w:val="00C138D4"/>
    <w:rsid w:val="00C34B3D"/>
    <w:rsid w:val="00C35DC8"/>
    <w:rsid w:val="00C72A0D"/>
    <w:rsid w:val="00C75D1C"/>
    <w:rsid w:val="00C75E0F"/>
    <w:rsid w:val="00C841F3"/>
    <w:rsid w:val="00CA6BAE"/>
    <w:rsid w:val="00CD19C7"/>
    <w:rsid w:val="00CD62CD"/>
    <w:rsid w:val="00D132A4"/>
    <w:rsid w:val="00D16E31"/>
    <w:rsid w:val="00D27DAA"/>
    <w:rsid w:val="00D566E3"/>
    <w:rsid w:val="00D56E54"/>
    <w:rsid w:val="00D641F3"/>
    <w:rsid w:val="00DA4886"/>
    <w:rsid w:val="00DF27F6"/>
    <w:rsid w:val="00DF34C2"/>
    <w:rsid w:val="00DF79E4"/>
    <w:rsid w:val="00E000BD"/>
    <w:rsid w:val="00E06614"/>
    <w:rsid w:val="00E420CB"/>
    <w:rsid w:val="00E50569"/>
    <w:rsid w:val="00E55538"/>
    <w:rsid w:val="00E906BA"/>
    <w:rsid w:val="00E93FC7"/>
    <w:rsid w:val="00EA0705"/>
    <w:rsid w:val="00EA1004"/>
    <w:rsid w:val="00EB2A30"/>
    <w:rsid w:val="00ED04C3"/>
    <w:rsid w:val="00ED6245"/>
    <w:rsid w:val="00EE3667"/>
    <w:rsid w:val="00EF6E65"/>
    <w:rsid w:val="00F002B1"/>
    <w:rsid w:val="00F01D31"/>
    <w:rsid w:val="00F05C7B"/>
    <w:rsid w:val="00F0727C"/>
    <w:rsid w:val="00F0798F"/>
    <w:rsid w:val="00F131FC"/>
    <w:rsid w:val="00F233B7"/>
    <w:rsid w:val="00F24A83"/>
    <w:rsid w:val="00F27FC3"/>
    <w:rsid w:val="00F37165"/>
    <w:rsid w:val="00F54ECB"/>
    <w:rsid w:val="00F5504F"/>
    <w:rsid w:val="00F71B06"/>
    <w:rsid w:val="00F7779A"/>
    <w:rsid w:val="00F8198A"/>
    <w:rsid w:val="00F913F2"/>
    <w:rsid w:val="00FA3CF6"/>
    <w:rsid w:val="00FB413B"/>
    <w:rsid w:val="00FB770D"/>
    <w:rsid w:val="00FD6EEF"/>
    <w:rsid w:val="00FE0B74"/>
    <w:rsid w:val="00FE39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987A64"/>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987A64"/>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87A64"/>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87A64"/>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987A64"/>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987A64"/>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987A64"/>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987A64"/>
    <w:pPr>
      <w:outlineLvl w:val="6"/>
    </w:pPr>
    <w:rPr>
      <w:rFonts w:eastAsia="MS Gothic"/>
      <w:i/>
      <w:iCs/>
    </w:rPr>
  </w:style>
  <w:style w:type="paragraph" w:styleId="Nagwek8">
    <w:name w:val="heading 8"/>
    <w:basedOn w:val="Normalny"/>
    <w:next w:val="Normalny"/>
    <w:link w:val="Nagwek8Znak"/>
    <w:uiPriority w:val="99"/>
    <w:qFormat/>
    <w:rsid w:val="00987A64"/>
    <w:pPr>
      <w:outlineLvl w:val="7"/>
    </w:pPr>
    <w:rPr>
      <w:rFonts w:eastAsia="MS Gothic"/>
      <w:sz w:val="20"/>
      <w:szCs w:val="20"/>
    </w:rPr>
  </w:style>
  <w:style w:type="paragraph" w:styleId="Nagwek9">
    <w:name w:val="heading 9"/>
    <w:basedOn w:val="Normalny"/>
    <w:next w:val="Normalny"/>
    <w:link w:val="Nagwek9Znak"/>
    <w:uiPriority w:val="99"/>
    <w:qFormat/>
    <w:rsid w:val="00987A64"/>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987A64"/>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987A64"/>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987A64"/>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987A64"/>
    <w:rPr>
      <w:rFonts w:ascii="Times New Roman" w:eastAsia="MS Gothic" w:hAnsi="Times New Roman" w:cs="Times New Roman"/>
      <w:b/>
      <w:bCs/>
      <w:color w:val="808080"/>
      <w:sz w:val="24"/>
      <w:szCs w:val="24"/>
    </w:rPr>
  </w:style>
  <w:style w:type="character" w:customStyle="1" w:styleId="Nagwek6Znak">
    <w:name w:val="Nagłówek 6 Znak"/>
    <w:basedOn w:val="Domylnaczcionkaakapitu"/>
    <w:link w:val="Nagwek6"/>
    <w:uiPriority w:val="99"/>
    <w:semiHidden/>
    <w:locked/>
    <w:rsid w:val="00987A64"/>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987A64"/>
    <w:rPr>
      <w:rFonts w:ascii="Times New Roman" w:eastAsia="MS Gothic" w:hAnsi="Times New Roman" w:cs="Times New Roman"/>
      <w:i/>
      <w:iCs/>
      <w:sz w:val="24"/>
      <w:szCs w:val="24"/>
    </w:rPr>
  </w:style>
  <w:style w:type="character" w:customStyle="1" w:styleId="Nagwek8Znak">
    <w:name w:val="Nagłówek 8 Znak"/>
    <w:basedOn w:val="Domylnaczcionkaakapitu"/>
    <w:link w:val="Nagwek8"/>
    <w:uiPriority w:val="99"/>
    <w:semiHidden/>
    <w:locked/>
    <w:rsid w:val="00987A64"/>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987A64"/>
    <w:rPr>
      <w:rFonts w:ascii="Times New Roman" w:eastAsia="MS Gothic" w:hAnsi="Times New Roman" w:cs="Times New Roman"/>
      <w:i/>
      <w:iCs/>
      <w:spacing w:val="5"/>
      <w:sz w:val="20"/>
      <w:szCs w:val="20"/>
    </w:rPr>
  </w:style>
  <w:style w:type="paragraph" w:customStyle="1" w:styleId="JuSigned">
    <w:name w:val="Ju_Signed"/>
    <w:basedOn w:val="Normalny"/>
    <w:next w:val="JuParaLast"/>
    <w:uiPriority w:val="99"/>
    <w:rsid w:val="00987A64"/>
    <w:pPr>
      <w:tabs>
        <w:tab w:val="center" w:pos="851"/>
        <w:tab w:val="center" w:pos="6407"/>
      </w:tabs>
      <w:spacing w:before="720"/>
      <w:jc w:val="left"/>
    </w:pPr>
  </w:style>
  <w:style w:type="character" w:customStyle="1" w:styleId="Nagwek1Znak">
    <w:name w:val="Nagłówek 1 Znak"/>
    <w:basedOn w:val="Domylnaczcionkaakapitu"/>
    <w:link w:val="Nagwek1"/>
    <w:uiPriority w:val="99"/>
    <w:semiHidden/>
    <w:locked/>
    <w:rsid w:val="00987A64"/>
    <w:rPr>
      <w:rFonts w:ascii="Times New Roman" w:eastAsia="MS Gothic" w:hAnsi="Times New Roman" w:cs="Times New Roman"/>
      <w:b/>
      <w:bCs/>
      <w:color w:val="333333"/>
      <w:sz w:val="28"/>
      <w:szCs w:val="28"/>
    </w:rPr>
  </w:style>
  <w:style w:type="paragraph" w:customStyle="1" w:styleId="ECHRPara">
    <w:name w:val="ECHR_Para"/>
    <w:aliases w:val="Ju_Para,Para,Left,First line:  0 cm"/>
    <w:basedOn w:val="Normalny"/>
    <w:link w:val="ECHRParaChar"/>
    <w:uiPriority w:val="99"/>
    <w:rsid w:val="00987A64"/>
    <w:pPr>
      <w:ind w:firstLine="284"/>
    </w:pPr>
    <w:rPr>
      <w:lang w:eastAsia="pl-PL"/>
    </w:rPr>
  </w:style>
  <w:style w:type="character" w:styleId="Numerstrony">
    <w:name w:val="page number"/>
    <w:basedOn w:val="Domylnaczcionkaakapitu"/>
    <w:uiPriority w:val="99"/>
    <w:semiHidden/>
    <w:rsid w:val="00E93FC7"/>
    <w:rPr>
      <w:sz w:val="18"/>
      <w:szCs w:val="18"/>
    </w:rPr>
  </w:style>
  <w:style w:type="character" w:styleId="Odwoaniedokomentarza">
    <w:name w:val="annotation reference"/>
    <w:basedOn w:val="Domylnaczcionkaakapitu"/>
    <w:uiPriority w:val="99"/>
    <w:semiHidden/>
    <w:rsid w:val="00E93FC7"/>
    <w:rPr>
      <w:sz w:val="16"/>
      <w:szCs w:val="16"/>
    </w:rPr>
  </w:style>
  <w:style w:type="paragraph" w:styleId="Tekstkomentarza">
    <w:name w:val="annotation text"/>
    <w:basedOn w:val="Normalny"/>
    <w:link w:val="TekstkomentarzaZnak"/>
    <w:uiPriority w:val="99"/>
    <w:semiHidden/>
    <w:rsid w:val="00E93FC7"/>
    <w:rPr>
      <w:sz w:val="20"/>
      <w:szCs w:val="20"/>
    </w:rPr>
  </w:style>
  <w:style w:type="paragraph" w:customStyle="1" w:styleId="DecHTitle">
    <w:name w:val="Dec_H_Title"/>
    <w:basedOn w:val="ECHRTitleCentre1"/>
    <w:uiPriority w:val="99"/>
    <w:rsid w:val="00987A64"/>
  </w:style>
  <w:style w:type="character" w:customStyle="1" w:styleId="TekstkomentarzaZnak">
    <w:name w:val="Tekst komentarza Znak"/>
    <w:basedOn w:val="Domylnaczcionkaakapitu"/>
    <w:link w:val="Tekstkomentarza"/>
    <w:uiPriority w:val="99"/>
    <w:semiHidden/>
    <w:locked/>
    <w:rsid w:val="00E93FC7"/>
    <w:rPr>
      <w:rFonts w:eastAsia="MS Mincho"/>
      <w:sz w:val="20"/>
      <w:szCs w:val="20"/>
    </w:rPr>
  </w:style>
  <w:style w:type="paragraph" w:customStyle="1" w:styleId="ECHRTitleCentre2">
    <w:name w:val="ECHR_Title_Centre_2"/>
    <w:aliases w:val="Dec_H_Case"/>
    <w:basedOn w:val="Normalny"/>
    <w:next w:val="ECHRPara"/>
    <w:uiPriority w:val="99"/>
    <w:rsid w:val="00987A64"/>
    <w:pPr>
      <w:spacing w:after="240"/>
      <w:jc w:val="center"/>
      <w:outlineLvl w:val="0"/>
    </w:pPr>
    <w:rPr>
      <w:i/>
      <w:iCs/>
    </w:rPr>
  </w:style>
  <w:style w:type="paragraph" w:customStyle="1" w:styleId="JuTitle">
    <w:name w:val="Ju_Title"/>
    <w:basedOn w:val="Normalny"/>
    <w:next w:val="ECHRPara"/>
    <w:uiPriority w:val="99"/>
    <w:rsid w:val="00987A64"/>
    <w:pPr>
      <w:spacing w:before="720" w:after="240"/>
      <w:jc w:val="center"/>
      <w:outlineLvl w:val="0"/>
    </w:pPr>
    <w:rPr>
      <w:b/>
      <w:bCs/>
      <w:caps/>
    </w:rPr>
  </w:style>
  <w:style w:type="paragraph" w:customStyle="1" w:styleId="ECHRHeader">
    <w:name w:val="ECHR_Header"/>
    <w:aliases w:val="Ju_Header"/>
    <w:basedOn w:val="Nagwek"/>
    <w:uiPriority w:val="99"/>
    <w:rsid w:val="00987A64"/>
    <w:pPr>
      <w:tabs>
        <w:tab w:val="clear" w:pos="4536"/>
        <w:tab w:val="clear" w:pos="9072"/>
        <w:tab w:val="center" w:pos="3686"/>
        <w:tab w:val="right" w:pos="7371"/>
      </w:tabs>
      <w:jc w:val="left"/>
    </w:pPr>
    <w:rPr>
      <w:sz w:val="18"/>
      <w:szCs w:val="18"/>
    </w:rPr>
  </w:style>
  <w:style w:type="paragraph" w:styleId="Nagwek">
    <w:name w:val="header"/>
    <w:basedOn w:val="Normalny"/>
    <w:link w:val="NagwekZnak"/>
    <w:uiPriority w:val="99"/>
    <w:semiHidden/>
    <w:rsid w:val="00987A64"/>
    <w:pPr>
      <w:tabs>
        <w:tab w:val="center" w:pos="4536"/>
        <w:tab w:val="right" w:pos="9072"/>
      </w:tabs>
    </w:pPr>
    <w:rPr>
      <w:rFonts w:eastAsia="Times New Roman"/>
    </w:rPr>
  </w:style>
  <w:style w:type="paragraph" w:styleId="Tekstdymka">
    <w:name w:val="Balloon Text"/>
    <w:basedOn w:val="Normalny"/>
    <w:link w:val="TekstdymkaZnak"/>
    <w:uiPriority w:val="99"/>
    <w:semiHidden/>
    <w:rsid w:val="00987A64"/>
    <w:rPr>
      <w:rFonts w:ascii="Tahoma" w:hAnsi="Tahoma" w:cs="Tahoma"/>
      <w:sz w:val="16"/>
      <w:szCs w:val="16"/>
    </w:rPr>
  </w:style>
  <w:style w:type="character" w:customStyle="1" w:styleId="NagwekZnak">
    <w:name w:val="Nagłówek Znak"/>
    <w:basedOn w:val="Domylnaczcionkaakapitu"/>
    <w:link w:val="Nagwek"/>
    <w:uiPriority w:val="99"/>
    <w:semiHidden/>
    <w:locked/>
    <w:rsid w:val="00987A64"/>
    <w:rPr>
      <w:sz w:val="24"/>
      <w:szCs w:val="24"/>
    </w:rPr>
  </w:style>
  <w:style w:type="paragraph" w:customStyle="1" w:styleId="JuAppQuestion">
    <w:name w:val="Ju_App_Question"/>
    <w:basedOn w:val="Normalny"/>
    <w:uiPriority w:val="99"/>
    <w:rsid w:val="00987A64"/>
    <w:pPr>
      <w:numPr>
        <w:numId w:val="1"/>
      </w:numPr>
      <w:tabs>
        <w:tab w:val="clear" w:pos="360"/>
        <w:tab w:val="num" w:pos="720"/>
      </w:tabs>
      <w:ind w:left="720"/>
      <w:jc w:val="left"/>
    </w:pPr>
    <w:rPr>
      <w:b/>
      <w:bCs/>
    </w:rPr>
  </w:style>
  <w:style w:type="character" w:customStyle="1" w:styleId="TekstdymkaZnak">
    <w:name w:val="Tekst dymka Znak"/>
    <w:basedOn w:val="Domylnaczcionkaakapitu"/>
    <w:link w:val="Tekstdymka"/>
    <w:uiPriority w:val="99"/>
    <w:semiHidden/>
    <w:locked/>
    <w:rsid w:val="00987A64"/>
    <w:rPr>
      <w:rFonts w:ascii="Tahoma" w:eastAsia="MS Mincho" w:hAnsi="Tahoma" w:cs="Tahoma"/>
      <w:sz w:val="16"/>
      <w:szCs w:val="16"/>
    </w:rPr>
  </w:style>
  <w:style w:type="paragraph" w:customStyle="1" w:styleId="OpiPara">
    <w:name w:val="Opi_Para"/>
    <w:basedOn w:val="ECHRPara"/>
    <w:uiPriority w:val="99"/>
    <w:rsid w:val="00987A64"/>
  </w:style>
  <w:style w:type="paragraph" w:customStyle="1" w:styleId="ECHRParaQuote">
    <w:name w:val="ECHR_Para_Quote"/>
    <w:aliases w:val="Ju_Quot"/>
    <w:basedOn w:val="Normalny"/>
    <w:uiPriority w:val="99"/>
    <w:rsid w:val="00987A64"/>
    <w:pPr>
      <w:spacing w:before="120" w:after="120"/>
      <w:ind w:left="425" w:firstLine="142"/>
    </w:pPr>
    <w:rPr>
      <w:sz w:val="20"/>
      <w:szCs w:val="20"/>
    </w:rPr>
  </w:style>
  <w:style w:type="paragraph" w:customStyle="1" w:styleId="JuParaSub">
    <w:name w:val="Ju_Para_Sub"/>
    <w:basedOn w:val="ECHRPara"/>
    <w:uiPriority w:val="99"/>
    <w:rsid w:val="00987A64"/>
    <w:pPr>
      <w:ind w:left="284"/>
    </w:pPr>
  </w:style>
  <w:style w:type="paragraph" w:customStyle="1" w:styleId="OpiParaSub">
    <w:name w:val="Opi_Para_Sub"/>
    <w:basedOn w:val="JuParaSub"/>
    <w:uiPriority w:val="99"/>
    <w:rsid w:val="00987A64"/>
  </w:style>
  <w:style w:type="paragraph" w:customStyle="1" w:styleId="OpiQuot">
    <w:name w:val="Opi_Quot"/>
    <w:basedOn w:val="ECHRParaQuote"/>
    <w:uiPriority w:val="99"/>
    <w:rsid w:val="00987A64"/>
  </w:style>
  <w:style w:type="paragraph" w:customStyle="1" w:styleId="OpiQuotSub">
    <w:name w:val="Opi_Quot_Sub"/>
    <w:basedOn w:val="JuQuotSub"/>
    <w:uiPriority w:val="99"/>
    <w:rsid w:val="00987A64"/>
  </w:style>
  <w:style w:type="paragraph" w:customStyle="1" w:styleId="ECHRTitleCentre3">
    <w:name w:val="ECHR_Title_Centre_3"/>
    <w:aliases w:val="Ju_H_Article"/>
    <w:basedOn w:val="Normalny"/>
    <w:next w:val="ECHRParaQuote"/>
    <w:uiPriority w:val="99"/>
    <w:rsid w:val="00987A64"/>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987A64"/>
    <w:pPr>
      <w:keepNext/>
      <w:keepLines/>
      <w:spacing w:after="240"/>
      <w:jc w:val="center"/>
      <w:outlineLvl w:val="0"/>
    </w:pPr>
    <w:rPr>
      <w:sz w:val="28"/>
      <w:szCs w:val="28"/>
    </w:rPr>
  </w:style>
  <w:style w:type="paragraph" w:customStyle="1" w:styleId="JuQuotSub">
    <w:name w:val="Ju_Quot_Sub"/>
    <w:basedOn w:val="ECHRParaQuote"/>
    <w:uiPriority w:val="99"/>
    <w:rsid w:val="00987A64"/>
    <w:pPr>
      <w:ind w:left="567"/>
    </w:pPr>
  </w:style>
  <w:style w:type="paragraph" w:customStyle="1" w:styleId="ECHRTitle1">
    <w:name w:val="ECHR_Title_1"/>
    <w:aliases w:val="Ju_H_Head"/>
    <w:basedOn w:val="Normalny"/>
    <w:next w:val="ECHRPara"/>
    <w:uiPriority w:val="99"/>
    <w:rsid w:val="00987A64"/>
    <w:pPr>
      <w:keepNext/>
      <w:keepLines/>
      <w:spacing w:before="720" w:after="240"/>
      <w:outlineLvl w:val="0"/>
    </w:pPr>
    <w:rPr>
      <w:sz w:val="28"/>
      <w:szCs w:val="28"/>
    </w:rPr>
  </w:style>
  <w:style w:type="paragraph" w:customStyle="1" w:styleId="JuInitialled">
    <w:name w:val="Ju_Initialled"/>
    <w:basedOn w:val="Normalny"/>
    <w:uiPriority w:val="99"/>
    <w:rsid w:val="00987A64"/>
    <w:pPr>
      <w:tabs>
        <w:tab w:val="center" w:pos="6407"/>
      </w:tabs>
      <w:spacing w:before="720"/>
      <w:jc w:val="right"/>
    </w:pPr>
  </w:style>
  <w:style w:type="paragraph" w:customStyle="1" w:styleId="OpiHA">
    <w:name w:val="Opi_H_A"/>
    <w:basedOn w:val="ECHRHeading1"/>
    <w:next w:val="OpiPara"/>
    <w:uiPriority w:val="99"/>
    <w:rsid w:val="00987A64"/>
    <w:pPr>
      <w:tabs>
        <w:tab w:val="clear" w:pos="357"/>
      </w:tabs>
      <w:outlineLvl w:val="1"/>
    </w:pPr>
    <w:rPr>
      <w:b/>
      <w:bCs/>
    </w:rPr>
  </w:style>
  <w:style w:type="character" w:customStyle="1" w:styleId="JUNAMES">
    <w:name w:val="JU_NAMES"/>
    <w:uiPriority w:val="99"/>
    <w:rsid w:val="00987A64"/>
    <w:rPr>
      <w:smallCaps/>
    </w:rPr>
  </w:style>
  <w:style w:type="character" w:customStyle="1" w:styleId="JuITMark">
    <w:name w:val="Ju_ITMark"/>
    <w:basedOn w:val="Domylnaczcionkaakapitu"/>
    <w:uiPriority w:val="99"/>
    <w:rsid w:val="00987A64"/>
    <w:rPr>
      <w:color w:val="auto"/>
      <w:sz w:val="14"/>
      <w:szCs w:val="14"/>
    </w:rPr>
  </w:style>
  <w:style w:type="paragraph" w:customStyle="1" w:styleId="OpiTranslation">
    <w:name w:val="Opi_Translation"/>
    <w:basedOn w:val="Normalny"/>
    <w:next w:val="OpiPara"/>
    <w:uiPriority w:val="99"/>
    <w:rsid w:val="00987A64"/>
    <w:pPr>
      <w:jc w:val="center"/>
      <w:outlineLvl w:val="0"/>
    </w:pPr>
    <w:rPr>
      <w:i/>
      <w:iCs/>
    </w:rPr>
  </w:style>
  <w:style w:type="paragraph" w:customStyle="1" w:styleId="JuCourt">
    <w:name w:val="Ju_Court"/>
    <w:basedOn w:val="Normalny"/>
    <w:next w:val="Normalny"/>
    <w:uiPriority w:val="99"/>
    <w:rsid w:val="00987A64"/>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987A64"/>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987A64"/>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987A64"/>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987A64"/>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987A64"/>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987A64"/>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987A64"/>
    <w:pPr>
      <w:keepNext/>
      <w:keepLines/>
      <w:spacing w:before="240" w:after="120"/>
      <w:ind w:left="1236"/>
    </w:pPr>
    <w:rPr>
      <w:sz w:val="20"/>
      <w:szCs w:val="20"/>
    </w:rPr>
  </w:style>
  <w:style w:type="paragraph" w:customStyle="1" w:styleId="JuParaLast">
    <w:name w:val="Ju_Para_Last"/>
    <w:basedOn w:val="Normalny"/>
    <w:next w:val="ECHRPara"/>
    <w:uiPriority w:val="99"/>
    <w:rsid w:val="00987A64"/>
    <w:pPr>
      <w:keepNext/>
      <w:keepLines/>
      <w:spacing w:before="240"/>
      <w:ind w:firstLine="284"/>
    </w:pPr>
  </w:style>
  <w:style w:type="paragraph" w:customStyle="1" w:styleId="DecList">
    <w:name w:val="Dec_List"/>
    <w:basedOn w:val="Normalny"/>
    <w:uiPriority w:val="99"/>
    <w:rsid w:val="00987A64"/>
    <w:pPr>
      <w:spacing w:before="240"/>
      <w:ind w:left="284"/>
    </w:pPr>
  </w:style>
  <w:style w:type="paragraph" w:customStyle="1" w:styleId="ECHRDecisionBody">
    <w:name w:val="ECHR_Decision_Body"/>
    <w:aliases w:val="Ju_Judges"/>
    <w:basedOn w:val="Normalny"/>
    <w:uiPriority w:val="99"/>
    <w:rsid w:val="00987A64"/>
    <w:pPr>
      <w:tabs>
        <w:tab w:val="left" w:pos="567"/>
        <w:tab w:val="left" w:pos="1134"/>
      </w:tabs>
      <w:jc w:val="left"/>
    </w:pPr>
  </w:style>
  <w:style w:type="paragraph" w:customStyle="1" w:styleId="JuList">
    <w:name w:val="Ju_List"/>
    <w:basedOn w:val="Normalny"/>
    <w:uiPriority w:val="99"/>
    <w:rsid w:val="00987A64"/>
    <w:pPr>
      <w:ind w:left="340" w:hanging="340"/>
    </w:pPr>
  </w:style>
  <w:style w:type="paragraph" w:customStyle="1" w:styleId="JuLista">
    <w:name w:val="Ju_List_a"/>
    <w:basedOn w:val="JuList"/>
    <w:uiPriority w:val="99"/>
    <w:rsid w:val="00987A64"/>
    <w:pPr>
      <w:ind w:left="346" w:firstLine="0"/>
    </w:pPr>
  </w:style>
  <w:style w:type="paragraph" w:customStyle="1" w:styleId="JuListi">
    <w:name w:val="Ju_List_i"/>
    <w:basedOn w:val="Normalny"/>
    <w:next w:val="JuLista"/>
    <w:uiPriority w:val="99"/>
    <w:rsid w:val="00987A64"/>
    <w:pPr>
      <w:ind w:left="794"/>
    </w:pPr>
  </w:style>
  <w:style w:type="paragraph" w:customStyle="1" w:styleId="OpiH1">
    <w:name w:val="Opi_H_1"/>
    <w:basedOn w:val="ECHRHeading2"/>
    <w:uiPriority w:val="99"/>
    <w:rsid w:val="00987A64"/>
    <w:pPr>
      <w:ind w:left="635" w:hanging="357"/>
      <w:outlineLvl w:val="2"/>
    </w:pPr>
  </w:style>
  <w:style w:type="paragraph" w:customStyle="1" w:styleId="OpiHa0">
    <w:name w:val="Opi_H_a"/>
    <w:basedOn w:val="ECHRHeading3"/>
    <w:uiPriority w:val="99"/>
    <w:rsid w:val="00987A64"/>
    <w:pPr>
      <w:ind w:left="833" w:hanging="357"/>
      <w:outlineLvl w:val="3"/>
    </w:pPr>
    <w:rPr>
      <w:b/>
      <w:bCs/>
      <w:i w:val="0"/>
      <w:iCs w:val="0"/>
      <w:sz w:val="20"/>
      <w:szCs w:val="20"/>
    </w:rPr>
  </w:style>
  <w:style w:type="paragraph" w:customStyle="1" w:styleId="OpiHi">
    <w:name w:val="Opi_H_i"/>
    <w:basedOn w:val="ECHRHeading4"/>
    <w:uiPriority w:val="99"/>
    <w:rsid w:val="00987A64"/>
    <w:pPr>
      <w:ind w:left="1037" w:hanging="357"/>
      <w:outlineLvl w:val="4"/>
    </w:pPr>
    <w:rPr>
      <w:b w:val="0"/>
      <w:bCs w:val="0"/>
      <w:i/>
      <w:iCs/>
    </w:rPr>
  </w:style>
  <w:style w:type="paragraph" w:styleId="Tytu">
    <w:name w:val="Title"/>
    <w:basedOn w:val="Normalny"/>
    <w:next w:val="Normalny"/>
    <w:link w:val="TytuZnak"/>
    <w:uiPriority w:val="99"/>
    <w:qFormat/>
    <w:rsid w:val="00987A64"/>
    <w:pPr>
      <w:pBdr>
        <w:bottom w:val="single" w:sz="4" w:space="1" w:color="auto"/>
      </w:pBdr>
    </w:pPr>
    <w:rPr>
      <w:rFonts w:eastAsia="MS Gothic"/>
      <w:spacing w:val="5"/>
      <w:sz w:val="52"/>
      <w:szCs w:val="52"/>
    </w:rPr>
  </w:style>
  <w:style w:type="paragraph" w:styleId="Podtytu">
    <w:name w:val="Subtitle"/>
    <w:basedOn w:val="Normalny"/>
    <w:next w:val="Normalny"/>
    <w:link w:val="PodtytuZnak"/>
    <w:uiPriority w:val="99"/>
    <w:qFormat/>
    <w:rsid w:val="00987A64"/>
    <w:pPr>
      <w:spacing w:after="600"/>
    </w:pPr>
    <w:rPr>
      <w:rFonts w:eastAsia="MS Gothic"/>
      <w:i/>
      <w:iCs/>
      <w:spacing w:val="13"/>
    </w:rPr>
  </w:style>
  <w:style w:type="character" w:customStyle="1" w:styleId="TytuZnak">
    <w:name w:val="Tytuł Znak"/>
    <w:basedOn w:val="Domylnaczcionkaakapitu"/>
    <w:link w:val="Tytu"/>
    <w:uiPriority w:val="99"/>
    <w:semiHidden/>
    <w:locked/>
    <w:rsid w:val="00987A64"/>
    <w:rPr>
      <w:rFonts w:ascii="Times New Roman" w:eastAsia="MS Gothic" w:hAnsi="Times New Roman" w:cs="Times New Roman"/>
      <w:spacing w:val="5"/>
      <w:sz w:val="52"/>
      <w:szCs w:val="52"/>
    </w:rPr>
  </w:style>
  <w:style w:type="character" w:styleId="Pogrubienie">
    <w:name w:val="Strong"/>
    <w:basedOn w:val="Domylnaczcionkaakapitu"/>
    <w:uiPriority w:val="99"/>
    <w:qFormat/>
    <w:rsid w:val="00987A64"/>
    <w:rPr>
      <w:b/>
      <w:bCs/>
    </w:rPr>
  </w:style>
  <w:style w:type="character" w:customStyle="1" w:styleId="PodtytuZnak">
    <w:name w:val="Podtytuł Znak"/>
    <w:basedOn w:val="Domylnaczcionkaakapitu"/>
    <w:link w:val="Podtytu"/>
    <w:uiPriority w:val="99"/>
    <w:semiHidden/>
    <w:locked/>
    <w:rsid w:val="00987A64"/>
    <w:rPr>
      <w:rFonts w:ascii="Times New Roman" w:eastAsia="MS Gothic" w:hAnsi="Times New Roman" w:cs="Times New Roman"/>
      <w:i/>
      <w:iCs/>
      <w:spacing w:val="13"/>
      <w:sz w:val="24"/>
      <w:szCs w:val="24"/>
    </w:rPr>
  </w:style>
  <w:style w:type="character" w:styleId="Uwydatnienie">
    <w:name w:val="Emphasis"/>
    <w:basedOn w:val="Domylnaczcionkaakapitu"/>
    <w:uiPriority w:val="99"/>
    <w:qFormat/>
    <w:rsid w:val="00987A64"/>
    <w:rPr>
      <w:b/>
      <w:bCs/>
      <w:i/>
      <w:iCs/>
      <w:spacing w:val="10"/>
      <w:shd w:val="clear" w:color="auto" w:fill="auto"/>
    </w:rPr>
  </w:style>
  <w:style w:type="paragraph" w:styleId="Bezodstpw">
    <w:name w:val="No Spacing"/>
    <w:basedOn w:val="Normalny"/>
    <w:link w:val="BezodstpwZnak"/>
    <w:uiPriority w:val="99"/>
    <w:qFormat/>
    <w:rsid w:val="00987A64"/>
  </w:style>
  <w:style w:type="character" w:customStyle="1" w:styleId="BezodstpwZnak">
    <w:name w:val="Bez odstępów Znak"/>
    <w:basedOn w:val="Domylnaczcionkaakapitu"/>
    <w:link w:val="Bezodstpw"/>
    <w:uiPriority w:val="99"/>
    <w:semiHidden/>
    <w:locked/>
    <w:rsid w:val="00987A64"/>
    <w:rPr>
      <w:rFonts w:eastAsia="MS Mincho"/>
      <w:sz w:val="24"/>
      <w:szCs w:val="24"/>
    </w:rPr>
  </w:style>
  <w:style w:type="paragraph" w:styleId="Akapitzlist">
    <w:name w:val="List Paragraph"/>
    <w:basedOn w:val="Normalny"/>
    <w:uiPriority w:val="99"/>
    <w:qFormat/>
    <w:rsid w:val="00987A64"/>
    <w:pPr>
      <w:ind w:left="720"/>
    </w:pPr>
  </w:style>
  <w:style w:type="paragraph" w:styleId="Cytat">
    <w:name w:val="Quote"/>
    <w:basedOn w:val="Normalny"/>
    <w:next w:val="Normalny"/>
    <w:link w:val="CytatZnak"/>
    <w:uiPriority w:val="99"/>
    <w:qFormat/>
    <w:rsid w:val="00987A64"/>
    <w:pPr>
      <w:spacing w:before="200"/>
      <w:ind w:left="360" w:right="360"/>
    </w:pPr>
    <w:rPr>
      <w:i/>
      <w:iCs/>
    </w:rPr>
  </w:style>
  <w:style w:type="paragraph" w:styleId="Cytatintensywny">
    <w:name w:val="Intense Quote"/>
    <w:basedOn w:val="Normalny"/>
    <w:next w:val="Normalny"/>
    <w:link w:val="CytatintensywnyZnak"/>
    <w:uiPriority w:val="99"/>
    <w:qFormat/>
    <w:rsid w:val="00987A64"/>
    <w:pPr>
      <w:pBdr>
        <w:bottom w:val="single" w:sz="4" w:space="1" w:color="auto"/>
      </w:pBdr>
      <w:spacing w:before="200" w:after="280"/>
      <w:ind w:left="1008" w:right="1152"/>
    </w:pPr>
    <w:rPr>
      <w:b/>
      <w:bCs/>
      <w:i/>
      <w:iCs/>
    </w:rPr>
  </w:style>
  <w:style w:type="character" w:customStyle="1" w:styleId="CytatZnak">
    <w:name w:val="Cytat Znak"/>
    <w:basedOn w:val="Domylnaczcionkaakapitu"/>
    <w:link w:val="Cytat"/>
    <w:uiPriority w:val="99"/>
    <w:semiHidden/>
    <w:locked/>
    <w:rsid w:val="00987A64"/>
    <w:rPr>
      <w:rFonts w:eastAsia="MS Mincho"/>
      <w:i/>
      <w:iCs/>
      <w:sz w:val="24"/>
      <w:szCs w:val="24"/>
    </w:rPr>
  </w:style>
  <w:style w:type="character" w:styleId="Wyrnieniedelikatne">
    <w:name w:val="Subtle Emphasis"/>
    <w:basedOn w:val="Domylnaczcionkaakapitu"/>
    <w:uiPriority w:val="99"/>
    <w:qFormat/>
    <w:rsid w:val="00987A64"/>
    <w:rPr>
      <w:i/>
      <w:iCs/>
    </w:rPr>
  </w:style>
  <w:style w:type="character" w:customStyle="1" w:styleId="CytatintensywnyZnak">
    <w:name w:val="Cytat intensywny Znak"/>
    <w:basedOn w:val="Domylnaczcionkaakapitu"/>
    <w:link w:val="Cytatintensywny"/>
    <w:uiPriority w:val="99"/>
    <w:semiHidden/>
    <w:locked/>
    <w:rsid w:val="00987A64"/>
    <w:rPr>
      <w:rFonts w:eastAsia="MS Mincho"/>
      <w:b/>
      <w:bCs/>
      <w:i/>
      <w:iCs/>
      <w:sz w:val="24"/>
      <w:szCs w:val="24"/>
    </w:rPr>
  </w:style>
  <w:style w:type="character" w:styleId="Wyrnienieintensywne">
    <w:name w:val="Intense Emphasis"/>
    <w:basedOn w:val="Domylnaczcionkaakapitu"/>
    <w:uiPriority w:val="99"/>
    <w:qFormat/>
    <w:rsid w:val="00987A64"/>
    <w:rPr>
      <w:b/>
      <w:bCs/>
    </w:rPr>
  </w:style>
  <w:style w:type="character" w:styleId="Odwoaniedelikatne">
    <w:name w:val="Subtle Reference"/>
    <w:basedOn w:val="Domylnaczcionkaakapitu"/>
    <w:uiPriority w:val="99"/>
    <w:qFormat/>
    <w:rsid w:val="00987A64"/>
    <w:rPr>
      <w:smallCaps/>
    </w:rPr>
  </w:style>
  <w:style w:type="character" w:styleId="Odwoanieintensywne">
    <w:name w:val="Intense Reference"/>
    <w:basedOn w:val="Domylnaczcionkaakapitu"/>
    <w:uiPriority w:val="99"/>
    <w:qFormat/>
    <w:rsid w:val="00987A64"/>
    <w:rPr>
      <w:smallCaps/>
      <w:spacing w:val="5"/>
      <w:u w:val="single"/>
    </w:rPr>
  </w:style>
  <w:style w:type="character" w:styleId="Tytuksiki">
    <w:name w:val="Book Title"/>
    <w:basedOn w:val="Domylnaczcionkaakapitu"/>
    <w:uiPriority w:val="99"/>
    <w:qFormat/>
    <w:rsid w:val="00987A64"/>
    <w:rPr>
      <w:i/>
      <w:iCs/>
      <w:smallCaps/>
      <w:spacing w:val="5"/>
    </w:rPr>
  </w:style>
  <w:style w:type="paragraph" w:styleId="Nagwekspisutreci">
    <w:name w:val="TOC Heading"/>
    <w:basedOn w:val="Normalny"/>
    <w:next w:val="Normalny"/>
    <w:uiPriority w:val="99"/>
    <w:qFormat/>
    <w:rsid w:val="00987A64"/>
    <w:pPr>
      <w:keepNext/>
      <w:keepLines/>
      <w:spacing w:before="240"/>
      <w:jc w:val="center"/>
    </w:pPr>
    <w:rPr>
      <w:rFonts w:eastAsia="Times New Roman"/>
      <w:b/>
      <w:bCs/>
      <w:color w:val="474747"/>
      <w:sz w:val="28"/>
      <w:szCs w:val="28"/>
    </w:rPr>
  </w:style>
  <w:style w:type="paragraph" w:styleId="Bibliografia">
    <w:name w:val="Bibliography"/>
    <w:basedOn w:val="Normalny"/>
    <w:next w:val="Normalny"/>
    <w:uiPriority w:val="99"/>
    <w:semiHidden/>
    <w:rsid w:val="00E93FC7"/>
  </w:style>
  <w:style w:type="paragraph" w:styleId="Tekstblokowy">
    <w:name w:val="Block Text"/>
    <w:basedOn w:val="Normalny"/>
    <w:uiPriority w:val="99"/>
    <w:semiHidden/>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93FC7"/>
    <w:pPr>
      <w:spacing w:after="120"/>
    </w:pPr>
  </w:style>
  <w:style w:type="paragraph" w:styleId="Tekstpodstawowy2">
    <w:name w:val="Body Text 2"/>
    <w:basedOn w:val="Normalny"/>
    <w:link w:val="Tekstpodstawowy2Znak"/>
    <w:uiPriority w:val="99"/>
    <w:semiHidden/>
    <w:rsid w:val="00E93FC7"/>
    <w:pPr>
      <w:spacing w:after="120" w:line="480" w:lineRule="auto"/>
    </w:pPr>
  </w:style>
  <w:style w:type="character" w:customStyle="1" w:styleId="TekstpodstawowyZnak">
    <w:name w:val="Tekst podstawowy Znak"/>
    <w:basedOn w:val="Domylnaczcionkaakapitu"/>
    <w:link w:val="Tekstpodstawowy"/>
    <w:uiPriority w:val="99"/>
    <w:semiHidden/>
    <w:locked/>
    <w:rsid w:val="00E93FC7"/>
    <w:rPr>
      <w:rFonts w:eastAsia="MS Mincho"/>
      <w:sz w:val="24"/>
      <w:szCs w:val="24"/>
    </w:rPr>
  </w:style>
  <w:style w:type="paragraph" w:styleId="Tekstpodstawowy3">
    <w:name w:val="Body Text 3"/>
    <w:basedOn w:val="Normalny"/>
    <w:link w:val="Tekstpodstawowy3Znak"/>
    <w:uiPriority w:val="99"/>
    <w:semiHidden/>
    <w:rsid w:val="00E93FC7"/>
    <w:pPr>
      <w:spacing w:after="120"/>
    </w:pPr>
    <w:rPr>
      <w:sz w:val="16"/>
      <w:szCs w:val="16"/>
    </w:rPr>
  </w:style>
  <w:style w:type="character" w:customStyle="1" w:styleId="Tekstpodstawowy2Znak">
    <w:name w:val="Tekst podstawowy 2 Znak"/>
    <w:basedOn w:val="Domylnaczcionkaakapitu"/>
    <w:link w:val="Tekstpodstawowy2"/>
    <w:uiPriority w:val="99"/>
    <w:semiHidden/>
    <w:locked/>
    <w:rsid w:val="00E93FC7"/>
    <w:rPr>
      <w:rFonts w:eastAsia="MS Mincho"/>
      <w:sz w:val="24"/>
      <w:szCs w:val="24"/>
    </w:rPr>
  </w:style>
  <w:style w:type="paragraph" w:styleId="Tekstpodstawowyzwciciem">
    <w:name w:val="Body Text First Indent"/>
    <w:basedOn w:val="Tekstpodstawowy"/>
    <w:link w:val="TekstpodstawowyzwciciemZnak"/>
    <w:uiPriority w:val="99"/>
    <w:semiHidden/>
    <w:rsid w:val="00E93FC7"/>
    <w:pPr>
      <w:spacing w:after="0"/>
      <w:ind w:firstLine="360"/>
    </w:pPr>
  </w:style>
  <w:style w:type="character" w:customStyle="1" w:styleId="Tekstpodstawowy3Znak">
    <w:name w:val="Tekst podstawowy 3 Znak"/>
    <w:basedOn w:val="Domylnaczcionkaakapitu"/>
    <w:link w:val="Tekstpodstawowy3"/>
    <w:uiPriority w:val="99"/>
    <w:semiHidden/>
    <w:locked/>
    <w:rsid w:val="00E93FC7"/>
    <w:rPr>
      <w:rFonts w:eastAsia="MS Mincho"/>
      <w:sz w:val="16"/>
      <w:szCs w:val="16"/>
    </w:rPr>
  </w:style>
  <w:style w:type="paragraph" w:styleId="Tekstpodstawowywcity">
    <w:name w:val="Body Text Indent"/>
    <w:basedOn w:val="Normalny"/>
    <w:link w:val="TekstpodstawowywcityZnak"/>
    <w:uiPriority w:val="99"/>
    <w:semiHidden/>
    <w:rsid w:val="00E93FC7"/>
    <w:pPr>
      <w:spacing w:after="120"/>
      <w:ind w:left="283"/>
    </w:pPr>
  </w:style>
  <w:style w:type="character" w:customStyle="1" w:styleId="TekstpodstawowyzwciciemZnak">
    <w:name w:val="Tekst podstawowy z wcięciem Znak"/>
    <w:basedOn w:val="TekstpodstawowyZnak"/>
    <w:link w:val="Tekstpodstawowyzwciciem"/>
    <w:uiPriority w:val="99"/>
    <w:semiHidden/>
    <w:locked/>
    <w:rsid w:val="00E93FC7"/>
    <w:rPr>
      <w:rFonts w:eastAsia="MS Mincho"/>
      <w:sz w:val="24"/>
      <w:szCs w:val="24"/>
    </w:rPr>
  </w:style>
  <w:style w:type="paragraph" w:styleId="Tekstpodstawowyzwciciem2">
    <w:name w:val="Body Text First Indent 2"/>
    <w:basedOn w:val="Tekstpodstawowywcity"/>
    <w:link w:val="Tekstpodstawowyzwciciem2Znak"/>
    <w:uiPriority w:val="99"/>
    <w:semiHidden/>
    <w:rsid w:val="00E93FC7"/>
    <w:pPr>
      <w:spacing w:after="0"/>
      <w:ind w:left="360" w:firstLine="360"/>
    </w:pPr>
  </w:style>
  <w:style w:type="character" w:customStyle="1" w:styleId="TekstpodstawowywcityZnak">
    <w:name w:val="Tekst podstawowy wcięty Znak"/>
    <w:basedOn w:val="Domylnaczcionkaakapitu"/>
    <w:link w:val="Tekstpodstawowywcity"/>
    <w:uiPriority w:val="99"/>
    <w:semiHidden/>
    <w:locked/>
    <w:rsid w:val="00E93FC7"/>
    <w:rPr>
      <w:rFonts w:eastAsia="MS Mincho"/>
      <w:sz w:val="24"/>
      <w:szCs w:val="24"/>
    </w:rPr>
  </w:style>
  <w:style w:type="paragraph" w:styleId="Tekstpodstawowywcity2">
    <w:name w:val="Body Text Indent 2"/>
    <w:basedOn w:val="Normalny"/>
    <w:link w:val="Tekstpodstawowywcity2Znak"/>
    <w:uiPriority w:val="99"/>
    <w:semiHidden/>
    <w:rsid w:val="00E93FC7"/>
    <w:pPr>
      <w:spacing w:after="120" w:line="480" w:lineRule="auto"/>
      <w:ind w:left="283"/>
    </w:pPr>
  </w:style>
  <w:style w:type="character" w:customStyle="1" w:styleId="Tekstpodstawowyzwciciem2Znak">
    <w:name w:val="Tekst podstawowy z wcięciem 2 Znak"/>
    <w:basedOn w:val="TekstpodstawowywcityZnak"/>
    <w:link w:val="Tekstpodstawowyzwciciem2"/>
    <w:uiPriority w:val="99"/>
    <w:semiHidden/>
    <w:locked/>
    <w:rsid w:val="00E93FC7"/>
    <w:rPr>
      <w:rFonts w:eastAsia="MS Mincho"/>
      <w:sz w:val="24"/>
      <w:szCs w:val="24"/>
    </w:rPr>
  </w:style>
  <w:style w:type="paragraph" w:styleId="Tekstpodstawowywcity3">
    <w:name w:val="Body Text Indent 3"/>
    <w:basedOn w:val="Normalny"/>
    <w:link w:val="Tekstpodstawowywcity3Znak"/>
    <w:uiPriority w:val="99"/>
    <w:semiHidden/>
    <w:rsid w:val="00E93FC7"/>
    <w:pPr>
      <w:spacing w:after="120"/>
      <w:ind w:left="283"/>
    </w:pPr>
    <w:rPr>
      <w:sz w:val="16"/>
      <w:szCs w:val="16"/>
    </w:rPr>
  </w:style>
  <w:style w:type="character" w:customStyle="1" w:styleId="Tekstpodstawowywcity2Znak">
    <w:name w:val="Tekst podstawowy wcięty 2 Znak"/>
    <w:basedOn w:val="Domylnaczcionkaakapitu"/>
    <w:link w:val="Tekstpodstawowywcity2"/>
    <w:uiPriority w:val="99"/>
    <w:semiHidden/>
    <w:locked/>
    <w:rsid w:val="00E93FC7"/>
    <w:rPr>
      <w:rFonts w:eastAsia="MS Mincho"/>
      <w:sz w:val="24"/>
      <w:szCs w:val="24"/>
    </w:rPr>
  </w:style>
  <w:style w:type="paragraph" w:styleId="Legenda">
    <w:name w:val="caption"/>
    <w:basedOn w:val="Normalny"/>
    <w:next w:val="Normalny"/>
    <w:uiPriority w:val="99"/>
    <w:qFormat/>
    <w:rsid w:val="00E93FC7"/>
    <w:pPr>
      <w:spacing w:after="200"/>
    </w:pPr>
    <w:rPr>
      <w:b/>
      <w:bCs/>
      <w:color w:val="0072BC"/>
      <w:sz w:val="18"/>
      <w:szCs w:val="18"/>
    </w:rPr>
  </w:style>
  <w:style w:type="character" w:customStyle="1" w:styleId="Tekstpodstawowywcity3Znak">
    <w:name w:val="Tekst podstawowy wcięty 3 Znak"/>
    <w:basedOn w:val="Domylnaczcionkaakapitu"/>
    <w:link w:val="Tekstpodstawowywcity3"/>
    <w:uiPriority w:val="99"/>
    <w:semiHidden/>
    <w:locked/>
    <w:rsid w:val="00E93FC7"/>
    <w:rPr>
      <w:rFonts w:eastAsia="MS Mincho"/>
      <w:sz w:val="16"/>
      <w:szCs w:val="16"/>
    </w:rPr>
  </w:style>
  <w:style w:type="paragraph" w:styleId="Zwrotpoegnalny">
    <w:name w:val="Closing"/>
    <w:basedOn w:val="Normalny"/>
    <w:link w:val="ZwrotpoegnalnyZnak"/>
    <w:uiPriority w:val="99"/>
    <w:semiHidden/>
    <w:rsid w:val="00E93FC7"/>
    <w:pPr>
      <w:ind w:left="4252"/>
    </w:pPr>
  </w:style>
  <w:style w:type="table" w:styleId="Kolorowasiatka">
    <w:name w:val="Colorful Grid"/>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customStyle="1" w:styleId="ZwrotpoegnalnyZnak">
    <w:name w:val="Zwrot pożegnalny Znak"/>
    <w:basedOn w:val="Domylnaczcionkaakapitu"/>
    <w:link w:val="Zwrotpoegnalny"/>
    <w:uiPriority w:val="99"/>
    <w:semiHidden/>
    <w:locked/>
    <w:rsid w:val="00E93FC7"/>
    <w:rPr>
      <w:rFonts w:eastAsia="MS Mincho"/>
      <w:sz w:val="24"/>
      <w:szCs w:val="24"/>
    </w:rPr>
  </w:style>
  <w:style w:type="table" w:styleId="Kolorowasiatkaakcent1">
    <w:name w:val="Colorful Grid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paragraph" w:styleId="Tematkomentarza">
    <w:name w:val="annotation subject"/>
    <w:basedOn w:val="Tekstkomentarza"/>
    <w:next w:val="Tekstkomentarza"/>
    <w:link w:val="TematkomentarzaZnak"/>
    <w:uiPriority w:val="99"/>
    <w:semiHidden/>
    <w:rsid w:val="00E93FC7"/>
    <w:rPr>
      <w:b/>
      <w:bCs/>
    </w:rPr>
  </w:style>
  <w:style w:type="table" w:styleId="Ciemnalista">
    <w:name w:val="Dark List"/>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character" w:customStyle="1" w:styleId="TematkomentarzaZnak">
    <w:name w:val="Temat komentarza Znak"/>
    <w:basedOn w:val="TekstkomentarzaZnak"/>
    <w:link w:val="Tematkomentarza"/>
    <w:uiPriority w:val="99"/>
    <w:semiHidden/>
    <w:locked/>
    <w:rsid w:val="00E93FC7"/>
    <w:rPr>
      <w:rFonts w:eastAsia="MS Mincho"/>
      <w:b/>
      <w:bCs/>
      <w:sz w:val="20"/>
      <w:szCs w:val="20"/>
    </w:rPr>
  </w:style>
  <w:style w:type="table" w:styleId="Ciemnalista2akcent1">
    <w:name w:val="Dark List Accent 1"/>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93FC7"/>
  </w:style>
  <w:style w:type="paragraph" w:styleId="Mapadokumentu">
    <w:name w:val="Document Map"/>
    <w:basedOn w:val="Normalny"/>
    <w:link w:val="MapadokumentuZnak"/>
    <w:uiPriority w:val="99"/>
    <w:semiHidden/>
    <w:rsid w:val="00E93FC7"/>
    <w:rPr>
      <w:rFonts w:ascii="Tahoma" w:hAnsi="Tahoma" w:cs="Tahoma"/>
      <w:sz w:val="16"/>
      <w:szCs w:val="16"/>
    </w:rPr>
  </w:style>
  <w:style w:type="character" w:customStyle="1" w:styleId="DataZnak">
    <w:name w:val="Data Znak"/>
    <w:basedOn w:val="Domylnaczcionkaakapitu"/>
    <w:link w:val="Data"/>
    <w:uiPriority w:val="99"/>
    <w:semiHidden/>
    <w:locked/>
    <w:rsid w:val="00E93FC7"/>
    <w:rPr>
      <w:rFonts w:eastAsia="MS Mincho"/>
      <w:sz w:val="24"/>
      <w:szCs w:val="24"/>
    </w:rPr>
  </w:style>
  <w:style w:type="paragraph" w:styleId="Podpise-mail">
    <w:name w:val="E-mail Signature"/>
    <w:basedOn w:val="Normalny"/>
    <w:link w:val="Podpise-mailZnak"/>
    <w:uiPriority w:val="99"/>
    <w:semiHidden/>
    <w:rsid w:val="00E93FC7"/>
  </w:style>
  <w:style w:type="character" w:customStyle="1" w:styleId="MapadokumentuZnak">
    <w:name w:val="Mapa dokumentu Znak"/>
    <w:basedOn w:val="Domylnaczcionkaakapitu"/>
    <w:link w:val="Mapadokumentu"/>
    <w:uiPriority w:val="99"/>
    <w:semiHidden/>
    <w:locked/>
    <w:rsid w:val="00E93FC7"/>
    <w:rPr>
      <w:rFonts w:ascii="Tahoma" w:eastAsia="MS Mincho" w:hAnsi="Tahoma" w:cs="Tahoma"/>
      <w:sz w:val="16"/>
      <w:szCs w:val="16"/>
    </w:rPr>
  </w:style>
  <w:style w:type="character" w:styleId="Odwoanieprzypisukocowego">
    <w:name w:val="endnote reference"/>
    <w:basedOn w:val="Domylnaczcionkaakapitu"/>
    <w:uiPriority w:val="99"/>
    <w:semiHidden/>
    <w:rsid w:val="00E93FC7"/>
    <w:rPr>
      <w:vertAlign w:val="superscript"/>
    </w:rPr>
  </w:style>
  <w:style w:type="character" w:customStyle="1" w:styleId="Podpise-mailZnak">
    <w:name w:val="Podpis e-mail Znak"/>
    <w:basedOn w:val="Domylnaczcionkaakapitu"/>
    <w:link w:val="Podpise-mail"/>
    <w:uiPriority w:val="99"/>
    <w:semiHidden/>
    <w:locked/>
    <w:rsid w:val="00E93FC7"/>
    <w:rPr>
      <w:rFonts w:eastAsia="MS Mincho"/>
      <w:sz w:val="24"/>
      <w:szCs w:val="24"/>
    </w:rPr>
  </w:style>
  <w:style w:type="paragraph" w:styleId="Tekstprzypisukocowego">
    <w:name w:val="endnote text"/>
    <w:basedOn w:val="Normalny"/>
    <w:link w:val="TekstprzypisukocowegoZnak"/>
    <w:uiPriority w:val="99"/>
    <w:semiHidden/>
    <w:rsid w:val="00E93FC7"/>
    <w:rPr>
      <w:sz w:val="20"/>
      <w:szCs w:val="20"/>
    </w:rPr>
  </w:style>
  <w:style w:type="paragraph" w:styleId="Adresnakopercie">
    <w:name w:val="envelope address"/>
    <w:basedOn w:val="Normalny"/>
    <w:uiPriority w:val="99"/>
    <w:semiHidden/>
    <w:rsid w:val="00E93FC7"/>
    <w:pPr>
      <w:framePr w:w="7920" w:h="1980" w:hRule="exact" w:hSpace="180" w:wrap="auto" w:hAnchor="page" w:xAlign="center" w:yAlign="bottom"/>
      <w:ind w:left="2880"/>
    </w:pPr>
    <w:rPr>
      <w:rFonts w:eastAsia="MS Gothic"/>
    </w:rPr>
  </w:style>
  <w:style w:type="character" w:customStyle="1" w:styleId="TekstprzypisukocowegoZnak">
    <w:name w:val="Tekst przypisu końcowego Znak"/>
    <w:basedOn w:val="Domylnaczcionkaakapitu"/>
    <w:link w:val="Tekstprzypisukocowego"/>
    <w:uiPriority w:val="99"/>
    <w:semiHidden/>
    <w:locked/>
    <w:rsid w:val="00E93FC7"/>
    <w:rPr>
      <w:rFonts w:eastAsia="MS Mincho"/>
      <w:sz w:val="20"/>
      <w:szCs w:val="20"/>
    </w:rPr>
  </w:style>
  <w:style w:type="paragraph" w:styleId="Adreszwrotnynakopercie">
    <w:name w:val="envelope return"/>
    <w:basedOn w:val="Normalny"/>
    <w:uiPriority w:val="99"/>
    <w:semiHidden/>
    <w:rsid w:val="00E93FC7"/>
    <w:rPr>
      <w:rFonts w:eastAsia="MS Gothic"/>
      <w:sz w:val="20"/>
      <w:szCs w:val="20"/>
    </w:rPr>
  </w:style>
  <w:style w:type="character" w:styleId="UyteHipercze">
    <w:name w:val="FollowedHyperlink"/>
    <w:basedOn w:val="Domylnaczcionkaakapitu"/>
    <w:uiPriority w:val="99"/>
    <w:semiHidden/>
    <w:rsid w:val="00E93FC7"/>
    <w:rPr>
      <w:color w:val="auto"/>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szCs w:val="20"/>
    </w:rPr>
  </w:style>
  <w:style w:type="character" w:styleId="HTML-akronim">
    <w:name w:val="HTML Acronym"/>
    <w:basedOn w:val="Domylnaczcionkaakapitu"/>
    <w:uiPriority w:val="99"/>
    <w:semiHidden/>
    <w:rsid w:val="00E93FC7"/>
  </w:style>
  <w:style w:type="character" w:customStyle="1" w:styleId="TekstprzypisudolnegoZnak">
    <w:name w:val="Tekst przypisu dolnego Znak"/>
    <w:basedOn w:val="Domylnaczcionkaakapitu"/>
    <w:link w:val="Tekstprzypisudolnego"/>
    <w:uiPriority w:val="99"/>
    <w:semiHidden/>
    <w:locked/>
    <w:rsid w:val="00987A64"/>
    <w:rPr>
      <w:rFonts w:eastAsia="MS Mincho"/>
      <w:sz w:val="20"/>
      <w:szCs w:val="20"/>
    </w:rPr>
  </w:style>
  <w:style w:type="paragraph" w:styleId="HTML-adres">
    <w:name w:val="HTML Address"/>
    <w:basedOn w:val="Normalny"/>
    <w:link w:val="HTML-adresZnak"/>
    <w:uiPriority w:val="99"/>
    <w:semiHidden/>
    <w:rsid w:val="00E93FC7"/>
    <w:rPr>
      <w:i/>
      <w:iCs/>
    </w:rPr>
  </w:style>
  <w:style w:type="character" w:styleId="HTML-cytat">
    <w:name w:val="HTML Cite"/>
    <w:basedOn w:val="Domylnaczcionkaakapitu"/>
    <w:uiPriority w:val="99"/>
    <w:semiHidden/>
    <w:rsid w:val="00E93FC7"/>
    <w:rPr>
      <w:i/>
      <w:iCs/>
    </w:rPr>
  </w:style>
  <w:style w:type="character" w:customStyle="1" w:styleId="HTML-adresZnak">
    <w:name w:val="HTML - adres Znak"/>
    <w:basedOn w:val="Domylnaczcionkaakapitu"/>
    <w:link w:val="HTML-adres"/>
    <w:uiPriority w:val="99"/>
    <w:semiHidden/>
    <w:locked/>
    <w:rsid w:val="00E93FC7"/>
    <w:rPr>
      <w:rFonts w:eastAsia="MS Mincho"/>
      <w:i/>
      <w:iCs/>
      <w:sz w:val="24"/>
      <w:szCs w:val="24"/>
    </w:rPr>
  </w:style>
  <w:style w:type="character" w:styleId="HTML-kod">
    <w:name w:val="HTML Code"/>
    <w:basedOn w:val="Domylnaczcionkaakapitu"/>
    <w:uiPriority w:val="99"/>
    <w:semiHidden/>
    <w:rsid w:val="00E93FC7"/>
    <w:rPr>
      <w:rFonts w:ascii="Consolas" w:hAnsi="Consolas" w:cs="Consolas"/>
      <w:sz w:val="20"/>
      <w:szCs w:val="20"/>
    </w:rPr>
  </w:style>
  <w:style w:type="character" w:styleId="HTML-definicja">
    <w:name w:val="HTML Definition"/>
    <w:basedOn w:val="Domylnaczcionkaakapitu"/>
    <w:uiPriority w:val="99"/>
    <w:semiHidden/>
    <w:rsid w:val="00E93FC7"/>
    <w:rPr>
      <w:i/>
      <w:iCs/>
    </w:rPr>
  </w:style>
  <w:style w:type="character" w:styleId="HTML-klawiatura">
    <w:name w:val="HTML Keyboard"/>
    <w:basedOn w:val="Domylnaczcionkaakapitu"/>
    <w:uiPriority w:val="99"/>
    <w:semiHidden/>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rsid w:val="00E93FC7"/>
    <w:rPr>
      <w:rFonts w:ascii="Consolas" w:hAnsi="Consolas" w:cs="Consolas"/>
      <w:sz w:val="20"/>
      <w:szCs w:val="20"/>
    </w:rPr>
  </w:style>
  <w:style w:type="character" w:styleId="HTML-przykad">
    <w:name w:val="HTML Sample"/>
    <w:basedOn w:val="Domylnaczcionkaakapitu"/>
    <w:uiPriority w:val="99"/>
    <w:semiHidden/>
    <w:rsid w:val="00E93FC7"/>
    <w:rPr>
      <w:rFonts w:ascii="Consolas" w:hAnsi="Consolas" w:cs="Consolas"/>
      <w:sz w:val="24"/>
      <w:szCs w:val="24"/>
    </w:rPr>
  </w:style>
  <w:style w:type="character" w:customStyle="1" w:styleId="HTML-wstpniesformatowanyZnak">
    <w:name w:val="HTML - wstępnie sformatowany Znak"/>
    <w:basedOn w:val="Domylnaczcionkaakapitu"/>
    <w:link w:val="HTML-wstpniesformatowany"/>
    <w:uiPriority w:val="99"/>
    <w:semiHidden/>
    <w:locked/>
    <w:rsid w:val="00E93FC7"/>
    <w:rPr>
      <w:rFonts w:ascii="Consolas" w:eastAsia="MS Mincho" w:hAnsi="Consolas" w:cs="Consolas"/>
      <w:sz w:val="20"/>
      <w:szCs w:val="20"/>
    </w:rPr>
  </w:style>
  <w:style w:type="character" w:styleId="HTML-staaszeroko">
    <w:name w:val="HTML Typewriter"/>
    <w:basedOn w:val="Domylnaczcionkaakapitu"/>
    <w:uiPriority w:val="99"/>
    <w:semiHidden/>
    <w:rsid w:val="00E93FC7"/>
    <w:rPr>
      <w:rFonts w:ascii="Consolas" w:hAnsi="Consolas" w:cs="Consolas"/>
      <w:sz w:val="20"/>
      <w:szCs w:val="20"/>
    </w:rPr>
  </w:style>
  <w:style w:type="character" w:styleId="HTML-zmienna">
    <w:name w:val="HTML Variable"/>
    <w:basedOn w:val="Domylnaczcionkaakapitu"/>
    <w:uiPriority w:val="99"/>
    <w:semiHidden/>
    <w:rsid w:val="00E93FC7"/>
    <w:rPr>
      <w:i/>
      <w:iCs/>
    </w:rPr>
  </w:style>
  <w:style w:type="character" w:styleId="Hipercze">
    <w:name w:val="Hyperlink"/>
    <w:basedOn w:val="Domylnaczcionkaakapitu"/>
    <w:uiPriority w:val="99"/>
    <w:rsid w:val="00987A64"/>
    <w:rPr>
      <w:color w:val="0072BC"/>
      <w:u w:val="single"/>
    </w:rPr>
  </w:style>
  <w:style w:type="paragraph" w:styleId="Indeks1">
    <w:name w:val="index 1"/>
    <w:basedOn w:val="Normalny"/>
    <w:next w:val="Normalny"/>
    <w:autoRedefine/>
    <w:uiPriority w:val="99"/>
    <w:semiHidden/>
    <w:rsid w:val="00E93FC7"/>
    <w:pPr>
      <w:ind w:left="240" w:hanging="240"/>
    </w:pPr>
  </w:style>
  <w:style w:type="paragraph" w:styleId="Indeks2">
    <w:name w:val="index 2"/>
    <w:basedOn w:val="Normalny"/>
    <w:next w:val="Normalny"/>
    <w:autoRedefine/>
    <w:uiPriority w:val="99"/>
    <w:semiHidden/>
    <w:rsid w:val="00E93FC7"/>
    <w:pPr>
      <w:ind w:left="480" w:hanging="240"/>
    </w:pPr>
  </w:style>
  <w:style w:type="paragraph" w:styleId="Indeks3">
    <w:name w:val="index 3"/>
    <w:basedOn w:val="Normalny"/>
    <w:next w:val="Normalny"/>
    <w:autoRedefine/>
    <w:uiPriority w:val="99"/>
    <w:semiHidden/>
    <w:rsid w:val="00E93FC7"/>
    <w:pPr>
      <w:ind w:left="720" w:hanging="240"/>
    </w:pPr>
  </w:style>
  <w:style w:type="paragraph" w:styleId="Indeks4">
    <w:name w:val="index 4"/>
    <w:basedOn w:val="Normalny"/>
    <w:next w:val="Normalny"/>
    <w:autoRedefine/>
    <w:uiPriority w:val="99"/>
    <w:semiHidden/>
    <w:rsid w:val="00E93FC7"/>
    <w:pPr>
      <w:ind w:left="960" w:hanging="240"/>
    </w:pPr>
  </w:style>
  <w:style w:type="paragraph" w:styleId="Indeks5">
    <w:name w:val="index 5"/>
    <w:basedOn w:val="Normalny"/>
    <w:next w:val="Normalny"/>
    <w:autoRedefine/>
    <w:uiPriority w:val="99"/>
    <w:semiHidden/>
    <w:rsid w:val="00E93FC7"/>
    <w:pPr>
      <w:ind w:left="1200" w:hanging="240"/>
    </w:pPr>
  </w:style>
  <w:style w:type="paragraph" w:styleId="Indeks6">
    <w:name w:val="index 6"/>
    <w:basedOn w:val="Normalny"/>
    <w:next w:val="Normalny"/>
    <w:autoRedefine/>
    <w:uiPriority w:val="99"/>
    <w:semiHidden/>
    <w:rsid w:val="00E93FC7"/>
    <w:pPr>
      <w:ind w:left="1440" w:hanging="240"/>
    </w:pPr>
  </w:style>
  <w:style w:type="paragraph" w:styleId="Indeks7">
    <w:name w:val="index 7"/>
    <w:basedOn w:val="Normalny"/>
    <w:next w:val="Normalny"/>
    <w:autoRedefine/>
    <w:uiPriority w:val="99"/>
    <w:semiHidden/>
    <w:rsid w:val="00E93FC7"/>
    <w:pPr>
      <w:ind w:left="1680" w:hanging="240"/>
    </w:pPr>
  </w:style>
  <w:style w:type="paragraph" w:styleId="Indeks8">
    <w:name w:val="index 8"/>
    <w:basedOn w:val="Normalny"/>
    <w:next w:val="Normalny"/>
    <w:autoRedefine/>
    <w:uiPriority w:val="99"/>
    <w:semiHidden/>
    <w:rsid w:val="00E93FC7"/>
    <w:pPr>
      <w:ind w:left="1920" w:hanging="240"/>
    </w:pPr>
  </w:style>
  <w:style w:type="paragraph" w:styleId="Indeks9">
    <w:name w:val="index 9"/>
    <w:basedOn w:val="Normalny"/>
    <w:next w:val="Normalny"/>
    <w:autoRedefine/>
    <w:uiPriority w:val="99"/>
    <w:semiHidden/>
    <w:rsid w:val="00E93FC7"/>
    <w:pPr>
      <w:ind w:left="2160" w:hanging="240"/>
    </w:pPr>
  </w:style>
  <w:style w:type="paragraph" w:styleId="Nagwekindeksu">
    <w:name w:val="index heading"/>
    <w:basedOn w:val="Normalny"/>
    <w:next w:val="Indeks1"/>
    <w:uiPriority w:val="99"/>
    <w:semiHidden/>
    <w:rsid w:val="00E93FC7"/>
    <w:rPr>
      <w:rFonts w:eastAsia="MS Gothic"/>
      <w:b/>
      <w:bCs/>
    </w:rPr>
  </w:style>
  <w:style w:type="table" w:styleId="Jasnasiatka">
    <w:name w:val="Light Grid"/>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93FC7"/>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93FC7"/>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93FC7"/>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93FC7"/>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93FC7"/>
  </w:style>
  <w:style w:type="paragraph" w:styleId="Lista">
    <w:name w:val="List"/>
    <w:basedOn w:val="Normalny"/>
    <w:uiPriority w:val="99"/>
    <w:semiHidden/>
    <w:rsid w:val="00E93FC7"/>
    <w:pPr>
      <w:ind w:left="283" w:hanging="283"/>
    </w:pPr>
  </w:style>
  <w:style w:type="paragraph" w:styleId="Lista2">
    <w:name w:val="List 2"/>
    <w:basedOn w:val="Normalny"/>
    <w:uiPriority w:val="99"/>
    <w:semiHidden/>
    <w:rsid w:val="00E93FC7"/>
    <w:pPr>
      <w:ind w:left="566" w:hanging="283"/>
    </w:pPr>
  </w:style>
  <w:style w:type="paragraph" w:styleId="Lista3">
    <w:name w:val="List 3"/>
    <w:basedOn w:val="Normalny"/>
    <w:uiPriority w:val="99"/>
    <w:semiHidden/>
    <w:rsid w:val="00E93FC7"/>
    <w:pPr>
      <w:ind w:left="849" w:hanging="283"/>
    </w:pPr>
  </w:style>
  <w:style w:type="paragraph" w:styleId="Lista4">
    <w:name w:val="List 4"/>
    <w:basedOn w:val="Normalny"/>
    <w:uiPriority w:val="99"/>
    <w:semiHidden/>
    <w:rsid w:val="00E93FC7"/>
    <w:pPr>
      <w:ind w:left="1132" w:hanging="283"/>
    </w:pPr>
  </w:style>
  <w:style w:type="paragraph" w:styleId="Lista5">
    <w:name w:val="List 5"/>
    <w:basedOn w:val="Normalny"/>
    <w:uiPriority w:val="99"/>
    <w:semiHidden/>
    <w:rsid w:val="00E93FC7"/>
    <w:pPr>
      <w:ind w:left="1415" w:hanging="283"/>
    </w:pPr>
  </w:style>
  <w:style w:type="paragraph" w:styleId="Listapunktowana">
    <w:name w:val="List Bullet"/>
    <w:basedOn w:val="Normalny"/>
    <w:uiPriority w:val="99"/>
    <w:semiHidden/>
    <w:rsid w:val="00E93FC7"/>
    <w:pPr>
      <w:tabs>
        <w:tab w:val="num" w:pos="360"/>
      </w:tabs>
      <w:ind w:left="360" w:hanging="360"/>
    </w:pPr>
  </w:style>
  <w:style w:type="paragraph" w:styleId="Listapunktowana2">
    <w:name w:val="List Bullet 2"/>
    <w:basedOn w:val="Normalny"/>
    <w:uiPriority w:val="99"/>
    <w:semiHidden/>
    <w:rsid w:val="00E93FC7"/>
    <w:pPr>
      <w:numPr>
        <w:numId w:val="2"/>
      </w:numPr>
    </w:pPr>
  </w:style>
  <w:style w:type="paragraph" w:styleId="Listapunktowana3">
    <w:name w:val="List Bullet 3"/>
    <w:basedOn w:val="Normalny"/>
    <w:uiPriority w:val="99"/>
    <w:semiHidden/>
    <w:rsid w:val="00E93FC7"/>
    <w:pPr>
      <w:numPr>
        <w:numId w:val="3"/>
      </w:numPr>
    </w:pPr>
  </w:style>
  <w:style w:type="paragraph" w:styleId="Listapunktowana4">
    <w:name w:val="List Bullet 4"/>
    <w:basedOn w:val="Normalny"/>
    <w:uiPriority w:val="99"/>
    <w:semiHidden/>
    <w:rsid w:val="00E93FC7"/>
    <w:pPr>
      <w:numPr>
        <w:numId w:val="4"/>
      </w:numPr>
    </w:pPr>
  </w:style>
  <w:style w:type="paragraph" w:styleId="Listapunktowana5">
    <w:name w:val="List Bullet 5"/>
    <w:basedOn w:val="Normalny"/>
    <w:uiPriority w:val="99"/>
    <w:semiHidden/>
    <w:rsid w:val="00E93FC7"/>
    <w:pPr>
      <w:numPr>
        <w:numId w:val="5"/>
      </w:numPr>
    </w:pPr>
  </w:style>
  <w:style w:type="paragraph" w:styleId="Lista-kontynuacja">
    <w:name w:val="List Continue"/>
    <w:basedOn w:val="Normalny"/>
    <w:uiPriority w:val="99"/>
    <w:semiHidden/>
    <w:rsid w:val="00E93FC7"/>
    <w:pPr>
      <w:spacing w:after="120"/>
      <w:ind w:left="283"/>
    </w:pPr>
  </w:style>
  <w:style w:type="paragraph" w:styleId="Lista-kontynuacja2">
    <w:name w:val="List Continue 2"/>
    <w:basedOn w:val="Normalny"/>
    <w:uiPriority w:val="99"/>
    <w:semiHidden/>
    <w:rsid w:val="00E93FC7"/>
    <w:pPr>
      <w:spacing w:after="120"/>
      <w:ind w:left="566"/>
    </w:pPr>
  </w:style>
  <w:style w:type="paragraph" w:styleId="Lista-kontynuacja3">
    <w:name w:val="List Continue 3"/>
    <w:basedOn w:val="Normalny"/>
    <w:uiPriority w:val="99"/>
    <w:semiHidden/>
    <w:rsid w:val="00E93FC7"/>
    <w:pPr>
      <w:spacing w:after="120"/>
      <w:ind w:left="849"/>
    </w:pPr>
  </w:style>
  <w:style w:type="paragraph" w:styleId="Lista-kontynuacja4">
    <w:name w:val="List Continue 4"/>
    <w:basedOn w:val="Normalny"/>
    <w:uiPriority w:val="99"/>
    <w:semiHidden/>
    <w:rsid w:val="00E93FC7"/>
    <w:pPr>
      <w:spacing w:after="120"/>
      <w:ind w:left="1132"/>
    </w:pPr>
  </w:style>
  <w:style w:type="paragraph" w:styleId="Lista-kontynuacja5">
    <w:name w:val="List Continue 5"/>
    <w:basedOn w:val="Normalny"/>
    <w:uiPriority w:val="99"/>
    <w:semiHidden/>
    <w:rsid w:val="00E93FC7"/>
    <w:pPr>
      <w:spacing w:after="120"/>
      <w:ind w:left="1415"/>
    </w:pPr>
  </w:style>
  <w:style w:type="paragraph" w:styleId="Listanumerowana">
    <w:name w:val="List Number"/>
    <w:basedOn w:val="Normalny"/>
    <w:uiPriority w:val="99"/>
    <w:semiHidden/>
    <w:rsid w:val="00E93FC7"/>
    <w:pPr>
      <w:numPr>
        <w:numId w:val="6"/>
      </w:numPr>
    </w:pPr>
  </w:style>
  <w:style w:type="paragraph" w:styleId="Listanumerowana2">
    <w:name w:val="List Number 2"/>
    <w:basedOn w:val="Normalny"/>
    <w:uiPriority w:val="99"/>
    <w:semiHidden/>
    <w:rsid w:val="00E93FC7"/>
    <w:pPr>
      <w:numPr>
        <w:numId w:val="7"/>
      </w:numPr>
    </w:pPr>
  </w:style>
  <w:style w:type="paragraph" w:styleId="Listanumerowana3">
    <w:name w:val="List Number 3"/>
    <w:basedOn w:val="Normalny"/>
    <w:uiPriority w:val="99"/>
    <w:semiHidden/>
    <w:rsid w:val="00E93FC7"/>
    <w:pPr>
      <w:numPr>
        <w:numId w:val="8"/>
      </w:numPr>
    </w:pPr>
  </w:style>
  <w:style w:type="paragraph" w:styleId="Listanumerowana4">
    <w:name w:val="List Number 4"/>
    <w:basedOn w:val="Normalny"/>
    <w:uiPriority w:val="99"/>
    <w:semiHidden/>
    <w:rsid w:val="00E93FC7"/>
    <w:pPr>
      <w:numPr>
        <w:numId w:val="9"/>
      </w:numPr>
    </w:pPr>
  </w:style>
  <w:style w:type="paragraph" w:styleId="Listanumerowana5">
    <w:name w:val="List Number 5"/>
    <w:basedOn w:val="Normalny"/>
    <w:uiPriority w:val="99"/>
    <w:semiHidden/>
    <w:rsid w:val="00E93FC7"/>
    <w:pPr>
      <w:numPr>
        <w:numId w:val="10"/>
      </w:numPr>
    </w:pPr>
  </w:style>
  <w:style w:type="paragraph" w:styleId="Tekstmakra">
    <w:name w:val="macro"/>
    <w:link w:val="TekstmakraZnak"/>
    <w:uiPriority w:val="99"/>
    <w:semiHidden/>
    <w:rsid w:val="00E93FC7"/>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table" w:styleId="redniasiatka1">
    <w:name w:val="Medium Grid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TekstmakraZnak">
    <w:name w:val="Tekst makra Znak"/>
    <w:basedOn w:val="Domylnaczcionkaakapitu"/>
    <w:link w:val="Tekstmakra"/>
    <w:uiPriority w:val="99"/>
    <w:semiHidden/>
    <w:locked/>
    <w:rsid w:val="00E93FC7"/>
    <w:rPr>
      <w:rFonts w:ascii="Consolas" w:eastAsia="MS Mincho" w:hAnsi="Consolas" w:cs="Consolas"/>
      <w:lang w:val="pl-PL" w:eastAsia="en-US"/>
    </w:rPr>
  </w:style>
  <w:style w:type="table" w:styleId="redniasiatka1akcent1">
    <w:name w:val="Medium Grid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paragraph" w:styleId="NormalnyWeb">
    <w:name w:val="Normal (Web)"/>
    <w:basedOn w:val="Normalny"/>
    <w:uiPriority w:val="99"/>
    <w:semiHidden/>
    <w:rsid w:val="00E93FC7"/>
  </w:style>
  <w:style w:type="character" w:customStyle="1" w:styleId="NagwekwiadomociZnak">
    <w:name w:val="Nagłówek wiadomości Znak"/>
    <w:basedOn w:val="Domylnaczcionkaakapitu"/>
    <w:link w:val="Nagwekwiadomoci"/>
    <w:uiPriority w:val="99"/>
    <w:semiHidden/>
    <w:locked/>
    <w:rsid w:val="00E93FC7"/>
    <w:rPr>
      <w:rFonts w:ascii="Times New Roman" w:eastAsia="MS Gothic" w:hAnsi="Times New Roman" w:cs="Times New Roman"/>
      <w:sz w:val="24"/>
      <w:szCs w:val="24"/>
      <w:shd w:val="pct20" w:color="auto" w:fill="auto"/>
    </w:rPr>
  </w:style>
  <w:style w:type="paragraph" w:styleId="Wcicienormalne">
    <w:name w:val="Normal Indent"/>
    <w:basedOn w:val="Normalny"/>
    <w:uiPriority w:val="99"/>
    <w:semiHidden/>
    <w:rsid w:val="00E93FC7"/>
    <w:pPr>
      <w:ind w:left="720"/>
    </w:pPr>
  </w:style>
  <w:style w:type="paragraph" w:styleId="Nagweknotatki">
    <w:name w:val="Note Heading"/>
    <w:basedOn w:val="Normalny"/>
    <w:next w:val="Normalny"/>
    <w:link w:val="NagweknotatkiZnak"/>
    <w:uiPriority w:val="99"/>
    <w:semiHidden/>
    <w:rsid w:val="00E93FC7"/>
  </w:style>
  <w:style w:type="character" w:styleId="Tekstzastpczy">
    <w:name w:val="Placeholder Text"/>
    <w:basedOn w:val="Domylnaczcionkaakapitu"/>
    <w:uiPriority w:val="99"/>
    <w:rsid w:val="00987A64"/>
    <w:rPr>
      <w:color w:val="auto"/>
      <w:shd w:val="clear" w:color="auto" w:fill="DFDFDF"/>
    </w:rPr>
  </w:style>
  <w:style w:type="character" w:customStyle="1" w:styleId="NagweknotatkiZnak">
    <w:name w:val="Nagłówek notatki Znak"/>
    <w:basedOn w:val="Domylnaczcionkaakapitu"/>
    <w:link w:val="Nagweknotatki"/>
    <w:uiPriority w:val="99"/>
    <w:semiHidden/>
    <w:locked/>
    <w:rsid w:val="00E93FC7"/>
    <w:rPr>
      <w:rFonts w:eastAsia="MS Mincho"/>
      <w:sz w:val="24"/>
      <w:szCs w:val="24"/>
    </w:rPr>
  </w:style>
  <w:style w:type="paragraph" w:styleId="Zwykytekst">
    <w:name w:val="Plain Text"/>
    <w:basedOn w:val="Normalny"/>
    <w:link w:val="ZwykytekstZnak"/>
    <w:uiPriority w:val="99"/>
    <w:semiHidden/>
    <w:rsid w:val="00E93FC7"/>
    <w:rPr>
      <w:rFonts w:ascii="Consolas" w:hAnsi="Consolas" w:cs="Consolas"/>
      <w:sz w:val="21"/>
      <w:szCs w:val="21"/>
    </w:rPr>
  </w:style>
  <w:style w:type="paragraph" w:styleId="Zwrotgrzecznociowy">
    <w:name w:val="Salutation"/>
    <w:basedOn w:val="Normalny"/>
    <w:next w:val="Normalny"/>
    <w:link w:val="ZwrotgrzecznociowyZnak"/>
    <w:uiPriority w:val="99"/>
    <w:semiHidden/>
    <w:rsid w:val="00E93FC7"/>
  </w:style>
  <w:style w:type="character" w:customStyle="1" w:styleId="ZwykytekstZnak">
    <w:name w:val="Zwykły tekst Znak"/>
    <w:basedOn w:val="Domylnaczcionkaakapitu"/>
    <w:link w:val="Zwykytekst"/>
    <w:uiPriority w:val="99"/>
    <w:semiHidden/>
    <w:locked/>
    <w:rsid w:val="00E93FC7"/>
    <w:rPr>
      <w:rFonts w:ascii="Consolas" w:eastAsia="MS Mincho" w:hAnsi="Consolas" w:cs="Consolas"/>
      <w:sz w:val="21"/>
      <w:szCs w:val="21"/>
    </w:rPr>
  </w:style>
  <w:style w:type="paragraph" w:styleId="Podpis">
    <w:name w:val="Signature"/>
    <w:basedOn w:val="Normalny"/>
    <w:link w:val="PodpisZnak"/>
    <w:uiPriority w:val="99"/>
    <w:semiHidden/>
    <w:rsid w:val="00E93FC7"/>
    <w:pPr>
      <w:ind w:left="4252"/>
    </w:pPr>
  </w:style>
  <w:style w:type="character" w:customStyle="1" w:styleId="ZwrotgrzecznociowyZnak">
    <w:name w:val="Zwrot grzecznościowy Znak"/>
    <w:basedOn w:val="Domylnaczcionkaakapitu"/>
    <w:link w:val="Zwrotgrzecznociowy"/>
    <w:uiPriority w:val="99"/>
    <w:semiHidden/>
    <w:locked/>
    <w:rsid w:val="00E93FC7"/>
    <w:rPr>
      <w:rFonts w:eastAsia="MS Mincho"/>
      <w:sz w:val="24"/>
      <w:szCs w:val="24"/>
    </w:rPr>
  </w:style>
  <w:style w:type="table" w:styleId="Tabela-Efekty3W1">
    <w:name w:val="Table 3D effects 1"/>
    <w:basedOn w:val="Standardowy"/>
    <w:uiPriority w:val="99"/>
    <w:semiHidden/>
    <w:rsid w:val="00E93FC7"/>
    <w:pPr>
      <w:spacing w:after="0" w:line="240" w:lineRule="auto"/>
      <w:jc w:val="both"/>
    </w:pPr>
    <w:rPr>
      <w:sz w:val="20"/>
      <w:szCs w:val="20"/>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PodpisZnak">
    <w:name w:val="Podpis Znak"/>
    <w:basedOn w:val="Domylnaczcionkaakapitu"/>
    <w:link w:val="Podpis"/>
    <w:uiPriority w:val="99"/>
    <w:semiHidden/>
    <w:locked/>
    <w:rsid w:val="00E93FC7"/>
    <w:rPr>
      <w:rFonts w:eastAsia="MS Mincho"/>
      <w:sz w:val="24"/>
      <w:szCs w:val="24"/>
    </w:rPr>
  </w:style>
  <w:style w:type="table" w:styleId="Tabela-Efekty3W2">
    <w:name w:val="Table 3D effects 2"/>
    <w:basedOn w:val="Standardowy"/>
    <w:uiPriority w:val="99"/>
    <w:semiHidden/>
    <w:rsid w:val="00E93FC7"/>
    <w:pPr>
      <w:spacing w:after="0" w:line="240" w:lineRule="auto"/>
      <w:jc w:val="both"/>
    </w:pPr>
    <w:rPr>
      <w:sz w:val="20"/>
      <w:szCs w:val="20"/>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93FC7"/>
    <w:pPr>
      <w:spacing w:after="0" w:line="240" w:lineRule="auto"/>
      <w:jc w:val="both"/>
    </w:pPr>
    <w:rPr>
      <w:sz w:val="20"/>
      <w:szCs w:val="20"/>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93FC7"/>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93FC7"/>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93FC7"/>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93FC7"/>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93FC7"/>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93FC7"/>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93FC7"/>
    <w:pPr>
      <w:spacing w:after="0" w:line="240" w:lineRule="auto"/>
      <w:jc w:val="both"/>
    </w:pPr>
    <w:rPr>
      <w:b/>
      <w:bCs/>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93FC7"/>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93FC7"/>
    <w:pPr>
      <w:spacing w:after="0" w:line="240" w:lineRule="auto"/>
      <w:jc w:val="both"/>
    </w:pPr>
    <w:rPr>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93FC7"/>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93FC7"/>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93FC7"/>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987A64"/>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93FC7"/>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93FC7"/>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93FC7"/>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93FC7"/>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93FC7"/>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93FC7"/>
    <w:pPr>
      <w:spacing w:after="0" w:line="240" w:lineRule="auto"/>
      <w:jc w:val="both"/>
    </w:pPr>
    <w:rPr>
      <w:sz w:val="20"/>
      <w:szCs w:val="20"/>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93FC7"/>
    <w:pPr>
      <w:ind w:left="240" w:hanging="240"/>
    </w:pPr>
  </w:style>
  <w:style w:type="paragraph" w:styleId="Spisilustracji">
    <w:name w:val="table of figures"/>
    <w:basedOn w:val="Normalny"/>
    <w:next w:val="Normalny"/>
    <w:uiPriority w:val="99"/>
    <w:semiHidden/>
    <w:rsid w:val="00E93FC7"/>
  </w:style>
  <w:style w:type="table" w:styleId="Tabela-Profesjonalny">
    <w:name w:val="Table Professional"/>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93FC7"/>
    <w:pPr>
      <w:spacing w:after="0" w:line="240" w:lineRule="auto"/>
      <w:jc w:val="both"/>
    </w:pPr>
    <w:rPr>
      <w:sz w:val="20"/>
      <w:szCs w:val="20"/>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93FC7"/>
    <w:pPr>
      <w:spacing w:after="0" w:line="240" w:lineRule="auto"/>
      <w:jc w:val="both"/>
    </w:pPr>
    <w:rPr>
      <w:sz w:val="20"/>
      <w:szCs w:val="20"/>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93FC7"/>
    <w:pPr>
      <w:spacing w:after="0" w:line="240" w:lineRule="auto"/>
      <w:jc w:val="both"/>
    </w:pPr>
    <w:rPr>
      <w:sz w:val="20"/>
      <w:szCs w:val="20"/>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93FC7"/>
    <w:pPr>
      <w:spacing w:after="0" w:line="240" w:lineRule="auto"/>
      <w:jc w:val="both"/>
    </w:pPr>
    <w:rPr>
      <w:sz w:val="20"/>
      <w:szCs w:val="20"/>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93FC7"/>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93FC7"/>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93FC7"/>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93FC7"/>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jc w:val="center"/>
    </w:pPr>
    <w:rPr>
      <w:rFonts w:eastAsia="MS Gothic"/>
      <w:b/>
      <w:bCs/>
      <w:color w:val="474747"/>
      <w:sz w:val="28"/>
      <w:szCs w:val="28"/>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szCs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93FC7"/>
    <w:pPr>
      <w:spacing w:after="100"/>
      <w:ind w:left="1680"/>
    </w:pPr>
  </w:style>
  <w:style w:type="paragraph" w:styleId="Spistreci9">
    <w:name w:val="toc 9"/>
    <w:basedOn w:val="Normalny"/>
    <w:next w:val="Normalny"/>
    <w:autoRedefine/>
    <w:uiPriority w:val="99"/>
    <w:semiHidden/>
    <w:rsid w:val="00E93FC7"/>
    <w:pPr>
      <w:spacing w:after="100"/>
      <w:ind w:left="1920"/>
    </w:pPr>
  </w:style>
  <w:style w:type="paragraph" w:customStyle="1" w:styleId="ECHRFooter">
    <w:name w:val="ECHR_Footer"/>
    <w:aliases w:val="Footer_ECHR"/>
    <w:basedOn w:val="Stopka"/>
    <w:uiPriority w:val="99"/>
    <w:semiHidden/>
    <w:rsid w:val="00987A64"/>
    <w:pPr>
      <w:jc w:val="left"/>
    </w:pPr>
    <w:rPr>
      <w:sz w:val="8"/>
      <w:szCs w:val="8"/>
    </w:rPr>
  </w:style>
  <w:style w:type="paragraph" w:customStyle="1" w:styleId="DummyStyle">
    <w:name w:val="Dummy_Style"/>
    <w:basedOn w:val="Normalny"/>
    <w:uiPriority w:val="99"/>
    <w:semiHidden/>
    <w:rsid w:val="00987A64"/>
    <w:rPr>
      <w:color w:val="00B050"/>
    </w:rPr>
  </w:style>
  <w:style w:type="paragraph" w:styleId="Stopka">
    <w:name w:val="footer"/>
    <w:basedOn w:val="Normalny"/>
    <w:link w:val="StopkaZnak"/>
    <w:uiPriority w:val="99"/>
    <w:semiHidden/>
    <w:rsid w:val="00987A64"/>
    <w:pPr>
      <w:tabs>
        <w:tab w:val="center" w:pos="4536"/>
        <w:tab w:val="right" w:pos="9696"/>
      </w:tabs>
      <w:ind w:left="-680" w:right="-680"/>
    </w:pPr>
    <w:rPr>
      <w:rFonts w:eastAsia="Times New Roman"/>
    </w:rPr>
  </w:style>
  <w:style w:type="paragraph" w:customStyle="1" w:styleId="ECHRFooterLine">
    <w:name w:val="ECHR_Footer_Line"/>
    <w:aliases w:val="Footer_Line"/>
    <w:basedOn w:val="Normalny"/>
    <w:next w:val="ECHRFooter"/>
    <w:uiPriority w:val="99"/>
    <w:semiHidden/>
    <w:rsid w:val="00987A64"/>
    <w:pPr>
      <w:pBdr>
        <w:top w:val="single" w:sz="6" w:space="1" w:color="5F5F5F"/>
      </w:pBdr>
      <w:tabs>
        <w:tab w:val="center" w:pos="4536"/>
        <w:tab w:val="right" w:pos="9696"/>
      </w:tabs>
      <w:ind w:left="-680" w:right="-680"/>
      <w:jc w:val="left"/>
    </w:pPr>
    <w:rPr>
      <w:color w:val="5F5F5F"/>
    </w:rPr>
  </w:style>
  <w:style w:type="character" w:customStyle="1" w:styleId="StopkaZnak">
    <w:name w:val="Stopka Znak"/>
    <w:basedOn w:val="Domylnaczcionkaakapitu"/>
    <w:link w:val="Stopka"/>
    <w:uiPriority w:val="99"/>
    <w:semiHidden/>
    <w:locked/>
    <w:rsid w:val="00987A64"/>
    <w:rPr>
      <w:sz w:val="24"/>
      <w:szCs w:val="24"/>
    </w:rPr>
  </w:style>
  <w:style w:type="table" w:customStyle="1" w:styleId="ECHRListTable">
    <w:name w:val="ECHR_List_Table"/>
    <w:uiPriority w:val="99"/>
    <w:rsid w:val="00987A64"/>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JuCase">
    <w:name w:val="Ju_Case"/>
    <w:basedOn w:val="Normalny"/>
    <w:next w:val="ECHRPara"/>
    <w:uiPriority w:val="99"/>
    <w:rsid w:val="00987A64"/>
    <w:pPr>
      <w:ind w:firstLine="284"/>
    </w:pPr>
    <w:rPr>
      <w:b/>
      <w:bCs/>
    </w:rPr>
  </w:style>
  <w:style w:type="paragraph" w:customStyle="1" w:styleId="JuHeaderLandscape">
    <w:name w:val="Ju_Header_Landscape"/>
    <w:basedOn w:val="ECHRHeader"/>
    <w:uiPriority w:val="99"/>
    <w:rsid w:val="00987A64"/>
    <w:pPr>
      <w:tabs>
        <w:tab w:val="clear" w:pos="3686"/>
        <w:tab w:val="clear" w:pos="7371"/>
        <w:tab w:val="center" w:pos="6146"/>
        <w:tab w:val="right" w:pos="12293"/>
      </w:tabs>
    </w:pPr>
  </w:style>
  <w:style w:type="table" w:customStyle="1" w:styleId="ECHRTable">
    <w:name w:val="ECHR_Table"/>
    <w:uiPriority w:val="99"/>
    <w:rsid w:val="009E5CE2"/>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9E5CE2"/>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table" w:customStyle="1" w:styleId="LtrTableAddress">
    <w:name w:val="Ltr_Table_Address"/>
    <w:uiPriority w:val="99"/>
    <w:rsid w:val="009E5CE2"/>
    <w:pPr>
      <w:spacing w:after="0" w:line="240" w:lineRule="auto"/>
    </w:pPr>
    <w:rPr>
      <w:sz w:val="20"/>
      <w:szCs w:val="20"/>
    </w:rPr>
    <w:tblPr>
      <w:tblCellMar>
        <w:top w:w="0" w:type="dxa"/>
        <w:left w:w="108" w:type="dxa"/>
        <w:bottom w:w="0" w:type="dxa"/>
        <w:right w:w="108" w:type="dxa"/>
      </w:tblCellMar>
    </w:tblPr>
  </w:style>
  <w:style w:type="table" w:customStyle="1" w:styleId="UGTable">
    <w:name w:val="UG_Table"/>
    <w:uiPriority w:val="99"/>
    <w:rsid w:val="009E5CE2"/>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9E5CE2"/>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9E5CE2"/>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9E5CE2"/>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9E5CE2"/>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E5CE2"/>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9E5CE2"/>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9E5CE2"/>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9E5CE2"/>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HeaderTable">
    <w:name w:val="ECHR_Header_Table"/>
    <w:uiPriority w:val="99"/>
    <w:rsid w:val="009E5CE2"/>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9E5CE2"/>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9E5CE2"/>
    <w:pPr>
      <w:spacing w:after="0" w:line="240" w:lineRule="auto"/>
    </w:pPr>
    <w:rPr>
      <w:sz w:val="20"/>
      <w:szCs w:val="20"/>
    </w:rPr>
    <w:tblPr>
      <w:tblCellMar>
        <w:top w:w="0" w:type="dxa"/>
        <w:left w:w="0" w:type="dxa"/>
        <w:bottom w:w="0" w:type="dxa"/>
        <w:right w:w="0" w:type="dxa"/>
      </w:tblCellMar>
    </w:tblPr>
  </w:style>
  <w:style w:type="character" w:customStyle="1" w:styleId="ECHRParaChar">
    <w:name w:val="ECHR_Para Char"/>
    <w:aliases w:val="Ju_Para Char"/>
    <w:link w:val="ECHRPara"/>
    <w:uiPriority w:val="99"/>
    <w:locked/>
    <w:rsid w:val="009E5CE2"/>
    <w:rPr>
      <w:rFonts w:eastAsia="MS Mincho"/>
      <w:sz w:val="24"/>
      <w:szCs w:val="24"/>
    </w:rPr>
  </w:style>
  <w:style w:type="character" w:customStyle="1" w:styleId="JuParaCar">
    <w:name w:val="Ju_Para Car"/>
    <w:uiPriority w:val="99"/>
    <w:rsid w:val="009E5CE2"/>
    <w:rPr>
      <w:rFonts w:eastAsia="MS Mincho"/>
      <w:sz w:val="24"/>
      <w:szCs w:val="24"/>
    </w:rPr>
  </w:style>
  <w:style w:type="character" w:customStyle="1" w:styleId="s4f807e54">
    <w:name w:val="s4f807e54"/>
    <w:uiPriority w:val="99"/>
    <w:rsid w:val="00824331"/>
  </w:style>
  <w:style w:type="paragraph" w:customStyle="1" w:styleId="s50c0b1c7">
    <w:name w:val="s50c0b1c7"/>
    <w:basedOn w:val="Normalny"/>
    <w:uiPriority w:val="99"/>
    <w:rsid w:val="00DF79E4"/>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DF79E4"/>
  </w:style>
  <w:style w:type="character" w:customStyle="1" w:styleId="sfbbfee58">
    <w:name w:val="sfbbfee58"/>
    <w:basedOn w:val="Domylnaczcionkaakapitu"/>
    <w:uiPriority w:val="99"/>
    <w:rsid w:val="00DF79E4"/>
  </w:style>
  <w:style w:type="character" w:customStyle="1" w:styleId="sb8d990e2">
    <w:name w:val="sb8d990e2"/>
    <w:basedOn w:val="Domylnaczcionkaakapitu"/>
    <w:uiPriority w:val="99"/>
    <w:rsid w:val="001C32EE"/>
  </w:style>
  <w:style w:type="numbering" w:styleId="1ai">
    <w:name w:val="Outline List 1"/>
    <w:basedOn w:val="Bezlisty"/>
    <w:uiPriority w:val="99"/>
    <w:semiHidden/>
    <w:unhideWhenUsed/>
    <w:locked/>
    <w:pPr>
      <w:numPr>
        <w:numId w:val="12"/>
      </w:numPr>
    </w:pPr>
  </w:style>
  <w:style w:type="numbering" w:customStyle="1" w:styleId="ArticleSection">
    <w:name w:val="Article / Section"/>
    <w:pPr>
      <w:numPr>
        <w:numId w:val="13"/>
      </w:numPr>
    </w:pPr>
  </w:style>
  <w:style w:type="numbering" w:styleId="111111">
    <w:name w:val="Outline List 2"/>
    <w:basedOn w:val="Bezlisty"/>
    <w:uiPriority w:val="99"/>
    <w:semiHidden/>
    <w:unhideWhenUsed/>
    <w:locked/>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987A64"/>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987A64"/>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87A64"/>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87A64"/>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987A64"/>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987A64"/>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987A64"/>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987A64"/>
    <w:pPr>
      <w:outlineLvl w:val="6"/>
    </w:pPr>
    <w:rPr>
      <w:rFonts w:eastAsia="MS Gothic"/>
      <w:i/>
      <w:iCs/>
    </w:rPr>
  </w:style>
  <w:style w:type="paragraph" w:styleId="Nagwek8">
    <w:name w:val="heading 8"/>
    <w:basedOn w:val="Normalny"/>
    <w:next w:val="Normalny"/>
    <w:link w:val="Nagwek8Znak"/>
    <w:uiPriority w:val="99"/>
    <w:qFormat/>
    <w:rsid w:val="00987A64"/>
    <w:pPr>
      <w:outlineLvl w:val="7"/>
    </w:pPr>
    <w:rPr>
      <w:rFonts w:eastAsia="MS Gothic"/>
      <w:sz w:val="20"/>
      <w:szCs w:val="20"/>
    </w:rPr>
  </w:style>
  <w:style w:type="paragraph" w:styleId="Nagwek9">
    <w:name w:val="heading 9"/>
    <w:basedOn w:val="Normalny"/>
    <w:next w:val="Normalny"/>
    <w:link w:val="Nagwek9Znak"/>
    <w:uiPriority w:val="99"/>
    <w:qFormat/>
    <w:rsid w:val="00987A64"/>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987A64"/>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987A64"/>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987A64"/>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987A64"/>
    <w:rPr>
      <w:rFonts w:ascii="Times New Roman" w:eastAsia="MS Gothic" w:hAnsi="Times New Roman" w:cs="Times New Roman"/>
      <w:b/>
      <w:bCs/>
      <w:color w:val="808080"/>
      <w:sz w:val="24"/>
      <w:szCs w:val="24"/>
    </w:rPr>
  </w:style>
  <w:style w:type="character" w:customStyle="1" w:styleId="Nagwek6Znak">
    <w:name w:val="Nagłówek 6 Znak"/>
    <w:basedOn w:val="Domylnaczcionkaakapitu"/>
    <w:link w:val="Nagwek6"/>
    <w:uiPriority w:val="99"/>
    <w:semiHidden/>
    <w:locked/>
    <w:rsid w:val="00987A64"/>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987A64"/>
    <w:rPr>
      <w:rFonts w:ascii="Times New Roman" w:eastAsia="MS Gothic" w:hAnsi="Times New Roman" w:cs="Times New Roman"/>
      <w:i/>
      <w:iCs/>
      <w:sz w:val="24"/>
      <w:szCs w:val="24"/>
    </w:rPr>
  </w:style>
  <w:style w:type="character" w:customStyle="1" w:styleId="Nagwek8Znak">
    <w:name w:val="Nagłówek 8 Znak"/>
    <w:basedOn w:val="Domylnaczcionkaakapitu"/>
    <w:link w:val="Nagwek8"/>
    <w:uiPriority w:val="99"/>
    <w:semiHidden/>
    <w:locked/>
    <w:rsid w:val="00987A64"/>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987A64"/>
    <w:rPr>
      <w:rFonts w:ascii="Times New Roman" w:eastAsia="MS Gothic" w:hAnsi="Times New Roman" w:cs="Times New Roman"/>
      <w:i/>
      <w:iCs/>
      <w:spacing w:val="5"/>
      <w:sz w:val="20"/>
      <w:szCs w:val="20"/>
    </w:rPr>
  </w:style>
  <w:style w:type="paragraph" w:customStyle="1" w:styleId="JuSigned">
    <w:name w:val="Ju_Signed"/>
    <w:basedOn w:val="Normalny"/>
    <w:next w:val="JuParaLast"/>
    <w:uiPriority w:val="99"/>
    <w:rsid w:val="00987A64"/>
    <w:pPr>
      <w:tabs>
        <w:tab w:val="center" w:pos="851"/>
        <w:tab w:val="center" w:pos="6407"/>
      </w:tabs>
      <w:spacing w:before="720"/>
      <w:jc w:val="left"/>
    </w:pPr>
  </w:style>
  <w:style w:type="character" w:customStyle="1" w:styleId="Nagwek1Znak">
    <w:name w:val="Nagłówek 1 Znak"/>
    <w:basedOn w:val="Domylnaczcionkaakapitu"/>
    <w:link w:val="Nagwek1"/>
    <w:uiPriority w:val="99"/>
    <w:semiHidden/>
    <w:locked/>
    <w:rsid w:val="00987A64"/>
    <w:rPr>
      <w:rFonts w:ascii="Times New Roman" w:eastAsia="MS Gothic" w:hAnsi="Times New Roman" w:cs="Times New Roman"/>
      <w:b/>
      <w:bCs/>
      <w:color w:val="333333"/>
      <w:sz w:val="28"/>
      <w:szCs w:val="28"/>
    </w:rPr>
  </w:style>
  <w:style w:type="paragraph" w:customStyle="1" w:styleId="ECHRPara">
    <w:name w:val="ECHR_Para"/>
    <w:aliases w:val="Ju_Para,Para,Left,First line:  0 cm"/>
    <w:basedOn w:val="Normalny"/>
    <w:link w:val="ECHRParaChar"/>
    <w:uiPriority w:val="99"/>
    <w:rsid w:val="00987A64"/>
    <w:pPr>
      <w:ind w:firstLine="284"/>
    </w:pPr>
    <w:rPr>
      <w:lang w:eastAsia="pl-PL"/>
    </w:rPr>
  </w:style>
  <w:style w:type="character" w:styleId="Numerstrony">
    <w:name w:val="page number"/>
    <w:basedOn w:val="Domylnaczcionkaakapitu"/>
    <w:uiPriority w:val="99"/>
    <w:semiHidden/>
    <w:rsid w:val="00E93FC7"/>
    <w:rPr>
      <w:sz w:val="18"/>
      <w:szCs w:val="18"/>
    </w:rPr>
  </w:style>
  <w:style w:type="character" w:styleId="Odwoaniedokomentarza">
    <w:name w:val="annotation reference"/>
    <w:basedOn w:val="Domylnaczcionkaakapitu"/>
    <w:uiPriority w:val="99"/>
    <w:semiHidden/>
    <w:rsid w:val="00E93FC7"/>
    <w:rPr>
      <w:sz w:val="16"/>
      <w:szCs w:val="16"/>
    </w:rPr>
  </w:style>
  <w:style w:type="paragraph" w:styleId="Tekstkomentarza">
    <w:name w:val="annotation text"/>
    <w:basedOn w:val="Normalny"/>
    <w:link w:val="TekstkomentarzaZnak"/>
    <w:uiPriority w:val="99"/>
    <w:semiHidden/>
    <w:rsid w:val="00E93FC7"/>
    <w:rPr>
      <w:sz w:val="20"/>
      <w:szCs w:val="20"/>
    </w:rPr>
  </w:style>
  <w:style w:type="paragraph" w:customStyle="1" w:styleId="DecHTitle">
    <w:name w:val="Dec_H_Title"/>
    <w:basedOn w:val="ECHRTitleCentre1"/>
    <w:uiPriority w:val="99"/>
    <w:rsid w:val="00987A64"/>
  </w:style>
  <w:style w:type="character" w:customStyle="1" w:styleId="TekstkomentarzaZnak">
    <w:name w:val="Tekst komentarza Znak"/>
    <w:basedOn w:val="Domylnaczcionkaakapitu"/>
    <w:link w:val="Tekstkomentarza"/>
    <w:uiPriority w:val="99"/>
    <w:semiHidden/>
    <w:locked/>
    <w:rsid w:val="00E93FC7"/>
    <w:rPr>
      <w:rFonts w:eastAsia="MS Mincho"/>
      <w:sz w:val="20"/>
      <w:szCs w:val="20"/>
    </w:rPr>
  </w:style>
  <w:style w:type="paragraph" w:customStyle="1" w:styleId="ECHRTitleCentre2">
    <w:name w:val="ECHR_Title_Centre_2"/>
    <w:aliases w:val="Dec_H_Case"/>
    <w:basedOn w:val="Normalny"/>
    <w:next w:val="ECHRPara"/>
    <w:uiPriority w:val="99"/>
    <w:rsid w:val="00987A64"/>
    <w:pPr>
      <w:spacing w:after="240"/>
      <w:jc w:val="center"/>
      <w:outlineLvl w:val="0"/>
    </w:pPr>
    <w:rPr>
      <w:i/>
      <w:iCs/>
    </w:rPr>
  </w:style>
  <w:style w:type="paragraph" w:customStyle="1" w:styleId="JuTitle">
    <w:name w:val="Ju_Title"/>
    <w:basedOn w:val="Normalny"/>
    <w:next w:val="ECHRPara"/>
    <w:uiPriority w:val="99"/>
    <w:rsid w:val="00987A64"/>
    <w:pPr>
      <w:spacing w:before="720" w:after="240"/>
      <w:jc w:val="center"/>
      <w:outlineLvl w:val="0"/>
    </w:pPr>
    <w:rPr>
      <w:b/>
      <w:bCs/>
      <w:caps/>
    </w:rPr>
  </w:style>
  <w:style w:type="paragraph" w:customStyle="1" w:styleId="ECHRHeader">
    <w:name w:val="ECHR_Header"/>
    <w:aliases w:val="Ju_Header"/>
    <w:basedOn w:val="Nagwek"/>
    <w:uiPriority w:val="99"/>
    <w:rsid w:val="00987A64"/>
    <w:pPr>
      <w:tabs>
        <w:tab w:val="clear" w:pos="4536"/>
        <w:tab w:val="clear" w:pos="9072"/>
        <w:tab w:val="center" w:pos="3686"/>
        <w:tab w:val="right" w:pos="7371"/>
      </w:tabs>
      <w:jc w:val="left"/>
    </w:pPr>
    <w:rPr>
      <w:sz w:val="18"/>
      <w:szCs w:val="18"/>
    </w:rPr>
  </w:style>
  <w:style w:type="paragraph" w:styleId="Nagwek">
    <w:name w:val="header"/>
    <w:basedOn w:val="Normalny"/>
    <w:link w:val="NagwekZnak"/>
    <w:uiPriority w:val="99"/>
    <w:semiHidden/>
    <w:rsid w:val="00987A64"/>
    <w:pPr>
      <w:tabs>
        <w:tab w:val="center" w:pos="4536"/>
        <w:tab w:val="right" w:pos="9072"/>
      </w:tabs>
    </w:pPr>
    <w:rPr>
      <w:rFonts w:eastAsia="Times New Roman"/>
    </w:rPr>
  </w:style>
  <w:style w:type="paragraph" w:styleId="Tekstdymka">
    <w:name w:val="Balloon Text"/>
    <w:basedOn w:val="Normalny"/>
    <w:link w:val="TekstdymkaZnak"/>
    <w:uiPriority w:val="99"/>
    <w:semiHidden/>
    <w:rsid w:val="00987A64"/>
    <w:rPr>
      <w:rFonts w:ascii="Tahoma" w:hAnsi="Tahoma" w:cs="Tahoma"/>
      <w:sz w:val="16"/>
      <w:szCs w:val="16"/>
    </w:rPr>
  </w:style>
  <w:style w:type="character" w:customStyle="1" w:styleId="NagwekZnak">
    <w:name w:val="Nagłówek Znak"/>
    <w:basedOn w:val="Domylnaczcionkaakapitu"/>
    <w:link w:val="Nagwek"/>
    <w:uiPriority w:val="99"/>
    <w:semiHidden/>
    <w:locked/>
    <w:rsid w:val="00987A64"/>
    <w:rPr>
      <w:sz w:val="24"/>
      <w:szCs w:val="24"/>
    </w:rPr>
  </w:style>
  <w:style w:type="paragraph" w:customStyle="1" w:styleId="JuAppQuestion">
    <w:name w:val="Ju_App_Question"/>
    <w:basedOn w:val="Normalny"/>
    <w:uiPriority w:val="99"/>
    <w:rsid w:val="00987A64"/>
    <w:pPr>
      <w:numPr>
        <w:numId w:val="1"/>
      </w:numPr>
      <w:tabs>
        <w:tab w:val="clear" w:pos="360"/>
        <w:tab w:val="num" w:pos="720"/>
      </w:tabs>
      <w:ind w:left="720"/>
      <w:jc w:val="left"/>
    </w:pPr>
    <w:rPr>
      <w:b/>
      <w:bCs/>
    </w:rPr>
  </w:style>
  <w:style w:type="character" w:customStyle="1" w:styleId="TekstdymkaZnak">
    <w:name w:val="Tekst dymka Znak"/>
    <w:basedOn w:val="Domylnaczcionkaakapitu"/>
    <w:link w:val="Tekstdymka"/>
    <w:uiPriority w:val="99"/>
    <w:semiHidden/>
    <w:locked/>
    <w:rsid w:val="00987A64"/>
    <w:rPr>
      <w:rFonts w:ascii="Tahoma" w:eastAsia="MS Mincho" w:hAnsi="Tahoma" w:cs="Tahoma"/>
      <w:sz w:val="16"/>
      <w:szCs w:val="16"/>
    </w:rPr>
  </w:style>
  <w:style w:type="paragraph" w:customStyle="1" w:styleId="OpiPara">
    <w:name w:val="Opi_Para"/>
    <w:basedOn w:val="ECHRPara"/>
    <w:uiPriority w:val="99"/>
    <w:rsid w:val="00987A64"/>
  </w:style>
  <w:style w:type="paragraph" w:customStyle="1" w:styleId="ECHRParaQuote">
    <w:name w:val="ECHR_Para_Quote"/>
    <w:aliases w:val="Ju_Quot"/>
    <w:basedOn w:val="Normalny"/>
    <w:uiPriority w:val="99"/>
    <w:rsid w:val="00987A64"/>
    <w:pPr>
      <w:spacing w:before="120" w:after="120"/>
      <w:ind w:left="425" w:firstLine="142"/>
    </w:pPr>
    <w:rPr>
      <w:sz w:val="20"/>
      <w:szCs w:val="20"/>
    </w:rPr>
  </w:style>
  <w:style w:type="paragraph" w:customStyle="1" w:styleId="JuParaSub">
    <w:name w:val="Ju_Para_Sub"/>
    <w:basedOn w:val="ECHRPara"/>
    <w:uiPriority w:val="99"/>
    <w:rsid w:val="00987A64"/>
    <w:pPr>
      <w:ind w:left="284"/>
    </w:pPr>
  </w:style>
  <w:style w:type="paragraph" w:customStyle="1" w:styleId="OpiParaSub">
    <w:name w:val="Opi_Para_Sub"/>
    <w:basedOn w:val="JuParaSub"/>
    <w:uiPriority w:val="99"/>
    <w:rsid w:val="00987A64"/>
  </w:style>
  <w:style w:type="paragraph" w:customStyle="1" w:styleId="OpiQuot">
    <w:name w:val="Opi_Quot"/>
    <w:basedOn w:val="ECHRParaQuote"/>
    <w:uiPriority w:val="99"/>
    <w:rsid w:val="00987A64"/>
  </w:style>
  <w:style w:type="paragraph" w:customStyle="1" w:styleId="OpiQuotSub">
    <w:name w:val="Opi_Quot_Sub"/>
    <w:basedOn w:val="JuQuotSub"/>
    <w:uiPriority w:val="99"/>
    <w:rsid w:val="00987A64"/>
  </w:style>
  <w:style w:type="paragraph" w:customStyle="1" w:styleId="ECHRTitleCentre3">
    <w:name w:val="ECHR_Title_Centre_3"/>
    <w:aliases w:val="Ju_H_Article"/>
    <w:basedOn w:val="Normalny"/>
    <w:next w:val="ECHRParaQuote"/>
    <w:uiPriority w:val="99"/>
    <w:rsid w:val="00987A64"/>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987A64"/>
    <w:pPr>
      <w:keepNext/>
      <w:keepLines/>
      <w:spacing w:after="240"/>
      <w:jc w:val="center"/>
      <w:outlineLvl w:val="0"/>
    </w:pPr>
    <w:rPr>
      <w:sz w:val="28"/>
      <w:szCs w:val="28"/>
    </w:rPr>
  </w:style>
  <w:style w:type="paragraph" w:customStyle="1" w:styleId="JuQuotSub">
    <w:name w:val="Ju_Quot_Sub"/>
    <w:basedOn w:val="ECHRParaQuote"/>
    <w:uiPriority w:val="99"/>
    <w:rsid w:val="00987A64"/>
    <w:pPr>
      <w:ind w:left="567"/>
    </w:pPr>
  </w:style>
  <w:style w:type="paragraph" w:customStyle="1" w:styleId="ECHRTitle1">
    <w:name w:val="ECHR_Title_1"/>
    <w:aliases w:val="Ju_H_Head"/>
    <w:basedOn w:val="Normalny"/>
    <w:next w:val="ECHRPara"/>
    <w:uiPriority w:val="99"/>
    <w:rsid w:val="00987A64"/>
    <w:pPr>
      <w:keepNext/>
      <w:keepLines/>
      <w:spacing w:before="720" w:after="240"/>
      <w:outlineLvl w:val="0"/>
    </w:pPr>
    <w:rPr>
      <w:sz w:val="28"/>
      <w:szCs w:val="28"/>
    </w:rPr>
  </w:style>
  <w:style w:type="paragraph" w:customStyle="1" w:styleId="JuInitialled">
    <w:name w:val="Ju_Initialled"/>
    <w:basedOn w:val="Normalny"/>
    <w:uiPriority w:val="99"/>
    <w:rsid w:val="00987A64"/>
    <w:pPr>
      <w:tabs>
        <w:tab w:val="center" w:pos="6407"/>
      </w:tabs>
      <w:spacing w:before="720"/>
      <w:jc w:val="right"/>
    </w:pPr>
  </w:style>
  <w:style w:type="paragraph" w:customStyle="1" w:styleId="OpiHA">
    <w:name w:val="Opi_H_A"/>
    <w:basedOn w:val="ECHRHeading1"/>
    <w:next w:val="OpiPara"/>
    <w:uiPriority w:val="99"/>
    <w:rsid w:val="00987A64"/>
    <w:pPr>
      <w:tabs>
        <w:tab w:val="clear" w:pos="357"/>
      </w:tabs>
      <w:outlineLvl w:val="1"/>
    </w:pPr>
    <w:rPr>
      <w:b/>
      <w:bCs/>
    </w:rPr>
  </w:style>
  <w:style w:type="character" w:customStyle="1" w:styleId="JUNAMES">
    <w:name w:val="JU_NAMES"/>
    <w:uiPriority w:val="99"/>
    <w:rsid w:val="00987A64"/>
    <w:rPr>
      <w:smallCaps/>
    </w:rPr>
  </w:style>
  <w:style w:type="character" w:customStyle="1" w:styleId="JuITMark">
    <w:name w:val="Ju_ITMark"/>
    <w:basedOn w:val="Domylnaczcionkaakapitu"/>
    <w:uiPriority w:val="99"/>
    <w:rsid w:val="00987A64"/>
    <w:rPr>
      <w:color w:val="auto"/>
      <w:sz w:val="14"/>
      <w:szCs w:val="14"/>
    </w:rPr>
  </w:style>
  <w:style w:type="paragraph" w:customStyle="1" w:styleId="OpiTranslation">
    <w:name w:val="Opi_Translation"/>
    <w:basedOn w:val="Normalny"/>
    <w:next w:val="OpiPara"/>
    <w:uiPriority w:val="99"/>
    <w:rsid w:val="00987A64"/>
    <w:pPr>
      <w:jc w:val="center"/>
      <w:outlineLvl w:val="0"/>
    </w:pPr>
    <w:rPr>
      <w:i/>
      <w:iCs/>
    </w:rPr>
  </w:style>
  <w:style w:type="paragraph" w:customStyle="1" w:styleId="JuCourt">
    <w:name w:val="Ju_Court"/>
    <w:basedOn w:val="Normalny"/>
    <w:next w:val="Normalny"/>
    <w:uiPriority w:val="99"/>
    <w:rsid w:val="00987A64"/>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987A64"/>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987A64"/>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987A64"/>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987A64"/>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987A64"/>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987A64"/>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987A64"/>
    <w:pPr>
      <w:keepNext/>
      <w:keepLines/>
      <w:spacing w:before="240" w:after="120"/>
      <w:ind w:left="1236"/>
    </w:pPr>
    <w:rPr>
      <w:sz w:val="20"/>
      <w:szCs w:val="20"/>
    </w:rPr>
  </w:style>
  <w:style w:type="paragraph" w:customStyle="1" w:styleId="JuParaLast">
    <w:name w:val="Ju_Para_Last"/>
    <w:basedOn w:val="Normalny"/>
    <w:next w:val="ECHRPara"/>
    <w:uiPriority w:val="99"/>
    <w:rsid w:val="00987A64"/>
    <w:pPr>
      <w:keepNext/>
      <w:keepLines/>
      <w:spacing w:before="240"/>
      <w:ind w:firstLine="284"/>
    </w:pPr>
  </w:style>
  <w:style w:type="paragraph" w:customStyle="1" w:styleId="DecList">
    <w:name w:val="Dec_List"/>
    <w:basedOn w:val="Normalny"/>
    <w:uiPriority w:val="99"/>
    <w:rsid w:val="00987A64"/>
    <w:pPr>
      <w:spacing w:before="240"/>
      <w:ind w:left="284"/>
    </w:pPr>
  </w:style>
  <w:style w:type="paragraph" w:customStyle="1" w:styleId="ECHRDecisionBody">
    <w:name w:val="ECHR_Decision_Body"/>
    <w:aliases w:val="Ju_Judges"/>
    <w:basedOn w:val="Normalny"/>
    <w:uiPriority w:val="99"/>
    <w:rsid w:val="00987A64"/>
    <w:pPr>
      <w:tabs>
        <w:tab w:val="left" w:pos="567"/>
        <w:tab w:val="left" w:pos="1134"/>
      </w:tabs>
      <w:jc w:val="left"/>
    </w:pPr>
  </w:style>
  <w:style w:type="paragraph" w:customStyle="1" w:styleId="JuList">
    <w:name w:val="Ju_List"/>
    <w:basedOn w:val="Normalny"/>
    <w:uiPriority w:val="99"/>
    <w:rsid w:val="00987A64"/>
    <w:pPr>
      <w:ind w:left="340" w:hanging="340"/>
    </w:pPr>
  </w:style>
  <w:style w:type="paragraph" w:customStyle="1" w:styleId="JuLista">
    <w:name w:val="Ju_List_a"/>
    <w:basedOn w:val="JuList"/>
    <w:uiPriority w:val="99"/>
    <w:rsid w:val="00987A64"/>
    <w:pPr>
      <w:ind w:left="346" w:firstLine="0"/>
    </w:pPr>
  </w:style>
  <w:style w:type="paragraph" w:customStyle="1" w:styleId="JuListi">
    <w:name w:val="Ju_List_i"/>
    <w:basedOn w:val="Normalny"/>
    <w:next w:val="JuLista"/>
    <w:uiPriority w:val="99"/>
    <w:rsid w:val="00987A64"/>
    <w:pPr>
      <w:ind w:left="794"/>
    </w:pPr>
  </w:style>
  <w:style w:type="paragraph" w:customStyle="1" w:styleId="OpiH1">
    <w:name w:val="Opi_H_1"/>
    <w:basedOn w:val="ECHRHeading2"/>
    <w:uiPriority w:val="99"/>
    <w:rsid w:val="00987A64"/>
    <w:pPr>
      <w:ind w:left="635" w:hanging="357"/>
      <w:outlineLvl w:val="2"/>
    </w:pPr>
  </w:style>
  <w:style w:type="paragraph" w:customStyle="1" w:styleId="OpiHa0">
    <w:name w:val="Opi_H_a"/>
    <w:basedOn w:val="ECHRHeading3"/>
    <w:uiPriority w:val="99"/>
    <w:rsid w:val="00987A64"/>
    <w:pPr>
      <w:ind w:left="833" w:hanging="357"/>
      <w:outlineLvl w:val="3"/>
    </w:pPr>
    <w:rPr>
      <w:b/>
      <w:bCs/>
      <w:i w:val="0"/>
      <w:iCs w:val="0"/>
      <w:sz w:val="20"/>
      <w:szCs w:val="20"/>
    </w:rPr>
  </w:style>
  <w:style w:type="paragraph" w:customStyle="1" w:styleId="OpiHi">
    <w:name w:val="Opi_H_i"/>
    <w:basedOn w:val="ECHRHeading4"/>
    <w:uiPriority w:val="99"/>
    <w:rsid w:val="00987A64"/>
    <w:pPr>
      <w:ind w:left="1037" w:hanging="357"/>
      <w:outlineLvl w:val="4"/>
    </w:pPr>
    <w:rPr>
      <w:b w:val="0"/>
      <w:bCs w:val="0"/>
      <w:i/>
      <w:iCs/>
    </w:rPr>
  </w:style>
  <w:style w:type="paragraph" w:styleId="Tytu">
    <w:name w:val="Title"/>
    <w:basedOn w:val="Normalny"/>
    <w:next w:val="Normalny"/>
    <w:link w:val="TytuZnak"/>
    <w:uiPriority w:val="99"/>
    <w:qFormat/>
    <w:rsid w:val="00987A64"/>
    <w:pPr>
      <w:pBdr>
        <w:bottom w:val="single" w:sz="4" w:space="1" w:color="auto"/>
      </w:pBdr>
    </w:pPr>
    <w:rPr>
      <w:rFonts w:eastAsia="MS Gothic"/>
      <w:spacing w:val="5"/>
      <w:sz w:val="52"/>
      <w:szCs w:val="52"/>
    </w:rPr>
  </w:style>
  <w:style w:type="paragraph" w:styleId="Podtytu">
    <w:name w:val="Subtitle"/>
    <w:basedOn w:val="Normalny"/>
    <w:next w:val="Normalny"/>
    <w:link w:val="PodtytuZnak"/>
    <w:uiPriority w:val="99"/>
    <w:qFormat/>
    <w:rsid w:val="00987A64"/>
    <w:pPr>
      <w:spacing w:after="600"/>
    </w:pPr>
    <w:rPr>
      <w:rFonts w:eastAsia="MS Gothic"/>
      <w:i/>
      <w:iCs/>
      <w:spacing w:val="13"/>
    </w:rPr>
  </w:style>
  <w:style w:type="character" w:customStyle="1" w:styleId="TytuZnak">
    <w:name w:val="Tytuł Znak"/>
    <w:basedOn w:val="Domylnaczcionkaakapitu"/>
    <w:link w:val="Tytu"/>
    <w:uiPriority w:val="99"/>
    <w:semiHidden/>
    <w:locked/>
    <w:rsid w:val="00987A64"/>
    <w:rPr>
      <w:rFonts w:ascii="Times New Roman" w:eastAsia="MS Gothic" w:hAnsi="Times New Roman" w:cs="Times New Roman"/>
      <w:spacing w:val="5"/>
      <w:sz w:val="52"/>
      <w:szCs w:val="52"/>
    </w:rPr>
  </w:style>
  <w:style w:type="character" w:styleId="Pogrubienie">
    <w:name w:val="Strong"/>
    <w:basedOn w:val="Domylnaczcionkaakapitu"/>
    <w:uiPriority w:val="99"/>
    <w:qFormat/>
    <w:rsid w:val="00987A64"/>
    <w:rPr>
      <w:b/>
      <w:bCs/>
    </w:rPr>
  </w:style>
  <w:style w:type="character" w:customStyle="1" w:styleId="PodtytuZnak">
    <w:name w:val="Podtytuł Znak"/>
    <w:basedOn w:val="Domylnaczcionkaakapitu"/>
    <w:link w:val="Podtytu"/>
    <w:uiPriority w:val="99"/>
    <w:semiHidden/>
    <w:locked/>
    <w:rsid w:val="00987A64"/>
    <w:rPr>
      <w:rFonts w:ascii="Times New Roman" w:eastAsia="MS Gothic" w:hAnsi="Times New Roman" w:cs="Times New Roman"/>
      <w:i/>
      <w:iCs/>
      <w:spacing w:val="13"/>
      <w:sz w:val="24"/>
      <w:szCs w:val="24"/>
    </w:rPr>
  </w:style>
  <w:style w:type="character" w:styleId="Uwydatnienie">
    <w:name w:val="Emphasis"/>
    <w:basedOn w:val="Domylnaczcionkaakapitu"/>
    <w:uiPriority w:val="99"/>
    <w:qFormat/>
    <w:rsid w:val="00987A64"/>
    <w:rPr>
      <w:b/>
      <w:bCs/>
      <w:i/>
      <w:iCs/>
      <w:spacing w:val="10"/>
      <w:shd w:val="clear" w:color="auto" w:fill="auto"/>
    </w:rPr>
  </w:style>
  <w:style w:type="paragraph" w:styleId="Bezodstpw">
    <w:name w:val="No Spacing"/>
    <w:basedOn w:val="Normalny"/>
    <w:link w:val="BezodstpwZnak"/>
    <w:uiPriority w:val="99"/>
    <w:qFormat/>
    <w:rsid w:val="00987A64"/>
  </w:style>
  <w:style w:type="character" w:customStyle="1" w:styleId="BezodstpwZnak">
    <w:name w:val="Bez odstępów Znak"/>
    <w:basedOn w:val="Domylnaczcionkaakapitu"/>
    <w:link w:val="Bezodstpw"/>
    <w:uiPriority w:val="99"/>
    <w:semiHidden/>
    <w:locked/>
    <w:rsid w:val="00987A64"/>
    <w:rPr>
      <w:rFonts w:eastAsia="MS Mincho"/>
      <w:sz w:val="24"/>
      <w:szCs w:val="24"/>
    </w:rPr>
  </w:style>
  <w:style w:type="paragraph" w:styleId="Akapitzlist">
    <w:name w:val="List Paragraph"/>
    <w:basedOn w:val="Normalny"/>
    <w:uiPriority w:val="99"/>
    <w:qFormat/>
    <w:rsid w:val="00987A64"/>
    <w:pPr>
      <w:ind w:left="720"/>
    </w:pPr>
  </w:style>
  <w:style w:type="paragraph" w:styleId="Cytat">
    <w:name w:val="Quote"/>
    <w:basedOn w:val="Normalny"/>
    <w:next w:val="Normalny"/>
    <w:link w:val="CytatZnak"/>
    <w:uiPriority w:val="99"/>
    <w:qFormat/>
    <w:rsid w:val="00987A64"/>
    <w:pPr>
      <w:spacing w:before="200"/>
      <w:ind w:left="360" w:right="360"/>
    </w:pPr>
    <w:rPr>
      <w:i/>
      <w:iCs/>
    </w:rPr>
  </w:style>
  <w:style w:type="paragraph" w:styleId="Cytatintensywny">
    <w:name w:val="Intense Quote"/>
    <w:basedOn w:val="Normalny"/>
    <w:next w:val="Normalny"/>
    <w:link w:val="CytatintensywnyZnak"/>
    <w:uiPriority w:val="99"/>
    <w:qFormat/>
    <w:rsid w:val="00987A64"/>
    <w:pPr>
      <w:pBdr>
        <w:bottom w:val="single" w:sz="4" w:space="1" w:color="auto"/>
      </w:pBdr>
      <w:spacing w:before="200" w:after="280"/>
      <w:ind w:left="1008" w:right="1152"/>
    </w:pPr>
    <w:rPr>
      <w:b/>
      <w:bCs/>
      <w:i/>
      <w:iCs/>
    </w:rPr>
  </w:style>
  <w:style w:type="character" w:customStyle="1" w:styleId="CytatZnak">
    <w:name w:val="Cytat Znak"/>
    <w:basedOn w:val="Domylnaczcionkaakapitu"/>
    <w:link w:val="Cytat"/>
    <w:uiPriority w:val="99"/>
    <w:semiHidden/>
    <w:locked/>
    <w:rsid w:val="00987A64"/>
    <w:rPr>
      <w:rFonts w:eastAsia="MS Mincho"/>
      <w:i/>
      <w:iCs/>
      <w:sz w:val="24"/>
      <w:szCs w:val="24"/>
    </w:rPr>
  </w:style>
  <w:style w:type="character" w:styleId="Wyrnieniedelikatne">
    <w:name w:val="Subtle Emphasis"/>
    <w:basedOn w:val="Domylnaczcionkaakapitu"/>
    <w:uiPriority w:val="99"/>
    <w:qFormat/>
    <w:rsid w:val="00987A64"/>
    <w:rPr>
      <w:i/>
      <w:iCs/>
    </w:rPr>
  </w:style>
  <w:style w:type="character" w:customStyle="1" w:styleId="CytatintensywnyZnak">
    <w:name w:val="Cytat intensywny Znak"/>
    <w:basedOn w:val="Domylnaczcionkaakapitu"/>
    <w:link w:val="Cytatintensywny"/>
    <w:uiPriority w:val="99"/>
    <w:semiHidden/>
    <w:locked/>
    <w:rsid w:val="00987A64"/>
    <w:rPr>
      <w:rFonts w:eastAsia="MS Mincho"/>
      <w:b/>
      <w:bCs/>
      <w:i/>
      <w:iCs/>
      <w:sz w:val="24"/>
      <w:szCs w:val="24"/>
    </w:rPr>
  </w:style>
  <w:style w:type="character" w:styleId="Wyrnienieintensywne">
    <w:name w:val="Intense Emphasis"/>
    <w:basedOn w:val="Domylnaczcionkaakapitu"/>
    <w:uiPriority w:val="99"/>
    <w:qFormat/>
    <w:rsid w:val="00987A64"/>
    <w:rPr>
      <w:b/>
      <w:bCs/>
    </w:rPr>
  </w:style>
  <w:style w:type="character" w:styleId="Odwoaniedelikatne">
    <w:name w:val="Subtle Reference"/>
    <w:basedOn w:val="Domylnaczcionkaakapitu"/>
    <w:uiPriority w:val="99"/>
    <w:qFormat/>
    <w:rsid w:val="00987A64"/>
    <w:rPr>
      <w:smallCaps/>
    </w:rPr>
  </w:style>
  <w:style w:type="character" w:styleId="Odwoanieintensywne">
    <w:name w:val="Intense Reference"/>
    <w:basedOn w:val="Domylnaczcionkaakapitu"/>
    <w:uiPriority w:val="99"/>
    <w:qFormat/>
    <w:rsid w:val="00987A64"/>
    <w:rPr>
      <w:smallCaps/>
      <w:spacing w:val="5"/>
      <w:u w:val="single"/>
    </w:rPr>
  </w:style>
  <w:style w:type="character" w:styleId="Tytuksiki">
    <w:name w:val="Book Title"/>
    <w:basedOn w:val="Domylnaczcionkaakapitu"/>
    <w:uiPriority w:val="99"/>
    <w:qFormat/>
    <w:rsid w:val="00987A64"/>
    <w:rPr>
      <w:i/>
      <w:iCs/>
      <w:smallCaps/>
      <w:spacing w:val="5"/>
    </w:rPr>
  </w:style>
  <w:style w:type="paragraph" w:styleId="Nagwekspisutreci">
    <w:name w:val="TOC Heading"/>
    <w:basedOn w:val="Normalny"/>
    <w:next w:val="Normalny"/>
    <w:uiPriority w:val="99"/>
    <w:qFormat/>
    <w:rsid w:val="00987A64"/>
    <w:pPr>
      <w:keepNext/>
      <w:keepLines/>
      <w:spacing w:before="240"/>
      <w:jc w:val="center"/>
    </w:pPr>
    <w:rPr>
      <w:rFonts w:eastAsia="Times New Roman"/>
      <w:b/>
      <w:bCs/>
      <w:color w:val="474747"/>
      <w:sz w:val="28"/>
      <w:szCs w:val="28"/>
    </w:rPr>
  </w:style>
  <w:style w:type="paragraph" w:styleId="Bibliografia">
    <w:name w:val="Bibliography"/>
    <w:basedOn w:val="Normalny"/>
    <w:next w:val="Normalny"/>
    <w:uiPriority w:val="99"/>
    <w:semiHidden/>
    <w:rsid w:val="00E93FC7"/>
  </w:style>
  <w:style w:type="paragraph" w:styleId="Tekstblokowy">
    <w:name w:val="Block Text"/>
    <w:basedOn w:val="Normalny"/>
    <w:uiPriority w:val="99"/>
    <w:semiHidden/>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93FC7"/>
    <w:pPr>
      <w:spacing w:after="120"/>
    </w:pPr>
  </w:style>
  <w:style w:type="paragraph" w:styleId="Tekstpodstawowy2">
    <w:name w:val="Body Text 2"/>
    <w:basedOn w:val="Normalny"/>
    <w:link w:val="Tekstpodstawowy2Znak"/>
    <w:uiPriority w:val="99"/>
    <w:semiHidden/>
    <w:rsid w:val="00E93FC7"/>
    <w:pPr>
      <w:spacing w:after="120" w:line="480" w:lineRule="auto"/>
    </w:pPr>
  </w:style>
  <w:style w:type="character" w:customStyle="1" w:styleId="TekstpodstawowyZnak">
    <w:name w:val="Tekst podstawowy Znak"/>
    <w:basedOn w:val="Domylnaczcionkaakapitu"/>
    <w:link w:val="Tekstpodstawowy"/>
    <w:uiPriority w:val="99"/>
    <w:semiHidden/>
    <w:locked/>
    <w:rsid w:val="00E93FC7"/>
    <w:rPr>
      <w:rFonts w:eastAsia="MS Mincho"/>
      <w:sz w:val="24"/>
      <w:szCs w:val="24"/>
    </w:rPr>
  </w:style>
  <w:style w:type="paragraph" w:styleId="Tekstpodstawowy3">
    <w:name w:val="Body Text 3"/>
    <w:basedOn w:val="Normalny"/>
    <w:link w:val="Tekstpodstawowy3Znak"/>
    <w:uiPriority w:val="99"/>
    <w:semiHidden/>
    <w:rsid w:val="00E93FC7"/>
    <w:pPr>
      <w:spacing w:after="120"/>
    </w:pPr>
    <w:rPr>
      <w:sz w:val="16"/>
      <w:szCs w:val="16"/>
    </w:rPr>
  </w:style>
  <w:style w:type="character" w:customStyle="1" w:styleId="Tekstpodstawowy2Znak">
    <w:name w:val="Tekst podstawowy 2 Znak"/>
    <w:basedOn w:val="Domylnaczcionkaakapitu"/>
    <w:link w:val="Tekstpodstawowy2"/>
    <w:uiPriority w:val="99"/>
    <w:semiHidden/>
    <w:locked/>
    <w:rsid w:val="00E93FC7"/>
    <w:rPr>
      <w:rFonts w:eastAsia="MS Mincho"/>
      <w:sz w:val="24"/>
      <w:szCs w:val="24"/>
    </w:rPr>
  </w:style>
  <w:style w:type="paragraph" w:styleId="Tekstpodstawowyzwciciem">
    <w:name w:val="Body Text First Indent"/>
    <w:basedOn w:val="Tekstpodstawowy"/>
    <w:link w:val="TekstpodstawowyzwciciemZnak"/>
    <w:uiPriority w:val="99"/>
    <w:semiHidden/>
    <w:rsid w:val="00E93FC7"/>
    <w:pPr>
      <w:spacing w:after="0"/>
      <w:ind w:firstLine="360"/>
    </w:pPr>
  </w:style>
  <w:style w:type="character" w:customStyle="1" w:styleId="Tekstpodstawowy3Znak">
    <w:name w:val="Tekst podstawowy 3 Znak"/>
    <w:basedOn w:val="Domylnaczcionkaakapitu"/>
    <w:link w:val="Tekstpodstawowy3"/>
    <w:uiPriority w:val="99"/>
    <w:semiHidden/>
    <w:locked/>
    <w:rsid w:val="00E93FC7"/>
    <w:rPr>
      <w:rFonts w:eastAsia="MS Mincho"/>
      <w:sz w:val="16"/>
      <w:szCs w:val="16"/>
    </w:rPr>
  </w:style>
  <w:style w:type="paragraph" w:styleId="Tekstpodstawowywcity">
    <w:name w:val="Body Text Indent"/>
    <w:basedOn w:val="Normalny"/>
    <w:link w:val="TekstpodstawowywcityZnak"/>
    <w:uiPriority w:val="99"/>
    <w:semiHidden/>
    <w:rsid w:val="00E93FC7"/>
    <w:pPr>
      <w:spacing w:after="120"/>
      <w:ind w:left="283"/>
    </w:pPr>
  </w:style>
  <w:style w:type="character" w:customStyle="1" w:styleId="TekstpodstawowyzwciciemZnak">
    <w:name w:val="Tekst podstawowy z wcięciem Znak"/>
    <w:basedOn w:val="TekstpodstawowyZnak"/>
    <w:link w:val="Tekstpodstawowyzwciciem"/>
    <w:uiPriority w:val="99"/>
    <w:semiHidden/>
    <w:locked/>
    <w:rsid w:val="00E93FC7"/>
    <w:rPr>
      <w:rFonts w:eastAsia="MS Mincho"/>
      <w:sz w:val="24"/>
      <w:szCs w:val="24"/>
    </w:rPr>
  </w:style>
  <w:style w:type="paragraph" w:styleId="Tekstpodstawowyzwciciem2">
    <w:name w:val="Body Text First Indent 2"/>
    <w:basedOn w:val="Tekstpodstawowywcity"/>
    <w:link w:val="Tekstpodstawowyzwciciem2Znak"/>
    <w:uiPriority w:val="99"/>
    <w:semiHidden/>
    <w:rsid w:val="00E93FC7"/>
    <w:pPr>
      <w:spacing w:after="0"/>
      <w:ind w:left="360" w:firstLine="360"/>
    </w:pPr>
  </w:style>
  <w:style w:type="character" w:customStyle="1" w:styleId="TekstpodstawowywcityZnak">
    <w:name w:val="Tekst podstawowy wcięty Znak"/>
    <w:basedOn w:val="Domylnaczcionkaakapitu"/>
    <w:link w:val="Tekstpodstawowywcity"/>
    <w:uiPriority w:val="99"/>
    <w:semiHidden/>
    <w:locked/>
    <w:rsid w:val="00E93FC7"/>
    <w:rPr>
      <w:rFonts w:eastAsia="MS Mincho"/>
      <w:sz w:val="24"/>
      <w:szCs w:val="24"/>
    </w:rPr>
  </w:style>
  <w:style w:type="paragraph" w:styleId="Tekstpodstawowywcity2">
    <w:name w:val="Body Text Indent 2"/>
    <w:basedOn w:val="Normalny"/>
    <w:link w:val="Tekstpodstawowywcity2Znak"/>
    <w:uiPriority w:val="99"/>
    <w:semiHidden/>
    <w:rsid w:val="00E93FC7"/>
    <w:pPr>
      <w:spacing w:after="120" w:line="480" w:lineRule="auto"/>
      <w:ind w:left="283"/>
    </w:pPr>
  </w:style>
  <w:style w:type="character" w:customStyle="1" w:styleId="Tekstpodstawowyzwciciem2Znak">
    <w:name w:val="Tekst podstawowy z wcięciem 2 Znak"/>
    <w:basedOn w:val="TekstpodstawowywcityZnak"/>
    <w:link w:val="Tekstpodstawowyzwciciem2"/>
    <w:uiPriority w:val="99"/>
    <w:semiHidden/>
    <w:locked/>
    <w:rsid w:val="00E93FC7"/>
    <w:rPr>
      <w:rFonts w:eastAsia="MS Mincho"/>
      <w:sz w:val="24"/>
      <w:szCs w:val="24"/>
    </w:rPr>
  </w:style>
  <w:style w:type="paragraph" w:styleId="Tekstpodstawowywcity3">
    <w:name w:val="Body Text Indent 3"/>
    <w:basedOn w:val="Normalny"/>
    <w:link w:val="Tekstpodstawowywcity3Znak"/>
    <w:uiPriority w:val="99"/>
    <w:semiHidden/>
    <w:rsid w:val="00E93FC7"/>
    <w:pPr>
      <w:spacing w:after="120"/>
      <w:ind w:left="283"/>
    </w:pPr>
    <w:rPr>
      <w:sz w:val="16"/>
      <w:szCs w:val="16"/>
    </w:rPr>
  </w:style>
  <w:style w:type="character" w:customStyle="1" w:styleId="Tekstpodstawowywcity2Znak">
    <w:name w:val="Tekst podstawowy wcięty 2 Znak"/>
    <w:basedOn w:val="Domylnaczcionkaakapitu"/>
    <w:link w:val="Tekstpodstawowywcity2"/>
    <w:uiPriority w:val="99"/>
    <w:semiHidden/>
    <w:locked/>
    <w:rsid w:val="00E93FC7"/>
    <w:rPr>
      <w:rFonts w:eastAsia="MS Mincho"/>
      <w:sz w:val="24"/>
      <w:szCs w:val="24"/>
    </w:rPr>
  </w:style>
  <w:style w:type="paragraph" w:styleId="Legenda">
    <w:name w:val="caption"/>
    <w:basedOn w:val="Normalny"/>
    <w:next w:val="Normalny"/>
    <w:uiPriority w:val="99"/>
    <w:qFormat/>
    <w:rsid w:val="00E93FC7"/>
    <w:pPr>
      <w:spacing w:after="200"/>
    </w:pPr>
    <w:rPr>
      <w:b/>
      <w:bCs/>
      <w:color w:val="0072BC"/>
      <w:sz w:val="18"/>
      <w:szCs w:val="18"/>
    </w:rPr>
  </w:style>
  <w:style w:type="character" w:customStyle="1" w:styleId="Tekstpodstawowywcity3Znak">
    <w:name w:val="Tekst podstawowy wcięty 3 Znak"/>
    <w:basedOn w:val="Domylnaczcionkaakapitu"/>
    <w:link w:val="Tekstpodstawowywcity3"/>
    <w:uiPriority w:val="99"/>
    <w:semiHidden/>
    <w:locked/>
    <w:rsid w:val="00E93FC7"/>
    <w:rPr>
      <w:rFonts w:eastAsia="MS Mincho"/>
      <w:sz w:val="16"/>
      <w:szCs w:val="16"/>
    </w:rPr>
  </w:style>
  <w:style w:type="paragraph" w:styleId="Zwrotpoegnalny">
    <w:name w:val="Closing"/>
    <w:basedOn w:val="Normalny"/>
    <w:link w:val="ZwrotpoegnalnyZnak"/>
    <w:uiPriority w:val="99"/>
    <w:semiHidden/>
    <w:rsid w:val="00E93FC7"/>
    <w:pPr>
      <w:ind w:left="4252"/>
    </w:pPr>
  </w:style>
  <w:style w:type="table" w:styleId="Kolorowasiatka">
    <w:name w:val="Colorful Grid"/>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customStyle="1" w:styleId="ZwrotpoegnalnyZnak">
    <w:name w:val="Zwrot pożegnalny Znak"/>
    <w:basedOn w:val="Domylnaczcionkaakapitu"/>
    <w:link w:val="Zwrotpoegnalny"/>
    <w:uiPriority w:val="99"/>
    <w:semiHidden/>
    <w:locked/>
    <w:rsid w:val="00E93FC7"/>
    <w:rPr>
      <w:rFonts w:eastAsia="MS Mincho"/>
      <w:sz w:val="24"/>
      <w:szCs w:val="24"/>
    </w:rPr>
  </w:style>
  <w:style w:type="table" w:styleId="Kolorowasiatkaakcent1">
    <w:name w:val="Colorful Grid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paragraph" w:styleId="Tematkomentarza">
    <w:name w:val="annotation subject"/>
    <w:basedOn w:val="Tekstkomentarza"/>
    <w:next w:val="Tekstkomentarza"/>
    <w:link w:val="TematkomentarzaZnak"/>
    <w:uiPriority w:val="99"/>
    <w:semiHidden/>
    <w:rsid w:val="00E93FC7"/>
    <w:rPr>
      <w:b/>
      <w:bCs/>
    </w:rPr>
  </w:style>
  <w:style w:type="table" w:styleId="Ciemnalista">
    <w:name w:val="Dark List"/>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character" w:customStyle="1" w:styleId="TematkomentarzaZnak">
    <w:name w:val="Temat komentarza Znak"/>
    <w:basedOn w:val="TekstkomentarzaZnak"/>
    <w:link w:val="Tematkomentarza"/>
    <w:uiPriority w:val="99"/>
    <w:semiHidden/>
    <w:locked/>
    <w:rsid w:val="00E93FC7"/>
    <w:rPr>
      <w:rFonts w:eastAsia="MS Mincho"/>
      <w:b/>
      <w:bCs/>
      <w:sz w:val="20"/>
      <w:szCs w:val="20"/>
    </w:rPr>
  </w:style>
  <w:style w:type="table" w:styleId="Ciemnalista2akcent1">
    <w:name w:val="Dark List Accent 1"/>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93FC7"/>
  </w:style>
  <w:style w:type="paragraph" w:styleId="Mapadokumentu">
    <w:name w:val="Document Map"/>
    <w:basedOn w:val="Normalny"/>
    <w:link w:val="MapadokumentuZnak"/>
    <w:uiPriority w:val="99"/>
    <w:semiHidden/>
    <w:rsid w:val="00E93FC7"/>
    <w:rPr>
      <w:rFonts w:ascii="Tahoma" w:hAnsi="Tahoma" w:cs="Tahoma"/>
      <w:sz w:val="16"/>
      <w:szCs w:val="16"/>
    </w:rPr>
  </w:style>
  <w:style w:type="character" w:customStyle="1" w:styleId="DataZnak">
    <w:name w:val="Data Znak"/>
    <w:basedOn w:val="Domylnaczcionkaakapitu"/>
    <w:link w:val="Data"/>
    <w:uiPriority w:val="99"/>
    <w:semiHidden/>
    <w:locked/>
    <w:rsid w:val="00E93FC7"/>
    <w:rPr>
      <w:rFonts w:eastAsia="MS Mincho"/>
      <w:sz w:val="24"/>
      <w:szCs w:val="24"/>
    </w:rPr>
  </w:style>
  <w:style w:type="paragraph" w:styleId="Podpise-mail">
    <w:name w:val="E-mail Signature"/>
    <w:basedOn w:val="Normalny"/>
    <w:link w:val="Podpise-mailZnak"/>
    <w:uiPriority w:val="99"/>
    <w:semiHidden/>
    <w:rsid w:val="00E93FC7"/>
  </w:style>
  <w:style w:type="character" w:customStyle="1" w:styleId="MapadokumentuZnak">
    <w:name w:val="Mapa dokumentu Znak"/>
    <w:basedOn w:val="Domylnaczcionkaakapitu"/>
    <w:link w:val="Mapadokumentu"/>
    <w:uiPriority w:val="99"/>
    <w:semiHidden/>
    <w:locked/>
    <w:rsid w:val="00E93FC7"/>
    <w:rPr>
      <w:rFonts w:ascii="Tahoma" w:eastAsia="MS Mincho" w:hAnsi="Tahoma" w:cs="Tahoma"/>
      <w:sz w:val="16"/>
      <w:szCs w:val="16"/>
    </w:rPr>
  </w:style>
  <w:style w:type="character" w:styleId="Odwoanieprzypisukocowego">
    <w:name w:val="endnote reference"/>
    <w:basedOn w:val="Domylnaczcionkaakapitu"/>
    <w:uiPriority w:val="99"/>
    <w:semiHidden/>
    <w:rsid w:val="00E93FC7"/>
    <w:rPr>
      <w:vertAlign w:val="superscript"/>
    </w:rPr>
  </w:style>
  <w:style w:type="character" w:customStyle="1" w:styleId="Podpise-mailZnak">
    <w:name w:val="Podpis e-mail Znak"/>
    <w:basedOn w:val="Domylnaczcionkaakapitu"/>
    <w:link w:val="Podpise-mail"/>
    <w:uiPriority w:val="99"/>
    <w:semiHidden/>
    <w:locked/>
    <w:rsid w:val="00E93FC7"/>
    <w:rPr>
      <w:rFonts w:eastAsia="MS Mincho"/>
      <w:sz w:val="24"/>
      <w:szCs w:val="24"/>
    </w:rPr>
  </w:style>
  <w:style w:type="paragraph" w:styleId="Tekstprzypisukocowego">
    <w:name w:val="endnote text"/>
    <w:basedOn w:val="Normalny"/>
    <w:link w:val="TekstprzypisukocowegoZnak"/>
    <w:uiPriority w:val="99"/>
    <w:semiHidden/>
    <w:rsid w:val="00E93FC7"/>
    <w:rPr>
      <w:sz w:val="20"/>
      <w:szCs w:val="20"/>
    </w:rPr>
  </w:style>
  <w:style w:type="paragraph" w:styleId="Adresnakopercie">
    <w:name w:val="envelope address"/>
    <w:basedOn w:val="Normalny"/>
    <w:uiPriority w:val="99"/>
    <w:semiHidden/>
    <w:rsid w:val="00E93FC7"/>
    <w:pPr>
      <w:framePr w:w="7920" w:h="1980" w:hRule="exact" w:hSpace="180" w:wrap="auto" w:hAnchor="page" w:xAlign="center" w:yAlign="bottom"/>
      <w:ind w:left="2880"/>
    </w:pPr>
    <w:rPr>
      <w:rFonts w:eastAsia="MS Gothic"/>
    </w:rPr>
  </w:style>
  <w:style w:type="character" w:customStyle="1" w:styleId="TekstprzypisukocowegoZnak">
    <w:name w:val="Tekst przypisu końcowego Znak"/>
    <w:basedOn w:val="Domylnaczcionkaakapitu"/>
    <w:link w:val="Tekstprzypisukocowego"/>
    <w:uiPriority w:val="99"/>
    <w:semiHidden/>
    <w:locked/>
    <w:rsid w:val="00E93FC7"/>
    <w:rPr>
      <w:rFonts w:eastAsia="MS Mincho"/>
      <w:sz w:val="20"/>
      <w:szCs w:val="20"/>
    </w:rPr>
  </w:style>
  <w:style w:type="paragraph" w:styleId="Adreszwrotnynakopercie">
    <w:name w:val="envelope return"/>
    <w:basedOn w:val="Normalny"/>
    <w:uiPriority w:val="99"/>
    <w:semiHidden/>
    <w:rsid w:val="00E93FC7"/>
    <w:rPr>
      <w:rFonts w:eastAsia="MS Gothic"/>
      <w:sz w:val="20"/>
      <w:szCs w:val="20"/>
    </w:rPr>
  </w:style>
  <w:style w:type="character" w:styleId="UyteHipercze">
    <w:name w:val="FollowedHyperlink"/>
    <w:basedOn w:val="Domylnaczcionkaakapitu"/>
    <w:uiPriority w:val="99"/>
    <w:semiHidden/>
    <w:rsid w:val="00E93FC7"/>
    <w:rPr>
      <w:color w:val="auto"/>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szCs w:val="20"/>
    </w:rPr>
  </w:style>
  <w:style w:type="character" w:styleId="HTML-akronim">
    <w:name w:val="HTML Acronym"/>
    <w:basedOn w:val="Domylnaczcionkaakapitu"/>
    <w:uiPriority w:val="99"/>
    <w:semiHidden/>
    <w:rsid w:val="00E93FC7"/>
  </w:style>
  <w:style w:type="character" w:customStyle="1" w:styleId="TekstprzypisudolnegoZnak">
    <w:name w:val="Tekst przypisu dolnego Znak"/>
    <w:basedOn w:val="Domylnaczcionkaakapitu"/>
    <w:link w:val="Tekstprzypisudolnego"/>
    <w:uiPriority w:val="99"/>
    <w:semiHidden/>
    <w:locked/>
    <w:rsid w:val="00987A64"/>
    <w:rPr>
      <w:rFonts w:eastAsia="MS Mincho"/>
      <w:sz w:val="20"/>
      <w:szCs w:val="20"/>
    </w:rPr>
  </w:style>
  <w:style w:type="paragraph" w:styleId="HTML-adres">
    <w:name w:val="HTML Address"/>
    <w:basedOn w:val="Normalny"/>
    <w:link w:val="HTML-adresZnak"/>
    <w:uiPriority w:val="99"/>
    <w:semiHidden/>
    <w:rsid w:val="00E93FC7"/>
    <w:rPr>
      <w:i/>
      <w:iCs/>
    </w:rPr>
  </w:style>
  <w:style w:type="character" w:styleId="HTML-cytat">
    <w:name w:val="HTML Cite"/>
    <w:basedOn w:val="Domylnaczcionkaakapitu"/>
    <w:uiPriority w:val="99"/>
    <w:semiHidden/>
    <w:rsid w:val="00E93FC7"/>
    <w:rPr>
      <w:i/>
      <w:iCs/>
    </w:rPr>
  </w:style>
  <w:style w:type="character" w:customStyle="1" w:styleId="HTML-adresZnak">
    <w:name w:val="HTML - adres Znak"/>
    <w:basedOn w:val="Domylnaczcionkaakapitu"/>
    <w:link w:val="HTML-adres"/>
    <w:uiPriority w:val="99"/>
    <w:semiHidden/>
    <w:locked/>
    <w:rsid w:val="00E93FC7"/>
    <w:rPr>
      <w:rFonts w:eastAsia="MS Mincho"/>
      <w:i/>
      <w:iCs/>
      <w:sz w:val="24"/>
      <w:szCs w:val="24"/>
    </w:rPr>
  </w:style>
  <w:style w:type="character" w:styleId="HTML-kod">
    <w:name w:val="HTML Code"/>
    <w:basedOn w:val="Domylnaczcionkaakapitu"/>
    <w:uiPriority w:val="99"/>
    <w:semiHidden/>
    <w:rsid w:val="00E93FC7"/>
    <w:rPr>
      <w:rFonts w:ascii="Consolas" w:hAnsi="Consolas" w:cs="Consolas"/>
      <w:sz w:val="20"/>
      <w:szCs w:val="20"/>
    </w:rPr>
  </w:style>
  <w:style w:type="character" w:styleId="HTML-definicja">
    <w:name w:val="HTML Definition"/>
    <w:basedOn w:val="Domylnaczcionkaakapitu"/>
    <w:uiPriority w:val="99"/>
    <w:semiHidden/>
    <w:rsid w:val="00E93FC7"/>
    <w:rPr>
      <w:i/>
      <w:iCs/>
    </w:rPr>
  </w:style>
  <w:style w:type="character" w:styleId="HTML-klawiatura">
    <w:name w:val="HTML Keyboard"/>
    <w:basedOn w:val="Domylnaczcionkaakapitu"/>
    <w:uiPriority w:val="99"/>
    <w:semiHidden/>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rsid w:val="00E93FC7"/>
    <w:rPr>
      <w:rFonts w:ascii="Consolas" w:hAnsi="Consolas" w:cs="Consolas"/>
      <w:sz w:val="20"/>
      <w:szCs w:val="20"/>
    </w:rPr>
  </w:style>
  <w:style w:type="character" w:styleId="HTML-przykad">
    <w:name w:val="HTML Sample"/>
    <w:basedOn w:val="Domylnaczcionkaakapitu"/>
    <w:uiPriority w:val="99"/>
    <w:semiHidden/>
    <w:rsid w:val="00E93FC7"/>
    <w:rPr>
      <w:rFonts w:ascii="Consolas" w:hAnsi="Consolas" w:cs="Consolas"/>
      <w:sz w:val="24"/>
      <w:szCs w:val="24"/>
    </w:rPr>
  </w:style>
  <w:style w:type="character" w:customStyle="1" w:styleId="HTML-wstpniesformatowanyZnak">
    <w:name w:val="HTML - wstępnie sformatowany Znak"/>
    <w:basedOn w:val="Domylnaczcionkaakapitu"/>
    <w:link w:val="HTML-wstpniesformatowany"/>
    <w:uiPriority w:val="99"/>
    <w:semiHidden/>
    <w:locked/>
    <w:rsid w:val="00E93FC7"/>
    <w:rPr>
      <w:rFonts w:ascii="Consolas" w:eastAsia="MS Mincho" w:hAnsi="Consolas" w:cs="Consolas"/>
      <w:sz w:val="20"/>
      <w:szCs w:val="20"/>
    </w:rPr>
  </w:style>
  <w:style w:type="character" w:styleId="HTML-staaszeroko">
    <w:name w:val="HTML Typewriter"/>
    <w:basedOn w:val="Domylnaczcionkaakapitu"/>
    <w:uiPriority w:val="99"/>
    <w:semiHidden/>
    <w:rsid w:val="00E93FC7"/>
    <w:rPr>
      <w:rFonts w:ascii="Consolas" w:hAnsi="Consolas" w:cs="Consolas"/>
      <w:sz w:val="20"/>
      <w:szCs w:val="20"/>
    </w:rPr>
  </w:style>
  <w:style w:type="character" w:styleId="HTML-zmienna">
    <w:name w:val="HTML Variable"/>
    <w:basedOn w:val="Domylnaczcionkaakapitu"/>
    <w:uiPriority w:val="99"/>
    <w:semiHidden/>
    <w:rsid w:val="00E93FC7"/>
    <w:rPr>
      <w:i/>
      <w:iCs/>
    </w:rPr>
  </w:style>
  <w:style w:type="character" w:styleId="Hipercze">
    <w:name w:val="Hyperlink"/>
    <w:basedOn w:val="Domylnaczcionkaakapitu"/>
    <w:uiPriority w:val="99"/>
    <w:rsid w:val="00987A64"/>
    <w:rPr>
      <w:color w:val="0072BC"/>
      <w:u w:val="single"/>
    </w:rPr>
  </w:style>
  <w:style w:type="paragraph" w:styleId="Indeks1">
    <w:name w:val="index 1"/>
    <w:basedOn w:val="Normalny"/>
    <w:next w:val="Normalny"/>
    <w:autoRedefine/>
    <w:uiPriority w:val="99"/>
    <w:semiHidden/>
    <w:rsid w:val="00E93FC7"/>
    <w:pPr>
      <w:ind w:left="240" w:hanging="240"/>
    </w:pPr>
  </w:style>
  <w:style w:type="paragraph" w:styleId="Indeks2">
    <w:name w:val="index 2"/>
    <w:basedOn w:val="Normalny"/>
    <w:next w:val="Normalny"/>
    <w:autoRedefine/>
    <w:uiPriority w:val="99"/>
    <w:semiHidden/>
    <w:rsid w:val="00E93FC7"/>
    <w:pPr>
      <w:ind w:left="480" w:hanging="240"/>
    </w:pPr>
  </w:style>
  <w:style w:type="paragraph" w:styleId="Indeks3">
    <w:name w:val="index 3"/>
    <w:basedOn w:val="Normalny"/>
    <w:next w:val="Normalny"/>
    <w:autoRedefine/>
    <w:uiPriority w:val="99"/>
    <w:semiHidden/>
    <w:rsid w:val="00E93FC7"/>
    <w:pPr>
      <w:ind w:left="720" w:hanging="240"/>
    </w:pPr>
  </w:style>
  <w:style w:type="paragraph" w:styleId="Indeks4">
    <w:name w:val="index 4"/>
    <w:basedOn w:val="Normalny"/>
    <w:next w:val="Normalny"/>
    <w:autoRedefine/>
    <w:uiPriority w:val="99"/>
    <w:semiHidden/>
    <w:rsid w:val="00E93FC7"/>
    <w:pPr>
      <w:ind w:left="960" w:hanging="240"/>
    </w:pPr>
  </w:style>
  <w:style w:type="paragraph" w:styleId="Indeks5">
    <w:name w:val="index 5"/>
    <w:basedOn w:val="Normalny"/>
    <w:next w:val="Normalny"/>
    <w:autoRedefine/>
    <w:uiPriority w:val="99"/>
    <w:semiHidden/>
    <w:rsid w:val="00E93FC7"/>
    <w:pPr>
      <w:ind w:left="1200" w:hanging="240"/>
    </w:pPr>
  </w:style>
  <w:style w:type="paragraph" w:styleId="Indeks6">
    <w:name w:val="index 6"/>
    <w:basedOn w:val="Normalny"/>
    <w:next w:val="Normalny"/>
    <w:autoRedefine/>
    <w:uiPriority w:val="99"/>
    <w:semiHidden/>
    <w:rsid w:val="00E93FC7"/>
    <w:pPr>
      <w:ind w:left="1440" w:hanging="240"/>
    </w:pPr>
  </w:style>
  <w:style w:type="paragraph" w:styleId="Indeks7">
    <w:name w:val="index 7"/>
    <w:basedOn w:val="Normalny"/>
    <w:next w:val="Normalny"/>
    <w:autoRedefine/>
    <w:uiPriority w:val="99"/>
    <w:semiHidden/>
    <w:rsid w:val="00E93FC7"/>
    <w:pPr>
      <w:ind w:left="1680" w:hanging="240"/>
    </w:pPr>
  </w:style>
  <w:style w:type="paragraph" w:styleId="Indeks8">
    <w:name w:val="index 8"/>
    <w:basedOn w:val="Normalny"/>
    <w:next w:val="Normalny"/>
    <w:autoRedefine/>
    <w:uiPriority w:val="99"/>
    <w:semiHidden/>
    <w:rsid w:val="00E93FC7"/>
    <w:pPr>
      <w:ind w:left="1920" w:hanging="240"/>
    </w:pPr>
  </w:style>
  <w:style w:type="paragraph" w:styleId="Indeks9">
    <w:name w:val="index 9"/>
    <w:basedOn w:val="Normalny"/>
    <w:next w:val="Normalny"/>
    <w:autoRedefine/>
    <w:uiPriority w:val="99"/>
    <w:semiHidden/>
    <w:rsid w:val="00E93FC7"/>
    <w:pPr>
      <w:ind w:left="2160" w:hanging="240"/>
    </w:pPr>
  </w:style>
  <w:style w:type="paragraph" w:styleId="Nagwekindeksu">
    <w:name w:val="index heading"/>
    <w:basedOn w:val="Normalny"/>
    <w:next w:val="Indeks1"/>
    <w:uiPriority w:val="99"/>
    <w:semiHidden/>
    <w:rsid w:val="00E93FC7"/>
    <w:rPr>
      <w:rFonts w:eastAsia="MS Gothic"/>
      <w:b/>
      <w:bCs/>
    </w:rPr>
  </w:style>
  <w:style w:type="table" w:styleId="Jasnasiatka">
    <w:name w:val="Light Grid"/>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93FC7"/>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93FC7"/>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93FC7"/>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93FC7"/>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93FC7"/>
  </w:style>
  <w:style w:type="paragraph" w:styleId="Lista">
    <w:name w:val="List"/>
    <w:basedOn w:val="Normalny"/>
    <w:uiPriority w:val="99"/>
    <w:semiHidden/>
    <w:rsid w:val="00E93FC7"/>
    <w:pPr>
      <w:ind w:left="283" w:hanging="283"/>
    </w:pPr>
  </w:style>
  <w:style w:type="paragraph" w:styleId="Lista2">
    <w:name w:val="List 2"/>
    <w:basedOn w:val="Normalny"/>
    <w:uiPriority w:val="99"/>
    <w:semiHidden/>
    <w:rsid w:val="00E93FC7"/>
    <w:pPr>
      <w:ind w:left="566" w:hanging="283"/>
    </w:pPr>
  </w:style>
  <w:style w:type="paragraph" w:styleId="Lista3">
    <w:name w:val="List 3"/>
    <w:basedOn w:val="Normalny"/>
    <w:uiPriority w:val="99"/>
    <w:semiHidden/>
    <w:rsid w:val="00E93FC7"/>
    <w:pPr>
      <w:ind w:left="849" w:hanging="283"/>
    </w:pPr>
  </w:style>
  <w:style w:type="paragraph" w:styleId="Lista4">
    <w:name w:val="List 4"/>
    <w:basedOn w:val="Normalny"/>
    <w:uiPriority w:val="99"/>
    <w:semiHidden/>
    <w:rsid w:val="00E93FC7"/>
    <w:pPr>
      <w:ind w:left="1132" w:hanging="283"/>
    </w:pPr>
  </w:style>
  <w:style w:type="paragraph" w:styleId="Lista5">
    <w:name w:val="List 5"/>
    <w:basedOn w:val="Normalny"/>
    <w:uiPriority w:val="99"/>
    <w:semiHidden/>
    <w:rsid w:val="00E93FC7"/>
    <w:pPr>
      <w:ind w:left="1415" w:hanging="283"/>
    </w:pPr>
  </w:style>
  <w:style w:type="paragraph" w:styleId="Listapunktowana">
    <w:name w:val="List Bullet"/>
    <w:basedOn w:val="Normalny"/>
    <w:uiPriority w:val="99"/>
    <w:semiHidden/>
    <w:rsid w:val="00E93FC7"/>
    <w:pPr>
      <w:tabs>
        <w:tab w:val="num" w:pos="360"/>
      </w:tabs>
      <w:ind w:left="360" w:hanging="360"/>
    </w:pPr>
  </w:style>
  <w:style w:type="paragraph" w:styleId="Listapunktowana2">
    <w:name w:val="List Bullet 2"/>
    <w:basedOn w:val="Normalny"/>
    <w:uiPriority w:val="99"/>
    <w:semiHidden/>
    <w:rsid w:val="00E93FC7"/>
    <w:pPr>
      <w:numPr>
        <w:numId w:val="2"/>
      </w:numPr>
    </w:pPr>
  </w:style>
  <w:style w:type="paragraph" w:styleId="Listapunktowana3">
    <w:name w:val="List Bullet 3"/>
    <w:basedOn w:val="Normalny"/>
    <w:uiPriority w:val="99"/>
    <w:semiHidden/>
    <w:rsid w:val="00E93FC7"/>
    <w:pPr>
      <w:numPr>
        <w:numId w:val="3"/>
      </w:numPr>
    </w:pPr>
  </w:style>
  <w:style w:type="paragraph" w:styleId="Listapunktowana4">
    <w:name w:val="List Bullet 4"/>
    <w:basedOn w:val="Normalny"/>
    <w:uiPriority w:val="99"/>
    <w:semiHidden/>
    <w:rsid w:val="00E93FC7"/>
    <w:pPr>
      <w:numPr>
        <w:numId w:val="4"/>
      </w:numPr>
    </w:pPr>
  </w:style>
  <w:style w:type="paragraph" w:styleId="Listapunktowana5">
    <w:name w:val="List Bullet 5"/>
    <w:basedOn w:val="Normalny"/>
    <w:uiPriority w:val="99"/>
    <w:semiHidden/>
    <w:rsid w:val="00E93FC7"/>
    <w:pPr>
      <w:numPr>
        <w:numId w:val="5"/>
      </w:numPr>
    </w:pPr>
  </w:style>
  <w:style w:type="paragraph" w:styleId="Lista-kontynuacja">
    <w:name w:val="List Continue"/>
    <w:basedOn w:val="Normalny"/>
    <w:uiPriority w:val="99"/>
    <w:semiHidden/>
    <w:rsid w:val="00E93FC7"/>
    <w:pPr>
      <w:spacing w:after="120"/>
      <w:ind w:left="283"/>
    </w:pPr>
  </w:style>
  <w:style w:type="paragraph" w:styleId="Lista-kontynuacja2">
    <w:name w:val="List Continue 2"/>
    <w:basedOn w:val="Normalny"/>
    <w:uiPriority w:val="99"/>
    <w:semiHidden/>
    <w:rsid w:val="00E93FC7"/>
    <w:pPr>
      <w:spacing w:after="120"/>
      <w:ind w:left="566"/>
    </w:pPr>
  </w:style>
  <w:style w:type="paragraph" w:styleId="Lista-kontynuacja3">
    <w:name w:val="List Continue 3"/>
    <w:basedOn w:val="Normalny"/>
    <w:uiPriority w:val="99"/>
    <w:semiHidden/>
    <w:rsid w:val="00E93FC7"/>
    <w:pPr>
      <w:spacing w:after="120"/>
      <w:ind w:left="849"/>
    </w:pPr>
  </w:style>
  <w:style w:type="paragraph" w:styleId="Lista-kontynuacja4">
    <w:name w:val="List Continue 4"/>
    <w:basedOn w:val="Normalny"/>
    <w:uiPriority w:val="99"/>
    <w:semiHidden/>
    <w:rsid w:val="00E93FC7"/>
    <w:pPr>
      <w:spacing w:after="120"/>
      <w:ind w:left="1132"/>
    </w:pPr>
  </w:style>
  <w:style w:type="paragraph" w:styleId="Lista-kontynuacja5">
    <w:name w:val="List Continue 5"/>
    <w:basedOn w:val="Normalny"/>
    <w:uiPriority w:val="99"/>
    <w:semiHidden/>
    <w:rsid w:val="00E93FC7"/>
    <w:pPr>
      <w:spacing w:after="120"/>
      <w:ind w:left="1415"/>
    </w:pPr>
  </w:style>
  <w:style w:type="paragraph" w:styleId="Listanumerowana">
    <w:name w:val="List Number"/>
    <w:basedOn w:val="Normalny"/>
    <w:uiPriority w:val="99"/>
    <w:semiHidden/>
    <w:rsid w:val="00E93FC7"/>
    <w:pPr>
      <w:numPr>
        <w:numId w:val="6"/>
      </w:numPr>
    </w:pPr>
  </w:style>
  <w:style w:type="paragraph" w:styleId="Listanumerowana2">
    <w:name w:val="List Number 2"/>
    <w:basedOn w:val="Normalny"/>
    <w:uiPriority w:val="99"/>
    <w:semiHidden/>
    <w:rsid w:val="00E93FC7"/>
    <w:pPr>
      <w:numPr>
        <w:numId w:val="7"/>
      </w:numPr>
    </w:pPr>
  </w:style>
  <w:style w:type="paragraph" w:styleId="Listanumerowana3">
    <w:name w:val="List Number 3"/>
    <w:basedOn w:val="Normalny"/>
    <w:uiPriority w:val="99"/>
    <w:semiHidden/>
    <w:rsid w:val="00E93FC7"/>
    <w:pPr>
      <w:numPr>
        <w:numId w:val="8"/>
      </w:numPr>
    </w:pPr>
  </w:style>
  <w:style w:type="paragraph" w:styleId="Listanumerowana4">
    <w:name w:val="List Number 4"/>
    <w:basedOn w:val="Normalny"/>
    <w:uiPriority w:val="99"/>
    <w:semiHidden/>
    <w:rsid w:val="00E93FC7"/>
    <w:pPr>
      <w:numPr>
        <w:numId w:val="9"/>
      </w:numPr>
    </w:pPr>
  </w:style>
  <w:style w:type="paragraph" w:styleId="Listanumerowana5">
    <w:name w:val="List Number 5"/>
    <w:basedOn w:val="Normalny"/>
    <w:uiPriority w:val="99"/>
    <w:semiHidden/>
    <w:rsid w:val="00E93FC7"/>
    <w:pPr>
      <w:numPr>
        <w:numId w:val="10"/>
      </w:numPr>
    </w:pPr>
  </w:style>
  <w:style w:type="paragraph" w:styleId="Tekstmakra">
    <w:name w:val="macro"/>
    <w:link w:val="TekstmakraZnak"/>
    <w:uiPriority w:val="99"/>
    <w:semiHidden/>
    <w:rsid w:val="00E93FC7"/>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table" w:styleId="redniasiatka1">
    <w:name w:val="Medium Grid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TekstmakraZnak">
    <w:name w:val="Tekst makra Znak"/>
    <w:basedOn w:val="Domylnaczcionkaakapitu"/>
    <w:link w:val="Tekstmakra"/>
    <w:uiPriority w:val="99"/>
    <w:semiHidden/>
    <w:locked/>
    <w:rsid w:val="00E93FC7"/>
    <w:rPr>
      <w:rFonts w:ascii="Consolas" w:eastAsia="MS Mincho" w:hAnsi="Consolas" w:cs="Consolas"/>
      <w:lang w:val="pl-PL" w:eastAsia="en-US"/>
    </w:rPr>
  </w:style>
  <w:style w:type="table" w:styleId="redniasiatka1akcent1">
    <w:name w:val="Medium Grid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paragraph" w:styleId="NormalnyWeb">
    <w:name w:val="Normal (Web)"/>
    <w:basedOn w:val="Normalny"/>
    <w:uiPriority w:val="99"/>
    <w:semiHidden/>
    <w:rsid w:val="00E93FC7"/>
  </w:style>
  <w:style w:type="character" w:customStyle="1" w:styleId="NagwekwiadomociZnak">
    <w:name w:val="Nagłówek wiadomości Znak"/>
    <w:basedOn w:val="Domylnaczcionkaakapitu"/>
    <w:link w:val="Nagwekwiadomoci"/>
    <w:uiPriority w:val="99"/>
    <w:semiHidden/>
    <w:locked/>
    <w:rsid w:val="00E93FC7"/>
    <w:rPr>
      <w:rFonts w:ascii="Times New Roman" w:eastAsia="MS Gothic" w:hAnsi="Times New Roman" w:cs="Times New Roman"/>
      <w:sz w:val="24"/>
      <w:szCs w:val="24"/>
      <w:shd w:val="pct20" w:color="auto" w:fill="auto"/>
    </w:rPr>
  </w:style>
  <w:style w:type="paragraph" w:styleId="Wcicienormalne">
    <w:name w:val="Normal Indent"/>
    <w:basedOn w:val="Normalny"/>
    <w:uiPriority w:val="99"/>
    <w:semiHidden/>
    <w:rsid w:val="00E93FC7"/>
    <w:pPr>
      <w:ind w:left="720"/>
    </w:pPr>
  </w:style>
  <w:style w:type="paragraph" w:styleId="Nagweknotatki">
    <w:name w:val="Note Heading"/>
    <w:basedOn w:val="Normalny"/>
    <w:next w:val="Normalny"/>
    <w:link w:val="NagweknotatkiZnak"/>
    <w:uiPriority w:val="99"/>
    <w:semiHidden/>
    <w:rsid w:val="00E93FC7"/>
  </w:style>
  <w:style w:type="character" w:styleId="Tekstzastpczy">
    <w:name w:val="Placeholder Text"/>
    <w:basedOn w:val="Domylnaczcionkaakapitu"/>
    <w:uiPriority w:val="99"/>
    <w:rsid w:val="00987A64"/>
    <w:rPr>
      <w:color w:val="auto"/>
      <w:shd w:val="clear" w:color="auto" w:fill="DFDFDF"/>
    </w:rPr>
  </w:style>
  <w:style w:type="character" w:customStyle="1" w:styleId="NagweknotatkiZnak">
    <w:name w:val="Nagłówek notatki Znak"/>
    <w:basedOn w:val="Domylnaczcionkaakapitu"/>
    <w:link w:val="Nagweknotatki"/>
    <w:uiPriority w:val="99"/>
    <w:semiHidden/>
    <w:locked/>
    <w:rsid w:val="00E93FC7"/>
    <w:rPr>
      <w:rFonts w:eastAsia="MS Mincho"/>
      <w:sz w:val="24"/>
      <w:szCs w:val="24"/>
    </w:rPr>
  </w:style>
  <w:style w:type="paragraph" w:styleId="Zwykytekst">
    <w:name w:val="Plain Text"/>
    <w:basedOn w:val="Normalny"/>
    <w:link w:val="ZwykytekstZnak"/>
    <w:uiPriority w:val="99"/>
    <w:semiHidden/>
    <w:rsid w:val="00E93FC7"/>
    <w:rPr>
      <w:rFonts w:ascii="Consolas" w:hAnsi="Consolas" w:cs="Consolas"/>
      <w:sz w:val="21"/>
      <w:szCs w:val="21"/>
    </w:rPr>
  </w:style>
  <w:style w:type="paragraph" w:styleId="Zwrotgrzecznociowy">
    <w:name w:val="Salutation"/>
    <w:basedOn w:val="Normalny"/>
    <w:next w:val="Normalny"/>
    <w:link w:val="ZwrotgrzecznociowyZnak"/>
    <w:uiPriority w:val="99"/>
    <w:semiHidden/>
    <w:rsid w:val="00E93FC7"/>
  </w:style>
  <w:style w:type="character" w:customStyle="1" w:styleId="ZwykytekstZnak">
    <w:name w:val="Zwykły tekst Znak"/>
    <w:basedOn w:val="Domylnaczcionkaakapitu"/>
    <w:link w:val="Zwykytekst"/>
    <w:uiPriority w:val="99"/>
    <w:semiHidden/>
    <w:locked/>
    <w:rsid w:val="00E93FC7"/>
    <w:rPr>
      <w:rFonts w:ascii="Consolas" w:eastAsia="MS Mincho" w:hAnsi="Consolas" w:cs="Consolas"/>
      <w:sz w:val="21"/>
      <w:szCs w:val="21"/>
    </w:rPr>
  </w:style>
  <w:style w:type="paragraph" w:styleId="Podpis">
    <w:name w:val="Signature"/>
    <w:basedOn w:val="Normalny"/>
    <w:link w:val="PodpisZnak"/>
    <w:uiPriority w:val="99"/>
    <w:semiHidden/>
    <w:rsid w:val="00E93FC7"/>
    <w:pPr>
      <w:ind w:left="4252"/>
    </w:pPr>
  </w:style>
  <w:style w:type="character" w:customStyle="1" w:styleId="ZwrotgrzecznociowyZnak">
    <w:name w:val="Zwrot grzecznościowy Znak"/>
    <w:basedOn w:val="Domylnaczcionkaakapitu"/>
    <w:link w:val="Zwrotgrzecznociowy"/>
    <w:uiPriority w:val="99"/>
    <w:semiHidden/>
    <w:locked/>
    <w:rsid w:val="00E93FC7"/>
    <w:rPr>
      <w:rFonts w:eastAsia="MS Mincho"/>
      <w:sz w:val="24"/>
      <w:szCs w:val="24"/>
    </w:rPr>
  </w:style>
  <w:style w:type="table" w:styleId="Tabela-Efekty3W1">
    <w:name w:val="Table 3D effects 1"/>
    <w:basedOn w:val="Standardowy"/>
    <w:uiPriority w:val="99"/>
    <w:semiHidden/>
    <w:rsid w:val="00E93FC7"/>
    <w:pPr>
      <w:spacing w:after="0" w:line="240" w:lineRule="auto"/>
      <w:jc w:val="both"/>
    </w:pPr>
    <w:rPr>
      <w:sz w:val="20"/>
      <w:szCs w:val="20"/>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PodpisZnak">
    <w:name w:val="Podpis Znak"/>
    <w:basedOn w:val="Domylnaczcionkaakapitu"/>
    <w:link w:val="Podpis"/>
    <w:uiPriority w:val="99"/>
    <w:semiHidden/>
    <w:locked/>
    <w:rsid w:val="00E93FC7"/>
    <w:rPr>
      <w:rFonts w:eastAsia="MS Mincho"/>
      <w:sz w:val="24"/>
      <w:szCs w:val="24"/>
    </w:rPr>
  </w:style>
  <w:style w:type="table" w:styleId="Tabela-Efekty3W2">
    <w:name w:val="Table 3D effects 2"/>
    <w:basedOn w:val="Standardowy"/>
    <w:uiPriority w:val="99"/>
    <w:semiHidden/>
    <w:rsid w:val="00E93FC7"/>
    <w:pPr>
      <w:spacing w:after="0" w:line="240" w:lineRule="auto"/>
      <w:jc w:val="both"/>
    </w:pPr>
    <w:rPr>
      <w:sz w:val="20"/>
      <w:szCs w:val="20"/>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93FC7"/>
    <w:pPr>
      <w:spacing w:after="0" w:line="240" w:lineRule="auto"/>
      <w:jc w:val="both"/>
    </w:pPr>
    <w:rPr>
      <w:sz w:val="20"/>
      <w:szCs w:val="20"/>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93FC7"/>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93FC7"/>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93FC7"/>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93FC7"/>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93FC7"/>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93FC7"/>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93FC7"/>
    <w:pPr>
      <w:spacing w:after="0" w:line="240" w:lineRule="auto"/>
      <w:jc w:val="both"/>
    </w:pPr>
    <w:rPr>
      <w:b/>
      <w:bCs/>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93FC7"/>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93FC7"/>
    <w:pPr>
      <w:spacing w:after="0" w:line="240" w:lineRule="auto"/>
      <w:jc w:val="both"/>
    </w:pPr>
    <w:rPr>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93FC7"/>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93FC7"/>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93FC7"/>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987A64"/>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93FC7"/>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93FC7"/>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93FC7"/>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93FC7"/>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93FC7"/>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93FC7"/>
    <w:pPr>
      <w:spacing w:after="0" w:line="240" w:lineRule="auto"/>
      <w:jc w:val="both"/>
    </w:pPr>
    <w:rPr>
      <w:sz w:val="20"/>
      <w:szCs w:val="20"/>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93FC7"/>
    <w:pPr>
      <w:ind w:left="240" w:hanging="240"/>
    </w:pPr>
  </w:style>
  <w:style w:type="paragraph" w:styleId="Spisilustracji">
    <w:name w:val="table of figures"/>
    <w:basedOn w:val="Normalny"/>
    <w:next w:val="Normalny"/>
    <w:uiPriority w:val="99"/>
    <w:semiHidden/>
    <w:rsid w:val="00E93FC7"/>
  </w:style>
  <w:style w:type="table" w:styleId="Tabela-Profesjonalny">
    <w:name w:val="Table Professional"/>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93FC7"/>
    <w:pPr>
      <w:spacing w:after="0" w:line="240" w:lineRule="auto"/>
      <w:jc w:val="both"/>
    </w:pPr>
    <w:rPr>
      <w:sz w:val="20"/>
      <w:szCs w:val="20"/>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93FC7"/>
    <w:pPr>
      <w:spacing w:after="0" w:line="240" w:lineRule="auto"/>
      <w:jc w:val="both"/>
    </w:pPr>
    <w:rPr>
      <w:sz w:val="20"/>
      <w:szCs w:val="20"/>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93FC7"/>
    <w:pPr>
      <w:spacing w:after="0" w:line="240" w:lineRule="auto"/>
      <w:jc w:val="both"/>
    </w:pPr>
    <w:rPr>
      <w:sz w:val="20"/>
      <w:szCs w:val="20"/>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93FC7"/>
    <w:pPr>
      <w:spacing w:after="0" w:line="240" w:lineRule="auto"/>
      <w:jc w:val="both"/>
    </w:pPr>
    <w:rPr>
      <w:sz w:val="20"/>
      <w:szCs w:val="20"/>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93FC7"/>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93FC7"/>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93FC7"/>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93FC7"/>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jc w:val="center"/>
    </w:pPr>
    <w:rPr>
      <w:rFonts w:eastAsia="MS Gothic"/>
      <w:b/>
      <w:bCs/>
      <w:color w:val="474747"/>
      <w:sz w:val="28"/>
      <w:szCs w:val="28"/>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szCs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93FC7"/>
    <w:pPr>
      <w:spacing w:after="100"/>
      <w:ind w:left="1680"/>
    </w:pPr>
  </w:style>
  <w:style w:type="paragraph" w:styleId="Spistreci9">
    <w:name w:val="toc 9"/>
    <w:basedOn w:val="Normalny"/>
    <w:next w:val="Normalny"/>
    <w:autoRedefine/>
    <w:uiPriority w:val="99"/>
    <w:semiHidden/>
    <w:rsid w:val="00E93FC7"/>
    <w:pPr>
      <w:spacing w:after="100"/>
      <w:ind w:left="1920"/>
    </w:pPr>
  </w:style>
  <w:style w:type="paragraph" w:customStyle="1" w:styleId="ECHRFooter">
    <w:name w:val="ECHR_Footer"/>
    <w:aliases w:val="Footer_ECHR"/>
    <w:basedOn w:val="Stopka"/>
    <w:uiPriority w:val="99"/>
    <w:semiHidden/>
    <w:rsid w:val="00987A64"/>
    <w:pPr>
      <w:jc w:val="left"/>
    </w:pPr>
    <w:rPr>
      <w:sz w:val="8"/>
      <w:szCs w:val="8"/>
    </w:rPr>
  </w:style>
  <w:style w:type="paragraph" w:customStyle="1" w:styleId="DummyStyle">
    <w:name w:val="Dummy_Style"/>
    <w:basedOn w:val="Normalny"/>
    <w:uiPriority w:val="99"/>
    <w:semiHidden/>
    <w:rsid w:val="00987A64"/>
    <w:rPr>
      <w:color w:val="00B050"/>
    </w:rPr>
  </w:style>
  <w:style w:type="paragraph" w:styleId="Stopka">
    <w:name w:val="footer"/>
    <w:basedOn w:val="Normalny"/>
    <w:link w:val="StopkaZnak"/>
    <w:uiPriority w:val="99"/>
    <w:semiHidden/>
    <w:rsid w:val="00987A64"/>
    <w:pPr>
      <w:tabs>
        <w:tab w:val="center" w:pos="4536"/>
        <w:tab w:val="right" w:pos="9696"/>
      </w:tabs>
      <w:ind w:left="-680" w:right="-680"/>
    </w:pPr>
    <w:rPr>
      <w:rFonts w:eastAsia="Times New Roman"/>
    </w:rPr>
  </w:style>
  <w:style w:type="paragraph" w:customStyle="1" w:styleId="ECHRFooterLine">
    <w:name w:val="ECHR_Footer_Line"/>
    <w:aliases w:val="Footer_Line"/>
    <w:basedOn w:val="Normalny"/>
    <w:next w:val="ECHRFooter"/>
    <w:uiPriority w:val="99"/>
    <w:semiHidden/>
    <w:rsid w:val="00987A64"/>
    <w:pPr>
      <w:pBdr>
        <w:top w:val="single" w:sz="6" w:space="1" w:color="5F5F5F"/>
      </w:pBdr>
      <w:tabs>
        <w:tab w:val="center" w:pos="4536"/>
        <w:tab w:val="right" w:pos="9696"/>
      </w:tabs>
      <w:ind w:left="-680" w:right="-680"/>
      <w:jc w:val="left"/>
    </w:pPr>
    <w:rPr>
      <w:color w:val="5F5F5F"/>
    </w:rPr>
  </w:style>
  <w:style w:type="character" w:customStyle="1" w:styleId="StopkaZnak">
    <w:name w:val="Stopka Znak"/>
    <w:basedOn w:val="Domylnaczcionkaakapitu"/>
    <w:link w:val="Stopka"/>
    <w:uiPriority w:val="99"/>
    <w:semiHidden/>
    <w:locked/>
    <w:rsid w:val="00987A64"/>
    <w:rPr>
      <w:sz w:val="24"/>
      <w:szCs w:val="24"/>
    </w:rPr>
  </w:style>
  <w:style w:type="table" w:customStyle="1" w:styleId="ECHRListTable">
    <w:name w:val="ECHR_List_Table"/>
    <w:uiPriority w:val="99"/>
    <w:rsid w:val="00987A64"/>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JuCase">
    <w:name w:val="Ju_Case"/>
    <w:basedOn w:val="Normalny"/>
    <w:next w:val="ECHRPara"/>
    <w:uiPriority w:val="99"/>
    <w:rsid w:val="00987A64"/>
    <w:pPr>
      <w:ind w:firstLine="284"/>
    </w:pPr>
    <w:rPr>
      <w:b/>
      <w:bCs/>
    </w:rPr>
  </w:style>
  <w:style w:type="paragraph" w:customStyle="1" w:styleId="JuHeaderLandscape">
    <w:name w:val="Ju_Header_Landscape"/>
    <w:basedOn w:val="ECHRHeader"/>
    <w:uiPriority w:val="99"/>
    <w:rsid w:val="00987A64"/>
    <w:pPr>
      <w:tabs>
        <w:tab w:val="clear" w:pos="3686"/>
        <w:tab w:val="clear" w:pos="7371"/>
        <w:tab w:val="center" w:pos="6146"/>
        <w:tab w:val="right" w:pos="12293"/>
      </w:tabs>
    </w:pPr>
  </w:style>
  <w:style w:type="table" w:customStyle="1" w:styleId="ECHRTable">
    <w:name w:val="ECHR_Table"/>
    <w:uiPriority w:val="99"/>
    <w:rsid w:val="009E5CE2"/>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9E5CE2"/>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table" w:customStyle="1" w:styleId="LtrTableAddress">
    <w:name w:val="Ltr_Table_Address"/>
    <w:uiPriority w:val="99"/>
    <w:rsid w:val="009E5CE2"/>
    <w:pPr>
      <w:spacing w:after="0" w:line="240" w:lineRule="auto"/>
    </w:pPr>
    <w:rPr>
      <w:sz w:val="20"/>
      <w:szCs w:val="20"/>
    </w:rPr>
    <w:tblPr>
      <w:tblCellMar>
        <w:top w:w="0" w:type="dxa"/>
        <w:left w:w="108" w:type="dxa"/>
        <w:bottom w:w="0" w:type="dxa"/>
        <w:right w:w="108" w:type="dxa"/>
      </w:tblCellMar>
    </w:tblPr>
  </w:style>
  <w:style w:type="table" w:customStyle="1" w:styleId="UGTable">
    <w:name w:val="UG_Table"/>
    <w:uiPriority w:val="99"/>
    <w:rsid w:val="009E5CE2"/>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9E5CE2"/>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9E5CE2"/>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9E5CE2"/>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9E5CE2"/>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E5CE2"/>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9E5CE2"/>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9E5CE2"/>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9E5CE2"/>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HeaderTable">
    <w:name w:val="ECHR_Header_Table"/>
    <w:uiPriority w:val="99"/>
    <w:rsid w:val="009E5CE2"/>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9E5CE2"/>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9E5CE2"/>
    <w:pPr>
      <w:spacing w:after="0" w:line="240" w:lineRule="auto"/>
    </w:pPr>
    <w:rPr>
      <w:sz w:val="20"/>
      <w:szCs w:val="20"/>
    </w:rPr>
    <w:tblPr>
      <w:tblCellMar>
        <w:top w:w="0" w:type="dxa"/>
        <w:left w:w="0" w:type="dxa"/>
        <w:bottom w:w="0" w:type="dxa"/>
        <w:right w:w="0" w:type="dxa"/>
      </w:tblCellMar>
    </w:tblPr>
  </w:style>
  <w:style w:type="character" w:customStyle="1" w:styleId="ECHRParaChar">
    <w:name w:val="ECHR_Para Char"/>
    <w:aliases w:val="Ju_Para Char"/>
    <w:link w:val="ECHRPara"/>
    <w:uiPriority w:val="99"/>
    <w:locked/>
    <w:rsid w:val="009E5CE2"/>
    <w:rPr>
      <w:rFonts w:eastAsia="MS Mincho"/>
      <w:sz w:val="24"/>
      <w:szCs w:val="24"/>
    </w:rPr>
  </w:style>
  <w:style w:type="character" w:customStyle="1" w:styleId="JuParaCar">
    <w:name w:val="Ju_Para Car"/>
    <w:uiPriority w:val="99"/>
    <w:rsid w:val="009E5CE2"/>
    <w:rPr>
      <w:rFonts w:eastAsia="MS Mincho"/>
      <w:sz w:val="24"/>
      <w:szCs w:val="24"/>
    </w:rPr>
  </w:style>
  <w:style w:type="character" w:customStyle="1" w:styleId="s4f807e54">
    <w:name w:val="s4f807e54"/>
    <w:uiPriority w:val="99"/>
    <w:rsid w:val="00824331"/>
  </w:style>
  <w:style w:type="paragraph" w:customStyle="1" w:styleId="s50c0b1c7">
    <w:name w:val="s50c0b1c7"/>
    <w:basedOn w:val="Normalny"/>
    <w:uiPriority w:val="99"/>
    <w:rsid w:val="00DF79E4"/>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DF79E4"/>
  </w:style>
  <w:style w:type="character" w:customStyle="1" w:styleId="sfbbfee58">
    <w:name w:val="sfbbfee58"/>
    <w:basedOn w:val="Domylnaczcionkaakapitu"/>
    <w:uiPriority w:val="99"/>
    <w:rsid w:val="00DF79E4"/>
  </w:style>
  <w:style w:type="character" w:customStyle="1" w:styleId="sb8d990e2">
    <w:name w:val="sb8d990e2"/>
    <w:basedOn w:val="Domylnaczcionkaakapitu"/>
    <w:uiPriority w:val="99"/>
    <w:rsid w:val="001C32EE"/>
  </w:style>
  <w:style w:type="numbering" w:styleId="1ai">
    <w:name w:val="Outline List 1"/>
    <w:basedOn w:val="Bezlisty"/>
    <w:uiPriority w:val="99"/>
    <w:semiHidden/>
    <w:unhideWhenUsed/>
    <w:locked/>
    <w:pPr>
      <w:numPr>
        <w:numId w:val="12"/>
      </w:numPr>
    </w:pPr>
  </w:style>
  <w:style w:type="numbering" w:customStyle="1" w:styleId="ArticleSection">
    <w:name w:val="Article / Section"/>
    <w:pPr>
      <w:numPr>
        <w:numId w:val="13"/>
      </w:numPr>
    </w:pPr>
  </w:style>
  <w:style w:type="numbering" w:styleId="111111">
    <w:name w:val="Outline List 2"/>
    <w:basedOn w:val="Bezlisty"/>
    <w:uiPriority w:val="99"/>
    <w:semiHidden/>
    <w:unhideWhenUsed/>
    <w:locked/>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E853E-A98A-495B-83F2-D214C8631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2019-09-09T10:26:00Z</dcterms:created>
  <dcterms:modified xsi:type="dcterms:W3CDTF">2019-09-11T12:32:00Z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46184/16</vt:lpwstr>
  </property>
  <property fmtid="{D5CDD505-2E9C-101B-9397-08002B2CF9AE}" pid="4" name="CASEID">
    <vt:lpwstr>1229677</vt:lpwstr>
  </property>
  <property fmtid="{D5CDD505-2E9C-101B-9397-08002B2CF9AE}" pid="5" name="ContentTypeId">
    <vt:lpwstr>0x010100558EB02BDB9E204AB350EDD385B68E10</vt:lpwstr>
  </property>
</Properties>
</file>