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422F7B" w14:textId="77777777" w:rsidR="00915140" w:rsidRPr="00443E27" w:rsidRDefault="00915140" w:rsidP="00247FEA">
      <w:pPr>
        <w:jc w:val="center"/>
        <w:rPr>
          <w:sz w:val="18"/>
          <w:szCs w:val="18"/>
        </w:rPr>
      </w:pPr>
      <w:r>
        <w:rPr>
          <w:rStyle w:val="s4f807e54"/>
          <w:rFonts w:ascii="Arial" w:hAnsi="Arial" w:cs="Arial"/>
          <w:sz w:val="18"/>
          <w:szCs w:val="18"/>
        </w:rPr>
        <w:t>© Copyright for the Polish translation by Naczelny Sąd Administracyjny, Warszawa 2018</w:t>
      </w:r>
    </w:p>
    <w:p w14:paraId="64247F30" w14:textId="77777777" w:rsidR="00915140" w:rsidRPr="00443E27" w:rsidRDefault="00915140" w:rsidP="000A470D">
      <w:pPr>
        <w:jc w:val="center"/>
      </w:pPr>
    </w:p>
    <w:p w14:paraId="673037DE" w14:textId="77777777" w:rsidR="00915140" w:rsidRPr="00443E27" w:rsidRDefault="00915140" w:rsidP="00247FEA"/>
    <w:p w14:paraId="3FDC1AE9" w14:textId="77777777" w:rsidR="00915140" w:rsidRPr="00443E27" w:rsidRDefault="00915140" w:rsidP="00D3413F">
      <w:pPr>
        <w:jc w:val="center"/>
      </w:pPr>
      <w:r>
        <w:t>EUROPEJSKI TRYBUNAŁ PRAW CZŁOWIEKA</w:t>
      </w:r>
    </w:p>
    <w:p w14:paraId="7A013F9F" w14:textId="77777777" w:rsidR="00915140" w:rsidRPr="00443E27" w:rsidRDefault="00915140" w:rsidP="000A470D">
      <w:pPr>
        <w:jc w:val="center"/>
      </w:pPr>
    </w:p>
    <w:p w14:paraId="1CF2B4F2" w14:textId="77777777" w:rsidR="00915140" w:rsidRPr="00D3413F" w:rsidRDefault="00915140" w:rsidP="000A470D">
      <w:pPr>
        <w:tabs>
          <w:tab w:val="left" w:pos="5529"/>
        </w:tabs>
        <w:jc w:val="center"/>
      </w:pPr>
      <w:r>
        <w:t>WIELKA IZBA</w:t>
      </w:r>
    </w:p>
    <w:p w14:paraId="261456E5" w14:textId="77777777" w:rsidR="00915140" w:rsidRPr="00D3413F" w:rsidRDefault="00915140" w:rsidP="000A470D">
      <w:pPr>
        <w:jc w:val="center"/>
      </w:pPr>
    </w:p>
    <w:p w14:paraId="755664C2" w14:textId="77777777" w:rsidR="00915140" w:rsidRPr="00D3413F" w:rsidRDefault="00915140" w:rsidP="000A470D">
      <w:pPr>
        <w:jc w:val="center"/>
      </w:pPr>
    </w:p>
    <w:p w14:paraId="0E6450F4" w14:textId="77777777" w:rsidR="00915140" w:rsidRPr="00D3413F" w:rsidRDefault="00915140" w:rsidP="000A470D">
      <w:pPr>
        <w:jc w:val="center"/>
      </w:pPr>
    </w:p>
    <w:p w14:paraId="39825877" w14:textId="77777777" w:rsidR="00915140" w:rsidRPr="00D3413F" w:rsidRDefault="00915140" w:rsidP="000A470D">
      <w:pPr>
        <w:jc w:val="center"/>
      </w:pPr>
    </w:p>
    <w:p w14:paraId="58888D11" w14:textId="77777777" w:rsidR="00915140" w:rsidRPr="00D3413F" w:rsidRDefault="00915140" w:rsidP="000A470D">
      <w:pPr>
        <w:jc w:val="center"/>
      </w:pPr>
    </w:p>
    <w:p w14:paraId="0998BC17" w14:textId="77777777" w:rsidR="00915140" w:rsidRPr="00D3413F" w:rsidRDefault="00915140" w:rsidP="000A470D">
      <w:pPr>
        <w:jc w:val="center"/>
      </w:pPr>
    </w:p>
    <w:p w14:paraId="43747BF2" w14:textId="77777777" w:rsidR="00915140" w:rsidRPr="00D3413F" w:rsidRDefault="00915140" w:rsidP="000A470D">
      <w:pPr>
        <w:jc w:val="center"/>
        <w:rPr>
          <w:b/>
          <w:bCs/>
        </w:rPr>
      </w:pPr>
      <w:bookmarkStart w:id="0" w:name="To"/>
      <w:r>
        <w:rPr>
          <w:b/>
          <w:bCs/>
        </w:rPr>
        <w:t xml:space="preserve">SPRAWA </w:t>
      </w:r>
      <w:bookmarkEnd w:id="0"/>
      <w:r>
        <w:rPr>
          <w:b/>
          <w:bCs/>
        </w:rPr>
        <w:t>MOREIRA FERREIRA przeciwko PORTUGALII (Nr 2)</w:t>
      </w:r>
    </w:p>
    <w:p w14:paraId="66C3D897" w14:textId="77777777" w:rsidR="00915140" w:rsidRPr="00D3413F" w:rsidRDefault="00915140" w:rsidP="000A470D">
      <w:pPr>
        <w:jc w:val="center"/>
      </w:pPr>
    </w:p>
    <w:p w14:paraId="0259055B" w14:textId="77777777" w:rsidR="00915140" w:rsidRPr="00443E27" w:rsidRDefault="00915140" w:rsidP="000A470D">
      <w:pPr>
        <w:jc w:val="center"/>
        <w:rPr>
          <w:i/>
          <w:iCs/>
        </w:rPr>
      </w:pPr>
      <w:r>
        <w:rPr>
          <w:i/>
          <w:iCs/>
        </w:rPr>
        <w:t>(Skarga nr 19867/12)</w:t>
      </w:r>
    </w:p>
    <w:p w14:paraId="2C2F2823" w14:textId="77777777" w:rsidR="00915140" w:rsidRPr="00443E27" w:rsidRDefault="00915140" w:rsidP="000A470D">
      <w:pPr>
        <w:jc w:val="center"/>
      </w:pPr>
    </w:p>
    <w:p w14:paraId="28238369" w14:textId="77777777" w:rsidR="00915140" w:rsidRPr="00443E27" w:rsidRDefault="00915140" w:rsidP="000A470D">
      <w:pPr>
        <w:jc w:val="center"/>
      </w:pPr>
    </w:p>
    <w:p w14:paraId="75752291" w14:textId="77777777" w:rsidR="00915140" w:rsidRPr="00443E27" w:rsidRDefault="00915140" w:rsidP="000A470D">
      <w:pPr>
        <w:jc w:val="center"/>
      </w:pPr>
    </w:p>
    <w:p w14:paraId="29BC0332" w14:textId="77777777" w:rsidR="00915140" w:rsidRPr="00443E27" w:rsidRDefault="00915140" w:rsidP="000A470D">
      <w:pPr>
        <w:jc w:val="center"/>
      </w:pPr>
    </w:p>
    <w:p w14:paraId="2CD36C02" w14:textId="77777777" w:rsidR="00915140" w:rsidRPr="00443E27" w:rsidRDefault="00915140" w:rsidP="000A470D">
      <w:pPr>
        <w:jc w:val="center"/>
      </w:pPr>
    </w:p>
    <w:p w14:paraId="45E35035" w14:textId="77777777" w:rsidR="00915140" w:rsidRPr="00443E27" w:rsidRDefault="00915140" w:rsidP="000A470D">
      <w:pPr>
        <w:jc w:val="center"/>
      </w:pPr>
    </w:p>
    <w:p w14:paraId="3C88E608" w14:textId="77777777" w:rsidR="00915140" w:rsidRPr="00443E27" w:rsidRDefault="00915140" w:rsidP="000A470D">
      <w:pPr>
        <w:jc w:val="center"/>
      </w:pPr>
    </w:p>
    <w:p w14:paraId="6AEDA682" w14:textId="77777777" w:rsidR="00915140" w:rsidRPr="00443E27" w:rsidRDefault="00915140" w:rsidP="000A470D">
      <w:pPr>
        <w:jc w:val="center"/>
      </w:pPr>
    </w:p>
    <w:p w14:paraId="3A19AEC1" w14:textId="77777777" w:rsidR="00915140" w:rsidRPr="00443E27" w:rsidRDefault="00915140" w:rsidP="000A470D">
      <w:pPr>
        <w:jc w:val="center"/>
      </w:pPr>
    </w:p>
    <w:p w14:paraId="065200C0" w14:textId="77777777" w:rsidR="00915140" w:rsidRPr="00443E27" w:rsidRDefault="00915140" w:rsidP="000A470D">
      <w:pPr>
        <w:jc w:val="center"/>
      </w:pPr>
    </w:p>
    <w:p w14:paraId="12F3890A" w14:textId="77777777" w:rsidR="00915140" w:rsidRDefault="00915140" w:rsidP="000A470D">
      <w:pPr>
        <w:jc w:val="center"/>
      </w:pPr>
      <w:r>
        <w:t>WYROK</w:t>
      </w:r>
    </w:p>
    <w:p w14:paraId="23DCFC75" w14:textId="77777777" w:rsidR="00713DC9" w:rsidRPr="00443E27" w:rsidRDefault="00713DC9" w:rsidP="000A470D">
      <w:pPr>
        <w:jc w:val="center"/>
      </w:pPr>
      <w:r>
        <w:t>[wyciąg]</w:t>
      </w:r>
    </w:p>
    <w:p w14:paraId="6FCDD457" w14:textId="77777777" w:rsidR="00915140" w:rsidRPr="00443E27" w:rsidRDefault="00915140" w:rsidP="000A470D">
      <w:pPr>
        <w:jc w:val="center"/>
        <w:rPr>
          <w:i/>
          <w:iCs/>
        </w:rPr>
      </w:pPr>
    </w:p>
    <w:p w14:paraId="46580484" w14:textId="77777777" w:rsidR="00915140" w:rsidRPr="00443E27" w:rsidRDefault="00915140" w:rsidP="000A470D">
      <w:pPr>
        <w:jc w:val="center"/>
      </w:pPr>
    </w:p>
    <w:p w14:paraId="39B21FFC" w14:textId="77777777" w:rsidR="00915140" w:rsidRPr="00443E27" w:rsidRDefault="00915140" w:rsidP="000A470D">
      <w:pPr>
        <w:jc w:val="center"/>
      </w:pPr>
      <w:r>
        <w:t>STRASBURG</w:t>
      </w:r>
    </w:p>
    <w:p w14:paraId="0181CCD5" w14:textId="77777777" w:rsidR="00915140" w:rsidRPr="00443E27" w:rsidRDefault="00915140" w:rsidP="000A470D">
      <w:pPr>
        <w:jc w:val="center"/>
      </w:pPr>
    </w:p>
    <w:p w14:paraId="6B9BC963" w14:textId="77777777" w:rsidR="00915140" w:rsidRPr="00D3413F" w:rsidRDefault="00915140" w:rsidP="000A470D">
      <w:pPr>
        <w:jc w:val="center"/>
      </w:pPr>
      <w:r>
        <w:t>11 lipca 2017</w:t>
      </w:r>
      <w:r w:rsidR="00E45F2D">
        <w:t xml:space="preserve"> r.</w:t>
      </w:r>
    </w:p>
    <w:p w14:paraId="5289DC24" w14:textId="77777777" w:rsidR="00915140" w:rsidRPr="00D3413F" w:rsidRDefault="00915140" w:rsidP="000A470D">
      <w:pPr>
        <w:jc w:val="center"/>
      </w:pPr>
    </w:p>
    <w:p w14:paraId="0DCF3C27" w14:textId="77777777" w:rsidR="00915140" w:rsidRPr="00D3413F" w:rsidRDefault="00915140" w:rsidP="000A470D">
      <w:pPr>
        <w:jc w:val="center"/>
      </w:pPr>
    </w:p>
    <w:p w14:paraId="62436D4C" w14:textId="77777777" w:rsidR="00915140" w:rsidRPr="00D3413F" w:rsidRDefault="00915140" w:rsidP="000A470D">
      <w:pPr>
        <w:jc w:val="center"/>
      </w:pPr>
    </w:p>
    <w:p w14:paraId="4FC4E13D" w14:textId="77777777" w:rsidR="00915140" w:rsidRPr="00D3413F" w:rsidRDefault="00915140" w:rsidP="00D3413F">
      <w:pPr>
        <w:jc w:val="center"/>
        <w:rPr>
          <w:i/>
          <w:iCs/>
          <w:sz w:val="22"/>
          <w:szCs w:val="22"/>
        </w:rPr>
      </w:pPr>
      <w:r>
        <w:rPr>
          <w:i/>
          <w:iCs/>
        </w:rPr>
        <w:t>Niniejszy wyrok jest ostateczny, ale może podlegać korekcie wydawniczej.</w:t>
      </w:r>
    </w:p>
    <w:p w14:paraId="4F01B8D3" w14:textId="77777777" w:rsidR="00915140" w:rsidRPr="00D3413F" w:rsidRDefault="00915140" w:rsidP="000A470D">
      <w:pPr>
        <w:rPr>
          <w:sz w:val="22"/>
          <w:szCs w:val="22"/>
        </w:rPr>
      </w:pPr>
    </w:p>
    <w:p w14:paraId="101C646D" w14:textId="77777777" w:rsidR="00915140" w:rsidRPr="00D3413F" w:rsidRDefault="00915140" w:rsidP="000A470D">
      <w:pPr>
        <w:rPr>
          <w:sz w:val="22"/>
          <w:szCs w:val="22"/>
        </w:rPr>
        <w:sectPr w:rsidR="00915140" w:rsidRPr="00D3413F" w:rsidSect="005F6794">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08" w:gutter="0"/>
          <w:pgNumType w:start="1"/>
          <w:cols w:space="708"/>
          <w:noEndnote/>
        </w:sectPr>
      </w:pPr>
    </w:p>
    <w:p w14:paraId="2C45610C" w14:textId="77777777" w:rsidR="00915140" w:rsidRPr="000A470D" w:rsidRDefault="00915140" w:rsidP="000A470D">
      <w:pPr>
        <w:pStyle w:val="JuCase"/>
      </w:pPr>
      <w:r>
        <w:lastRenderedPageBreak/>
        <w:t>W sprawie Moreira Ferreira przeciwko Portugalii (Nr 2)</w:t>
      </w:r>
    </w:p>
    <w:p w14:paraId="7CA8CCB7" w14:textId="322F55F3" w:rsidR="00915140" w:rsidRPr="000A470D" w:rsidRDefault="00915140" w:rsidP="000A470D">
      <w:pPr>
        <w:pStyle w:val="ECHRPara"/>
      </w:pPr>
      <w:r>
        <w:t>Europejski Trybunał Praw Człowieka, zasiadając jako Wielka Izba w</w:t>
      </w:r>
      <w:r w:rsidR="000E547C">
        <w:t> </w:t>
      </w:r>
      <w:r>
        <w:t>składzie:</w:t>
      </w:r>
    </w:p>
    <w:p w14:paraId="72C293FF" w14:textId="77777777" w:rsidR="00915140" w:rsidRPr="000A470D" w:rsidRDefault="00915140" w:rsidP="000A470D">
      <w:pPr>
        <w:pStyle w:val="ECHRDecisionBody"/>
      </w:pPr>
      <w:r>
        <w:tab/>
        <w:t>Guido Raimondi,</w:t>
      </w:r>
      <w:r>
        <w:rPr>
          <w:i/>
          <w:iCs/>
        </w:rPr>
        <w:t xml:space="preserve"> Przewodniczący,</w:t>
      </w:r>
      <w:r>
        <w:rPr>
          <w:i/>
          <w:iCs/>
        </w:rPr>
        <w:br/>
      </w:r>
      <w:r>
        <w:tab/>
        <w:t>Işıl Karakaş,</w:t>
      </w:r>
      <w:r>
        <w:rPr>
          <w:i/>
          <w:iCs/>
        </w:rPr>
        <w:br/>
      </w:r>
      <w:r>
        <w:tab/>
        <w:t>Angelika Nußberger,</w:t>
      </w:r>
      <w:r>
        <w:rPr>
          <w:i/>
          <w:iCs/>
        </w:rPr>
        <w:br/>
      </w:r>
      <w:r>
        <w:tab/>
        <w:t>Luis López Guerra,</w:t>
      </w:r>
      <w:r>
        <w:rPr>
          <w:i/>
          <w:iCs/>
        </w:rPr>
        <w:br/>
      </w:r>
      <w:r>
        <w:tab/>
        <w:t>András Sajó,</w:t>
      </w:r>
      <w:r>
        <w:rPr>
          <w:i/>
          <w:iCs/>
        </w:rPr>
        <w:br/>
      </w:r>
      <w:r>
        <w:tab/>
        <w:t>Mirjana Lazarova Trajkovska,</w:t>
      </w:r>
      <w:r>
        <w:rPr>
          <w:i/>
          <w:iCs/>
        </w:rPr>
        <w:br/>
      </w:r>
      <w:r>
        <w:tab/>
        <w:t>Nona Tsotsoria,</w:t>
      </w:r>
      <w:r>
        <w:rPr>
          <w:i/>
          <w:iCs/>
        </w:rPr>
        <w:br/>
      </w:r>
      <w:r>
        <w:tab/>
        <w:t>Vincent A. De Gaetano,</w:t>
      </w:r>
      <w:r>
        <w:rPr>
          <w:i/>
          <w:iCs/>
        </w:rPr>
        <w:br/>
      </w:r>
      <w:r>
        <w:tab/>
        <w:t>Paulo Pinto de Albuquerque,</w:t>
      </w:r>
      <w:r>
        <w:rPr>
          <w:i/>
          <w:iCs/>
        </w:rPr>
        <w:br/>
      </w:r>
      <w:r>
        <w:tab/>
        <w:t>Helen Keller,</w:t>
      </w:r>
      <w:r>
        <w:rPr>
          <w:i/>
          <w:iCs/>
        </w:rPr>
        <w:br/>
      </w:r>
      <w:r>
        <w:tab/>
        <w:t>Paul Mahoney,</w:t>
      </w:r>
      <w:r>
        <w:rPr>
          <w:i/>
          <w:iCs/>
        </w:rPr>
        <w:br/>
      </w:r>
      <w:r>
        <w:tab/>
        <w:t>Krzysztof Wojtyczek,</w:t>
      </w:r>
      <w:r>
        <w:rPr>
          <w:i/>
          <w:iCs/>
        </w:rPr>
        <w:br/>
      </w:r>
      <w:r>
        <w:tab/>
        <w:t>Faris Vehabović,</w:t>
      </w:r>
      <w:r>
        <w:rPr>
          <w:i/>
          <w:iCs/>
        </w:rPr>
        <w:br/>
      </w:r>
      <w:r>
        <w:tab/>
        <w:t>Egidijus Kūris,</w:t>
      </w:r>
      <w:r>
        <w:rPr>
          <w:i/>
          <w:iCs/>
        </w:rPr>
        <w:br/>
      </w:r>
      <w:r>
        <w:tab/>
        <w:t>Jon Fridrik Kjølbro,</w:t>
      </w:r>
      <w:r>
        <w:rPr>
          <w:i/>
          <w:iCs/>
        </w:rPr>
        <w:br/>
      </w:r>
      <w:r>
        <w:tab/>
        <w:t>Síofra O’Leary,</w:t>
      </w:r>
      <w:r>
        <w:rPr>
          <w:i/>
          <w:iCs/>
        </w:rPr>
        <w:br/>
      </w:r>
      <w:r>
        <w:tab/>
        <w:t>Marko Bošnjak,</w:t>
      </w:r>
      <w:r>
        <w:rPr>
          <w:i/>
          <w:iCs/>
        </w:rPr>
        <w:t xml:space="preserve"> sędziowie,</w:t>
      </w:r>
      <w:r>
        <w:rPr>
          <w:i/>
          <w:iCs/>
        </w:rPr>
        <w:br/>
      </w:r>
      <w:r>
        <w:rPr>
          <w:i/>
          <w:iCs/>
        </w:rPr>
        <w:tab/>
      </w:r>
      <w:r>
        <w:t xml:space="preserve">oraz Françoise Elens-Passos, </w:t>
      </w:r>
      <w:r>
        <w:rPr>
          <w:i/>
          <w:iCs/>
        </w:rPr>
        <w:t>Zastępca Kanclerza</w:t>
      </w:r>
      <w:r>
        <w:t>,</w:t>
      </w:r>
    </w:p>
    <w:p w14:paraId="2DB47FDF" w14:textId="07F6E6F2" w:rsidR="00915140" w:rsidRPr="000A470D" w:rsidRDefault="0022167B" w:rsidP="000A470D">
      <w:pPr>
        <w:pStyle w:val="ECHRPara"/>
      </w:pPr>
      <w:r>
        <w:t>po obradach</w:t>
      </w:r>
      <w:r>
        <w:t xml:space="preserve"> na </w:t>
      </w:r>
      <w:r>
        <w:t>posiedzeniach</w:t>
      </w:r>
      <w:r w:rsidR="00915140">
        <w:t xml:space="preserve"> </w:t>
      </w:r>
      <w:r w:rsidR="00A34A1A">
        <w:t>niejawny</w:t>
      </w:r>
      <w:r>
        <w:t>ch</w:t>
      </w:r>
      <w:r w:rsidR="00915140">
        <w:t xml:space="preserve"> w dniach 1 czerwca 2016 </w:t>
      </w:r>
      <w:r w:rsidR="000E547C">
        <w:t xml:space="preserve">r. </w:t>
      </w:r>
      <w:r w:rsidR="00915140">
        <w:t>i</w:t>
      </w:r>
      <w:r w:rsidR="000E547C">
        <w:t> </w:t>
      </w:r>
      <w:r w:rsidR="00915140">
        <w:t>5</w:t>
      </w:r>
      <w:r w:rsidR="000E547C">
        <w:t> </w:t>
      </w:r>
      <w:r w:rsidR="00915140">
        <w:t>kwietnia 2017 r.,</w:t>
      </w:r>
    </w:p>
    <w:p w14:paraId="009A4696" w14:textId="00C704C4" w:rsidR="00915140" w:rsidRPr="000A470D" w:rsidRDefault="00915140" w:rsidP="000A470D">
      <w:pPr>
        <w:pStyle w:val="ECHRPara"/>
      </w:pPr>
      <w:r>
        <w:t>wydaje następujący wyrok, który został przyjęty w drugiej z</w:t>
      </w:r>
      <w:r w:rsidR="000E547C">
        <w:t> </w:t>
      </w:r>
      <w:r>
        <w:t>wymienionych dat:</w:t>
      </w:r>
    </w:p>
    <w:p w14:paraId="3992A14A" w14:textId="77777777" w:rsidR="00915140" w:rsidRPr="00443E27" w:rsidRDefault="00915140" w:rsidP="000A470D">
      <w:pPr>
        <w:pStyle w:val="ECHRTitle1"/>
      </w:pPr>
      <w:r>
        <w:t>POSTĘPOWANIE</w:t>
      </w:r>
    </w:p>
    <w:p w14:paraId="49426196" w14:textId="77777777" w:rsidR="00915140" w:rsidRPr="00FF09FB" w:rsidRDefault="00915140" w:rsidP="00FF09FB">
      <w:pPr>
        <w:pStyle w:val="ECHRPara"/>
        <w:ind w:firstLine="0"/>
        <w:rPr>
          <w:i/>
          <w:iCs/>
        </w:rPr>
      </w:pPr>
      <w:r>
        <w:rPr>
          <w:i/>
          <w:iCs/>
        </w:rPr>
        <w:t>[Paragrafy 1-9 wyroku pominięto]</w:t>
      </w:r>
    </w:p>
    <w:p w14:paraId="12A6844C" w14:textId="77777777" w:rsidR="00915140" w:rsidRPr="00FF09FB" w:rsidRDefault="00915140" w:rsidP="000A470D">
      <w:pPr>
        <w:pStyle w:val="ECHRPara"/>
      </w:pPr>
    </w:p>
    <w:p w14:paraId="192E120E" w14:textId="77777777" w:rsidR="00915140" w:rsidRPr="00FF09FB" w:rsidRDefault="00915140" w:rsidP="00FF09FB">
      <w:pPr>
        <w:pStyle w:val="ECHRTitle1"/>
        <w:spacing w:before="240"/>
      </w:pPr>
      <w:r>
        <w:t>FAKTY</w:t>
      </w:r>
    </w:p>
    <w:p w14:paraId="177770A4" w14:textId="77777777" w:rsidR="00915140" w:rsidRPr="00FF09FB" w:rsidRDefault="00915140" w:rsidP="00FF09FB">
      <w:pPr>
        <w:pStyle w:val="ECHRPara"/>
        <w:ind w:firstLine="0"/>
        <w:rPr>
          <w:i/>
          <w:iCs/>
        </w:rPr>
      </w:pPr>
      <w:r>
        <w:rPr>
          <w:i/>
          <w:iCs/>
        </w:rPr>
        <w:t>[Paragrafy 10-39 wyroku pominięte i zastąpione tłumaczeniem poniższego streszczenia przygotowanego przez Kancelarię Europejskiego Trybunału Praw Człowieka</w:t>
      </w:r>
    </w:p>
    <w:p w14:paraId="5C28F6FA" w14:textId="77777777" w:rsidR="00915140" w:rsidRDefault="00915140" w:rsidP="00FF09FB">
      <w:pPr>
        <w:pStyle w:val="ECHRPara"/>
        <w:rPr>
          <w:i/>
          <w:iCs/>
          <w:u w:val="single"/>
        </w:rPr>
      </w:pPr>
    </w:p>
    <w:p w14:paraId="2A97C5E4" w14:textId="77777777" w:rsidR="00915140" w:rsidRPr="00FF09FB" w:rsidRDefault="00915140" w:rsidP="00FF09FB">
      <w:pPr>
        <w:pStyle w:val="ECHRPara"/>
      </w:pPr>
      <w:r w:rsidRPr="00C332D2">
        <w:rPr>
          <w:i/>
          <w:iCs/>
          <w:u w:val="single"/>
        </w:rPr>
        <w:t>Streszczenie stanu faktycznego</w:t>
      </w:r>
      <w:r w:rsidRPr="00C332D2">
        <w:rPr>
          <w:rStyle w:val="Odwoanieprzypisudolnego"/>
          <w:i/>
          <w:iCs/>
          <w:u w:val="single"/>
        </w:rPr>
        <w:footnoteReference w:id="2"/>
      </w:r>
      <w:r w:rsidRPr="00C332D2">
        <w:rPr>
          <w:u w:val="single"/>
        </w:rPr>
        <w:t>:</w:t>
      </w:r>
    </w:p>
    <w:p w14:paraId="1B8F72FA" w14:textId="3C4E4B14" w:rsidR="00915140" w:rsidRPr="00FF09FB" w:rsidRDefault="00915140" w:rsidP="00FF09FB">
      <w:pPr>
        <w:pStyle w:val="Pa153"/>
        <w:spacing w:after="100"/>
        <w:ind w:firstLine="284"/>
        <w:jc w:val="both"/>
        <w:rPr>
          <w:rFonts w:ascii="Times New Roman" w:hAnsi="Times New Roman" w:cs="Times New Roman"/>
          <w:color w:val="000000"/>
        </w:rPr>
      </w:pPr>
      <w:r>
        <w:rPr>
          <w:rFonts w:ascii="Times New Roman" w:hAnsi="Times New Roman" w:cs="Times New Roman"/>
          <w:color w:val="000000"/>
        </w:rPr>
        <w:lastRenderedPageBreak/>
        <w:t>W dniu 21 marca 2012 r. Sąd Najwyższy wydał wyrok od</w:t>
      </w:r>
      <w:r w:rsidR="00CB6CFD">
        <w:rPr>
          <w:rFonts w:ascii="Times New Roman" w:hAnsi="Times New Roman" w:cs="Times New Roman"/>
          <w:color w:val="000000"/>
        </w:rPr>
        <w:t>dalający</w:t>
      </w:r>
      <w:r>
        <w:rPr>
          <w:rFonts w:ascii="Times New Roman" w:hAnsi="Times New Roman" w:cs="Times New Roman"/>
          <w:color w:val="000000"/>
        </w:rPr>
        <w:t xml:space="preserve"> wniosek o wznowienie wyroku [postępowania] karnego, który został złożony przez skarżącą po wydaniu przez Europejski Trybunał Praw Człowieka („Trybunał”) </w:t>
      </w:r>
      <w:r w:rsidR="00CB6CFD">
        <w:rPr>
          <w:rFonts w:ascii="Times New Roman" w:hAnsi="Times New Roman" w:cs="Times New Roman"/>
          <w:color w:val="000000"/>
        </w:rPr>
        <w:t xml:space="preserve">wyroku </w:t>
      </w:r>
      <w:r>
        <w:rPr>
          <w:rFonts w:ascii="Times New Roman" w:hAnsi="Times New Roman" w:cs="Times New Roman"/>
          <w:color w:val="000000"/>
        </w:rPr>
        <w:t>stw</w:t>
      </w:r>
      <w:r w:rsidR="00A74892">
        <w:rPr>
          <w:rFonts w:ascii="Times New Roman" w:hAnsi="Times New Roman" w:cs="Times New Roman"/>
          <w:color w:val="000000"/>
        </w:rPr>
        <w:t>ierdzającego naruszenie art. 6 ust.</w:t>
      </w:r>
      <w:r>
        <w:rPr>
          <w:rFonts w:ascii="Times New Roman" w:hAnsi="Times New Roman" w:cs="Times New Roman"/>
          <w:color w:val="000000"/>
        </w:rPr>
        <w:t xml:space="preserve"> 1 </w:t>
      </w:r>
      <w:r w:rsidR="00CB6CFD">
        <w:rPr>
          <w:rFonts w:ascii="Times New Roman" w:hAnsi="Times New Roman" w:cs="Times New Roman"/>
          <w:color w:val="000000"/>
        </w:rPr>
        <w:t xml:space="preserve">[Konwencji o ochronie praw człowieka i podstawowych wolności] </w:t>
      </w:r>
      <w:r>
        <w:rPr>
          <w:rFonts w:ascii="Times New Roman" w:hAnsi="Times New Roman" w:cs="Times New Roman"/>
          <w:color w:val="000000"/>
        </w:rPr>
        <w:t>(zob.</w:t>
      </w:r>
      <w:r w:rsidR="000E547C">
        <w:rPr>
          <w:rFonts w:ascii="Times New Roman" w:hAnsi="Times New Roman" w:cs="Times New Roman"/>
          <w:color w:val="000000"/>
        </w:rPr>
        <w:t> </w:t>
      </w:r>
      <w:r>
        <w:rPr>
          <w:rFonts w:ascii="Times New Roman" w:hAnsi="Times New Roman" w:cs="Times New Roman"/>
          <w:i/>
          <w:iCs/>
          <w:color w:val="000000"/>
        </w:rPr>
        <w:t>Moreira Ferreira przeciwko Portugalii</w:t>
      </w:r>
      <w:r>
        <w:rPr>
          <w:rFonts w:ascii="Times New Roman" w:hAnsi="Times New Roman" w:cs="Times New Roman"/>
          <w:color w:val="000000"/>
        </w:rPr>
        <w:t>,</w:t>
      </w:r>
      <w:r w:rsidR="00C332D2">
        <w:rPr>
          <w:rFonts w:ascii="Times New Roman" w:hAnsi="Times New Roman" w:cs="Times New Roman"/>
          <w:color w:val="000000"/>
        </w:rPr>
        <w:t xml:space="preserve"> nr</w:t>
      </w:r>
      <w:r>
        <w:rPr>
          <w:rFonts w:ascii="Times New Roman" w:hAnsi="Times New Roman" w:cs="Times New Roman"/>
          <w:color w:val="000000"/>
        </w:rPr>
        <w:t xml:space="preserve"> 19808/08, 5 lipca 2011 r.). </w:t>
      </w:r>
      <w:r w:rsidR="00C332D2">
        <w:rPr>
          <w:rFonts w:ascii="Times New Roman" w:hAnsi="Times New Roman" w:cs="Times New Roman"/>
          <w:color w:val="000000"/>
        </w:rPr>
        <w:t xml:space="preserve">Na podstawie </w:t>
      </w:r>
      <w:r w:rsidR="00A74892">
        <w:rPr>
          <w:rFonts w:ascii="Times New Roman" w:hAnsi="Times New Roman" w:cs="Times New Roman"/>
          <w:color w:val="000000"/>
        </w:rPr>
        <w:t>art.</w:t>
      </w:r>
      <w:r>
        <w:rPr>
          <w:rFonts w:ascii="Times New Roman" w:hAnsi="Times New Roman" w:cs="Times New Roman"/>
          <w:color w:val="000000"/>
        </w:rPr>
        <w:t xml:space="preserve"> 41 Trybunał stwierdził, że </w:t>
      </w:r>
      <w:r w:rsidRPr="00F73180">
        <w:rPr>
          <w:rFonts w:ascii="Times New Roman" w:hAnsi="Times New Roman" w:cs="Times New Roman"/>
          <w:color w:val="000000"/>
        </w:rPr>
        <w:t>ponowny proces</w:t>
      </w:r>
      <w:r>
        <w:rPr>
          <w:rFonts w:ascii="Times New Roman" w:hAnsi="Times New Roman" w:cs="Times New Roman"/>
          <w:color w:val="000000"/>
        </w:rPr>
        <w:t xml:space="preserve"> lub</w:t>
      </w:r>
      <w:r w:rsidR="000E547C">
        <w:rPr>
          <w:rFonts w:ascii="Times New Roman" w:hAnsi="Times New Roman" w:cs="Times New Roman"/>
          <w:color w:val="000000"/>
        </w:rPr>
        <w:t> </w:t>
      </w:r>
      <w:r>
        <w:rPr>
          <w:rFonts w:ascii="Times New Roman" w:hAnsi="Times New Roman" w:cs="Times New Roman"/>
          <w:color w:val="000000"/>
        </w:rPr>
        <w:t>wznowienie postępowania na wniosek skarżącej stanowić będzie, co</w:t>
      </w:r>
      <w:r w:rsidR="000E547C">
        <w:rPr>
          <w:rFonts w:ascii="Times New Roman" w:hAnsi="Times New Roman" w:cs="Times New Roman"/>
          <w:color w:val="000000"/>
        </w:rPr>
        <w:t> </w:t>
      </w:r>
      <w:r>
        <w:rPr>
          <w:rFonts w:ascii="Times New Roman" w:hAnsi="Times New Roman" w:cs="Times New Roman"/>
          <w:color w:val="000000"/>
        </w:rPr>
        <w:t>do</w:t>
      </w:r>
      <w:r w:rsidR="000E547C">
        <w:rPr>
          <w:rFonts w:ascii="Times New Roman" w:hAnsi="Times New Roman" w:cs="Times New Roman"/>
          <w:color w:val="000000"/>
        </w:rPr>
        <w:t> </w:t>
      </w:r>
      <w:r>
        <w:rPr>
          <w:rFonts w:ascii="Times New Roman" w:hAnsi="Times New Roman" w:cs="Times New Roman"/>
          <w:color w:val="000000"/>
        </w:rPr>
        <w:t xml:space="preserve">zasady, </w:t>
      </w:r>
      <w:r w:rsidRPr="004D24B4">
        <w:rPr>
          <w:rFonts w:ascii="Times New Roman" w:hAnsi="Times New Roman" w:cs="Times New Roman"/>
          <w:color w:val="000000"/>
        </w:rPr>
        <w:t>odpowiedni</w:t>
      </w:r>
      <w:r>
        <w:rPr>
          <w:rFonts w:ascii="Times New Roman" w:hAnsi="Times New Roman" w:cs="Times New Roman"/>
          <w:color w:val="000000"/>
        </w:rPr>
        <w:t xml:space="preserve"> środek </w:t>
      </w:r>
      <w:r w:rsidRPr="005F0821">
        <w:rPr>
          <w:rFonts w:ascii="Times New Roman" w:hAnsi="Times New Roman" w:cs="Times New Roman"/>
          <w:color w:val="000000"/>
        </w:rPr>
        <w:t>naprawienia</w:t>
      </w:r>
      <w:r>
        <w:rPr>
          <w:rFonts w:ascii="Times New Roman" w:hAnsi="Times New Roman" w:cs="Times New Roman"/>
          <w:color w:val="000000"/>
        </w:rPr>
        <w:t xml:space="preserve"> stwierdzonego naruszenia.</w:t>
      </w:r>
      <w:r w:rsidR="00A34A1A">
        <w:rPr>
          <w:rFonts w:ascii="Times New Roman" w:hAnsi="Times New Roman" w:cs="Times New Roman"/>
          <w:color w:val="000000"/>
        </w:rPr>
        <w:t xml:space="preserve"> </w:t>
      </w:r>
      <w:r>
        <w:rPr>
          <w:rFonts w:ascii="Times New Roman" w:hAnsi="Times New Roman" w:cs="Times New Roman"/>
          <w:color w:val="000000"/>
        </w:rPr>
        <w:t>W</w:t>
      </w:r>
      <w:r w:rsidR="000E547C">
        <w:rPr>
          <w:rFonts w:ascii="Times New Roman" w:hAnsi="Times New Roman" w:cs="Times New Roman"/>
          <w:color w:val="000000"/>
        </w:rPr>
        <w:t> </w:t>
      </w:r>
      <w:r>
        <w:rPr>
          <w:rFonts w:ascii="Times New Roman" w:hAnsi="Times New Roman" w:cs="Times New Roman"/>
          <w:color w:val="000000"/>
        </w:rPr>
        <w:t>tym względzie Trybunał odnotował, że art. 449 portugalskiego Kodeksu postępowania karnego umożliwia wznowienie postępowania krajowego w</w:t>
      </w:r>
      <w:r w:rsidR="000E547C">
        <w:rPr>
          <w:rFonts w:ascii="Times New Roman" w:hAnsi="Times New Roman" w:cs="Times New Roman"/>
          <w:color w:val="000000"/>
        </w:rPr>
        <w:t> </w:t>
      </w:r>
      <w:r>
        <w:rPr>
          <w:rFonts w:ascii="Times New Roman" w:hAnsi="Times New Roman" w:cs="Times New Roman"/>
          <w:color w:val="000000"/>
        </w:rPr>
        <w:t xml:space="preserve">przypadku, gdy Trybunał stwierdził naruszenie praw i podstawowych wolności skarżącego. </w:t>
      </w:r>
    </w:p>
    <w:p w14:paraId="693AAEAB" w14:textId="3B52DEC4" w:rsidR="00915140" w:rsidRPr="00FF09FB" w:rsidRDefault="00915140" w:rsidP="00FF09FB">
      <w:pPr>
        <w:pStyle w:val="ECHRPara"/>
      </w:pPr>
      <w:r>
        <w:rPr>
          <w:color w:val="000000"/>
        </w:rPr>
        <w:t>Sąd Najwyższy orzekł, że wyrok Trybunału nie pozostawał w</w:t>
      </w:r>
      <w:r w:rsidR="000E547C">
        <w:rPr>
          <w:color w:val="000000"/>
        </w:rPr>
        <w:t> </w:t>
      </w:r>
      <w:r>
        <w:rPr>
          <w:color w:val="000000"/>
        </w:rPr>
        <w:t xml:space="preserve">sprzeczności ze skazaniem skarżącej i nie podnosił poważnych wątpliwości </w:t>
      </w:r>
      <w:r w:rsidRPr="0052391B">
        <w:rPr>
          <w:color w:val="000000"/>
        </w:rPr>
        <w:t>co do zasadności tego</w:t>
      </w:r>
      <w:r>
        <w:rPr>
          <w:color w:val="000000"/>
        </w:rPr>
        <w:t xml:space="preserve"> skazania, czego </w:t>
      </w:r>
      <w:r w:rsidR="00A74892">
        <w:rPr>
          <w:color w:val="000000"/>
        </w:rPr>
        <w:t>wymaga art. 449 § 1 lit.</w:t>
      </w:r>
      <w:r w:rsidR="000E547C">
        <w:rPr>
          <w:color w:val="000000"/>
        </w:rPr>
        <w:t> </w:t>
      </w:r>
      <w:r w:rsidR="00A74892">
        <w:rPr>
          <w:color w:val="000000"/>
        </w:rPr>
        <w:t>g</w:t>
      </w:r>
      <w:r>
        <w:rPr>
          <w:color w:val="000000"/>
        </w:rPr>
        <w:t xml:space="preserve"> </w:t>
      </w:r>
      <w:r w:rsidR="00A74892">
        <w:rPr>
          <w:color w:val="000000"/>
        </w:rPr>
        <w:t xml:space="preserve">Kodeksu </w:t>
      </w:r>
      <w:r>
        <w:rPr>
          <w:color w:val="000000"/>
        </w:rPr>
        <w:t>postępowania karnego.]</w:t>
      </w:r>
    </w:p>
    <w:p w14:paraId="0B4BCBC3" w14:textId="77777777" w:rsidR="00915140" w:rsidRPr="000A470D" w:rsidRDefault="00915140" w:rsidP="000A470D">
      <w:pPr>
        <w:pStyle w:val="ECHRTitle1"/>
      </w:pPr>
      <w:r>
        <w:t>PRAWO</w:t>
      </w:r>
    </w:p>
    <w:p w14:paraId="75D4B20E" w14:textId="7538C989" w:rsidR="00915140" w:rsidRPr="000A470D" w:rsidRDefault="00915140" w:rsidP="000A470D">
      <w:pPr>
        <w:pStyle w:val="ECHRHeading1"/>
      </w:pPr>
      <w:r>
        <w:t xml:space="preserve">I. ZARZUT NARUSZENIA </w:t>
      </w:r>
      <w:r w:rsidR="00A74892">
        <w:t>ART.</w:t>
      </w:r>
      <w:r>
        <w:t xml:space="preserve"> 6 KONWENCJI</w:t>
      </w:r>
    </w:p>
    <w:p w14:paraId="7BBFC874" w14:textId="13E15EC6" w:rsidR="00915140" w:rsidRPr="000A470D" w:rsidRDefault="00A34A1A" w:rsidP="000A470D">
      <w:pPr>
        <w:pStyle w:val="ECHRPara"/>
      </w:pPr>
      <w:r>
        <w:t>40</w:t>
      </w:r>
      <w:r w:rsidR="00915140">
        <w:t>.</w:t>
      </w:r>
      <w:r>
        <w:t xml:space="preserve"> </w:t>
      </w:r>
      <w:r w:rsidR="00915140">
        <w:t>Skarżąca skarżyła się, że Sąd Najwyższy oddalił jej wniosek o</w:t>
      </w:r>
      <w:r w:rsidR="000E547C">
        <w:t> </w:t>
      </w:r>
      <w:r w:rsidR="00915140">
        <w:t xml:space="preserve">rewizję wyroku sądu karnego wydanego w jej sprawie. Skarżąca podniosła, że wyrok Sądu Najwyższego stanowił „odmowę wymierzenia sprawiedliwości”, ponieważ sąd niewłaściwie zinterpretował i zastosował stosowne postanowienia </w:t>
      </w:r>
      <w:r>
        <w:t xml:space="preserve">Kodeksu </w:t>
      </w:r>
      <w:r w:rsidR="00915140">
        <w:t>postępowania karnego oraz konkluzje Trybunału z 2011 r</w:t>
      </w:r>
      <w:r w:rsidR="005F6994">
        <w:t>.</w:t>
      </w:r>
      <w:r w:rsidR="00915140">
        <w:t xml:space="preserve">, pozbawiając ją tym samym prawa do rewizji sądowej jej skazania. W tym względzie zarzucała naruszenie </w:t>
      </w:r>
      <w:r w:rsidR="00A74892">
        <w:t>art.</w:t>
      </w:r>
      <w:r w:rsidR="00915140">
        <w:t xml:space="preserve"> 6 ust. 1 Konwencji</w:t>
      </w:r>
      <w:r w:rsidR="00915140">
        <w:t>,</w:t>
      </w:r>
      <w:r w:rsidR="00915140">
        <w:t xml:space="preserve"> którego istotny fragment brzmi:</w:t>
      </w:r>
    </w:p>
    <w:p w14:paraId="077A16A3" w14:textId="2DC27286" w:rsidR="00915140" w:rsidRPr="000A470D" w:rsidRDefault="00915140" w:rsidP="000A470D">
      <w:pPr>
        <w:pStyle w:val="ECHRParaQuote"/>
      </w:pPr>
      <w:r>
        <w:t>„Każdy ma prawo do sprawiedliwego ... rozpatrzenia</w:t>
      </w:r>
      <w:r w:rsidR="00EF006C">
        <w:t xml:space="preserve"> jego sprawy</w:t>
      </w:r>
      <w:r>
        <w:t xml:space="preserve"> ... przez</w:t>
      </w:r>
      <w:r w:rsidR="000E547C">
        <w:t> </w:t>
      </w:r>
      <w:r>
        <w:t>niezawisły i bezstronny sąd ... przy rozstrzyganiu o .... zasadności każdego oskarżenia w wytoczonej przeciwko niemu sprawie karnej....”</w:t>
      </w:r>
      <w:r w:rsidR="00A34A1A">
        <w:t>.</w:t>
      </w:r>
    </w:p>
    <w:p w14:paraId="71C30E81" w14:textId="17B04C88" w:rsidR="00915140" w:rsidRPr="000A470D" w:rsidRDefault="00915140" w:rsidP="000A470D">
      <w:pPr>
        <w:pStyle w:val="ECHRHeading2"/>
      </w:pPr>
      <w:r>
        <w:t>A.</w:t>
      </w:r>
      <w:r w:rsidR="00A34A1A">
        <w:t xml:space="preserve"> </w:t>
      </w:r>
      <w:r>
        <w:t>Dopuszczalność</w:t>
      </w:r>
    </w:p>
    <w:p w14:paraId="631059E8" w14:textId="6174CCAE" w:rsidR="00915140" w:rsidRPr="000A470D" w:rsidRDefault="00915140" w:rsidP="000A470D">
      <w:pPr>
        <w:pStyle w:val="ECHRHeading3"/>
      </w:pPr>
      <w:r>
        <w:t>1.</w:t>
      </w:r>
      <w:r w:rsidR="00A34A1A">
        <w:t xml:space="preserve"> </w:t>
      </w:r>
      <w:r>
        <w:t>Wnioski stron</w:t>
      </w:r>
    </w:p>
    <w:p w14:paraId="0555FA9E" w14:textId="11837B3E" w:rsidR="00915140" w:rsidRPr="000A470D" w:rsidRDefault="00A34A1A" w:rsidP="000A470D">
      <w:pPr>
        <w:pStyle w:val="ECHRPara"/>
        <w:rPr>
          <w:rFonts w:eastAsia="Times New Roman"/>
        </w:rPr>
      </w:pPr>
      <w:r>
        <w:rPr>
          <w:rFonts w:eastAsia="Times New Roman"/>
        </w:rPr>
        <w:t>41</w:t>
      </w:r>
      <w:r w:rsidR="00915140">
        <w:t>.</w:t>
      </w:r>
      <w:r>
        <w:t xml:space="preserve"> </w:t>
      </w:r>
      <w:r w:rsidR="00915140">
        <w:t xml:space="preserve">Rząd zgłosił zastrzeżenie, podnosząc, że Trybunał nie posiada jurysdykcji </w:t>
      </w:r>
      <w:r w:rsidR="00915140">
        <w:rPr>
          <w:i/>
          <w:iCs/>
        </w:rPr>
        <w:t>ratione materiae</w:t>
      </w:r>
      <w:r w:rsidR="00915140">
        <w:t xml:space="preserve"> do zbadania przedmiotu skargi wniesionej przez skarżącą na podstawie </w:t>
      </w:r>
      <w:r w:rsidR="00A74892">
        <w:t xml:space="preserve">art. </w:t>
      </w:r>
      <w:r w:rsidR="00915140">
        <w:t>6 Konwencji.</w:t>
      </w:r>
    </w:p>
    <w:p w14:paraId="4E7C3100" w14:textId="5A0EE5A0" w:rsidR="00915140" w:rsidRPr="000A470D" w:rsidRDefault="00A34A1A" w:rsidP="000A470D">
      <w:pPr>
        <w:pStyle w:val="ECHRPara"/>
        <w:rPr>
          <w:rFonts w:eastAsia="Times New Roman"/>
        </w:rPr>
      </w:pPr>
      <w:r>
        <w:rPr>
          <w:rFonts w:eastAsia="Times New Roman"/>
        </w:rPr>
        <w:lastRenderedPageBreak/>
        <w:t>42</w:t>
      </w:r>
      <w:r w:rsidR="00915140">
        <w:t>.</w:t>
      </w:r>
      <w:r>
        <w:t xml:space="preserve"> </w:t>
      </w:r>
      <w:r w:rsidR="00915140">
        <w:t>Najpierw stwierdz</w:t>
      </w:r>
      <w:r w:rsidR="00EF006C">
        <w:t>ił</w:t>
      </w:r>
      <w:r w:rsidR="00915140">
        <w:t>, że nowa skarga nie obejm</w:t>
      </w:r>
      <w:r w:rsidR="007A22CD">
        <w:t>uje</w:t>
      </w:r>
      <w:r w:rsidR="00915140">
        <w:t xml:space="preserve"> żadnych nowych faktów w porównaniu z poprzednią skargą. Dotyc</w:t>
      </w:r>
      <w:r w:rsidR="007A22CD">
        <w:t>zy</w:t>
      </w:r>
      <w:r w:rsidR="00915140">
        <w:t xml:space="preserve"> wyłącznie wykonania wyroku Trybunału z 2011 r., a zatem </w:t>
      </w:r>
      <w:r w:rsidR="00A74892">
        <w:t xml:space="preserve">art. </w:t>
      </w:r>
      <w:r w:rsidR="00915140">
        <w:t>46 uniemożliwi</w:t>
      </w:r>
      <w:r w:rsidR="00EF006C">
        <w:t>a</w:t>
      </w:r>
      <w:r w:rsidR="00915140">
        <w:t xml:space="preserve"> Trybunałowi jej</w:t>
      </w:r>
      <w:r w:rsidR="000E547C">
        <w:t> </w:t>
      </w:r>
      <w:r w:rsidR="00915140">
        <w:t>rozpatrzenie.</w:t>
      </w:r>
    </w:p>
    <w:p w14:paraId="0D70B049" w14:textId="0532B130" w:rsidR="00915140" w:rsidRPr="000A470D" w:rsidRDefault="00A34A1A" w:rsidP="000A470D">
      <w:pPr>
        <w:pStyle w:val="ECHRPara"/>
        <w:rPr>
          <w:rFonts w:eastAsia="Times New Roman"/>
        </w:rPr>
      </w:pPr>
      <w:r>
        <w:rPr>
          <w:rFonts w:eastAsia="Times New Roman"/>
        </w:rPr>
        <w:t>43</w:t>
      </w:r>
      <w:r w:rsidR="00915140">
        <w:t>.</w:t>
      </w:r>
      <w:r>
        <w:t xml:space="preserve"> </w:t>
      </w:r>
      <w:r w:rsidR="00915140">
        <w:t xml:space="preserve">Następnie Rząd podniósł, że </w:t>
      </w:r>
      <w:r w:rsidR="00A74892">
        <w:t xml:space="preserve">art. </w:t>
      </w:r>
      <w:r w:rsidR="00915140">
        <w:t>6 Konwencji nie miał zastosowania do postępowania przed Sądem Najwyższym o ponowne zbadanie wyroku Sądu Apelacyjnego z dnia 19 grudnia 2007 r. oraz że przedmiotowa sprawa nie obejm</w:t>
      </w:r>
      <w:r w:rsidR="007A22CD">
        <w:t>uje</w:t>
      </w:r>
      <w:r w:rsidR="00915140">
        <w:t xml:space="preserve"> żadnych kwestii faktycznych lub prawnych, które mogłyby spowodować konieczność przeprowadzenia nowego </w:t>
      </w:r>
      <w:r w:rsidR="00EF006C">
        <w:t>rozpoznania</w:t>
      </w:r>
      <w:r w:rsidR="00915140">
        <w:t xml:space="preserve"> sprawy przez Trybunał na mocy </w:t>
      </w:r>
      <w:r w:rsidR="00A74892">
        <w:t>art.</w:t>
      </w:r>
      <w:r w:rsidR="00915140">
        <w:t xml:space="preserve"> 6 Konwencji.</w:t>
      </w:r>
    </w:p>
    <w:p w14:paraId="3727877C" w14:textId="140C87EA" w:rsidR="00915140" w:rsidRPr="000A470D" w:rsidRDefault="00915140" w:rsidP="000A470D">
      <w:pPr>
        <w:pStyle w:val="ECHRPara"/>
        <w:rPr>
          <w:rFonts w:eastAsia="Times New Roman"/>
        </w:rPr>
      </w:pPr>
      <w:r>
        <w:t>Zdaniem Rządu skarżąca nie mo</w:t>
      </w:r>
      <w:r w:rsidR="007A22CD">
        <w:t>że</w:t>
      </w:r>
      <w:r>
        <w:t xml:space="preserve"> </w:t>
      </w:r>
      <w:r w:rsidR="00EF006C" w:rsidRPr="006C48C1">
        <w:t>dochodzić</w:t>
      </w:r>
      <w:r>
        <w:t xml:space="preserve"> żadnego prawa do</w:t>
      </w:r>
      <w:r w:rsidR="000E547C">
        <w:t> </w:t>
      </w:r>
      <w:r>
        <w:t xml:space="preserve">ponownego rozpatrzenia </w:t>
      </w:r>
      <w:r w:rsidR="00EF006C">
        <w:t xml:space="preserve">jej </w:t>
      </w:r>
      <w:r>
        <w:t xml:space="preserve">prawomocnego skazania. Nadzwyczajny wniosek o ponowne rozpatrzenie sprawy, o którym mowa w </w:t>
      </w:r>
      <w:r w:rsidR="00A74892">
        <w:t>art.</w:t>
      </w:r>
      <w:r>
        <w:t xml:space="preserve"> 449 </w:t>
      </w:r>
      <w:r w:rsidR="00A34A1A">
        <w:t xml:space="preserve">Kodeksu </w:t>
      </w:r>
      <w:r>
        <w:t xml:space="preserve">postępowania karnego, różni się pod względem charakteru, zakresu i cech charakterystycznych od innych zwykłych </w:t>
      </w:r>
      <w:r w:rsidRPr="00B96E03">
        <w:t>środków</w:t>
      </w:r>
      <w:r>
        <w:t xml:space="preserve"> dostępnych </w:t>
      </w:r>
      <w:r w:rsidR="00EF006C">
        <w:t>w prawie portugalskim (odwołań</w:t>
      </w:r>
      <w:r>
        <w:t xml:space="preserve">, w ramach których cała sprawa </w:t>
      </w:r>
      <w:r w:rsidR="00EF006C">
        <w:t xml:space="preserve">jest </w:t>
      </w:r>
      <w:r>
        <w:t>kierowana do sądu apelacyjnego</w:t>
      </w:r>
      <w:r w:rsidR="00EF006C">
        <w:t xml:space="preserve"> do rozpatrzenia, oraz odwołań</w:t>
      </w:r>
      <w:r>
        <w:t xml:space="preserve"> </w:t>
      </w:r>
      <w:r>
        <w:rPr>
          <w:i/>
          <w:iCs/>
        </w:rPr>
        <w:t>revista</w:t>
      </w:r>
      <w:r w:rsidR="00EF006C">
        <w:t>, które dotyczą</w:t>
      </w:r>
      <w:r>
        <w:t xml:space="preserve"> kwestii prawnych oraz, w przypadkach szczególnych, poważnych nieprawidłowości faktycznych). Zgodnie z portugalskimi zasadami regulującymi postępowanie karne jurysdykcja Sądu Najwyższego ograniczona </w:t>
      </w:r>
      <w:r w:rsidR="007A22CD">
        <w:t xml:space="preserve">jest </w:t>
      </w:r>
      <w:r>
        <w:t>do udzielenia zgody na wznowienie postępowania lub</w:t>
      </w:r>
      <w:r w:rsidR="000E547C">
        <w:t> </w:t>
      </w:r>
      <w:r>
        <w:t>odmowy, a wszelka decyzja uwzględniająca ta</w:t>
      </w:r>
      <w:r w:rsidR="007A22CD">
        <w:t>ki wniosek skutkuje</w:t>
      </w:r>
      <w:r>
        <w:t xml:space="preserve"> odesłaniem sprawy do rozpatrzenia przez sąd pierwszej instancji.</w:t>
      </w:r>
    </w:p>
    <w:p w14:paraId="028564E9" w14:textId="6BD2BD20" w:rsidR="00915140" w:rsidRPr="000A470D" w:rsidRDefault="00A34A1A" w:rsidP="000A470D">
      <w:pPr>
        <w:pStyle w:val="ECHRPara"/>
        <w:rPr>
          <w:rFonts w:eastAsia="Times New Roman"/>
        </w:rPr>
      </w:pPr>
      <w:r>
        <w:rPr>
          <w:rFonts w:eastAsia="Times New Roman"/>
        </w:rPr>
        <w:t>44</w:t>
      </w:r>
      <w:r w:rsidR="00915140">
        <w:t>.</w:t>
      </w:r>
      <w:r>
        <w:t xml:space="preserve"> </w:t>
      </w:r>
      <w:r w:rsidR="00915140">
        <w:t>W niniejszej sprawie Sąd Najwyższy ograniczył się do ustalenia, w</w:t>
      </w:r>
      <w:r w:rsidR="000E547C">
        <w:t> </w:t>
      </w:r>
      <w:r w:rsidR="00915140">
        <w:t>świetle prawa krajowego i w świetle konkluzji Trybunału Europejskiego, czy przesłanki wznowienia postępowania zostały spełnione. W tym celu porównał wyrok wydany przez Sąd Apelacyjny w dniu 19 grudnia 2007 r. z</w:t>
      </w:r>
      <w:r w:rsidR="000E547C">
        <w:t> </w:t>
      </w:r>
      <w:r w:rsidR="00915140">
        <w:t xml:space="preserve">wyrokiem wydanym przez Trybunał w dniu 5 lipca 2011 r. </w:t>
      </w:r>
      <w:r w:rsidR="007A22CD" w:rsidRPr="00B96E03">
        <w:t>wyłącznie w</w:t>
      </w:r>
      <w:r w:rsidR="000E547C">
        <w:t> </w:t>
      </w:r>
      <w:r w:rsidR="00915140" w:rsidRPr="00B96E03">
        <w:t xml:space="preserve">celu </w:t>
      </w:r>
      <w:r w:rsidR="007A22CD">
        <w:t>ustalenia</w:t>
      </w:r>
      <w:r w:rsidR="00915140">
        <w:t xml:space="preserve">, czy były </w:t>
      </w:r>
      <w:r w:rsidR="00915140" w:rsidRPr="00B96E03">
        <w:t>one spójne i czy wyrok Trybunału spowodował powstanie jakichkolwiek p</w:t>
      </w:r>
      <w:r w:rsidR="00915140">
        <w:t xml:space="preserve">oważnych wątpliwości co </w:t>
      </w:r>
      <w:r w:rsidR="00915140" w:rsidRPr="0052391B">
        <w:t>do zasadności skazania</w:t>
      </w:r>
      <w:r w:rsidR="00915140">
        <w:t xml:space="preserve"> skarżącej.</w:t>
      </w:r>
    </w:p>
    <w:p w14:paraId="527CEF59" w14:textId="1689A5EE" w:rsidR="00915140" w:rsidRPr="000A470D" w:rsidRDefault="00A34A1A" w:rsidP="000A470D">
      <w:pPr>
        <w:pStyle w:val="ECHRPara"/>
        <w:rPr>
          <w:rFonts w:eastAsia="Times New Roman"/>
        </w:rPr>
      </w:pPr>
      <w:r>
        <w:rPr>
          <w:rFonts w:eastAsia="Times New Roman"/>
        </w:rPr>
        <w:t>45</w:t>
      </w:r>
      <w:r w:rsidR="00915140">
        <w:t>.</w:t>
      </w:r>
      <w:r>
        <w:t xml:space="preserve"> </w:t>
      </w:r>
      <w:r w:rsidR="00915140">
        <w:t xml:space="preserve">Skarżąca z drugiej strony zarzucała, że wyrok Sądu Najwyższego </w:t>
      </w:r>
      <w:r w:rsidR="007A22CD">
        <w:t>z</w:t>
      </w:r>
      <w:r w:rsidR="000E547C">
        <w:t> </w:t>
      </w:r>
      <w:r w:rsidR="007A22CD">
        <w:t>dnia 21 marca 2012 r. stanowi</w:t>
      </w:r>
      <w:r w:rsidR="00915140">
        <w:t xml:space="preserve">ł nowe informacje oraz że </w:t>
      </w:r>
      <w:r w:rsidR="00A74892">
        <w:t xml:space="preserve">art. </w:t>
      </w:r>
      <w:r w:rsidR="00915140">
        <w:t>6 Konwencji miał zastosowanie do postępowania w sprawie jej wniosku o ponowne rozpatrzenie.</w:t>
      </w:r>
    </w:p>
    <w:p w14:paraId="1DF705B9" w14:textId="39AF53F5" w:rsidR="00915140" w:rsidRPr="000A470D" w:rsidRDefault="00915140" w:rsidP="000A470D">
      <w:pPr>
        <w:pStyle w:val="ECHRHeading3"/>
      </w:pPr>
      <w:r>
        <w:t>2.</w:t>
      </w:r>
      <w:r w:rsidR="00A34A1A">
        <w:t xml:space="preserve"> </w:t>
      </w:r>
      <w:r>
        <w:t>Ocena Trybunału</w:t>
      </w:r>
    </w:p>
    <w:p w14:paraId="28A35344" w14:textId="3F144925" w:rsidR="00915140" w:rsidRPr="000A470D" w:rsidRDefault="00A34A1A" w:rsidP="000A470D">
      <w:pPr>
        <w:pStyle w:val="ECHRPara"/>
      </w:pPr>
      <w:r>
        <w:t>46</w:t>
      </w:r>
      <w:r w:rsidR="00915140">
        <w:t>.</w:t>
      </w:r>
      <w:r>
        <w:t xml:space="preserve"> </w:t>
      </w:r>
      <w:r w:rsidR="00915140">
        <w:t>Badając dopuszczalność przedmiotowej skargi</w:t>
      </w:r>
      <w:r w:rsidR="005F6994">
        <w:t>,</w:t>
      </w:r>
      <w:r w:rsidR="00915140">
        <w:t xml:space="preserve"> Trybunał musi przede</w:t>
      </w:r>
      <w:r w:rsidR="000E547C">
        <w:t> </w:t>
      </w:r>
      <w:r w:rsidR="00915140">
        <w:t xml:space="preserve">wszystkim </w:t>
      </w:r>
      <w:r w:rsidR="00030D34">
        <w:t>ustalić</w:t>
      </w:r>
      <w:r w:rsidR="00915140">
        <w:t xml:space="preserve">, czy jest właściwy do rozpatrzenia skargi skarżącej bez przekraczania prerogatyw pozwanego Państwa oraz Komitetu Ministrów [Rady Europy] na mocy </w:t>
      </w:r>
      <w:r w:rsidR="00A74892">
        <w:t>art.</w:t>
      </w:r>
      <w:r w:rsidR="00915140">
        <w:t xml:space="preserve"> 46 Konwencji, a jeżeli tak, czy</w:t>
      </w:r>
      <w:r w:rsidR="000E547C">
        <w:t> </w:t>
      </w:r>
      <w:r w:rsidR="00915140">
        <w:t xml:space="preserve">gwarancje z </w:t>
      </w:r>
      <w:r w:rsidR="00A74892">
        <w:t>art.</w:t>
      </w:r>
      <w:r w:rsidR="00915140">
        <w:t xml:space="preserve"> 6 Konwencji miały zastosowanie do przedmiotowego postępowania.</w:t>
      </w:r>
    </w:p>
    <w:p w14:paraId="1CBE0F01" w14:textId="22D326A0" w:rsidR="00915140" w:rsidRPr="000A470D" w:rsidRDefault="00915140" w:rsidP="000A470D">
      <w:pPr>
        <w:pStyle w:val="ECHRHeading4"/>
      </w:pPr>
      <w:r>
        <w:lastRenderedPageBreak/>
        <w:t xml:space="preserve">(a) Czy </w:t>
      </w:r>
      <w:r w:rsidR="00A74892">
        <w:t xml:space="preserve">art. </w:t>
      </w:r>
      <w:r>
        <w:t xml:space="preserve">46 wyłącza zbadanie przez Trybunał skargi na podstawie </w:t>
      </w:r>
      <w:r w:rsidR="00A74892">
        <w:t>art.</w:t>
      </w:r>
      <w:r>
        <w:t xml:space="preserve"> 6 Konwencji</w:t>
      </w:r>
    </w:p>
    <w:p w14:paraId="42524ECA" w14:textId="77777777" w:rsidR="00915140" w:rsidRPr="000A470D" w:rsidRDefault="00915140" w:rsidP="000A470D">
      <w:pPr>
        <w:pStyle w:val="ECHRHeading5"/>
      </w:pPr>
      <w:r>
        <w:t>(i) Zasady ogólne</w:t>
      </w:r>
    </w:p>
    <w:p w14:paraId="6AA5626A" w14:textId="7F023EA4" w:rsidR="00915140" w:rsidRPr="000A470D" w:rsidRDefault="00A34A1A" w:rsidP="000A470D">
      <w:pPr>
        <w:pStyle w:val="ECHRPara"/>
      </w:pPr>
      <w:r>
        <w:t>47</w:t>
      </w:r>
      <w:r w:rsidR="00915140">
        <w:t>.</w:t>
      </w:r>
      <w:r>
        <w:t xml:space="preserve"> </w:t>
      </w:r>
      <w:r w:rsidR="00030D34">
        <w:t>Trybunał</w:t>
      </w:r>
      <w:r w:rsidR="00915140">
        <w:t xml:space="preserve"> zaznacza, że w swoich wyrokach w sprawach </w:t>
      </w:r>
      <w:r w:rsidR="00915140">
        <w:rPr>
          <w:i/>
          <w:iCs/>
        </w:rPr>
        <w:t>Bochan przeciwko Ukrainie (nr 2)</w:t>
      </w:r>
      <w:r w:rsidR="00915140">
        <w:t xml:space="preserve"> ([WI], nr 22251/08, ECHR 2015) i </w:t>
      </w:r>
      <w:r w:rsidR="00915140">
        <w:rPr>
          <w:i/>
          <w:iCs/>
        </w:rPr>
        <w:t xml:space="preserve">Verein gegen Tierfabriken Schweiz (VgT) przeciwko Szwajcarii (nr 2) </w:t>
      </w:r>
      <w:r w:rsidR="00915140">
        <w:t xml:space="preserve">([WI], nr 32772/02, ECHR 2009) oraz w decyzji w sprawie </w:t>
      </w:r>
      <w:r w:rsidR="00915140">
        <w:rPr>
          <w:i/>
          <w:iCs/>
        </w:rPr>
        <w:t>Egmez przeciwko Cyprowi</w:t>
      </w:r>
      <w:r w:rsidR="00915140">
        <w:t xml:space="preserve"> ((dec.), nr 12214/07, §§ 48-56, 18 września 2012 r.) rozważył kwestię </w:t>
      </w:r>
      <w:r w:rsidR="00030D34">
        <w:t>swej</w:t>
      </w:r>
      <w:r w:rsidR="000E547C">
        <w:t> </w:t>
      </w:r>
      <w:r w:rsidR="00915140">
        <w:t>jurysdykcji w odniesieniu do prerogatyw pozwanego państwa i</w:t>
      </w:r>
      <w:r w:rsidR="000E547C">
        <w:t> </w:t>
      </w:r>
      <w:r w:rsidR="00915140">
        <w:t xml:space="preserve">Komitetu Ministrów [Rady Europy] na mocy </w:t>
      </w:r>
      <w:r w:rsidR="00A74892">
        <w:t>art.</w:t>
      </w:r>
      <w:r w:rsidR="00915140">
        <w:t xml:space="preserve"> 46 Konwencji. Zasady</w:t>
      </w:r>
      <w:r w:rsidR="000E547C">
        <w:t> </w:t>
      </w:r>
      <w:r w:rsidR="00915140">
        <w:t>określone przez Trybunał w tych wyrokach i tej decyzji można podsumować następująco:</w:t>
      </w:r>
    </w:p>
    <w:p w14:paraId="65BD5DD6" w14:textId="3EC08CB8" w:rsidR="00915140" w:rsidRPr="000A470D" w:rsidRDefault="00915140" w:rsidP="000A470D">
      <w:pPr>
        <w:pStyle w:val="JuParaSub"/>
      </w:pPr>
      <w:r>
        <w:t>(a)</w:t>
      </w:r>
      <w:r w:rsidR="00A34A1A">
        <w:t xml:space="preserve"> </w:t>
      </w:r>
      <w:r>
        <w:t>Stwierdzenia naruszeń w wyrokach są co do zasady deklaratoryjne</w:t>
      </w:r>
      <w:r w:rsidR="00030D34">
        <w:t>,</w:t>
      </w:r>
      <w:r>
        <w:t xml:space="preserve"> </w:t>
      </w:r>
      <w:r w:rsidR="00030D34">
        <w:t xml:space="preserve">a </w:t>
      </w:r>
      <w:r w:rsidR="00B96E03">
        <w:t>na podstawie</w:t>
      </w:r>
      <w:r w:rsidR="00030D34">
        <w:t xml:space="preserve"> </w:t>
      </w:r>
      <w:r w:rsidR="00A74892">
        <w:t>art.</w:t>
      </w:r>
      <w:r w:rsidR="00030D34">
        <w:t xml:space="preserve"> 46 Konwencji</w:t>
      </w:r>
      <w:r>
        <w:t xml:space="preserve"> Układające się Strony zobowiązały się do przestrzegania </w:t>
      </w:r>
      <w:r w:rsidR="005F6994">
        <w:t>ostatecznych</w:t>
      </w:r>
      <w:r>
        <w:t xml:space="preserve"> wyroków Trybunału we</w:t>
      </w:r>
      <w:r w:rsidR="000E547C">
        <w:t> </w:t>
      </w:r>
      <w:r>
        <w:t>wsz</w:t>
      </w:r>
      <w:r w:rsidR="00D437BE">
        <w:t>ystkich</w:t>
      </w:r>
      <w:r>
        <w:t xml:space="preserve"> sprawach, w których </w:t>
      </w:r>
      <w:r w:rsidR="00D437BE">
        <w:t>są stronami</w:t>
      </w:r>
      <w:r>
        <w:t xml:space="preserve">, </w:t>
      </w:r>
      <w:r w:rsidR="00D437BE">
        <w:t xml:space="preserve">przy czym </w:t>
      </w:r>
      <w:r>
        <w:t xml:space="preserve">wykonanie </w:t>
      </w:r>
      <w:r w:rsidR="00D437BE">
        <w:t xml:space="preserve">[wyroków] </w:t>
      </w:r>
      <w:r>
        <w:t xml:space="preserve">nadzoruje Komitet Ministrów (zob. </w:t>
      </w:r>
      <w:r>
        <w:rPr>
          <w:i/>
          <w:iCs/>
        </w:rPr>
        <w:t>Verein gegen Tierfabriken Schweiz (VgT) (nr 2)</w:t>
      </w:r>
      <w:r>
        <w:t>,</w:t>
      </w:r>
      <w:r>
        <w:rPr>
          <w:i/>
          <w:iCs/>
        </w:rPr>
        <w:t xml:space="preserve"> </w:t>
      </w:r>
      <w:r>
        <w:t>cyt. powyżej,</w:t>
      </w:r>
      <w:r>
        <w:rPr>
          <w:i/>
          <w:iCs/>
        </w:rPr>
        <w:t xml:space="preserve"> </w:t>
      </w:r>
      <w:r>
        <w:t>§ 61).</w:t>
      </w:r>
    </w:p>
    <w:p w14:paraId="2CC5D913" w14:textId="4ACD63CC" w:rsidR="00915140" w:rsidRPr="000A470D" w:rsidRDefault="00915140" w:rsidP="000A470D">
      <w:pPr>
        <w:pStyle w:val="JuParaSub"/>
      </w:pPr>
      <w:r>
        <w:t>(b)</w:t>
      </w:r>
      <w:r w:rsidR="00A34A1A">
        <w:t xml:space="preserve"> </w:t>
      </w:r>
      <w:r>
        <w:t xml:space="preserve">Rola Komitetu Ministrów w </w:t>
      </w:r>
      <w:r w:rsidR="000E547C">
        <w:t>tym zakresie nie oznacza jednak</w:t>
      </w:r>
      <w:r>
        <w:t>, że</w:t>
      </w:r>
      <w:r w:rsidR="000E547C">
        <w:t> </w:t>
      </w:r>
      <w:r>
        <w:t>środki podjęte przez pozwane państwo</w:t>
      </w:r>
      <w:r w:rsidR="00D437BE">
        <w:t>,</w:t>
      </w:r>
      <w:r>
        <w:t xml:space="preserve"> by </w:t>
      </w:r>
      <w:r w:rsidR="00D437BE" w:rsidRPr="0052391B">
        <w:t>naprawić</w:t>
      </w:r>
      <w:r>
        <w:t xml:space="preserve"> naruszenie stwierdzone przez Trybunał</w:t>
      </w:r>
      <w:r w:rsidR="00D437BE">
        <w:t>,</w:t>
      </w:r>
      <w:r>
        <w:t xml:space="preserve"> nie mo</w:t>
      </w:r>
      <w:r w:rsidR="00D437BE">
        <w:t>gą</w:t>
      </w:r>
      <w:r>
        <w:t xml:space="preserve"> dać podstaw do powstania nowych kwestii nierozstrzygniętych w wyroku, i </w:t>
      </w:r>
      <w:r w:rsidR="00D437BE">
        <w:t>w związku z tym</w:t>
      </w:r>
      <w:r>
        <w:t xml:space="preserve"> tworzyć podstawy nowej skargi, którą może rozpatrzyć Trybunał. Innymi</w:t>
      </w:r>
      <w:r w:rsidR="000E547C">
        <w:t> </w:t>
      </w:r>
      <w:r>
        <w:t>słowy, Trybunał może zająć się skargą podnoszącą</w:t>
      </w:r>
      <w:r w:rsidRPr="002A5B09">
        <w:t>, że ponown</w:t>
      </w:r>
      <w:r w:rsidR="002A5B09" w:rsidRPr="002A5B09">
        <w:t>y</w:t>
      </w:r>
      <w:r w:rsidRPr="002A5B09">
        <w:t xml:space="preserve"> </w:t>
      </w:r>
      <w:r w:rsidR="002A5B09" w:rsidRPr="002A5B09">
        <w:t xml:space="preserve">proces </w:t>
      </w:r>
      <w:r w:rsidRPr="00B96E03">
        <w:t>na</w:t>
      </w:r>
      <w:r>
        <w:t xml:space="preserve"> poziomie krajowym</w:t>
      </w:r>
      <w:r w:rsidR="0022167B">
        <w:t xml:space="preserve"> </w:t>
      </w:r>
      <w:r w:rsidR="0022167B">
        <w:t>[przeprowadzony]</w:t>
      </w:r>
      <w:r>
        <w:t xml:space="preserve"> </w:t>
      </w:r>
      <w:r>
        <w:t>w</w:t>
      </w:r>
      <w:r w:rsidR="00D32694">
        <w:t xml:space="preserve"> ramach</w:t>
      </w:r>
      <w:r>
        <w:t xml:space="preserve"> wykonania jednego z </w:t>
      </w:r>
      <w:r w:rsidR="00D437BE">
        <w:t xml:space="preserve">jego </w:t>
      </w:r>
      <w:r>
        <w:t xml:space="preserve">wyroków </w:t>
      </w:r>
      <w:r w:rsidR="00D437BE">
        <w:t>spowodował nowe naruszenie</w:t>
      </w:r>
      <w:r>
        <w:t xml:space="preserve"> Konwencji (</w:t>
      </w:r>
      <w:r>
        <w:rPr>
          <w:i/>
          <w:iCs/>
        </w:rPr>
        <w:t>ibid,</w:t>
      </w:r>
      <w:r w:rsidR="00A34A1A">
        <w:rPr>
          <w:i/>
          <w:iCs/>
        </w:rPr>
        <w:t xml:space="preserve"> </w:t>
      </w:r>
      <w:r>
        <w:t>§ 62; zob.</w:t>
      </w:r>
      <w:r w:rsidR="000E547C">
        <w:t> </w:t>
      </w:r>
      <w:r>
        <w:t xml:space="preserve">również </w:t>
      </w:r>
      <w:r>
        <w:rPr>
          <w:i/>
          <w:iCs/>
        </w:rPr>
        <w:t>Bochan (nr 2)</w:t>
      </w:r>
      <w:r>
        <w:t xml:space="preserve">, cyt. powyżej, § 33, oraz </w:t>
      </w:r>
      <w:r>
        <w:rPr>
          <w:i/>
          <w:iCs/>
        </w:rPr>
        <w:t>Egmez</w:t>
      </w:r>
      <w:r>
        <w:t>, cyt.</w:t>
      </w:r>
      <w:r w:rsidR="000E547C">
        <w:t> </w:t>
      </w:r>
      <w:r>
        <w:t>powyżej, § 51).</w:t>
      </w:r>
    </w:p>
    <w:p w14:paraId="3D256AD2" w14:textId="6CD8BD78" w:rsidR="00915140" w:rsidRPr="000A470D" w:rsidRDefault="00915140" w:rsidP="000A470D">
      <w:pPr>
        <w:pStyle w:val="JuParaSub"/>
      </w:pPr>
      <w:r>
        <w:t>(c) Na tej podstawie Trybunał stwierdził, że jest właściwy do</w:t>
      </w:r>
      <w:r w:rsidR="000E547C">
        <w:t> </w:t>
      </w:r>
      <w:r>
        <w:t>rozpatrzenia skarg w szeregu spraw</w:t>
      </w:r>
      <w:r w:rsidR="005F0821">
        <w:t xml:space="preserve"> wynikających z wydanych wyroków</w:t>
      </w:r>
      <w:r>
        <w:t>, na przykład, gd</w:t>
      </w:r>
      <w:r w:rsidR="001E6115">
        <w:t>y</w:t>
      </w:r>
      <w:r>
        <w:t xml:space="preserve"> władze krajowe </w:t>
      </w:r>
      <w:r w:rsidRPr="00F73180">
        <w:t xml:space="preserve">przeprowadziły </w:t>
      </w:r>
      <w:r w:rsidR="002A5B09" w:rsidRPr="00F73180">
        <w:t>nowe</w:t>
      </w:r>
      <w:r w:rsidRPr="00F73180">
        <w:t xml:space="preserve"> badanie sprawy w</w:t>
      </w:r>
      <w:r>
        <w:t xml:space="preserve"> ramach wykonywa</w:t>
      </w:r>
      <w:r w:rsidR="005F0821">
        <w:t>nia jednego z wyroków Trybunału –</w:t>
      </w:r>
      <w:r>
        <w:t xml:space="preserve"> czy to </w:t>
      </w:r>
      <w:r w:rsidR="00D32694">
        <w:t>po</w:t>
      </w:r>
      <w:r>
        <w:t xml:space="preserve">przez wznowienie postępowania, czy też poprzez zainicjowanie całkowicie nowego postępowania (zob. </w:t>
      </w:r>
      <w:r>
        <w:rPr>
          <w:i/>
          <w:iCs/>
        </w:rPr>
        <w:t>Egmez</w:t>
      </w:r>
      <w:r>
        <w:t>, cyt.</w:t>
      </w:r>
      <w:r w:rsidR="000E547C">
        <w:t> </w:t>
      </w:r>
      <w:r>
        <w:t>powyżej, § 52,</w:t>
      </w:r>
      <w:r w:rsidR="00D32694">
        <w:t xml:space="preserve"> i</w:t>
      </w:r>
      <w:r>
        <w:t xml:space="preserve"> odwołania tamże).</w:t>
      </w:r>
    </w:p>
    <w:p w14:paraId="5F7FC79D" w14:textId="0D4ECDEF" w:rsidR="00915140" w:rsidRPr="000A470D" w:rsidRDefault="00915140" w:rsidP="000A470D">
      <w:pPr>
        <w:pStyle w:val="JuParaSub"/>
      </w:pPr>
      <w:r>
        <w:t>(d) Z orzecznictwa Trybunału wynika, że ustalenie istnienia „nowej kwestii” w dużej mierze zależy od konkretnych okoliczności danej sprawy</w:t>
      </w:r>
      <w:r w:rsidR="00D32694">
        <w:t>,</w:t>
      </w:r>
      <w:r>
        <w:t xml:space="preserve"> </w:t>
      </w:r>
      <w:r w:rsidR="00D32694">
        <w:t xml:space="preserve">a </w:t>
      </w:r>
      <w:r w:rsidR="00D32694" w:rsidRPr="001E6115">
        <w:t>r</w:t>
      </w:r>
      <w:r w:rsidR="001E6115" w:rsidRPr="001E6115">
        <w:t>óżnice</w:t>
      </w:r>
      <w:r>
        <w:t xml:space="preserve"> pomiędzy sprawami nie zawsze są </w:t>
      </w:r>
      <w:r w:rsidR="001E6115">
        <w:t>jednoznaczne</w:t>
      </w:r>
      <w:r>
        <w:t xml:space="preserve"> (zob.</w:t>
      </w:r>
      <w:r w:rsidR="000E547C">
        <w:t> </w:t>
      </w:r>
      <w:r>
        <w:rPr>
          <w:i/>
          <w:iCs/>
        </w:rPr>
        <w:t>Bochan (nr 2)</w:t>
      </w:r>
      <w:r>
        <w:t>, cyt. powyżej, § 34, oraz</w:t>
      </w:r>
      <w:r w:rsidR="00FF35A2">
        <w:t>,</w:t>
      </w:r>
      <w:r>
        <w:t xml:space="preserve"> </w:t>
      </w:r>
      <w:r w:rsidR="001E6115">
        <w:t>w zakresie badania orzecznictwa</w:t>
      </w:r>
      <w:r w:rsidR="00FF35A2">
        <w:t>,</w:t>
      </w:r>
      <w:r>
        <w:t xml:space="preserve"> </w:t>
      </w:r>
      <w:r>
        <w:rPr>
          <w:i/>
          <w:iCs/>
        </w:rPr>
        <w:t>Egmez</w:t>
      </w:r>
      <w:r>
        <w:t xml:space="preserve">, cyt. powyżej, § 54). Uprawnienia nadane Komitetowi Ministrów </w:t>
      </w:r>
      <w:r w:rsidR="00FF35A2">
        <w:t xml:space="preserve">na </w:t>
      </w:r>
      <w:r w:rsidR="00BE3D1D">
        <w:t>podstawie</w:t>
      </w:r>
      <w:r>
        <w:t xml:space="preserve"> </w:t>
      </w:r>
      <w:r w:rsidR="00A74892">
        <w:t>art.</w:t>
      </w:r>
      <w:r>
        <w:t xml:space="preserve"> 46 do nadzorowania wykonania wyroków Trybunału oraz oceny w</w:t>
      </w:r>
      <w:r w:rsidR="001E505D">
        <w:t>drażania</w:t>
      </w:r>
      <w:r>
        <w:t xml:space="preserve"> środków przyjmowanych przez państwa na mocy tego </w:t>
      </w:r>
      <w:r w:rsidR="005F6994">
        <w:t>artykułu</w:t>
      </w:r>
      <w:r>
        <w:t xml:space="preserve"> </w:t>
      </w:r>
      <w:r w:rsidRPr="001E6115">
        <w:t xml:space="preserve">nie są </w:t>
      </w:r>
      <w:r w:rsidR="001E6115" w:rsidRPr="001E6115">
        <w:t>naruszane</w:t>
      </w:r>
      <w:r w:rsidRPr="001E6115">
        <w:t xml:space="preserve"> </w:t>
      </w:r>
      <w:r w:rsidR="001E505D" w:rsidRPr="001E6115">
        <w:t>w sytuacjach</w:t>
      </w:r>
      <w:r w:rsidRPr="001E6115">
        <w:t>,</w:t>
      </w:r>
      <w:r>
        <w:t xml:space="preserve"> </w:t>
      </w:r>
      <w:r>
        <w:lastRenderedPageBreak/>
        <w:t>w</w:t>
      </w:r>
      <w:r w:rsidR="000E547C">
        <w:t> </w:t>
      </w:r>
      <w:r>
        <w:t xml:space="preserve">których Trybunał </w:t>
      </w:r>
      <w:r w:rsidR="001E505D">
        <w:t>musi się</w:t>
      </w:r>
      <w:r>
        <w:t xml:space="preserve"> zająć </w:t>
      </w:r>
      <w:r w:rsidR="001E6115">
        <w:t xml:space="preserve">stosownymi </w:t>
      </w:r>
      <w:r>
        <w:t>nowymi informacjami w</w:t>
      </w:r>
      <w:r w:rsidR="000E547C">
        <w:t> </w:t>
      </w:r>
      <w:r>
        <w:t>kontekście nowej skargi (zob.</w:t>
      </w:r>
      <w:r w:rsidR="00A34A1A">
        <w:t xml:space="preserve"> </w:t>
      </w:r>
      <w:r>
        <w:rPr>
          <w:i/>
          <w:iCs/>
        </w:rPr>
        <w:t>Verein gegen Tierfabriken Schweiz (VgT) (nr 2)</w:t>
      </w:r>
      <w:r>
        <w:t>, cyt. powyżej, § 67).</w:t>
      </w:r>
    </w:p>
    <w:p w14:paraId="4419BD42" w14:textId="10C57500" w:rsidR="00915140" w:rsidRPr="000A470D" w:rsidRDefault="00A34A1A" w:rsidP="000A470D">
      <w:pPr>
        <w:pStyle w:val="ECHRPara"/>
      </w:pPr>
      <w:r>
        <w:t>48</w:t>
      </w:r>
      <w:r w:rsidR="00915140">
        <w:t>.</w:t>
      </w:r>
      <w:r>
        <w:t xml:space="preserve"> </w:t>
      </w:r>
      <w:r w:rsidR="00915140">
        <w:t>Trybunał powtarza, że nie jest właściwy, w szczególności, by</w:t>
      </w:r>
      <w:r w:rsidR="000E547C">
        <w:t> </w:t>
      </w:r>
      <w:r w:rsidR="00915140">
        <w:t>nakazać wznowienie postępowania (</w:t>
      </w:r>
      <w:r w:rsidR="00915140">
        <w:rPr>
          <w:i/>
          <w:iCs/>
        </w:rPr>
        <w:t>ibid</w:t>
      </w:r>
      <w:r w:rsidR="00915140">
        <w:t>., § 89). Jednakże, zgodnie z</w:t>
      </w:r>
      <w:r w:rsidR="000E547C">
        <w:t> </w:t>
      </w:r>
      <w:r w:rsidR="00915140">
        <w:t>Rekomendacją nr R (2000)2 Komitetu Ministrów, praktyka Komitetu Ministrów w zakresie nadzorowania wykonania wyroków Trybunału pokazuje, że w wyjątkowych sytuacjach ponowne zbadanie sprawy lub</w:t>
      </w:r>
      <w:r w:rsidR="000E547C">
        <w:t> </w:t>
      </w:r>
      <w:r w:rsidR="00915140">
        <w:t>wznowienie postępowania okazało się najbardziej skutecznym, jeżeli</w:t>
      </w:r>
      <w:r w:rsidR="000E547C">
        <w:t> </w:t>
      </w:r>
      <w:r w:rsidR="00915140">
        <w:t xml:space="preserve">nie jedynym środkiem osiągnięcia </w:t>
      </w:r>
      <w:r w:rsidR="00915140">
        <w:rPr>
          <w:i/>
          <w:iCs/>
        </w:rPr>
        <w:t>restitutio in integrum</w:t>
      </w:r>
      <w:r w:rsidR="00915140">
        <w:t>, tj</w:t>
      </w:r>
      <w:r w:rsidR="00915140" w:rsidRPr="001E6115">
        <w:t>.</w:t>
      </w:r>
      <w:r w:rsidR="000E547C">
        <w:t> </w:t>
      </w:r>
      <w:r w:rsidR="00915140" w:rsidRPr="001E6115">
        <w:t>zapewnienia</w:t>
      </w:r>
      <w:r w:rsidR="001E505D" w:rsidRPr="001E6115">
        <w:t xml:space="preserve"> przywrócenia strony poszkodowanej</w:t>
      </w:r>
      <w:r w:rsidR="00915140" w:rsidRPr="001E6115">
        <w:t>, w możliwym zakresie, do sytuacji, w jakiej się znajdowała przed naruszeniem Konwencji</w:t>
      </w:r>
      <w:r w:rsidR="00915140">
        <w:t xml:space="preserve">. </w:t>
      </w:r>
      <w:r w:rsidR="001E505D">
        <w:t>Wśród</w:t>
      </w:r>
      <w:r w:rsidR="000E547C">
        <w:t> </w:t>
      </w:r>
      <w:r w:rsidR="001E505D">
        <w:t>spraw</w:t>
      </w:r>
      <w:r w:rsidR="00915140">
        <w:t xml:space="preserve">, w których Trybunał stwierdza naruszenie, </w:t>
      </w:r>
      <w:r w:rsidR="00915140" w:rsidRPr="002A5B09">
        <w:t xml:space="preserve">ponowne </w:t>
      </w:r>
      <w:r w:rsidR="00F73180">
        <w:t>rozpatrzenie sprawy</w:t>
      </w:r>
      <w:r w:rsidR="00915140">
        <w:t xml:space="preserve"> lub wznowienie jest szczególnie istotne dla obszaru prawa karnego, zgodnie z memorandum wyjaśniającym do Rekomendacji (zob. paragrafy 32 i 33 powyżej).</w:t>
      </w:r>
    </w:p>
    <w:p w14:paraId="2A7E640B" w14:textId="1FB20C52" w:rsidR="00915140" w:rsidRPr="000A470D" w:rsidRDefault="00A34A1A" w:rsidP="000A470D">
      <w:pPr>
        <w:pStyle w:val="ECHRPara"/>
      </w:pPr>
      <w:r>
        <w:t>49</w:t>
      </w:r>
      <w:r w:rsidR="00915140">
        <w:t>.</w:t>
      </w:r>
      <w:r>
        <w:t xml:space="preserve"> </w:t>
      </w:r>
      <w:r w:rsidR="00915140">
        <w:t xml:space="preserve">Jest zatem jasne, w kontekście wznawiania postępowań, że Trybunał nie jest właściwy do </w:t>
      </w:r>
      <w:r w:rsidR="001E505D">
        <w:t xml:space="preserve">nakazania </w:t>
      </w:r>
      <w:r w:rsidR="00915140">
        <w:t>takich środków. Jednakże, jeżeli osoba została skazana wskutek postępowania, w trakcie którego doszło do</w:t>
      </w:r>
      <w:r w:rsidR="000E547C">
        <w:t> </w:t>
      </w:r>
      <w:r w:rsidR="00915140">
        <w:t xml:space="preserve">naruszeń wymogów z </w:t>
      </w:r>
      <w:r w:rsidR="00A74892">
        <w:t>art.</w:t>
      </w:r>
      <w:r w:rsidR="00915140">
        <w:t xml:space="preserve"> 6 Konwencji, Trybunał może wskazać, że</w:t>
      </w:r>
      <w:r w:rsidR="000E547C">
        <w:t> </w:t>
      </w:r>
      <w:r w:rsidR="00915140" w:rsidRPr="002A5B09">
        <w:t>ponown</w:t>
      </w:r>
      <w:r w:rsidR="002A5B09" w:rsidRPr="002A5B09">
        <w:t>y proces</w:t>
      </w:r>
      <w:r w:rsidR="00915140">
        <w:t xml:space="preserve"> lub wznowienie sprawy, jeżeli o takie wnoszono, stanowi co do zasady </w:t>
      </w:r>
      <w:r w:rsidR="00915140" w:rsidRPr="0052391B">
        <w:t xml:space="preserve">odpowiedni sposób </w:t>
      </w:r>
      <w:r w:rsidR="001E505D" w:rsidRPr="0052391B">
        <w:t>naprawienia</w:t>
      </w:r>
      <w:r w:rsidR="001E505D">
        <w:t xml:space="preserve"> </w:t>
      </w:r>
      <w:r w:rsidR="00915140">
        <w:t>naruszenia (zob.</w:t>
      </w:r>
      <w:r w:rsidR="000E547C">
        <w:t> </w:t>
      </w:r>
      <w:r w:rsidR="00915140">
        <w:rPr>
          <w:i/>
          <w:iCs/>
        </w:rPr>
        <w:t>Verein gegen Tierfabriken Schweizn (VgT) nr 2)</w:t>
      </w:r>
      <w:r w:rsidR="00915140">
        <w:t>, cyt. powyżej,</w:t>
      </w:r>
      <w:r w:rsidR="00915140">
        <w:rPr>
          <w:i/>
          <w:iCs/>
        </w:rPr>
        <w:t xml:space="preserve"> </w:t>
      </w:r>
      <w:r w:rsidR="00915140">
        <w:t>§ 89). Przykładowo, w konkretnym kontekście spraw dotyczących niezależności i</w:t>
      </w:r>
      <w:r w:rsidR="000E547C">
        <w:t> </w:t>
      </w:r>
      <w:r w:rsidR="00915140">
        <w:t>bezstronności tureckich</w:t>
      </w:r>
      <w:r w:rsidR="001E505D">
        <w:t xml:space="preserve"> sądów bezpieczeństwa krajowego</w:t>
      </w:r>
      <w:r w:rsidR="00915140">
        <w:t xml:space="preserve"> Trybunał uznał, że co do zasady najbardziej </w:t>
      </w:r>
      <w:r w:rsidR="00915140" w:rsidRPr="0052391B">
        <w:t>właściwą</w:t>
      </w:r>
      <w:r w:rsidR="00915140">
        <w:t xml:space="preserve"> formą </w:t>
      </w:r>
      <w:r w:rsidR="0052391B">
        <w:t>naprawienia</w:t>
      </w:r>
      <w:r w:rsidR="00915140">
        <w:t xml:space="preserve"> byłoby</w:t>
      </w:r>
      <w:r w:rsidR="001E505D">
        <w:t xml:space="preserve"> zapewnienie </w:t>
      </w:r>
      <w:r w:rsidR="00915140">
        <w:t xml:space="preserve">skarżącemu </w:t>
      </w:r>
      <w:r w:rsidR="00915140" w:rsidRPr="00F73180">
        <w:t>ponown</w:t>
      </w:r>
      <w:r w:rsidR="002958CA">
        <w:t>ego</w:t>
      </w:r>
      <w:r w:rsidR="00F73180" w:rsidRPr="00F73180">
        <w:t xml:space="preserve"> proces</w:t>
      </w:r>
      <w:r w:rsidR="002958CA">
        <w:t>u</w:t>
      </w:r>
      <w:r w:rsidR="00F73180" w:rsidRPr="00F73180">
        <w:t xml:space="preserve"> przeprowadzon</w:t>
      </w:r>
      <w:r w:rsidR="002958CA">
        <w:t>ego</w:t>
      </w:r>
      <w:r w:rsidR="00F73180">
        <w:t xml:space="preserve"> </w:t>
      </w:r>
      <w:r w:rsidR="00915140">
        <w:t>przez</w:t>
      </w:r>
      <w:r w:rsidR="000E547C">
        <w:t> </w:t>
      </w:r>
      <w:r w:rsidR="00915140">
        <w:t xml:space="preserve">niezależny i bezstronny sąd (zob. </w:t>
      </w:r>
      <w:r w:rsidR="00915140">
        <w:rPr>
          <w:i/>
          <w:iCs/>
        </w:rPr>
        <w:t>Gençel przeciwko Turcji</w:t>
      </w:r>
      <w:r w:rsidR="00915140">
        <w:t>, nr 53431/99, § 27, 23 października 2003 r.).</w:t>
      </w:r>
    </w:p>
    <w:p w14:paraId="4DD0D662" w14:textId="7E874B95" w:rsidR="00915140" w:rsidRPr="000A470D" w:rsidRDefault="00A34A1A" w:rsidP="000A470D">
      <w:pPr>
        <w:pStyle w:val="ECHRPara"/>
      </w:pPr>
      <w:r>
        <w:t>50</w:t>
      </w:r>
      <w:r w:rsidR="00915140">
        <w:t>.</w:t>
      </w:r>
      <w:r>
        <w:t xml:space="preserve"> </w:t>
      </w:r>
      <w:r w:rsidR="00915140">
        <w:t xml:space="preserve">Podejście to potwierdzono w sprawach </w:t>
      </w:r>
      <w:r w:rsidR="00915140">
        <w:rPr>
          <w:i/>
          <w:iCs/>
        </w:rPr>
        <w:t>Öcalan przeciwko Turcji</w:t>
      </w:r>
      <w:r w:rsidR="00915140">
        <w:t xml:space="preserve"> ([WI], nr 46221/99, § 210, ECHR 2005</w:t>
      </w:r>
      <w:r w:rsidR="00915140">
        <w:noBreakHyphen/>
        <w:t>IV) oraz</w:t>
      </w:r>
      <w:r w:rsidR="00915140">
        <w:rPr>
          <w:i/>
          <w:iCs/>
        </w:rPr>
        <w:t xml:space="preserve"> Sejdovic przeciwko Włochom </w:t>
      </w:r>
      <w:r w:rsidR="00915140">
        <w:t>([WI], nr 56581/00, ECHR 2006</w:t>
      </w:r>
      <w:r w:rsidR="00915140">
        <w:noBreakHyphen/>
        <w:t>II). W tym drugim wyroku Trybunał określ</w:t>
      </w:r>
      <w:r w:rsidR="001E505D">
        <w:t>ił</w:t>
      </w:r>
      <w:r w:rsidR="00915140">
        <w:t xml:space="preserve"> zasady ogólne (§§ 126 i 127), które można podsumować w następujący sposób:</w:t>
      </w:r>
    </w:p>
    <w:p w14:paraId="5FBD4604" w14:textId="0EE739DB" w:rsidR="00915140" w:rsidRPr="000A470D" w:rsidRDefault="00915140" w:rsidP="000A470D">
      <w:pPr>
        <w:pStyle w:val="JuParaSub"/>
      </w:pPr>
      <w:r>
        <w:t xml:space="preserve">(a) Jeżeli osoba została skazana wskutek postępowania, w trakcie którego doszło do naruszeń wymogów z </w:t>
      </w:r>
      <w:r w:rsidR="00A74892">
        <w:t>art.</w:t>
      </w:r>
      <w:r>
        <w:t xml:space="preserve"> 6 Konwencji, </w:t>
      </w:r>
      <w:r w:rsidR="00F73180" w:rsidRPr="00F73180">
        <w:t xml:space="preserve">ponowny proces </w:t>
      </w:r>
      <w:r>
        <w:t>lub wznowienie</w:t>
      </w:r>
      <w:r w:rsidR="001E505D">
        <w:t>,</w:t>
      </w:r>
      <w:r>
        <w:t xml:space="preserve"> jeżeli o takie wnoszono, stanowi co do zasady </w:t>
      </w:r>
      <w:r w:rsidRPr="0052391B">
        <w:t>odpowiedni</w:t>
      </w:r>
      <w:r>
        <w:t xml:space="preserve"> sposób </w:t>
      </w:r>
      <w:r w:rsidR="0052391B">
        <w:t>naprawienia</w:t>
      </w:r>
      <w:r>
        <w:t xml:space="preserve"> naruszenia. Jednakże </w:t>
      </w:r>
      <w:r w:rsidR="00927A2C" w:rsidRPr="006C48C1">
        <w:t>ewentualn</w:t>
      </w:r>
      <w:r w:rsidR="008445CD" w:rsidRPr="006C48C1">
        <w:t>y</w:t>
      </w:r>
      <w:r w:rsidR="00927A2C">
        <w:t xml:space="preserve"> </w:t>
      </w:r>
      <w:r w:rsidR="008445CD">
        <w:t xml:space="preserve">szczególny </w:t>
      </w:r>
      <w:r w:rsidR="00927A2C">
        <w:t>środek naprawczy</w:t>
      </w:r>
      <w:r>
        <w:t xml:space="preserve"> wymagany od</w:t>
      </w:r>
      <w:r w:rsidR="001E505D">
        <w:t xml:space="preserve"> pozwanego</w:t>
      </w:r>
      <w:r>
        <w:t xml:space="preserve"> państwa w celu spełnienia jego obowiązków wynikających z Konwencji musi zależeć od</w:t>
      </w:r>
      <w:r w:rsidR="000E547C">
        <w:t> </w:t>
      </w:r>
      <w:r>
        <w:t>szczególnych okoliczn</w:t>
      </w:r>
      <w:r w:rsidR="001E505D">
        <w:t>ości danej sprawy i być ustalony</w:t>
      </w:r>
      <w:r>
        <w:t xml:space="preserve"> w świetle wyroku Trybunału w danej sprawie, oraz mając na względzie orzecznictwo Trybunału.</w:t>
      </w:r>
    </w:p>
    <w:p w14:paraId="7B33EE2D" w14:textId="0924A81D" w:rsidR="00915140" w:rsidRPr="000A470D" w:rsidRDefault="00915140" w:rsidP="000A470D">
      <w:pPr>
        <w:pStyle w:val="JuParaSub"/>
        <w:rPr>
          <w:rFonts w:eastAsia="Times New Roman"/>
        </w:rPr>
      </w:pPr>
      <w:r>
        <w:lastRenderedPageBreak/>
        <w:t xml:space="preserve">(b) W szczególności, to nie do Trybunału należy zadanie wskazania, w jaki sposób ma przebiegać nowy proces </w:t>
      </w:r>
      <w:r w:rsidRPr="008445CD">
        <w:t>oraz jaką ma przyjąć formę. Pozwane państwo ma swobodę wyboru środków, które zastosuje do</w:t>
      </w:r>
      <w:r w:rsidR="000E547C">
        <w:t> </w:t>
      </w:r>
      <w:r w:rsidRPr="008445CD">
        <w:t>spełnienia swojego zobowiązania do doprowadzenia skarżącego, w</w:t>
      </w:r>
      <w:r w:rsidR="000E547C">
        <w:t> </w:t>
      </w:r>
      <w:r w:rsidRPr="008445CD">
        <w:t xml:space="preserve">możliwym zakresie, do stanu takiego, w jakim by </w:t>
      </w:r>
      <w:r w:rsidR="00FF4162" w:rsidRPr="008445CD">
        <w:t>się znajdował</w:t>
      </w:r>
      <w:r w:rsidRPr="008445CD">
        <w:t xml:space="preserve">, gdyby wymogi Konwencji nie </w:t>
      </w:r>
      <w:r w:rsidRPr="006C48C1">
        <w:t>z</w:t>
      </w:r>
      <w:r w:rsidR="00FF4162" w:rsidRPr="006C48C1">
        <w:t xml:space="preserve">ostały </w:t>
      </w:r>
      <w:r w:rsidR="00927A2C" w:rsidRPr="006C48C1">
        <w:t>pominięte</w:t>
      </w:r>
      <w:r w:rsidR="00FF4162">
        <w:t>, pod warunkiem</w:t>
      </w:r>
      <w:r>
        <w:t xml:space="preserve"> że</w:t>
      </w:r>
      <w:r w:rsidR="000E547C">
        <w:t> </w:t>
      </w:r>
      <w:r>
        <w:t>środki takie są zgodne z konkluzjami zawartymi w wyroku Trybunału oraz z praw</w:t>
      </w:r>
      <w:r w:rsidR="00927A2C">
        <w:t>em</w:t>
      </w:r>
      <w:r>
        <w:t xml:space="preserve"> </w:t>
      </w:r>
      <w:r w:rsidR="00FF4162" w:rsidRPr="00927A2C">
        <w:t xml:space="preserve">do </w:t>
      </w:r>
      <w:r w:rsidRPr="00927A2C">
        <w:t>o</w:t>
      </w:r>
      <w:r>
        <w:t>brony.</w:t>
      </w:r>
    </w:p>
    <w:p w14:paraId="124535AD" w14:textId="7B466CE2" w:rsidR="00915140" w:rsidRPr="000A470D" w:rsidRDefault="00A34A1A" w:rsidP="000A470D">
      <w:pPr>
        <w:pStyle w:val="ECHRPara"/>
        <w:rPr>
          <w:rFonts w:eastAsia="Times New Roman"/>
        </w:rPr>
      </w:pPr>
      <w:r>
        <w:t>51</w:t>
      </w:r>
      <w:r w:rsidR="00915140">
        <w:t>.</w:t>
      </w:r>
      <w:r>
        <w:t xml:space="preserve"> </w:t>
      </w:r>
      <w:r w:rsidR="00915140">
        <w:t xml:space="preserve">W wyjątkowych sytuacjach sam charakter stwierdzonego naruszenia może być taki, iż może nie pozostawiać realnego wyboru co do środków, jakie są wymagane do </w:t>
      </w:r>
      <w:r w:rsidR="002A4FB1">
        <w:t>jego naprawienia</w:t>
      </w:r>
      <w:r w:rsidR="00915140" w:rsidRPr="0052391B">
        <w:t>,</w:t>
      </w:r>
      <w:r w:rsidR="00915140">
        <w:t xml:space="preserve"> co skłoni Trybunał do wskazania jedynie jednego</w:t>
      </w:r>
      <w:r w:rsidR="00FF4162">
        <w:t xml:space="preserve"> takiego</w:t>
      </w:r>
      <w:r w:rsidR="00915140">
        <w:t xml:space="preserve"> środka (zob. przykładowo: </w:t>
      </w:r>
      <w:r w:rsidR="00915140">
        <w:rPr>
          <w:i/>
          <w:iCs/>
        </w:rPr>
        <w:t xml:space="preserve">Assanidze przeciwko Gruzji </w:t>
      </w:r>
      <w:r w:rsidR="00915140">
        <w:t>[WI], nr 71503/01, §§ 202 i 203, ECHR 2004</w:t>
      </w:r>
      <w:r w:rsidR="00915140">
        <w:noBreakHyphen/>
        <w:t xml:space="preserve">II, oraz </w:t>
      </w:r>
      <w:r w:rsidR="00915140">
        <w:rPr>
          <w:i/>
          <w:iCs/>
        </w:rPr>
        <w:t>Del Río Prada</w:t>
      </w:r>
      <w:r w:rsidR="00915140">
        <w:t xml:space="preserve"> </w:t>
      </w:r>
      <w:r w:rsidR="00915140">
        <w:rPr>
          <w:i/>
          <w:iCs/>
        </w:rPr>
        <w:t xml:space="preserve">przeciwko Hiszpanii </w:t>
      </w:r>
      <w:r w:rsidR="00915140">
        <w:t>[WI], nr 42750/09</w:t>
      </w:r>
      <w:r w:rsidR="00915140">
        <w:rPr>
          <w:snapToGrid w:val="0"/>
        </w:rPr>
        <w:t>, §§ 138 i 139, E</w:t>
      </w:r>
      <w:r w:rsidR="00915140">
        <w:t>CHR 2013). Z</w:t>
      </w:r>
      <w:r w:rsidR="000E547C">
        <w:t> </w:t>
      </w:r>
      <w:r w:rsidR="00915140">
        <w:t xml:space="preserve">drugiej strony, w niektórych ze swoich wyroków Trybunał wyraźnie </w:t>
      </w:r>
      <w:r w:rsidR="00FF4162" w:rsidRPr="00927A2C">
        <w:t>wykluczył</w:t>
      </w:r>
      <w:r w:rsidR="00FF4162">
        <w:t xml:space="preserve"> </w:t>
      </w:r>
      <w:r w:rsidR="00915140">
        <w:t xml:space="preserve">wznowienie postępowania po stwierdzeniu naruszenia </w:t>
      </w:r>
      <w:r w:rsidR="00A74892">
        <w:t>art.</w:t>
      </w:r>
      <w:r w:rsidR="00915140">
        <w:t xml:space="preserve"> 6 Konwencji, które zostało zakończone prawomocnymi </w:t>
      </w:r>
      <w:r w:rsidR="00FF4162">
        <w:t>orzeczeniami</w:t>
      </w:r>
      <w:r w:rsidR="00915140">
        <w:t xml:space="preserve"> sądowymi (zob. np. </w:t>
      </w:r>
      <w:r w:rsidR="00915140">
        <w:rPr>
          <w:i/>
          <w:iCs/>
        </w:rPr>
        <w:t>Henryk Urban i Ryszard Urban przeciwko Polsce</w:t>
      </w:r>
      <w:r w:rsidR="00915140">
        <w:t>, nr</w:t>
      </w:r>
      <w:r w:rsidR="000E547C">
        <w:t> </w:t>
      </w:r>
      <w:r w:rsidR="00915140">
        <w:t>23614/08</w:t>
      </w:r>
      <w:r w:rsidR="00915140">
        <w:rPr>
          <w:snapToGrid w:val="0"/>
        </w:rPr>
        <w:t xml:space="preserve">, § 66, 30 </w:t>
      </w:r>
      <w:r w:rsidR="00915140">
        <w:t xml:space="preserve">listopada </w:t>
      </w:r>
      <w:r w:rsidR="00915140">
        <w:rPr>
          <w:snapToGrid w:val="0"/>
        </w:rPr>
        <w:t>2010 r.).</w:t>
      </w:r>
    </w:p>
    <w:p w14:paraId="0428F51C" w14:textId="77777777" w:rsidR="00915140" w:rsidRPr="000A470D" w:rsidRDefault="00915140" w:rsidP="000A470D">
      <w:pPr>
        <w:pStyle w:val="ECHRHeading5"/>
      </w:pPr>
      <w:r>
        <w:t>(ii) Zastosowanie powyższych zasad do przedmiotowej sprawy</w:t>
      </w:r>
    </w:p>
    <w:p w14:paraId="324FDCAF" w14:textId="658BE616" w:rsidR="00915140" w:rsidRPr="000A470D" w:rsidRDefault="00A34A1A" w:rsidP="000A470D">
      <w:pPr>
        <w:pStyle w:val="ECHRPara"/>
      </w:pPr>
      <w:r>
        <w:t>52</w:t>
      </w:r>
      <w:r w:rsidR="00915140">
        <w:t>.</w:t>
      </w:r>
      <w:r>
        <w:t xml:space="preserve"> </w:t>
      </w:r>
      <w:r w:rsidR="00915140">
        <w:t>Wymienione</w:t>
      </w:r>
      <w:r w:rsidR="00915140">
        <w:rPr>
          <w:snapToGrid w:val="0"/>
        </w:rPr>
        <w:t xml:space="preserve"> wyżej zasady ogólne wskazują, że stwierdzenie </w:t>
      </w:r>
      <w:r w:rsidR="00915140">
        <w:t>przez</w:t>
      </w:r>
      <w:r w:rsidR="000E547C">
        <w:t> </w:t>
      </w:r>
      <w:r w:rsidR="00915140">
        <w:t xml:space="preserve">Trybunał </w:t>
      </w:r>
      <w:r w:rsidR="00915140">
        <w:rPr>
          <w:snapToGrid w:val="0"/>
        </w:rPr>
        <w:t xml:space="preserve">naruszenia </w:t>
      </w:r>
      <w:r w:rsidR="00A74892">
        <w:t>art.</w:t>
      </w:r>
      <w:r w:rsidR="00915140">
        <w:t xml:space="preserve"> 6 Konwencji</w:t>
      </w:r>
      <w:r w:rsidR="00915140">
        <w:rPr>
          <w:snapToGrid w:val="0"/>
        </w:rPr>
        <w:t xml:space="preserve"> nie </w:t>
      </w:r>
      <w:r w:rsidR="00915140">
        <w:t xml:space="preserve">wymaga automatycznie </w:t>
      </w:r>
      <w:r w:rsidR="00915140">
        <w:rPr>
          <w:snapToGrid w:val="0"/>
        </w:rPr>
        <w:t>wznowienia krajowego postępowania karnego.</w:t>
      </w:r>
      <w:r w:rsidR="00915140">
        <w:t xml:space="preserve"> Jednakże co do zasady jest to</w:t>
      </w:r>
      <w:r w:rsidR="004D24B4">
        <w:t xml:space="preserve"> </w:t>
      </w:r>
      <w:r w:rsidR="004D24B4" w:rsidRPr="002A4FB1">
        <w:t>odpowiednia</w:t>
      </w:r>
      <w:r w:rsidR="00C332D2" w:rsidRPr="002A4FB1">
        <w:t>,</w:t>
      </w:r>
      <w:r w:rsidR="00915140" w:rsidRPr="002A4FB1">
        <w:t xml:space="preserve"> </w:t>
      </w:r>
      <w:r w:rsidR="00C332D2" w:rsidRPr="002A4FB1">
        <w:t>a</w:t>
      </w:r>
      <w:r w:rsidR="00915140" w:rsidRPr="002A4FB1">
        <w:t xml:space="preserve"> często najbardziej </w:t>
      </w:r>
      <w:r w:rsidR="004D24B4" w:rsidRPr="002A4FB1">
        <w:t>odpowiednia</w:t>
      </w:r>
      <w:r w:rsidR="00C332D2" w:rsidRPr="002A4FB1">
        <w:t xml:space="preserve"> </w:t>
      </w:r>
      <w:r w:rsidR="004D24B4" w:rsidRPr="002A4FB1">
        <w:t>metoda</w:t>
      </w:r>
      <w:r w:rsidR="00FF4162">
        <w:t xml:space="preserve"> zakończenia naruszenia i </w:t>
      </w:r>
      <w:r w:rsidR="0090588E">
        <w:t xml:space="preserve">zadośćuczynienia </w:t>
      </w:r>
      <w:r w:rsidR="0011053E">
        <w:t>jego</w:t>
      </w:r>
      <w:r w:rsidR="002A4FB1">
        <w:t xml:space="preserve"> skutk</w:t>
      </w:r>
      <w:r w:rsidR="0090588E">
        <w:t>om</w:t>
      </w:r>
      <w:r w:rsidR="00915140">
        <w:t>.</w:t>
      </w:r>
    </w:p>
    <w:p w14:paraId="3CD1F12D" w14:textId="30FB6E97" w:rsidR="00915140" w:rsidRPr="000A470D" w:rsidRDefault="00A34A1A" w:rsidP="000A470D">
      <w:pPr>
        <w:pStyle w:val="ECHRPara"/>
      </w:pPr>
      <w:r>
        <w:t>53</w:t>
      </w:r>
      <w:r w:rsidR="00915140">
        <w:t>.</w:t>
      </w:r>
      <w:r>
        <w:t xml:space="preserve"> </w:t>
      </w:r>
      <w:r w:rsidR="00915140">
        <w:t xml:space="preserve">Stanowisko to potwierdza szereg </w:t>
      </w:r>
      <w:r w:rsidR="00915140">
        <w:rPr>
          <w:snapToGrid w:val="0"/>
        </w:rPr>
        <w:t xml:space="preserve">środków dostępnych w </w:t>
      </w:r>
      <w:r w:rsidR="00915140">
        <w:t>Europie</w:t>
      </w:r>
      <w:r w:rsidR="00915140">
        <w:rPr>
          <w:snapToGrid w:val="0"/>
        </w:rPr>
        <w:t xml:space="preserve"> </w:t>
      </w:r>
      <w:r w:rsidR="00915140">
        <w:t>umożliwiających osobom ubieganie się, po stwierdzeniu przez Trybunał naruszenia Konwencji, o wznowienie postępowania karnego, które</w:t>
      </w:r>
      <w:r w:rsidR="000E547C">
        <w:t> </w:t>
      </w:r>
      <w:r w:rsidR="00915140">
        <w:t xml:space="preserve">zakończyło się prawomocnym wyrokiem. W tym kontekście Trybunał wskazuje, iż nie istnieje jednolite podejście </w:t>
      </w:r>
      <w:r w:rsidR="00FF4162">
        <w:t>Układających się Państw</w:t>
      </w:r>
      <w:r w:rsidR="005F6994">
        <w:t xml:space="preserve"> </w:t>
      </w:r>
      <w:r w:rsidR="00FF4162">
        <w:t>w</w:t>
      </w:r>
      <w:r w:rsidR="000E547C">
        <w:t> </w:t>
      </w:r>
      <w:r w:rsidR="00FF4162">
        <w:t>odniesieniu do</w:t>
      </w:r>
      <w:r w:rsidR="00915140">
        <w:t xml:space="preserve"> prawa do ubiegania się o wznowienie postępowania, które</w:t>
      </w:r>
      <w:r w:rsidR="000E547C">
        <w:t> </w:t>
      </w:r>
      <w:r w:rsidR="00915140">
        <w:t>zostało zakończone. Trybunał wskazuje również, że w większości z</w:t>
      </w:r>
      <w:r w:rsidR="000E547C">
        <w:t> </w:t>
      </w:r>
      <w:r w:rsidR="00915140">
        <w:t xml:space="preserve">tych </w:t>
      </w:r>
      <w:r w:rsidR="005F6994">
        <w:t xml:space="preserve">Państw </w:t>
      </w:r>
      <w:r w:rsidR="00915140">
        <w:t>wznowienie postępowania nie jest automatyczne i zależy od</w:t>
      </w:r>
      <w:r w:rsidR="000E547C">
        <w:t> </w:t>
      </w:r>
      <w:r w:rsidR="00915140">
        <w:t xml:space="preserve">spełnienia przesłanek dopuszczalności, których spełnienie jest nadzorowane przez sądy krajowe, które mają szeroki </w:t>
      </w:r>
      <w:r w:rsidR="00FF4162">
        <w:t xml:space="preserve">margines oceny </w:t>
      </w:r>
      <w:r w:rsidR="00915140">
        <w:t xml:space="preserve">w tej kwestii (zob. paragraf </w:t>
      </w:r>
      <w:r w:rsidR="00EF006C">
        <w:t>34</w:t>
      </w:r>
      <w:r w:rsidR="00915140">
        <w:t xml:space="preserve"> i nast. powyżej).</w:t>
      </w:r>
    </w:p>
    <w:p w14:paraId="5D1E2FC0" w14:textId="045ABB87" w:rsidR="00915140" w:rsidRPr="000A470D" w:rsidRDefault="00A34A1A" w:rsidP="000A470D">
      <w:pPr>
        <w:pStyle w:val="ECHRPara"/>
        <w:rPr>
          <w:rFonts w:eastAsia="Times New Roman"/>
        </w:rPr>
      </w:pPr>
      <w:r>
        <w:t>54</w:t>
      </w:r>
      <w:r w:rsidR="00915140">
        <w:t>.</w:t>
      </w:r>
      <w:r>
        <w:t xml:space="preserve"> </w:t>
      </w:r>
      <w:r w:rsidR="00915140">
        <w:t>W przedmiotowej sprawie Trybunał zauważa, że choć postępowanie rozstrzygnięte przez Sąd Najwyższy bez wątpienia dotyczyło wykonania wyroku Trybunału z 2011 r</w:t>
      </w:r>
      <w:r w:rsidR="005F6994">
        <w:t>.</w:t>
      </w:r>
      <w:r w:rsidR="00915140">
        <w:t>, było ono nowe w</w:t>
      </w:r>
      <w:r w:rsidR="00FF4162">
        <w:t>zględem</w:t>
      </w:r>
      <w:r w:rsidR="00915140">
        <w:t xml:space="preserve"> postępowania krajowego stanowiącego przedmiot tego wyroku i było wobec </w:t>
      </w:r>
      <w:r w:rsidR="00915140" w:rsidRPr="00927A2C">
        <w:t>niego wtórne.</w:t>
      </w:r>
      <w:r w:rsidR="00915140">
        <w:t xml:space="preserve"> Jeśli chodzi o skargę skarżącej, Trybunał odnotowuje, że dotyczy ona</w:t>
      </w:r>
      <w:r w:rsidR="000E547C">
        <w:t> </w:t>
      </w:r>
      <w:r w:rsidR="00FF4162">
        <w:t xml:space="preserve">podanych przez Sąd Najwyższy </w:t>
      </w:r>
      <w:r w:rsidR="00915140">
        <w:t xml:space="preserve">powodów </w:t>
      </w:r>
      <w:r w:rsidR="00FF4162">
        <w:t>od</w:t>
      </w:r>
      <w:r w:rsidR="008445CD">
        <w:t>dalenia</w:t>
      </w:r>
      <w:r w:rsidR="00915140">
        <w:t xml:space="preserve"> wniosku o rewizję. W takiej sytuacji pytanie</w:t>
      </w:r>
      <w:r w:rsidR="00FF4162">
        <w:t>,</w:t>
      </w:r>
      <w:r w:rsidR="00915140">
        <w:t xml:space="preserve"> czy procedura roz</w:t>
      </w:r>
      <w:r w:rsidR="00FF4162">
        <w:t xml:space="preserve">patrzenia wniosku o rewizję </w:t>
      </w:r>
      <w:r w:rsidR="00FF4162">
        <w:lastRenderedPageBreak/>
        <w:t>była</w:t>
      </w:r>
      <w:r w:rsidR="00915140">
        <w:t xml:space="preserve"> </w:t>
      </w:r>
      <w:r w:rsidR="00FF4162">
        <w:t>zgodna</w:t>
      </w:r>
      <w:r w:rsidR="00915140">
        <w:t xml:space="preserve"> ze standardami </w:t>
      </w:r>
      <w:r w:rsidR="00FF4162">
        <w:t xml:space="preserve">rzetelnego </w:t>
      </w:r>
      <w:r w:rsidR="00915140">
        <w:t xml:space="preserve">procesu </w:t>
      </w:r>
      <w:r w:rsidR="00FF4162">
        <w:t xml:space="preserve">sądowego, </w:t>
      </w:r>
      <w:r w:rsidR="00915140">
        <w:t>wynikającymi z</w:t>
      </w:r>
      <w:r w:rsidR="000E547C">
        <w:t> </w:t>
      </w:r>
      <w:r w:rsidR="00A74892">
        <w:t>art.</w:t>
      </w:r>
      <w:r w:rsidR="00915140">
        <w:t xml:space="preserve"> 6 Konwencji</w:t>
      </w:r>
      <w:r w:rsidR="00FF4162">
        <w:t>, może być badane</w:t>
      </w:r>
      <w:r w:rsidR="00915140">
        <w:t xml:space="preserve"> odrębnie od aspektów dotyczących wykonania wyroku wydanego przez Trybunał w 2011 r</w:t>
      </w:r>
      <w:r w:rsidR="005F6994">
        <w:t>.</w:t>
      </w:r>
      <w:r w:rsidR="00915140">
        <w:t xml:space="preserve"> (zob., </w:t>
      </w:r>
      <w:r w:rsidR="00915140" w:rsidRPr="00915140">
        <w:rPr>
          <w:i/>
          <w:iCs/>
        </w:rPr>
        <w:t>mutatis mutandis</w:t>
      </w:r>
      <w:r w:rsidR="00915140">
        <w:rPr>
          <w:i/>
          <w:iCs/>
        </w:rPr>
        <w:t>,</w:t>
      </w:r>
      <w:r w:rsidR="00915140">
        <w:t xml:space="preserve"> </w:t>
      </w:r>
      <w:r w:rsidR="00915140">
        <w:rPr>
          <w:i/>
          <w:iCs/>
        </w:rPr>
        <w:t>Bochan (nr 2)</w:t>
      </w:r>
      <w:r w:rsidR="00915140">
        <w:t>, cyt. powyżej,</w:t>
      </w:r>
      <w:r w:rsidR="00915140">
        <w:rPr>
          <w:i/>
          <w:iCs/>
        </w:rPr>
        <w:t xml:space="preserve"> </w:t>
      </w:r>
      <w:r w:rsidR="00915140">
        <w:t>§ 37).</w:t>
      </w:r>
    </w:p>
    <w:p w14:paraId="6A1AC1DF" w14:textId="7E5EB4D6" w:rsidR="00915140" w:rsidRPr="000A470D" w:rsidRDefault="00A34A1A" w:rsidP="000A470D">
      <w:pPr>
        <w:pStyle w:val="ECHRPara"/>
      </w:pPr>
      <w:r>
        <w:t>55</w:t>
      </w:r>
      <w:r w:rsidR="00915140">
        <w:t>.</w:t>
      </w:r>
      <w:r>
        <w:t xml:space="preserve"> </w:t>
      </w:r>
      <w:r w:rsidR="00915140">
        <w:t>Trybunał zauważa zatem, że badając wniosek o rewizję</w:t>
      </w:r>
      <w:r w:rsidR="0090588E">
        <w:t>,</w:t>
      </w:r>
      <w:r w:rsidR="00915140">
        <w:t xml:space="preserve"> Sąd Najwyższy zajmował się nową kwestią, czyli </w:t>
      </w:r>
      <w:r w:rsidR="00915140" w:rsidRPr="0052391B">
        <w:t>zasadnością s</w:t>
      </w:r>
      <w:r w:rsidR="00915140">
        <w:t xml:space="preserve">kazania skarżącej w świetle stwierdzenia naruszenia prawa do </w:t>
      </w:r>
      <w:r w:rsidR="00FF4162">
        <w:t xml:space="preserve">rzetelnego </w:t>
      </w:r>
      <w:r w:rsidR="00915140">
        <w:t>procesu</w:t>
      </w:r>
      <w:r w:rsidR="00FF4162">
        <w:t xml:space="preserve"> sądowego</w:t>
      </w:r>
      <w:r w:rsidR="00915140">
        <w:t>. Odrzucając argument skarżącej, że jej skazanie pozostawało w</w:t>
      </w:r>
      <w:r w:rsidR="000E547C">
        <w:t> </w:t>
      </w:r>
      <w:r w:rsidR="00915140">
        <w:t>sprzeczności z wyrokiem Trybunału z 2011 r</w:t>
      </w:r>
      <w:r w:rsidR="005F6994">
        <w:t>.</w:t>
      </w:r>
      <w:r w:rsidR="00915140">
        <w:t xml:space="preserve">, Sąd Najwyższy dokonał własnej wykładni wyroku Trybunału, stwierdzając, że konkluzje Trybunału były rzeczywiście zgodne z wyrokiem Sądu Apelacyjnego. </w:t>
      </w:r>
      <w:r w:rsidR="00FF4162">
        <w:t>Stosownie</w:t>
      </w:r>
      <w:r w:rsidR="000E547C">
        <w:t> </w:t>
      </w:r>
      <w:r w:rsidR="00FF4162">
        <w:t>do</w:t>
      </w:r>
      <w:r w:rsidR="000E547C">
        <w:t> </w:t>
      </w:r>
      <w:r w:rsidR="00FF4162">
        <w:t xml:space="preserve">tego </w:t>
      </w:r>
      <w:r w:rsidR="00915140">
        <w:t xml:space="preserve">orzekł, że argument podniesiony na poparcie wniosku o </w:t>
      </w:r>
      <w:r w:rsidR="000E547C">
        <w:t> </w:t>
      </w:r>
      <w:r w:rsidR="00915140">
        <w:t xml:space="preserve">rewizję, </w:t>
      </w:r>
      <w:r w:rsidR="00915140" w:rsidRPr="006C48C1">
        <w:t>na</w:t>
      </w:r>
      <w:r w:rsidR="000E547C">
        <w:t> </w:t>
      </w:r>
      <w:r w:rsidR="00915140" w:rsidRPr="006C48C1">
        <w:t xml:space="preserve">podstawie </w:t>
      </w:r>
      <w:r w:rsidR="00A74892" w:rsidRPr="006C48C1">
        <w:t>art</w:t>
      </w:r>
      <w:r w:rsidR="00A74892">
        <w:t>.</w:t>
      </w:r>
      <w:r w:rsidR="005F6994">
        <w:t xml:space="preserve"> 449</w:t>
      </w:r>
      <w:r>
        <w:t xml:space="preserve"> </w:t>
      </w:r>
      <w:r w:rsidR="005F6994">
        <w:t>§1 lit. g</w:t>
      </w:r>
      <w:r w:rsidR="00915140">
        <w:t xml:space="preserve"> – </w:t>
      </w:r>
      <w:r w:rsidR="00A74892">
        <w:t>art</w:t>
      </w:r>
      <w:r w:rsidR="009F5AC1">
        <w:t>ykułu</w:t>
      </w:r>
      <w:r w:rsidR="00915140">
        <w:t xml:space="preserve">, który Trybunał wyraźnie wspomniał jako </w:t>
      </w:r>
      <w:r w:rsidR="009F5AC1">
        <w:t>podstawę wznowienia</w:t>
      </w:r>
      <w:r w:rsidR="00915140">
        <w:t xml:space="preserve"> postępowania – był</w:t>
      </w:r>
      <w:r w:rsidR="000E547C">
        <w:t> </w:t>
      </w:r>
      <w:r w:rsidR="00915140">
        <w:t>nieumotywowany.</w:t>
      </w:r>
    </w:p>
    <w:p w14:paraId="1F8C8226" w14:textId="24870535" w:rsidR="00915140" w:rsidRPr="000A470D" w:rsidRDefault="00A34A1A" w:rsidP="000A470D">
      <w:pPr>
        <w:pStyle w:val="ECHRPara"/>
      </w:pPr>
      <w:r>
        <w:rPr>
          <w:rFonts w:eastAsia="Times New Roman"/>
        </w:rPr>
        <w:t>56</w:t>
      </w:r>
      <w:r w:rsidR="00915140">
        <w:t>.</w:t>
      </w:r>
      <w:r>
        <w:t xml:space="preserve"> </w:t>
      </w:r>
      <w:r w:rsidR="00915140">
        <w:t xml:space="preserve">W świetle powyższego Trybunał uważa, że zarzucany brak </w:t>
      </w:r>
      <w:r w:rsidR="009F5AC1">
        <w:t xml:space="preserve">rzetelności </w:t>
      </w:r>
      <w:r w:rsidR="00915140">
        <w:t xml:space="preserve">procedury </w:t>
      </w:r>
      <w:r w:rsidR="0090588E">
        <w:t>zastosowanej przy badaniu</w:t>
      </w:r>
      <w:r w:rsidR="0090588E">
        <w:t xml:space="preserve"> wniosku </w:t>
      </w:r>
      <w:r w:rsidR="00915140">
        <w:t>o rewizję, a</w:t>
      </w:r>
      <w:r w:rsidR="000E547C">
        <w:t> </w:t>
      </w:r>
      <w:r w:rsidR="0090588E">
        <w:t>w</w:t>
      </w:r>
      <w:r w:rsidR="00237D00">
        <w:t> </w:t>
      </w:r>
      <w:r w:rsidR="0090588E">
        <w:t>szczególności błędy, któr</w:t>
      </w:r>
      <w:r w:rsidR="0090588E">
        <w:t>ymi</w:t>
      </w:r>
      <w:r w:rsidR="00915140">
        <w:t xml:space="preserve"> według skarżącej </w:t>
      </w:r>
      <w:r w:rsidR="0090588E">
        <w:t xml:space="preserve">obarczone było </w:t>
      </w:r>
      <w:r w:rsidR="00915140">
        <w:t>rozumowanie Sądu Najwyższego, stanowią nowe informacje w</w:t>
      </w:r>
      <w:r w:rsidR="000E547C">
        <w:t> </w:t>
      </w:r>
      <w:r w:rsidR="00915140">
        <w:t>odniesieniu do wcześniejszego wyroku Trybunału.</w:t>
      </w:r>
    </w:p>
    <w:p w14:paraId="6C69A220" w14:textId="054346FB" w:rsidR="00915140" w:rsidRPr="000A470D" w:rsidRDefault="00A34A1A" w:rsidP="000A470D">
      <w:pPr>
        <w:pStyle w:val="ECHRPara"/>
        <w:rPr>
          <w:rFonts w:eastAsia="Times New Roman"/>
        </w:rPr>
      </w:pPr>
      <w:r>
        <w:rPr>
          <w:rFonts w:eastAsia="Times New Roman"/>
        </w:rPr>
        <w:t>57</w:t>
      </w:r>
      <w:r w:rsidR="00915140">
        <w:t>.</w:t>
      </w:r>
      <w:r>
        <w:t xml:space="preserve"> </w:t>
      </w:r>
      <w:r w:rsidR="00915140">
        <w:t>Trybunał dalej zauważa, że procedura nadzoru w zakresie wykonywania wyroku wciąż jest zawisła przed Komitetem Ministrów [Rady Europy] (zob. paragraf 23 powyżej), choć to nie uniemożliwia rozpatrzenia przez Trybunał nowej skargi w zakresie, w jakim obejmuje ona</w:t>
      </w:r>
      <w:r w:rsidR="000E547C">
        <w:t> </w:t>
      </w:r>
      <w:r w:rsidR="00915140">
        <w:t>nowe aspekty, które nie zostały rozstrzygnięte w pierwotnym wyroku.</w:t>
      </w:r>
    </w:p>
    <w:p w14:paraId="2B7D99EA" w14:textId="5D0E530F" w:rsidR="00915140" w:rsidRPr="000A470D" w:rsidRDefault="00A34A1A" w:rsidP="000A470D">
      <w:pPr>
        <w:pStyle w:val="ECHRPara"/>
      </w:pPr>
      <w:r>
        <w:t>58</w:t>
      </w:r>
      <w:r w:rsidR="00915140">
        <w:t>.</w:t>
      </w:r>
      <w:r>
        <w:t xml:space="preserve"> </w:t>
      </w:r>
      <w:r w:rsidR="00915140">
        <w:t xml:space="preserve">Trybunał zatem stwierdza, że </w:t>
      </w:r>
      <w:r w:rsidR="00A74892">
        <w:t xml:space="preserve">art. </w:t>
      </w:r>
      <w:r w:rsidR="00915140">
        <w:t xml:space="preserve">46 Konwencji nie wyklucza zbadania nowej skargi na podstawie </w:t>
      </w:r>
      <w:r w:rsidR="00A74892">
        <w:t>art.</w:t>
      </w:r>
      <w:r w:rsidR="00915140">
        <w:t xml:space="preserve"> 6 Konwencji.</w:t>
      </w:r>
    </w:p>
    <w:p w14:paraId="0C867C41" w14:textId="4ED985BA" w:rsidR="00915140" w:rsidRPr="000A470D" w:rsidRDefault="00A34A1A" w:rsidP="000A470D">
      <w:pPr>
        <w:pStyle w:val="ECHRPara"/>
      </w:pPr>
      <w:r>
        <w:t>59</w:t>
      </w:r>
      <w:r w:rsidR="00915140">
        <w:t>.</w:t>
      </w:r>
      <w:r>
        <w:t xml:space="preserve"> </w:t>
      </w:r>
      <w:r w:rsidR="009F5AC1">
        <w:t>P</w:t>
      </w:r>
      <w:r w:rsidR="00915140">
        <w:t>o stwierdzeniu</w:t>
      </w:r>
      <w:r w:rsidR="009F5AC1">
        <w:t xml:space="preserve"> swej właściwości</w:t>
      </w:r>
      <w:r w:rsidR="00915140">
        <w:t xml:space="preserve"> do rozpatrzenia skargi skarżącej</w:t>
      </w:r>
      <w:r w:rsidR="009F5AC1">
        <w:t xml:space="preserve"> Trybunał</w:t>
      </w:r>
      <w:r w:rsidR="00915140">
        <w:t xml:space="preserve"> rozważy</w:t>
      </w:r>
      <w:r w:rsidR="009F5AC1">
        <w:t>,</w:t>
      </w:r>
      <w:r w:rsidR="00915140">
        <w:t xml:space="preserve"> czy </w:t>
      </w:r>
      <w:r w:rsidR="00A74892">
        <w:t xml:space="preserve">art. </w:t>
      </w:r>
      <w:r w:rsidR="00915140">
        <w:t>6 Konwencji znajduje zastosowanie do</w:t>
      </w:r>
      <w:r w:rsidR="000E547C">
        <w:t> </w:t>
      </w:r>
      <w:r w:rsidR="00915140">
        <w:t>przedmiotowego postępowania.</w:t>
      </w:r>
    </w:p>
    <w:p w14:paraId="1E597FB7" w14:textId="41BF5424" w:rsidR="00915140" w:rsidRPr="000A470D" w:rsidRDefault="00915140" w:rsidP="000A470D">
      <w:pPr>
        <w:pStyle w:val="ECHRHeading4"/>
      </w:pPr>
      <w:r>
        <w:t xml:space="preserve">(b) Czy nowa skarga skarżącej jest zgodna </w:t>
      </w:r>
      <w:r>
        <w:rPr>
          <w:i/>
          <w:iCs/>
        </w:rPr>
        <w:t>ratione materiae</w:t>
      </w:r>
      <w:r w:rsidR="00A34A1A">
        <w:rPr>
          <w:i/>
          <w:iCs/>
        </w:rPr>
        <w:t xml:space="preserve"> </w:t>
      </w:r>
      <w:r>
        <w:t xml:space="preserve">z </w:t>
      </w:r>
      <w:r w:rsidR="00A74892">
        <w:t>art.</w:t>
      </w:r>
      <w:r>
        <w:t xml:space="preserve"> 6 ust. 1 Konwencji</w:t>
      </w:r>
    </w:p>
    <w:p w14:paraId="6A854880" w14:textId="77777777" w:rsidR="00915140" w:rsidRPr="000A470D" w:rsidRDefault="00915140" w:rsidP="000A470D">
      <w:pPr>
        <w:pStyle w:val="ECHRHeading5"/>
      </w:pPr>
      <w:r>
        <w:t>(i) Zasady ogólne</w:t>
      </w:r>
    </w:p>
    <w:p w14:paraId="163B391C" w14:textId="2660A231" w:rsidR="00915140" w:rsidRPr="000A470D" w:rsidRDefault="00A34A1A" w:rsidP="000A470D">
      <w:pPr>
        <w:pStyle w:val="ECHRPara"/>
        <w:rPr>
          <w:i/>
          <w:iCs/>
        </w:rPr>
      </w:pPr>
      <w:r>
        <w:t>60</w:t>
      </w:r>
      <w:r w:rsidR="00915140">
        <w:t>.</w:t>
      </w:r>
      <w:r>
        <w:t xml:space="preserve"> </w:t>
      </w:r>
      <w:r w:rsidR="00915140">
        <w:t xml:space="preserve">Trybunał przypomina, że w sprawie </w:t>
      </w:r>
      <w:r w:rsidR="00915140">
        <w:rPr>
          <w:i/>
          <w:iCs/>
        </w:rPr>
        <w:t>Bochan (nr 2)</w:t>
      </w:r>
      <w:r w:rsidR="00915140">
        <w:t xml:space="preserve"> (cyt. powyżej)</w:t>
      </w:r>
      <w:r w:rsidR="00915140">
        <w:rPr>
          <w:snapToGrid w:val="0"/>
        </w:rPr>
        <w:t xml:space="preserve"> rozważył kwestię </w:t>
      </w:r>
      <w:r w:rsidR="009F5AC1">
        <w:rPr>
          <w:snapToGrid w:val="0"/>
        </w:rPr>
        <w:t>za</w:t>
      </w:r>
      <w:r w:rsidR="00915140">
        <w:t xml:space="preserve">stosowania </w:t>
      </w:r>
      <w:r w:rsidR="00A74892">
        <w:t>art.</w:t>
      </w:r>
      <w:r w:rsidR="00915140">
        <w:t xml:space="preserve"> 6 do środków dotyczących wznowienia postępowań cywilnych, które zakończyły się prawomocnymi orzeczeniami sądowymi. Zasady</w:t>
      </w:r>
      <w:r w:rsidR="009F5AC1">
        <w:t xml:space="preserve"> określone przez Trybunał w t</w:t>
      </w:r>
      <w:r w:rsidR="00AF63C3">
        <w:t>amt</w:t>
      </w:r>
      <w:r w:rsidR="009F5AC1">
        <w:t>ej sprawie</w:t>
      </w:r>
      <w:r w:rsidR="00915140">
        <w:t xml:space="preserve"> można podsumować następująco:</w:t>
      </w:r>
    </w:p>
    <w:p w14:paraId="790A9C25" w14:textId="48034E5F" w:rsidR="00915140" w:rsidRPr="000A470D" w:rsidRDefault="00915140" w:rsidP="000A470D">
      <w:pPr>
        <w:pStyle w:val="JuParaSub"/>
      </w:pPr>
      <w:r>
        <w:t>(a) Zgodnie z dobrze ugrun</w:t>
      </w:r>
      <w:r w:rsidR="009F5AC1">
        <w:t>towanym i trwałym orzecznictwem</w:t>
      </w:r>
      <w:r>
        <w:t xml:space="preserve"> Konwencja nie gwarantuje prawa do wznowienia zakończonej sprawy. Środki nadzwyczajne, w ramach których można ubiegać się o</w:t>
      </w:r>
      <w:r w:rsidR="000E547C">
        <w:t> </w:t>
      </w:r>
      <w:r>
        <w:t>wznowienie zakończonego postępowania sądowego</w:t>
      </w:r>
      <w:r w:rsidR="009F5AC1">
        <w:t>,</w:t>
      </w:r>
      <w:r>
        <w:t xml:space="preserve"> z reguły </w:t>
      </w:r>
      <w:r>
        <w:lastRenderedPageBreak/>
        <w:t>nie</w:t>
      </w:r>
      <w:r w:rsidR="000E547C">
        <w:t> </w:t>
      </w:r>
      <w:r>
        <w:t xml:space="preserve">obejmują rozstrzygania o „prawach i obowiązkach o charakterze cywilnym” czy też </w:t>
      </w:r>
      <w:r w:rsidR="009F5AC1">
        <w:t xml:space="preserve">o </w:t>
      </w:r>
      <w:r>
        <w:t>„oskarżeni</w:t>
      </w:r>
      <w:r w:rsidR="009F5AC1">
        <w:t>u w sprawie karnej</w:t>
      </w:r>
      <w:r>
        <w:t xml:space="preserve">”, a zatem </w:t>
      </w:r>
      <w:r w:rsidR="00A74892">
        <w:t xml:space="preserve">art. </w:t>
      </w:r>
      <w:r>
        <w:t>6 nie</w:t>
      </w:r>
      <w:r w:rsidR="000E547C">
        <w:t> </w:t>
      </w:r>
      <w:r>
        <w:t>ma do nich zastosowania. Przedmiotowe podejście zastosowano również w sprawach, gdzie o wznowienie zakończonego krajowego postępowania sądowego wnoszono na podstawie stwierdzenia przez Trybunał naruszenia Konwencji (</w:t>
      </w:r>
      <w:r>
        <w:rPr>
          <w:i/>
          <w:iCs/>
        </w:rPr>
        <w:t>ibid</w:t>
      </w:r>
      <w:r w:rsidR="009F5AC1">
        <w:t>., §§ 44</w:t>
      </w:r>
      <w:r w:rsidR="009F5AC1">
        <w:noBreakHyphen/>
        <w:t xml:space="preserve">45 i </w:t>
      </w:r>
      <w:r>
        <w:t>odwołania tamże).</w:t>
      </w:r>
    </w:p>
    <w:p w14:paraId="27152164" w14:textId="38227B56" w:rsidR="00915140" w:rsidRPr="000A470D" w:rsidRDefault="00915140" w:rsidP="000A470D">
      <w:pPr>
        <w:pStyle w:val="JuParaSub"/>
      </w:pPr>
      <w:r>
        <w:t>(b) Jednakże, gdyby środek nadzwyczajny prowadził automatycznie lub w szczególnych okolicznościach do pełnego ponownego</w:t>
      </w:r>
      <w:r w:rsidR="009F5AC1">
        <w:t xml:space="preserve"> </w:t>
      </w:r>
      <w:r w:rsidR="009F5AC1" w:rsidRPr="00F73180">
        <w:t>rozpatrzenia</w:t>
      </w:r>
      <w:r w:rsidRPr="00F73180">
        <w:t xml:space="preserve"> sprawy, </w:t>
      </w:r>
      <w:r w:rsidR="00A74892" w:rsidRPr="00F73180">
        <w:t xml:space="preserve">art. </w:t>
      </w:r>
      <w:r w:rsidRPr="00F73180">
        <w:t xml:space="preserve">6 znajduje zastosowanie w sposób typowy do </w:t>
      </w:r>
      <w:r>
        <w:t xml:space="preserve">„ponownego” </w:t>
      </w:r>
      <w:r w:rsidR="006B400B" w:rsidRPr="00F73180">
        <w:t>postępowania</w:t>
      </w:r>
      <w:r>
        <w:t>.</w:t>
      </w:r>
      <w:r w:rsidR="009F5AC1" w:rsidRPr="00F73180">
        <w:t xml:space="preserve"> Dodatkowo</w:t>
      </w:r>
      <w:r w:rsidRPr="00F73180">
        <w:t xml:space="preserve"> </w:t>
      </w:r>
      <w:r w:rsidR="00A74892" w:rsidRPr="00F73180">
        <w:t>art.</w:t>
      </w:r>
      <w:r w:rsidR="00A74892">
        <w:t xml:space="preserve"> </w:t>
      </w:r>
      <w:r>
        <w:t>6 również znajduje zastosowanie w</w:t>
      </w:r>
      <w:r w:rsidR="00237D00">
        <w:t> </w:t>
      </w:r>
      <w:r>
        <w:t xml:space="preserve">pewnych przypadkach, </w:t>
      </w:r>
      <w:r w:rsidR="009F5AC1">
        <w:t>w których</w:t>
      </w:r>
      <w:r>
        <w:t xml:space="preserve"> postępowanie, choć określane jako „nadzwyczajne” lub „wyjątkowe</w:t>
      </w:r>
      <w:r w:rsidR="009F5AC1">
        <w:t>” w</w:t>
      </w:r>
      <w:r w:rsidR="000E547C">
        <w:t> </w:t>
      </w:r>
      <w:r w:rsidR="009F5AC1">
        <w:t>przepisach krajowych, uzna</w:t>
      </w:r>
      <w:r>
        <w:t>ne został</w:t>
      </w:r>
      <w:r w:rsidR="0074464B">
        <w:t>o</w:t>
      </w:r>
      <w:r>
        <w:t xml:space="preserve"> za podobne w </w:t>
      </w:r>
      <w:r w:rsidR="009F5AC1">
        <w:t xml:space="preserve">swym charakterze i </w:t>
      </w:r>
      <w:r>
        <w:t xml:space="preserve">zakresie do zwykłego postępowania odwoławczego, </w:t>
      </w:r>
      <w:r w:rsidR="009F5AC1">
        <w:t xml:space="preserve">ponieważ </w:t>
      </w:r>
      <w:r>
        <w:t xml:space="preserve">krajowa </w:t>
      </w:r>
      <w:r w:rsidRPr="0074464B">
        <w:t>charaktery</w:t>
      </w:r>
      <w:r w:rsidR="0074464B" w:rsidRPr="0074464B">
        <w:t>styka</w:t>
      </w:r>
      <w:r>
        <w:t xml:space="preserve"> postępowania nie </w:t>
      </w:r>
      <w:r w:rsidR="0074464B">
        <w:t>jest</w:t>
      </w:r>
      <w:r>
        <w:t xml:space="preserve"> uznawana za decydującą przy</w:t>
      </w:r>
      <w:r w:rsidR="000E547C">
        <w:t> </w:t>
      </w:r>
      <w:r>
        <w:t>określaniu dopuszczalności (</w:t>
      </w:r>
      <w:r>
        <w:rPr>
          <w:i/>
          <w:iCs/>
        </w:rPr>
        <w:t>ibid</w:t>
      </w:r>
      <w:r>
        <w:t>.,</w:t>
      </w:r>
      <w:r>
        <w:rPr>
          <w:i/>
          <w:iCs/>
        </w:rPr>
        <w:t xml:space="preserve"> </w:t>
      </w:r>
      <w:r>
        <w:t>§§ 46-47).</w:t>
      </w:r>
    </w:p>
    <w:p w14:paraId="70AECD2C" w14:textId="5B6B1CA5" w:rsidR="00915140" w:rsidRPr="000A470D" w:rsidRDefault="00915140" w:rsidP="000A470D">
      <w:pPr>
        <w:pStyle w:val="JuParaSub"/>
      </w:pPr>
      <w:r>
        <w:t xml:space="preserve">(c) Podsumowując, o ile </w:t>
      </w:r>
      <w:r w:rsidR="00A74892">
        <w:t xml:space="preserve">art. </w:t>
      </w:r>
      <w:r>
        <w:t>6 ust. 1 nie ma z reguły zastosowania do</w:t>
      </w:r>
      <w:r w:rsidR="000E547C">
        <w:t> </w:t>
      </w:r>
      <w:r>
        <w:t>środków nadzwyczajnych, w ramach których można ubiegać się o</w:t>
      </w:r>
      <w:r w:rsidR="000E547C">
        <w:t> </w:t>
      </w:r>
      <w:r>
        <w:t>wznowienie zakończonych postępowań sądowych, charakter, zakres i</w:t>
      </w:r>
      <w:r w:rsidR="000E547C">
        <w:t> </w:t>
      </w:r>
      <w:r>
        <w:t xml:space="preserve">cechy charakterystyczne danego postępowania w danym systemie prawnym mogą być takie, iż sprawią, że procedura ta będzie mieścić się w zakresie obowiązywania </w:t>
      </w:r>
      <w:r w:rsidR="00A74892">
        <w:t>art.</w:t>
      </w:r>
      <w:r>
        <w:t xml:space="preserve"> 6 ust. 1 oraz gwarancji </w:t>
      </w:r>
      <w:r w:rsidR="009F5AC1">
        <w:t xml:space="preserve">rzetelnego </w:t>
      </w:r>
      <w:r>
        <w:t>procesu, któr</w:t>
      </w:r>
      <w:r w:rsidR="0074464B">
        <w:t>e</w:t>
      </w:r>
      <w:r>
        <w:t xml:space="preserve"> </w:t>
      </w:r>
      <w:r w:rsidR="009F5AC1">
        <w:t>zapewnia</w:t>
      </w:r>
      <w:r>
        <w:t xml:space="preserve"> stronom sporu </w:t>
      </w:r>
      <w:r w:rsidR="0074464B">
        <w:t xml:space="preserve">to postanowienie </w:t>
      </w:r>
      <w:r>
        <w:t>(</w:t>
      </w:r>
      <w:r>
        <w:rPr>
          <w:i/>
          <w:iCs/>
        </w:rPr>
        <w:t>ibid</w:t>
      </w:r>
      <w:r>
        <w:t>.,</w:t>
      </w:r>
      <w:r>
        <w:rPr>
          <w:i/>
          <w:iCs/>
        </w:rPr>
        <w:t xml:space="preserve"> </w:t>
      </w:r>
      <w:r>
        <w:t>§ 50).</w:t>
      </w:r>
    </w:p>
    <w:p w14:paraId="7D01F4A3" w14:textId="1DE25C46" w:rsidR="00915140" w:rsidRPr="000A470D" w:rsidRDefault="00A34A1A" w:rsidP="000A470D">
      <w:pPr>
        <w:pStyle w:val="ECHRPara"/>
      </w:pPr>
      <w:r>
        <w:t>61</w:t>
      </w:r>
      <w:r w:rsidR="00915140">
        <w:t>.</w:t>
      </w:r>
      <w:r>
        <w:t xml:space="preserve"> </w:t>
      </w:r>
      <w:r w:rsidR="00915140">
        <w:t xml:space="preserve">W kontekście postępowań karnych Trybunał stwierdził, że </w:t>
      </w:r>
      <w:r w:rsidR="00A74892">
        <w:t xml:space="preserve">art. </w:t>
      </w:r>
      <w:r w:rsidR="00915140">
        <w:t>6 nie</w:t>
      </w:r>
      <w:r w:rsidR="000E547C">
        <w:t> </w:t>
      </w:r>
      <w:r w:rsidR="00915140">
        <w:t>ma zastosowania do wniosków o ich wznowienie, mając na uwadze fakt</w:t>
      </w:r>
      <w:r w:rsidR="009F5AC1">
        <w:t>,</w:t>
      </w:r>
      <w:r w:rsidR="00915140">
        <w:t xml:space="preserve"> że </w:t>
      </w:r>
      <w:r w:rsidR="0074464B">
        <w:t xml:space="preserve">składając taki wniosek, </w:t>
      </w:r>
      <w:r w:rsidR="00915140">
        <w:t>osoba prawomocnie</w:t>
      </w:r>
      <w:r w:rsidR="000171A6" w:rsidRPr="000171A6">
        <w:t xml:space="preserve"> </w:t>
      </w:r>
      <w:r w:rsidR="000171A6">
        <w:t>skazana</w:t>
      </w:r>
      <w:r w:rsidR="00915140">
        <w:t xml:space="preserve"> nie jest „oskarżona o przestępstwo” w rozumieniu przedmiotowego </w:t>
      </w:r>
      <w:r w:rsidR="00A74892">
        <w:t>art</w:t>
      </w:r>
      <w:r w:rsidR="009F5AC1">
        <w:t>ykułu</w:t>
      </w:r>
      <w:r w:rsidR="000171A6">
        <w:t>. Podobnie</w:t>
      </w:r>
      <w:r w:rsidR="00915140">
        <w:t xml:space="preserve"> </w:t>
      </w:r>
      <w:r w:rsidR="00A74892">
        <w:t xml:space="preserve">art. </w:t>
      </w:r>
      <w:r w:rsidR="00915140">
        <w:t xml:space="preserve">6 nie ma zastosowania do </w:t>
      </w:r>
      <w:r w:rsidR="0074464B" w:rsidRPr="00723479">
        <w:t xml:space="preserve">zarzutu </w:t>
      </w:r>
      <w:r w:rsidR="000171A6" w:rsidRPr="00723479">
        <w:t>nieważności</w:t>
      </w:r>
      <w:r w:rsidR="0074464B">
        <w:t xml:space="preserve"> </w:t>
      </w:r>
      <w:r w:rsidR="00723479">
        <w:t xml:space="preserve">w interesie prawa </w:t>
      </w:r>
      <w:r w:rsidR="00915140">
        <w:t>wniesione</w:t>
      </w:r>
      <w:r w:rsidR="0074464B">
        <w:t>go</w:t>
      </w:r>
      <w:r w:rsidR="00915140">
        <w:t xml:space="preserve"> </w:t>
      </w:r>
      <w:r w:rsidR="00BE3D1D">
        <w:t xml:space="preserve">w celu </w:t>
      </w:r>
      <w:r w:rsidR="00723479">
        <w:t>u</w:t>
      </w:r>
      <w:r w:rsidR="00513928">
        <w:t>chylenia</w:t>
      </w:r>
      <w:r w:rsidR="00915140">
        <w:t xml:space="preserve"> prawomocnego wyroku skazującego po stwierdzeniu przez Trybunał naruszenia, jako że dana osoba nie jest „oskarżona o</w:t>
      </w:r>
      <w:r w:rsidR="000E547C">
        <w:t> </w:t>
      </w:r>
      <w:r w:rsidR="00915140">
        <w:t xml:space="preserve">przestępstwo” w takim postępowaniu (zob. np. </w:t>
      </w:r>
      <w:r w:rsidR="00915140">
        <w:rPr>
          <w:i/>
          <w:iCs/>
        </w:rPr>
        <w:t>Fischer przeciwko Austrii</w:t>
      </w:r>
      <w:r w:rsidR="00915140">
        <w:t xml:space="preserve"> (dec.), nr 27569/02, ECHR 2003-VI, oraz </w:t>
      </w:r>
      <w:r w:rsidR="00915140">
        <w:rPr>
          <w:i/>
          <w:iCs/>
        </w:rPr>
        <w:t>Öcalan przeciwko Turcji</w:t>
      </w:r>
      <w:r w:rsidR="00915140">
        <w:t xml:space="preserve"> (dec.), nr 5980/07, 6 lipca 2010 r.).</w:t>
      </w:r>
    </w:p>
    <w:p w14:paraId="4F130188" w14:textId="660A4645" w:rsidR="00915140" w:rsidRPr="000A470D" w:rsidRDefault="00A34A1A" w:rsidP="000A470D">
      <w:pPr>
        <w:pStyle w:val="ECHRPara"/>
      </w:pPr>
      <w:r>
        <w:t>62</w:t>
      </w:r>
      <w:r w:rsidR="00915140">
        <w:t>.</w:t>
      </w:r>
      <w:r>
        <w:t xml:space="preserve"> </w:t>
      </w:r>
      <w:r w:rsidR="00915140">
        <w:t xml:space="preserve">Pozostając w obszarze prawa karnego, Trybunał uznał, że wymogi pewności prawa nie są bezwzględne. Względy takie jak pojawienie się nowych faktów, odkrycie fundamentalnego błędu w poprzednim postępowaniu, który mógłby mieć wpływ na wynik sprawy, lub też potrzeba zapewnienia </w:t>
      </w:r>
      <w:r w:rsidR="00915140" w:rsidRPr="002A4FB1">
        <w:t>zadośćuczynienia,</w:t>
      </w:r>
      <w:r w:rsidR="00915140">
        <w:t xml:space="preserve"> szczególnie w kontekście wykonywania wyroków Trybunału, przemawiają za wznowieniem postępowania. </w:t>
      </w:r>
      <w:r w:rsidR="0074464B">
        <w:t>W</w:t>
      </w:r>
      <w:r w:rsidR="000E547C">
        <w:t> </w:t>
      </w:r>
      <w:r w:rsidR="0074464B">
        <w:t>związku z tym</w:t>
      </w:r>
      <w:r w:rsidR="00915140">
        <w:t xml:space="preserve"> Trybunał uznał, że sama możliwość wznowienia sprawy karnej jest co do zasady zgodna z Konwencją (zob. </w:t>
      </w:r>
      <w:r w:rsidR="00915140">
        <w:rPr>
          <w:i/>
          <w:iCs/>
        </w:rPr>
        <w:t>Nikitin przeciwko Rosji</w:t>
      </w:r>
      <w:r w:rsidR="00915140">
        <w:t>, nr 50178/99, §§ 55-57, ECHR 2004</w:t>
      </w:r>
      <w:r w:rsidR="00915140">
        <w:noBreakHyphen/>
        <w:t>VIII). Jednakże podkreślił, że</w:t>
      </w:r>
      <w:r w:rsidR="000E547C">
        <w:t> </w:t>
      </w:r>
      <w:r w:rsidR="00915140">
        <w:t xml:space="preserve">uprawnienie sądów wyższej instancji do </w:t>
      </w:r>
      <w:r w:rsidR="00915140" w:rsidRPr="00A525C7">
        <w:t xml:space="preserve">rewizji powinno być wykonywane wyłącznie celem naprawienia błędów sądowych </w:t>
      </w:r>
      <w:r w:rsidR="00915140" w:rsidRPr="00A525C7">
        <w:lastRenderedPageBreak/>
        <w:t>i</w:t>
      </w:r>
      <w:r w:rsidR="000E547C">
        <w:t> </w:t>
      </w:r>
      <w:r w:rsidR="00915140" w:rsidRPr="00A525C7">
        <w:t xml:space="preserve">niesprawiedliwości wyrządzonych przez </w:t>
      </w:r>
      <w:r w:rsidR="00A525C7">
        <w:t>wymiar</w:t>
      </w:r>
      <w:r w:rsidR="00915140" w:rsidRPr="00A525C7">
        <w:t xml:space="preserve"> sprawiedliwości,</w:t>
      </w:r>
      <w:r w:rsidR="00915140">
        <w:t xml:space="preserve"> a</w:t>
      </w:r>
      <w:r w:rsidR="000E547C">
        <w:t> </w:t>
      </w:r>
      <w:r w:rsidR="00915140">
        <w:t>nie</w:t>
      </w:r>
      <w:r w:rsidR="000E547C">
        <w:t> </w:t>
      </w:r>
      <w:r w:rsidR="00915140">
        <w:t>w</w:t>
      </w:r>
      <w:r w:rsidR="000E547C">
        <w:t> </w:t>
      </w:r>
      <w:r w:rsidR="00915140">
        <w:t>celu</w:t>
      </w:r>
      <w:r w:rsidR="00F73180">
        <w:t xml:space="preserve"> </w:t>
      </w:r>
      <w:r w:rsidR="00F73180" w:rsidRPr="000E547C">
        <w:t>nowego</w:t>
      </w:r>
      <w:r w:rsidR="00915140" w:rsidRPr="000E547C">
        <w:t xml:space="preserve"> </w:t>
      </w:r>
      <w:r w:rsidR="002958CA" w:rsidRPr="000E547C">
        <w:t>r</w:t>
      </w:r>
      <w:r w:rsidR="002958CA">
        <w:t>ozpatrzenia</w:t>
      </w:r>
      <w:r w:rsidR="00F73180" w:rsidRPr="00F73180">
        <w:t xml:space="preserve"> </w:t>
      </w:r>
      <w:r w:rsidR="00915140" w:rsidRPr="00F73180">
        <w:t>spraw.</w:t>
      </w:r>
      <w:r w:rsidR="00915140">
        <w:t xml:space="preserve"> Rewizji nie należy traktować jako „odwołania w przebraniu”, a sama możliwość istnienia dwóch poglądów na przedmiotowy temat nie jest podstawą do </w:t>
      </w:r>
      <w:r w:rsidR="00915140" w:rsidRPr="00F73180">
        <w:t>powtórnego rozpatrzenia</w:t>
      </w:r>
      <w:r w:rsidR="00915140">
        <w:t>. Odejście od tej zasady jest uzasadnione wyłącznie wtedy, kiedy stanie się to</w:t>
      </w:r>
      <w:r w:rsidR="000E547C">
        <w:t> </w:t>
      </w:r>
      <w:r w:rsidR="00915140">
        <w:t xml:space="preserve">niezbędne wskutek okoliczności </w:t>
      </w:r>
      <w:r w:rsidR="00915140" w:rsidRPr="006C48C1">
        <w:t>o istotnym i ważkim</w:t>
      </w:r>
      <w:r w:rsidR="00915140">
        <w:t xml:space="preserve"> charakterze (zob.</w:t>
      </w:r>
      <w:r w:rsidR="000E547C">
        <w:t> </w:t>
      </w:r>
      <w:r w:rsidR="00915140">
        <w:rPr>
          <w:i/>
          <w:iCs/>
        </w:rPr>
        <w:t>Bujniţa przeciwko Mołdawii</w:t>
      </w:r>
      <w:r w:rsidR="00915140">
        <w:t xml:space="preserve">, nr 36492/02, § 20, 16 stycznia 2007 r., oraz </w:t>
      </w:r>
      <w:r w:rsidR="00915140">
        <w:rPr>
          <w:i/>
          <w:iCs/>
        </w:rPr>
        <w:t>Bota przeciwko Rumunii</w:t>
      </w:r>
      <w:r w:rsidR="00915140">
        <w:t>, nr 16382/03, §§ 33 i 34, 4 listopada 2008 r.</w:t>
      </w:r>
      <w:r w:rsidR="00915140">
        <w:rPr>
          <w:snapToGrid w:val="0"/>
        </w:rPr>
        <w:t>).</w:t>
      </w:r>
    </w:p>
    <w:p w14:paraId="272EA309" w14:textId="3A3FE63A" w:rsidR="00915140" w:rsidRPr="000A470D" w:rsidRDefault="00A34A1A" w:rsidP="000A470D">
      <w:pPr>
        <w:pStyle w:val="ECHRPara"/>
      </w:pPr>
      <w:r>
        <w:t>63</w:t>
      </w:r>
      <w:r w:rsidR="00915140">
        <w:t>.</w:t>
      </w:r>
      <w:r>
        <w:t xml:space="preserve"> </w:t>
      </w:r>
      <w:r w:rsidR="00915140">
        <w:t xml:space="preserve">Trybunał zatem stwierdził, że skazanie ignorujące kluczowe dowody stanowi </w:t>
      </w:r>
      <w:r w:rsidR="00915140" w:rsidRPr="006C48C1">
        <w:t>niesprawiedliwość wyrządzoną przez wymiar sprawiedliwości i</w:t>
      </w:r>
      <w:r w:rsidR="000E547C">
        <w:t> </w:t>
      </w:r>
      <w:r w:rsidR="00915140" w:rsidRPr="006C48C1">
        <w:t>pozostawianie takich błędów bez korekty może w poważny sposób naruszyć</w:t>
      </w:r>
      <w:r w:rsidR="00915140">
        <w:t xml:space="preserve"> </w:t>
      </w:r>
      <w:r w:rsidR="000171A6">
        <w:t>rzeteln</w:t>
      </w:r>
      <w:r w:rsidR="00915140">
        <w:t xml:space="preserve">ość, integralność i reputację publiczną postępowań sądowych (zob. </w:t>
      </w:r>
      <w:r w:rsidR="00915140">
        <w:rPr>
          <w:i/>
          <w:iCs/>
        </w:rPr>
        <w:t>Lenskaya przeciwko Rosji</w:t>
      </w:r>
      <w:r w:rsidR="00915140">
        <w:t>, nr 28730/03, §§ 39 i 40, 29</w:t>
      </w:r>
      <w:r w:rsidR="000E547C">
        <w:t> </w:t>
      </w:r>
      <w:r w:rsidR="00915140">
        <w:t xml:space="preserve">stycznia 2009 r., oraz </w:t>
      </w:r>
      <w:r w:rsidR="00915140">
        <w:rPr>
          <w:i/>
          <w:iCs/>
        </w:rPr>
        <w:t>Giuran przeciwko Rumunii</w:t>
      </w:r>
      <w:r w:rsidR="00915140">
        <w:t>, nr 24360/04, § 39, ECHR 2011 (fragmenty)). Podobnie Trybunał stwierdził, że utrzymanie, po</w:t>
      </w:r>
      <w:r w:rsidR="000E547C">
        <w:t> </w:t>
      </w:r>
      <w:r w:rsidR="00915140">
        <w:t>postępowaniu rewizyjnym, skazania, które naruszyło prawo do</w:t>
      </w:r>
      <w:r w:rsidR="000E547C">
        <w:t> </w:t>
      </w:r>
      <w:r w:rsidR="000171A6">
        <w:t xml:space="preserve">rzetelnego </w:t>
      </w:r>
      <w:r w:rsidR="00915140">
        <w:t>procesu</w:t>
      </w:r>
      <w:r w:rsidR="000171A6">
        <w:t xml:space="preserve"> sądowego</w:t>
      </w:r>
      <w:r w:rsidR="00915140">
        <w:t xml:space="preserve">, stanowiło błąd oceny, który </w:t>
      </w:r>
      <w:r w:rsidR="000171A6" w:rsidRPr="00A525C7">
        <w:t>utrwalił naruszenie</w:t>
      </w:r>
      <w:r w:rsidR="00915140" w:rsidRPr="00A525C7">
        <w:t xml:space="preserve"> (zob. </w:t>
      </w:r>
      <w:r w:rsidR="00915140" w:rsidRPr="00A525C7">
        <w:rPr>
          <w:i/>
          <w:iCs/>
        </w:rPr>
        <w:t>Yaremenko przeciwko Ukrainie (nr 2)</w:t>
      </w:r>
      <w:r w:rsidR="00915140" w:rsidRPr="00A525C7">
        <w:t>, nr 66338/</w:t>
      </w:r>
      <w:r w:rsidR="00915140">
        <w:t>09</w:t>
      </w:r>
      <w:r w:rsidR="00915140">
        <w:rPr>
          <w:snapToGrid w:val="0"/>
        </w:rPr>
        <w:t>, §§ 52-56 i 64-67, 30 </w:t>
      </w:r>
      <w:r w:rsidR="00915140">
        <w:t>kwietnia</w:t>
      </w:r>
      <w:r w:rsidR="00915140">
        <w:rPr>
          <w:snapToGrid w:val="0"/>
        </w:rPr>
        <w:t xml:space="preserve"> 2015 r.). Z drugiej strony</w:t>
      </w:r>
      <w:r w:rsidR="00915140">
        <w:t xml:space="preserve">, arbitralne wznawianie postępowań karnych, w szczególności na niekorzyść osoby skazanej, narusza prawo do </w:t>
      </w:r>
      <w:r w:rsidR="000171A6">
        <w:t xml:space="preserve">rzetelnego </w:t>
      </w:r>
      <w:r w:rsidR="00915140">
        <w:t xml:space="preserve">procesu </w:t>
      </w:r>
      <w:r w:rsidR="000171A6">
        <w:t xml:space="preserve">sądowego </w:t>
      </w:r>
      <w:r w:rsidR="00915140">
        <w:t xml:space="preserve">(zob. </w:t>
      </w:r>
      <w:r w:rsidR="00915140">
        <w:rPr>
          <w:i/>
          <w:iCs/>
        </w:rPr>
        <w:t>Savinskiy przeciwko Ukrainie</w:t>
      </w:r>
      <w:r w:rsidR="00915140">
        <w:t xml:space="preserve">, nr 6965/02, § 25, 28 lutego 2006 r., </w:t>
      </w:r>
      <w:r w:rsidR="00915140">
        <w:rPr>
          <w:i/>
          <w:iCs/>
        </w:rPr>
        <w:t>Radchikov przeciwko Rosji</w:t>
      </w:r>
      <w:r w:rsidR="00915140">
        <w:t xml:space="preserve">, nr 65582/01, § 48, 24 maja 2007 r.; oraz </w:t>
      </w:r>
      <w:r w:rsidR="00915140">
        <w:rPr>
          <w:i/>
          <w:iCs/>
        </w:rPr>
        <w:t>Ştefan przeciwko Rumunii</w:t>
      </w:r>
      <w:r w:rsidR="00915140">
        <w:t>, nr</w:t>
      </w:r>
      <w:r w:rsidR="000E547C">
        <w:t> </w:t>
      </w:r>
      <w:r w:rsidR="00915140">
        <w:t>28319/03</w:t>
      </w:r>
      <w:r w:rsidR="00915140">
        <w:rPr>
          <w:snapToGrid w:val="0"/>
        </w:rPr>
        <w:t xml:space="preserve">, § 18, 6 </w:t>
      </w:r>
      <w:r w:rsidR="00915140">
        <w:t>kwietnia</w:t>
      </w:r>
      <w:r w:rsidR="00915140">
        <w:rPr>
          <w:snapToGrid w:val="0"/>
        </w:rPr>
        <w:t xml:space="preserve"> 2010 r.).</w:t>
      </w:r>
    </w:p>
    <w:p w14:paraId="433167F0" w14:textId="6D24B843" w:rsidR="00915140" w:rsidRPr="000A470D" w:rsidRDefault="00A34A1A" w:rsidP="000A470D">
      <w:pPr>
        <w:pStyle w:val="ECHRPara"/>
        <w:rPr>
          <w:rFonts w:eastAsia="Times New Roman"/>
        </w:rPr>
      </w:pPr>
      <w:r>
        <w:t>64</w:t>
      </w:r>
      <w:r w:rsidR="00915140">
        <w:t>.</w:t>
      </w:r>
      <w:r>
        <w:t xml:space="preserve"> </w:t>
      </w:r>
      <w:r w:rsidR="00915140">
        <w:t xml:space="preserve">Trybunał </w:t>
      </w:r>
      <w:r w:rsidR="000171A6">
        <w:t xml:space="preserve">rozważył </w:t>
      </w:r>
      <w:r w:rsidR="00915140">
        <w:t>również inne etapy postępowania karnego, kiedy</w:t>
      </w:r>
      <w:r w:rsidR="000E547C">
        <w:t> </w:t>
      </w:r>
      <w:r w:rsidR="00915140">
        <w:t>to skarżący nie</w:t>
      </w:r>
      <w:r w:rsidR="00A525C7">
        <w:t xml:space="preserve"> byli</w:t>
      </w:r>
      <w:r w:rsidR="00915140">
        <w:t xml:space="preserve"> już „osobami oskarżonymi o przestępstwo”</w:t>
      </w:r>
      <w:r w:rsidR="000171A6">
        <w:t>,</w:t>
      </w:r>
      <w:r w:rsidR="00915140">
        <w:t xml:space="preserve"> lecz</w:t>
      </w:r>
      <w:r w:rsidR="000E547C">
        <w:t> </w:t>
      </w:r>
      <w:r w:rsidR="00915140">
        <w:t xml:space="preserve">osobami „skazanymi” wskutek </w:t>
      </w:r>
      <w:r w:rsidR="000171A6">
        <w:t>orzeczeń</w:t>
      </w:r>
      <w:r w:rsidR="00915140">
        <w:t xml:space="preserve"> sądów uznanych za</w:t>
      </w:r>
      <w:r w:rsidR="000E547C">
        <w:t> </w:t>
      </w:r>
      <w:r w:rsidR="00915140">
        <w:t xml:space="preserve">prawomocne na mocy prawa krajowego. </w:t>
      </w:r>
      <w:r w:rsidR="00EE3CFF">
        <w:t>Zważywszy</w:t>
      </w:r>
      <w:r w:rsidR="00915140">
        <w:t xml:space="preserve"> że pojęcie</w:t>
      </w:r>
      <w:r>
        <w:t xml:space="preserve"> </w:t>
      </w:r>
      <w:r w:rsidR="00915140">
        <w:t>„</w:t>
      </w:r>
      <w:r w:rsidR="000171A6">
        <w:t>oskarżenia w sprawie karnej</w:t>
      </w:r>
      <w:r w:rsidR="00915140">
        <w:t>” jest pojęciem autonomicznym</w:t>
      </w:r>
      <w:r w:rsidR="000171A6">
        <w:t>,</w:t>
      </w:r>
      <w:r w:rsidR="00915140">
        <w:t xml:space="preserve"> oraz mając na</w:t>
      </w:r>
      <w:r w:rsidR="000E547C">
        <w:t> </w:t>
      </w:r>
      <w:r w:rsidR="00915140">
        <w:t xml:space="preserve">uwadze wpływ, jaki procedura </w:t>
      </w:r>
      <w:r w:rsidR="00EE3CFF">
        <w:t xml:space="preserve">kasacyjna </w:t>
      </w:r>
      <w:r w:rsidR="00915140">
        <w:t xml:space="preserve">może mieć na </w:t>
      </w:r>
      <w:r w:rsidR="00EE3CFF">
        <w:t xml:space="preserve">rozstrzyganie </w:t>
      </w:r>
      <w:r w:rsidR="00915140">
        <w:t>z</w:t>
      </w:r>
      <w:r w:rsidR="00EE3CFF">
        <w:t>arzutu karnego, w tym możliwość</w:t>
      </w:r>
      <w:r w:rsidR="00915140">
        <w:t xml:space="preserve"> skorygowania błędów prawnych, Trybunał stwierdził, że taka procedura jest objęta gwarancjami </w:t>
      </w:r>
      <w:r w:rsidR="00A74892">
        <w:t>art.</w:t>
      </w:r>
      <w:r w:rsidR="00915140">
        <w:t xml:space="preserve"> 6 (zob.</w:t>
      </w:r>
      <w:r w:rsidR="000E547C">
        <w:t> </w:t>
      </w:r>
      <w:r w:rsidR="00915140">
        <w:rPr>
          <w:i/>
          <w:iCs/>
        </w:rPr>
        <w:t xml:space="preserve">Meftah i </w:t>
      </w:r>
      <w:r w:rsidR="00196B82">
        <w:rPr>
          <w:i/>
          <w:iCs/>
        </w:rPr>
        <w:t xml:space="preserve">Inni </w:t>
      </w:r>
      <w:r w:rsidR="00915140">
        <w:rPr>
          <w:i/>
          <w:iCs/>
        </w:rPr>
        <w:t>przeciwko Francji</w:t>
      </w:r>
      <w:r w:rsidR="00EE3CFF">
        <w:t xml:space="preserve"> [WI], nr</w:t>
      </w:r>
      <w:r w:rsidR="00915140">
        <w:t xml:space="preserve"> 32911/96, 35237/97 i</w:t>
      </w:r>
      <w:r w:rsidR="000E547C">
        <w:t> </w:t>
      </w:r>
      <w:r w:rsidR="00915140">
        <w:t>34595/97, § 40, ECHR 2002</w:t>
      </w:r>
      <w:r w:rsidR="00915140">
        <w:noBreakHyphen/>
        <w:t xml:space="preserve">VII), nawet jeżeli </w:t>
      </w:r>
      <w:r w:rsidR="00EE3CFF">
        <w:t xml:space="preserve">w prawie krajowym jest ona </w:t>
      </w:r>
      <w:r w:rsidR="00915140">
        <w:t xml:space="preserve">traktowana jako środek nadzwyczajny i dotyczy wyroku, wobec którego nie można odwołać się przy zastosowaniu zwykłego odwołania. </w:t>
      </w:r>
      <w:r w:rsidR="00A525C7">
        <w:t>Analogicznie</w:t>
      </w:r>
      <w:r w:rsidR="00915140">
        <w:t xml:space="preserve"> Trybunał uznał, że gwarancje z </w:t>
      </w:r>
      <w:r w:rsidR="00A74892">
        <w:t>art.</w:t>
      </w:r>
      <w:r w:rsidR="00915140">
        <w:t xml:space="preserve"> 6 znajdują zastosowanie do postępowań karnych, w których sąd właściwy rozpoczął od analizowania dopuszczalności wniosku o zgodę na złożenie odwołania </w:t>
      </w:r>
      <w:r w:rsidR="00EE3CFF">
        <w:t xml:space="preserve">w celu </w:t>
      </w:r>
      <w:r w:rsidR="00915140">
        <w:t xml:space="preserve">uzyskania uchylenia wyroku skazującego (zob. </w:t>
      </w:r>
      <w:r w:rsidR="00915140">
        <w:rPr>
          <w:i/>
          <w:iCs/>
        </w:rPr>
        <w:t>Monnell i Morris przeciwko Wielkiej Brytanii</w:t>
      </w:r>
      <w:r w:rsidR="00915140">
        <w:t>, 2 marca 1987 r., § 54, seria A nr 115).</w:t>
      </w:r>
    </w:p>
    <w:p w14:paraId="596D2998" w14:textId="11A359F8" w:rsidR="00915140" w:rsidRPr="000A470D" w:rsidRDefault="00A34A1A" w:rsidP="000A470D">
      <w:pPr>
        <w:pStyle w:val="ECHRPara"/>
        <w:rPr>
          <w:rFonts w:eastAsia="Times New Roman"/>
        </w:rPr>
      </w:pPr>
      <w:r>
        <w:rPr>
          <w:rFonts w:eastAsia="Times New Roman"/>
        </w:rPr>
        <w:t>65</w:t>
      </w:r>
      <w:r w:rsidR="00915140">
        <w:t>.</w:t>
      </w:r>
      <w:r>
        <w:t xml:space="preserve"> </w:t>
      </w:r>
      <w:r w:rsidR="00915140">
        <w:t xml:space="preserve">Z zasad ogólnych omówionych powyżej wynika, że </w:t>
      </w:r>
      <w:r w:rsidR="00A74892">
        <w:t xml:space="preserve">art. </w:t>
      </w:r>
      <w:r w:rsidR="00915140">
        <w:t xml:space="preserve">6 Konwencji znajduje zastosowanie, w aspekcie karnym, do postępowań karnych dotyczących środków zaklasyfikowanych jako nadzwyczajne w prawie </w:t>
      </w:r>
      <w:r w:rsidR="00915140">
        <w:lastRenderedPageBreak/>
        <w:t>krajowym, gd</w:t>
      </w:r>
      <w:r w:rsidR="00A525C7">
        <w:t>y</w:t>
      </w:r>
      <w:r w:rsidR="00915140">
        <w:t xml:space="preserve"> sąd krajowy zosta</w:t>
      </w:r>
      <w:r w:rsidR="00EE3CFF">
        <w:t>je</w:t>
      </w:r>
      <w:r w:rsidR="00915140">
        <w:t xml:space="preserve"> wezwany do </w:t>
      </w:r>
      <w:r w:rsidR="00EE3CFF">
        <w:t xml:space="preserve">rozstrzygnięcia </w:t>
      </w:r>
      <w:r w:rsidR="00915140">
        <w:t xml:space="preserve">zarzutu. Trybunał analizuje zatem kwestię </w:t>
      </w:r>
      <w:r w:rsidR="00A525C7">
        <w:t>zastosowalnośc</w:t>
      </w:r>
      <w:r w:rsidR="00915140">
        <w:t xml:space="preserve">i </w:t>
      </w:r>
      <w:r w:rsidR="00A74892">
        <w:t>art.</w:t>
      </w:r>
      <w:r w:rsidR="00915140">
        <w:t xml:space="preserve"> 6 </w:t>
      </w:r>
      <w:r w:rsidR="00A525C7">
        <w:t xml:space="preserve">do </w:t>
      </w:r>
      <w:r w:rsidR="00915140">
        <w:t>środków nadzwyczajnych</w:t>
      </w:r>
      <w:r w:rsidR="00EE3CFF">
        <w:t>,</w:t>
      </w:r>
      <w:r w:rsidR="00915140">
        <w:t xml:space="preserve"> </w:t>
      </w:r>
      <w:r w:rsidR="00EE3CFF">
        <w:t>próbując ustalić</w:t>
      </w:r>
      <w:r w:rsidR="00915140">
        <w:t>, czy w trakcie rozważania przedmiotowego środka sąd krajowy miał obo</w:t>
      </w:r>
      <w:r w:rsidR="00915140" w:rsidRPr="00A525C7">
        <w:t xml:space="preserve">wiązek </w:t>
      </w:r>
      <w:r w:rsidR="00EE3CFF" w:rsidRPr="00A525C7">
        <w:t xml:space="preserve">rozstrzygnąć </w:t>
      </w:r>
      <w:r w:rsidR="00915140" w:rsidRPr="00A525C7">
        <w:t>zarzut karny.</w:t>
      </w:r>
    </w:p>
    <w:p w14:paraId="4BE18A07" w14:textId="3A95E973" w:rsidR="00915140" w:rsidRPr="000A470D" w:rsidRDefault="00A34A1A" w:rsidP="000A470D">
      <w:pPr>
        <w:pStyle w:val="ECHRPara"/>
      </w:pPr>
      <w:r>
        <w:t>66</w:t>
      </w:r>
      <w:r w:rsidR="00915140">
        <w:t>.</w:t>
      </w:r>
      <w:r>
        <w:t xml:space="preserve"> </w:t>
      </w:r>
      <w:r w:rsidR="00915140">
        <w:t xml:space="preserve">Trybunał podkreśla, że jego ocena sprawy </w:t>
      </w:r>
      <w:r w:rsidR="00915140">
        <w:rPr>
          <w:i/>
          <w:iCs/>
        </w:rPr>
        <w:t>Bochan (nr 2)</w:t>
      </w:r>
      <w:r w:rsidR="00915140">
        <w:t xml:space="preserve"> (cyt.</w:t>
      </w:r>
      <w:r w:rsidR="000E547C">
        <w:t> </w:t>
      </w:r>
      <w:r w:rsidR="00915140">
        <w:t>powyżej) skupia</w:t>
      </w:r>
      <w:r w:rsidR="00A525C7">
        <w:t>ła</w:t>
      </w:r>
      <w:r w:rsidR="00915140">
        <w:t xml:space="preserve"> się na kwestiach dotyczących aspektu cywilnego </w:t>
      </w:r>
      <w:r w:rsidR="00A74892">
        <w:t>art.</w:t>
      </w:r>
      <w:r w:rsidR="00915140">
        <w:t xml:space="preserve"> 6 Kon</w:t>
      </w:r>
      <w:r w:rsidR="00EE3CFF">
        <w:t>wencji. Jednakże</w:t>
      </w:r>
      <w:r w:rsidR="00915140">
        <w:t xml:space="preserve"> istnieje szereg istotnych różnic pomiędzy postępowaniami cywilnymi a karnymi.</w:t>
      </w:r>
    </w:p>
    <w:p w14:paraId="26791845" w14:textId="2BD072FD" w:rsidR="00915140" w:rsidRPr="000A470D" w:rsidRDefault="00A34A1A" w:rsidP="000A470D">
      <w:pPr>
        <w:pStyle w:val="ECHRPara"/>
        <w:rPr>
          <w:rFonts w:eastAsia="Times New Roman"/>
        </w:rPr>
      </w:pPr>
      <w:r>
        <w:rPr>
          <w:rFonts w:eastAsia="Times New Roman"/>
        </w:rPr>
        <w:t>67</w:t>
      </w:r>
      <w:r w:rsidR="00915140">
        <w:t>.</w:t>
      </w:r>
      <w:r>
        <w:t xml:space="preserve"> </w:t>
      </w:r>
      <w:r w:rsidR="00915140">
        <w:t>Trybunał uważa, że prawa osób oskarżonych o przestępstwo czy</w:t>
      </w:r>
      <w:r w:rsidR="000E547C">
        <w:t> </w:t>
      </w:r>
      <w:r w:rsidR="00915140">
        <w:t>osób, którym przedstawiono zarzuty [popełnienia przestępstwa], wymagają szerszej ochrony niż prawa stron w postępowaniu cywilnym. Zasady i standardy mające zastosowanie do postępowań karnych muszą zatem być określone ze szczególną jasnością i precyzją. Wreszcie, o</w:t>
      </w:r>
      <w:r w:rsidR="000E547C">
        <w:t> </w:t>
      </w:r>
      <w:r w:rsidR="00915140">
        <w:t>ile</w:t>
      </w:r>
      <w:r w:rsidR="000E547C">
        <w:t> </w:t>
      </w:r>
      <w:r w:rsidR="00915140">
        <w:t>w</w:t>
      </w:r>
      <w:r w:rsidR="000E547C">
        <w:t> </w:t>
      </w:r>
      <w:r w:rsidR="00915140">
        <w:t>postępowaniu cywilnym prawa jednej strony mogą stać w</w:t>
      </w:r>
      <w:r w:rsidR="000E547C">
        <w:t> </w:t>
      </w:r>
      <w:r w:rsidR="00915140">
        <w:t>sprzeczności z prawami drugiej strony, żadne takie względy nie stoją na</w:t>
      </w:r>
      <w:r w:rsidR="000E547C">
        <w:t> </w:t>
      </w:r>
      <w:r w:rsidR="00915140">
        <w:t>przeszkodzie środkom podejmowanym na rzecz osób, które zostały oskarżone, którym przedstawiono zarzuty, lub które skazano, niezależnie od</w:t>
      </w:r>
      <w:r w:rsidR="000E547C">
        <w:t> </w:t>
      </w:r>
      <w:r w:rsidR="00915140">
        <w:t>praw, o których potwierdzenie mogą ubiegać się ofiary przestępstw przed sądami krajowymi.</w:t>
      </w:r>
    </w:p>
    <w:p w14:paraId="0EA4CDDC" w14:textId="77777777" w:rsidR="00915140" w:rsidRPr="000A470D" w:rsidRDefault="00915140" w:rsidP="000A470D">
      <w:pPr>
        <w:pStyle w:val="ECHRHeading5"/>
      </w:pPr>
      <w:r>
        <w:t>(ii) Zastosowanie powyższych zasad do przedmiotowej sprawy</w:t>
      </w:r>
    </w:p>
    <w:p w14:paraId="637A2CA3" w14:textId="00D81246" w:rsidR="00915140" w:rsidRPr="000A470D" w:rsidRDefault="00A34A1A" w:rsidP="000A470D">
      <w:pPr>
        <w:pStyle w:val="ECHRPara"/>
        <w:rPr>
          <w:rFonts w:eastAsia="Times New Roman"/>
        </w:rPr>
      </w:pPr>
      <w:r>
        <w:t>68</w:t>
      </w:r>
      <w:r w:rsidR="00915140">
        <w:t>.</w:t>
      </w:r>
      <w:r>
        <w:t xml:space="preserve"> </w:t>
      </w:r>
      <w:r w:rsidR="00915140">
        <w:t>Stosując powyższe zasady w przedmiotowej sprawie</w:t>
      </w:r>
      <w:r w:rsidR="00EE3CFF">
        <w:t>,</w:t>
      </w:r>
      <w:r w:rsidR="00915140">
        <w:t xml:space="preserve"> Trybunał podkreśl</w:t>
      </w:r>
      <w:r w:rsidR="00EE3CFF">
        <w:t>a</w:t>
      </w:r>
      <w:r w:rsidR="00915140">
        <w:t>, że bierze pod uwagę przepisy prawa krajowego zgodnie z</w:t>
      </w:r>
      <w:r w:rsidR="000E547C">
        <w:t> </w:t>
      </w:r>
      <w:r w:rsidR="00915140">
        <w:t xml:space="preserve">wykładnią stosowaną przez sądy w pozwanym </w:t>
      </w:r>
      <w:r w:rsidR="00EE3CFF">
        <w:t>państwie</w:t>
      </w:r>
      <w:r w:rsidR="00915140">
        <w:t>. W</w:t>
      </w:r>
      <w:r w:rsidR="000E547C">
        <w:t> </w:t>
      </w:r>
      <w:r w:rsidR="00915140">
        <w:t xml:space="preserve">przedmiotowej sprawie zauważa, że prawo krajowe, w szczególności </w:t>
      </w:r>
      <w:r w:rsidR="00A74892">
        <w:t>art.</w:t>
      </w:r>
      <w:r w:rsidR="000E547C">
        <w:t> </w:t>
      </w:r>
      <w:r w:rsidR="00915140">
        <w:t xml:space="preserve">449 </w:t>
      </w:r>
      <w:r w:rsidR="005616C6" w:rsidRPr="005616C6">
        <w:rPr>
          <w:rFonts w:eastAsia="Times New Roman"/>
          <w:lang w:eastAsia="fr-FR"/>
        </w:rPr>
        <w:t>§</w:t>
      </w:r>
      <w:r w:rsidR="00915140">
        <w:t xml:space="preserve"> 1 lit. g </w:t>
      </w:r>
      <w:r>
        <w:t xml:space="preserve">Kodeksu </w:t>
      </w:r>
      <w:r w:rsidR="00915140">
        <w:t xml:space="preserve">postępowania karnego, zapewnia skarżącej środek obejmujący możliwość ubiegania </w:t>
      </w:r>
      <w:r w:rsidR="00915140" w:rsidRPr="006C48C1">
        <w:t>się o rewizję</w:t>
      </w:r>
      <w:r w:rsidR="00915140">
        <w:t xml:space="preserve">, w postępowaniu kontradyktoryjnym, zgodności skazania przez Sąd Apelacyjny z </w:t>
      </w:r>
      <w:r w:rsidR="00915140" w:rsidRPr="000573BD">
        <w:t>ustaleniami</w:t>
      </w:r>
      <w:r w:rsidR="00915140">
        <w:t xml:space="preserve"> Trybunału z wyroku z 2011 r. (por. </w:t>
      </w:r>
      <w:r w:rsidR="00915140">
        <w:rPr>
          <w:i/>
          <w:iCs/>
        </w:rPr>
        <w:t>Bochan (nr 2)</w:t>
      </w:r>
      <w:r w:rsidR="00915140">
        <w:t>, cyt. powyżej, § 54).</w:t>
      </w:r>
    </w:p>
    <w:p w14:paraId="610F6080" w14:textId="0FFAAE97" w:rsidR="00915140" w:rsidRPr="000A470D" w:rsidRDefault="00A34A1A" w:rsidP="000A470D">
      <w:pPr>
        <w:pStyle w:val="ECHRPara"/>
        <w:rPr>
          <w:rFonts w:eastAsia="Times New Roman"/>
        </w:rPr>
      </w:pPr>
      <w:r>
        <w:rPr>
          <w:rFonts w:eastAsia="Times New Roman"/>
        </w:rPr>
        <w:t>69</w:t>
      </w:r>
      <w:r w:rsidR="00915140">
        <w:t>.</w:t>
      </w:r>
      <w:r>
        <w:t xml:space="preserve"> </w:t>
      </w:r>
      <w:r w:rsidR="00915140">
        <w:t xml:space="preserve">Trybunał stwierdza, że </w:t>
      </w:r>
      <w:r w:rsidR="00915140">
        <w:rPr>
          <w:snapToGrid w:val="0"/>
        </w:rPr>
        <w:t>Sąd Najwyższy nie ma uprawnień do</w:t>
      </w:r>
      <w:r w:rsidR="000E547C">
        <w:rPr>
          <w:snapToGrid w:val="0"/>
        </w:rPr>
        <w:t> </w:t>
      </w:r>
      <w:r w:rsidR="00915140">
        <w:rPr>
          <w:snapToGrid w:val="0"/>
        </w:rPr>
        <w:t xml:space="preserve">ustalania podstaw do rewizji, jako że podstawy te są wyraźnie wskazane w </w:t>
      </w:r>
      <w:r w:rsidR="00A74892">
        <w:t>art.</w:t>
      </w:r>
      <w:r w:rsidR="00915140">
        <w:t xml:space="preserve"> 449 </w:t>
      </w:r>
      <w:r w:rsidR="005616C6" w:rsidRPr="005616C6">
        <w:rPr>
          <w:rFonts w:eastAsia="Times New Roman"/>
          <w:lang w:eastAsia="fr-FR"/>
        </w:rPr>
        <w:t>§</w:t>
      </w:r>
      <w:r w:rsidR="00915140">
        <w:t xml:space="preserve">1 </w:t>
      </w:r>
      <w:r>
        <w:t xml:space="preserve">Kodeksu </w:t>
      </w:r>
      <w:r w:rsidR="00915140">
        <w:t xml:space="preserve">postępowania karnego (zob. paragraf </w:t>
      </w:r>
      <w:r w:rsidR="00EF006C">
        <w:rPr>
          <w:rFonts w:eastAsia="Times New Roman"/>
        </w:rPr>
        <w:t xml:space="preserve">27 </w:t>
      </w:r>
      <w:r w:rsidR="00915140">
        <w:t xml:space="preserve">powyżej). Odnoszą się albo do </w:t>
      </w:r>
      <w:r w:rsidR="002C72AD">
        <w:t xml:space="preserve">pojawienia się </w:t>
      </w:r>
      <w:r w:rsidR="00915140">
        <w:t>nowego materiału</w:t>
      </w:r>
      <w:r w:rsidR="000573BD">
        <w:t>,</w:t>
      </w:r>
      <w:r w:rsidR="00915140">
        <w:t xml:space="preserve"> albo do naruszenia zasad materialnych lub proceduralnych. W</w:t>
      </w:r>
      <w:r w:rsidR="002C72AD">
        <w:t xml:space="preserve"> przypadku tej drugiej sytuacji</w:t>
      </w:r>
      <w:r w:rsidR="00915140">
        <w:t xml:space="preserve"> Sąd Najwyższy musi orzec w zakresie zgodności </w:t>
      </w:r>
      <w:r w:rsidR="00CD4849">
        <w:t>wydanego orzeczenia</w:t>
      </w:r>
      <w:r w:rsidR="00CD4849">
        <w:t xml:space="preserve"> </w:t>
      </w:r>
      <w:r w:rsidR="00915140">
        <w:t>z</w:t>
      </w:r>
      <w:r w:rsidR="00237D00">
        <w:t> </w:t>
      </w:r>
      <w:r w:rsidR="00915140">
        <w:t>prawem materialnym</w:t>
      </w:r>
      <w:r w:rsidR="00915140">
        <w:t xml:space="preserve"> lub zgodności z prawem procedury, którą zastosowano, oraz musi zdecydować, czy wady uzasadniają wznowienie postępowania.</w:t>
      </w:r>
    </w:p>
    <w:p w14:paraId="25F5EEEF" w14:textId="0AB77257" w:rsidR="00915140" w:rsidRPr="000A470D" w:rsidRDefault="00915140" w:rsidP="000A470D">
      <w:pPr>
        <w:pStyle w:val="ECHRPara"/>
        <w:rPr>
          <w:rFonts w:eastAsia="Times New Roman"/>
        </w:rPr>
      </w:pPr>
      <w:r>
        <w:t xml:space="preserve">W szczególności w kontekście badania, o którym mowa w </w:t>
      </w:r>
      <w:r w:rsidR="00A74892">
        <w:rPr>
          <w:snapToGrid w:val="0"/>
        </w:rPr>
        <w:t>art.</w:t>
      </w:r>
      <w:r w:rsidR="005F6994">
        <w:t xml:space="preserve"> 449 </w:t>
      </w:r>
      <w:r w:rsidR="005616C6" w:rsidRPr="005616C6">
        <w:rPr>
          <w:rFonts w:eastAsia="Times New Roman"/>
          <w:lang w:eastAsia="fr-FR"/>
        </w:rPr>
        <w:t>§</w:t>
      </w:r>
      <w:r w:rsidR="005F6994">
        <w:t xml:space="preserve"> 1 lit. g</w:t>
      </w:r>
      <w:r>
        <w:t xml:space="preserve"> </w:t>
      </w:r>
      <w:r w:rsidR="00A34A1A">
        <w:t xml:space="preserve">Kodeksu </w:t>
      </w:r>
      <w:r>
        <w:t>postępowania karnego, zadaniem Sądu Najwyższego jest rozważenie prze</w:t>
      </w:r>
      <w:r w:rsidR="002C72AD">
        <w:t>biegu</w:t>
      </w:r>
      <w:r>
        <w:t xml:space="preserve"> i wyniku zakończonego postępowania krajowego w</w:t>
      </w:r>
      <w:r w:rsidR="000E547C">
        <w:t> </w:t>
      </w:r>
      <w:r w:rsidR="002C72AD">
        <w:t>odniesieniu do stwierdzeń</w:t>
      </w:r>
      <w:r>
        <w:t xml:space="preserve"> Trybunału lub innego </w:t>
      </w:r>
      <w:r w:rsidR="000573BD">
        <w:t xml:space="preserve">organu </w:t>
      </w:r>
      <w:r>
        <w:t xml:space="preserve">międzynarodowego oraz, </w:t>
      </w:r>
      <w:r w:rsidRPr="000573BD">
        <w:t xml:space="preserve">jeżeli </w:t>
      </w:r>
      <w:r w:rsidR="002C72AD" w:rsidRPr="004D24B4">
        <w:t>to właściwe</w:t>
      </w:r>
      <w:r>
        <w:t xml:space="preserve">, nakazać </w:t>
      </w:r>
      <w:r w:rsidRPr="00F73180">
        <w:t xml:space="preserve">ponowne rozpatrzenie </w:t>
      </w:r>
      <w:r w:rsidRPr="00F73180">
        <w:lastRenderedPageBreak/>
        <w:t>sprawy</w:t>
      </w:r>
      <w:r>
        <w:t xml:space="preserve"> </w:t>
      </w:r>
      <w:r w:rsidR="002C72AD">
        <w:t>w celu zapewnienia</w:t>
      </w:r>
      <w:r>
        <w:t xml:space="preserve"> nowego </w:t>
      </w:r>
      <w:r w:rsidR="002C72AD">
        <w:t xml:space="preserve">rozstrzygnięcia </w:t>
      </w:r>
      <w:r>
        <w:t xml:space="preserve">zarzutu karnego przeciwko stronie poszkodowanej. Co więcej, zgodnie z </w:t>
      </w:r>
      <w:r w:rsidR="00A74892">
        <w:t>art.</w:t>
      </w:r>
      <w:r>
        <w:t xml:space="preserve"> 457 </w:t>
      </w:r>
      <w:r w:rsidR="00A34A1A">
        <w:t xml:space="preserve">Kodeksu </w:t>
      </w:r>
      <w:r>
        <w:t xml:space="preserve">postępowania karnego Sąd Najwyższy może, jeżeli zdecyduje o udzieleniu zgody na rewizję, zawiesić wykonanie wyroku lub środka zabezpieczającego, jeżeli uzna to za </w:t>
      </w:r>
      <w:r w:rsidR="000573BD">
        <w:t>konieczne</w:t>
      </w:r>
      <w:r>
        <w:t>.</w:t>
      </w:r>
    </w:p>
    <w:p w14:paraId="66DC17E5" w14:textId="78E07739" w:rsidR="00915140" w:rsidRPr="000A470D" w:rsidRDefault="00915140" w:rsidP="000A470D">
      <w:pPr>
        <w:pStyle w:val="ECHRPara"/>
        <w:rPr>
          <w:rFonts w:eastAsia="Times New Roman"/>
        </w:rPr>
      </w:pPr>
      <w:r>
        <w:t>Trybunał zatem odnotowuje, że ramy prawne wymagają, by Sąd Najwyższy porównał przedmiotowe skazanie z podstawami, na których Trybunał oparł swoje</w:t>
      </w:r>
      <w:r w:rsidR="009B1371">
        <w:t xml:space="preserve"> stwierdzenie</w:t>
      </w:r>
      <w:r>
        <w:t xml:space="preserve"> naruszenia Konwencji. Jest zatem prawdopodobne, że badanie na podstawie</w:t>
      </w:r>
      <w:r w:rsidR="00A34A1A">
        <w:t xml:space="preserve"> </w:t>
      </w:r>
      <w:r w:rsidR="00A74892">
        <w:rPr>
          <w:snapToGrid w:val="0"/>
        </w:rPr>
        <w:t>art.</w:t>
      </w:r>
      <w:r w:rsidR="005F6994">
        <w:t xml:space="preserve"> 449 </w:t>
      </w:r>
      <w:r w:rsidR="005616C6" w:rsidRPr="005616C6">
        <w:rPr>
          <w:rFonts w:eastAsia="Times New Roman"/>
          <w:lang w:eastAsia="fr-FR"/>
        </w:rPr>
        <w:t>§</w:t>
      </w:r>
      <w:r w:rsidR="005F6994">
        <w:t xml:space="preserve"> 1 lit. g</w:t>
      </w:r>
      <w:r>
        <w:t xml:space="preserve"> </w:t>
      </w:r>
      <w:r w:rsidR="00A34A1A">
        <w:t xml:space="preserve">Kodeksu </w:t>
      </w:r>
      <w:r>
        <w:t xml:space="preserve">postępowania karnego będzie decydujące dla </w:t>
      </w:r>
      <w:r w:rsidR="009B1371">
        <w:t xml:space="preserve">rozstrzygnięcia </w:t>
      </w:r>
      <w:r w:rsidRPr="006C48C1">
        <w:t xml:space="preserve">zarzutu karnego </w:t>
      </w:r>
      <w:r w:rsidR="009B1371" w:rsidRPr="006C48C1">
        <w:t>i</w:t>
      </w:r>
      <w:r w:rsidRPr="006C48C1">
        <w:t xml:space="preserve"> w tym zakresie ma pewne cechy </w:t>
      </w:r>
      <w:r w:rsidR="000573BD" w:rsidRPr="006C48C1">
        <w:t xml:space="preserve">wspólne </w:t>
      </w:r>
      <w:r w:rsidRPr="006C48C1">
        <w:t xml:space="preserve">z </w:t>
      </w:r>
      <w:r w:rsidR="009B1371" w:rsidRPr="006C48C1">
        <w:t>kasacją (</w:t>
      </w:r>
      <w:r w:rsidRPr="006C48C1">
        <w:t>odwo</w:t>
      </w:r>
      <w:r>
        <w:t>łaniem dotyczącym kwestii prawnych</w:t>
      </w:r>
      <w:r w:rsidR="009B1371">
        <w:t>)</w:t>
      </w:r>
      <w:r>
        <w:t xml:space="preserve"> (por. </w:t>
      </w:r>
      <w:r>
        <w:rPr>
          <w:i/>
          <w:iCs/>
        </w:rPr>
        <w:t>Maresti przeciwko Chorwacji</w:t>
      </w:r>
      <w:r>
        <w:t>, nr</w:t>
      </w:r>
      <w:r w:rsidR="000E547C">
        <w:t> </w:t>
      </w:r>
      <w:r>
        <w:t>55759/07</w:t>
      </w:r>
      <w:r>
        <w:rPr>
          <w:snapToGrid w:val="0"/>
        </w:rPr>
        <w:t xml:space="preserve">, §§ 25 i 28, 25 </w:t>
      </w:r>
      <w:r>
        <w:t xml:space="preserve">czerwca </w:t>
      </w:r>
      <w:r>
        <w:rPr>
          <w:snapToGrid w:val="0"/>
        </w:rPr>
        <w:t>2009 r.).</w:t>
      </w:r>
    </w:p>
    <w:p w14:paraId="248D9A90" w14:textId="43957E22" w:rsidR="00915140" w:rsidRPr="000A470D" w:rsidRDefault="00A34A1A" w:rsidP="000A470D">
      <w:pPr>
        <w:pStyle w:val="ECHRPara"/>
        <w:rPr>
          <w:rFonts w:eastAsia="Times New Roman"/>
        </w:rPr>
      </w:pPr>
      <w:r>
        <w:rPr>
          <w:rFonts w:eastAsia="Times New Roman"/>
        </w:rPr>
        <w:t>70</w:t>
      </w:r>
      <w:r w:rsidR="00915140">
        <w:t>.</w:t>
      </w:r>
      <w:r>
        <w:t xml:space="preserve"> </w:t>
      </w:r>
      <w:r w:rsidR="00915140">
        <w:t>W kwestii kontroli przeprowadzonej przez Sąd Najwyższy w</w:t>
      </w:r>
      <w:r w:rsidR="000E547C">
        <w:t> </w:t>
      </w:r>
      <w:r w:rsidR="00915140">
        <w:t xml:space="preserve">przedmiotowej sprawie Trybunał zauważa, </w:t>
      </w:r>
      <w:r w:rsidR="00A13C6D">
        <w:t xml:space="preserve">że </w:t>
      </w:r>
      <w:r w:rsidR="00915140">
        <w:t xml:space="preserve">choć zadaniem sądu było orzeczenie w sprawie wniosku o rewizję, </w:t>
      </w:r>
      <w:r w:rsidR="00A13C6D">
        <w:t xml:space="preserve">przeprowadził </w:t>
      </w:r>
      <w:r w:rsidR="00915140">
        <w:t xml:space="preserve">on jednakże </w:t>
      </w:r>
      <w:r w:rsidR="00A13C6D">
        <w:t>ponowne</w:t>
      </w:r>
      <w:r w:rsidR="00915140">
        <w:t xml:space="preserve"> merytorycznie </w:t>
      </w:r>
      <w:r w:rsidR="00A13C6D">
        <w:t xml:space="preserve">badanie </w:t>
      </w:r>
      <w:r w:rsidR="00915140">
        <w:t xml:space="preserve">szeregu aspektów spornej kwestii nieobecności skarżącej podczas rozprawy </w:t>
      </w:r>
      <w:r w:rsidR="00A13C6D">
        <w:t xml:space="preserve">dotyczącej jej apelacji </w:t>
      </w:r>
      <w:r w:rsidR="00915140">
        <w:t>oraz</w:t>
      </w:r>
      <w:r w:rsidR="000E547C">
        <w:t> </w:t>
      </w:r>
      <w:r w:rsidR="00915140">
        <w:t xml:space="preserve">konsekwencji jej nieobecności </w:t>
      </w:r>
      <w:r w:rsidR="00915140" w:rsidRPr="002A4FB1">
        <w:t xml:space="preserve">dla </w:t>
      </w:r>
      <w:r w:rsidR="002A4FB1">
        <w:t>zasadności</w:t>
      </w:r>
      <w:r w:rsidR="00915140">
        <w:t xml:space="preserve"> jej skazania i wyroku.</w:t>
      </w:r>
    </w:p>
    <w:p w14:paraId="676F4F24" w14:textId="6154123B" w:rsidR="00915140" w:rsidRPr="000A470D" w:rsidRDefault="00A34A1A" w:rsidP="000A470D">
      <w:pPr>
        <w:pStyle w:val="ECHRPara"/>
        <w:rPr>
          <w:rFonts w:eastAsia="Times New Roman"/>
        </w:rPr>
      </w:pPr>
      <w:r>
        <w:rPr>
          <w:rFonts w:eastAsia="Times New Roman"/>
        </w:rPr>
        <w:t>71</w:t>
      </w:r>
      <w:r w:rsidR="00915140">
        <w:t>.</w:t>
      </w:r>
      <w:r>
        <w:t xml:space="preserve"> </w:t>
      </w:r>
      <w:r w:rsidR="00915140">
        <w:t>Sąd Najwyższy stwierdził zatem, że wyrok Sądu Apelacyjnego nie</w:t>
      </w:r>
      <w:r w:rsidR="000E547C">
        <w:t> </w:t>
      </w:r>
      <w:r w:rsidR="00915140">
        <w:t>był sprzeczny z wyrokiem Trybunału Europejskiego. Umotywował to</w:t>
      </w:r>
      <w:r w:rsidR="000E547C">
        <w:t> </w:t>
      </w:r>
      <w:r w:rsidR="00915140">
        <w:t>ustalenie własną interpretacją wyroku Trybunału, stwierdzając, że</w:t>
      </w:r>
      <w:r w:rsidR="000E547C">
        <w:t> </w:t>
      </w:r>
      <w:r w:rsidR="00915140">
        <w:t xml:space="preserve">Trybunał „wyłączył od początku wszelką możliwość, że jego decyzja może spowodować poważne wątpliwości </w:t>
      </w:r>
      <w:r w:rsidR="001E6115">
        <w:t xml:space="preserve">co do </w:t>
      </w:r>
      <w:r w:rsidR="00915140">
        <w:t>skazania.” Choć przyjął, że</w:t>
      </w:r>
      <w:r w:rsidR="000E547C">
        <w:t> </w:t>
      </w:r>
      <w:r w:rsidR="00915140">
        <w:t>nieobecność skarżącej na rozprawie w sprawie jej odwołania naruszyła jej prawo do obrony, Sąd Najwyższy orzekł, że Trybunał w pełni i</w:t>
      </w:r>
      <w:r w:rsidR="000E547C">
        <w:t> </w:t>
      </w:r>
      <w:r w:rsidR="00915140">
        <w:t>wystarczająco naprawił tę wadę poprzez przyznanie skarżącej kwoty pieniężnej tytułem s</w:t>
      </w:r>
      <w:r w:rsidR="00A13C6D">
        <w:t>łusznego</w:t>
      </w:r>
      <w:r w:rsidR="00915140">
        <w:t xml:space="preserve"> zadośćuczynienia. Stwierdziwszy, że</w:t>
      </w:r>
      <w:r w:rsidR="000E547C">
        <w:t> </w:t>
      </w:r>
      <w:r w:rsidR="00915140" w:rsidRPr="0052391B">
        <w:t>zasadność</w:t>
      </w:r>
      <w:r w:rsidR="00915140">
        <w:t xml:space="preserve"> skazania nie była przedmiotem poważnych wątpliwości, zobowiązany był utrzymać skazanie i wyrok wydany przez Sąd Apelacyjny.</w:t>
      </w:r>
    </w:p>
    <w:p w14:paraId="343C0733" w14:textId="43F5A403" w:rsidR="00915140" w:rsidRPr="000A470D" w:rsidRDefault="00A34A1A" w:rsidP="000A470D">
      <w:pPr>
        <w:pStyle w:val="ECHRPara"/>
      </w:pPr>
      <w:r>
        <w:rPr>
          <w:rFonts w:eastAsia="Times New Roman"/>
        </w:rPr>
        <w:t>72</w:t>
      </w:r>
      <w:r w:rsidR="00915140">
        <w:t>.</w:t>
      </w:r>
      <w:r>
        <w:t xml:space="preserve"> </w:t>
      </w:r>
      <w:r w:rsidR="00915140">
        <w:t xml:space="preserve">Mając na uwadze zakres kontroli Sądu Najwyższego, Trybunał uznaje, że kontrolę tę należy uznać za rozszerzenie postępowania, które zakończyło się wyrokiem z dnia 19 grudnia 2007 r. Sąd Najwyższy ponownie skupił się na </w:t>
      </w:r>
      <w:r w:rsidR="00A13C6D">
        <w:t>rozstrzygnięciu</w:t>
      </w:r>
      <w:r w:rsidR="00915140">
        <w:t xml:space="preserve">, w rozumieniu </w:t>
      </w:r>
      <w:r w:rsidR="00A74892">
        <w:t>art.</w:t>
      </w:r>
      <w:r w:rsidR="00915140">
        <w:t xml:space="preserve"> 6 ust. 1 Konwencji, </w:t>
      </w:r>
      <w:r w:rsidR="00915140" w:rsidRPr="006C48C1">
        <w:t>zarzutu karnego</w:t>
      </w:r>
      <w:r w:rsidR="00915140">
        <w:t xml:space="preserve"> przeciwko skarżącej. W rezultacie, gwarancje </w:t>
      </w:r>
      <w:r w:rsidR="00A74892">
        <w:t>art.</w:t>
      </w:r>
      <w:r w:rsidR="00915140">
        <w:t xml:space="preserve"> 6 ust. 1 Konwencji miały zastosowanie do postępowania przed Sądem Najwyższym.</w:t>
      </w:r>
    </w:p>
    <w:p w14:paraId="7DECF150" w14:textId="77777777" w:rsidR="00915140" w:rsidRPr="000A470D" w:rsidRDefault="00915140" w:rsidP="000A470D">
      <w:pPr>
        <w:pStyle w:val="ECHRHeading4"/>
      </w:pPr>
      <w:r>
        <w:t>(c) Podsumowanie</w:t>
      </w:r>
    </w:p>
    <w:p w14:paraId="05F27656" w14:textId="6EB5FCE4" w:rsidR="00915140" w:rsidRPr="000A470D" w:rsidRDefault="00A34A1A" w:rsidP="000A470D">
      <w:pPr>
        <w:pStyle w:val="ECHRPara"/>
      </w:pPr>
      <w:r>
        <w:t>73</w:t>
      </w:r>
      <w:r w:rsidR="00915140">
        <w:t>.</w:t>
      </w:r>
      <w:r>
        <w:t xml:space="preserve"> </w:t>
      </w:r>
      <w:r w:rsidR="00915140">
        <w:t xml:space="preserve">Zastrzeżenie Rządu, który podniósł, że Trybunał nie posiada jurysdykcji </w:t>
      </w:r>
      <w:r w:rsidR="00915140">
        <w:rPr>
          <w:i/>
          <w:iCs/>
        </w:rPr>
        <w:t>ratione materiae</w:t>
      </w:r>
      <w:r w:rsidR="00915140">
        <w:t xml:space="preserve"> do zbadania przedmiotu skargi wniesionej przez skarżącą na podstawie </w:t>
      </w:r>
      <w:r w:rsidR="00A74892">
        <w:t xml:space="preserve">art. </w:t>
      </w:r>
      <w:r w:rsidR="00915140">
        <w:t>6 Konwencji, należy od</w:t>
      </w:r>
      <w:r w:rsidR="000573BD">
        <w:t>dalić</w:t>
      </w:r>
      <w:r w:rsidR="00915140">
        <w:t>.</w:t>
      </w:r>
    </w:p>
    <w:p w14:paraId="41B286DA" w14:textId="04DE94F6" w:rsidR="00915140" w:rsidRPr="000A470D" w:rsidRDefault="00A34A1A" w:rsidP="000A470D">
      <w:pPr>
        <w:pStyle w:val="ECHRPara"/>
      </w:pPr>
      <w:r>
        <w:t>74</w:t>
      </w:r>
      <w:r w:rsidR="00915140">
        <w:t>.</w:t>
      </w:r>
      <w:r w:rsidR="00A13C6D">
        <w:t xml:space="preserve"> Ponadto</w:t>
      </w:r>
      <w:r w:rsidR="00915140">
        <w:t xml:space="preserve"> Trybunał stwierdza, że skarga nie jest </w:t>
      </w:r>
      <w:r w:rsidR="005F6994">
        <w:t>w sposób oczywisty nieuzasadniona</w:t>
      </w:r>
      <w:r w:rsidR="00915140">
        <w:t xml:space="preserve"> w r</w:t>
      </w:r>
      <w:r w:rsidR="005F6994">
        <w:t>ozumieniu art. 35 ust. 3 lit. a</w:t>
      </w:r>
      <w:r w:rsidR="00915140">
        <w:t xml:space="preserve"> Konwencji oraz że nie jest </w:t>
      </w:r>
      <w:r w:rsidR="00915140">
        <w:lastRenderedPageBreak/>
        <w:t>niedopuszczalna z innych przyczyn. Zatem stwierdza, że skarga jest dopuszczalna.</w:t>
      </w:r>
    </w:p>
    <w:p w14:paraId="78EC2937" w14:textId="2A7B07BB" w:rsidR="00915140" w:rsidRPr="000A470D" w:rsidRDefault="00A34A1A" w:rsidP="000A470D">
      <w:pPr>
        <w:pStyle w:val="ECHRPara"/>
      </w:pPr>
      <w:r>
        <w:t>75</w:t>
      </w:r>
      <w:r w:rsidR="00915140">
        <w:t>.</w:t>
      </w:r>
      <w:r>
        <w:t xml:space="preserve"> </w:t>
      </w:r>
      <w:r w:rsidR="00915140">
        <w:t xml:space="preserve">Trybunał podejmie zatem </w:t>
      </w:r>
      <w:r w:rsidR="00915140" w:rsidRPr="00490A8D">
        <w:t>teraz próbę</w:t>
      </w:r>
      <w:r w:rsidR="00915140">
        <w:t xml:space="preserve"> ustalenia, czy wymogi </w:t>
      </w:r>
      <w:r w:rsidR="00A74892">
        <w:t>art.</w:t>
      </w:r>
      <w:r w:rsidR="00915140">
        <w:t xml:space="preserve"> 6 ust. 1 Konwencji zostały spełnione w przedmiotowej sprawie.</w:t>
      </w:r>
    </w:p>
    <w:p w14:paraId="16F622E3" w14:textId="701AD408" w:rsidR="00915140" w:rsidRPr="000A470D" w:rsidRDefault="00915140" w:rsidP="000A470D">
      <w:pPr>
        <w:pStyle w:val="ECHRHeading2"/>
      </w:pPr>
      <w:r w:rsidRPr="004506C0">
        <w:t xml:space="preserve">B. </w:t>
      </w:r>
      <w:r w:rsidR="005616C6" w:rsidRPr="004506C0">
        <w:t>Przedmiot</w:t>
      </w:r>
      <w:r w:rsidRPr="004506C0">
        <w:t xml:space="preserve"> sprawy</w:t>
      </w:r>
    </w:p>
    <w:p w14:paraId="7BA51456" w14:textId="5045359C" w:rsidR="00915140" w:rsidRPr="000A470D" w:rsidRDefault="00915140" w:rsidP="000A470D">
      <w:pPr>
        <w:pStyle w:val="ECHRHeading3"/>
      </w:pPr>
      <w:r>
        <w:t>1.</w:t>
      </w:r>
      <w:r w:rsidR="00A34A1A">
        <w:t xml:space="preserve"> </w:t>
      </w:r>
      <w:r>
        <w:t>Wnioski stron</w:t>
      </w:r>
    </w:p>
    <w:p w14:paraId="070A1817" w14:textId="77777777" w:rsidR="00915140" w:rsidRPr="000A470D" w:rsidRDefault="00915140" w:rsidP="000A470D">
      <w:pPr>
        <w:pStyle w:val="ECHRHeading4"/>
      </w:pPr>
      <w:r>
        <w:t>(a) Skarżąca</w:t>
      </w:r>
    </w:p>
    <w:p w14:paraId="294ACCC0" w14:textId="71943E2B" w:rsidR="00915140" w:rsidRPr="000A470D" w:rsidRDefault="00A34A1A" w:rsidP="000A470D">
      <w:pPr>
        <w:pStyle w:val="ECHRPara"/>
        <w:rPr>
          <w:rFonts w:eastAsia="Times New Roman"/>
        </w:rPr>
      </w:pPr>
      <w:r>
        <w:t>76</w:t>
      </w:r>
      <w:r w:rsidR="00915140">
        <w:t>.</w:t>
      </w:r>
      <w:r>
        <w:t xml:space="preserve"> </w:t>
      </w:r>
      <w:r w:rsidR="00915140">
        <w:t xml:space="preserve">Skarżąca twierdziła, </w:t>
      </w:r>
      <w:r w:rsidR="00915140" w:rsidRPr="000573BD">
        <w:t>że ustalenia</w:t>
      </w:r>
      <w:r w:rsidR="00915140">
        <w:t xml:space="preserve"> Trybunału w wyroku z 5 lipca 2011</w:t>
      </w:r>
      <w:r w:rsidR="000E547C">
        <w:t> </w:t>
      </w:r>
      <w:r w:rsidR="00915140">
        <w:t>r. wzbudziły poważne wątpliwości co do wyniku postępowania krajowego, które skutkowało jej skazaniem.</w:t>
      </w:r>
    </w:p>
    <w:p w14:paraId="359DA38A" w14:textId="38CCBD6C" w:rsidR="00915140" w:rsidRPr="000A470D" w:rsidRDefault="00A34A1A" w:rsidP="000A470D">
      <w:pPr>
        <w:pStyle w:val="ECHRPara"/>
        <w:rPr>
          <w:rFonts w:eastAsia="Times New Roman"/>
        </w:rPr>
      </w:pPr>
      <w:r>
        <w:rPr>
          <w:rFonts w:eastAsia="Times New Roman"/>
        </w:rPr>
        <w:t>77</w:t>
      </w:r>
      <w:r w:rsidR="00915140">
        <w:t>.</w:t>
      </w:r>
      <w:r>
        <w:t xml:space="preserve"> </w:t>
      </w:r>
      <w:r w:rsidR="00915140">
        <w:t>Podniosła, że od</w:t>
      </w:r>
      <w:r w:rsidR="00490A8D">
        <w:t>dalając</w:t>
      </w:r>
      <w:r w:rsidR="00915140">
        <w:t xml:space="preserve"> jej wniosek o rewizję, Sąd Najwyższy popełnił poważny błąd w wykładni i stosowaniu </w:t>
      </w:r>
      <w:r w:rsidR="00A74892">
        <w:t>art.</w:t>
      </w:r>
      <w:r w:rsidR="005F6994">
        <w:t xml:space="preserve"> 449 </w:t>
      </w:r>
      <w:r w:rsidR="005616C6" w:rsidRPr="005616C6">
        <w:rPr>
          <w:rFonts w:eastAsia="Times New Roman"/>
          <w:lang w:eastAsia="fr-FR"/>
        </w:rPr>
        <w:t>§</w:t>
      </w:r>
      <w:r w:rsidR="005F6994">
        <w:t xml:space="preserve"> 1 lit. g</w:t>
      </w:r>
      <w:r w:rsidR="00915140">
        <w:t xml:space="preserve"> </w:t>
      </w:r>
      <w:r>
        <w:t xml:space="preserve">Kodeksu </w:t>
      </w:r>
      <w:r w:rsidR="00915140">
        <w:t>postępowania karnego. Utrzymywała, że jej wniosek o rewizję powinien być</w:t>
      </w:r>
      <w:r w:rsidR="00490A8D">
        <w:t xml:space="preserve"> uwzględniony</w:t>
      </w:r>
      <w:r w:rsidR="00915140">
        <w:t xml:space="preserve">, zwłaszcza że </w:t>
      </w:r>
      <w:r w:rsidR="00490A8D">
        <w:t>prokuratura podniosła</w:t>
      </w:r>
      <w:r w:rsidR="00915140">
        <w:t>, że rewizja powinna zostać</w:t>
      </w:r>
      <w:r w:rsidR="00490A8D">
        <w:t xml:space="preserve"> przyznana</w:t>
      </w:r>
      <w:r w:rsidR="00915140">
        <w:t xml:space="preserve"> </w:t>
      </w:r>
      <w:r w:rsidR="00490A8D">
        <w:t xml:space="preserve">na tej podstawie, że </w:t>
      </w:r>
      <w:r w:rsidR="00915140">
        <w:t>możliwe było podniesienie poważnych wątpliwości dotyczących jej skazan</w:t>
      </w:r>
      <w:r w:rsidR="00490A8D">
        <w:t xml:space="preserve">ia, </w:t>
      </w:r>
      <w:r w:rsidR="00EC52F5">
        <w:t xml:space="preserve">a </w:t>
      </w:r>
      <w:r w:rsidR="00490A8D">
        <w:t>w szczególności kary.</w:t>
      </w:r>
    </w:p>
    <w:p w14:paraId="7B97AB0A" w14:textId="77777777" w:rsidR="00915140" w:rsidRPr="000A470D" w:rsidRDefault="00915140" w:rsidP="000A470D">
      <w:pPr>
        <w:pStyle w:val="ECHRHeading4"/>
        <w:rPr>
          <w:rFonts w:eastAsia="Times New Roman"/>
          <w:i/>
          <w:iCs/>
        </w:rPr>
      </w:pPr>
      <w:r>
        <w:t>(b) Rząd</w:t>
      </w:r>
    </w:p>
    <w:p w14:paraId="04898A89" w14:textId="04CE7083" w:rsidR="00915140" w:rsidRPr="000A470D" w:rsidRDefault="00A34A1A" w:rsidP="000A470D">
      <w:pPr>
        <w:pStyle w:val="ECHRPara"/>
        <w:rPr>
          <w:rFonts w:eastAsia="Times New Roman"/>
        </w:rPr>
      </w:pPr>
      <w:r>
        <w:t>78</w:t>
      </w:r>
      <w:r w:rsidR="00915140">
        <w:t>.</w:t>
      </w:r>
      <w:r>
        <w:t xml:space="preserve"> </w:t>
      </w:r>
      <w:r w:rsidR="00915140">
        <w:t>Rząd podniósł, że Sąd Najwyższy jedynie porównał wyrok wydany przez Sąd Apelacyjny w dniu 19 grudnia 2007 r. z wyrokiem Trybunału</w:t>
      </w:r>
      <w:r w:rsidR="00490A8D">
        <w:t>,</w:t>
      </w:r>
      <w:r w:rsidR="00915140">
        <w:t xml:space="preserve"> aby ustalić, czy były one spójne i czy ten drugi wyrok spowodował powstanie jakichkolwiek poważnych wątpliwości co do skazania skarżącej.</w:t>
      </w:r>
    </w:p>
    <w:p w14:paraId="2B944C77" w14:textId="481750CE" w:rsidR="00915140" w:rsidRPr="000A470D" w:rsidRDefault="00A34A1A" w:rsidP="000A470D">
      <w:pPr>
        <w:pStyle w:val="ECHRPara"/>
        <w:rPr>
          <w:rFonts w:eastAsia="Times New Roman"/>
        </w:rPr>
      </w:pPr>
      <w:r>
        <w:rPr>
          <w:rFonts w:eastAsia="Times New Roman"/>
        </w:rPr>
        <w:t>79</w:t>
      </w:r>
      <w:r w:rsidR="00915140">
        <w:t>.</w:t>
      </w:r>
      <w:r>
        <w:t xml:space="preserve"> </w:t>
      </w:r>
      <w:r w:rsidR="00915140">
        <w:t>Nawiązując do orzecznictwa Sądu Najwyższego dotyczącego</w:t>
      </w:r>
      <w:r w:rsidR="00490A8D">
        <w:t xml:space="preserve"> wniosków o rewizję, stwierdził</w:t>
      </w:r>
      <w:r w:rsidR="00915140">
        <w:t>, że według prawa portugalskiego prawo do</w:t>
      </w:r>
      <w:r w:rsidR="000E547C">
        <w:t> </w:t>
      </w:r>
      <w:r w:rsidR="00915140">
        <w:t>wznowienia zakończonych postępowań karnych nie jest ani bezwzględne ani automatyczne.</w:t>
      </w:r>
    </w:p>
    <w:p w14:paraId="73462886" w14:textId="79DD0EED" w:rsidR="00915140" w:rsidRPr="000A470D" w:rsidRDefault="00A34A1A" w:rsidP="000A470D">
      <w:pPr>
        <w:pStyle w:val="ECHRPara"/>
        <w:rPr>
          <w:rFonts w:eastAsia="Times New Roman"/>
        </w:rPr>
      </w:pPr>
      <w:r>
        <w:rPr>
          <w:rFonts w:eastAsia="Times New Roman"/>
        </w:rPr>
        <w:t>80</w:t>
      </w:r>
      <w:r w:rsidR="00915140">
        <w:t>.</w:t>
      </w:r>
      <w:r>
        <w:t xml:space="preserve"> </w:t>
      </w:r>
      <w:r w:rsidR="00915140">
        <w:t xml:space="preserve">Rząd podniósł, że w odróżnieniu od spraw dotyczących naruszenia prawa do </w:t>
      </w:r>
      <w:r w:rsidR="00490A8D">
        <w:t>wolności wyrażania opinii</w:t>
      </w:r>
      <w:r w:rsidR="00915140">
        <w:t xml:space="preserve">, w których niezgodność skazania była wyraźna, Sąd Najwyższy stwierdził, że wada proceduralna nie mogła </w:t>
      </w:r>
      <w:r w:rsidR="00915140" w:rsidRPr="007C0D10">
        <w:t>dać podstaw</w:t>
      </w:r>
      <w:r w:rsidR="00915140">
        <w:t xml:space="preserve">, bez naruszenia zasady </w:t>
      </w:r>
      <w:r w:rsidR="00915140">
        <w:rPr>
          <w:i/>
          <w:iCs/>
        </w:rPr>
        <w:t xml:space="preserve">res </w:t>
      </w:r>
      <w:r w:rsidR="007C0D10">
        <w:rPr>
          <w:i/>
          <w:iCs/>
        </w:rPr>
        <w:t>i</w:t>
      </w:r>
      <w:r w:rsidR="00915140">
        <w:rPr>
          <w:i/>
          <w:iCs/>
        </w:rPr>
        <w:t>udicata</w:t>
      </w:r>
      <w:r w:rsidR="00915140">
        <w:t>, do rewizji skazania karnego, chyba że wada miała charakter wyjątkowej wagi. Sama wątpliwość co</w:t>
      </w:r>
      <w:r w:rsidR="000E547C">
        <w:t> </w:t>
      </w:r>
      <w:r w:rsidR="00915140">
        <w:t>do</w:t>
      </w:r>
      <w:r w:rsidR="000E547C">
        <w:t> </w:t>
      </w:r>
      <w:r w:rsidR="00915140" w:rsidRPr="0052391B">
        <w:t>zasadności</w:t>
      </w:r>
      <w:r w:rsidR="00915140">
        <w:t xml:space="preserve"> skazania lub zwykła nieprawidłowość </w:t>
      </w:r>
      <w:r w:rsidR="007C0D10">
        <w:t xml:space="preserve">proceduralna </w:t>
      </w:r>
      <w:r w:rsidR="00915140">
        <w:t xml:space="preserve">stanowiła zatem niewystarczającą </w:t>
      </w:r>
      <w:r w:rsidR="00490A8D">
        <w:t>podstawę przyznania rewizji</w:t>
      </w:r>
      <w:r w:rsidR="00915140">
        <w:t xml:space="preserve"> i jedynie wady, które miały wpływ na podjętą decyzję w takim stopniu, że był</w:t>
      </w:r>
      <w:r w:rsidR="007C0D10">
        <w:t>a</w:t>
      </w:r>
      <w:r w:rsidR="00915140">
        <w:t xml:space="preserve"> </w:t>
      </w:r>
      <w:r w:rsidR="00490A8D">
        <w:t>ona</w:t>
      </w:r>
      <w:r w:rsidR="00915140">
        <w:t xml:space="preserve"> nieakceptowaln</w:t>
      </w:r>
      <w:r w:rsidR="007C0D10">
        <w:t>a</w:t>
      </w:r>
      <w:r w:rsidR="00915140">
        <w:t xml:space="preserve"> dla ogółu społeczeństwa, mogły uzasadnić wznowienie postępowania.</w:t>
      </w:r>
    </w:p>
    <w:p w14:paraId="658D9ED4" w14:textId="67B3823C" w:rsidR="00915140" w:rsidRPr="000A470D" w:rsidRDefault="00A34A1A" w:rsidP="000A470D">
      <w:pPr>
        <w:pStyle w:val="ECHRPara"/>
        <w:rPr>
          <w:rFonts w:eastAsia="Times New Roman"/>
        </w:rPr>
      </w:pPr>
      <w:r>
        <w:rPr>
          <w:rFonts w:eastAsia="Times New Roman"/>
        </w:rPr>
        <w:t>81</w:t>
      </w:r>
      <w:r w:rsidR="00915140">
        <w:t>.</w:t>
      </w:r>
      <w:r>
        <w:t xml:space="preserve"> </w:t>
      </w:r>
      <w:r w:rsidR="00915140">
        <w:t>Taka sytuacja nie miała miejsca w przedmiotowej sprawie. Jedyne</w:t>
      </w:r>
      <w:r w:rsidR="000E547C">
        <w:t> </w:t>
      </w:r>
      <w:r w:rsidR="00915140">
        <w:t>kwestie będące przedmiotem sprawy dotyczyły zakresu odpowiedzialności karnej skarżącej oraz potencjalnych konsekwencji w</w:t>
      </w:r>
      <w:r w:rsidR="000E547C">
        <w:t> </w:t>
      </w:r>
      <w:r w:rsidR="00915140">
        <w:t>kontekście wymiaru kary. Jako że wymierzon</w:t>
      </w:r>
      <w:r w:rsidR="00490A8D">
        <w:t>a</w:t>
      </w:r>
      <w:r w:rsidR="00915140">
        <w:t xml:space="preserve"> kara finansowa</w:t>
      </w:r>
      <w:r w:rsidR="00490A8D">
        <w:t xml:space="preserve"> została </w:t>
      </w:r>
      <w:r w:rsidR="00490A8D">
        <w:lastRenderedPageBreak/>
        <w:t>zapłacona</w:t>
      </w:r>
      <w:r w:rsidR="00915140">
        <w:t>, pod względem merytorycznym i proceduralnym nie było konieczności wznowienia postępowania.</w:t>
      </w:r>
    </w:p>
    <w:p w14:paraId="0513187D" w14:textId="140CA798" w:rsidR="00915140" w:rsidRPr="000A470D" w:rsidRDefault="00A34A1A" w:rsidP="000A470D">
      <w:pPr>
        <w:pStyle w:val="ECHRPara"/>
        <w:rPr>
          <w:rFonts w:eastAsia="Times New Roman"/>
        </w:rPr>
      </w:pPr>
      <w:r>
        <w:rPr>
          <w:rFonts w:eastAsia="Times New Roman"/>
        </w:rPr>
        <w:t>82</w:t>
      </w:r>
      <w:r w:rsidR="00915140">
        <w:t>.</w:t>
      </w:r>
      <w:r>
        <w:t xml:space="preserve"> </w:t>
      </w:r>
      <w:r w:rsidR="00915140">
        <w:t>Podsumowując, Rząd stwierdził, że procedura, według której działał Sąd Najwyższy</w:t>
      </w:r>
      <w:r w:rsidR="00490A8D">
        <w:t>,</w:t>
      </w:r>
      <w:r w:rsidR="00915140">
        <w:t xml:space="preserve"> oraz </w:t>
      </w:r>
      <w:r w:rsidR="00FB5CEA">
        <w:t xml:space="preserve">przyjęte </w:t>
      </w:r>
      <w:r w:rsidR="00915140">
        <w:t xml:space="preserve">przez niego wnioski w pełni spełniały wymogi </w:t>
      </w:r>
      <w:r w:rsidR="00FB5CEA">
        <w:t xml:space="preserve">rzetelnego </w:t>
      </w:r>
      <w:r w:rsidR="00915140">
        <w:t xml:space="preserve">procesu. Zgodnie z zasadą </w:t>
      </w:r>
      <w:r w:rsidR="00FB5CEA">
        <w:t xml:space="preserve">subsydiarności </w:t>
      </w:r>
      <w:r w:rsidR="00915140">
        <w:t>Sąd</w:t>
      </w:r>
      <w:r w:rsidR="000E547C">
        <w:t> </w:t>
      </w:r>
      <w:r w:rsidR="00FB5CEA">
        <w:t>Najwyższy miał szeroki margines oceny w wykładni i stosowaniu</w:t>
      </w:r>
      <w:r w:rsidR="00915140">
        <w:t xml:space="preserve"> prawa krajowego i </w:t>
      </w:r>
      <w:r w:rsidR="00FB5CEA">
        <w:t xml:space="preserve">margines ten </w:t>
      </w:r>
      <w:r w:rsidR="00915140">
        <w:t>należy uszanować.</w:t>
      </w:r>
    </w:p>
    <w:p w14:paraId="489F3559" w14:textId="44862F83" w:rsidR="00915140" w:rsidRPr="000A470D" w:rsidRDefault="00915140" w:rsidP="000A470D">
      <w:pPr>
        <w:pStyle w:val="ECHRHeading3"/>
      </w:pPr>
      <w:r w:rsidRPr="004B7CFC">
        <w:t>2.</w:t>
      </w:r>
      <w:r w:rsidR="00A34A1A" w:rsidRPr="004B7CFC">
        <w:t xml:space="preserve"> </w:t>
      </w:r>
      <w:r w:rsidRPr="004B7CFC">
        <w:t>Ocena Trybunału</w:t>
      </w:r>
    </w:p>
    <w:p w14:paraId="1ECE6B2E" w14:textId="77777777" w:rsidR="00915140" w:rsidRPr="000A470D" w:rsidRDefault="00915140" w:rsidP="000A470D">
      <w:pPr>
        <w:pStyle w:val="ECHRHeading4"/>
      </w:pPr>
      <w:r>
        <w:t>(a) Zasady ogólne</w:t>
      </w:r>
    </w:p>
    <w:p w14:paraId="6FF28100" w14:textId="56A240E2" w:rsidR="00915140" w:rsidRPr="000A470D" w:rsidRDefault="00A34A1A" w:rsidP="000A470D">
      <w:pPr>
        <w:pStyle w:val="ECHRPara"/>
      </w:pPr>
      <w:r>
        <w:t>83</w:t>
      </w:r>
      <w:r w:rsidR="00915140">
        <w:t>.</w:t>
      </w:r>
      <w:r>
        <w:t xml:space="preserve"> </w:t>
      </w:r>
      <w:r w:rsidR="00915140">
        <w:t xml:space="preserve">Trybunał przypomina, że w wyroku w sprawie </w:t>
      </w:r>
      <w:r w:rsidR="00915140">
        <w:rPr>
          <w:i/>
          <w:iCs/>
        </w:rPr>
        <w:t>Bochan (nr 2)</w:t>
      </w:r>
      <w:r w:rsidR="00915140">
        <w:t xml:space="preserve"> (cyt.</w:t>
      </w:r>
      <w:r w:rsidR="000E547C">
        <w:t> </w:t>
      </w:r>
      <w:r w:rsidR="00915140">
        <w:t xml:space="preserve">powyżej) rozważył, w </w:t>
      </w:r>
      <w:r w:rsidR="004B7CFC">
        <w:t xml:space="preserve">odniesieniu do aspektu cywilnego </w:t>
      </w:r>
      <w:r w:rsidR="00A74892">
        <w:t>art.</w:t>
      </w:r>
      <w:r w:rsidR="00915140">
        <w:t xml:space="preserve"> 6 Konwencji, kwestię </w:t>
      </w:r>
      <w:r w:rsidR="004B7CFC">
        <w:t xml:space="preserve">braku rzetelności </w:t>
      </w:r>
      <w:r w:rsidR="00915140">
        <w:t xml:space="preserve">wynikającą z rozumowania przyjętego przez sądy krajowe. Zasady określone przez Trybunał w </w:t>
      </w:r>
      <w:r w:rsidR="004B7CFC">
        <w:t xml:space="preserve">tamtej </w:t>
      </w:r>
      <w:r w:rsidR="00915140">
        <w:t>sprawie można podsumować następująco.</w:t>
      </w:r>
    </w:p>
    <w:p w14:paraId="454BCD2B" w14:textId="1F08A36F" w:rsidR="00915140" w:rsidRPr="000A470D" w:rsidRDefault="00915140" w:rsidP="000A470D">
      <w:pPr>
        <w:pStyle w:val="JuParaSub"/>
      </w:pPr>
      <w:r>
        <w:t>(a) Nie jest zadaniem Trybunału zajmowanie się rzekomymi błędami prawnymi lub faktycznymi popełnionymi przez sądy krajowe, chyba</w:t>
      </w:r>
      <w:r w:rsidR="000E547C">
        <w:t> </w:t>
      </w:r>
      <w:r>
        <w:t>że</w:t>
      </w:r>
      <w:r w:rsidR="000E547C">
        <w:t> </w:t>
      </w:r>
      <w:r>
        <w:t>oraz w zakresie</w:t>
      </w:r>
      <w:r w:rsidR="004B7CFC">
        <w:t>, w jakim mogły one</w:t>
      </w:r>
      <w:r>
        <w:t xml:space="preserve"> skutkować naruszeniem praw i </w:t>
      </w:r>
      <w:r w:rsidR="004B7CFC">
        <w:t xml:space="preserve">wolności </w:t>
      </w:r>
      <w:r>
        <w:t>chroniony</w:t>
      </w:r>
      <w:r w:rsidR="004B7CFC">
        <w:t>ch przez Konwencję, przykładowo</w:t>
      </w:r>
      <w:r>
        <w:t xml:space="preserve"> gd</w:t>
      </w:r>
      <w:r w:rsidR="004B7CFC">
        <w:t>y</w:t>
      </w:r>
      <w:r>
        <w:t>, w</w:t>
      </w:r>
      <w:r w:rsidR="000E547C">
        <w:t> </w:t>
      </w:r>
      <w:r>
        <w:t>wyjątkowy</w:t>
      </w:r>
      <w:r w:rsidR="004B7CFC">
        <w:t>ch przypadkach, błędy takie można</w:t>
      </w:r>
      <w:r>
        <w:t xml:space="preserve"> </w:t>
      </w:r>
      <w:r w:rsidR="004B7CFC">
        <w:t>uznać</w:t>
      </w:r>
      <w:r>
        <w:t xml:space="preserve"> za</w:t>
      </w:r>
      <w:r w:rsidR="00237D00">
        <w:t> </w:t>
      </w:r>
      <w:r>
        <w:t>„nie</w:t>
      </w:r>
      <w:r w:rsidR="004B7CFC">
        <w:t>rzetelność</w:t>
      </w:r>
      <w:r>
        <w:t xml:space="preserve">” niezgodną z </w:t>
      </w:r>
      <w:r w:rsidR="00A74892">
        <w:t>art.</w:t>
      </w:r>
      <w:r>
        <w:t xml:space="preserve"> 6 Konwencji (</w:t>
      </w:r>
      <w:r w:rsidRPr="004B7CFC">
        <w:rPr>
          <w:i/>
        </w:rPr>
        <w:t>ibid</w:t>
      </w:r>
      <w:r>
        <w:t>.,</w:t>
      </w:r>
      <w:r w:rsidR="00A34A1A">
        <w:rPr>
          <w:i/>
          <w:iCs/>
        </w:rPr>
        <w:t xml:space="preserve"> </w:t>
      </w:r>
      <w:r>
        <w:t>§ 61).</w:t>
      </w:r>
    </w:p>
    <w:p w14:paraId="080AC151" w14:textId="061A098F" w:rsidR="00915140" w:rsidRPr="000A470D" w:rsidRDefault="00915140" w:rsidP="000A470D">
      <w:pPr>
        <w:pStyle w:val="JuParaSub"/>
        <w:rPr>
          <w:snapToGrid w:val="0"/>
        </w:rPr>
      </w:pPr>
      <w:r>
        <w:t xml:space="preserve">(b) </w:t>
      </w:r>
      <w:r w:rsidR="00A74892">
        <w:t xml:space="preserve">Art. </w:t>
      </w:r>
      <w:r>
        <w:t xml:space="preserve">6 ust. 1 Konwencji nie ustanawia żadnych zasad dopuszczalności </w:t>
      </w:r>
      <w:r w:rsidRPr="00927A2C">
        <w:t>dowodowej ani</w:t>
      </w:r>
      <w:r>
        <w:t xml:space="preserve"> sposobu, w jaki dowody należy oceniać, zostawiając te kwestie do uregulowania przede wszystkim w prawie krajowym i przez sądy krajowe. Z reguły kwestie takie jak rola przypisywana przez sądy krajowe poszczególnym dowodom</w:t>
      </w:r>
      <w:r w:rsidR="007C0D10">
        <w:t xml:space="preserve"> albo</w:t>
      </w:r>
      <w:r w:rsidR="000E547C">
        <w:t> </w:t>
      </w:r>
      <w:r>
        <w:t>ustaleniom lub ocenom prz</w:t>
      </w:r>
      <w:r w:rsidR="00C92780">
        <w:t>edłożonym</w:t>
      </w:r>
      <w:r>
        <w:t xml:space="preserve"> </w:t>
      </w:r>
      <w:r w:rsidR="00C92780">
        <w:t xml:space="preserve">im </w:t>
      </w:r>
      <w:r>
        <w:t>do rozważenia nie</w:t>
      </w:r>
      <w:r w:rsidR="000E547C">
        <w:t> </w:t>
      </w:r>
      <w:r>
        <w:t xml:space="preserve">podlegają </w:t>
      </w:r>
      <w:r w:rsidR="007C0D10">
        <w:t>kontroli</w:t>
      </w:r>
      <w:r>
        <w:t xml:space="preserve"> Trybunał</w:t>
      </w:r>
      <w:r w:rsidR="007C0D10">
        <w:t>u</w:t>
      </w:r>
      <w:r>
        <w:t xml:space="preserve">. Trybunał nie powinien występować jako organ czwartej instancji i w związku z tym nie będzie kwestionował na mocy </w:t>
      </w:r>
      <w:r w:rsidR="00A74892">
        <w:t>art.</w:t>
      </w:r>
      <w:r>
        <w:t xml:space="preserve"> 6 ust. 1 oceny sądów krajowych, chyba że ich ustalenia można uznać za arbitralne lub </w:t>
      </w:r>
      <w:r w:rsidR="00C92780">
        <w:t>oczywiście</w:t>
      </w:r>
      <w:r>
        <w:t xml:space="preserve"> nieuzasadnione (ibid.,</w:t>
      </w:r>
      <w:r w:rsidR="00A34A1A">
        <w:t xml:space="preserve"> </w:t>
      </w:r>
      <w:r>
        <w:t xml:space="preserve">§ 61; zob. również sprawy cytowane tamże: </w:t>
      </w:r>
      <w:r>
        <w:rPr>
          <w:i/>
          <w:iCs/>
        </w:rPr>
        <w:t>Dulaurans przeciwko Francji</w:t>
      </w:r>
      <w:r>
        <w:t>, nr 34553/97, §§</w:t>
      </w:r>
      <w:r w:rsidR="000E547C">
        <w:t> </w:t>
      </w:r>
      <w:r>
        <w:t xml:space="preserve">33-34 i 38, 21 marca 2000 r.; </w:t>
      </w:r>
      <w:r>
        <w:rPr>
          <w:i/>
          <w:iCs/>
        </w:rPr>
        <w:t>Khamidov przeciwko Rosji</w:t>
      </w:r>
      <w:r>
        <w:t xml:space="preserve">, nr 72118/01, § 170, 15 listopada 2007 r.; oraz </w:t>
      </w:r>
      <w:r>
        <w:rPr>
          <w:i/>
          <w:iCs/>
        </w:rPr>
        <w:t>Anđelković przeciwko Serbii</w:t>
      </w:r>
      <w:r>
        <w:t>, nr 1401/08, § 24, 9 kwietnia 2013 r., a także stosowanie</w:t>
      </w:r>
      <w:r w:rsidR="00C92780">
        <w:t xml:space="preserve"> tego</w:t>
      </w:r>
      <w:r>
        <w:t xml:space="preserve"> orzecznictwa w niedawnych wyrokach: </w:t>
      </w:r>
      <w:r>
        <w:rPr>
          <w:i/>
          <w:iCs/>
        </w:rPr>
        <w:t xml:space="preserve">Pavlović i </w:t>
      </w:r>
      <w:r w:rsidR="000E547C">
        <w:rPr>
          <w:i/>
          <w:iCs/>
        </w:rPr>
        <w:t xml:space="preserve">Inni </w:t>
      </w:r>
      <w:r>
        <w:rPr>
          <w:i/>
          <w:iCs/>
        </w:rPr>
        <w:t>przeciwko Chorwacji</w:t>
      </w:r>
      <w:r>
        <w:rPr>
          <w:snapToGrid w:val="0"/>
        </w:rPr>
        <w:t xml:space="preserve">, </w:t>
      </w:r>
      <w:r>
        <w:t>nr 13274/11</w:t>
      </w:r>
      <w:r>
        <w:rPr>
          <w:snapToGrid w:val="0"/>
        </w:rPr>
        <w:t xml:space="preserve">, § 49, 2 </w:t>
      </w:r>
      <w:r>
        <w:t>kwietnia</w:t>
      </w:r>
      <w:r>
        <w:rPr>
          <w:snapToGrid w:val="0"/>
        </w:rPr>
        <w:t xml:space="preserve"> 2015 r.; </w:t>
      </w:r>
      <w:r>
        <w:rPr>
          <w:i/>
          <w:iCs/>
        </w:rPr>
        <w:t>Yaremenko (nr 2)</w:t>
      </w:r>
      <w:r>
        <w:t>, cyt. powyżej, §§ 64</w:t>
      </w:r>
      <w:r>
        <w:noBreakHyphen/>
        <w:t>67; i</w:t>
      </w:r>
      <w:r>
        <w:rPr>
          <w:snapToGrid w:val="0"/>
        </w:rPr>
        <w:t xml:space="preserve"> </w:t>
      </w:r>
      <w:r>
        <w:rPr>
          <w:i/>
          <w:iCs/>
        </w:rPr>
        <w:t>Tsanova-Gecheva</w:t>
      </w:r>
      <w:r>
        <w:t xml:space="preserve"> </w:t>
      </w:r>
      <w:r>
        <w:rPr>
          <w:i/>
          <w:iCs/>
        </w:rPr>
        <w:t>przeciwko Bułgarii</w:t>
      </w:r>
      <w:r>
        <w:t>, nr 43800/12,</w:t>
      </w:r>
      <w:r>
        <w:rPr>
          <w:snapToGrid w:val="0"/>
        </w:rPr>
        <w:t xml:space="preserve"> §</w:t>
      </w:r>
      <w:r>
        <w:t xml:space="preserve"> </w:t>
      </w:r>
      <w:r>
        <w:rPr>
          <w:snapToGrid w:val="0"/>
        </w:rPr>
        <w:t>91, 15 </w:t>
      </w:r>
      <w:r>
        <w:t>września</w:t>
      </w:r>
      <w:r>
        <w:rPr>
          <w:snapToGrid w:val="0"/>
        </w:rPr>
        <w:t xml:space="preserve"> 2015 r.).</w:t>
      </w:r>
    </w:p>
    <w:p w14:paraId="1FA6F9F9" w14:textId="7B8FB7A7" w:rsidR="00915140" w:rsidRPr="000A470D" w:rsidRDefault="00A34A1A" w:rsidP="000A470D">
      <w:pPr>
        <w:pStyle w:val="ECHRPara"/>
        <w:rPr>
          <w:i/>
          <w:iCs/>
        </w:rPr>
      </w:pPr>
      <w:r>
        <w:t>84</w:t>
      </w:r>
      <w:r w:rsidR="00915140">
        <w:t>.</w:t>
      </w:r>
      <w:r>
        <w:t xml:space="preserve"> </w:t>
      </w:r>
      <w:r w:rsidR="00915140">
        <w:t xml:space="preserve">Trybunał przypomina również, że według </w:t>
      </w:r>
      <w:r w:rsidR="00C92780">
        <w:t xml:space="preserve">jego </w:t>
      </w:r>
      <w:r w:rsidR="00915140">
        <w:t xml:space="preserve">ugruntowanego orzecznictwa odzwierciedlającego zasadę związaną z właściwym wymierzaniem sprawiedliwości wyroki sądów i trybunałów winny odpowiednio wskazywać przesłanki, na jakich się opierają. Zakres, w jakim </w:t>
      </w:r>
      <w:r w:rsidR="00915140">
        <w:lastRenderedPageBreak/>
        <w:t>obowiązek podania uzasadnienia ma zastosowanie</w:t>
      </w:r>
      <w:r w:rsidR="00C92780">
        <w:t>,</w:t>
      </w:r>
      <w:r w:rsidR="00915140">
        <w:t xml:space="preserve"> może się różnić w</w:t>
      </w:r>
      <w:r w:rsidR="000E547C">
        <w:t> </w:t>
      </w:r>
      <w:r w:rsidR="00915140">
        <w:t xml:space="preserve">zależności od charakteru decyzji i winien być ustalany w świetle okoliczności sprawy (zob. </w:t>
      </w:r>
      <w:r w:rsidR="00915140">
        <w:rPr>
          <w:i/>
          <w:iCs/>
        </w:rPr>
        <w:t>Garcia Ruiz przeciwko Hiszpanii</w:t>
      </w:r>
      <w:r w:rsidR="00915140">
        <w:t xml:space="preserve"> [WI], nr</w:t>
      </w:r>
      <w:r w:rsidR="000E547C">
        <w:t> </w:t>
      </w:r>
      <w:r w:rsidR="00915140">
        <w:t>30544/96, § 26, ECHR 1999</w:t>
      </w:r>
      <w:r w:rsidR="00915140">
        <w:noBreakHyphen/>
        <w:t xml:space="preserve">I). </w:t>
      </w:r>
      <w:r w:rsidR="005C4832">
        <w:t xml:space="preserve">Nie </w:t>
      </w:r>
      <w:r w:rsidR="00C92780">
        <w:t>wymaga</w:t>
      </w:r>
      <w:r w:rsidR="005C4832">
        <w:t>jąc</w:t>
      </w:r>
      <w:r w:rsidR="00C92780">
        <w:t xml:space="preserve"> </w:t>
      </w:r>
      <w:r w:rsidR="00915140">
        <w:t>przedstawiania szczegółowej odpowiedzi na każdy argument podniesiony przez</w:t>
      </w:r>
      <w:r w:rsidR="00C92780">
        <w:t xml:space="preserve"> skarżącego</w:t>
      </w:r>
      <w:r w:rsidR="005C4832">
        <w:t>,</w:t>
      </w:r>
      <w:r w:rsidR="00915140">
        <w:t xml:space="preserve"> obowiązek ten zakłada, że strony postępowania sądowego mogą oczekiwać, że otrzymają szczegółową i wyraźną odpowiedź na argumenty, które mają decydujące znaczenie dla wyniku postępowania (</w:t>
      </w:r>
      <w:r w:rsidR="00915140">
        <w:rPr>
          <w:snapToGrid w:val="0"/>
        </w:rPr>
        <w:t>zob.</w:t>
      </w:r>
      <w:r>
        <w:rPr>
          <w:snapToGrid w:val="0"/>
        </w:rPr>
        <w:t xml:space="preserve"> </w:t>
      </w:r>
      <w:r w:rsidR="00915140">
        <w:t xml:space="preserve">m. in., </w:t>
      </w:r>
      <w:r w:rsidR="00915140">
        <w:rPr>
          <w:i/>
          <w:iCs/>
        </w:rPr>
        <w:t>Ruiz Torija przeciwko Hiszpanii</w:t>
      </w:r>
      <w:r w:rsidR="00915140">
        <w:t>, 9 grudnia 1994 r., §§ 29-30, seria A nr 303</w:t>
      </w:r>
      <w:r w:rsidR="00915140">
        <w:noBreakHyphen/>
        <w:t>A, i</w:t>
      </w:r>
      <w:r w:rsidR="000E547C">
        <w:t> </w:t>
      </w:r>
      <w:r w:rsidR="00915140">
        <w:rPr>
          <w:i/>
          <w:iCs/>
        </w:rPr>
        <w:t xml:space="preserve">Higgins i </w:t>
      </w:r>
      <w:r w:rsidR="00196B82">
        <w:rPr>
          <w:i/>
          <w:iCs/>
        </w:rPr>
        <w:t xml:space="preserve">Inni </w:t>
      </w:r>
      <w:r w:rsidR="00915140">
        <w:rPr>
          <w:i/>
          <w:iCs/>
        </w:rPr>
        <w:t>przeciwko Francji</w:t>
      </w:r>
      <w:r w:rsidR="00915140">
        <w:t xml:space="preserve">, 19 lutego 1998 r., §§ 42-43, </w:t>
      </w:r>
      <w:r w:rsidR="00915140">
        <w:rPr>
          <w:i/>
          <w:iCs/>
        </w:rPr>
        <w:t>Reports of</w:t>
      </w:r>
      <w:r w:rsidR="000E547C">
        <w:rPr>
          <w:i/>
          <w:iCs/>
        </w:rPr>
        <w:t> </w:t>
      </w:r>
      <w:r w:rsidR="00915140">
        <w:rPr>
          <w:i/>
          <w:iCs/>
        </w:rPr>
        <w:t>Judgments and Decisions [Raporty z Wyroków i</w:t>
      </w:r>
      <w:r w:rsidR="00C92780">
        <w:rPr>
          <w:i/>
          <w:iCs/>
        </w:rPr>
        <w:t xml:space="preserve"> Decyzji</w:t>
      </w:r>
      <w:r w:rsidR="00915140">
        <w:rPr>
          <w:i/>
          <w:iCs/>
        </w:rPr>
        <w:t>]</w:t>
      </w:r>
      <w:r w:rsidR="00915140">
        <w:t xml:space="preserve"> 1998</w:t>
      </w:r>
      <w:r w:rsidR="00915140">
        <w:noBreakHyphen/>
        <w:t xml:space="preserve">I). Dodatkowo w sprawach dotyczących </w:t>
      </w:r>
      <w:r w:rsidR="00C92780">
        <w:t xml:space="preserve">ingerencji w </w:t>
      </w:r>
      <w:r w:rsidR="00915140">
        <w:t>praw</w:t>
      </w:r>
      <w:r w:rsidR="00C92780">
        <w:t>a gwarantowane</w:t>
      </w:r>
      <w:r w:rsidR="00915140">
        <w:t xml:space="preserve"> Konwencją Trybunał stara się ustalić, czy uzasadnienie wskazane dla</w:t>
      </w:r>
      <w:r w:rsidR="000E547C">
        <w:t> </w:t>
      </w:r>
      <w:r w:rsidR="00915140">
        <w:t>decyzji przez sądy krajowe jest automatyczne lub stereotypowe (zob.</w:t>
      </w:r>
      <w:r w:rsidR="000E547C">
        <w:t> </w:t>
      </w:r>
      <w:r w:rsidR="00915140" w:rsidRPr="00C92780">
        <w:rPr>
          <w:iCs/>
        </w:rPr>
        <w:t>odpowiednio</w:t>
      </w:r>
      <w:r w:rsidR="00915140" w:rsidRPr="00C92780">
        <w:t>,</w:t>
      </w:r>
      <w:r w:rsidR="00915140" w:rsidRPr="00C92780">
        <w:rPr>
          <w:iCs/>
        </w:rPr>
        <w:t xml:space="preserve"> </w:t>
      </w:r>
      <w:r w:rsidR="00915140">
        <w:rPr>
          <w:i/>
          <w:iCs/>
        </w:rPr>
        <w:t xml:space="preserve">Paradiso </w:t>
      </w:r>
      <w:r w:rsidR="00C92780">
        <w:rPr>
          <w:i/>
          <w:iCs/>
        </w:rPr>
        <w:t xml:space="preserve">i </w:t>
      </w:r>
      <w:r w:rsidR="00915140">
        <w:rPr>
          <w:i/>
          <w:iCs/>
        </w:rPr>
        <w:t>Campanelli</w:t>
      </w:r>
      <w:r w:rsidR="00915140">
        <w:t xml:space="preserve"> </w:t>
      </w:r>
      <w:r w:rsidR="00915140">
        <w:rPr>
          <w:i/>
          <w:iCs/>
        </w:rPr>
        <w:t>przeciwko Włochom</w:t>
      </w:r>
      <w:r w:rsidR="00915140">
        <w:t xml:space="preserve"> [WI], nr 25358/12</w:t>
      </w:r>
      <w:r w:rsidR="00915140">
        <w:rPr>
          <w:snapToGrid w:val="0"/>
        </w:rPr>
        <w:t xml:space="preserve">, § 210, ECHR 2017). Co więcej Konwencja nie wymaga, </w:t>
      </w:r>
      <w:r w:rsidR="00915140">
        <w:t>by</w:t>
      </w:r>
      <w:r w:rsidR="000E547C">
        <w:t> </w:t>
      </w:r>
      <w:r w:rsidR="00915140">
        <w:t xml:space="preserve">ławnicy [sędziowie przysięgli] podawali uzasadnienia dla swoich decyzji, a </w:t>
      </w:r>
      <w:r w:rsidR="00A74892">
        <w:t xml:space="preserve">art. </w:t>
      </w:r>
      <w:r w:rsidR="00915140">
        <w:t xml:space="preserve">6 nie wyłącza możliwości sądzenia oskarżonego przez sąd składający się z ławników [sędziów przysięgłych], nawet jeżeli </w:t>
      </w:r>
      <w:r w:rsidR="00C92780">
        <w:t xml:space="preserve">nie jest podane uzasadnienie </w:t>
      </w:r>
      <w:r w:rsidR="00915140">
        <w:t xml:space="preserve">werdyktu. Mimo to, aby wymóg </w:t>
      </w:r>
      <w:r w:rsidR="00C92780">
        <w:t xml:space="preserve">rzetelnego </w:t>
      </w:r>
      <w:r w:rsidR="00915140">
        <w:t xml:space="preserve">procesu był spełniony, opinia publiczna, a przede wszystkim oskarżony, muszą </w:t>
      </w:r>
      <w:r w:rsidR="00C92780">
        <w:t>by</w:t>
      </w:r>
      <w:r w:rsidR="005C4832">
        <w:t>ć</w:t>
      </w:r>
      <w:r w:rsidR="00C92780">
        <w:t xml:space="preserve"> w stanie z</w:t>
      </w:r>
      <w:r w:rsidR="00915140">
        <w:t>rozumieć wydany w</w:t>
      </w:r>
      <w:r w:rsidR="005C4832">
        <w:t>erdykt</w:t>
      </w:r>
      <w:r w:rsidR="00915140">
        <w:t xml:space="preserve"> (zob. </w:t>
      </w:r>
      <w:r w:rsidR="00915140">
        <w:rPr>
          <w:i/>
          <w:iCs/>
        </w:rPr>
        <w:t>Lhermitte przeciwko Belgii</w:t>
      </w:r>
      <w:r>
        <w:rPr>
          <w:i/>
          <w:iCs/>
        </w:rPr>
        <w:t xml:space="preserve"> </w:t>
      </w:r>
      <w:r w:rsidR="00915140">
        <w:t>[WI], nr 34238/09, §§ 66 i 67, ECHR 2016).</w:t>
      </w:r>
    </w:p>
    <w:p w14:paraId="63D08C1D" w14:textId="77777777" w:rsidR="00915140" w:rsidRPr="000A470D" w:rsidRDefault="00915140" w:rsidP="000A470D">
      <w:pPr>
        <w:pStyle w:val="ECHRHeading4"/>
      </w:pPr>
      <w:r>
        <w:t>(b) Zastosowanie powyższych zasad do przedmiotowej sprawy</w:t>
      </w:r>
    </w:p>
    <w:p w14:paraId="529C1963" w14:textId="78AE1B8D" w:rsidR="00915140" w:rsidRPr="000A470D" w:rsidRDefault="00A34A1A" w:rsidP="000A470D">
      <w:pPr>
        <w:pStyle w:val="ECHRPara"/>
        <w:rPr>
          <w:rFonts w:eastAsia="Times New Roman"/>
          <w:color w:val="1F497D"/>
        </w:rPr>
      </w:pPr>
      <w:r>
        <w:rPr>
          <w:snapToGrid w:val="0"/>
        </w:rPr>
        <w:t>85</w:t>
      </w:r>
      <w:r w:rsidR="00915140">
        <w:rPr>
          <w:snapToGrid w:val="0"/>
        </w:rPr>
        <w:t>.</w:t>
      </w:r>
      <w:r>
        <w:rPr>
          <w:snapToGrid w:val="0"/>
        </w:rPr>
        <w:t xml:space="preserve"> </w:t>
      </w:r>
      <w:r w:rsidR="00915140">
        <w:rPr>
          <w:snapToGrid w:val="0"/>
        </w:rPr>
        <w:t>Z omówionego wyżej</w:t>
      </w:r>
      <w:r w:rsidR="00C92780">
        <w:rPr>
          <w:snapToGrid w:val="0"/>
        </w:rPr>
        <w:t xml:space="preserve"> orzecznictwa wynika, że krajowe</w:t>
      </w:r>
      <w:r w:rsidR="00915140">
        <w:rPr>
          <w:snapToGrid w:val="0"/>
        </w:rPr>
        <w:t xml:space="preserve"> </w:t>
      </w:r>
      <w:r w:rsidR="00C92780">
        <w:rPr>
          <w:snapToGrid w:val="0"/>
        </w:rPr>
        <w:t>orzeczenie sądowe</w:t>
      </w:r>
      <w:r w:rsidR="00915140">
        <w:rPr>
          <w:snapToGrid w:val="0"/>
        </w:rPr>
        <w:t xml:space="preserve"> </w:t>
      </w:r>
      <w:r w:rsidR="00915140">
        <w:t>nie może zostać uznana za a</w:t>
      </w:r>
      <w:r w:rsidR="00C92780">
        <w:t>rbitralne</w:t>
      </w:r>
      <w:r w:rsidR="00915140">
        <w:t xml:space="preserve"> w stopniu zakłócającym </w:t>
      </w:r>
      <w:r w:rsidR="00C92780">
        <w:t xml:space="preserve">rzetelność </w:t>
      </w:r>
      <w:r w:rsidR="00915140">
        <w:t xml:space="preserve">postępowania, chyba że nie podano żadnego uzasadnienia lub też podane uzasadnienie </w:t>
      </w:r>
      <w:r w:rsidR="00C92780">
        <w:t xml:space="preserve">jest oparte </w:t>
      </w:r>
      <w:r w:rsidR="00915140">
        <w:t xml:space="preserve">na </w:t>
      </w:r>
      <w:r w:rsidR="00C92780">
        <w:t xml:space="preserve">oczywistym błędzie </w:t>
      </w:r>
      <w:r w:rsidR="00915140">
        <w:t>faktycznym lub</w:t>
      </w:r>
      <w:r w:rsidR="000E547C">
        <w:t> </w:t>
      </w:r>
      <w:r w:rsidR="00915140">
        <w:t>prawnym popełnionym przez sąd krajowy, skutkującym „odmową wymiaru sprawiedliwości”.</w:t>
      </w:r>
    </w:p>
    <w:p w14:paraId="4986D789" w14:textId="74EEEFA8" w:rsidR="00915140" w:rsidRPr="000A470D" w:rsidRDefault="00A34A1A" w:rsidP="000A470D">
      <w:pPr>
        <w:pStyle w:val="ECHRPara"/>
      </w:pPr>
      <w:r>
        <w:t>86</w:t>
      </w:r>
      <w:r w:rsidR="00915140">
        <w:t>.</w:t>
      </w:r>
      <w:r>
        <w:t xml:space="preserve"> </w:t>
      </w:r>
      <w:r w:rsidR="00915140">
        <w:t>Pytanie w przedmiotowej sprawie brzmi, czy uzasadnienie przedstawione dla orzeczenia sądowego wydanego przez Sąd Najwyższy spełniało standardy Konwencji.</w:t>
      </w:r>
    </w:p>
    <w:p w14:paraId="5507842D" w14:textId="60B8F166" w:rsidR="00915140" w:rsidRPr="000A470D" w:rsidRDefault="00A34A1A" w:rsidP="000A470D">
      <w:pPr>
        <w:pStyle w:val="ECHRPara"/>
        <w:keepNext/>
        <w:keepLines/>
      </w:pPr>
      <w:r>
        <w:t>87</w:t>
      </w:r>
      <w:r w:rsidR="00915140">
        <w:t>.</w:t>
      </w:r>
      <w:r>
        <w:t xml:space="preserve"> </w:t>
      </w:r>
      <w:r w:rsidR="00915140">
        <w:t xml:space="preserve">Trybunał zauważa, że ani </w:t>
      </w:r>
      <w:r w:rsidR="00A74892">
        <w:t xml:space="preserve">art. </w:t>
      </w:r>
      <w:r w:rsidR="00915140">
        <w:t>6</w:t>
      </w:r>
      <w:r w:rsidR="00F60E90">
        <w:t>,</w:t>
      </w:r>
      <w:r w:rsidR="00915140">
        <w:t xml:space="preserve"> ani żaden inny </w:t>
      </w:r>
      <w:r w:rsidR="00F60E90">
        <w:t>artykuł</w:t>
      </w:r>
      <w:r w:rsidR="00A74892">
        <w:t xml:space="preserve"> </w:t>
      </w:r>
      <w:r w:rsidR="00915140">
        <w:t>Konwencji nie nakłada ogólnego zobowiązania, by wskazywać uzasadnienie dla</w:t>
      </w:r>
      <w:r w:rsidR="000E547C">
        <w:t> </w:t>
      </w:r>
      <w:r w:rsidR="00915140">
        <w:t>wszystkich decyzji stwierdzających</w:t>
      </w:r>
      <w:r w:rsidR="00F60E90">
        <w:t xml:space="preserve"> niedopuszczalność środków nadzwyczajnych</w:t>
      </w:r>
      <w:r w:rsidR="00915140">
        <w:t xml:space="preserve">. Prawo krajowe może wyłączać takie decyzje spod obowiązku przedstawiania uzasadnienia. Jednakże, </w:t>
      </w:r>
      <w:r w:rsidR="00F60E90">
        <w:t>gdy</w:t>
      </w:r>
      <w:r w:rsidR="00915140">
        <w:t xml:space="preserve"> przy badaniu środka nadzwyczajnego sąd krajowy </w:t>
      </w:r>
      <w:r w:rsidR="00F60E90" w:rsidRPr="006C48C1">
        <w:t xml:space="preserve">rozstrzyga </w:t>
      </w:r>
      <w:r w:rsidR="00915140" w:rsidRPr="006C48C1">
        <w:t>zarzut karny</w:t>
      </w:r>
      <w:r w:rsidR="00915140">
        <w:t xml:space="preserve"> </w:t>
      </w:r>
      <w:r w:rsidR="00F60E90">
        <w:t>i wskaże uzasadnienie dla swojego orzeczenia</w:t>
      </w:r>
      <w:r w:rsidR="00915140">
        <w:t xml:space="preserve">, uzasadnienie to musi spełniać wymogi </w:t>
      </w:r>
      <w:r w:rsidR="00A74892">
        <w:t>art.</w:t>
      </w:r>
      <w:r w:rsidR="00915140">
        <w:t xml:space="preserve"> 6 dotyczące wskazywania uzasadnienia dla </w:t>
      </w:r>
      <w:r w:rsidR="00F60E90">
        <w:t>orzeczeń</w:t>
      </w:r>
      <w:r w:rsidR="00915140">
        <w:t xml:space="preserve"> sądowych.</w:t>
      </w:r>
    </w:p>
    <w:p w14:paraId="1C669149" w14:textId="2972A53A" w:rsidR="00915140" w:rsidRPr="000A470D" w:rsidRDefault="00A34A1A" w:rsidP="000A470D">
      <w:pPr>
        <w:pStyle w:val="ECHRPara"/>
      </w:pPr>
      <w:r>
        <w:rPr>
          <w:rFonts w:eastAsia="Times New Roman"/>
        </w:rPr>
        <w:t>88</w:t>
      </w:r>
      <w:r w:rsidR="00915140">
        <w:t>.</w:t>
      </w:r>
      <w:r>
        <w:t xml:space="preserve"> </w:t>
      </w:r>
      <w:r w:rsidR="00915140">
        <w:t>W przedmiotowej sprawie Trybunał zauważa, że w swoim wyroku z</w:t>
      </w:r>
      <w:r w:rsidR="000E547C">
        <w:t> </w:t>
      </w:r>
      <w:r w:rsidR="00915140">
        <w:t xml:space="preserve">21 marca 2012 r. Sąd Najwyższy </w:t>
      </w:r>
      <w:r w:rsidR="00F60E90">
        <w:t>orzekł</w:t>
      </w:r>
      <w:r w:rsidR="00915140">
        <w:t xml:space="preserve">, że w świetle </w:t>
      </w:r>
      <w:r w:rsidR="00A74892">
        <w:t>art.</w:t>
      </w:r>
      <w:r w:rsidR="005F6994">
        <w:t xml:space="preserve"> 449 </w:t>
      </w:r>
      <w:r w:rsidR="005616C6" w:rsidRPr="005616C6">
        <w:rPr>
          <w:rFonts w:eastAsia="Times New Roman"/>
          <w:lang w:eastAsia="fr-FR"/>
        </w:rPr>
        <w:t xml:space="preserve">§ </w:t>
      </w:r>
      <w:r w:rsidR="005F6994">
        <w:t>1 lit. g</w:t>
      </w:r>
      <w:r w:rsidR="00915140">
        <w:t xml:space="preserve"> </w:t>
      </w:r>
      <w:r>
        <w:lastRenderedPageBreak/>
        <w:t xml:space="preserve">Kodeksu </w:t>
      </w:r>
      <w:r w:rsidR="00915140">
        <w:t xml:space="preserve">postępowania karnego </w:t>
      </w:r>
      <w:r w:rsidR="00F60E90">
        <w:t>nie można udzielić zgody</w:t>
      </w:r>
      <w:r w:rsidR="00915140">
        <w:t xml:space="preserve"> na rewizję wyroku Sądu Apelacyjnego na podstawie, na jakiej opierała się skarżąca. Sąd Najwyższy uznał, że choć odnotowana przez Trybunał Europejski nieprawidłowość proceduralna mogła mieć wpływ na wymiar kary skarżącej, nie była ona na tyle poważna, by </w:t>
      </w:r>
      <w:r w:rsidR="00F60E90">
        <w:t xml:space="preserve">uznać </w:t>
      </w:r>
      <w:r w:rsidR="00915140">
        <w:t>skazanie za niezgodne z</w:t>
      </w:r>
      <w:r w:rsidR="00DD3FD6">
        <w:t> </w:t>
      </w:r>
      <w:r w:rsidR="00915140">
        <w:t>wyrokiem Trybunału.</w:t>
      </w:r>
    </w:p>
    <w:p w14:paraId="25E05651" w14:textId="773EBCF4" w:rsidR="00915140" w:rsidRPr="000A470D" w:rsidRDefault="00A34A1A" w:rsidP="000A470D">
      <w:pPr>
        <w:pStyle w:val="ECHRPara"/>
        <w:rPr>
          <w:color w:val="000000"/>
        </w:rPr>
      </w:pPr>
      <w:r>
        <w:t>89</w:t>
      </w:r>
      <w:r w:rsidR="00915140">
        <w:t>.</w:t>
      </w:r>
      <w:r>
        <w:t xml:space="preserve"> </w:t>
      </w:r>
      <w:r w:rsidR="00915140">
        <w:t>Trybunał stwierdza, że uzasadn</w:t>
      </w:r>
      <w:r w:rsidR="00F60E90">
        <w:t xml:space="preserve">ienie wskazane dla przedmiotowego orzeczenia sądowego </w:t>
      </w:r>
      <w:r w:rsidR="00915140">
        <w:t xml:space="preserve">odpowiadało na główne argumenty podniesione przez skarżącą. Zgodnie z wykładnią Sądu Najwyższego </w:t>
      </w:r>
      <w:r w:rsidR="00A74892">
        <w:t>art.</w:t>
      </w:r>
      <w:r w:rsidR="00915140">
        <w:rPr>
          <w:color w:val="000000"/>
        </w:rPr>
        <w:t xml:space="preserve"> </w:t>
      </w:r>
      <w:r w:rsidR="00915140">
        <w:t xml:space="preserve">449 </w:t>
      </w:r>
      <w:r w:rsidR="005616C6" w:rsidRPr="005616C6">
        <w:rPr>
          <w:rFonts w:eastAsia="Times New Roman"/>
          <w:lang w:eastAsia="fr-FR"/>
        </w:rPr>
        <w:t>§</w:t>
      </w:r>
      <w:r w:rsidR="00915140">
        <w:t xml:space="preserve"> 1 lit. g </w:t>
      </w:r>
      <w:r>
        <w:t xml:space="preserve">Kodeksu </w:t>
      </w:r>
      <w:r w:rsidR="00915140">
        <w:t>postępowania karnego</w:t>
      </w:r>
      <w:r w:rsidR="00915140">
        <w:rPr>
          <w:color w:val="000000"/>
        </w:rPr>
        <w:t xml:space="preserve"> nieprawidłowości proceduralne tego typu</w:t>
      </w:r>
      <w:r w:rsidR="00F60E90">
        <w:rPr>
          <w:color w:val="000000"/>
        </w:rPr>
        <w:t>,</w:t>
      </w:r>
      <w:r w:rsidR="00915140">
        <w:rPr>
          <w:color w:val="000000"/>
        </w:rPr>
        <w:t xml:space="preserve"> co stwierdzone w przedmiotowej sprawie</w:t>
      </w:r>
      <w:r w:rsidR="00F60E90">
        <w:rPr>
          <w:color w:val="000000"/>
        </w:rPr>
        <w:t>,</w:t>
      </w:r>
      <w:r w:rsidR="00915140">
        <w:rPr>
          <w:color w:val="000000"/>
        </w:rPr>
        <w:t xml:space="preserve"> nie dają podstaw do żadnego automatycznego prawa do wznowienia postępowania.</w:t>
      </w:r>
    </w:p>
    <w:p w14:paraId="2A5C2F21" w14:textId="734EEE7E" w:rsidR="00915140" w:rsidRPr="000A470D" w:rsidRDefault="00A34A1A" w:rsidP="000A470D">
      <w:pPr>
        <w:pStyle w:val="ECHRPara"/>
      </w:pPr>
      <w:r w:rsidRPr="009A79E3">
        <w:t>90</w:t>
      </w:r>
      <w:r w:rsidR="00915140" w:rsidRPr="009A79E3">
        <w:t>.</w:t>
      </w:r>
      <w:r w:rsidRPr="009A79E3">
        <w:t xml:space="preserve"> </w:t>
      </w:r>
      <w:r w:rsidR="00915140" w:rsidRPr="009A79E3">
        <w:t xml:space="preserve">Trybunał uważa, że taka wykładnia stosownych przepisów prawa portugalskiego, która </w:t>
      </w:r>
      <w:r w:rsidR="009A79E3" w:rsidRPr="009A79E3">
        <w:t>skutkuje</w:t>
      </w:r>
      <w:r w:rsidR="00915140" w:rsidRPr="009A79E3">
        <w:t xml:space="preserve"> </w:t>
      </w:r>
      <w:r w:rsidR="00F60E90" w:rsidRPr="009A79E3">
        <w:t>ograniczenie</w:t>
      </w:r>
      <w:r w:rsidR="009A79E3" w:rsidRPr="009A79E3">
        <w:t>m</w:t>
      </w:r>
      <w:r w:rsidR="00915140" w:rsidRPr="009A79E3">
        <w:t xml:space="preserve"> sytuacji </w:t>
      </w:r>
      <w:r w:rsidR="009A79E3">
        <w:t>mogących</w:t>
      </w:r>
      <w:r w:rsidR="00915140" w:rsidRPr="009A79E3">
        <w:t xml:space="preserve"> da</w:t>
      </w:r>
      <w:r w:rsidR="009A79E3" w:rsidRPr="009A79E3">
        <w:t>wa</w:t>
      </w:r>
      <w:r w:rsidR="00915140" w:rsidRPr="009A79E3">
        <w:t xml:space="preserve">ć podstawy do wznawiania </w:t>
      </w:r>
      <w:r w:rsidR="00F60E90" w:rsidRPr="009A79E3">
        <w:t xml:space="preserve">prawomocnie zakończonych postępowań karnych </w:t>
      </w:r>
      <w:r w:rsidR="00915140" w:rsidRPr="009A79E3">
        <w:t xml:space="preserve"> </w:t>
      </w:r>
      <w:r w:rsidR="00F60E90" w:rsidRPr="009A79E3">
        <w:t xml:space="preserve">lub przynajmniej </w:t>
      </w:r>
      <w:r w:rsidR="009A79E3" w:rsidRPr="009A79E3">
        <w:t xml:space="preserve"> poddaje je </w:t>
      </w:r>
      <w:r w:rsidR="00F60E90" w:rsidRPr="009A79E3">
        <w:t>kryteri</w:t>
      </w:r>
      <w:r w:rsidR="009A79E3" w:rsidRPr="009A79E3">
        <w:t>om</w:t>
      </w:r>
      <w:r w:rsidR="00F60E90" w:rsidRPr="009A79E3">
        <w:t xml:space="preserve"> podlegają</w:t>
      </w:r>
      <w:r w:rsidR="009A79E3">
        <w:t>cym</w:t>
      </w:r>
      <w:r w:rsidR="00F60E90" w:rsidRPr="009A79E3">
        <w:t xml:space="preserve"> </w:t>
      </w:r>
      <w:r w:rsidR="00915140" w:rsidRPr="009A79E3">
        <w:t>ocenie sądów krajowych, nie wydaje</w:t>
      </w:r>
      <w:r w:rsidR="00915140">
        <w:t xml:space="preserve"> się arbitralna.</w:t>
      </w:r>
    </w:p>
    <w:p w14:paraId="2D88C654" w14:textId="715D8DC3" w:rsidR="00915140" w:rsidRPr="000A470D" w:rsidRDefault="00A34A1A" w:rsidP="000A470D">
      <w:pPr>
        <w:pStyle w:val="ECHRPara"/>
      </w:pPr>
      <w:r>
        <w:rPr>
          <w:rFonts w:eastAsia="Times New Roman"/>
        </w:rPr>
        <w:t>91</w:t>
      </w:r>
      <w:r w:rsidR="00915140">
        <w:t>.</w:t>
      </w:r>
      <w:r>
        <w:t xml:space="preserve"> </w:t>
      </w:r>
      <w:r w:rsidR="00915140">
        <w:t xml:space="preserve">Trybunał zauważa, że taką wykładnię wspiera </w:t>
      </w:r>
      <w:r w:rsidR="00F60E90">
        <w:t xml:space="preserve">jego </w:t>
      </w:r>
      <w:r w:rsidR="00915140">
        <w:t>ugruntowane orzecznictwo wskazujące, iż Konwencja nie gwarantuje prawa do</w:t>
      </w:r>
      <w:r w:rsidR="000E547C">
        <w:t> </w:t>
      </w:r>
      <w:r w:rsidR="00915140">
        <w:t>wznawiania postępowań ani do żadnych innych rodzajów środków, w</w:t>
      </w:r>
      <w:r w:rsidR="000E547C">
        <w:t> </w:t>
      </w:r>
      <w:r w:rsidR="00915140">
        <w:t>drodze których mogą zostać uchylone lub poddane rewizji</w:t>
      </w:r>
      <w:r w:rsidR="00A46DCD" w:rsidRPr="00A46DCD">
        <w:t xml:space="preserve"> </w:t>
      </w:r>
      <w:r w:rsidR="00A46DCD">
        <w:t>prawomocne orzeczenia sądowe</w:t>
      </w:r>
      <w:r w:rsidR="00915140">
        <w:t>, a także brak jednolitego podejścia wśród państw członkowskich co do procedur operacyjnych [dotyczących] wszelkich istniejących mechanizmów w zakresie wznawiania postępowań</w:t>
      </w:r>
      <w:r w:rsidR="00915140" w:rsidRPr="009A79E3">
        <w:t xml:space="preserve">. Dodatkowo Trybunał przywołuje fakt, że stwierdzenie naruszenia </w:t>
      </w:r>
      <w:r w:rsidR="00A74892" w:rsidRPr="009A79E3">
        <w:t>art.</w:t>
      </w:r>
      <w:r w:rsidR="00915140" w:rsidRPr="009A79E3">
        <w:t xml:space="preserve"> 6 Konwencji co</w:t>
      </w:r>
      <w:r w:rsidR="000E547C">
        <w:t> </w:t>
      </w:r>
      <w:r w:rsidR="00915140" w:rsidRPr="009A79E3">
        <w:t xml:space="preserve">do zasady nie powoduje sytuacji </w:t>
      </w:r>
      <w:r w:rsidR="00A46DCD" w:rsidRPr="009A79E3">
        <w:t xml:space="preserve">ciągłej </w:t>
      </w:r>
      <w:r w:rsidR="00915140" w:rsidRPr="009A79E3">
        <w:t xml:space="preserve">i nie nakłada na pozwane państwo </w:t>
      </w:r>
      <w:r w:rsidR="00A46DCD" w:rsidRPr="009A79E3">
        <w:t>ciągłego</w:t>
      </w:r>
      <w:r w:rsidR="00915140" w:rsidRPr="009A79E3">
        <w:t xml:space="preserve"> obowiązku proceduralnego (por. </w:t>
      </w:r>
      <w:r w:rsidR="00915140" w:rsidRPr="009A79E3">
        <w:rPr>
          <w:i/>
          <w:iCs/>
        </w:rPr>
        <w:t xml:space="preserve">Jeronovičs przeciwko Łotwie </w:t>
      </w:r>
      <w:r w:rsidR="00915140" w:rsidRPr="009A79E3">
        <w:t>[WI], nr 44898/10, § 118, ECHR 2016).</w:t>
      </w:r>
    </w:p>
    <w:p w14:paraId="732D46F9" w14:textId="7F8F45B4" w:rsidR="00915140" w:rsidRPr="000A470D" w:rsidRDefault="00A34A1A" w:rsidP="000A470D">
      <w:pPr>
        <w:pStyle w:val="ECHRPara"/>
        <w:rPr>
          <w:i/>
          <w:iCs/>
        </w:rPr>
      </w:pPr>
      <w:r>
        <w:rPr>
          <w:rFonts w:eastAsia="Times New Roman"/>
        </w:rPr>
        <w:t>92</w:t>
      </w:r>
      <w:r w:rsidR="00915140">
        <w:t>.</w:t>
      </w:r>
      <w:r>
        <w:t xml:space="preserve"> </w:t>
      </w:r>
      <w:r w:rsidR="00915140">
        <w:t>W zakresie wykładni wyroku wydanego przez Trybunał w 2011 r</w:t>
      </w:r>
      <w:r w:rsidR="005F6994">
        <w:t>.</w:t>
      </w:r>
      <w:r w:rsidR="00915140">
        <w:t xml:space="preserve">, </w:t>
      </w:r>
      <w:r w:rsidR="00A46DCD">
        <w:t xml:space="preserve">dokonanej przez Sąd Najwyższy, </w:t>
      </w:r>
      <w:r w:rsidR="00915140">
        <w:t xml:space="preserve">Wielka Izba podkreśla, że w tym wyroku Izba uznała, że </w:t>
      </w:r>
      <w:r w:rsidR="00915140" w:rsidRPr="00F73180">
        <w:t>ponown</w:t>
      </w:r>
      <w:r w:rsidR="00F73180" w:rsidRPr="00F73180">
        <w:t>y proces</w:t>
      </w:r>
      <w:r w:rsidR="00915140">
        <w:t xml:space="preserve"> lub wznowienie postępowania, jeżeli [strony] o </w:t>
      </w:r>
      <w:r w:rsidR="004D24B4">
        <w:t>to</w:t>
      </w:r>
      <w:r w:rsidR="00A46DCD">
        <w:t xml:space="preserve"> wniosą, stanowi</w:t>
      </w:r>
      <w:r w:rsidR="00915140">
        <w:t xml:space="preserve"> „co do zasady </w:t>
      </w:r>
      <w:r w:rsidR="00915140">
        <w:t>właściwy</w:t>
      </w:r>
      <w:r w:rsidR="00915140">
        <w:t xml:space="preserve"> sposób </w:t>
      </w:r>
      <w:r w:rsidR="00912FB2">
        <w:t>naprawienia</w:t>
      </w:r>
      <w:r w:rsidR="00915140">
        <w:t xml:space="preserve"> naruszenia”. </w:t>
      </w:r>
      <w:r w:rsidR="00915140" w:rsidRPr="00F73180">
        <w:t>Ponown</w:t>
      </w:r>
      <w:r w:rsidR="00F73180" w:rsidRPr="00F73180">
        <w:t>y proces</w:t>
      </w:r>
      <w:r w:rsidR="00915140">
        <w:t xml:space="preserve"> lub wznowienie postępowania określono zatem </w:t>
      </w:r>
      <w:r w:rsidR="00A46DCD">
        <w:t xml:space="preserve">jako </w:t>
      </w:r>
      <w:r w:rsidR="00915140">
        <w:t>rozwiązanie</w:t>
      </w:r>
      <w:r w:rsidR="00A46DCD">
        <w:t xml:space="preserve"> </w:t>
      </w:r>
      <w:r w:rsidR="0000793B">
        <w:t>właściwe</w:t>
      </w:r>
      <w:r w:rsidR="00915140">
        <w:t xml:space="preserve">, lecz nie </w:t>
      </w:r>
      <w:r w:rsidR="00A46DCD">
        <w:t>jako konieczne lub wyłączne. Co</w:t>
      </w:r>
      <w:r w:rsidR="00DD3FD6">
        <w:t> </w:t>
      </w:r>
      <w:r w:rsidR="00A46DCD">
        <w:t>więcej</w:t>
      </w:r>
      <w:r w:rsidR="00915140">
        <w:t xml:space="preserve"> wykorzystanie zwrotu „co do zasady” zawęża zakres rekomendacji, sugerując, że w pewnych </w:t>
      </w:r>
      <w:r w:rsidR="00915140" w:rsidRPr="00F73180">
        <w:t>sytuacjach ponown</w:t>
      </w:r>
      <w:r w:rsidR="00F73180" w:rsidRPr="00F73180">
        <w:t xml:space="preserve">y proces </w:t>
      </w:r>
      <w:r w:rsidR="00915140" w:rsidRPr="00F73180">
        <w:t>lub</w:t>
      </w:r>
      <w:r w:rsidR="000E547C">
        <w:t> </w:t>
      </w:r>
      <w:r w:rsidR="00915140">
        <w:t xml:space="preserve">wznowienie postępowania może nie być </w:t>
      </w:r>
      <w:r w:rsidR="00A46DCD" w:rsidRPr="0052391B">
        <w:t>właściwym</w:t>
      </w:r>
      <w:r w:rsidR="00A46DCD">
        <w:t xml:space="preserve"> </w:t>
      </w:r>
      <w:r w:rsidR="00915140">
        <w:t>rozwiązaniem (zob.</w:t>
      </w:r>
      <w:r w:rsidR="000E547C">
        <w:t> </w:t>
      </w:r>
      <w:r w:rsidR="00915140">
        <w:t>paragraf 20 powyżej).</w:t>
      </w:r>
    </w:p>
    <w:p w14:paraId="2B08C315" w14:textId="09B7641F" w:rsidR="00915140" w:rsidRPr="000A470D" w:rsidRDefault="00A34A1A" w:rsidP="000A470D">
      <w:pPr>
        <w:pStyle w:val="ECHRPara"/>
        <w:rPr>
          <w:rFonts w:eastAsia="Times New Roman"/>
        </w:rPr>
      </w:pPr>
      <w:r>
        <w:t>93</w:t>
      </w:r>
      <w:r w:rsidR="00915140">
        <w:t>.</w:t>
      </w:r>
      <w:r>
        <w:t xml:space="preserve"> </w:t>
      </w:r>
      <w:r w:rsidR="00723479">
        <w:t xml:space="preserve">Z lektury </w:t>
      </w:r>
      <w:r w:rsidR="00915140">
        <w:t>tej części wyroku, a w szczególności słów „co do zasady” oraz „jednakże” (zob. paragraf 20 powyżej), w</w:t>
      </w:r>
      <w:r w:rsidR="00723479">
        <w:t>ynika</w:t>
      </w:r>
      <w:r w:rsidR="00915140">
        <w:t xml:space="preserve">, że Trybunał powstrzymał się od wydania wiążących wskazań co do sposobu wykonania swojego wyroku; w zamian zdecydował się dać Państwu szerokie pole manewru w tym zakresie. Dodatkowo Trybunał powtarza, że nie może przesądzać o wyniku oceny sądów krajowych na temat tego, czy w świetle </w:t>
      </w:r>
      <w:r w:rsidR="00915140">
        <w:lastRenderedPageBreak/>
        <w:t>konkre</w:t>
      </w:r>
      <w:r w:rsidR="00A46DCD">
        <w:t xml:space="preserve">tnych okoliczności danej sprawy </w:t>
      </w:r>
      <w:r w:rsidR="00A46DCD" w:rsidRPr="0052391B">
        <w:t>właściwe</w:t>
      </w:r>
      <w:r w:rsidR="00915140" w:rsidRPr="0052391B">
        <w:t xml:space="preserve"> </w:t>
      </w:r>
      <w:r w:rsidR="00A46DCD" w:rsidRPr="0052391B">
        <w:t>byłoby</w:t>
      </w:r>
      <w:r w:rsidR="00A46DCD">
        <w:t xml:space="preserve"> przyznanie </w:t>
      </w:r>
      <w:r w:rsidR="00A46DCD" w:rsidRPr="00F73180">
        <w:t xml:space="preserve">ponownego </w:t>
      </w:r>
      <w:r w:rsidR="00F73180" w:rsidRPr="00F73180">
        <w:t xml:space="preserve">procesu </w:t>
      </w:r>
      <w:r w:rsidR="00A46DCD">
        <w:t>lub wznowienia</w:t>
      </w:r>
      <w:r w:rsidR="00915140">
        <w:t xml:space="preserve"> postępowania (zob. </w:t>
      </w:r>
      <w:r w:rsidR="00915140">
        <w:rPr>
          <w:i/>
          <w:iCs/>
        </w:rPr>
        <w:t>Davydov przeciwko Rosji</w:t>
      </w:r>
      <w:r w:rsidR="00915140">
        <w:t>, nr 18967/07</w:t>
      </w:r>
      <w:r w:rsidR="00915140">
        <w:rPr>
          <w:snapToGrid w:val="0"/>
        </w:rPr>
        <w:t xml:space="preserve">, § 29, </w:t>
      </w:r>
      <w:r w:rsidR="00915140">
        <w:t>30</w:t>
      </w:r>
      <w:r w:rsidR="00915140">
        <w:rPr>
          <w:snapToGrid w:val="0"/>
        </w:rPr>
        <w:t xml:space="preserve"> </w:t>
      </w:r>
      <w:r w:rsidR="00915140">
        <w:t xml:space="preserve">października </w:t>
      </w:r>
      <w:r w:rsidR="00915140">
        <w:rPr>
          <w:snapToGrid w:val="0"/>
        </w:rPr>
        <w:t>2014 r.).</w:t>
      </w:r>
    </w:p>
    <w:p w14:paraId="0A30C397" w14:textId="7410522F" w:rsidR="00915140" w:rsidRPr="000A470D" w:rsidRDefault="00A34A1A" w:rsidP="000A470D">
      <w:pPr>
        <w:pStyle w:val="ECHRPara"/>
        <w:rPr>
          <w:rFonts w:eastAsia="Times New Roman"/>
        </w:rPr>
      </w:pPr>
      <w:r>
        <w:rPr>
          <w:rFonts w:eastAsia="Times New Roman"/>
        </w:rPr>
        <w:t>94</w:t>
      </w:r>
      <w:r w:rsidR="00915140">
        <w:t>.</w:t>
      </w:r>
      <w:r>
        <w:t xml:space="preserve"> </w:t>
      </w:r>
      <w:r w:rsidR="006C48C1">
        <w:t xml:space="preserve">W związku z tym </w:t>
      </w:r>
      <w:r w:rsidR="00915140">
        <w:t xml:space="preserve">wznowienie postępowania </w:t>
      </w:r>
      <w:r w:rsidR="00915140" w:rsidRPr="006C48C1">
        <w:t>nie wydawało się być</w:t>
      </w:r>
      <w:r w:rsidR="00915140">
        <w:t xml:space="preserve"> jedynym sposobem </w:t>
      </w:r>
      <w:r w:rsidR="00A46DCD">
        <w:t>wykonania</w:t>
      </w:r>
      <w:r w:rsidR="00915140">
        <w:t xml:space="preserve"> wyroku Trybunału z 5 lipca 2011 r.; w</w:t>
      </w:r>
      <w:r w:rsidR="000E547C">
        <w:t> </w:t>
      </w:r>
      <w:r w:rsidR="00915140">
        <w:t xml:space="preserve">najlepszym przypadku stanowiło najbardziej pożądaną opcję, której </w:t>
      </w:r>
      <w:r w:rsidR="00A46DCD">
        <w:t xml:space="preserve">celowość </w:t>
      </w:r>
      <w:r w:rsidR="00915140">
        <w:t>był</w:t>
      </w:r>
      <w:r w:rsidR="00A46DCD">
        <w:t>a</w:t>
      </w:r>
      <w:r w:rsidR="00915140">
        <w:t xml:space="preserve"> kwestią do oceny </w:t>
      </w:r>
      <w:r w:rsidR="00A46DCD">
        <w:t>przez sądy krajowe,</w:t>
      </w:r>
      <w:r w:rsidR="00915140">
        <w:t xml:space="preserve"> z uwzględnieniem prawa portugalskiego oraz konkretnych </w:t>
      </w:r>
      <w:r w:rsidR="00A46DCD">
        <w:t xml:space="preserve">okoliczności </w:t>
      </w:r>
      <w:r w:rsidR="00915140">
        <w:t>sprawy.</w:t>
      </w:r>
    </w:p>
    <w:p w14:paraId="0BCC2BDC" w14:textId="3671FF5B" w:rsidR="00915140" w:rsidRPr="000A470D" w:rsidRDefault="00A34A1A" w:rsidP="000A470D">
      <w:pPr>
        <w:pStyle w:val="ECHRPara"/>
      </w:pPr>
      <w:r>
        <w:rPr>
          <w:rFonts w:eastAsia="Times New Roman"/>
        </w:rPr>
        <w:t>95</w:t>
      </w:r>
      <w:r w:rsidR="00915140">
        <w:t>.</w:t>
      </w:r>
      <w:r>
        <w:t xml:space="preserve"> </w:t>
      </w:r>
      <w:r w:rsidR="00915140">
        <w:t xml:space="preserve">Sąd Najwyższy w </w:t>
      </w:r>
      <w:r w:rsidR="00793C06">
        <w:t xml:space="preserve">swym uzasadnieniu do </w:t>
      </w:r>
      <w:r w:rsidR="00915140">
        <w:t xml:space="preserve">wyroku z dnia 21 marca 2012 r. przeanalizował treść wyroku Trybunału z 5 lipca 2011 r. </w:t>
      </w:r>
      <w:r w:rsidR="00793C06">
        <w:t>Z</w:t>
      </w:r>
      <w:r w:rsidR="00915140">
        <w:t xml:space="preserve"> analizy wspomnianego wyroku</w:t>
      </w:r>
      <w:r w:rsidR="00793C06">
        <w:t xml:space="preserve"> wywiódł on</w:t>
      </w:r>
      <w:r w:rsidR="00915140">
        <w:t>, że Trybunał „</w:t>
      </w:r>
      <w:r w:rsidR="0000793B">
        <w:t>na wstępie</w:t>
      </w:r>
      <w:r w:rsidR="00915140">
        <w:t xml:space="preserve"> </w:t>
      </w:r>
      <w:r w:rsidR="00793C06">
        <w:t xml:space="preserve">wykluczył </w:t>
      </w:r>
      <w:r w:rsidR="00915140">
        <w:t xml:space="preserve">wszelką możliwość, </w:t>
      </w:r>
      <w:r w:rsidR="00793C06">
        <w:t>by jego orzeczenie mogło</w:t>
      </w:r>
      <w:r w:rsidR="00915140">
        <w:t xml:space="preserve"> powodować poważne wątpliwości </w:t>
      </w:r>
      <w:r w:rsidR="00793C06">
        <w:t xml:space="preserve">co do </w:t>
      </w:r>
      <w:r w:rsidR="00915140">
        <w:t xml:space="preserve">skazania” (zob. paragraf </w:t>
      </w:r>
      <w:r w:rsidR="00EF006C">
        <w:t>26</w:t>
      </w:r>
      <w:r w:rsidR="00915140">
        <w:t xml:space="preserve"> powyżej) ze względu na</w:t>
      </w:r>
      <w:r w:rsidR="000E547C">
        <w:t> </w:t>
      </w:r>
      <w:r w:rsidR="00915140">
        <w:t>nieobecność skarżącej na rozprawie dotyczącej jej</w:t>
      </w:r>
      <w:r w:rsidR="00793C06">
        <w:t xml:space="preserve"> apelacji</w:t>
      </w:r>
      <w:r w:rsidR="00915140">
        <w:t>. Taka była własna wykładnia wyroku Trybunału dokonana przez Sąd Najwyższy. W</w:t>
      </w:r>
      <w:r w:rsidR="000E547C">
        <w:t> </w:t>
      </w:r>
      <w:r w:rsidR="00915140">
        <w:t xml:space="preserve">świetle </w:t>
      </w:r>
      <w:r w:rsidR="00793C06">
        <w:t xml:space="preserve">marginesu oceny </w:t>
      </w:r>
      <w:r w:rsidR="00915140">
        <w:t xml:space="preserve">zapewnionej władzom krajowym w odniesieniu do </w:t>
      </w:r>
      <w:r w:rsidR="00793C06">
        <w:t xml:space="preserve">wykładni </w:t>
      </w:r>
      <w:r w:rsidR="00915140">
        <w:t>wyroków Trybunału oraz w świetle zasad regulujących wykonywanie wyroków (zob</w:t>
      </w:r>
      <w:r w:rsidR="00915140" w:rsidRPr="00F45B6B">
        <w:t>.</w:t>
      </w:r>
      <w:r w:rsidR="00F45B6B" w:rsidRPr="00F45B6B">
        <w:t>,</w:t>
      </w:r>
      <w:r w:rsidR="00915140" w:rsidRPr="00F45B6B">
        <w:t xml:space="preserve"> </w:t>
      </w:r>
      <w:r w:rsidR="00915140" w:rsidRPr="00F45B6B">
        <w:rPr>
          <w:iCs/>
        </w:rPr>
        <w:t>odpowiednio</w:t>
      </w:r>
      <w:r w:rsidR="00915140" w:rsidRPr="00F45B6B">
        <w:t xml:space="preserve">, </w:t>
      </w:r>
      <w:r w:rsidR="00915140" w:rsidRPr="00F45B6B">
        <w:rPr>
          <w:i/>
          <w:iCs/>
        </w:rPr>
        <w:t>Emre przeciwko</w:t>
      </w:r>
      <w:r w:rsidR="00915140">
        <w:rPr>
          <w:i/>
          <w:iCs/>
        </w:rPr>
        <w:t xml:space="preserve"> Szwajcarii (nr</w:t>
      </w:r>
      <w:r w:rsidR="000E547C">
        <w:rPr>
          <w:i/>
          <w:iCs/>
        </w:rPr>
        <w:t> </w:t>
      </w:r>
      <w:r w:rsidR="00915140">
        <w:rPr>
          <w:i/>
          <w:iCs/>
        </w:rPr>
        <w:t>2)</w:t>
      </w:r>
      <w:r w:rsidR="00915140">
        <w:t>, nr 5056/10</w:t>
      </w:r>
      <w:r w:rsidR="00915140">
        <w:rPr>
          <w:snapToGrid w:val="0"/>
        </w:rPr>
        <w:t xml:space="preserve">, § 71, 11 </w:t>
      </w:r>
      <w:r w:rsidR="00915140">
        <w:t>października</w:t>
      </w:r>
      <w:r w:rsidR="00915140">
        <w:rPr>
          <w:snapToGrid w:val="0"/>
        </w:rPr>
        <w:t>2011 r.)</w:t>
      </w:r>
      <w:r w:rsidR="00915140">
        <w:t>, Trybunał uważa, że</w:t>
      </w:r>
      <w:r w:rsidR="000E547C">
        <w:t> </w:t>
      </w:r>
      <w:r w:rsidR="00915140">
        <w:t>nie</w:t>
      </w:r>
      <w:r w:rsidR="000E547C">
        <w:t> </w:t>
      </w:r>
      <w:r w:rsidR="00915140">
        <w:t xml:space="preserve">jest konieczne, by wyrażał stanowisko na </w:t>
      </w:r>
      <w:r w:rsidR="00915140" w:rsidRPr="0052391B">
        <w:t>temat zasadności</w:t>
      </w:r>
      <w:r w:rsidR="00915140">
        <w:t xml:space="preserve"> tej</w:t>
      </w:r>
      <w:r w:rsidR="000E547C">
        <w:t> </w:t>
      </w:r>
      <w:r w:rsidR="00915140">
        <w:t>wykładni.</w:t>
      </w:r>
    </w:p>
    <w:p w14:paraId="32BB4CA6" w14:textId="3AFA6274" w:rsidR="00915140" w:rsidRPr="000A470D" w:rsidRDefault="00A34A1A" w:rsidP="000A470D">
      <w:pPr>
        <w:pStyle w:val="ECHRPara"/>
        <w:rPr>
          <w:snapToGrid w:val="0"/>
        </w:rPr>
      </w:pPr>
      <w:r>
        <w:t>96</w:t>
      </w:r>
      <w:r w:rsidR="00915140">
        <w:t>.</w:t>
      </w:r>
      <w:r>
        <w:t xml:space="preserve"> </w:t>
      </w:r>
      <w:r w:rsidR="00793C06">
        <w:t xml:space="preserve">W istocie </w:t>
      </w:r>
      <w:r w:rsidR="00915140">
        <w:t>wystarczające jest</w:t>
      </w:r>
      <w:r w:rsidR="00793C06">
        <w:t>,</w:t>
      </w:r>
      <w:r w:rsidR="00915140">
        <w:t xml:space="preserve"> by Trybunał u</w:t>
      </w:r>
      <w:r w:rsidR="00F45B6B">
        <w:t>pewnił się</w:t>
      </w:r>
      <w:r w:rsidR="00915140">
        <w:t>, że wyrok z</w:t>
      </w:r>
      <w:r w:rsidR="000E547C">
        <w:t> </w:t>
      </w:r>
      <w:r w:rsidR="00915140">
        <w:t>dnia 21 marca 2012 r. nie był arbitralny, czyli że sędziowie Sądu Najwyższego nie wypaczyli ani nie przeinaczyli wyroku wydanego przez</w:t>
      </w:r>
      <w:r w:rsidR="000E547C">
        <w:t> </w:t>
      </w:r>
      <w:r w:rsidR="00915140">
        <w:t xml:space="preserve">Trybunał (por. </w:t>
      </w:r>
      <w:r w:rsidR="00915140">
        <w:rPr>
          <w:i/>
          <w:iCs/>
        </w:rPr>
        <w:t>Bochan (nr 2)</w:t>
      </w:r>
      <w:r w:rsidR="00915140">
        <w:t xml:space="preserve">, cyt. powyżej, §§ 63-65, praz </w:t>
      </w:r>
      <w:r w:rsidR="00915140">
        <w:rPr>
          <w:i/>
          <w:iCs/>
        </w:rPr>
        <w:t>Emre (nr</w:t>
      </w:r>
      <w:r w:rsidR="000E547C">
        <w:rPr>
          <w:i/>
          <w:iCs/>
        </w:rPr>
        <w:t> </w:t>
      </w:r>
      <w:r w:rsidR="00915140">
        <w:rPr>
          <w:i/>
          <w:iCs/>
        </w:rPr>
        <w:t>2)</w:t>
      </w:r>
      <w:r w:rsidR="00915140">
        <w:t>, cyt. powyżej,</w:t>
      </w:r>
      <w:r>
        <w:t xml:space="preserve"> </w:t>
      </w:r>
      <w:r w:rsidR="00915140">
        <w:rPr>
          <w:snapToGrid w:val="0"/>
        </w:rPr>
        <w:t>§§ 71-75).</w:t>
      </w:r>
    </w:p>
    <w:p w14:paraId="567838D9" w14:textId="2AB1DDC2" w:rsidR="00915140" w:rsidRPr="000A470D" w:rsidRDefault="00A34A1A" w:rsidP="000A470D">
      <w:pPr>
        <w:pStyle w:val="ECHRPara"/>
        <w:rPr>
          <w:snapToGrid w:val="0"/>
        </w:rPr>
      </w:pPr>
      <w:r>
        <w:rPr>
          <w:snapToGrid w:val="0"/>
        </w:rPr>
        <w:t>97</w:t>
      </w:r>
      <w:r w:rsidR="00915140">
        <w:rPr>
          <w:snapToGrid w:val="0"/>
        </w:rPr>
        <w:t>.</w:t>
      </w:r>
      <w:r>
        <w:rPr>
          <w:snapToGrid w:val="0"/>
        </w:rPr>
        <w:t xml:space="preserve"> </w:t>
      </w:r>
      <w:r w:rsidR="00915140">
        <w:rPr>
          <w:snapToGrid w:val="0"/>
        </w:rPr>
        <w:t>Trybunał nie może</w:t>
      </w:r>
      <w:r>
        <w:rPr>
          <w:snapToGrid w:val="0"/>
        </w:rPr>
        <w:t xml:space="preserve"> </w:t>
      </w:r>
      <w:r w:rsidR="00915140">
        <w:rPr>
          <w:snapToGrid w:val="0"/>
        </w:rPr>
        <w:t>stwierdzić, że odczytanie</w:t>
      </w:r>
      <w:r w:rsidR="00915140">
        <w:t xml:space="preserve"> przez Sąd Najwyższy wyroku Trybunału z 2011 r</w:t>
      </w:r>
      <w:r w:rsidR="005F6994">
        <w:t>.</w:t>
      </w:r>
      <w:r w:rsidR="00915140">
        <w:t xml:space="preserve"> było, postrzegane jako całość, wynikiem </w:t>
      </w:r>
      <w:r w:rsidR="00793C06">
        <w:t>oczywistego błędu</w:t>
      </w:r>
      <w:r w:rsidR="00915140">
        <w:t xml:space="preserve"> faktycznego lub prawnego prowadzącego do „odmowy wymiaru sprawiedliwości”.</w:t>
      </w:r>
    </w:p>
    <w:p w14:paraId="5D29ADAE" w14:textId="4E5E0E5D" w:rsidR="00915140" w:rsidRPr="000A470D" w:rsidRDefault="00A34A1A" w:rsidP="000A470D">
      <w:pPr>
        <w:pStyle w:val="ECHRPara"/>
        <w:rPr>
          <w:rFonts w:eastAsia="Times New Roman"/>
        </w:rPr>
      </w:pPr>
      <w:r>
        <w:rPr>
          <w:rFonts w:eastAsia="Times New Roman"/>
        </w:rPr>
        <w:t>98</w:t>
      </w:r>
      <w:r w:rsidR="00915140">
        <w:t>.</w:t>
      </w:r>
      <w:r>
        <w:t xml:space="preserve"> </w:t>
      </w:r>
      <w:r w:rsidR="00915140">
        <w:t xml:space="preserve">Mając na uwadze zasadę </w:t>
      </w:r>
      <w:r w:rsidR="00793C06">
        <w:t xml:space="preserve">subsydiarności </w:t>
      </w:r>
      <w:r w:rsidR="00915140">
        <w:t xml:space="preserve">oraz </w:t>
      </w:r>
      <w:r w:rsidR="00793C06">
        <w:t xml:space="preserve">sformułowanie </w:t>
      </w:r>
      <w:r w:rsidR="005F6994">
        <w:t>wyroku Trybunału z 2011 r.</w:t>
      </w:r>
      <w:r w:rsidR="00915140">
        <w:t xml:space="preserve">, Trybunał uważa, że odmowa </w:t>
      </w:r>
      <w:r w:rsidR="0000793B">
        <w:t xml:space="preserve">przyznania </w:t>
      </w:r>
      <w:r w:rsidR="0000793B">
        <w:t>przez Sąd Najwyższy</w:t>
      </w:r>
      <w:r w:rsidR="00915140">
        <w:t xml:space="preserve"> </w:t>
      </w:r>
      <w:r w:rsidR="00793C06">
        <w:t>wznowienia postępowania</w:t>
      </w:r>
      <w:r w:rsidR="00915140">
        <w:t xml:space="preserve"> na wniosek skarżącej nie była arbitralna. Wyrok Sądu Najwyższego z 21 marca 2012 r. zawiera wystarczające </w:t>
      </w:r>
      <w:r w:rsidR="00793C06">
        <w:t xml:space="preserve">wskazanie </w:t>
      </w:r>
      <w:r w:rsidR="00915140">
        <w:t xml:space="preserve">podstaw, na których został oparty. Podstawy te mieszczą się w </w:t>
      </w:r>
      <w:r w:rsidR="00793C06">
        <w:t xml:space="preserve">marginesie oceny </w:t>
      </w:r>
      <w:r w:rsidR="00915140">
        <w:t>władz krajowych i nie wypaczają ustaleń wyroku Trybunału.</w:t>
      </w:r>
    </w:p>
    <w:p w14:paraId="22F8C5AD" w14:textId="74A30C8E" w:rsidR="00915140" w:rsidRPr="000A470D" w:rsidRDefault="00A34A1A" w:rsidP="000A470D">
      <w:pPr>
        <w:pStyle w:val="ECHRPara"/>
      </w:pPr>
      <w:r>
        <w:t>99</w:t>
      </w:r>
      <w:r w:rsidR="00915140">
        <w:t>.</w:t>
      </w:r>
      <w:r>
        <w:t xml:space="preserve"> </w:t>
      </w:r>
      <w:r w:rsidR="00915140">
        <w:t xml:space="preserve">Trybunał podkreśla, że powyższe rozważania nie mają na celu pomniejszania </w:t>
      </w:r>
      <w:r w:rsidR="00793C06" w:rsidRPr="00F45B6B">
        <w:t xml:space="preserve">znaczenia zapewnienia procedur krajowych, </w:t>
      </w:r>
      <w:r w:rsidR="00915140" w:rsidRPr="00F45B6B">
        <w:t>w ramach których sprawa może być ponownie rozpatrzona w świetle</w:t>
      </w:r>
      <w:r w:rsidR="00793C06" w:rsidRPr="00F45B6B">
        <w:t xml:space="preserve"> stwierdzenia</w:t>
      </w:r>
      <w:r w:rsidR="00915140" w:rsidRPr="00F45B6B">
        <w:t>, iż</w:t>
      </w:r>
      <w:r w:rsidR="000E547C">
        <w:t> </w:t>
      </w:r>
      <w:r w:rsidR="00915140" w:rsidRPr="00F45B6B">
        <w:t xml:space="preserve">naruszono </w:t>
      </w:r>
      <w:r w:rsidR="00A74892" w:rsidRPr="00F45B6B">
        <w:t xml:space="preserve">art. </w:t>
      </w:r>
      <w:r w:rsidR="00915140" w:rsidRPr="00F45B6B">
        <w:t xml:space="preserve">6 Konwencji. Wręcz przeciwnie, takie procedury mogą zostać uznane za istotny aspekt wykonywania </w:t>
      </w:r>
      <w:r w:rsidR="00793C06" w:rsidRPr="00F45B6B">
        <w:t xml:space="preserve">jego </w:t>
      </w:r>
      <w:r w:rsidR="00915140" w:rsidRPr="00F45B6B">
        <w:t>wyroków, a</w:t>
      </w:r>
      <w:r w:rsidR="000E547C">
        <w:t> </w:t>
      </w:r>
      <w:r w:rsidR="00915140" w:rsidRPr="00F45B6B">
        <w:t>ich</w:t>
      </w:r>
      <w:r w:rsidR="000E547C">
        <w:t> </w:t>
      </w:r>
      <w:r w:rsidR="00915140" w:rsidRPr="00F45B6B">
        <w:t xml:space="preserve">dostępność </w:t>
      </w:r>
      <w:r w:rsidR="00F45B6B" w:rsidRPr="00F45B6B">
        <w:t xml:space="preserve">świadczy o </w:t>
      </w:r>
      <w:r w:rsidR="00793C06" w:rsidRPr="00F45B6B">
        <w:t>zaangażowani</w:t>
      </w:r>
      <w:r w:rsidR="00F45B6B" w:rsidRPr="00F45B6B">
        <w:t xml:space="preserve">u Układającego się Państwa </w:t>
      </w:r>
      <w:r w:rsidR="0002680C" w:rsidRPr="00F45B6B">
        <w:t>na</w:t>
      </w:r>
      <w:r w:rsidR="000E547C">
        <w:t> </w:t>
      </w:r>
      <w:r w:rsidR="0002680C" w:rsidRPr="00F45B6B">
        <w:t xml:space="preserve">rzecz przestrzegania </w:t>
      </w:r>
      <w:r w:rsidR="00915140" w:rsidRPr="00F45B6B">
        <w:t xml:space="preserve">Konwencji oraz orzecznictwa Trybunału </w:t>
      </w:r>
      <w:r w:rsidR="00915140" w:rsidRPr="00F45B6B">
        <w:lastRenderedPageBreak/>
        <w:t>(zob.</w:t>
      </w:r>
      <w:r w:rsidR="000E547C">
        <w:t> </w:t>
      </w:r>
      <w:r w:rsidR="00915140" w:rsidRPr="00F45B6B">
        <w:rPr>
          <w:i/>
          <w:iCs/>
        </w:rPr>
        <w:t xml:space="preserve">Lyons i </w:t>
      </w:r>
      <w:r w:rsidR="00196B82" w:rsidRPr="00F45B6B">
        <w:rPr>
          <w:i/>
          <w:iCs/>
        </w:rPr>
        <w:t xml:space="preserve">Inni </w:t>
      </w:r>
      <w:r w:rsidR="00915140" w:rsidRPr="00F45B6B">
        <w:rPr>
          <w:i/>
          <w:iCs/>
        </w:rPr>
        <w:t>przeciwko Wielkiej</w:t>
      </w:r>
      <w:r w:rsidR="00915140">
        <w:rPr>
          <w:i/>
          <w:iCs/>
        </w:rPr>
        <w:t xml:space="preserve"> Brytanii</w:t>
      </w:r>
      <w:r w:rsidR="00915140">
        <w:t xml:space="preserve"> (dec.), nr 15227/03, ECHR</w:t>
      </w:r>
      <w:r w:rsidR="000E547C">
        <w:t> </w:t>
      </w:r>
      <w:r w:rsidR="00915140">
        <w:t>2003-IX).</w:t>
      </w:r>
    </w:p>
    <w:p w14:paraId="3CC4530B" w14:textId="7C31F7CE" w:rsidR="00915140" w:rsidRPr="000A470D" w:rsidRDefault="00A34A1A" w:rsidP="000A470D">
      <w:pPr>
        <w:pStyle w:val="ECHRPara"/>
        <w:rPr>
          <w:rFonts w:eastAsia="Times New Roman"/>
        </w:rPr>
      </w:pPr>
      <w:r>
        <w:rPr>
          <w:rFonts w:eastAsia="Times New Roman"/>
        </w:rPr>
        <w:t>100</w:t>
      </w:r>
      <w:r w:rsidR="00915140">
        <w:t>.</w:t>
      </w:r>
      <w:r>
        <w:t xml:space="preserve"> </w:t>
      </w:r>
      <w:r w:rsidR="00915140">
        <w:t>Mając na uwadze powyższe, Trybunał stwierdza, że nie doszło do</w:t>
      </w:r>
      <w:r w:rsidR="000E547C">
        <w:t> </w:t>
      </w:r>
      <w:r w:rsidR="00915140">
        <w:t xml:space="preserve">naruszenia </w:t>
      </w:r>
      <w:r w:rsidR="00A74892">
        <w:t>art.</w:t>
      </w:r>
      <w:r w:rsidR="00915140">
        <w:t xml:space="preserve"> 6 ust. 1 Konwencji.</w:t>
      </w:r>
    </w:p>
    <w:p w14:paraId="52B294A0" w14:textId="2DA85834" w:rsidR="00915140" w:rsidRPr="000A470D" w:rsidRDefault="00915140" w:rsidP="000A470D">
      <w:pPr>
        <w:pStyle w:val="ECHRHeading1"/>
      </w:pPr>
      <w:r>
        <w:t>II.</w:t>
      </w:r>
      <w:r w:rsidR="00A34A1A">
        <w:t xml:space="preserve"> </w:t>
      </w:r>
      <w:r>
        <w:t xml:space="preserve">ZARZUT NARUSZENIA </w:t>
      </w:r>
      <w:r w:rsidR="00A74892">
        <w:t>ART.</w:t>
      </w:r>
      <w:r>
        <w:t xml:space="preserve"> 46 KON</w:t>
      </w:r>
      <w:bookmarkStart w:id="1" w:name="_GoBack"/>
      <w:bookmarkEnd w:id="1"/>
      <w:r>
        <w:t>WENCJI</w:t>
      </w:r>
    </w:p>
    <w:p w14:paraId="27FCB0D8" w14:textId="0959EA7E" w:rsidR="00915140" w:rsidRPr="000A470D" w:rsidRDefault="00A34A1A" w:rsidP="000A470D">
      <w:pPr>
        <w:pStyle w:val="ECHRPara"/>
      </w:pPr>
      <w:r>
        <w:t>101</w:t>
      </w:r>
      <w:r w:rsidR="00915140">
        <w:t>.</w:t>
      </w:r>
      <w:r>
        <w:t xml:space="preserve"> </w:t>
      </w:r>
      <w:r w:rsidR="00915140">
        <w:t xml:space="preserve">Skarżąca podniosła </w:t>
      </w:r>
      <w:r w:rsidR="0002680C">
        <w:t>ponadto</w:t>
      </w:r>
      <w:r w:rsidR="00915140">
        <w:t>, że od</w:t>
      </w:r>
      <w:r w:rsidR="00F45B6B">
        <w:t>dalenie</w:t>
      </w:r>
      <w:r w:rsidR="00915140">
        <w:t xml:space="preserve"> przez Sąd Najwyższy jej</w:t>
      </w:r>
      <w:r w:rsidR="000E547C">
        <w:t> </w:t>
      </w:r>
      <w:r w:rsidR="00915140">
        <w:t>wniosku o rewizję naruszył</w:t>
      </w:r>
      <w:r w:rsidR="00F45B6B">
        <w:t>o</w:t>
      </w:r>
      <w:r w:rsidR="00915140">
        <w:t xml:space="preserve"> również </w:t>
      </w:r>
      <w:r w:rsidR="00A74892">
        <w:t xml:space="preserve">art. </w:t>
      </w:r>
      <w:r w:rsidR="00915140">
        <w:t>46 Konwencji ze względu na</w:t>
      </w:r>
      <w:r w:rsidR="00DD3FD6">
        <w:t> </w:t>
      </w:r>
      <w:r w:rsidR="00915140">
        <w:t xml:space="preserve">fakt iż nie wdrożono środków </w:t>
      </w:r>
      <w:r w:rsidR="0002680C">
        <w:t xml:space="preserve">indywidualnych </w:t>
      </w:r>
      <w:r w:rsidR="00915140">
        <w:t>w wykonywaniu wyroku Trybunału z 2011 r</w:t>
      </w:r>
      <w:r w:rsidR="005F6994">
        <w:t>.</w:t>
      </w:r>
    </w:p>
    <w:p w14:paraId="24190578" w14:textId="140C91C2" w:rsidR="00915140" w:rsidRPr="000A470D" w:rsidRDefault="00A34A1A" w:rsidP="000A470D">
      <w:pPr>
        <w:pStyle w:val="ECHRPara"/>
        <w:rPr>
          <w:snapToGrid w:val="0"/>
        </w:rPr>
      </w:pPr>
      <w:r>
        <w:t>102</w:t>
      </w:r>
      <w:r w:rsidR="00915140">
        <w:t>.</w:t>
      </w:r>
      <w:r>
        <w:t xml:space="preserve"> </w:t>
      </w:r>
      <w:r w:rsidR="00915140">
        <w:t xml:space="preserve">Trybunał powtarza, że </w:t>
      </w:r>
      <w:r w:rsidR="00915140">
        <w:rPr>
          <w:rStyle w:val="sb8d990e2"/>
        </w:rPr>
        <w:t xml:space="preserve">kwestia spełnienia przez Wysokie Układające się Strony wymagań </w:t>
      </w:r>
      <w:r w:rsidR="0002680C">
        <w:rPr>
          <w:rStyle w:val="sb8d990e2"/>
        </w:rPr>
        <w:t>wynikających z jego wyroków</w:t>
      </w:r>
      <w:r w:rsidR="00915140">
        <w:rPr>
          <w:rStyle w:val="sb8d990e2"/>
        </w:rPr>
        <w:t xml:space="preserve"> nie mieści się w zakresie właściwości Trybunału, jeżeli nie jest podnoszona w</w:t>
      </w:r>
      <w:r w:rsidR="000E547C">
        <w:rPr>
          <w:rStyle w:val="sb8d990e2"/>
        </w:rPr>
        <w:t> </w:t>
      </w:r>
      <w:r w:rsidR="00915140" w:rsidRPr="006C48C1">
        <w:rPr>
          <w:rStyle w:val="sb8d990e2"/>
        </w:rPr>
        <w:t xml:space="preserve">kontekście </w:t>
      </w:r>
      <w:r w:rsidR="0002680C" w:rsidRPr="006C48C1">
        <w:rPr>
          <w:rStyle w:val="sb8d990e2"/>
        </w:rPr>
        <w:t>„</w:t>
      </w:r>
      <w:r w:rsidR="00915140" w:rsidRPr="006C48C1">
        <w:rPr>
          <w:rStyle w:val="sb8d990e2"/>
        </w:rPr>
        <w:t xml:space="preserve">procedury w sprawie </w:t>
      </w:r>
      <w:r w:rsidR="0002622B" w:rsidRPr="006C48C1">
        <w:rPr>
          <w:rStyle w:val="sb8d990e2"/>
        </w:rPr>
        <w:t xml:space="preserve">naruszenia obowiązku </w:t>
      </w:r>
      <w:r w:rsidR="00F45B6B" w:rsidRPr="006C48C1">
        <w:rPr>
          <w:rStyle w:val="sb8d990e2"/>
        </w:rPr>
        <w:t xml:space="preserve">przestrzegania </w:t>
      </w:r>
      <w:r w:rsidR="0002622B" w:rsidRPr="006C48C1">
        <w:rPr>
          <w:rStyle w:val="sb8d990e2"/>
        </w:rPr>
        <w:t>wyroku”</w:t>
      </w:r>
      <w:r w:rsidR="0002680C" w:rsidRPr="006C48C1">
        <w:rPr>
          <w:rStyle w:val="sb8d990e2"/>
        </w:rPr>
        <w:t xml:space="preserve"> (</w:t>
      </w:r>
      <w:r w:rsidR="0002680C" w:rsidRPr="006C48C1">
        <w:rPr>
          <w:rStyle w:val="sb8d990e2"/>
          <w:i/>
        </w:rPr>
        <w:t>i</w:t>
      </w:r>
      <w:r w:rsidR="0002680C">
        <w:rPr>
          <w:rStyle w:val="sb8d990e2"/>
          <w:i/>
        </w:rPr>
        <w:t xml:space="preserve">nfringment </w:t>
      </w:r>
      <w:r w:rsidR="001B21EE">
        <w:rPr>
          <w:rStyle w:val="sb8d990e2"/>
          <w:i/>
        </w:rPr>
        <w:t>procedure</w:t>
      </w:r>
      <w:r w:rsidR="0002680C">
        <w:rPr>
          <w:rStyle w:val="sb8d990e2"/>
          <w:i/>
        </w:rPr>
        <w:t>)</w:t>
      </w:r>
      <w:r w:rsidR="0002680C" w:rsidRPr="0002680C">
        <w:rPr>
          <w:rStyle w:val="sb8d990e2"/>
        </w:rPr>
        <w:t xml:space="preserve"> </w:t>
      </w:r>
      <w:r w:rsidR="00915140">
        <w:rPr>
          <w:rStyle w:val="sb8d990e2"/>
        </w:rPr>
        <w:t>przewidzianej w art. 46 ust. 4 i 5 Konwencji</w:t>
      </w:r>
      <w:r w:rsidR="00915140">
        <w:t xml:space="preserve"> (zob. </w:t>
      </w:r>
      <w:r w:rsidR="00915140">
        <w:rPr>
          <w:i/>
          <w:iCs/>
        </w:rPr>
        <w:t>Bochan (nr 2)</w:t>
      </w:r>
      <w:r w:rsidR="00915140">
        <w:t>, cyt. powyżej,</w:t>
      </w:r>
      <w:r>
        <w:t xml:space="preserve"> </w:t>
      </w:r>
      <w:r w:rsidR="00915140">
        <w:rPr>
          <w:snapToGrid w:val="0"/>
        </w:rPr>
        <w:t>§ 33).</w:t>
      </w:r>
    </w:p>
    <w:p w14:paraId="6EF38C81" w14:textId="5628DFC8" w:rsidR="00915140" w:rsidRPr="000A470D" w:rsidRDefault="00A34A1A" w:rsidP="000A470D">
      <w:pPr>
        <w:pStyle w:val="ECHRPara"/>
      </w:pPr>
      <w:r>
        <w:t>103</w:t>
      </w:r>
      <w:r w:rsidR="00915140">
        <w:t>.</w:t>
      </w:r>
      <w:r>
        <w:t xml:space="preserve"> </w:t>
      </w:r>
      <w:r w:rsidR="0002622B">
        <w:t>Stosownie do powyższego</w:t>
      </w:r>
      <w:r w:rsidR="00915140">
        <w:t>, w zak</w:t>
      </w:r>
      <w:r w:rsidR="0002622B">
        <w:t>resie, w jakim skarżąca skarży</w:t>
      </w:r>
      <w:r w:rsidR="00915140">
        <w:t xml:space="preserve"> się na brak </w:t>
      </w:r>
      <w:r w:rsidR="0002622B" w:rsidRPr="00912FB2">
        <w:t>naprawienia</w:t>
      </w:r>
      <w:r w:rsidR="00915140">
        <w:t xml:space="preserve"> naruszenia </w:t>
      </w:r>
      <w:r w:rsidR="00A74892">
        <w:t>art.</w:t>
      </w:r>
      <w:r w:rsidR="00915140">
        <w:t xml:space="preserve"> 6 ust. 1 stwierdzonego przez Trybunał w wyroku z 2011 r</w:t>
      </w:r>
      <w:r w:rsidR="005F6994">
        <w:t>.</w:t>
      </w:r>
      <w:r w:rsidR="00915140">
        <w:t xml:space="preserve">, Trybunał nie jest właściwy </w:t>
      </w:r>
      <w:r w:rsidR="00915140">
        <w:rPr>
          <w:i/>
          <w:iCs/>
        </w:rPr>
        <w:t>ratione materiae</w:t>
      </w:r>
      <w:r w:rsidR="0002622B">
        <w:rPr>
          <w:i/>
          <w:iCs/>
        </w:rPr>
        <w:t>,</w:t>
      </w:r>
      <w:r w:rsidR="00915140">
        <w:t xml:space="preserve"> by</w:t>
      </w:r>
      <w:r w:rsidR="000E547C">
        <w:t> </w:t>
      </w:r>
      <w:r w:rsidR="00915140">
        <w:t>rozpatrzyć przedmiotową skargę.</w:t>
      </w:r>
    </w:p>
    <w:p w14:paraId="10622EBF" w14:textId="77777777" w:rsidR="00915140" w:rsidRPr="000A470D" w:rsidRDefault="00915140" w:rsidP="000A470D">
      <w:pPr>
        <w:pStyle w:val="ECHRTitle1"/>
      </w:pPr>
      <w:r>
        <w:t>Z TYCH PRZYCZYN TRYBUNAŁ</w:t>
      </w:r>
    </w:p>
    <w:p w14:paraId="21A80EDC" w14:textId="099CAEEA" w:rsidR="00915140" w:rsidRPr="000A470D" w:rsidRDefault="00915140" w:rsidP="000A470D">
      <w:pPr>
        <w:pStyle w:val="JuList"/>
      </w:pPr>
      <w:r>
        <w:t>1.</w:t>
      </w:r>
      <w:r w:rsidR="00A34A1A">
        <w:t xml:space="preserve"> </w:t>
      </w:r>
      <w:r>
        <w:rPr>
          <w:i/>
          <w:iCs/>
        </w:rPr>
        <w:t>Stwierdza</w:t>
      </w:r>
      <w:r>
        <w:t xml:space="preserve">, większością głosów, że skarga z </w:t>
      </w:r>
      <w:r w:rsidR="00A74892">
        <w:t>art.</w:t>
      </w:r>
      <w:r>
        <w:t xml:space="preserve"> 6 Konwencji jest dopuszczalna, a pozostała część skargi jest niedopuszczalna;</w:t>
      </w:r>
    </w:p>
    <w:p w14:paraId="474ECD9C" w14:textId="77777777" w:rsidR="00915140" w:rsidRPr="00915140" w:rsidRDefault="00915140" w:rsidP="000A470D">
      <w:pPr>
        <w:pStyle w:val="JuList"/>
      </w:pPr>
    </w:p>
    <w:p w14:paraId="3532C2A6" w14:textId="1DAD317B" w:rsidR="00915140" w:rsidRPr="000A470D" w:rsidRDefault="00915140" w:rsidP="000A470D">
      <w:pPr>
        <w:pStyle w:val="JuList"/>
      </w:pPr>
      <w:r>
        <w:t>2.</w:t>
      </w:r>
      <w:r w:rsidR="00A34A1A">
        <w:t xml:space="preserve"> </w:t>
      </w:r>
      <w:r>
        <w:rPr>
          <w:i/>
          <w:iCs/>
        </w:rPr>
        <w:t>Uznaje</w:t>
      </w:r>
      <w:r>
        <w:t>, stosunkiem głosów dziewięciu do ośmiu, że nie doszło do</w:t>
      </w:r>
      <w:r w:rsidR="000E547C">
        <w:t> </w:t>
      </w:r>
      <w:r>
        <w:t>naruszenia art. 6 ust. 1 Konwencji.</w:t>
      </w:r>
    </w:p>
    <w:p w14:paraId="77622023" w14:textId="4D6E8B60" w:rsidR="00915140" w:rsidRPr="000A470D" w:rsidRDefault="00915140" w:rsidP="000A470D">
      <w:pPr>
        <w:pStyle w:val="JuParaLast"/>
      </w:pPr>
      <w:r>
        <w:t xml:space="preserve">Sporządzono w języku francuskim i angielskim oraz ogłoszono </w:t>
      </w:r>
      <w:r w:rsidR="00F45B6B">
        <w:t>dnia 11</w:t>
      </w:r>
      <w:r w:rsidR="000E547C">
        <w:t> </w:t>
      </w:r>
      <w:r w:rsidR="00F45B6B">
        <w:t xml:space="preserve">lipca 2017 r. </w:t>
      </w:r>
      <w:r>
        <w:t xml:space="preserve">podczas rozprawy jawnej w </w:t>
      </w:r>
      <w:r w:rsidR="00E10DA0">
        <w:t>siedzibie Trybunału (</w:t>
      </w:r>
      <w:r w:rsidRPr="00E10DA0">
        <w:rPr>
          <w:i/>
        </w:rPr>
        <w:t>Human Rights Building</w:t>
      </w:r>
      <w:r w:rsidR="00E10DA0">
        <w:t xml:space="preserve">) w </w:t>
      </w:r>
      <w:r>
        <w:t xml:space="preserve"> Strasburg</w:t>
      </w:r>
      <w:r w:rsidR="00E10DA0">
        <w:t>u</w:t>
      </w:r>
      <w:r w:rsidR="00F45B6B">
        <w:t>.</w:t>
      </w:r>
    </w:p>
    <w:p w14:paraId="0A77C3A6" w14:textId="77777777" w:rsidR="00915140" w:rsidRPr="000A470D" w:rsidRDefault="00915140" w:rsidP="000A470D">
      <w:pPr>
        <w:pStyle w:val="JuSigned"/>
        <w:keepNext/>
        <w:keepLines/>
      </w:pPr>
      <w:r>
        <w:tab/>
        <w:t>Françoise Elens-Passos</w:t>
      </w:r>
      <w:r>
        <w:tab/>
        <w:t>Guido Raimondi</w:t>
      </w:r>
      <w:r>
        <w:br/>
      </w:r>
      <w:r>
        <w:tab/>
        <w:t xml:space="preserve">Kanclerz </w:t>
      </w:r>
      <w:r>
        <w:tab/>
        <w:t>Przewodniczący</w:t>
      </w:r>
    </w:p>
    <w:p w14:paraId="2F995E32" w14:textId="77777777" w:rsidR="00915140" w:rsidRPr="00915140" w:rsidRDefault="00915140" w:rsidP="000A470D">
      <w:pPr>
        <w:pStyle w:val="ECHRPara"/>
        <w:jc w:val="center"/>
      </w:pPr>
    </w:p>
    <w:p w14:paraId="29BF620E" w14:textId="17A44702" w:rsidR="00915140" w:rsidRPr="000A470D" w:rsidRDefault="00915140" w:rsidP="000A470D">
      <w:pPr>
        <w:pStyle w:val="JuParaLast"/>
      </w:pPr>
      <w:r>
        <w:lastRenderedPageBreak/>
        <w:t xml:space="preserve">Zgodnie z </w:t>
      </w:r>
      <w:r w:rsidR="00A74892">
        <w:t>art.</w:t>
      </w:r>
      <w:r>
        <w:t xml:space="preserve"> 45 </w:t>
      </w:r>
      <w:r w:rsidR="00A74892">
        <w:rPr>
          <w:color w:val="000000"/>
        </w:rPr>
        <w:t>ust.</w:t>
      </w:r>
      <w:r>
        <w:t xml:space="preserve"> 2 Konwencji i Regułą 74 § 2 Regulaminu Trybunału</w:t>
      </w:r>
      <w:r w:rsidR="00F45B6B">
        <w:t xml:space="preserve"> </w:t>
      </w:r>
      <w:r>
        <w:t>do niniejszego wyroku</w:t>
      </w:r>
      <w:r w:rsidR="00E10DA0">
        <w:t xml:space="preserve"> zostały załączone następujące opinie odrębne</w:t>
      </w:r>
      <w:r>
        <w:t>:</w:t>
      </w:r>
    </w:p>
    <w:p w14:paraId="2E218E46" w14:textId="77777777" w:rsidR="00915140" w:rsidRPr="000A470D" w:rsidRDefault="00915140" w:rsidP="000A470D">
      <w:pPr>
        <w:pStyle w:val="ECHRPara"/>
      </w:pPr>
    </w:p>
    <w:p w14:paraId="585BEF71" w14:textId="2F1D3117" w:rsidR="00915140" w:rsidRPr="000A470D" w:rsidRDefault="00915140" w:rsidP="000A470D">
      <w:pPr>
        <w:pStyle w:val="ECHRPara"/>
      </w:pPr>
      <w:r>
        <w:t>(a)</w:t>
      </w:r>
      <w:r w:rsidR="00A34A1A">
        <w:t xml:space="preserve"> </w:t>
      </w:r>
      <w:r>
        <w:t xml:space="preserve">wspólna </w:t>
      </w:r>
      <w:r w:rsidR="00E10DA0">
        <w:t xml:space="preserve">rozbieżna </w:t>
      </w:r>
      <w:r>
        <w:t>opinia odrębna sędziów Raimondi</w:t>
      </w:r>
      <w:r w:rsidR="00E10DA0">
        <w:t>ego</w:t>
      </w:r>
      <w:r>
        <w:t>, Nußberger, De Gaetano, Keller, Mahoney</w:t>
      </w:r>
      <w:r w:rsidR="00E10DA0">
        <w:t>’a</w:t>
      </w:r>
      <w:r>
        <w:t>, Kjølbro i O’Leary (</w:t>
      </w:r>
      <w:r>
        <w:rPr>
          <w:i/>
          <w:iCs/>
        </w:rPr>
        <w:t>tłumaczenie częściowe</w:t>
      </w:r>
      <w:r>
        <w:t>);</w:t>
      </w:r>
    </w:p>
    <w:p w14:paraId="59FD9DFD" w14:textId="7147340A" w:rsidR="00915140" w:rsidRPr="000A470D" w:rsidRDefault="00915140" w:rsidP="000A470D">
      <w:pPr>
        <w:pStyle w:val="ECHRPara"/>
      </w:pPr>
      <w:r>
        <w:t>(b)</w:t>
      </w:r>
      <w:r w:rsidR="00A34A1A">
        <w:t xml:space="preserve"> </w:t>
      </w:r>
      <w:r w:rsidR="00E10DA0">
        <w:t xml:space="preserve">rozbieżna </w:t>
      </w:r>
      <w:r>
        <w:t>opinia odrębna sędziego Pinto de Albuquerque</w:t>
      </w:r>
      <w:r w:rsidR="00E10DA0">
        <w:t>,</w:t>
      </w:r>
      <w:r>
        <w:t xml:space="preserve"> do której </w:t>
      </w:r>
      <w:r w:rsidR="00E10DA0">
        <w:t>przyłączyli</w:t>
      </w:r>
      <w:r>
        <w:t xml:space="preserve"> się sędziowie Karakaş, Sajó, Lazarova Trajkovska, Tsotsoria, Vehabović i Kūris;</w:t>
      </w:r>
    </w:p>
    <w:p w14:paraId="71A2C7E0" w14:textId="5FF96F91" w:rsidR="00915140" w:rsidRPr="000A470D" w:rsidRDefault="00915140" w:rsidP="000A470D">
      <w:pPr>
        <w:pStyle w:val="ECHRPara"/>
      </w:pPr>
      <w:r>
        <w:t>(c)</w:t>
      </w:r>
      <w:r w:rsidR="00A34A1A">
        <w:t xml:space="preserve"> </w:t>
      </w:r>
      <w:r w:rsidR="00E10DA0">
        <w:t xml:space="preserve">rozbieżna </w:t>
      </w:r>
      <w:r>
        <w:t>opinia odrębna sędziego Kūris</w:t>
      </w:r>
      <w:r w:rsidR="00E10DA0">
        <w:t>a</w:t>
      </w:r>
      <w:r>
        <w:t xml:space="preserve">, do której </w:t>
      </w:r>
      <w:r w:rsidR="00E10DA0">
        <w:t>przyłączyli</w:t>
      </w:r>
      <w:r>
        <w:t xml:space="preserve"> się sędziowie Sajó, Tsotsoria i Vehabović;</w:t>
      </w:r>
    </w:p>
    <w:p w14:paraId="0CDADBD5" w14:textId="7F39ECD5" w:rsidR="00915140" w:rsidRPr="000A470D" w:rsidRDefault="00915140" w:rsidP="000A470D">
      <w:pPr>
        <w:pStyle w:val="ECHRPara"/>
      </w:pPr>
      <w:r>
        <w:t>(d)</w:t>
      </w:r>
      <w:r w:rsidR="00A34A1A">
        <w:t xml:space="preserve"> </w:t>
      </w:r>
      <w:r w:rsidR="00E10DA0">
        <w:t xml:space="preserve">rozbieżna </w:t>
      </w:r>
      <w:r>
        <w:t>opinia odrębna sędziego Bošnjak</w:t>
      </w:r>
      <w:r w:rsidR="00E10DA0">
        <w:t>a</w:t>
      </w:r>
      <w:r>
        <w:t>.</w:t>
      </w:r>
    </w:p>
    <w:p w14:paraId="43302CCE" w14:textId="77777777" w:rsidR="00915140" w:rsidRPr="00443E27" w:rsidRDefault="00915140" w:rsidP="000A470D">
      <w:pPr>
        <w:pStyle w:val="JuInitialled"/>
      </w:pPr>
      <w:r>
        <w:t>G.R.</w:t>
      </w:r>
      <w:r>
        <w:br/>
        <w:t>F.E.P.</w:t>
      </w:r>
    </w:p>
    <w:p w14:paraId="2A33BE0B" w14:textId="5F3B25D3" w:rsidR="00915140" w:rsidRPr="00D148A4" w:rsidRDefault="00915140" w:rsidP="00D148A4">
      <w:pPr>
        <w:pStyle w:val="OpiPara"/>
        <w:ind w:firstLine="0"/>
      </w:pPr>
      <w:r>
        <w:t>[Opinie odrębne zostały pomi</w:t>
      </w:r>
      <w:r w:rsidR="00C61BE4">
        <w:t>nięte w niniejszym tłumaczeniu</w:t>
      </w:r>
      <w:r w:rsidR="00912FB2">
        <w:t>]</w:t>
      </w:r>
    </w:p>
    <w:sectPr w:rsidR="00915140" w:rsidRPr="00D148A4" w:rsidSect="000D2889">
      <w:headerReference w:type="even" r:id="rId14"/>
      <w:headerReference w:type="default" r:id="rId15"/>
      <w:footerReference w:type="even" r:id="rId16"/>
      <w:footerReference w:type="default" r:id="rId17"/>
      <w:headerReference w:type="first" r:id="rId18"/>
      <w:footerReference w:type="first" r:id="rId19"/>
      <w:footnotePr>
        <w:numRestart w:val="eachSect"/>
      </w:footnotePr>
      <w:pgSz w:w="11906" w:h="16838" w:code="9"/>
      <w:pgMar w:top="2274" w:right="2274" w:bottom="2274" w:left="2274" w:header="1701" w:footer="708" w:gutter="0"/>
      <w:pgNumType w:start="1"/>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0B3DB3" w14:textId="77777777" w:rsidR="00776E72" w:rsidRPr="00535BB8" w:rsidRDefault="00776E72" w:rsidP="00014566">
      <w:pPr>
        <w:rPr>
          <w:lang w:val="en-GB"/>
        </w:rPr>
      </w:pPr>
      <w:r w:rsidRPr="00535BB8">
        <w:rPr>
          <w:lang w:val="en-GB"/>
        </w:rPr>
        <w:separator/>
      </w:r>
    </w:p>
  </w:endnote>
  <w:endnote w:type="continuationSeparator" w:id="0">
    <w:p w14:paraId="76407437" w14:textId="77777777" w:rsidR="00776E72" w:rsidRPr="00535BB8" w:rsidRDefault="00776E72" w:rsidP="00014566">
      <w:pPr>
        <w:rPr>
          <w:lang w:val="en-GB"/>
        </w:rPr>
      </w:pPr>
      <w:r w:rsidRPr="00535BB8">
        <w:rPr>
          <w:lang w:val="en-GB"/>
        </w:rPr>
        <w:continuationSeparator/>
      </w:r>
    </w:p>
  </w:endnote>
  <w:endnote w:type="continuationNotice" w:id="1">
    <w:p w14:paraId="0FDA5DE1" w14:textId="77777777" w:rsidR="00776E72" w:rsidRDefault="00776E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l?r ??fc"/>
    <w:panose1 w:val="02020609040205080304"/>
    <w:charset w:val="80"/>
    <w:family w:val="modern"/>
    <w:pitch w:val="fixed"/>
    <w:sig w:usb0="E00002FF" w:usb1="6AC7FDFB" w:usb2="00000012" w:usb3="00000000" w:csb0="0002009F" w:csb1="00000000"/>
  </w:font>
  <w:font w:name="MS Gothic">
    <w:altName w:val="?l?r SVbN"/>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Myriad Pro">
    <w:altName w:val="Arial"/>
    <w:panose1 w:val="00000000000000000000"/>
    <w:charset w:val="00"/>
    <w:family w:val="swiss"/>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03FAE9" w14:textId="77777777" w:rsidR="00237D00" w:rsidRDefault="00237D0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DF077" w14:textId="77777777" w:rsidR="00237D00" w:rsidRPr="00150BFA" w:rsidRDefault="00BE1216" w:rsidP="005F6794">
    <w:pPr>
      <w:jc w:val="center"/>
    </w:pPr>
    <w:r>
      <w:pict w14:anchorId="617040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i1026" type="#_x0000_t75" style="width:60pt;height:48.6pt;visibility:visible">
          <v:imagedata r:id="rId1" o:title=""/>
        </v:shape>
      </w:pict>
    </w:r>
  </w:p>
  <w:p w14:paraId="20AF1073" w14:textId="77777777" w:rsidR="00237D00" w:rsidRPr="00A737D1" w:rsidRDefault="00237D00" w:rsidP="005F6794">
    <w:pPr>
      <w:pStyle w:val="Stopka"/>
      <w:jc w:val="center"/>
      <w:rPr>
        <w:sz w:val="4"/>
        <w:szCs w:val="4"/>
        <w:lang w:val="en-G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974233" w14:textId="77777777" w:rsidR="00237D00" w:rsidRDefault="00237D00">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4F3D03" w14:textId="77777777" w:rsidR="00237D00" w:rsidRDefault="00237D00">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8DAB2D" w14:textId="77777777" w:rsidR="00237D00" w:rsidRDefault="00237D00">
    <w:pPr>
      <w:pStyle w:val="Stopk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BEB580" w14:textId="77777777" w:rsidR="00237D00" w:rsidRDefault="00237D0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7F2795" w14:textId="77777777" w:rsidR="00776E72" w:rsidRPr="00535BB8" w:rsidRDefault="00776E72" w:rsidP="00014566">
      <w:pPr>
        <w:rPr>
          <w:lang w:val="en-GB"/>
        </w:rPr>
      </w:pPr>
      <w:r w:rsidRPr="00535BB8">
        <w:rPr>
          <w:lang w:val="en-GB"/>
        </w:rPr>
        <w:separator/>
      </w:r>
    </w:p>
  </w:footnote>
  <w:footnote w:type="continuationSeparator" w:id="0">
    <w:p w14:paraId="278C99A5" w14:textId="77777777" w:rsidR="00776E72" w:rsidRPr="00535BB8" w:rsidRDefault="00776E72" w:rsidP="00014566">
      <w:pPr>
        <w:rPr>
          <w:lang w:val="en-GB"/>
        </w:rPr>
      </w:pPr>
      <w:r w:rsidRPr="00535BB8">
        <w:rPr>
          <w:lang w:val="en-GB"/>
        </w:rPr>
        <w:continuationSeparator/>
      </w:r>
    </w:p>
  </w:footnote>
  <w:footnote w:type="continuationNotice" w:id="1">
    <w:p w14:paraId="08E60168" w14:textId="77777777" w:rsidR="00776E72" w:rsidRDefault="00776E72"/>
  </w:footnote>
  <w:footnote w:id="2">
    <w:p w14:paraId="1E0E725B" w14:textId="77777777" w:rsidR="00237D00" w:rsidRPr="00B96E03" w:rsidRDefault="00237D00" w:rsidP="00FF09FB">
      <w:pPr>
        <w:pStyle w:val="s50c0b1c7"/>
        <w:jc w:val="both"/>
        <w:rPr>
          <w:lang w:val="en-GB"/>
        </w:rPr>
      </w:pPr>
      <w:r w:rsidRPr="0056778D">
        <w:rPr>
          <w:rStyle w:val="Odwoanieprzypisudolnego"/>
          <w:sz w:val="20"/>
          <w:szCs w:val="20"/>
          <w:lang w:val="en-GB"/>
        </w:rPr>
        <w:footnoteRef/>
      </w:r>
      <w:r w:rsidRPr="002D279A">
        <w:t xml:space="preserve"> </w:t>
      </w:r>
      <w:r w:rsidRPr="002D279A">
        <w:rPr>
          <w:sz w:val="20"/>
          <w:szCs w:val="20"/>
        </w:rPr>
        <w:t xml:space="preserve">Źródło: Nota informacyjna na temat orzecznictwa Trybunału nr 209, lipiec 2017 </w:t>
      </w:r>
      <w:r>
        <w:rPr>
          <w:sz w:val="20"/>
          <w:szCs w:val="20"/>
        </w:rPr>
        <w:t xml:space="preserve">r. </w:t>
      </w:r>
      <w:r w:rsidRPr="002D279A">
        <w:rPr>
          <w:sz w:val="20"/>
          <w:szCs w:val="20"/>
        </w:rPr>
        <w:t>(</w:t>
      </w:r>
      <w:r w:rsidRPr="002D279A">
        <w:rPr>
          <w:rStyle w:val="s3aeeab2"/>
          <w:i/>
          <w:iCs/>
          <w:sz w:val="20"/>
          <w:szCs w:val="20"/>
        </w:rPr>
        <w:t xml:space="preserve">Information Note 209. </w:t>
      </w:r>
      <w:r w:rsidRPr="0056778D">
        <w:rPr>
          <w:rStyle w:val="s3aeeab2"/>
          <w:i/>
          <w:iCs/>
          <w:sz w:val="20"/>
          <w:szCs w:val="20"/>
          <w:lang w:val="en-GB"/>
        </w:rPr>
        <w:t xml:space="preserve">Case-law of the European Court of Human Rights, </w:t>
      </w:r>
      <w:r w:rsidRPr="0056778D">
        <w:rPr>
          <w:rStyle w:val="sfbbfee58"/>
          <w:i/>
          <w:iCs/>
          <w:sz w:val="20"/>
          <w:szCs w:val="20"/>
          <w:lang w:val="en-GB"/>
        </w:rPr>
        <w:t>July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C6293C" w14:textId="77777777" w:rsidR="00237D00" w:rsidRDefault="00237D0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45D60A" w14:textId="77777777" w:rsidR="00237D00" w:rsidRPr="00A45145" w:rsidRDefault="00BE1216" w:rsidP="005F6794">
    <w:pPr>
      <w:jc w:val="center"/>
    </w:pPr>
    <w:r>
      <w:pict w14:anchorId="70BB8E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32.8pt;height:96pt;visibility:visible">
          <v:imagedata r:id="rId1" o:title=""/>
        </v:shape>
      </w:pict>
    </w:r>
  </w:p>
  <w:p w14:paraId="31311453" w14:textId="77777777" w:rsidR="00237D00" w:rsidRDefault="00237D00" w:rsidP="005F679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497E02" w14:textId="77777777" w:rsidR="00237D00" w:rsidRDefault="00237D00">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8851B2" w14:textId="11A382A9" w:rsidR="00237D00" w:rsidRPr="00535BB8" w:rsidRDefault="00237D00" w:rsidP="00EE1DA9">
    <w:pPr>
      <w:pStyle w:val="ECHRHeader"/>
    </w:pPr>
    <w:r>
      <w:rPr>
        <w:rStyle w:val="Numerstrony"/>
      </w:rPr>
      <w:fldChar w:fldCharType="begin"/>
    </w:r>
    <w:r>
      <w:rPr>
        <w:rStyle w:val="Numerstrony"/>
      </w:rPr>
      <w:instrText xml:space="preserve"> PAGE </w:instrText>
    </w:r>
    <w:r>
      <w:rPr>
        <w:rStyle w:val="Numerstrony"/>
      </w:rPr>
      <w:fldChar w:fldCharType="separate"/>
    </w:r>
    <w:r w:rsidR="00221844">
      <w:rPr>
        <w:rStyle w:val="Numerstrony"/>
        <w:noProof/>
      </w:rPr>
      <w:t>16</w:t>
    </w:r>
    <w:r>
      <w:rPr>
        <w:rStyle w:val="Numerstrony"/>
      </w:rPr>
      <w:fldChar w:fldCharType="end"/>
    </w:r>
    <w:r>
      <w:tab/>
      <w:t xml:space="preserve"> WYROK W SPRAWIE </w:t>
    </w:r>
    <w:r w:rsidRPr="000D2889">
      <w:t xml:space="preserve">MOREIRA </w:t>
    </w:r>
    <w:r>
      <w:t>FERREIRA PRZECIWKO PORTUGALII (Nr 2)</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C172B5" w14:textId="77777777" w:rsidR="00237D00" w:rsidRPr="000D2889" w:rsidRDefault="00237D00" w:rsidP="00D0697B">
    <w:pPr>
      <w:pStyle w:val="ECHRHeader"/>
    </w:pPr>
    <w:r>
      <w:tab/>
      <w:t xml:space="preserve"> WYROK W SPRAWIE </w:t>
    </w:r>
    <w:r w:rsidRPr="000D2889">
      <w:t xml:space="preserve">MOREIRA </w:t>
    </w:r>
    <w:r>
      <w:t>FERREIRA PRZECIWKO PORTUGALII (Nr 2)</w:t>
    </w:r>
    <w:r w:rsidRPr="000D2889">
      <w:rPr>
        <w:rStyle w:val="Numerstrony"/>
      </w:rPr>
      <w:t xml:space="preserve"> </w:t>
    </w:r>
    <w:r>
      <w:rPr>
        <w:rStyle w:val="Numerstrony"/>
      </w:rPr>
      <w:tab/>
    </w:r>
    <w:r>
      <w:rPr>
        <w:rStyle w:val="Numerstrony"/>
      </w:rPr>
      <w:fldChar w:fldCharType="begin"/>
    </w:r>
    <w:r>
      <w:rPr>
        <w:rStyle w:val="Numerstrony"/>
      </w:rPr>
      <w:instrText xml:space="preserve"> PAGE </w:instrText>
    </w:r>
    <w:r>
      <w:rPr>
        <w:rStyle w:val="Numerstrony"/>
      </w:rPr>
      <w:fldChar w:fldCharType="separate"/>
    </w:r>
    <w:r w:rsidR="00221844">
      <w:rPr>
        <w:rStyle w:val="Numerstrony"/>
        <w:noProof/>
      </w:rPr>
      <w:t>17</w:t>
    </w:r>
    <w:r>
      <w:rPr>
        <w:rStyle w:val="Numerstrony"/>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CFF110" w14:textId="77777777" w:rsidR="00237D00" w:rsidRPr="00535BB8" w:rsidRDefault="00237D00" w:rsidP="000D2889">
    <w:pPr>
      <w:pStyle w:val="ECHRHeader"/>
    </w:pPr>
    <w:r>
      <w:tab/>
      <w:t xml:space="preserve"> WYROK W SPRAWIE </w:t>
    </w:r>
    <w:r w:rsidRPr="000D2889">
      <w:t xml:space="preserve">MOREIRA </w:t>
    </w:r>
    <w:r>
      <w:t>FERREIRA PRZECIWKO PORTUGALII (Nr 2)</w:t>
    </w:r>
    <w:r w:rsidRPr="000D2889">
      <w:rPr>
        <w:rStyle w:val="Numerstrony"/>
      </w:rPr>
      <w:t xml:space="preserve"> </w:t>
    </w:r>
    <w:r>
      <w:rPr>
        <w:rStyle w:val="Numerstrony"/>
      </w:rPr>
      <w:tab/>
    </w:r>
    <w:r>
      <w:rPr>
        <w:rStyle w:val="Numerstrony"/>
      </w:rPr>
      <w:fldChar w:fldCharType="begin"/>
    </w:r>
    <w:r>
      <w:rPr>
        <w:rStyle w:val="Numerstrony"/>
      </w:rPr>
      <w:instrText xml:space="preserve"> PAGE </w:instrText>
    </w:r>
    <w:r>
      <w:rPr>
        <w:rStyle w:val="Numerstrony"/>
      </w:rPr>
      <w:fldChar w:fldCharType="separate"/>
    </w:r>
    <w:r w:rsidR="00221844">
      <w:rPr>
        <w:rStyle w:val="Numerstrony"/>
        <w:noProof/>
      </w:rPr>
      <w:t>1</w:t>
    </w:r>
    <w:r>
      <w:rPr>
        <w:rStyle w:val="Numerstrony"/>
      </w:rPr>
      <w:fldChar w:fldCharType="end"/>
    </w:r>
  </w:p>
  <w:p w14:paraId="195FD8A5" w14:textId="77777777" w:rsidR="00237D00" w:rsidRPr="000D2889" w:rsidRDefault="00237D00" w:rsidP="000D288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8A864B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90ECFBC"/>
    <w:lvl w:ilvl="0">
      <w:start w:val="1"/>
      <w:numFmt w:val="decimal"/>
      <w:pStyle w:val="Listanumerowana5"/>
      <w:lvlText w:val="%1."/>
      <w:lvlJc w:val="left"/>
      <w:pPr>
        <w:tabs>
          <w:tab w:val="num" w:pos="1209"/>
        </w:tabs>
        <w:ind w:left="1209" w:hanging="360"/>
      </w:pPr>
      <w:rPr>
        <w:rFonts w:cs="Times New Roman"/>
      </w:rPr>
    </w:lvl>
  </w:abstractNum>
  <w:abstractNum w:abstractNumId="2">
    <w:nsid w:val="FFFFFF7E"/>
    <w:multiLevelType w:val="singleLevel"/>
    <w:tmpl w:val="C5B8BEFC"/>
    <w:lvl w:ilvl="0">
      <w:start w:val="1"/>
      <w:numFmt w:val="decimal"/>
      <w:pStyle w:val="Listanumerowana4"/>
      <w:lvlText w:val="%1."/>
      <w:lvlJc w:val="left"/>
      <w:pPr>
        <w:tabs>
          <w:tab w:val="num" w:pos="926"/>
        </w:tabs>
        <w:ind w:left="926" w:hanging="360"/>
      </w:pPr>
      <w:rPr>
        <w:rFonts w:cs="Times New Roman"/>
      </w:rPr>
    </w:lvl>
  </w:abstractNum>
  <w:abstractNum w:abstractNumId="3">
    <w:nsid w:val="FFFFFF7F"/>
    <w:multiLevelType w:val="singleLevel"/>
    <w:tmpl w:val="6F1CF73A"/>
    <w:lvl w:ilvl="0">
      <w:start w:val="1"/>
      <w:numFmt w:val="decimal"/>
      <w:pStyle w:val="Listanumerowana3"/>
      <w:lvlText w:val="%1."/>
      <w:lvlJc w:val="left"/>
      <w:pPr>
        <w:tabs>
          <w:tab w:val="num" w:pos="643"/>
        </w:tabs>
        <w:ind w:left="643" w:hanging="360"/>
      </w:pPr>
      <w:rPr>
        <w:rFonts w:cs="Times New Roman"/>
      </w:rPr>
    </w:lvl>
  </w:abstractNum>
  <w:abstractNum w:abstractNumId="4">
    <w:nsid w:val="FFFFFF80"/>
    <w:multiLevelType w:val="singleLevel"/>
    <w:tmpl w:val="23802660"/>
    <w:lvl w:ilvl="0">
      <w:start w:val="1"/>
      <w:numFmt w:val="bullet"/>
      <w:pStyle w:val="Listanumerowana"/>
      <w:lvlText w:val=""/>
      <w:lvlJc w:val="left"/>
      <w:pPr>
        <w:tabs>
          <w:tab w:val="num" w:pos="1492"/>
        </w:tabs>
        <w:ind w:left="1492" w:hanging="360"/>
      </w:pPr>
      <w:rPr>
        <w:rFonts w:ascii="Symbol" w:hAnsi="Symbol" w:hint="default"/>
      </w:rPr>
    </w:lvl>
  </w:abstractNum>
  <w:abstractNum w:abstractNumId="5">
    <w:nsid w:val="FFFFFF81"/>
    <w:multiLevelType w:val="singleLevel"/>
    <w:tmpl w:val="C5C6CCC4"/>
    <w:lvl w:ilvl="0">
      <w:start w:val="1"/>
      <w:numFmt w:val="bullet"/>
      <w:pStyle w:val="JuAppQuestion"/>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4"/>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3"/>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2"/>
      <w:lvlText w:val="%1."/>
      <w:lvlJc w:val="left"/>
      <w:pPr>
        <w:tabs>
          <w:tab w:val="num" w:pos="360"/>
        </w:tabs>
        <w:ind w:left="360" w:hanging="360"/>
      </w:pPr>
      <w:rPr>
        <w:rFonts w:cs="Times New Roman"/>
      </w:rPr>
    </w:lvl>
  </w:abstractNum>
  <w:abstractNum w:abstractNumId="9">
    <w:nsid w:val="FFFFFF89"/>
    <w:multiLevelType w:val="singleLevel"/>
    <w:tmpl w:val="6B2C1694"/>
    <w:lvl w:ilvl="0">
      <w:start w:val="1"/>
      <w:numFmt w:val="bullet"/>
      <w:pStyle w:val="Listapunktowana2"/>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nsid w:val="0C6000D5"/>
    <w:multiLevelType w:val="multilevel"/>
    <w:tmpl w:val="0415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
    <w:nsid w:val="1318363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63F153D"/>
    <w:multiLevelType w:val="multilevel"/>
    <w:tmpl w:val="040C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1ED75503"/>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46A03090"/>
    <w:multiLevelType w:val="multilevel"/>
    <w:tmpl w:val="0415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6">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rPr>
    </w:lvl>
    <w:lvl w:ilvl="1">
      <w:start w:val="1"/>
      <w:numFmt w:val="bullet"/>
      <w:pStyle w:val="ECHRBullet2"/>
      <w:lvlText w:val=""/>
      <w:lvlJc w:val="left"/>
      <w:pPr>
        <w:tabs>
          <w:tab w:val="num" w:pos="1134"/>
        </w:tabs>
        <w:ind w:left="1135" w:hanging="284"/>
      </w:pPr>
      <w:rPr>
        <w:rFonts w:ascii="Wingdings" w:hAnsi="Wingdings" w:hint="default"/>
        <w:color w:val="0072BC"/>
      </w:rPr>
    </w:lvl>
    <w:lvl w:ilvl="2">
      <w:start w:val="1"/>
      <w:numFmt w:val="bullet"/>
      <w:pStyle w:val="ECHRBullet3"/>
      <w:lvlText w:val=""/>
      <w:lvlJc w:val="left"/>
      <w:pPr>
        <w:tabs>
          <w:tab w:val="num" w:pos="1418"/>
        </w:tabs>
        <w:ind w:left="1419" w:hanging="284"/>
      </w:pPr>
      <w:rPr>
        <w:rFonts w:ascii="Wingdings" w:hAnsi="Wingdings" w:hint="default"/>
        <w:color w:val="7F7F7F"/>
      </w:rPr>
    </w:lvl>
    <w:lvl w:ilvl="3">
      <w:start w:val="1"/>
      <w:numFmt w:val="bullet"/>
      <w:pStyle w:val="ECHRBullet4"/>
      <w:lvlText w:val=""/>
      <w:lvlJc w:val="left"/>
      <w:pPr>
        <w:tabs>
          <w:tab w:val="num" w:pos="1701"/>
        </w:tabs>
        <w:ind w:left="1703" w:hanging="284"/>
      </w:pPr>
      <w:rPr>
        <w:rFonts w:ascii="Wingdings" w:hAnsi="Wingdings" w:hint="default"/>
        <w:color w:val="7F7F7F"/>
      </w:rPr>
    </w:lvl>
    <w:lvl w:ilvl="4">
      <w:start w:val="1"/>
      <w:numFmt w:val="bullet"/>
      <w:lvlText w:val=""/>
      <w:lvlJc w:val="left"/>
      <w:pPr>
        <w:tabs>
          <w:tab w:val="num" w:pos="1760"/>
        </w:tabs>
        <w:ind w:left="1987" w:hanging="284"/>
      </w:pPr>
      <w:rPr>
        <w:rFonts w:ascii="Wingdings" w:hAnsi="Wingdings" w:hint="default"/>
        <w:color w:val="0072BC"/>
      </w:rPr>
    </w:lvl>
    <w:lvl w:ilvl="5">
      <w:start w:val="1"/>
      <w:numFmt w:val="bullet"/>
      <w:lvlText w:val=""/>
      <w:lvlJc w:val="left"/>
      <w:pPr>
        <w:tabs>
          <w:tab w:val="num" w:pos="2044"/>
        </w:tabs>
        <w:ind w:left="2271" w:hanging="284"/>
      </w:pPr>
      <w:rPr>
        <w:rFonts w:ascii="Wingdings" w:hAnsi="Wingdings" w:hint="default"/>
        <w:color w:val="5F5F5F"/>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4A19618D"/>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5E1226FB"/>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hint="default"/>
        <w:color w:val="808080"/>
        <w:sz w:val="16"/>
      </w:rPr>
    </w:lvl>
    <w:lvl w:ilvl="1" w:tplc="08090003">
      <w:start w:val="1"/>
      <w:numFmt w:val="bullet"/>
      <w:lvlText w:val="o"/>
      <w:lvlJc w:val="left"/>
      <w:pPr>
        <w:tabs>
          <w:tab w:val="num" w:pos="1724"/>
        </w:tabs>
        <w:ind w:left="1724" w:hanging="360"/>
      </w:pPr>
      <w:rPr>
        <w:rFonts w:ascii="Courier New" w:hAnsi="Courier New" w:hint="default"/>
      </w:rPr>
    </w:lvl>
    <w:lvl w:ilvl="2" w:tplc="08090005">
      <w:start w:val="1"/>
      <w:numFmt w:val="bullet"/>
      <w:lvlText w:val=""/>
      <w:lvlJc w:val="left"/>
      <w:pPr>
        <w:tabs>
          <w:tab w:val="num" w:pos="2444"/>
        </w:tabs>
        <w:ind w:left="2444" w:hanging="360"/>
      </w:pPr>
      <w:rPr>
        <w:rFonts w:ascii="Wingdings" w:hAnsi="Wingdings" w:hint="default"/>
      </w:rPr>
    </w:lvl>
    <w:lvl w:ilvl="3" w:tplc="08090001">
      <w:start w:val="1"/>
      <w:numFmt w:val="bullet"/>
      <w:lvlText w:val=""/>
      <w:lvlJc w:val="left"/>
      <w:pPr>
        <w:tabs>
          <w:tab w:val="num" w:pos="3164"/>
        </w:tabs>
        <w:ind w:left="3164" w:hanging="360"/>
      </w:pPr>
      <w:rPr>
        <w:rFonts w:ascii="Symbol" w:hAnsi="Symbol" w:hint="default"/>
      </w:rPr>
    </w:lvl>
    <w:lvl w:ilvl="4" w:tplc="08090003">
      <w:start w:val="1"/>
      <w:numFmt w:val="bullet"/>
      <w:lvlText w:val="o"/>
      <w:lvlJc w:val="left"/>
      <w:pPr>
        <w:tabs>
          <w:tab w:val="num" w:pos="3884"/>
        </w:tabs>
        <w:ind w:left="3884" w:hanging="360"/>
      </w:pPr>
      <w:rPr>
        <w:rFonts w:ascii="Courier New" w:hAnsi="Courier New" w:hint="default"/>
      </w:rPr>
    </w:lvl>
    <w:lvl w:ilvl="5" w:tplc="08090005">
      <w:start w:val="1"/>
      <w:numFmt w:val="bullet"/>
      <w:lvlText w:val=""/>
      <w:lvlJc w:val="left"/>
      <w:pPr>
        <w:tabs>
          <w:tab w:val="num" w:pos="4604"/>
        </w:tabs>
        <w:ind w:left="4604" w:hanging="360"/>
      </w:pPr>
      <w:rPr>
        <w:rFonts w:ascii="Wingdings" w:hAnsi="Wingdings" w:hint="default"/>
      </w:rPr>
    </w:lvl>
    <w:lvl w:ilvl="6" w:tplc="08090001">
      <w:start w:val="1"/>
      <w:numFmt w:val="bullet"/>
      <w:lvlText w:val=""/>
      <w:lvlJc w:val="left"/>
      <w:pPr>
        <w:tabs>
          <w:tab w:val="num" w:pos="5324"/>
        </w:tabs>
        <w:ind w:left="5324" w:hanging="360"/>
      </w:pPr>
      <w:rPr>
        <w:rFonts w:ascii="Symbol" w:hAnsi="Symbol" w:hint="default"/>
      </w:rPr>
    </w:lvl>
    <w:lvl w:ilvl="7" w:tplc="08090003">
      <w:start w:val="1"/>
      <w:numFmt w:val="bullet"/>
      <w:lvlText w:val="o"/>
      <w:lvlJc w:val="left"/>
      <w:pPr>
        <w:tabs>
          <w:tab w:val="num" w:pos="6044"/>
        </w:tabs>
        <w:ind w:left="6044" w:hanging="360"/>
      </w:pPr>
      <w:rPr>
        <w:rFonts w:ascii="Courier New" w:hAnsi="Courier New" w:hint="default"/>
      </w:rPr>
    </w:lvl>
    <w:lvl w:ilvl="8" w:tplc="08090005">
      <w:start w:val="1"/>
      <w:numFmt w:val="bullet"/>
      <w:lvlText w:val=""/>
      <w:lvlJc w:val="left"/>
      <w:pPr>
        <w:tabs>
          <w:tab w:val="num" w:pos="6764"/>
        </w:tabs>
        <w:ind w:left="6764" w:hanging="360"/>
      </w:pPr>
      <w:rPr>
        <w:rFonts w:ascii="Wingdings" w:hAnsi="Wingdings" w:hint="default"/>
      </w:rPr>
    </w:lvl>
  </w:abstractNum>
  <w:abstractNum w:abstractNumId="20">
    <w:nsid w:val="7737461D"/>
    <w:multiLevelType w:val="multilevel"/>
    <w:tmpl w:val="040C0023"/>
    <w:styleLink w:val="ArticleSection"/>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19"/>
  </w:num>
  <w:num w:numId="41">
    <w:abstractNumId w:val="13"/>
  </w:num>
  <w:num w:numId="42">
    <w:abstractNumId w:val="10"/>
  </w:num>
  <w:num w:numId="43">
    <w:abstractNumId w:val="20"/>
  </w:num>
  <w:num w:numId="44">
    <w:abstractNumId w:val="16"/>
  </w:num>
  <w:num w:numId="45">
    <w:abstractNumId w:val="11"/>
  </w:num>
  <w:num w:numId="46">
    <w:abstractNumId w:val="14"/>
  </w:num>
  <w:num w:numId="47">
    <w:abstractNumId w:val="15"/>
  </w:num>
  <w:num w:numId="48">
    <w:abstractNumId w:val="17"/>
  </w:num>
  <w:num w:numId="49">
    <w:abstractNumId w:val="18"/>
  </w:num>
  <w:num w:numId="50">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doNotTrackMove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Sect"/>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4"/>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665112"/>
    <w:rsid w:val="00000067"/>
    <w:rsid w:val="000010ED"/>
    <w:rsid w:val="00001740"/>
    <w:rsid w:val="00001BAD"/>
    <w:rsid w:val="00002587"/>
    <w:rsid w:val="000041F8"/>
    <w:rsid w:val="000042A8"/>
    <w:rsid w:val="00004308"/>
    <w:rsid w:val="00004C0F"/>
    <w:rsid w:val="00005BF0"/>
    <w:rsid w:val="00007154"/>
    <w:rsid w:val="0000793B"/>
    <w:rsid w:val="000103AE"/>
    <w:rsid w:val="00010A09"/>
    <w:rsid w:val="000118FB"/>
    <w:rsid w:val="00011D69"/>
    <w:rsid w:val="00012AD3"/>
    <w:rsid w:val="00014566"/>
    <w:rsid w:val="00015B25"/>
    <w:rsid w:val="00015C2D"/>
    <w:rsid w:val="00015F00"/>
    <w:rsid w:val="00016652"/>
    <w:rsid w:val="000171A6"/>
    <w:rsid w:val="00017AF1"/>
    <w:rsid w:val="00017F04"/>
    <w:rsid w:val="00020266"/>
    <w:rsid w:val="00020A71"/>
    <w:rsid w:val="0002141F"/>
    <w:rsid w:val="000226C3"/>
    <w:rsid w:val="00022C1D"/>
    <w:rsid w:val="0002337D"/>
    <w:rsid w:val="00023C8E"/>
    <w:rsid w:val="000247A6"/>
    <w:rsid w:val="0002622B"/>
    <w:rsid w:val="0002680C"/>
    <w:rsid w:val="00027944"/>
    <w:rsid w:val="00030D34"/>
    <w:rsid w:val="00031952"/>
    <w:rsid w:val="00031A39"/>
    <w:rsid w:val="00031B0B"/>
    <w:rsid w:val="00031CB5"/>
    <w:rsid w:val="00034773"/>
    <w:rsid w:val="00034987"/>
    <w:rsid w:val="000350E3"/>
    <w:rsid w:val="0003639A"/>
    <w:rsid w:val="000416B1"/>
    <w:rsid w:val="00043BD4"/>
    <w:rsid w:val="00044294"/>
    <w:rsid w:val="000456CF"/>
    <w:rsid w:val="00051363"/>
    <w:rsid w:val="00051BC4"/>
    <w:rsid w:val="00052CC2"/>
    <w:rsid w:val="00054355"/>
    <w:rsid w:val="000544C4"/>
    <w:rsid w:val="00056926"/>
    <w:rsid w:val="000573BD"/>
    <w:rsid w:val="00057790"/>
    <w:rsid w:val="000602DF"/>
    <w:rsid w:val="00061B05"/>
    <w:rsid w:val="00062973"/>
    <w:rsid w:val="00062D5D"/>
    <w:rsid w:val="000632D5"/>
    <w:rsid w:val="000644EE"/>
    <w:rsid w:val="000679B3"/>
    <w:rsid w:val="00071ABC"/>
    <w:rsid w:val="00074765"/>
    <w:rsid w:val="00075185"/>
    <w:rsid w:val="00075E86"/>
    <w:rsid w:val="000827A4"/>
    <w:rsid w:val="00082E94"/>
    <w:rsid w:val="000856D7"/>
    <w:rsid w:val="00086E62"/>
    <w:rsid w:val="000925AD"/>
    <w:rsid w:val="0009439E"/>
    <w:rsid w:val="00097E38"/>
    <w:rsid w:val="000A24EB"/>
    <w:rsid w:val="000A29C8"/>
    <w:rsid w:val="000A470D"/>
    <w:rsid w:val="000A5F77"/>
    <w:rsid w:val="000B0F6C"/>
    <w:rsid w:val="000B1A12"/>
    <w:rsid w:val="000B6923"/>
    <w:rsid w:val="000C033C"/>
    <w:rsid w:val="000C0EB2"/>
    <w:rsid w:val="000C5434"/>
    <w:rsid w:val="000C5F3C"/>
    <w:rsid w:val="000C6DCC"/>
    <w:rsid w:val="000D0AD4"/>
    <w:rsid w:val="000D2193"/>
    <w:rsid w:val="000D2889"/>
    <w:rsid w:val="000D4545"/>
    <w:rsid w:val="000D47AA"/>
    <w:rsid w:val="000D721F"/>
    <w:rsid w:val="000E069B"/>
    <w:rsid w:val="000E0E82"/>
    <w:rsid w:val="000E1DC5"/>
    <w:rsid w:val="000E2111"/>
    <w:rsid w:val="000E223F"/>
    <w:rsid w:val="000E292E"/>
    <w:rsid w:val="000E35AC"/>
    <w:rsid w:val="000E35B1"/>
    <w:rsid w:val="000E3C80"/>
    <w:rsid w:val="000E547C"/>
    <w:rsid w:val="000E77DF"/>
    <w:rsid w:val="000E7D45"/>
    <w:rsid w:val="000F4887"/>
    <w:rsid w:val="000F510F"/>
    <w:rsid w:val="000F7851"/>
    <w:rsid w:val="00100055"/>
    <w:rsid w:val="00102AB7"/>
    <w:rsid w:val="00102CC2"/>
    <w:rsid w:val="00103FAF"/>
    <w:rsid w:val="00104E23"/>
    <w:rsid w:val="0011053E"/>
    <w:rsid w:val="00111B0C"/>
    <w:rsid w:val="001135C7"/>
    <w:rsid w:val="00114049"/>
    <w:rsid w:val="001201B8"/>
    <w:rsid w:val="00120D6C"/>
    <w:rsid w:val="00120FA9"/>
    <w:rsid w:val="001257EC"/>
    <w:rsid w:val="00126FDF"/>
    <w:rsid w:val="00130C8B"/>
    <w:rsid w:val="00131196"/>
    <w:rsid w:val="00132C6A"/>
    <w:rsid w:val="00133D33"/>
    <w:rsid w:val="00134D64"/>
    <w:rsid w:val="00135733"/>
    <w:rsid w:val="00135A30"/>
    <w:rsid w:val="0013612C"/>
    <w:rsid w:val="00136B16"/>
    <w:rsid w:val="00137FF6"/>
    <w:rsid w:val="00140D7A"/>
    <w:rsid w:val="00141650"/>
    <w:rsid w:val="001421BE"/>
    <w:rsid w:val="00145BE8"/>
    <w:rsid w:val="00147168"/>
    <w:rsid w:val="001506F7"/>
    <w:rsid w:val="00150BFA"/>
    <w:rsid w:val="00150D6C"/>
    <w:rsid w:val="0015207E"/>
    <w:rsid w:val="0015287E"/>
    <w:rsid w:val="00155A98"/>
    <w:rsid w:val="00161B4B"/>
    <w:rsid w:val="00162A12"/>
    <w:rsid w:val="00162CF6"/>
    <w:rsid w:val="001632B2"/>
    <w:rsid w:val="00164064"/>
    <w:rsid w:val="00166530"/>
    <w:rsid w:val="00170A92"/>
    <w:rsid w:val="00173867"/>
    <w:rsid w:val="001755DD"/>
    <w:rsid w:val="00180B69"/>
    <w:rsid w:val="001832BD"/>
    <w:rsid w:val="0018427B"/>
    <w:rsid w:val="00185AE1"/>
    <w:rsid w:val="00190BC0"/>
    <w:rsid w:val="00192620"/>
    <w:rsid w:val="00193076"/>
    <w:rsid w:val="0019399F"/>
    <w:rsid w:val="00193F0D"/>
    <w:rsid w:val="001943B5"/>
    <w:rsid w:val="00195134"/>
    <w:rsid w:val="00196B82"/>
    <w:rsid w:val="001976DB"/>
    <w:rsid w:val="00197AD7"/>
    <w:rsid w:val="001A145B"/>
    <w:rsid w:val="001A42A3"/>
    <w:rsid w:val="001A4E25"/>
    <w:rsid w:val="001A674C"/>
    <w:rsid w:val="001B21EE"/>
    <w:rsid w:val="001B37D6"/>
    <w:rsid w:val="001B3B24"/>
    <w:rsid w:val="001B5795"/>
    <w:rsid w:val="001C0F98"/>
    <w:rsid w:val="001C1B47"/>
    <w:rsid w:val="001C2A42"/>
    <w:rsid w:val="001C3F84"/>
    <w:rsid w:val="001C6C4E"/>
    <w:rsid w:val="001C73CA"/>
    <w:rsid w:val="001D053F"/>
    <w:rsid w:val="001D4989"/>
    <w:rsid w:val="001D63ED"/>
    <w:rsid w:val="001D7348"/>
    <w:rsid w:val="001E035B"/>
    <w:rsid w:val="001E0961"/>
    <w:rsid w:val="001E3EAE"/>
    <w:rsid w:val="001E4822"/>
    <w:rsid w:val="001E505D"/>
    <w:rsid w:val="001E5348"/>
    <w:rsid w:val="001E6115"/>
    <w:rsid w:val="001E6F32"/>
    <w:rsid w:val="001F2145"/>
    <w:rsid w:val="001F25A9"/>
    <w:rsid w:val="001F3663"/>
    <w:rsid w:val="001F3ADA"/>
    <w:rsid w:val="001F6262"/>
    <w:rsid w:val="001F67B0"/>
    <w:rsid w:val="001F7B3D"/>
    <w:rsid w:val="0020069D"/>
    <w:rsid w:val="0020467E"/>
    <w:rsid w:val="00204A5E"/>
    <w:rsid w:val="00205F9F"/>
    <w:rsid w:val="002074CF"/>
    <w:rsid w:val="00210338"/>
    <w:rsid w:val="002115FC"/>
    <w:rsid w:val="002128A1"/>
    <w:rsid w:val="00212951"/>
    <w:rsid w:val="002133F8"/>
    <w:rsid w:val="00214038"/>
    <w:rsid w:val="0021423C"/>
    <w:rsid w:val="00215D60"/>
    <w:rsid w:val="00220462"/>
    <w:rsid w:val="00220746"/>
    <w:rsid w:val="0022167B"/>
    <w:rsid w:val="00221844"/>
    <w:rsid w:val="00222B9C"/>
    <w:rsid w:val="00223DC3"/>
    <w:rsid w:val="0022797F"/>
    <w:rsid w:val="00230D00"/>
    <w:rsid w:val="00231DF7"/>
    <w:rsid w:val="00231FD1"/>
    <w:rsid w:val="002339E0"/>
    <w:rsid w:val="00233CF8"/>
    <w:rsid w:val="0023575D"/>
    <w:rsid w:val="00236424"/>
    <w:rsid w:val="00237148"/>
    <w:rsid w:val="0023793D"/>
    <w:rsid w:val="00237D00"/>
    <w:rsid w:val="0024222D"/>
    <w:rsid w:val="00242A18"/>
    <w:rsid w:val="00244B0E"/>
    <w:rsid w:val="00244F6C"/>
    <w:rsid w:val="00246DDC"/>
    <w:rsid w:val="00247622"/>
    <w:rsid w:val="00247FEA"/>
    <w:rsid w:val="002532C5"/>
    <w:rsid w:val="00254B5A"/>
    <w:rsid w:val="00254D11"/>
    <w:rsid w:val="00255BEA"/>
    <w:rsid w:val="0026027B"/>
    <w:rsid w:val="0026067C"/>
    <w:rsid w:val="00260C03"/>
    <w:rsid w:val="00263C04"/>
    <w:rsid w:val="00264D7E"/>
    <w:rsid w:val="002652DF"/>
    <w:rsid w:val="0026540E"/>
    <w:rsid w:val="0027225C"/>
    <w:rsid w:val="00274531"/>
    <w:rsid w:val="00275123"/>
    <w:rsid w:val="0027710D"/>
    <w:rsid w:val="002805B7"/>
    <w:rsid w:val="00280B8C"/>
    <w:rsid w:val="00281D02"/>
    <w:rsid w:val="00282240"/>
    <w:rsid w:val="00282C80"/>
    <w:rsid w:val="00283686"/>
    <w:rsid w:val="0028572A"/>
    <w:rsid w:val="00286242"/>
    <w:rsid w:val="00287608"/>
    <w:rsid w:val="00287663"/>
    <w:rsid w:val="00290976"/>
    <w:rsid w:val="00292DE8"/>
    <w:rsid w:val="00293DAB"/>
    <w:rsid w:val="002948AD"/>
    <w:rsid w:val="00294C05"/>
    <w:rsid w:val="00294C92"/>
    <w:rsid w:val="002958CA"/>
    <w:rsid w:val="002969B0"/>
    <w:rsid w:val="002975FE"/>
    <w:rsid w:val="002A01CC"/>
    <w:rsid w:val="002A0780"/>
    <w:rsid w:val="002A4E3F"/>
    <w:rsid w:val="002A4FB1"/>
    <w:rsid w:val="002A5684"/>
    <w:rsid w:val="002A5B09"/>
    <w:rsid w:val="002A61B1"/>
    <w:rsid w:val="002A663C"/>
    <w:rsid w:val="002A6CB4"/>
    <w:rsid w:val="002B1E6C"/>
    <w:rsid w:val="002B3FD1"/>
    <w:rsid w:val="002B444B"/>
    <w:rsid w:val="002B5887"/>
    <w:rsid w:val="002B5A35"/>
    <w:rsid w:val="002C0692"/>
    <w:rsid w:val="002C0E27"/>
    <w:rsid w:val="002C274F"/>
    <w:rsid w:val="002C3040"/>
    <w:rsid w:val="002C564A"/>
    <w:rsid w:val="002C72AD"/>
    <w:rsid w:val="002D022D"/>
    <w:rsid w:val="002D24BB"/>
    <w:rsid w:val="002D279A"/>
    <w:rsid w:val="002D2EDA"/>
    <w:rsid w:val="002D3554"/>
    <w:rsid w:val="002E3D16"/>
    <w:rsid w:val="002E3ED4"/>
    <w:rsid w:val="002E5B49"/>
    <w:rsid w:val="002E6AA7"/>
    <w:rsid w:val="002F241B"/>
    <w:rsid w:val="002F2AF7"/>
    <w:rsid w:val="002F596E"/>
    <w:rsid w:val="002F69D3"/>
    <w:rsid w:val="002F7761"/>
    <w:rsid w:val="002F7E1C"/>
    <w:rsid w:val="00300373"/>
    <w:rsid w:val="00301A75"/>
    <w:rsid w:val="00302F70"/>
    <w:rsid w:val="0030336F"/>
    <w:rsid w:val="0030375E"/>
    <w:rsid w:val="0030490D"/>
    <w:rsid w:val="00304FF7"/>
    <w:rsid w:val="00307C60"/>
    <w:rsid w:val="00312A30"/>
    <w:rsid w:val="0031300A"/>
    <w:rsid w:val="00320F72"/>
    <w:rsid w:val="003216BB"/>
    <w:rsid w:val="00321EF9"/>
    <w:rsid w:val="0032381B"/>
    <w:rsid w:val="00323D58"/>
    <w:rsid w:val="00324288"/>
    <w:rsid w:val="0032463E"/>
    <w:rsid w:val="00324D00"/>
    <w:rsid w:val="003257A1"/>
    <w:rsid w:val="00326224"/>
    <w:rsid w:val="0032676F"/>
    <w:rsid w:val="003269B4"/>
    <w:rsid w:val="00327055"/>
    <w:rsid w:val="0033141C"/>
    <w:rsid w:val="00335421"/>
    <w:rsid w:val="00335A04"/>
    <w:rsid w:val="003377EA"/>
    <w:rsid w:val="00337EE4"/>
    <w:rsid w:val="0034080A"/>
    <w:rsid w:val="00340FFD"/>
    <w:rsid w:val="00342AB6"/>
    <w:rsid w:val="00345876"/>
    <w:rsid w:val="00350581"/>
    <w:rsid w:val="003506B1"/>
    <w:rsid w:val="00354E47"/>
    <w:rsid w:val="003566F5"/>
    <w:rsid w:val="00356AC7"/>
    <w:rsid w:val="003572FB"/>
    <w:rsid w:val="003603E0"/>
    <w:rsid w:val="003609FA"/>
    <w:rsid w:val="003635DD"/>
    <w:rsid w:val="00365D1C"/>
    <w:rsid w:val="003710C8"/>
    <w:rsid w:val="003750BE"/>
    <w:rsid w:val="00384320"/>
    <w:rsid w:val="003875EE"/>
    <w:rsid w:val="00387B9D"/>
    <w:rsid w:val="00390B37"/>
    <w:rsid w:val="00392DBB"/>
    <w:rsid w:val="0039364F"/>
    <w:rsid w:val="00393991"/>
    <w:rsid w:val="003942B9"/>
    <w:rsid w:val="0039470F"/>
    <w:rsid w:val="00396686"/>
    <w:rsid w:val="00396C98"/>
    <w:rsid w:val="0039778E"/>
    <w:rsid w:val="003A441D"/>
    <w:rsid w:val="003A7C3B"/>
    <w:rsid w:val="003B1E20"/>
    <w:rsid w:val="003B2561"/>
    <w:rsid w:val="003B4941"/>
    <w:rsid w:val="003B6D76"/>
    <w:rsid w:val="003C1B3B"/>
    <w:rsid w:val="003C1E64"/>
    <w:rsid w:val="003C302B"/>
    <w:rsid w:val="003C5714"/>
    <w:rsid w:val="003C6B9F"/>
    <w:rsid w:val="003C6E2A"/>
    <w:rsid w:val="003C7028"/>
    <w:rsid w:val="003C752B"/>
    <w:rsid w:val="003C75A5"/>
    <w:rsid w:val="003D0299"/>
    <w:rsid w:val="003D18AB"/>
    <w:rsid w:val="003D6FF9"/>
    <w:rsid w:val="003D7999"/>
    <w:rsid w:val="003E04A4"/>
    <w:rsid w:val="003E1ECC"/>
    <w:rsid w:val="003E3A48"/>
    <w:rsid w:val="003E5DC6"/>
    <w:rsid w:val="003E6D80"/>
    <w:rsid w:val="003E7059"/>
    <w:rsid w:val="003E73C5"/>
    <w:rsid w:val="003F05FA"/>
    <w:rsid w:val="003F244A"/>
    <w:rsid w:val="003F2543"/>
    <w:rsid w:val="003F30B8"/>
    <w:rsid w:val="003F4C45"/>
    <w:rsid w:val="003F5272"/>
    <w:rsid w:val="003F565D"/>
    <w:rsid w:val="003F5F7B"/>
    <w:rsid w:val="003F7D64"/>
    <w:rsid w:val="004057D0"/>
    <w:rsid w:val="00407599"/>
    <w:rsid w:val="00414300"/>
    <w:rsid w:val="00414F85"/>
    <w:rsid w:val="0041515C"/>
    <w:rsid w:val="0041561D"/>
    <w:rsid w:val="004229F6"/>
    <w:rsid w:val="00425C67"/>
    <w:rsid w:val="004263F2"/>
    <w:rsid w:val="00427A0D"/>
    <w:rsid w:val="00427E7A"/>
    <w:rsid w:val="00433692"/>
    <w:rsid w:val="00433D09"/>
    <w:rsid w:val="00434286"/>
    <w:rsid w:val="00434E6D"/>
    <w:rsid w:val="004362DF"/>
    <w:rsid w:val="00436307"/>
    <w:rsid w:val="00436C49"/>
    <w:rsid w:val="00436DF6"/>
    <w:rsid w:val="00441A50"/>
    <w:rsid w:val="00443A1B"/>
    <w:rsid w:val="00443E27"/>
    <w:rsid w:val="00445366"/>
    <w:rsid w:val="00446DCE"/>
    <w:rsid w:val="00447B2D"/>
    <w:rsid w:val="00447F5B"/>
    <w:rsid w:val="004506C0"/>
    <w:rsid w:val="004539D6"/>
    <w:rsid w:val="00456606"/>
    <w:rsid w:val="004605DD"/>
    <w:rsid w:val="0046179A"/>
    <w:rsid w:val="00461DB0"/>
    <w:rsid w:val="004628A0"/>
    <w:rsid w:val="00463926"/>
    <w:rsid w:val="004646E0"/>
    <w:rsid w:val="00464C9A"/>
    <w:rsid w:val="004706C9"/>
    <w:rsid w:val="004716DD"/>
    <w:rsid w:val="0047406B"/>
    <w:rsid w:val="00474F3D"/>
    <w:rsid w:val="00477BBD"/>
    <w:rsid w:val="00477E3A"/>
    <w:rsid w:val="004804D0"/>
    <w:rsid w:val="00480978"/>
    <w:rsid w:val="00480E92"/>
    <w:rsid w:val="00482251"/>
    <w:rsid w:val="00483517"/>
    <w:rsid w:val="004835D2"/>
    <w:rsid w:val="0048378D"/>
    <w:rsid w:val="00483E5F"/>
    <w:rsid w:val="0048567A"/>
    <w:rsid w:val="00485FF9"/>
    <w:rsid w:val="00486F24"/>
    <w:rsid w:val="004907F0"/>
    <w:rsid w:val="00490A8D"/>
    <w:rsid w:val="0049140B"/>
    <w:rsid w:val="004923A5"/>
    <w:rsid w:val="004932E6"/>
    <w:rsid w:val="0049331D"/>
    <w:rsid w:val="00493E70"/>
    <w:rsid w:val="00496AB4"/>
    <w:rsid w:val="00496BFB"/>
    <w:rsid w:val="004A12AF"/>
    <w:rsid w:val="004A15C7"/>
    <w:rsid w:val="004A5D8C"/>
    <w:rsid w:val="004A74FA"/>
    <w:rsid w:val="004B00F8"/>
    <w:rsid w:val="004B013B"/>
    <w:rsid w:val="004B112B"/>
    <w:rsid w:val="004B2628"/>
    <w:rsid w:val="004B4ECE"/>
    <w:rsid w:val="004B53CA"/>
    <w:rsid w:val="004B673A"/>
    <w:rsid w:val="004B6831"/>
    <w:rsid w:val="004B7CFC"/>
    <w:rsid w:val="004C01E4"/>
    <w:rsid w:val="004C086C"/>
    <w:rsid w:val="004C1F56"/>
    <w:rsid w:val="004C27BC"/>
    <w:rsid w:val="004C6F3C"/>
    <w:rsid w:val="004D15F3"/>
    <w:rsid w:val="004D1F40"/>
    <w:rsid w:val="004D24B4"/>
    <w:rsid w:val="004D3D91"/>
    <w:rsid w:val="004D4565"/>
    <w:rsid w:val="004D5311"/>
    <w:rsid w:val="004D58F7"/>
    <w:rsid w:val="004D5DCC"/>
    <w:rsid w:val="004D622E"/>
    <w:rsid w:val="004D797F"/>
    <w:rsid w:val="004D7CB9"/>
    <w:rsid w:val="004E0752"/>
    <w:rsid w:val="004E1A5C"/>
    <w:rsid w:val="004E76A8"/>
    <w:rsid w:val="004F10AF"/>
    <w:rsid w:val="004F11A4"/>
    <w:rsid w:val="004F2389"/>
    <w:rsid w:val="004F2923"/>
    <w:rsid w:val="004F304D"/>
    <w:rsid w:val="004F61BE"/>
    <w:rsid w:val="004F66B1"/>
    <w:rsid w:val="004F7C7E"/>
    <w:rsid w:val="00500A7D"/>
    <w:rsid w:val="00500D7E"/>
    <w:rsid w:val="00502640"/>
    <w:rsid w:val="00504CF4"/>
    <w:rsid w:val="005074FF"/>
    <w:rsid w:val="00511C07"/>
    <w:rsid w:val="00511DB1"/>
    <w:rsid w:val="00512C43"/>
    <w:rsid w:val="00513928"/>
    <w:rsid w:val="00515D85"/>
    <w:rsid w:val="005173A6"/>
    <w:rsid w:val="00520BAA"/>
    <w:rsid w:val="0052105F"/>
    <w:rsid w:val="0052391B"/>
    <w:rsid w:val="00524B78"/>
    <w:rsid w:val="00525208"/>
    <w:rsid w:val="005257A5"/>
    <w:rsid w:val="0052596D"/>
    <w:rsid w:val="005264C0"/>
    <w:rsid w:val="00526A8A"/>
    <w:rsid w:val="00527A5A"/>
    <w:rsid w:val="00531760"/>
    <w:rsid w:val="00531DF2"/>
    <w:rsid w:val="00533B3E"/>
    <w:rsid w:val="005342F5"/>
    <w:rsid w:val="00535BB8"/>
    <w:rsid w:val="00536786"/>
    <w:rsid w:val="005406C7"/>
    <w:rsid w:val="00540940"/>
    <w:rsid w:val="00540A2D"/>
    <w:rsid w:val="005416C3"/>
    <w:rsid w:val="005442EE"/>
    <w:rsid w:val="0054616F"/>
    <w:rsid w:val="005470D3"/>
    <w:rsid w:val="00547353"/>
    <w:rsid w:val="005474E7"/>
    <w:rsid w:val="0054775F"/>
    <w:rsid w:val="005512A3"/>
    <w:rsid w:val="00551CA2"/>
    <w:rsid w:val="00557839"/>
    <w:rsid w:val="005578CE"/>
    <w:rsid w:val="005616C6"/>
    <w:rsid w:val="00561E1A"/>
    <w:rsid w:val="00562781"/>
    <w:rsid w:val="00562ED7"/>
    <w:rsid w:val="00562F37"/>
    <w:rsid w:val="00563E17"/>
    <w:rsid w:val="00563E83"/>
    <w:rsid w:val="005647A8"/>
    <w:rsid w:val="0056778D"/>
    <w:rsid w:val="0057271C"/>
    <w:rsid w:val="00572845"/>
    <w:rsid w:val="0057476C"/>
    <w:rsid w:val="00576310"/>
    <w:rsid w:val="00576A7A"/>
    <w:rsid w:val="00576C1C"/>
    <w:rsid w:val="005832D5"/>
    <w:rsid w:val="00586BF5"/>
    <w:rsid w:val="0058761A"/>
    <w:rsid w:val="00591E70"/>
    <w:rsid w:val="00592772"/>
    <w:rsid w:val="0059488C"/>
    <w:rsid w:val="0059574A"/>
    <w:rsid w:val="0059750D"/>
    <w:rsid w:val="005A04CD"/>
    <w:rsid w:val="005A1B9B"/>
    <w:rsid w:val="005A3EE9"/>
    <w:rsid w:val="005A5297"/>
    <w:rsid w:val="005A6751"/>
    <w:rsid w:val="005B092E"/>
    <w:rsid w:val="005B152C"/>
    <w:rsid w:val="005B1EE0"/>
    <w:rsid w:val="005B2B24"/>
    <w:rsid w:val="005B4425"/>
    <w:rsid w:val="005B4B94"/>
    <w:rsid w:val="005C04EA"/>
    <w:rsid w:val="005C139C"/>
    <w:rsid w:val="005C277C"/>
    <w:rsid w:val="005C2BDA"/>
    <w:rsid w:val="005C2F23"/>
    <w:rsid w:val="005C3EE8"/>
    <w:rsid w:val="005C4300"/>
    <w:rsid w:val="005C4832"/>
    <w:rsid w:val="005C5C66"/>
    <w:rsid w:val="005C6272"/>
    <w:rsid w:val="005D15D0"/>
    <w:rsid w:val="005D2062"/>
    <w:rsid w:val="005D34F9"/>
    <w:rsid w:val="005D36B5"/>
    <w:rsid w:val="005D4190"/>
    <w:rsid w:val="005D4700"/>
    <w:rsid w:val="005D67A3"/>
    <w:rsid w:val="005D7F18"/>
    <w:rsid w:val="005E1EA3"/>
    <w:rsid w:val="005E2005"/>
    <w:rsid w:val="005E2988"/>
    <w:rsid w:val="005E2A43"/>
    <w:rsid w:val="005E3085"/>
    <w:rsid w:val="005E3150"/>
    <w:rsid w:val="005E3B98"/>
    <w:rsid w:val="005E438A"/>
    <w:rsid w:val="005E5303"/>
    <w:rsid w:val="005E7411"/>
    <w:rsid w:val="005E7CE5"/>
    <w:rsid w:val="005F0821"/>
    <w:rsid w:val="005F1BE4"/>
    <w:rsid w:val="005F4616"/>
    <w:rsid w:val="005F4712"/>
    <w:rsid w:val="005F51E1"/>
    <w:rsid w:val="005F5A13"/>
    <w:rsid w:val="005F6794"/>
    <w:rsid w:val="005F6994"/>
    <w:rsid w:val="006032F6"/>
    <w:rsid w:val="00606F2E"/>
    <w:rsid w:val="00611C80"/>
    <w:rsid w:val="006146C4"/>
    <w:rsid w:val="00615798"/>
    <w:rsid w:val="00615E66"/>
    <w:rsid w:val="00620692"/>
    <w:rsid w:val="006209B3"/>
    <w:rsid w:val="0062282C"/>
    <w:rsid w:val="00623A13"/>
    <w:rsid w:val="006242CA"/>
    <w:rsid w:val="0062456D"/>
    <w:rsid w:val="00626467"/>
    <w:rsid w:val="00627507"/>
    <w:rsid w:val="00633717"/>
    <w:rsid w:val="00633E63"/>
    <w:rsid w:val="006344E1"/>
    <w:rsid w:val="00635068"/>
    <w:rsid w:val="0063667E"/>
    <w:rsid w:val="00636990"/>
    <w:rsid w:val="00640536"/>
    <w:rsid w:val="00642C24"/>
    <w:rsid w:val="00643516"/>
    <w:rsid w:val="0064440A"/>
    <w:rsid w:val="00645575"/>
    <w:rsid w:val="00647F3C"/>
    <w:rsid w:val="00650366"/>
    <w:rsid w:val="006545C4"/>
    <w:rsid w:val="006549E3"/>
    <w:rsid w:val="0065648F"/>
    <w:rsid w:val="00661971"/>
    <w:rsid w:val="00661C04"/>
    <w:rsid w:val="00661CE8"/>
    <w:rsid w:val="006623D9"/>
    <w:rsid w:val="00665112"/>
    <w:rsid w:val="0066550C"/>
    <w:rsid w:val="006707F6"/>
    <w:rsid w:val="006716F2"/>
    <w:rsid w:val="006726A3"/>
    <w:rsid w:val="00680659"/>
    <w:rsid w:val="00682BF2"/>
    <w:rsid w:val="0068395D"/>
    <w:rsid w:val="00683F5B"/>
    <w:rsid w:val="006859CE"/>
    <w:rsid w:val="00691270"/>
    <w:rsid w:val="006944FE"/>
    <w:rsid w:val="00694BA8"/>
    <w:rsid w:val="006A037C"/>
    <w:rsid w:val="006A338F"/>
    <w:rsid w:val="006A36F4"/>
    <w:rsid w:val="006A406F"/>
    <w:rsid w:val="006A5D3A"/>
    <w:rsid w:val="006A6B76"/>
    <w:rsid w:val="006B400B"/>
    <w:rsid w:val="006C150D"/>
    <w:rsid w:val="006C23D4"/>
    <w:rsid w:val="006C38C1"/>
    <w:rsid w:val="006C38CD"/>
    <w:rsid w:val="006C48C1"/>
    <w:rsid w:val="006C59A9"/>
    <w:rsid w:val="006C5FDC"/>
    <w:rsid w:val="006C7BB0"/>
    <w:rsid w:val="006D03D1"/>
    <w:rsid w:val="006D3237"/>
    <w:rsid w:val="006D57A9"/>
    <w:rsid w:val="006E0575"/>
    <w:rsid w:val="006E0D4B"/>
    <w:rsid w:val="006E2E37"/>
    <w:rsid w:val="006E3CF1"/>
    <w:rsid w:val="006E5EEC"/>
    <w:rsid w:val="006E7E80"/>
    <w:rsid w:val="006E7ED0"/>
    <w:rsid w:val="006F0F88"/>
    <w:rsid w:val="006F1DF9"/>
    <w:rsid w:val="006F1FAA"/>
    <w:rsid w:val="006F24DB"/>
    <w:rsid w:val="006F2F55"/>
    <w:rsid w:val="006F30E7"/>
    <w:rsid w:val="006F3BDB"/>
    <w:rsid w:val="006F426C"/>
    <w:rsid w:val="006F48CA"/>
    <w:rsid w:val="006F57B7"/>
    <w:rsid w:val="006F64DD"/>
    <w:rsid w:val="00702D7C"/>
    <w:rsid w:val="00711CB9"/>
    <w:rsid w:val="0071323D"/>
    <w:rsid w:val="00713DC9"/>
    <w:rsid w:val="007149F7"/>
    <w:rsid w:val="00715127"/>
    <w:rsid w:val="00715E8E"/>
    <w:rsid w:val="00717ADE"/>
    <w:rsid w:val="00722FD1"/>
    <w:rsid w:val="00723479"/>
    <w:rsid w:val="00723580"/>
    <w:rsid w:val="00723755"/>
    <w:rsid w:val="0072524D"/>
    <w:rsid w:val="00730A3A"/>
    <w:rsid w:val="0073136C"/>
    <w:rsid w:val="0073171D"/>
    <w:rsid w:val="00731991"/>
    <w:rsid w:val="00731F0F"/>
    <w:rsid w:val="007329C7"/>
    <w:rsid w:val="00733250"/>
    <w:rsid w:val="007373A6"/>
    <w:rsid w:val="00740D34"/>
    <w:rsid w:val="00741404"/>
    <w:rsid w:val="00743363"/>
    <w:rsid w:val="0074464B"/>
    <w:rsid w:val="007449E5"/>
    <w:rsid w:val="00744F55"/>
    <w:rsid w:val="00745AE8"/>
    <w:rsid w:val="00746C5A"/>
    <w:rsid w:val="00747985"/>
    <w:rsid w:val="00747FF0"/>
    <w:rsid w:val="0075004F"/>
    <w:rsid w:val="00752768"/>
    <w:rsid w:val="0075292E"/>
    <w:rsid w:val="00760BEA"/>
    <w:rsid w:val="007628DB"/>
    <w:rsid w:val="00764D4E"/>
    <w:rsid w:val="00765A1F"/>
    <w:rsid w:val="00770867"/>
    <w:rsid w:val="00772E31"/>
    <w:rsid w:val="00775847"/>
    <w:rsid w:val="00775B6D"/>
    <w:rsid w:val="007760AE"/>
    <w:rsid w:val="00776D68"/>
    <w:rsid w:val="00776E72"/>
    <w:rsid w:val="00780ABD"/>
    <w:rsid w:val="0078477A"/>
    <w:rsid w:val="007850EE"/>
    <w:rsid w:val="00785B95"/>
    <w:rsid w:val="007862F2"/>
    <w:rsid w:val="007873AE"/>
    <w:rsid w:val="00790E96"/>
    <w:rsid w:val="00791A22"/>
    <w:rsid w:val="00792276"/>
    <w:rsid w:val="0079289B"/>
    <w:rsid w:val="00793366"/>
    <w:rsid w:val="00793C06"/>
    <w:rsid w:val="007946F1"/>
    <w:rsid w:val="00796BDE"/>
    <w:rsid w:val="00797474"/>
    <w:rsid w:val="0079762C"/>
    <w:rsid w:val="007A06B7"/>
    <w:rsid w:val="007A0D75"/>
    <w:rsid w:val="007A22CD"/>
    <w:rsid w:val="007A28B3"/>
    <w:rsid w:val="007A2C1E"/>
    <w:rsid w:val="007A6EE4"/>
    <w:rsid w:val="007A716F"/>
    <w:rsid w:val="007B270A"/>
    <w:rsid w:val="007B4AAE"/>
    <w:rsid w:val="007B5940"/>
    <w:rsid w:val="007B69B9"/>
    <w:rsid w:val="007C0695"/>
    <w:rsid w:val="007C0D10"/>
    <w:rsid w:val="007C14D0"/>
    <w:rsid w:val="007C3410"/>
    <w:rsid w:val="007C357F"/>
    <w:rsid w:val="007C419A"/>
    <w:rsid w:val="007C4C5B"/>
    <w:rsid w:val="007C4CC8"/>
    <w:rsid w:val="007C5426"/>
    <w:rsid w:val="007C562D"/>
    <w:rsid w:val="007C5798"/>
    <w:rsid w:val="007C5C2E"/>
    <w:rsid w:val="007D0439"/>
    <w:rsid w:val="007D3D01"/>
    <w:rsid w:val="007D4832"/>
    <w:rsid w:val="007D4F5A"/>
    <w:rsid w:val="007E21B2"/>
    <w:rsid w:val="007E2C4E"/>
    <w:rsid w:val="007E3414"/>
    <w:rsid w:val="007E4BF2"/>
    <w:rsid w:val="007F1905"/>
    <w:rsid w:val="007F2348"/>
    <w:rsid w:val="007F29DD"/>
    <w:rsid w:val="007F41E6"/>
    <w:rsid w:val="0080048F"/>
    <w:rsid w:val="00801300"/>
    <w:rsid w:val="0080260E"/>
    <w:rsid w:val="00802C64"/>
    <w:rsid w:val="00802E67"/>
    <w:rsid w:val="00805A0D"/>
    <w:rsid w:val="00805E52"/>
    <w:rsid w:val="00805F7F"/>
    <w:rsid w:val="008061D0"/>
    <w:rsid w:val="00806791"/>
    <w:rsid w:val="00807767"/>
    <w:rsid w:val="00810B38"/>
    <w:rsid w:val="00812D7A"/>
    <w:rsid w:val="00812E0E"/>
    <w:rsid w:val="008139F7"/>
    <w:rsid w:val="00816A3B"/>
    <w:rsid w:val="0081776A"/>
    <w:rsid w:val="00817BC9"/>
    <w:rsid w:val="00820190"/>
    <w:rsid w:val="008204C7"/>
    <w:rsid w:val="008207E6"/>
    <w:rsid w:val="00820992"/>
    <w:rsid w:val="00820E31"/>
    <w:rsid w:val="00821A79"/>
    <w:rsid w:val="008223F0"/>
    <w:rsid w:val="00823602"/>
    <w:rsid w:val="008255F5"/>
    <w:rsid w:val="0083014E"/>
    <w:rsid w:val="0083214A"/>
    <w:rsid w:val="008322F9"/>
    <w:rsid w:val="00832B44"/>
    <w:rsid w:val="00834220"/>
    <w:rsid w:val="00836994"/>
    <w:rsid w:val="008369FE"/>
    <w:rsid w:val="00836CD7"/>
    <w:rsid w:val="0084164C"/>
    <w:rsid w:val="00842ECF"/>
    <w:rsid w:val="008445CD"/>
    <w:rsid w:val="00845723"/>
    <w:rsid w:val="00846F6C"/>
    <w:rsid w:val="008474D2"/>
    <w:rsid w:val="00851EF9"/>
    <w:rsid w:val="00852FFF"/>
    <w:rsid w:val="00856B9C"/>
    <w:rsid w:val="00856DBC"/>
    <w:rsid w:val="008577FD"/>
    <w:rsid w:val="00860B03"/>
    <w:rsid w:val="0086285B"/>
    <w:rsid w:val="00862F64"/>
    <w:rsid w:val="0086497A"/>
    <w:rsid w:val="00865C66"/>
    <w:rsid w:val="0087056A"/>
    <w:rsid w:val="008713A1"/>
    <w:rsid w:val="008754AB"/>
    <w:rsid w:val="00875963"/>
    <w:rsid w:val="0088060C"/>
    <w:rsid w:val="00880850"/>
    <w:rsid w:val="00885821"/>
    <w:rsid w:val="00886950"/>
    <w:rsid w:val="0089086C"/>
    <w:rsid w:val="00891A4F"/>
    <w:rsid w:val="008923F6"/>
    <w:rsid w:val="00893576"/>
    <w:rsid w:val="00893E73"/>
    <w:rsid w:val="00894586"/>
    <w:rsid w:val="00896674"/>
    <w:rsid w:val="00896AA4"/>
    <w:rsid w:val="008A106B"/>
    <w:rsid w:val="008A2C58"/>
    <w:rsid w:val="008A43C4"/>
    <w:rsid w:val="008A6A61"/>
    <w:rsid w:val="008A6E9B"/>
    <w:rsid w:val="008A7D8F"/>
    <w:rsid w:val="008B02DC"/>
    <w:rsid w:val="008B159A"/>
    <w:rsid w:val="008B504F"/>
    <w:rsid w:val="008B57CE"/>
    <w:rsid w:val="008B5B2F"/>
    <w:rsid w:val="008B5EEE"/>
    <w:rsid w:val="008B659F"/>
    <w:rsid w:val="008B66A0"/>
    <w:rsid w:val="008B6C94"/>
    <w:rsid w:val="008C01E3"/>
    <w:rsid w:val="008C0DEA"/>
    <w:rsid w:val="008C173E"/>
    <w:rsid w:val="008C256C"/>
    <w:rsid w:val="008C26DE"/>
    <w:rsid w:val="008C4D51"/>
    <w:rsid w:val="008C6675"/>
    <w:rsid w:val="008D1EEC"/>
    <w:rsid w:val="008D2225"/>
    <w:rsid w:val="008D35FB"/>
    <w:rsid w:val="008D3B42"/>
    <w:rsid w:val="008D3C67"/>
    <w:rsid w:val="008D46FD"/>
    <w:rsid w:val="008D4752"/>
    <w:rsid w:val="008D552A"/>
    <w:rsid w:val="008D60A4"/>
    <w:rsid w:val="008E271C"/>
    <w:rsid w:val="008E35CC"/>
    <w:rsid w:val="008E418E"/>
    <w:rsid w:val="008E5BC6"/>
    <w:rsid w:val="008E6A25"/>
    <w:rsid w:val="008F28C0"/>
    <w:rsid w:val="008F2E97"/>
    <w:rsid w:val="008F3914"/>
    <w:rsid w:val="008F4A98"/>
    <w:rsid w:val="008F5152"/>
    <w:rsid w:val="008F5193"/>
    <w:rsid w:val="008F5309"/>
    <w:rsid w:val="008F7B61"/>
    <w:rsid w:val="008F7E19"/>
    <w:rsid w:val="008F7FD4"/>
    <w:rsid w:val="0090020B"/>
    <w:rsid w:val="009013A7"/>
    <w:rsid w:val="009017FB"/>
    <w:rsid w:val="009017FC"/>
    <w:rsid w:val="00902AF4"/>
    <w:rsid w:val="00903B43"/>
    <w:rsid w:val="00904244"/>
    <w:rsid w:val="009046A2"/>
    <w:rsid w:val="00905032"/>
    <w:rsid w:val="0090506B"/>
    <w:rsid w:val="009050C9"/>
    <w:rsid w:val="0090588E"/>
    <w:rsid w:val="009066FC"/>
    <w:rsid w:val="00907031"/>
    <w:rsid w:val="00910F53"/>
    <w:rsid w:val="00912FB2"/>
    <w:rsid w:val="009140A3"/>
    <w:rsid w:val="009144A2"/>
    <w:rsid w:val="00914688"/>
    <w:rsid w:val="0091510C"/>
    <w:rsid w:val="00915140"/>
    <w:rsid w:val="00915D1A"/>
    <w:rsid w:val="009172C0"/>
    <w:rsid w:val="00917B99"/>
    <w:rsid w:val="00924853"/>
    <w:rsid w:val="00924C49"/>
    <w:rsid w:val="009259AC"/>
    <w:rsid w:val="00926164"/>
    <w:rsid w:val="00926783"/>
    <w:rsid w:val="00926F38"/>
    <w:rsid w:val="00927A2C"/>
    <w:rsid w:val="00927CEA"/>
    <w:rsid w:val="009306E1"/>
    <w:rsid w:val="009308B2"/>
    <w:rsid w:val="00934301"/>
    <w:rsid w:val="00936CD1"/>
    <w:rsid w:val="009407D0"/>
    <w:rsid w:val="0094091E"/>
    <w:rsid w:val="00941313"/>
    <w:rsid w:val="00941747"/>
    <w:rsid w:val="00941EFB"/>
    <w:rsid w:val="00942BB6"/>
    <w:rsid w:val="00944645"/>
    <w:rsid w:val="00945957"/>
    <w:rsid w:val="00945E1F"/>
    <w:rsid w:val="00947AFB"/>
    <w:rsid w:val="00947C25"/>
    <w:rsid w:val="0095040F"/>
    <w:rsid w:val="00951D7D"/>
    <w:rsid w:val="00952C12"/>
    <w:rsid w:val="00952DB8"/>
    <w:rsid w:val="00953154"/>
    <w:rsid w:val="00961F9E"/>
    <w:rsid w:val="009630C7"/>
    <w:rsid w:val="00964BB1"/>
    <w:rsid w:val="009652F7"/>
    <w:rsid w:val="00970607"/>
    <w:rsid w:val="009711EF"/>
    <w:rsid w:val="0097254D"/>
    <w:rsid w:val="00972B55"/>
    <w:rsid w:val="00973E49"/>
    <w:rsid w:val="009743B7"/>
    <w:rsid w:val="00975A36"/>
    <w:rsid w:val="00981CED"/>
    <w:rsid w:val="0098228B"/>
    <w:rsid w:val="009828DA"/>
    <w:rsid w:val="00983072"/>
    <w:rsid w:val="00983B46"/>
    <w:rsid w:val="00985BAB"/>
    <w:rsid w:val="00992DBB"/>
    <w:rsid w:val="0099423B"/>
    <w:rsid w:val="00997F03"/>
    <w:rsid w:val="009A0816"/>
    <w:rsid w:val="009A2958"/>
    <w:rsid w:val="009A46DF"/>
    <w:rsid w:val="009A79E3"/>
    <w:rsid w:val="009B122C"/>
    <w:rsid w:val="009B1371"/>
    <w:rsid w:val="009B13D9"/>
    <w:rsid w:val="009B1B5F"/>
    <w:rsid w:val="009B2EC2"/>
    <w:rsid w:val="009B5F73"/>
    <w:rsid w:val="009B6673"/>
    <w:rsid w:val="009B6B98"/>
    <w:rsid w:val="009C1547"/>
    <w:rsid w:val="009C191B"/>
    <w:rsid w:val="009C1B91"/>
    <w:rsid w:val="009C2BD6"/>
    <w:rsid w:val="009C5CEC"/>
    <w:rsid w:val="009C66B3"/>
    <w:rsid w:val="009D1348"/>
    <w:rsid w:val="009D24A5"/>
    <w:rsid w:val="009D2B61"/>
    <w:rsid w:val="009D3736"/>
    <w:rsid w:val="009D3923"/>
    <w:rsid w:val="009D47D8"/>
    <w:rsid w:val="009D64A9"/>
    <w:rsid w:val="009D6537"/>
    <w:rsid w:val="009E125E"/>
    <w:rsid w:val="009E1F32"/>
    <w:rsid w:val="009E5829"/>
    <w:rsid w:val="009E776C"/>
    <w:rsid w:val="009E7AEB"/>
    <w:rsid w:val="009F028C"/>
    <w:rsid w:val="009F3B8A"/>
    <w:rsid w:val="009F5AC1"/>
    <w:rsid w:val="00A0173F"/>
    <w:rsid w:val="00A01768"/>
    <w:rsid w:val="00A104E5"/>
    <w:rsid w:val="00A1277B"/>
    <w:rsid w:val="00A13C6D"/>
    <w:rsid w:val="00A1726E"/>
    <w:rsid w:val="00A204CF"/>
    <w:rsid w:val="00A21BF8"/>
    <w:rsid w:val="00A234D8"/>
    <w:rsid w:val="00A23D49"/>
    <w:rsid w:val="00A24C44"/>
    <w:rsid w:val="00A25AE1"/>
    <w:rsid w:val="00A2618C"/>
    <w:rsid w:val="00A2671E"/>
    <w:rsid w:val="00A27004"/>
    <w:rsid w:val="00A272EF"/>
    <w:rsid w:val="00A30C29"/>
    <w:rsid w:val="00A34A1A"/>
    <w:rsid w:val="00A34DD6"/>
    <w:rsid w:val="00A364F1"/>
    <w:rsid w:val="00A36819"/>
    <w:rsid w:val="00A36989"/>
    <w:rsid w:val="00A400DA"/>
    <w:rsid w:val="00A4072F"/>
    <w:rsid w:val="00A4075E"/>
    <w:rsid w:val="00A43628"/>
    <w:rsid w:val="00A43937"/>
    <w:rsid w:val="00A43C32"/>
    <w:rsid w:val="00A45145"/>
    <w:rsid w:val="00A46670"/>
    <w:rsid w:val="00A46DCD"/>
    <w:rsid w:val="00A47024"/>
    <w:rsid w:val="00A47D23"/>
    <w:rsid w:val="00A5030B"/>
    <w:rsid w:val="00A512F8"/>
    <w:rsid w:val="00A525C7"/>
    <w:rsid w:val="00A54192"/>
    <w:rsid w:val="00A54258"/>
    <w:rsid w:val="00A56705"/>
    <w:rsid w:val="00A6035E"/>
    <w:rsid w:val="00A6144C"/>
    <w:rsid w:val="00A64184"/>
    <w:rsid w:val="00A6486C"/>
    <w:rsid w:val="00A653AE"/>
    <w:rsid w:val="00A656B3"/>
    <w:rsid w:val="00A66582"/>
    <w:rsid w:val="00A66617"/>
    <w:rsid w:val="00A671F8"/>
    <w:rsid w:val="00A673A4"/>
    <w:rsid w:val="00A7194D"/>
    <w:rsid w:val="00A724AE"/>
    <w:rsid w:val="00A73329"/>
    <w:rsid w:val="00A737D1"/>
    <w:rsid w:val="00A74892"/>
    <w:rsid w:val="00A77325"/>
    <w:rsid w:val="00A7754C"/>
    <w:rsid w:val="00A80942"/>
    <w:rsid w:val="00A811BD"/>
    <w:rsid w:val="00A82359"/>
    <w:rsid w:val="00A844CC"/>
    <w:rsid w:val="00A85C71"/>
    <w:rsid w:val="00A85D62"/>
    <w:rsid w:val="00A865D2"/>
    <w:rsid w:val="00A86FB5"/>
    <w:rsid w:val="00A93FC4"/>
    <w:rsid w:val="00A948DF"/>
    <w:rsid w:val="00A94C20"/>
    <w:rsid w:val="00A958C1"/>
    <w:rsid w:val="00A95AB3"/>
    <w:rsid w:val="00A960D6"/>
    <w:rsid w:val="00A96ED6"/>
    <w:rsid w:val="00A976DD"/>
    <w:rsid w:val="00AA0010"/>
    <w:rsid w:val="00AA227F"/>
    <w:rsid w:val="00AA2AA6"/>
    <w:rsid w:val="00AA3BC7"/>
    <w:rsid w:val="00AA4C87"/>
    <w:rsid w:val="00AA754A"/>
    <w:rsid w:val="00AB099E"/>
    <w:rsid w:val="00AB2911"/>
    <w:rsid w:val="00AB3FCC"/>
    <w:rsid w:val="00AB4328"/>
    <w:rsid w:val="00AB4519"/>
    <w:rsid w:val="00AB5FA0"/>
    <w:rsid w:val="00AC0336"/>
    <w:rsid w:val="00AC07A5"/>
    <w:rsid w:val="00AC0FC1"/>
    <w:rsid w:val="00AC3C13"/>
    <w:rsid w:val="00AC5EFA"/>
    <w:rsid w:val="00AC7AF0"/>
    <w:rsid w:val="00AD307C"/>
    <w:rsid w:val="00AD3E91"/>
    <w:rsid w:val="00AD4697"/>
    <w:rsid w:val="00AD4A9B"/>
    <w:rsid w:val="00AE0A2E"/>
    <w:rsid w:val="00AE2239"/>
    <w:rsid w:val="00AE354C"/>
    <w:rsid w:val="00AE4124"/>
    <w:rsid w:val="00AF0BA3"/>
    <w:rsid w:val="00AF300C"/>
    <w:rsid w:val="00AF36FC"/>
    <w:rsid w:val="00AF4B07"/>
    <w:rsid w:val="00AF4F0D"/>
    <w:rsid w:val="00AF5C2C"/>
    <w:rsid w:val="00AF6186"/>
    <w:rsid w:val="00AF63C3"/>
    <w:rsid w:val="00AF7333"/>
    <w:rsid w:val="00AF7A3A"/>
    <w:rsid w:val="00B0081B"/>
    <w:rsid w:val="00B00C84"/>
    <w:rsid w:val="00B00EA4"/>
    <w:rsid w:val="00B02EB7"/>
    <w:rsid w:val="00B067B4"/>
    <w:rsid w:val="00B06E55"/>
    <w:rsid w:val="00B071E0"/>
    <w:rsid w:val="00B119CC"/>
    <w:rsid w:val="00B11F65"/>
    <w:rsid w:val="00B160DB"/>
    <w:rsid w:val="00B20836"/>
    <w:rsid w:val="00B20BDD"/>
    <w:rsid w:val="00B23428"/>
    <w:rsid w:val="00B235BB"/>
    <w:rsid w:val="00B23C16"/>
    <w:rsid w:val="00B23D92"/>
    <w:rsid w:val="00B27A44"/>
    <w:rsid w:val="00B3040B"/>
    <w:rsid w:val="00B30BBF"/>
    <w:rsid w:val="00B323DC"/>
    <w:rsid w:val="00B33C03"/>
    <w:rsid w:val="00B37A83"/>
    <w:rsid w:val="00B37DE0"/>
    <w:rsid w:val="00B404CE"/>
    <w:rsid w:val="00B40887"/>
    <w:rsid w:val="00B44E56"/>
    <w:rsid w:val="00B46543"/>
    <w:rsid w:val="00B4760C"/>
    <w:rsid w:val="00B47D33"/>
    <w:rsid w:val="00B50018"/>
    <w:rsid w:val="00B50B0D"/>
    <w:rsid w:val="00B51B00"/>
    <w:rsid w:val="00B52BE0"/>
    <w:rsid w:val="00B54133"/>
    <w:rsid w:val="00B55882"/>
    <w:rsid w:val="00B55F8E"/>
    <w:rsid w:val="00B57F36"/>
    <w:rsid w:val="00B61DD4"/>
    <w:rsid w:val="00B637B9"/>
    <w:rsid w:val="00B663BD"/>
    <w:rsid w:val="00B701ED"/>
    <w:rsid w:val="00B71FBA"/>
    <w:rsid w:val="00B7481B"/>
    <w:rsid w:val="00B76AC7"/>
    <w:rsid w:val="00B7733A"/>
    <w:rsid w:val="00B779C1"/>
    <w:rsid w:val="00B77D3B"/>
    <w:rsid w:val="00B8086C"/>
    <w:rsid w:val="00B84858"/>
    <w:rsid w:val="00B861B4"/>
    <w:rsid w:val="00B86DFE"/>
    <w:rsid w:val="00B90604"/>
    <w:rsid w:val="00B90990"/>
    <w:rsid w:val="00B91325"/>
    <w:rsid w:val="00B922FF"/>
    <w:rsid w:val="00B9281E"/>
    <w:rsid w:val="00B93925"/>
    <w:rsid w:val="00B93B25"/>
    <w:rsid w:val="00B95187"/>
    <w:rsid w:val="00B96B1B"/>
    <w:rsid w:val="00B96E03"/>
    <w:rsid w:val="00BA1C78"/>
    <w:rsid w:val="00BA2483"/>
    <w:rsid w:val="00BA2756"/>
    <w:rsid w:val="00BA2D55"/>
    <w:rsid w:val="00BA609D"/>
    <w:rsid w:val="00BA71B1"/>
    <w:rsid w:val="00BB0637"/>
    <w:rsid w:val="00BB2ED5"/>
    <w:rsid w:val="00BB345F"/>
    <w:rsid w:val="00BB4D4A"/>
    <w:rsid w:val="00BB5883"/>
    <w:rsid w:val="00BB68EA"/>
    <w:rsid w:val="00BB75C7"/>
    <w:rsid w:val="00BC1C27"/>
    <w:rsid w:val="00BC33C7"/>
    <w:rsid w:val="00BC69CF"/>
    <w:rsid w:val="00BC6BBF"/>
    <w:rsid w:val="00BD0621"/>
    <w:rsid w:val="00BD0E5C"/>
    <w:rsid w:val="00BD1572"/>
    <w:rsid w:val="00BD2B55"/>
    <w:rsid w:val="00BD55E0"/>
    <w:rsid w:val="00BD7189"/>
    <w:rsid w:val="00BD79D1"/>
    <w:rsid w:val="00BD7FF7"/>
    <w:rsid w:val="00BE1216"/>
    <w:rsid w:val="00BE14E3"/>
    <w:rsid w:val="00BE3774"/>
    <w:rsid w:val="00BE3D1D"/>
    <w:rsid w:val="00BE41E5"/>
    <w:rsid w:val="00BE5EAF"/>
    <w:rsid w:val="00BE6DAE"/>
    <w:rsid w:val="00BE71C5"/>
    <w:rsid w:val="00BF0BBB"/>
    <w:rsid w:val="00BF4109"/>
    <w:rsid w:val="00BF45A5"/>
    <w:rsid w:val="00BF4CC3"/>
    <w:rsid w:val="00BF4E37"/>
    <w:rsid w:val="00BF623C"/>
    <w:rsid w:val="00C036A7"/>
    <w:rsid w:val="00C03FD9"/>
    <w:rsid w:val="00C054C7"/>
    <w:rsid w:val="00C057B5"/>
    <w:rsid w:val="00C06044"/>
    <w:rsid w:val="00C11540"/>
    <w:rsid w:val="00C22263"/>
    <w:rsid w:val="00C22687"/>
    <w:rsid w:val="00C235E4"/>
    <w:rsid w:val="00C235EA"/>
    <w:rsid w:val="00C26824"/>
    <w:rsid w:val="00C3238A"/>
    <w:rsid w:val="00C32E4D"/>
    <w:rsid w:val="00C332D2"/>
    <w:rsid w:val="00C333A0"/>
    <w:rsid w:val="00C3466A"/>
    <w:rsid w:val="00C36A81"/>
    <w:rsid w:val="00C36E59"/>
    <w:rsid w:val="00C412B9"/>
    <w:rsid w:val="00C41974"/>
    <w:rsid w:val="00C419E7"/>
    <w:rsid w:val="00C44758"/>
    <w:rsid w:val="00C447AD"/>
    <w:rsid w:val="00C47045"/>
    <w:rsid w:val="00C472E5"/>
    <w:rsid w:val="00C5016E"/>
    <w:rsid w:val="00C53F4A"/>
    <w:rsid w:val="00C53F73"/>
    <w:rsid w:val="00C54125"/>
    <w:rsid w:val="00C55B54"/>
    <w:rsid w:val="00C57A2F"/>
    <w:rsid w:val="00C6098E"/>
    <w:rsid w:val="00C60B9D"/>
    <w:rsid w:val="00C60C92"/>
    <w:rsid w:val="00C6152C"/>
    <w:rsid w:val="00C61BE4"/>
    <w:rsid w:val="00C621C2"/>
    <w:rsid w:val="00C6751C"/>
    <w:rsid w:val="00C70DC1"/>
    <w:rsid w:val="00C713C2"/>
    <w:rsid w:val="00C725B4"/>
    <w:rsid w:val="00C73A38"/>
    <w:rsid w:val="00C7406F"/>
    <w:rsid w:val="00C74810"/>
    <w:rsid w:val="00C77B5C"/>
    <w:rsid w:val="00C807A7"/>
    <w:rsid w:val="00C81C98"/>
    <w:rsid w:val="00C83D17"/>
    <w:rsid w:val="00C87FE7"/>
    <w:rsid w:val="00C90D68"/>
    <w:rsid w:val="00C92780"/>
    <w:rsid w:val="00C939FE"/>
    <w:rsid w:val="00C94269"/>
    <w:rsid w:val="00C94270"/>
    <w:rsid w:val="00C958A8"/>
    <w:rsid w:val="00C96351"/>
    <w:rsid w:val="00C96D15"/>
    <w:rsid w:val="00CA03D7"/>
    <w:rsid w:val="00CA05A6"/>
    <w:rsid w:val="00CA17A3"/>
    <w:rsid w:val="00CA22A3"/>
    <w:rsid w:val="00CA4BDA"/>
    <w:rsid w:val="00CB0B7B"/>
    <w:rsid w:val="00CB0C67"/>
    <w:rsid w:val="00CB1F66"/>
    <w:rsid w:val="00CB2951"/>
    <w:rsid w:val="00CB6CFD"/>
    <w:rsid w:val="00CC1C1B"/>
    <w:rsid w:val="00CC6D58"/>
    <w:rsid w:val="00CC7822"/>
    <w:rsid w:val="00CD0A63"/>
    <w:rsid w:val="00CD282B"/>
    <w:rsid w:val="00CD2CB6"/>
    <w:rsid w:val="00CD3F0E"/>
    <w:rsid w:val="00CD4849"/>
    <w:rsid w:val="00CD4C35"/>
    <w:rsid w:val="00CD5180"/>
    <w:rsid w:val="00CD582D"/>
    <w:rsid w:val="00CD5B20"/>
    <w:rsid w:val="00CD63C4"/>
    <w:rsid w:val="00CD6CAE"/>
    <w:rsid w:val="00CD7369"/>
    <w:rsid w:val="00CE0B0E"/>
    <w:rsid w:val="00CE1540"/>
    <w:rsid w:val="00CE1579"/>
    <w:rsid w:val="00CE32CF"/>
    <w:rsid w:val="00CE3831"/>
    <w:rsid w:val="00CF10CA"/>
    <w:rsid w:val="00CF3CE4"/>
    <w:rsid w:val="00CF5F74"/>
    <w:rsid w:val="00CF7611"/>
    <w:rsid w:val="00D00ABB"/>
    <w:rsid w:val="00D00E41"/>
    <w:rsid w:val="00D01EAE"/>
    <w:rsid w:val="00D02877"/>
    <w:rsid w:val="00D02EEC"/>
    <w:rsid w:val="00D03551"/>
    <w:rsid w:val="00D048BB"/>
    <w:rsid w:val="00D04C0D"/>
    <w:rsid w:val="00D05EE6"/>
    <w:rsid w:val="00D0697B"/>
    <w:rsid w:val="00D06A63"/>
    <w:rsid w:val="00D07A2F"/>
    <w:rsid w:val="00D07E0E"/>
    <w:rsid w:val="00D11478"/>
    <w:rsid w:val="00D12CA0"/>
    <w:rsid w:val="00D148A4"/>
    <w:rsid w:val="00D15ED0"/>
    <w:rsid w:val="00D17D26"/>
    <w:rsid w:val="00D208AF"/>
    <w:rsid w:val="00D20F6E"/>
    <w:rsid w:val="00D21B3E"/>
    <w:rsid w:val="00D21FED"/>
    <w:rsid w:val="00D24251"/>
    <w:rsid w:val="00D249F2"/>
    <w:rsid w:val="00D256DD"/>
    <w:rsid w:val="00D26D42"/>
    <w:rsid w:val="00D26E27"/>
    <w:rsid w:val="00D3053A"/>
    <w:rsid w:val="00D32638"/>
    <w:rsid w:val="00D32694"/>
    <w:rsid w:val="00D3291A"/>
    <w:rsid w:val="00D3413F"/>
    <w:rsid w:val="00D343E2"/>
    <w:rsid w:val="00D361A2"/>
    <w:rsid w:val="00D40F47"/>
    <w:rsid w:val="00D41492"/>
    <w:rsid w:val="00D42E11"/>
    <w:rsid w:val="00D43419"/>
    <w:rsid w:val="00D437BE"/>
    <w:rsid w:val="00D44C2E"/>
    <w:rsid w:val="00D45414"/>
    <w:rsid w:val="00D4541D"/>
    <w:rsid w:val="00D46CBB"/>
    <w:rsid w:val="00D47CEA"/>
    <w:rsid w:val="00D5240C"/>
    <w:rsid w:val="00D52F18"/>
    <w:rsid w:val="00D53C0F"/>
    <w:rsid w:val="00D566BD"/>
    <w:rsid w:val="00D579F7"/>
    <w:rsid w:val="00D57A4D"/>
    <w:rsid w:val="00D57E1B"/>
    <w:rsid w:val="00D60AA7"/>
    <w:rsid w:val="00D60D87"/>
    <w:rsid w:val="00D62002"/>
    <w:rsid w:val="00D62C8C"/>
    <w:rsid w:val="00D63720"/>
    <w:rsid w:val="00D6435F"/>
    <w:rsid w:val="00D65824"/>
    <w:rsid w:val="00D73952"/>
    <w:rsid w:val="00D75E28"/>
    <w:rsid w:val="00D772C2"/>
    <w:rsid w:val="00D8008E"/>
    <w:rsid w:val="00D8105A"/>
    <w:rsid w:val="00D82C45"/>
    <w:rsid w:val="00D835EA"/>
    <w:rsid w:val="00D85F2F"/>
    <w:rsid w:val="00D908A8"/>
    <w:rsid w:val="00D910AA"/>
    <w:rsid w:val="00D91C8C"/>
    <w:rsid w:val="00D96320"/>
    <w:rsid w:val="00D977B6"/>
    <w:rsid w:val="00DA0EE1"/>
    <w:rsid w:val="00DA25E2"/>
    <w:rsid w:val="00DA3D8B"/>
    <w:rsid w:val="00DA4A31"/>
    <w:rsid w:val="00DA61F2"/>
    <w:rsid w:val="00DA7B04"/>
    <w:rsid w:val="00DB36C2"/>
    <w:rsid w:val="00DB4920"/>
    <w:rsid w:val="00DB6701"/>
    <w:rsid w:val="00DB7196"/>
    <w:rsid w:val="00DC145E"/>
    <w:rsid w:val="00DC15D5"/>
    <w:rsid w:val="00DC169B"/>
    <w:rsid w:val="00DC2AB9"/>
    <w:rsid w:val="00DC4E77"/>
    <w:rsid w:val="00DC5184"/>
    <w:rsid w:val="00DC63F0"/>
    <w:rsid w:val="00DC6E6B"/>
    <w:rsid w:val="00DD116B"/>
    <w:rsid w:val="00DD3FD6"/>
    <w:rsid w:val="00DD49E8"/>
    <w:rsid w:val="00DD53A2"/>
    <w:rsid w:val="00DD5C3B"/>
    <w:rsid w:val="00DD6EE5"/>
    <w:rsid w:val="00DE1B8E"/>
    <w:rsid w:val="00DE386C"/>
    <w:rsid w:val="00DE4D35"/>
    <w:rsid w:val="00DE75D7"/>
    <w:rsid w:val="00DE77C8"/>
    <w:rsid w:val="00DF02D7"/>
    <w:rsid w:val="00DF041B"/>
    <w:rsid w:val="00DF0549"/>
    <w:rsid w:val="00DF098B"/>
    <w:rsid w:val="00DF11C4"/>
    <w:rsid w:val="00DF210C"/>
    <w:rsid w:val="00DF401C"/>
    <w:rsid w:val="00DF4B6A"/>
    <w:rsid w:val="00E02C09"/>
    <w:rsid w:val="00E032FE"/>
    <w:rsid w:val="00E0337F"/>
    <w:rsid w:val="00E0422A"/>
    <w:rsid w:val="00E04D59"/>
    <w:rsid w:val="00E07DA1"/>
    <w:rsid w:val="00E10DA0"/>
    <w:rsid w:val="00E1213A"/>
    <w:rsid w:val="00E123CB"/>
    <w:rsid w:val="00E1557C"/>
    <w:rsid w:val="00E20E13"/>
    <w:rsid w:val="00E21DBC"/>
    <w:rsid w:val="00E23533"/>
    <w:rsid w:val="00E266F3"/>
    <w:rsid w:val="00E275D7"/>
    <w:rsid w:val="00E27DBE"/>
    <w:rsid w:val="00E31B34"/>
    <w:rsid w:val="00E32AB1"/>
    <w:rsid w:val="00E36C71"/>
    <w:rsid w:val="00E372DC"/>
    <w:rsid w:val="00E40404"/>
    <w:rsid w:val="00E43E04"/>
    <w:rsid w:val="00E459C6"/>
    <w:rsid w:val="00E45F2D"/>
    <w:rsid w:val="00E46F28"/>
    <w:rsid w:val="00E47589"/>
    <w:rsid w:val="00E53621"/>
    <w:rsid w:val="00E54195"/>
    <w:rsid w:val="00E557ED"/>
    <w:rsid w:val="00E55D95"/>
    <w:rsid w:val="00E63682"/>
    <w:rsid w:val="00E64915"/>
    <w:rsid w:val="00E6513E"/>
    <w:rsid w:val="00E661D4"/>
    <w:rsid w:val="00E66AD8"/>
    <w:rsid w:val="00E66E9F"/>
    <w:rsid w:val="00E70091"/>
    <w:rsid w:val="00E7026F"/>
    <w:rsid w:val="00E71163"/>
    <w:rsid w:val="00E71470"/>
    <w:rsid w:val="00E720F5"/>
    <w:rsid w:val="00E726A6"/>
    <w:rsid w:val="00E744A3"/>
    <w:rsid w:val="00E74E3D"/>
    <w:rsid w:val="00E76D47"/>
    <w:rsid w:val="00E77739"/>
    <w:rsid w:val="00E77FFE"/>
    <w:rsid w:val="00E81D80"/>
    <w:rsid w:val="00E849F7"/>
    <w:rsid w:val="00E84F43"/>
    <w:rsid w:val="00E87A9B"/>
    <w:rsid w:val="00E90302"/>
    <w:rsid w:val="00E913E8"/>
    <w:rsid w:val="00E91D9F"/>
    <w:rsid w:val="00E9597F"/>
    <w:rsid w:val="00E97396"/>
    <w:rsid w:val="00EA185E"/>
    <w:rsid w:val="00EA37F4"/>
    <w:rsid w:val="00EA592A"/>
    <w:rsid w:val="00EA7363"/>
    <w:rsid w:val="00EB14E4"/>
    <w:rsid w:val="00EB32A5"/>
    <w:rsid w:val="00EB34ED"/>
    <w:rsid w:val="00EB413C"/>
    <w:rsid w:val="00EB4753"/>
    <w:rsid w:val="00EB5BC6"/>
    <w:rsid w:val="00EB7625"/>
    <w:rsid w:val="00EB7BE0"/>
    <w:rsid w:val="00EC315E"/>
    <w:rsid w:val="00EC46BA"/>
    <w:rsid w:val="00EC4988"/>
    <w:rsid w:val="00EC52F5"/>
    <w:rsid w:val="00EC7BAE"/>
    <w:rsid w:val="00ED01CA"/>
    <w:rsid w:val="00ED077C"/>
    <w:rsid w:val="00ED1190"/>
    <w:rsid w:val="00ED6544"/>
    <w:rsid w:val="00ED6560"/>
    <w:rsid w:val="00EE0277"/>
    <w:rsid w:val="00EE04AF"/>
    <w:rsid w:val="00EE0B85"/>
    <w:rsid w:val="00EE1DA9"/>
    <w:rsid w:val="00EE3CFF"/>
    <w:rsid w:val="00EE3E00"/>
    <w:rsid w:val="00EE5DD2"/>
    <w:rsid w:val="00EE7398"/>
    <w:rsid w:val="00EF006C"/>
    <w:rsid w:val="00EF0929"/>
    <w:rsid w:val="00EF32BE"/>
    <w:rsid w:val="00EF3C83"/>
    <w:rsid w:val="00EF41F1"/>
    <w:rsid w:val="00EF4F08"/>
    <w:rsid w:val="00EF573B"/>
    <w:rsid w:val="00F00A79"/>
    <w:rsid w:val="00F00E86"/>
    <w:rsid w:val="00F00F8B"/>
    <w:rsid w:val="00F014E2"/>
    <w:rsid w:val="00F01CCE"/>
    <w:rsid w:val="00F058CF"/>
    <w:rsid w:val="00F067AB"/>
    <w:rsid w:val="00F07C1E"/>
    <w:rsid w:val="00F105DB"/>
    <w:rsid w:val="00F1081A"/>
    <w:rsid w:val="00F11BDE"/>
    <w:rsid w:val="00F12ED5"/>
    <w:rsid w:val="00F132BC"/>
    <w:rsid w:val="00F13D80"/>
    <w:rsid w:val="00F1502E"/>
    <w:rsid w:val="00F16AAA"/>
    <w:rsid w:val="00F16DFE"/>
    <w:rsid w:val="00F21161"/>
    <w:rsid w:val="00F218EF"/>
    <w:rsid w:val="00F21BC7"/>
    <w:rsid w:val="00F23C83"/>
    <w:rsid w:val="00F247CB"/>
    <w:rsid w:val="00F266A2"/>
    <w:rsid w:val="00F2677A"/>
    <w:rsid w:val="00F26B84"/>
    <w:rsid w:val="00F27233"/>
    <w:rsid w:val="00F32269"/>
    <w:rsid w:val="00F35CFB"/>
    <w:rsid w:val="00F36D02"/>
    <w:rsid w:val="00F41E21"/>
    <w:rsid w:val="00F439F9"/>
    <w:rsid w:val="00F4457E"/>
    <w:rsid w:val="00F45514"/>
    <w:rsid w:val="00F45977"/>
    <w:rsid w:val="00F45B6B"/>
    <w:rsid w:val="00F46FB0"/>
    <w:rsid w:val="00F56A6F"/>
    <w:rsid w:val="00F56CEB"/>
    <w:rsid w:val="00F5709C"/>
    <w:rsid w:val="00F60E90"/>
    <w:rsid w:val="00F639EA"/>
    <w:rsid w:val="00F646B4"/>
    <w:rsid w:val="00F64EF1"/>
    <w:rsid w:val="00F65A5B"/>
    <w:rsid w:val="00F674A8"/>
    <w:rsid w:val="00F73180"/>
    <w:rsid w:val="00F74B19"/>
    <w:rsid w:val="00F75EAE"/>
    <w:rsid w:val="00F77DD1"/>
    <w:rsid w:val="00F80447"/>
    <w:rsid w:val="00F8206C"/>
    <w:rsid w:val="00F83536"/>
    <w:rsid w:val="00F83AEA"/>
    <w:rsid w:val="00F83C7C"/>
    <w:rsid w:val="00F87427"/>
    <w:rsid w:val="00F8765F"/>
    <w:rsid w:val="00F90767"/>
    <w:rsid w:val="00F9138F"/>
    <w:rsid w:val="00F91DA5"/>
    <w:rsid w:val="00F948F8"/>
    <w:rsid w:val="00FA685B"/>
    <w:rsid w:val="00FA7A5C"/>
    <w:rsid w:val="00FB0C01"/>
    <w:rsid w:val="00FB57C4"/>
    <w:rsid w:val="00FB5CEA"/>
    <w:rsid w:val="00FB790F"/>
    <w:rsid w:val="00FC11BD"/>
    <w:rsid w:val="00FC185E"/>
    <w:rsid w:val="00FC18F2"/>
    <w:rsid w:val="00FC29F9"/>
    <w:rsid w:val="00FC361A"/>
    <w:rsid w:val="00FC39E5"/>
    <w:rsid w:val="00FC3A78"/>
    <w:rsid w:val="00FC53E4"/>
    <w:rsid w:val="00FC5550"/>
    <w:rsid w:val="00FC5FFE"/>
    <w:rsid w:val="00FD01F0"/>
    <w:rsid w:val="00FD1005"/>
    <w:rsid w:val="00FD25F7"/>
    <w:rsid w:val="00FD3180"/>
    <w:rsid w:val="00FD6C75"/>
    <w:rsid w:val="00FD7ADC"/>
    <w:rsid w:val="00FE0509"/>
    <w:rsid w:val="00FE2C0B"/>
    <w:rsid w:val="00FE365B"/>
    <w:rsid w:val="00FE4A9B"/>
    <w:rsid w:val="00FE4D88"/>
    <w:rsid w:val="00FE6D6A"/>
    <w:rsid w:val="00FE71B3"/>
    <w:rsid w:val="00FF09FB"/>
    <w:rsid w:val="00FF184E"/>
    <w:rsid w:val="00FF35A2"/>
    <w:rsid w:val="00FF3EA3"/>
    <w:rsid w:val="00FF4162"/>
    <w:rsid w:val="00FF42C5"/>
    <w:rsid w:val="00FF5473"/>
    <w:rsid w:val="00FF782B"/>
    <w:rsid w:val="00FF7B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000067"/>
    <w:pPr>
      <w:jc w:val="both"/>
    </w:pPr>
    <w:rPr>
      <w:rFonts w:eastAsia="MS Mincho"/>
      <w:sz w:val="24"/>
      <w:szCs w:val="24"/>
      <w:lang w:eastAsia="en-US"/>
    </w:rPr>
  </w:style>
  <w:style w:type="paragraph" w:styleId="Nagwek1">
    <w:name w:val="heading 1"/>
    <w:basedOn w:val="Normalny"/>
    <w:next w:val="Normalny"/>
    <w:link w:val="Nagwek1Znak"/>
    <w:uiPriority w:val="99"/>
    <w:qFormat/>
    <w:rsid w:val="00000067"/>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000067"/>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000067"/>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000067"/>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162CF6"/>
    <w:pPr>
      <w:spacing w:before="200"/>
      <w:outlineLvl w:val="4"/>
    </w:pPr>
    <w:rPr>
      <w:rFonts w:eastAsia="MS Gothic"/>
      <w:b/>
      <w:bCs/>
      <w:color w:val="808080"/>
      <w:sz w:val="22"/>
      <w:szCs w:val="22"/>
    </w:rPr>
  </w:style>
  <w:style w:type="paragraph" w:styleId="Nagwek6">
    <w:name w:val="heading 6"/>
    <w:basedOn w:val="Normalny"/>
    <w:next w:val="Normalny"/>
    <w:link w:val="Nagwek6Znak"/>
    <w:uiPriority w:val="99"/>
    <w:qFormat/>
    <w:rsid w:val="00000067"/>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162CF6"/>
    <w:pPr>
      <w:outlineLvl w:val="6"/>
    </w:pPr>
    <w:rPr>
      <w:rFonts w:eastAsia="MS Gothic"/>
      <w:i/>
      <w:iCs/>
      <w:sz w:val="22"/>
      <w:szCs w:val="22"/>
    </w:rPr>
  </w:style>
  <w:style w:type="paragraph" w:styleId="Nagwek8">
    <w:name w:val="heading 8"/>
    <w:basedOn w:val="Normalny"/>
    <w:next w:val="Normalny"/>
    <w:link w:val="Nagwek8Znak"/>
    <w:uiPriority w:val="99"/>
    <w:qFormat/>
    <w:rsid w:val="00162CF6"/>
    <w:pPr>
      <w:outlineLvl w:val="7"/>
    </w:pPr>
    <w:rPr>
      <w:rFonts w:eastAsia="MS Gothic"/>
      <w:sz w:val="20"/>
      <w:szCs w:val="20"/>
    </w:rPr>
  </w:style>
  <w:style w:type="paragraph" w:styleId="Nagwek9">
    <w:name w:val="heading 9"/>
    <w:basedOn w:val="Normalny"/>
    <w:next w:val="Normalny"/>
    <w:link w:val="Nagwek9Znak"/>
    <w:uiPriority w:val="99"/>
    <w:qFormat/>
    <w:rsid w:val="00162CF6"/>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000067"/>
    <w:rPr>
      <w:rFonts w:ascii="Times New Roman" w:eastAsia="MS Gothic" w:hAnsi="Times New Roman" w:cs="Times New Roman"/>
      <w:b/>
      <w:bCs/>
      <w:color w:val="333333"/>
      <w:sz w:val="28"/>
      <w:szCs w:val="28"/>
    </w:rPr>
  </w:style>
  <w:style w:type="character" w:customStyle="1" w:styleId="Nagwek2Znak">
    <w:name w:val="Nagłówek 2 Znak"/>
    <w:link w:val="Nagwek2"/>
    <w:uiPriority w:val="99"/>
    <w:semiHidden/>
    <w:locked/>
    <w:rsid w:val="00000067"/>
    <w:rPr>
      <w:rFonts w:ascii="Times New Roman" w:eastAsia="MS Gothic" w:hAnsi="Times New Roman" w:cs="Times New Roman"/>
      <w:b/>
      <w:bCs/>
      <w:color w:val="4D4D4D"/>
      <w:sz w:val="26"/>
      <w:szCs w:val="26"/>
    </w:rPr>
  </w:style>
  <w:style w:type="character" w:customStyle="1" w:styleId="Nagwek3Znak">
    <w:name w:val="Nagłówek 3 Znak"/>
    <w:link w:val="Nagwek3"/>
    <w:uiPriority w:val="99"/>
    <w:semiHidden/>
    <w:locked/>
    <w:rsid w:val="00000067"/>
    <w:rPr>
      <w:rFonts w:ascii="Times New Roman" w:eastAsia="MS Gothic" w:hAnsi="Times New Roman" w:cs="Times New Roman"/>
      <w:b/>
      <w:bCs/>
      <w:color w:val="5F5F5F"/>
      <w:sz w:val="24"/>
      <w:szCs w:val="24"/>
    </w:rPr>
  </w:style>
  <w:style w:type="character" w:customStyle="1" w:styleId="Nagwek4Znak">
    <w:name w:val="Nagłówek 4 Znak"/>
    <w:link w:val="Nagwek4"/>
    <w:uiPriority w:val="99"/>
    <w:semiHidden/>
    <w:locked/>
    <w:rsid w:val="00000067"/>
    <w:rPr>
      <w:rFonts w:ascii="Times New Roman" w:eastAsia="MS Gothic" w:hAnsi="Times New Roman" w:cs="Times New Roman"/>
      <w:b/>
      <w:bCs/>
      <w:i/>
      <w:iCs/>
      <w:color w:val="777777"/>
      <w:sz w:val="24"/>
      <w:szCs w:val="24"/>
    </w:rPr>
  </w:style>
  <w:style w:type="character" w:customStyle="1" w:styleId="Nagwek5Znak">
    <w:name w:val="Nagłówek 5 Znak"/>
    <w:link w:val="Nagwek5"/>
    <w:uiPriority w:val="99"/>
    <w:semiHidden/>
    <w:locked/>
    <w:rsid w:val="00162CF6"/>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000067"/>
    <w:rPr>
      <w:rFonts w:ascii="Times New Roman" w:eastAsia="MS Gothic" w:hAnsi="Times New Roman" w:cs="Times New Roman"/>
      <w:b/>
      <w:bCs/>
      <w:i/>
      <w:iCs/>
      <w:color w:val="7F7F7F"/>
      <w:sz w:val="24"/>
      <w:szCs w:val="24"/>
    </w:rPr>
  </w:style>
  <w:style w:type="character" w:customStyle="1" w:styleId="Nagwek7Znak">
    <w:name w:val="Nagłówek 7 Znak"/>
    <w:link w:val="Nagwek7"/>
    <w:uiPriority w:val="99"/>
    <w:semiHidden/>
    <w:locked/>
    <w:rsid w:val="00162CF6"/>
    <w:rPr>
      <w:rFonts w:ascii="Times New Roman" w:eastAsia="MS Gothic" w:hAnsi="Times New Roman" w:cs="Times New Roman"/>
      <w:i/>
      <w:iCs/>
    </w:rPr>
  </w:style>
  <w:style w:type="character" w:customStyle="1" w:styleId="Nagwek8Znak">
    <w:name w:val="Nagłówek 8 Znak"/>
    <w:link w:val="Nagwek8"/>
    <w:uiPriority w:val="99"/>
    <w:semiHidden/>
    <w:locked/>
    <w:rsid w:val="00162CF6"/>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162CF6"/>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link w:val="Tekstdymka"/>
    <w:uiPriority w:val="99"/>
    <w:semiHidden/>
    <w:locked/>
    <w:rsid w:val="00000067"/>
    <w:rPr>
      <w:rFonts w:ascii="Tahoma" w:eastAsia="MS Mincho" w:hAnsi="Tahoma" w:cs="Tahoma"/>
      <w:sz w:val="16"/>
      <w:szCs w:val="16"/>
    </w:rPr>
  </w:style>
  <w:style w:type="character" w:styleId="Tytuksiki">
    <w:name w:val="Book Title"/>
    <w:uiPriority w:val="99"/>
    <w:qFormat/>
    <w:rsid w:val="00162CF6"/>
    <w:rPr>
      <w:rFonts w:cs="Times New Roman"/>
      <w:i/>
      <w:iCs/>
      <w:smallCaps/>
      <w:spacing w:val="5"/>
    </w:rPr>
  </w:style>
  <w:style w:type="paragraph" w:customStyle="1" w:styleId="ECHRHeader">
    <w:name w:val="ECHR_Header"/>
    <w:aliases w:val="Ju_Header"/>
    <w:basedOn w:val="Nagwek"/>
    <w:uiPriority w:val="99"/>
    <w:rsid w:val="00162CF6"/>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000067"/>
    <w:pPr>
      <w:jc w:val="left"/>
    </w:pPr>
    <w:rPr>
      <w:sz w:val="8"/>
      <w:szCs w:val="8"/>
    </w:rPr>
  </w:style>
  <w:style w:type="character" w:styleId="Pogrubienie">
    <w:name w:val="Strong"/>
    <w:uiPriority w:val="99"/>
    <w:qFormat/>
    <w:rsid w:val="00162CF6"/>
    <w:rPr>
      <w:rFonts w:cs="Times New Roman"/>
      <w:b/>
      <w:bCs/>
    </w:rPr>
  </w:style>
  <w:style w:type="paragraph" w:styleId="Bezodstpw">
    <w:name w:val="No Spacing"/>
    <w:basedOn w:val="Normalny"/>
    <w:link w:val="BezodstpwZnak"/>
    <w:uiPriority w:val="99"/>
    <w:qFormat/>
    <w:rsid w:val="00162CF6"/>
    <w:rPr>
      <w:sz w:val="22"/>
      <w:szCs w:val="22"/>
    </w:rPr>
  </w:style>
  <w:style w:type="character" w:customStyle="1" w:styleId="BezodstpwZnak">
    <w:name w:val="Bez odstępów Znak"/>
    <w:link w:val="Bezodstpw"/>
    <w:uiPriority w:val="99"/>
    <w:semiHidden/>
    <w:locked/>
    <w:rsid w:val="00162CF6"/>
    <w:rPr>
      <w:rFonts w:eastAsia="MS Mincho" w:cs="Times New Roman"/>
    </w:rPr>
  </w:style>
  <w:style w:type="paragraph" w:customStyle="1" w:styleId="ECHRFooterLine">
    <w:name w:val="ECHR_Footer_Line"/>
    <w:aliases w:val="Footer_Line"/>
    <w:basedOn w:val="Normalny"/>
    <w:next w:val="ECHRFooter"/>
    <w:uiPriority w:val="99"/>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semiHidden/>
    <w:rsid w:val="00162CF6"/>
    <w:pPr>
      <w:numPr>
        <w:numId w:val="4"/>
      </w:numPr>
      <w:tabs>
        <w:tab w:val="clear" w:pos="1209"/>
        <w:tab w:val="num" w:pos="720"/>
      </w:tabs>
      <w:ind w:left="720"/>
      <w:jc w:val="left"/>
    </w:pPr>
    <w:rPr>
      <w:b/>
      <w:bCs/>
    </w:rPr>
  </w:style>
  <w:style w:type="paragraph" w:customStyle="1" w:styleId="OpiPara">
    <w:name w:val="Opi_Para"/>
    <w:basedOn w:val="ECHRPara"/>
    <w:uiPriority w:val="99"/>
    <w:rsid w:val="00162CF6"/>
  </w:style>
  <w:style w:type="paragraph" w:customStyle="1" w:styleId="JuParaSub">
    <w:name w:val="Ju_Para_Sub"/>
    <w:basedOn w:val="ECHRPara"/>
    <w:uiPriority w:val="99"/>
    <w:rsid w:val="00162CF6"/>
    <w:pPr>
      <w:ind w:left="284"/>
    </w:pPr>
  </w:style>
  <w:style w:type="paragraph" w:customStyle="1" w:styleId="ECHRTitleCentre3">
    <w:name w:val="ECHR_Title_Centre_3"/>
    <w:aliases w:val="Ju_H_Article,Title_C_3"/>
    <w:basedOn w:val="Normalny"/>
    <w:next w:val="ECHRParaQuote"/>
    <w:uiPriority w:val="99"/>
    <w:rsid w:val="00162CF6"/>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162CF6"/>
    <w:pPr>
      <w:keepNext/>
      <w:keepLines/>
      <w:spacing w:after="240"/>
      <w:jc w:val="center"/>
      <w:outlineLvl w:val="0"/>
    </w:pPr>
    <w:rPr>
      <w:sz w:val="28"/>
      <w:szCs w:val="28"/>
    </w:rPr>
  </w:style>
  <w:style w:type="paragraph" w:customStyle="1" w:styleId="OpiParaSub">
    <w:name w:val="Opi_Para_Sub"/>
    <w:basedOn w:val="JuParaSub"/>
    <w:uiPriority w:val="99"/>
    <w:rsid w:val="00162CF6"/>
  </w:style>
  <w:style w:type="paragraph" w:customStyle="1" w:styleId="OpiQuot">
    <w:name w:val="Opi_Quot"/>
    <w:basedOn w:val="ECHRParaQuote"/>
    <w:uiPriority w:val="99"/>
    <w:rsid w:val="00162CF6"/>
  </w:style>
  <w:style w:type="paragraph" w:customStyle="1" w:styleId="OpiQuotSub">
    <w:name w:val="Opi_Quot_Sub"/>
    <w:basedOn w:val="JuQuotSub"/>
    <w:uiPriority w:val="99"/>
    <w:rsid w:val="00162CF6"/>
  </w:style>
  <w:style w:type="paragraph" w:customStyle="1" w:styleId="ECHRTitleCentre2">
    <w:name w:val="ECHR_Title_Centre_2"/>
    <w:aliases w:val="Dec_H_Case"/>
    <w:basedOn w:val="Normalny"/>
    <w:next w:val="ECHRPara"/>
    <w:uiPriority w:val="99"/>
    <w:rsid w:val="00162CF6"/>
    <w:pPr>
      <w:spacing w:after="240"/>
      <w:jc w:val="center"/>
      <w:outlineLvl w:val="0"/>
    </w:pPr>
  </w:style>
  <w:style w:type="paragraph" w:customStyle="1" w:styleId="JuTitle">
    <w:name w:val="Ju_Title"/>
    <w:basedOn w:val="Normalny"/>
    <w:next w:val="ECHRPara"/>
    <w:uiPriority w:val="99"/>
    <w:semiHidden/>
    <w:rsid w:val="00162CF6"/>
    <w:pPr>
      <w:spacing w:before="720" w:after="240"/>
      <w:jc w:val="center"/>
      <w:outlineLvl w:val="0"/>
    </w:pPr>
    <w:rPr>
      <w:b/>
      <w:bCs/>
      <w:caps/>
    </w:rPr>
  </w:style>
  <w:style w:type="paragraph" w:styleId="Tytu">
    <w:name w:val="Title"/>
    <w:basedOn w:val="Normalny"/>
    <w:next w:val="Normalny"/>
    <w:link w:val="TytuZnak"/>
    <w:uiPriority w:val="99"/>
    <w:qFormat/>
    <w:rsid w:val="00162CF6"/>
    <w:pPr>
      <w:pBdr>
        <w:bottom w:val="single" w:sz="4" w:space="1" w:color="auto"/>
      </w:pBdr>
    </w:pPr>
    <w:rPr>
      <w:rFonts w:eastAsia="MS Gothic"/>
      <w:spacing w:val="5"/>
      <w:sz w:val="52"/>
      <w:szCs w:val="52"/>
    </w:rPr>
  </w:style>
  <w:style w:type="character" w:customStyle="1" w:styleId="TytuZnak">
    <w:name w:val="Tytuł Znak"/>
    <w:link w:val="Tytu"/>
    <w:uiPriority w:val="99"/>
    <w:semiHidden/>
    <w:locked/>
    <w:rsid w:val="00162CF6"/>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162CF6"/>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Head_4"/>
    <w:basedOn w:val="Nagwek4"/>
    <w:next w:val="ECHRPara"/>
    <w:uiPriority w:val="99"/>
    <w:rsid w:val="00162CF6"/>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162CF6"/>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162CF6"/>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162CF6"/>
    <w:pPr>
      <w:keepNext/>
      <w:keepLines/>
      <w:spacing w:before="240" w:after="120"/>
      <w:ind w:left="1236"/>
    </w:pPr>
    <w:rPr>
      <w:sz w:val="20"/>
      <w:szCs w:val="20"/>
    </w:rPr>
  </w:style>
  <w:style w:type="paragraph" w:customStyle="1" w:styleId="JuQuotSub">
    <w:name w:val="Ju_Quot_Sub"/>
    <w:basedOn w:val="ECHRParaQuote"/>
    <w:uiPriority w:val="99"/>
    <w:rsid w:val="00162CF6"/>
    <w:pPr>
      <w:ind w:left="567"/>
    </w:pPr>
  </w:style>
  <w:style w:type="paragraph" w:customStyle="1" w:styleId="JuInitialled">
    <w:name w:val="Ju_Initialled"/>
    <w:basedOn w:val="Normalny"/>
    <w:uiPriority w:val="99"/>
    <w:rsid w:val="00162CF6"/>
    <w:pPr>
      <w:tabs>
        <w:tab w:val="center" w:pos="6407"/>
      </w:tabs>
      <w:spacing w:before="720"/>
      <w:jc w:val="right"/>
    </w:pPr>
  </w:style>
  <w:style w:type="paragraph" w:customStyle="1" w:styleId="OpiHA">
    <w:name w:val="Opi_H_A"/>
    <w:basedOn w:val="ECHRHeading1"/>
    <w:next w:val="OpiPara"/>
    <w:uiPriority w:val="99"/>
    <w:rsid w:val="00162CF6"/>
    <w:pPr>
      <w:tabs>
        <w:tab w:val="clear" w:pos="357"/>
      </w:tabs>
      <w:outlineLvl w:val="1"/>
    </w:pPr>
    <w:rPr>
      <w:b/>
      <w:bCs/>
    </w:rPr>
  </w:style>
  <w:style w:type="paragraph" w:styleId="Nagwek">
    <w:name w:val="header"/>
    <w:basedOn w:val="Normalny"/>
    <w:link w:val="NagwekZnak"/>
    <w:uiPriority w:val="99"/>
    <w:rsid w:val="00000067"/>
    <w:pPr>
      <w:tabs>
        <w:tab w:val="center" w:pos="4536"/>
        <w:tab w:val="right" w:pos="9072"/>
      </w:tabs>
    </w:pPr>
    <w:rPr>
      <w:rFonts w:eastAsia="Times New Roman"/>
    </w:rPr>
  </w:style>
  <w:style w:type="character" w:customStyle="1" w:styleId="NagwekZnak">
    <w:name w:val="Nagłówek Znak"/>
    <w:link w:val="Nagwek"/>
    <w:uiPriority w:val="99"/>
    <w:locked/>
    <w:rsid w:val="00000067"/>
    <w:rPr>
      <w:rFonts w:cs="Times New Roman"/>
      <w:sz w:val="24"/>
      <w:szCs w:val="24"/>
    </w:rPr>
  </w:style>
  <w:style w:type="paragraph" w:customStyle="1" w:styleId="ECHRHeading1">
    <w:name w:val="ECHR_Heading_1"/>
    <w:aliases w:val="Ju_H_I_Roman"/>
    <w:basedOn w:val="Nagwek1"/>
    <w:next w:val="ECHRPara"/>
    <w:link w:val="JuHIRomanChar"/>
    <w:uiPriority w:val="99"/>
    <w:rsid w:val="00162CF6"/>
    <w:pPr>
      <w:keepNext/>
      <w:keepLines/>
      <w:tabs>
        <w:tab w:val="left" w:pos="357"/>
      </w:tabs>
      <w:spacing w:before="360" w:after="240"/>
      <w:ind w:left="357" w:hanging="357"/>
    </w:pPr>
    <w:rPr>
      <w:b w:val="0"/>
      <w:bCs w:val="0"/>
      <w:color w:val="auto"/>
      <w:lang w:eastAsia="pl-PL"/>
    </w:rPr>
  </w:style>
  <w:style w:type="paragraph" w:customStyle="1" w:styleId="ECHRHeading2">
    <w:name w:val="ECHR_Heading_2"/>
    <w:aliases w:val="Ju_H_A,Head_2"/>
    <w:basedOn w:val="Nagwek2"/>
    <w:next w:val="ECHRPara"/>
    <w:uiPriority w:val="99"/>
    <w:rsid w:val="00162CF6"/>
    <w:pPr>
      <w:keepNext/>
      <w:keepLines/>
      <w:tabs>
        <w:tab w:val="left" w:pos="584"/>
      </w:tabs>
      <w:spacing w:before="360" w:after="240"/>
      <w:ind w:left="584" w:hanging="352"/>
    </w:pPr>
    <w:rPr>
      <w:color w:val="auto"/>
      <w:sz w:val="24"/>
      <w:szCs w:val="24"/>
    </w:rPr>
  </w:style>
  <w:style w:type="character" w:customStyle="1" w:styleId="JUNAMES">
    <w:name w:val="JU_NAMES"/>
    <w:uiPriority w:val="99"/>
    <w:rsid w:val="00162CF6"/>
    <w:rPr>
      <w:smallCaps/>
    </w:rPr>
  </w:style>
  <w:style w:type="paragraph" w:customStyle="1" w:styleId="JuCase">
    <w:name w:val="Ju_Case"/>
    <w:basedOn w:val="Normalny"/>
    <w:next w:val="ECHRPara"/>
    <w:uiPriority w:val="99"/>
    <w:rsid w:val="00000067"/>
    <w:pPr>
      <w:ind w:firstLine="284"/>
    </w:pPr>
    <w:rPr>
      <w:b/>
      <w:bCs/>
    </w:rPr>
  </w:style>
  <w:style w:type="character" w:styleId="Wyrnieniedelikatne">
    <w:name w:val="Subtle Emphasis"/>
    <w:uiPriority w:val="99"/>
    <w:qFormat/>
    <w:rsid w:val="00162CF6"/>
    <w:rPr>
      <w:rFonts w:cs="Times New Roman"/>
      <w:i/>
      <w:iCs/>
    </w:rPr>
  </w:style>
  <w:style w:type="table" w:customStyle="1" w:styleId="ECHRTable">
    <w:name w:val="ECHR_Table"/>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162CF6"/>
    <w:pPr>
      <w:keepNext/>
      <w:keepLines/>
      <w:spacing w:before="720" w:after="240"/>
      <w:outlineLvl w:val="0"/>
    </w:pPr>
    <w:rPr>
      <w:sz w:val="28"/>
      <w:szCs w:val="28"/>
    </w:rPr>
  </w:style>
  <w:style w:type="character" w:styleId="Uwydatnienie">
    <w:name w:val="Emphasis"/>
    <w:uiPriority w:val="99"/>
    <w:qFormat/>
    <w:rsid w:val="00162CF6"/>
    <w:rPr>
      <w:rFonts w:cs="Times New Roman"/>
      <w:b/>
      <w:bCs/>
      <w:i/>
      <w:iCs/>
      <w:spacing w:val="10"/>
      <w:shd w:val="clear" w:color="auto" w:fill="auto"/>
    </w:rPr>
  </w:style>
  <w:style w:type="paragraph" w:styleId="Stopka">
    <w:name w:val="footer"/>
    <w:basedOn w:val="Normalny"/>
    <w:link w:val="StopkaZnak"/>
    <w:uiPriority w:val="99"/>
    <w:semiHidden/>
    <w:rsid w:val="00000067"/>
    <w:pPr>
      <w:tabs>
        <w:tab w:val="center" w:pos="4536"/>
        <w:tab w:val="right" w:pos="9696"/>
      </w:tabs>
      <w:ind w:left="-680" w:right="-680"/>
    </w:pPr>
    <w:rPr>
      <w:rFonts w:eastAsia="Times New Roman"/>
    </w:rPr>
  </w:style>
  <w:style w:type="character" w:customStyle="1" w:styleId="StopkaZnak">
    <w:name w:val="Stopka Znak"/>
    <w:link w:val="Stopka"/>
    <w:uiPriority w:val="99"/>
    <w:semiHidden/>
    <w:locked/>
    <w:rsid w:val="00000067"/>
    <w:rPr>
      <w:rFonts w:cs="Times New Roman"/>
      <w:sz w:val="24"/>
      <w:szCs w:val="24"/>
    </w:rPr>
  </w:style>
  <w:style w:type="character" w:styleId="Odwoanieprzypisudolnego">
    <w:name w:val="footnote reference"/>
    <w:aliases w:val="a Footnote Reference,FZ,Texto de nota al pie,Appel note de bas de page,Footnotes refss,Footnote number,referencia nota al pie,BVI fnr,f,4_G,16 Point,Superscript 6 Point,Texto nota al pie,Footnote Reference Char3"/>
    <w:uiPriority w:val="99"/>
    <w:semiHidden/>
    <w:rsid w:val="00000067"/>
    <w:rPr>
      <w:rFonts w:cs="Times New Roman"/>
      <w:vertAlign w:val="superscript"/>
    </w:rPr>
  </w:style>
  <w:style w:type="paragraph" w:styleId="Tekstprzypisudolnego">
    <w:name w:val="footnote text"/>
    <w:aliases w:val="Footnote Text Char Char Char Char,FA,FA Fußnotentext,Note de bas de page Car Car,Odwołanie przypisu dolnego1,FA Fu,Footnote Text Char Char Char,Footnote Text Cha,FA Fuﬂnotentext,Texto nota pie Car,2. Footnote Text,Ca"/>
    <w:basedOn w:val="Normalny"/>
    <w:link w:val="TekstprzypisudolnegoZnak"/>
    <w:uiPriority w:val="99"/>
    <w:semiHidden/>
    <w:rsid w:val="00000067"/>
    <w:rPr>
      <w:sz w:val="20"/>
      <w:szCs w:val="20"/>
    </w:rPr>
  </w:style>
  <w:style w:type="character" w:customStyle="1" w:styleId="TekstprzypisudolnegoZnak">
    <w:name w:val="Tekst przypisu dolnego Znak"/>
    <w:aliases w:val="Footnote Text Char Char Char Char Znak,FA Znak,FA Fußnotentext Znak,Note de bas de page Car Car Znak,Odwołanie przypisu dolnego1 Znak,FA Fu Znak,Footnote Text Char Char Char Znak,Footnote Text Cha Znak,FA Fuﬂnotentext Znak"/>
    <w:link w:val="Tekstprzypisudolnego"/>
    <w:uiPriority w:val="99"/>
    <w:locked/>
    <w:rsid w:val="00000067"/>
    <w:rPr>
      <w:rFonts w:eastAsia="MS Mincho" w:cs="Times New Roman"/>
      <w:sz w:val="20"/>
      <w:szCs w:val="20"/>
    </w:rPr>
  </w:style>
  <w:style w:type="character" w:styleId="Hipercze">
    <w:name w:val="Hyperlink"/>
    <w:uiPriority w:val="99"/>
    <w:rsid w:val="00000067"/>
    <w:rPr>
      <w:rFonts w:cs="Times New Roman"/>
      <w:color w:val="0072BC"/>
      <w:u w:val="single"/>
    </w:rPr>
  </w:style>
  <w:style w:type="character" w:styleId="Wyrnienieintensywne">
    <w:name w:val="Intense Emphasis"/>
    <w:uiPriority w:val="99"/>
    <w:qFormat/>
    <w:rsid w:val="00162CF6"/>
    <w:rPr>
      <w:rFonts w:cs="Times New Roman"/>
      <w:b/>
      <w:bCs/>
    </w:rPr>
  </w:style>
  <w:style w:type="paragraph" w:styleId="Cytatintensywny">
    <w:name w:val="Intense Quote"/>
    <w:basedOn w:val="Normalny"/>
    <w:next w:val="Normalny"/>
    <w:link w:val="CytatintensywnyZnak"/>
    <w:uiPriority w:val="99"/>
    <w:qFormat/>
    <w:rsid w:val="00162CF6"/>
    <w:pPr>
      <w:pBdr>
        <w:bottom w:val="single" w:sz="4" w:space="1" w:color="auto"/>
      </w:pBdr>
      <w:spacing w:before="200" w:after="280"/>
      <w:ind w:left="1008" w:right="1152"/>
    </w:pPr>
    <w:rPr>
      <w:b/>
      <w:bCs/>
      <w:i/>
      <w:iCs/>
      <w:sz w:val="22"/>
      <w:szCs w:val="22"/>
    </w:rPr>
  </w:style>
  <w:style w:type="character" w:customStyle="1" w:styleId="CytatintensywnyZnak">
    <w:name w:val="Cytat intensywny Znak"/>
    <w:link w:val="Cytatintensywny"/>
    <w:uiPriority w:val="99"/>
    <w:semiHidden/>
    <w:locked/>
    <w:rsid w:val="00162CF6"/>
    <w:rPr>
      <w:rFonts w:eastAsia="MS Mincho" w:cs="Times New Roman"/>
      <w:b/>
      <w:bCs/>
      <w:i/>
      <w:iCs/>
    </w:rPr>
  </w:style>
  <w:style w:type="character" w:styleId="Odwoanieintensywne">
    <w:name w:val="Intense Reference"/>
    <w:uiPriority w:val="99"/>
    <w:qFormat/>
    <w:rsid w:val="00162CF6"/>
    <w:rPr>
      <w:rFonts w:cs="Times New Roman"/>
      <w:smallCaps/>
      <w:spacing w:val="5"/>
      <w:u w:val="single"/>
    </w:rPr>
  </w:style>
  <w:style w:type="paragraph" w:styleId="Akapitzlist">
    <w:name w:val="List Paragraph"/>
    <w:basedOn w:val="Normalny"/>
    <w:uiPriority w:val="99"/>
    <w:qFormat/>
    <w:rsid w:val="00162CF6"/>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162CF6"/>
    <w:pPr>
      <w:spacing w:before="200"/>
      <w:ind w:left="360" w:right="360"/>
    </w:pPr>
    <w:rPr>
      <w:i/>
      <w:iCs/>
      <w:sz w:val="22"/>
      <w:szCs w:val="22"/>
    </w:rPr>
  </w:style>
  <w:style w:type="character" w:customStyle="1" w:styleId="CytatZnak">
    <w:name w:val="Cytat Znak"/>
    <w:link w:val="Cytat"/>
    <w:uiPriority w:val="99"/>
    <w:semiHidden/>
    <w:locked/>
    <w:rsid w:val="00162CF6"/>
    <w:rPr>
      <w:rFonts w:eastAsia="MS Mincho" w:cs="Times New Roman"/>
      <w:i/>
      <w:iCs/>
    </w:rPr>
  </w:style>
  <w:style w:type="character" w:styleId="Odwoaniedelikatne">
    <w:name w:val="Subtle Reference"/>
    <w:uiPriority w:val="99"/>
    <w:qFormat/>
    <w:rsid w:val="00162CF6"/>
    <w:rPr>
      <w:rFonts w:cs="Times New Roman"/>
      <w:smallCaps/>
    </w:rPr>
  </w:style>
  <w:style w:type="table" w:styleId="Tabela-Siatka">
    <w:name w:val="Table Grid"/>
    <w:basedOn w:val="Standardowy"/>
    <w:uiPriority w:val="99"/>
    <w:rsid w:val="00000067"/>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162CF6"/>
    <w:pPr>
      <w:keepNext/>
      <w:keepLines/>
      <w:spacing w:before="240"/>
      <w:jc w:val="center"/>
    </w:pPr>
    <w:rPr>
      <w:rFonts w:eastAsia="Times New Roman"/>
      <w:b/>
      <w:bCs/>
      <w:color w:val="474747"/>
      <w:sz w:val="28"/>
      <w:szCs w:val="28"/>
    </w:rPr>
  </w:style>
  <w:style w:type="table" w:customStyle="1" w:styleId="UGTable">
    <w:name w:val="UG_Table"/>
    <w:uiPriority w:val="99"/>
    <w:rsid w:val="00801300"/>
    <w:rPr>
      <w:rFonts w:eastAsia="MS Mincho"/>
      <w:lang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000067"/>
    <w:pPr>
      <w:keepNext/>
      <w:keepLines/>
      <w:spacing w:before="240"/>
      <w:jc w:val="center"/>
    </w:pPr>
    <w:rPr>
      <w:rFonts w:eastAsia="MS Gothic"/>
      <w:b/>
      <w:bCs/>
      <w:color w:val="474747"/>
      <w:sz w:val="28"/>
      <w:szCs w:val="28"/>
    </w:rPr>
  </w:style>
  <w:style w:type="paragraph" w:customStyle="1" w:styleId="ECHRParaQuote">
    <w:name w:val="ECHR_Para_Quote"/>
    <w:aliases w:val="Ju_Quot,Para_Quote"/>
    <w:basedOn w:val="Normalny"/>
    <w:link w:val="JuQuotChar"/>
    <w:uiPriority w:val="99"/>
    <w:rsid w:val="00162CF6"/>
    <w:pPr>
      <w:spacing w:before="120" w:after="120"/>
      <w:ind w:left="425" w:firstLine="142"/>
    </w:pPr>
    <w:rPr>
      <w:sz w:val="20"/>
      <w:szCs w:val="20"/>
    </w:rPr>
  </w:style>
  <w:style w:type="paragraph" w:customStyle="1" w:styleId="ECHRPara">
    <w:name w:val="ECHR_Para"/>
    <w:aliases w:val="Ju_Para,Para,Left,First line:  0 cm,N_Para"/>
    <w:basedOn w:val="Normalny"/>
    <w:link w:val="ECHRParaChar"/>
    <w:uiPriority w:val="99"/>
    <w:rsid w:val="00162CF6"/>
    <w:pPr>
      <w:ind w:firstLine="284"/>
    </w:p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000067"/>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link w:val="JuJudgesChar"/>
    <w:uiPriority w:val="99"/>
    <w:rsid w:val="00162CF6"/>
    <w:pPr>
      <w:tabs>
        <w:tab w:val="left" w:pos="567"/>
        <w:tab w:val="left" w:pos="1134"/>
      </w:tabs>
      <w:jc w:val="left"/>
    </w:pPr>
    <w:rPr>
      <w:lang w:eastAsia="pl-PL"/>
    </w:r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List">
    <w:name w:val="Ju_List"/>
    <w:basedOn w:val="Normalny"/>
    <w:uiPriority w:val="99"/>
    <w:rsid w:val="00162CF6"/>
    <w:pPr>
      <w:ind w:left="340" w:hanging="340"/>
    </w:pPr>
  </w:style>
  <w:style w:type="paragraph" w:customStyle="1" w:styleId="JuSigned">
    <w:name w:val="Ju_Signed"/>
    <w:basedOn w:val="Normalny"/>
    <w:next w:val="JuParaLast"/>
    <w:uiPriority w:val="99"/>
    <w:rsid w:val="00162CF6"/>
    <w:pPr>
      <w:tabs>
        <w:tab w:val="center" w:pos="851"/>
        <w:tab w:val="center" w:pos="6407"/>
      </w:tabs>
      <w:spacing w:before="720"/>
      <w:jc w:val="left"/>
    </w:pPr>
  </w:style>
  <w:style w:type="paragraph" w:customStyle="1" w:styleId="JuParaLast">
    <w:name w:val="Ju_Para_Last"/>
    <w:basedOn w:val="Normalny"/>
    <w:next w:val="ECHRPara"/>
    <w:uiPriority w:val="99"/>
    <w:rsid w:val="00162CF6"/>
    <w:pPr>
      <w:keepNext/>
      <w:keepLines/>
      <w:spacing w:before="240"/>
      <w:ind w:firstLine="284"/>
    </w:pPr>
  </w:style>
  <w:style w:type="paragraph" w:customStyle="1" w:styleId="JuCourt">
    <w:name w:val="Ju_Court"/>
    <w:basedOn w:val="Normalny"/>
    <w:next w:val="Normalny"/>
    <w:uiPriority w:val="99"/>
    <w:rsid w:val="00162CF6"/>
    <w:pPr>
      <w:tabs>
        <w:tab w:val="left" w:pos="907"/>
        <w:tab w:val="left" w:pos="1701"/>
        <w:tab w:val="right" w:pos="7371"/>
      </w:tabs>
      <w:spacing w:before="240"/>
      <w:ind w:left="397" w:hanging="397"/>
      <w:jc w:val="left"/>
    </w:pPr>
  </w:style>
  <w:style w:type="character" w:styleId="Numerstrony">
    <w:name w:val="page number"/>
    <w:uiPriority w:val="99"/>
    <w:semiHidden/>
    <w:rsid w:val="00014566"/>
    <w:rPr>
      <w:rFonts w:cs="Times New Roman"/>
      <w:sz w:val="18"/>
      <w:szCs w:val="18"/>
    </w:rPr>
  </w:style>
  <w:style w:type="paragraph" w:customStyle="1" w:styleId="OpiTranslation">
    <w:name w:val="Opi_Translation"/>
    <w:basedOn w:val="Normalny"/>
    <w:next w:val="OpiPara"/>
    <w:uiPriority w:val="99"/>
    <w:rsid w:val="00162CF6"/>
    <w:pPr>
      <w:jc w:val="center"/>
      <w:outlineLvl w:val="0"/>
    </w:pPr>
    <w:rPr>
      <w:i/>
      <w:iCs/>
    </w:rPr>
  </w:style>
  <w:style w:type="paragraph" w:customStyle="1" w:styleId="DecHTitle">
    <w:name w:val="Dec_H_Title"/>
    <w:basedOn w:val="ECHRTitleCentre1"/>
    <w:uiPriority w:val="99"/>
    <w:semiHidden/>
    <w:rsid w:val="00162CF6"/>
  </w:style>
  <w:style w:type="character" w:styleId="Odwoaniedokomentarza">
    <w:name w:val="annotation reference"/>
    <w:uiPriority w:val="99"/>
    <w:semiHidden/>
    <w:rsid w:val="00014566"/>
    <w:rPr>
      <w:rFonts w:cs="Times New Roman"/>
      <w:sz w:val="16"/>
      <w:szCs w:val="16"/>
    </w:rPr>
  </w:style>
  <w:style w:type="paragraph" w:styleId="Tekstkomentarza">
    <w:name w:val="annotation text"/>
    <w:basedOn w:val="Normalny"/>
    <w:link w:val="TekstkomentarzaZnak"/>
    <w:uiPriority w:val="99"/>
    <w:semiHidden/>
    <w:rsid w:val="00014566"/>
    <w:rPr>
      <w:sz w:val="20"/>
      <w:szCs w:val="20"/>
    </w:rPr>
  </w:style>
  <w:style w:type="character" w:customStyle="1" w:styleId="TekstkomentarzaZnak">
    <w:name w:val="Tekst komentarza Znak"/>
    <w:link w:val="Tekstkomentarza"/>
    <w:uiPriority w:val="99"/>
    <w:semiHidden/>
    <w:locked/>
    <w:rsid w:val="00014566"/>
    <w:rPr>
      <w:rFonts w:eastAsia="MS Mincho" w:cs="Times New Roman"/>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locked/>
    <w:rsid w:val="00014566"/>
    <w:rPr>
      <w:rFonts w:eastAsia="MS Mincho" w:cs="Times New Roman"/>
      <w:b/>
      <w:bCs/>
      <w:sz w:val="20"/>
      <w:szCs w:val="20"/>
    </w:rPr>
  </w:style>
  <w:style w:type="character" w:styleId="Odwoanieprzypisukocowego">
    <w:name w:val="endnote reference"/>
    <w:uiPriority w:val="99"/>
    <w:semiHidden/>
    <w:rsid w:val="00014566"/>
    <w:rPr>
      <w:rFonts w:cs="Times New Roman"/>
      <w:vertAlign w:val="superscript"/>
    </w:rPr>
  </w:style>
  <w:style w:type="paragraph" w:styleId="Tekstprzypisukocowego">
    <w:name w:val="endnote text"/>
    <w:basedOn w:val="Normalny"/>
    <w:link w:val="TekstprzypisukocowegoZnak"/>
    <w:uiPriority w:val="99"/>
    <w:semiHidden/>
    <w:rsid w:val="00014566"/>
    <w:rPr>
      <w:sz w:val="20"/>
      <w:szCs w:val="20"/>
    </w:rPr>
  </w:style>
  <w:style w:type="character" w:customStyle="1" w:styleId="TekstprzypisukocowegoZnak">
    <w:name w:val="Tekst przypisu końcowego Znak"/>
    <w:link w:val="Tekstprzypisukocowego"/>
    <w:uiPriority w:val="99"/>
    <w:semiHidden/>
    <w:locked/>
    <w:rsid w:val="00014566"/>
    <w:rPr>
      <w:rFonts w:eastAsia="MS Mincho" w:cs="Times New Roman"/>
      <w:sz w:val="20"/>
      <w:szCs w:val="20"/>
    </w:rPr>
  </w:style>
  <w:style w:type="character" w:styleId="UyteHipercze">
    <w:name w:val="FollowedHyperlink"/>
    <w:uiPriority w:val="99"/>
    <w:semiHidden/>
    <w:rsid w:val="00014566"/>
    <w:rPr>
      <w:rFonts w:cs="Times New Roman"/>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014566"/>
    <w:rPr>
      <w:rFonts w:ascii="Tahoma" w:eastAsia="MS Mincho" w:hAnsi="Tahoma" w:cs="Tahoma"/>
      <w:sz w:val="20"/>
      <w:szCs w:val="20"/>
      <w:shd w:val="clear" w:color="auto" w:fill="000080"/>
    </w:rPr>
  </w:style>
  <w:style w:type="paragraph" w:customStyle="1" w:styleId="DecList">
    <w:name w:val="Dec_List"/>
    <w:basedOn w:val="Normalny"/>
    <w:uiPriority w:val="99"/>
    <w:semiHidden/>
    <w:rsid w:val="00162CF6"/>
    <w:pPr>
      <w:spacing w:before="240"/>
      <w:ind w:left="284"/>
    </w:pPr>
  </w:style>
  <w:style w:type="paragraph" w:styleId="Listapunktowana">
    <w:name w:val="List Bullet"/>
    <w:basedOn w:val="Normalny"/>
    <w:uiPriority w:val="99"/>
    <w:semiHidden/>
    <w:rsid w:val="00014566"/>
    <w:pPr>
      <w:numPr>
        <w:numId w:val="40"/>
      </w:numPr>
    </w:pPr>
  </w:style>
  <w:style w:type="character" w:customStyle="1" w:styleId="JuITMark">
    <w:name w:val="Ju_ITMark"/>
    <w:uiPriority w:val="99"/>
    <w:rsid w:val="00162CF6"/>
    <w:rPr>
      <w:rFonts w:cs="Times New Roman"/>
      <w:color w:val="auto"/>
      <w:sz w:val="14"/>
      <w:szCs w:val="14"/>
      <w:shd w:val="clear" w:color="auto" w:fill="BEE5FF"/>
    </w:rPr>
  </w:style>
  <w:style w:type="paragraph" w:styleId="Podtytu">
    <w:name w:val="Subtitle"/>
    <w:basedOn w:val="Normalny"/>
    <w:next w:val="Normalny"/>
    <w:link w:val="PodtytuZnak"/>
    <w:uiPriority w:val="99"/>
    <w:qFormat/>
    <w:rsid w:val="00162CF6"/>
    <w:pPr>
      <w:spacing w:after="600"/>
    </w:pPr>
    <w:rPr>
      <w:rFonts w:eastAsia="MS Gothic"/>
      <w:i/>
      <w:iCs/>
      <w:spacing w:val="13"/>
    </w:rPr>
  </w:style>
  <w:style w:type="character" w:customStyle="1" w:styleId="PodtytuZnak">
    <w:name w:val="Podtytuł Znak"/>
    <w:link w:val="Podtytu"/>
    <w:uiPriority w:val="99"/>
    <w:semiHidden/>
    <w:locked/>
    <w:rsid w:val="00162CF6"/>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rsid w:val="00014566"/>
    <w:pPr>
      <w:spacing w:after="120"/>
    </w:pPr>
  </w:style>
  <w:style w:type="character" w:customStyle="1" w:styleId="TekstpodstawowyZnak">
    <w:name w:val="Tekst podstawowy Znak"/>
    <w:link w:val="Tekstpodstawowy"/>
    <w:uiPriority w:val="99"/>
    <w:locked/>
    <w:rsid w:val="00014566"/>
    <w:rPr>
      <w:rFonts w:eastAsia="MS Mincho" w:cs="Times New Roman"/>
      <w:sz w:val="24"/>
      <w:szCs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link w:val="Tekstpodstawowy2"/>
    <w:uiPriority w:val="99"/>
    <w:semiHidden/>
    <w:locked/>
    <w:rsid w:val="00014566"/>
    <w:rPr>
      <w:rFonts w:eastAsia="MS Mincho" w:cs="Times New Roman"/>
      <w:sz w:val="24"/>
      <w:szCs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link w:val="Tekstpodstawowy3"/>
    <w:uiPriority w:val="99"/>
    <w:semiHidden/>
    <w:locked/>
    <w:rsid w:val="00014566"/>
    <w:rPr>
      <w:rFonts w:eastAsia="MS Mincho" w:cs="Times New Roman"/>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link w:val="Tekstpodstawowyzwciciem"/>
    <w:uiPriority w:val="99"/>
    <w:semiHidden/>
    <w:locked/>
    <w:rsid w:val="00014566"/>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link w:val="Tekstpodstawowywcity"/>
    <w:uiPriority w:val="99"/>
    <w:semiHidden/>
    <w:locked/>
    <w:rsid w:val="00014566"/>
    <w:rPr>
      <w:rFonts w:eastAsia="MS Mincho" w:cs="Times New Roman"/>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link w:val="Tekstpodstawowyzwciciem2"/>
    <w:uiPriority w:val="99"/>
    <w:semiHidden/>
    <w:locked/>
    <w:rsid w:val="00014566"/>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link w:val="Tekstpodstawowywcity2"/>
    <w:uiPriority w:val="99"/>
    <w:semiHidden/>
    <w:locked/>
    <w:rsid w:val="00014566"/>
    <w:rPr>
      <w:rFonts w:eastAsia="MS Mincho" w:cs="Times New Roman"/>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014566"/>
    <w:rPr>
      <w:rFonts w:eastAsia="MS Mincho" w:cs="Times New Roman"/>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link w:val="Zwrotpoegnalny"/>
    <w:uiPriority w:val="99"/>
    <w:semiHidden/>
    <w:locked/>
    <w:rsid w:val="00014566"/>
    <w:rPr>
      <w:rFonts w:eastAsia="MS Mincho" w:cs="Times New Roman"/>
      <w:sz w:val="24"/>
      <w:szCs w:val="24"/>
    </w:rPr>
  </w:style>
  <w:style w:type="table" w:styleId="Kolorowasiatka">
    <w:name w:val="Colorful Grid"/>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014566"/>
    <w:rPr>
      <w:color w:val="000000"/>
      <w:lang w:eastAsia="fr-FR"/>
    </w:rPr>
    <w:tblPr>
      <w:tblStyleRowBandSize w:val="1"/>
      <w:tblStyleColBandSize w:val="1"/>
      <w:tblInd w:w="0" w:type="nil"/>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014566"/>
    <w:rPr>
      <w:color w:val="000000"/>
      <w:lang w:eastAsia="fr-FR"/>
    </w:rPr>
    <w:tblPr>
      <w:tblStyleRowBandSize w:val="1"/>
      <w:tblStyleColBandSize w:val="1"/>
      <w:tblInd w:w="0" w:type="nil"/>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014566"/>
    <w:rPr>
      <w:color w:val="000000"/>
      <w:lang w:eastAsia="fr-FR"/>
    </w:rPr>
    <w:tblPr>
      <w:tblStyleRowBandSize w:val="1"/>
      <w:tblStyleColBandSize w:val="1"/>
      <w:tblInd w:w="0" w:type="nil"/>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014566"/>
    <w:rPr>
      <w:color w:val="000000"/>
      <w:lang w:eastAsia="fr-FR"/>
    </w:rPr>
    <w:tblPr>
      <w:tblStyleRowBandSize w:val="1"/>
      <w:tblStyleColBandSize w:val="1"/>
      <w:tblInd w:w="0" w:type="nil"/>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014566"/>
    <w:rPr>
      <w:color w:val="000000"/>
      <w:lang w:eastAsia="fr-FR"/>
    </w:rPr>
    <w:tblPr>
      <w:tblStyleRowBandSize w:val="1"/>
      <w:tblStyleColBandSize w:val="1"/>
      <w:tblInd w:w="0" w:type="nil"/>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014566"/>
    <w:rPr>
      <w:color w:val="000000"/>
      <w:lang w:eastAsia="fr-FR"/>
    </w:rPr>
    <w:tblPr>
      <w:tblStyleRowBandSize w:val="1"/>
      <w:tblStyleColBandSize w:val="1"/>
      <w:tblInd w:w="0" w:type="nil"/>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014566"/>
    <w:rPr>
      <w:color w:val="000000"/>
      <w:lang w:eastAsia="fr-FR"/>
    </w:rPr>
    <w:tblPr>
      <w:tblStyleRowBandSize w:val="1"/>
      <w:tblStyleColBandSize w:val="1"/>
      <w:tblInd w:w="0" w:type="nil"/>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014566"/>
    <w:rPr>
      <w:color w:val="000000"/>
      <w:lang w:eastAsia="fr-FR"/>
    </w:rPr>
    <w:tblPr>
      <w:tblStyleRowBandSize w:val="1"/>
      <w:tblStyleColBandSize w:val="1"/>
      <w:tblInd w:w="0" w:type="nil"/>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014566"/>
    <w:rPr>
      <w:color w:val="000000"/>
      <w:lang w:eastAsia="fr-FR"/>
    </w:rPr>
    <w:tblPr>
      <w:tblStyleRowBandSize w:val="1"/>
      <w:tblStyleColBandSize w:val="1"/>
      <w:tblInd w:w="0" w:type="nil"/>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014566"/>
    <w:rPr>
      <w:color w:val="000000"/>
      <w:lang w:eastAsia="fr-FR"/>
    </w:rPr>
    <w:tblPr>
      <w:tblStyleRowBandSize w:val="1"/>
      <w:tblStyleColBandSize w:val="1"/>
      <w:tblInd w:w="0" w:type="nil"/>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014566"/>
    <w:rPr>
      <w:color w:val="000000"/>
      <w:lang w:eastAsia="fr-FR"/>
    </w:rPr>
    <w:tblPr>
      <w:tblStyleRowBandSize w:val="1"/>
      <w:tblStyleColBandSize w:val="1"/>
      <w:tblInd w:w="0" w:type="nil"/>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014566"/>
    <w:rPr>
      <w:color w:val="000000"/>
      <w:lang w:eastAsia="fr-FR"/>
    </w:rPr>
    <w:tblPr>
      <w:tblStyleRowBandSize w:val="1"/>
      <w:tblStyleColBandSize w:val="1"/>
      <w:tblInd w:w="0" w:type="nil"/>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014566"/>
    <w:rPr>
      <w:color w:val="000000"/>
      <w:lang w:eastAsia="fr-FR"/>
    </w:rPr>
    <w:tblPr>
      <w:tblStyleRowBandSize w:val="1"/>
      <w:tblStyleColBandSize w:val="1"/>
      <w:tblInd w:w="0" w:type="nil"/>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014566"/>
    <w:rPr>
      <w:color w:val="000000"/>
      <w:lang w:eastAsia="fr-FR"/>
    </w:rPr>
    <w:tblPr>
      <w:tblStyleRowBandSize w:val="1"/>
      <w:tblStyleColBandSize w:val="1"/>
      <w:tblInd w:w="0" w:type="nil"/>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sid w:val="00014566"/>
    <w:rPr>
      <w:color w:val="0072BC"/>
      <w:lang w:eastAsia="fr-FR"/>
    </w:rPr>
    <w:tblPr>
      <w:tblStyleRowBandSize w:val="1"/>
      <w:tblStyleColBandSize w:val="1"/>
      <w:tblInd w:w="0" w:type="nil"/>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eastAsia="fr-FR"/>
    </w:rPr>
    <w:tblPr>
      <w:tblStyleRowBandSize w:val="1"/>
      <w:tblStyleColBandSize w:val="1"/>
      <w:tblInd w:w="0" w:type="nil"/>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eastAsia="fr-FR"/>
    </w:rPr>
    <w:tblPr>
      <w:tblStyleRowBandSize w:val="1"/>
      <w:tblStyleColBandSize w:val="1"/>
      <w:tblInd w:w="0" w:type="nil"/>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eastAsia="fr-FR"/>
    </w:rPr>
    <w:tblPr>
      <w:tblStyleRowBandSize w:val="1"/>
      <w:tblStyleColBandSize w:val="1"/>
      <w:tblInd w:w="0" w:type="nil"/>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eastAsia="fr-FR"/>
    </w:rPr>
    <w:tblPr>
      <w:tblStyleRowBandSize w:val="1"/>
      <w:tblStyleColBandSize w:val="1"/>
      <w:tblInd w:w="0" w:type="nil"/>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eastAsia="fr-FR"/>
    </w:rPr>
    <w:tblPr>
      <w:tblStyleRowBandSize w:val="1"/>
      <w:tblStyleColBandSize w:val="1"/>
      <w:tblInd w:w="0" w:type="nil"/>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eastAsia="fr-FR"/>
    </w:rPr>
    <w:tblPr>
      <w:tblStyleRowBandSize w:val="1"/>
      <w:tblStyleColBandSize w:val="1"/>
      <w:tblInd w:w="0" w:type="nil"/>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character" w:customStyle="1" w:styleId="DataZnak">
    <w:name w:val="Data Znak"/>
    <w:link w:val="Data"/>
    <w:uiPriority w:val="99"/>
    <w:semiHidden/>
    <w:locked/>
    <w:rsid w:val="00014566"/>
    <w:rPr>
      <w:rFonts w:eastAsia="MS Mincho" w:cs="Times New Roman"/>
      <w:sz w:val="24"/>
      <w:szCs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link w:val="Podpise-mail"/>
    <w:uiPriority w:val="99"/>
    <w:semiHidden/>
    <w:locked/>
    <w:rsid w:val="00014566"/>
    <w:rPr>
      <w:rFonts w:eastAsia="MS Mincho" w:cs="Times New Roman"/>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uiPriority w:val="99"/>
    <w:semiHidden/>
    <w:rsid w:val="00014566"/>
    <w:rPr>
      <w:rFonts w:cs="Times New Roman"/>
    </w:rPr>
  </w:style>
  <w:style w:type="paragraph" w:styleId="HTML-adres">
    <w:name w:val="HTML Address"/>
    <w:basedOn w:val="Normalny"/>
    <w:link w:val="HTML-adresZnak"/>
    <w:uiPriority w:val="99"/>
    <w:semiHidden/>
    <w:rsid w:val="00014566"/>
    <w:rPr>
      <w:i/>
      <w:iCs/>
    </w:rPr>
  </w:style>
  <w:style w:type="character" w:customStyle="1" w:styleId="HTML-adresZnak">
    <w:name w:val="HTML - adres Znak"/>
    <w:link w:val="HTML-adres"/>
    <w:uiPriority w:val="99"/>
    <w:semiHidden/>
    <w:locked/>
    <w:rsid w:val="00014566"/>
    <w:rPr>
      <w:rFonts w:eastAsia="MS Mincho" w:cs="Times New Roman"/>
      <w:i/>
      <w:iCs/>
      <w:sz w:val="24"/>
      <w:szCs w:val="24"/>
    </w:rPr>
  </w:style>
  <w:style w:type="character" w:styleId="HTML-cytat">
    <w:name w:val="HTML Cite"/>
    <w:uiPriority w:val="99"/>
    <w:semiHidden/>
    <w:rsid w:val="00014566"/>
    <w:rPr>
      <w:rFonts w:cs="Times New Roman"/>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rFonts w:cs="Times New Roman"/>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014566"/>
    <w:rPr>
      <w:rFonts w:ascii="Consolas" w:eastAsia="MS Mincho"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rFonts w:cs="Times New Roman"/>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eastAsia="fr-FR"/>
    </w:rPr>
    <w:tblPr>
      <w:tblStyleRowBandSize w:val="1"/>
      <w:tblStyleColBandSize w:val="1"/>
      <w:tblInd w:w="0" w:type="nil"/>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eastAsia="fr-FR"/>
    </w:rPr>
    <w:tblPr>
      <w:tblStyleRowBandSize w:val="1"/>
      <w:tblStyleColBandSize w:val="1"/>
      <w:tblInd w:w="0" w:type="nil"/>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eastAsia="fr-FR"/>
    </w:rPr>
    <w:tblPr>
      <w:tblStyleRowBandSize w:val="1"/>
      <w:tblStyleColBandSize w:val="1"/>
      <w:tblInd w:w="0" w:type="nil"/>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eastAsia="fr-FR"/>
    </w:rPr>
    <w:tblPr>
      <w:tblStyleRowBandSize w:val="1"/>
      <w:tblStyleColBandSize w:val="1"/>
      <w:tblInd w:w="0" w:type="nil"/>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eastAsia="fr-FR"/>
    </w:rPr>
    <w:tblPr>
      <w:tblStyleRowBandSize w:val="1"/>
      <w:tblStyleColBandSize w:val="1"/>
      <w:tblInd w:w="0" w:type="nil"/>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eastAsia="fr-FR"/>
    </w:rPr>
    <w:tblPr>
      <w:tblStyleRowBandSize w:val="1"/>
      <w:tblStyleColBandSize w:val="1"/>
      <w:tblInd w:w="0" w:type="nil"/>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eastAsia="fr-FR"/>
    </w:rPr>
    <w:tblPr>
      <w:tblStyleRowBandSize w:val="1"/>
      <w:tblStyleColBandSize w:val="1"/>
      <w:tblInd w:w="0" w:type="nil"/>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uiPriority w:val="99"/>
    <w:semiHidden/>
    <w:rsid w:val="00014566"/>
    <w:rPr>
      <w:rFonts w:cs="Times New Roman"/>
    </w:rPr>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
      </w:numPr>
      <w:tabs>
        <w:tab w:val="clear" w:pos="360"/>
        <w:tab w:val="num" w:pos="643"/>
      </w:tabs>
      <w:ind w:left="643"/>
    </w:pPr>
  </w:style>
  <w:style w:type="paragraph" w:styleId="Listapunktowana3">
    <w:name w:val="List Bullet 3"/>
    <w:basedOn w:val="Normalny"/>
    <w:uiPriority w:val="99"/>
    <w:semiHidden/>
    <w:rsid w:val="00014566"/>
    <w:pPr>
      <w:numPr>
        <w:numId w:val="2"/>
      </w:numPr>
      <w:tabs>
        <w:tab w:val="clear" w:pos="643"/>
        <w:tab w:val="num" w:pos="926"/>
      </w:tabs>
      <w:ind w:left="926"/>
    </w:pPr>
  </w:style>
  <w:style w:type="paragraph" w:styleId="Listapunktowana4">
    <w:name w:val="List Bullet 4"/>
    <w:basedOn w:val="Normalny"/>
    <w:uiPriority w:val="99"/>
    <w:semiHidden/>
    <w:rsid w:val="00014566"/>
    <w:pPr>
      <w:numPr>
        <w:numId w:val="3"/>
      </w:numPr>
      <w:tabs>
        <w:tab w:val="clear" w:pos="926"/>
        <w:tab w:val="num" w:pos="1209"/>
      </w:tabs>
      <w:ind w:left="1209"/>
    </w:pPr>
  </w:style>
  <w:style w:type="paragraph" w:styleId="Listapunktowana5">
    <w:name w:val="List Bullet 5"/>
    <w:basedOn w:val="Normalny"/>
    <w:uiPriority w:val="99"/>
    <w:semiHidden/>
    <w:rsid w:val="00014566"/>
    <w:pPr>
      <w:tabs>
        <w:tab w:val="num" w:pos="1492"/>
      </w:tabs>
      <w:ind w:left="1492" w:hanging="360"/>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5"/>
      </w:numPr>
      <w:tabs>
        <w:tab w:val="clear" w:pos="1492"/>
        <w:tab w:val="num" w:pos="360"/>
      </w:tabs>
      <w:ind w:left="360"/>
    </w:pPr>
  </w:style>
  <w:style w:type="paragraph" w:styleId="Listanumerowana2">
    <w:name w:val="List Number 2"/>
    <w:basedOn w:val="Normalny"/>
    <w:uiPriority w:val="99"/>
    <w:semiHidden/>
    <w:rsid w:val="00014566"/>
    <w:pPr>
      <w:numPr>
        <w:numId w:val="6"/>
      </w:numPr>
      <w:tabs>
        <w:tab w:val="clear" w:pos="360"/>
        <w:tab w:val="num" w:pos="643"/>
      </w:tabs>
      <w:ind w:left="643"/>
    </w:pPr>
  </w:style>
  <w:style w:type="paragraph" w:styleId="Listanumerowana3">
    <w:name w:val="List Number 3"/>
    <w:basedOn w:val="Normalny"/>
    <w:uiPriority w:val="99"/>
    <w:semiHidden/>
    <w:rsid w:val="00014566"/>
    <w:pPr>
      <w:numPr>
        <w:numId w:val="7"/>
      </w:numPr>
      <w:tabs>
        <w:tab w:val="clear" w:pos="643"/>
        <w:tab w:val="num" w:pos="926"/>
      </w:tabs>
      <w:ind w:left="926"/>
    </w:pPr>
  </w:style>
  <w:style w:type="paragraph" w:styleId="Listanumerowana4">
    <w:name w:val="List Number 4"/>
    <w:basedOn w:val="Normalny"/>
    <w:uiPriority w:val="99"/>
    <w:semiHidden/>
    <w:rsid w:val="00014566"/>
    <w:pPr>
      <w:numPr>
        <w:numId w:val="8"/>
      </w:numPr>
      <w:tabs>
        <w:tab w:val="clear" w:pos="926"/>
        <w:tab w:val="num" w:pos="1209"/>
      </w:tabs>
      <w:ind w:left="1209"/>
    </w:pPr>
  </w:style>
  <w:style w:type="paragraph" w:styleId="Listanumerowana5">
    <w:name w:val="List Number 5"/>
    <w:basedOn w:val="Normalny"/>
    <w:uiPriority w:val="99"/>
    <w:semiHidden/>
    <w:rsid w:val="00014566"/>
    <w:pPr>
      <w:numPr>
        <w:numId w:val="9"/>
      </w:numPr>
      <w:tabs>
        <w:tab w:val="clear" w:pos="1209"/>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eastAsia="fr-FR"/>
    </w:rPr>
  </w:style>
  <w:style w:type="character" w:customStyle="1" w:styleId="TekstmakraZnak">
    <w:name w:val="Tekst makra Znak"/>
    <w:link w:val="Tekstmakra"/>
    <w:uiPriority w:val="99"/>
    <w:semiHidden/>
    <w:locked/>
    <w:rsid w:val="00014566"/>
    <w:rPr>
      <w:rFonts w:ascii="Consolas" w:hAnsi="Consolas" w:cs="Consolas"/>
      <w:lang w:val="pl-PL" w:eastAsia="fr-FR"/>
    </w:rPr>
  </w:style>
  <w:style w:type="table" w:styleId="redniasiatka1">
    <w:name w:val="Medium Grid 1"/>
    <w:basedOn w:val="Standardowy"/>
    <w:uiPriority w:val="99"/>
    <w:semiHidden/>
    <w:rsid w:val="00014566"/>
    <w:rPr>
      <w:lang w:eastAsia="fr-FR"/>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014566"/>
    <w:rPr>
      <w:lang w:eastAsia="fr-FR"/>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014566"/>
    <w:rPr>
      <w:lang w:eastAsia="fr-FR"/>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014566"/>
    <w:rPr>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014566"/>
    <w:rPr>
      <w:lang w:eastAsia="fr-FR"/>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014566"/>
    <w:rPr>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014566"/>
    <w:rPr>
      <w:lang w:eastAsia="fr-FR"/>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eastAsia="fr-FR"/>
    </w:rPr>
    <w:tblPr>
      <w:tblStyleRowBandSize w:val="1"/>
      <w:tblStyleColBandSize w:val="1"/>
      <w:tblInd w:w="0" w:type="nil"/>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014566"/>
    <w:rPr>
      <w:color w:val="000000"/>
      <w:lang w:eastAsia="fr-FR"/>
    </w:rPr>
    <w:tblPr>
      <w:tblStyleRowBandSize w:val="1"/>
      <w:tblStyleColBandSize w:val="1"/>
      <w:tblInd w:w="0" w:type="nil"/>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014566"/>
    <w:rPr>
      <w:color w:val="000000"/>
      <w:lang w:eastAsia="fr-FR"/>
    </w:rPr>
    <w:tblPr>
      <w:tblStyleRowBandSize w:val="1"/>
      <w:tblStyleColBandSize w:val="1"/>
      <w:tblInd w:w="0" w:type="nil"/>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014566"/>
    <w:rPr>
      <w:color w:val="000000"/>
      <w:lang w:eastAsia="fr-FR"/>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014566"/>
    <w:rPr>
      <w:color w:val="000000"/>
      <w:lang w:eastAsia="fr-FR"/>
    </w:rPr>
    <w:tblPr>
      <w:tblStyleRowBandSize w:val="1"/>
      <w:tblStyleColBandSize w:val="1"/>
      <w:tblInd w:w="0" w:type="nil"/>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014566"/>
    <w:rPr>
      <w:color w:val="000000"/>
      <w:lang w:eastAsia="fr-FR"/>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014566"/>
    <w:rPr>
      <w:color w:val="000000"/>
      <w:lang w:eastAsia="fr-FR"/>
    </w:rPr>
    <w:tblPr>
      <w:tblStyleRowBandSize w:val="1"/>
      <w:tblStyleColBandSize w:val="1"/>
      <w:tblInd w:w="0" w:type="nil"/>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link w:val="Nagweknotatki"/>
    <w:uiPriority w:val="99"/>
    <w:semiHidden/>
    <w:locked/>
    <w:rsid w:val="00014566"/>
    <w:rPr>
      <w:rFonts w:eastAsia="MS Mincho" w:cs="Times New Roman"/>
      <w:sz w:val="24"/>
      <w:szCs w:val="24"/>
    </w:rPr>
  </w:style>
  <w:style w:type="character" w:styleId="Tekstzastpczy">
    <w:name w:val="Placeholder Text"/>
    <w:uiPriority w:val="99"/>
    <w:semiHidden/>
    <w:rsid w:val="00000067"/>
    <w:rPr>
      <w:rFonts w:cs="Times New Roman"/>
      <w:color w:val="auto"/>
      <w:shd w:val="clear" w:color="auto" w:fill="DFDFDF"/>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link w:val="Zwrotgrzecznociowy"/>
    <w:uiPriority w:val="99"/>
    <w:semiHidden/>
    <w:locked/>
    <w:rsid w:val="00014566"/>
    <w:rPr>
      <w:rFonts w:eastAsia="MS Mincho" w:cs="Times New Roman"/>
      <w:sz w:val="24"/>
      <w:szCs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link w:val="Podpis"/>
    <w:uiPriority w:val="99"/>
    <w:semiHidden/>
    <w:locked/>
    <w:rsid w:val="00014566"/>
    <w:rPr>
      <w:rFonts w:eastAsia="MS Mincho" w:cs="Times New Roman"/>
      <w:sz w:val="24"/>
      <w:szCs w:val="24"/>
    </w:rPr>
  </w:style>
  <w:style w:type="table" w:styleId="Tabela-Efekty3W1">
    <w:name w:val="Table 3D effects 1"/>
    <w:basedOn w:val="Standardowy"/>
    <w:uiPriority w:val="99"/>
    <w:semiHidden/>
    <w:rsid w:val="00014566"/>
    <w:pPr>
      <w:suppressAutoHyphens/>
    </w:pPr>
    <w:rPr>
      <w:lang w:eastAsia="fr-FR"/>
    </w:rPr>
    <w:tblPr>
      <w:tblInd w:w="0" w:type="nil"/>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eastAsia="fr-FR"/>
    </w:rPr>
    <w:tblPr>
      <w:tblStyleRowBandSize w:val="1"/>
      <w:tblInd w:w="0" w:type="nil"/>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eastAsia="fr-FR"/>
    </w:rPr>
    <w:tblPr>
      <w:tblStyleRowBandSize w:val="1"/>
      <w:tblStyleColBandSize w:val="1"/>
      <w:tblInd w:w="0" w:type="nil"/>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Ind w:w="0" w:type="nil"/>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Ind w:w="0" w:type="nil"/>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Ind w:w="0" w:type="nil"/>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Ind w:w="0" w:type="nil"/>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Ind w:w="0" w:type="nil"/>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Ind w:w="0" w:type="nil"/>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Ind w:w="0" w:type="nil"/>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Ind w:w="0" w:type="nil"/>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Ind w:w="0" w:type="nil"/>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Ind w:w="0" w:type="nil"/>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Ind w:w="0" w:type="nil"/>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Ind w:w="0" w:type="nil"/>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Ind w:w="0" w:type="nil"/>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99"/>
    <w:rsid w:val="00162CF6"/>
    <w:pPr>
      <w:ind w:left="346" w:firstLine="0"/>
    </w:pPr>
  </w:style>
  <w:style w:type="paragraph" w:customStyle="1" w:styleId="JuListi">
    <w:name w:val="Ju_List_i"/>
    <w:basedOn w:val="Normalny"/>
    <w:next w:val="JuLista"/>
    <w:uiPriority w:val="99"/>
    <w:rsid w:val="00162CF6"/>
    <w:pPr>
      <w:ind w:left="794"/>
    </w:pPr>
  </w:style>
  <w:style w:type="paragraph" w:customStyle="1" w:styleId="OpiH1">
    <w:name w:val="Opi_H_1"/>
    <w:basedOn w:val="ECHRHeading2"/>
    <w:uiPriority w:val="99"/>
    <w:rsid w:val="00162CF6"/>
    <w:pPr>
      <w:ind w:left="635" w:hanging="357"/>
      <w:outlineLvl w:val="2"/>
    </w:pPr>
  </w:style>
  <w:style w:type="paragraph" w:customStyle="1" w:styleId="OpiHa0">
    <w:name w:val="Opi_H_a"/>
    <w:basedOn w:val="ECHRHeading3"/>
    <w:uiPriority w:val="99"/>
    <w:rsid w:val="00162CF6"/>
    <w:pPr>
      <w:ind w:left="833" w:hanging="357"/>
      <w:outlineLvl w:val="3"/>
    </w:pPr>
    <w:rPr>
      <w:b/>
      <w:bCs/>
      <w:i w:val="0"/>
      <w:iCs w:val="0"/>
      <w:sz w:val="20"/>
      <w:szCs w:val="20"/>
    </w:rPr>
  </w:style>
  <w:style w:type="paragraph" w:customStyle="1" w:styleId="OpiHi">
    <w:name w:val="Opi_H_i"/>
    <w:basedOn w:val="ECHRHeading4"/>
    <w:uiPriority w:val="99"/>
    <w:rsid w:val="00162CF6"/>
    <w:pPr>
      <w:ind w:left="1037" w:hanging="357"/>
      <w:outlineLvl w:val="4"/>
    </w:pPr>
    <w:rPr>
      <w:b w:val="0"/>
      <w:bCs w:val="0"/>
      <w:i/>
      <w:iCs/>
    </w:rPr>
  </w:style>
  <w:style w:type="paragraph" w:customStyle="1" w:styleId="DummyStyle">
    <w:name w:val="Dummy_Style"/>
    <w:basedOn w:val="Normalny"/>
    <w:uiPriority w:val="99"/>
    <w:semiHidden/>
    <w:rsid w:val="00162CF6"/>
    <w:rPr>
      <w:color w:val="00B050"/>
    </w:rPr>
  </w:style>
  <w:style w:type="paragraph" w:customStyle="1" w:styleId="JuHeaderLandscape">
    <w:name w:val="Ju_Header_Landscape"/>
    <w:basedOn w:val="ECHRHeader"/>
    <w:uiPriority w:val="99"/>
    <w:rsid w:val="00162CF6"/>
    <w:pPr>
      <w:tabs>
        <w:tab w:val="clear" w:pos="3686"/>
        <w:tab w:val="clear" w:pos="7371"/>
        <w:tab w:val="center" w:pos="6146"/>
        <w:tab w:val="right" w:pos="12293"/>
      </w:tabs>
    </w:pPr>
  </w:style>
  <w:style w:type="character" w:customStyle="1" w:styleId="ECHRParaChar">
    <w:name w:val="ECHR_Para Char"/>
    <w:aliases w:val="Ju_Para Char"/>
    <w:link w:val="ECHRPara"/>
    <w:uiPriority w:val="99"/>
    <w:locked/>
    <w:rsid w:val="00223DC3"/>
    <w:rPr>
      <w:rFonts w:eastAsia="MS Mincho" w:cs="Times New Roman"/>
      <w:sz w:val="24"/>
      <w:szCs w:val="24"/>
    </w:rPr>
  </w:style>
  <w:style w:type="character" w:customStyle="1" w:styleId="JuQuotChar">
    <w:name w:val="Ju_Quot Char"/>
    <w:link w:val="ECHRParaQuote"/>
    <w:uiPriority w:val="99"/>
    <w:locked/>
    <w:rsid w:val="00DA3D8B"/>
    <w:rPr>
      <w:rFonts w:eastAsia="MS Mincho" w:cs="Times New Roman"/>
      <w:sz w:val="20"/>
      <w:szCs w:val="20"/>
    </w:rPr>
  </w:style>
  <w:style w:type="paragraph" w:styleId="Poprawka">
    <w:name w:val="Revision"/>
    <w:hidden/>
    <w:uiPriority w:val="99"/>
    <w:semiHidden/>
    <w:rsid w:val="00044294"/>
    <w:rPr>
      <w:sz w:val="24"/>
      <w:szCs w:val="24"/>
      <w:lang w:eastAsia="fr-FR"/>
    </w:rPr>
  </w:style>
  <w:style w:type="paragraph" w:customStyle="1" w:styleId="ECHRParaSpaced">
    <w:name w:val="ECHR_Para_Spaced"/>
    <w:aliases w:val="Para_Spaced"/>
    <w:basedOn w:val="Normalny"/>
    <w:uiPriority w:val="99"/>
    <w:rsid w:val="00044294"/>
    <w:pPr>
      <w:spacing w:before="120" w:after="120"/>
    </w:pPr>
    <w:rPr>
      <w:rFonts w:eastAsia="Times New Roman"/>
      <w:sz w:val="22"/>
      <w:szCs w:val="22"/>
    </w:rPr>
  </w:style>
  <w:style w:type="character" w:customStyle="1" w:styleId="JuHIRomanChar">
    <w:name w:val="Ju_H_I_Roman Char"/>
    <w:link w:val="ECHRHeading1"/>
    <w:uiPriority w:val="99"/>
    <w:locked/>
    <w:rsid w:val="00044294"/>
    <w:rPr>
      <w:rFonts w:ascii="Times New Roman" w:eastAsia="MS Gothic" w:hAnsi="Times New Roman"/>
      <w:sz w:val="28"/>
    </w:rPr>
  </w:style>
  <w:style w:type="character" w:customStyle="1" w:styleId="JuJudgesChar">
    <w:name w:val="Ju_Judges Char"/>
    <w:link w:val="ECHRDecisionBody"/>
    <w:uiPriority w:val="99"/>
    <w:locked/>
    <w:rsid w:val="00044294"/>
    <w:rPr>
      <w:rFonts w:eastAsia="MS Mincho"/>
      <w:sz w:val="24"/>
    </w:rPr>
  </w:style>
  <w:style w:type="paragraph" w:customStyle="1" w:styleId="ECHRBullet1">
    <w:name w:val="ECHR_Bullet_1"/>
    <w:aliases w:val="Bul_1"/>
    <w:basedOn w:val="Normalny"/>
    <w:uiPriority w:val="99"/>
    <w:rsid w:val="00044294"/>
    <w:pPr>
      <w:numPr>
        <w:numId w:val="44"/>
      </w:numPr>
      <w:spacing w:before="60" w:after="60"/>
    </w:pPr>
    <w:rPr>
      <w:sz w:val="22"/>
      <w:szCs w:val="22"/>
    </w:rPr>
  </w:style>
  <w:style w:type="paragraph" w:customStyle="1" w:styleId="ECHRBullet2">
    <w:name w:val="ECHR_Bullet_2"/>
    <w:aliases w:val="Bul_2"/>
    <w:basedOn w:val="ECHRBullet1"/>
    <w:uiPriority w:val="99"/>
    <w:rsid w:val="00044294"/>
    <w:pPr>
      <w:numPr>
        <w:ilvl w:val="1"/>
      </w:numPr>
      <w:tabs>
        <w:tab w:val="num" w:pos="926"/>
        <w:tab w:val="num" w:pos="1209"/>
      </w:tabs>
      <w:ind w:hanging="360"/>
    </w:pPr>
  </w:style>
  <w:style w:type="paragraph" w:customStyle="1" w:styleId="ECHRBullet3">
    <w:name w:val="ECHR_Bullet_3"/>
    <w:aliases w:val="Bul_3"/>
    <w:basedOn w:val="ECHRBullet2"/>
    <w:uiPriority w:val="99"/>
    <w:rsid w:val="00044294"/>
    <w:pPr>
      <w:numPr>
        <w:ilvl w:val="2"/>
      </w:numPr>
      <w:tabs>
        <w:tab w:val="num" w:pos="926"/>
        <w:tab w:val="num" w:pos="1134"/>
      </w:tabs>
      <w:ind w:hanging="180"/>
    </w:pPr>
  </w:style>
  <w:style w:type="paragraph" w:customStyle="1" w:styleId="ECHRBullet4">
    <w:name w:val="ECHR_Bullet_4"/>
    <w:aliases w:val="Bul_4"/>
    <w:basedOn w:val="ECHRBullet3"/>
    <w:uiPriority w:val="99"/>
    <w:rsid w:val="00044294"/>
    <w:pPr>
      <w:numPr>
        <w:ilvl w:val="3"/>
      </w:numPr>
      <w:tabs>
        <w:tab w:val="clear" w:pos="1418"/>
        <w:tab w:val="num" w:pos="926"/>
        <w:tab w:val="num" w:pos="1134"/>
      </w:tabs>
      <w:ind w:hanging="360"/>
    </w:pPr>
  </w:style>
  <w:style w:type="table" w:customStyle="1" w:styleId="UGTable1">
    <w:name w:val="UG_Table1"/>
    <w:uiPriority w:val="99"/>
    <w:rsid w:val="00044294"/>
    <w:rPr>
      <w:rFonts w:eastAsia="MS Mincho"/>
      <w:lang w:eastAsia="en-GB"/>
    </w:rPr>
    <w:tblPr>
      <w:tblCellMar>
        <w:top w:w="0" w:type="dxa"/>
        <w:left w:w="57" w:type="dxa"/>
        <w:bottom w:w="57" w:type="dxa"/>
        <w:right w:w="113" w:type="dxa"/>
      </w:tblCellMar>
    </w:tblPr>
  </w:style>
  <w:style w:type="paragraph" w:customStyle="1" w:styleId="s30eec3f8">
    <w:name w:val="s30eec3f8"/>
    <w:basedOn w:val="Normalny"/>
    <w:uiPriority w:val="99"/>
    <w:rsid w:val="000A470D"/>
    <w:pPr>
      <w:spacing w:before="100" w:beforeAutospacing="1" w:after="100" w:afterAutospacing="1"/>
      <w:jc w:val="left"/>
    </w:pPr>
    <w:rPr>
      <w:rFonts w:eastAsia="Times New Roman"/>
    </w:rPr>
  </w:style>
  <w:style w:type="character" w:customStyle="1" w:styleId="sb8d990e2">
    <w:name w:val="sb8d990e2"/>
    <w:uiPriority w:val="99"/>
    <w:rsid w:val="000A470D"/>
    <w:rPr>
      <w:rFonts w:cs="Times New Roman"/>
    </w:rPr>
  </w:style>
  <w:style w:type="character" w:customStyle="1" w:styleId="s6b621b36">
    <w:name w:val="s6b621b36"/>
    <w:uiPriority w:val="99"/>
    <w:rsid w:val="000A470D"/>
    <w:rPr>
      <w:rFonts w:cs="Times New Roman"/>
    </w:rPr>
  </w:style>
  <w:style w:type="character" w:customStyle="1" w:styleId="s94c7f605">
    <w:name w:val="s94c7f605"/>
    <w:uiPriority w:val="99"/>
    <w:rsid w:val="000A470D"/>
    <w:rPr>
      <w:rFonts w:cs="Times New Roman"/>
    </w:rPr>
  </w:style>
  <w:style w:type="character" w:customStyle="1" w:styleId="s7d2086b4">
    <w:name w:val="s7d2086b4"/>
    <w:uiPriority w:val="99"/>
    <w:rsid w:val="000A470D"/>
    <w:rPr>
      <w:rFonts w:cs="Times New Roman"/>
    </w:rPr>
  </w:style>
  <w:style w:type="character" w:customStyle="1" w:styleId="textcolumn">
    <w:name w:val="textcolumn"/>
    <w:uiPriority w:val="99"/>
    <w:rsid w:val="000A470D"/>
    <w:rPr>
      <w:rFonts w:cs="Times New Roman"/>
    </w:rPr>
  </w:style>
  <w:style w:type="character" w:customStyle="1" w:styleId="column">
    <w:name w:val="column"/>
    <w:uiPriority w:val="99"/>
    <w:rsid w:val="000A470D"/>
    <w:rPr>
      <w:rFonts w:cs="Times New Roman"/>
    </w:rPr>
  </w:style>
  <w:style w:type="character" w:customStyle="1" w:styleId="wordhighlighted">
    <w:name w:val="wordhighlighted"/>
    <w:uiPriority w:val="99"/>
    <w:rsid w:val="000A470D"/>
    <w:rPr>
      <w:rFonts w:cs="Times New Roman"/>
    </w:rPr>
  </w:style>
  <w:style w:type="character" w:customStyle="1" w:styleId="summarytext">
    <w:name w:val="summarytext"/>
    <w:uiPriority w:val="99"/>
    <w:rsid w:val="000A470D"/>
    <w:rPr>
      <w:rFonts w:cs="Times New Roman"/>
    </w:rPr>
  </w:style>
  <w:style w:type="character" w:customStyle="1" w:styleId="fulltext">
    <w:name w:val="fulltext"/>
    <w:uiPriority w:val="99"/>
    <w:rsid w:val="000A470D"/>
    <w:rPr>
      <w:rFonts w:cs="Times New Roman"/>
    </w:rPr>
  </w:style>
  <w:style w:type="character" w:customStyle="1" w:styleId="s1a844bc0">
    <w:name w:val="s1a844bc0"/>
    <w:uiPriority w:val="99"/>
    <w:rsid w:val="000A470D"/>
    <w:rPr>
      <w:rFonts w:cs="Times New Roman"/>
    </w:rPr>
  </w:style>
  <w:style w:type="character" w:customStyle="1" w:styleId="sfbbfee58">
    <w:name w:val="sfbbfee58"/>
    <w:uiPriority w:val="99"/>
    <w:rsid w:val="000A470D"/>
    <w:rPr>
      <w:rFonts w:cs="Times New Roman"/>
    </w:rPr>
  </w:style>
  <w:style w:type="character" w:customStyle="1" w:styleId="sf8bfa2bc">
    <w:name w:val="sf8bfa2bc"/>
    <w:uiPriority w:val="99"/>
    <w:rsid w:val="000A470D"/>
    <w:rPr>
      <w:rFonts w:cs="Times New Roman"/>
    </w:rPr>
  </w:style>
  <w:style w:type="character" w:customStyle="1" w:styleId="sea881cdf">
    <w:name w:val="sea881cdf"/>
    <w:uiPriority w:val="99"/>
    <w:rsid w:val="000A470D"/>
    <w:rPr>
      <w:rFonts w:cs="Times New Roman"/>
    </w:rPr>
  </w:style>
  <w:style w:type="character" w:customStyle="1" w:styleId="JuParaCar">
    <w:name w:val="Ju_Para Car"/>
    <w:uiPriority w:val="99"/>
    <w:rsid w:val="000A470D"/>
    <w:rPr>
      <w:rFonts w:eastAsia="MS Mincho"/>
      <w:sz w:val="24"/>
      <w:lang w:val="pl-PL" w:eastAsia="en-US"/>
    </w:rPr>
  </w:style>
  <w:style w:type="paragraph" w:customStyle="1" w:styleId="s50c0b1c7">
    <w:name w:val="s50c0b1c7"/>
    <w:basedOn w:val="Normalny"/>
    <w:uiPriority w:val="99"/>
    <w:rsid w:val="00FF09FB"/>
    <w:pPr>
      <w:spacing w:before="100" w:beforeAutospacing="1" w:after="100" w:afterAutospacing="1"/>
      <w:jc w:val="left"/>
    </w:pPr>
    <w:rPr>
      <w:rFonts w:eastAsia="Times New Roman"/>
      <w:lang w:eastAsia="pl-PL"/>
    </w:rPr>
  </w:style>
  <w:style w:type="character" w:customStyle="1" w:styleId="s3aeeab2">
    <w:name w:val="s3aeeab2"/>
    <w:uiPriority w:val="99"/>
    <w:rsid w:val="00FF09FB"/>
    <w:rPr>
      <w:lang w:val="pl-PL" w:eastAsia="pl-PL"/>
    </w:rPr>
  </w:style>
  <w:style w:type="paragraph" w:customStyle="1" w:styleId="Pa153">
    <w:name w:val="Pa15+3"/>
    <w:basedOn w:val="Normalny"/>
    <w:next w:val="Normalny"/>
    <w:uiPriority w:val="99"/>
    <w:rsid w:val="00FF09FB"/>
    <w:pPr>
      <w:autoSpaceDE w:val="0"/>
      <w:autoSpaceDN w:val="0"/>
      <w:adjustRightInd w:val="0"/>
      <w:spacing w:line="201" w:lineRule="atLeast"/>
      <w:jc w:val="left"/>
    </w:pPr>
    <w:rPr>
      <w:rFonts w:ascii="Myriad Pro" w:eastAsia="Times New Roman" w:hAnsi="Myriad Pro" w:cs="Myriad Pro"/>
      <w:lang w:eastAsia="pl-PL"/>
    </w:rPr>
  </w:style>
  <w:style w:type="character" w:customStyle="1" w:styleId="s4f807e54">
    <w:name w:val="s4f807e54"/>
    <w:uiPriority w:val="99"/>
    <w:rsid w:val="00247FEA"/>
  </w:style>
  <w:style w:type="numbering" w:styleId="1ai">
    <w:name w:val="Outline List 1"/>
    <w:basedOn w:val="Bezlisty"/>
    <w:uiPriority w:val="99"/>
    <w:semiHidden/>
    <w:unhideWhenUsed/>
    <w:pPr>
      <w:numPr>
        <w:numId w:val="42"/>
      </w:numPr>
    </w:pPr>
  </w:style>
  <w:style w:type="numbering" w:styleId="111111">
    <w:name w:val="Outline List 2"/>
    <w:basedOn w:val="Bezlisty"/>
    <w:uiPriority w:val="99"/>
    <w:semiHidden/>
    <w:unhideWhenUsed/>
    <w:pPr>
      <w:numPr>
        <w:numId w:val="41"/>
      </w:numPr>
    </w:pPr>
  </w:style>
  <w:style w:type="numbering" w:customStyle="1" w:styleId="ECHRA1StyleBulletedSquare">
    <w:name w:val="ECHR_A1_Style_Bulleted_Square"/>
    <w:pPr>
      <w:numPr>
        <w:numId w:val="44"/>
      </w:numPr>
    </w:pPr>
  </w:style>
  <w:style w:type="numbering" w:customStyle="1" w:styleId="ArticleSection">
    <w:name w:val="Article / Section"/>
    <w:pPr>
      <w:numPr>
        <w:numId w:val="4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000067"/>
    <w:pPr>
      <w:jc w:val="both"/>
    </w:pPr>
    <w:rPr>
      <w:rFonts w:eastAsia="MS Mincho"/>
      <w:sz w:val="24"/>
      <w:szCs w:val="24"/>
      <w:lang w:eastAsia="en-US"/>
    </w:rPr>
  </w:style>
  <w:style w:type="paragraph" w:styleId="Nagwek1">
    <w:name w:val="heading 1"/>
    <w:basedOn w:val="Normalny"/>
    <w:next w:val="Normalny"/>
    <w:link w:val="Nagwek1Znak"/>
    <w:uiPriority w:val="99"/>
    <w:qFormat/>
    <w:rsid w:val="00000067"/>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000067"/>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000067"/>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000067"/>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162CF6"/>
    <w:pPr>
      <w:spacing w:before="200"/>
      <w:outlineLvl w:val="4"/>
    </w:pPr>
    <w:rPr>
      <w:rFonts w:eastAsia="MS Gothic"/>
      <w:b/>
      <w:bCs/>
      <w:color w:val="808080"/>
      <w:sz w:val="22"/>
      <w:szCs w:val="22"/>
    </w:rPr>
  </w:style>
  <w:style w:type="paragraph" w:styleId="Nagwek6">
    <w:name w:val="heading 6"/>
    <w:basedOn w:val="Normalny"/>
    <w:next w:val="Normalny"/>
    <w:link w:val="Nagwek6Znak"/>
    <w:uiPriority w:val="99"/>
    <w:qFormat/>
    <w:rsid w:val="00000067"/>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162CF6"/>
    <w:pPr>
      <w:outlineLvl w:val="6"/>
    </w:pPr>
    <w:rPr>
      <w:rFonts w:eastAsia="MS Gothic"/>
      <w:i/>
      <w:iCs/>
      <w:sz w:val="22"/>
      <w:szCs w:val="22"/>
    </w:rPr>
  </w:style>
  <w:style w:type="paragraph" w:styleId="Nagwek8">
    <w:name w:val="heading 8"/>
    <w:basedOn w:val="Normalny"/>
    <w:next w:val="Normalny"/>
    <w:link w:val="Nagwek8Znak"/>
    <w:uiPriority w:val="99"/>
    <w:qFormat/>
    <w:rsid w:val="00162CF6"/>
    <w:pPr>
      <w:outlineLvl w:val="7"/>
    </w:pPr>
    <w:rPr>
      <w:rFonts w:eastAsia="MS Gothic"/>
      <w:sz w:val="20"/>
      <w:szCs w:val="20"/>
    </w:rPr>
  </w:style>
  <w:style w:type="paragraph" w:styleId="Nagwek9">
    <w:name w:val="heading 9"/>
    <w:basedOn w:val="Normalny"/>
    <w:next w:val="Normalny"/>
    <w:link w:val="Nagwek9Znak"/>
    <w:uiPriority w:val="99"/>
    <w:qFormat/>
    <w:rsid w:val="00162CF6"/>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000067"/>
    <w:rPr>
      <w:rFonts w:ascii="Times New Roman" w:eastAsia="MS Gothic" w:hAnsi="Times New Roman" w:cs="Times New Roman"/>
      <w:b/>
      <w:bCs/>
      <w:color w:val="333333"/>
      <w:sz w:val="28"/>
      <w:szCs w:val="28"/>
    </w:rPr>
  </w:style>
  <w:style w:type="character" w:customStyle="1" w:styleId="Nagwek2Znak">
    <w:name w:val="Nagłówek 2 Znak"/>
    <w:link w:val="Nagwek2"/>
    <w:uiPriority w:val="99"/>
    <w:semiHidden/>
    <w:locked/>
    <w:rsid w:val="00000067"/>
    <w:rPr>
      <w:rFonts w:ascii="Times New Roman" w:eastAsia="MS Gothic" w:hAnsi="Times New Roman" w:cs="Times New Roman"/>
      <w:b/>
      <w:bCs/>
      <w:color w:val="4D4D4D"/>
      <w:sz w:val="26"/>
      <w:szCs w:val="26"/>
    </w:rPr>
  </w:style>
  <w:style w:type="character" w:customStyle="1" w:styleId="Nagwek3Znak">
    <w:name w:val="Nagłówek 3 Znak"/>
    <w:link w:val="Nagwek3"/>
    <w:uiPriority w:val="99"/>
    <w:semiHidden/>
    <w:locked/>
    <w:rsid w:val="00000067"/>
    <w:rPr>
      <w:rFonts w:ascii="Times New Roman" w:eastAsia="MS Gothic" w:hAnsi="Times New Roman" w:cs="Times New Roman"/>
      <w:b/>
      <w:bCs/>
      <w:color w:val="5F5F5F"/>
      <w:sz w:val="24"/>
      <w:szCs w:val="24"/>
    </w:rPr>
  </w:style>
  <w:style w:type="character" w:customStyle="1" w:styleId="Nagwek4Znak">
    <w:name w:val="Nagłówek 4 Znak"/>
    <w:link w:val="Nagwek4"/>
    <w:uiPriority w:val="99"/>
    <w:semiHidden/>
    <w:locked/>
    <w:rsid w:val="00000067"/>
    <w:rPr>
      <w:rFonts w:ascii="Times New Roman" w:eastAsia="MS Gothic" w:hAnsi="Times New Roman" w:cs="Times New Roman"/>
      <w:b/>
      <w:bCs/>
      <w:i/>
      <w:iCs/>
      <w:color w:val="777777"/>
      <w:sz w:val="24"/>
      <w:szCs w:val="24"/>
    </w:rPr>
  </w:style>
  <w:style w:type="character" w:customStyle="1" w:styleId="Nagwek5Znak">
    <w:name w:val="Nagłówek 5 Znak"/>
    <w:link w:val="Nagwek5"/>
    <w:uiPriority w:val="99"/>
    <w:semiHidden/>
    <w:locked/>
    <w:rsid w:val="00162CF6"/>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000067"/>
    <w:rPr>
      <w:rFonts w:ascii="Times New Roman" w:eastAsia="MS Gothic" w:hAnsi="Times New Roman" w:cs="Times New Roman"/>
      <w:b/>
      <w:bCs/>
      <w:i/>
      <w:iCs/>
      <w:color w:val="7F7F7F"/>
      <w:sz w:val="24"/>
      <w:szCs w:val="24"/>
    </w:rPr>
  </w:style>
  <w:style w:type="character" w:customStyle="1" w:styleId="Nagwek7Znak">
    <w:name w:val="Nagłówek 7 Znak"/>
    <w:link w:val="Nagwek7"/>
    <w:uiPriority w:val="99"/>
    <w:semiHidden/>
    <w:locked/>
    <w:rsid w:val="00162CF6"/>
    <w:rPr>
      <w:rFonts w:ascii="Times New Roman" w:eastAsia="MS Gothic" w:hAnsi="Times New Roman" w:cs="Times New Roman"/>
      <w:i/>
      <w:iCs/>
    </w:rPr>
  </w:style>
  <w:style w:type="character" w:customStyle="1" w:styleId="Nagwek8Znak">
    <w:name w:val="Nagłówek 8 Znak"/>
    <w:link w:val="Nagwek8"/>
    <w:uiPriority w:val="99"/>
    <w:semiHidden/>
    <w:locked/>
    <w:rsid w:val="00162CF6"/>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162CF6"/>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link w:val="Tekstdymka"/>
    <w:uiPriority w:val="99"/>
    <w:semiHidden/>
    <w:locked/>
    <w:rsid w:val="00000067"/>
    <w:rPr>
      <w:rFonts w:ascii="Tahoma" w:eastAsia="MS Mincho" w:hAnsi="Tahoma" w:cs="Tahoma"/>
      <w:sz w:val="16"/>
      <w:szCs w:val="16"/>
    </w:rPr>
  </w:style>
  <w:style w:type="character" w:styleId="Tytuksiki">
    <w:name w:val="Book Title"/>
    <w:uiPriority w:val="99"/>
    <w:qFormat/>
    <w:rsid w:val="00162CF6"/>
    <w:rPr>
      <w:rFonts w:cs="Times New Roman"/>
      <w:i/>
      <w:iCs/>
      <w:smallCaps/>
      <w:spacing w:val="5"/>
    </w:rPr>
  </w:style>
  <w:style w:type="paragraph" w:customStyle="1" w:styleId="ECHRHeader">
    <w:name w:val="ECHR_Header"/>
    <w:aliases w:val="Ju_Header"/>
    <w:basedOn w:val="Nagwek"/>
    <w:uiPriority w:val="99"/>
    <w:rsid w:val="00162CF6"/>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000067"/>
    <w:pPr>
      <w:jc w:val="left"/>
    </w:pPr>
    <w:rPr>
      <w:sz w:val="8"/>
      <w:szCs w:val="8"/>
    </w:rPr>
  </w:style>
  <w:style w:type="character" w:styleId="Pogrubienie">
    <w:name w:val="Strong"/>
    <w:uiPriority w:val="99"/>
    <w:qFormat/>
    <w:rsid w:val="00162CF6"/>
    <w:rPr>
      <w:rFonts w:cs="Times New Roman"/>
      <w:b/>
      <w:bCs/>
    </w:rPr>
  </w:style>
  <w:style w:type="paragraph" w:styleId="Bezodstpw">
    <w:name w:val="No Spacing"/>
    <w:basedOn w:val="Normalny"/>
    <w:link w:val="BezodstpwZnak"/>
    <w:uiPriority w:val="99"/>
    <w:qFormat/>
    <w:rsid w:val="00162CF6"/>
    <w:rPr>
      <w:sz w:val="22"/>
      <w:szCs w:val="22"/>
    </w:rPr>
  </w:style>
  <w:style w:type="character" w:customStyle="1" w:styleId="BezodstpwZnak">
    <w:name w:val="Bez odstępów Znak"/>
    <w:link w:val="Bezodstpw"/>
    <w:uiPriority w:val="99"/>
    <w:semiHidden/>
    <w:locked/>
    <w:rsid w:val="00162CF6"/>
    <w:rPr>
      <w:rFonts w:eastAsia="MS Mincho" w:cs="Times New Roman"/>
    </w:rPr>
  </w:style>
  <w:style w:type="paragraph" w:customStyle="1" w:styleId="ECHRFooterLine">
    <w:name w:val="ECHR_Footer_Line"/>
    <w:aliases w:val="Footer_Line"/>
    <w:basedOn w:val="Normalny"/>
    <w:next w:val="ECHRFooter"/>
    <w:uiPriority w:val="99"/>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semiHidden/>
    <w:rsid w:val="00162CF6"/>
    <w:pPr>
      <w:numPr>
        <w:numId w:val="4"/>
      </w:numPr>
      <w:tabs>
        <w:tab w:val="clear" w:pos="1209"/>
        <w:tab w:val="num" w:pos="720"/>
      </w:tabs>
      <w:ind w:left="720"/>
      <w:jc w:val="left"/>
    </w:pPr>
    <w:rPr>
      <w:b/>
      <w:bCs/>
    </w:rPr>
  </w:style>
  <w:style w:type="paragraph" w:customStyle="1" w:styleId="OpiPara">
    <w:name w:val="Opi_Para"/>
    <w:basedOn w:val="ECHRPara"/>
    <w:uiPriority w:val="99"/>
    <w:rsid w:val="00162CF6"/>
  </w:style>
  <w:style w:type="paragraph" w:customStyle="1" w:styleId="JuParaSub">
    <w:name w:val="Ju_Para_Sub"/>
    <w:basedOn w:val="ECHRPara"/>
    <w:uiPriority w:val="99"/>
    <w:rsid w:val="00162CF6"/>
    <w:pPr>
      <w:ind w:left="284"/>
    </w:pPr>
  </w:style>
  <w:style w:type="paragraph" w:customStyle="1" w:styleId="ECHRTitleCentre3">
    <w:name w:val="ECHR_Title_Centre_3"/>
    <w:aliases w:val="Ju_H_Article,Title_C_3"/>
    <w:basedOn w:val="Normalny"/>
    <w:next w:val="ECHRParaQuote"/>
    <w:uiPriority w:val="99"/>
    <w:rsid w:val="00162CF6"/>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162CF6"/>
    <w:pPr>
      <w:keepNext/>
      <w:keepLines/>
      <w:spacing w:after="240"/>
      <w:jc w:val="center"/>
      <w:outlineLvl w:val="0"/>
    </w:pPr>
    <w:rPr>
      <w:sz w:val="28"/>
      <w:szCs w:val="28"/>
    </w:rPr>
  </w:style>
  <w:style w:type="paragraph" w:customStyle="1" w:styleId="OpiParaSub">
    <w:name w:val="Opi_Para_Sub"/>
    <w:basedOn w:val="JuParaSub"/>
    <w:uiPriority w:val="99"/>
    <w:rsid w:val="00162CF6"/>
  </w:style>
  <w:style w:type="paragraph" w:customStyle="1" w:styleId="OpiQuot">
    <w:name w:val="Opi_Quot"/>
    <w:basedOn w:val="ECHRParaQuote"/>
    <w:uiPriority w:val="99"/>
    <w:rsid w:val="00162CF6"/>
  </w:style>
  <w:style w:type="paragraph" w:customStyle="1" w:styleId="OpiQuotSub">
    <w:name w:val="Opi_Quot_Sub"/>
    <w:basedOn w:val="JuQuotSub"/>
    <w:uiPriority w:val="99"/>
    <w:rsid w:val="00162CF6"/>
  </w:style>
  <w:style w:type="paragraph" w:customStyle="1" w:styleId="ECHRTitleCentre2">
    <w:name w:val="ECHR_Title_Centre_2"/>
    <w:aliases w:val="Dec_H_Case"/>
    <w:basedOn w:val="Normalny"/>
    <w:next w:val="ECHRPara"/>
    <w:uiPriority w:val="99"/>
    <w:rsid w:val="00162CF6"/>
    <w:pPr>
      <w:spacing w:after="240"/>
      <w:jc w:val="center"/>
      <w:outlineLvl w:val="0"/>
    </w:pPr>
  </w:style>
  <w:style w:type="paragraph" w:customStyle="1" w:styleId="JuTitle">
    <w:name w:val="Ju_Title"/>
    <w:basedOn w:val="Normalny"/>
    <w:next w:val="ECHRPara"/>
    <w:uiPriority w:val="99"/>
    <w:semiHidden/>
    <w:rsid w:val="00162CF6"/>
    <w:pPr>
      <w:spacing w:before="720" w:after="240"/>
      <w:jc w:val="center"/>
      <w:outlineLvl w:val="0"/>
    </w:pPr>
    <w:rPr>
      <w:b/>
      <w:bCs/>
      <w:caps/>
    </w:rPr>
  </w:style>
  <w:style w:type="paragraph" w:styleId="Tytu">
    <w:name w:val="Title"/>
    <w:basedOn w:val="Normalny"/>
    <w:next w:val="Normalny"/>
    <w:link w:val="TytuZnak"/>
    <w:uiPriority w:val="99"/>
    <w:qFormat/>
    <w:rsid w:val="00162CF6"/>
    <w:pPr>
      <w:pBdr>
        <w:bottom w:val="single" w:sz="4" w:space="1" w:color="auto"/>
      </w:pBdr>
    </w:pPr>
    <w:rPr>
      <w:rFonts w:eastAsia="MS Gothic"/>
      <w:spacing w:val="5"/>
      <w:sz w:val="52"/>
      <w:szCs w:val="52"/>
    </w:rPr>
  </w:style>
  <w:style w:type="character" w:customStyle="1" w:styleId="TytuZnak">
    <w:name w:val="Tytuł Znak"/>
    <w:link w:val="Tytu"/>
    <w:uiPriority w:val="99"/>
    <w:semiHidden/>
    <w:locked/>
    <w:rsid w:val="00162CF6"/>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162CF6"/>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Head_4"/>
    <w:basedOn w:val="Nagwek4"/>
    <w:next w:val="ECHRPara"/>
    <w:uiPriority w:val="99"/>
    <w:rsid w:val="00162CF6"/>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162CF6"/>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162CF6"/>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162CF6"/>
    <w:pPr>
      <w:keepNext/>
      <w:keepLines/>
      <w:spacing w:before="240" w:after="120"/>
      <w:ind w:left="1236"/>
    </w:pPr>
    <w:rPr>
      <w:sz w:val="20"/>
      <w:szCs w:val="20"/>
    </w:rPr>
  </w:style>
  <w:style w:type="paragraph" w:customStyle="1" w:styleId="JuQuotSub">
    <w:name w:val="Ju_Quot_Sub"/>
    <w:basedOn w:val="ECHRParaQuote"/>
    <w:uiPriority w:val="99"/>
    <w:rsid w:val="00162CF6"/>
    <w:pPr>
      <w:ind w:left="567"/>
    </w:pPr>
  </w:style>
  <w:style w:type="paragraph" w:customStyle="1" w:styleId="JuInitialled">
    <w:name w:val="Ju_Initialled"/>
    <w:basedOn w:val="Normalny"/>
    <w:uiPriority w:val="99"/>
    <w:rsid w:val="00162CF6"/>
    <w:pPr>
      <w:tabs>
        <w:tab w:val="center" w:pos="6407"/>
      </w:tabs>
      <w:spacing w:before="720"/>
      <w:jc w:val="right"/>
    </w:pPr>
  </w:style>
  <w:style w:type="paragraph" w:customStyle="1" w:styleId="OpiHA">
    <w:name w:val="Opi_H_A"/>
    <w:basedOn w:val="ECHRHeading1"/>
    <w:next w:val="OpiPara"/>
    <w:uiPriority w:val="99"/>
    <w:rsid w:val="00162CF6"/>
    <w:pPr>
      <w:tabs>
        <w:tab w:val="clear" w:pos="357"/>
      </w:tabs>
      <w:outlineLvl w:val="1"/>
    </w:pPr>
    <w:rPr>
      <w:b/>
      <w:bCs/>
    </w:rPr>
  </w:style>
  <w:style w:type="paragraph" w:styleId="Nagwek">
    <w:name w:val="header"/>
    <w:basedOn w:val="Normalny"/>
    <w:link w:val="NagwekZnak"/>
    <w:uiPriority w:val="99"/>
    <w:rsid w:val="00000067"/>
    <w:pPr>
      <w:tabs>
        <w:tab w:val="center" w:pos="4536"/>
        <w:tab w:val="right" w:pos="9072"/>
      </w:tabs>
    </w:pPr>
    <w:rPr>
      <w:rFonts w:eastAsia="Times New Roman"/>
    </w:rPr>
  </w:style>
  <w:style w:type="character" w:customStyle="1" w:styleId="NagwekZnak">
    <w:name w:val="Nagłówek Znak"/>
    <w:link w:val="Nagwek"/>
    <w:uiPriority w:val="99"/>
    <w:locked/>
    <w:rsid w:val="00000067"/>
    <w:rPr>
      <w:rFonts w:cs="Times New Roman"/>
      <w:sz w:val="24"/>
      <w:szCs w:val="24"/>
    </w:rPr>
  </w:style>
  <w:style w:type="paragraph" w:customStyle="1" w:styleId="ECHRHeading1">
    <w:name w:val="ECHR_Heading_1"/>
    <w:aliases w:val="Ju_H_I_Roman"/>
    <w:basedOn w:val="Nagwek1"/>
    <w:next w:val="ECHRPara"/>
    <w:link w:val="JuHIRomanChar"/>
    <w:uiPriority w:val="99"/>
    <w:rsid w:val="00162CF6"/>
    <w:pPr>
      <w:keepNext/>
      <w:keepLines/>
      <w:tabs>
        <w:tab w:val="left" w:pos="357"/>
      </w:tabs>
      <w:spacing w:before="360" w:after="240"/>
      <w:ind w:left="357" w:hanging="357"/>
    </w:pPr>
    <w:rPr>
      <w:b w:val="0"/>
      <w:bCs w:val="0"/>
      <w:color w:val="auto"/>
      <w:lang w:eastAsia="pl-PL"/>
    </w:rPr>
  </w:style>
  <w:style w:type="paragraph" w:customStyle="1" w:styleId="ECHRHeading2">
    <w:name w:val="ECHR_Heading_2"/>
    <w:aliases w:val="Ju_H_A,Head_2"/>
    <w:basedOn w:val="Nagwek2"/>
    <w:next w:val="ECHRPara"/>
    <w:uiPriority w:val="99"/>
    <w:rsid w:val="00162CF6"/>
    <w:pPr>
      <w:keepNext/>
      <w:keepLines/>
      <w:tabs>
        <w:tab w:val="left" w:pos="584"/>
      </w:tabs>
      <w:spacing w:before="360" w:after="240"/>
      <w:ind w:left="584" w:hanging="352"/>
    </w:pPr>
    <w:rPr>
      <w:color w:val="auto"/>
      <w:sz w:val="24"/>
      <w:szCs w:val="24"/>
    </w:rPr>
  </w:style>
  <w:style w:type="character" w:customStyle="1" w:styleId="JUNAMES">
    <w:name w:val="JU_NAMES"/>
    <w:uiPriority w:val="99"/>
    <w:rsid w:val="00162CF6"/>
    <w:rPr>
      <w:smallCaps/>
    </w:rPr>
  </w:style>
  <w:style w:type="paragraph" w:customStyle="1" w:styleId="JuCase">
    <w:name w:val="Ju_Case"/>
    <w:basedOn w:val="Normalny"/>
    <w:next w:val="ECHRPara"/>
    <w:uiPriority w:val="99"/>
    <w:rsid w:val="00000067"/>
    <w:pPr>
      <w:ind w:firstLine="284"/>
    </w:pPr>
    <w:rPr>
      <w:b/>
      <w:bCs/>
    </w:rPr>
  </w:style>
  <w:style w:type="character" w:styleId="Wyrnieniedelikatne">
    <w:name w:val="Subtle Emphasis"/>
    <w:uiPriority w:val="99"/>
    <w:qFormat/>
    <w:rsid w:val="00162CF6"/>
    <w:rPr>
      <w:rFonts w:cs="Times New Roman"/>
      <w:i/>
      <w:iCs/>
    </w:rPr>
  </w:style>
  <w:style w:type="table" w:customStyle="1" w:styleId="ECHRTable">
    <w:name w:val="ECHR_Table"/>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162CF6"/>
    <w:pPr>
      <w:keepNext/>
      <w:keepLines/>
      <w:spacing w:before="720" w:after="240"/>
      <w:outlineLvl w:val="0"/>
    </w:pPr>
    <w:rPr>
      <w:sz w:val="28"/>
      <w:szCs w:val="28"/>
    </w:rPr>
  </w:style>
  <w:style w:type="character" w:styleId="Uwydatnienie">
    <w:name w:val="Emphasis"/>
    <w:uiPriority w:val="99"/>
    <w:qFormat/>
    <w:rsid w:val="00162CF6"/>
    <w:rPr>
      <w:rFonts w:cs="Times New Roman"/>
      <w:b/>
      <w:bCs/>
      <w:i/>
      <w:iCs/>
      <w:spacing w:val="10"/>
      <w:shd w:val="clear" w:color="auto" w:fill="auto"/>
    </w:rPr>
  </w:style>
  <w:style w:type="paragraph" w:styleId="Stopka">
    <w:name w:val="footer"/>
    <w:basedOn w:val="Normalny"/>
    <w:link w:val="StopkaZnak"/>
    <w:uiPriority w:val="99"/>
    <w:semiHidden/>
    <w:rsid w:val="00000067"/>
    <w:pPr>
      <w:tabs>
        <w:tab w:val="center" w:pos="4536"/>
        <w:tab w:val="right" w:pos="9696"/>
      </w:tabs>
      <w:ind w:left="-680" w:right="-680"/>
    </w:pPr>
    <w:rPr>
      <w:rFonts w:eastAsia="Times New Roman"/>
    </w:rPr>
  </w:style>
  <w:style w:type="character" w:customStyle="1" w:styleId="StopkaZnak">
    <w:name w:val="Stopka Znak"/>
    <w:link w:val="Stopka"/>
    <w:uiPriority w:val="99"/>
    <w:semiHidden/>
    <w:locked/>
    <w:rsid w:val="00000067"/>
    <w:rPr>
      <w:rFonts w:cs="Times New Roman"/>
      <w:sz w:val="24"/>
      <w:szCs w:val="24"/>
    </w:rPr>
  </w:style>
  <w:style w:type="character" w:styleId="Odwoanieprzypisudolnego">
    <w:name w:val="footnote reference"/>
    <w:aliases w:val="a Footnote Reference,FZ,Texto de nota al pie,Appel note de bas de page,Footnotes refss,Footnote number,referencia nota al pie,BVI fnr,f,4_G,16 Point,Superscript 6 Point,Texto nota al pie,Footnote Reference Char3"/>
    <w:uiPriority w:val="99"/>
    <w:semiHidden/>
    <w:rsid w:val="00000067"/>
    <w:rPr>
      <w:rFonts w:cs="Times New Roman"/>
      <w:vertAlign w:val="superscript"/>
    </w:rPr>
  </w:style>
  <w:style w:type="paragraph" w:styleId="Tekstprzypisudolnego">
    <w:name w:val="footnote text"/>
    <w:aliases w:val="Footnote Text Char Char Char Char,FA,FA Fußnotentext,Note de bas de page Car Car,Odwołanie przypisu dolnego1,FA Fu,Footnote Text Char Char Char,Footnote Text Cha,FA Fuﬂnotentext,Texto nota pie Car,2. Footnote Text,Ca"/>
    <w:basedOn w:val="Normalny"/>
    <w:link w:val="TekstprzypisudolnegoZnak"/>
    <w:uiPriority w:val="99"/>
    <w:semiHidden/>
    <w:rsid w:val="00000067"/>
    <w:rPr>
      <w:sz w:val="20"/>
      <w:szCs w:val="20"/>
    </w:rPr>
  </w:style>
  <w:style w:type="character" w:customStyle="1" w:styleId="TekstprzypisudolnegoZnak">
    <w:name w:val="Tekst przypisu dolnego Znak"/>
    <w:aliases w:val="Footnote Text Char Char Char Char Znak,FA Znak,FA Fußnotentext Znak,Note de bas de page Car Car Znak,Odwołanie przypisu dolnego1 Znak,FA Fu Znak,Footnote Text Char Char Char Znak,Footnote Text Cha Znak,FA Fuﬂnotentext Znak"/>
    <w:link w:val="Tekstprzypisudolnego"/>
    <w:uiPriority w:val="99"/>
    <w:locked/>
    <w:rsid w:val="00000067"/>
    <w:rPr>
      <w:rFonts w:eastAsia="MS Mincho" w:cs="Times New Roman"/>
      <w:sz w:val="20"/>
      <w:szCs w:val="20"/>
    </w:rPr>
  </w:style>
  <w:style w:type="character" w:styleId="Hipercze">
    <w:name w:val="Hyperlink"/>
    <w:uiPriority w:val="99"/>
    <w:rsid w:val="00000067"/>
    <w:rPr>
      <w:rFonts w:cs="Times New Roman"/>
      <w:color w:val="0072BC"/>
      <w:u w:val="single"/>
    </w:rPr>
  </w:style>
  <w:style w:type="character" w:styleId="Wyrnienieintensywne">
    <w:name w:val="Intense Emphasis"/>
    <w:uiPriority w:val="99"/>
    <w:qFormat/>
    <w:rsid w:val="00162CF6"/>
    <w:rPr>
      <w:rFonts w:cs="Times New Roman"/>
      <w:b/>
      <w:bCs/>
    </w:rPr>
  </w:style>
  <w:style w:type="paragraph" w:styleId="Cytatintensywny">
    <w:name w:val="Intense Quote"/>
    <w:basedOn w:val="Normalny"/>
    <w:next w:val="Normalny"/>
    <w:link w:val="CytatintensywnyZnak"/>
    <w:uiPriority w:val="99"/>
    <w:qFormat/>
    <w:rsid w:val="00162CF6"/>
    <w:pPr>
      <w:pBdr>
        <w:bottom w:val="single" w:sz="4" w:space="1" w:color="auto"/>
      </w:pBdr>
      <w:spacing w:before="200" w:after="280"/>
      <w:ind w:left="1008" w:right="1152"/>
    </w:pPr>
    <w:rPr>
      <w:b/>
      <w:bCs/>
      <w:i/>
      <w:iCs/>
      <w:sz w:val="22"/>
      <w:szCs w:val="22"/>
    </w:rPr>
  </w:style>
  <w:style w:type="character" w:customStyle="1" w:styleId="CytatintensywnyZnak">
    <w:name w:val="Cytat intensywny Znak"/>
    <w:link w:val="Cytatintensywny"/>
    <w:uiPriority w:val="99"/>
    <w:semiHidden/>
    <w:locked/>
    <w:rsid w:val="00162CF6"/>
    <w:rPr>
      <w:rFonts w:eastAsia="MS Mincho" w:cs="Times New Roman"/>
      <w:b/>
      <w:bCs/>
      <w:i/>
      <w:iCs/>
    </w:rPr>
  </w:style>
  <w:style w:type="character" w:styleId="Odwoanieintensywne">
    <w:name w:val="Intense Reference"/>
    <w:uiPriority w:val="99"/>
    <w:qFormat/>
    <w:rsid w:val="00162CF6"/>
    <w:rPr>
      <w:rFonts w:cs="Times New Roman"/>
      <w:smallCaps/>
      <w:spacing w:val="5"/>
      <w:u w:val="single"/>
    </w:rPr>
  </w:style>
  <w:style w:type="paragraph" w:styleId="Akapitzlist">
    <w:name w:val="List Paragraph"/>
    <w:basedOn w:val="Normalny"/>
    <w:uiPriority w:val="99"/>
    <w:qFormat/>
    <w:rsid w:val="00162CF6"/>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162CF6"/>
    <w:pPr>
      <w:spacing w:before="200"/>
      <w:ind w:left="360" w:right="360"/>
    </w:pPr>
    <w:rPr>
      <w:i/>
      <w:iCs/>
      <w:sz w:val="22"/>
      <w:szCs w:val="22"/>
    </w:rPr>
  </w:style>
  <w:style w:type="character" w:customStyle="1" w:styleId="CytatZnak">
    <w:name w:val="Cytat Znak"/>
    <w:link w:val="Cytat"/>
    <w:uiPriority w:val="99"/>
    <w:semiHidden/>
    <w:locked/>
    <w:rsid w:val="00162CF6"/>
    <w:rPr>
      <w:rFonts w:eastAsia="MS Mincho" w:cs="Times New Roman"/>
      <w:i/>
      <w:iCs/>
    </w:rPr>
  </w:style>
  <w:style w:type="character" w:styleId="Odwoaniedelikatne">
    <w:name w:val="Subtle Reference"/>
    <w:uiPriority w:val="99"/>
    <w:qFormat/>
    <w:rsid w:val="00162CF6"/>
    <w:rPr>
      <w:rFonts w:cs="Times New Roman"/>
      <w:smallCaps/>
    </w:rPr>
  </w:style>
  <w:style w:type="table" w:styleId="Tabela-Siatka">
    <w:name w:val="Table Grid"/>
    <w:basedOn w:val="Standardowy"/>
    <w:uiPriority w:val="99"/>
    <w:rsid w:val="00000067"/>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162CF6"/>
    <w:pPr>
      <w:keepNext/>
      <w:keepLines/>
      <w:spacing w:before="240"/>
      <w:jc w:val="center"/>
    </w:pPr>
    <w:rPr>
      <w:rFonts w:eastAsia="Times New Roman"/>
      <w:b/>
      <w:bCs/>
      <w:color w:val="474747"/>
      <w:sz w:val="28"/>
      <w:szCs w:val="28"/>
    </w:rPr>
  </w:style>
  <w:style w:type="table" w:customStyle="1" w:styleId="UGTable">
    <w:name w:val="UG_Table"/>
    <w:uiPriority w:val="99"/>
    <w:rsid w:val="00801300"/>
    <w:rPr>
      <w:rFonts w:eastAsia="MS Mincho"/>
      <w:lang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000067"/>
    <w:pPr>
      <w:keepNext/>
      <w:keepLines/>
      <w:spacing w:before="240"/>
      <w:jc w:val="center"/>
    </w:pPr>
    <w:rPr>
      <w:rFonts w:eastAsia="MS Gothic"/>
      <w:b/>
      <w:bCs/>
      <w:color w:val="474747"/>
      <w:sz w:val="28"/>
      <w:szCs w:val="28"/>
    </w:rPr>
  </w:style>
  <w:style w:type="paragraph" w:customStyle="1" w:styleId="ECHRParaQuote">
    <w:name w:val="ECHR_Para_Quote"/>
    <w:aliases w:val="Ju_Quot,Para_Quote"/>
    <w:basedOn w:val="Normalny"/>
    <w:link w:val="JuQuotChar"/>
    <w:uiPriority w:val="99"/>
    <w:rsid w:val="00162CF6"/>
    <w:pPr>
      <w:spacing w:before="120" w:after="120"/>
      <w:ind w:left="425" w:firstLine="142"/>
    </w:pPr>
    <w:rPr>
      <w:sz w:val="20"/>
      <w:szCs w:val="20"/>
    </w:rPr>
  </w:style>
  <w:style w:type="paragraph" w:customStyle="1" w:styleId="ECHRPara">
    <w:name w:val="ECHR_Para"/>
    <w:aliases w:val="Ju_Para,Para,Left,First line:  0 cm,N_Para"/>
    <w:basedOn w:val="Normalny"/>
    <w:link w:val="ECHRParaChar"/>
    <w:uiPriority w:val="99"/>
    <w:rsid w:val="00162CF6"/>
    <w:pPr>
      <w:ind w:firstLine="284"/>
    </w:p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000067"/>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link w:val="JuJudgesChar"/>
    <w:uiPriority w:val="99"/>
    <w:rsid w:val="00162CF6"/>
    <w:pPr>
      <w:tabs>
        <w:tab w:val="left" w:pos="567"/>
        <w:tab w:val="left" w:pos="1134"/>
      </w:tabs>
      <w:jc w:val="left"/>
    </w:pPr>
    <w:rPr>
      <w:lang w:eastAsia="pl-PL"/>
    </w:r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List">
    <w:name w:val="Ju_List"/>
    <w:basedOn w:val="Normalny"/>
    <w:uiPriority w:val="99"/>
    <w:rsid w:val="00162CF6"/>
    <w:pPr>
      <w:ind w:left="340" w:hanging="340"/>
    </w:pPr>
  </w:style>
  <w:style w:type="paragraph" w:customStyle="1" w:styleId="JuSigned">
    <w:name w:val="Ju_Signed"/>
    <w:basedOn w:val="Normalny"/>
    <w:next w:val="JuParaLast"/>
    <w:uiPriority w:val="99"/>
    <w:rsid w:val="00162CF6"/>
    <w:pPr>
      <w:tabs>
        <w:tab w:val="center" w:pos="851"/>
        <w:tab w:val="center" w:pos="6407"/>
      </w:tabs>
      <w:spacing w:before="720"/>
      <w:jc w:val="left"/>
    </w:pPr>
  </w:style>
  <w:style w:type="paragraph" w:customStyle="1" w:styleId="JuParaLast">
    <w:name w:val="Ju_Para_Last"/>
    <w:basedOn w:val="Normalny"/>
    <w:next w:val="ECHRPara"/>
    <w:uiPriority w:val="99"/>
    <w:rsid w:val="00162CF6"/>
    <w:pPr>
      <w:keepNext/>
      <w:keepLines/>
      <w:spacing w:before="240"/>
      <w:ind w:firstLine="284"/>
    </w:pPr>
  </w:style>
  <w:style w:type="paragraph" w:customStyle="1" w:styleId="JuCourt">
    <w:name w:val="Ju_Court"/>
    <w:basedOn w:val="Normalny"/>
    <w:next w:val="Normalny"/>
    <w:uiPriority w:val="99"/>
    <w:rsid w:val="00162CF6"/>
    <w:pPr>
      <w:tabs>
        <w:tab w:val="left" w:pos="907"/>
        <w:tab w:val="left" w:pos="1701"/>
        <w:tab w:val="right" w:pos="7371"/>
      </w:tabs>
      <w:spacing w:before="240"/>
      <w:ind w:left="397" w:hanging="397"/>
      <w:jc w:val="left"/>
    </w:pPr>
  </w:style>
  <w:style w:type="character" w:styleId="Numerstrony">
    <w:name w:val="page number"/>
    <w:uiPriority w:val="99"/>
    <w:semiHidden/>
    <w:rsid w:val="00014566"/>
    <w:rPr>
      <w:rFonts w:cs="Times New Roman"/>
      <w:sz w:val="18"/>
      <w:szCs w:val="18"/>
    </w:rPr>
  </w:style>
  <w:style w:type="paragraph" w:customStyle="1" w:styleId="OpiTranslation">
    <w:name w:val="Opi_Translation"/>
    <w:basedOn w:val="Normalny"/>
    <w:next w:val="OpiPara"/>
    <w:uiPriority w:val="99"/>
    <w:rsid w:val="00162CF6"/>
    <w:pPr>
      <w:jc w:val="center"/>
      <w:outlineLvl w:val="0"/>
    </w:pPr>
    <w:rPr>
      <w:i/>
      <w:iCs/>
    </w:rPr>
  </w:style>
  <w:style w:type="paragraph" w:customStyle="1" w:styleId="DecHTitle">
    <w:name w:val="Dec_H_Title"/>
    <w:basedOn w:val="ECHRTitleCentre1"/>
    <w:uiPriority w:val="99"/>
    <w:semiHidden/>
    <w:rsid w:val="00162CF6"/>
  </w:style>
  <w:style w:type="character" w:styleId="Odwoaniedokomentarza">
    <w:name w:val="annotation reference"/>
    <w:uiPriority w:val="99"/>
    <w:semiHidden/>
    <w:rsid w:val="00014566"/>
    <w:rPr>
      <w:rFonts w:cs="Times New Roman"/>
      <w:sz w:val="16"/>
      <w:szCs w:val="16"/>
    </w:rPr>
  </w:style>
  <w:style w:type="paragraph" w:styleId="Tekstkomentarza">
    <w:name w:val="annotation text"/>
    <w:basedOn w:val="Normalny"/>
    <w:link w:val="TekstkomentarzaZnak"/>
    <w:uiPriority w:val="99"/>
    <w:semiHidden/>
    <w:rsid w:val="00014566"/>
    <w:rPr>
      <w:sz w:val="20"/>
      <w:szCs w:val="20"/>
    </w:rPr>
  </w:style>
  <w:style w:type="character" w:customStyle="1" w:styleId="TekstkomentarzaZnak">
    <w:name w:val="Tekst komentarza Znak"/>
    <w:link w:val="Tekstkomentarza"/>
    <w:uiPriority w:val="99"/>
    <w:semiHidden/>
    <w:locked/>
    <w:rsid w:val="00014566"/>
    <w:rPr>
      <w:rFonts w:eastAsia="MS Mincho" w:cs="Times New Roman"/>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locked/>
    <w:rsid w:val="00014566"/>
    <w:rPr>
      <w:rFonts w:eastAsia="MS Mincho" w:cs="Times New Roman"/>
      <w:b/>
      <w:bCs/>
      <w:sz w:val="20"/>
      <w:szCs w:val="20"/>
    </w:rPr>
  </w:style>
  <w:style w:type="character" w:styleId="Odwoanieprzypisukocowego">
    <w:name w:val="endnote reference"/>
    <w:uiPriority w:val="99"/>
    <w:semiHidden/>
    <w:rsid w:val="00014566"/>
    <w:rPr>
      <w:rFonts w:cs="Times New Roman"/>
      <w:vertAlign w:val="superscript"/>
    </w:rPr>
  </w:style>
  <w:style w:type="paragraph" w:styleId="Tekstprzypisukocowego">
    <w:name w:val="endnote text"/>
    <w:basedOn w:val="Normalny"/>
    <w:link w:val="TekstprzypisukocowegoZnak"/>
    <w:uiPriority w:val="99"/>
    <w:semiHidden/>
    <w:rsid w:val="00014566"/>
    <w:rPr>
      <w:sz w:val="20"/>
      <w:szCs w:val="20"/>
    </w:rPr>
  </w:style>
  <w:style w:type="character" w:customStyle="1" w:styleId="TekstprzypisukocowegoZnak">
    <w:name w:val="Tekst przypisu końcowego Znak"/>
    <w:link w:val="Tekstprzypisukocowego"/>
    <w:uiPriority w:val="99"/>
    <w:semiHidden/>
    <w:locked/>
    <w:rsid w:val="00014566"/>
    <w:rPr>
      <w:rFonts w:eastAsia="MS Mincho" w:cs="Times New Roman"/>
      <w:sz w:val="20"/>
      <w:szCs w:val="20"/>
    </w:rPr>
  </w:style>
  <w:style w:type="character" w:styleId="UyteHipercze">
    <w:name w:val="FollowedHyperlink"/>
    <w:uiPriority w:val="99"/>
    <w:semiHidden/>
    <w:rsid w:val="00014566"/>
    <w:rPr>
      <w:rFonts w:cs="Times New Roman"/>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014566"/>
    <w:rPr>
      <w:rFonts w:ascii="Tahoma" w:eastAsia="MS Mincho" w:hAnsi="Tahoma" w:cs="Tahoma"/>
      <w:sz w:val="20"/>
      <w:szCs w:val="20"/>
      <w:shd w:val="clear" w:color="auto" w:fill="000080"/>
    </w:rPr>
  </w:style>
  <w:style w:type="paragraph" w:customStyle="1" w:styleId="DecList">
    <w:name w:val="Dec_List"/>
    <w:basedOn w:val="Normalny"/>
    <w:uiPriority w:val="99"/>
    <w:semiHidden/>
    <w:rsid w:val="00162CF6"/>
    <w:pPr>
      <w:spacing w:before="240"/>
      <w:ind w:left="284"/>
    </w:pPr>
  </w:style>
  <w:style w:type="paragraph" w:styleId="Listapunktowana">
    <w:name w:val="List Bullet"/>
    <w:basedOn w:val="Normalny"/>
    <w:uiPriority w:val="99"/>
    <w:semiHidden/>
    <w:rsid w:val="00014566"/>
    <w:pPr>
      <w:numPr>
        <w:numId w:val="40"/>
      </w:numPr>
    </w:pPr>
  </w:style>
  <w:style w:type="character" w:customStyle="1" w:styleId="JuITMark">
    <w:name w:val="Ju_ITMark"/>
    <w:uiPriority w:val="99"/>
    <w:rsid w:val="00162CF6"/>
    <w:rPr>
      <w:rFonts w:cs="Times New Roman"/>
      <w:color w:val="auto"/>
      <w:sz w:val="14"/>
      <w:szCs w:val="14"/>
      <w:shd w:val="clear" w:color="auto" w:fill="BEE5FF"/>
    </w:rPr>
  </w:style>
  <w:style w:type="paragraph" w:styleId="Podtytu">
    <w:name w:val="Subtitle"/>
    <w:basedOn w:val="Normalny"/>
    <w:next w:val="Normalny"/>
    <w:link w:val="PodtytuZnak"/>
    <w:uiPriority w:val="99"/>
    <w:qFormat/>
    <w:rsid w:val="00162CF6"/>
    <w:pPr>
      <w:spacing w:after="600"/>
    </w:pPr>
    <w:rPr>
      <w:rFonts w:eastAsia="MS Gothic"/>
      <w:i/>
      <w:iCs/>
      <w:spacing w:val="13"/>
    </w:rPr>
  </w:style>
  <w:style w:type="character" w:customStyle="1" w:styleId="PodtytuZnak">
    <w:name w:val="Podtytuł Znak"/>
    <w:link w:val="Podtytu"/>
    <w:uiPriority w:val="99"/>
    <w:semiHidden/>
    <w:locked/>
    <w:rsid w:val="00162CF6"/>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rsid w:val="00014566"/>
    <w:pPr>
      <w:spacing w:after="120"/>
    </w:pPr>
  </w:style>
  <w:style w:type="character" w:customStyle="1" w:styleId="TekstpodstawowyZnak">
    <w:name w:val="Tekst podstawowy Znak"/>
    <w:link w:val="Tekstpodstawowy"/>
    <w:uiPriority w:val="99"/>
    <w:locked/>
    <w:rsid w:val="00014566"/>
    <w:rPr>
      <w:rFonts w:eastAsia="MS Mincho" w:cs="Times New Roman"/>
      <w:sz w:val="24"/>
      <w:szCs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link w:val="Tekstpodstawowy2"/>
    <w:uiPriority w:val="99"/>
    <w:semiHidden/>
    <w:locked/>
    <w:rsid w:val="00014566"/>
    <w:rPr>
      <w:rFonts w:eastAsia="MS Mincho" w:cs="Times New Roman"/>
      <w:sz w:val="24"/>
      <w:szCs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link w:val="Tekstpodstawowy3"/>
    <w:uiPriority w:val="99"/>
    <w:semiHidden/>
    <w:locked/>
    <w:rsid w:val="00014566"/>
    <w:rPr>
      <w:rFonts w:eastAsia="MS Mincho" w:cs="Times New Roman"/>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link w:val="Tekstpodstawowyzwciciem"/>
    <w:uiPriority w:val="99"/>
    <w:semiHidden/>
    <w:locked/>
    <w:rsid w:val="00014566"/>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link w:val="Tekstpodstawowywcity"/>
    <w:uiPriority w:val="99"/>
    <w:semiHidden/>
    <w:locked/>
    <w:rsid w:val="00014566"/>
    <w:rPr>
      <w:rFonts w:eastAsia="MS Mincho" w:cs="Times New Roman"/>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link w:val="Tekstpodstawowyzwciciem2"/>
    <w:uiPriority w:val="99"/>
    <w:semiHidden/>
    <w:locked/>
    <w:rsid w:val="00014566"/>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link w:val="Tekstpodstawowywcity2"/>
    <w:uiPriority w:val="99"/>
    <w:semiHidden/>
    <w:locked/>
    <w:rsid w:val="00014566"/>
    <w:rPr>
      <w:rFonts w:eastAsia="MS Mincho" w:cs="Times New Roman"/>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014566"/>
    <w:rPr>
      <w:rFonts w:eastAsia="MS Mincho" w:cs="Times New Roman"/>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link w:val="Zwrotpoegnalny"/>
    <w:uiPriority w:val="99"/>
    <w:semiHidden/>
    <w:locked/>
    <w:rsid w:val="00014566"/>
    <w:rPr>
      <w:rFonts w:eastAsia="MS Mincho" w:cs="Times New Roman"/>
      <w:sz w:val="24"/>
      <w:szCs w:val="24"/>
    </w:rPr>
  </w:style>
  <w:style w:type="table" w:styleId="Kolorowasiatka">
    <w:name w:val="Colorful Grid"/>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014566"/>
    <w:rPr>
      <w:color w:val="000000"/>
      <w:lang w:eastAsia="fr-FR"/>
    </w:rPr>
    <w:tblPr>
      <w:tblStyleRowBandSize w:val="1"/>
      <w:tblStyleColBandSize w:val="1"/>
      <w:tblInd w:w="0" w:type="nil"/>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014566"/>
    <w:rPr>
      <w:color w:val="000000"/>
      <w:lang w:eastAsia="fr-FR"/>
    </w:rPr>
    <w:tblPr>
      <w:tblStyleRowBandSize w:val="1"/>
      <w:tblStyleColBandSize w:val="1"/>
      <w:tblInd w:w="0" w:type="nil"/>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014566"/>
    <w:rPr>
      <w:color w:val="000000"/>
      <w:lang w:eastAsia="fr-FR"/>
    </w:rPr>
    <w:tblPr>
      <w:tblStyleRowBandSize w:val="1"/>
      <w:tblStyleColBandSize w:val="1"/>
      <w:tblInd w:w="0" w:type="nil"/>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014566"/>
    <w:rPr>
      <w:color w:val="000000"/>
      <w:lang w:eastAsia="fr-FR"/>
    </w:rPr>
    <w:tblPr>
      <w:tblStyleRowBandSize w:val="1"/>
      <w:tblStyleColBandSize w:val="1"/>
      <w:tblInd w:w="0" w:type="nil"/>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014566"/>
    <w:rPr>
      <w:color w:val="000000"/>
      <w:lang w:eastAsia="fr-FR"/>
    </w:rPr>
    <w:tblPr>
      <w:tblStyleRowBandSize w:val="1"/>
      <w:tblStyleColBandSize w:val="1"/>
      <w:tblInd w:w="0" w:type="nil"/>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014566"/>
    <w:rPr>
      <w:color w:val="000000"/>
      <w:lang w:eastAsia="fr-FR"/>
    </w:rPr>
    <w:tblPr>
      <w:tblStyleRowBandSize w:val="1"/>
      <w:tblStyleColBandSize w:val="1"/>
      <w:tblInd w:w="0" w:type="nil"/>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014566"/>
    <w:rPr>
      <w:color w:val="000000"/>
      <w:lang w:eastAsia="fr-FR"/>
    </w:rPr>
    <w:tblPr>
      <w:tblStyleRowBandSize w:val="1"/>
      <w:tblStyleColBandSize w:val="1"/>
      <w:tblInd w:w="0" w:type="nil"/>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014566"/>
    <w:rPr>
      <w:color w:val="000000"/>
      <w:lang w:eastAsia="fr-FR"/>
    </w:rPr>
    <w:tblPr>
      <w:tblStyleRowBandSize w:val="1"/>
      <w:tblStyleColBandSize w:val="1"/>
      <w:tblInd w:w="0" w:type="nil"/>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014566"/>
    <w:rPr>
      <w:color w:val="000000"/>
      <w:lang w:eastAsia="fr-FR"/>
    </w:rPr>
    <w:tblPr>
      <w:tblStyleRowBandSize w:val="1"/>
      <w:tblStyleColBandSize w:val="1"/>
      <w:tblInd w:w="0" w:type="nil"/>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014566"/>
    <w:rPr>
      <w:color w:val="000000"/>
      <w:lang w:eastAsia="fr-FR"/>
    </w:rPr>
    <w:tblPr>
      <w:tblStyleRowBandSize w:val="1"/>
      <w:tblStyleColBandSize w:val="1"/>
      <w:tblInd w:w="0" w:type="nil"/>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014566"/>
    <w:rPr>
      <w:color w:val="000000"/>
      <w:lang w:eastAsia="fr-FR"/>
    </w:rPr>
    <w:tblPr>
      <w:tblStyleRowBandSize w:val="1"/>
      <w:tblStyleColBandSize w:val="1"/>
      <w:tblInd w:w="0" w:type="nil"/>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014566"/>
    <w:rPr>
      <w:color w:val="000000"/>
      <w:lang w:eastAsia="fr-FR"/>
    </w:rPr>
    <w:tblPr>
      <w:tblStyleRowBandSize w:val="1"/>
      <w:tblStyleColBandSize w:val="1"/>
      <w:tblInd w:w="0" w:type="nil"/>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014566"/>
    <w:rPr>
      <w:color w:val="000000"/>
      <w:lang w:eastAsia="fr-FR"/>
    </w:rPr>
    <w:tblPr>
      <w:tblStyleRowBandSize w:val="1"/>
      <w:tblStyleColBandSize w:val="1"/>
      <w:tblInd w:w="0" w:type="nil"/>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014566"/>
    <w:rPr>
      <w:color w:val="000000"/>
      <w:lang w:eastAsia="fr-FR"/>
    </w:rPr>
    <w:tblPr>
      <w:tblStyleRowBandSize w:val="1"/>
      <w:tblStyleColBandSize w:val="1"/>
      <w:tblInd w:w="0" w:type="nil"/>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sid w:val="00014566"/>
    <w:rPr>
      <w:color w:val="0072BC"/>
      <w:lang w:eastAsia="fr-FR"/>
    </w:rPr>
    <w:tblPr>
      <w:tblStyleRowBandSize w:val="1"/>
      <w:tblStyleColBandSize w:val="1"/>
      <w:tblInd w:w="0" w:type="nil"/>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eastAsia="fr-FR"/>
    </w:rPr>
    <w:tblPr>
      <w:tblStyleRowBandSize w:val="1"/>
      <w:tblStyleColBandSize w:val="1"/>
      <w:tblInd w:w="0" w:type="nil"/>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eastAsia="fr-FR"/>
    </w:rPr>
    <w:tblPr>
      <w:tblStyleRowBandSize w:val="1"/>
      <w:tblStyleColBandSize w:val="1"/>
      <w:tblInd w:w="0" w:type="nil"/>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eastAsia="fr-FR"/>
    </w:rPr>
    <w:tblPr>
      <w:tblStyleRowBandSize w:val="1"/>
      <w:tblStyleColBandSize w:val="1"/>
      <w:tblInd w:w="0" w:type="nil"/>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eastAsia="fr-FR"/>
    </w:rPr>
    <w:tblPr>
      <w:tblStyleRowBandSize w:val="1"/>
      <w:tblStyleColBandSize w:val="1"/>
      <w:tblInd w:w="0" w:type="nil"/>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eastAsia="fr-FR"/>
    </w:rPr>
    <w:tblPr>
      <w:tblStyleRowBandSize w:val="1"/>
      <w:tblStyleColBandSize w:val="1"/>
      <w:tblInd w:w="0" w:type="nil"/>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eastAsia="fr-FR"/>
    </w:rPr>
    <w:tblPr>
      <w:tblStyleRowBandSize w:val="1"/>
      <w:tblStyleColBandSize w:val="1"/>
      <w:tblInd w:w="0" w:type="nil"/>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character" w:customStyle="1" w:styleId="DataZnak">
    <w:name w:val="Data Znak"/>
    <w:link w:val="Data"/>
    <w:uiPriority w:val="99"/>
    <w:semiHidden/>
    <w:locked/>
    <w:rsid w:val="00014566"/>
    <w:rPr>
      <w:rFonts w:eastAsia="MS Mincho" w:cs="Times New Roman"/>
      <w:sz w:val="24"/>
      <w:szCs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link w:val="Podpise-mail"/>
    <w:uiPriority w:val="99"/>
    <w:semiHidden/>
    <w:locked/>
    <w:rsid w:val="00014566"/>
    <w:rPr>
      <w:rFonts w:eastAsia="MS Mincho" w:cs="Times New Roman"/>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uiPriority w:val="99"/>
    <w:semiHidden/>
    <w:rsid w:val="00014566"/>
    <w:rPr>
      <w:rFonts w:cs="Times New Roman"/>
    </w:rPr>
  </w:style>
  <w:style w:type="paragraph" w:styleId="HTML-adres">
    <w:name w:val="HTML Address"/>
    <w:basedOn w:val="Normalny"/>
    <w:link w:val="HTML-adresZnak"/>
    <w:uiPriority w:val="99"/>
    <w:semiHidden/>
    <w:rsid w:val="00014566"/>
    <w:rPr>
      <w:i/>
      <w:iCs/>
    </w:rPr>
  </w:style>
  <w:style w:type="character" w:customStyle="1" w:styleId="HTML-adresZnak">
    <w:name w:val="HTML - adres Znak"/>
    <w:link w:val="HTML-adres"/>
    <w:uiPriority w:val="99"/>
    <w:semiHidden/>
    <w:locked/>
    <w:rsid w:val="00014566"/>
    <w:rPr>
      <w:rFonts w:eastAsia="MS Mincho" w:cs="Times New Roman"/>
      <w:i/>
      <w:iCs/>
      <w:sz w:val="24"/>
      <w:szCs w:val="24"/>
    </w:rPr>
  </w:style>
  <w:style w:type="character" w:styleId="HTML-cytat">
    <w:name w:val="HTML Cite"/>
    <w:uiPriority w:val="99"/>
    <w:semiHidden/>
    <w:rsid w:val="00014566"/>
    <w:rPr>
      <w:rFonts w:cs="Times New Roman"/>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rFonts w:cs="Times New Roman"/>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014566"/>
    <w:rPr>
      <w:rFonts w:ascii="Consolas" w:eastAsia="MS Mincho"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rFonts w:cs="Times New Roman"/>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eastAsia="fr-FR"/>
    </w:rPr>
    <w:tblPr>
      <w:tblStyleRowBandSize w:val="1"/>
      <w:tblStyleColBandSize w:val="1"/>
      <w:tblInd w:w="0" w:type="nil"/>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eastAsia="fr-FR"/>
    </w:rPr>
    <w:tblPr>
      <w:tblStyleRowBandSize w:val="1"/>
      <w:tblStyleColBandSize w:val="1"/>
      <w:tblInd w:w="0" w:type="nil"/>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eastAsia="fr-FR"/>
    </w:rPr>
    <w:tblPr>
      <w:tblStyleRowBandSize w:val="1"/>
      <w:tblStyleColBandSize w:val="1"/>
      <w:tblInd w:w="0" w:type="nil"/>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eastAsia="fr-FR"/>
    </w:rPr>
    <w:tblPr>
      <w:tblStyleRowBandSize w:val="1"/>
      <w:tblStyleColBandSize w:val="1"/>
      <w:tblInd w:w="0" w:type="nil"/>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eastAsia="fr-FR"/>
    </w:rPr>
    <w:tblPr>
      <w:tblStyleRowBandSize w:val="1"/>
      <w:tblStyleColBandSize w:val="1"/>
      <w:tblInd w:w="0" w:type="nil"/>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eastAsia="fr-FR"/>
    </w:rPr>
    <w:tblPr>
      <w:tblStyleRowBandSize w:val="1"/>
      <w:tblStyleColBandSize w:val="1"/>
      <w:tblInd w:w="0" w:type="nil"/>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eastAsia="fr-FR"/>
    </w:rPr>
    <w:tblPr>
      <w:tblStyleRowBandSize w:val="1"/>
      <w:tblStyleColBandSize w:val="1"/>
      <w:tblInd w:w="0" w:type="nil"/>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uiPriority w:val="99"/>
    <w:semiHidden/>
    <w:rsid w:val="00014566"/>
    <w:rPr>
      <w:rFonts w:cs="Times New Roman"/>
    </w:rPr>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
      </w:numPr>
      <w:tabs>
        <w:tab w:val="clear" w:pos="360"/>
        <w:tab w:val="num" w:pos="643"/>
      </w:tabs>
      <w:ind w:left="643"/>
    </w:pPr>
  </w:style>
  <w:style w:type="paragraph" w:styleId="Listapunktowana3">
    <w:name w:val="List Bullet 3"/>
    <w:basedOn w:val="Normalny"/>
    <w:uiPriority w:val="99"/>
    <w:semiHidden/>
    <w:rsid w:val="00014566"/>
    <w:pPr>
      <w:numPr>
        <w:numId w:val="2"/>
      </w:numPr>
      <w:tabs>
        <w:tab w:val="clear" w:pos="643"/>
        <w:tab w:val="num" w:pos="926"/>
      </w:tabs>
      <w:ind w:left="926"/>
    </w:pPr>
  </w:style>
  <w:style w:type="paragraph" w:styleId="Listapunktowana4">
    <w:name w:val="List Bullet 4"/>
    <w:basedOn w:val="Normalny"/>
    <w:uiPriority w:val="99"/>
    <w:semiHidden/>
    <w:rsid w:val="00014566"/>
    <w:pPr>
      <w:numPr>
        <w:numId w:val="3"/>
      </w:numPr>
      <w:tabs>
        <w:tab w:val="clear" w:pos="926"/>
        <w:tab w:val="num" w:pos="1209"/>
      </w:tabs>
      <w:ind w:left="1209"/>
    </w:pPr>
  </w:style>
  <w:style w:type="paragraph" w:styleId="Listapunktowana5">
    <w:name w:val="List Bullet 5"/>
    <w:basedOn w:val="Normalny"/>
    <w:uiPriority w:val="99"/>
    <w:semiHidden/>
    <w:rsid w:val="00014566"/>
    <w:pPr>
      <w:tabs>
        <w:tab w:val="num" w:pos="1492"/>
      </w:tabs>
      <w:ind w:left="1492" w:hanging="360"/>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5"/>
      </w:numPr>
      <w:tabs>
        <w:tab w:val="clear" w:pos="1492"/>
        <w:tab w:val="num" w:pos="360"/>
      </w:tabs>
      <w:ind w:left="360"/>
    </w:pPr>
  </w:style>
  <w:style w:type="paragraph" w:styleId="Listanumerowana2">
    <w:name w:val="List Number 2"/>
    <w:basedOn w:val="Normalny"/>
    <w:uiPriority w:val="99"/>
    <w:semiHidden/>
    <w:rsid w:val="00014566"/>
    <w:pPr>
      <w:numPr>
        <w:numId w:val="6"/>
      </w:numPr>
      <w:tabs>
        <w:tab w:val="clear" w:pos="360"/>
        <w:tab w:val="num" w:pos="643"/>
      </w:tabs>
      <w:ind w:left="643"/>
    </w:pPr>
  </w:style>
  <w:style w:type="paragraph" w:styleId="Listanumerowana3">
    <w:name w:val="List Number 3"/>
    <w:basedOn w:val="Normalny"/>
    <w:uiPriority w:val="99"/>
    <w:semiHidden/>
    <w:rsid w:val="00014566"/>
    <w:pPr>
      <w:numPr>
        <w:numId w:val="7"/>
      </w:numPr>
      <w:tabs>
        <w:tab w:val="clear" w:pos="643"/>
        <w:tab w:val="num" w:pos="926"/>
      </w:tabs>
      <w:ind w:left="926"/>
    </w:pPr>
  </w:style>
  <w:style w:type="paragraph" w:styleId="Listanumerowana4">
    <w:name w:val="List Number 4"/>
    <w:basedOn w:val="Normalny"/>
    <w:uiPriority w:val="99"/>
    <w:semiHidden/>
    <w:rsid w:val="00014566"/>
    <w:pPr>
      <w:numPr>
        <w:numId w:val="8"/>
      </w:numPr>
      <w:tabs>
        <w:tab w:val="clear" w:pos="926"/>
        <w:tab w:val="num" w:pos="1209"/>
      </w:tabs>
      <w:ind w:left="1209"/>
    </w:pPr>
  </w:style>
  <w:style w:type="paragraph" w:styleId="Listanumerowana5">
    <w:name w:val="List Number 5"/>
    <w:basedOn w:val="Normalny"/>
    <w:uiPriority w:val="99"/>
    <w:semiHidden/>
    <w:rsid w:val="00014566"/>
    <w:pPr>
      <w:numPr>
        <w:numId w:val="9"/>
      </w:numPr>
      <w:tabs>
        <w:tab w:val="clear" w:pos="1209"/>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eastAsia="fr-FR"/>
    </w:rPr>
  </w:style>
  <w:style w:type="character" w:customStyle="1" w:styleId="TekstmakraZnak">
    <w:name w:val="Tekst makra Znak"/>
    <w:link w:val="Tekstmakra"/>
    <w:uiPriority w:val="99"/>
    <w:semiHidden/>
    <w:locked/>
    <w:rsid w:val="00014566"/>
    <w:rPr>
      <w:rFonts w:ascii="Consolas" w:hAnsi="Consolas" w:cs="Consolas"/>
      <w:lang w:val="pl-PL" w:eastAsia="fr-FR"/>
    </w:rPr>
  </w:style>
  <w:style w:type="table" w:styleId="redniasiatka1">
    <w:name w:val="Medium Grid 1"/>
    <w:basedOn w:val="Standardowy"/>
    <w:uiPriority w:val="99"/>
    <w:semiHidden/>
    <w:rsid w:val="00014566"/>
    <w:rPr>
      <w:lang w:eastAsia="fr-FR"/>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014566"/>
    <w:rPr>
      <w:lang w:eastAsia="fr-FR"/>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014566"/>
    <w:rPr>
      <w:lang w:eastAsia="fr-FR"/>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014566"/>
    <w:rPr>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014566"/>
    <w:rPr>
      <w:lang w:eastAsia="fr-FR"/>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014566"/>
    <w:rPr>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014566"/>
    <w:rPr>
      <w:lang w:eastAsia="fr-FR"/>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eastAsia="fr-FR"/>
    </w:rPr>
    <w:tblPr>
      <w:tblStyleRowBandSize w:val="1"/>
      <w:tblStyleColBandSize w:val="1"/>
      <w:tblInd w:w="0" w:type="nil"/>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014566"/>
    <w:rPr>
      <w:color w:val="000000"/>
      <w:lang w:eastAsia="fr-FR"/>
    </w:rPr>
    <w:tblPr>
      <w:tblStyleRowBandSize w:val="1"/>
      <w:tblStyleColBandSize w:val="1"/>
      <w:tblInd w:w="0" w:type="nil"/>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014566"/>
    <w:rPr>
      <w:color w:val="000000"/>
      <w:lang w:eastAsia="fr-FR"/>
    </w:rPr>
    <w:tblPr>
      <w:tblStyleRowBandSize w:val="1"/>
      <w:tblStyleColBandSize w:val="1"/>
      <w:tblInd w:w="0" w:type="nil"/>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014566"/>
    <w:rPr>
      <w:color w:val="000000"/>
      <w:lang w:eastAsia="fr-FR"/>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014566"/>
    <w:rPr>
      <w:color w:val="000000"/>
      <w:lang w:eastAsia="fr-FR"/>
    </w:rPr>
    <w:tblPr>
      <w:tblStyleRowBandSize w:val="1"/>
      <w:tblStyleColBandSize w:val="1"/>
      <w:tblInd w:w="0" w:type="nil"/>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014566"/>
    <w:rPr>
      <w:color w:val="000000"/>
      <w:lang w:eastAsia="fr-FR"/>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014566"/>
    <w:rPr>
      <w:color w:val="000000"/>
      <w:lang w:eastAsia="fr-FR"/>
    </w:rPr>
    <w:tblPr>
      <w:tblStyleRowBandSize w:val="1"/>
      <w:tblStyleColBandSize w:val="1"/>
      <w:tblInd w:w="0" w:type="nil"/>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link w:val="Nagweknotatki"/>
    <w:uiPriority w:val="99"/>
    <w:semiHidden/>
    <w:locked/>
    <w:rsid w:val="00014566"/>
    <w:rPr>
      <w:rFonts w:eastAsia="MS Mincho" w:cs="Times New Roman"/>
      <w:sz w:val="24"/>
      <w:szCs w:val="24"/>
    </w:rPr>
  </w:style>
  <w:style w:type="character" w:styleId="Tekstzastpczy">
    <w:name w:val="Placeholder Text"/>
    <w:uiPriority w:val="99"/>
    <w:semiHidden/>
    <w:rsid w:val="00000067"/>
    <w:rPr>
      <w:rFonts w:cs="Times New Roman"/>
      <w:color w:val="auto"/>
      <w:shd w:val="clear" w:color="auto" w:fill="DFDFDF"/>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link w:val="Zwrotgrzecznociowy"/>
    <w:uiPriority w:val="99"/>
    <w:semiHidden/>
    <w:locked/>
    <w:rsid w:val="00014566"/>
    <w:rPr>
      <w:rFonts w:eastAsia="MS Mincho" w:cs="Times New Roman"/>
      <w:sz w:val="24"/>
      <w:szCs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link w:val="Podpis"/>
    <w:uiPriority w:val="99"/>
    <w:semiHidden/>
    <w:locked/>
    <w:rsid w:val="00014566"/>
    <w:rPr>
      <w:rFonts w:eastAsia="MS Mincho" w:cs="Times New Roman"/>
      <w:sz w:val="24"/>
      <w:szCs w:val="24"/>
    </w:rPr>
  </w:style>
  <w:style w:type="table" w:styleId="Tabela-Efekty3W1">
    <w:name w:val="Table 3D effects 1"/>
    <w:basedOn w:val="Standardowy"/>
    <w:uiPriority w:val="99"/>
    <w:semiHidden/>
    <w:rsid w:val="00014566"/>
    <w:pPr>
      <w:suppressAutoHyphens/>
    </w:pPr>
    <w:rPr>
      <w:lang w:eastAsia="fr-FR"/>
    </w:rPr>
    <w:tblPr>
      <w:tblInd w:w="0" w:type="nil"/>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eastAsia="fr-FR"/>
    </w:rPr>
    <w:tblPr>
      <w:tblStyleRowBandSize w:val="1"/>
      <w:tblInd w:w="0" w:type="nil"/>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eastAsia="fr-FR"/>
    </w:rPr>
    <w:tblPr>
      <w:tblStyleRowBandSize w:val="1"/>
      <w:tblStyleColBandSize w:val="1"/>
      <w:tblInd w:w="0" w:type="nil"/>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Ind w:w="0" w:type="nil"/>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Ind w:w="0" w:type="nil"/>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Ind w:w="0" w:type="nil"/>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Ind w:w="0" w:type="nil"/>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Ind w:w="0" w:type="nil"/>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Ind w:w="0" w:type="nil"/>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Ind w:w="0" w:type="nil"/>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Ind w:w="0" w:type="nil"/>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Ind w:w="0" w:type="nil"/>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Ind w:w="0" w:type="nil"/>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Ind w:w="0" w:type="nil"/>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Ind w:w="0" w:type="nil"/>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Ind w:w="0" w:type="nil"/>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99"/>
    <w:rsid w:val="00162CF6"/>
    <w:pPr>
      <w:ind w:left="346" w:firstLine="0"/>
    </w:pPr>
  </w:style>
  <w:style w:type="paragraph" w:customStyle="1" w:styleId="JuListi">
    <w:name w:val="Ju_List_i"/>
    <w:basedOn w:val="Normalny"/>
    <w:next w:val="JuLista"/>
    <w:uiPriority w:val="99"/>
    <w:rsid w:val="00162CF6"/>
    <w:pPr>
      <w:ind w:left="794"/>
    </w:pPr>
  </w:style>
  <w:style w:type="paragraph" w:customStyle="1" w:styleId="OpiH1">
    <w:name w:val="Opi_H_1"/>
    <w:basedOn w:val="ECHRHeading2"/>
    <w:uiPriority w:val="99"/>
    <w:rsid w:val="00162CF6"/>
    <w:pPr>
      <w:ind w:left="635" w:hanging="357"/>
      <w:outlineLvl w:val="2"/>
    </w:pPr>
  </w:style>
  <w:style w:type="paragraph" w:customStyle="1" w:styleId="OpiHa0">
    <w:name w:val="Opi_H_a"/>
    <w:basedOn w:val="ECHRHeading3"/>
    <w:uiPriority w:val="99"/>
    <w:rsid w:val="00162CF6"/>
    <w:pPr>
      <w:ind w:left="833" w:hanging="357"/>
      <w:outlineLvl w:val="3"/>
    </w:pPr>
    <w:rPr>
      <w:b/>
      <w:bCs/>
      <w:i w:val="0"/>
      <w:iCs w:val="0"/>
      <w:sz w:val="20"/>
      <w:szCs w:val="20"/>
    </w:rPr>
  </w:style>
  <w:style w:type="paragraph" w:customStyle="1" w:styleId="OpiHi">
    <w:name w:val="Opi_H_i"/>
    <w:basedOn w:val="ECHRHeading4"/>
    <w:uiPriority w:val="99"/>
    <w:rsid w:val="00162CF6"/>
    <w:pPr>
      <w:ind w:left="1037" w:hanging="357"/>
      <w:outlineLvl w:val="4"/>
    </w:pPr>
    <w:rPr>
      <w:b w:val="0"/>
      <w:bCs w:val="0"/>
      <w:i/>
      <w:iCs/>
    </w:rPr>
  </w:style>
  <w:style w:type="paragraph" w:customStyle="1" w:styleId="DummyStyle">
    <w:name w:val="Dummy_Style"/>
    <w:basedOn w:val="Normalny"/>
    <w:uiPriority w:val="99"/>
    <w:semiHidden/>
    <w:rsid w:val="00162CF6"/>
    <w:rPr>
      <w:color w:val="00B050"/>
    </w:rPr>
  </w:style>
  <w:style w:type="paragraph" w:customStyle="1" w:styleId="JuHeaderLandscape">
    <w:name w:val="Ju_Header_Landscape"/>
    <w:basedOn w:val="ECHRHeader"/>
    <w:uiPriority w:val="99"/>
    <w:rsid w:val="00162CF6"/>
    <w:pPr>
      <w:tabs>
        <w:tab w:val="clear" w:pos="3686"/>
        <w:tab w:val="clear" w:pos="7371"/>
        <w:tab w:val="center" w:pos="6146"/>
        <w:tab w:val="right" w:pos="12293"/>
      </w:tabs>
    </w:pPr>
  </w:style>
  <w:style w:type="character" w:customStyle="1" w:styleId="ECHRParaChar">
    <w:name w:val="ECHR_Para Char"/>
    <w:aliases w:val="Ju_Para Char"/>
    <w:link w:val="ECHRPara"/>
    <w:uiPriority w:val="99"/>
    <w:locked/>
    <w:rsid w:val="00223DC3"/>
    <w:rPr>
      <w:rFonts w:eastAsia="MS Mincho" w:cs="Times New Roman"/>
      <w:sz w:val="24"/>
      <w:szCs w:val="24"/>
    </w:rPr>
  </w:style>
  <w:style w:type="character" w:customStyle="1" w:styleId="JuQuotChar">
    <w:name w:val="Ju_Quot Char"/>
    <w:link w:val="ECHRParaQuote"/>
    <w:uiPriority w:val="99"/>
    <w:locked/>
    <w:rsid w:val="00DA3D8B"/>
    <w:rPr>
      <w:rFonts w:eastAsia="MS Mincho" w:cs="Times New Roman"/>
      <w:sz w:val="20"/>
      <w:szCs w:val="20"/>
    </w:rPr>
  </w:style>
  <w:style w:type="paragraph" w:styleId="Poprawka">
    <w:name w:val="Revision"/>
    <w:hidden/>
    <w:uiPriority w:val="99"/>
    <w:semiHidden/>
    <w:rsid w:val="00044294"/>
    <w:rPr>
      <w:sz w:val="24"/>
      <w:szCs w:val="24"/>
      <w:lang w:eastAsia="fr-FR"/>
    </w:rPr>
  </w:style>
  <w:style w:type="paragraph" w:customStyle="1" w:styleId="ECHRParaSpaced">
    <w:name w:val="ECHR_Para_Spaced"/>
    <w:aliases w:val="Para_Spaced"/>
    <w:basedOn w:val="Normalny"/>
    <w:uiPriority w:val="99"/>
    <w:rsid w:val="00044294"/>
    <w:pPr>
      <w:spacing w:before="120" w:after="120"/>
    </w:pPr>
    <w:rPr>
      <w:rFonts w:eastAsia="Times New Roman"/>
      <w:sz w:val="22"/>
      <w:szCs w:val="22"/>
    </w:rPr>
  </w:style>
  <w:style w:type="character" w:customStyle="1" w:styleId="JuHIRomanChar">
    <w:name w:val="Ju_H_I_Roman Char"/>
    <w:link w:val="ECHRHeading1"/>
    <w:uiPriority w:val="99"/>
    <w:locked/>
    <w:rsid w:val="00044294"/>
    <w:rPr>
      <w:rFonts w:ascii="Times New Roman" w:eastAsia="MS Gothic" w:hAnsi="Times New Roman"/>
      <w:sz w:val="28"/>
    </w:rPr>
  </w:style>
  <w:style w:type="character" w:customStyle="1" w:styleId="JuJudgesChar">
    <w:name w:val="Ju_Judges Char"/>
    <w:link w:val="ECHRDecisionBody"/>
    <w:uiPriority w:val="99"/>
    <w:locked/>
    <w:rsid w:val="00044294"/>
    <w:rPr>
      <w:rFonts w:eastAsia="MS Mincho"/>
      <w:sz w:val="24"/>
    </w:rPr>
  </w:style>
  <w:style w:type="paragraph" w:customStyle="1" w:styleId="ECHRBullet1">
    <w:name w:val="ECHR_Bullet_1"/>
    <w:aliases w:val="Bul_1"/>
    <w:basedOn w:val="Normalny"/>
    <w:uiPriority w:val="99"/>
    <w:rsid w:val="00044294"/>
    <w:pPr>
      <w:numPr>
        <w:numId w:val="44"/>
      </w:numPr>
      <w:spacing w:before="60" w:after="60"/>
    </w:pPr>
    <w:rPr>
      <w:sz w:val="22"/>
      <w:szCs w:val="22"/>
    </w:rPr>
  </w:style>
  <w:style w:type="paragraph" w:customStyle="1" w:styleId="ECHRBullet2">
    <w:name w:val="ECHR_Bullet_2"/>
    <w:aliases w:val="Bul_2"/>
    <w:basedOn w:val="ECHRBullet1"/>
    <w:uiPriority w:val="99"/>
    <w:rsid w:val="00044294"/>
    <w:pPr>
      <w:numPr>
        <w:ilvl w:val="1"/>
      </w:numPr>
      <w:tabs>
        <w:tab w:val="num" w:pos="926"/>
        <w:tab w:val="num" w:pos="1209"/>
      </w:tabs>
      <w:ind w:hanging="360"/>
    </w:pPr>
  </w:style>
  <w:style w:type="paragraph" w:customStyle="1" w:styleId="ECHRBullet3">
    <w:name w:val="ECHR_Bullet_3"/>
    <w:aliases w:val="Bul_3"/>
    <w:basedOn w:val="ECHRBullet2"/>
    <w:uiPriority w:val="99"/>
    <w:rsid w:val="00044294"/>
    <w:pPr>
      <w:numPr>
        <w:ilvl w:val="2"/>
      </w:numPr>
      <w:tabs>
        <w:tab w:val="num" w:pos="926"/>
        <w:tab w:val="num" w:pos="1134"/>
      </w:tabs>
      <w:ind w:hanging="180"/>
    </w:pPr>
  </w:style>
  <w:style w:type="paragraph" w:customStyle="1" w:styleId="ECHRBullet4">
    <w:name w:val="ECHR_Bullet_4"/>
    <w:aliases w:val="Bul_4"/>
    <w:basedOn w:val="ECHRBullet3"/>
    <w:uiPriority w:val="99"/>
    <w:rsid w:val="00044294"/>
    <w:pPr>
      <w:numPr>
        <w:ilvl w:val="3"/>
      </w:numPr>
      <w:tabs>
        <w:tab w:val="clear" w:pos="1418"/>
        <w:tab w:val="num" w:pos="926"/>
        <w:tab w:val="num" w:pos="1134"/>
      </w:tabs>
      <w:ind w:hanging="360"/>
    </w:pPr>
  </w:style>
  <w:style w:type="table" w:customStyle="1" w:styleId="UGTable1">
    <w:name w:val="UG_Table1"/>
    <w:uiPriority w:val="99"/>
    <w:rsid w:val="00044294"/>
    <w:rPr>
      <w:rFonts w:eastAsia="MS Mincho"/>
      <w:lang w:eastAsia="en-GB"/>
    </w:rPr>
    <w:tblPr>
      <w:tblCellMar>
        <w:top w:w="0" w:type="dxa"/>
        <w:left w:w="57" w:type="dxa"/>
        <w:bottom w:w="57" w:type="dxa"/>
        <w:right w:w="113" w:type="dxa"/>
      </w:tblCellMar>
    </w:tblPr>
  </w:style>
  <w:style w:type="paragraph" w:customStyle="1" w:styleId="s30eec3f8">
    <w:name w:val="s30eec3f8"/>
    <w:basedOn w:val="Normalny"/>
    <w:uiPriority w:val="99"/>
    <w:rsid w:val="000A470D"/>
    <w:pPr>
      <w:spacing w:before="100" w:beforeAutospacing="1" w:after="100" w:afterAutospacing="1"/>
      <w:jc w:val="left"/>
    </w:pPr>
    <w:rPr>
      <w:rFonts w:eastAsia="Times New Roman"/>
    </w:rPr>
  </w:style>
  <w:style w:type="character" w:customStyle="1" w:styleId="sb8d990e2">
    <w:name w:val="sb8d990e2"/>
    <w:uiPriority w:val="99"/>
    <w:rsid w:val="000A470D"/>
    <w:rPr>
      <w:rFonts w:cs="Times New Roman"/>
    </w:rPr>
  </w:style>
  <w:style w:type="character" w:customStyle="1" w:styleId="s6b621b36">
    <w:name w:val="s6b621b36"/>
    <w:uiPriority w:val="99"/>
    <w:rsid w:val="000A470D"/>
    <w:rPr>
      <w:rFonts w:cs="Times New Roman"/>
    </w:rPr>
  </w:style>
  <w:style w:type="character" w:customStyle="1" w:styleId="s94c7f605">
    <w:name w:val="s94c7f605"/>
    <w:uiPriority w:val="99"/>
    <w:rsid w:val="000A470D"/>
    <w:rPr>
      <w:rFonts w:cs="Times New Roman"/>
    </w:rPr>
  </w:style>
  <w:style w:type="character" w:customStyle="1" w:styleId="s7d2086b4">
    <w:name w:val="s7d2086b4"/>
    <w:uiPriority w:val="99"/>
    <w:rsid w:val="000A470D"/>
    <w:rPr>
      <w:rFonts w:cs="Times New Roman"/>
    </w:rPr>
  </w:style>
  <w:style w:type="character" w:customStyle="1" w:styleId="textcolumn">
    <w:name w:val="textcolumn"/>
    <w:uiPriority w:val="99"/>
    <w:rsid w:val="000A470D"/>
    <w:rPr>
      <w:rFonts w:cs="Times New Roman"/>
    </w:rPr>
  </w:style>
  <w:style w:type="character" w:customStyle="1" w:styleId="column">
    <w:name w:val="column"/>
    <w:uiPriority w:val="99"/>
    <w:rsid w:val="000A470D"/>
    <w:rPr>
      <w:rFonts w:cs="Times New Roman"/>
    </w:rPr>
  </w:style>
  <w:style w:type="character" w:customStyle="1" w:styleId="wordhighlighted">
    <w:name w:val="wordhighlighted"/>
    <w:uiPriority w:val="99"/>
    <w:rsid w:val="000A470D"/>
    <w:rPr>
      <w:rFonts w:cs="Times New Roman"/>
    </w:rPr>
  </w:style>
  <w:style w:type="character" w:customStyle="1" w:styleId="summarytext">
    <w:name w:val="summarytext"/>
    <w:uiPriority w:val="99"/>
    <w:rsid w:val="000A470D"/>
    <w:rPr>
      <w:rFonts w:cs="Times New Roman"/>
    </w:rPr>
  </w:style>
  <w:style w:type="character" w:customStyle="1" w:styleId="fulltext">
    <w:name w:val="fulltext"/>
    <w:uiPriority w:val="99"/>
    <w:rsid w:val="000A470D"/>
    <w:rPr>
      <w:rFonts w:cs="Times New Roman"/>
    </w:rPr>
  </w:style>
  <w:style w:type="character" w:customStyle="1" w:styleId="s1a844bc0">
    <w:name w:val="s1a844bc0"/>
    <w:uiPriority w:val="99"/>
    <w:rsid w:val="000A470D"/>
    <w:rPr>
      <w:rFonts w:cs="Times New Roman"/>
    </w:rPr>
  </w:style>
  <w:style w:type="character" w:customStyle="1" w:styleId="sfbbfee58">
    <w:name w:val="sfbbfee58"/>
    <w:uiPriority w:val="99"/>
    <w:rsid w:val="000A470D"/>
    <w:rPr>
      <w:rFonts w:cs="Times New Roman"/>
    </w:rPr>
  </w:style>
  <w:style w:type="character" w:customStyle="1" w:styleId="sf8bfa2bc">
    <w:name w:val="sf8bfa2bc"/>
    <w:uiPriority w:val="99"/>
    <w:rsid w:val="000A470D"/>
    <w:rPr>
      <w:rFonts w:cs="Times New Roman"/>
    </w:rPr>
  </w:style>
  <w:style w:type="character" w:customStyle="1" w:styleId="sea881cdf">
    <w:name w:val="sea881cdf"/>
    <w:uiPriority w:val="99"/>
    <w:rsid w:val="000A470D"/>
    <w:rPr>
      <w:rFonts w:cs="Times New Roman"/>
    </w:rPr>
  </w:style>
  <w:style w:type="character" w:customStyle="1" w:styleId="JuParaCar">
    <w:name w:val="Ju_Para Car"/>
    <w:uiPriority w:val="99"/>
    <w:rsid w:val="000A470D"/>
    <w:rPr>
      <w:rFonts w:eastAsia="MS Mincho"/>
      <w:sz w:val="24"/>
      <w:lang w:val="pl-PL" w:eastAsia="en-US"/>
    </w:rPr>
  </w:style>
  <w:style w:type="paragraph" w:customStyle="1" w:styleId="s50c0b1c7">
    <w:name w:val="s50c0b1c7"/>
    <w:basedOn w:val="Normalny"/>
    <w:uiPriority w:val="99"/>
    <w:rsid w:val="00FF09FB"/>
    <w:pPr>
      <w:spacing w:before="100" w:beforeAutospacing="1" w:after="100" w:afterAutospacing="1"/>
      <w:jc w:val="left"/>
    </w:pPr>
    <w:rPr>
      <w:rFonts w:eastAsia="Times New Roman"/>
      <w:lang w:eastAsia="pl-PL"/>
    </w:rPr>
  </w:style>
  <w:style w:type="character" w:customStyle="1" w:styleId="s3aeeab2">
    <w:name w:val="s3aeeab2"/>
    <w:uiPriority w:val="99"/>
    <w:rsid w:val="00FF09FB"/>
    <w:rPr>
      <w:lang w:val="pl-PL" w:eastAsia="pl-PL"/>
    </w:rPr>
  </w:style>
  <w:style w:type="paragraph" w:customStyle="1" w:styleId="Pa153">
    <w:name w:val="Pa15+3"/>
    <w:basedOn w:val="Normalny"/>
    <w:next w:val="Normalny"/>
    <w:uiPriority w:val="99"/>
    <w:rsid w:val="00FF09FB"/>
    <w:pPr>
      <w:autoSpaceDE w:val="0"/>
      <w:autoSpaceDN w:val="0"/>
      <w:adjustRightInd w:val="0"/>
      <w:spacing w:line="201" w:lineRule="atLeast"/>
      <w:jc w:val="left"/>
    </w:pPr>
    <w:rPr>
      <w:rFonts w:ascii="Myriad Pro" w:eastAsia="Times New Roman" w:hAnsi="Myriad Pro" w:cs="Myriad Pro"/>
      <w:lang w:eastAsia="pl-PL"/>
    </w:rPr>
  </w:style>
  <w:style w:type="character" w:customStyle="1" w:styleId="s4f807e54">
    <w:name w:val="s4f807e54"/>
    <w:uiPriority w:val="99"/>
    <w:rsid w:val="00247FEA"/>
  </w:style>
  <w:style w:type="numbering" w:styleId="1ai">
    <w:name w:val="Outline List 1"/>
    <w:basedOn w:val="Bezlisty"/>
    <w:uiPriority w:val="99"/>
    <w:semiHidden/>
    <w:unhideWhenUsed/>
    <w:pPr>
      <w:numPr>
        <w:numId w:val="42"/>
      </w:numPr>
    </w:pPr>
  </w:style>
  <w:style w:type="numbering" w:styleId="111111">
    <w:name w:val="Outline List 2"/>
    <w:basedOn w:val="Bezlisty"/>
    <w:uiPriority w:val="99"/>
    <w:semiHidden/>
    <w:unhideWhenUsed/>
    <w:pPr>
      <w:numPr>
        <w:numId w:val="41"/>
      </w:numPr>
    </w:pPr>
  </w:style>
  <w:style w:type="numbering" w:customStyle="1" w:styleId="ECHRA1StyleBulletedSquare">
    <w:name w:val="ECHR_A1_Style_Bulleted_Square"/>
    <w:pPr>
      <w:numPr>
        <w:numId w:val="44"/>
      </w:numPr>
    </w:pPr>
  </w:style>
  <w:style w:type="numbering" w:customStyle="1" w:styleId="ArticleSection">
    <w:name w:val="Article / Section"/>
    <w:pPr>
      <w:numPr>
        <w:numId w:val="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751923">
      <w:marLeft w:val="0"/>
      <w:marRight w:val="0"/>
      <w:marTop w:val="0"/>
      <w:marBottom w:val="0"/>
      <w:divBdr>
        <w:top w:val="none" w:sz="0" w:space="0" w:color="auto"/>
        <w:left w:val="none" w:sz="0" w:space="0" w:color="auto"/>
        <w:bottom w:val="none" w:sz="0" w:space="0" w:color="auto"/>
        <w:right w:val="none" w:sz="0" w:space="0" w:color="auto"/>
      </w:divBdr>
    </w:div>
    <w:div w:id="54175192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6118</Words>
  <Characters>36710</Characters>
  <Application>Microsoft Office Word</Application>
  <DocSecurity>0</DocSecurity>
  <Lines>305</Lines>
  <Paragraphs>85</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42743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2019-11-15T12:29:00Z</dcterms:created>
  <dcterms:modified xsi:type="dcterms:W3CDTF">2019-11-15T12:33:00Z</dcterms:modified>
</cp:coreProperties>
</file>