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AE5B5" w14:textId="77777777" w:rsidR="00BC5F79" w:rsidRPr="008C352B" w:rsidRDefault="00BC5F79" w:rsidP="00DD619F">
      <w:pPr>
        <w:jc w:val="center"/>
        <w:rPr>
          <w:sz w:val="18"/>
          <w:szCs w:val="18"/>
        </w:rPr>
      </w:pPr>
      <w:r w:rsidRPr="008C352B">
        <w:rPr>
          <w:rStyle w:val="s4f807e54"/>
          <w:rFonts w:ascii="Arial" w:hAnsi="Arial" w:cs="Arial"/>
          <w:sz w:val="18"/>
          <w:szCs w:val="18"/>
        </w:rPr>
        <w:t xml:space="preserve">© Copyright for the </w:t>
      </w:r>
      <w:proofErr w:type="spellStart"/>
      <w:r w:rsidRPr="008C352B">
        <w:rPr>
          <w:rStyle w:val="s4f807e54"/>
          <w:rFonts w:ascii="Arial" w:hAnsi="Arial" w:cs="Arial"/>
          <w:sz w:val="18"/>
          <w:szCs w:val="18"/>
        </w:rPr>
        <w:t>Polish</w:t>
      </w:r>
      <w:proofErr w:type="spellEnd"/>
      <w:r w:rsidRPr="008C352B">
        <w:rPr>
          <w:rStyle w:val="s4f807e54"/>
          <w:rFonts w:ascii="Arial" w:hAnsi="Arial" w:cs="Arial"/>
          <w:sz w:val="18"/>
          <w:szCs w:val="18"/>
        </w:rPr>
        <w:t xml:space="preserve"> </w:t>
      </w:r>
      <w:proofErr w:type="spellStart"/>
      <w:r w:rsidRPr="008C352B">
        <w:rPr>
          <w:rStyle w:val="s4f807e54"/>
          <w:rFonts w:ascii="Arial" w:hAnsi="Arial" w:cs="Arial"/>
          <w:sz w:val="18"/>
          <w:szCs w:val="18"/>
        </w:rPr>
        <w:t>translation</w:t>
      </w:r>
      <w:proofErr w:type="spellEnd"/>
      <w:r w:rsidRPr="008C352B">
        <w:rPr>
          <w:rStyle w:val="s4f807e54"/>
          <w:rFonts w:ascii="Arial" w:hAnsi="Arial" w:cs="Arial"/>
          <w:sz w:val="18"/>
          <w:szCs w:val="18"/>
        </w:rPr>
        <w:t xml:space="preserve"> by Naczelny Sąd Administracyjny, Warszawa 2018</w:t>
      </w:r>
    </w:p>
    <w:p w14:paraId="3EAB3A8E" w14:textId="77777777" w:rsidR="00BC5F79" w:rsidRPr="008C352B" w:rsidRDefault="00BC5F79" w:rsidP="008D10C9">
      <w:pPr>
        <w:pStyle w:val="ECHRDecisionBody"/>
        <w:jc w:val="center"/>
      </w:pPr>
    </w:p>
    <w:p w14:paraId="49F21F58" w14:textId="77777777" w:rsidR="00BC5F79" w:rsidRPr="008C352B" w:rsidRDefault="00BC5F79" w:rsidP="008D10C9">
      <w:pPr>
        <w:pStyle w:val="ECHRDecisionBody"/>
        <w:jc w:val="center"/>
      </w:pPr>
    </w:p>
    <w:p w14:paraId="68A950ED" w14:textId="77777777" w:rsidR="00BC5F79" w:rsidRPr="008C352B" w:rsidRDefault="00BC5F79" w:rsidP="008D10C9">
      <w:pPr>
        <w:pStyle w:val="ECHRDecisionBody"/>
        <w:jc w:val="center"/>
      </w:pPr>
      <w:r w:rsidRPr="008C352B">
        <w:t>EUROPEJSKI TRYBUNAŁ PRAW CZŁOWIEKA</w:t>
      </w:r>
    </w:p>
    <w:p w14:paraId="42928BC2" w14:textId="77777777" w:rsidR="00BC5F79" w:rsidRPr="008C352B" w:rsidRDefault="00BC5F79" w:rsidP="008D10C9">
      <w:pPr>
        <w:jc w:val="center"/>
      </w:pPr>
    </w:p>
    <w:p w14:paraId="0B086E64" w14:textId="77777777" w:rsidR="00BC5F79" w:rsidRPr="008C352B" w:rsidRDefault="00BC5F79" w:rsidP="008D10C9">
      <w:pPr>
        <w:jc w:val="center"/>
      </w:pPr>
      <w:r w:rsidRPr="008C352B">
        <w:t xml:space="preserve">TRZECIA SEKCJA </w:t>
      </w:r>
    </w:p>
    <w:p w14:paraId="5D7FAECB" w14:textId="77777777" w:rsidR="00BC5F79" w:rsidRPr="008C352B" w:rsidRDefault="00BC5F79" w:rsidP="008D10C9">
      <w:pPr>
        <w:jc w:val="center"/>
      </w:pPr>
    </w:p>
    <w:p w14:paraId="066191FE" w14:textId="77777777" w:rsidR="00BC5F79" w:rsidRPr="008C352B" w:rsidRDefault="00BC5F79" w:rsidP="008D10C9">
      <w:pPr>
        <w:jc w:val="center"/>
      </w:pPr>
    </w:p>
    <w:p w14:paraId="682A747E" w14:textId="77777777" w:rsidR="00BC5F79" w:rsidRPr="008C352B" w:rsidRDefault="00BC5F79" w:rsidP="008D10C9">
      <w:pPr>
        <w:jc w:val="center"/>
      </w:pPr>
    </w:p>
    <w:p w14:paraId="3FC400F5" w14:textId="77777777" w:rsidR="00BC5F79" w:rsidRPr="008C352B" w:rsidRDefault="00BC5F79" w:rsidP="008D10C9">
      <w:pPr>
        <w:jc w:val="center"/>
      </w:pPr>
    </w:p>
    <w:p w14:paraId="5D658228" w14:textId="77777777" w:rsidR="00BC5F79" w:rsidRPr="008C352B" w:rsidRDefault="00BC5F79" w:rsidP="008D10C9">
      <w:pPr>
        <w:jc w:val="center"/>
      </w:pPr>
    </w:p>
    <w:p w14:paraId="1A3F197E" w14:textId="77777777" w:rsidR="00BC5F79" w:rsidRPr="008C352B" w:rsidRDefault="00BC5F79" w:rsidP="00DD619F"/>
    <w:p w14:paraId="01C1ABE7" w14:textId="77777777" w:rsidR="00BC5F79" w:rsidRPr="008C352B" w:rsidRDefault="00BC5F79" w:rsidP="008D10C9">
      <w:pPr>
        <w:jc w:val="center"/>
        <w:rPr>
          <w:b/>
          <w:bCs/>
        </w:rPr>
      </w:pPr>
      <w:bookmarkStart w:id="0" w:name="To"/>
      <w:r w:rsidRPr="008C352B">
        <w:rPr>
          <w:b/>
          <w:bCs/>
        </w:rPr>
        <w:t xml:space="preserve">SPRAWA </w:t>
      </w:r>
      <w:bookmarkEnd w:id="0"/>
      <w:r w:rsidRPr="008C352B">
        <w:rPr>
          <w:b/>
          <w:bCs/>
        </w:rPr>
        <w:t>KAMENOS przeciwko CYPROWI</w:t>
      </w:r>
    </w:p>
    <w:p w14:paraId="7DEC6813" w14:textId="77777777" w:rsidR="00BC5F79" w:rsidRPr="008C352B" w:rsidRDefault="00BC5F79" w:rsidP="008D10C9">
      <w:pPr>
        <w:jc w:val="center"/>
      </w:pPr>
    </w:p>
    <w:p w14:paraId="716192B8" w14:textId="77777777" w:rsidR="00BC5F79" w:rsidRPr="008C352B" w:rsidRDefault="00BC5F79" w:rsidP="008D10C9">
      <w:pPr>
        <w:jc w:val="center"/>
        <w:rPr>
          <w:i/>
          <w:iCs/>
        </w:rPr>
      </w:pPr>
      <w:r w:rsidRPr="008C352B">
        <w:rPr>
          <w:i/>
          <w:iCs/>
        </w:rPr>
        <w:t>(Skarga nr 147/07)</w:t>
      </w:r>
    </w:p>
    <w:p w14:paraId="47468A50" w14:textId="77777777" w:rsidR="00BC5F79" w:rsidRPr="008C352B" w:rsidRDefault="00BC5F79" w:rsidP="008D10C9">
      <w:pPr>
        <w:jc w:val="center"/>
      </w:pPr>
    </w:p>
    <w:p w14:paraId="7835076F" w14:textId="77777777" w:rsidR="00BC5F79" w:rsidRPr="008C352B" w:rsidRDefault="00BC5F79" w:rsidP="008D10C9">
      <w:pPr>
        <w:jc w:val="center"/>
      </w:pPr>
    </w:p>
    <w:p w14:paraId="256B2E81" w14:textId="77777777" w:rsidR="00BC5F79" w:rsidRPr="008C352B" w:rsidRDefault="00BC5F79" w:rsidP="008D10C9">
      <w:pPr>
        <w:jc w:val="center"/>
      </w:pPr>
    </w:p>
    <w:p w14:paraId="1BE3C409" w14:textId="77777777" w:rsidR="00BC5F79" w:rsidRPr="008C352B" w:rsidRDefault="00BC5F79" w:rsidP="008D10C9">
      <w:pPr>
        <w:jc w:val="center"/>
      </w:pPr>
    </w:p>
    <w:p w14:paraId="0BE45774" w14:textId="77777777" w:rsidR="00BC5F79" w:rsidRPr="008C352B" w:rsidRDefault="00BC5F79" w:rsidP="008D10C9">
      <w:pPr>
        <w:jc w:val="center"/>
      </w:pPr>
    </w:p>
    <w:p w14:paraId="51FBA9DF" w14:textId="77777777" w:rsidR="00BC5F79" w:rsidRPr="008C352B" w:rsidRDefault="00BC5F79" w:rsidP="008D10C9">
      <w:pPr>
        <w:pStyle w:val="ECHRPara"/>
        <w:ind w:firstLine="0"/>
        <w:jc w:val="center"/>
        <w:rPr>
          <w:sz w:val="22"/>
          <w:szCs w:val="22"/>
        </w:rPr>
      </w:pPr>
      <w:r w:rsidRPr="008C352B">
        <w:rPr>
          <w:sz w:val="22"/>
          <w:szCs w:val="22"/>
        </w:rPr>
        <w:t>WYROK</w:t>
      </w:r>
    </w:p>
    <w:p w14:paraId="3EB0BAB6" w14:textId="77777777" w:rsidR="00BC5F79" w:rsidRPr="008C352B" w:rsidRDefault="00BC5F79" w:rsidP="008D10C9">
      <w:pPr>
        <w:pStyle w:val="ECHRPara"/>
        <w:ind w:firstLine="0"/>
        <w:jc w:val="center"/>
      </w:pPr>
      <w:r w:rsidRPr="008C352B">
        <w:rPr>
          <w:sz w:val="22"/>
          <w:szCs w:val="22"/>
        </w:rPr>
        <w:t>[wyciąg]</w:t>
      </w:r>
    </w:p>
    <w:p w14:paraId="1CF7A4C5" w14:textId="77777777" w:rsidR="00BC5F79" w:rsidRPr="008C352B" w:rsidRDefault="00BC5F79" w:rsidP="008D10C9">
      <w:pPr>
        <w:pStyle w:val="JuCase"/>
        <w:ind w:firstLine="0"/>
        <w:jc w:val="center"/>
        <w:rPr>
          <w:b w:val="0"/>
          <w:bCs w:val="0"/>
        </w:rPr>
      </w:pPr>
    </w:p>
    <w:p w14:paraId="6378EC6F" w14:textId="77777777" w:rsidR="00BC5F79" w:rsidRPr="008C352B" w:rsidRDefault="00BC5F79" w:rsidP="008D10C9">
      <w:pPr>
        <w:pStyle w:val="ECHRPara"/>
        <w:ind w:firstLine="0"/>
        <w:jc w:val="center"/>
      </w:pPr>
    </w:p>
    <w:p w14:paraId="31135A7B" w14:textId="77777777" w:rsidR="00BC5F79" w:rsidRPr="008C352B" w:rsidRDefault="00BC5F79" w:rsidP="008D10C9">
      <w:pPr>
        <w:pStyle w:val="ECHRPara"/>
        <w:ind w:firstLine="0"/>
        <w:jc w:val="center"/>
      </w:pPr>
    </w:p>
    <w:p w14:paraId="4E82F9B3" w14:textId="77777777" w:rsidR="00BC5F79" w:rsidRPr="008C352B" w:rsidRDefault="00BC5F79" w:rsidP="008D10C9">
      <w:pPr>
        <w:pStyle w:val="JuCase"/>
        <w:ind w:firstLine="0"/>
        <w:jc w:val="center"/>
        <w:rPr>
          <w:b w:val="0"/>
          <w:bCs w:val="0"/>
        </w:rPr>
      </w:pPr>
      <w:r w:rsidRPr="008C352B">
        <w:rPr>
          <w:b w:val="0"/>
          <w:bCs w:val="0"/>
        </w:rPr>
        <w:t>STRASBURG</w:t>
      </w:r>
    </w:p>
    <w:p w14:paraId="11B219C7" w14:textId="77777777" w:rsidR="00BC5F79" w:rsidRPr="008C352B" w:rsidRDefault="00BC5F79" w:rsidP="008D10C9">
      <w:pPr>
        <w:pStyle w:val="JuCase"/>
        <w:ind w:firstLine="0"/>
        <w:jc w:val="center"/>
        <w:rPr>
          <w:b w:val="0"/>
          <w:bCs w:val="0"/>
        </w:rPr>
      </w:pPr>
    </w:p>
    <w:p w14:paraId="7893A149" w14:textId="3A440CFB" w:rsidR="00BC5F79" w:rsidRPr="008C352B" w:rsidRDefault="00BC5F79" w:rsidP="008D10C9">
      <w:pPr>
        <w:pStyle w:val="JuCase"/>
        <w:ind w:firstLine="0"/>
        <w:jc w:val="center"/>
        <w:rPr>
          <w:b w:val="0"/>
          <w:bCs w:val="0"/>
        </w:rPr>
      </w:pPr>
      <w:r w:rsidRPr="008C352B">
        <w:rPr>
          <w:b w:val="0"/>
          <w:bCs w:val="0"/>
        </w:rPr>
        <w:t>31 października 2017</w:t>
      </w:r>
      <w:r w:rsidR="00F87CCB">
        <w:rPr>
          <w:b w:val="0"/>
          <w:bCs w:val="0"/>
        </w:rPr>
        <w:t xml:space="preserve"> r.</w:t>
      </w:r>
    </w:p>
    <w:p w14:paraId="529F5DFC" w14:textId="77777777" w:rsidR="00BC5F79" w:rsidRPr="008C352B" w:rsidRDefault="00BC5F79" w:rsidP="008D10C9">
      <w:pPr>
        <w:pStyle w:val="JuCase"/>
        <w:ind w:firstLine="0"/>
        <w:jc w:val="center"/>
        <w:rPr>
          <w:b w:val="0"/>
          <w:bCs w:val="0"/>
        </w:rPr>
      </w:pPr>
    </w:p>
    <w:p w14:paraId="46E57F1D" w14:textId="77777777" w:rsidR="00BC5F79" w:rsidRPr="008C352B" w:rsidRDefault="00BC5F79" w:rsidP="008D10C9">
      <w:pPr>
        <w:pStyle w:val="JuCase"/>
        <w:ind w:firstLine="0"/>
        <w:jc w:val="center"/>
        <w:rPr>
          <w:b w:val="0"/>
          <w:bCs w:val="0"/>
        </w:rPr>
      </w:pPr>
    </w:p>
    <w:p w14:paraId="6D4A4AF5" w14:textId="77777777" w:rsidR="00BC5F79" w:rsidRPr="008C352B" w:rsidRDefault="00BC5F79" w:rsidP="008D10C9">
      <w:pPr>
        <w:pStyle w:val="ECHRPara"/>
        <w:ind w:firstLine="0"/>
        <w:jc w:val="center"/>
      </w:pPr>
    </w:p>
    <w:p w14:paraId="562A8786" w14:textId="77777777" w:rsidR="00BC5F79" w:rsidRPr="008C352B" w:rsidRDefault="00BC5F79" w:rsidP="008D10C9">
      <w:pPr>
        <w:pStyle w:val="jucase0"/>
        <w:ind w:firstLine="0"/>
        <w:jc w:val="center"/>
        <w:rPr>
          <w:color w:val="FF0000"/>
          <w:sz w:val="28"/>
          <w:szCs w:val="28"/>
          <w:u w:val="single"/>
        </w:rPr>
      </w:pPr>
      <w:r w:rsidRPr="008C352B">
        <w:rPr>
          <w:color w:val="FF0000"/>
          <w:sz w:val="28"/>
          <w:szCs w:val="28"/>
          <w:u w:val="single"/>
        </w:rPr>
        <w:t>OSTATECZNY</w:t>
      </w:r>
    </w:p>
    <w:p w14:paraId="389DF686" w14:textId="77777777" w:rsidR="00BC5F79" w:rsidRPr="008C352B" w:rsidRDefault="00BC5F79" w:rsidP="008D10C9">
      <w:pPr>
        <w:pStyle w:val="jupara"/>
        <w:tabs>
          <w:tab w:val="left" w:pos="4650"/>
        </w:tabs>
        <w:ind w:firstLine="0"/>
        <w:jc w:val="center"/>
        <w:rPr>
          <w:color w:val="FF0000"/>
          <w:sz w:val="28"/>
          <w:szCs w:val="28"/>
        </w:rPr>
      </w:pPr>
      <w:bookmarkStart w:id="1" w:name="_GoBack"/>
      <w:bookmarkEnd w:id="1"/>
    </w:p>
    <w:p w14:paraId="1F073A2A" w14:textId="77777777" w:rsidR="00BC5F79" w:rsidRPr="008C352B" w:rsidRDefault="00BC5F79" w:rsidP="008D10C9">
      <w:pPr>
        <w:pStyle w:val="jupara"/>
        <w:ind w:firstLine="0"/>
        <w:jc w:val="center"/>
        <w:rPr>
          <w:color w:val="FF0000"/>
          <w:sz w:val="28"/>
          <w:szCs w:val="28"/>
        </w:rPr>
      </w:pPr>
      <w:r w:rsidRPr="008C352B">
        <w:rPr>
          <w:color w:val="FF0000"/>
          <w:sz w:val="28"/>
          <w:szCs w:val="28"/>
        </w:rPr>
        <w:t>31/01/2018</w:t>
      </w:r>
    </w:p>
    <w:p w14:paraId="734F1BAC" w14:textId="77777777" w:rsidR="00BC5F79" w:rsidRPr="008C352B" w:rsidRDefault="00BC5F79" w:rsidP="008D10C9">
      <w:pPr>
        <w:pStyle w:val="jupara"/>
        <w:ind w:firstLine="0"/>
        <w:jc w:val="center"/>
      </w:pPr>
    </w:p>
    <w:p w14:paraId="3CE57B16" w14:textId="32DAEF65" w:rsidR="00BC5F79" w:rsidRPr="008C352B" w:rsidRDefault="00BC5F79" w:rsidP="00DD619F">
      <w:pPr>
        <w:jc w:val="center"/>
        <w:rPr>
          <w:i/>
          <w:iCs/>
          <w:sz w:val="22"/>
          <w:szCs w:val="22"/>
        </w:rPr>
      </w:pPr>
      <w:r w:rsidRPr="008C352B">
        <w:rPr>
          <w:i/>
          <w:iCs/>
          <w:sz w:val="22"/>
          <w:szCs w:val="22"/>
        </w:rPr>
        <w:t xml:space="preserve">Niniejszy wyrok </w:t>
      </w:r>
      <w:r w:rsidR="00087DC9" w:rsidRPr="008C352B">
        <w:rPr>
          <w:i/>
          <w:iCs/>
          <w:sz w:val="22"/>
          <w:szCs w:val="22"/>
        </w:rPr>
        <w:t>stał się ostateczny</w:t>
      </w:r>
      <w:r w:rsidRPr="008C352B">
        <w:rPr>
          <w:i/>
          <w:iCs/>
          <w:sz w:val="22"/>
          <w:szCs w:val="22"/>
        </w:rPr>
        <w:t xml:space="preserve"> na warunkach określonych w art. 44 ust. 2 Konwencji. Wyrok może podlegać korekcie wydawniczej.</w:t>
      </w:r>
    </w:p>
    <w:p w14:paraId="4AAFE085" w14:textId="77777777" w:rsidR="00BC5F79" w:rsidRPr="008C352B" w:rsidRDefault="00BC5F79" w:rsidP="008D10C9"/>
    <w:p w14:paraId="58452CE0" w14:textId="77777777" w:rsidR="00BC5F79" w:rsidRPr="008C352B" w:rsidRDefault="00BC5F79" w:rsidP="008D10C9">
      <w:pPr>
        <w:pStyle w:val="JuCase"/>
        <w:sectPr w:rsidR="00BC5F79" w:rsidRPr="008C352B" w:rsidSect="00C108E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titlePg/>
          <w:docGrid w:linePitch="326"/>
        </w:sectPr>
      </w:pPr>
    </w:p>
    <w:p w14:paraId="70D7700E" w14:textId="77777777" w:rsidR="00BC5F79" w:rsidRPr="008C352B" w:rsidRDefault="00BC5F79" w:rsidP="008D10C9">
      <w:pPr>
        <w:pStyle w:val="JuCase"/>
      </w:pPr>
      <w:r w:rsidRPr="008C352B">
        <w:lastRenderedPageBreak/>
        <w:t xml:space="preserve">W sprawie </w:t>
      </w:r>
      <w:proofErr w:type="spellStart"/>
      <w:r w:rsidRPr="008C352B">
        <w:t>Kamenos</w:t>
      </w:r>
      <w:proofErr w:type="spellEnd"/>
      <w:r w:rsidRPr="008C352B">
        <w:t xml:space="preserve"> przeciwko Cyprowi,</w:t>
      </w:r>
    </w:p>
    <w:p w14:paraId="13F2AB65" w14:textId="77777777" w:rsidR="00BC5F79" w:rsidRPr="008C352B" w:rsidRDefault="00BC5F79" w:rsidP="008D10C9">
      <w:pPr>
        <w:pStyle w:val="ECHRPara"/>
      </w:pPr>
      <w:r w:rsidRPr="008C352B">
        <w:t>Europejski Trybunał Praw Człowieka (Trzecia Sekcja), zasiadając jako Izba w składzie:</w:t>
      </w:r>
    </w:p>
    <w:p w14:paraId="5FA60127" w14:textId="7D6B41CF" w:rsidR="00BC5F79" w:rsidRPr="008C352B" w:rsidRDefault="00BC5F79" w:rsidP="008D10C9">
      <w:pPr>
        <w:pStyle w:val="ECHRDecisionBody"/>
      </w:pPr>
      <w:r w:rsidRPr="008C352B">
        <w:tab/>
        <w:t xml:space="preserve">Helena </w:t>
      </w:r>
      <w:proofErr w:type="spellStart"/>
      <w:r w:rsidRPr="008C352B">
        <w:t>Jäderblom</w:t>
      </w:r>
      <w:proofErr w:type="spellEnd"/>
      <w:r w:rsidRPr="008C352B">
        <w:t>,</w:t>
      </w:r>
      <w:r w:rsidRPr="008C352B">
        <w:rPr>
          <w:i/>
          <w:iCs/>
        </w:rPr>
        <w:t xml:space="preserve"> Przewodnicząca,</w:t>
      </w:r>
      <w:r w:rsidRPr="008C352B">
        <w:rPr>
          <w:i/>
          <w:iCs/>
        </w:rPr>
        <w:br/>
      </w:r>
      <w:r w:rsidRPr="008C352B">
        <w:tab/>
        <w:t xml:space="preserve">Luis </w:t>
      </w:r>
      <w:proofErr w:type="spellStart"/>
      <w:r w:rsidRPr="008C352B">
        <w:t>López</w:t>
      </w:r>
      <w:proofErr w:type="spellEnd"/>
      <w:r w:rsidRPr="008C352B">
        <w:t xml:space="preserve"> </w:t>
      </w:r>
      <w:proofErr w:type="spellStart"/>
      <w:r w:rsidRPr="008C352B">
        <w:t>Guerra</w:t>
      </w:r>
      <w:proofErr w:type="spellEnd"/>
      <w:r w:rsidRPr="008C352B">
        <w:t>,</w:t>
      </w:r>
      <w:r w:rsidRPr="008C352B">
        <w:rPr>
          <w:i/>
          <w:iCs/>
        </w:rPr>
        <w:br/>
      </w:r>
      <w:r w:rsidRPr="008C352B">
        <w:tab/>
      </w:r>
      <w:proofErr w:type="spellStart"/>
      <w:r w:rsidRPr="008C352B">
        <w:t>Dmitry</w:t>
      </w:r>
      <w:proofErr w:type="spellEnd"/>
      <w:r w:rsidRPr="008C352B">
        <w:t xml:space="preserve"> </w:t>
      </w:r>
      <w:proofErr w:type="spellStart"/>
      <w:r w:rsidRPr="008C352B">
        <w:t>Dedov</w:t>
      </w:r>
      <w:proofErr w:type="spellEnd"/>
      <w:r w:rsidRPr="008C352B">
        <w:t>,</w:t>
      </w:r>
      <w:r w:rsidRPr="008C352B">
        <w:rPr>
          <w:i/>
          <w:iCs/>
        </w:rPr>
        <w:br/>
      </w:r>
      <w:r w:rsidRPr="008C352B">
        <w:tab/>
      </w:r>
      <w:proofErr w:type="spellStart"/>
      <w:r w:rsidRPr="008C352B">
        <w:t>Pere</w:t>
      </w:r>
      <w:proofErr w:type="spellEnd"/>
      <w:r w:rsidRPr="008C352B">
        <w:t xml:space="preserve"> Pastor </w:t>
      </w:r>
      <w:proofErr w:type="spellStart"/>
      <w:r w:rsidRPr="008C352B">
        <w:t>Vilanova</w:t>
      </w:r>
      <w:proofErr w:type="spellEnd"/>
      <w:r w:rsidRPr="008C352B">
        <w:t>,</w:t>
      </w:r>
      <w:r w:rsidRPr="008C352B">
        <w:rPr>
          <w:i/>
          <w:iCs/>
        </w:rPr>
        <w:br/>
      </w:r>
      <w:r w:rsidRPr="008C352B">
        <w:tab/>
        <w:t xml:space="preserve">Alena </w:t>
      </w:r>
      <w:proofErr w:type="spellStart"/>
      <w:r w:rsidRPr="008C352B">
        <w:t>Poláčková</w:t>
      </w:r>
      <w:proofErr w:type="spellEnd"/>
      <w:r w:rsidRPr="008C352B">
        <w:t>,</w:t>
      </w:r>
      <w:r w:rsidRPr="008C352B">
        <w:rPr>
          <w:i/>
          <w:iCs/>
        </w:rPr>
        <w:br/>
      </w:r>
      <w:r w:rsidRPr="008C352B">
        <w:tab/>
      </w:r>
      <w:proofErr w:type="spellStart"/>
      <w:r w:rsidRPr="008C352B">
        <w:t>Jolien</w:t>
      </w:r>
      <w:proofErr w:type="spellEnd"/>
      <w:r w:rsidRPr="008C352B">
        <w:t xml:space="preserve"> </w:t>
      </w:r>
      <w:proofErr w:type="spellStart"/>
      <w:r w:rsidRPr="008C352B">
        <w:t>Schukking</w:t>
      </w:r>
      <w:proofErr w:type="spellEnd"/>
      <w:r w:rsidRPr="008C352B">
        <w:t>,</w:t>
      </w:r>
      <w:r w:rsidRPr="008C352B">
        <w:rPr>
          <w:i/>
          <w:iCs/>
        </w:rPr>
        <w:t xml:space="preserve"> sędziowie,</w:t>
      </w:r>
      <w:r w:rsidRPr="008C352B">
        <w:rPr>
          <w:i/>
          <w:iCs/>
        </w:rPr>
        <w:br/>
      </w:r>
      <w:r w:rsidRPr="008C352B">
        <w:tab/>
      </w:r>
      <w:proofErr w:type="spellStart"/>
      <w:r w:rsidRPr="008C352B">
        <w:t>Costas</w:t>
      </w:r>
      <w:proofErr w:type="spellEnd"/>
      <w:r w:rsidRPr="008C352B">
        <w:t xml:space="preserve"> </w:t>
      </w:r>
      <w:proofErr w:type="spellStart"/>
      <w:r w:rsidRPr="008C352B">
        <w:t>Pamballis</w:t>
      </w:r>
      <w:proofErr w:type="spellEnd"/>
      <w:r w:rsidRPr="008C352B">
        <w:t>,</w:t>
      </w:r>
      <w:r w:rsidR="00410690" w:rsidRPr="008C352B">
        <w:rPr>
          <w:i/>
          <w:iCs/>
        </w:rPr>
        <w:t xml:space="preserve"> </w:t>
      </w:r>
      <w:r w:rsidRPr="008C352B">
        <w:rPr>
          <w:i/>
          <w:iCs/>
        </w:rPr>
        <w:t>sędzia ad hoc,</w:t>
      </w:r>
      <w:r w:rsidRPr="008C352B">
        <w:rPr>
          <w:i/>
          <w:iCs/>
        </w:rPr>
        <w:br/>
      </w:r>
      <w:r w:rsidRPr="008C352B">
        <w:t xml:space="preserve">oraz Stephen Phillips, </w:t>
      </w:r>
      <w:r w:rsidRPr="008C352B">
        <w:rPr>
          <w:i/>
          <w:iCs/>
        </w:rPr>
        <w:t>Kanclerz Sekcji,</w:t>
      </w:r>
    </w:p>
    <w:p w14:paraId="7E872F99" w14:textId="2558B362" w:rsidR="00BC5F79" w:rsidRPr="008C352B" w:rsidRDefault="00BC5F79" w:rsidP="008D10C9">
      <w:pPr>
        <w:pStyle w:val="ECHRPara"/>
      </w:pPr>
      <w:r>
        <w:t>obradując</w:t>
      </w:r>
      <w:r w:rsidR="007975FE" w:rsidRPr="008C352B">
        <w:t xml:space="preserve"> </w:t>
      </w:r>
      <w:r w:rsidRPr="008C352B">
        <w:t xml:space="preserve">na posiedzeniu </w:t>
      </w:r>
      <w:r w:rsidR="00410690" w:rsidRPr="008C352B">
        <w:t>niejawny</w:t>
      </w:r>
      <w:r w:rsidRPr="008C352B">
        <w:t>m 3 października 2017 r.</w:t>
      </w:r>
    </w:p>
    <w:p w14:paraId="2339F925" w14:textId="77777777" w:rsidR="00BC5F79" w:rsidRPr="008C352B" w:rsidRDefault="00BC5F79" w:rsidP="008D10C9">
      <w:pPr>
        <w:pStyle w:val="ECHRPara"/>
      </w:pPr>
      <w:r w:rsidRPr="008C352B">
        <w:t>wydaje następujący wyrok, który został przyjęty w tym dniu:</w:t>
      </w:r>
    </w:p>
    <w:p w14:paraId="0217BDF6" w14:textId="77777777" w:rsidR="00BC5F79" w:rsidRPr="008C352B" w:rsidRDefault="00BC5F79" w:rsidP="008D10C9">
      <w:pPr>
        <w:pStyle w:val="ECHRTitle1"/>
      </w:pPr>
      <w:r w:rsidRPr="008C352B">
        <w:t>POSTĘPOWANIE</w:t>
      </w:r>
    </w:p>
    <w:p w14:paraId="63DF3EB6" w14:textId="77777777" w:rsidR="00BC5F79" w:rsidRPr="008C352B" w:rsidRDefault="00BC5F79" w:rsidP="008B2B8F">
      <w:pPr>
        <w:pStyle w:val="ECHRPara"/>
        <w:rPr>
          <w:i/>
          <w:iCs/>
        </w:rPr>
      </w:pPr>
      <w:r w:rsidRPr="008C352B">
        <w:rPr>
          <w:i/>
          <w:iCs/>
        </w:rPr>
        <w:t>[Paragrafy 1-5 wyroku pominięto]</w:t>
      </w:r>
    </w:p>
    <w:p w14:paraId="0675BCBE" w14:textId="77777777" w:rsidR="00BC5F79" w:rsidRPr="008C352B" w:rsidRDefault="00BC5F79" w:rsidP="008D10C9">
      <w:pPr>
        <w:pStyle w:val="ECHRPara"/>
      </w:pPr>
    </w:p>
    <w:p w14:paraId="6DD6695C" w14:textId="77777777" w:rsidR="00BC5F79" w:rsidRPr="008C352B" w:rsidRDefault="00BC5F79" w:rsidP="008B2B8F">
      <w:pPr>
        <w:pStyle w:val="ECHRTitle1"/>
        <w:spacing w:before="240"/>
      </w:pPr>
      <w:r w:rsidRPr="008C352B">
        <w:t>FAKTY</w:t>
      </w:r>
    </w:p>
    <w:p w14:paraId="5594F24B" w14:textId="77777777" w:rsidR="00BC5F79" w:rsidRPr="008C352B" w:rsidRDefault="00BC5F79" w:rsidP="008B2B8F">
      <w:pPr>
        <w:pStyle w:val="ECHRPara"/>
        <w:ind w:firstLine="0"/>
        <w:rPr>
          <w:i/>
          <w:iCs/>
        </w:rPr>
      </w:pPr>
      <w:r w:rsidRPr="008C352B">
        <w:rPr>
          <w:i/>
          <w:iCs/>
        </w:rPr>
        <w:t>[Paragrafy 6-47 wyroku pominięte i zastąpione tłumaczeniem poniższego streszczenia przygotowanego przez Kancelarię Europejskiego Trybunału Praw Człowieka</w:t>
      </w:r>
    </w:p>
    <w:p w14:paraId="4E201B76" w14:textId="77777777" w:rsidR="00BC5F79" w:rsidRPr="008C352B" w:rsidRDefault="00BC5F79" w:rsidP="008B2B8F">
      <w:pPr>
        <w:pStyle w:val="ECHRPara"/>
        <w:ind w:firstLine="0"/>
        <w:rPr>
          <w:i/>
          <w:iCs/>
        </w:rPr>
      </w:pPr>
    </w:p>
    <w:p w14:paraId="40CA4D24" w14:textId="77777777" w:rsidR="00BC5F79" w:rsidRPr="008C352B" w:rsidRDefault="00BC5F79" w:rsidP="00BC033D">
      <w:pPr>
        <w:pStyle w:val="ECHRPara"/>
        <w:ind w:firstLine="0"/>
      </w:pPr>
      <w:r w:rsidRPr="008C352B">
        <w:rPr>
          <w:i/>
          <w:iCs/>
          <w:u w:val="single"/>
        </w:rPr>
        <w:t>Streszczenie stanu faktycznego</w:t>
      </w:r>
      <w:r w:rsidRPr="008C352B">
        <w:rPr>
          <w:rStyle w:val="Odwoanieprzypisudolnego"/>
          <w:i/>
          <w:iCs/>
          <w:u w:val="single"/>
        </w:rPr>
        <w:footnoteReference w:id="2"/>
      </w:r>
      <w:r w:rsidRPr="008C352B">
        <w:rPr>
          <w:u w:val="single"/>
        </w:rPr>
        <w:t>:</w:t>
      </w:r>
    </w:p>
    <w:p w14:paraId="2BFE3EAA" w14:textId="77777777" w:rsidR="00BC5F79" w:rsidRPr="008C352B" w:rsidRDefault="00BC5F79" w:rsidP="008B2B8F">
      <w:pPr>
        <w:pStyle w:val="ECHRPara"/>
      </w:pPr>
    </w:p>
    <w:p w14:paraId="53B6B867" w14:textId="7EDE360E" w:rsidR="00BC5F79" w:rsidRPr="008C352B" w:rsidRDefault="00BC5F79" w:rsidP="00BC033D">
      <w:pPr>
        <w:pStyle w:val="ECHRPara"/>
        <w:ind w:firstLine="0"/>
      </w:pPr>
      <w:r w:rsidRPr="008C352B">
        <w:rPr>
          <w:color w:val="000000"/>
        </w:rPr>
        <w:t xml:space="preserve">W przedmiotowym okresie skarżący był sędzią i prezesem Sądu Sporów Przemysłowych </w:t>
      </w:r>
      <w:r w:rsidR="00756994" w:rsidRPr="008C352B">
        <w:rPr>
          <w:color w:val="000000"/>
        </w:rPr>
        <w:t>(</w:t>
      </w:r>
      <w:r w:rsidRPr="008C352B">
        <w:rPr>
          <w:color w:val="000000"/>
        </w:rPr>
        <w:t>SSP</w:t>
      </w:r>
      <w:r w:rsidR="00756994" w:rsidRPr="008C352B">
        <w:rPr>
          <w:color w:val="000000"/>
        </w:rPr>
        <w:t>)</w:t>
      </w:r>
      <w:r w:rsidRPr="008C352B">
        <w:rPr>
          <w:color w:val="000000"/>
        </w:rPr>
        <w:t xml:space="preserve"> na Cyprze. Na podstawie skarg zarzucających skarżącemu </w:t>
      </w:r>
      <w:r w:rsidR="008C2D49" w:rsidRPr="008C352B">
        <w:rPr>
          <w:color w:val="000000"/>
        </w:rPr>
        <w:t>uchybienia</w:t>
      </w:r>
      <w:r w:rsidR="00AE1416" w:rsidRPr="008C352B">
        <w:rPr>
          <w:color w:val="000000"/>
        </w:rPr>
        <w:t xml:space="preserve"> w wykonywaniu funkcji </w:t>
      </w:r>
      <w:r w:rsidRPr="008C352B">
        <w:rPr>
          <w:color w:val="000000"/>
        </w:rPr>
        <w:t>sędziego</w:t>
      </w:r>
      <w:r w:rsidR="007E02AC" w:rsidRPr="008C352B">
        <w:rPr>
          <w:color w:val="000000"/>
        </w:rPr>
        <w:t>,</w:t>
      </w:r>
      <w:r w:rsidRPr="008C352B">
        <w:rPr>
          <w:color w:val="000000"/>
        </w:rPr>
        <w:t xml:space="preserve"> złożonych przez strony trzecie, Sąd Najwyższy wyznaczył niezależnego sędziego śledczego do zbadania sprawy. Po otrzymaniu sprawozdania od sędziego śledczego, zamiast wyznaczyć prokuratora, Sąd Najwyższy samodzielnie sformułował zarzuty naruszenia przeciwko skarżącemu i wezwał go do stawienia się przed Najwyższą Radą Sądownictwa (NRS), która składała się z wszystkich sędziów Sądu Najwyższego. Postępowanie dyscyplinarne przeprowadzono przed NRS, która stwierdziła, że zarzuty są uzasadnione i po wysłuchaniu skarżącego usunęła go z urzędu.</w:t>
      </w:r>
    </w:p>
    <w:p w14:paraId="23CD2D8C" w14:textId="77777777" w:rsidR="00BC5F79" w:rsidRPr="008C352B" w:rsidRDefault="00BC5F79" w:rsidP="008D10C9">
      <w:pPr>
        <w:pStyle w:val="ECHRTitle1"/>
      </w:pPr>
      <w:r w:rsidRPr="008C352B">
        <w:lastRenderedPageBreak/>
        <w:t>PRAWO</w:t>
      </w:r>
    </w:p>
    <w:p w14:paraId="11591D71" w14:textId="2DCCA156" w:rsidR="00BC5F79" w:rsidRPr="008C352B" w:rsidRDefault="00BC5F79" w:rsidP="008D10C9">
      <w:pPr>
        <w:pStyle w:val="ECHRHeading1"/>
      </w:pPr>
      <w:r w:rsidRPr="008C352B">
        <w:t xml:space="preserve">I. ZARZUT NARUSZENIA </w:t>
      </w:r>
      <w:r w:rsidR="009E5694" w:rsidRPr="008C352B">
        <w:t>ART.</w:t>
      </w:r>
      <w:r w:rsidRPr="008C352B">
        <w:t xml:space="preserve"> 6 KONWENCJI W ZAKRESIE BEZSTRONNOŚCI NAJWYŻSZEJ RADY SĄDOWNICTWA (NRS)</w:t>
      </w:r>
    </w:p>
    <w:p w14:paraId="22CB39C4" w14:textId="4A5E38FF" w:rsidR="00BC5F79" w:rsidRPr="008C352B" w:rsidRDefault="00320F5A" w:rsidP="008D10C9">
      <w:pPr>
        <w:pStyle w:val="ECHRPara"/>
      </w:pPr>
      <w:r w:rsidRPr="008C352B">
        <w:t>48</w:t>
      </w:r>
      <w:r w:rsidR="00BC5F79" w:rsidRPr="008C352B">
        <w:t>.</w:t>
      </w:r>
      <w:r w:rsidR="00410690" w:rsidRPr="008C352B">
        <w:t xml:space="preserve"> </w:t>
      </w:r>
      <w:r w:rsidR="00BC5F79" w:rsidRPr="008C352B">
        <w:t xml:space="preserve">Skarżący podnosił na mocy </w:t>
      </w:r>
      <w:r w:rsidR="009E5694" w:rsidRPr="008C352B">
        <w:t>art.</w:t>
      </w:r>
      <w:r w:rsidR="00BC5F79" w:rsidRPr="008C352B">
        <w:t xml:space="preserve"> 6 ust. 1 Konwencji</w:t>
      </w:r>
      <w:r w:rsidR="00EF5EC7" w:rsidRPr="008C352B">
        <w:t xml:space="preserve"> [o ochronie praw człowieka i podstawowych wolności]</w:t>
      </w:r>
      <w:r w:rsidR="00BC5F79" w:rsidRPr="008C352B">
        <w:t>, że ci sami sędziowie wnieśli zarzuty, przeprowadzili postępowanie i skazali go, naruszając zasadę bezstronności. Przedmiotowe postanowienie brzmi następująco:</w:t>
      </w:r>
    </w:p>
    <w:p w14:paraId="6973D324" w14:textId="064AAE81" w:rsidR="00BC5F79" w:rsidRPr="008C352B" w:rsidRDefault="00BC5F79" w:rsidP="008D10C9">
      <w:pPr>
        <w:pStyle w:val="ECHRParaQuote"/>
      </w:pPr>
      <w:r w:rsidRPr="008C352B">
        <w:t xml:space="preserve">„Każdy ma prawo do sprawiedliwego ... rozpatrzenia </w:t>
      </w:r>
      <w:r w:rsidR="0051583E" w:rsidRPr="008C352B">
        <w:t xml:space="preserve">jego sprawy </w:t>
      </w:r>
      <w:r w:rsidRPr="008C352B">
        <w:t>... przez niezawisły i bezstronny sąd ustanowiony ustawą przy rozstrzyganiu o jego prawach i obowiązkach o charakterze cywilnym albo o zasadności każdego oskarżenia w</w:t>
      </w:r>
      <w:r w:rsidR="005507A4">
        <w:t> </w:t>
      </w:r>
      <w:r w:rsidRPr="008C352B">
        <w:t>wytoczonej przeciwko niemu sprawie karnej....”</w:t>
      </w:r>
      <w:r w:rsidR="00087DC9" w:rsidRPr="008C352B">
        <w:t>.</w:t>
      </w:r>
    </w:p>
    <w:p w14:paraId="1B77FC19" w14:textId="5E5A2201" w:rsidR="00BC5F79" w:rsidRPr="008C352B" w:rsidRDefault="00320F5A" w:rsidP="008D10C9">
      <w:pPr>
        <w:pStyle w:val="ECHRPara"/>
      </w:pPr>
      <w:r w:rsidRPr="008C352B">
        <w:t>49</w:t>
      </w:r>
      <w:r w:rsidR="00BC5F79" w:rsidRPr="008C352B">
        <w:t>.</w:t>
      </w:r>
      <w:r w:rsidR="00410690" w:rsidRPr="008C352B">
        <w:t xml:space="preserve"> </w:t>
      </w:r>
      <w:r w:rsidR="00BC5F79" w:rsidRPr="008C352B">
        <w:t>Rząd zakwestionował ten argument.</w:t>
      </w:r>
    </w:p>
    <w:p w14:paraId="650F13C3" w14:textId="42D77733" w:rsidR="00BC5F79" w:rsidRPr="008C352B" w:rsidRDefault="00BC5F79" w:rsidP="008D10C9">
      <w:pPr>
        <w:pStyle w:val="ECHRHeading2"/>
      </w:pPr>
      <w:r w:rsidRPr="008C352B">
        <w:t>A.</w:t>
      </w:r>
      <w:r w:rsidR="00410690" w:rsidRPr="008C352B">
        <w:t xml:space="preserve"> </w:t>
      </w:r>
      <w:r w:rsidRPr="008C352B">
        <w:t>Dopuszczalność</w:t>
      </w:r>
    </w:p>
    <w:p w14:paraId="0E760106" w14:textId="2813DD17" w:rsidR="00BC5F79" w:rsidRPr="008C352B" w:rsidRDefault="00BC5F79" w:rsidP="008D10C9">
      <w:pPr>
        <w:pStyle w:val="ECHRHeading3"/>
      </w:pPr>
      <w:r w:rsidRPr="008C352B">
        <w:t>1.</w:t>
      </w:r>
      <w:r w:rsidR="00410690" w:rsidRPr="008C352B">
        <w:t xml:space="preserve"> </w:t>
      </w:r>
      <w:r w:rsidRPr="008C352B">
        <w:t xml:space="preserve">Zastosowanie </w:t>
      </w:r>
      <w:r w:rsidR="009E5694" w:rsidRPr="008C352B">
        <w:t>art.</w:t>
      </w:r>
      <w:r w:rsidRPr="008C352B">
        <w:t xml:space="preserve"> 6 Konwencji: </w:t>
      </w:r>
      <w:r w:rsidR="006A5369" w:rsidRPr="008C352B">
        <w:t>aspekt karny</w:t>
      </w:r>
    </w:p>
    <w:p w14:paraId="60120D35" w14:textId="7A153127" w:rsidR="00BC5F79" w:rsidRPr="008C352B" w:rsidRDefault="00320F5A" w:rsidP="008D10C9">
      <w:pPr>
        <w:pStyle w:val="ECHRPara"/>
        <w:rPr>
          <w:color w:val="FF0000"/>
        </w:rPr>
      </w:pPr>
      <w:r w:rsidRPr="008C352B">
        <w:t>50</w:t>
      </w:r>
      <w:r w:rsidR="00BC5F79" w:rsidRPr="008C352B">
        <w:t>.</w:t>
      </w:r>
      <w:r w:rsidR="00410690" w:rsidRPr="008C352B">
        <w:t xml:space="preserve"> </w:t>
      </w:r>
      <w:r w:rsidR="00BC5F79" w:rsidRPr="008C352B">
        <w:t>Aby ustalić, czy osoba została skazana (w myśl przepisów prawa karnego) w</w:t>
      </w:r>
      <w:r w:rsidR="006A5369" w:rsidRPr="008C352B">
        <w:t xml:space="preserve"> autonomicznym</w:t>
      </w:r>
      <w:r w:rsidR="00BC5F79" w:rsidRPr="008C352B">
        <w:t xml:space="preserve"> rozumieniu Konwencji</w:t>
      </w:r>
      <w:r w:rsidR="006A5369" w:rsidRPr="008C352B">
        <w:t>,</w:t>
      </w:r>
      <w:r w:rsidR="00BC5F79" w:rsidRPr="008C352B">
        <w:t xml:space="preserve"> Trybunał stosuje tzw.</w:t>
      </w:r>
      <w:r w:rsidR="005507A4">
        <w:t> </w:t>
      </w:r>
      <w:r w:rsidR="00BC5F79" w:rsidRPr="008C352B">
        <w:t xml:space="preserve">„kryteria </w:t>
      </w:r>
      <w:proofErr w:type="spellStart"/>
      <w:r w:rsidR="00BC5F79" w:rsidRPr="008C352B">
        <w:t>Engel</w:t>
      </w:r>
      <w:proofErr w:type="spellEnd"/>
      <w:r w:rsidR="00BC5F79" w:rsidRPr="008C352B">
        <w:t>” (</w:t>
      </w:r>
      <w:proofErr w:type="spellStart"/>
      <w:r w:rsidR="00BC5F79" w:rsidRPr="008C352B">
        <w:rPr>
          <w:i/>
          <w:iCs/>
        </w:rPr>
        <w:t>Engel</w:t>
      </w:r>
      <w:proofErr w:type="spellEnd"/>
      <w:r w:rsidR="00BC5F79" w:rsidRPr="008C352B">
        <w:rPr>
          <w:i/>
          <w:iCs/>
        </w:rPr>
        <w:t xml:space="preserve"> </w:t>
      </w:r>
      <w:r w:rsidR="003D34A6" w:rsidRPr="008C352B">
        <w:rPr>
          <w:i/>
          <w:iCs/>
        </w:rPr>
        <w:t>i Inni</w:t>
      </w:r>
      <w:r w:rsidR="00BC5F79" w:rsidRPr="008C352B">
        <w:rPr>
          <w:i/>
          <w:iCs/>
        </w:rPr>
        <w:t xml:space="preserve"> przeciwko Holandii</w:t>
      </w:r>
      <w:r w:rsidR="006A5369" w:rsidRPr="008C352B">
        <w:rPr>
          <w:i/>
          <w:iCs/>
        </w:rPr>
        <w:t>,</w:t>
      </w:r>
      <w:r w:rsidR="00BC5F79" w:rsidRPr="008C352B">
        <w:t xml:space="preserve"> 8 czerwca 1976 r., §§ 82 i 83, Seria A nr 22; zob. również </w:t>
      </w:r>
      <w:proofErr w:type="spellStart"/>
      <w:r w:rsidR="00BC5F79" w:rsidRPr="008C352B">
        <w:rPr>
          <w:i/>
          <w:iCs/>
        </w:rPr>
        <w:t>Oleksandr</w:t>
      </w:r>
      <w:proofErr w:type="spellEnd"/>
      <w:r w:rsidR="00BC5F79" w:rsidRPr="008C352B">
        <w:rPr>
          <w:i/>
          <w:iCs/>
        </w:rPr>
        <w:t xml:space="preserve"> </w:t>
      </w:r>
      <w:proofErr w:type="spellStart"/>
      <w:r w:rsidR="00BC5F79" w:rsidRPr="008C352B">
        <w:rPr>
          <w:i/>
          <w:iCs/>
        </w:rPr>
        <w:t>Volkov</w:t>
      </w:r>
      <w:proofErr w:type="spellEnd"/>
      <w:r w:rsidR="00BC5F79" w:rsidRPr="008C352B">
        <w:rPr>
          <w:i/>
          <w:iCs/>
        </w:rPr>
        <w:t xml:space="preserve"> przeciwko Ukrainie</w:t>
      </w:r>
      <w:r w:rsidR="00BC5F79" w:rsidRPr="008C352B">
        <w:t>, nr 21722/11, § 93, ECHR 2013).</w:t>
      </w:r>
    </w:p>
    <w:p w14:paraId="2F9195C7" w14:textId="487B37CB" w:rsidR="00BC5F79" w:rsidRPr="008C352B" w:rsidRDefault="00320F5A" w:rsidP="000F382C">
      <w:pPr>
        <w:pStyle w:val="ECHRPara"/>
        <w:rPr>
          <w:rStyle w:val="JuParaCar"/>
        </w:rPr>
      </w:pPr>
      <w:r w:rsidRPr="008C352B">
        <w:rPr>
          <w:rStyle w:val="JuParaCar"/>
        </w:rPr>
        <w:t>51</w:t>
      </w:r>
      <w:r w:rsidR="00BC5F79" w:rsidRPr="008C352B">
        <w:rPr>
          <w:rStyle w:val="JuParaCar"/>
        </w:rPr>
        <w:t>.</w:t>
      </w:r>
      <w:r w:rsidR="00410690" w:rsidRPr="008C352B">
        <w:rPr>
          <w:rStyle w:val="JuParaCar"/>
        </w:rPr>
        <w:t xml:space="preserve"> </w:t>
      </w:r>
      <w:r w:rsidR="00BC5F79" w:rsidRPr="008C352B">
        <w:rPr>
          <w:rStyle w:val="JuParaCar"/>
        </w:rPr>
        <w:t>Stosując wspomniane kryteria do niniejszej sprawy</w:t>
      </w:r>
      <w:r w:rsidR="006A5369" w:rsidRPr="008C352B">
        <w:rPr>
          <w:rStyle w:val="JuParaCar"/>
        </w:rPr>
        <w:t>,</w:t>
      </w:r>
      <w:r w:rsidR="00BC5F79" w:rsidRPr="008C352B">
        <w:rPr>
          <w:rStyle w:val="JuParaCar"/>
        </w:rPr>
        <w:t xml:space="preserve"> Trybunał zauważa, że postępowanie przed </w:t>
      </w:r>
      <w:r w:rsidR="006A5369" w:rsidRPr="008C352B">
        <w:rPr>
          <w:rStyle w:val="JuParaCar"/>
        </w:rPr>
        <w:t>NRS</w:t>
      </w:r>
      <w:r w:rsidR="00BC5F79" w:rsidRPr="008C352B">
        <w:rPr>
          <w:rStyle w:val="JuParaCar"/>
        </w:rPr>
        <w:t xml:space="preserve"> miało miejsce na podstawie skargi obejmującej zarzu</w:t>
      </w:r>
      <w:r w:rsidR="00D2429A" w:rsidRPr="008C352B">
        <w:rPr>
          <w:rStyle w:val="JuParaCar"/>
        </w:rPr>
        <w:t>ty</w:t>
      </w:r>
      <w:r w:rsidR="00BC5F79" w:rsidRPr="008C352B">
        <w:rPr>
          <w:rStyle w:val="JuParaCar"/>
        </w:rPr>
        <w:t xml:space="preserve"> </w:t>
      </w:r>
      <w:r w:rsidR="00E313D2" w:rsidRPr="008C352B">
        <w:rPr>
          <w:rStyle w:val="JuParaCar"/>
        </w:rPr>
        <w:t xml:space="preserve">uchybienia w wykonywaniu funkcji sędziego </w:t>
      </w:r>
      <w:r w:rsidR="00BC5F79" w:rsidRPr="008C352B">
        <w:rPr>
          <w:rStyle w:val="JuParaCar"/>
        </w:rPr>
        <w:t>przeciwko skarżącemu. Właściwe zasady proceduralne regulujące władzę dyscyplinarną NRS określają procedurę dyscyplinarną, jakiej należy przestrzegać w przypadku skargi zarzucającej niewłaściwe zachowanie (</w:t>
      </w:r>
      <w:r w:rsidR="00E313D2" w:rsidRPr="008C352B">
        <w:rPr>
          <w:rStyle w:val="JuParaCar"/>
        </w:rPr>
        <w:t>uchybienia</w:t>
      </w:r>
      <w:r w:rsidR="00BC5F79" w:rsidRPr="008C352B">
        <w:rPr>
          <w:rStyle w:val="JuParaCar"/>
        </w:rPr>
        <w:t xml:space="preserve">) sędziemu. Wykroczenie </w:t>
      </w:r>
      <w:r w:rsidR="006A5369" w:rsidRPr="008C352B">
        <w:rPr>
          <w:rStyle w:val="JuParaCar"/>
        </w:rPr>
        <w:t xml:space="preserve">w postaci </w:t>
      </w:r>
      <w:r w:rsidR="00E313D2" w:rsidRPr="008C352B">
        <w:rPr>
          <w:rStyle w:val="JuParaCar"/>
        </w:rPr>
        <w:t xml:space="preserve">uchybienia w wykonywaniu funkcji sędziego </w:t>
      </w:r>
      <w:r w:rsidR="00BC5F79" w:rsidRPr="008C352B">
        <w:rPr>
          <w:rStyle w:val="JuParaCar"/>
        </w:rPr>
        <w:t>jest wykroczeniem dyscyplinarnym i jest ono ograniczone i</w:t>
      </w:r>
      <w:r w:rsidR="005507A4">
        <w:rPr>
          <w:rStyle w:val="JuParaCar"/>
        </w:rPr>
        <w:t> </w:t>
      </w:r>
      <w:r w:rsidR="00BC5F79" w:rsidRPr="008C352B">
        <w:rPr>
          <w:rStyle w:val="JuParaCar"/>
        </w:rPr>
        <w:t xml:space="preserve">powiązane wyłącznie z wykonywaniem funkcji sędziowskich. Nie należy ono do obszaru </w:t>
      </w:r>
      <w:r w:rsidR="00AE3DC1" w:rsidRPr="008C352B">
        <w:rPr>
          <w:rStyle w:val="JuParaCar"/>
        </w:rPr>
        <w:t>prawa karnego</w:t>
      </w:r>
      <w:r w:rsidR="00BC5F79" w:rsidRPr="008C352B">
        <w:rPr>
          <w:rStyle w:val="JuParaCar"/>
        </w:rPr>
        <w:t xml:space="preserve">. Dodatkowo, karą za takie </w:t>
      </w:r>
      <w:r w:rsidR="00E313D2" w:rsidRPr="008C352B">
        <w:rPr>
          <w:rStyle w:val="JuParaCar"/>
        </w:rPr>
        <w:t xml:space="preserve">uchybienie </w:t>
      </w:r>
      <w:r w:rsidR="00BC5F79" w:rsidRPr="008C352B">
        <w:rPr>
          <w:rStyle w:val="JuParaCar"/>
        </w:rPr>
        <w:t>według Regulaminu jest odwołanie (</w:t>
      </w:r>
      <w:r w:rsidR="009E5694" w:rsidRPr="008C352B">
        <w:rPr>
          <w:rStyle w:val="JuParaCar"/>
        </w:rPr>
        <w:t xml:space="preserve">art. </w:t>
      </w:r>
      <w:r w:rsidR="00BC5F79" w:rsidRPr="008C352B">
        <w:rPr>
          <w:rStyle w:val="JuParaCar"/>
        </w:rPr>
        <w:t xml:space="preserve">153 § 7 pkt 4 Konstytucji i Reguła 27; zob. paragrafy </w:t>
      </w:r>
      <w:r w:rsidR="009E5694" w:rsidRPr="008C352B">
        <w:t>39</w:t>
      </w:r>
      <w:r w:rsidR="00BC5F79" w:rsidRPr="008C352B">
        <w:rPr>
          <w:rStyle w:val="JuParaCar"/>
        </w:rPr>
        <w:t xml:space="preserve"> i </w:t>
      </w:r>
      <w:r w:rsidR="009E5694" w:rsidRPr="008C352B">
        <w:t>41</w:t>
      </w:r>
      <w:r w:rsidR="00BC5F79" w:rsidRPr="008C352B">
        <w:rPr>
          <w:rStyle w:val="JuParaCar"/>
        </w:rPr>
        <w:t xml:space="preserve"> powyżej). Zgodnie z ustaleniami NRS z dnia 19</w:t>
      </w:r>
      <w:r w:rsidR="005507A4">
        <w:rPr>
          <w:rStyle w:val="JuParaCar"/>
        </w:rPr>
        <w:t> </w:t>
      </w:r>
      <w:r w:rsidR="00BC5F79" w:rsidRPr="008C352B">
        <w:rPr>
          <w:rStyle w:val="JuParaCar"/>
        </w:rPr>
        <w:t>września 2006 r., naruszenie zostało</w:t>
      </w:r>
      <w:r w:rsidR="00963A58" w:rsidRPr="008C352B">
        <w:rPr>
          <w:rStyle w:val="JuParaCar"/>
        </w:rPr>
        <w:t xml:space="preserve"> udowodnione</w:t>
      </w:r>
      <w:r w:rsidR="00BC5F79" w:rsidRPr="008C352B">
        <w:rPr>
          <w:rStyle w:val="JuParaCar"/>
        </w:rPr>
        <w:t>, skarżący został odwołany ze stanowiska prezesa sądu, a następnie odwołany z pełnionego przez niego urzędu sędziego. Postępowanie zatem miało charakter wyłącznie dyscyplinarny.</w:t>
      </w:r>
    </w:p>
    <w:p w14:paraId="7F2BBFDE" w14:textId="3A183353" w:rsidR="00BC5F79" w:rsidRPr="008C352B" w:rsidRDefault="00320F5A" w:rsidP="008D10C9">
      <w:pPr>
        <w:pStyle w:val="ECHRPara"/>
        <w:rPr>
          <w:snapToGrid w:val="0"/>
        </w:rPr>
      </w:pPr>
      <w:r w:rsidRPr="008C352B">
        <w:t>52</w:t>
      </w:r>
      <w:r w:rsidR="00BC5F79" w:rsidRPr="008C352B">
        <w:t>.</w:t>
      </w:r>
      <w:r w:rsidR="00410690" w:rsidRPr="008C352B">
        <w:t xml:space="preserve"> </w:t>
      </w:r>
      <w:r w:rsidR="00BC5F79" w:rsidRPr="008C352B">
        <w:t>Należy również zauważyć, że wykluczenie skarżącego z grona sędziów nie uniemożliwiło mu wykonywania zawodu prawnika (zob.</w:t>
      </w:r>
      <w:r w:rsidR="005507A4">
        <w:rPr>
          <w:i/>
          <w:iCs/>
        </w:rPr>
        <w:t> </w:t>
      </w:r>
      <w:r w:rsidR="00BC5F79" w:rsidRPr="008C352B">
        <w:t xml:space="preserve">podobnie w sprawie </w:t>
      </w:r>
      <w:proofErr w:type="spellStart"/>
      <w:r w:rsidR="00BC5F79" w:rsidRPr="008C352B">
        <w:rPr>
          <w:i/>
          <w:iCs/>
        </w:rPr>
        <w:t>Oleksandr</w:t>
      </w:r>
      <w:proofErr w:type="spellEnd"/>
      <w:r w:rsidR="00BC5F79" w:rsidRPr="008C352B">
        <w:rPr>
          <w:i/>
          <w:iCs/>
        </w:rPr>
        <w:t xml:space="preserve"> </w:t>
      </w:r>
      <w:proofErr w:type="spellStart"/>
      <w:r w:rsidR="00BC5F79" w:rsidRPr="008C352B">
        <w:rPr>
          <w:i/>
          <w:iCs/>
        </w:rPr>
        <w:t>Volkov</w:t>
      </w:r>
      <w:proofErr w:type="spellEnd"/>
      <w:r w:rsidR="00BC5F79" w:rsidRPr="008C352B">
        <w:rPr>
          <w:i/>
          <w:iCs/>
        </w:rPr>
        <w:t xml:space="preserve">, </w:t>
      </w:r>
      <w:r w:rsidR="00BC5F79" w:rsidRPr="008C352B">
        <w:rPr>
          <w:snapToGrid w:val="0"/>
        </w:rPr>
        <w:t>§ 93, cyt. powyżej).</w:t>
      </w:r>
    </w:p>
    <w:p w14:paraId="4C6C99EA" w14:textId="791200AD" w:rsidR="00BC5F79" w:rsidRPr="008C352B" w:rsidRDefault="00320F5A" w:rsidP="008D10C9">
      <w:pPr>
        <w:pStyle w:val="ECHRPara"/>
      </w:pPr>
      <w:r w:rsidRPr="008C352B">
        <w:lastRenderedPageBreak/>
        <w:t>53</w:t>
      </w:r>
      <w:r w:rsidR="00BC5F79" w:rsidRPr="008C352B">
        <w:t>.</w:t>
      </w:r>
      <w:r w:rsidR="00410690" w:rsidRPr="008C352B">
        <w:t xml:space="preserve"> </w:t>
      </w:r>
      <w:r w:rsidR="00E33DE9" w:rsidRPr="008C352B">
        <w:t>W związku z powyższym</w:t>
      </w:r>
      <w:r w:rsidR="00BC5F79" w:rsidRPr="008C352B">
        <w:t xml:space="preserve"> postępowanie w przedmiotowej sprawie nie obejmowało </w:t>
      </w:r>
      <w:r w:rsidR="00963A58" w:rsidRPr="008C352B">
        <w:t>rozstrzygania</w:t>
      </w:r>
      <w:r w:rsidR="00BC5F79" w:rsidRPr="008C352B">
        <w:t xml:space="preserve"> </w:t>
      </w:r>
      <w:r w:rsidR="00963A58" w:rsidRPr="008C352B">
        <w:t>o zasadności oskarżenia w wytoczonej przeciwko skarżącemu sprawie karnej</w:t>
      </w:r>
      <w:r w:rsidR="00BC5F79" w:rsidRPr="008C352B">
        <w:t xml:space="preserve">, a </w:t>
      </w:r>
      <w:r w:rsidR="009E5694" w:rsidRPr="008C352B">
        <w:t xml:space="preserve">art. </w:t>
      </w:r>
      <w:r w:rsidR="00BC5F79" w:rsidRPr="008C352B">
        <w:t>6 w swoim aspekcie karnym nie ma zastosowania.</w:t>
      </w:r>
    </w:p>
    <w:p w14:paraId="7D597FFE" w14:textId="0F5AC342" w:rsidR="00BC5F79" w:rsidRPr="008C352B" w:rsidRDefault="00BC5F79" w:rsidP="008D10C9">
      <w:pPr>
        <w:pStyle w:val="ECHRHeading3"/>
      </w:pPr>
      <w:r w:rsidRPr="008C352B">
        <w:t>2.</w:t>
      </w:r>
      <w:r w:rsidR="00410690" w:rsidRPr="008C352B">
        <w:t xml:space="preserve"> </w:t>
      </w:r>
      <w:r w:rsidRPr="008C352B">
        <w:t xml:space="preserve">Zastosowanie </w:t>
      </w:r>
      <w:r w:rsidR="009E5694" w:rsidRPr="008C352B">
        <w:t>art.</w:t>
      </w:r>
      <w:r w:rsidRPr="008C352B">
        <w:t xml:space="preserve"> 6 Konwencji:</w:t>
      </w:r>
      <w:r w:rsidR="00963A58" w:rsidRPr="008C352B">
        <w:t xml:space="preserve"> aspekt cywilny</w:t>
      </w:r>
    </w:p>
    <w:p w14:paraId="6D90393E" w14:textId="4A367C7F" w:rsidR="00BC5F79" w:rsidRPr="008C352B" w:rsidRDefault="00320F5A" w:rsidP="008D10C9">
      <w:pPr>
        <w:pStyle w:val="ECHRPara"/>
      </w:pPr>
      <w:r w:rsidRPr="008C352B">
        <w:t>54</w:t>
      </w:r>
      <w:r w:rsidR="00BC5F79" w:rsidRPr="008C352B">
        <w:t>.</w:t>
      </w:r>
      <w:r w:rsidR="00410690" w:rsidRPr="008C352B">
        <w:t xml:space="preserve"> </w:t>
      </w:r>
      <w:r w:rsidR="00BC5F79" w:rsidRPr="008C352B">
        <w:t xml:space="preserve">Trybunał następnie musi rozważyć, czy zastosowanie znajduje cywilny aspekt </w:t>
      </w:r>
      <w:r w:rsidR="009E5694" w:rsidRPr="008C352B">
        <w:t>art.</w:t>
      </w:r>
      <w:r w:rsidR="00BC5F79" w:rsidRPr="008C352B">
        <w:t xml:space="preserve"> 6.</w:t>
      </w:r>
    </w:p>
    <w:p w14:paraId="50F0F709" w14:textId="2752E1EA" w:rsidR="00BC5F79" w:rsidRPr="008C352B" w:rsidRDefault="00BC5F79" w:rsidP="008D10C9">
      <w:pPr>
        <w:pStyle w:val="ECHRHeading4"/>
      </w:pPr>
      <w:r w:rsidRPr="008C352B">
        <w:t>(a)</w:t>
      </w:r>
      <w:r w:rsidR="00410690" w:rsidRPr="008C352B">
        <w:t xml:space="preserve"> </w:t>
      </w:r>
      <w:r w:rsidRPr="008C352B">
        <w:t>Wnioski stron</w:t>
      </w:r>
    </w:p>
    <w:p w14:paraId="4741E352" w14:textId="31B19651" w:rsidR="00BC5F79" w:rsidRPr="008C352B" w:rsidRDefault="00BC5F79" w:rsidP="008D10C9">
      <w:pPr>
        <w:pStyle w:val="ECHRHeading5"/>
      </w:pPr>
      <w:r w:rsidRPr="008C352B">
        <w:t>(i)</w:t>
      </w:r>
      <w:r w:rsidR="00410690" w:rsidRPr="008C352B">
        <w:t xml:space="preserve"> </w:t>
      </w:r>
      <w:r w:rsidRPr="008C352B">
        <w:t>Rząd</w:t>
      </w:r>
    </w:p>
    <w:p w14:paraId="45BA8C77" w14:textId="05053453" w:rsidR="00BC5F79" w:rsidRPr="008C352B" w:rsidRDefault="00320F5A" w:rsidP="008D10C9">
      <w:pPr>
        <w:pStyle w:val="ECHRPara"/>
      </w:pPr>
      <w:r w:rsidRPr="008C352B">
        <w:t>55</w:t>
      </w:r>
      <w:r w:rsidR="00BC5F79" w:rsidRPr="008C352B">
        <w:t>.</w:t>
      </w:r>
      <w:r w:rsidR="00410690" w:rsidRPr="008C352B">
        <w:t xml:space="preserve"> </w:t>
      </w:r>
      <w:r w:rsidR="00BC5F79" w:rsidRPr="008C352B">
        <w:t xml:space="preserve">Według stanowiska </w:t>
      </w:r>
      <w:r w:rsidR="00BC5F79" w:rsidRPr="008C352B">
        <w:rPr>
          <w:color w:val="000000"/>
        </w:rPr>
        <w:t xml:space="preserve">Rządu, </w:t>
      </w:r>
      <w:r w:rsidR="009E5694" w:rsidRPr="008C352B">
        <w:rPr>
          <w:color w:val="000000"/>
        </w:rPr>
        <w:t xml:space="preserve">art. </w:t>
      </w:r>
      <w:r w:rsidR="00BC5F79" w:rsidRPr="008C352B">
        <w:rPr>
          <w:color w:val="000000"/>
        </w:rPr>
        <w:t xml:space="preserve">6 w swoim aspekcie cywilnym nie miał zastosowania. </w:t>
      </w:r>
      <w:r w:rsidR="00BC5F79" w:rsidRPr="008C352B">
        <w:t>Rząd podnosił, że postępowanie dyscyplinarne przeciwko skarżącemu nie stanowiło rozstrzyg</w:t>
      </w:r>
      <w:r w:rsidR="00963A58" w:rsidRPr="008C352B">
        <w:t>ania</w:t>
      </w:r>
      <w:r w:rsidR="00BC5F79" w:rsidRPr="008C352B">
        <w:t xml:space="preserve"> o jego prawach i</w:t>
      </w:r>
      <w:r w:rsidR="005507A4">
        <w:t> </w:t>
      </w:r>
      <w:r w:rsidR="00BC5F79" w:rsidRPr="008C352B">
        <w:t xml:space="preserve">obowiązkach o charakterze cywilnym w rozumieniu </w:t>
      </w:r>
      <w:r w:rsidR="009E5694" w:rsidRPr="008C352B">
        <w:t>art.</w:t>
      </w:r>
      <w:r w:rsidR="00BC5F79" w:rsidRPr="008C352B">
        <w:t xml:space="preserve"> 6 ust. 1. Po</w:t>
      </w:r>
      <w:r w:rsidR="005507A4">
        <w:t> </w:t>
      </w:r>
      <w:r w:rsidR="00BC5F79" w:rsidRPr="008C352B">
        <w:t>pierwsze, w przedmiotowej sprawie nie istniało żadne „prawo”: nie</w:t>
      </w:r>
      <w:r w:rsidR="005507A4">
        <w:t> </w:t>
      </w:r>
      <w:r w:rsidR="00BC5F79" w:rsidRPr="008C352B">
        <w:t>istniało prawo do pozostania na stanowisku sędziego ani prezesa SSP, a</w:t>
      </w:r>
      <w:r w:rsidR="005507A4">
        <w:t> </w:t>
      </w:r>
      <w:r w:rsidR="00BC5F79" w:rsidRPr="008C352B">
        <w:t>także nie istniało prawo do niebycia odwołanym ze stanowiska. Skarżący nie miał żadnych uzasadnionych podstaw</w:t>
      </w:r>
      <w:r w:rsidR="002B4368" w:rsidRPr="008C352B">
        <w:t xml:space="preserve"> (</w:t>
      </w:r>
      <w:proofErr w:type="spellStart"/>
      <w:r w:rsidR="002B4368" w:rsidRPr="008C352B">
        <w:rPr>
          <w:i/>
        </w:rPr>
        <w:t>arguable</w:t>
      </w:r>
      <w:proofErr w:type="spellEnd"/>
      <w:r w:rsidR="002B4368" w:rsidRPr="008C352B">
        <w:rPr>
          <w:i/>
        </w:rPr>
        <w:t xml:space="preserve"> </w:t>
      </w:r>
      <w:proofErr w:type="spellStart"/>
      <w:r w:rsidR="002B4368" w:rsidRPr="008C352B">
        <w:rPr>
          <w:i/>
        </w:rPr>
        <w:t>grounds</w:t>
      </w:r>
      <w:proofErr w:type="spellEnd"/>
      <w:r w:rsidR="002B4368" w:rsidRPr="008C352B">
        <w:t>)</w:t>
      </w:r>
      <w:r w:rsidR="00BC5F79" w:rsidRPr="008C352B">
        <w:t xml:space="preserve">, z których mógłby wywieść takie prawo. Po drugie, nawet gdyby uznano, że takie prawo istniało, prawo takie nie miało „cywilnego” charakteru, jako że nie spełnione zostały dwa warunki, które ustanowiono w sprawie </w:t>
      </w:r>
      <w:proofErr w:type="spellStart"/>
      <w:r w:rsidR="00BC5F79" w:rsidRPr="008C352B">
        <w:rPr>
          <w:i/>
          <w:iCs/>
        </w:rPr>
        <w:t>Vilho</w:t>
      </w:r>
      <w:proofErr w:type="spellEnd"/>
      <w:r w:rsidR="00BC5F79" w:rsidRPr="008C352B">
        <w:rPr>
          <w:i/>
          <w:iCs/>
        </w:rPr>
        <w:t xml:space="preserve"> </w:t>
      </w:r>
      <w:proofErr w:type="spellStart"/>
      <w:r w:rsidR="00BC5F79" w:rsidRPr="008C352B">
        <w:rPr>
          <w:i/>
          <w:iCs/>
        </w:rPr>
        <w:t>Eskelinen</w:t>
      </w:r>
      <w:proofErr w:type="spellEnd"/>
      <w:r w:rsidR="00BC5F79" w:rsidRPr="008C352B">
        <w:rPr>
          <w:i/>
          <w:iCs/>
        </w:rPr>
        <w:t xml:space="preserve"> </w:t>
      </w:r>
      <w:r w:rsidR="003D34A6" w:rsidRPr="008C352B">
        <w:rPr>
          <w:i/>
          <w:iCs/>
        </w:rPr>
        <w:t>i Inni</w:t>
      </w:r>
      <w:r w:rsidR="00BC5F79" w:rsidRPr="008C352B">
        <w:rPr>
          <w:i/>
          <w:iCs/>
        </w:rPr>
        <w:t xml:space="preserve"> przeciwko Finlandii</w:t>
      </w:r>
      <w:r w:rsidR="00BC5F79" w:rsidRPr="008C352B">
        <w:t xml:space="preserve"> ([WI], nr 632535/00, § 62, ECHR 2007</w:t>
      </w:r>
      <w:r w:rsidR="00BC5F79" w:rsidRPr="008C352B">
        <w:noBreakHyphen/>
        <w:t>II). Jeśli chodzi o pierwszy warunek, Rząd wskazał, że skarżący nie</w:t>
      </w:r>
      <w:r w:rsidR="005507A4">
        <w:t> </w:t>
      </w:r>
      <w:r w:rsidR="00BC5F79" w:rsidRPr="008C352B">
        <w:t>miał prawa do sądu celem zakwestionowania usunięcia swojej osoby ze</w:t>
      </w:r>
      <w:r w:rsidR="005507A4">
        <w:t> </w:t>
      </w:r>
      <w:r w:rsidR="00BC5F79" w:rsidRPr="008C352B">
        <w:t>stanowiska. Choć ani Konstytucja ani mające zastosowanie zasady proceduralne dotyczące wykonywania władzy dyscyplinarnej NRS nie</w:t>
      </w:r>
      <w:r w:rsidR="005507A4">
        <w:t> </w:t>
      </w:r>
      <w:r w:rsidR="00BC5F79" w:rsidRPr="008C352B">
        <w:t xml:space="preserve">wyłączyły wyraźnie prawa do sądu celem zakwestionowania usunięcia sędziego ze stanowiska, Sąd Najwyższy wyraźnie orzekł w sprawach </w:t>
      </w:r>
      <w:proofErr w:type="spellStart"/>
      <w:r w:rsidR="00BC5F79" w:rsidRPr="008C352B">
        <w:rPr>
          <w:i/>
          <w:iCs/>
        </w:rPr>
        <w:t>Kourris</w:t>
      </w:r>
      <w:proofErr w:type="spellEnd"/>
      <w:r w:rsidR="00BC5F79" w:rsidRPr="008C352B">
        <w:t xml:space="preserve"> i </w:t>
      </w:r>
      <w:proofErr w:type="spellStart"/>
      <w:r w:rsidR="00BC5F79" w:rsidRPr="008C352B">
        <w:rPr>
          <w:i/>
          <w:iCs/>
        </w:rPr>
        <w:t>Karatsis</w:t>
      </w:r>
      <w:proofErr w:type="spellEnd"/>
      <w:r w:rsidR="00BC5F79" w:rsidRPr="008C352B">
        <w:t xml:space="preserve"> (</w:t>
      </w:r>
      <w:r w:rsidR="009E5694" w:rsidRPr="008C352B">
        <w:t xml:space="preserve">cyt. </w:t>
      </w:r>
      <w:r w:rsidR="00BC5F79" w:rsidRPr="008C352B">
        <w:t xml:space="preserve">powyżej), że czynności, decyzje lub zaniechania NRS nie mogą być zaskarżane w drodze środków z </w:t>
      </w:r>
      <w:r w:rsidR="009E5694" w:rsidRPr="008C352B">
        <w:t>art.</w:t>
      </w:r>
      <w:r w:rsidR="00BC5F79" w:rsidRPr="008C352B">
        <w:t xml:space="preserve"> 146 Konstytucji (zob. paragrafy </w:t>
      </w:r>
      <w:r w:rsidR="009E5694" w:rsidRPr="008C352B">
        <w:t>43</w:t>
      </w:r>
      <w:r w:rsidR="00BC5F79" w:rsidRPr="008C352B">
        <w:t xml:space="preserve"> i </w:t>
      </w:r>
      <w:r w:rsidR="009E5694" w:rsidRPr="008C352B">
        <w:t>44</w:t>
      </w:r>
      <w:r w:rsidR="00BC5F79" w:rsidRPr="008C352B">
        <w:t xml:space="preserve"> powyżej). Skarżący nie miał zatem prawa do sądu celem zakwestionowania usunięcia swojej osoby ze stanowiska.</w:t>
      </w:r>
    </w:p>
    <w:p w14:paraId="20AB9C9B" w14:textId="36AC5D60" w:rsidR="00BC5F79" w:rsidRPr="008C352B" w:rsidRDefault="00320F5A" w:rsidP="008D10C9">
      <w:pPr>
        <w:pStyle w:val="ECHRPara"/>
      </w:pPr>
      <w:r w:rsidRPr="008C352B">
        <w:t>56</w:t>
      </w:r>
      <w:r w:rsidR="00BC5F79" w:rsidRPr="008C352B">
        <w:t>.</w:t>
      </w:r>
      <w:r w:rsidR="00410690" w:rsidRPr="008C352B">
        <w:t xml:space="preserve"> </w:t>
      </w:r>
      <w:r w:rsidR="00BC5F79" w:rsidRPr="008C352B">
        <w:t xml:space="preserve">Jeśli chodzi o drugi warunek ustalony w sprawie </w:t>
      </w:r>
      <w:proofErr w:type="spellStart"/>
      <w:r w:rsidR="00BC5F79" w:rsidRPr="008C352B">
        <w:rPr>
          <w:i/>
          <w:iCs/>
        </w:rPr>
        <w:t>Vilho</w:t>
      </w:r>
      <w:proofErr w:type="spellEnd"/>
      <w:r w:rsidR="00BC5F79" w:rsidRPr="008C352B">
        <w:rPr>
          <w:i/>
          <w:iCs/>
        </w:rPr>
        <w:t xml:space="preserve"> </w:t>
      </w:r>
      <w:proofErr w:type="spellStart"/>
      <w:r w:rsidR="00BC5F79" w:rsidRPr="008C352B">
        <w:rPr>
          <w:i/>
          <w:iCs/>
        </w:rPr>
        <w:t>Eskelinen</w:t>
      </w:r>
      <w:proofErr w:type="spellEnd"/>
      <w:r w:rsidR="00BC5F79" w:rsidRPr="008C352B">
        <w:t>,</w:t>
      </w:r>
      <w:r w:rsidR="00410690" w:rsidRPr="008C352B">
        <w:rPr>
          <w:i/>
          <w:iCs/>
        </w:rPr>
        <w:t xml:space="preserve"> </w:t>
      </w:r>
      <w:r w:rsidR="00BC5F79" w:rsidRPr="008C352B">
        <w:t>Rząd wskazał, że Trybunał uznał, że sędzia ma konkretne obowiązki w</w:t>
      </w:r>
      <w:r w:rsidR="005507A4">
        <w:t> </w:t>
      </w:r>
      <w:r w:rsidR="00BC5F79" w:rsidRPr="008C352B">
        <w:t>zakresie wymierzania sprawiedliwości, które stanowią obszar</w:t>
      </w:r>
      <w:r w:rsidR="002B4368" w:rsidRPr="008C352B">
        <w:t>, w którym Państwa wykonują suwerenną władzę</w:t>
      </w:r>
      <w:r w:rsidR="00BC5F79" w:rsidRPr="008C352B">
        <w:t>. Sędzia uczestniczy bezpośrednio w</w:t>
      </w:r>
      <w:r w:rsidR="005507A4">
        <w:t> </w:t>
      </w:r>
      <w:r w:rsidR="00BC5F79" w:rsidRPr="008C352B">
        <w:t>wykonywaniu uprawnień nadany</w:t>
      </w:r>
      <w:r w:rsidR="004F35D4" w:rsidRPr="008C352B">
        <w:t>ch prawem publicznym i wykonuje</w:t>
      </w:r>
      <w:r w:rsidR="00BC5F79" w:rsidRPr="008C352B">
        <w:t xml:space="preserve"> obowiązki, których celem jest zabezpieczenie ogólnego interesu Państwa (na podstawie: </w:t>
      </w:r>
      <w:proofErr w:type="spellStart"/>
      <w:r w:rsidR="00BC5F79" w:rsidRPr="008C352B">
        <w:rPr>
          <w:i/>
          <w:iCs/>
        </w:rPr>
        <w:t>Serdal</w:t>
      </w:r>
      <w:proofErr w:type="spellEnd"/>
      <w:r w:rsidR="00BC5F79" w:rsidRPr="008C352B">
        <w:rPr>
          <w:i/>
          <w:iCs/>
        </w:rPr>
        <w:t xml:space="preserve"> </w:t>
      </w:r>
      <w:proofErr w:type="spellStart"/>
      <w:r w:rsidR="00BC5F79" w:rsidRPr="008C352B">
        <w:rPr>
          <w:i/>
          <w:iCs/>
        </w:rPr>
        <w:t>Apay</w:t>
      </w:r>
      <w:proofErr w:type="spellEnd"/>
      <w:r w:rsidR="00BC5F79" w:rsidRPr="008C352B">
        <w:rPr>
          <w:i/>
          <w:iCs/>
        </w:rPr>
        <w:t xml:space="preserve"> przeciwko Turcji</w:t>
      </w:r>
      <w:r w:rsidR="00BC5F79" w:rsidRPr="008C352B">
        <w:t xml:space="preserve"> (dec.), nr 3964/05, 11 grudnia 2007 r.; </w:t>
      </w:r>
      <w:proofErr w:type="spellStart"/>
      <w:r w:rsidR="00BC5F79" w:rsidRPr="008C352B">
        <w:rPr>
          <w:i/>
          <w:iCs/>
        </w:rPr>
        <w:t>Muammer</w:t>
      </w:r>
      <w:proofErr w:type="spellEnd"/>
      <w:r w:rsidR="00BC5F79" w:rsidRPr="008C352B">
        <w:rPr>
          <w:i/>
          <w:iCs/>
        </w:rPr>
        <w:t xml:space="preserve"> </w:t>
      </w:r>
      <w:proofErr w:type="spellStart"/>
      <w:r w:rsidR="00BC5F79" w:rsidRPr="008C352B">
        <w:rPr>
          <w:i/>
          <w:iCs/>
        </w:rPr>
        <w:t>Yilmazoǧlu</w:t>
      </w:r>
      <w:proofErr w:type="spellEnd"/>
      <w:r w:rsidR="00BC5F79" w:rsidRPr="008C352B">
        <w:rPr>
          <w:i/>
          <w:iCs/>
        </w:rPr>
        <w:t xml:space="preserve"> przeciwko Turcji </w:t>
      </w:r>
      <w:r w:rsidR="00BC5F79" w:rsidRPr="008C352B">
        <w:t>(dec.), nr 36593/97, 12</w:t>
      </w:r>
      <w:r w:rsidR="005507A4">
        <w:t> </w:t>
      </w:r>
      <w:r w:rsidR="00BC5F79" w:rsidRPr="008C352B">
        <w:t>czerwca 2003 r. oraz</w:t>
      </w:r>
      <w:r w:rsidR="00BC5F79" w:rsidRPr="008C352B">
        <w:rPr>
          <w:color w:val="000000"/>
        </w:rPr>
        <w:t xml:space="preserve"> </w:t>
      </w:r>
      <w:proofErr w:type="spellStart"/>
      <w:r w:rsidR="00BC5F79" w:rsidRPr="008C352B">
        <w:rPr>
          <w:i/>
          <w:iCs/>
          <w:color w:val="000000"/>
        </w:rPr>
        <w:t>Pitkevich</w:t>
      </w:r>
      <w:proofErr w:type="spellEnd"/>
      <w:r w:rsidR="00BC5F79" w:rsidRPr="008C352B">
        <w:rPr>
          <w:i/>
          <w:iCs/>
          <w:color w:val="000000"/>
        </w:rPr>
        <w:t xml:space="preserve"> przeciwko Rosji</w:t>
      </w:r>
      <w:r w:rsidR="00BC5F79" w:rsidRPr="008C352B">
        <w:rPr>
          <w:color w:val="000000"/>
        </w:rPr>
        <w:t xml:space="preserve"> (dec.), nr 47963, 8 lutego 2001 r.). Wyłączenie dostępu do sądu przez prawo krajowe uzasadnione </w:t>
      </w:r>
      <w:r w:rsidR="00BC5F79" w:rsidRPr="008C352B">
        <w:rPr>
          <w:color w:val="000000"/>
        </w:rPr>
        <w:lastRenderedPageBreak/>
        <w:t xml:space="preserve">było obiektywnymi przyczynami oraz interesami Państwa. W sprawie </w:t>
      </w:r>
      <w:proofErr w:type="spellStart"/>
      <w:r w:rsidR="00BC5F79" w:rsidRPr="008C352B">
        <w:rPr>
          <w:i/>
          <w:iCs/>
          <w:color w:val="000000"/>
        </w:rPr>
        <w:t>Karatsis</w:t>
      </w:r>
      <w:proofErr w:type="spellEnd"/>
      <w:r w:rsidR="00BC5F79" w:rsidRPr="008C352B">
        <w:rPr>
          <w:color w:val="000000"/>
        </w:rPr>
        <w:t xml:space="preserve"> Sąd Najwyższy podkreślił, że nominacje sędziowskie są</w:t>
      </w:r>
      <w:r w:rsidR="005507A4">
        <w:rPr>
          <w:color w:val="000000"/>
        </w:rPr>
        <w:t> </w:t>
      </w:r>
      <w:r w:rsidR="00BC5F79" w:rsidRPr="008C352B">
        <w:rPr>
          <w:color w:val="000000"/>
        </w:rPr>
        <w:t>nierozerwalnie powiązane z wykonywaniem funkcji sędziowskich, a</w:t>
      </w:r>
      <w:r w:rsidR="005507A4">
        <w:rPr>
          <w:color w:val="000000"/>
        </w:rPr>
        <w:t> </w:t>
      </w:r>
      <w:r w:rsidR="00BC5F79" w:rsidRPr="008C352B">
        <w:rPr>
          <w:color w:val="000000"/>
        </w:rPr>
        <w:t>dokładniej stanowią warunek wykonywania tych funkcji.</w:t>
      </w:r>
      <w:r w:rsidR="00410690" w:rsidRPr="008C352B">
        <w:t xml:space="preserve"> </w:t>
      </w:r>
      <w:r w:rsidR="00BC5F79" w:rsidRPr="008C352B">
        <w:t xml:space="preserve">Powierzenie nominacji sędziowskich samym sędziom stanowiło element niezależności sądownictwa i było wyrazem autonomii jego funkcjonowania (zob. paragraf </w:t>
      </w:r>
      <w:r w:rsidR="009E5694" w:rsidRPr="008C352B">
        <w:t>44</w:t>
      </w:r>
      <w:r w:rsidR="00BC5F79" w:rsidRPr="008C352B">
        <w:t xml:space="preserve"> powyżej). </w:t>
      </w:r>
      <w:r w:rsidR="00BC5F79" w:rsidRPr="008C352B">
        <w:rPr>
          <w:color w:val="000000"/>
        </w:rPr>
        <w:t>W przedmiotowej sprawie skarżący, jako sędzia SSP, i</w:t>
      </w:r>
      <w:r w:rsidR="005507A4">
        <w:rPr>
          <w:color w:val="000000"/>
        </w:rPr>
        <w:t> </w:t>
      </w:r>
      <w:r w:rsidR="00BC5F79" w:rsidRPr="008C352B">
        <w:rPr>
          <w:color w:val="000000"/>
        </w:rPr>
        <w:t>tym</w:t>
      </w:r>
      <w:r w:rsidR="005507A4">
        <w:rPr>
          <w:color w:val="000000"/>
        </w:rPr>
        <w:t> </w:t>
      </w:r>
      <w:r w:rsidR="00BC5F79" w:rsidRPr="008C352B">
        <w:rPr>
          <w:color w:val="000000"/>
        </w:rPr>
        <w:t>bardziej jako jego prezes, pełnił stanowisko najwyższej rangi w</w:t>
      </w:r>
      <w:r w:rsidR="005507A4">
        <w:rPr>
          <w:color w:val="000000"/>
        </w:rPr>
        <w:t> </w:t>
      </w:r>
      <w:r w:rsidR="00BC5F79" w:rsidRPr="008C352B">
        <w:rPr>
          <w:color w:val="000000"/>
        </w:rPr>
        <w:t xml:space="preserve">obszarze wymierzania sprawiedliwości. Posiadał uprawnienia nadane mu prawem publicznym i przyjął obowiązek zabezpieczenia ogólnych interesów Państwa. </w:t>
      </w:r>
      <w:r w:rsidR="00E313D2" w:rsidRPr="008C352B">
        <w:rPr>
          <w:color w:val="000000"/>
        </w:rPr>
        <w:t>Uchybienie</w:t>
      </w:r>
      <w:r w:rsidR="00BC5F79" w:rsidRPr="008C352B">
        <w:rPr>
          <w:color w:val="000000"/>
        </w:rPr>
        <w:t>, jakiego dopuścił się skarżący, miało niszczący wpływ na zaufanie opinii publicznej do integralności i</w:t>
      </w:r>
      <w:r w:rsidR="005507A4">
        <w:rPr>
          <w:color w:val="000000"/>
        </w:rPr>
        <w:t> </w:t>
      </w:r>
      <w:r w:rsidR="00BC5F79" w:rsidRPr="008C352B">
        <w:rPr>
          <w:color w:val="000000"/>
        </w:rPr>
        <w:t>niezależności władzy sądowniczej jako takiej. Tak jak podniosła NRS w</w:t>
      </w:r>
      <w:r w:rsidR="005507A4">
        <w:rPr>
          <w:color w:val="000000"/>
        </w:rPr>
        <w:t> </w:t>
      </w:r>
      <w:r w:rsidR="00BC5F79" w:rsidRPr="008C352B">
        <w:rPr>
          <w:color w:val="000000"/>
        </w:rPr>
        <w:t>swojej decyzji w niniejszej sprawie, celem postępowania nie było ukaranie skarżącego, lecz ochrona opinii publicznej poprzez przyjęcie ści</w:t>
      </w:r>
      <w:r w:rsidR="00BC5F79">
        <w:rPr>
          <w:color w:val="000000"/>
        </w:rPr>
        <w:t>ślej</w:t>
      </w:r>
      <w:r w:rsidR="004F35D4" w:rsidRPr="008C352B">
        <w:rPr>
          <w:color w:val="000000"/>
        </w:rPr>
        <w:t>s</w:t>
      </w:r>
      <w:r w:rsidR="00BC5F79">
        <w:rPr>
          <w:color w:val="000000"/>
        </w:rPr>
        <w:t>z</w:t>
      </w:r>
      <w:r w:rsidR="004F35D4" w:rsidRPr="008C352B">
        <w:rPr>
          <w:color w:val="000000"/>
        </w:rPr>
        <w:t>ych</w:t>
      </w:r>
      <w:r w:rsidR="00BC5F79" w:rsidRPr="008C352B">
        <w:rPr>
          <w:color w:val="000000"/>
        </w:rPr>
        <w:t xml:space="preserve"> standardów zachowania sędziów, tak aby utrzymać zaufanie opinii publicznej do integralności, reputacji i niezależności wymiaru sprawiedliwości (zob. paragraf </w:t>
      </w:r>
      <w:r w:rsidR="009E5694" w:rsidRPr="008C352B">
        <w:t>31</w:t>
      </w:r>
      <w:r w:rsidR="00BC5F79" w:rsidRPr="008C352B">
        <w:rPr>
          <w:color w:val="000000"/>
        </w:rPr>
        <w:t xml:space="preserve"> powyżej). Uniemożliwienie skarżącemu dostępu do sądu było zatem uzasadnione z przyczyn obiektywnych, a</w:t>
      </w:r>
      <w:r w:rsidR="005507A4">
        <w:rPr>
          <w:color w:val="000000"/>
        </w:rPr>
        <w:t> </w:t>
      </w:r>
      <w:r w:rsidR="00BC5F79" w:rsidRPr="008C352B">
        <w:rPr>
          <w:color w:val="000000"/>
        </w:rPr>
        <w:t xml:space="preserve">warstwa merytoryczna sporu dotyczyła wykonywania uprawnienia </w:t>
      </w:r>
      <w:r w:rsidR="00087DC9" w:rsidRPr="008C352B">
        <w:rPr>
          <w:color w:val="000000"/>
        </w:rPr>
        <w:t>Państwa</w:t>
      </w:r>
      <w:r w:rsidR="00BC5F79" w:rsidRPr="008C352B">
        <w:rPr>
          <w:color w:val="000000"/>
        </w:rPr>
        <w:t>.</w:t>
      </w:r>
    </w:p>
    <w:p w14:paraId="72A3A4F2" w14:textId="1F4948B3" w:rsidR="00BC5F79" w:rsidRPr="008C352B" w:rsidRDefault="00BC5F79" w:rsidP="008D10C9">
      <w:pPr>
        <w:pStyle w:val="ECHRHeading5"/>
      </w:pPr>
      <w:r w:rsidRPr="008C352B">
        <w:t>(ii)</w:t>
      </w:r>
      <w:r w:rsidR="00410690" w:rsidRPr="008C352B">
        <w:t xml:space="preserve"> </w:t>
      </w:r>
      <w:r w:rsidRPr="008C352B">
        <w:t>Skarżący</w:t>
      </w:r>
    </w:p>
    <w:p w14:paraId="0AFBD26D" w14:textId="0D870724" w:rsidR="00BC5F79" w:rsidRPr="008C352B" w:rsidRDefault="00320F5A" w:rsidP="008D10C9">
      <w:pPr>
        <w:pStyle w:val="ECHRPara"/>
      </w:pPr>
      <w:r w:rsidRPr="008C352B">
        <w:t>57</w:t>
      </w:r>
      <w:r w:rsidR="00BC5F79" w:rsidRPr="008C352B">
        <w:t>.</w:t>
      </w:r>
      <w:r w:rsidR="00410690" w:rsidRPr="008C352B">
        <w:t xml:space="preserve"> </w:t>
      </w:r>
      <w:r w:rsidR="00BC5F79" w:rsidRPr="008C352B">
        <w:t xml:space="preserve">Skarżący podniósł, że postępowanie dyscyplinarne przeciwko niemu było krokiem drastycznym. Z samego swojego charakteru i konsekwencji powstało „prawo” w rozumieniu </w:t>
      </w:r>
      <w:r w:rsidR="009E5694" w:rsidRPr="008C352B">
        <w:t>art.</w:t>
      </w:r>
      <w:r w:rsidR="00BC5F79" w:rsidRPr="008C352B">
        <w:t xml:space="preserve"> 6 Konwencji. </w:t>
      </w:r>
      <w:r w:rsidR="00BC5F79" w:rsidRPr="008C352B">
        <w:rPr>
          <w:color w:val="000000"/>
        </w:rPr>
        <w:t>Żad</w:t>
      </w:r>
      <w:r w:rsidR="002B4368" w:rsidRPr="008C352B">
        <w:rPr>
          <w:color w:val="000000"/>
        </w:rPr>
        <w:t>ne cechy</w:t>
      </w:r>
      <w:r w:rsidR="00BC5F79" w:rsidRPr="008C352B">
        <w:rPr>
          <w:color w:val="000000"/>
        </w:rPr>
        <w:t xml:space="preserve"> </w:t>
      </w:r>
      <w:r w:rsidR="002B4368" w:rsidRPr="008C352B">
        <w:rPr>
          <w:color w:val="000000"/>
        </w:rPr>
        <w:t>publiczno</w:t>
      </w:r>
      <w:r w:rsidR="002B4368" w:rsidRPr="008C352B">
        <w:rPr>
          <w:color w:val="000000"/>
        </w:rPr>
        <w:noBreakHyphen/>
        <w:t>prawne</w:t>
      </w:r>
      <w:r w:rsidR="00BC5F79" w:rsidRPr="008C352B">
        <w:rPr>
          <w:color w:val="000000"/>
        </w:rPr>
        <w:t xml:space="preserve"> o charakterze dyscyplinarnym</w:t>
      </w:r>
      <w:r w:rsidR="00BC5F79" w:rsidRPr="008C352B">
        <w:t xml:space="preserve"> w sprawie nie wyłączał</w:t>
      </w:r>
      <w:r w:rsidR="002B4368" w:rsidRPr="008C352B">
        <w:t>y</w:t>
      </w:r>
      <w:r w:rsidR="00BC5F79" w:rsidRPr="008C352B">
        <w:t xml:space="preserve"> postępowania spod zakresu </w:t>
      </w:r>
      <w:r w:rsidR="009E5694" w:rsidRPr="008C352B">
        <w:t>art.</w:t>
      </w:r>
      <w:r w:rsidR="00BC5F79" w:rsidRPr="008C352B">
        <w:t xml:space="preserve"> 6, jako że jego wynik był dotkliwy i</w:t>
      </w:r>
      <w:r w:rsidR="005507A4">
        <w:t> </w:t>
      </w:r>
      <w:r w:rsidR="00BC5F79" w:rsidRPr="008C352B">
        <w:t xml:space="preserve">dalekosiężny: skarżący został odwołany ze stanowiska, co miało wpływ na jego karierę i działalność zawodową. Fakt, że </w:t>
      </w:r>
      <w:r w:rsidR="009E5694" w:rsidRPr="008C352B">
        <w:t>art.</w:t>
      </w:r>
      <w:r w:rsidR="00BC5F79" w:rsidRPr="008C352B">
        <w:t xml:space="preserve"> 12 </w:t>
      </w:r>
      <w:r w:rsidR="00BC5F79" w:rsidRPr="008C352B">
        <w:rPr>
          <w:color w:val="000000"/>
        </w:rPr>
        <w:t xml:space="preserve">§ </w:t>
      </w:r>
      <w:r w:rsidR="00BC5F79" w:rsidRPr="008C352B">
        <w:t xml:space="preserve">5 i 30 Konstytucji, które zawierają gwarancje równorzędne do </w:t>
      </w:r>
      <w:r w:rsidR="009E5694" w:rsidRPr="008C352B">
        <w:t>art.</w:t>
      </w:r>
      <w:r w:rsidR="00BC5F79" w:rsidRPr="008C352B">
        <w:t xml:space="preserve"> 6 Konwencji, miały zastosowanie do postępowania dyscyplinarnego, wskazywał na cywilny charakter prawa, o którym mowa.</w:t>
      </w:r>
    </w:p>
    <w:p w14:paraId="79C45279" w14:textId="1EC64407" w:rsidR="00BC5F79" w:rsidRPr="008C352B" w:rsidRDefault="00320F5A" w:rsidP="008D10C9">
      <w:pPr>
        <w:pStyle w:val="ECHRPara"/>
        <w:rPr>
          <w:color w:val="000000"/>
        </w:rPr>
      </w:pPr>
      <w:r w:rsidRPr="008C352B">
        <w:t>58</w:t>
      </w:r>
      <w:r w:rsidR="00BC5F79" w:rsidRPr="008C352B">
        <w:t>.</w:t>
      </w:r>
      <w:r w:rsidR="00410690" w:rsidRPr="008C352B">
        <w:t xml:space="preserve"> </w:t>
      </w:r>
      <w:r w:rsidR="00BC5F79" w:rsidRPr="008C352B">
        <w:t>Skarżący podkreślił, że nie miał dostępu do sądu, ponieważ nie był w</w:t>
      </w:r>
      <w:r w:rsidR="005507A4">
        <w:t> </w:t>
      </w:r>
      <w:r w:rsidR="00BC5F79" w:rsidRPr="008C352B">
        <w:t>stanie ubiegać się o rewizję decyzji NRS oraz że nie było obiektywnego uzasadnienia tego wyłączenia. Decyzje Trybunału w sprawach</w:t>
      </w:r>
      <w:r w:rsidR="00410690" w:rsidRPr="008C352B">
        <w:t xml:space="preserve"> </w:t>
      </w:r>
      <w:proofErr w:type="spellStart"/>
      <w:r w:rsidR="00BC5F79" w:rsidRPr="008C352B">
        <w:rPr>
          <w:i/>
          <w:iCs/>
        </w:rPr>
        <w:t>Serdal</w:t>
      </w:r>
      <w:proofErr w:type="spellEnd"/>
      <w:r w:rsidR="00BC5F79" w:rsidRPr="008C352B">
        <w:rPr>
          <w:i/>
          <w:iCs/>
        </w:rPr>
        <w:t xml:space="preserve"> </w:t>
      </w:r>
      <w:proofErr w:type="spellStart"/>
      <w:r w:rsidR="00BC5F79" w:rsidRPr="008C352B">
        <w:rPr>
          <w:i/>
          <w:iCs/>
        </w:rPr>
        <w:t>Apay</w:t>
      </w:r>
      <w:proofErr w:type="spellEnd"/>
      <w:r w:rsidR="00BC5F79" w:rsidRPr="008C352B">
        <w:t xml:space="preserve">, </w:t>
      </w:r>
      <w:proofErr w:type="spellStart"/>
      <w:r w:rsidR="00BC5F79" w:rsidRPr="008C352B">
        <w:rPr>
          <w:i/>
          <w:iCs/>
        </w:rPr>
        <w:t>Muammer</w:t>
      </w:r>
      <w:proofErr w:type="spellEnd"/>
      <w:r w:rsidR="00BC5F79" w:rsidRPr="008C352B">
        <w:rPr>
          <w:i/>
          <w:iCs/>
        </w:rPr>
        <w:t xml:space="preserve"> </w:t>
      </w:r>
      <w:proofErr w:type="spellStart"/>
      <w:r w:rsidR="00BC5F79" w:rsidRPr="008C352B">
        <w:rPr>
          <w:i/>
          <w:iCs/>
        </w:rPr>
        <w:t>Yilmazoǧlu</w:t>
      </w:r>
      <w:proofErr w:type="spellEnd"/>
      <w:r w:rsidR="00BC5F79" w:rsidRPr="008C352B">
        <w:rPr>
          <w:i/>
          <w:iCs/>
        </w:rPr>
        <w:t xml:space="preserve"> </w:t>
      </w:r>
      <w:r w:rsidR="00BC5F79" w:rsidRPr="008C352B">
        <w:t xml:space="preserve">i </w:t>
      </w:r>
      <w:proofErr w:type="spellStart"/>
      <w:r w:rsidR="00BC5F79" w:rsidRPr="008C352B">
        <w:rPr>
          <w:i/>
          <w:iCs/>
          <w:color w:val="000000"/>
        </w:rPr>
        <w:t>Pitkevich</w:t>
      </w:r>
      <w:proofErr w:type="spellEnd"/>
      <w:r w:rsidR="00BC5F79" w:rsidRPr="008C352B">
        <w:rPr>
          <w:i/>
          <w:iCs/>
          <w:color w:val="000000"/>
        </w:rPr>
        <w:t xml:space="preserve"> </w:t>
      </w:r>
      <w:r w:rsidR="00BC5F79" w:rsidRPr="008C352B">
        <w:rPr>
          <w:color w:val="000000"/>
        </w:rPr>
        <w:t>(wszystkie cyt. powyżej),</w:t>
      </w:r>
      <w:r w:rsidR="00410690" w:rsidRPr="008C352B">
        <w:rPr>
          <w:i/>
          <w:iCs/>
          <w:color w:val="000000"/>
        </w:rPr>
        <w:t xml:space="preserve"> </w:t>
      </w:r>
      <w:r w:rsidR="00BC5F79" w:rsidRPr="008C352B">
        <w:t>na których opierał się Rząd w swoich wnioskach w tej kwestii</w:t>
      </w:r>
      <w:r w:rsidR="00BC5F79" w:rsidRPr="008C352B">
        <w:rPr>
          <w:color w:val="000000"/>
        </w:rPr>
        <w:t xml:space="preserve"> (zob. paragraf </w:t>
      </w:r>
      <w:r w:rsidR="009E5694" w:rsidRPr="008C352B">
        <w:t xml:space="preserve">56 </w:t>
      </w:r>
      <w:r w:rsidR="00BC5F79" w:rsidRPr="008C352B">
        <w:rPr>
          <w:color w:val="000000"/>
        </w:rPr>
        <w:t>powyżej), nie miały nic wspólnego ze sprawą, jako że interes Państwa w</w:t>
      </w:r>
      <w:r w:rsidR="005507A4">
        <w:rPr>
          <w:color w:val="000000"/>
        </w:rPr>
        <w:t> </w:t>
      </w:r>
      <w:r w:rsidR="00BC5F79" w:rsidRPr="008C352B">
        <w:rPr>
          <w:color w:val="000000"/>
        </w:rPr>
        <w:t xml:space="preserve">tych sprawach był ściśle interpretowany na podstawie konkretnych faktów w tych sprawach. Z wyroku Trybunału w sprawie </w:t>
      </w:r>
      <w:proofErr w:type="spellStart"/>
      <w:r w:rsidR="00BC5F79" w:rsidRPr="008C352B">
        <w:rPr>
          <w:i/>
          <w:iCs/>
        </w:rPr>
        <w:t>Vilho</w:t>
      </w:r>
      <w:proofErr w:type="spellEnd"/>
      <w:r w:rsidR="00BC5F79" w:rsidRPr="008C352B">
        <w:rPr>
          <w:i/>
          <w:iCs/>
        </w:rPr>
        <w:t xml:space="preserve"> </w:t>
      </w:r>
      <w:proofErr w:type="spellStart"/>
      <w:r w:rsidR="00BC5F79" w:rsidRPr="008C352B">
        <w:rPr>
          <w:i/>
          <w:iCs/>
        </w:rPr>
        <w:t>Eskelinem</w:t>
      </w:r>
      <w:proofErr w:type="spellEnd"/>
      <w:r w:rsidR="00BC5F79" w:rsidRPr="008C352B">
        <w:t xml:space="preserve"> (cyt. powyżej) jasno wynika, że wyłącznie szczególny charakter stosunku pomiędzy konkretnym urzędnikiem służby cywilnej </w:t>
      </w:r>
      <w:r w:rsidR="00AB3D04" w:rsidRPr="008C352B">
        <w:t>a</w:t>
      </w:r>
      <w:r w:rsidR="00BC5F79" w:rsidRPr="008C352B">
        <w:t xml:space="preserve"> danym Państwem m</w:t>
      </w:r>
      <w:r w:rsidR="00AB3D04" w:rsidRPr="008C352B">
        <w:t>ógłby</w:t>
      </w:r>
      <w:r w:rsidR="00BC5F79" w:rsidRPr="008C352B">
        <w:t xml:space="preserve"> uzasadnić niestosowanie </w:t>
      </w:r>
      <w:r w:rsidR="009E5694" w:rsidRPr="008C352B">
        <w:t>art.</w:t>
      </w:r>
      <w:r w:rsidR="00BC5F79" w:rsidRPr="008C352B">
        <w:t xml:space="preserve"> 6. Taki przypadek musiałby </w:t>
      </w:r>
      <w:r w:rsidR="00BC5F79" w:rsidRPr="008C352B">
        <w:lastRenderedPageBreak/>
        <w:t xml:space="preserve">obejmować przekazanie </w:t>
      </w:r>
      <w:r w:rsidR="00AB3D04" w:rsidRPr="008C352B">
        <w:t>konkretnej</w:t>
      </w:r>
      <w:r w:rsidR="00BC5F79" w:rsidRPr="008C352B">
        <w:t xml:space="preserve"> części </w:t>
      </w:r>
      <w:r w:rsidR="002B4368" w:rsidRPr="008C352B">
        <w:t>suwerenności</w:t>
      </w:r>
      <w:r w:rsidR="00BC5F79" w:rsidRPr="008C352B">
        <w:t xml:space="preserve"> danemu urzędnikowi służby cywilnej, tworząc specjalny rodzaj więzów opartych na</w:t>
      </w:r>
      <w:r w:rsidR="005507A4">
        <w:t> </w:t>
      </w:r>
      <w:r w:rsidR="00BC5F79" w:rsidRPr="008C352B">
        <w:t>zaufaniu. Taka sytuacja nie miała miejsca w przedmiotowej sprawie.</w:t>
      </w:r>
    </w:p>
    <w:p w14:paraId="7B9CD29B" w14:textId="44879AA5" w:rsidR="00BC5F79" w:rsidRPr="008C352B" w:rsidRDefault="00320F5A" w:rsidP="008D10C9">
      <w:pPr>
        <w:pStyle w:val="ECHRPara"/>
      </w:pPr>
      <w:r w:rsidRPr="008C352B">
        <w:t>59</w:t>
      </w:r>
      <w:r w:rsidR="00BC5F79" w:rsidRPr="008C352B">
        <w:t>.</w:t>
      </w:r>
      <w:r w:rsidR="00410690" w:rsidRPr="008C352B">
        <w:t xml:space="preserve"> </w:t>
      </w:r>
      <w:r w:rsidR="00BC5F79" w:rsidRPr="008C352B">
        <w:t xml:space="preserve">Wreszcie to, że Rząd opierał się na sprawach </w:t>
      </w:r>
      <w:proofErr w:type="spellStart"/>
      <w:r w:rsidR="00BC5F79" w:rsidRPr="008C352B">
        <w:rPr>
          <w:i/>
          <w:iCs/>
        </w:rPr>
        <w:t>Kourris</w:t>
      </w:r>
      <w:proofErr w:type="spellEnd"/>
      <w:r w:rsidR="00BC5F79" w:rsidRPr="008C352B">
        <w:t xml:space="preserve"> i </w:t>
      </w:r>
      <w:proofErr w:type="spellStart"/>
      <w:r w:rsidR="00BC5F79" w:rsidRPr="008C352B">
        <w:rPr>
          <w:i/>
          <w:iCs/>
        </w:rPr>
        <w:t>Karatsis</w:t>
      </w:r>
      <w:proofErr w:type="spellEnd"/>
      <w:r w:rsidR="00BC5F79" w:rsidRPr="008C352B">
        <w:t>, nie</w:t>
      </w:r>
      <w:r w:rsidR="005507A4">
        <w:t> </w:t>
      </w:r>
      <w:r w:rsidR="00BC5F79" w:rsidRPr="008C352B">
        <w:t xml:space="preserve">stanowiło uzasadnienia dla odmowy dostępu do sądu. Z wymienionych spraw </w:t>
      </w:r>
      <w:r w:rsidR="00AB3D04" w:rsidRPr="008C352B">
        <w:t xml:space="preserve">jasno </w:t>
      </w:r>
      <w:r w:rsidR="00BC5F79" w:rsidRPr="008C352B">
        <w:t xml:space="preserve">wynika, że istnienie „prawa” na potrzeby </w:t>
      </w:r>
      <w:r w:rsidR="009E5694" w:rsidRPr="008C352B">
        <w:t>art.</w:t>
      </w:r>
      <w:r w:rsidR="00BC5F79" w:rsidRPr="008C352B">
        <w:t xml:space="preserve"> 6 nie zależy od</w:t>
      </w:r>
      <w:r w:rsidR="005507A4">
        <w:t> </w:t>
      </w:r>
      <w:r w:rsidR="00BC5F79" w:rsidRPr="008C352B">
        <w:t>klasyfikacji lub kategoryzacji charakteru spraw wspomnianych powyżej przez Sąd Najwyższy przy analizowaniu środków skarżących.</w:t>
      </w:r>
    </w:p>
    <w:p w14:paraId="4A487EAB" w14:textId="6211324D" w:rsidR="00BC5F79" w:rsidRPr="008C352B" w:rsidRDefault="00BC5F79" w:rsidP="008D10C9">
      <w:pPr>
        <w:pStyle w:val="ECHRHeading4"/>
      </w:pPr>
      <w:r w:rsidRPr="008C352B">
        <w:t>(b)</w:t>
      </w:r>
      <w:r w:rsidR="00410690" w:rsidRPr="008C352B">
        <w:t xml:space="preserve"> </w:t>
      </w:r>
      <w:r w:rsidRPr="008C352B">
        <w:t>Ocena Trybunału</w:t>
      </w:r>
    </w:p>
    <w:p w14:paraId="5A30316C" w14:textId="7F5A0437" w:rsidR="00BC5F79" w:rsidRPr="008C352B" w:rsidRDefault="00BC5F79" w:rsidP="008D10C9">
      <w:pPr>
        <w:pStyle w:val="ECHRHeading5"/>
      </w:pPr>
      <w:r w:rsidRPr="008C352B">
        <w:t>(i)</w:t>
      </w:r>
      <w:r w:rsidR="00410690" w:rsidRPr="008C352B">
        <w:t xml:space="preserve"> </w:t>
      </w:r>
      <w:r w:rsidRPr="008C352B">
        <w:t>Zasady ogólne usta</w:t>
      </w:r>
      <w:r w:rsidR="00AB3D04" w:rsidRPr="008C352B">
        <w:t>lone</w:t>
      </w:r>
      <w:r w:rsidRPr="008C352B">
        <w:t xml:space="preserve"> w orzecznictwie Trybunału</w:t>
      </w:r>
    </w:p>
    <w:p w14:paraId="05E4EB22" w14:textId="31E8F303" w:rsidR="00BC5F79" w:rsidRPr="008C352B" w:rsidRDefault="00320F5A" w:rsidP="008D10C9">
      <w:pPr>
        <w:pStyle w:val="ECHRPara"/>
        <w:rPr>
          <w:i/>
          <w:iCs/>
        </w:rPr>
      </w:pPr>
      <w:r w:rsidRPr="008C352B">
        <w:t>60</w:t>
      </w:r>
      <w:r w:rsidR="00BC5F79" w:rsidRPr="008C352B">
        <w:t>.</w:t>
      </w:r>
      <w:r w:rsidR="00410690" w:rsidRPr="008C352B">
        <w:t xml:space="preserve"> </w:t>
      </w:r>
      <w:r w:rsidR="00BC5F79" w:rsidRPr="008C352B">
        <w:t xml:space="preserve">Trybunał przypomina, że aby zastosowanie mógł mieć </w:t>
      </w:r>
      <w:r w:rsidR="009E5694" w:rsidRPr="008C352B">
        <w:t xml:space="preserve">art. </w:t>
      </w:r>
      <w:r w:rsidR="00BC5F79" w:rsidRPr="008C352B">
        <w:t xml:space="preserve">6 ust. 1 </w:t>
      </w:r>
      <w:r w:rsidR="00AB3D04" w:rsidRPr="008C352B">
        <w:t>w</w:t>
      </w:r>
      <w:r w:rsidR="005507A4">
        <w:t> </w:t>
      </w:r>
      <w:r w:rsidR="00BC5F79" w:rsidRPr="008C352B">
        <w:t>swoim aspekcie</w:t>
      </w:r>
      <w:r w:rsidR="00AB3D04" w:rsidRPr="008C352B">
        <w:t xml:space="preserve"> cywilnym</w:t>
      </w:r>
      <w:r w:rsidR="00BC5F79" w:rsidRPr="008C352B">
        <w:t>, musi istnieć spór („</w:t>
      </w:r>
      <w:proofErr w:type="spellStart"/>
      <w:r w:rsidR="00BC5F79" w:rsidRPr="008C352B">
        <w:rPr>
          <w:i/>
          <w:iCs/>
        </w:rPr>
        <w:t>contestation</w:t>
      </w:r>
      <w:proofErr w:type="spellEnd"/>
      <w:r w:rsidR="00BC5F79" w:rsidRPr="008C352B">
        <w:t xml:space="preserve">” w tekście francuskim [Konwencji]) co do „prawa”, </w:t>
      </w:r>
      <w:r w:rsidR="00AB3D04" w:rsidRPr="008C352B">
        <w:t xml:space="preserve">o którym </w:t>
      </w:r>
      <w:r w:rsidR="00BC5F79" w:rsidRPr="008C352B">
        <w:t>można</w:t>
      </w:r>
      <w:r w:rsidR="00AB3D04" w:rsidRPr="008C352B">
        <w:t xml:space="preserve"> powiedzieć</w:t>
      </w:r>
      <w:r w:rsidR="00BC5F79" w:rsidRPr="008C352B">
        <w:t xml:space="preserve">, przynajmniej na podstawie </w:t>
      </w:r>
      <w:r w:rsidR="00AB3D04" w:rsidRPr="008C352B">
        <w:t>uzasadni</w:t>
      </w:r>
      <w:r w:rsidR="004A6D25" w:rsidRPr="008C352B">
        <w:t>onych</w:t>
      </w:r>
      <w:r w:rsidR="00BC5F79" w:rsidRPr="008C352B">
        <w:t xml:space="preserve"> argumentów</w:t>
      </w:r>
      <w:r w:rsidR="00AB3D04" w:rsidRPr="008C352B">
        <w:t xml:space="preserve"> (</w:t>
      </w:r>
      <w:proofErr w:type="spellStart"/>
      <w:r w:rsidR="00AB3D04" w:rsidRPr="008C352B">
        <w:rPr>
          <w:i/>
        </w:rPr>
        <w:t>arguable</w:t>
      </w:r>
      <w:proofErr w:type="spellEnd"/>
      <w:r w:rsidR="00AB3D04" w:rsidRPr="008C352B">
        <w:rPr>
          <w:i/>
        </w:rPr>
        <w:t xml:space="preserve"> </w:t>
      </w:r>
      <w:proofErr w:type="spellStart"/>
      <w:r w:rsidR="00AB3D04" w:rsidRPr="008C352B">
        <w:rPr>
          <w:i/>
        </w:rPr>
        <w:t>grounds</w:t>
      </w:r>
      <w:proofErr w:type="spellEnd"/>
      <w:r w:rsidR="00AB3D04" w:rsidRPr="008C352B">
        <w:t xml:space="preserve">), że jest uznane </w:t>
      </w:r>
      <w:r w:rsidR="00BC5F79" w:rsidRPr="008C352B">
        <w:t>na mocy prawa krajowego, niezależnie od tego, czy dane prawo jest chronione na mocy Konwencji. Spór ten musi być rzeczywisty i</w:t>
      </w:r>
      <w:r w:rsidR="005507A4">
        <w:t> </w:t>
      </w:r>
      <w:r w:rsidR="00BC5F79" w:rsidRPr="008C352B">
        <w:t>poważny; może dotyczyć nie tylko rzeczywistego istnienia prawa,</w:t>
      </w:r>
      <w:r w:rsidR="00AB3D04" w:rsidRPr="008C352B">
        <w:t xml:space="preserve"> </w:t>
      </w:r>
      <w:r w:rsidR="00BC5F79" w:rsidRPr="008C352B">
        <w:t>ale też jego zakresu czy sposobu wykonania; a wreszcie, wynik pos</w:t>
      </w:r>
      <w:r w:rsidR="00AB3D04" w:rsidRPr="008C352B">
        <w:t>tępowania musi mieć bezpośredni</w:t>
      </w:r>
      <w:r w:rsidR="00BC5F79" w:rsidRPr="008C352B">
        <w:t xml:space="preserve"> wpływ na dane prawo; sam luźny związek lub dalekie konsekwencje nie wystarczają, by powołać się na </w:t>
      </w:r>
      <w:r w:rsidR="009E5694" w:rsidRPr="008C352B">
        <w:t xml:space="preserve">art. </w:t>
      </w:r>
      <w:r w:rsidR="00BC5F79" w:rsidRPr="008C352B">
        <w:t xml:space="preserve">6 ust. 1 (zob. m. in. </w:t>
      </w:r>
      <w:r w:rsidR="00BC5F79" w:rsidRPr="008C352B">
        <w:rPr>
          <w:i/>
          <w:iCs/>
        </w:rPr>
        <w:t>Regner przeciwko Czechom</w:t>
      </w:r>
      <w:r w:rsidR="00BC5F79" w:rsidRPr="008C352B">
        <w:t xml:space="preserve"> [WI], nr 35289/11, § 99, 19 września 2017 r.; </w:t>
      </w:r>
      <w:proofErr w:type="spellStart"/>
      <w:r w:rsidR="00BC5F79" w:rsidRPr="008C352B">
        <w:rPr>
          <w:i/>
          <w:iCs/>
        </w:rPr>
        <w:t>Károly</w:t>
      </w:r>
      <w:proofErr w:type="spellEnd"/>
      <w:r w:rsidR="00BC5F79" w:rsidRPr="008C352B">
        <w:rPr>
          <w:i/>
          <w:iCs/>
        </w:rPr>
        <w:t xml:space="preserve"> </w:t>
      </w:r>
      <w:proofErr w:type="spellStart"/>
      <w:r w:rsidR="00BC5F79" w:rsidRPr="008C352B">
        <w:rPr>
          <w:i/>
          <w:iCs/>
        </w:rPr>
        <w:t>Nagy</w:t>
      </w:r>
      <w:proofErr w:type="spellEnd"/>
      <w:r w:rsidR="00BC5F79" w:rsidRPr="008C352B">
        <w:rPr>
          <w:i/>
          <w:iCs/>
        </w:rPr>
        <w:t xml:space="preserve"> przeciwko Węgrom</w:t>
      </w:r>
      <w:r w:rsidR="00BC5F79" w:rsidRPr="008C352B">
        <w:t xml:space="preserve"> [WI], nr 56665/09, § 60, 14 września 2017</w:t>
      </w:r>
      <w:r w:rsidR="005507A4">
        <w:t> </w:t>
      </w:r>
      <w:r w:rsidR="00BC5F79" w:rsidRPr="008C352B">
        <w:t xml:space="preserve">r.; </w:t>
      </w:r>
      <w:r w:rsidR="00BC5F79" w:rsidRPr="008C352B">
        <w:rPr>
          <w:i/>
          <w:iCs/>
        </w:rPr>
        <w:t xml:space="preserve">Baka przeciwko Węgrom </w:t>
      </w:r>
      <w:r w:rsidR="00BC5F79" w:rsidRPr="008C352B">
        <w:t>[WI], nr 20261/12</w:t>
      </w:r>
      <w:r w:rsidR="00BC5F79" w:rsidRPr="008C352B">
        <w:rPr>
          <w:snapToGrid w:val="0"/>
        </w:rPr>
        <w:t>, § 100, ECHR 2016 i</w:t>
      </w:r>
      <w:r w:rsidR="005507A4">
        <w:rPr>
          <w:snapToGrid w:val="0"/>
        </w:rPr>
        <w:t> </w:t>
      </w:r>
      <w:proofErr w:type="spellStart"/>
      <w:r w:rsidR="00BC5F79" w:rsidRPr="008C352B">
        <w:rPr>
          <w:i/>
          <w:iCs/>
        </w:rPr>
        <w:t>Bochan</w:t>
      </w:r>
      <w:proofErr w:type="spellEnd"/>
      <w:r w:rsidR="00BC5F79" w:rsidRPr="008C352B">
        <w:rPr>
          <w:i/>
          <w:iCs/>
        </w:rPr>
        <w:t xml:space="preserve"> przeciwko Ukrainie (nr 2)</w:t>
      </w:r>
      <w:r w:rsidR="00BC5F79" w:rsidRPr="008C352B">
        <w:t xml:space="preserve"> [WI], </w:t>
      </w:r>
      <w:r w:rsidR="00BC5F79" w:rsidRPr="008C352B">
        <w:rPr>
          <w:snapToGrid w:val="0"/>
        </w:rPr>
        <w:t>nr</w:t>
      </w:r>
      <w:r w:rsidR="00BC5F79" w:rsidRPr="008C352B">
        <w:t xml:space="preserve"> 22251/08</w:t>
      </w:r>
      <w:r w:rsidR="00BC5F79" w:rsidRPr="008C352B">
        <w:rPr>
          <w:snapToGrid w:val="0"/>
        </w:rPr>
        <w:t>, § 42, ECHR 2015).</w:t>
      </w:r>
    </w:p>
    <w:p w14:paraId="3A1D243C" w14:textId="19DB4674" w:rsidR="00BC5F79" w:rsidRPr="008C352B" w:rsidRDefault="00320F5A" w:rsidP="008D10C9">
      <w:pPr>
        <w:pStyle w:val="ECHRPara"/>
        <w:rPr>
          <w:snapToGrid w:val="0"/>
        </w:rPr>
      </w:pPr>
      <w:r w:rsidRPr="008C352B">
        <w:t>61</w:t>
      </w:r>
      <w:r w:rsidR="00BC5F79" w:rsidRPr="008C352B">
        <w:t>.</w:t>
      </w:r>
      <w:r w:rsidR="00410690" w:rsidRPr="008C352B">
        <w:t xml:space="preserve"> </w:t>
      </w:r>
      <w:r w:rsidR="009E5694" w:rsidRPr="008C352B">
        <w:t xml:space="preserve">Art. </w:t>
      </w:r>
      <w:r w:rsidR="00BC5F79" w:rsidRPr="008C352B">
        <w:t xml:space="preserve">6 ust. 1 nie gwarantuje żadnej szczególnej treści (cywilnych) „praw i obowiązków” w prawie materialnym Państw: Trybunał nie może tworzyć, poprzez interpretowanie </w:t>
      </w:r>
      <w:r w:rsidR="009E5694" w:rsidRPr="008C352B">
        <w:t>art.</w:t>
      </w:r>
      <w:r w:rsidR="00BC5F79" w:rsidRPr="008C352B">
        <w:t xml:space="preserve"> 6 ust. 1, prawa materialnego, które nie ma podstawy prawnej w danym Państwie (zob. </w:t>
      </w:r>
      <w:r w:rsidR="00BC5F79" w:rsidRPr="008C352B">
        <w:rPr>
          <w:i/>
          <w:iCs/>
        </w:rPr>
        <w:t xml:space="preserve">Regner </w:t>
      </w:r>
      <w:r w:rsidR="00BC5F79" w:rsidRPr="008C352B">
        <w:t xml:space="preserve">§ 100, </w:t>
      </w:r>
      <w:proofErr w:type="spellStart"/>
      <w:r w:rsidR="00BC5F79" w:rsidRPr="008C352B">
        <w:rPr>
          <w:i/>
          <w:iCs/>
        </w:rPr>
        <w:t>Károly</w:t>
      </w:r>
      <w:proofErr w:type="spellEnd"/>
      <w:r w:rsidR="00BC5F79" w:rsidRPr="008C352B">
        <w:rPr>
          <w:i/>
          <w:iCs/>
        </w:rPr>
        <w:t xml:space="preserve"> </w:t>
      </w:r>
      <w:proofErr w:type="spellStart"/>
      <w:r w:rsidR="00BC5F79" w:rsidRPr="008C352B">
        <w:rPr>
          <w:i/>
          <w:iCs/>
        </w:rPr>
        <w:t>Nagy</w:t>
      </w:r>
      <w:proofErr w:type="spellEnd"/>
      <w:r w:rsidR="00BC5F79" w:rsidRPr="008C352B">
        <w:rPr>
          <w:i/>
          <w:iCs/>
        </w:rPr>
        <w:t xml:space="preserve">, </w:t>
      </w:r>
      <w:r w:rsidR="00BC5F79" w:rsidRPr="008C352B">
        <w:t xml:space="preserve">§ 61 i </w:t>
      </w:r>
      <w:r w:rsidR="00BC5F79" w:rsidRPr="008C352B">
        <w:rPr>
          <w:i/>
          <w:iCs/>
        </w:rPr>
        <w:t>Baka</w:t>
      </w:r>
      <w:r w:rsidR="00BC5F79" w:rsidRPr="008C352B">
        <w:t xml:space="preserve">, </w:t>
      </w:r>
      <w:r w:rsidR="00BC5F79" w:rsidRPr="008C352B">
        <w:rPr>
          <w:snapToGrid w:val="0"/>
        </w:rPr>
        <w:t xml:space="preserve">§ 101, wszystkie cyt. powyżej; </w:t>
      </w:r>
      <w:r w:rsidR="00490683" w:rsidRPr="008C352B">
        <w:rPr>
          <w:snapToGrid w:val="0"/>
        </w:rPr>
        <w:t xml:space="preserve">i </w:t>
      </w:r>
      <w:r w:rsidR="00BC5F79" w:rsidRPr="008C352B">
        <w:rPr>
          <w:snapToGrid w:val="0"/>
        </w:rPr>
        <w:t>dalsze odwołania tamże).</w:t>
      </w:r>
    </w:p>
    <w:p w14:paraId="0B03E412" w14:textId="523AD1AE" w:rsidR="00BC5F79" w:rsidRPr="008C352B" w:rsidRDefault="00320F5A" w:rsidP="008D10C9">
      <w:pPr>
        <w:pStyle w:val="ECHRPara"/>
      </w:pPr>
      <w:r w:rsidRPr="008C352B">
        <w:rPr>
          <w:snapToGrid w:val="0"/>
        </w:rPr>
        <w:t>62</w:t>
      </w:r>
      <w:r w:rsidR="00BC5F79" w:rsidRPr="008C352B">
        <w:rPr>
          <w:snapToGrid w:val="0"/>
        </w:rPr>
        <w:t>.</w:t>
      </w:r>
      <w:r w:rsidR="00410690" w:rsidRPr="008C352B">
        <w:rPr>
          <w:snapToGrid w:val="0"/>
        </w:rPr>
        <w:t xml:space="preserve"> </w:t>
      </w:r>
      <w:r w:rsidR="00BC5F79" w:rsidRPr="008C352B">
        <w:t>W zakresie, w jakim chodzi o „cywilny” charakter prawa, w</w:t>
      </w:r>
      <w:r w:rsidR="00A16BDA">
        <w:t> </w:t>
      </w:r>
      <w:r w:rsidR="00BC5F79" w:rsidRPr="008C352B">
        <w:t xml:space="preserve">sprawach dotyczących sporów pracowniczych dotyczących urzędników służby cywilnej Trybunał stosuje dwustopniowy test, który został wprowadzony wyrokiem Wielkiej Izby w sprawie </w:t>
      </w:r>
      <w:proofErr w:type="spellStart"/>
      <w:r w:rsidR="00410690" w:rsidRPr="008C352B">
        <w:rPr>
          <w:i/>
          <w:iCs/>
        </w:rPr>
        <w:t>V</w:t>
      </w:r>
      <w:r w:rsidR="00BC5F79" w:rsidRPr="008C352B">
        <w:rPr>
          <w:i/>
          <w:iCs/>
        </w:rPr>
        <w:t>ilho</w:t>
      </w:r>
      <w:proofErr w:type="spellEnd"/>
      <w:r w:rsidR="00BC5F79" w:rsidRPr="008C352B">
        <w:rPr>
          <w:i/>
          <w:iCs/>
        </w:rPr>
        <w:t xml:space="preserve"> </w:t>
      </w:r>
      <w:proofErr w:type="spellStart"/>
      <w:r w:rsidR="00BC5F79" w:rsidRPr="008C352B">
        <w:rPr>
          <w:i/>
          <w:iCs/>
        </w:rPr>
        <w:t>Eskelinen</w:t>
      </w:r>
      <w:proofErr w:type="spellEnd"/>
      <w:r w:rsidR="00BC5F79" w:rsidRPr="008C352B">
        <w:t xml:space="preserve"> (cyt.</w:t>
      </w:r>
      <w:r w:rsidR="00A16BDA">
        <w:t> </w:t>
      </w:r>
      <w:r w:rsidR="00BC5F79" w:rsidRPr="008C352B">
        <w:t xml:space="preserve">powyżej </w:t>
      </w:r>
      <w:r w:rsidR="00410690" w:rsidRPr="008C352B">
        <w:t>–</w:t>
      </w:r>
      <w:r w:rsidR="00BC5F79" w:rsidRPr="008C352B">
        <w:t xml:space="preserve"> dalej zwany „testem </w:t>
      </w:r>
      <w:proofErr w:type="spellStart"/>
      <w:r w:rsidR="00BC5F79" w:rsidRPr="008C352B">
        <w:rPr>
          <w:i/>
          <w:iCs/>
        </w:rPr>
        <w:t>Eskelinen</w:t>
      </w:r>
      <w:proofErr w:type="spellEnd"/>
      <w:r w:rsidR="00BC5F79" w:rsidRPr="008C352B">
        <w:t>”). Aby pozwane Państwo było w stanie powołać się przed Trybunałem na status skarżącego jako urzędnika służby cywilnej</w:t>
      </w:r>
      <w:r w:rsidR="00ED2588" w:rsidRPr="008C352B">
        <w:t>,</w:t>
      </w:r>
      <w:r w:rsidR="00BC5F79" w:rsidRPr="008C352B">
        <w:t xml:space="preserve"> </w:t>
      </w:r>
      <w:r w:rsidR="00ED2588" w:rsidRPr="008C352B">
        <w:t>wyłączając</w:t>
      </w:r>
      <w:r w:rsidR="00BC5F79" w:rsidRPr="008C352B">
        <w:t xml:space="preserve"> och</w:t>
      </w:r>
      <w:r w:rsidR="00ED2588" w:rsidRPr="008C352B">
        <w:t>ronę zapewnianą</w:t>
      </w:r>
      <w:r w:rsidR="00BC5F79" w:rsidRPr="008C352B">
        <w:t xml:space="preserve"> przez </w:t>
      </w:r>
      <w:r w:rsidR="009E5694" w:rsidRPr="008C352B">
        <w:t xml:space="preserve">art. </w:t>
      </w:r>
      <w:r w:rsidR="00BC5F79" w:rsidRPr="008C352B">
        <w:t>6, spełnione muszą być dwa warunki. Po pierwsze, w</w:t>
      </w:r>
      <w:r w:rsidR="00410690" w:rsidRPr="008C352B">
        <w:t xml:space="preserve"> swym</w:t>
      </w:r>
      <w:r w:rsidR="00BC5F79" w:rsidRPr="008C352B">
        <w:t xml:space="preserve"> prawie krajowym Państwo musiało wyraźnie wyłączyć dostęp do sądu dla danego stanowiska lub kategorii personelu. Po drugie, wyłączenie musi być uzasadnione obiektywnymi przyczynami leżącymi w interesie Państwa. Aby uzasadnić wyłączenie, nie wystarczy</w:t>
      </w:r>
      <w:r w:rsidR="00410690" w:rsidRPr="008C352B">
        <w:t>,</w:t>
      </w:r>
      <w:r w:rsidR="00BC5F79" w:rsidRPr="008C352B">
        <w:t xml:space="preserve"> by Państwo stwierdziło, że dany urzędnik służby cywilnej uczestniczy w wykonywaniu </w:t>
      </w:r>
      <w:r w:rsidR="00410690" w:rsidRPr="008C352B">
        <w:t>władzy publicznej</w:t>
      </w:r>
      <w:r w:rsidR="00BC5F79" w:rsidRPr="008C352B">
        <w:t xml:space="preserve">, lub też że istnieją </w:t>
      </w:r>
      <w:r w:rsidR="00BC5F79" w:rsidRPr="008C352B">
        <w:lastRenderedPageBreak/>
        <w:t xml:space="preserve">„szczególne więzy zaufania i lojalności” pomiędzy urzędnikiem służby cywilnej a Państwem jako pracodawcą. Państwo ma również za zadanie wykazać, że przedmiot sporu związany jest z wykonywaniem władzy Państwa lub że poddano w wątpliwość te szczególne więzy (ibid., §§ 102-103). A zatem, co do zasady nie można usprawiedliwić wyłączenia gwarancji z </w:t>
      </w:r>
      <w:r w:rsidR="009E5694" w:rsidRPr="008C352B">
        <w:t>art.</w:t>
      </w:r>
      <w:r w:rsidR="00BC5F79" w:rsidRPr="008C352B">
        <w:t xml:space="preserve"> 6 </w:t>
      </w:r>
      <w:r w:rsidR="00F87CCB">
        <w:t>w stosunku do</w:t>
      </w:r>
      <w:r w:rsidR="00BC5F79" w:rsidRPr="008C352B">
        <w:t xml:space="preserve"> zwykłych sporów pracowniczych, takich jak te dotyczące wynagrodzeń, uposażeń lub podobnych uprawnień, powołując się na szczególny charakter stosunku pomiędzy danym urzędnikiem służby cywilnej a danym Państwem (ibid., § 103). W rezultacie będziemy mieć do czynienia z domniemaniem, że </w:t>
      </w:r>
      <w:r w:rsidR="009E5694" w:rsidRPr="008C352B">
        <w:t xml:space="preserve">art. </w:t>
      </w:r>
      <w:r w:rsidR="00BC5F79" w:rsidRPr="008C352B">
        <w:t xml:space="preserve">6 znajduje zastosowanie. Zadaniem Rządu jest wykazanie, po pierwsze, że dany urzędnik służby cywilnej nie ma prawa dostępu do sądu według prawa krajowego, a po drugie, że wyłączenie praw z </w:t>
      </w:r>
      <w:r w:rsidR="009E5694" w:rsidRPr="008C352B">
        <w:t>art.</w:t>
      </w:r>
      <w:r w:rsidR="00BC5F79" w:rsidRPr="008C352B">
        <w:t xml:space="preserve"> 6 </w:t>
      </w:r>
      <w:r w:rsidR="00410690" w:rsidRPr="008C352B">
        <w:t>wobec</w:t>
      </w:r>
      <w:r w:rsidR="00BC5F79" w:rsidRPr="008C352B">
        <w:t xml:space="preserve"> urzędnika służby cywilnej jest uzasadnione (ibid., § 103).</w:t>
      </w:r>
    </w:p>
    <w:p w14:paraId="2F514AF3" w14:textId="7E58DC56" w:rsidR="00BC5F79" w:rsidRPr="008C352B" w:rsidRDefault="00320F5A" w:rsidP="008D10C9">
      <w:pPr>
        <w:pStyle w:val="ECHRPara"/>
        <w:rPr>
          <w:rFonts w:eastAsia="Times New Roman"/>
        </w:rPr>
      </w:pPr>
      <w:r w:rsidRPr="008C352B">
        <w:t>63</w:t>
      </w:r>
      <w:r w:rsidR="00BC5F79" w:rsidRPr="008C352B">
        <w:t>.</w:t>
      </w:r>
      <w:r w:rsidR="00410690" w:rsidRPr="008C352B">
        <w:t xml:space="preserve"> </w:t>
      </w:r>
      <w:r w:rsidR="00BC5F79" w:rsidRPr="008C352B">
        <w:t xml:space="preserve">W swoim wyroku Wielkiej Izby w sprawie </w:t>
      </w:r>
      <w:r w:rsidR="00BC5F79" w:rsidRPr="008C352B">
        <w:rPr>
          <w:i/>
          <w:iCs/>
        </w:rPr>
        <w:t xml:space="preserve">Baka </w:t>
      </w:r>
      <w:r w:rsidR="00BC5F79" w:rsidRPr="008C352B">
        <w:t xml:space="preserve">(cyt. powyżej) Trybunał potwierdził podejście przyjęte w szeregu wyroków Izby, że test </w:t>
      </w:r>
      <w:proofErr w:type="spellStart"/>
      <w:r w:rsidR="00BC5F79" w:rsidRPr="008C352B">
        <w:rPr>
          <w:i/>
          <w:iCs/>
        </w:rPr>
        <w:t>Eskelinen</w:t>
      </w:r>
      <w:proofErr w:type="spellEnd"/>
      <w:r w:rsidR="00BC5F79" w:rsidRPr="008C352B">
        <w:t xml:space="preserve"> również ma zastosowanie do sporów dotyczących sędziów, jako</w:t>
      </w:r>
      <w:r w:rsidR="00A16BDA">
        <w:t> </w:t>
      </w:r>
      <w:r w:rsidR="00BC5F79" w:rsidRPr="008C352B">
        <w:t xml:space="preserve">że sędziowie, choć nie są częścią korpusu służby cywilnej, są uznawani za </w:t>
      </w:r>
      <w:r w:rsidR="00410690" w:rsidRPr="008C352B">
        <w:t>część typowej służby publicznej</w:t>
      </w:r>
      <w:r w:rsidR="00BC5F79" w:rsidRPr="008C352B">
        <w:t xml:space="preserve"> (ibid., § 104). Powyższe objęło wszystkie rodzaje sporów, w tym te dotyczące rekrutacji/nominacji, kariery/promocji, przeniesienia i zakończenia służby/odwołania (ibid., §</w:t>
      </w:r>
      <w:r w:rsidR="00A16BDA">
        <w:t> </w:t>
      </w:r>
      <w:r w:rsidR="00BC5F79" w:rsidRPr="008C352B">
        <w:t xml:space="preserve">105; zob. również </w:t>
      </w:r>
      <w:r w:rsidR="00BC5F79" w:rsidRPr="008C352B">
        <w:rPr>
          <w:i/>
          <w:iCs/>
        </w:rPr>
        <w:t>Regner,</w:t>
      </w:r>
      <w:r w:rsidR="00410690" w:rsidRPr="008C352B">
        <w:rPr>
          <w:i/>
          <w:iCs/>
        </w:rPr>
        <w:t xml:space="preserve"> </w:t>
      </w:r>
      <w:r w:rsidR="00BC5F79" w:rsidRPr="008C352B">
        <w:t xml:space="preserve">§ 108, cyt. powyżej). Wreszcie Trybunał podkreślił w sprawie </w:t>
      </w:r>
      <w:r w:rsidR="00BC5F79" w:rsidRPr="008C352B">
        <w:rPr>
          <w:i/>
          <w:iCs/>
        </w:rPr>
        <w:t>Baka</w:t>
      </w:r>
      <w:r w:rsidR="00BC5F79" w:rsidRPr="008C352B">
        <w:t xml:space="preserve">, że kryteria </w:t>
      </w:r>
      <w:proofErr w:type="spellStart"/>
      <w:r w:rsidR="00BC5F79" w:rsidRPr="008C352B">
        <w:rPr>
          <w:i/>
          <w:iCs/>
        </w:rPr>
        <w:t>Eskelinen</w:t>
      </w:r>
      <w:proofErr w:type="spellEnd"/>
      <w:r w:rsidR="00BC5F79" w:rsidRPr="008C352B">
        <w:t xml:space="preserve"> miały zastosowanie w</w:t>
      </w:r>
      <w:r w:rsidR="00A16BDA">
        <w:t> </w:t>
      </w:r>
      <w:r w:rsidR="00BC5F79" w:rsidRPr="008C352B">
        <w:t xml:space="preserve">sprawach dotyczących wszystkich gwarancji ujętych w </w:t>
      </w:r>
      <w:r w:rsidR="009E5694" w:rsidRPr="008C352B">
        <w:t>art.</w:t>
      </w:r>
      <w:r w:rsidR="00BC5F79" w:rsidRPr="008C352B">
        <w:t xml:space="preserve"> 6 </w:t>
      </w:r>
      <w:r w:rsidR="00ED2588" w:rsidRPr="008C352B">
        <w:t xml:space="preserve">w równym stopniu </w:t>
      </w:r>
      <w:r w:rsidR="00BC5F79" w:rsidRPr="008C352B">
        <w:t xml:space="preserve">(zob. </w:t>
      </w:r>
      <w:r w:rsidR="00BC5F79" w:rsidRPr="008C352B">
        <w:rPr>
          <w:i/>
          <w:iCs/>
        </w:rPr>
        <w:t>Baka</w:t>
      </w:r>
      <w:r w:rsidR="00BC5F79" w:rsidRPr="008C352B">
        <w:t>, § 106, cyt. powyżej).</w:t>
      </w:r>
    </w:p>
    <w:p w14:paraId="5CB51FE5" w14:textId="59ED0E28" w:rsidR="00BC5F79" w:rsidRPr="008C352B" w:rsidRDefault="00BC5F79" w:rsidP="008D10C9">
      <w:pPr>
        <w:pStyle w:val="ECHRHeading5"/>
      </w:pPr>
      <w:r w:rsidRPr="008C352B">
        <w:t>(ii)</w:t>
      </w:r>
      <w:r w:rsidR="00410690" w:rsidRPr="008C352B">
        <w:t xml:space="preserve"> </w:t>
      </w:r>
      <w:r w:rsidRPr="008C352B">
        <w:t>Zastosowanie powyższych zasad do niniejszej sprawy</w:t>
      </w:r>
    </w:p>
    <w:p w14:paraId="2B95894E" w14:textId="7644F6FC" w:rsidR="00BC5F79" w:rsidRPr="008C352B" w:rsidRDefault="00BC5F79" w:rsidP="008D10C9">
      <w:pPr>
        <w:pStyle w:val="ECHRHeading6"/>
        <w:rPr>
          <w:i/>
          <w:iCs/>
        </w:rPr>
      </w:pPr>
      <w:r w:rsidRPr="008C352B">
        <w:t>(α)</w:t>
      </w:r>
      <w:r w:rsidR="00410690" w:rsidRPr="008C352B">
        <w:t xml:space="preserve"> </w:t>
      </w:r>
      <w:r w:rsidRPr="008C352B">
        <w:t>Istnienie prawa</w:t>
      </w:r>
    </w:p>
    <w:p w14:paraId="22C14B81" w14:textId="675802A4" w:rsidR="00BC5F79" w:rsidRPr="008C352B" w:rsidRDefault="00320F5A" w:rsidP="008D10C9">
      <w:pPr>
        <w:pStyle w:val="ECHRPara"/>
      </w:pPr>
      <w:r w:rsidRPr="008C352B">
        <w:t>64</w:t>
      </w:r>
      <w:r w:rsidR="00BC5F79" w:rsidRPr="008C352B">
        <w:t>.</w:t>
      </w:r>
      <w:r w:rsidR="00410690" w:rsidRPr="008C352B">
        <w:t xml:space="preserve"> </w:t>
      </w:r>
      <w:r w:rsidR="00BC5F79" w:rsidRPr="008C352B">
        <w:t xml:space="preserve">Punktem wyjścia do oceny zastosowania cywilnego aspektu </w:t>
      </w:r>
      <w:r w:rsidR="009E5694" w:rsidRPr="008C352B">
        <w:t>art.</w:t>
      </w:r>
      <w:r w:rsidR="00BC5F79" w:rsidRPr="008C352B">
        <w:t xml:space="preserve"> 6 Konwencji jest istnienie rzeczywistego i poważnego sporu dotyczącego „prawa”, którego skarżący może się domagać z uzasadnionych przyczyn na podstawie prawa krajowego (zob. niedawna sprawa: </w:t>
      </w:r>
      <w:r w:rsidR="00BC5F79" w:rsidRPr="008C352B">
        <w:rPr>
          <w:i/>
          <w:iCs/>
        </w:rPr>
        <w:t xml:space="preserve">De </w:t>
      </w:r>
      <w:proofErr w:type="spellStart"/>
      <w:r w:rsidR="00BC5F79" w:rsidRPr="008C352B">
        <w:rPr>
          <w:i/>
          <w:iCs/>
        </w:rPr>
        <w:t>Tommaso</w:t>
      </w:r>
      <w:proofErr w:type="spellEnd"/>
      <w:r w:rsidR="00BC5F79" w:rsidRPr="008C352B">
        <w:rPr>
          <w:i/>
          <w:iCs/>
        </w:rPr>
        <w:t xml:space="preserve"> przeciwko Włochom </w:t>
      </w:r>
      <w:r w:rsidR="00BC5F79" w:rsidRPr="008C352B">
        <w:t xml:space="preserve">[WI], nr 43395/09, § 144, 23 lutego 2017 r., </w:t>
      </w:r>
      <w:r w:rsidR="00490683" w:rsidRPr="008C352B">
        <w:t xml:space="preserve">i </w:t>
      </w:r>
      <w:r w:rsidR="00BC5F79" w:rsidRPr="008C352B">
        <w:t xml:space="preserve">dalsze odwołania tamże, a także sprawa </w:t>
      </w:r>
      <w:r w:rsidR="00BC5F79" w:rsidRPr="008C352B">
        <w:rPr>
          <w:i/>
          <w:iCs/>
        </w:rPr>
        <w:t>Baka</w:t>
      </w:r>
      <w:r w:rsidR="00BC5F79" w:rsidRPr="008C352B">
        <w:t>, §§ 107-111, cyt. powyżej).</w:t>
      </w:r>
    </w:p>
    <w:p w14:paraId="6C7A695B" w14:textId="3209DD02" w:rsidR="00BC5F79" w:rsidRPr="008C352B" w:rsidRDefault="00320F5A" w:rsidP="008D10C9">
      <w:pPr>
        <w:pStyle w:val="ECHRPara"/>
      </w:pPr>
      <w:r w:rsidRPr="008C352B">
        <w:t>65</w:t>
      </w:r>
      <w:r w:rsidR="00BC5F79" w:rsidRPr="008C352B">
        <w:t>.</w:t>
      </w:r>
      <w:r w:rsidR="00410690" w:rsidRPr="008C352B">
        <w:t xml:space="preserve"> </w:t>
      </w:r>
      <w:r w:rsidR="00BC5F79" w:rsidRPr="008C352B">
        <w:t>Trybunał odnotowuje, że NRS nominowała skarżącego na</w:t>
      </w:r>
      <w:r w:rsidR="00A16BDA">
        <w:t> </w:t>
      </w:r>
      <w:r w:rsidR="00BC5F79" w:rsidRPr="008C352B">
        <w:t>stanowisko sędziego SSP w dniu 1 października 1997 r. i na stanowisko prezesa tego sądu w dniu 6 grudnia 2001 r.</w:t>
      </w:r>
    </w:p>
    <w:p w14:paraId="2F28AB91" w14:textId="41D54E6B" w:rsidR="00BC5F79" w:rsidRPr="008C352B" w:rsidRDefault="00320F5A" w:rsidP="008D10C9">
      <w:pPr>
        <w:pStyle w:val="ECHRPara"/>
      </w:pPr>
      <w:r w:rsidRPr="008C352B">
        <w:t>66</w:t>
      </w:r>
      <w:r w:rsidR="00BC5F79" w:rsidRPr="008C352B">
        <w:t>.</w:t>
      </w:r>
      <w:r w:rsidR="00410690" w:rsidRPr="008C352B">
        <w:t xml:space="preserve"> </w:t>
      </w:r>
      <w:r w:rsidR="00BC5F79" w:rsidRPr="008C352B">
        <w:t>Na Cyprze sędziowie pełnią swój urząd</w:t>
      </w:r>
      <w:r w:rsidR="00AD31E7" w:rsidRPr="008C352B">
        <w:t>,</w:t>
      </w:r>
      <w:r w:rsidR="00BC5F79" w:rsidRPr="008C352B">
        <w:t xml:space="preserve"> dopóki nie zrezygnują lub</w:t>
      </w:r>
      <w:r w:rsidR="00A16BDA">
        <w:t> </w:t>
      </w:r>
      <w:r w:rsidR="00BC5F79" w:rsidRPr="008C352B">
        <w:t>dopóki nie przejdą w stan spoczynku</w:t>
      </w:r>
      <w:r w:rsidR="00AD31E7" w:rsidRPr="008C352B">
        <w:t>,</w:t>
      </w:r>
      <w:r w:rsidR="00BC5F79" w:rsidRPr="008C352B">
        <w:t xml:space="preserve"> i mogą być usunięci ze</w:t>
      </w:r>
      <w:r w:rsidR="00A16BDA">
        <w:t> </w:t>
      </w:r>
      <w:r w:rsidR="00BC5F79" w:rsidRPr="008C352B">
        <w:t>stanowiska przez NRS w wyjątkowych okolicznościach. Okoliczności te</w:t>
      </w:r>
      <w:r w:rsidR="00A16BDA">
        <w:t> </w:t>
      </w:r>
      <w:r w:rsidR="00BC5F79" w:rsidRPr="008C352B">
        <w:t xml:space="preserve">są określone w sposób wyczerpujący w Konstytucji oraz w Zasadach Proceduralnych NRS. Po pierwsze, sędzia może zostać przeniesiony w stan spoczynku ze względu na niezdolność lub niepełnosprawność umysłową </w:t>
      </w:r>
      <w:r w:rsidR="00BC5F79" w:rsidRPr="008C352B">
        <w:lastRenderedPageBreak/>
        <w:t>lub</w:t>
      </w:r>
      <w:r w:rsidR="00A16BDA">
        <w:t> </w:t>
      </w:r>
      <w:r w:rsidR="00BC5F79" w:rsidRPr="008C352B">
        <w:t>fizyczną, która uniemożliwiłaby sędziemu wykonywanie obowiązków sędziego na stałe lub na taki okres, przez jaki byłoby to niepraktyczne</w:t>
      </w:r>
      <w:r w:rsidR="00AD31E7" w:rsidRPr="008C352B">
        <w:t>,</w:t>
      </w:r>
      <w:r w:rsidR="00BC5F79" w:rsidRPr="008C352B">
        <w:t xml:space="preserve"> by</w:t>
      </w:r>
      <w:r w:rsidR="00A16BDA">
        <w:t> </w:t>
      </w:r>
      <w:r w:rsidR="00BC5F79" w:rsidRPr="008C352B">
        <w:t>kontynuował pełnienie urzędu (</w:t>
      </w:r>
      <w:r w:rsidR="009E5694" w:rsidRPr="008C352B">
        <w:t xml:space="preserve">art. </w:t>
      </w:r>
      <w:r w:rsidR="00BC5F79" w:rsidRPr="008C352B">
        <w:t xml:space="preserve">153 </w:t>
      </w:r>
      <w:r w:rsidR="00BC5F79" w:rsidRPr="008C352B">
        <w:rPr>
          <w:color w:val="000000"/>
        </w:rPr>
        <w:t xml:space="preserve">§ </w:t>
      </w:r>
      <w:r w:rsidR="00BC5F79" w:rsidRPr="008C352B">
        <w:t>7 ust. 3 Konstytucji; zob.</w:t>
      </w:r>
      <w:r w:rsidR="00A16BDA">
        <w:t> </w:t>
      </w:r>
      <w:r w:rsidR="00BC5F79" w:rsidRPr="008C352B">
        <w:t xml:space="preserve">paragraf </w:t>
      </w:r>
      <w:r w:rsidR="009E5694" w:rsidRPr="008C352B">
        <w:t>39</w:t>
      </w:r>
      <w:r w:rsidR="00BC5F79" w:rsidRPr="008C352B">
        <w:t xml:space="preserve"> powyżej). W takiej sytuacji sędzia jest uprawniony do</w:t>
      </w:r>
      <w:r w:rsidR="00A16BDA">
        <w:t> </w:t>
      </w:r>
      <w:r w:rsidR="00BC5F79" w:rsidRPr="008C352B">
        <w:t xml:space="preserve">otrzymywania wszystkich </w:t>
      </w:r>
      <w:r w:rsidR="00AD31E7" w:rsidRPr="008C352B">
        <w:t xml:space="preserve">świadczeń </w:t>
      </w:r>
      <w:r w:rsidR="00BC5F79" w:rsidRPr="008C352B">
        <w:t>i uposażeń przewidzianych prawem obowiązującym w danym czasie. Po drugie, sędzia może zostać odwołany z</w:t>
      </w:r>
      <w:r w:rsidR="00A16BDA">
        <w:t> </w:t>
      </w:r>
      <w:r w:rsidR="00BC5F79" w:rsidRPr="008C352B">
        <w:t xml:space="preserve">urzędu </w:t>
      </w:r>
      <w:r w:rsidR="00AD31E7" w:rsidRPr="008C352B">
        <w:t xml:space="preserve">za </w:t>
      </w:r>
      <w:r w:rsidR="00E313D2" w:rsidRPr="008C352B">
        <w:t xml:space="preserve">uchybienia </w:t>
      </w:r>
      <w:r w:rsidR="00E313D2" w:rsidRPr="008C352B">
        <w:rPr>
          <w:rStyle w:val="JuParaCar"/>
        </w:rPr>
        <w:t xml:space="preserve">w wykonywaniu funkcji sędziego </w:t>
      </w:r>
      <w:r w:rsidR="00BC5F79" w:rsidRPr="008C352B">
        <w:t xml:space="preserve">(zob. </w:t>
      </w:r>
      <w:r w:rsidR="009E5694" w:rsidRPr="008C352B">
        <w:t>art.</w:t>
      </w:r>
      <w:r w:rsidR="00BC5F79" w:rsidRPr="008C352B">
        <w:t xml:space="preserve"> 153 </w:t>
      </w:r>
      <w:r w:rsidR="00BC5F79" w:rsidRPr="008C352B">
        <w:rPr>
          <w:color w:val="000000"/>
        </w:rPr>
        <w:t>§</w:t>
      </w:r>
      <w:r w:rsidR="00BC5F79" w:rsidRPr="008C352B">
        <w:t xml:space="preserve"> 7 ust. 4 i 157 </w:t>
      </w:r>
      <w:r w:rsidR="00BC5F79" w:rsidRPr="008C352B">
        <w:rPr>
          <w:color w:val="000000"/>
        </w:rPr>
        <w:t xml:space="preserve">§ </w:t>
      </w:r>
      <w:r w:rsidR="00BC5F79" w:rsidRPr="008C352B">
        <w:t xml:space="preserve">3 Konstytucji i Zasada 27; zob. paragrafy </w:t>
      </w:r>
      <w:r w:rsidR="009E5694" w:rsidRPr="008C352B">
        <w:t>39</w:t>
      </w:r>
      <w:r w:rsidR="00BC5F79" w:rsidRPr="008C352B">
        <w:t xml:space="preserve"> i </w:t>
      </w:r>
      <w:r w:rsidR="009E5694" w:rsidRPr="008C352B">
        <w:t>41</w:t>
      </w:r>
      <w:r w:rsidR="00BC5F79" w:rsidRPr="008C352B">
        <w:t xml:space="preserve"> powyżej).</w:t>
      </w:r>
    </w:p>
    <w:p w14:paraId="464A958B" w14:textId="1A315C14" w:rsidR="00BC5F79" w:rsidRPr="008C352B" w:rsidRDefault="00320F5A" w:rsidP="008D10C9">
      <w:pPr>
        <w:pStyle w:val="ECHRPara"/>
        <w:rPr>
          <w:rFonts w:eastAsia="Times New Roman"/>
        </w:rPr>
      </w:pPr>
      <w:r w:rsidRPr="008C352B">
        <w:rPr>
          <w:rStyle w:val="ECHRParaChar"/>
          <w:lang w:eastAsia="pl-PL"/>
        </w:rPr>
        <w:t>67</w:t>
      </w:r>
      <w:r w:rsidR="00BC5F79" w:rsidRPr="008C352B">
        <w:t>.</w:t>
      </w:r>
      <w:r w:rsidR="00410690" w:rsidRPr="008C352B">
        <w:t xml:space="preserve"> </w:t>
      </w:r>
      <w:r w:rsidR="00BC5F79" w:rsidRPr="008C352B">
        <w:t>A zatem jasno wynika z mających zastosowanie przepisów prawa krajowego, że sędziowie, zgodnie z zasadą nieusuwalności i</w:t>
      </w:r>
      <w:r w:rsidR="00A16BDA">
        <w:t> </w:t>
      </w:r>
      <w:r w:rsidR="00BC5F79" w:rsidRPr="008C352B">
        <w:t>z</w:t>
      </w:r>
      <w:r w:rsidR="00A16BDA">
        <w:t> </w:t>
      </w:r>
      <w:r w:rsidR="00BC5F79" w:rsidRPr="008C352B">
        <w:t xml:space="preserve">zastrzeżeniem okoliczności wyjątkowych, mają prawo pełnić urząd przez całą kadencję, do czasu przejścia w stan spoczynku (zob., </w:t>
      </w:r>
      <w:r w:rsidR="00BC5F79" w:rsidRPr="008C352B">
        <w:rPr>
          <w:i/>
          <w:iCs/>
        </w:rPr>
        <w:t>odpowiednio</w:t>
      </w:r>
      <w:r w:rsidR="00BC5F79" w:rsidRPr="008C352B">
        <w:t xml:space="preserve">, sprawa </w:t>
      </w:r>
      <w:r w:rsidR="00BC5F79" w:rsidRPr="008C352B">
        <w:rPr>
          <w:i/>
          <w:iCs/>
        </w:rPr>
        <w:t>Baka</w:t>
      </w:r>
      <w:r w:rsidR="00BC5F79" w:rsidRPr="008C352B">
        <w:t xml:space="preserve">, cyt. powyżej, </w:t>
      </w:r>
      <w:r w:rsidR="00BC5F79" w:rsidRPr="008C352B">
        <w:rPr>
          <w:snapToGrid w:val="0"/>
        </w:rPr>
        <w:t>§ 107</w:t>
      </w:r>
      <w:r w:rsidR="00BC5F79" w:rsidRPr="008C352B">
        <w:t>).</w:t>
      </w:r>
    </w:p>
    <w:p w14:paraId="3657D45B" w14:textId="72A62628" w:rsidR="00BC5F79" w:rsidRPr="008C352B" w:rsidRDefault="00320F5A" w:rsidP="008D10C9">
      <w:pPr>
        <w:pStyle w:val="ECHRPara"/>
        <w:rPr>
          <w:rFonts w:eastAsia="Times New Roman"/>
        </w:rPr>
      </w:pPr>
      <w:r w:rsidRPr="008C352B">
        <w:rPr>
          <w:rStyle w:val="ECHRParaChar"/>
          <w:lang w:eastAsia="pl-PL"/>
        </w:rPr>
        <w:t>68</w:t>
      </w:r>
      <w:r w:rsidR="00BC5F79" w:rsidRPr="008C352B">
        <w:t>.</w:t>
      </w:r>
      <w:r w:rsidR="00410690" w:rsidRPr="008C352B">
        <w:t xml:space="preserve"> </w:t>
      </w:r>
      <w:r w:rsidR="00BC5F79" w:rsidRPr="008C352B">
        <w:t xml:space="preserve">Prezes i sędziowie SSP są stałymi członkami korpusu sędziowskiego, a warunki ich służby są takie same jak warunki służby starszych sędziów sądów rejonowych i sędziów sądów rejonowych (zob. </w:t>
      </w:r>
      <w:r w:rsidR="009E5694" w:rsidRPr="008C352B">
        <w:t>paragraf</w:t>
      </w:r>
      <w:r w:rsidR="00BC5F79" w:rsidRPr="008C352B">
        <w:t xml:space="preserve"> </w:t>
      </w:r>
      <w:r w:rsidR="009E5694" w:rsidRPr="008C352B">
        <w:t>45</w:t>
      </w:r>
      <w:r w:rsidR="00BC5F79" w:rsidRPr="008C352B">
        <w:t xml:space="preserve"> powyżej). A zatem mogą oni pełnić swoje urzędy do czasu przejścia w stan spoczynku. W opinii Trybunału skarżący może zatem podnieść, że miał prawo pełnić stanowisko sędziego i prezesa SSP do wieku lat sześćdziesięciu trzech (zob. sprawa </w:t>
      </w:r>
      <w:r w:rsidR="00BC5F79" w:rsidRPr="008C352B">
        <w:rPr>
          <w:i/>
          <w:iCs/>
        </w:rPr>
        <w:t>Baka</w:t>
      </w:r>
      <w:r w:rsidR="00BC5F79" w:rsidRPr="008C352B">
        <w:t xml:space="preserve">, cyt. powyżej, </w:t>
      </w:r>
      <w:r w:rsidR="00BC5F79" w:rsidRPr="008C352B">
        <w:rPr>
          <w:snapToGrid w:val="0"/>
        </w:rPr>
        <w:t>§ 107). Choć</w:t>
      </w:r>
      <w:r w:rsidR="00A16BDA">
        <w:t> </w:t>
      </w:r>
      <w:r w:rsidR="00BC5F79" w:rsidRPr="008C352B">
        <w:t>decyzje NRS nie podlegają rewizji, sędziom zapewnia się te same zabezpieczenia proceduralne</w:t>
      </w:r>
      <w:r w:rsidR="007975FE" w:rsidRPr="008C352B">
        <w:t>,</w:t>
      </w:r>
      <w:r w:rsidR="00BC5F79" w:rsidRPr="008C352B">
        <w:t xml:space="preserve"> jakie są zapewniane w postępowaniach cywilnych i karnych na potrzeby obrony (zob. paragrafy </w:t>
      </w:r>
      <w:r w:rsidR="009E5694" w:rsidRPr="008C352B">
        <w:t>31</w:t>
      </w:r>
      <w:r w:rsidR="00BC5F79" w:rsidRPr="008C352B">
        <w:t xml:space="preserve"> i </w:t>
      </w:r>
      <w:r w:rsidR="009E5694" w:rsidRPr="008C352B">
        <w:t>41</w:t>
      </w:r>
      <w:r w:rsidR="00BC5F79" w:rsidRPr="008C352B">
        <w:t xml:space="preserve"> powyżej).</w:t>
      </w:r>
    </w:p>
    <w:p w14:paraId="627A7F3F" w14:textId="6B12C3E4" w:rsidR="00BC5F79" w:rsidRPr="008C352B" w:rsidRDefault="00320F5A" w:rsidP="008D10C9">
      <w:pPr>
        <w:pStyle w:val="ECHRPara"/>
        <w:rPr>
          <w:rFonts w:eastAsia="Times New Roman"/>
        </w:rPr>
      </w:pPr>
      <w:r w:rsidRPr="008C352B">
        <w:rPr>
          <w:rFonts w:eastAsia="Times New Roman"/>
        </w:rPr>
        <w:t>69</w:t>
      </w:r>
      <w:r w:rsidR="00BC5F79" w:rsidRPr="008C352B">
        <w:t>.</w:t>
      </w:r>
      <w:r w:rsidR="00410690" w:rsidRPr="008C352B">
        <w:t xml:space="preserve"> </w:t>
      </w:r>
      <w:r w:rsidR="00BC5F79" w:rsidRPr="008C352B">
        <w:t xml:space="preserve">Sąd Najwyższy zarzucił skarżącemu </w:t>
      </w:r>
      <w:r w:rsidR="00E313D2" w:rsidRPr="008C352B">
        <w:rPr>
          <w:rStyle w:val="JuParaCar"/>
        </w:rPr>
        <w:t xml:space="preserve">uchybienia w wykonywaniu funkcji sędziego </w:t>
      </w:r>
      <w:r w:rsidR="00107A05" w:rsidRPr="008C352B">
        <w:t xml:space="preserve">na podstawie </w:t>
      </w:r>
      <w:r w:rsidR="00BC5F79" w:rsidRPr="008C352B">
        <w:t xml:space="preserve">art. 153 </w:t>
      </w:r>
      <w:r w:rsidR="00BC5F79" w:rsidRPr="008C352B">
        <w:rPr>
          <w:color w:val="000000"/>
        </w:rPr>
        <w:t xml:space="preserve">§ </w:t>
      </w:r>
      <w:r w:rsidR="00BC5F79" w:rsidRPr="008C352B">
        <w:t>7 ust. 4 i 157</w:t>
      </w:r>
      <w:r w:rsidR="00410690" w:rsidRPr="008C352B">
        <w:t xml:space="preserve"> </w:t>
      </w:r>
      <w:r w:rsidR="00BC5F79" w:rsidRPr="008C352B">
        <w:rPr>
          <w:color w:val="000000"/>
        </w:rPr>
        <w:t>§ 3</w:t>
      </w:r>
      <w:r w:rsidR="00BC5F79" w:rsidRPr="008C352B">
        <w:t xml:space="preserve"> Konstytucji</w:t>
      </w:r>
      <w:r w:rsidR="00107A05" w:rsidRPr="008C352B">
        <w:t>,</w:t>
      </w:r>
      <w:r w:rsidR="00BC5F79" w:rsidRPr="008C352B">
        <w:t xml:space="preserve"> a</w:t>
      </w:r>
      <w:r w:rsidR="00A16BDA">
        <w:t> </w:t>
      </w:r>
      <w:r w:rsidR="00BC5F79" w:rsidRPr="008C352B">
        <w:t>kwestią rozpatrywaną przez NRS był</w:t>
      </w:r>
      <w:r w:rsidR="00107A05" w:rsidRPr="008C352B">
        <w:t>o</w:t>
      </w:r>
      <w:r w:rsidR="00BC5F79" w:rsidRPr="008C352B">
        <w:t>, czy rzeczywiście był winien takiego naruszenia.</w:t>
      </w:r>
    </w:p>
    <w:p w14:paraId="10708C13" w14:textId="78ED6282" w:rsidR="00BC5F79" w:rsidRPr="008C352B" w:rsidRDefault="00320F5A" w:rsidP="008D10C9">
      <w:pPr>
        <w:pStyle w:val="ECHRPara"/>
        <w:rPr>
          <w:rFonts w:eastAsia="Times New Roman"/>
        </w:rPr>
      </w:pPr>
      <w:r w:rsidRPr="008C352B">
        <w:rPr>
          <w:rFonts w:eastAsia="Times New Roman"/>
        </w:rPr>
        <w:t>70</w:t>
      </w:r>
      <w:r w:rsidR="00BC5F79" w:rsidRPr="008C352B">
        <w:t>.</w:t>
      </w:r>
      <w:r w:rsidR="00410690" w:rsidRPr="008C352B">
        <w:t xml:space="preserve"> </w:t>
      </w:r>
      <w:r w:rsidR="00BC5F79" w:rsidRPr="008C352B">
        <w:t>Z powyższego jasno zatem wynika, że rezultat przedmiotowego postępowania dyscyplinarnego miał bezpośrednie znaczenie dla sposobu wykonania przedmiotowego prawa.</w:t>
      </w:r>
    </w:p>
    <w:p w14:paraId="48BA75DD" w14:textId="1A4C8A1C" w:rsidR="00BC5F79" w:rsidRPr="008C352B" w:rsidRDefault="00320F5A" w:rsidP="008D10C9">
      <w:pPr>
        <w:pStyle w:val="ECHRPara"/>
        <w:rPr>
          <w:rFonts w:eastAsia="Times New Roman"/>
        </w:rPr>
      </w:pPr>
      <w:r w:rsidRPr="008C352B">
        <w:rPr>
          <w:rFonts w:eastAsia="Times New Roman"/>
        </w:rPr>
        <w:t>71</w:t>
      </w:r>
      <w:r w:rsidR="00BC5F79" w:rsidRPr="008C352B">
        <w:t>.</w:t>
      </w:r>
      <w:r w:rsidR="00410690" w:rsidRPr="008C352B">
        <w:t xml:space="preserve"> </w:t>
      </w:r>
      <w:r w:rsidR="00BC5F79" w:rsidRPr="008C352B">
        <w:t>W świetle powyższego Trybunał uważa, że w niniejszej sprawie ma miejsce rzeczywisty i poważny spór dotyczący „prawa”, którego skarżący może się domagać z uzasadnionych przyczyn na podstawie prawa krajowego.</w:t>
      </w:r>
    </w:p>
    <w:p w14:paraId="34488BA2" w14:textId="055B106B" w:rsidR="00BC5F79" w:rsidRPr="008C352B" w:rsidRDefault="00BC5F79" w:rsidP="008D10C9">
      <w:pPr>
        <w:pStyle w:val="ECHRHeading6"/>
        <w:rPr>
          <w:i/>
          <w:iCs/>
        </w:rPr>
      </w:pPr>
      <w:r w:rsidRPr="008C352B">
        <w:t>(β)</w:t>
      </w:r>
      <w:r w:rsidR="00410690" w:rsidRPr="008C352B">
        <w:t xml:space="preserve"> </w:t>
      </w:r>
      <w:r w:rsidRPr="008C352B">
        <w:t xml:space="preserve">„Cywilny” charakter prawa: test </w:t>
      </w:r>
      <w:proofErr w:type="spellStart"/>
      <w:r w:rsidRPr="008C352B">
        <w:t>Eskelinen</w:t>
      </w:r>
      <w:proofErr w:type="spellEnd"/>
    </w:p>
    <w:p w14:paraId="5E21925A" w14:textId="49F1E94E" w:rsidR="00BC5F79" w:rsidRPr="008C352B" w:rsidRDefault="00320F5A" w:rsidP="008D10C9">
      <w:pPr>
        <w:pStyle w:val="ECHRPara"/>
      </w:pPr>
      <w:r w:rsidRPr="008C352B">
        <w:t>72</w:t>
      </w:r>
      <w:r w:rsidR="00BC5F79" w:rsidRPr="008C352B">
        <w:t>.</w:t>
      </w:r>
      <w:r w:rsidR="00410690" w:rsidRPr="008C352B">
        <w:t xml:space="preserve"> </w:t>
      </w:r>
      <w:r w:rsidR="00BC5F79" w:rsidRPr="008C352B">
        <w:t xml:space="preserve">Trybunał musi teraz ustalić, czy „prawo”, którego domaga się skarżący, było „cywilne” w autonomicznym rozumieniu </w:t>
      </w:r>
      <w:r w:rsidR="009E5694" w:rsidRPr="008C352B">
        <w:t>art. 6 ust.</w:t>
      </w:r>
      <w:r w:rsidR="00BC5F79" w:rsidRPr="008C352B">
        <w:t xml:space="preserve"> 1, w</w:t>
      </w:r>
      <w:r w:rsidR="00A16BDA">
        <w:t> </w:t>
      </w:r>
      <w:r w:rsidR="00BC5F79" w:rsidRPr="008C352B">
        <w:t xml:space="preserve">świetle kryteriów ustanowionych w wyroku w sprawie </w:t>
      </w:r>
      <w:proofErr w:type="spellStart"/>
      <w:r w:rsidR="00BC5F79" w:rsidRPr="008C352B">
        <w:rPr>
          <w:i/>
          <w:iCs/>
        </w:rPr>
        <w:t>Vilho</w:t>
      </w:r>
      <w:proofErr w:type="spellEnd"/>
      <w:r w:rsidR="00BC5F79" w:rsidRPr="008C352B">
        <w:rPr>
          <w:i/>
          <w:iCs/>
        </w:rPr>
        <w:t xml:space="preserve"> </w:t>
      </w:r>
      <w:proofErr w:type="spellStart"/>
      <w:r w:rsidR="00BC5F79" w:rsidRPr="008C352B">
        <w:rPr>
          <w:i/>
          <w:iCs/>
        </w:rPr>
        <w:t>Eskelinen</w:t>
      </w:r>
      <w:proofErr w:type="spellEnd"/>
      <w:r w:rsidR="00BC5F79" w:rsidRPr="008C352B">
        <w:t>.</w:t>
      </w:r>
    </w:p>
    <w:p w14:paraId="48F871FE" w14:textId="77777777" w:rsidR="00BC5F79" w:rsidRPr="008C352B" w:rsidRDefault="00BC5F79" w:rsidP="008D10C9">
      <w:pPr>
        <w:pStyle w:val="ECHRHeading5"/>
      </w:pPr>
      <w:r w:rsidRPr="008C352B">
        <w:t>Stosowne orzecznictwo</w:t>
      </w:r>
    </w:p>
    <w:p w14:paraId="7E39FB4E" w14:textId="158E6D1C" w:rsidR="00BC5F79" w:rsidRPr="008C352B" w:rsidRDefault="00320F5A" w:rsidP="008D10C9">
      <w:pPr>
        <w:pStyle w:val="ECHRPara"/>
      </w:pPr>
      <w:r w:rsidRPr="008C352B">
        <w:t>73</w:t>
      </w:r>
      <w:r w:rsidR="00BC5F79" w:rsidRPr="008C352B">
        <w:t>.</w:t>
      </w:r>
      <w:r w:rsidR="00410690" w:rsidRPr="008C352B">
        <w:t xml:space="preserve"> </w:t>
      </w:r>
      <w:r w:rsidR="00BC5F79" w:rsidRPr="008C352B">
        <w:t xml:space="preserve">Od czasu przyjęcia testu </w:t>
      </w:r>
      <w:proofErr w:type="spellStart"/>
      <w:r w:rsidR="00BC5F79" w:rsidRPr="008C352B">
        <w:rPr>
          <w:i/>
          <w:iCs/>
        </w:rPr>
        <w:t>Eskelinen</w:t>
      </w:r>
      <w:proofErr w:type="spellEnd"/>
      <w:r w:rsidR="00BC5F79" w:rsidRPr="008C352B">
        <w:t xml:space="preserve"> Trybunał stosował ten test w</w:t>
      </w:r>
      <w:r w:rsidR="00A16BDA">
        <w:t> </w:t>
      </w:r>
      <w:r w:rsidR="00BC5F79" w:rsidRPr="008C352B">
        <w:t xml:space="preserve">szeregu spraw dotyczących postępowań dyscyplinarnych. W większości tych spraw Trybunał stwierdził, że pierwszy warunek, tj. czy prawo krajowe </w:t>
      </w:r>
      <w:r w:rsidR="00BC5F79" w:rsidRPr="008C352B">
        <w:lastRenderedPageBreak/>
        <w:t>„wyraźnie wyłączało” dostęp do sądu dla stanowiska lub kategorii personelu</w:t>
      </w:r>
      <w:r w:rsidR="00107A05" w:rsidRPr="008C352B">
        <w:t>,</w:t>
      </w:r>
      <w:r w:rsidR="00BC5F79" w:rsidRPr="008C352B">
        <w:t xml:space="preserve"> nie był spełniony, a zatem </w:t>
      </w:r>
      <w:r w:rsidR="009E5694" w:rsidRPr="008C352B">
        <w:t xml:space="preserve">art. </w:t>
      </w:r>
      <w:r w:rsidR="00BC5F79" w:rsidRPr="008C352B">
        <w:t>6 znajdował zastosowanie do</w:t>
      </w:r>
      <w:r w:rsidR="00A16BDA">
        <w:t> </w:t>
      </w:r>
      <w:r w:rsidR="00BC5F79" w:rsidRPr="008C352B">
        <w:t>przedmiotowych postępowań.</w:t>
      </w:r>
      <w:bookmarkStart w:id="2" w:name="caselaw1"/>
    </w:p>
    <w:bookmarkEnd w:id="2"/>
    <w:p w14:paraId="116ADDF8" w14:textId="13FC8CBD" w:rsidR="00BC5F79" w:rsidRPr="008C352B" w:rsidRDefault="00320F5A" w:rsidP="008D10C9">
      <w:pPr>
        <w:pStyle w:val="ECHRPara"/>
      </w:pPr>
      <w:r w:rsidRPr="008C352B">
        <w:t>74</w:t>
      </w:r>
      <w:r w:rsidR="00BC5F79" w:rsidRPr="008C352B">
        <w:t>.</w:t>
      </w:r>
      <w:r w:rsidR="00410690" w:rsidRPr="008C352B">
        <w:t xml:space="preserve"> </w:t>
      </w:r>
      <w:r w:rsidR="00BC5F79" w:rsidRPr="008C352B">
        <w:t>Decydującym czynnikiem w szeregu tych spraw było to, czy</w:t>
      </w:r>
      <w:r w:rsidR="00A16BDA">
        <w:t> </w:t>
      </w:r>
      <w:r w:rsidR="00BC5F79" w:rsidRPr="008C352B">
        <w:t xml:space="preserve">skarżący był w stanie ubiegać się o rewizję danej decyzji lub danego środka (zob. </w:t>
      </w:r>
      <w:r w:rsidR="00BC5F79" w:rsidRPr="008C352B">
        <w:rPr>
          <w:i/>
          <w:iCs/>
        </w:rPr>
        <w:t xml:space="preserve">Tato </w:t>
      </w:r>
      <w:proofErr w:type="spellStart"/>
      <w:r w:rsidR="00BC5F79" w:rsidRPr="008C352B">
        <w:rPr>
          <w:i/>
          <w:iCs/>
        </w:rPr>
        <w:t>Marinho</w:t>
      </w:r>
      <w:proofErr w:type="spellEnd"/>
      <w:r w:rsidR="00BC5F79" w:rsidRPr="008C352B">
        <w:rPr>
          <w:i/>
          <w:iCs/>
        </w:rPr>
        <w:t xml:space="preserve"> </w:t>
      </w:r>
      <w:proofErr w:type="spellStart"/>
      <w:r w:rsidR="00BC5F79" w:rsidRPr="008C352B">
        <w:rPr>
          <w:i/>
          <w:iCs/>
        </w:rPr>
        <w:t>dos</w:t>
      </w:r>
      <w:proofErr w:type="spellEnd"/>
      <w:r w:rsidR="00BC5F79" w:rsidRPr="008C352B">
        <w:rPr>
          <w:i/>
          <w:iCs/>
        </w:rPr>
        <w:t xml:space="preserve"> Santos Costa </w:t>
      </w:r>
      <w:proofErr w:type="spellStart"/>
      <w:r w:rsidR="00BC5F79" w:rsidRPr="008C352B">
        <w:rPr>
          <w:i/>
          <w:iCs/>
        </w:rPr>
        <w:t>Alves</w:t>
      </w:r>
      <w:proofErr w:type="spellEnd"/>
      <w:r w:rsidR="00BC5F79" w:rsidRPr="008C352B">
        <w:rPr>
          <w:i/>
          <w:iCs/>
        </w:rPr>
        <w:t xml:space="preserve"> </w:t>
      </w:r>
      <w:proofErr w:type="spellStart"/>
      <w:r w:rsidR="00BC5F79" w:rsidRPr="008C352B">
        <w:rPr>
          <w:i/>
          <w:iCs/>
        </w:rPr>
        <w:t>dos</w:t>
      </w:r>
      <w:proofErr w:type="spellEnd"/>
      <w:r w:rsidR="00BC5F79" w:rsidRPr="008C352B">
        <w:rPr>
          <w:i/>
          <w:iCs/>
        </w:rPr>
        <w:t xml:space="preserve"> Santos i </w:t>
      </w:r>
      <w:proofErr w:type="spellStart"/>
      <w:r w:rsidR="00BC5F79" w:rsidRPr="008C352B">
        <w:rPr>
          <w:i/>
          <w:iCs/>
        </w:rPr>
        <w:t>Figueiredo</w:t>
      </w:r>
      <w:proofErr w:type="spellEnd"/>
      <w:r w:rsidR="00BC5F79" w:rsidRPr="008C352B">
        <w:rPr>
          <w:i/>
          <w:iCs/>
        </w:rPr>
        <w:t xml:space="preserve"> przeciwko Portugalii</w:t>
      </w:r>
      <w:r w:rsidR="00BC5F79" w:rsidRPr="008C352B">
        <w:t xml:space="preserve">, nr 9023/13 i 78077/13, § 41, 21 czerwca 2016 r.; </w:t>
      </w:r>
      <w:r w:rsidR="00BC5F79" w:rsidRPr="008C352B">
        <w:rPr>
          <w:i/>
          <w:iCs/>
        </w:rPr>
        <w:t>Bayer przeciwko Niemcom</w:t>
      </w:r>
      <w:r w:rsidR="00BC5F79" w:rsidRPr="008C352B">
        <w:t xml:space="preserve">, nr 8453/04, § 38, 16 lipca 2009 r.; oraz </w:t>
      </w:r>
      <w:proofErr w:type="spellStart"/>
      <w:r w:rsidR="00BC5F79" w:rsidRPr="008C352B">
        <w:rPr>
          <w:i/>
          <w:iCs/>
        </w:rPr>
        <w:t>Iordan</w:t>
      </w:r>
      <w:proofErr w:type="spellEnd"/>
      <w:r w:rsidR="00BC5F79" w:rsidRPr="008C352B">
        <w:rPr>
          <w:i/>
          <w:iCs/>
        </w:rPr>
        <w:t xml:space="preserve"> </w:t>
      </w:r>
      <w:proofErr w:type="spellStart"/>
      <w:r w:rsidR="00BC5F79" w:rsidRPr="008C352B">
        <w:rPr>
          <w:i/>
          <w:iCs/>
        </w:rPr>
        <w:t>Iordanov</w:t>
      </w:r>
      <w:proofErr w:type="spellEnd"/>
      <w:r w:rsidR="00BC5F79" w:rsidRPr="008C352B">
        <w:rPr>
          <w:i/>
          <w:iCs/>
        </w:rPr>
        <w:t xml:space="preserve"> </w:t>
      </w:r>
      <w:r w:rsidR="003D34A6" w:rsidRPr="008C352B">
        <w:rPr>
          <w:i/>
          <w:iCs/>
        </w:rPr>
        <w:t>i Inni</w:t>
      </w:r>
      <w:r w:rsidR="00BC5F79" w:rsidRPr="008C352B">
        <w:rPr>
          <w:i/>
          <w:iCs/>
        </w:rPr>
        <w:t xml:space="preserve"> przeciwko Bułgarii</w:t>
      </w:r>
      <w:r w:rsidR="00BC5F79" w:rsidRPr="008C352B">
        <w:t>, nr 23530/02</w:t>
      </w:r>
      <w:r w:rsidR="00BC5F79" w:rsidRPr="008C352B">
        <w:rPr>
          <w:snapToGrid w:val="0"/>
        </w:rPr>
        <w:t>, § 44, 2 lipca 2009 r</w:t>
      </w:r>
      <w:r w:rsidR="00BC5F79" w:rsidRPr="008C352B">
        <w:t>).</w:t>
      </w:r>
    </w:p>
    <w:p w14:paraId="4BD22585" w14:textId="10A13CD1" w:rsidR="00BC5F79" w:rsidRPr="008C352B" w:rsidRDefault="00320F5A" w:rsidP="008D10C9">
      <w:pPr>
        <w:pStyle w:val="ECHRPara"/>
        <w:rPr>
          <w:snapToGrid w:val="0"/>
        </w:rPr>
      </w:pPr>
      <w:r w:rsidRPr="008C352B">
        <w:t>75</w:t>
      </w:r>
      <w:r w:rsidR="00BC5F79" w:rsidRPr="008C352B">
        <w:t>.</w:t>
      </w:r>
      <w:r w:rsidR="00410690" w:rsidRPr="008C352B">
        <w:t xml:space="preserve"> </w:t>
      </w:r>
      <w:r w:rsidR="00BC5F79" w:rsidRPr="008C352B">
        <w:t xml:space="preserve">Jednakże, z wielu tych spraw wynika, że istnienie możliwości rewizji nie jest </w:t>
      </w:r>
      <w:r w:rsidR="00BC5F79" w:rsidRPr="008C352B">
        <w:rPr>
          <w:i/>
          <w:iCs/>
        </w:rPr>
        <w:t xml:space="preserve">per </w:t>
      </w:r>
      <w:proofErr w:type="spellStart"/>
      <w:r w:rsidR="00BC5F79" w:rsidRPr="008C352B">
        <w:rPr>
          <w:i/>
          <w:iCs/>
        </w:rPr>
        <w:t>se</w:t>
      </w:r>
      <w:proofErr w:type="spellEnd"/>
      <w:r w:rsidR="00BC5F79" w:rsidRPr="008C352B">
        <w:t xml:space="preserve"> warunkiem </w:t>
      </w:r>
      <w:r w:rsidR="00BC5F79" w:rsidRPr="008C352B">
        <w:rPr>
          <w:i/>
          <w:iCs/>
        </w:rPr>
        <w:t>sine qua non</w:t>
      </w:r>
      <w:r w:rsidR="00BC5F79" w:rsidRPr="008C352B">
        <w:t xml:space="preserve"> dla spełnienia pierwszego warunku testu </w:t>
      </w:r>
      <w:proofErr w:type="spellStart"/>
      <w:r w:rsidR="00BC5F79" w:rsidRPr="008C352B">
        <w:rPr>
          <w:i/>
          <w:iCs/>
        </w:rPr>
        <w:t>Eskelinen</w:t>
      </w:r>
      <w:proofErr w:type="spellEnd"/>
      <w:r w:rsidR="00BC5F79" w:rsidRPr="008C352B">
        <w:t xml:space="preserve">. Tak </w:t>
      </w:r>
      <w:r w:rsidR="00107A05" w:rsidRPr="008C352B">
        <w:t xml:space="preserve">więc </w:t>
      </w:r>
      <w:r w:rsidR="00BC5F79" w:rsidRPr="008C352B">
        <w:t xml:space="preserve">w sprawie </w:t>
      </w:r>
      <w:proofErr w:type="spellStart"/>
      <w:r w:rsidR="00BC5F79" w:rsidRPr="008C352B">
        <w:rPr>
          <w:i/>
          <w:iCs/>
        </w:rPr>
        <w:t>Saghatelyan</w:t>
      </w:r>
      <w:proofErr w:type="spellEnd"/>
      <w:r w:rsidR="00BC5F79" w:rsidRPr="008C352B">
        <w:rPr>
          <w:i/>
          <w:iCs/>
        </w:rPr>
        <w:t xml:space="preserve"> przeciwko Armenii</w:t>
      </w:r>
      <w:r w:rsidR="00BC5F79" w:rsidRPr="008C352B">
        <w:t xml:space="preserve"> (nr</w:t>
      </w:r>
      <w:r w:rsidR="00A16BDA">
        <w:t> </w:t>
      </w:r>
      <w:r w:rsidR="00BC5F79" w:rsidRPr="008C352B">
        <w:t xml:space="preserve">7984/06, §§ 32-35, 20 października 2015 r.), w której skarżący został odwołany ze stanowiska sędziego na podstawie dekretu </w:t>
      </w:r>
      <w:r w:rsidR="00107A05" w:rsidRPr="008C352B">
        <w:t xml:space="preserve">prezydenckiego </w:t>
      </w:r>
      <w:r w:rsidR="00BC5F79" w:rsidRPr="008C352B">
        <w:t>wydanego na podstawie rekomendacji Rady Sprawiedliwości, Trybunał uznał, że pierwszy warunek testu nie został spełniony. Trybunał stwierdził w tym zakresie, po pierwsze, że Rząd nie powołał konkretnego przepisu prawnego, który wyraźnie wyłączył ochronę sądową w związku z</w:t>
      </w:r>
      <w:r w:rsidR="00A16BDA">
        <w:t> </w:t>
      </w:r>
      <w:r w:rsidR="00BC5F79" w:rsidRPr="008C352B">
        <w:t>postępowaniem dyscyplinarnym przeciwko sędziemu oraz, po drugie, że</w:t>
      </w:r>
      <w:r w:rsidR="00A16BDA">
        <w:t> </w:t>
      </w:r>
      <w:r w:rsidR="00BC5F79" w:rsidRPr="008C352B">
        <w:t xml:space="preserve">choć w danym czasie nie było możliwości zakwestionowania dekretu prezydenckiego, jako że dotyczył wszystkich osób indywidualnych, prawo krajowe nie odmawiało dostępu do sądu skarżącemu ze względu na jego status, tj. osoby posiadającej uprawnienia publiczne. W sprawie </w:t>
      </w:r>
      <w:proofErr w:type="spellStart"/>
      <w:r w:rsidR="00BC5F79" w:rsidRPr="008C352B">
        <w:rPr>
          <w:i/>
          <w:iCs/>
        </w:rPr>
        <w:t>Harabin</w:t>
      </w:r>
      <w:proofErr w:type="spellEnd"/>
      <w:r w:rsidR="00BC5F79" w:rsidRPr="008C352B">
        <w:rPr>
          <w:i/>
          <w:iCs/>
        </w:rPr>
        <w:t> przeciwko Słowacji</w:t>
      </w:r>
      <w:r w:rsidR="00BC5F79" w:rsidRPr="008C352B">
        <w:t xml:space="preserve"> (nr 58688/11</w:t>
      </w:r>
      <w:r w:rsidR="00BC5F79" w:rsidRPr="008C352B">
        <w:rPr>
          <w:snapToGrid w:val="0"/>
        </w:rPr>
        <w:t>, 20 listopada 2012 r.), postępowanie dyscyplinarne wszczęto przed Trybunałem Konstytucyjnym przeciwko skarżącemu, który był prezesem Sądu Najwyższego. Stwierdzono, że jest winny poważnego wykroczenia dyscyplinarnego i</w:t>
      </w:r>
      <w:r w:rsidR="00A16BDA">
        <w:rPr>
          <w:snapToGrid w:val="0"/>
        </w:rPr>
        <w:t> </w:t>
      </w:r>
      <w:r w:rsidR="00BC5F79" w:rsidRPr="008C352B">
        <w:rPr>
          <w:snapToGrid w:val="0"/>
        </w:rPr>
        <w:t>nałożono na niego sankcję dyscyplinarną (§§ 36-37). Decyzja była prawomocna, jako że decyzje Trybunału Konstytucyjnego nie podlegają zaskarżeniu (§ 54).</w:t>
      </w:r>
      <w:r w:rsidR="00BC5F79" w:rsidRPr="008C352B">
        <w:t xml:space="preserve"> Stosując test </w:t>
      </w:r>
      <w:proofErr w:type="spellStart"/>
      <w:r w:rsidR="00BC5F79" w:rsidRPr="008C352B">
        <w:rPr>
          <w:i/>
          <w:iCs/>
        </w:rPr>
        <w:t>Eskelinen</w:t>
      </w:r>
      <w:proofErr w:type="spellEnd"/>
      <w:r w:rsidR="0089102C" w:rsidRPr="008C352B">
        <w:rPr>
          <w:i/>
          <w:iCs/>
        </w:rPr>
        <w:t>,</w:t>
      </w:r>
      <w:r w:rsidR="00BC5F79" w:rsidRPr="008C352B">
        <w:t xml:space="preserve"> </w:t>
      </w:r>
      <w:r w:rsidR="00BC5F79" w:rsidRPr="008C352B">
        <w:rPr>
          <w:snapToGrid w:val="0"/>
        </w:rPr>
        <w:t>Trybunał zaznaczył, że</w:t>
      </w:r>
      <w:r w:rsidR="00A16BDA">
        <w:rPr>
          <w:snapToGrid w:val="0"/>
        </w:rPr>
        <w:t> </w:t>
      </w:r>
      <w:r w:rsidR="00BC5F79" w:rsidRPr="008C352B">
        <w:rPr>
          <w:snapToGrid w:val="0"/>
        </w:rPr>
        <w:t>Trybunał Konstytucyjny był trybunałem posiadającym uprawnienie do</w:t>
      </w:r>
      <w:r w:rsidR="00A16BDA">
        <w:rPr>
          <w:snapToGrid w:val="0"/>
        </w:rPr>
        <w:t> </w:t>
      </w:r>
      <w:r w:rsidR="00BC5F79" w:rsidRPr="008C352B">
        <w:rPr>
          <w:snapToGrid w:val="0"/>
        </w:rPr>
        <w:t>rozpatrywania istotnych kwestii. A zatem prawo krajowe nie wyłączyło kontroli sądowej istotnych kwestii, a skarżący w rzeczywistości miał prawo do sądu (§ 123). Trybunał przyjął zatem podejście mówiące, że</w:t>
      </w:r>
      <w:r w:rsidR="00A16BDA">
        <w:rPr>
          <w:snapToGrid w:val="0"/>
        </w:rPr>
        <w:t> </w:t>
      </w:r>
      <w:r w:rsidR="00BC5F79" w:rsidRPr="008C352B">
        <w:rPr>
          <w:snapToGrid w:val="0"/>
        </w:rPr>
        <w:t>choć</w:t>
      </w:r>
      <w:r w:rsidR="00A16BDA">
        <w:rPr>
          <w:snapToGrid w:val="0"/>
        </w:rPr>
        <w:t> </w:t>
      </w:r>
      <w:r w:rsidR="00BC5F79" w:rsidRPr="008C352B">
        <w:rPr>
          <w:snapToGrid w:val="0"/>
        </w:rPr>
        <w:t xml:space="preserve">postępowanie dyscyplinarne przeciwko skarżącemu rozpatrzono tylko w jednej instancji, stanowiło to „prawo do sądu” na potrzeby spełnienia pierwszego warunku testu </w:t>
      </w:r>
      <w:proofErr w:type="spellStart"/>
      <w:r w:rsidR="00BC5F79" w:rsidRPr="008C352B">
        <w:rPr>
          <w:i/>
          <w:iCs/>
        </w:rPr>
        <w:t>Eskelinen</w:t>
      </w:r>
      <w:proofErr w:type="spellEnd"/>
      <w:r w:rsidR="00BC5F79" w:rsidRPr="008C352B">
        <w:rPr>
          <w:i/>
          <w:iCs/>
          <w:snapToGrid w:val="0"/>
        </w:rPr>
        <w:t>.</w:t>
      </w:r>
      <w:bookmarkStart w:id="3" w:name="caselaw3"/>
    </w:p>
    <w:bookmarkEnd w:id="3"/>
    <w:p w14:paraId="57F64285" w14:textId="639F8024" w:rsidR="00BC5F79" w:rsidRPr="008C352B" w:rsidRDefault="00320F5A" w:rsidP="008D10C9">
      <w:pPr>
        <w:pStyle w:val="ECHRPara"/>
        <w:rPr>
          <w:snapToGrid w:val="0"/>
        </w:rPr>
      </w:pPr>
      <w:r w:rsidRPr="008C352B">
        <w:rPr>
          <w:snapToGrid w:val="0"/>
        </w:rPr>
        <w:t>76</w:t>
      </w:r>
      <w:r w:rsidR="00BC5F79" w:rsidRPr="008C352B">
        <w:rPr>
          <w:snapToGrid w:val="0"/>
        </w:rPr>
        <w:t>.</w:t>
      </w:r>
      <w:r w:rsidR="00410690" w:rsidRPr="008C352B">
        <w:rPr>
          <w:snapToGrid w:val="0"/>
        </w:rPr>
        <w:t xml:space="preserve"> </w:t>
      </w:r>
      <w:r w:rsidR="00BC5F79" w:rsidRPr="008C352B">
        <w:rPr>
          <w:snapToGrid w:val="0"/>
        </w:rPr>
        <w:t>Dalej,</w:t>
      </w:r>
      <w:r w:rsidR="00BC5F79" w:rsidRPr="008C352B">
        <w:t xml:space="preserve"> w sprawie </w:t>
      </w:r>
      <w:proofErr w:type="spellStart"/>
      <w:r w:rsidR="00BC5F79" w:rsidRPr="008C352B">
        <w:rPr>
          <w:i/>
          <w:iCs/>
        </w:rPr>
        <w:t>Olujić</w:t>
      </w:r>
      <w:proofErr w:type="spellEnd"/>
      <w:r w:rsidR="00BC5F79" w:rsidRPr="008C352B">
        <w:rPr>
          <w:i/>
          <w:iCs/>
        </w:rPr>
        <w:t xml:space="preserve"> przeciwko Chorwacji</w:t>
      </w:r>
      <w:r w:rsidR="00BC5F79" w:rsidRPr="008C352B">
        <w:t xml:space="preserve"> (nr 22330/05, § 36-37, 5 lutego 2009 r.) oraz w sprawie </w:t>
      </w:r>
      <w:proofErr w:type="spellStart"/>
      <w:r w:rsidR="00BC5F79" w:rsidRPr="008C352B">
        <w:rPr>
          <w:i/>
          <w:iCs/>
        </w:rPr>
        <w:t>Oleksandr</w:t>
      </w:r>
      <w:proofErr w:type="spellEnd"/>
      <w:r w:rsidR="00BC5F79" w:rsidRPr="008C352B">
        <w:rPr>
          <w:i/>
          <w:iCs/>
        </w:rPr>
        <w:t xml:space="preserve"> </w:t>
      </w:r>
      <w:proofErr w:type="spellStart"/>
      <w:r w:rsidR="00BC5F79" w:rsidRPr="008C352B">
        <w:rPr>
          <w:i/>
          <w:iCs/>
        </w:rPr>
        <w:t>Volkov</w:t>
      </w:r>
      <w:proofErr w:type="spellEnd"/>
      <w:r w:rsidR="00BC5F79" w:rsidRPr="008C352B">
        <w:rPr>
          <w:i/>
          <w:iCs/>
        </w:rPr>
        <w:t xml:space="preserve"> </w:t>
      </w:r>
      <w:r w:rsidR="00BC5F79" w:rsidRPr="008C352B">
        <w:t>(cyt. powyżej,</w:t>
      </w:r>
      <w:r w:rsidR="00BC5F79" w:rsidRPr="008C352B">
        <w:rPr>
          <w:i/>
          <w:iCs/>
        </w:rPr>
        <w:t xml:space="preserve"> </w:t>
      </w:r>
      <w:r w:rsidR="00BC5F79" w:rsidRPr="008C352B">
        <w:rPr>
          <w:snapToGrid w:val="0"/>
        </w:rPr>
        <w:t>§ 88</w:t>
      </w:r>
      <w:r w:rsidR="00BC5F79" w:rsidRPr="008C352B">
        <w:t xml:space="preserve">), przy czym obie sprawy dotyczyły odwołania sędziów, Trybunał nie ograniczył swojego rozumowania do faktu, że obaj skarżący mieli prawo do ubiegania się o rewizję decyzji organów pierwszej instancji. Trybunał podkreślił, iż w kontekście pierwszego warunku nie uniemożliwiono mu sklasyfikowania danego organu krajowego, spoza sądownictwa krajowego, </w:t>
      </w:r>
      <w:r w:rsidR="00BC5F79" w:rsidRPr="008C352B">
        <w:lastRenderedPageBreak/>
        <w:t xml:space="preserve">jako „sądu” na potrzeby testu </w:t>
      </w:r>
      <w:proofErr w:type="spellStart"/>
      <w:r w:rsidR="00BC5F79" w:rsidRPr="008C352B">
        <w:rPr>
          <w:i/>
          <w:iCs/>
        </w:rPr>
        <w:t>Eskelinen</w:t>
      </w:r>
      <w:proofErr w:type="spellEnd"/>
      <w:r w:rsidR="00BC5F79" w:rsidRPr="008C352B">
        <w:t>. W związku z tym przywołał, że</w:t>
      </w:r>
      <w:r w:rsidR="00A16BDA">
        <w:t> </w:t>
      </w:r>
      <w:r w:rsidR="00BC5F79" w:rsidRPr="008C352B">
        <w:t>na</w:t>
      </w:r>
      <w:r w:rsidR="00A16BDA">
        <w:t> </w:t>
      </w:r>
      <w:r w:rsidR="00BC5F79" w:rsidRPr="008C352B">
        <w:t xml:space="preserve">potrzeby </w:t>
      </w:r>
      <w:r w:rsidR="009E5694" w:rsidRPr="008C352B">
        <w:t>art.</w:t>
      </w:r>
      <w:r w:rsidR="002F734A" w:rsidRPr="008C352B">
        <w:t xml:space="preserve"> 6 ust.</w:t>
      </w:r>
      <w:r w:rsidR="00BC5F79" w:rsidRPr="008C352B">
        <w:t xml:space="preserve"> 1 Konwencji sąd nie musi być sądem prawa stanowiącym element standardowego wymiaru sprawiedliwości, jako że</w:t>
      </w:r>
      <w:r w:rsidR="00A16BDA">
        <w:t> </w:t>
      </w:r>
      <w:r w:rsidR="00BC5F79" w:rsidRPr="008C352B">
        <w:t xml:space="preserve">sąd, w rozumieniu </w:t>
      </w:r>
      <w:r w:rsidR="009E5694" w:rsidRPr="008C352B">
        <w:t>art.</w:t>
      </w:r>
      <w:r w:rsidR="00BC5F79" w:rsidRPr="008C352B">
        <w:t xml:space="preserve"> 6 </w:t>
      </w:r>
      <w:r w:rsidR="002F734A" w:rsidRPr="008C352B">
        <w:t>ust.</w:t>
      </w:r>
      <w:r w:rsidR="00BC5F79" w:rsidRPr="008C352B">
        <w:t xml:space="preserve"> 1, definiowany </w:t>
      </w:r>
      <w:r w:rsidR="00A92BFE" w:rsidRPr="008C352B">
        <w:t xml:space="preserve">jest </w:t>
      </w:r>
      <w:r w:rsidR="00BC5F79" w:rsidRPr="008C352B">
        <w:t xml:space="preserve">w </w:t>
      </w:r>
      <w:r w:rsidR="00C60E45" w:rsidRPr="008C352B">
        <w:t>materialnym</w:t>
      </w:r>
      <w:r w:rsidR="00BC5F79" w:rsidRPr="008C352B">
        <w:t xml:space="preserve"> rozumieniu tego terminu poprzez jego funkcję sądową, czyli poprzez rozpatrywanie spraw znajdujących się w jego kompetencji na podstawie przepisów prawa i w ramach postępowań prowadzonych w sposób przepisany. W związku z powyższym organ inny niż sądowy, np. organ administracyjny lub parlamentarny, może zostać zakwalifikowany jako „sąd” w </w:t>
      </w:r>
      <w:r w:rsidR="00C60E45" w:rsidRPr="008C352B">
        <w:t>materialnym</w:t>
      </w:r>
      <w:r w:rsidR="008701F0" w:rsidRPr="008C352B">
        <w:t xml:space="preserve"> </w:t>
      </w:r>
      <w:r w:rsidR="00BC5F79" w:rsidRPr="008C352B">
        <w:t xml:space="preserve">rozumieniu tego terminu, jeżeli wykonuje funkcje sądowe (zob. również sprawa </w:t>
      </w:r>
      <w:proofErr w:type="spellStart"/>
      <w:r w:rsidR="00BC5F79" w:rsidRPr="008C352B">
        <w:rPr>
          <w:i/>
          <w:iCs/>
        </w:rPr>
        <w:t>Savino</w:t>
      </w:r>
      <w:proofErr w:type="spellEnd"/>
      <w:r w:rsidR="00BC5F79" w:rsidRPr="008C352B">
        <w:rPr>
          <w:i/>
          <w:iCs/>
        </w:rPr>
        <w:t xml:space="preserve"> </w:t>
      </w:r>
      <w:r w:rsidR="003D34A6" w:rsidRPr="008C352B">
        <w:rPr>
          <w:i/>
          <w:iCs/>
        </w:rPr>
        <w:t>i Inni</w:t>
      </w:r>
      <w:r w:rsidR="00A92BFE" w:rsidRPr="008C352B">
        <w:rPr>
          <w:i/>
          <w:iCs/>
        </w:rPr>
        <w:t xml:space="preserve"> </w:t>
      </w:r>
      <w:r w:rsidR="00BC5F79" w:rsidRPr="008C352B">
        <w:rPr>
          <w:i/>
          <w:iCs/>
        </w:rPr>
        <w:t>przeciwko Włochom</w:t>
      </w:r>
      <w:r w:rsidR="00BC5F79" w:rsidRPr="008C352B">
        <w:t>, nr</w:t>
      </w:r>
      <w:r w:rsidR="00A16BDA">
        <w:t> </w:t>
      </w:r>
      <w:r w:rsidR="00BC5F79" w:rsidRPr="008C352B">
        <w:t>17214/05 oraz 2 inne, §§ 72-75, 28</w:t>
      </w:r>
      <w:r w:rsidR="00BC5F79" w:rsidRPr="008C352B">
        <w:rPr>
          <w:snapToGrid w:val="0"/>
        </w:rPr>
        <w:t xml:space="preserve"> kwietnia 2009 r.).</w:t>
      </w:r>
      <w:bookmarkStart w:id="4" w:name="caselaw4"/>
    </w:p>
    <w:bookmarkEnd w:id="4"/>
    <w:p w14:paraId="1D62D50A" w14:textId="20E8778E" w:rsidR="00BC5F79" w:rsidRPr="008C352B" w:rsidRDefault="00320F5A" w:rsidP="008D10C9">
      <w:pPr>
        <w:pStyle w:val="ECHRPara"/>
        <w:rPr>
          <w:rFonts w:eastAsia="Times New Roman"/>
        </w:rPr>
      </w:pPr>
      <w:r w:rsidRPr="008C352B">
        <w:rPr>
          <w:rFonts w:eastAsia="Times New Roman"/>
        </w:rPr>
        <w:t>77</w:t>
      </w:r>
      <w:r w:rsidR="00BC5F79" w:rsidRPr="008C352B">
        <w:t>.</w:t>
      </w:r>
      <w:r w:rsidR="00410690" w:rsidRPr="008C352B">
        <w:t xml:space="preserve"> </w:t>
      </w:r>
      <w:r w:rsidR="00867BEC" w:rsidRPr="008C352B">
        <w:t>A zatem</w:t>
      </w:r>
      <w:r w:rsidR="00BC5F79" w:rsidRPr="008C352B">
        <w:t xml:space="preserve"> w sprawie </w:t>
      </w:r>
      <w:proofErr w:type="spellStart"/>
      <w:r w:rsidR="00BC5F79" w:rsidRPr="008C352B">
        <w:rPr>
          <w:i/>
          <w:iCs/>
        </w:rPr>
        <w:t>Olujić</w:t>
      </w:r>
      <w:proofErr w:type="spellEnd"/>
      <w:r w:rsidR="00BC5F79" w:rsidRPr="008C352B">
        <w:rPr>
          <w:i/>
          <w:iCs/>
        </w:rPr>
        <w:t xml:space="preserve"> </w:t>
      </w:r>
      <w:r w:rsidR="00BC5F79" w:rsidRPr="008C352B">
        <w:t>(cyt. powyżej, §§ 36-42), choć skarżący złożył skargę konstytucyjną do Trybunału Konstytucyjnego przeciwko decyzjom pierwszego organu decyzyjnego, Krajowej Rady Sądownictwa, Trybunał przeanalizował uprawnienia Krajowej Rady Sądownictwa i</w:t>
      </w:r>
      <w:r w:rsidR="00A16BDA">
        <w:t> </w:t>
      </w:r>
      <w:r w:rsidR="00BC5F79" w:rsidRPr="008C352B">
        <w:t xml:space="preserve">charakter postępowania przed tym organem. Odnotował, że postępowanie przed Krajową Radą Sądownictwa odbywało się według zasad procedury karnej, która obejmowała </w:t>
      </w:r>
      <w:r w:rsidR="00BC5F79" w:rsidRPr="008C352B">
        <w:rPr>
          <w:i/>
          <w:iCs/>
        </w:rPr>
        <w:t>m. in.</w:t>
      </w:r>
      <w:r w:rsidR="00BC5F79" w:rsidRPr="008C352B">
        <w:t xml:space="preserve"> wszystkie gwarancje ujęte w </w:t>
      </w:r>
      <w:r w:rsidR="009E5694" w:rsidRPr="008C352B">
        <w:t>art.</w:t>
      </w:r>
      <w:r w:rsidR="00BC5F79" w:rsidRPr="008C352B">
        <w:t xml:space="preserve"> 6 Konwencji i umożliwiła oskarżonemu obronę. Orzekając w postępowaniu dyscyplinarnym przeciwko sędziom, Krajowa Rada Sądownictwa miała prawo ustalić fakty w danej sprawie, przeprowadzać rozprawy, przesłuchiwać świadków i oceniać inne dowody, a także decydować w</w:t>
      </w:r>
      <w:r w:rsidR="00A16BDA">
        <w:t> </w:t>
      </w:r>
      <w:r w:rsidR="00BC5F79" w:rsidRPr="008C352B">
        <w:t>sprawie kwestii faktycznych i prawnych. Uznał zatem, że w tej sprawie Krajowa Rada Sądownictwa wykon</w:t>
      </w:r>
      <w:r w:rsidR="007975FE" w:rsidRPr="008C352B">
        <w:t>yw</w:t>
      </w:r>
      <w:r w:rsidR="00BC5F79" w:rsidRPr="008C352B">
        <w:t>ała uprawnienia sądow</w:t>
      </w:r>
      <w:r w:rsidR="00867BEC" w:rsidRPr="008C352B">
        <w:t>e</w:t>
      </w:r>
      <w:r w:rsidR="00BC5F79" w:rsidRPr="008C352B">
        <w:t xml:space="preserve"> </w:t>
      </w:r>
      <w:r w:rsidR="00867BEC" w:rsidRPr="008C352B">
        <w:t>przy</w:t>
      </w:r>
      <w:r w:rsidR="00A16BDA">
        <w:t> </w:t>
      </w:r>
      <w:r w:rsidR="00867BEC" w:rsidRPr="008C352B">
        <w:t>ustala</w:t>
      </w:r>
      <w:r w:rsidR="00BC5F79" w:rsidRPr="008C352B">
        <w:t>niu odpowiedzialności dyscyplinarnej skarżącego, a zatem</w:t>
      </w:r>
      <w:r w:rsidR="00867BEC" w:rsidRPr="008C352B">
        <w:t>,</w:t>
      </w:r>
      <w:r w:rsidR="00BC5F79" w:rsidRPr="008C352B">
        <w:t xml:space="preserve"> że</w:t>
      </w:r>
      <w:r w:rsidR="00A16BDA">
        <w:t> </w:t>
      </w:r>
      <w:r w:rsidR="00BC5F79" w:rsidRPr="008C352B">
        <w:t xml:space="preserve">postępowanie dyscyplinarne przeciwko skarżącemu było prowadzone przed sądem w rozumieniu </w:t>
      </w:r>
      <w:r w:rsidR="009E5694" w:rsidRPr="008C352B">
        <w:t>art.</w:t>
      </w:r>
      <w:r w:rsidR="00BC5F79" w:rsidRPr="008C352B">
        <w:t xml:space="preserve"> 6 </w:t>
      </w:r>
      <w:r w:rsidR="00867BEC" w:rsidRPr="008C352B">
        <w:t>ust.</w:t>
      </w:r>
      <w:r w:rsidR="00BC5F79" w:rsidRPr="008C352B">
        <w:t xml:space="preserve"> 1 Konwencji.</w:t>
      </w:r>
    </w:p>
    <w:p w14:paraId="7393A99C" w14:textId="0F27D715" w:rsidR="00BC5F79" w:rsidRPr="008C352B" w:rsidRDefault="00320F5A" w:rsidP="008D10C9">
      <w:pPr>
        <w:pStyle w:val="ECHRPara"/>
      </w:pPr>
      <w:r w:rsidRPr="008C352B">
        <w:t>78</w:t>
      </w:r>
      <w:r w:rsidR="00BC5F79" w:rsidRPr="008C352B">
        <w:t>.</w:t>
      </w:r>
      <w:r w:rsidR="00410690" w:rsidRPr="008C352B">
        <w:t xml:space="preserve"> </w:t>
      </w:r>
      <w:r w:rsidR="00867BEC" w:rsidRPr="008C352B">
        <w:t>Podobnie</w:t>
      </w:r>
      <w:r w:rsidR="00BC5F79" w:rsidRPr="008C352B">
        <w:t xml:space="preserve"> w sprawie </w:t>
      </w:r>
      <w:proofErr w:type="spellStart"/>
      <w:r w:rsidR="00BC5F79" w:rsidRPr="008C352B">
        <w:rPr>
          <w:i/>
          <w:iCs/>
        </w:rPr>
        <w:t>Oleksandr</w:t>
      </w:r>
      <w:proofErr w:type="spellEnd"/>
      <w:r w:rsidR="00BC5F79" w:rsidRPr="008C352B">
        <w:rPr>
          <w:i/>
          <w:iCs/>
        </w:rPr>
        <w:t xml:space="preserve"> </w:t>
      </w:r>
      <w:proofErr w:type="spellStart"/>
      <w:r w:rsidR="00BC5F79" w:rsidRPr="008C352B">
        <w:rPr>
          <w:i/>
          <w:iCs/>
        </w:rPr>
        <w:t>Volkov</w:t>
      </w:r>
      <w:proofErr w:type="spellEnd"/>
      <w:r w:rsidR="00BC5F79" w:rsidRPr="008C352B">
        <w:rPr>
          <w:i/>
          <w:iCs/>
        </w:rPr>
        <w:t xml:space="preserve"> </w:t>
      </w:r>
      <w:r w:rsidR="00BC5F79" w:rsidRPr="008C352B">
        <w:t>(cyt. powyżej, §§ 88-91), choć decyzja o odwołaniu podlegała rewizji przeprowadzonej przez Wyższy Sąd Administracyjny, Trybunał, ustalając</w:t>
      </w:r>
      <w:r w:rsidR="00867BEC" w:rsidRPr="008C352B">
        <w:t>,</w:t>
      </w:r>
      <w:r w:rsidR="00BC5F79" w:rsidRPr="008C352B">
        <w:t xml:space="preserve"> czy skarżący miał dostęp do sądu w kontekście pierwszego warunku testu </w:t>
      </w:r>
      <w:proofErr w:type="spellStart"/>
      <w:r w:rsidR="00BC5F79" w:rsidRPr="008C352B">
        <w:rPr>
          <w:i/>
          <w:iCs/>
        </w:rPr>
        <w:t>Eskelinen</w:t>
      </w:r>
      <w:proofErr w:type="spellEnd"/>
      <w:r w:rsidR="00BC5F79" w:rsidRPr="008C352B">
        <w:t>, odnotował, że</w:t>
      </w:r>
      <w:r w:rsidR="00A16BDA">
        <w:t> </w:t>
      </w:r>
      <w:r w:rsidR="00BC5F79" w:rsidRPr="008C352B">
        <w:t>rozpatrując sprawę skarżącego i wydając prawomocną decyzję, okazało się, że Wysoka Rada Sprawiedliwości, Parlamentarna Komisja ds.</w:t>
      </w:r>
      <w:r w:rsidR="00A16BDA">
        <w:t> </w:t>
      </w:r>
      <w:r w:rsidR="00BC5F79" w:rsidRPr="008C352B">
        <w:t>Sądownictwa, oraz zgromadzenie ogólne Parlamentu łącznie wykonywały funkcję sądową. W tym zakresie [Trybunał] stwierdził, że</w:t>
      </w:r>
      <w:r w:rsidR="00A16BDA">
        <w:t> </w:t>
      </w:r>
      <w:r w:rsidR="00BC5F79" w:rsidRPr="008C352B">
        <w:t>Wysoka Rada Sprawiedliwości ustaliła wszystkie kwestie faktyczne i</w:t>
      </w:r>
      <w:r w:rsidR="00A16BDA">
        <w:t> </w:t>
      </w:r>
      <w:r w:rsidR="00BC5F79" w:rsidRPr="008C352B">
        <w:t>prawne po przeprowadzeniu rozprawy i oceny dowodów, Komisja Parlamentarna otrzymała uprawnienie do przeprowadzania rozważań i</w:t>
      </w:r>
      <w:r w:rsidR="00A16BDA">
        <w:t> </w:t>
      </w:r>
      <w:r w:rsidR="00BC5F79" w:rsidRPr="008C352B">
        <w:t>dodatkowych</w:t>
      </w:r>
      <w:r w:rsidR="00867BEC" w:rsidRPr="008C352B">
        <w:t xml:space="preserve"> </w:t>
      </w:r>
      <w:r w:rsidR="002113BB" w:rsidRPr="008C352B">
        <w:t>ustaleń</w:t>
      </w:r>
      <w:r w:rsidR="00BC5F79" w:rsidRPr="008C352B">
        <w:t>, jeżeli zosta</w:t>
      </w:r>
      <w:r w:rsidR="007A69CB">
        <w:t>łoby</w:t>
      </w:r>
      <w:r w:rsidR="00BC5F79" w:rsidRPr="008C352B">
        <w:t xml:space="preserve"> to uznane za konieczne, co mo</w:t>
      </w:r>
      <w:r w:rsidR="007A69CB">
        <w:t>gło</w:t>
      </w:r>
      <w:r w:rsidR="00BC5F79" w:rsidRPr="008C352B">
        <w:t xml:space="preserve"> d</w:t>
      </w:r>
      <w:r w:rsidR="00867BEC" w:rsidRPr="008C352B">
        <w:t xml:space="preserve">oprowadzić do </w:t>
      </w:r>
      <w:r w:rsidR="00BC5F79" w:rsidRPr="008C352B">
        <w:t>rekomendacji odwołania lub utrzymania sędziego</w:t>
      </w:r>
      <w:r w:rsidR="00F87CCB">
        <w:t>,</w:t>
      </w:r>
      <w:r w:rsidR="00BC5F79" w:rsidRPr="008C352B">
        <w:t xml:space="preserve"> oraz</w:t>
      </w:r>
      <w:r w:rsidR="00A16BDA">
        <w:t> </w:t>
      </w:r>
      <w:r w:rsidR="00BC5F79" w:rsidRPr="008C352B">
        <w:t>że</w:t>
      </w:r>
      <w:r w:rsidR="00A16BDA">
        <w:t> </w:t>
      </w:r>
      <w:r w:rsidR="00BC5F79" w:rsidRPr="008C352B">
        <w:t>zgromadzenie ogólne Parlamentu następnie zatwierdziło odwołanie skarżącego w oparciu</w:t>
      </w:r>
      <w:r w:rsidR="007A69CB">
        <w:t xml:space="preserve"> o wnioski WRS oraz rekomendacje</w:t>
      </w:r>
      <w:r w:rsidR="00BC5F79" w:rsidRPr="008C352B">
        <w:t xml:space="preserve"> Komisji Parlamentarnej.</w:t>
      </w:r>
    </w:p>
    <w:p w14:paraId="02DEC2BB" w14:textId="5E36815F" w:rsidR="00BC5F79" w:rsidRPr="008C352B" w:rsidRDefault="00320F5A" w:rsidP="008D10C9">
      <w:pPr>
        <w:pStyle w:val="ECHRPara"/>
      </w:pPr>
      <w:r w:rsidRPr="008C352B">
        <w:lastRenderedPageBreak/>
        <w:t>79</w:t>
      </w:r>
      <w:r w:rsidR="00BC5F79" w:rsidRPr="008C352B">
        <w:t>.</w:t>
      </w:r>
      <w:r w:rsidR="00410690" w:rsidRPr="008C352B">
        <w:t xml:space="preserve"> </w:t>
      </w:r>
      <w:r w:rsidR="00BC5F79" w:rsidRPr="008C352B">
        <w:t xml:space="preserve">To podejście zastosowano w szeregu kolejnych spraw. Przykładowo, niedawno, w sprawie </w:t>
      </w:r>
      <w:proofErr w:type="spellStart"/>
      <w:r w:rsidR="00BC5F79" w:rsidRPr="008C352B">
        <w:rPr>
          <w:i/>
          <w:iCs/>
        </w:rPr>
        <w:t>Sturua</w:t>
      </w:r>
      <w:proofErr w:type="spellEnd"/>
      <w:r w:rsidR="00BC5F79" w:rsidRPr="008C352B">
        <w:rPr>
          <w:i/>
          <w:iCs/>
        </w:rPr>
        <w:t xml:space="preserve"> przeciwko Gruzji</w:t>
      </w:r>
      <w:r w:rsidR="00BC5F79" w:rsidRPr="008C352B">
        <w:t xml:space="preserve"> (nr 45729/05, § 27, 28 marca 2017 r.), zarzut dyscyplinarny przeciwko skarżącemu został rozpatrzony przez Radę Dyscyplinarną Sędziów w pierwszej instancji w składzie czterech sędziów oraz w pełnym składzie w drugiej instancji (odwołanie). Decyzje zostały następnie rozpatrzone przez Sąd Najwyższy Gruzji. Trybunał stwierdził, że organy dyscyplinarne, które prowadziły postępowanie wyraźnie wykonywały funkcję sędziowską oraz że Rada Dyscyplinarna Sędziów wyraźnie stanowiła „sąd” w rozumieniu </w:t>
      </w:r>
      <w:r w:rsidR="009E5694" w:rsidRPr="008C352B">
        <w:t>art.</w:t>
      </w:r>
      <w:r w:rsidR="00BC5F79" w:rsidRPr="008C352B">
        <w:t xml:space="preserve"> </w:t>
      </w:r>
      <w:r w:rsidR="00867BEC" w:rsidRPr="008C352B">
        <w:t>6 ust. 1</w:t>
      </w:r>
      <w:r w:rsidR="00BC5F79" w:rsidRPr="008C352B">
        <w:t xml:space="preserve"> Konwencji. W sprawie </w:t>
      </w:r>
      <w:r w:rsidR="00BC5F79" w:rsidRPr="008C352B">
        <w:rPr>
          <w:i/>
          <w:iCs/>
          <w:snapToGrid w:val="0"/>
        </w:rPr>
        <w:t>Di Giovanni</w:t>
      </w:r>
      <w:r w:rsidR="00BC5F79" w:rsidRPr="008C352B">
        <w:rPr>
          <w:snapToGrid w:val="0"/>
        </w:rPr>
        <w:t xml:space="preserve"> </w:t>
      </w:r>
      <w:r w:rsidR="00BC5F79" w:rsidRPr="008C352B">
        <w:rPr>
          <w:i/>
          <w:iCs/>
          <w:snapToGrid w:val="0"/>
        </w:rPr>
        <w:t>przeciwko Włochom</w:t>
      </w:r>
      <w:r w:rsidR="00BC5F79" w:rsidRPr="008C352B">
        <w:rPr>
          <w:snapToGrid w:val="0"/>
        </w:rPr>
        <w:t xml:space="preserve"> (nr 51160/06, § 37, 9 lipca 2013 r.) Trybunał stwierdził, że organ pierwszej instancji – wydział dyscyplinarny Najwyższej Rady Sądownictwa</w:t>
      </w:r>
      <w:r w:rsidR="00410690" w:rsidRPr="008C352B">
        <w:rPr>
          <w:snapToGrid w:val="0"/>
        </w:rPr>
        <w:t xml:space="preserve"> </w:t>
      </w:r>
      <w:r w:rsidR="00BC5F79" w:rsidRPr="008C352B">
        <w:rPr>
          <w:snapToGrid w:val="0"/>
        </w:rPr>
        <w:t>– miał pełne uprawnienia do rozpatrzenia wszelkich kwestii podniesionych w sprawie. Fakt</w:t>
      </w:r>
      <w:r w:rsidR="00B14985" w:rsidRPr="008C352B">
        <w:rPr>
          <w:snapToGrid w:val="0"/>
        </w:rPr>
        <w:t>,</w:t>
      </w:r>
      <w:r w:rsidR="00BC5F79" w:rsidRPr="008C352B">
        <w:rPr>
          <w:snapToGrid w:val="0"/>
        </w:rPr>
        <w:t xml:space="preserve"> że decyzję można było zaskarżyć do Sądu Kasacyjnego (</w:t>
      </w:r>
      <w:proofErr w:type="spellStart"/>
      <w:r w:rsidR="00BC5F79" w:rsidRPr="008C352B">
        <w:rPr>
          <w:i/>
          <w:iCs/>
          <w:snapToGrid w:val="0"/>
        </w:rPr>
        <w:t>Sezioni</w:t>
      </w:r>
      <w:proofErr w:type="spellEnd"/>
      <w:r w:rsidR="00BC5F79" w:rsidRPr="008C352B">
        <w:rPr>
          <w:i/>
          <w:iCs/>
          <w:snapToGrid w:val="0"/>
        </w:rPr>
        <w:t xml:space="preserve"> </w:t>
      </w:r>
      <w:proofErr w:type="spellStart"/>
      <w:r w:rsidR="00BC5F79" w:rsidRPr="008C352B">
        <w:rPr>
          <w:i/>
          <w:iCs/>
          <w:snapToGrid w:val="0"/>
        </w:rPr>
        <w:t>Unite</w:t>
      </w:r>
      <w:proofErr w:type="spellEnd"/>
      <w:r w:rsidR="00BC5F79" w:rsidRPr="008C352B">
        <w:rPr>
          <w:snapToGrid w:val="0"/>
        </w:rPr>
        <w:t>)</w:t>
      </w:r>
      <w:r w:rsidR="00B14985" w:rsidRPr="008C352B">
        <w:rPr>
          <w:snapToGrid w:val="0"/>
        </w:rPr>
        <w:t>,</w:t>
      </w:r>
      <w:r w:rsidR="00BC5F79" w:rsidRPr="008C352B">
        <w:t xml:space="preserve"> b</w:t>
      </w:r>
      <w:r w:rsidR="00BC5F79" w:rsidRPr="008C352B">
        <w:rPr>
          <w:snapToGrid w:val="0"/>
        </w:rPr>
        <w:t>ył dodatkowym czynnikiem.</w:t>
      </w:r>
      <w:r w:rsidR="00BC5F79" w:rsidRPr="008C352B">
        <w:t xml:space="preserve"> Podobnie w szeregu niedawnych wyroków przeciwko byłej Jugos</w:t>
      </w:r>
      <w:r w:rsidR="00B14985" w:rsidRPr="008C352B">
        <w:t>łowiańskiej Republice Macedonii</w:t>
      </w:r>
      <w:r w:rsidR="00BC5F79" w:rsidRPr="008C352B">
        <w:t xml:space="preserve"> Trybunał zauważył w kontekście pierwszego warunku, że organ dyscyplinarny pierwszej instancji, Państwowa Rada Sądownictwa, ustalił wszystkie kwestie faktyczne i prawne po przeprowadzeniu rozpraw i przeanalizowaniu dowodów (</w:t>
      </w:r>
      <w:proofErr w:type="spellStart"/>
      <w:r w:rsidR="00BC5F79" w:rsidRPr="008C352B">
        <w:rPr>
          <w:i/>
          <w:iCs/>
        </w:rPr>
        <w:t>Poposki</w:t>
      </w:r>
      <w:proofErr w:type="spellEnd"/>
      <w:r w:rsidR="00BC5F79" w:rsidRPr="008C352B">
        <w:rPr>
          <w:i/>
          <w:iCs/>
        </w:rPr>
        <w:t xml:space="preserve"> i Duma</w:t>
      </w:r>
      <w:r w:rsidR="00BC5F79" w:rsidRPr="008C352B">
        <w:t xml:space="preserve"> </w:t>
      </w:r>
      <w:r w:rsidR="00BC5F79" w:rsidRPr="008C352B">
        <w:rPr>
          <w:i/>
          <w:iCs/>
        </w:rPr>
        <w:t>przeciwko byłej Jugosłowiańskiej Republice Macedonii</w:t>
      </w:r>
      <w:r w:rsidR="00BC5F79" w:rsidRPr="008C352B">
        <w:t>, nr 69916/10 i 36531/11</w:t>
      </w:r>
      <w:r w:rsidR="00BC5F79" w:rsidRPr="008C352B">
        <w:rPr>
          <w:snapToGrid w:val="0"/>
        </w:rPr>
        <w:t xml:space="preserve">, § 37, </w:t>
      </w:r>
      <w:r w:rsidR="00BC5F79" w:rsidRPr="008C352B">
        <w:t>7</w:t>
      </w:r>
      <w:r w:rsidR="00BC5F79" w:rsidRPr="008C352B">
        <w:rPr>
          <w:snapToGrid w:val="0"/>
        </w:rPr>
        <w:t xml:space="preserve"> </w:t>
      </w:r>
      <w:r w:rsidR="00BC5F79" w:rsidRPr="008C352B">
        <w:t xml:space="preserve">stycznia 2016 r.; </w:t>
      </w:r>
      <w:proofErr w:type="spellStart"/>
      <w:r w:rsidR="00BC5F79" w:rsidRPr="008C352B">
        <w:rPr>
          <w:i/>
          <w:iCs/>
        </w:rPr>
        <w:t>Gerovska</w:t>
      </w:r>
      <w:proofErr w:type="spellEnd"/>
      <w:r w:rsidR="00BC5F79" w:rsidRPr="008C352B">
        <w:rPr>
          <w:i/>
          <w:iCs/>
        </w:rPr>
        <w:t xml:space="preserve"> </w:t>
      </w:r>
      <w:proofErr w:type="spellStart"/>
      <w:r w:rsidR="00BC5F79" w:rsidRPr="008C352B">
        <w:rPr>
          <w:i/>
          <w:iCs/>
        </w:rPr>
        <w:t>Popčevska</w:t>
      </w:r>
      <w:proofErr w:type="spellEnd"/>
      <w:r w:rsidR="00BC5F79" w:rsidRPr="008C352B">
        <w:t xml:space="preserve"> </w:t>
      </w:r>
      <w:r w:rsidR="00BC5F79" w:rsidRPr="008C352B">
        <w:rPr>
          <w:i/>
          <w:iCs/>
        </w:rPr>
        <w:t>przeciwko byłej Jugosłowiańskiej Republice Macedonii</w:t>
      </w:r>
      <w:r w:rsidR="00BC5F79" w:rsidRPr="008C352B">
        <w:t>, nr 48783/07</w:t>
      </w:r>
      <w:r w:rsidR="00BC5F79" w:rsidRPr="008C352B">
        <w:rPr>
          <w:snapToGrid w:val="0"/>
        </w:rPr>
        <w:t xml:space="preserve">, § 58, </w:t>
      </w:r>
      <w:r w:rsidR="00BC5F79" w:rsidRPr="008C352B">
        <w:t>7</w:t>
      </w:r>
      <w:r w:rsidR="00BC5F79" w:rsidRPr="008C352B">
        <w:rPr>
          <w:snapToGrid w:val="0"/>
        </w:rPr>
        <w:t> </w:t>
      </w:r>
      <w:r w:rsidR="00BC5F79" w:rsidRPr="008C352B">
        <w:t xml:space="preserve">stycznia 2016 r.; </w:t>
      </w:r>
      <w:proofErr w:type="spellStart"/>
      <w:r w:rsidR="00BC5F79" w:rsidRPr="008C352B">
        <w:rPr>
          <w:i/>
          <w:iCs/>
        </w:rPr>
        <w:t>Jakšovski</w:t>
      </w:r>
      <w:proofErr w:type="spellEnd"/>
      <w:r w:rsidR="00BC5F79" w:rsidRPr="008C352B">
        <w:rPr>
          <w:i/>
          <w:iCs/>
        </w:rPr>
        <w:t xml:space="preserve"> i </w:t>
      </w:r>
      <w:proofErr w:type="spellStart"/>
      <w:r w:rsidR="00BC5F79" w:rsidRPr="008C352B">
        <w:rPr>
          <w:i/>
          <w:iCs/>
        </w:rPr>
        <w:t>Trifunovski</w:t>
      </w:r>
      <w:proofErr w:type="spellEnd"/>
      <w:r w:rsidR="00BC5F79" w:rsidRPr="008C352B">
        <w:t xml:space="preserve"> </w:t>
      </w:r>
      <w:r w:rsidR="00BC5F79" w:rsidRPr="008C352B">
        <w:rPr>
          <w:i/>
          <w:iCs/>
        </w:rPr>
        <w:t>przeciwko byłej Jugosłowiańskiej Republice Macedonii</w:t>
      </w:r>
      <w:r w:rsidR="00BC5F79" w:rsidRPr="008C352B">
        <w:t xml:space="preserve">, nr </w:t>
      </w:r>
      <w:bookmarkStart w:id="5" w:name="File0"/>
      <w:r w:rsidR="00BC5F79" w:rsidRPr="008C352B">
        <w:t>56381/09</w:t>
      </w:r>
      <w:bookmarkEnd w:id="5"/>
      <w:r w:rsidR="00BC5F79" w:rsidRPr="008C352B">
        <w:t xml:space="preserve"> i 58738/09</w:t>
      </w:r>
      <w:r w:rsidR="00BC5F79" w:rsidRPr="008C352B">
        <w:rPr>
          <w:snapToGrid w:val="0"/>
        </w:rPr>
        <w:t xml:space="preserve">, § 32, </w:t>
      </w:r>
      <w:r w:rsidR="00BC5F79" w:rsidRPr="008C352B">
        <w:t>7</w:t>
      </w:r>
      <w:r w:rsidR="00BC5F79" w:rsidRPr="008C352B">
        <w:rPr>
          <w:snapToGrid w:val="0"/>
        </w:rPr>
        <w:t xml:space="preserve"> </w:t>
      </w:r>
      <w:r w:rsidR="00BC5F79" w:rsidRPr="008C352B">
        <w:t>stycznia 2016 r.;</w:t>
      </w:r>
      <w:r w:rsidR="00BC5F79" w:rsidRPr="008C352B">
        <w:rPr>
          <w:i/>
          <w:iCs/>
        </w:rPr>
        <w:t xml:space="preserve"> </w:t>
      </w:r>
      <w:r w:rsidR="00BC5F79" w:rsidRPr="008C352B">
        <w:t xml:space="preserve">i </w:t>
      </w:r>
      <w:proofErr w:type="spellStart"/>
      <w:r w:rsidR="00BC5F79" w:rsidRPr="008C352B">
        <w:rPr>
          <w:i/>
          <w:iCs/>
        </w:rPr>
        <w:t>Mitrinovski</w:t>
      </w:r>
      <w:proofErr w:type="spellEnd"/>
      <w:r w:rsidR="00BC5F79" w:rsidRPr="008C352B">
        <w:rPr>
          <w:i/>
          <w:iCs/>
        </w:rPr>
        <w:t xml:space="preserve"> przeciwko byłej Jugosłowiańskiej Republice Macedonii</w:t>
      </w:r>
      <w:r w:rsidR="00BC5F79" w:rsidRPr="008C352B">
        <w:t>, nr 6899/12</w:t>
      </w:r>
      <w:r w:rsidR="00BC5F79" w:rsidRPr="008C352B">
        <w:rPr>
          <w:snapToGrid w:val="0"/>
        </w:rPr>
        <w:t xml:space="preserve">, § 29, 30 </w:t>
      </w:r>
      <w:r w:rsidR="00BC5F79" w:rsidRPr="008C352B">
        <w:t>kwietnia</w:t>
      </w:r>
      <w:r w:rsidR="00BC5F79" w:rsidRPr="008C352B">
        <w:rPr>
          <w:snapToGrid w:val="0"/>
        </w:rPr>
        <w:t xml:space="preserve"> 2015 r.</w:t>
      </w:r>
      <w:r w:rsidR="00BC5F79" w:rsidRPr="008C352B">
        <w:t>).</w:t>
      </w:r>
    </w:p>
    <w:p w14:paraId="36E1398E" w14:textId="0672FA41" w:rsidR="00BC5F79" w:rsidRPr="008C352B" w:rsidRDefault="00320F5A" w:rsidP="008D10C9">
      <w:pPr>
        <w:pStyle w:val="ECHRPara"/>
      </w:pPr>
      <w:r w:rsidRPr="008C352B">
        <w:t>80</w:t>
      </w:r>
      <w:r w:rsidR="00BC5F79" w:rsidRPr="008C352B">
        <w:t>.</w:t>
      </w:r>
      <w:r w:rsidR="00410690" w:rsidRPr="008C352B">
        <w:t xml:space="preserve"> </w:t>
      </w:r>
      <w:r w:rsidR="00AB0C10" w:rsidRPr="008C352B">
        <w:t>Niemniej jednak</w:t>
      </w:r>
      <w:r w:rsidR="00BC5F79" w:rsidRPr="008C352B">
        <w:t xml:space="preserve"> w mniejszości spraw Trybunał stwierdził, że</w:t>
      </w:r>
      <w:r w:rsidR="00A16BDA">
        <w:t> </w:t>
      </w:r>
      <w:r w:rsidR="00BC5F79" w:rsidRPr="008C352B">
        <w:t>pierwszy warunek nie został spełniony.</w:t>
      </w:r>
    </w:p>
    <w:p w14:paraId="7969CA36" w14:textId="40283F4F" w:rsidR="00BC5F79" w:rsidRPr="008C352B" w:rsidRDefault="00320F5A" w:rsidP="008D10C9">
      <w:pPr>
        <w:pStyle w:val="ECHRPara"/>
      </w:pPr>
      <w:r w:rsidRPr="008C352B">
        <w:t>81</w:t>
      </w:r>
      <w:r w:rsidR="00BC5F79" w:rsidRPr="008C352B">
        <w:t>.</w:t>
      </w:r>
      <w:r w:rsidR="00410690" w:rsidRPr="008C352B">
        <w:t xml:space="preserve"> </w:t>
      </w:r>
      <w:r w:rsidR="00BC5F79" w:rsidRPr="008C352B">
        <w:t xml:space="preserve">W sprawie </w:t>
      </w:r>
      <w:proofErr w:type="spellStart"/>
      <w:r w:rsidR="00BC5F79" w:rsidRPr="008C352B">
        <w:rPr>
          <w:i/>
          <w:iCs/>
        </w:rPr>
        <w:t>Suküt</w:t>
      </w:r>
      <w:proofErr w:type="spellEnd"/>
      <w:r w:rsidR="00BC5F79" w:rsidRPr="008C352B">
        <w:rPr>
          <w:i/>
          <w:iCs/>
        </w:rPr>
        <w:t xml:space="preserve"> przeciwko Turcji</w:t>
      </w:r>
      <w:r w:rsidR="00BC5F79" w:rsidRPr="008C352B">
        <w:t xml:space="preserve"> ((dec.), nr 59773/00, 11 września 2007 r.), która dotyczyła wcześniejszego przejścia w stan spoczynku oficera wojsk lądowych z przyczyn dyscyplinarnych, Trybunał orzekł, że skarżący nie miał dostępu do sądu, jako że według tureckiego prawa konstytucyjnego decyzje Najwyższej Rady Wojskowej nie podlegają </w:t>
      </w:r>
      <w:r w:rsidR="00C60E45" w:rsidRPr="008C352B">
        <w:t>kontroli</w:t>
      </w:r>
      <w:r w:rsidR="00BC5F79" w:rsidRPr="008C352B">
        <w:t xml:space="preserve"> sądowej. Trybunał przyjął to samo podejście w sprawach dyscyplinarnych dotyczących decyzji tureckiej Najwyższej Rady Sędziów i Prokuratorów, które, zgodnie z prawem krajowym, nie podlegały </w:t>
      </w:r>
      <w:r w:rsidR="00C60E45" w:rsidRPr="008C352B">
        <w:t xml:space="preserve">kontroli </w:t>
      </w:r>
      <w:r w:rsidR="00BC5F79" w:rsidRPr="008C352B">
        <w:t>sądowej (zob.</w:t>
      </w:r>
      <w:r w:rsidR="00A16BDA">
        <w:t> </w:t>
      </w:r>
      <w:proofErr w:type="spellStart"/>
      <w:r w:rsidR="00BC5F79" w:rsidRPr="008C352B">
        <w:rPr>
          <w:i/>
          <w:iCs/>
        </w:rPr>
        <w:t>Nazsiz</w:t>
      </w:r>
      <w:proofErr w:type="spellEnd"/>
      <w:r w:rsidR="00BC5F79" w:rsidRPr="008C352B">
        <w:rPr>
          <w:i/>
          <w:iCs/>
        </w:rPr>
        <w:t xml:space="preserve"> przeciwko Turcji</w:t>
      </w:r>
      <w:r w:rsidR="00BC5F79" w:rsidRPr="008C352B">
        <w:t xml:space="preserve"> (dec.), nr 22412/05, 26 maja 2009 r., dotycząca dyscyplinarnego odwołania prokuratora, i </w:t>
      </w:r>
      <w:proofErr w:type="spellStart"/>
      <w:r w:rsidR="00BC5F79" w:rsidRPr="008C352B">
        <w:rPr>
          <w:i/>
          <w:iCs/>
        </w:rPr>
        <w:t>Özpınar</w:t>
      </w:r>
      <w:proofErr w:type="spellEnd"/>
      <w:r w:rsidR="00BC5F79" w:rsidRPr="008C352B">
        <w:rPr>
          <w:i/>
          <w:iCs/>
        </w:rPr>
        <w:t xml:space="preserve"> przeciwko Turcji</w:t>
      </w:r>
      <w:r w:rsidR="00BC5F79" w:rsidRPr="008C352B">
        <w:t>, nr 20999/04, § 30, 19 października 2010 r., dotycząca usunięcia z</w:t>
      </w:r>
      <w:r w:rsidR="00A16BDA">
        <w:t> </w:t>
      </w:r>
      <w:r w:rsidR="00BC5F79" w:rsidRPr="008C352B">
        <w:t>urzędu sędziego z przyczyn dyscyplinarnych).</w:t>
      </w:r>
    </w:p>
    <w:p w14:paraId="6A7F715A" w14:textId="150E40DD" w:rsidR="00BC5F79" w:rsidRPr="008C352B" w:rsidRDefault="00BC5F79" w:rsidP="008D10C9">
      <w:pPr>
        <w:pStyle w:val="ECHRHeading5"/>
      </w:pPr>
      <w:r w:rsidRPr="008C352B">
        <w:t>Podejście</w:t>
      </w:r>
      <w:r w:rsidR="0077547F" w:rsidRPr="008C352B">
        <w:t>, które należy</w:t>
      </w:r>
      <w:r w:rsidRPr="008C352B">
        <w:t xml:space="preserve"> zastosowa</w:t>
      </w:r>
      <w:r w:rsidR="0077547F" w:rsidRPr="008C352B">
        <w:t>ć</w:t>
      </w:r>
      <w:r w:rsidRPr="008C352B">
        <w:t xml:space="preserve"> w przedmiotowej sprawie</w:t>
      </w:r>
    </w:p>
    <w:p w14:paraId="362C6D93" w14:textId="6311994A" w:rsidR="00BC5F79" w:rsidRPr="008C352B" w:rsidRDefault="00320F5A" w:rsidP="008D10C9">
      <w:pPr>
        <w:pStyle w:val="ECHRPara"/>
      </w:pPr>
      <w:r w:rsidRPr="008C352B">
        <w:t>82</w:t>
      </w:r>
      <w:r w:rsidR="00BC5F79" w:rsidRPr="008C352B">
        <w:t>.</w:t>
      </w:r>
      <w:r w:rsidR="00410690" w:rsidRPr="008C352B">
        <w:t xml:space="preserve"> </w:t>
      </w:r>
      <w:r w:rsidR="00BC5F79" w:rsidRPr="008C352B">
        <w:t xml:space="preserve">W przedmiotowej sprawie postępowanie dyscyplinarne zostało wszczęte przeciwko skarżącemu przed NRS, która ma wyłączną </w:t>
      </w:r>
      <w:r w:rsidR="00BC5F79" w:rsidRPr="008C352B">
        <w:lastRenderedPageBreak/>
        <w:t xml:space="preserve">kompetencję </w:t>
      </w:r>
      <w:r w:rsidR="0077547F" w:rsidRPr="008C352B">
        <w:rPr>
          <w:iCs/>
        </w:rPr>
        <w:t>m.</w:t>
      </w:r>
      <w:r w:rsidR="00BC5F79" w:rsidRPr="008C352B">
        <w:rPr>
          <w:iCs/>
        </w:rPr>
        <w:t>in.</w:t>
      </w:r>
      <w:r w:rsidR="00BC5F79" w:rsidRPr="008C352B">
        <w:t xml:space="preserve"> do odwoływania sędziów i w sprawach dyscyplinarnych (zob. paragrafy </w:t>
      </w:r>
      <w:r w:rsidR="009E5694" w:rsidRPr="008C352B">
        <w:t>36</w:t>
      </w:r>
      <w:r w:rsidR="00BC5F79" w:rsidRPr="008C352B">
        <w:t xml:space="preserve"> i </w:t>
      </w:r>
      <w:r w:rsidR="009E5694" w:rsidRPr="008C352B">
        <w:t>37</w:t>
      </w:r>
      <w:r w:rsidR="00BC5F79" w:rsidRPr="008C352B">
        <w:t xml:space="preserve"> powyżej). Jako że nie </w:t>
      </w:r>
      <w:r w:rsidR="0077547F" w:rsidRPr="008C352B">
        <w:t>przysługuje rewizja</w:t>
      </w:r>
      <w:r w:rsidR="00BC5F79" w:rsidRPr="008C352B">
        <w:t xml:space="preserve"> przeciwko żadnemu działaniu, żadnej decyzji ani żadnemu zaniechaniu NRS na mocy prawa krajowego (zob. paragrafy </w:t>
      </w:r>
      <w:r w:rsidR="009E5694" w:rsidRPr="008C352B">
        <w:t>43</w:t>
      </w:r>
      <w:r w:rsidR="00BC5F79" w:rsidRPr="008C352B">
        <w:t xml:space="preserve"> i </w:t>
      </w:r>
      <w:r w:rsidR="009E5694" w:rsidRPr="008C352B">
        <w:t>44</w:t>
      </w:r>
      <w:r w:rsidR="00BC5F79" w:rsidRPr="008C352B">
        <w:t xml:space="preserve"> powyżej), decyzja NRS o</w:t>
      </w:r>
      <w:r w:rsidR="00A16BDA">
        <w:t> </w:t>
      </w:r>
      <w:r w:rsidR="00BC5F79" w:rsidRPr="008C352B">
        <w:t>usunięciu skarżącego z urzędu była prawomocna.</w:t>
      </w:r>
    </w:p>
    <w:p w14:paraId="61747F1C" w14:textId="353284E6" w:rsidR="00BC5F79" w:rsidRPr="008C352B" w:rsidRDefault="00320F5A" w:rsidP="008D10C9">
      <w:pPr>
        <w:pStyle w:val="ECHRPara"/>
        <w:rPr>
          <w:color w:val="000000"/>
        </w:rPr>
      </w:pPr>
      <w:r w:rsidRPr="008C352B">
        <w:t>83</w:t>
      </w:r>
      <w:r w:rsidR="00BC5F79" w:rsidRPr="008C352B">
        <w:t>.</w:t>
      </w:r>
      <w:r w:rsidR="00410690" w:rsidRPr="008C352B">
        <w:t xml:space="preserve"> </w:t>
      </w:r>
      <w:r w:rsidR="0077547F" w:rsidRPr="008C352B">
        <w:t xml:space="preserve">Argumenty </w:t>
      </w:r>
      <w:r w:rsidR="00BC5F79" w:rsidRPr="008C352B">
        <w:t xml:space="preserve">podnoszone </w:t>
      </w:r>
      <w:r w:rsidR="00BC5F79" w:rsidRPr="008C352B">
        <w:rPr>
          <w:color w:val="000000"/>
        </w:rPr>
        <w:t xml:space="preserve">zarówno przez Rząd jak i przez skarżącego </w:t>
      </w:r>
      <w:r w:rsidR="007A69CB">
        <w:rPr>
          <w:color w:val="000000"/>
        </w:rPr>
        <w:t>opierają się</w:t>
      </w:r>
      <w:r w:rsidR="00BC5F79" w:rsidRPr="008C352B">
        <w:rPr>
          <w:color w:val="000000"/>
        </w:rPr>
        <w:t xml:space="preserve"> na założeniu, że skarżący nie miał dostępu do sądu, ponieważ nie mógł ubiegać się o rewizję decyzji NRS.</w:t>
      </w:r>
    </w:p>
    <w:p w14:paraId="4D3D45CA" w14:textId="2F64B7B4" w:rsidR="00BC5F79" w:rsidRPr="008C352B" w:rsidRDefault="00320F5A" w:rsidP="008D10C9">
      <w:pPr>
        <w:pStyle w:val="ECHRPara"/>
        <w:rPr>
          <w:color w:val="000000"/>
        </w:rPr>
      </w:pPr>
      <w:r w:rsidRPr="008C352B">
        <w:rPr>
          <w:color w:val="000000"/>
        </w:rPr>
        <w:t>84</w:t>
      </w:r>
      <w:r w:rsidR="00BC5F79" w:rsidRPr="008C352B">
        <w:rPr>
          <w:color w:val="000000"/>
        </w:rPr>
        <w:t>.</w:t>
      </w:r>
      <w:r w:rsidR="00410690" w:rsidRPr="008C352B">
        <w:rPr>
          <w:color w:val="000000"/>
        </w:rPr>
        <w:t xml:space="preserve"> </w:t>
      </w:r>
      <w:r w:rsidR="00BC5F79" w:rsidRPr="008C352B">
        <w:rPr>
          <w:color w:val="000000"/>
        </w:rPr>
        <w:t>Trybunał jednakże stwierdz</w:t>
      </w:r>
      <w:r w:rsidR="0077547F" w:rsidRPr="008C352B">
        <w:rPr>
          <w:color w:val="000000"/>
        </w:rPr>
        <w:t>a</w:t>
      </w:r>
      <w:r w:rsidR="00BC5F79" w:rsidRPr="008C352B">
        <w:rPr>
          <w:color w:val="000000"/>
        </w:rPr>
        <w:t>, że sam fakt</w:t>
      </w:r>
      <w:r w:rsidR="0077547F" w:rsidRPr="008C352B">
        <w:rPr>
          <w:color w:val="000000"/>
        </w:rPr>
        <w:t>,</w:t>
      </w:r>
      <w:r w:rsidR="00BC5F79" w:rsidRPr="008C352B">
        <w:rPr>
          <w:color w:val="000000"/>
        </w:rPr>
        <w:t xml:space="preserve"> iż nie była możliwa rewizja decyzji NRS</w:t>
      </w:r>
      <w:r w:rsidR="0077547F" w:rsidRPr="008C352B">
        <w:rPr>
          <w:color w:val="000000"/>
        </w:rPr>
        <w:t>,</w:t>
      </w:r>
      <w:r w:rsidR="00BC5F79" w:rsidRPr="008C352B">
        <w:rPr>
          <w:color w:val="000000"/>
        </w:rPr>
        <w:t xml:space="preserve"> nie oznacza koniecznie, że skarżący nie miał dostępu do sądu w rozumieniu testu </w:t>
      </w:r>
      <w:proofErr w:type="spellStart"/>
      <w:r w:rsidR="00BC5F79" w:rsidRPr="008C352B">
        <w:rPr>
          <w:i/>
          <w:iCs/>
          <w:color w:val="000000"/>
        </w:rPr>
        <w:t>Eskelinen</w:t>
      </w:r>
      <w:proofErr w:type="spellEnd"/>
      <w:r w:rsidR="00BC5F79" w:rsidRPr="008C352B">
        <w:rPr>
          <w:color w:val="000000"/>
        </w:rPr>
        <w:t>.</w:t>
      </w:r>
    </w:p>
    <w:p w14:paraId="42AB3072" w14:textId="5FAD4A5F" w:rsidR="00BC5F79" w:rsidRPr="008C352B" w:rsidRDefault="00320F5A" w:rsidP="008D10C9">
      <w:pPr>
        <w:pStyle w:val="ECHRPara"/>
      </w:pPr>
      <w:r w:rsidRPr="008C352B">
        <w:rPr>
          <w:color w:val="000000"/>
        </w:rPr>
        <w:t>85</w:t>
      </w:r>
      <w:r w:rsidR="00BC5F79" w:rsidRPr="008C352B">
        <w:rPr>
          <w:color w:val="000000"/>
        </w:rPr>
        <w:t>.</w:t>
      </w:r>
      <w:r w:rsidR="00410690" w:rsidRPr="008C352B">
        <w:rPr>
          <w:color w:val="000000"/>
        </w:rPr>
        <w:t xml:space="preserve"> </w:t>
      </w:r>
      <w:r w:rsidR="00BC5F79" w:rsidRPr="008C352B">
        <w:rPr>
          <w:color w:val="000000"/>
        </w:rPr>
        <w:t xml:space="preserve">Zgodnie z dominującym podejściem przyjętym w orzecznictwie wspomnianym powyżej (zob. paragrafy </w:t>
      </w:r>
      <w:r w:rsidR="009E5694" w:rsidRPr="008C352B">
        <w:t>75</w:t>
      </w:r>
      <w:r w:rsidR="00BC5F79" w:rsidRPr="008C352B">
        <w:rPr>
          <w:color w:val="000000"/>
        </w:rPr>
        <w:t>-</w:t>
      </w:r>
      <w:r w:rsidR="009E5694" w:rsidRPr="008C352B">
        <w:t>79</w:t>
      </w:r>
      <w:r w:rsidR="00BC5F79" w:rsidRPr="008C352B">
        <w:rPr>
          <w:color w:val="000000"/>
        </w:rPr>
        <w:t xml:space="preserve"> powyżej), Trybunał, decydując</w:t>
      </w:r>
      <w:r w:rsidR="0077547F" w:rsidRPr="008C352B">
        <w:rPr>
          <w:color w:val="000000"/>
        </w:rPr>
        <w:t>,</w:t>
      </w:r>
      <w:r w:rsidR="00BC5F79" w:rsidRPr="008C352B">
        <w:rPr>
          <w:color w:val="000000"/>
        </w:rPr>
        <w:t xml:space="preserve"> czy pierwszy warunek testu </w:t>
      </w:r>
      <w:proofErr w:type="spellStart"/>
      <w:r w:rsidR="00BC5F79" w:rsidRPr="008C352B">
        <w:rPr>
          <w:i/>
          <w:iCs/>
          <w:color w:val="000000"/>
        </w:rPr>
        <w:t>Eskelinen</w:t>
      </w:r>
      <w:proofErr w:type="spellEnd"/>
      <w:r w:rsidR="00BC5F79" w:rsidRPr="008C352B">
        <w:rPr>
          <w:color w:val="000000"/>
        </w:rPr>
        <w:t xml:space="preserve"> został spełniony, powinien rozważyć, czy dany organ dyscyplinarny kwalifikuje się jako „sąd” na potrzeby testu</w:t>
      </w:r>
      <w:r w:rsidR="00BC5F79" w:rsidRPr="008C352B">
        <w:rPr>
          <w:i/>
          <w:iCs/>
        </w:rPr>
        <w:t>.</w:t>
      </w:r>
      <w:r w:rsidR="00BC5F79" w:rsidRPr="008C352B">
        <w:t xml:space="preserve"> W tym celu Trybunał przeanalizuje, czy organ dyscyplinarny wykonywał funkcje sądowe i przeanalizuje charakter przedmiotowego postępowania.</w:t>
      </w:r>
    </w:p>
    <w:p w14:paraId="3C6E6BFE" w14:textId="17D5EDFC" w:rsidR="00BC5F79" w:rsidRPr="008C352B" w:rsidRDefault="00320F5A" w:rsidP="008D10C9">
      <w:pPr>
        <w:pStyle w:val="ECHRPara"/>
        <w:rPr>
          <w:snapToGrid w:val="0"/>
        </w:rPr>
      </w:pPr>
      <w:r w:rsidRPr="008C352B">
        <w:rPr>
          <w:color w:val="000000"/>
        </w:rPr>
        <w:t>86</w:t>
      </w:r>
      <w:r w:rsidR="00BC5F79" w:rsidRPr="008C352B">
        <w:rPr>
          <w:color w:val="000000"/>
        </w:rPr>
        <w:t>.</w:t>
      </w:r>
      <w:r w:rsidR="00410690" w:rsidRPr="008C352B">
        <w:rPr>
          <w:color w:val="000000"/>
        </w:rPr>
        <w:t xml:space="preserve"> </w:t>
      </w:r>
      <w:r w:rsidR="00BC5F79" w:rsidRPr="008C352B">
        <w:rPr>
          <w:color w:val="000000"/>
        </w:rPr>
        <w:t>NRS</w:t>
      </w:r>
      <w:r w:rsidR="00BC5F79" w:rsidRPr="008C352B">
        <w:t xml:space="preserve"> składa się z</w:t>
      </w:r>
      <w:r w:rsidR="0077547F" w:rsidRPr="008C352B">
        <w:t>e</w:t>
      </w:r>
      <w:r w:rsidR="00BC5F79" w:rsidRPr="008C352B">
        <w:t xml:space="preserve"> wszystkich trzynastu sędziów Sądu Najwyższego.</w:t>
      </w:r>
      <w:r w:rsidR="00BC5F79" w:rsidRPr="008C352B">
        <w:rPr>
          <w:snapToGrid w:val="0"/>
        </w:rPr>
        <w:t xml:space="preserve"> Zgodnie z </w:t>
      </w:r>
      <w:r w:rsidR="009E5694" w:rsidRPr="008C352B">
        <w:rPr>
          <w:snapToGrid w:val="0"/>
        </w:rPr>
        <w:t>art.</w:t>
      </w:r>
      <w:r w:rsidR="00BC5F79" w:rsidRPr="008C352B">
        <w:rPr>
          <w:snapToGrid w:val="0"/>
        </w:rPr>
        <w:t xml:space="preserve"> 153 </w:t>
      </w:r>
      <w:r w:rsidR="00BC5F79" w:rsidRPr="008C352B">
        <w:rPr>
          <w:color w:val="000000"/>
        </w:rPr>
        <w:t xml:space="preserve">§ </w:t>
      </w:r>
      <w:r w:rsidR="00BC5F79" w:rsidRPr="008C352B">
        <w:rPr>
          <w:snapToGrid w:val="0"/>
        </w:rPr>
        <w:t>8 Konstytucji postępowanie przed NRS ma charakter sądowy, a dany sędzia ma prawo do bycia wysłuchanym i do przedstawienia swojej sprawy w tym celu. Praktyka i zasady proceduralne, jakich należy przestrzegać w ramach postępowań dyscyplinarnych przeciwko sędziom</w:t>
      </w:r>
      <w:r w:rsidR="0077547F" w:rsidRPr="008C352B">
        <w:rPr>
          <w:snapToGrid w:val="0"/>
        </w:rPr>
        <w:t>,</w:t>
      </w:r>
      <w:r w:rsidR="00BC5F79" w:rsidRPr="008C352B">
        <w:rPr>
          <w:snapToGrid w:val="0"/>
        </w:rPr>
        <w:t xml:space="preserve"> określone są szczegółowo we właściwych zasadach proceduralnych. Zasada 13</w:t>
      </w:r>
      <w:r w:rsidR="00BC5F79" w:rsidRPr="008C352B">
        <w:t xml:space="preserve"> gwarantuje sędziemu, przeciwko któremu wszczęto postępowanie, wszelkie prawa, o których mowa w </w:t>
      </w:r>
      <w:r w:rsidR="009E5694" w:rsidRPr="008C352B">
        <w:t>art.</w:t>
      </w:r>
      <w:r w:rsidR="00BC5F79" w:rsidRPr="008C352B">
        <w:t xml:space="preserve"> 12 </w:t>
      </w:r>
      <w:r w:rsidR="00BC5F79" w:rsidRPr="008C352B">
        <w:rPr>
          <w:color w:val="000000"/>
        </w:rPr>
        <w:t xml:space="preserve">§ </w:t>
      </w:r>
      <w:r w:rsidR="00BC5F79" w:rsidRPr="008C352B">
        <w:t xml:space="preserve">5 i </w:t>
      </w:r>
      <w:r w:rsidR="009E5694" w:rsidRPr="008C352B">
        <w:t>art.</w:t>
      </w:r>
      <w:r w:rsidR="00BC5F79" w:rsidRPr="008C352B">
        <w:t xml:space="preserve"> 30 Konstytucji, które zapewniają gwarancje </w:t>
      </w:r>
      <w:r w:rsidR="007A69CB" w:rsidRPr="008C352B">
        <w:t xml:space="preserve">tożsame </w:t>
      </w:r>
      <w:r w:rsidR="00BC5F79" w:rsidRPr="008C352B">
        <w:t xml:space="preserve">do zapewnianych w </w:t>
      </w:r>
      <w:r w:rsidR="009E5694" w:rsidRPr="008C352B">
        <w:t>art.</w:t>
      </w:r>
      <w:r w:rsidR="00BC5F79" w:rsidRPr="008C352B">
        <w:t xml:space="preserve"> 6 </w:t>
      </w:r>
      <w:r w:rsidR="007A69CB">
        <w:t xml:space="preserve">ust. </w:t>
      </w:r>
      <w:r w:rsidR="00BC5F79" w:rsidRPr="008C352B">
        <w:t xml:space="preserve">1, 2 i 3 Konwencji (zob. paragrafy </w:t>
      </w:r>
      <w:r w:rsidR="009E5694" w:rsidRPr="008C352B">
        <w:t>46</w:t>
      </w:r>
      <w:r w:rsidR="00BC5F79" w:rsidRPr="008C352B">
        <w:t xml:space="preserve"> i </w:t>
      </w:r>
      <w:r w:rsidR="009E5694" w:rsidRPr="008C352B">
        <w:t>47</w:t>
      </w:r>
      <w:r w:rsidR="00BC5F79" w:rsidRPr="008C352B">
        <w:t xml:space="preserve"> powyżej). NRS </w:t>
      </w:r>
      <w:r w:rsidR="00BC5F79" w:rsidRPr="008C352B">
        <w:rPr>
          <w:snapToGrid w:val="0"/>
        </w:rPr>
        <w:t xml:space="preserve">przeprowadza rozprawy, wzywa i przesłuchuje świadków, analizuje dowody i </w:t>
      </w:r>
      <w:r w:rsidR="005934C3" w:rsidRPr="008C352B">
        <w:rPr>
          <w:snapToGrid w:val="0"/>
        </w:rPr>
        <w:t xml:space="preserve">rozstrzyga </w:t>
      </w:r>
      <w:r w:rsidR="00BC5F79" w:rsidRPr="008C352B">
        <w:rPr>
          <w:snapToGrid w:val="0"/>
        </w:rPr>
        <w:t xml:space="preserve">przedłożone </w:t>
      </w:r>
      <w:r w:rsidR="005934C3" w:rsidRPr="008C352B">
        <w:rPr>
          <w:snapToGrid w:val="0"/>
        </w:rPr>
        <w:t xml:space="preserve">jej kwestie, </w:t>
      </w:r>
      <w:r w:rsidR="00BC5F79" w:rsidRPr="008C352B">
        <w:rPr>
          <w:snapToGrid w:val="0"/>
        </w:rPr>
        <w:t xml:space="preserve">odwołując się do </w:t>
      </w:r>
      <w:r w:rsidR="005934C3" w:rsidRPr="008C352B">
        <w:rPr>
          <w:snapToGrid w:val="0"/>
        </w:rPr>
        <w:t xml:space="preserve">zasad </w:t>
      </w:r>
      <w:r w:rsidR="00BC5F79" w:rsidRPr="008C352B">
        <w:rPr>
          <w:snapToGrid w:val="0"/>
        </w:rPr>
        <w:t>prawnych.</w:t>
      </w:r>
    </w:p>
    <w:p w14:paraId="7331BC4C" w14:textId="3F54424C" w:rsidR="00BC5F79" w:rsidRPr="008C352B" w:rsidRDefault="00320F5A" w:rsidP="008D10C9">
      <w:pPr>
        <w:pStyle w:val="ECHRPara"/>
      </w:pPr>
      <w:r w:rsidRPr="008C352B">
        <w:rPr>
          <w:rFonts w:eastAsia="Times New Roman"/>
        </w:rPr>
        <w:t>87</w:t>
      </w:r>
      <w:r w:rsidR="00BC5F79" w:rsidRPr="008C352B">
        <w:t>.</w:t>
      </w:r>
      <w:r w:rsidR="00410690" w:rsidRPr="008C352B">
        <w:t xml:space="preserve"> </w:t>
      </w:r>
      <w:r w:rsidR="00BC5F79" w:rsidRPr="008C352B">
        <w:t>W opisanych okolicznościach Trybunał stwierdza</w:t>
      </w:r>
      <w:r w:rsidR="005934C3" w:rsidRPr="008C352B">
        <w:t xml:space="preserve"> na potrzeby testu </w:t>
      </w:r>
      <w:proofErr w:type="spellStart"/>
      <w:r w:rsidR="005934C3" w:rsidRPr="008C352B">
        <w:rPr>
          <w:i/>
          <w:iCs/>
        </w:rPr>
        <w:t>Eskelinen</w:t>
      </w:r>
      <w:proofErr w:type="spellEnd"/>
      <w:r w:rsidR="00BC5F79" w:rsidRPr="008C352B">
        <w:t>, że postępowanie dyscyplinarne było prowadzone przez sąd.</w:t>
      </w:r>
    </w:p>
    <w:p w14:paraId="5611A552" w14:textId="77AEBD4D" w:rsidR="00BC5F79" w:rsidRPr="008C352B" w:rsidRDefault="00320F5A" w:rsidP="008D10C9">
      <w:pPr>
        <w:pStyle w:val="ECHRPara"/>
      </w:pPr>
      <w:r w:rsidRPr="008C352B">
        <w:t>88</w:t>
      </w:r>
      <w:r w:rsidR="00BC5F79" w:rsidRPr="008C352B">
        <w:t>.</w:t>
      </w:r>
      <w:r w:rsidR="00410690" w:rsidRPr="008C352B">
        <w:t xml:space="preserve"> </w:t>
      </w:r>
      <w:r w:rsidR="00BC5F79" w:rsidRPr="008C352B">
        <w:t xml:space="preserve">Z tego wynika, że pierwszy warunek testu </w:t>
      </w:r>
      <w:proofErr w:type="spellStart"/>
      <w:r w:rsidR="00BC5F79" w:rsidRPr="008C352B">
        <w:rPr>
          <w:i/>
          <w:iCs/>
        </w:rPr>
        <w:t>Eskelinen</w:t>
      </w:r>
      <w:proofErr w:type="spellEnd"/>
      <w:r w:rsidR="00BC5F79" w:rsidRPr="008C352B">
        <w:t xml:space="preserve"> nie został spełniony. A zatem, jako że oba warunki testu muszą być spełnione</w:t>
      </w:r>
      <w:r w:rsidR="005934C3" w:rsidRPr="008C352B">
        <w:t>,</w:t>
      </w:r>
      <w:r w:rsidR="00BC5F79" w:rsidRPr="008C352B">
        <w:t xml:space="preserve"> aby</w:t>
      </w:r>
      <w:r w:rsidR="00A16BDA">
        <w:t> </w:t>
      </w:r>
      <w:r w:rsidR="009E5694" w:rsidRPr="008C352B">
        <w:t>art.</w:t>
      </w:r>
      <w:r w:rsidR="00A16BDA">
        <w:t> </w:t>
      </w:r>
      <w:r w:rsidR="00BC5F79" w:rsidRPr="008C352B">
        <w:t xml:space="preserve">6 nie miał zastosowania do postępowania dyscyplinarnego, nie ma potrzeby rozważać drugiego warunku testu, a </w:t>
      </w:r>
      <w:r w:rsidR="009E5694" w:rsidRPr="008C352B">
        <w:t xml:space="preserve">art. </w:t>
      </w:r>
      <w:r w:rsidR="00867BEC" w:rsidRPr="008C352B">
        <w:t>6 ust. 1</w:t>
      </w:r>
      <w:r w:rsidR="00BC5F79" w:rsidRPr="008C352B">
        <w:t xml:space="preserve"> Konwencji ma zastosowanie w swoim aspekcie cywilnym do postępowania dyscyplinarnego przeciwko skarżącemu.</w:t>
      </w:r>
    </w:p>
    <w:p w14:paraId="7E002269" w14:textId="30CE360B" w:rsidR="00BC5F79" w:rsidRPr="008C352B" w:rsidRDefault="00BC5F79" w:rsidP="008D10C9">
      <w:pPr>
        <w:pStyle w:val="ECHRHeading3"/>
      </w:pPr>
      <w:r w:rsidRPr="008C352B">
        <w:t>3.</w:t>
      </w:r>
      <w:r w:rsidR="00410690" w:rsidRPr="008C352B">
        <w:t xml:space="preserve"> </w:t>
      </w:r>
      <w:r w:rsidRPr="008C352B">
        <w:t>Inne kwestie dotyczące dopuszczalności</w:t>
      </w:r>
    </w:p>
    <w:p w14:paraId="66351E5D" w14:textId="55C33212" w:rsidR="00BC5F79" w:rsidRPr="008C352B" w:rsidRDefault="00320F5A" w:rsidP="008D10C9">
      <w:pPr>
        <w:pStyle w:val="ECHRPara"/>
      </w:pPr>
      <w:r w:rsidRPr="008C352B">
        <w:t>89</w:t>
      </w:r>
      <w:r w:rsidR="00BC5F79" w:rsidRPr="008C352B">
        <w:t>.</w:t>
      </w:r>
      <w:r w:rsidR="00410690" w:rsidRPr="008C352B">
        <w:t xml:space="preserve"> </w:t>
      </w:r>
      <w:r w:rsidR="00BC5F79" w:rsidRPr="008C352B">
        <w:t xml:space="preserve">Trybunał stwierdza, że skarga nie jest </w:t>
      </w:r>
      <w:r w:rsidR="00087DC9" w:rsidRPr="008C352B">
        <w:t xml:space="preserve">w sposób oczywisty nieuzasadniona </w:t>
      </w:r>
      <w:r w:rsidR="00BC5F79" w:rsidRPr="008C352B">
        <w:t>w rozumieniu art. 35 ust. 3</w:t>
      </w:r>
      <w:r w:rsidR="009E5694" w:rsidRPr="008C352B">
        <w:t xml:space="preserve"> lit. a</w:t>
      </w:r>
      <w:r w:rsidR="00BC5F79" w:rsidRPr="008C352B">
        <w:t xml:space="preserve"> Konwencji. Dalej stwierdza, że nie jest ona niedopuszczalna z jakichkolwiek innych przyczyn. Musi zatem być uznana za dopuszczalną.</w:t>
      </w:r>
    </w:p>
    <w:p w14:paraId="1EDAB82B" w14:textId="3C64C537" w:rsidR="00BC5F79" w:rsidRPr="008C352B" w:rsidRDefault="00BC5F79" w:rsidP="008D10C9">
      <w:pPr>
        <w:pStyle w:val="ECHRHeading2"/>
      </w:pPr>
      <w:r w:rsidRPr="008C352B">
        <w:lastRenderedPageBreak/>
        <w:t xml:space="preserve">B. </w:t>
      </w:r>
      <w:r w:rsidR="00320F5A" w:rsidRPr="008C352B">
        <w:t xml:space="preserve">Przedmiot </w:t>
      </w:r>
      <w:r w:rsidRPr="008C352B">
        <w:t>sprawy</w:t>
      </w:r>
    </w:p>
    <w:p w14:paraId="47D8100E" w14:textId="00EE9F4F" w:rsidR="00BC5F79" w:rsidRPr="008C352B" w:rsidRDefault="00BC5F79" w:rsidP="008D10C9">
      <w:pPr>
        <w:pStyle w:val="ECHRHeading3"/>
      </w:pPr>
      <w:r w:rsidRPr="008C352B">
        <w:t>1.</w:t>
      </w:r>
      <w:r w:rsidR="00410690" w:rsidRPr="008C352B">
        <w:t xml:space="preserve"> </w:t>
      </w:r>
      <w:r w:rsidRPr="008C352B">
        <w:t>Wnioski stron</w:t>
      </w:r>
    </w:p>
    <w:p w14:paraId="46ECB909" w14:textId="77777777" w:rsidR="00BC5F79" w:rsidRPr="008C352B" w:rsidRDefault="00BC5F79" w:rsidP="008D10C9">
      <w:pPr>
        <w:pStyle w:val="ECHRHeading4"/>
      </w:pPr>
      <w:r w:rsidRPr="008C352B">
        <w:t>(a) Skarżący</w:t>
      </w:r>
    </w:p>
    <w:p w14:paraId="028360D8" w14:textId="05A1259E" w:rsidR="00BC5F79" w:rsidRPr="008C352B" w:rsidRDefault="00320F5A" w:rsidP="008D10C9">
      <w:pPr>
        <w:pStyle w:val="ECHRPara"/>
      </w:pPr>
      <w:r w:rsidRPr="008C352B">
        <w:t>90</w:t>
      </w:r>
      <w:r w:rsidR="00BC5F79" w:rsidRPr="008C352B">
        <w:t>.</w:t>
      </w:r>
      <w:r w:rsidR="00410690" w:rsidRPr="008C352B">
        <w:t xml:space="preserve"> </w:t>
      </w:r>
      <w:r w:rsidR="00BC5F79" w:rsidRPr="008C352B">
        <w:t>Skarżący podniósł, że zgodnie z Zasadą 16 Zasad Proceduralnych NRS zobowiązana była wyznaczyć prokuratora, lecz tego nie zrobiła. W</w:t>
      </w:r>
      <w:r w:rsidR="00A16BDA">
        <w:t> </w:t>
      </w:r>
      <w:r w:rsidR="00BC5F79" w:rsidRPr="008C352B">
        <w:t xml:space="preserve">rezultacie sędziowie, którzy występowali jako prokuratorzy, </w:t>
      </w:r>
      <w:r w:rsidR="005934C3" w:rsidRPr="008C352B">
        <w:t xml:space="preserve">również </w:t>
      </w:r>
      <w:r w:rsidR="00BC5F79" w:rsidRPr="008C352B">
        <w:t>rozpatrywali tę sprawę, naruszając zasadę bezstronności. Wybierali świadków, których należy wezwać</w:t>
      </w:r>
      <w:r w:rsidR="005934C3" w:rsidRPr="008C352B">
        <w:t>,</w:t>
      </w:r>
      <w:r w:rsidR="00BC5F79" w:rsidRPr="008C352B">
        <w:t xml:space="preserve"> i podejmowali decyzję w sprawie sprzeciwu wniesionego przez skarżącego co do zarzutów, które sami sporządzili. W opinii skarżącego takie okoliczności stanowią najbardziej rażące naruszenie zasady sprawiedliwości naturalnej.</w:t>
      </w:r>
    </w:p>
    <w:p w14:paraId="0526F864" w14:textId="77777777" w:rsidR="00BC5F79" w:rsidRPr="008C352B" w:rsidRDefault="00BC5F79" w:rsidP="008D10C9">
      <w:pPr>
        <w:pStyle w:val="ECHRHeading4"/>
      </w:pPr>
      <w:r w:rsidRPr="008C352B">
        <w:t>(b) Rząd</w:t>
      </w:r>
    </w:p>
    <w:p w14:paraId="4313D777" w14:textId="7A761399" w:rsidR="00BC5F79" w:rsidRPr="008C352B" w:rsidRDefault="00320F5A" w:rsidP="008D10C9">
      <w:pPr>
        <w:pStyle w:val="ECHRPara"/>
      </w:pPr>
      <w:r w:rsidRPr="008C352B">
        <w:t>91</w:t>
      </w:r>
      <w:r w:rsidR="00BC5F79" w:rsidRPr="008C352B">
        <w:t>.</w:t>
      </w:r>
      <w:r w:rsidR="00410690" w:rsidRPr="008C352B">
        <w:t xml:space="preserve"> </w:t>
      </w:r>
      <w:r w:rsidR="00BC5F79" w:rsidRPr="008C352B">
        <w:t>Rząd podniósł, że Sąd Najwyższy, zgodnie z procedurą dyscyplinarną określoną w Zasadach Proceduralnych, zdecydował, po</w:t>
      </w:r>
      <w:r w:rsidR="00A16BDA">
        <w:t> </w:t>
      </w:r>
      <w:r w:rsidR="00BC5F79" w:rsidRPr="008C352B">
        <w:t xml:space="preserve">przeprowadzeniu śledztwa dyscyplinarnego, że kwestią powinna się zająć NRS. Rząd wskazał, że Trybunał </w:t>
      </w:r>
      <w:r w:rsidR="00BC5F79" w:rsidRPr="008C352B">
        <w:rPr>
          <w:color w:val="000000"/>
        </w:rPr>
        <w:t>uznał w wielu sprawach dotyczących postępowań karnych, że test, który miał być stosowany, dotyczył tego, czy w danej sprawie istniała u</w:t>
      </w:r>
      <w:r w:rsidR="00087DC9" w:rsidRPr="008C352B">
        <w:rPr>
          <w:color w:val="000000"/>
        </w:rPr>
        <w:t>prawniona</w:t>
      </w:r>
      <w:r w:rsidR="00BC5F79" w:rsidRPr="008C352B">
        <w:rPr>
          <w:color w:val="000000"/>
        </w:rPr>
        <w:t xml:space="preserve"> przyczyna</w:t>
      </w:r>
      <w:r w:rsidR="005934C3" w:rsidRPr="008C352B">
        <w:rPr>
          <w:color w:val="000000"/>
        </w:rPr>
        <w:t>,</w:t>
      </w:r>
      <w:r w:rsidR="00BC5F79" w:rsidRPr="008C352B">
        <w:rPr>
          <w:color w:val="000000"/>
        </w:rPr>
        <w:t xml:space="preserve"> by</w:t>
      </w:r>
      <w:r w:rsidR="00A16BDA">
        <w:rPr>
          <w:color w:val="000000"/>
        </w:rPr>
        <w:t> </w:t>
      </w:r>
      <w:r w:rsidR="00BC5F79" w:rsidRPr="008C352B">
        <w:rPr>
          <w:color w:val="000000"/>
        </w:rPr>
        <w:t>obawiać się o brak bezstronności sądu</w:t>
      </w:r>
      <w:r w:rsidR="005934C3" w:rsidRPr="008C352B">
        <w:rPr>
          <w:color w:val="000000"/>
        </w:rPr>
        <w:t>,</w:t>
      </w:r>
      <w:r w:rsidR="00BC5F79" w:rsidRPr="008C352B">
        <w:rPr>
          <w:color w:val="000000"/>
        </w:rPr>
        <w:t xml:space="preserve"> oraz że stanowisko oskarżonego było istotne, lecz nie decydujące. Trybunał przeanalizował, czy istniały obiektywne p</w:t>
      </w:r>
      <w:r w:rsidR="005934C3" w:rsidRPr="008C352B">
        <w:rPr>
          <w:color w:val="000000"/>
        </w:rPr>
        <w:t>owody</w:t>
      </w:r>
      <w:r w:rsidR="00BC5F79" w:rsidRPr="008C352B">
        <w:rPr>
          <w:color w:val="000000"/>
        </w:rPr>
        <w:t xml:space="preserve"> d</w:t>
      </w:r>
      <w:r w:rsidR="005934C3" w:rsidRPr="008C352B">
        <w:rPr>
          <w:color w:val="000000"/>
        </w:rPr>
        <w:t>o</w:t>
      </w:r>
      <w:r w:rsidR="00BC5F79" w:rsidRPr="008C352B">
        <w:rPr>
          <w:color w:val="000000"/>
        </w:rPr>
        <w:t xml:space="preserve"> tego, by skarżący mógł się obawiać, że</w:t>
      </w:r>
      <w:r w:rsidR="00A16BDA">
        <w:rPr>
          <w:color w:val="000000"/>
        </w:rPr>
        <w:t> </w:t>
      </w:r>
      <w:r w:rsidR="00BC5F79" w:rsidRPr="008C352B">
        <w:rPr>
          <w:color w:val="000000"/>
        </w:rPr>
        <w:t>przedmiotowy sąd mógłby wykazać się stronniczością lub uprzedzeniami w odniesieniu do decyzji, jaką miał obowiązek wydać. A zatem sytuacja, która mogła powodować wątpliwości po stronie oskarżonego, nie</w:t>
      </w:r>
      <w:r w:rsidR="005934C3" w:rsidRPr="008C352B">
        <w:rPr>
          <w:color w:val="000000"/>
        </w:rPr>
        <w:t>koniecznie</w:t>
      </w:r>
      <w:r w:rsidR="00BC5F79" w:rsidRPr="008C352B">
        <w:rPr>
          <w:color w:val="000000"/>
        </w:rPr>
        <w:t xml:space="preserve"> </w:t>
      </w:r>
      <w:r w:rsidR="002C5A87" w:rsidRPr="008C352B">
        <w:rPr>
          <w:color w:val="000000"/>
        </w:rPr>
        <w:t>musi</w:t>
      </w:r>
      <w:r w:rsidR="00BC5F79" w:rsidRPr="008C352B">
        <w:rPr>
          <w:color w:val="000000"/>
        </w:rPr>
        <w:t xml:space="preserve"> być traktowana jako obiektywnie uzasadniona (bazując na sprawie </w:t>
      </w:r>
      <w:proofErr w:type="spellStart"/>
      <w:r w:rsidR="00BC5F79" w:rsidRPr="008C352B">
        <w:rPr>
          <w:i/>
          <w:iCs/>
        </w:rPr>
        <w:t>Hauschildt</w:t>
      </w:r>
      <w:proofErr w:type="spellEnd"/>
      <w:r w:rsidR="00BC5F79" w:rsidRPr="008C352B">
        <w:rPr>
          <w:i/>
          <w:iCs/>
        </w:rPr>
        <w:t xml:space="preserve"> przeciwko Danii</w:t>
      </w:r>
      <w:r w:rsidR="00BC5F79" w:rsidRPr="008C352B">
        <w:t>, 24 maja 1989 r.,</w:t>
      </w:r>
      <w:r w:rsidR="00410690" w:rsidRPr="008C352B">
        <w:t xml:space="preserve"> </w:t>
      </w:r>
      <w:r w:rsidR="00BC5F79" w:rsidRPr="008C352B">
        <w:t>§49, Seria A nr 154). Zależało to od okoliczności danej sprawy (</w:t>
      </w:r>
      <w:proofErr w:type="spellStart"/>
      <w:r w:rsidR="00BC5F79" w:rsidRPr="008C352B">
        <w:t>ibid</w:t>
      </w:r>
      <w:proofErr w:type="spellEnd"/>
      <w:r w:rsidR="00BC5F79" w:rsidRPr="008C352B">
        <w:t>). Sam fakt</w:t>
      </w:r>
      <w:r w:rsidR="002C5A87" w:rsidRPr="008C352B">
        <w:t>,</w:t>
      </w:r>
      <w:r w:rsidR="00BC5F79" w:rsidRPr="008C352B">
        <w:t xml:space="preserve"> że ten sam sąd podejmował również przed</w:t>
      </w:r>
      <w:r w:rsidR="002C5A87" w:rsidRPr="008C352B">
        <w:t>procesowe</w:t>
      </w:r>
      <w:r w:rsidR="00BC5F79" w:rsidRPr="008C352B">
        <w:t xml:space="preserve"> decyzje w sprawie</w:t>
      </w:r>
      <w:r w:rsidR="00F75585" w:rsidRPr="008C352B">
        <w:t>,</w:t>
      </w:r>
      <w:r w:rsidR="00BC5F79" w:rsidRPr="008C352B">
        <w:t xml:space="preserve"> nie był samodzielnie wystarczający</w:t>
      </w:r>
      <w:r w:rsidR="002C5A87" w:rsidRPr="008C352B">
        <w:t>,</w:t>
      </w:r>
      <w:r w:rsidR="00BC5F79" w:rsidRPr="008C352B">
        <w:t xml:space="preserve"> by uzasadnić obawy dotyczące </w:t>
      </w:r>
      <w:r w:rsidR="002C5A87" w:rsidRPr="008C352B">
        <w:t xml:space="preserve">jego </w:t>
      </w:r>
      <w:r w:rsidR="00BC5F79" w:rsidRPr="008C352B">
        <w:t xml:space="preserve">bezstronności (na podstawie sprawy </w:t>
      </w:r>
      <w:r w:rsidR="00BC5F79" w:rsidRPr="008C352B">
        <w:rPr>
          <w:i/>
          <w:iCs/>
        </w:rPr>
        <w:t>Jasiński przeciwko Polsce</w:t>
      </w:r>
      <w:r w:rsidR="00BC5F79" w:rsidRPr="008C352B">
        <w:t>, nr</w:t>
      </w:r>
      <w:r w:rsidR="00A16BDA">
        <w:t> </w:t>
      </w:r>
      <w:r w:rsidR="00BC5F79" w:rsidRPr="008C352B">
        <w:t xml:space="preserve">30865/96, §§ 55-58, 20 grudnia 2005 r.; </w:t>
      </w:r>
      <w:proofErr w:type="spellStart"/>
      <w:r w:rsidR="00BC5F79" w:rsidRPr="008C352B">
        <w:rPr>
          <w:i/>
          <w:iCs/>
        </w:rPr>
        <w:t>Tierce</w:t>
      </w:r>
      <w:proofErr w:type="spellEnd"/>
      <w:r w:rsidR="00BC5F79" w:rsidRPr="008C352B">
        <w:rPr>
          <w:i/>
          <w:iCs/>
        </w:rPr>
        <w:t xml:space="preserve"> </w:t>
      </w:r>
      <w:r w:rsidR="003D34A6" w:rsidRPr="008C352B">
        <w:rPr>
          <w:i/>
          <w:iCs/>
        </w:rPr>
        <w:t>i Inni</w:t>
      </w:r>
      <w:r w:rsidR="002C5A87" w:rsidRPr="008C352B">
        <w:rPr>
          <w:i/>
          <w:iCs/>
        </w:rPr>
        <w:t xml:space="preserve"> </w:t>
      </w:r>
      <w:r w:rsidR="00BC5F79" w:rsidRPr="008C352B">
        <w:rPr>
          <w:i/>
          <w:iCs/>
        </w:rPr>
        <w:t>przeciwko San Marino</w:t>
      </w:r>
      <w:r w:rsidR="00BC5F79" w:rsidRPr="008C352B">
        <w:t>, nr 24954/94, 24971/94 i 24972/94, §§ 79-83, ECHR 2000</w:t>
      </w:r>
      <w:r w:rsidR="00BC5F79" w:rsidRPr="008C352B">
        <w:noBreakHyphen/>
        <w:t>IX;</w:t>
      </w:r>
      <w:r w:rsidR="00BC5F79" w:rsidRPr="008C352B">
        <w:rPr>
          <w:i/>
          <w:iCs/>
        </w:rPr>
        <w:t xml:space="preserve"> </w:t>
      </w:r>
      <w:r w:rsidR="00BC5F79" w:rsidRPr="008C352B">
        <w:t>i</w:t>
      </w:r>
      <w:r w:rsidR="00A16BDA">
        <w:t> </w:t>
      </w:r>
      <w:proofErr w:type="spellStart"/>
      <w:r w:rsidR="00BC5F79" w:rsidRPr="008C352B">
        <w:rPr>
          <w:i/>
          <w:iCs/>
        </w:rPr>
        <w:t>Saraiva</w:t>
      </w:r>
      <w:proofErr w:type="spellEnd"/>
      <w:r w:rsidR="00BC5F79" w:rsidRPr="008C352B">
        <w:rPr>
          <w:i/>
          <w:iCs/>
        </w:rPr>
        <w:t xml:space="preserve"> de </w:t>
      </w:r>
      <w:proofErr w:type="spellStart"/>
      <w:r w:rsidR="00BC5F79" w:rsidRPr="008C352B">
        <w:rPr>
          <w:i/>
          <w:iCs/>
        </w:rPr>
        <w:t>Carvalho</w:t>
      </w:r>
      <w:proofErr w:type="spellEnd"/>
      <w:r w:rsidR="00BC5F79" w:rsidRPr="008C352B">
        <w:rPr>
          <w:i/>
          <w:iCs/>
        </w:rPr>
        <w:t xml:space="preserve"> przeciwko Portugalii</w:t>
      </w:r>
      <w:r w:rsidR="00BC5F79" w:rsidRPr="008C352B">
        <w:t>, 22 kwietnia 1994 r., §§ 35-40, Seria A nr 286</w:t>
      </w:r>
      <w:r w:rsidR="00BC5F79" w:rsidRPr="008C352B">
        <w:noBreakHyphen/>
        <w:t>B).</w:t>
      </w:r>
    </w:p>
    <w:p w14:paraId="6B3DD77A" w14:textId="485F0004" w:rsidR="00BC5F79" w:rsidRPr="008C352B" w:rsidRDefault="00320F5A" w:rsidP="008D10C9">
      <w:pPr>
        <w:pStyle w:val="ECHRPara"/>
      </w:pPr>
      <w:r w:rsidRPr="008C352B">
        <w:t>92</w:t>
      </w:r>
      <w:r w:rsidR="00BC5F79" w:rsidRPr="008C352B">
        <w:t>.</w:t>
      </w:r>
      <w:r w:rsidR="00410690" w:rsidRPr="008C352B">
        <w:t xml:space="preserve"> </w:t>
      </w:r>
      <w:r w:rsidR="00BC5F79" w:rsidRPr="008C352B">
        <w:t>Zdaniem Rządu obawy skarżącego nie zostały obiektywnie uzasadnione w okolicznościach niniejszej sprawy. Nie było obiektywnych przyczyn, by obawiał się, że NRS, która wyznaczyła go na stanowisko sędziego i następnie wyznaczyła go również na stanowisko prezesa SSP, wykaże się stronniczością lub uprzedzeniami w odniesieniu do decyzji, którą ma obowiązek wydać w postępowaniu z tytułu faktu</w:t>
      </w:r>
      <w:r w:rsidR="002C5A87" w:rsidRPr="008C352B">
        <w:t>, że poprzednio podjęła decyzję</w:t>
      </w:r>
      <w:r w:rsidR="00BC5F79" w:rsidRPr="008C352B">
        <w:t xml:space="preserve"> jako Sąd Najwyższy, że kwestia zachowania skarżącego </w:t>
      </w:r>
      <w:r w:rsidR="00BC5F79" w:rsidRPr="008C352B">
        <w:lastRenderedPageBreak/>
        <w:t>powinna być dalej rozpatrywana w ramach postępowania dyscyplinarnego i</w:t>
      </w:r>
      <w:r w:rsidR="00A16BDA">
        <w:t> </w:t>
      </w:r>
      <w:r w:rsidR="00BC5F79" w:rsidRPr="008C352B">
        <w:t xml:space="preserve">sformułowała „zarzuty” przeciwko niemu. Trybunał przypomniał również, że </w:t>
      </w:r>
      <w:r w:rsidR="008640F6" w:rsidRPr="008C352B">
        <w:t xml:space="preserve">nie jest </w:t>
      </w:r>
      <w:r w:rsidR="00BC5F79" w:rsidRPr="008C352B">
        <w:t>jego zadaniem analiza właściwego prawa oraz praktyk</w:t>
      </w:r>
      <w:r w:rsidR="00F75585" w:rsidRPr="008C352B">
        <w:t>i</w:t>
      </w:r>
      <w:r w:rsidR="00BC5F79" w:rsidRPr="008C352B">
        <w:t xml:space="preserve"> </w:t>
      </w:r>
      <w:r w:rsidR="00BC5F79" w:rsidRPr="008C352B">
        <w:rPr>
          <w:i/>
          <w:iCs/>
        </w:rPr>
        <w:t>in</w:t>
      </w:r>
      <w:r w:rsidR="00A16BDA">
        <w:rPr>
          <w:i/>
          <w:iCs/>
        </w:rPr>
        <w:t> </w:t>
      </w:r>
      <w:r w:rsidR="00BC5F79" w:rsidRPr="008C352B">
        <w:rPr>
          <w:i/>
          <w:iCs/>
        </w:rPr>
        <w:t>abstracto</w:t>
      </w:r>
      <w:r w:rsidR="00BC5F79" w:rsidRPr="008C352B">
        <w:t>.</w:t>
      </w:r>
    </w:p>
    <w:p w14:paraId="3E80410E" w14:textId="05784278" w:rsidR="00BC5F79" w:rsidRPr="008C352B" w:rsidRDefault="00320F5A" w:rsidP="008D10C9">
      <w:pPr>
        <w:pStyle w:val="ECHRPara"/>
      </w:pPr>
      <w:r w:rsidRPr="008C352B">
        <w:t>93</w:t>
      </w:r>
      <w:r w:rsidR="00BC5F79" w:rsidRPr="008C352B">
        <w:t>.</w:t>
      </w:r>
      <w:r w:rsidR="00410690" w:rsidRPr="008C352B">
        <w:t xml:space="preserve"> </w:t>
      </w:r>
      <w:r w:rsidR="00BC5F79" w:rsidRPr="008C352B">
        <w:t>Rząd stwierdził, że Zasady Proceduralne odwoływały się do</w:t>
      </w:r>
      <w:r w:rsidR="00A16BDA">
        <w:t> </w:t>
      </w:r>
      <w:r w:rsidR="00BC5F79" w:rsidRPr="008C352B">
        <w:t xml:space="preserve">„dochodzenia”, do formułowania i przesłuchania na okoliczność „zarzutów” i stosowały inną terminologię typową dla postępowań karnych, tam gdzie sprawa dotyczyła </w:t>
      </w:r>
      <w:r w:rsidR="00E313D2" w:rsidRPr="008C352B">
        <w:t>uchybień</w:t>
      </w:r>
      <w:r w:rsidR="00BC5F79" w:rsidRPr="008C352B">
        <w:t xml:space="preserve"> lub popełnienia wykroczeń dyscyplinarnych przez sędziów sądów niższych</w:t>
      </w:r>
      <w:r w:rsidR="008640F6" w:rsidRPr="008C352B">
        <w:t xml:space="preserve"> instancji</w:t>
      </w:r>
      <w:r w:rsidR="00BC5F79" w:rsidRPr="008C352B">
        <w:t>. Jednakże w</w:t>
      </w:r>
      <w:r w:rsidR="00A16BDA">
        <w:t> </w:t>
      </w:r>
      <w:r w:rsidR="00BC5F79" w:rsidRPr="008C352B">
        <w:t>rzeczywistości faktyczne postępowanie miało charakter dyscyplinarny, a</w:t>
      </w:r>
      <w:r w:rsidR="00A16BDA">
        <w:t> </w:t>
      </w:r>
      <w:r w:rsidR="00BC5F79" w:rsidRPr="008C352B">
        <w:t>nie karny, i nie miało na celu ukarania skarżącego, lecz utrzymanie zaufania opinii publicznej do integralności, prestiżu i niezależności wymiaru sprawiedliwości poprzez przyjęcie ścisłych standardów zachowania sędziów. Analizując materiał przedłożony przez sędziego śledczego, rolą Sądu Najwyższego było zbadanie</w:t>
      </w:r>
      <w:r w:rsidR="008640F6" w:rsidRPr="008C352B">
        <w:t>, czy</w:t>
      </w:r>
      <w:r w:rsidR="00BC5F79" w:rsidRPr="008C352B">
        <w:t xml:space="preserve"> na po</w:t>
      </w:r>
      <w:r w:rsidR="008640F6" w:rsidRPr="008C352B">
        <w:t>dstawie poczynionych stwierdzeń</w:t>
      </w:r>
      <w:r w:rsidR="00BC5F79" w:rsidRPr="008C352B">
        <w:t xml:space="preserve"> zachowanie, którego rzekomo dopuścił się skarżący, stanowiło problem dyscyplinarny, którym należało się zająć w</w:t>
      </w:r>
      <w:r w:rsidR="00A16BDA">
        <w:t> </w:t>
      </w:r>
      <w:r w:rsidR="00BC5F79" w:rsidRPr="008C352B">
        <w:t xml:space="preserve">postępowaniu </w:t>
      </w:r>
      <w:r w:rsidR="008640F6" w:rsidRPr="008C352B">
        <w:t xml:space="preserve">procesowym </w:t>
      </w:r>
      <w:r w:rsidR="00BC5F79" w:rsidRPr="008C352B">
        <w:t>uwzględniającym zabezpieczenia proceduralne. Zatem zgodnie z prawem krajowym funkcja Sądu Najwyższego na tym etapie nie polegała na rozważeniu zeznań świadków, w tym zeznań skarżącego, ocenie ich prawdziwości, czy ocenie lub</w:t>
      </w:r>
      <w:r w:rsidR="00A16BDA">
        <w:t> </w:t>
      </w:r>
      <w:r w:rsidR="00BC5F79" w:rsidRPr="008C352B">
        <w:t>ustaleniu w jakikolwiek sposób</w:t>
      </w:r>
      <w:r w:rsidR="008640F6" w:rsidRPr="008C352B">
        <w:t>,</w:t>
      </w:r>
      <w:r w:rsidR="00BC5F79" w:rsidRPr="008C352B">
        <w:t xml:space="preserve"> czy wskazywały </w:t>
      </w:r>
      <w:r w:rsidR="008640F6" w:rsidRPr="008C352B">
        <w:t xml:space="preserve">one </w:t>
      </w:r>
      <w:r w:rsidR="00BC5F79" w:rsidRPr="008C352B">
        <w:t>na winę</w:t>
      </w:r>
      <w:r w:rsidR="007A69CB">
        <w:t xml:space="preserve"> lub</w:t>
      </w:r>
      <w:r w:rsidR="00A16BDA">
        <w:t> </w:t>
      </w:r>
      <w:r w:rsidR="00BC5F79" w:rsidRPr="008C352B">
        <w:t xml:space="preserve">podejrzenie winy. Nie polegała również na ocenie, czy </w:t>
      </w:r>
      <w:r w:rsidR="008640F6" w:rsidRPr="008C352B">
        <w:rPr>
          <w:i/>
          <w:iCs/>
        </w:rPr>
        <w:t>prima facie</w:t>
      </w:r>
      <w:r w:rsidR="008640F6" w:rsidRPr="008C352B">
        <w:t xml:space="preserve"> </w:t>
      </w:r>
      <w:r w:rsidR="00BC5F79" w:rsidRPr="008C352B">
        <w:t xml:space="preserve">istniała sprawa przeciwko skarżącemu, jako że to mogła ustalić tylko NRS, która rozpatrywała sprawę. A zatem Sąd Najwyższy nie zajmował się tymi samymi kwestiami, które następnie rozpatrywała NRS. Ocena Sądu Najwyższego, że materiał śledczy uzasadniał skierowanie </w:t>
      </w:r>
      <w:r w:rsidR="008640F6" w:rsidRPr="008C352B">
        <w:t xml:space="preserve">sprawy </w:t>
      </w:r>
      <w:r w:rsidR="00BC5F79" w:rsidRPr="008C352B">
        <w:t xml:space="preserve">skarżącego do postępowania </w:t>
      </w:r>
      <w:r w:rsidR="008640F6" w:rsidRPr="008C352B">
        <w:t xml:space="preserve">procesowego, </w:t>
      </w:r>
      <w:r w:rsidR="00BC5F79" w:rsidRPr="008C352B">
        <w:t xml:space="preserve">nie </w:t>
      </w:r>
      <w:r w:rsidR="008640F6" w:rsidRPr="008C352B">
        <w:t>była równoznaczna z</w:t>
      </w:r>
      <w:r w:rsidR="00A16BDA">
        <w:t> </w:t>
      </w:r>
      <w:r w:rsidR="008640F6" w:rsidRPr="008C352B">
        <w:t>przekazaniem przekonania</w:t>
      </w:r>
      <w:r w:rsidR="00BC5F79" w:rsidRPr="008C352B">
        <w:t xml:space="preserve">, że skarżący jest winny </w:t>
      </w:r>
      <w:r w:rsidR="00E313D2" w:rsidRPr="008C352B">
        <w:t>uchybienia</w:t>
      </w:r>
      <w:r w:rsidR="00BC5F79" w:rsidRPr="008C352B">
        <w:t xml:space="preserve"> zgodnie z</w:t>
      </w:r>
      <w:r w:rsidR="00A16BDA">
        <w:t> </w:t>
      </w:r>
      <w:r w:rsidR="00BC5F79" w:rsidRPr="008C352B">
        <w:t>zarzutem, a zatem nie można uznać, że stanowi</w:t>
      </w:r>
      <w:r w:rsidR="008640F6" w:rsidRPr="008C352B">
        <w:t>ła</w:t>
      </w:r>
      <w:r w:rsidR="00BC5F79" w:rsidRPr="008C352B">
        <w:t xml:space="preserve"> stwierdzenie winy.</w:t>
      </w:r>
    </w:p>
    <w:p w14:paraId="594C98EA" w14:textId="719AA35F" w:rsidR="00BC5F79" w:rsidRPr="008C352B" w:rsidRDefault="00320F5A" w:rsidP="008D10C9">
      <w:pPr>
        <w:pStyle w:val="ECHRPara"/>
      </w:pPr>
      <w:r w:rsidRPr="008C352B">
        <w:t>94</w:t>
      </w:r>
      <w:r w:rsidR="00BC5F79" w:rsidRPr="008C352B">
        <w:t>.</w:t>
      </w:r>
      <w:r w:rsidR="00410690" w:rsidRPr="008C352B">
        <w:t xml:space="preserve"> </w:t>
      </w:r>
      <w:r w:rsidR="00BC5F79" w:rsidRPr="008C352B">
        <w:t xml:space="preserve">Podstawową kwestią dla postępowania dyscyplinarnego, na której </w:t>
      </w:r>
      <w:r w:rsidR="006C024B" w:rsidRPr="008C352B">
        <w:t xml:space="preserve">opierała się </w:t>
      </w:r>
      <w:r w:rsidR="00BC5F79" w:rsidRPr="008C352B">
        <w:t>decyzja NRS, było to, czy świadkowie byli uczciwi, jako że obrona skarżącego przez cały czas polegała na tym, że nie mówili oni prawdy. Sąd Najwyższy nie zajmował się tą kwestią, nie przesłuchiwał żadnych osób, które przesłuchiwał sędzia śledczy. Świadkowie nie podali w</w:t>
      </w:r>
      <w:r w:rsidR="00A16BDA">
        <w:t> </w:t>
      </w:r>
      <w:r w:rsidR="00BC5F79" w:rsidRPr="008C352B">
        <w:t xml:space="preserve">swoich zeznaniach szczegółów konkretnych postępowań SSP, w których rzekomo </w:t>
      </w:r>
      <w:r w:rsidR="0046045A" w:rsidRPr="008C352B">
        <w:t xml:space="preserve">miało miejsce </w:t>
      </w:r>
      <w:r w:rsidR="00E313D2" w:rsidRPr="008C352B">
        <w:rPr>
          <w:rStyle w:val="JuParaCar"/>
        </w:rPr>
        <w:t xml:space="preserve">uchybienie w wykonywaniu funkcji sędziego </w:t>
      </w:r>
      <w:r w:rsidR="00BC5F79" w:rsidRPr="008C352B">
        <w:t>po stronie skarżącego, nie [przedłożono] również akt ani rejestrów takich postępowań Sąd</w:t>
      </w:r>
      <w:r w:rsidR="006C024B" w:rsidRPr="008C352B">
        <w:t>owi Najwyższemu</w:t>
      </w:r>
      <w:r w:rsidR="00BC5F79" w:rsidRPr="008C352B">
        <w:t xml:space="preserve"> w czasie podejmowania przez niego decyzji.</w:t>
      </w:r>
    </w:p>
    <w:p w14:paraId="6A933940" w14:textId="7D1EA459" w:rsidR="00BC5F79" w:rsidRPr="008C352B" w:rsidRDefault="00320F5A" w:rsidP="008D10C9">
      <w:pPr>
        <w:pStyle w:val="ECHRPara"/>
      </w:pPr>
      <w:r w:rsidRPr="008C352B">
        <w:t>95</w:t>
      </w:r>
      <w:r w:rsidR="00BC5F79" w:rsidRPr="008C352B">
        <w:t>.</w:t>
      </w:r>
      <w:r w:rsidR="00410690" w:rsidRPr="008C352B">
        <w:t xml:space="preserve"> </w:t>
      </w:r>
      <w:r w:rsidR="00BC5F79" w:rsidRPr="008C352B">
        <w:t>Wreszcie, Rząd wskazał, że choć zgodnie z Zasadą 16 Zasad Proceduralnych</w:t>
      </w:r>
      <w:r w:rsidR="0046045A" w:rsidRPr="008C352B">
        <w:t xml:space="preserve">  możliwe</w:t>
      </w:r>
      <w:r w:rsidR="007A69CB">
        <w:t xml:space="preserve"> </w:t>
      </w:r>
      <w:r w:rsidR="007A69CB" w:rsidRPr="008C352B">
        <w:t>było</w:t>
      </w:r>
      <w:r w:rsidR="0046045A" w:rsidRPr="008C352B">
        <w:t xml:space="preserve"> przydzielenie obowiązków</w:t>
      </w:r>
      <w:r w:rsidR="00BC5F79" w:rsidRPr="008C352B">
        <w:t xml:space="preserve"> prokura</w:t>
      </w:r>
      <w:r w:rsidR="0046045A" w:rsidRPr="008C352B">
        <w:t xml:space="preserve">torskich </w:t>
      </w:r>
      <w:r w:rsidR="00BC5F79" w:rsidRPr="008C352B">
        <w:t>sędziemu śledczemu lub innemu sędziemu na potrzeby procesu, nie</w:t>
      </w:r>
      <w:r w:rsidR="00A16BDA">
        <w:t> </w:t>
      </w:r>
      <w:r w:rsidR="00BC5F79" w:rsidRPr="008C352B">
        <w:t>uczyniono tego w niniejszej</w:t>
      </w:r>
      <w:r w:rsidR="0046045A" w:rsidRPr="008C352B">
        <w:t xml:space="preserve"> sprawie</w:t>
      </w:r>
      <w:r w:rsidR="00BC5F79" w:rsidRPr="008C352B">
        <w:t xml:space="preserve">. Według prawa krajowego skarżący </w:t>
      </w:r>
      <w:r w:rsidR="00BC5F79" w:rsidRPr="008C352B">
        <w:lastRenderedPageBreak/>
        <w:t>miał prawo do bycia wysłuchanym oraz do zadawan</w:t>
      </w:r>
      <w:r w:rsidR="0046045A" w:rsidRPr="008C352B">
        <w:t>ia pytań i przesłuchania świadków</w:t>
      </w:r>
      <w:r w:rsidR="00BC5F79" w:rsidRPr="008C352B">
        <w:t xml:space="preserve"> przed wydaniem decyzji co do tego, czy istniała sprawa </w:t>
      </w:r>
      <w:r w:rsidR="00BC5F79" w:rsidRPr="008C352B">
        <w:rPr>
          <w:i/>
          <w:iCs/>
        </w:rPr>
        <w:t>prima facie</w:t>
      </w:r>
      <w:r w:rsidR="00BC5F79" w:rsidRPr="008C352B">
        <w:t xml:space="preserve"> przeciwko niemu, oraz do przedstawiania świadków na swoją obronę. Jak również w oczywisty sposób wynika z wyroku NRS oraz protokołów z</w:t>
      </w:r>
      <w:r w:rsidR="00A16BDA">
        <w:t> </w:t>
      </w:r>
      <w:r w:rsidR="00BC5F79" w:rsidRPr="008C352B">
        <w:t xml:space="preserve">postępowania dyscyplinarnego, NRS nie przyjęła w postępowaniu żadnej roli analogicznej do organu prokuratorskiego, lecz trzymała się swojej roli </w:t>
      </w:r>
      <w:r w:rsidR="0046045A" w:rsidRPr="008C352B">
        <w:t xml:space="preserve">dyscyplinarnego </w:t>
      </w:r>
      <w:r w:rsidR="00BC5F79" w:rsidRPr="008C352B">
        <w:t xml:space="preserve">organu </w:t>
      </w:r>
      <w:r w:rsidR="0046045A" w:rsidRPr="008C352B">
        <w:t>orzekającego</w:t>
      </w:r>
      <w:r w:rsidR="00BC5F79" w:rsidRPr="008C352B">
        <w:t>, powstrzymując się od prowadzenia przesłuchań analogicznych do przesłuchań świadków zeznających przeciwko skarżącemu lub też zadawania pytań świadkom zeznającym w</w:t>
      </w:r>
      <w:r w:rsidR="00A16BDA">
        <w:t> </w:t>
      </w:r>
      <w:r w:rsidR="00BC5F79" w:rsidRPr="008C352B">
        <w:t>obronie skarżącego.</w:t>
      </w:r>
    </w:p>
    <w:p w14:paraId="2D0829D6" w14:textId="666B87B5" w:rsidR="00BC5F79" w:rsidRPr="008C352B" w:rsidRDefault="00BC5F79" w:rsidP="008D10C9">
      <w:pPr>
        <w:pStyle w:val="ECHRHeading3"/>
      </w:pPr>
      <w:r w:rsidRPr="008C352B">
        <w:t>2.</w:t>
      </w:r>
      <w:r w:rsidR="00410690" w:rsidRPr="008C352B">
        <w:t xml:space="preserve"> </w:t>
      </w:r>
      <w:r w:rsidRPr="008C352B">
        <w:t>Ocena Trybunału</w:t>
      </w:r>
    </w:p>
    <w:p w14:paraId="2D39CB90" w14:textId="57840570" w:rsidR="00BC5F79" w:rsidRPr="008C352B" w:rsidRDefault="00BC5F79" w:rsidP="008D10C9">
      <w:pPr>
        <w:pStyle w:val="ECHRHeading4"/>
      </w:pPr>
      <w:r w:rsidRPr="008C352B">
        <w:t>(a)</w:t>
      </w:r>
      <w:r w:rsidR="00410690" w:rsidRPr="008C352B">
        <w:t xml:space="preserve"> </w:t>
      </w:r>
      <w:r w:rsidRPr="008C352B">
        <w:t>Zasady ogólne usta</w:t>
      </w:r>
      <w:r w:rsidR="0046045A" w:rsidRPr="008C352B">
        <w:t>lone</w:t>
      </w:r>
      <w:r w:rsidRPr="008C352B">
        <w:t xml:space="preserve"> w orzecznictwie Trybunału</w:t>
      </w:r>
    </w:p>
    <w:p w14:paraId="1D431E78" w14:textId="18A4101D" w:rsidR="00BC5F79" w:rsidRPr="008C352B" w:rsidRDefault="00320F5A" w:rsidP="008D10C9">
      <w:pPr>
        <w:pStyle w:val="ECHRPara"/>
      </w:pPr>
      <w:r w:rsidRPr="008C352B">
        <w:t>96</w:t>
      </w:r>
      <w:r w:rsidR="00BC5F79" w:rsidRPr="008C352B">
        <w:t>.</w:t>
      </w:r>
      <w:r w:rsidR="00410690" w:rsidRPr="008C352B">
        <w:t xml:space="preserve"> </w:t>
      </w:r>
      <w:r w:rsidR="00BC5F79" w:rsidRPr="008C352B">
        <w:t>Trybunał powt</w:t>
      </w:r>
      <w:r w:rsidR="00C60E45" w:rsidRPr="008C352B">
        <w:t>arza</w:t>
      </w:r>
      <w:r w:rsidR="00BC5F79" w:rsidRPr="008C352B">
        <w:t xml:space="preserve">, że z reguły bezstronność oznacza brak uprzedzeń lub stronniczości, a jej istnienie lub </w:t>
      </w:r>
      <w:r w:rsidR="00DB56BD" w:rsidRPr="008C352B">
        <w:t xml:space="preserve">brak </w:t>
      </w:r>
      <w:r w:rsidR="00BC5F79" w:rsidRPr="008C352B">
        <w:t>mo</w:t>
      </w:r>
      <w:r w:rsidR="007A69CB">
        <w:t>gą</w:t>
      </w:r>
      <w:r w:rsidR="00BC5F79" w:rsidRPr="008C352B">
        <w:t xml:space="preserve"> być badane w różny sposób. Według ustalonego orzecznic</w:t>
      </w:r>
      <w:r w:rsidR="00DB56BD" w:rsidRPr="008C352B">
        <w:t>twa Trybunału</w:t>
      </w:r>
      <w:r w:rsidR="00BC5F79" w:rsidRPr="008C352B">
        <w:t xml:space="preserve"> istnienie bezstronności na</w:t>
      </w:r>
      <w:r w:rsidR="00A16BDA">
        <w:t> </w:t>
      </w:r>
      <w:r w:rsidR="00BC5F79" w:rsidRPr="008C352B">
        <w:t xml:space="preserve">potrzeby </w:t>
      </w:r>
      <w:r w:rsidR="009E5694" w:rsidRPr="008C352B">
        <w:t>art.</w:t>
      </w:r>
      <w:r w:rsidR="00BC5F79" w:rsidRPr="008C352B">
        <w:t xml:space="preserve"> 6 ust. 1 musi być usta</w:t>
      </w:r>
      <w:r w:rsidR="007A69CB">
        <w:t>lo</w:t>
      </w:r>
      <w:r w:rsidR="00BC5F79" w:rsidRPr="008C352B">
        <w:t>ne według testu</w:t>
      </w:r>
      <w:r w:rsidR="00DB56BD" w:rsidRPr="008C352B">
        <w:t xml:space="preserve"> subiektywnego</w:t>
      </w:r>
      <w:r w:rsidR="00BC5F79" w:rsidRPr="008C352B">
        <w:t>, gdzie należy zwrócić uwagę na osobiste przekonanie i zachowanie konkretnego sędziego, to jest, czy sędzia miał osobiste uprzedzenia lub wykazał się stronniczością w danej sprawie; a także według testu</w:t>
      </w:r>
      <w:r w:rsidR="00DB56BD" w:rsidRPr="008C352B">
        <w:t xml:space="preserve"> obiektywnego</w:t>
      </w:r>
      <w:r w:rsidR="00BC5F79" w:rsidRPr="008C352B">
        <w:t>, gdzie należy ocenić, czy sąd sam w sobie</w:t>
      </w:r>
      <w:r w:rsidR="00DB56BD" w:rsidRPr="008C352B">
        <w:t xml:space="preserve"> oraz</w:t>
      </w:r>
      <w:r w:rsidR="00BC5F79" w:rsidRPr="008C352B">
        <w:t xml:space="preserve"> m.in. jego skład, zapewnia wystarczające gwarancje, by wykluczyć</w:t>
      </w:r>
      <w:r w:rsidR="00DB56BD" w:rsidRPr="008C352B">
        <w:t xml:space="preserve"> uprawnione</w:t>
      </w:r>
      <w:r w:rsidR="00BC5F79" w:rsidRPr="008C352B">
        <w:t xml:space="preserve"> wątpliwości co do jego bezstronności (zob. </w:t>
      </w:r>
      <w:proofErr w:type="spellStart"/>
      <w:r w:rsidR="00BC5F79" w:rsidRPr="008C352B">
        <w:rPr>
          <w:i/>
          <w:iCs/>
        </w:rPr>
        <w:t>Morice</w:t>
      </w:r>
      <w:proofErr w:type="spellEnd"/>
      <w:r w:rsidR="00BC5F79" w:rsidRPr="008C352B">
        <w:rPr>
          <w:i/>
          <w:iCs/>
        </w:rPr>
        <w:t xml:space="preserve"> przeciwko Francji</w:t>
      </w:r>
      <w:r w:rsidR="00BC5F79" w:rsidRPr="008C352B">
        <w:t xml:space="preserve"> [WI], nr 29369/10, § 73, ECHR 2015, </w:t>
      </w:r>
      <w:r w:rsidR="00490683" w:rsidRPr="008C352B">
        <w:t xml:space="preserve">i </w:t>
      </w:r>
      <w:r w:rsidR="00BC5F79" w:rsidRPr="008C352B">
        <w:t>dalsze odwołania tamże).</w:t>
      </w:r>
    </w:p>
    <w:p w14:paraId="32F49C30" w14:textId="61004CC0" w:rsidR="00BC5F79" w:rsidRPr="008C352B" w:rsidRDefault="00320F5A" w:rsidP="008D10C9">
      <w:pPr>
        <w:pStyle w:val="ECHRPara"/>
        <w:rPr>
          <w:rFonts w:eastAsia="Times New Roman"/>
        </w:rPr>
      </w:pPr>
      <w:r w:rsidRPr="008C352B">
        <w:t>97</w:t>
      </w:r>
      <w:r w:rsidR="00BC5F79" w:rsidRPr="008C352B">
        <w:t>.</w:t>
      </w:r>
      <w:r w:rsidR="00410690" w:rsidRPr="008C352B">
        <w:t xml:space="preserve"> </w:t>
      </w:r>
      <w:r w:rsidR="00BC5F79" w:rsidRPr="008C352B">
        <w:t>W kwestii testu subiektywnego, zasada, że sąd musi być wolny od</w:t>
      </w:r>
      <w:r w:rsidR="00A16BDA">
        <w:t> </w:t>
      </w:r>
      <w:r w:rsidR="00BC5F79" w:rsidRPr="008C352B">
        <w:t xml:space="preserve">osobistych uprzedzeń lub stronniczości jest od dawna </w:t>
      </w:r>
      <w:r w:rsidR="00DB56BD" w:rsidRPr="008C352B">
        <w:t>u</w:t>
      </w:r>
      <w:r w:rsidR="00F75585" w:rsidRPr="008C352B">
        <w:t>gruntowana</w:t>
      </w:r>
      <w:r w:rsidR="00DB56BD" w:rsidRPr="008C352B">
        <w:t xml:space="preserve"> </w:t>
      </w:r>
      <w:r w:rsidR="00BC5F79" w:rsidRPr="008C352B">
        <w:t>w</w:t>
      </w:r>
      <w:r w:rsidR="00A16BDA">
        <w:t> </w:t>
      </w:r>
      <w:r w:rsidR="00BC5F79" w:rsidRPr="008C352B">
        <w:t>orzecznictwie Trybunału. Należy zakładać bezstronność sędziego, dopóki nie ma dowodów stwierdzających inaczej. W zakresie rodzaju wymaganego dowodu, Trybunał stara się np. stwierdzić, czy sędzia wykazał się wrogością lub złą wolą z przyczyn osobistych (ibid., § 74).</w:t>
      </w:r>
    </w:p>
    <w:p w14:paraId="6D18B8EC" w14:textId="638D54D7" w:rsidR="00BC5F79" w:rsidRPr="008C352B" w:rsidRDefault="00320F5A" w:rsidP="008D10C9">
      <w:pPr>
        <w:pStyle w:val="ECHRPara"/>
        <w:rPr>
          <w:rFonts w:eastAsia="Times New Roman"/>
        </w:rPr>
      </w:pPr>
      <w:r w:rsidRPr="008C352B">
        <w:rPr>
          <w:rFonts w:eastAsia="Times New Roman"/>
        </w:rPr>
        <w:t>98</w:t>
      </w:r>
      <w:r w:rsidR="00BC5F79" w:rsidRPr="008C352B">
        <w:t>.</w:t>
      </w:r>
      <w:r w:rsidR="00410690" w:rsidRPr="008C352B">
        <w:t xml:space="preserve"> </w:t>
      </w:r>
      <w:r w:rsidR="00BC5F79" w:rsidRPr="008C352B">
        <w:t>W znaczącej większości spraw</w:t>
      </w:r>
      <w:r w:rsidR="00DB56BD" w:rsidRPr="008C352B">
        <w:t>, w których</w:t>
      </w:r>
      <w:r w:rsidR="00BC5F79" w:rsidRPr="008C352B">
        <w:t xml:space="preserve"> podnoszono </w:t>
      </w:r>
      <w:r w:rsidR="00DB56BD" w:rsidRPr="008C352B">
        <w:t>kwestie bezstronności</w:t>
      </w:r>
      <w:r w:rsidR="00BC5F79" w:rsidRPr="008C352B">
        <w:t xml:space="preserve">, Trybunał skupiał się na teście obiektywnym. Jednakże nie istnieje ścisły podział pomiędzy bezstronnością subiektywną a obiektywną, jako że zachowanie sędziego może nie tylko wywołać </w:t>
      </w:r>
      <w:r w:rsidR="00DB56BD" w:rsidRPr="008C352B">
        <w:t xml:space="preserve">obiektywne </w:t>
      </w:r>
      <w:r w:rsidR="00BC5F79" w:rsidRPr="008C352B">
        <w:t xml:space="preserve">wątpliwości co do bezstronności z punktu widzenia zewnętrznego obserwatora (test obiektywny), lecz może też dotyczyć przekonań osobistych sędziego (test subiektywny). A zatem w niektórych przypadkach, </w:t>
      </w:r>
      <w:r w:rsidR="00DB56BD" w:rsidRPr="008C352B">
        <w:t>w których</w:t>
      </w:r>
      <w:r w:rsidR="00BC5F79" w:rsidRPr="008C352B">
        <w:t xml:space="preserve"> może być trudno przedstawić dowody, którymi można zakwestionować </w:t>
      </w:r>
      <w:r w:rsidR="00DB56BD" w:rsidRPr="008C352B">
        <w:t xml:space="preserve">domniemanie </w:t>
      </w:r>
      <w:r w:rsidR="00BC5F79" w:rsidRPr="008C352B">
        <w:t>subiektywnej bezstronności sędziego, wymóg bezstronności obiektywnej daje dalszą istotną gwarancję (ibid., §</w:t>
      </w:r>
      <w:r w:rsidR="00A16BDA">
        <w:t> </w:t>
      </w:r>
      <w:r w:rsidR="00BC5F79" w:rsidRPr="008C352B">
        <w:t>75).</w:t>
      </w:r>
    </w:p>
    <w:p w14:paraId="687B2D9E" w14:textId="58113696" w:rsidR="00BC5F79" w:rsidRPr="008C352B" w:rsidRDefault="00320F5A" w:rsidP="008D10C9">
      <w:pPr>
        <w:pStyle w:val="ECHRPara"/>
        <w:rPr>
          <w:rFonts w:eastAsia="Times New Roman"/>
        </w:rPr>
      </w:pPr>
      <w:r w:rsidRPr="008C352B">
        <w:rPr>
          <w:rFonts w:eastAsia="Times New Roman"/>
        </w:rPr>
        <w:t>99</w:t>
      </w:r>
      <w:r w:rsidR="00BC5F79" w:rsidRPr="008C352B">
        <w:t>.</w:t>
      </w:r>
      <w:r w:rsidR="00410690" w:rsidRPr="008C352B">
        <w:t xml:space="preserve"> </w:t>
      </w:r>
      <w:r w:rsidR="00BC5F79" w:rsidRPr="008C352B">
        <w:t>W kwestii testu obiektywnego należy ustalić, czy</w:t>
      </w:r>
      <w:r w:rsidR="00DB56BD" w:rsidRPr="008C352B">
        <w:t xml:space="preserve"> poza zachowaniem</w:t>
      </w:r>
      <w:r w:rsidR="00BC5F79" w:rsidRPr="008C352B">
        <w:t xml:space="preserve"> sędziego istnieją możliwe do potwierdzenia fakty, które mogą wywołać </w:t>
      </w:r>
      <w:r w:rsidR="00BC5F79" w:rsidRPr="008C352B">
        <w:lastRenderedPageBreak/>
        <w:t xml:space="preserve">wątpliwości co do </w:t>
      </w:r>
      <w:r w:rsidR="00DB56BD" w:rsidRPr="008C352B">
        <w:t xml:space="preserve">jego </w:t>
      </w:r>
      <w:r w:rsidR="00BC5F79" w:rsidRPr="008C352B">
        <w:t xml:space="preserve">bezstronności. To sugeruje, że </w:t>
      </w:r>
      <w:r w:rsidR="00DB56BD" w:rsidRPr="008C352B">
        <w:t>przy decyzji,</w:t>
      </w:r>
      <w:r w:rsidR="00BC5F79" w:rsidRPr="008C352B">
        <w:t xml:space="preserve"> czy</w:t>
      </w:r>
      <w:r w:rsidR="00A16BDA">
        <w:t> </w:t>
      </w:r>
      <w:r w:rsidR="00BC5F79" w:rsidRPr="008C352B">
        <w:t>w</w:t>
      </w:r>
      <w:r w:rsidR="00A16BDA">
        <w:t> </w:t>
      </w:r>
      <w:r w:rsidR="00BC5F79" w:rsidRPr="008C352B">
        <w:t>danej sprawie istnieje u</w:t>
      </w:r>
      <w:r w:rsidR="00087DC9" w:rsidRPr="008C352B">
        <w:t>prawniony</w:t>
      </w:r>
      <w:r w:rsidR="00BC5F79" w:rsidRPr="008C352B">
        <w:t xml:space="preserve"> powód </w:t>
      </w:r>
      <w:r w:rsidR="00DB56BD" w:rsidRPr="008C352B">
        <w:t>do obaw</w:t>
      </w:r>
      <w:r w:rsidR="00BC5F79" w:rsidRPr="008C352B">
        <w:t>, że dany sędzia lub organ kole</w:t>
      </w:r>
      <w:r w:rsidR="00DB56BD" w:rsidRPr="008C352B">
        <w:t>gialny</w:t>
      </w:r>
      <w:r w:rsidR="00BC5F79" w:rsidRPr="008C352B">
        <w:t xml:space="preserve"> w roli sądu nie jest bezstronny, pogląd danej osoby jest istotny, ale nie decydujący. Decydujące jest to, czy dana obawa może zostać obiektywnie uzasadniona (ibid., § 76).</w:t>
      </w:r>
    </w:p>
    <w:p w14:paraId="5891F837" w14:textId="59B73953" w:rsidR="00BC5F79" w:rsidRPr="008C352B" w:rsidRDefault="00320F5A" w:rsidP="008D10C9">
      <w:pPr>
        <w:pStyle w:val="ECHRPara"/>
        <w:rPr>
          <w:rFonts w:eastAsia="Times New Roman"/>
        </w:rPr>
      </w:pPr>
      <w:r w:rsidRPr="008C352B">
        <w:rPr>
          <w:rFonts w:eastAsia="Times New Roman"/>
        </w:rPr>
        <w:t>100</w:t>
      </w:r>
      <w:r w:rsidR="00BC5F79" w:rsidRPr="008C352B">
        <w:t>.</w:t>
      </w:r>
      <w:r w:rsidR="00410690" w:rsidRPr="008C352B">
        <w:t xml:space="preserve"> </w:t>
      </w:r>
      <w:r w:rsidR="00BC5F79" w:rsidRPr="008C352B">
        <w:t xml:space="preserve">Test obiektywny przede wszystkim dotyczy powiązań hierarchicznych lub innych pomiędzy sędzią </w:t>
      </w:r>
      <w:r w:rsidR="00DB56BD" w:rsidRPr="008C352B">
        <w:t>a</w:t>
      </w:r>
      <w:r w:rsidR="00BC5F79" w:rsidRPr="008C352B">
        <w:t xml:space="preserve"> innymi uczestnik</w:t>
      </w:r>
      <w:r w:rsidR="00DB56BD" w:rsidRPr="008C352B">
        <w:t>ami postępowania lub wykonywani</w:t>
      </w:r>
      <w:r w:rsidR="00BC5F79">
        <w:t>a</w:t>
      </w:r>
      <w:r w:rsidR="00BC5F79" w:rsidRPr="008C352B">
        <w:t xml:space="preserve"> innych funkcji w procesie sądowym przez tę samą osobę (zob. </w:t>
      </w:r>
      <w:r w:rsidR="00BC5F79" w:rsidRPr="008C352B">
        <w:rPr>
          <w:i/>
          <w:iCs/>
        </w:rPr>
        <w:t>Kyprianou przeciwko Cyprowi</w:t>
      </w:r>
      <w:r w:rsidR="00BC5F79" w:rsidRPr="008C352B">
        <w:t xml:space="preserve"> [WI], nr 73797/01, §</w:t>
      </w:r>
      <w:r w:rsidR="00A16BDA">
        <w:t> </w:t>
      </w:r>
      <w:r w:rsidR="00BC5F79" w:rsidRPr="008C352B">
        <w:t>121, ECHR 2005</w:t>
      </w:r>
      <w:r w:rsidR="00BC5F79" w:rsidRPr="008C352B">
        <w:noBreakHyphen/>
        <w:t>XIII).</w:t>
      </w:r>
    </w:p>
    <w:p w14:paraId="72EC2C72" w14:textId="2F76023E" w:rsidR="00BC5F79" w:rsidRPr="008C352B" w:rsidRDefault="00320F5A" w:rsidP="008D10C9">
      <w:pPr>
        <w:pStyle w:val="ECHRPara"/>
        <w:rPr>
          <w:rFonts w:eastAsia="Times New Roman"/>
        </w:rPr>
      </w:pPr>
      <w:r w:rsidRPr="008C352B">
        <w:rPr>
          <w:rFonts w:eastAsia="Times New Roman"/>
        </w:rPr>
        <w:t>101</w:t>
      </w:r>
      <w:r w:rsidR="00BC5F79" w:rsidRPr="008C352B">
        <w:t>.</w:t>
      </w:r>
      <w:r w:rsidR="00410690" w:rsidRPr="008C352B">
        <w:t xml:space="preserve"> </w:t>
      </w:r>
      <w:r w:rsidR="00BC5F79" w:rsidRPr="008C352B">
        <w:t xml:space="preserve">W związku z </w:t>
      </w:r>
      <w:r w:rsidR="00DB56BD" w:rsidRPr="008C352B">
        <w:t>tym nawet pozory mogą mieć pewne znaczenie</w:t>
      </w:r>
      <w:r w:rsidR="00BC5F79" w:rsidRPr="008C352B">
        <w:t xml:space="preserve">, lub, innymi słowy, „sprawiedliwość nie tylko musi być wymierzona, </w:t>
      </w:r>
      <w:r w:rsidR="00DB56BD" w:rsidRPr="008C352B">
        <w:t xml:space="preserve">ale musi być </w:t>
      </w:r>
      <w:r w:rsidR="00BC5F79" w:rsidRPr="008C352B">
        <w:t xml:space="preserve">również </w:t>
      </w:r>
      <w:r w:rsidR="00DB56BD" w:rsidRPr="008C352B">
        <w:t xml:space="preserve">postrzegana jako </w:t>
      </w:r>
      <w:r w:rsidR="00BC5F79" w:rsidRPr="008C352B">
        <w:t>wymierzona”. Na szali leży zaufanie, jakie sądy muszą wzbudzać w opinii publicznej w demokratycznym społeczeństwie.</w:t>
      </w:r>
    </w:p>
    <w:p w14:paraId="697202C7" w14:textId="5D40D046" w:rsidR="00BC5F79" w:rsidRPr="008C352B" w:rsidRDefault="00BC5F79" w:rsidP="008D10C9">
      <w:pPr>
        <w:pStyle w:val="ECHRHeading4"/>
      </w:pPr>
      <w:r w:rsidRPr="008C352B">
        <w:t>(b)</w:t>
      </w:r>
      <w:r w:rsidR="00410690" w:rsidRPr="008C352B">
        <w:t xml:space="preserve"> </w:t>
      </w:r>
      <w:r w:rsidRPr="008C352B">
        <w:t>Zastosowanie powyższych zasad do niniejszej sprawy</w:t>
      </w:r>
    </w:p>
    <w:p w14:paraId="55E185C0" w14:textId="3AE8324A" w:rsidR="00BC5F79" w:rsidRPr="008C352B" w:rsidRDefault="00320F5A" w:rsidP="008D10C9">
      <w:pPr>
        <w:pStyle w:val="ECHRPara"/>
      </w:pPr>
      <w:r w:rsidRPr="008C352B">
        <w:t>102</w:t>
      </w:r>
      <w:r w:rsidR="00BC5F79" w:rsidRPr="008C352B">
        <w:t>.</w:t>
      </w:r>
      <w:r w:rsidR="00410690" w:rsidRPr="008C352B">
        <w:t xml:space="preserve"> </w:t>
      </w:r>
      <w:r w:rsidR="00BC5F79" w:rsidRPr="008C352B">
        <w:t xml:space="preserve">Skarżący sformułował swój problem </w:t>
      </w:r>
      <w:r w:rsidR="00415991" w:rsidRPr="008C352B">
        <w:t>następująco</w:t>
      </w:r>
      <w:r w:rsidR="00BC5F79" w:rsidRPr="008C352B">
        <w:t xml:space="preserve">: został oskarżony, jego sprawa została rozpatrzona, a on sam skazany przez tych samych sędziów, co naruszało zasadę bezstronności: sędziowie Sądu Najwyższego zarzucili mu wykroczenie </w:t>
      </w:r>
      <w:r w:rsidR="00D2429A" w:rsidRPr="008C352B">
        <w:t xml:space="preserve">w postaci </w:t>
      </w:r>
      <w:r w:rsidR="00E313D2" w:rsidRPr="008C352B">
        <w:rPr>
          <w:rStyle w:val="JuParaCar"/>
        </w:rPr>
        <w:t>uchybienia w wykonywaniu funkcji sędziego</w:t>
      </w:r>
      <w:r w:rsidR="00BC5F79" w:rsidRPr="008C352B">
        <w:t>, a następnie osądzili go jako NRS i uznali go za winnego tego naruszenia. Ci sami sędziowie, choć występując w innej roli, podejmowali również decyzje w sprawie jego sprzeciwu dotyczącego zarzutów, które sami sformułowali.</w:t>
      </w:r>
    </w:p>
    <w:p w14:paraId="47D50173" w14:textId="651F1744" w:rsidR="00BC5F79" w:rsidRPr="008C352B" w:rsidRDefault="00320F5A" w:rsidP="008D10C9">
      <w:pPr>
        <w:pStyle w:val="ECHRPara"/>
      </w:pPr>
      <w:r w:rsidRPr="008C352B">
        <w:t>103</w:t>
      </w:r>
      <w:r w:rsidR="00BC5F79" w:rsidRPr="008C352B">
        <w:t>.</w:t>
      </w:r>
      <w:r w:rsidR="00410690" w:rsidRPr="008C352B">
        <w:t xml:space="preserve"> </w:t>
      </w:r>
      <w:r w:rsidR="00BC5F79" w:rsidRPr="008C352B">
        <w:t>Sposób, w jaki skarżący sformułował swoją skargę</w:t>
      </w:r>
      <w:r w:rsidR="00415991" w:rsidRPr="008C352B">
        <w:t>,</w:t>
      </w:r>
      <w:r w:rsidR="00BC5F79" w:rsidRPr="008C352B">
        <w:t xml:space="preserve"> oznacza zatem, że skierowana jest przeciwko funkcjonalnej wadzie postępowania, a nie zachowaniu sędziów; skarżący nie kwestionował ich osobistej bezstronności. Sprawę zatem należy rozpatrzyć z perspektywy obiektywnego testu bezstronności, a konkretnie należy zając się kwestią</w:t>
      </w:r>
      <w:r w:rsidR="00415991" w:rsidRPr="008C352B">
        <w:t>,</w:t>
      </w:r>
      <w:r w:rsidR="00BC5F79" w:rsidRPr="008C352B">
        <w:t xml:space="preserve"> czy obawy skarżącego, wynikające z konkretnej sytuacji, można uznać za</w:t>
      </w:r>
      <w:r w:rsidR="00A16BDA">
        <w:t> </w:t>
      </w:r>
      <w:r w:rsidR="00BC5F79" w:rsidRPr="008C352B">
        <w:t>obiektywnie uzasadnione w przedmiotowych okolicznościach.</w:t>
      </w:r>
    </w:p>
    <w:p w14:paraId="51A5656E" w14:textId="398E217E" w:rsidR="00BC5F79" w:rsidRPr="008C352B" w:rsidRDefault="00320F5A" w:rsidP="008D10C9">
      <w:pPr>
        <w:pStyle w:val="ECHRPara"/>
      </w:pPr>
      <w:r w:rsidRPr="008C352B">
        <w:t>104</w:t>
      </w:r>
      <w:r w:rsidR="00BC5F79" w:rsidRPr="008C352B">
        <w:t>.</w:t>
      </w:r>
      <w:r w:rsidR="00410690" w:rsidRPr="008C352B">
        <w:t xml:space="preserve"> </w:t>
      </w:r>
      <w:r w:rsidR="00BC5F79" w:rsidRPr="008C352B">
        <w:t>Rozważając tę kwestię</w:t>
      </w:r>
      <w:r w:rsidR="00415991" w:rsidRPr="008C352B">
        <w:t>,</w:t>
      </w:r>
      <w:r w:rsidR="00BC5F79" w:rsidRPr="008C352B">
        <w:t xml:space="preserve"> Trybunał przywołuje, że zarówno w</w:t>
      </w:r>
      <w:r w:rsidR="00A16BDA">
        <w:t> </w:t>
      </w:r>
      <w:r w:rsidR="00BC5F79" w:rsidRPr="008C352B">
        <w:t xml:space="preserve">odniesieniu do </w:t>
      </w:r>
      <w:r w:rsidR="009E5694" w:rsidRPr="008C352B">
        <w:t>art.</w:t>
      </w:r>
      <w:r w:rsidR="00BC5F79" w:rsidRPr="008C352B">
        <w:t xml:space="preserve"> 6 ust. 1 Konwencji</w:t>
      </w:r>
      <w:r w:rsidR="00415991" w:rsidRPr="008C352B">
        <w:t xml:space="preserve">, jak </w:t>
      </w:r>
      <w:r w:rsidR="007A3A64">
        <w:t xml:space="preserve">i </w:t>
      </w:r>
      <w:r w:rsidR="00BC5F79" w:rsidRPr="008C352B">
        <w:t xml:space="preserve">w kontekście </w:t>
      </w:r>
      <w:r w:rsidR="009E5694" w:rsidRPr="008C352B">
        <w:t>art.</w:t>
      </w:r>
      <w:r w:rsidR="007A3A64">
        <w:t xml:space="preserve"> 5 ust. 3 stwierdza</w:t>
      </w:r>
      <w:r w:rsidR="00BC5F79" w:rsidRPr="008C352B">
        <w:t xml:space="preserve">ł istnienie wątpliwości co do tego, czy bezstronność można obiektywnie uzasadnić, jeżeli istnieje pewne zamieszanie dotyczące funkcji prokuratora i sędziego (zob. sprawa </w:t>
      </w:r>
      <w:r w:rsidR="00BC5F79" w:rsidRPr="008C352B">
        <w:rPr>
          <w:i/>
          <w:iCs/>
        </w:rPr>
        <w:t>Kyprianou</w:t>
      </w:r>
      <w:r w:rsidR="00BC5F79" w:rsidRPr="008C352B">
        <w:t xml:space="preserve">, cyt. powyżej, § 126, </w:t>
      </w:r>
      <w:r w:rsidR="00490683" w:rsidRPr="008C352B">
        <w:t>i</w:t>
      </w:r>
      <w:r w:rsidR="00A16BDA">
        <w:t> </w:t>
      </w:r>
      <w:r w:rsidR="00BC5F79" w:rsidRPr="008C352B">
        <w:t>dalsze odwołania tamże).</w:t>
      </w:r>
    </w:p>
    <w:p w14:paraId="5130FFD5" w14:textId="668DD14C" w:rsidR="00BC5F79" w:rsidRPr="008C352B" w:rsidRDefault="00320F5A" w:rsidP="008D10C9">
      <w:pPr>
        <w:pStyle w:val="ECHRPara"/>
      </w:pPr>
      <w:r w:rsidRPr="008C352B">
        <w:t>105</w:t>
      </w:r>
      <w:r w:rsidR="00BC5F79" w:rsidRPr="008C352B">
        <w:t>.</w:t>
      </w:r>
      <w:r w:rsidR="00410690" w:rsidRPr="008C352B">
        <w:t xml:space="preserve"> </w:t>
      </w:r>
      <w:r w:rsidR="00BC5F79" w:rsidRPr="008C352B">
        <w:t xml:space="preserve">Trybunał odnotowuje, że NRS składa się z wszystkich trzynastu sędziów Sądu Najwyższego. Zgodnie z odpowiednimi Zasadami Proceduralnymi dotyczącymi wykonywania władzy dyscyplinarnej NRS, kiedy złożono </w:t>
      </w:r>
      <w:r w:rsidR="00415991" w:rsidRPr="008C352B">
        <w:t xml:space="preserve">do Sądu Najwyższego </w:t>
      </w:r>
      <w:r w:rsidR="00BC5F79" w:rsidRPr="008C352B">
        <w:t xml:space="preserve">skargę dotyczącą zachowania skarżącego w trakcie wykonywania przez niego funkcji sędziowskiej, skarżącemu przesłano pisemne zawiadomienie o zarzucanych czynach </w:t>
      </w:r>
      <w:r w:rsidR="00BC5F79" w:rsidRPr="008C352B">
        <w:lastRenderedPageBreak/>
        <w:t>i</w:t>
      </w:r>
      <w:r w:rsidR="00A16BDA">
        <w:t> </w:t>
      </w:r>
      <w:r w:rsidR="00BC5F79" w:rsidRPr="008C352B">
        <w:t>poproszono o przedstawienie, jeżeli takie było jego życzenie, stanowiska w przedmiotowej sprawie. Następnie Sąd Najwyższy wyznaczył sędziego śledczego (który nie był członkiem Sądu Najwyższego) do zbadania sprawy. Sędzia śledczy zł</w:t>
      </w:r>
      <w:r w:rsidR="00415991" w:rsidRPr="008C352B">
        <w:t>ożył raport do Sądu Najwyższego</w:t>
      </w:r>
      <w:r w:rsidR="00BC5F79" w:rsidRPr="008C352B">
        <w:t xml:space="preserve"> wraz z</w:t>
      </w:r>
      <w:r w:rsidR="00A16BDA">
        <w:t> </w:t>
      </w:r>
      <w:r w:rsidR="00BC5F79" w:rsidRPr="008C352B">
        <w:t xml:space="preserve">oświadczeniami, jakie zebrał od świadków i skarżącego. Sąd Najwyższy następnie sformułował </w:t>
      </w:r>
      <w:r w:rsidR="00415991" w:rsidRPr="008C352B">
        <w:t xml:space="preserve">przeciwko skarżącemu </w:t>
      </w:r>
      <w:r w:rsidR="00BC5F79" w:rsidRPr="008C352B">
        <w:t xml:space="preserve">zarzut </w:t>
      </w:r>
      <w:r w:rsidR="00415991" w:rsidRPr="008C352B">
        <w:t xml:space="preserve">dotyczący </w:t>
      </w:r>
      <w:r w:rsidR="00E313D2" w:rsidRPr="008C352B">
        <w:rPr>
          <w:rStyle w:val="JuParaCar"/>
        </w:rPr>
        <w:t xml:space="preserve">uchybienia w wykonywaniu funkcji sędziego </w:t>
      </w:r>
      <w:r w:rsidR="00BC5F79" w:rsidRPr="008C352B">
        <w:t>i wezwał go, by ten stawił się przed NRS. Postępowanie dyscyplinarne przeprowadzono przed NRS, która stwierdziła, że zarzuty są uzasadnione i po wysłuchaniu skarżącego usunęła go z urzędu.</w:t>
      </w:r>
    </w:p>
    <w:p w14:paraId="5FD3642C" w14:textId="33F68B92" w:rsidR="00BC5F79" w:rsidRPr="008C352B" w:rsidRDefault="00320F5A" w:rsidP="008D10C9">
      <w:pPr>
        <w:pStyle w:val="ECHRPara"/>
      </w:pPr>
      <w:r w:rsidRPr="008C352B">
        <w:t>106</w:t>
      </w:r>
      <w:r w:rsidR="00BC5F79" w:rsidRPr="008C352B">
        <w:t>.</w:t>
      </w:r>
      <w:r w:rsidR="00410690" w:rsidRPr="008C352B">
        <w:t xml:space="preserve"> </w:t>
      </w:r>
      <w:r w:rsidR="00BC5F79" w:rsidRPr="008C352B">
        <w:t>Trybunał odnotowuje, że jasno wynika z postępowania oraz decyzji NRS, że NRS dołożyła starań</w:t>
      </w:r>
      <w:r w:rsidR="00415991" w:rsidRPr="008C352B">
        <w:t>,</w:t>
      </w:r>
      <w:r w:rsidR="00BC5F79" w:rsidRPr="008C352B">
        <w:t xml:space="preserve"> by uniknąć procedury, która byłaby prokuratorska w swoim charakterze, starając się zapobiec wprowadzeniu atmosfery wrogości i konfrontacji w trakcie postępowania. Próbując osiągnąć ten cel</w:t>
      </w:r>
      <w:r w:rsidR="00415991" w:rsidRPr="008C352B">
        <w:t>, zdecydowała się nie przydziela</w:t>
      </w:r>
      <w:r w:rsidR="00BC5F79" w:rsidRPr="008C352B">
        <w:t xml:space="preserve">ć obowiązków prokuratora sędziemu śledczemu ani innemu urzędnikowi sądowemu i nie zadawała pytań świadkom, poza kilkoma zadanymi na potrzeby wyjaśnień. </w:t>
      </w:r>
      <w:r w:rsidR="007A3A64">
        <w:t>J</w:t>
      </w:r>
      <w:r w:rsidR="00BC5F79" w:rsidRPr="008C352B">
        <w:t>ak</w:t>
      </w:r>
      <w:r w:rsidR="00A16BDA">
        <w:t> </w:t>
      </w:r>
      <w:r w:rsidR="00BC5F79" w:rsidRPr="008C352B">
        <w:t xml:space="preserve">odnotowała w swojej decyzji, działała </w:t>
      </w:r>
      <w:r w:rsidR="00415991" w:rsidRPr="008C352B">
        <w:t xml:space="preserve">zasadniczo </w:t>
      </w:r>
      <w:r w:rsidR="00BC5F79" w:rsidRPr="008C352B">
        <w:t>jako widownia dla</w:t>
      </w:r>
      <w:r w:rsidR="00A16BDA">
        <w:t> </w:t>
      </w:r>
      <w:r w:rsidR="00BC5F79" w:rsidRPr="008C352B">
        <w:t>oświadczeń składanych przez świadków. Nie zada</w:t>
      </w:r>
      <w:r w:rsidR="007A3A64">
        <w:t>wa</w:t>
      </w:r>
      <w:r w:rsidR="00BC5F79" w:rsidRPr="008C352B">
        <w:t xml:space="preserve">ła również żadnych pytań skarżącemu (zob. paragraf </w:t>
      </w:r>
      <w:r w:rsidR="009E5694" w:rsidRPr="008C352B">
        <w:t>31</w:t>
      </w:r>
      <w:r w:rsidR="00BC5F79" w:rsidRPr="008C352B">
        <w:t xml:space="preserve"> powyżej).</w:t>
      </w:r>
    </w:p>
    <w:p w14:paraId="4BB6C500" w14:textId="145530E4" w:rsidR="00BC5F79" w:rsidRPr="008C352B" w:rsidRDefault="00320F5A" w:rsidP="008D10C9">
      <w:pPr>
        <w:pStyle w:val="ECHRPara"/>
      </w:pPr>
      <w:r w:rsidRPr="008C352B">
        <w:rPr>
          <w:color w:val="000000"/>
        </w:rPr>
        <w:t>107</w:t>
      </w:r>
      <w:r w:rsidR="00BC5F79" w:rsidRPr="008C352B">
        <w:rPr>
          <w:color w:val="000000"/>
        </w:rPr>
        <w:t>.</w:t>
      </w:r>
      <w:r w:rsidR="00410690" w:rsidRPr="008C352B">
        <w:rPr>
          <w:color w:val="000000"/>
        </w:rPr>
        <w:t xml:space="preserve"> </w:t>
      </w:r>
      <w:r w:rsidR="00BC5F79" w:rsidRPr="008C352B">
        <w:rPr>
          <w:color w:val="000000"/>
        </w:rPr>
        <w:t xml:space="preserve">Niemniej jednak Sąd Najwyższy sam sporządził zarzuty przeciwko skarżącemu i następnie, zasiadając jako NRS, przeprowadził postępowanie dyscyplinarne. W kontekście tego postępowania podejmowała </w:t>
      </w:r>
      <w:r w:rsidR="00415991" w:rsidRPr="008C352B">
        <w:rPr>
          <w:color w:val="000000"/>
        </w:rPr>
        <w:t xml:space="preserve">ona </w:t>
      </w:r>
      <w:r w:rsidR="00BC5F79" w:rsidRPr="008C352B">
        <w:rPr>
          <w:color w:val="000000"/>
        </w:rPr>
        <w:t>decyzje i</w:t>
      </w:r>
      <w:r w:rsidR="00A16BDA">
        <w:rPr>
          <w:color w:val="000000"/>
        </w:rPr>
        <w:t> </w:t>
      </w:r>
      <w:r w:rsidR="00BC5F79" w:rsidRPr="008C352B">
        <w:rPr>
          <w:color w:val="000000"/>
        </w:rPr>
        <w:t>od</w:t>
      </w:r>
      <w:r w:rsidR="00415991" w:rsidRPr="008C352B">
        <w:rPr>
          <w:color w:val="000000"/>
        </w:rPr>
        <w:t>daliła</w:t>
      </w:r>
      <w:r w:rsidR="00BC5F79" w:rsidRPr="008C352B">
        <w:rPr>
          <w:color w:val="000000"/>
        </w:rPr>
        <w:t xml:space="preserve"> sprzeciw skarżącego dotyczący zarzutów </w:t>
      </w:r>
      <w:r w:rsidR="00BC5F79" w:rsidRPr="008C352B">
        <w:t xml:space="preserve">(zob. paragrafy </w:t>
      </w:r>
      <w:r w:rsidR="009E5694" w:rsidRPr="008C352B">
        <w:t>19</w:t>
      </w:r>
      <w:r w:rsidR="00BC5F79" w:rsidRPr="008C352B">
        <w:t xml:space="preserve"> i </w:t>
      </w:r>
      <w:r w:rsidR="009E5694" w:rsidRPr="008C352B">
        <w:t>20</w:t>
      </w:r>
      <w:r w:rsidR="00BC5F79" w:rsidRPr="008C352B">
        <w:t xml:space="preserve"> powyżej).</w:t>
      </w:r>
    </w:p>
    <w:p w14:paraId="3DB062BF" w14:textId="23414DEE" w:rsidR="00BC5F79" w:rsidRPr="008C352B" w:rsidRDefault="00320F5A" w:rsidP="008D10C9">
      <w:pPr>
        <w:pStyle w:val="ECHRPara"/>
      </w:pPr>
      <w:r w:rsidRPr="008C352B">
        <w:t>108</w:t>
      </w:r>
      <w:r w:rsidR="00BC5F79" w:rsidRPr="008C352B">
        <w:t>.</w:t>
      </w:r>
      <w:r w:rsidR="00410690" w:rsidRPr="008C352B">
        <w:t xml:space="preserve"> </w:t>
      </w:r>
      <w:r w:rsidR="00415991" w:rsidRPr="008C352B">
        <w:t>W takiej sytuacji</w:t>
      </w:r>
      <w:r w:rsidR="00BC5F79" w:rsidRPr="008C352B">
        <w:t xml:space="preserve"> pomieszanie funkcji wnoszenia zarzutów i</w:t>
      </w:r>
      <w:r w:rsidR="00A16BDA">
        <w:t> </w:t>
      </w:r>
      <w:r w:rsidR="00415991" w:rsidRPr="008C352B">
        <w:t>rozstrzygania</w:t>
      </w:r>
      <w:r w:rsidR="00BC5F79" w:rsidRPr="008C352B">
        <w:t xml:space="preserve"> o kwestiach w sprawie mogło wywołać obiektywnie uzasadnione obawy co do bezstronności NRS.</w:t>
      </w:r>
    </w:p>
    <w:p w14:paraId="32C919BF" w14:textId="1B5778A8" w:rsidR="00BC5F79" w:rsidRPr="008C352B" w:rsidRDefault="00320F5A" w:rsidP="008D10C9">
      <w:pPr>
        <w:pStyle w:val="ECHRPara"/>
      </w:pPr>
      <w:r w:rsidRPr="008C352B">
        <w:t>109</w:t>
      </w:r>
      <w:r w:rsidR="00BC5F79" w:rsidRPr="008C352B">
        <w:t>.</w:t>
      </w:r>
      <w:r w:rsidR="00410690" w:rsidRPr="008C352B">
        <w:t xml:space="preserve"> </w:t>
      </w:r>
      <w:r w:rsidR="00BC5F79" w:rsidRPr="008C352B">
        <w:t xml:space="preserve">Trybunał stwierdza zatem na podstawie faktów w sprawie i </w:t>
      </w:r>
      <w:r w:rsidR="00415991" w:rsidRPr="008C352B">
        <w:t>biorąc pod uwagę stwierdzoną</w:t>
      </w:r>
      <w:r w:rsidR="00BC5F79" w:rsidRPr="008C352B">
        <w:t xml:space="preserve"> wadę funkcjonalną, że bezstronność NRS można było podać w wątpliwość. Obawy skarżącego w tym zakresie można uznać za obiektywnie uzasadnione.</w:t>
      </w:r>
    </w:p>
    <w:p w14:paraId="67ED7E7D" w14:textId="023A684B" w:rsidR="00BC5F79" w:rsidRPr="008C352B" w:rsidRDefault="00320F5A" w:rsidP="008D10C9">
      <w:pPr>
        <w:pStyle w:val="ECHRPara"/>
      </w:pPr>
      <w:r w:rsidRPr="008C352B">
        <w:t>110</w:t>
      </w:r>
      <w:r w:rsidR="00BC5F79" w:rsidRPr="008C352B">
        <w:t>.</w:t>
      </w:r>
      <w:r w:rsidR="00410690" w:rsidRPr="008C352B">
        <w:t xml:space="preserve"> </w:t>
      </w:r>
      <w:r w:rsidR="00BC5F79" w:rsidRPr="008C352B">
        <w:t>Wynika z tego, że doszło do naruszenia art. 6 ust. 1 Konwencji.</w:t>
      </w:r>
    </w:p>
    <w:p w14:paraId="1D1A73E7" w14:textId="69D645A4" w:rsidR="00BC5F79" w:rsidRPr="008C352B" w:rsidRDefault="00320F5A" w:rsidP="008D10C9">
      <w:pPr>
        <w:pStyle w:val="ECHRPara"/>
      </w:pPr>
      <w:r w:rsidRPr="008C352B">
        <w:t>111</w:t>
      </w:r>
      <w:r w:rsidR="00BC5F79" w:rsidRPr="008C352B">
        <w:t>.</w:t>
      </w:r>
      <w:r w:rsidR="00410690" w:rsidRPr="008C352B">
        <w:t xml:space="preserve"> </w:t>
      </w:r>
      <w:r w:rsidR="00BC5F79" w:rsidRPr="008C352B">
        <w:t xml:space="preserve">Trybunał podkreśla w tym zakresie, że to stwierdzenie nie dotyczy wyniku postępowania dyscyplinarnego a zatem nie jest stwierdzeniem dotyczącym tego, czy skarżący powinien być odwołany ze stanowiska wskutek </w:t>
      </w:r>
      <w:r w:rsidR="00E313D2" w:rsidRPr="008C352B">
        <w:rPr>
          <w:rStyle w:val="JuParaCar"/>
        </w:rPr>
        <w:t>uchybienia w wykonywaniu funkcji sędziego</w:t>
      </w:r>
      <w:r w:rsidR="00BC5F79" w:rsidRPr="008C352B">
        <w:t>.</w:t>
      </w:r>
    </w:p>
    <w:p w14:paraId="1ADD2D60" w14:textId="4E9737EF" w:rsidR="00BC5F79" w:rsidRPr="008C352B" w:rsidRDefault="00BC5F79" w:rsidP="008D10C9">
      <w:pPr>
        <w:pStyle w:val="ECHRHeading1"/>
      </w:pPr>
      <w:r w:rsidRPr="008C352B">
        <w:t>II.</w:t>
      </w:r>
      <w:r w:rsidR="00410690" w:rsidRPr="008C352B">
        <w:t xml:space="preserve"> </w:t>
      </w:r>
      <w:r w:rsidRPr="008C352B">
        <w:t xml:space="preserve">ZARZUT NARUSZENIA </w:t>
      </w:r>
      <w:r w:rsidR="009E5694" w:rsidRPr="008C352B">
        <w:t>ART.</w:t>
      </w:r>
      <w:r w:rsidRPr="008C352B">
        <w:t xml:space="preserve"> 6 KONWENCJI W ZAKRESIE DOTYCZĄCYM INFORMACJI PRZEKAZANYCH SKARŻĄCEMU O STOSOWNYCH POSTĘPOWANIACH SSP</w:t>
      </w:r>
    </w:p>
    <w:p w14:paraId="32228827" w14:textId="05BC8CAB" w:rsidR="00BC5F79" w:rsidRPr="008C352B" w:rsidRDefault="00320F5A" w:rsidP="008D10C9">
      <w:pPr>
        <w:pStyle w:val="ECHRPara"/>
      </w:pPr>
      <w:r w:rsidRPr="008C352B">
        <w:t>112</w:t>
      </w:r>
      <w:r w:rsidR="00BC5F79" w:rsidRPr="008C352B">
        <w:t>.</w:t>
      </w:r>
      <w:r w:rsidR="00410690" w:rsidRPr="008C352B">
        <w:t xml:space="preserve"> </w:t>
      </w:r>
      <w:r w:rsidR="00BC5F79" w:rsidRPr="008C352B">
        <w:t>Skarżący skarżył się, że nie otrzymał odpowiednich informacji o</w:t>
      </w:r>
      <w:r w:rsidR="00A16BDA">
        <w:t> </w:t>
      </w:r>
      <w:r w:rsidR="00BC5F79" w:rsidRPr="008C352B">
        <w:t xml:space="preserve">konkretnych postępowaniach SSP, których dotyczyła skarga przeciwko niemu i na których opierała się NRS. </w:t>
      </w:r>
      <w:r w:rsidR="00610E09" w:rsidRPr="008C352B">
        <w:t xml:space="preserve">Powoływał się </w:t>
      </w:r>
      <w:r w:rsidR="00BC5F79" w:rsidRPr="008C352B">
        <w:t xml:space="preserve">tu na </w:t>
      </w:r>
      <w:r w:rsidR="009E5694" w:rsidRPr="008C352B">
        <w:t>art.</w:t>
      </w:r>
      <w:r w:rsidR="00BC5F79" w:rsidRPr="008C352B">
        <w:t xml:space="preserve"> 6 ust. 2 </w:t>
      </w:r>
      <w:r w:rsidR="00BC5F79" w:rsidRPr="008C352B">
        <w:lastRenderedPageBreak/>
        <w:t xml:space="preserve">Konwencji. Trybunał stwierdza jednak, że ta skarga winna być rozpatrzona </w:t>
      </w:r>
      <w:r w:rsidR="00610E09" w:rsidRPr="008C352B">
        <w:t>na podstawie</w:t>
      </w:r>
      <w:r w:rsidR="00BC5F79" w:rsidRPr="008C352B">
        <w:t xml:space="preserve"> </w:t>
      </w:r>
      <w:r w:rsidR="009E5694" w:rsidRPr="008C352B">
        <w:t>art.</w:t>
      </w:r>
      <w:r w:rsidR="00BC5F79" w:rsidRPr="008C352B">
        <w:t xml:space="preserve"> 6 ust. 1.</w:t>
      </w:r>
    </w:p>
    <w:p w14:paraId="71CE168F" w14:textId="7F2F6432" w:rsidR="00BC5F79" w:rsidRPr="008C352B" w:rsidRDefault="00320F5A" w:rsidP="008D10C9">
      <w:pPr>
        <w:pStyle w:val="ECHRPara"/>
      </w:pPr>
      <w:r w:rsidRPr="008C352B">
        <w:t>113</w:t>
      </w:r>
      <w:r w:rsidR="00BC5F79" w:rsidRPr="008C352B">
        <w:t>.</w:t>
      </w:r>
      <w:r w:rsidR="00410690" w:rsidRPr="008C352B">
        <w:t xml:space="preserve"> </w:t>
      </w:r>
      <w:r w:rsidR="00BC5F79" w:rsidRPr="008C352B">
        <w:t xml:space="preserve">Rząd </w:t>
      </w:r>
      <w:r w:rsidR="00610E09" w:rsidRPr="008C352B">
        <w:t xml:space="preserve">kwestionował </w:t>
      </w:r>
      <w:r w:rsidR="00BC5F79" w:rsidRPr="008C352B">
        <w:t>argument skarżącego.</w:t>
      </w:r>
    </w:p>
    <w:p w14:paraId="0A44565A" w14:textId="77777777" w:rsidR="00BC5F79" w:rsidRPr="008C352B" w:rsidRDefault="00BC5F79" w:rsidP="008D10C9">
      <w:pPr>
        <w:pStyle w:val="ECHRPara"/>
      </w:pPr>
    </w:p>
    <w:p w14:paraId="7AB16B78" w14:textId="5823E1A7" w:rsidR="00BC5F79" w:rsidRPr="008C352B" w:rsidRDefault="00BC5F79" w:rsidP="008D10C9">
      <w:pPr>
        <w:pStyle w:val="ECHRHeading2"/>
      </w:pPr>
      <w:r w:rsidRPr="008C352B">
        <w:t>A.</w:t>
      </w:r>
      <w:r w:rsidR="00410690" w:rsidRPr="008C352B">
        <w:t xml:space="preserve"> </w:t>
      </w:r>
      <w:r w:rsidRPr="008C352B">
        <w:t>Wnioski stron</w:t>
      </w:r>
    </w:p>
    <w:p w14:paraId="0374E451" w14:textId="73949783" w:rsidR="00BC5F79" w:rsidRPr="008C352B" w:rsidRDefault="00BC5F79" w:rsidP="008D10C9">
      <w:pPr>
        <w:pStyle w:val="ECHRHeading3"/>
      </w:pPr>
      <w:r w:rsidRPr="008C352B">
        <w:t>1.</w:t>
      </w:r>
      <w:r w:rsidR="00410690" w:rsidRPr="008C352B">
        <w:t xml:space="preserve"> </w:t>
      </w:r>
      <w:r w:rsidRPr="008C352B">
        <w:t>Skarżący</w:t>
      </w:r>
    </w:p>
    <w:p w14:paraId="3667A55C" w14:textId="4EC26988" w:rsidR="00BC5F79" w:rsidRPr="008C352B" w:rsidRDefault="00320F5A" w:rsidP="008D10C9">
      <w:pPr>
        <w:pStyle w:val="ECHRPara"/>
      </w:pPr>
      <w:r w:rsidRPr="008C352B">
        <w:t>114</w:t>
      </w:r>
      <w:r w:rsidR="00BC5F79" w:rsidRPr="008C352B">
        <w:t>.</w:t>
      </w:r>
      <w:r w:rsidR="00410690" w:rsidRPr="008C352B">
        <w:t xml:space="preserve"> </w:t>
      </w:r>
      <w:r w:rsidR="00BC5F79" w:rsidRPr="008C352B">
        <w:t xml:space="preserve">Skarżący podniósł, że podczas postępowania NRS dopuściła dowody, w szczególności szereg protokołów z postępowań </w:t>
      </w:r>
      <w:r w:rsidR="00610E09" w:rsidRPr="008C352B">
        <w:t>SPP</w:t>
      </w:r>
      <w:r w:rsidR="00BC5F79" w:rsidRPr="008C352B">
        <w:t xml:space="preserve">, którym przewodniczył, które nie były częścią materiału zebranego przez sędziego śledczego i </w:t>
      </w:r>
      <w:r w:rsidR="00610E09" w:rsidRPr="008C352B">
        <w:t>o których</w:t>
      </w:r>
      <w:r w:rsidR="00BC5F79" w:rsidRPr="008C352B">
        <w:t xml:space="preserve"> </w:t>
      </w:r>
      <w:r w:rsidR="00610E09" w:rsidRPr="008C352B">
        <w:t xml:space="preserve">skarżący nie został poinformowany </w:t>
      </w:r>
      <w:r w:rsidR="00BC5F79" w:rsidRPr="008C352B">
        <w:t xml:space="preserve">przed procesem. Dowiedział się o tych protokołach z decyzji NRS. W związku z tym argumentował, w szczególności, że </w:t>
      </w:r>
      <w:r w:rsidR="00226CE8" w:rsidRPr="008C352B">
        <w:t>akta trzech spraw</w:t>
      </w:r>
      <w:r w:rsidR="00BC5F79" w:rsidRPr="008C352B">
        <w:t xml:space="preserve"> SSP, na których </w:t>
      </w:r>
      <w:r w:rsidR="00226CE8" w:rsidRPr="008C352B">
        <w:t>oparła się</w:t>
      </w:r>
      <w:r w:rsidR="00BC5F79" w:rsidRPr="008C352B">
        <w:t xml:space="preserve"> NRS, zostały dopuszczone w trakcie postępowania bez</w:t>
      </w:r>
      <w:r w:rsidR="00A16BDA">
        <w:t> </w:t>
      </w:r>
      <w:r w:rsidR="00BC5F79" w:rsidRPr="008C352B">
        <w:t>jakiejkolwiek informacji z wyprzedzeniem. Został zatem pozbawiony możliwości podniesienia argumentów na temat kwestii podniesionych na</w:t>
      </w:r>
      <w:r w:rsidR="00A16BDA">
        <w:t> </w:t>
      </w:r>
      <w:r w:rsidR="00BC5F79" w:rsidRPr="008C352B">
        <w:t>jego temat w postępowaniu czy też kwestionowani</w:t>
      </w:r>
      <w:r w:rsidR="002B6015" w:rsidRPr="008C352B">
        <w:t>a</w:t>
      </w:r>
      <w:r w:rsidR="00BC5F79" w:rsidRPr="008C352B">
        <w:t xml:space="preserve"> świadków, których zeznania świadczyły przeciwko niemu, na </w:t>
      </w:r>
      <w:r w:rsidR="002B6015" w:rsidRPr="008C352B">
        <w:t>k</w:t>
      </w:r>
      <w:r w:rsidR="00BC5F79" w:rsidRPr="008C352B">
        <w:t>tór</w:t>
      </w:r>
      <w:r w:rsidR="002B6015" w:rsidRPr="008C352B">
        <w:t>y</w:t>
      </w:r>
      <w:r w:rsidR="00BC5F79" w:rsidRPr="008C352B">
        <w:t>ch to zeznaniach</w:t>
      </w:r>
      <w:r w:rsidR="002B6015" w:rsidRPr="008C352B">
        <w:t xml:space="preserve"> się oparto</w:t>
      </w:r>
      <w:r w:rsidR="00BC5F79" w:rsidRPr="008C352B">
        <w:t xml:space="preserve">, a które można było zaskarżyć wyłącznie poprzez odwołanie się do danych akt. Jego zdaniem, NRS dopuściła te sprawy jako dowody </w:t>
      </w:r>
      <w:r w:rsidR="002B6015" w:rsidRPr="008C352B">
        <w:t xml:space="preserve">w celu zaprzeczenia </w:t>
      </w:r>
      <w:r w:rsidR="00BC5F79" w:rsidRPr="008C352B">
        <w:t xml:space="preserve">dowodom, które </w:t>
      </w:r>
      <w:r w:rsidR="002B6015" w:rsidRPr="008C352B">
        <w:t xml:space="preserve">świadczyły </w:t>
      </w:r>
      <w:r w:rsidR="00BC5F79" w:rsidRPr="008C352B">
        <w:t>na korzyść skarżącego.</w:t>
      </w:r>
    </w:p>
    <w:p w14:paraId="413F7B29" w14:textId="73CED170" w:rsidR="00BC5F79" w:rsidRPr="008C352B" w:rsidRDefault="00BC5F79" w:rsidP="008D10C9">
      <w:pPr>
        <w:pStyle w:val="ECHRHeading3"/>
      </w:pPr>
      <w:r w:rsidRPr="008C352B">
        <w:t>2.</w:t>
      </w:r>
      <w:r w:rsidR="00410690" w:rsidRPr="008C352B">
        <w:t xml:space="preserve"> </w:t>
      </w:r>
      <w:r w:rsidRPr="008C352B">
        <w:t>Rząd</w:t>
      </w:r>
    </w:p>
    <w:p w14:paraId="3B64AB56" w14:textId="7CB91F1B" w:rsidR="00BC5F79" w:rsidRPr="008C352B" w:rsidRDefault="00320F5A" w:rsidP="008D10C9">
      <w:pPr>
        <w:pStyle w:val="ECHRPara"/>
      </w:pPr>
      <w:r w:rsidRPr="008C352B">
        <w:t>115</w:t>
      </w:r>
      <w:r w:rsidR="00BC5F79" w:rsidRPr="008C352B">
        <w:t>.</w:t>
      </w:r>
      <w:r w:rsidR="00410690" w:rsidRPr="008C352B">
        <w:t xml:space="preserve"> </w:t>
      </w:r>
      <w:r w:rsidR="00BC5F79" w:rsidRPr="008C352B">
        <w:t xml:space="preserve">Rząd stwierdził, że oświadczenia, które zostały przekazane sędziemu śledczemu, nie obejmowały szczegółów konkretnych postępowań sądowych </w:t>
      </w:r>
      <w:r w:rsidR="002B6015" w:rsidRPr="008C352B">
        <w:t xml:space="preserve">prowadzonych </w:t>
      </w:r>
      <w:r w:rsidR="00BC5F79" w:rsidRPr="008C352B">
        <w:t xml:space="preserve">przed SSP dotyczących zarzucanego </w:t>
      </w:r>
      <w:r w:rsidR="00663462" w:rsidRPr="008C352B">
        <w:t>uchybienia</w:t>
      </w:r>
      <w:r w:rsidR="00BC5F79" w:rsidRPr="008C352B">
        <w:t xml:space="preserve"> popełnionego przez skarżącego. Sprawy, o których mowa w decyzji NRS, nie były częścią materiału śledczego i nie zostały przedłożone do Sądu Najwyższego, kiedy podejmował swoją decyzję o skierowaniu sprawy skarżącego do NRS.</w:t>
      </w:r>
    </w:p>
    <w:p w14:paraId="200DDB1C" w14:textId="13274B31" w:rsidR="00BC5F79" w:rsidRPr="008C352B" w:rsidRDefault="00320F5A" w:rsidP="008D10C9">
      <w:pPr>
        <w:pStyle w:val="ECHRPara"/>
      </w:pPr>
      <w:r w:rsidRPr="008C352B">
        <w:t>116</w:t>
      </w:r>
      <w:r w:rsidR="00BC5F79" w:rsidRPr="008C352B">
        <w:t>.</w:t>
      </w:r>
      <w:r w:rsidR="00410690" w:rsidRPr="008C352B">
        <w:t xml:space="preserve"> </w:t>
      </w:r>
      <w:r w:rsidR="00BC5F79" w:rsidRPr="008C352B">
        <w:t>Skarżący otrzymał pełen wgląd w rejestr SSP, tak aby mógł zebrać dowolne materiały niezbędne do obrony. Wszystkie istotne sprawy, na</w:t>
      </w:r>
      <w:r w:rsidR="00A16BDA">
        <w:t> </w:t>
      </w:r>
      <w:r w:rsidR="00BC5F79" w:rsidRPr="008C352B">
        <w:t xml:space="preserve">których </w:t>
      </w:r>
      <w:r w:rsidR="002B6015" w:rsidRPr="008C352B">
        <w:t>opierała się</w:t>
      </w:r>
      <w:r w:rsidR="00BC5F79" w:rsidRPr="008C352B">
        <w:t xml:space="preserve"> NRS</w:t>
      </w:r>
      <w:r w:rsidR="002B6015" w:rsidRPr="008C352B">
        <w:t>,</w:t>
      </w:r>
      <w:r w:rsidR="00BC5F79" w:rsidRPr="008C352B">
        <w:t xml:space="preserve"> zostały odnotowane jako dowody w</w:t>
      </w:r>
      <w:r w:rsidR="00A16BDA">
        <w:t> </w:t>
      </w:r>
      <w:r w:rsidR="00BC5F79" w:rsidRPr="008C352B">
        <w:t>postępowaniu i jako takie zarejestrowane na wniosek prawnika skarżącego. Wszystkie materiały przedstawione i zarejestrowane jako dowody podczas rozprawy zostały odnotowane w liście dowodów w</w:t>
      </w:r>
      <w:r w:rsidR="00A16BDA">
        <w:t> </w:t>
      </w:r>
      <w:r w:rsidR="00BC5F79" w:rsidRPr="008C352B">
        <w:t xml:space="preserve">sprawie. Te trzy sprawy, które skarżący powołał w swoich uwagach, były ujęte na liście dowodów, która została przygotowana przez urzędnika sądowego SSP, który przekazywał dowody do NRS. Sprawy zostały umieszczone w odrębnych paczkach; każda paczka została odnotowana jako dowód z odwołaniem do świadka, który zasiadał w tych sprawach, zgodnie z listą spraw przygotowaną przez urzędnika sądowego. Te trzy sprawy ujęte </w:t>
      </w:r>
      <w:r w:rsidR="00BC5F79" w:rsidRPr="008C352B">
        <w:lastRenderedPageBreak/>
        <w:t>były w paczkach dotyczących danego świadka. Rząd przedstawił Trybunałowi kopię list z wszystkimi dowodami.</w:t>
      </w:r>
    </w:p>
    <w:p w14:paraId="4E9B84FB" w14:textId="288CCDF2" w:rsidR="00BC5F79" w:rsidRPr="008C352B" w:rsidRDefault="00320F5A" w:rsidP="008D10C9">
      <w:pPr>
        <w:pStyle w:val="ECHRPara"/>
      </w:pPr>
      <w:r w:rsidRPr="008C352B">
        <w:t>117</w:t>
      </w:r>
      <w:r w:rsidR="00BC5F79" w:rsidRPr="008C352B">
        <w:t>.</w:t>
      </w:r>
      <w:r w:rsidR="00410690" w:rsidRPr="008C352B">
        <w:t xml:space="preserve"> </w:t>
      </w:r>
      <w:r w:rsidR="00BC5F79" w:rsidRPr="008C352B">
        <w:t xml:space="preserve">W rezultacie Rząd podniósł, że skarżący wiedział o listach, miał </w:t>
      </w:r>
      <w:r w:rsidR="00C4560E" w:rsidRPr="008C352B">
        <w:t xml:space="preserve">wszelką </w:t>
      </w:r>
      <w:r w:rsidR="00BC5F79" w:rsidRPr="008C352B">
        <w:t xml:space="preserve">możliwość zbadać i wykorzystać treść tych akt spraw, przesłuchać świadków i </w:t>
      </w:r>
      <w:r w:rsidR="002B6015" w:rsidRPr="008C352B">
        <w:t xml:space="preserve">przedstawić </w:t>
      </w:r>
      <w:r w:rsidR="00BC5F79" w:rsidRPr="008C352B">
        <w:t>własne dowody</w:t>
      </w:r>
      <w:r w:rsidR="002B6015" w:rsidRPr="008C352B">
        <w:t>,</w:t>
      </w:r>
      <w:r w:rsidR="00BC5F79" w:rsidRPr="008C352B">
        <w:t xml:space="preserve"> by je obalić. Nie było zatem żadnych wskazań w przedmiotowej sprawie, że ustalenia NRS były oparte na dowodach, na okoliczność których skarżący nie miał okazji przepytać świadków. </w:t>
      </w:r>
      <w:r w:rsidR="002B6015" w:rsidRPr="008C352B">
        <w:t xml:space="preserve">Twierdzenie </w:t>
      </w:r>
      <w:r w:rsidR="00BC5F79" w:rsidRPr="008C352B">
        <w:t xml:space="preserve">skarżącego </w:t>
      </w:r>
      <w:r w:rsidR="002B6015" w:rsidRPr="008C352B">
        <w:t xml:space="preserve">było </w:t>
      </w:r>
      <w:r w:rsidR="00BC5F79" w:rsidRPr="008C352B">
        <w:t>zatem nieuzasadnione.</w:t>
      </w:r>
    </w:p>
    <w:p w14:paraId="3F4979C9" w14:textId="77777777" w:rsidR="00BC5F79" w:rsidRPr="008C352B" w:rsidRDefault="00BC5F79" w:rsidP="008D10C9">
      <w:pPr>
        <w:pStyle w:val="ECHRHeading2"/>
      </w:pPr>
      <w:r w:rsidRPr="008C352B">
        <w:t>B. Ocena Trybunału</w:t>
      </w:r>
    </w:p>
    <w:p w14:paraId="00D1DD61" w14:textId="4C0FB5CC" w:rsidR="00BC5F79" w:rsidRPr="008C352B" w:rsidRDefault="00320F5A" w:rsidP="008D10C9">
      <w:pPr>
        <w:pStyle w:val="ECHRPara"/>
      </w:pPr>
      <w:r w:rsidRPr="008C352B">
        <w:t>118</w:t>
      </w:r>
      <w:r w:rsidR="00BC5F79" w:rsidRPr="008C352B">
        <w:t>.</w:t>
      </w:r>
      <w:r w:rsidR="00410690" w:rsidRPr="008C352B">
        <w:t xml:space="preserve"> </w:t>
      </w:r>
      <w:r w:rsidR="00BC5F79" w:rsidRPr="008C352B">
        <w:t>Trybunał odnotowuje, że NRS przeanalizowała protokoły z</w:t>
      </w:r>
      <w:r w:rsidR="00A16BDA">
        <w:t> </w:t>
      </w:r>
      <w:r w:rsidR="00BC5F79" w:rsidRPr="008C352B">
        <w:t>posiedzeń SSP, którym przewodniczył skarżący, a które dotyczyły dziesięciu świadków, którzy zeznawali</w:t>
      </w:r>
      <w:r w:rsidR="007D3578" w:rsidRPr="008C352B">
        <w:t xml:space="preserve"> przed nią</w:t>
      </w:r>
      <w:r w:rsidR="00BC5F79" w:rsidRPr="008C352B">
        <w:t xml:space="preserve"> i przekazali oświadczenia sędziemu śledczemu. W swojej prawomocnej decyzji NRS </w:t>
      </w:r>
      <w:r w:rsidR="007D3578" w:rsidRPr="008C352B">
        <w:t xml:space="preserve">opierała się </w:t>
      </w:r>
      <w:r w:rsidR="00BC5F79" w:rsidRPr="008C352B">
        <w:t>na</w:t>
      </w:r>
      <w:r w:rsidR="00A16BDA">
        <w:t> </w:t>
      </w:r>
      <w:r w:rsidR="00BC5F79" w:rsidRPr="008C352B">
        <w:t>dziesięciu sprawach SSP. Skarżący odwołał się już do kilku z tych spraw, w tym do jednej z tych, którą teraz zaskarża, w uzupełniającym oświadc</w:t>
      </w:r>
      <w:r w:rsidR="007D3578" w:rsidRPr="008C352B">
        <w:t>zeniu z dnia 16 grudnia 2005 r.</w:t>
      </w:r>
      <w:r w:rsidR="00BC5F79" w:rsidRPr="008C352B">
        <w:t xml:space="preserve"> skierowanym do sędziego śledczego. Co więcej, wszystkie sprawy, na któr</w:t>
      </w:r>
      <w:r w:rsidR="00C4560E" w:rsidRPr="008C352B">
        <w:t>e</w:t>
      </w:r>
      <w:r w:rsidR="00BC5F79" w:rsidRPr="008C352B">
        <w:t xml:space="preserve"> po</w:t>
      </w:r>
      <w:r w:rsidR="007D3578" w:rsidRPr="008C352B">
        <w:t>woływała się</w:t>
      </w:r>
      <w:r w:rsidR="00BC5F79" w:rsidRPr="008C352B">
        <w:t xml:space="preserve"> NRS, w</w:t>
      </w:r>
      <w:r w:rsidR="00A16BDA">
        <w:t> </w:t>
      </w:r>
      <w:r w:rsidR="00BC5F79" w:rsidRPr="008C352B">
        <w:t>tym trzy wspomniane przez skarżącego, oraz ich akta, były uwzględnione w dowodach przedłożonych do Trybunału, i do których skarżący miał dostęp.</w:t>
      </w:r>
    </w:p>
    <w:p w14:paraId="0E267F0C" w14:textId="67DB0319" w:rsidR="00BC5F79" w:rsidRPr="008C352B" w:rsidRDefault="00320F5A" w:rsidP="00BB53E2">
      <w:pPr>
        <w:pStyle w:val="ECHRPara"/>
      </w:pPr>
      <w:r w:rsidRPr="008C352B">
        <w:t>119</w:t>
      </w:r>
      <w:r w:rsidR="00BC5F79" w:rsidRPr="008C352B">
        <w:t>.</w:t>
      </w:r>
      <w:r w:rsidR="00410690" w:rsidRPr="008C352B">
        <w:t xml:space="preserve"> </w:t>
      </w:r>
      <w:r w:rsidR="00BC5F79" w:rsidRPr="008C352B">
        <w:t xml:space="preserve">Rozważywszy powyższe okoliczności </w:t>
      </w:r>
      <w:r w:rsidR="007D3578" w:rsidRPr="008C352B">
        <w:t>i</w:t>
      </w:r>
      <w:r w:rsidR="00BC5F79" w:rsidRPr="008C352B">
        <w:t xml:space="preserve"> uwzględniwszy cały przedłożony materiał, Trybunał stwierdza, że skarżący nie uzasadnił swojej skargi. Z tego wynika, że niniejsza skarga jest </w:t>
      </w:r>
      <w:r w:rsidR="00087DC9" w:rsidRPr="008C352B">
        <w:t xml:space="preserve">w sposób oczywisty nieuzasadniona </w:t>
      </w:r>
      <w:r w:rsidR="00BC5F79" w:rsidRPr="008C352B">
        <w:t xml:space="preserve">i zgodnie z art. 35 </w:t>
      </w:r>
      <w:r w:rsidR="009E5694" w:rsidRPr="008C352B">
        <w:t xml:space="preserve">ust. </w:t>
      </w:r>
      <w:r w:rsidR="00BC5F79" w:rsidRPr="008C352B">
        <w:t xml:space="preserve">3 lit. a i </w:t>
      </w:r>
      <w:r w:rsidR="009E5694" w:rsidRPr="008C352B">
        <w:t xml:space="preserve">ust. </w:t>
      </w:r>
      <w:r w:rsidR="00BC5F79" w:rsidRPr="008C352B">
        <w:t>4 Konwencji winna być odrzucona.</w:t>
      </w:r>
    </w:p>
    <w:p w14:paraId="75E4BAA9" w14:textId="5812B2EB" w:rsidR="00BC5F79" w:rsidRPr="008C352B" w:rsidRDefault="00BC5F79" w:rsidP="008D10C9">
      <w:pPr>
        <w:pStyle w:val="ECHRHeading1"/>
      </w:pPr>
      <w:r w:rsidRPr="008C352B">
        <w:t>III.</w:t>
      </w:r>
      <w:r w:rsidR="00410690" w:rsidRPr="008C352B">
        <w:t xml:space="preserve"> </w:t>
      </w:r>
      <w:r w:rsidRPr="008C352B">
        <w:t>INNE ZARZUTY NARUSZENIA KONWENCJI</w:t>
      </w:r>
    </w:p>
    <w:p w14:paraId="62D9DFCA" w14:textId="11BE380A" w:rsidR="00BC5F79" w:rsidRPr="008C352B" w:rsidRDefault="00320F5A" w:rsidP="008D10C9">
      <w:pPr>
        <w:pStyle w:val="ECHRPara"/>
      </w:pPr>
      <w:r w:rsidRPr="008C352B">
        <w:t>120</w:t>
      </w:r>
      <w:r w:rsidR="00BC5F79" w:rsidRPr="008C352B">
        <w:t>.</w:t>
      </w:r>
      <w:r w:rsidR="00410690" w:rsidRPr="008C352B">
        <w:t xml:space="preserve"> </w:t>
      </w:r>
      <w:r w:rsidR="00BC5F79" w:rsidRPr="008C352B">
        <w:t xml:space="preserve">Skarżący podniósł szereg innych zarzutów z </w:t>
      </w:r>
      <w:r w:rsidR="009E5694" w:rsidRPr="008C352B">
        <w:t>art.</w:t>
      </w:r>
      <w:r w:rsidR="00BC5F79" w:rsidRPr="008C352B">
        <w:t xml:space="preserve"> 6 ust. 1 i 3 oraz </w:t>
      </w:r>
      <w:r w:rsidR="009E5694" w:rsidRPr="008C352B">
        <w:t>art.</w:t>
      </w:r>
      <w:r w:rsidR="00A16BDA">
        <w:t> </w:t>
      </w:r>
      <w:r w:rsidR="00BC5F79" w:rsidRPr="008C352B">
        <w:t>7 Konwencji w odniesieniu do postępowania dyscyplinarnego.</w:t>
      </w:r>
    </w:p>
    <w:p w14:paraId="5B6B2A50" w14:textId="3457767C" w:rsidR="00BC5F79" w:rsidRPr="008C352B" w:rsidRDefault="00320F5A" w:rsidP="008D10C9">
      <w:pPr>
        <w:pStyle w:val="ECHRPara"/>
      </w:pPr>
      <w:r w:rsidRPr="008C352B">
        <w:t>121</w:t>
      </w:r>
      <w:r w:rsidR="00BC5F79" w:rsidRPr="008C352B">
        <w:t>.</w:t>
      </w:r>
      <w:r w:rsidR="00410690" w:rsidRPr="008C352B">
        <w:t xml:space="preserve"> </w:t>
      </w:r>
      <w:r w:rsidR="00BC5F79" w:rsidRPr="008C352B">
        <w:t>Trybunał uznał już wcześniej, że postępowanie dyscyplinarne w</w:t>
      </w:r>
      <w:r w:rsidR="00A16BDA">
        <w:t> </w:t>
      </w:r>
      <w:r w:rsidR="00BC5F79" w:rsidRPr="008C352B">
        <w:t>przedmiotowej sprawie nie d</w:t>
      </w:r>
      <w:r w:rsidR="007D3578" w:rsidRPr="008C352B">
        <w:t xml:space="preserve">oprowadziło </w:t>
      </w:r>
      <w:r w:rsidR="00BC5F79" w:rsidRPr="008C352B">
        <w:t>do „</w:t>
      </w:r>
      <w:r w:rsidR="007D3578" w:rsidRPr="008C352B">
        <w:t>oskarżenia w sprawie karnej</w:t>
      </w:r>
      <w:r w:rsidR="00BC5F79" w:rsidRPr="008C352B">
        <w:t xml:space="preserve">” przeciwko skarżącemu w rozumieniu </w:t>
      </w:r>
      <w:r w:rsidR="009E5694" w:rsidRPr="008C352B">
        <w:t>art.</w:t>
      </w:r>
      <w:r w:rsidR="00BC5F79" w:rsidRPr="008C352B">
        <w:t xml:space="preserve"> 6 ust. 1 Konwencji (zob.</w:t>
      </w:r>
      <w:r w:rsidR="00A16BDA">
        <w:t> </w:t>
      </w:r>
      <w:r w:rsidR="00BC5F79" w:rsidRPr="008C352B">
        <w:t xml:space="preserve">paragrafy </w:t>
      </w:r>
      <w:r w:rsidR="009E5694" w:rsidRPr="008C352B">
        <w:t>50</w:t>
      </w:r>
      <w:r w:rsidR="00BC5F79" w:rsidRPr="008C352B">
        <w:t>-</w:t>
      </w:r>
      <w:r w:rsidR="009E5694" w:rsidRPr="008C352B">
        <w:t>53</w:t>
      </w:r>
      <w:r w:rsidR="00BC5F79" w:rsidRPr="008C352B">
        <w:t xml:space="preserve"> powyżej). </w:t>
      </w:r>
      <w:r w:rsidR="009E5694" w:rsidRPr="008C352B">
        <w:t xml:space="preserve">Art. </w:t>
      </w:r>
      <w:r w:rsidR="00BC5F79" w:rsidRPr="008C352B">
        <w:t xml:space="preserve">6 ust. 3 i </w:t>
      </w:r>
      <w:r w:rsidR="009E5694" w:rsidRPr="008C352B">
        <w:t xml:space="preserve">art. </w:t>
      </w:r>
      <w:r w:rsidR="00BC5F79" w:rsidRPr="008C352B">
        <w:t xml:space="preserve">7 Konwencji nie mają zatem zastosowania do przedmiotowej sprawy. Z tego wynika, że skargi te są niezgodne </w:t>
      </w:r>
      <w:r w:rsidR="00BC5F79" w:rsidRPr="008C352B">
        <w:rPr>
          <w:i/>
          <w:iCs/>
        </w:rPr>
        <w:t>ratione materiae</w:t>
      </w:r>
      <w:r w:rsidR="00BC5F79" w:rsidRPr="008C352B">
        <w:t xml:space="preserve"> z postanowieniami Konwencji i winny być odrzucone zgodnie z </w:t>
      </w:r>
      <w:r w:rsidR="009E5694" w:rsidRPr="008C352B">
        <w:t>art.</w:t>
      </w:r>
      <w:r w:rsidR="00BC5F79" w:rsidRPr="008C352B">
        <w:t xml:space="preserve"> 35 ust. 3 lit. a i ust. 4.</w:t>
      </w:r>
    </w:p>
    <w:p w14:paraId="3943286A" w14:textId="1A69525C" w:rsidR="00BC5F79" w:rsidRPr="008C352B" w:rsidRDefault="00320F5A" w:rsidP="008D10C9">
      <w:pPr>
        <w:pStyle w:val="ECHRPara"/>
      </w:pPr>
      <w:r w:rsidRPr="008C352B">
        <w:t>122</w:t>
      </w:r>
      <w:r w:rsidR="00BC5F79" w:rsidRPr="008C352B">
        <w:t>.</w:t>
      </w:r>
      <w:r w:rsidR="00410690" w:rsidRPr="008C352B">
        <w:t xml:space="preserve"> </w:t>
      </w:r>
      <w:r w:rsidR="00BC5F79" w:rsidRPr="008C352B">
        <w:t>W zakresie, w jakim skargi skarżącego dotyczą lub mieszczą się w</w:t>
      </w:r>
      <w:r w:rsidR="00A16BDA">
        <w:t> </w:t>
      </w:r>
      <w:r w:rsidR="00BC5F79" w:rsidRPr="008C352B">
        <w:t xml:space="preserve">zakresie </w:t>
      </w:r>
      <w:r w:rsidR="009E5694" w:rsidRPr="008C352B">
        <w:t>art.</w:t>
      </w:r>
      <w:r w:rsidR="00BC5F79" w:rsidRPr="008C352B">
        <w:t xml:space="preserve"> 6 ust. 1 Konwencji</w:t>
      </w:r>
      <w:r w:rsidR="007D3578" w:rsidRPr="008C352B">
        <w:t xml:space="preserve">, Trybunał stwierdza, </w:t>
      </w:r>
      <w:r w:rsidR="00BC5F79" w:rsidRPr="008C352B">
        <w:t xml:space="preserve">w świetle całego materiału będącego w jego posiadaniu oraz w zakresie, w jakim będące przedmiotem zaskarżenia kwestie znajdują się w jego kompetencji, że nie miało miejsce naruszenie praw i </w:t>
      </w:r>
      <w:r w:rsidR="007D3578" w:rsidRPr="008C352B">
        <w:t>wolności</w:t>
      </w:r>
      <w:r w:rsidR="00BC5F79" w:rsidRPr="008C352B">
        <w:t xml:space="preserve"> określonych w Konwen</w:t>
      </w:r>
      <w:r w:rsidR="007D3578" w:rsidRPr="008C352B">
        <w:t xml:space="preserve">cji ani jej </w:t>
      </w:r>
      <w:r w:rsidR="007D3578" w:rsidRPr="008C352B">
        <w:lastRenderedPageBreak/>
        <w:t>Protokołach wskazanych</w:t>
      </w:r>
      <w:r w:rsidR="00BC5F79" w:rsidRPr="008C352B">
        <w:t xml:space="preserve"> w skardze. </w:t>
      </w:r>
      <w:r w:rsidR="00E33DE9" w:rsidRPr="008C352B">
        <w:t xml:space="preserve">W związku z powyższym </w:t>
      </w:r>
      <w:r w:rsidR="00BC5F79" w:rsidRPr="008C352B">
        <w:t>ta część skargi winna zostać odrzucona jako</w:t>
      </w:r>
      <w:r w:rsidR="00087DC9" w:rsidRPr="008C352B">
        <w:t xml:space="preserve"> w sposób oczywisty nieuzasadniona</w:t>
      </w:r>
      <w:r w:rsidR="00BC5F79" w:rsidRPr="008C352B">
        <w:t xml:space="preserve">, zgodnie z art. 35 </w:t>
      </w:r>
      <w:r w:rsidR="009E5694" w:rsidRPr="008C352B">
        <w:t>ust.</w:t>
      </w:r>
      <w:r w:rsidR="00BC5F79" w:rsidRPr="008C352B">
        <w:t xml:space="preserve"> 3 lit. a i 4 Konwencji.</w:t>
      </w:r>
    </w:p>
    <w:p w14:paraId="60722CD1" w14:textId="0E7E6F35" w:rsidR="00BC5F79" w:rsidRPr="008C352B" w:rsidRDefault="00BC5F79" w:rsidP="008D10C9">
      <w:pPr>
        <w:pStyle w:val="ECHRHeading1"/>
      </w:pPr>
      <w:r w:rsidRPr="008C352B">
        <w:t>IV.</w:t>
      </w:r>
      <w:r w:rsidR="00410690" w:rsidRPr="008C352B">
        <w:t xml:space="preserve"> </w:t>
      </w:r>
      <w:r w:rsidRPr="008C352B">
        <w:t xml:space="preserve">ZASTOSOWANIE </w:t>
      </w:r>
      <w:r w:rsidR="009E5694" w:rsidRPr="008C352B">
        <w:t>ART.</w:t>
      </w:r>
      <w:r w:rsidRPr="008C352B">
        <w:t xml:space="preserve"> 41 KONWENCJI</w:t>
      </w:r>
    </w:p>
    <w:p w14:paraId="172E449D" w14:textId="0C66908A" w:rsidR="00BC5F79" w:rsidRPr="008C352B" w:rsidRDefault="00320F5A" w:rsidP="008D10C9">
      <w:pPr>
        <w:pStyle w:val="ECHRPara"/>
      </w:pPr>
      <w:r w:rsidRPr="008C352B">
        <w:t>123</w:t>
      </w:r>
      <w:r w:rsidR="00BC5F79" w:rsidRPr="008C352B">
        <w:t>.</w:t>
      </w:r>
      <w:r w:rsidR="00410690" w:rsidRPr="008C352B">
        <w:t xml:space="preserve"> </w:t>
      </w:r>
      <w:r w:rsidR="009E5694" w:rsidRPr="008C352B">
        <w:t xml:space="preserve">Art. </w:t>
      </w:r>
      <w:r w:rsidR="00BC5F79" w:rsidRPr="008C352B">
        <w:t>41 Konwencji stwierdza:</w:t>
      </w:r>
    </w:p>
    <w:p w14:paraId="650B0A15" w14:textId="55C3BBF3" w:rsidR="00BC5F79" w:rsidRPr="008C352B" w:rsidRDefault="00BC5F79" w:rsidP="008D10C9">
      <w:pPr>
        <w:pStyle w:val="ECHRParaQuote"/>
        <w:keepNext/>
        <w:keepLines/>
      </w:pPr>
      <w:r w:rsidRPr="008C352B">
        <w:t>„Je</w:t>
      </w:r>
      <w:r w:rsidR="00087DC9" w:rsidRPr="008C352B">
        <w:t>śli</w:t>
      </w:r>
      <w:r w:rsidRPr="008C352B">
        <w:t xml:space="preserve">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38EB9AB" w14:textId="77777777" w:rsidR="00BC5F79" w:rsidRPr="008C352B" w:rsidRDefault="00BC5F79" w:rsidP="008D10C9">
      <w:pPr>
        <w:pStyle w:val="ECHRHeading2"/>
      </w:pPr>
      <w:r w:rsidRPr="008C352B">
        <w:t>A. Szkoda</w:t>
      </w:r>
    </w:p>
    <w:p w14:paraId="4575C07E" w14:textId="510E2D7F" w:rsidR="00BC5F79" w:rsidRPr="008C352B" w:rsidRDefault="00BC5F79" w:rsidP="008D10C9">
      <w:pPr>
        <w:pStyle w:val="ECHRHeading3"/>
      </w:pPr>
      <w:r w:rsidRPr="008C352B">
        <w:t>1.</w:t>
      </w:r>
      <w:r w:rsidR="00410690" w:rsidRPr="008C352B">
        <w:t xml:space="preserve"> </w:t>
      </w:r>
      <w:r w:rsidRPr="008C352B">
        <w:t>Wnioski stron</w:t>
      </w:r>
    </w:p>
    <w:p w14:paraId="516686DA" w14:textId="77777777" w:rsidR="00BC5F79" w:rsidRPr="008C352B" w:rsidRDefault="00BC5F79" w:rsidP="008D10C9">
      <w:pPr>
        <w:pStyle w:val="ECHRHeading4"/>
      </w:pPr>
      <w:r w:rsidRPr="008C352B">
        <w:t>(a) Skarżący</w:t>
      </w:r>
    </w:p>
    <w:p w14:paraId="6550344E" w14:textId="47F8D2F5" w:rsidR="00BC5F79" w:rsidRPr="008C352B" w:rsidRDefault="00320F5A" w:rsidP="008D10C9">
      <w:pPr>
        <w:pStyle w:val="ECHRPara"/>
      </w:pPr>
      <w:r w:rsidRPr="008C352B">
        <w:t>124</w:t>
      </w:r>
      <w:r w:rsidR="00BC5F79" w:rsidRPr="008C352B">
        <w:t>.</w:t>
      </w:r>
      <w:r w:rsidR="00410690" w:rsidRPr="008C352B">
        <w:t xml:space="preserve"> </w:t>
      </w:r>
      <w:r w:rsidR="00BC5F79" w:rsidRPr="008C352B">
        <w:t>W kwestii szkody majątkowej skarżący podniósł, że powinien otrzymać roczne wynagrodzenie i uposażenie (ryczałt emerytalny), do</w:t>
      </w:r>
      <w:r w:rsidR="00A16BDA">
        <w:t> </w:t>
      </w:r>
      <w:r w:rsidR="00BC5F79" w:rsidRPr="008C352B">
        <w:t>jakiego byłby uprawniony, gdyby pełnił funkcję prezesa SSP do</w:t>
      </w:r>
      <w:r w:rsidR="00A16BDA">
        <w:t> </w:t>
      </w:r>
      <w:r w:rsidR="00BC5F79" w:rsidRPr="008C352B">
        <w:t>przejścia w stan spoczynku w wieku sześćdziesięciu trzech lat w dniu 15</w:t>
      </w:r>
      <w:r w:rsidR="00A16BDA">
        <w:t> </w:t>
      </w:r>
      <w:r w:rsidR="00BC5F79" w:rsidRPr="008C352B">
        <w:t>czerwca 2012 r. Podniósł, że całkowita szkoda majątkowa, jaką poniósł, może wyn</w:t>
      </w:r>
      <w:r w:rsidR="007D3578" w:rsidRPr="008C352B">
        <w:t>osić</w:t>
      </w:r>
      <w:r w:rsidR="00BC5F79" w:rsidRPr="008C352B">
        <w:t xml:space="preserve"> 959 000 EUR. Na poparcie swojego roszczenia przedłożył raport z dnia 26 maja 2009 r.</w:t>
      </w:r>
      <w:r w:rsidR="007D3578" w:rsidRPr="008C352B">
        <w:t>,</w:t>
      </w:r>
      <w:r w:rsidR="00BC5F79" w:rsidRPr="008C352B">
        <w:t xml:space="preserve"> sporządzony przez prywatną firmę konsultingową i outsourcingową, z</w:t>
      </w:r>
      <w:r w:rsidR="007D3578" w:rsidRPr="008C352B">
        <w:t>awierający wyliczenie</w:t>
      </w:r>
      <w:r w:rsidR="00BC5F79" w:rsidRPr="008C352B">
        <w:t xml:space="preserve"> wynagrodzenia i</w:t>
      </w:r>
      <w:r w:rsidR="00A16BDA">
        <w:t> </w:t>
      </w:r>
      <w:r w:rsidR="00BC5F79" w:rsidRPr="008C352B">
        <w:t>uposażenia emerytalnego. Raport podał dwie szacunkowe wartości, zależnie od tego, czy świadczenie emerytalne wypłacane w danym czasie byłoby wypłacane w przyszłości: w pierwszym scenariuszu szacunek wynosił 601 800 EUR, w drugim 959 900 EUR.</w:t>
      </w:r>
    </w:p>
    <w:p w14:paraId="50F38FBE" w14:textId="2FC1EB54" w:rsidR="00BC5F79" w:rsidRPr="008C352B" w:rsidRDefault="00320F5A" w:rsidP="008D10C9">
      <w:pPr>
        <w:pStyle w:val="ECHRPara"/>
      </w:pPr>
      <w:r w:rsidRPr="008C352B">
        <w:t>125</w:t>
      </w:r>
      <w:r w:rsidR="00BC5F79" w:rsidRPr="008C352B">
        <w:t>.</w:t>
      </w:r>
      <w:r w:rsidR="00410690" w:rsidRPr="008C352B">
        <w:t xml:space="preserve"> </w:t>
      </w:r>
      <w:r w:rsidR="00BC5F79" w:rsidRPr="008C352B">
        <w:t>Skarżący domagał się 250 000 EUR z tytułu szkody niemajątkowej. Podniósł, że był dobrze znanym i szanowanym sędzią i prezesem SSP i</w:t>
      </w:r>
      <w:r w:rsidR="00A16BDA">
        <w:t> </w:t>
      </w:r>
      <w:r w:rsidR="007D3578" w:rsidRPr="008C352B">
        <w:t>poniósł</w:t>
      </w:r>
      <w:r w:rsidR="00BC5F79" w:rsidRPr="008C352B">
        <w:t xml:space="preserve"> </w:t>
      </w:r>
      <w:r w:rsidR="007D3578" w:rsidRPr="008C352B">
        <w:t xml:space="preserve">szkodę </w:t>
      </w:r>
      <w:r w:rsidR="00BC5F79" w:rsidRPr="008C352B">
        <w:t>na honorze i reputacji. Sąd Najwyższy wydał informację prasową dotyczącą decyzji dyscyplinarnej, a zatem jego odwołanie zostało upublicznione.</w:t>
      </w:r>
    </w:p>
    <w:p w14:paraId="2ADE4C15" w14:textId="2B13FDE5" w:rsidR="00BC5F79" w:rsidRPr="008C352B" w:rsidRDefault="00320F5A" w:rsidP="008D10C9">
      <w:pPr>
        <w:pStyle w:val="ECHRPara"/>
      </w:pPr>
      <w:r w:rsidRPr="008C352B">
        <w:t>126</w:t>
      </w:r>
      <w:r w:rsidR="00BC5F79" w:rsidRPr="008C352B">
        <w:t>.</w:t>
      </w:r>
      <w:r w:rsidR="00410690" w:rsidRPr="008C352B">
        <w:t xml:space="preserve"> </w:t>
      </w:r>
      <w:r w:rsidR="00BC5F79" w:rsidRPr="008C352B">
        <w:t>Skarżący argumentował, że istniało bezpośrednie powiązanie pomiędzy zaskarżonym naruszeniem a szkodami, jakie poniósł z obu tych tytułów.</w:t>
      </w:r>
    </w:p>
    <w:p w14:paraId="2D199639" w14:textId="77777777" w:rsidR="00BC5F79" w:rsidRPr="008C352B" w:rsidRDefault="00BC5F79" w:rsidP="008D10C9">
      <w:pPr>
        <w:pStyle w:val="ECHRHeading4"/>
      </w:pPr>
      <w:r w:rsidRPr="008C352B">
        <w:t>(b) Rząd</w:t>
      </w:r>
    </w:p>
    <w:p w14:paraId="49A4E551" w14:textId="0D8C2E6E" w:rsidR="00BC5F79" w:rsidRPr="008C352B" w:rsidRDefault="00320F5A" w:rsidP="008D10C9">
      <w:pPr>
        <w:pStyle w:val="ECHRPara"/>
      </w:pPr>
      <w:r w:rsidRPr="008C352B">
        <w:rPr>
          <w:rStyle w:val="ECHRParaChar"/>
          <w:lang w:eastAsia="pl-PL"/>
        </w:rPr>
        <w:t>127</w:t>
      </w:r>
      <w:r w:rsidR="00BC5F79" w:rsidRPr="008C352B">
        <w:rPr>
          <w:rStyle w:val="ECHRParaChar"/>
          <w:lang w:eastAsia="pl-PL"/>
        </w:rPr>
        <w:t>.</w:t>
      </w:r>
      <w:r w:rsidR="00410690" w:rsidRPr="008C352B">
        <w:rPr>
          <w:rStyle w:val="ECHRParaChar"/>
          <w:lang w:eastAsia="pl-PL"/>
        </w:rPr>
        <w:t xml:space="preserve"> </w:t>
      </w:r>
      <w:r w:rsidR="00BC5F79" w:rsidRPr="008C352B">
        <w:rPr>
          <w:rStyle w:val="ECHRParaChar"/>
          <w:lang w:eastAsia="pl-PL"/>
        </w:rPr>
        <w:t xml:space="preserve">Rząd odrzucił roszczenia skarżącego z obu tytułów jako </w:t>
      </w:r>
      <w:r w:rsidR="007D3578" w:rsidRPr="008C352B">
        <w:rPr>
          <w:rStyle w:val="ECHRParaChar"/>
          <w:lang w:eastAsia="pl-PL"/>
        </w:rPr>
        <w:t>znacznie</w:t>
      </w:r>
      <w:r w:rsidR="00BC5F79" w:rsidRPr="008C352B">
        <w:rPr>
          <w:rStyle w:val="ECHRParaChar"/>
          <w:lang w:eastAsia="pl-PL"/>
        </w:rPr>
        <w:t xml:space="preserve"> zawyżone. Nie przedstawił dalszych argumentów</w:t>
      </w:r>
      <w:r w:rsidR="007D3578" w:rsidRPr="008C352B">
        <w:rPr>
          <w:rStyle w:val="ECHRParaChar"/>
          <w:lang w:eastAsia="pl-PL"/>
        </w:rPr>
        <w:t>,</w:t>
      </w:r>
      <w:r w:rsidR="00BC5F79" w:rsidRPr="008C352B">
        <w:rPr>
          <w:rStyle w:val="ECHRParaChar"/>
          <w:lang w:eastAsia="pl-PL"/>
        </w:rPr>
        <w:t xml:space="preserve"> lecz stwierdził, że</w:t>
      </w:r>
      <w:r w:rsidR="00A16BDA">
        <w:rPr>
          <w:rStyle w:val="ECHRParaChar"/>
          <w:lang w:eastAsia="pl-PL"/>
        </w:rPr>
        <w:t> </w:t>
      </w:r>
      <w:r w:rsidR="007D3578" w:rsidRPr="008C352B">
        <w:rPr>
          <w:rStyle w:val="ECHRParaChar"/>
          <w:lang w:eastAsia="pl-PL"/>
        </w:rPr>
        <w:t>w</w:t>
      </w:r>
      <w:r w:rsidR="00A16BDA">
        <w:rPr>
          <w:rStyle w:val="ECHRParaChar"/>
          <w:lang w:eastAsia="pl-PL"/>
        </w:rPr>
        <w:t> </w:t>
      </w:r>
      <w:r w:rsidR="007D3578" w:rsidRPr="008C352B">
        <w:rPr>
          <w:rStyle w:val="ECHRParaChar"/>
          <w:lang w:eastAsia="pl-PL"/>
        </w:rPr>
        <w:t xml:space="preserve">przypadku stwierdzenia naruszenia </w:t>
      </w:r>
      <w:r w:rsidR="00BC5F79" w:rsidRPr="008C352B">
        <w:rPr>
          <w:rStyle w:val="ECHRParaChar"/>
          <w:lang w:eastAsia="pl-PL"/>
        </w:rPr>
        <w:t xml:space="preserve">zastrzega </w:t>
      </w:r>
      <w:r w:rsidR="007D3578" w:rsidRPr="008C352B">
        <w:rPr>
          <w:rStyle w:val="ECHRParaChar"/>
          <w:lang w:eastAsia="pl-PL"/>
        </w:rPr>
        <w:t xml:space="preserve">sobie </w:t>
      </w:r>
      <w:r w:rsidR="00BC5F79" w:rsidRPr="008C352B">
        <w:rPr>
          <w:rStyle w:val="ECHRParaChar"/>
          <w:lang w:eastAsia="pl-PL"/>
        </w:rPr>
        <w:t>prawo</w:t>
      </w:r>
      <w:r w:rsidR="007D3578" w:rsidRPr="008C352B">
        <w:rPr>
          <w:rStyle w:val="ECHRParaChar"/>
          <w:lang w:eastAsia="pl-PL"/>
        </w:rPr>
        <w:t xml:space="preserve"> </w:t>
      </w:r>
      <w:r w:rsidR="00BC5F79" w:rsidRPr="008C352B">
        <w:rPr>
          <w:rStyle w:val="ECHRParaChar"/>
          <w:lang w:eastAsia="pl-PL"/>
        </w:rPr>
        <w:t>do</w:t>
      </w:r>
      <w:r w:rsidR="00A16BDA">
        <w:rPr>
          <w:rStyle w:val="ECHRParaChar"/>
          <w:lang w:eastAsia="pl-PL"/>
        </w:rPr>
        <w:t> </w:t>
      </w:r>
      <w:r w:rsidR="00BC5F79" w:rsidRPr="008C352B">
        <w:rPr>
          <w:rStyle w:val="ECHRParaChar"/>
          <w:lang w:eastAsia="pl-PL"/>
        </w:rPr>
        <w:t>wniesienia uwag co do tych roszczeń, w szczególności w zakresie utraconych zarobków i innych korzyści.</w:t>
      </w:r>
    </w:p>
    <w:p w14:paraId="55FE41BF" w14:textId="5BB1C5BE" w:rsidR="00BC5F79" w:rsidRPr="008C352B" w:rsidRDefault="00BC5F79" w:rsidP="008D10C9">
      <w:pPr>
        <w:pStyle w:val="ECHRHeading3"/>
      </w:pPr>
      <w:r w:rsidRPr="008C352B">
        <w:lastRenderedPageBreak/>
        <w:t>2.</w:t>
      </w:r>
      <w:r w:rsidR="00410690" w:rsidRPr="008C352B">
        <w:t xml:space="preserve"> </w:t>
      </w:r>
      <w:r w:rsidRPr="008C352B">
        <w:t>Ocena Trybunału</w:t>
      </w:r>
    </w:p>
    <w:p w14:paraId="162D16C1" w14:textId="3F3BAE64" w:rsidR="00BC5F79" w:rsidRPr="008C352B" w:rsidRDefault="00320F5A" w:rsidP="008D10C9">
      <w:pPr>
        <w:pStyle w:val="ECHRPara"/>
      </w:pPr>
      <w:r w:rsidRPr="008C352B">
        <w:t>128</w:t>
      </w:r>
      <w:r w:rsidR="00BC5F79" w:rsidRPr="008C352B">
        <w:t>.</w:t>
      </w:r>
      <w:r w:rsidR="00410690" w:rsidRPr="008C352B">
        <w:t xml:space="preserve"> </w:t>
      </w:r>
      <w:r w:rsidR="00BC5F79" w:rsidRPr="008C352B">
        <w:t xml:space="preserve">W zakresie roszczenia skarżącego z tytułu szkody majątkowej Trybunał stwierdza, że </w:t>
      </w:r>
      <w:r w:rsidR="007D3578" w:rsidRPr="008C352B">
        <w:t>opiera się</w:t>
      </w:r>
      <w:r w:rsidR="00BC5F79" w:rsidRPr="008C352B">
        <w:t xml:space="preserve"> ono na założeniu, że stwierdzenie </w:t>
      </w:r>
      <w:r w:rsidR="00125645" w:rsidRPr="008C352B">
        <w:t xml:space="preserve">przez Trybunał </w:t>
      </w:r>
      <w:r w:rsidR="00BC5F79" w:rsidRPr="008C352B">
        <w:t xml:space="preserve">naruszenia </w:t>
      </w:r>
      <w:r w:rsidR="009E5694" w:rsidRPr="008C352B">
        <w:t>art.</w:t>
      </w:r>
      <w:r w:rsidR="00BC5F79" w:rsidRPr="008C352B">
        <w:t xml:space="preserve"> 6 ust. 1 oznaczałoby, że nie powinien być odwołany ze stanowiska</w:t>
      </w:r>
      <w:r w:rsidR="007E02AC" w:rsidRPr="008C352B">
        <w:t xml:space="preserve"> za </w:t>
      </w:r>
      <w:r w:rsidR="00E313D2" w:rsidRPr="008C352B">
        <w:rPr>
          <w:rStyle w:val="JuParaCar"/>
        </w:rPr>
        <w:t>uchybienie w wykonywaniu funkcji sędziego</w:t>
      </w:r>
      <w:r w:rsidR="00BC5F79" w:rsidRPr="008C352B">
        <w:t>. Jednakże Trybunał stwierdza, że przyznanie s</w:t>
      </w:r>
      <w:r w:rsidR="00087DC9" w:rsidRPr="008C352B">
        <w:t>łusznego</w:t>
      </w:r>
      <w:r w:rsidR="00BC5F79" w:rsidRPr="008C352B">
        <w:t xml:space="preserve"> zadośćuczynienia może opierać się tylko na fakcie, że </w:t>
      </w:r>
      <w:r w:rsidR="00125645" w:rsidRPr="008C352B">
        <w:t xml:space="preserve">wskutek wady funkcjonalnej </w:t>
      </w:r>
      <w:r w:rsidR="00BC5F79" w:rsidRPr="008C352B">
        <w:t>skarżący nie mógł korzystać z</w:t>
      </w:r>
      <w:r w:rsidR="00C4560E" w:rsidRPr="008C352B">
        <w:t>e</w:t>
      </w:r>
      <w:r w:rsidR="00BC5F79" w:rsidRPr="008C352B">
        <w:t xml:space="preserve"> wszystkich gwarancji zapewnianych przez </w:t>
      </w:r>
      <w:r w:rsidR="009E5694" w:rsidRPr="008C352B">
        <w:t xml:space="preserve">art. </w:t>
      </w:r>
      <w:r w:rsidR="00BC5F79" w:rsidRPr="008C352B">
        <w:t>6 ust.</w:t>
      </w:r>
      <w:r w:rsidR="00A16BDA">
        <w:t> </w:t>
      </w:r>
      <w:r w:rsidR="00BC5F79" w:rsidRPr="008C352B">
        <w:t xml:space="preserve">1 Konwencji. Trybunał nie może spekulować na temat tego, jaki byłby wynik postępowania </w:t>
      </w:r>
      <w:r w:rsidR="00125645" w:rsidRPr="008C352B">
        <w:t xml:space="preserve">zgodnego </w:t>
      </w:r>
      <w:r w:rsidR="00BC5F79" w:rsidRPr="008C352B">
        <w:t xml:space="preserve">z </w:t>
      </w:r>
      <w:r w:rsidR="009E5694" w:rsidRPr="008C352B">
        <w:t>art.</w:t>
      </w:r>
      <w:r w:rsidR="00BC5F79" w:rsidRPr="008C352B">
        <w:t xml:space="preserve"> 6 ust. 1 Konwencji (zob. paragraf </w:t>
      </w:r>
      <w:r w:rsidR="009E5694" w:rsidRPr="008C352B">
        <w:t>111</w:t>
      </w:r>
      <w:r w:rsidR="00BC5F79" w:rsidRPr="008C352B">
        <w:t xml:space="preserve"> powyżej). W rezultacie Trybunał nie widzi związku przyczynowo-skutkowego pomiędzy naruszeniem </w:t>
      </w:r>
      <w:r w:rsidR="009E5694" w:rsidRPr="008C352B">
        <w:t>art.</w:t>
      </w:r>
      <w:r w:rsidR="00125645" w:rsidRPr="008C352B">
        <w:t xml:space="preserve"> 6 ust. 1 a</w:t>
      </w:r>
      <w:r w:rsidR="00BC5F79" w:rsidRPr="008C352B">
        <w:t xml:space="preserve"> rzekomą szkodą majątkową. Nie ma zatem podstaw</w:t>
      </w:r>
      <w:r w:rsidR="00125645" w:rsidRPr="008C352B">
        <w:t>,</w:t>
      </w:r>
      <w:r w:rsidR="00BC5F79" w:rsidRPr="008C352B">
        <w:t xml:space="preserve"> by przyznać odszkodowanie z tego tytułu (zob. </w:t>
      </w:r>
      <w:r w:rsidR="00125645" w:rsidRPr="008C352B">
        <w:rPr>
          <w:iCs/>
        </w:rPr>
        <w:t>m.</w:t>
      </w:r>
      <w:r w:rsidR="00BC5F79" w:rsidRPr="008C352B">
        <w:rPr>
          <w:iCs/>
        </w:rPr>
        <w:t>in.</w:t>
      </w:r>
      <w:r w:rsidR="00BC5F79" w:rsidRPr="008C352B">
        <w:t xml:space="preserve"> </w:t>
      </w:r>
      <w:proofErr w:type="spellStart"/>
      <w:r w:rsidR="00BC5F79" w:rsidRPr="008C352B">
        <w:rPr>
          <w:i/>
          <w:iCs/>
        </w:rPr>
        <w:t>Poposki</w:t>
      </w:r>
      <w:proofErr w:type="spellEnd"/>
      <w:r w:rsidR="00BC5F79" w:rsidRPr="008C352B">
        <w:rPr>
          <w:i/>
          <w:iCs/>
        </w:rPr>
        <w:t xml:space="preserve"> i Duma</w:t>
      </w:r>
      <w:r w:rsidR="00BC5F79" w:rsidRPr="008C352B">
        <w:t xml:space="preserve">, </w:t>
      </w:r>
      <w:r w:rsidR="00BC5F79" w:rsidRPr="008C352B">
        <w:rPr>
          <w:snapToGrid w:val="0"/>
        </w:rPr>
        <w:t xml:space="preserve">§ 60, </w:t>
      </w:r>
      <w:r w:rsidR="00BC5F79" w:rsidRPr="008C352B">
        <w:t xml:space="preserve">i </w:t>
      </w:r>
      <w:proofErr w:type="spellStart"/>
      <w:r w:rsidR="00BC5F79" w:rsidRPr="008C352B">
        <w:rPr>
          <w:i/>
          <w:iCs/>
        </w:rPr>
        <w:t>Mitrinovski</w:t>
      </w:r>
      <w:proofErr w:type="spellEnd"/>
      <w:r w:rsidR="00BC5F79" w:rsidRPr="008C352B">
        <w:rPr>
          <w:snapToGrid w:val="0"/>
        </w:rPr>
        <w:t xml:space="preserve">, § 56, cyt. powyżej, </w:t>
      </w:r>
      <w:r w:rsidR="00125645" w:rsidRPr="008C352B">
        <w:rPr>
          <w:snapToGrid w:val="0"/>
        </w:rPr>
        <w:t>i</w:t>
      </w:r>
      <w:r w:rsidR="00A16BDA">
        <w:rPr>
          <w:snapToGrid w:val="0"/>
        </w:rPr>
        <w:t> </w:t>
      </w:r>
      <w:r w:rsidR="00BC5F79" w:rsidRPr="008C352B">
        <w:rPr>
          <w:snapToGrid w:val="0"/>
        </w:rPr>
        <w:t>dalsze odwołania tamże).</w:t>
      </w:r>
    </w:p>
    <w:p w14:paraId="5ACE9FD6" w14:textId="2D92C950" w:rsidR="00BC5F79" w:rsidRPr="008C352B" w:rsidRDefault="00320F5A" w:rsidP="008D10C9">
      <w:pPr>
        <w:pStyle w:val="ECHRPara"/>
      </w:pPr>
      <w:r w:rsidRPr="008C352B">
        <w:t>129</w:t>
      </w:r>
      <w:r w:rsidR="00BC5F79" w:rsidRPr="008C352B">
        <w:t>.</w:t>
      </w:r>
      <w:r w:rsidR="00410690" w:rsidRPr="008C352B">
        <w:t xml:space="preserve"> </w:t>
      </w:r>
      <w:r w:rsidR="00BC5F79" w:rsidRPr="008C352B">
        <w:t>Z drugiej strony, w odniesieniu do stwierdzonego naruszenia</w:t>
      </w:r>
      <w:r w:rsidR="00490683" w:rsidRPr="008C352B">
        <w:t>,</w:t>
      </w:r>
      <w:r w:rsidR="00BC5F79" w:rsidRPr="008C352B">
        <w:t xml:space="preserve"> </w:t>
      </w:r>
      <w:bookmarkStart w:id="6" w:name="HIT5"/>
      <w:bookmarkEnd w:id="6"/>
      <w:r w:rsidR="00490683" w:rsidRPr="008C352B">
        <w:t xml:space="preserve">orzekając w oparciu o </w:t>
      </w:r>
      <w:r w:rsidR="00BC5F79" w:rsidRPr="008C352B">
        <w:t>zasad</w:t>
      </w:r>
      <w:r w:rsidR="00490683" w:rsidRPr="008C352B">
        <w:t>ę</w:t>
      </w:r>
      <w:r w:rsidR="00BC5F79" w:rsidRPr="008C352B">
        <w:t xml:space="preserve"> słuszności, zgodnie z wymogiem </w:t>
      </w:r>
      <w:r w:rsidR="009E5694" w:rsidRPr="008C352B">
        <w:t>art.</w:t>
      </w:r>
      <w:r w:rsidR="00BC5F79" w:rsidRPr="008C352B">
        <w:t xml:space="preserve"> 41 Konwencji, [T</w:t>
      </w:r>
      <w:r w:rsidR="00490683" w:rsidRPr="008C352B">
        <w:t>rybunał] przyznaje skarżącemu kwotę 7</w:t>
      </w:r>
      <w:r w:rsidR="00BC5F79" w:rsidRPr="008C352B">
        <w:t>800 EUR z tytułu s</w:t>
      </w:r>
      <w:r w:rsidR="00490683" w:rsidRPr="008C352B">
        <w:t>zkody niemajątkowej, powiększoną</w:t>
      </w:r>
      <w:r w:rsidR="00BC5F79" w:rsidRPr="008C352B">
        <w:t xml:space="preserve"> o wszelki należny podatek.</w:t>
      </w:r>
    </w:p>
    <w:p w14:paraId="43D6B7A6" w14:textId="77777777" w:rsidR="00BC5F79" w:rsidRPr="008C352B" w:rsidRDefault="00BC5F79" w:rsidP="008D10C9">
      <w:pPr>
        <w:pStyle w:val="ECHRHeading2"/>
      </w:pPr>
      <w:r w:rsidRPr="008C352B">
        <w:t>B. Koszty i wydatki</w:t>
      </w:r>
    </w:p>
    <w:p w14:paraId="1F502C28" w14:textId="1CD86436" w:rsidR="00BC5F79" w:rsidRPr="008C352B" w:rsidRDefault="00320F5A" w:rsidP="008D10C9">
      <w:pPr>
        <w:pStyle w:val="ECHRPara"/>
      </w:pPr>
      <w:r w:rsidRPr="008C352B">
        <w:t>130</w:t>
      </w:r>
      <w:r w:rsidR="00BC5F79" w:rsidRPr="008C352B">
        <w:t>.</w:t>
      </w:r>
      <w:r w:rsidR="00410690" w:rsidRPr="008C352B">
        <w:t xml:space="preserve"> </w:t>
      </w:r>
      <w:r w:rsidR="00BC5F79" w:rsidRPr="008C352B">
        <w:t>Skarżący żądał kwoty 19 648 EUR tytułem honorarium prawnika w</w:t>
      </w:r>
      <w:r w:rsidR="00A16BDA">
        <w:t> </w:t>
      </w:r>
      <w:r w:rsidR="00BC5F79" w:rsidRPr="008C352B">
        <w:t>związku z postępowaniem przed NRS. Złożył fakturę z dnia 25 września 2006 r. Roszczenie obejmowało 15 377 EUR z tytułu spotkań, przygotowywania wniosków w sprawie oraz rozpraw</w:t>
      </w:r>
      <w:r w:rsidR="00490683" w:rsidRPr="008C352B">
        <w:t xml:space="preserve"> i </w:t>
      </w:r>
      <w:r w:rsidR="00BC5F79" w:rsidRPr="008C352B">
        <w:t>staw</w:t>
      </w:r>
      <w:r w:rsidR="00490683" w:rsidRPr="008C352B">
        <w:t>iennictwa prawnika przed NRS; 1</w:t>
      </w:r>
      <w:r w:rsidR="00BC5F79" w:rsidRPr="008C352B">
        <w:t>708,60 EUR z tytułu mowy końcowej prawnika oraz</w:t>
      </w:r>
      <w:r w:rsidR="00A16BDA">
        <w:t> </w:t>
      </w:r>
      <w:r w:rsidR="00BC5F79" w:rsidRPr="008C352B">
        <w:t>2562,90 EUR VAT w stawce 15%.</w:t>
      </w:r>
    </w:p>
    <w:p w14:paraId="61BAADA1" w14:textId="348921CB" w:rsidR="00BC5F79" w:rsidRPr="008C352B" w:rsidRDefault="00320F5A" w:rsidP="008D10C9">
      <w:pPr>
        <w:pStyle w:val="ECHRPara"/>
      </w:pPr>
      <w:r w:rsidRPr="008C352B">
        <w:t>131</w:t>
      </w:r>
      <w:r w:rsidR="00BC5F79" w:rsidRPr="008C352B">
        <w:t>.</w:t>
      </w:r>
      <w:r w:rsidR="00410690" w:rsidRPr="008C352B">
        <w:t xml:space="preserve"> </w:t>
      </w:r>
      <w:r w:rsidR="00490683" w:rsidRPr="008C352B">
        <w:t>Skarżący również żądał 1</w:t>
      </w:r>
      <w:r w:rsidR="00BC5F79" w:rsidRPr="008C352B">
        <w:t>437,50 EUR za opinię eksperta, którą</w:t>
      </w:r>
      <w:r w:rsidR="00A16BDA">
        <w:t> </w:t>
      </w:r>
      <w:r w:rsidR="00BC5F79" w:rsidRPr="008C352B">
        <w:t>przedłożył do Trybunału w związku z roszczeniem z tytułu szkody majątkowej. Załączył kopię faktury.</w:t>
      </w:r>
    </w:p>
    <w:p w14:paraId="51A3F50B" w14:textId="0BE228BD" w:rsidR="00BC5F79" w:rsidRPr="008C352B" w:rsidRDefault="00320F5A" w:rsidP="008D10C9">
      <w:pPr>
        <w:pStyle w:val="ECHRPara"/>
      </w:pPr>
      <w:r w:rsidRPr="008C352B">
        <w:t>132</w:t>
      </w:r>
      <w:r w:rsidR="00BC5F79" w:rsidRPr="008C352B">
        <w:t>.</w:t>
      </w:r>
      <w:r w:rsidR="00410690" w:rsidRPr="008C352B">
        <w:t xml:space="preserve"> </w:t>
      </w:r>
      <w:r w:rsidR="00BC5F79" w:rsidRPr="008C352B">
        <w:t>Rząd odrzucił roszczenia jako zawyżone i zastrzegł prawo do</w:t>
      </w:r>
      <w:r w:rsidR="00A16BDA">
        <w:t> </w:t>
      </w:r>
      <w:r w:rsidR="00BC5F79" w:rsidRPr="008C352B">
        <w:t>wniesienia dalszych wniosków w przypadku stwierdzenia naruszenia.</w:t>
      </w:r>
    </w:p>
    <w:p w14:paraId="19FC94FE" w14:textId="34A8DE5F" w:rsidR="00BC5F79" w:rsidRPr="008C352B" w:rsidRDefault="00320F5A" w:rsidP="008D10C9">
      <w:pPr>
        <w:pStyle w:val="ECHRPara"/>
      </w:pPr>
      <w:r w:rsidRPr="008C352B">
        <w:t>133</w:t>
      </w:r>
      <w:r w:rsidR="00BC5F79" w:rsidRPr="008C352B">
        <w:t>.</w:t>
      </w:r>
      <w:r w:rsidR="00410690" w:rsidRPr="008C352B">
        <w:t xml:space="preserve"> </w:t>
      </w:r>
      <w:r w:rsidR="00BC5F79" w:rsidRPr="008C352B">
        <w:t xml:space="preserve">Trybunał stwierdza, że wyłącznie koszty prawne i wydatki, które zostały </w:t>
      </w:r>
      <w:r w:rsidR="00490683" w:rsidRPr="008C352B">
        <w:t>rzeczywiście i w sposób konieczny</w:t>
      </w:r>
      <w:r w:rsidR="00BC5F79" w:rsidRPr="008C352B">
        <w:t xml:space="preserve"> poniesione, </w:t>
      </w:r>
      <w:r w:rsidR="00490683" w:rsidRPr="008C352B">
        <w:t>i</w:t>
      </w:r>
      <w:r w:rsidR="00BC5F79" w:rsidRPr="008C352B">
        <w:t xml:space="preserve"> które są uzasadnione c</w:t>
      </w:r>
      <w:r w:rsidR="00490683" w:rsidRPr="008C352B">
        <w:t>o do kwoty, podlegają zwrotowi na podstawie</w:t>
      </w:r>
      <w:r w:rsidR="00BC5F79" w:rsidRPr="008C352B">
        <w:t xml:space="preserve"> </w:t>
      </w:r>
      <w:r w:rsidR="009E5694" w:rsidRPr="008C352B">
        <w:t>art.</w:t>
      </w:r>
      <w:r w:rsidR="00BC5F79" w:rsidRPr="008C352B">
        <w:t xml:space="preserve"> 41 Konwencji. Może to obejmować krajowe koszty prawne rzeczywiście i</w:t>
      </w:r>
      <w:r w:rsidR="00A16BDA">
        <w:t> </w:t>
      </w:r>
      <w:r w:rsidR="00490683" w:rsidRPr="008C352B">
        <w:t>w</w:t>
      </w:r>
      <w:r w:rsidR="00A16BDA">
        <w:t> </w:t>
      </w:r>
      <w:r w:rsidR="00490683" w:rsidRPr="008C352B">
        <w:t xml:space="preserve">sposób konieczny </w:t>
      </w:r>
      <w:r w:rsidR="00BC5F79" w:rsidRPr="008C352B">
        <w:t>poniesione celem zapobie</w:t>
      </w:r>
      <w:r w:rsidR="00490683" w:rsidRPr="008C352B">
        <w:t>żenia</w:t>
      </w:r>
      <w:r w:rsidR="00BC5F79" w:rsidRPr="008C352B">
        <w:t xml:space="preserve"> </w:t>
      </w:r>
      <w:r w:rsidR="00490683" w:rsidRPr="008C352B">
        <w:t>naruszeniu Konwencji lub zadośćuczynienia</w:t>
      </w:r>
      <w:r w:rsidR="00BC5F79" w:rsidRPr="008C352B">
        <w:t xml:space="preserve"> </w:t>
      </w:r>
      <w:r w:rsidR="00490683" w:rsidRPr="008C352B">
        <w:t xml:space="preserve">za nie </w:t>
      </w:r>
      <w:r w:rsidR="00BC5F79" w:rsidRPr="008C352B">
        <w:t xml:space="preserve">(zob. np. </w:t>
      </w:r>
      <w:proofErr w:type="spellStart"/>
      <w:r w:rsidR="00BC5F79" w:rsidRPr="008C352B">
        <w:rPr>
          <w:i/>
          <w:iCs/>
        </w:rPr>
        <w:t>Associated</w:t>
      </w:r>
      <w:proofErr w:type="spellEnd"/>
      <w:r w:rsidR="00BC5F79" w:rsidRPr="008C352B">
        <w:rPr>
          <w:i/>
          <w:iCs/>
        </w:rPr>
        <w:t xml:space="preserve"> Society of </w:t>
      </w:r>
      <w:proofErr w:type="spellStart"/>
      <w:r w:rsidR="00BC5F79" w:rsidRPr="008C352B">
        <w:rPr>
          <w:i/>
          <w:iCs/>
        </w:rPr>
        <w:t>Locomotive</w:t>
      </w:r>
      <w:proofErr w:type="spellEnd"/>
      <w:r w:rsidR="00BC5F79" w:rsidRPr="008C352B">
        <w:rPr>
          <w:i/>
          <w:iCs/>
        </w:rPr>
        <w:t xml:space="preserve"> </w:t>
      </w:r>
      <w:proofErr w:type="spellStart"/>
      <w:r w:rsidR="00BC5F79" w:rsidRPr="008C352B">
        <w:rPr>
          <w:i/>
          <w:iCs/>
        </w:rPr>
        <w:t>Engineers</w:t>
      </w:r>
      <w:proofErr w:type="spellEnd"/>
      <w:r w:rsidR="00BC5F79" w:rsidRPr="008C352B">
        <w:rPr>
          <w:i/>
          <w:iCs/>
        </w:rPr>
        <w:t xml:space="preserve"> and </w:t>
      </w:r>
      <w:proofErr w:type="spellStart"/>
      <w:r w:rsidR="00BC5F79" w:rsidRPr="008C352B">
        <w:rPr>
          <w:i/>
          <w:iCs/>
        </w:rPr>
        <w:t>Firemen</w:t>
      </w:r>
      <w:proofErr w:type="spellEnd"/>
      <w:r w:rsidR="00BC5F79" w:rsidRPr="008C352B">
        <w:rPr>
          <w:i/>
          <w:iCs/>
        </w:rPr>
        <w:t xml:space="preserve"> (ASLEF) przeciwko Wielkiej Brytanii</w:t>
      </w:r>
      <w:r w:rsidR="00BC5F79" w:rsidRPr="008C352B">
        <w:t xml:space="preserve">, nr 11002/05, § 58, 27 lutego 2007 r., </w:t>
      </w:r>
      <w:r w:rsidR="00490683" w:rsidRPr="008C352B">
        <w:t xml:space="preserve">i </w:t>
      </w:r>
      <w:r w:rsidR="00BC5F79" w:rsidRPr="008C352B">
        <w:t>dalsze odwołania tamże).</w:t>
      </w:r>
    </w:p>
    <w:p w14:paraId="09ECA0A1" w14:textId="1BD4C6DC" w:rsidR="00BC5F79" w:rsidRPr="008C352B" w:rsidRDefault="00320F5A" w:rsidP="008D10C9">
      <w:pPr>
        <w:pStyle w:val="ECHRPara"/>
      </w:pPr>
      <w:r w:rsidRPr="008C352B">
        <w:t>134</w:t>
      </w:r>
      <w:r w:rsidR="00BC5F79" w:rsidRPr="008C352B">
        <w:t>.</w:t>
      </w:r>
      <w:r w:rsidR="00410690" w:rsidRPr="008C352B">
        <w:t xml:space="preserve"> </w:t>
      </w:r>
      <w:r w:rsidR="00BC5F79" w:rsidRPr="008C352B">
        <w:t>W zakresie, w jakim roszczenie skarżącego dotyczy kosztów i</w:t>
      </w:r>
      <w:r w:rsidR="00A16BDA">
        <w:t> </w:t>
      </w:r>
      <w:r w:rsidR="00BC5F79" w:rsidRPr="008C352B">
        <w:t>wydatków poniesionych p</w:t>
      </w:r>
      <w:r w:rsidR="00490683" w:rsidRPr="008C352B">
        <w:t>rzed NRS, uwzględniając</w:t>
      </w:r>
      <w:r w:rsidR="00BC5F79" w:rsidRPr="008C352B">
        <w:t xml:space="preserve"> dokumenty znajdujące </w:t>
      </w:r>
      <w:r w:rsidR="00BC5F79" w:rsidRPr="008C352B">
        <w:lastRenderedPageBreak/>
        <w:t xml:space="preserve">się w </w:t>
      </w:r>
      <w:r w:rsidR="00490683" w:rsidRPr="008C352B">
        <w:t xml:space="preserve">jego </w:t>
      </w:r>
      <w:r w:rsidR="00BC5F79" w:rsidRPr="008C352B">
        <w:t xml:space="preserve">posiadaniu oraz powyższe kryteria, </w:t>
      </w:r>
      <w:r w:rsidR="00490683" w:rsidRPr="008C352B">
        <w:t xml:space="preserve">oraz </w:t>
      </w:r>
      <w:r w:rsidR="00BC5F79" w:rsidRPr="008C352B">
        <w:t>odnotowując w</w:t>
      </w:r>
      <w:r w:rsidR="00A16BDA">
        <w:t> </w:t>
      </w:r>
      <w:r w:rsidR="00BC5F79" w:rsidRPr="008C352B">
        <w:t>szczególności, że na fakturze brakuje wystarczających szczegółów (listy), Trybunał uważa, że uzasadnione jest przyznanie skarżącemu z tego tytułu kwoty 10 000 EUR.</w:t>
      </w:r>
    </w:p>
    <w:p w14:paraId="55DAF77C" w14:textId="4CDD9726" w:rsidR="00BC5F79" w:rsidRPr="008C352B" w:rsidRDefault="00320F5A" w:rsidP="008D10C9">
      <w:pPr>
        <w:pStyle w:val="ECHRPara"/>
      </w:pPr>
      <w:r w:rsidRPr="008C352B">
        <w:t>135</w:t>
      </w:r>
      <w:r w:rsidR="00BC5F79" w:rsidRPr="008C352B">
        <w:t>.</w:t>
      </w:r>
      <w:r w:rsidR="00410690" w:rsidRPr="008C352B">
        <w:t xml:space="preserve"> </w:t>
      </w:r>
      <w:r w:rsidR="00BC5F79" w:rsidRPr="008C352B">
        <w:t>W zakresie roszczenia z tytułu wydatków poniesionych na</w:t>
      </w:r>
      <w:r w:rsidR="00A16BDA">
        <w:t> </w:t>
      </w:r>
      <w:r w:rsidR="00BC5F79" w:rsidRPr="008C352B">
        <w:t>przygotowanie opinii eksperta Trybunał stwierdza, że nie były one poniesione w sposób konieczny, mając na uwadze fakt, iż [Trybunał] od</w:t>
      </w:r>
      <w:r w:rsidR="00490683" w:rsidRPr="008C352B">
        <w:t>dalił</w:t>
      </w:r>
      <w:r w:rsidR="00BC5F79" w:rsidRPr="008C352B">
        <w:t xml:space="preserve"> roszczenie skarżącego z tytułu szkody majątkowej.</w:t>
      </w:r>
    </w:p>
    <w:p w14:paraId="4C553653" w14:textId="77777777" w:rsidR="00BC5F79" w:rsidRPr="008C352B" w:rsidRDefault="00BC5F79" w:rsidP="008D10C9">
      <w:pPr>
        <w:pStyle w:val="ECHRHeading2"/>
      </w:pPr>
      <w:r w:rsidRPr="008C352B">
        <w:t>C. Odsetki z tytułu zwłoki.</w:t>
      </w:r>
    </w:p>
    <w:p w14:paraId="7C11E5AA" w14:textId="5C211A46" w:rsidR="00BC5F79" w:rsidRPr="008C352B" w:rsidRDefault="00320F5A" w:rsidP="008D10C9">
      <w:pPr>
        <w:pStyle w:val="ECHRPara"/>
      </w:pPr>
      <w:r w:rsidRPr="008C352B">
        <w:t>136</w:t>
      </w:r>
      <w:r w:rsidR="00BC5F79" w:rsidRPr="008C352B">
        <w:t>.</w:t>
      </w:r>
      <w:r w:rsidR="00410690" w:rsidRPr="008C352B">
        <w:t xml:space="preserve"> </w:t>
      </w:r>
      <w:r w:rsidR="00BC5F79" w:rsidRPr="008C352B">
        <w:t>Trybunał uważa, że odsetki z tytułu zwłoki należy ustalić zgodnie z marginalną stopą procentową Europejskiego Banku Centralnego, plus trzy punkty procentowe.</w:t>
      </w:r>
    </w:p>
    <w:p w14:paraId="55A4B0F4" w14:textId="77777777" w:rsidR="00BC5F79" w:rsidRPr="008C352B" w:rsidRDefault="00BC5F79" w:rsidP="008D10C9">
      <w:pPr>
        <w:pStyle w:val="ECHRTitle1"/>
      </w:pPr>
      <w:r w:rsidRPr="008C352B">
        <w:t>Z TYCH PRZYCZYN TRYBUNAŁ,</w:t>
      </w:r>
    </w:p>
    <w:p w14:paraId="2A2566C5" w14:textId="353718D7" w:rsidR="00BC5F79" w:rsidRPr="008C352B" w:rsidRDefault="00BC5F79" w:rsidP="008D10C9">
      <w:pPr>
        <w:pStyle w:val="JuList"/>
      </w:pPr>
      <w:r w:rsidRPr="008C352B">
        <w:t>1.</w:t>
      </w:r>
      <w:r w:rsidR="00490683" w:rsidRPr="008C352B">
        <w:tab/>
      </w:r>
      <w:r w:rsidR="00490683" w:rsidRPr="008C352B">
        <w:rPr>
          <w:i/>
        </w:rPr>
        <w:t>Uznaje</w:t>
      </w:r>
      <w:r w:rsidRPr="008C352B">
        <w:t xml:space="preserve">, większością głosów, że skarga z </w:t>
      </w:r>
      <w:r w:rsidR="009E5694" w:rsidRPr="008C352B">
        <w:t>art.</w:t>
      </w:r>
      <w:r w:rsidRPr="008C352B">
        <w:t xml:space="preserve"> 6 ust. 1 Konwencji dotycząca bezstronności NRS jest dopuszczalna, a pozostała część skargi jest niedopuszczalna;</w:t>
      </w:r>
    </w:p>
    <w:p w14:paraId="77E45D25" w14:textId="77777777" w:rsidR="00BC5F79" w:rsidRPr="008C352B" w:rsidRDefault="00BC5F79" w:rsidP="008D10C9">
      <w:pPr>
        <w:pStyle w:val="JuList"/>
        <w:ind w:left="0" w:firstLine="0"/>
      </w:pPr>
    </w:p>
    <w:p w14:paraId="0ED63C85" w14:textId="05ABD623" w:rsidR="00BC5F79" w:rsidRPr="008C352B" w:rsidRDefault="00BC5F79" w:rsidP="008D10C9">
      <w:pPr>
        <w:pStyle w:val="JuList"/>
      </w:pPr>
      <w:r w:rsidRPr="008C352B">
        <w:t>2.</w:t>
      </w:r>
      <w:r w:rsidR="00410690" w:rsidRPr="008C352B">
        <w:t xml:space="preserve"> </w:t>
      </w:r>
      <w:r w:rsidR="00490683" w:rsidRPr="008C352B">
        <w:t xml:space="preserve"> </w:t>
      </w:r>
      <w:r w:rsidR="00490683" w:rsidRPr="008C352B">
        <w:rPr>
          <w:i/>
        </w:rPr>
        <w:t>Orzeka</w:t>
      </w:r>
      <w:r w:rsidRPr="008C352B">
        <w:t>, stosunkiem głosów sześciu do jednego, że doszło do naruszenia art. 6 ust. 1 Konwencji;</w:t>
      </w:r>
    </w:p>
    <w:p w14:paraId="4BDC7955" w14:textId="77777777" w:rsidR="00BC5F79" w:rsidRPr="008C352B" w:rsidRDefault="00BC5F79" w:rsidP="008D10C9">
      <w:pPr>
        <w:pStyle w:val="JuList"/>
      </w:pPr>
    </w:p>
    <w:p w14:paraId="64278280" w14:textId="14AD8224" w:rsidR="00BC5F79" w:rsidRPr="008C352B" w:rsidRDefault="00BC5F79" w:rsidP="008D10C9">
      <w:pPr>
        <w:pStyle w:val="JuList"/>
      </w:pPr>
      <w:r w:rsidRPr="008C352B">
        <w:t>3.</w:t>
      </w:r>
      <w:r w:rsidR="00490683" w:rsidRPr="008C352B">
        <w:t xml:space="preserve">   </w:t>
      </w:r>
      <w:r w:rsidR="00490683" w:rsidRPr="008C352B">
        <w:rPr>
          <w:i/>
        </w:rPr>
        <w:t>Orzeka</w:t>
      </w:r>
      <w:r w:rsidRPr="008C352B">
        <w:t>, stosunkiem głosów sześciu do jednego,</w:t>
      </w:r>
    </w:p>
    <w:p w14:paraId="5AC6536C" w14:textId="12317FFB" w:rsidR="00BC5F79" w:rsidRPr="008C352B" w:rsidRDefault="00BC5F79" w:rsidP="008D10C9">
      <w:pPr>
        <w:pStyle w:val="JuLista"/>
      </w:pPr>
      <w:r w:rsidRPr="008C352B">
        <w:t>(a) że pozwane Państwo winno zapłacić skarżącemu, w terminie trzech miesięcy od daty</w:t>
      </w:r>
      <w:r w:rsidR="00087DC9" w:rsidRPr="008C352B">
        <w:t xml:space="preserve">, w której wyrok stanie się ostateczny </w:t>
      </w:r>
      <w:r w:rsidRPr="008C352B">
        <w:t xml:space="preserve">zgodnie z </w:t>
      </w:r>
      <w:r w:rsidR="009E5694" w:rsidRPr="008C352B">
        <w:t>art.</w:t>
      </w:r>
      <w:r w:rsidRPr="008C352B">
        <w:t xml:space="preserve"> 44 ust. 2 Konwencji, poniższe kwoty:</w:t>
      </w:r>
    </w:p>
    <w:p w14:paraId="057B37CB" w14:textId="10078BA4" w:rsidR="00BC5F79" w:rsidRPr="008C352B" w:rsidRDefault="00BC5F79" w:rsidP="008D10C9">
      <w:pPr>
        <w:pStyle w:val="JuListi"/>
      </w:pPr>
      <w:r w:rsidRPr="008C352B">
        <w:t>(i) 7800 EUR (siedem tysięcy osiemset euro) plus wszelki należny podatek, tytułem szkody niemajątkowej;</w:t>
      </w:r>
    </w:p>
    <w:p w14:paraId="63182D40" w14:textId="77777777" w:rsidR="00BC5F79" w:rsidRPr="008C352B" w:rsidRDefault="00BC5F79" w:rsidP="008D10C9">
      <w:pPr>
        <w:pStyle w:val="JuListi"/>
      </w:pPr>
      <w:r w:rsidRPr="008C352B">
        <w:t>(ii) 10 000 EUR (dziesięć tysięcy euro) plus wszelki należny podatek należny od skarżącego, tytułem kosztów i wydatków;</w:t>
      </w:r>
    </w:p>
    <w:p w14:paraId="318CED88" w14:textId="4A798495" w:rsidR="00BC5F79" w:rsidRPr="008C352B" w:rsidRDefault="00BC5F79" w:rsidP="008D10C9">
      <w:pPr>
        <w:pStyle w:val="JuLista"/>
      </w:pPr>
      <w:r w:rsidRPr="008C352B">
        <w:t>(b) od upływu wyżej wskazanego terminu trzech miesięcy aż</w:t>
      </w:r>
      <w:r w:rsidR="00A16BDA">
        <w:t> </w:t>
      </w:r>
      <w:r w:rsidRPr="008C352B">
        <w:t>do</w:t>
      </w:r>
      <w:r w:rsidR="00A16BDA">
        <w:t> </w:t>
      </w:r>
      <w:r w:rsidRPr="008C352B">
        <w:t xml:space="preserve">momentu uregulowania należności, </w:t>
      </w:r>
      <w:r w:rsidR="007D7C83" w:rsidRPr="008C352B">
        <w:t>płatne</w:t>
      </w:r>
      <w:r w:rsidRPr="008C352B">
        <w:t xml:space="preserve"> będą odsetki zwykłe od</w:t>
      </w:r>
      <w:r w:rsidR="00A16BDA">
        <w:t> </w:t>
      </w:r>
      <w:r w:rsidRPr="008C352B">
        <w:t>określonych powyżej kwot, naliczone według stopy równej marginalnej stopie procentowej Europejskiego Banku Centralnego obowiązującej w tym okresie, powiększonej o trzy punkty procentowe;</w:t>
      </w:r>
    </w:p>
    <w:p w14:paraId="068148DC" w14:textId="77777777" w:rsidR="00BC5F79" w:rsidRPr="008C352B" w:rsidRDefault="00BC5F79" w:rsidP="008D10C9">
      <w:pPr>
        <w:pStyle w:val="JuList"/>
      </w:pPr>
    </w:p>
    <w:p w14:paraId="28D4DA38" w14:textId="209FF0C0" w:rsidR="00BC5F79" w:rsidRPr="008C352B" w:rsidRDefault="00BC5F79" w:rsidP="008D10C9">
      <w:pPr>
        <w:pStyle w:val="JuList"/>
      </w:pPr>
      <w:r w:rsidRPr="008C352B">
        <w:t>4.</w:t>
      </w:r>
      <w:r w:rsidR="00410690" w:rsidRPr="008C352B">
        <w:t xml:space="preserve"> </w:t>
      </w:r>
      <w:r w:rsidRPr="008C352B">
        <w:rPr>
          <w:i/>
          <w:iCs/>
        </w:rPr>
        <w:t>Oddala</w:t>
      </w:r>
      <w:r w:rsidRPr="008C352B">
        <w:t xml:space="preserve"> jednogłośnie pozostałą część żądania skarżącego dotycząc</w:t>
      </w:r>
      <w:r w:rsidR="007D7C83" w:rsidRPr="008C352B">
        <w:t>ego</w:t>
      </w:r>
      <w:r w:rsidR="00087DC9" w:rsidRPr="008C352B">
        <w:t xml:space="preserve"> słusznego</w:t>
      </w:r>
      <w:r w:rsidRPr="008C352B">
        <w:t xml:space="preserve"> zadośćuczynienia.</w:t>
      </w:r>
    </w:p>
    <w:p w14:paraId="08C455F6" w14:textId="32E037C6" w:rsidR="00BC5F79" w:rsidRPr="008C352B" w:rsidRDefault="00BC5F79" w:rsidP="008D10C9">
      <w:pPr>
        <w:pStyle w:val="JuParaLast"/>
      </w:pPr>
      <w:r w:rsidRPr="008C352B">
        <w:lastRenderedPageBreak/>
        <w:t>Sporządzono w języku angielskim i obwieszczono pisemnie w dniu 31</w:t>
      </w:r>
      <w:r w:rsidR="00A16BDA">
        <w:t> </w:t>
      </w:r>
      <w:r w:rsidRPr="008C352B">
        <w:t xml:space="preserve">października 2017 r., zgodnie z </w:t>
      </w:r>
      <w:r w:rsidR="009E5694" w:rsidRPr="008C352B">
        <w:t xml:space="preserve">Regułą </w:t>
      </w:r>
      <w:r w:rsidRPr="008C352B">
        <w:t>77 §§ 2 i 3 Regulaminu Trybunału.</w:t>
      </w:r>
    </w:p>
    <w:p w14:paraId="6F227A02" w14:textId="77777777" w:rsidR="00BC5F79" w:rsidRPr="008C352B" w:rsidRDefault="00BC5F79" w:rsidP="008D10C9">
      <w:pPr>
        <w:pStyle w:val="JuSigned"/>
      </w:pPr>
      <w:r w:rsidRPr="008C352B">
        <w:tab/>
        <w:t>Stephen Phillips</w:t>
      </w:r>
      <w:r w:rsidRPr="008C352B">
        <w:tab/>
        <w:t xml:space="preserve">Helena </w:t>
      </w:r>
      <w:proofErr w:type="spellStart"/>
      <w:r w:rsidRPr="008C352B">
        <w:t>Jäderblom</w:t>
      </w:r>
      <w:proofErr w:type="spellEnd"/>
      <w:r w:rsidRPr="008C352B">
        <w:br/>
      </w:r>
      <w:r w:rsidRPr="008C352B">
        <w:tab/>
        <w:t>Kanclerz</w:t>
      </w:r>
      <w:r w:rsidRPr="008C352B">
        <w:tab/>
        <w:t>Przewodnicząca</w:t>
      </w:r>
    </w:p>
    <w:p w14:paraId="18AF8F0C" w14:textId="7E02681D" w:rsidR="00BC5F79" w:rsidRPr="008C352B" w:rsidRDefault="00BC5F79" w:rsidP="008D10C9">
      <w:pPr>
        <w:pStyle w:val="JuParaLast"/>
      </w:pPr>
      <w:r w:rsidRPr="008C352B">
        <w:t xml:space="preserve">Zgodnie z </w:t>
      </w:r>
      <w:r w:rsidR="009E5694" w:rsidRPr="008C352B">
        <w:t>art.</w:t>
      </w:r>
      <w:r w:rsidRPr="008C352B">
        <w:t xml:space="preserve"> 45 </w:t>
      </w:r>
      <w:r w:rsidR="009E5694" w:rsidRPr="008C352B">
        <w:t xml:space="preserve">ust. </w:t>
      </w:r>
      <w:r w:rsidRPr="008C352B">
        <w:t xml:space="preserve">2 Konwencji i </w:t>
      </w:r>
      <w:r w:rsidR="009E5694" w:rsidRPr="008C352B">
        <w:t xml:space="preserve">Regułą </w:t>
      </w:r>
      <w:r w:rsidR="00FE4052" w:rsidRPr="008C352B">
        <w:t>74 § 2 Regulaminu Trybunału</w:t>
      </w:r>
      <w:r w:rsidRPr="008C352B">
        <w:t xml:space="preserve"> </w:t>
      </w:r>
      <w:r w:rsidR="00FE4052" w:rsidRPr="008C352B">
        <w:t xml:space="preserve">do niniejszego wyroku została załączona </w:t>
      </w:r>
      <w:r w:rsidRPr="008C352B">
        <w:t xml:space="preserve">opinia odrębna sędziego </w:t>
      </w:r>
      <w:proofErr w:type="spellStart"/>
      <w:r w:rsidRPr="008C352B">
        <w:t>Pamballisa</w:t>
      </w:r>
      <w:proofErr w:type="spellEnd"/>
      <w:r w:rsidRPr="008C352B">
        <w:t>.</w:t>
      </w:r>
    </w:p>
    <w:p w14:paraId="220F7DA0" w14:textId="77777777" w:rsidR="00BC5F79" w:rsidRPr="008C352B" w:rsidRDefault="00BC5F79" w:rsidP="008D10C9">
      <w:pPr>
        <w:pStyle w:val="JuInitialled"/>
      </w:pPr>
      <w:r w:rsidRPr="008C352B">
        <w:t>H.J.</w:t>
      </w:r>
      <w:r w:rsidRPr="008C352B">
        <w:br/>
        <w:t>J.S.P.</w:t>
      </w:r>
    </w:p>
    <w:p w14:paraId="47533ACA" w14:textId="77777777" w:rsidR="00BC5F79" w:rsidRPr="00087DC9" w:rsidRDefault="00BC5F79" w:rsidP="00DD619F">
      <w:pPr>
        <w:pStyle w:val="JuInitialled"/>
        <w:jc w:val="center"/>
      </w:pPr>
      <w:r w:rsidRPr="008C352B">
        <w:t>[Opinia odrębna została pominięta w niniejszym tłumaczeniu]</w:t>
      </w:r>
      <w:r w:rsidRPr="00087DC9">
        <w:t xml:space="preserve"> </w:t>
      </w:r>
    </w:p>
    <w:sectPr w:rsidR="00BC5F79" w:rsidRPr="00087DC9" w:rsidSect="00507079">
      <w:headerReference w:type="default" r:id="rId14"/>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10E6C" w14:textId="77777777" w:rsidR="00AB2E93" w:rsidRPr="00535BB8" w:rsidRDefault="00AB2E93" w:rsidP="00014566">
      <w:r w:rsidRPr="00535BB8">
        <w:separator/>
      </w:r>
    </w:p>
  </w:endnote>
  <w:endnote w:type="continuationSeparator" w:id="0">
    <w:p w14:paraId="614ED7D9" w14:textId="77777777" w:rsidR="00AB2E93" w:rsidRPr="00535BB8" w:rsidRDefault="00AB2E93" w:rsidP="00014566">
      <w:r w:rsidRPr="00535BB8">
        <w:continuationSeparator/>
      </w:r>
    </w:p>
  </w:endnote>
  <w:endnote w:type="continuationNotice" w:id="1">
    <w:p w14:paraId="3AE710C7" w14:textId="77777777" w:rsidR="00AB2E93" w:rsidRDefault="00AB2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2D18A" w14:textId="77777777" w:rsidR="00D557BD" w:rsidRDefault="00D557B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DCFE5" w14:textId="77777777" w:rsidR="005507A4" w:rsidRDefault="005507A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F9A0F" w14:textId="77777777" w:rsidR="005507A4" w:rsidRPr="00150BFA" w:rsidRDefault="005507A4" w:rsidP="004C4B01">
    <w:pPr>
      <w:jc w:val="center"/>
    </w:pPr>
    <w:r>
      <w:rPr>
        <w:noProof/>
        <w:lang w:eastAsia="pl-PL"/>
      </w:rPr>
      <w:drawing>
        <wp:inline distT="0" distB="0" distL="0" distR="0" wp14:anchorId="5E8521A9" wp14:editId="34692DC2">
          <wp:extent cx="762000" cy="616585"/>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6585"/>
                  </a:xfrm>
                  <a:prstGeom prst="rect">
                    <a:avLst/>
                  </a:prstGeom>
                  <a:noFill/>
                  <a:ln>
                    <a:noFill/>
                  </a:ln>
                </pic:spPr>
              </pic:pic>
            </a:graphicData>
          </a:graphic>
        </wp:inline>
      </w:drawing>
    </w:r>
  </w:p>
  <w:p w14:paraId="18A5FE54" w14:textId="77777777" w:rsidR="005507A4" w:rsidRDefault="005507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3994D" w14:textId="77777777" w:rsidR="00AB2E93" w:rsidRPr="00535BB8" w:rsidRDefault="00AB2E93" w:rsidP="00014566">
      <w:r w:rsidRPr="00535BB8">
        <w:separator/>
      </w:r>
    </w:p>
  </w:footnote>
  <w:footnote w:type="continuationSeparator" w:id="0">
    <w:p w14:paraId="63E804E3" w14:textId="77777777" w:rsidR="00AB2E93" w:rsidRPr="00535BB8" w:rsidRDefault="00AB2E93" w:rsidP="00014566">
      <w:r w:rsidRPr="00535BB8">
        <w:continuationSeparator/>
      </w:r>
    </w:p>
  </w:footnote>
  <w:footnote w:type="continuationNotice" w:id="1">
    <w:p w14:paraId="2899C75B" w14:textId="77777777" w:rsidR="00AB2E93" w:rsidRDefault="00AB2E93"/>
  </w:footnote>
  <w:footnote w:id="2">
    <w:p w14:paraId="5F034527" w14:textId="77777777" w:rsidR="005507A4" w:rsidRPr="00E33DE9" w:rsidRDefault="005507A4" w:rsidP="008B2B8F">
      <w:pPr>
        <w:pStyle w:val="s50c0b1c7"/>
        <w:jc w:val="both"/>
        <w:rPr>
          <w:lang w:val="en-GB"/>
        </w:rPr>
      </w:pPr>
      <w:r>
        <w:rPr>
          <w:rStyle w:val="Odwoanieprzypisudolnego"/>
          <w:sz w:val="20"/>
          <w:szCs w:val="20"/>
        </w:rPr>
        <w:footnoteRef/>
      </w:r>
      <w:r>
        <w:t xml:space="preserve"> </w:t>
      </w:r>
      <w:r>
        <w:rPr>
          <w:sz w:val="20"/>
          <w:szCs w:val="20"/>
        </w:rPr>
        <w:t>Źródło: Nota informacyjna na temat orzecznictwa Trybunału nr 211, październik 2017 r. (</w:t>
      </w:r>
      <w:r>
        <w:rPr>
          <w:rStyle w:val="s3aeeab2"/>
          <w:i/>
          <w:iCs/>
          <w:sz w:val="20"/>
          <w:szCs w:val="20"/>
        </w:rPr>
        <w:t xml:space="preserve">Information </w:t>
      </w:r>
      <w:proofErr w:type="spellStart"/>
      <w:r>
        <w:rPr>
          <w:rStyle w:val="s3aeeab2"/>
          <w:i/>
          <w:iCs/>
          <w:sz w:val="20"/>
          <w:szCs w:val="20"/>
        </w:rPr>
        <w:t>Note</w:t>
      </w:r>
      <w:proofErr w:type="spellEnd"/>
      <w:r>
        <w:rPr>
          <w:rStyle w:val="s3aeeab2"/>
          <w:i/>
          <w:iCs/>
          <w:sz w:val="20"/>
          <w:szCs w:val="20"/>
        </w:rPr>
        <w:t xml:space="preserve"> 211. </w:t>
      </w:r>
      <w:r w:rsidRPr="007E2E62">
        <w:rPr>
          <w:rStyle w:val="s3aeeab2"/>
          <w:i/>
          <w:iCs/>
          <w:sz w:val="20"/>
          <w:szCs w:val="20"/>
          <w:lang w:val="en-US"/>
        </w:rPr>
        <w:t xml:space="preserve">Case-law of the European Court of Human Rights, </w:t>
      </w:r>
      <w:r w:rsidRPr="007E2E62">
        <w:rPr>
          <w:rStyle w:val="sfbbfee58"/>
          <w:i/>
          <w:iCs/>
          <w:sz w:val="20"/>
          <w:szCs w:val="20"/>
          <w:lang w:val="en-US"/>
        </w:rPr>
        <w:t>October</w:t>
      </w:r>
      <w:r w:rsidRPr="0064694E">
        <w:rPr>
          <w:rStyle w:val="sfbbfee58"/>
          <w:i/>
          <w:iCs/>
          <w:sz w:val="20"/>
          <w:szCs w:val="20"/>
          <w:lang w:val="en-US"/>
        </w:rPr>
        <w:t> </w:t>
      </w:r>
      <w:r w:rsidRPr="007E2E62">
        <w:rPr>
          <w:rStyle w:val="sfbbfee58"/>
          <w:i/>
          <w:iCs/>
          <w:sz w:val="20"/>
          <w:szCs w:val="20"/>
          <w:lang w:val="en-US"/>
        </w:rPr>
        <w:t>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0C6FB" w14:textId="77777777" w:rsidR="005507A4" w:rsidRPr="00535BB8" w:rsidRDefault="005507A4" w:rsidP="00AE3DC1">
    <w:pPr>
      <w:pStyle w:val="Nagwek"/>
      <w:tabs>
        <w:tab w:val="clear" w:pos="9072"/>
        <w:tab w:val="right" w:pos="7371"/>
      </w:tabs>
      <w:ind w:left="851"/>
      <w:jc w:val="center"/>
    </w:pPr>
    <w:r>
      <w:rPr>
        <w:sz w:val="18"/>
        <w:szCs w:val="18"/>
      </w:rPr>
      <w:t xml:space="preserve"> WYROK W SPRAWIE KAMENOS PRZECIWKO CYPROWI </w:t>
    </w:r>
    <w:r w:rsidRPr="00535BB8">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F87444">
      <w:rPr>
        <w:rStyle w:val="Numerstrony"/>
        <w:noProof/>
        <w:szCs w:val="18"/>
      </w:rPr>
      <w:t>22</w:t>
    </w:r>
    <w:r>
      <w:rPr>
        <w:rStyle w:val="Numerstrony"/>
        <w:szCs w:val="18"/>
      </w:rPr>
      <w:fldChar w:fldCharType="end"/>
    </w:r>
  </w:p>
  <w:p w14:paraId="365E4E8C" w14:textId="77777777" w:rsidR="005507A4" w:rsidRPr="00DD619F" w:rsidRDefault="005507A4" w:rsidP="0051583E">
    <w:pPr>
      <w:pStyle w:val="Nagwek"/>
      <w:tabs>
        <w:tab w:val="clear" w:pos="9072"/>
        <w:tab w:val="right" w:pos="7230"/>
      </w:tabs>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D3562" w14:textId="77777777" w:rsidR="005507A4" w:rsidRPr="00C108E2" w:rsidRDefault="005507A4" w:rsidP="00C108E2">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C977F" w14:textId="77777777" w:rsidR="005507A4" w:rsidRPr="00A45145" w:rsidRDefault="005507A4" w:rsidP="004C4B01">
    <w:pPr>
      <w:jc w:val="center"/>
    </w:pPr>
    <w:r>
      <w:rPr>
        <w:noProof/>
        <w:lang w:eastAsia="pl-PL"/>
      </w:rPr>
      <w:drawing>
        <wp:inline distT="0" distB="0" distL="0" distR="0" wp14:anchorId="7E973E4C" wp14:editId="0B3DD79C">
          <wp:extent cx="2957830" cy="1219200"/>
          <wp:effectExtent l="0" t="0" r="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7830" cy="1219200"/>
                  </a:xfrm>
                  <a:prstGeom prst="rect">
                    <a:avLst/>
                  </a:prstGeom>
                  <a:noFill/>
                  <a:ln>
                    <a:noFill/>
                  </a:ln>
                </pic:spPr>
              </pic:pic>
            </a:graphicData>
          </a:graphic>
        </wp:inline>
      </w:drawing>
    </w:r>
  </w:p>
  <w:p w14:paraId="737CABF7" w14:textId="77777777" w:rsidR="005507A4" w:rsidRDefault="005507A4">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97CE5" w14:textId="77777777" w:rsidR="005507A4" w:rsidRPr="00DD619F" w:rsidRDefault="005507A4" w:rsidP="0051583E">
    <w:pPr>
      <w:pStyle w:val="ECHRHeader"/>
      <w:tabs>
        <w:tab w:val="left" w:pos="1276"/>
      </w:tabs>
    </w:pPr>
    <w:r>
      <w:tab/>
      <w:t xml:space="preserve">WYROK W SPRAWIE KAMENOS PRZECIWKO CYPROWI </w:t>
    </w:r>
    <w:r>
      <w:tab/>
    </w:r>
    <w:r w:rsidRPr="00DD619F">
      <w:rPr>
        <w:rStyle w:val="Numerstrony"/>
      </w:rPr>
      <w:fldChar w:fldCharType="begin"/>
    </w:r>
    <w:r w:rsidRPr="00DD619F">
      <w:rPr>
        <w:rStyle w:val="Numerstrony"/>
      </w:rPr>
      <w:instrText xml:space="preserve"> PAGE </w:instrText>
    </w:r>
    <w:r w:rsidRPr="00DD619F">
      <w:rPr>
        <w:rStyle w:val="Numerstrony"/>
      </w:rPr>
      <w:fldChar w:fldCharType="separate"/>
    </w:r>
    <w:r w:rsidR="00F87444">
      <w:rPr>
        <w:rStyle w:val="Numerstrony"/>
        <w:noProof/>
      </w:rPr>
      <w:t>23</w:t>
    </w:r>
    <w:r w:rsidRPr="00DD619F">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JuAppQuestion"/>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hint="default"/>
      </w:rPr>
    </w:lvl>
  </w:abstractNum>
  <w:abstractNum w:abstractNumId="5">
    <w:nsid w:val="FFFFFF81"/>
    <w:multiLevelType w:val="singleLevel"/>
    <w:tmpl w:val="536EF7E2"/>
    <w:lvl w:ilvl="0">
      <w:start w:val="1"/>
      <w:numFmt w:val="bullet"/>
      <w:pStyle w:val="Listapunktowana5"/>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rPr>
        <w:rFonts w:cs="Times New Roman"/>
      </w:rPr>
    </w:lvl>
  </w:abstractNum>
  <w:abstractNum w:abstractNumId="9">
    <w:nsid w:val="FFFFFF89"/>
    <w:multiLevelType w:val="singleLevel"/>
    <w:tmpl w:val="CB503256"/>
    <w:lvl w:ilvl="0">
      <w:start w:val="1"/>
      <w:numFmt w:val="bullet"/>
      <w:pStyle w:val="Listapunktowana2"/>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1FF7779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EE229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rPr>
    </w:lvl>
    <w:lvl w:ilvl="1">
      <w:start w:val="1"/>
      <w:numFmt w:val="bullet"/>
      <w:pStyle w:val="ECHRBullet2"/>
      <w:lvlText w:val=""/>
      <w:lvlJc w:val="left"/>
      <w:pPr>
        <w:tabs>
          <w:tab w:val="num" w:pos="1134"/>
        </w:tabs>
        <w:ind w:left="1135" w:hanging="284"/>
      </w:pPr>
      <w:rPr>
        <w:rFonts w:ascii="Wingdings" w:hAnsi="Wingdings" w:hint="default"/>
        <w:color w:val="0072BC"/>
      </w:rPr>
    </w:lvl>
    <w:lvl w:ilvl="2">
      <w:start w:val="1"/>
      <w:numFmt w:val="bullet"/>
      <w:pStyle w:val="ECHRBullet3"/>
      <w:lvlText w:val=""/>
      <w:lvlJc w:val="left"/>
      <w:pPr>
        <w:tabs>
          <w:tab w:val="num" w:pos="1418"/>
        </w:tabs>
        <w:ind w:left="1419" w:hanging="284"/>
      </w:pPr>
      <w:rPr>
        <w:rFonts w:ascii="Wingdings" w:hAnsi="Wingdings" w:hint="default"/>
        <w:color w:val="7F7F7F"/>
      </w:rPr>
    </w:lvl>
    <w:lvl w:ilvl="3">
      <w:start w:val="1"/>
      <w:numFmt w:val="bullet"/>
      <w:pStyle w:val="ECHRBullet4"/>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hint="default"/>
      </w:rPr>
    </w:lvl>
    <w:lvl w:ilvl="5" w:tplc="08090005">
      <w:start w:val="1"/>
      <w:numFmt w:val="bullet"/>
      <w:lvlText w:val=""/>
      <w:lvlJc w:val="left"/>
      <w:pPr>
        <w:tabs>
          <w:tab w:val="num" w:pos="4604"/>
        </w:tabs>
        <w:ind w:left="4604" w:hanging="360"/>
      </w:pPr>
      <w:rPr>
        <w:rFonts w:ascii="Wingdings" w:hAnsi="Wingdings" w:hint="default"/>
      </w:rPr>
    </w:lvl>
    <w:lvl w:ilvl="6" w:tplc="08090001">
      <w:start w:val="1"/>
      <w:numFmt w:val="bullet"/>
      <w:lvlText w:val=""/>
      <w:lvlJc w:val="left"/>
      <w:pPr>
        <w:tabs>
          <w:tab w:val="num" w:pos="5324"/>
        </w:tabs>
        <w:ind w:left="5324" w:hanging="360"/>
      </w:pPr>
      <w:rPr>
        <w:rFonts w:ascii="Symbol" w:hAnsi="Symbol" w:hint="default"/>
      </w:rPr>
    </w:lvl>
    <w:lvl w:ilvl="7" w:tplc="08090003">
      <w:start w:val="1"/>
      <w:numFmt w:val="bullet"/>
      <w:lvlText w:val="o"/>
      <w:lvlJc w:val="left"/>
      <w:pPr>
        <w:tabs>
          <w:tab w:val="num" w:pos="6044"/>
        </w:tabs>
        <w:ind w:left="6044" w:hanging="360"/>
      </w:pPr>
      <w:rPr>
        <w:rFonts w:ascii="Courier New" w:hAnsi="Courier New" w:hint="default"/>
      </w:rPr>
    </w:lvl>
    <w:lvl w:ilvl="8" w:tplc="08090005">
      <w:start w:val="1"/>
      <w:numFmt w:val="bullet"/>
      <w:lvlText w:val=""/>
      <w:lvlJc w:val="left"/>
      <w:pPr>
        <w:tabs>
          <w:tab w:val="num" w:pos="6764"/>
        </w:tabs>
        <w:ind w:left="6764" w:hanging="360"/>
      </w:pPr>
      <w:rPr>
        <w:rFonts w:ascii="Wingdings" w:hAnsi="Wingdings" w:hint="default"/>
      </w:rPr>
    </w:lvl>
  </w:abstractNum>
  <w:abstractNum w:abstractNumId="16">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1"/>
  </w:num>
  <w:num w:numId="23">
    <w:abstractNumId w:val="10"/>
  </w:num>
  <w:num w:numId="24">
    <w:abstractNumId w:val="16"/>
  </w:num>
  <w:num w:numId="25">
    <w:abstractNumId w:val="14"/>
  </w:num>
  <w:num w:numId="26">
    <w:abstractNumId w:val="13"/>
  </w:num>
  <w:num w:numId="2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AB6381"/>
    <w:rsid w:val="00000067"/>
    <w:rsid w:val="000010ED"/>
    <w:rsid w:val="000041F8"/>
    <w:rsid w:val="000042A8"/>
    <w:rsid w:val="00004308"/>
    <w:rsid w:val="00005BF0"/>
    <w:rsid w:val="00007154"/>
    <w:rsid w:val="000071A0"/>
    <w:rsid w:val="000103AE"/>
    <w:rsid w:val="000115E0"/>
    <w:rsid w:val="00011C5D"/>
    <w:rsid w:val="00011D69"/>
    <w:rsid w:val="00012AD3"/>
    <w:rsid w:val="00012E5E"/>
    <w:rsid w:val="000139A3"/>
    <w:rsid w:val="00013B63"/>
    <w:rsid w:val="00014566"/>
    <w:rsid w:val="00015C2D"/>
    <w:rsid w:val="00015F00"/>
    <w:rsid w:val="00016F22"/>
    <w:rsid w:val="00016F26"/>
    <w:rsid w:val="00022C1D"/>
    <w:rsid w:val="000267CA"/>
    <w:rsid w:val="00026DA4"/>
    <w:rsid w:val="000272DD"/>
    <w:rsid w:val="00034987"/>
    <w:rsid w:val="000350E3"/>
    <w:rsid w:val="00040B3C"/>
    <w:rsid w:val="00040DA4"/>
    <w:rsid w:val="00045640"/>
    <w:rsid w:val="00045968"/>
    <w:rsid w:val="00050EC6"/>
    <w:rsid w:val="0005116C"/>
    <w:rsid w:val="00053762"/>
    <w:rsid w:val="000561A7"/>
    <w:rsid w:val="000602DF"/>
    <w:rsid w:val="00061B05"/>
    <w:rsid w:val="00062973"/>
    <w:rsid w:val="00062D5D"/>
    <w:rsid w:val="000632D5"/>
    <w:rsid w:val="000644EE"/>
    <w:rsid w:val="00066D66"/>
    <w:rsid w:val="00067F7B"/>
    <w:rsid w:val="000719A0"/>
    <w:rsid w:val="00071ABC"/>
    <w:rsid w:val="000738E2"/>
    <w:rsid w:val="00080181"/>
    <w:rsid w:val="00084BF5"/>
    <w:rsid w:val="0008529E"/>
    <w:rsid w:val="000856D7"/>
    <w:rsid w:val="00087DC9"/>
    <w:rsid w:val="0009113B"/>
    <w:rsid w:val="000925AD"/>
    <w:rsid w:val="00092781"/>
    <w:rsid w:val="000955CF"/>
    <w:rsid w:val="0009563F"/>
    <w:rsid w:val="000969A1"/>
    <w:rsid w:val="000A24EB"/>
    <w:rsid w:val="000A2608"/>
    <w:rsid w:val="000A3B78"/>
    <w:rsid w:val="000A4399"/>
    <w:rsid w:val="000A5FC0"/>
    <w:rsid w:val="000A6F91"/>
    <w:rsid w:val="000B0DD9"/>
    <w:rsid w:val="000B20A5"/>
    <w:rsid w:val="000B28FC"/>
    <w:rsid w:val="000B3718"/>
    <w:rsid w:val="000B5C57"/>
    <w:rsid w:val="000B6923"/>
    <w:rsid w:val="000C033C"/>
    <w:rsid w:val="000C0E46"/>
    <w:rsid w:val="000C3239"/>
    <w:rsid w:val="000C3E7F"/>
    <w:rsid w:val="000C4C55"/>
    <w:rsid w:val="000C581C"/>
    <w:rsid w:val="000C5B02"/>
    <w:rsid w:val="000C5CDE"/>
    <w:rsid w:val="000C5F3C"/>
    <w:rsid w:val="000C6DCC"/>
    <w:rsid w:val="000C74B7"/>
    <w:rsid w:val="000D0FCD"/>
    <w:rsid w:val="000D3B37"/>
    <w:rsid w:val="000D3CBA"/>
    <w:rsid w:val="000D4097"/>
    <w:rsid w:val="000D47AA"/>
    <w:rsid w:val="000D721F"/>
    <w:rsid w:val="000E0212"/>
    <w:rsid w:val="000E069B"/>
    <w:rsid w:val="000E0E82"/>
    <w:rsid w:val="000E1DC5"/>
    <w:rsid w:val="000E223F"/>
    <w:rsid w:val="000E2984"/>
    <w:rsid w:val="000E35AC"/>
    <w:rsid w:val="000E4169"/>
    <w:rsid w:val="000E4254"/>
    <w:rsid w:val="000E4308"/>
    <w:rsid w:val="000E525C"/>
    <w:rsid w:val="000E5F0A"/>
    <w:rsid w:val="000E5F66"/>
    <w:rsid w:val="000E7D45"/>
    <w:rsid w:val="000F1C1C"/>
    <w:rsid w:val="000F23CB"/>
    <w:rsid w:val="000F3474"/>
    <w:rsid w:val="000F382C"/>
    <w:rsid w:val="000F5D76"/>
    <w:rsid w:val="000F7851"/>
    <w:rsid w:val="00104E23"/>
    <w:rsid w:val="00107A05"/>
    <w:rsid w:val="00107B5A"/>
    <w:rsid w:val="00111087"/>
    <w:rsid w:val="001116CE"/>
    <w:rsid w:val="00111B0C"/>
    <w:rsid w:val="00112A94"/>
    <w:rsid w:val="00112C7C"/>
    <w:rsid w:val="00114684"/>
    <w:rsid w:val="00120D6C"/>
    <w:rsid w:val="00121439"/>
    <w:rsid w:val="001227C0"/>
    <w:rsid w:val="0012445F"/>
    <w:rsid w:val="00124556"/>
    <w:rsid w:val="00124D48"/>
    <w:rsid w:val="00125645"/>
    <w:rsid w:val="001257EC"/>
    <w:rsid w:val="00125D39"/>
    <w:rsid w:val="00132C6A"/>
    <w:rsid w:val="00133D33"/>
    <w:rsid w:val="00134D64"/>
    <w:rsid w:val="001350E0"/>
    <w:rsid w:val="00135576"/>
    <w:rsid w:val="00135A30"/>
    <w:rsid w:val="0013612C"/>
    <w:rsid w:val="00136BE6"/>
    <w:rsid w:val="00136C6D"/>
    <w:rsid w:val="00137FF6"/>
    <w:rsid w:val="0014087B"/>
    <w:rsid w:val="00141650"/>
    <w:rsid w:val="00141E87"/>
    <w:rsid w:val="001421C8"/>
    <w:rsid w:val="001476B5"/>
    <w:rsid w:val="00150BFA"/>
    <w:rsid w:val="00151BDA"/>
    <w:rsid w:val="00151E64"/>
    <w:rsid w:val="00152007"/>
    <w:rsid w:val="001523C5"/>
    <w:rsid w:val="00153513"/>
    <w:rsid w:val="00154FCC"/>
    <w:rsid w:val="0015791D"/>
    <w:rsid w:val="00161A30"/>
    <w:rsid w:val="00162155"/>
    <w:rsid w:val="00162A12"/>
    <w:rsid w:val="00162AFD"/>
    <w:rsid w:val="00163B83"/>
    <w:rsid w:val="00164688"/>
    <w:rsid w:val="00166530"/>
    <w:rsid w:val="0016661B"/>
    <w:rsid w:val="00166E4D"/>
    <w:rsid w:val="0017012B"/>
    <w:rsid w:val="0017293E"/>
    <w:rsid w:val="00173DE2"/>
    <w:rsid w:val="00176091"/>
    <w:rsid w:val="001769CD"/>
    <w:rsid w:val="001772A6"/>
    <w:rsid w:val="001826B0"/>
    <w:rsid w:val="001832BD"/>
    <w:rsid w:val="001851FF"/>
    <w:rsid w:val="00185AE1"/>
    <w:rsid w:val="00186C30"/>
    <w:rsid w:val="001871CB"/>
    <w:rsid w:val="00190F7F"/>
    <w:rsid w:val="001912DC"/>
    <w:rsid w:val="00191D7C"/>
    <w:rsid w:val="00192F94"/>
    <w:rsid w:val="001943B5"/>
    <w:rsid w:val="00194FD1"/>
    <w:rsid w:val="00195134"/>
    <w:rsid w:val="00195A2C"/>
    <w:rsid w:val="00195A92"/>
    <w:rsid w:val="001973ED"/>
    <w:rsid w:val="00197FE8"/>
    <w:rsid w:val="001A0236"/>
    <w:rsid w:val="001A145B"/>
    <w:rsid w:val="001A4649"/>
    <w:rsid w:val="001A5B01"/>
    <w:rsid w:val="001A674C"/>
    <w:rsid w:val="001B10C3"/>
    <w:rsid w:val="001B14F5"/>
    <w:rsid w:val="001B2E1B"/>
    <w:rsid w:val="001B3B24"/>
    <w:rsid w:val="001B676A"/>
    <w:rsid w:val="001C068B"/>
    <w:rsid w:val="001C0F98"/>
    <w:rsid w:val="001C27A4"/>
    <w:rsid w:val="001C2A42"/>
    <w:rsid w:val="001C5DB5"/>
    <w:rsid w:val="001C66D6"/>
    <w:rsid w:val="001D4070"/>
    <w:rsid w:val="001D4CAD"/>
    <w:rsid w:val="001D55BA"/>
    <w:rsid w:val="001D63ED"/>
    <w:rsid w:val="001D7348"/>
    <w:rsid w:val="001E035B"/>
    <w:rsid w:val="001E0961"/>
    <w:rsid w:val="001E3EAE"/>
    <w:rsid w:val="001E4B62"/>
    <w:rsid w:val="001E5348"/>
    <w:rsid w:val="001E5588"/>
    <w:rsid w:val="001E6F32"/>
    <w:rsid w:val="001F05A1"/>
    <w:rsid w:val="001F074F"/>
    <w:rsid w:val="001F176A"/>
    <w:rsid w:val="001F2145"/>
    <w:rsid w:val="001F2495"/>
    <w:rsid w:val="001F36DA"/>
    <w:rsid w:val="001F595C"/>
    <w:rsid w:val="001F6262"/>
    <w:rsid w:val="001F67B0"/>
    <w:rsid w:val="001F7B3D"/>
    <w:rsid w:val="00200934"/>
    <w:rsid w:val="002037D2"/>
    <w:rsid w:val="00205B99"/>
    <w:rsid w:val="00205F9F"/>
    <w:rsid w:val="00207E9B"/>
    <w:rsid w:val="00210338"/>
    <w:rsid w:val="002113BB"/>
    <w:rsid w:val="002115FC"/>
    <w:rsid w:val="002133F8"/>
    <w:rsid w:val="0021423C"/>
    <w:rsid w:val="00216B14"/>
    <w:rsid w:val="00217201"/>
    <w:rsid w:val="00217BA2"/>
    <w:rsid w:val="00220F51"/>
    <w:rsid w:val="00226CE8"/>
    <w:rsid w:val="00230D00"/>
    <w:rsid w:val="00231DF7"/>
    <w:rsid w:val="00231FD1"/>
    <w:rsid w:val="002339E0"/>
    <w:rsid w:val="00233CF8"/>
    <w:rsid w:val="00233EFF"/>
    <w:rsid w:val="0023575D"/>
    <w:rsid w:val="00235FD8"/>
    <w:rsid w:val="002364DC"/>
    <w:rsid w:val="002370C5"/>
    <w:rsid w:val="00237148"/>
    <w:rsid w:val="0024195D"/>
    <w:rsid w:val="0024222D"/>
    <w:rsid w:val="002449E6"/>
    <w:rsid w:val="00244B0E"/>
    <w:rsid w:val="00244F6C"/>
    <w:rsid w:val="00245510"/>
    <w:rsid w:val="0024735A"/>
    <w:rsid w:val="00247622"/>
    <w:rsid w:val="00251179"/>
    <w:rsid w:val="0025150B"/>
    <w:rsid w:val="002532C5"/>
    <w:rsid w:val="0025341B"/>
    <w:rsid w:val="00253B35"/>
    <w:rsid w:val="002540F1"/>
    <w:rsid w:val="002548FB"/>
    <w:rsid w:val="00257064"/>
    <w:rsid w:val="002572E6"/>
    <w:rsid w:val="002574A3"/>
    <w:rsid w:val="0026006A"/>
    <w:rsid w:val="00260C03"/>
    <w:rsid w:val="0026540E"/>
    <w:rsid w:val="00267FB2"/>
    <w:rsid w:val="00270547"/>
    <w:rsid w:val="0027225C"/>
    <w:rsid w:val="00272E45"/>
    <w:rsid w:val="00275123"/>
    <w:rsid w:val="0027615E"/>
    <w:rsid w:val="002764D6"/>
    <w:rsid w:val="0028055A"/>
    <w:rsid w:val="00280A0D"/>
    <w:rsid w:val="0028169D"/>
    <w:rsid w:val="00282240"/>
    <w:rsid w:val="00284808"/>
    <w:rsid w:val="00284F66"/>
    <w:rsid w:val="002856F0"/>
    <w:rsid w:val="0028572A"/>
    <w:rsid w:val="00286B87"/>
    <w:rsid w:val="002875DB"/>
    <w:rsid w:val="002921B6"/>
    <w:rsid w:val="002923C5"/>
    <w:rsid w:val="002937E2"/>
    <w:rsid w:val="002948AD"/>
    <w:rsid w:val="00294C05"/>
    <w:rsid w:val="00294C92"/>
    <w:rsid w:val="002A01CC"/>
    <w:rsid w:val="002A369D"/>
    <w:rsid w:val="002A5C7D"/>
    <w:rsid w:val="002A61B1"/>
    <w:rsid w:val="002A663C"/>
    <w:rsid w:val="002A7383"/>
    <w:rsid w:val="002B1E6C"/>
    <w:rsid w:val="002B4368"/>
    <w:rsid w:val="002B444B"/>
    <w:rsid w:val="002B5887"/>
    <w:rsid w:val="002B6015"/>
    <w:rsid w:val="002B6123"/>
    <w:rsid w:val="002C052A"/>
    <w:rsid w:val="002C0692"/>
    <w:rsid w:val="002C09E5"/>
    <w:rsid w:val="002C0E27"/>
    <w:rsid w:val="002C3040"/>
    <w:rsid w:val="002C3973"/>
    <w:rsid w:val="002C5A5F"/>
    <w:rsid w:val="002C5A87"/>
    <w:rsid w:val="002C78BB"/>
    <w:rsid w:val="002D022D"/>
    <w:rsid w:val="002D24BB"/>
    <w:rsid w:val="002D29CA"/>
    <w:rsid w:val="002D4356"/>
    <w:rsid w:val="002D60E4"/>
    <w:rsid w:val="002D75BB"/>
    <w:rsid w:val="002E0337"/>
    <w:rsid w:val="002E7366"/>
    <w:rsid w:val="002F154F"/>
    <w:rsid w:val="002F2AF7"/>
    <w:rsid w:val="002F34C7"/>
    <w:rsid w:val="002F4908"/>
    <w:rsid w:val="002F4AE9"/>
    <w:rsid w:val="002F4CF6"/>
    <w:rsid w:val="002F734A"/>
    <w:rsid w:val="002F7E1C"/>
    <w:rsid w:val="00300323"/>
    <w:rsid w:val="00301A75"/>
    <w:rsid w:val="003021FF"/>
    <w:rsid w:val="00302ED4"/>
    <w:rsid w:val="00302F70"/>
    <w:rsid w:val="0030336F"/>
    <w:rsid w:val="0030375E"/>
    <w:rsid w:val="00310043"/>
    <w:rsid w:val="00312A30"/>
    <w:rsid w:val="00312F7F"/>
    <w:rsid w:val="00320458"/>
    <w:rsid w:val="00320F5A"/>
    <w:rsid w:val="00320F72"/>
    <w:rsid w:val="00322424"/>
    <w:rsid w:val="0032463E"/>
    <w:rsid w:val="003248C2"/>
    <w:rsid w:val="003261CB"/>
    <w:rsid w:val="00326224"/>
    <w:rsid w:val="0032623C"/>
    <w:rsid w:val="0032676F"/>
    <w:rsid w:val="00327783"/>
    <w:rsid w:val="00327E49"/>
    <w:rsid w:val="003327CB"/>
    <w:rsid w:val="00337EE4"/>
    <w:rsid w:val="00340FFD"/>
    <w:rsid w:val="00342353"/>
    <w:rsid w:val="00342808"/>
    <w:rsid w:val="00343AE4"/>
    <w:rsid w:val="003449D3"/>
    <w:rsid w:val="00346ACD"/>
    <w:rsid w:val="00346C5C"/>
    <w:rsid w:val="003506B1"/>
    <w:rsid w:val="00356AC7"/>
    <w:rsid w:val="003609FA"/>
    <w:rsid w:val="00360FBE"/>
    <w:rsid w:val="00361A5E"/>
    <w:rsid w:val="00361F63"/>
    <w:rsid w:val="0036283F"/>
    <w:rsid w:val="0036341B"/>
    <w:rsid w:val="0036478E"/>
    <w:rsid w:val="00364F47"/>
    <w:rsid w:val="0036748F"/>
    <w:rsid w:val="00367D97"/>
    <w:rsid w:val="00370F2E"/>
    <w:rsid w:val="003710C8"/>
    <w:rsid w:val="00371A68"/>
    <w:rsid w:val="003728C4"/>
    <w:rsid w:val="00374270"/>
    <w:rsid w:val="003750BE"/>
    <w:rsid w:val="00375465"/>
    <w:rsid w:val="00375AEB"/>
    <w:rsid w:val="003812BF"/>
    <w:rsid w:val="00381504"/>
    <w:rsid w:val="00384C2F"/>
    <w:rsid w:val="00387B9D"/>
    <w:rsid w:val="0039364F"/>
    <w:rsid w:val="00396686"/>
    <w:rsid w:val="00397012"/>
    <w:rsid w:val="0039778E"/>
    <w:rsid w:val="003A2C55"/>
    <w:rsid w:val="003A441D"/>
    <w:rsid w:val="003A4444"/>
    <w:rsid w:val="003A6B7D"/>
    <w:rsid w:val="003A6F5A"/>
    <w:rsid w:val="003A7DE0"/>
    <w:rsid w:val="003B253C"/>
    <w:rsid w:val="003B4941"/>
    <w:rsid w:val="003B7A81"/>
    <w:rsid w:val="003C1D02"/>
    <w:rsid w:val="003C2591"/>
    <w:rsid w:val="003C5714"/>
    <w:rsid w:val="003C587E"/>
    <w:rsid w:val="003C6B9F"/>
    <w:rsid w:val="003C6E2A"/>
    <w:rsid w:val="003C7787"/>
    <w:rsid w:val="003D0299"/>
    <w:rsid w:val="003D1850"/>
    <w:rsid w:val="003D1B2F"/>
    <w:rsid w:val="003D34A6"/>
    <w:rsid w:val="003D4E2E"/>
    <w:rsid w:val="003D63B7"/>
    <w:rsid w:val="003E03A2"/>
    <w:rsid w:val="003E428B"/>
    <w:rsid w:val="003E4296"/>
    <w:rsid w:val="003E63B2"/>
    <w:rsid w:val="003E66D2"/>
    <w:rsid w:val="003E6D80"/>
    <w:rsid w:val="003E6F59"/>
    <w:rsid w:val="003E71CE"/>
    <w:rsid w:val="003F05FA"/>
    <w:rsid w:val="003F1460"/>
    <w:rsid w:val="003F227D"/>
    <w:rsid w:val="003F244A"/>
    <w:rsid w:val="003F30B8"/>
    <w:rsid w:val="003F33A5"/>
    <w:rsid w:val="003F4388"/>
    <w:rsid w:val="003F4C45"/>
    <w:rsid w:val="003F5F7B"/>
    <w:rsid w:val="003F6F91"/>
    <w:rsid w:val="003F70D7"/>
    <w:rsid w:val="003F7D64"/>
    <w:rsid w:val="00400B9B"/>
    <w:rsid w:val="00401A82"/>
    <w:rsid w:val="00401B05"/>
    <w:rsid w:val="00402123"/>
    <w:rsid w:val="0040345B"/>
    <w:rsid w:val="00403F5A"/>
    <w:rsid w:val="004047BE"/>
    <w:rsid w:val="00410690"/>
    <w:rsid w:val="004125BA"/>
    <w:rsid w:val="00414146"/>
    <w:rsid w:val="00414300"/>
    <w:rsid w:val="00415991"/>
    <w:rsid w:val="004171C5"/>
    <w:rsid w:val="004178DD"/>
    <w:rsid w:val="004208DF"/>
    <w:rsid w:val="00422F83"/>
    <w:rsid w:val="004242EC"/>
    <w:rsid w:val="00425C67"/>
    <w:rsid w:val="0042776E"/>
    <w:rsid w:val="00427E7A"/>
    <w:rsid w:val="004311BC"/>
    <w:rsid w:val="00436307"/>
    <w:rsid w:val="004364CC"/>
    <w:rsid w:val="00436C49"/>
    <w:rsid w:val="0044293C"/>
    <w:rsid w:val="00442E78"/>
    <w:rsid w:val="00445366"/>
    <w:rsid w:val="00446DF7"/>
    <w:rsid w:val="00447866"/>
    <w:rsid w:val="00447A5D"/>
    <w:rsid w:val="00447F5B"/>
    <w:rsid w:val="00451814"/>
    <w:rsid w:val="004520B6"/>
    <w:rsid w:val="0045241A"/>
    <w:rsid w:val="00456D57"/>
    <w:rsid w:val="0046045A"/>
    <w:rsid w:val="00460F73"/>
    <w:rsid w:val="00461DB0"/>
    <w:rsid w:val="00463926"/>
    <w:rsid w:val="00463BF7"/>
    <w:rsid w:val="004646E0"/>
    <w:rsid w:val="004649E1"/>
    <w:rsid w:val="00464C9A"/>
    <w:rsid w:val="004653BE"/>
    <w:rsid w:val="00471C7E"/>
    <w:rsid w:val="00473209"/>
    <w:rsid w:val="00474F3D"/>
    <w:rsid w:val="0047525A"/>
    <w:rsid w:val="00476E6C"/>
    <w:rsid w:val="0047754C"/>
    <w:rsid w:val="00477D03"/>
    <w:rsid w:val="00477E3A"/>
    <w:rsid w:val="00477ED8"/>
    <w:rsid w:val="00482F5F"/>
    <w:rsid w:val="00483E5F"/>
    <w:rsid w:val="00485FF9"/>
    <w:rsid w:val="00490683"/>
    <w:rsid w:val="004907F0"/>
    <w:rsid w:val="00491268"/>
    <w:rsid w:val="0049140B"/>
    <w:rsid w:val="004923A5"/>
    <w:rsid w:val="004926D3"/>
    <w:rsid w:val="00494684"/>
    <w:rsid w:val="00494CDD"/>
    <w:rsid w:val="00495C35"/>
    <w:rsid w:val="00496BFB"/>
    <w:rsid w:val="004A15C7"/>
    <w:rsid w:val="004A2237"/>
    <w:rsid w:val="004A3BCD"/>
    <w:rsid w:val="004A6D25"/>
    <w:rsid w:val="004A7803"/>
    <w:rsid w:val="004B013B"/>
    <w:rsid w:val="004B0807"/>
    <w:rsid w:val="004B09A8"/>
    <w:rsid w:val="004B112B"/>
    <w:rsid w:val="004B1D20"/>
    <w:rsid w:val="004B4190"/>
    <w:rsid w:val="004C01E4"/>
    <w:rsid w:val="004C086C"/>
    <w:rsid w:val="004C1F56"/>
    <w:rsid w:val="004C200F"/>
    <w:rsid w:val="004C27BC"/>
    <w:rsid w:val="004C4B01"/>
    <w:rsid w:val="004C5632"/>
    <w:rsid w:val="004D03BF"/>
    <w:rsid w:val="004D15F3"/>
    <w:rsid w:val="004D27EB"/>
    <w:rsid w:val="004D2DF7"/>
    <w:rsid w:val="004D4EEA"/>
    <w:rsid w:val="004D5311"/>
    <w:rsid w:val="004D5DCC"/>
    <w:rsid w:val="004D7438"/>
    <w:rsid w:val="004D79A9"/>
    <w:rsid w:val="004E0925"/>
    <w:rsid w:val="004E19F4"/>
    <w:rsid w:val="004E1A93"/>
    <w:rsid w:val="004E3544"/>
    <w:rsid w:val="004E3DAF"/>
    <w:rsid w:val="004E5346"/>
    <w:rsid w:val="004E6941"/>
    <w:rsid w:val="004F0789"/>
    <w:rsid w:val="004F10AF"/>
    <w:rsid w:val="004F11A4"/>
    <w:rsid w:val="004F13B9"/>
    <w:rsid w:val="004F1CF9"/>
    <w:rsid w:val="004F2389"/>
    <w:rsid w:val="004F304D"/>
    <w:rsid w:val="004F35D4"/>
    <w:rsid w:val="004F45A4"/>
    <w:rsid w:val="004F5ABA"/>
    <w:rsid w:val="004F61BE"/>
    <w:rsid w:val="004F66B1"/>
    <w:rsid w:val="005014EA"/>
    <w:rsid w:val="00502339"/>
    <w:rsid w:val="00503F4E"/>
    <w:rsid w:val="00505D9F"/>
    <w:rsid w:val="00507079"/>
    <w:rsid w:val="005108F1"/>
    <w:rsid w:val="00511BD1"/>
    <w:rsid w:val="00511C07"/>
    <w:rsid w:val="005124D7"/>
    <w:rsid w:val="005132D7"/>
    <w:rsid w:val="00513DF1"/>
    <w:rsid w:val="0051477D"/>
    <w:rsid w:val="0051583E"/>
    <w:rsid w:val="00516071"/>
    <w:rsid w:val="005173A6"/>
    <w:rsid w:val="00520BAA"/>
    <w:rsid w:val="00523EF7"/>
    <w:rsid w:val="0052491D"/>
    <w:rsid w:val="00525208"/>
    <w:rsid w:val="005257A5"/>
    <w:rsid w:val="00525F61"/>
    <w:rsid w:val="005264C0"/>
    <w:rsid w:val="00526A8A"/>
    <w:rsid w:val="00527175"/>
    <w:rsid w:val="00527FAB"/>
    <w:rsid w:val="0053160D"/>
    <w:rsid w:val="00531DF2"/>
    <w:rsid w:val="005320F9"/>
    <w:rsid w:val="00533883"/>
    <w:rsid w:val="00535BB8"/>
    <w:rsid w:val="00540F43"/>
    <w:rsid w:val="00543186"/>
    <w:rsid w:val="00544041"/>
    <w:rsid w:val="005442EE"/>
    <w:rsid w:val="00544508"/>
    <w:rsid w:val="0054548A"/>
    <w:rsid w:val="00545A65"/>
    <w:rsid w:val="00547353"/>
    <w:rsid w:val="005474E7"/>
    <w:rsid w:val="00547C92"/>
    <w:rsid w:val="00550291"/>
    <w:rsid w:val="005507A4"/>
    <w:rsid w:val="005508BB"/>
    <w:rsid w:val="00550B0F"/>
    <w:rsid w:val="005512A3"/>
    <w:rsid w:val="005541C2"/>
    <w:rsid w:val="0055727B"/>
    <w:rsid w:val="005578CE"/>
    <w:rsid w:val="00562781"/>
    <w:rsid w:val="00563E83"/>
    <w:rsid w:val="00571E24"/>
    <w:rsid w:val="0057271C"/>
    <w:rsid w:val="00572845"/>
    <w:rsid w:val="005729FB"/>
    <w:rsid w:val="00573F9C"/>
    <w:rsid w:val="0058004A"/>
    <w:rsid w:val="00581274"/>
    <w:rsid w:val="005826D4"/>
    <w:rsid w:val="00582A0D"/>
    <w:rsid w:val="005832F2"/>
    <w:rsid w:val="00585F08"/>
    <w:rsid w:val="0058615A"/>
    <w:rsid w:val="005863C1"/>
    <w:rsid w:val="005906F2"/>
    <w:rsid w:val="005916B0"/>
    <w:rsid w:val="00592772"/>
    <w:rsid w:val="005934C3"/>
    <w:rsid w:val="00593A58"/>
    <w:rsid w:val="0059574A"/>
    <w:rsid w:val="00595F48"/>
    <w:rsid w:val="00596458"/>
    <w:rsid w:val="00597B5E"/>
    <w:rsid w:val="005A03FC"/>
    <w:rsid w:val="005A1B9B"/>
    <w:rsid w:val="005A3A77"/>
    <w:rsid w:val="005A593C"/>
    <w:rsid w:val="005A6751"/>
    <w:rsid w:val="005B092E"/>
    <w:rsid w:val="005B13C7"/>
    <w:rsid w:val="005B152C"/>
    <w:rsid w:val="005B1EE0"/>
    <w:rsid w:val="005B2B24"/>
    <w:rsid w:val="005B2CF2"/>
    <w:rsid w:val="005B4425"/>
    <w:rsid w:val="005B4518"/>
    <w:rsid w:val="005B4B94"/>
    <w:rsid w:val="005B754E"/>
    <w:rsid w:val="005C091C"/>
    <w:rsid w:val="005C0AEB"/>
    <w:rsid w:val="005C0CCE"/>
    <w:rsid w:val="005C3EE8"/>
    <w:rsid w:val="005C483E"/>
    <w:rsid w:val="005C4AB1"/>
    <w:rsid w:val="005C51E6"/>
    <w:rsid w:val="005C5453"/>
    <w:rsid w:val="005C6488"/>
    <w:rsid w:val="005D0358"/>
    <w:rsid w:val="005D34F9"/>
    <w:rsid w:val="005D415D"/>
    <w:rsid w:val="005D4190"/>
    <w:rsid w:val="005D67A3"/>
    <w:rsid w:val="005E0710"/>
    <w:rsid w:val="005E1F1C"/>
    <w:rsid w:val="005E2988"/>
    <w:rsid w:val="005E2A43"/>
    <w:rsid w:val="005E2B6C"/>
    <w:rsid w:val="005E3085"/>
    <w:rsid w:val="005E3E97"/>
    <w:rsid w:val="005E438A"/>
    <w:rsid w:val="005E6DFC"/>
    <w:rsid w:val="005F1D43"/>
    <w:rsid w:val="005F4349"/>
    <w:rsid w:val="005F51E1"/>
    <w:rsid w:val="005F5594"/>
    <w:rsid w:val="005F588D"/>
    <w:rsid w:val="00601DA3"/>
    <w:rsid w:val="00602CB2"/>
    <w:rsid w:val="00603B87"/>
    <w:rsid w:val="00604B8B"/>
    <w:rsid w:val="00605131"/>
    <w:rsid w:val="00607363"/>
    <w:rsid w:val="00607472"/>
    <w:rsid w:val="00610923"/>
    <w:rsid w:val="00610E09"/>
    <w:rsid w:val="00611C80"/>
    <w:rsid w:val="00612FBB"/>
    <w:rsid w:val="00614BEC"/>
    <w:rsid w:val="00614DA4"/>
    <w:rsid w:val="0061500E"/>
    <w:rsid w:val="00616245"/>
    <w:rsid w:val="006162A2"/>
    <w:rsid w:val="00620692"/>
    <w:rsid w:val="006215AD"/>
    <w:rsid w:val="0062285E"/>
    <w:rsid w:val="00622CF1"/>
    <w:rsid w:val="006242CA"/>
    <w:rsid w:val="00624F1F"/>
    <w:rsid w:val="00625B66"/>
    <w:rsid w:val="00625CF9"/>
    <w:rsid w:val="00627102"/>
    <w:rsid w:val="00627507"/>
    <w:rsid w:val="00630DCE"/>
    <w:rsid w:val="00632D54"/>
    <w:rsid w:val="00633717"/>
    <w:rsid w:val="00633E63"/>
    <w:rsid w:val="006344E1"/>
    <w:rsid w:val="0063505E"/>
    <w:rsid w:val="00635F24"/>
    <w:rsid w:val="00636361"/>
    <w:rsid w:val="00637AE7"/>
    <w:rsid w:val="0064411C"/>
    <w:rsid w:val="00645DE7"/>
    <w:rsid w:val="0064694E"/>
    <w:rsid w:val="00647D58"/>
    <w:rsid w:val="0065286C"/>
    <w:rsid w:val="00653983"/>
    <w:rsid w:val="006545C4"/>
    <w:rsid w:val="00655250"/>
    <w:rsid w:val="00661024"/>
    <w:rsid w:val="00661629"/>
    <w:rsid w:val="00661971"/>
    <w:rsid w:val="00661CE8"/>
    <w:rsid w:val="006623D9"/>
    <w:rsid w:val="00663462"/>
    <w:rsid w:val="00663C74"/>
    <w:rsid w:val="006654E4"/>
    <w:rsid w:val="0066550C"/>
    <w:rsid w:val="00666EE6"/>
    <w:rsid w:val="0066778F"/>
    <w:rsid w:val="00667DED"/>
    <w:rsid w:val="00667FBF"/>
    <w:rsid w:val="0067026D"/>
    <w:rsid w:val="00670C20"/>
    <w:rsid w:val="006716F2"/>
    <w:rsid w:val="00671DC2"/>
    <w:rsid w:val="00677CC3"/>
    <w:rsid w:val="00681D2B"/>
    <w:rsid w:val="00682BF2"/>
    <w:rsid w:val="00683C93"/>
    <w:rsid w:val="006859CE"/>
    <w:rsid w:val="00691270"/>
    <w:rsid w:val="00694685"/>
    <w:rsid w:val="00694BA8"/>
    <w:rsid w:val="006A037C"/>
    <w:rsid w:val="006A0B2F"/>
    <w:rsid w:val="006A19B1"/>
    <w:rsid w:val="006A25DA"/>
    <w:rsid w:val="006A3237"/>
    <w:rsid w:val="006A36F4"/>
    <w:rsid w:val="006A406F"/>
    <w:rsid w:val="006A46E4"/>
    <w:rsid w:val="006A493A"/>
    <w:rsid w:val="006A5362"/>
    <w:rsid w:val="006A5369"/>
    <w:rsid w:val="006A5D3A"/>
    <w:rsid w:val="006A7AA4"/>
    <w:rsid w:val="006A7F07"/>
    <w:rsid w:val="006B0CE6"/>
    <w:rsid w:val="006B0D0C"/>
    <w:rsid w:val="006B142D"/>
    <w:rsid w:val="006B1792"/>
    <w:rsid w:val="006B2535"/>
    <w:rsid w:val="006B3D82"/>
    <w:rsid w:val="006B6A5F"/>
    <w:rsid w:val="006C024B"/>
    <w:rsid w:val="006C23D4"/>
    <w:rsid w:val="006C28CB"/>
    <w:rsid w:val="006C2A34"/>
    <w:rsid w:val="006C318D"/>
    <w:rsid w:val="006C397B"/>
    <w:rsid w:val="006C3EC9"/>
    <w:rsid w:val="006C4701"/>
    <w:rsid w:val="006C49A7"/>
    <w:rsid w:val="006C7579"/>
    <w:rsid w:val="006C7BB0"/>
    <w:rsid w:val="006D3237"/>
    <w:rsid w:val="006D3423"/>
    <w:rsid w:val="006D61EC"/>
    <w:rsid w:val="006D7DF7"/>
    <w:rsid w:val="006E145B"/>
    <w:rsid w:val="006E27DD"/>
    <w:rsid w:val="006E2E37"/>
    <w:rsid w:val="006E3CF1"/>
    <w:rsid w:val="006E3F90"/>
    <w:rsid w:val="006E4DA5"/>
    <w:rsid w:val="006E5A27"/>
    <w:rsid w:val="006E67B9"/>
    <w:rsid w:val="006E7E80"/>
    <w:rsid w:val="006F1405"/>
    <w:rsid w:val="006F1DF9"/>
    <w:rsid w:val="006F24DB"/>
    <w:rsid w:val="006F2923"/>
    <w:rsid w:val="006F33AC"/>
    <w:rsid w:val="006F48CA"/>
    <w:rsid w:val="006F64DD"/>
    <w:rsid w:val="0070042E"/>
    <w:rsid w:val="00701657"/>
    <w:rsid w:val="0070250A"/>
    <w:rsid w:val="00702824"/>
    <w:rsid w:val="00702D1B"/>
    <w:rsid w:val="00702D39"/>
    <w:rsid w:val="00710253"/>
    <w:rsid w:val="00710462"/>
    <w:rsid w:val="007120DE"/>
    <w:rsid w:val="0071443C"/>
    <w:rsid w:val="00715127"/>
    <w:rsid w:val="00715995"/>
    <w:rsid w:val="00715E8E"/>
    <w:rsid w:val="007201A7"/>
    <w:rsid w:val="00720E9D"/>
    <w:rsid w:val="00721C46"/>
    <w:rsid w:val="007223CC"/>
    <w:rsid w:val="00723580"/>
    <w:rsid w:val="00723755"/>
    <w:rsid w:val="00726FDE"/>
    <w:rsid w:val="00727BA6"/>
    <w:rsid w:val="00727D73"/>
    <w:rsid w:val="0073136C"/>
    <w:rsid w:val="00731F0F"/>
    <w:rsid w:val="00733250"/>
    <w:rsid w:val="007359CF"/>
    <w:rsid w:val="00741404"/>
    <w:rsid w:val="007449E5"/>
    <w:rsid w:val="00746C5A"/>
    <w:rsid w:val="00747FF0"/>
    <w:rsid w:val="00751173"/>
    <w:rsid w:val="00752108"/>
    <w:rsid w:val="007524B5"/>
    <w:rsid w:val="00753942"/>
    <w:rsid w:val="00753E9E"/>
    <w:rsid w:val="00753F38"/>
    <w:rsid w:val="00754C06"/>
    <w:rsid w:val="0075552A"/>
    <w:rsid w:val="00756994"/>
    <w:rsid w:val="007577F7"/>
    <w:rsid w:val="00760EB9"/>
    <w:rsid w:val="00762A02"/>
    <w:rsid w:val="007631F2"/>
    <w:rsid w:val="00764D4E"/>
    <w:rsid w:val="00765A1F"/>
    <w:rsid w:val="00766D92"/>
    <w:rsid w:val="0077547F"/>
    <w:rsid w:val="007755B7"/>
    <w:rsid w:val="00775B6D"/>
    <w:rsid w:val="00775C83"/>
    <w:rsid w:val="00775E7E"/>
    <w:rsid w:val="00776D68"/>
    <w:rsid w:val="00780D3B"/>
    <w:rsid w:val="00780D5D"/>
    <w:rsid w:val="007835EC"/>
    <w:rsid w:val="0078367D"/>
    <w:rsid w:val="00783B8E"/>
    <w:rsid w:val="007850EE"/>
    <w:rsid w:val="00785B95"/>
    <w:rsid w:val="00790A2F"/>
    <w:rsid w:val="00790E96"/>
    <w:rsid w:val="00791E8E"/>
    <w:rsid w:val="00793366"/>
    <w:rsid w:val="007975FE"/>
    <w:rsid w:val="007A38A6"/>
    <w:rsid w:val="007A3A64"/>
    <w:rsid w:val="007A45DB"/>
    <w:rsid w:val="007A69CB"/>
    <w:rsid w:val="007A6C5A"/>
    <w:rsid w:val="007A716F"/>
    <w:rsid w:val="007B1652"/>
    <w:rsid w:val="007B167B"/>
    <w:rsid w:val="007B177A"/>
    <w:rsid w:val="007B270A"/>
    <w:rsid w:val="007B44FA"/>
    <w:rsid w:val="007B5260"/>
    <w:rsid w:val="007C04BD"/>
    <w:rsid w:val="007C0695"/>
    <w:rsid w:val="007C1788"/>
    <w:rsid w:val="007C419A"/>
    <w:rsid w:val="007C4CC8"/>
    <w:rsid w:val="007C5426"/>
    <w:rsid w:val="007C5798"/>
    <w:rsid w:val="007C6E2F"/>
    <w:rsid w:val="007D1A92"/>
    <w:rsid w:val="007D3578"/>
    <w:rsid w:val="007D4832"/>
    <w:rsid w:val="007D50C3"/>
    <w:rsid w:val="007D62A1"/>
    <w:rsid w:val="007D79F9"/>
    <w:rsid w:val="007D7C83"/>
    <w:rsid w:val="007E02AC"/>
    <w:rsid w:val="007E09E8"/>
    <w:rsid w:val="007E1064"/>
    <w:rsid w:val="007E21B2"/>
    <w:rsid w:val="007E2C4E"/>
    <w:rsid w:val="007E2E62"/>
    <w:rsid w:val="007E3E6A"/>
    <w:rsid w:val="007E484E"/>
    <w:rsid w:val="007E5671"/>
    <w:rsid w:val="007E7552"/>
    <w:rsid w:val="007F1905"/>
    <w:rsid w:val="007F1A7F"/>
    <w:rsid w:val="007F210B"/>
    <w:rsid w:val="007F2CEF"/>
    <w:rsid w:val="007F3898"/>
    <w:rsid w:val="007F3967"/>
    <w:rsid w:val="007F72CD"/>
    <w:rsid w:val="007F74BD"/>
    <w:rsid w:val="0080048F"/>
    <w:rsid w:val="00801300"/>
    <w:rsid w:val="00802C64"/>
    <w:rsid w:val="00805E52"/>
    <w:rsid w:val="008061D0"/>
    <w:rsid w:val="00810B38"/>
    <w:rsid w:val="0081111C"/>
    <w:rsid w:val="008119D8"/>
    <w:rsid w:val="0081275A"/>
    <w:rsid w:val="00812E7A"/>
    <w:rsid w:val="008167B6"/>
    <w:rsid w:val="00816CBD"/>
    <w:rsid w:val="008204C7"/>
    <w:rsid w:val="00820992"/>
    <w:rsid w:val="00822326"/>
    <w:rsid w:val="0082273A"/>
    <w:rsid w:val="00823602"/>
    <w:rsid w:val="00824234"/>
    <w:rsid w:val="008255F5"/>
    <w:rsid w:val="008267FC"/>
    <w:rsid w:val="0083008C"/>
    <w:rsid w:val="0083014E"/>
    <w:rsid w:val="0083170F"/>
    <w:rsid w:val="0083214A"/>
    <w:rsid w:val="00832C23"/>
    <w:rsid w:val="00833990"/>
    <w:rsid w:val="00833CD0"/>
    <w:rsid w:val="0083403C"/>
    <w:rsid w:val="00834220"/>
    <w:rsid w:val="008376F4"/>
    <w:rsid w:val="008443DB"/>
    <w:rsid w:val="00845723"/>
    <w:rsid w:val="008472AF"/>
    <w:rsid w:val="00851EF9"/>
    <w:rsid w:val="008561F5"/>
    <w:rsid w:val="008571D1"/>
    <w:rsid w:val="008577FD"/>
    <w:rsid w:val="00860569"/>
    <w:rsid w:val="00860B03"/>
    <w:rsid w:val="00861B89"/>
    <w:rsid w:val="00861C45"/>
    <w:rsid w:val="00861EDE"/>
    <w:rsid w:val="00862A72"/>
    <w:rsid w:val="00863E4C"/>
    <w:rsid w:val="008640F6"/>
    <w:rsid w:val="0086497A"/>
    <w:rsid w:val="00865E37"/>
    <w:rsid w:val="00866714"/>
    <w:rsid w:val="00867BEC"/>
    <w:rsid w:val="008701F0"/>
    <w:rsid w:val="008713A1"/>
    <w:rsid w:val="00871C6F"/>
    <w:rsid w:val="00872183"/>
    <w:rsid w:val="0087271B"/>
    <w:rsid w:val="00872926"/>
    <w:rsid w:val="008754AB"/>
    <w:rsid w:val="0087618D"/>
    <w:rsid w:val="008769BC"/>
    <w:rsid w:val="008773EB"/>
    <w:rsid w:val="00877CF3"/>
    <w:rsid w:val="0088060C"/>
    <w:rsid w:val="00882B60"/>
    <w:rsid w:val="00883C10"/>
    <w:rsid w:val="00885257"/>
    <w:rsid w:val="008857D1"/>
    <w:rsid w:val="00885C0C"/>
    <w:rsid w:val="0088786A"/>
    <w:rsid w:val="0089102C"/>
    <w:rsid w:val="00892AF2"/>
    <w:rsid w:val="00893576"/>
    <w:rsid w:val="0089393A"/>
    <w:rsid w:val="00893E73"/>
    <w:rsid w:val="0089594D"/>
    <w:rsid w:val="008A16CC"/>
    <w:rsid w:val="008A2FA4"/>
    <w:rsid w:val="008A3F29"/>
    <w:rsid w:val="008A43C4"/>
    <w:rsid w:val="008A4750"/>
    <w:rsid w:val="008A6746"/>
    <w:rsid w:val="008A690B"/>
    <w:rsid w:val="008A72DA"/>
    <w:rsid w:val="008B02DC"/>
    <w:rsid w:val="008B07E6"/>
    <w:rsid w:val="008B1789"/>
    <w:rsid w:val="008B2B8F"/>
    <w:rsid w:val="008B48AB"/>
    <w:rsid w:val="008B57CE"/>
    <w:rsid w:val="008B659F"/>
    <w:rsid w:val="008B689B"/>
    <w:rsid w:val="008B7590"/>
    <w:rsid w:val="008B7624"/>
    <w:rsid w:val="008C26DE"/>
    <w:rsid w:val="008C2D49"/>
    <w:rsid w:val="008C352B"/>
    <w:rsid w:val="008C6006"/>
    <w:rsid w:val="008C78E1"/>
    <w:rsid w:val="008D10C9"/>
    <w:rsid w:val="008D2225"/>
    <w:rsid w:val="008D27C8"/>
    <w:rsid w:val="008D34C8"/>
    <w:rsid w:val="008D4752"/>
    <w:rsid w:val="008D4C61"/>
    <w:rsid w:val="008D4D34"/>
    <w:rsid w:val="008D552A"/>
    <w:rsid w:val="008D5F44"/>
    <w:rsid w:val="008D6C67"/>
    <w:rsid w:val="008E05ED"/>
    <w:rsid w:val="008E1E89"/>
    <w:rsid w:val="008E200A"/>
    <w:rsid w:val="008E271C"/>
    <w:rsid w:val="008E418E"/>
    <w:rsid w:val="008E55DB"/>
    <w:rsid w:val="008E5BC6"/>
    <w:rsid w:val="008E62D4"/>
    <w:rsid w:val="008E6A25"/>
    <w:rsid w:val="008F25FE"/>
    <w:rsid w:val="008F3525"/>
    <w:rsid w:val="008F3A3E"/>
    <w:rsid w:val="008F50D1"/>
    <w:rsid w:val="008F5193"/>
    <w:rsid w:val="008F55E7"/>
    <w:rsid w:val="008F7FD5"/>
    <w:rsid w:val="009013A7"/>
    <w:rsid w:val="009017FB"/>
    <w:rsid w:val="009017FC"/>
    <w:rsid w:val="00903B43"/>
    <w:rsid w:val="009046BD"/>
    <w:rsid w:val="0090506B"/>
    <w:rsid w:val="009050C9"/>
    <w:rsid w:val="009055F0"/>
    <w:rsid w:val="009066FC"/>
    <w:rsid w:val="00907383"/>
    <w:rsid w:val="00910579"/>
    <w:rsid w:val="00913434"/>
    <w:rsid w:val="009140A3"/>
    <w:rsid w:val="009144A2"/>
    <w:rsid w:val="0091510C"/>
    <w:rsid w:val="00921886"/>
    <w:rsid w:val="00925491"/>
    <w:rsid w:val="009259AC"/>
    <w:rsid w:val="00926F38"/>
    <w:rsid w:val="00933223"/>
    <w:rsid w:val="00933E41"/>
    <w:rsid w:val="00934301"/>
    <w:rsid w:val="00935105"/>
    <w:rsid w:val="00936CD1"/>
    <w:rsid w:val="00941747"/>
    <w:rsid w:val="00941EFB"/>
    <w:rsid w:val="00943ABA"/>
    <w:rsid w:val="00947AFB"/>
    <w:rsid w:val="009503CA"/>
    <w:rsid w:val="0095082A"/>
    <w:rsid w:val="00951276"/>
    <w:rsid w:val="00951D7D"/>
    <w:rsid w:val="00952C12"/>
    <w:rsid w:val="009556B6"/>
    <w:rsid w:val="0095681F"/>
    <w:rsid w:val="00961A82"/>
    <w:rsid w:val="009630C7"/>
    <w:rsid w:val="00963A58"/>
    <w:rsid w:val="00963C96"/>
    <w:rsid w:val="00967550"/>
    <w:rsid w:val="00970AD1"/>
    <w:rsid w:val="00971A8C"/>
    <w:rsid w:val="00971D57"/>
    <w:rsid w:val="00972B55"/>
    <w:rsid w:val="00972E9C"/>
    <w:rsid w:val="009741A3"/>
    <w:rsid w:val="009743B7"/>
    <w:rsid w:val="00974F59"/>
    <w:rsid w:val="00975F80"/>
    <w:rsid w:val="00976415"/>
    <w:rsid w:val="00976A05"/>
    <w:rsid w:val="00980223"/>
    <w:rsid w:val="00980D60"/>
    <w:rsid w:val="00981EE6"/>
    <w:rsid w:val="0098228B"/>
    <w:rsid w:val="009828DA"/>
    <w:rsid w:val="00984891"/>
    <w:rsid w:val="0098519F"/>
    <w:rsid w:val="00985BAB"/>
    <w:rsid w:val="00997F03"/>
    <w:rsid w:val="009A18F8"/>
    <w:rsid w:val="009A46DF"/>
    <w:rsid w:val="009A5195"/>
    <w:rsid w:val="009A6DBD"/>
    <w:rsid w:val="009A78F1"/>
    <w:rsid w:val="009B1344"/>
    <w:rsid w:val="009B1B5F"/>
    <w:rsid w:val="009B2EC2"/>
    <w:rsid w:val="009B3A41"/>
    <w:rsid w:val="009B5ABF"/>
    <w:rsid w:val="009B6673"/>
    <w:rsid w:val="009C0C78"/>
    <w:rsid w:val="009C191B"/>
    <w:rsid w:val="009C1E08"/>
    <w:rsid w:val="009C1FF4"/>
    <w:rsid w:val="009C2BD6"/>
    <w:rsid w:val="009C3F3A"/>
    <w:rsid w:val="009C4C4D"/>
    <w:rsid w:val="009C5346"/>
    <w:rsid w:val="009C5CBA"/>
    <w:rsid w:val="009D0CD4"/>
    <w:rsid w:val="009D0E9A"/>
    <w:rsid w:val="009D1F30"/>
    <w:rsid w:val="009D581E"/>
    <w:rsid w:val="009D5B55"/>
    <w:rsid w:val="009D5BCD"/>
    <w:rsid w:val="009D69F8"/>
    <w:rsid w:val="009D6A6C"/>
    <w:rsid w:val="009D76E0"/>
    <w:rsid w:val="009E0E6A"/>
    <w:rsid w:val="009E1F32"/>
    <w:rsid w:val="009E5694"/>
    <w:rsid w:val="009E5829"/>
    <w:rsid w:val="009E5A06"/>
    <w:rsid w:val="009E6941"/>
    <w:rsid w:val="009E776C"/>
    <w:rsid w:val="009F2CD2"/>
    <w:rsid w:val="009F4308"/>
    <w:rsid w:val="009F436C"/>
    <w:rsid w:val="009F4F0B"/>
    <w:rsid w:val="009F6FF3"/>
    <w:rsid w:val="00A077DB"/>
    <w:rsid w:val="00A10F81"/>
    <w:rsid w:val="00A13248"/>
    <w:rsid w:val="00A133A7"/>
    <w:rsid w:val="00A13CBD"/>
    <w:rsid w:val="00A15F59"/>
    <w:rsid w:val="00A16943"/>
    <w:rsid w:val="00A16BDA"/>
    <w:rsid w:val="00A1726E"/>
    <w:rsid w:val="00A17E26"/>
    <w:rsid w:val="00A204CF"/>
    <w:rsid w:val="00A22510"/>
    <w:rsid w:val="00A23D49"/>
    <w:rsid w:val="00A27004"/>
    <w:rsid w:val="00A277B4"/>
    <w:rsid w:val="00A30B0E"/>
    <w:rsid w:val="00A30C29"/>
    <w:rsid w:val="00A32EA5"/>
    <w:rsid w:val="00A34DD6"/>
    <w:rsid w:val="00A35F15"/>
    <w:rsid w:val="00A36819"/>
    <w:rsid w:val="00A36989"/>
    <w:rsid w:val="00A369F6"/>
    <w:rsid w:val="00A36D12"/>
    <w:rsid w:val="00A37D0D"/>
    <w:rsid w:val="00A40A60"/>
    <w:rsid w:val="00A40F12"/>
    <w:rsid w:val="00A43628"/>
    <w:rsid w:val="00A43DF2"/>
    <w:rsid w:val="00A44809"/>
    <w:rsid w:val="00A45145"/>
    <w:rsid w:val="00A508F1"/>
    <w:rsid w:val="00A5187C"/>
    <w:rsid w:val="00A52D37"/>
    <w:rsid w:val="00A54192"/>
    <w:rsid w:val="00A54CE1"/>
    <w:rsid w:val="00A54F74"/>
    <w:rsid w:val="00A55760"/>
    <w:rsid w:val="00A6035E"/>
    <w:rsid w:val="00A60607"/>
    <w:rsid w:val="00A6144C"/>
    <w:rsid w:val="00A616B2"/>
    <w:rsid w:val="00A642A9"/>
    <w:rsid w:val="00A64F04"/>
    <w:rsid w:val="00A66617"/>
    <w:rsid w:val="00A671F8"/>
    <w:rsid w:val="00A673A4"/>
    <w:rsid w:val="00A709DB"/>
    <w:rsid w:val="00A724AE"/>
    <w:rsid w:val="00A73329"/>
    <w:rsid w:val="00A7346D"/>
    <w:rsid w:val="00A75E8C"/>
    <w:rsid w:val="00A776BD"/>
    <w:rsid w:val="00A77CE5"/>
    <w:rsid w:val="00A81474"/>
    <w:rsid w:val="00A82359"/>
    <w:rsid w:val="00A826EC"/>
    <w:rsid w:val="00A82A8B"/>
    <w:rsid w:val="00A84B73"/>
    <w:rsid w:val="00A84F69"/>
    <w:rsid w:val="00A85182"/>
    <w:rsid w:val="00A865D2"/>
    <w:rsid w:val="00A86DA8"/>
    <w:rsid w:val="00A87AF6"/>
    <w:rsid w:val="00A90B01"/>
    <w:rsid w:val="00A92BFE"/>
    <w:rsid w:val="00A94C20"/>
    <w:rsid w:val="00A9584E"/>
    <w:rsid w:val="00A95DC4"/>
    <w:rsid w:val="00A96ED6"/>
    <w:rsid w:val="00A97372"/>
    <w:rsid w:val="00AA02D9"/>
    <w:rsid w:val="00AA227F"/>
    <w:rsid w:val="00AA32B4"/>
    <w:rsid w:val="00AA3BC7"/>
    <w:rsid w:val="00AA4CB9"/>
    <w:rsid w:val="00AA58DE"/>
    <w:rsid w:val="00AA6195"/>
    <w:rsid w:val="00AA6712"/>
    <w:rsid w:val="00AA6A1A"/>
    <w:rsid w:val="00AA725C"/>
    <w:rsid w:val="00AA754A"/>
    <w:rsid w:val="00AB099E"/>
    <w:rsid w:val="00AB0AAB"/>
    <w:rsid w:val="00AB0B13"/>
    <w:rsid w:val="00AB0C10"/>
    <w:rsid w:val="00AB1DBD"/>
    <w:rsid w:val="00AB2BBF"/>
    <w:rsid w:val="00AB2E93"/>
    <w:rsid w:val="00AB3D04"/>
    <w:rsid w:val="00AB4328"/>
    <w:rsid w:val="00AB5FA0"/>
    <w:rsid w:val="00AB6381"/>
    <w:rsid w:val="00AB6E38"/>
    <w:rsid w:val="00AB733C"/>
    <w:rsid w:val="00AB7A61"/>
    <w:rsid w:val="00AC08FE"/>
    <w:rsid w:val="00AC2204"/>
    <w:rsid w:val="00AC5229"/>
    <w:rsid w:val="00AC637B"/>
    <w:rsid w:val="00AC6838"/>
    <w:rsid w:val="00AD042D"/>
    <w:rsid w:val="00AD0747"/>
    <w:rsid w:val="00AD20DB"/>
    <w:rsid w:val="00AD31E7"/>
    <w:rsid w:val="00AD4FFA"/>
    <w:rsid w:val="00AD53E0"/>
    <w:rsid w:val="00AD5A89"/>
    <w:rsid w:val="00AD5C46"/>
    <w:rsid w:val="00AD5F41"/>
    <w:rsid w:val="00AD6927"/>
    <w:rsid w:val="00AE042B"/>
    <w:rsid w:val="00AE0A2E"/>
    <w:rsid w:val="00AE1080"/>
    <w:rsid w:val="00AE1416"/>
    <w:rsid w:val="00AE207F"/>
    <w:rsid w:val="00AE2552"/>
    <w:rsid w:val="00AE324A"/>
    <w:rsid w:val="00AE354C"/>
    <w:rsid w:val="00AE3DC1"/>
    <w:rsid w:val="00AF2D7D"/>
    <w:rsid w:val="00AF33AC"/>
    <w:rsid w:val="00AF4B07"/>
    <w:rsid w:val="00AF5081"/>
    <w:rsid w:val="00AF6186"/>
    <w:rsid w:val="00AF659C"/>
    <w:rsid w:val="00AF7A3A"/>
    <w:rsid w:val="00AF7B5F"/>
    <w:rsid w:val="00B04BD9"/>
    <w:rsid w:val="00B07B5C"/>
    <w:rsid w:val="00B105E2"/>
    <w:rsid w:val="00B11B7A"/>
    <w:rsid w:val="00B13BA3"/>
    <w:rsid w:val="00B14985"/>
    <w:rsid w:val="00B160DB"/>
    <w:rsid w:val="00B20836"/>
    <w:rsid w:val="00B21EB2"/>
    <w:rsid w:val="00B22251"/>
    <w:rsid w:val="00B22B3B"/>
    <w:rsid w:val="00B235BB"/>
    <w:rsid w:val="00B25957"/>
    <w:rsid w:val="00B26A0A"/>
    <w:rsid w:val="00B27A44"/>
    <w:rsid w:val="00B27AAD"/>
    <w:rsid w:val="00B30BBF"/>
    <w:rsid w:val="00B31922"/>
    <w:rsid w:val="00B3218A"/>
    <w:rsid w:val="00B3391D"/>
    <w:rsid w:val="00B33C03"/>
    <w:rsid w:val="00B34AE8"/>
    <w:rsid w:val="00B34C40"/>
    <w:rsid w:val="00B36999"/>
    <w:rsid w:val="00B43E91"/>
    <w:rsid w:val="00B44E56"/>
    <w:rsid w:val="00B46543"/>
    <w:rsid w:val="00B478AB"/>
    <w:rsid w:val="00B47D33"/>
    <w:rsid w:val="00B502C2"/>
    <w:rsid w:val="00B522C3"/>
    <w:rsid w:val="00B52BE0"/>
    <w:rsid w:val="00B53C1E"/>
    <w:rsid w:val="00B54133"/>
    <w:rsid w:val="00B54ABE"/>
    <w:rsid w:val="00B566C1"/>
    <w:rsid w:val="00B637B9"/>
    <w:rsid w:val="00B669CE"/>
    <w:rsid w:val="00B6782E"/>
    <w:rsid w:val="00B701ED"/>
    <w:rsid w:val="00B71ED2"/>
    <w:rsid w:val="00B72767"/>
    <w:rsid w:val="00B767D5"/>
    <w:rsid w:val="00B77B67"/>
    <w:rsid w:val="00B80754"/>
    <w:rsid w:val="00B8086C"/>
    <w:rsid w:val="00B82034"/>
    <w:rsid w:val="00B83CC5"/>
    <w:rsid w:val="00B84A96"/>
    <w:rsid w:val="00B84B35"/>
    <w:rsid w:val="00B85876"/>
    <w:rsid w:val="00B861B4"/>
    <w:rsid w:val="00B86DFE"/>
    <w:rsid w:val="00B90543"/>
    <w:rsid w:val="00B90990"/>
    <w:rsid w:val="00B922FF"/>
    <w:rsid w:val="00B9281E"/>
    <w:rsid w:val="00B93925"/>
    <w:rsid w:val="00B94C58"/>
    <w:rsid w:val="00B94F48"/>
    <w:rsid w:val="00B95187"/>
    <w:rsid w:val="00BA0ECF"/>
    <w:rsid w:val="00BA2D55"/>
    <w:rsid w:val="00BA71B1"/>
    <w:rsid w:val="00BA7D97"/>
    <w:rsid w:val="00BB0637"/>
    <w:rsid w:val="00BB0DF2"/>
    <w:rsid w:val="00BB228E"/>
    <w:rsid w:val="00BB345F"/>
    <w:rsid w:val="00BB3FBC"/>
    <w:rsid w:val="00BB53E2"/>
    <w:rsid w:val="00BB5883"/>
    <w:rsid w:val="00BB68EA"/>
    <w:rsid w:val="00BB6B0C"/>
    <w:rsid w:val="00BC033D"/>
    <w:rsid w:val="00BC0524"/>
    <w:rsid w:val="00BC1455"/>
    <w:rsid w:val="00BC1C27"/>
    <w:rsid w:val="00BC2D46"/>
    <w:rsid w:val="00BC4198"/>
    <w:rsid w:val="00BC5101"/>
    <w:rsid w:val="00BC5F79"/>
    <w:rsid w:val="00BC6BBF"/>
    <w:rsid w:val="00BD1572"/>
    <w:rsid w:val="00BD4435"/>
    <w:rsid w:val="00BD49C5"/>
    <w:rsid w:val="00BD70EF"/>
    <w:rsid w:val="00BD7A85"/>
    <w:rsid w:val="00BE0D0B"/>
    <w:rsid w:val="00BE14E3"/>
    <w:rsid w:val="00BE1FE7"/>
    <w:rsid w:val="00BE3774"/>
    <w:rsid w:val="00BE41E5"/>
    <w:rsid w:val="00BE4D40"/>
    <w:rsid w:val="00BE752C"/>
    <w:rsid w:val="00BF0BBB"/>
    <w:rsid w:val="00BF1315"/>
    <w:rsid w:val="00BF1C10"/>
    <w:rsid w:val="00BF2B80"/>
    <w:rsid w:val="00BF3749"/>
    <w:rsid w:val="00BF4109"/>
    <w:rsid w:val="00BF4CC3"/>
    <w:rsid w:val="00C0196A"/>
    <w:rsid w:val="00C04F24"/>
    <w:rsid w:val="00C054C7"/>
    <w:rsid w:val="00C057B5"/>
    <w:rsid w:val="00C108E2"/>
    <w:rsid w:val="00C13B03"/>
    <w:rsid w:val="00C13F77"/>
    <w:rsid w:val="00C16B14"/>
    <w:rsid w:val="00C178F4"/>
    <w:rsid w:val="00C22687"/>
    <w:rsid w:val="00C24A4B"/>
    <w:rsid w:val="00C25F13"/>
    <w:rsid w:val="00C3009D"/>
    <w:rsid w:val="00C31563"/>
    <w:rsid w:val="00C31654"/>
    <w:rsid w:val="00C32E4D"/>
    <w:rsid w:val="00C333A0"/>
    <w:rsid w:val="00C33E56"/>
    <w:rsid w:val="00C350D7"/>
    <w:rsid w:val="00C36A81"/>
    <w:rsid w:val="00C41974"/>
    <w:rsid w:val="00C422C7"/>
    <w:rsid w:val="00C43025"/>
    <w:rsid w:val="00C431F5"/>
    <w:rsid w:val="00C447AD"/>
    <w:rsid w:val="00C4560E"/>
    <w:rsid w:val="00C47238"/>
    <w:rsid w:val="00C50029"/>
    <w:rsid w:val="00C519FC"/>
    <w:rsid w:val="00C51C66"/>
    <w:rsid w:val="00C53F4A"/>
    <w:rsid w:val="00C54125"/>
    <w:rsid w:val="00C55603"/>
    <w:rsid w:val="00C559DD"/>
    <w:rsid w:val="00C55B54"/>
    <w:rsid w:val="00C55D2A"/>
    <w:rsid w:val="00C573BA"/>
    <w:rsid w:val="00C6098E"/>
    <w:rsid w:val="00C60E45"/>
    <w:rsid w:val="00C6152C"/>
    <w:rsid w:val="00C621C2"/>
    <w:rsid w:val="00C64232"/>
    <w:rsid w:val="00C667E8"/>
    <w:rsid w:val="00C67AFB"/>
    <w:rsid w:val="00C735F1"/>
    <w:rsid w:val="00C74810"/>
    <w:rsid w:val="00C74B44"/>
    <w:rsid w:val="00C76C66"/>
    <w:rsid w:val="00C81202"/>
    <w:rsid w:val="00C81C98"/>
    <w:rsid w:val="00C81DC8"/>
    <w:rsid w:val="00C8261A"/>
    <w:rsid w:val="00C864F4"/>
    <w:rsid w:val="00C874B1"/>
    <w:rsid w:val="00C9087F"/>
    <w:rsid w:val="00C90D68"/>
    <w:rsid w:val="00C9230F"/>
    <w:rsid w:val="00C93019"/>
    <w:rsid w:val="00C934EB"/>
    <w:rsid w:val="00C9389A"/>
    <w:rsid w:val="00C939FE"/>
    <w:rsid w:val="00C95F21"/>
    <w:rsid w:val="00CA265B"/>
    <w:rsid w:val="00CA3C79"/>
    <w:rsid w:val="00CA4BDA"/>
    <w:rsid w:val="00CA72D5"/>
    <w:rsid w:val="00CB1F66"/>
    <w:rsid w:val="00CB2951"/>
    <w:rsid w:val="00CB4C53"/>
    <w:rsid w:val="00CB5162"/>
    <w:rsid w:val="00CB5F61"/>
    <w:rsid w:val="00CB65C5"/>
    <w:rsid w:val="00CC275D"/>
    <w:rsid w:val="00CC3A9F"/>
    <w:rsid w:val="00CC3E1F"/>
    <w:rsid w:val="00CC48C0"/>
    <w:rsid w:val="00CC4FF7"/>
    <w:rsid w:val="00CC7B6C"/>
    <w:rsid w:val="00CD0C24"/>
    <w:rsid w:val="00CD282B"/>
    <w:rsid w:val="00CD4879"/>
    <w:rsid w:val="00CD4C35"/>
    <w:rsid w:val="00CD7369"/>
    <w:rsid w:val="00CE03CB"/>
    <w:rsid w:val="00CE0AE9"/>
    <w:rsid w:val="00CE0B0E"/>
    <w:rsid w:val="00CE0BC7"/>
    <w:rsid w:val="00CE3786"/>
    <w:rsid w:val="00CE3831"/>
    <w:rsid w:val="00CE3C02"/>
    <w:rsid w:val="00CE6D8E"/>
    <w:rsid w:val="00CE6E57"/>
    <w:rsid w:val="00CE75BE"/>
    <w:rsid w:val="00CE798A"/>
    <w:rsid w:val="00CE7E1D"/>
    <w:rsid w:val="00CF05A6"/>
    <w:rsid w:val="00CF074A"/>
    <w:rsid w:val="00CF21E6"/>
    <w:rsid w:val="00CF5416"/>
    <w:rsid w:val="00CF6C5A"/>
    <w:rsid w:val="00D00ABB"/>
    <w:rsid w:val="00D01B25"/>
    <w:rsid w:val="00D01B7D"/>
    <w:rsid w:val="00D01BBB"/>
    <w:rsid w:val="00D02EEC"/>
    <w:rsid w:val="00D03551"/>
    <w:rsid w:val="00D0423A"/>
    <w:rsid w:val="00D06066"/>
    <w:rsid w:val="00D068FF"/>
    <w:rsid w:val="00D06A63"/>
    <w:rsid w:val="00D07E0E"/>
    <w:rsid w:val="00D11478"/>
    <w:rsid w:val="00D11801"/>
    <w:rsid w:val="00D155F3"/>
    <w:rsid w:val="00D15ED0"/>
    <w:rsid w:val="00D16B81"/>
    <w:rsid w:val="00D170B0"/>
    <w:rsid w:val="00D1758B"/>
    <w:rsid w:val="00D1795D"/>
    <w:rsid w:val="00D17C26"/>
    <w:rsid w:val="00D20947"/>
    <w:rsid w:val="00D21B3E"/>
    <w:rsid w:val="00D21FED"/>
    <w:rsid w:val="00D24251"/>
    <w:rsid w:val="00D2429A"/>
    <w:rsid w:val="00D258F2"/>
    <w:rsid w:val="00D26CE9"/>
    <w:rsid w:val="00D31F0C"/>
    <w:rsid w:val="00D33C22"/>
    <w:rsid w:val="00D343E2"/>
    <w:rsid w:val="00D3611F"/>
    <w:rsid w:val="00D361A2"/>
    <w:rsid w:val="00D41079"/>
    <w:rsid w:val="00D42941"/>
    <w:rsid w:val="00D437EA"/>
    <w:rsid w:val="00D44C2E"/>
    <w:rsid w:val="00D45414"/>
    <w:rsid w:val="00D476CE"/>
    <w:rsid w:val="00D53C0F"/>
    <w:rsid w:val="00D557BD"/>
    <w:rsid w:val="00D566BD"/>
    <w:rsid w:val="00D577EF"/>
    <w:rsid w:val="00D57A4D"/>
    <w:rsid w:val="00D60AA7"/>
    <w:rsid w:val="00D60D87"/>
    <w:rsid w:val="00D6435F"/>
    <w:rsid w:val="00D64516"/>
    <w:rsid w:val="00D65255"/>
    <w:rsid w:val="00D65DB8"/>
    <w:rsid w:val="00D6673A"/>
    <w:rsid w:val="00D677A3"/>
    <w:rsid w:val="00D70949"/>
    <w:rsid w:val="00D739CE"/>
    <w:rsid w:val="00D742E7"/>
    <w:rsid w:val="00D74A08"/>
    <w:rsid w:val="00D75E28"/>
    <w:rsid w:val="00D765F2"/>
    <w:rsid w:val="00D772C2"/>
    <w:rsid w:val="00D8008E"/>
    <w:rsid w:val="00D82786"/>
    <w:rsid w:val="00D82C45"/>
    <w:rsid w:val="00D835EA"/>
    <w:rsid w:val="00D8737F"/>
    <w:rsid w:val="00D90393"/>
    <w:rsid w:val="00D908A8"/>
    <w:rsid w:val="00D92AAB"/>
    <w:rsid w:val="00D94186"/>
    <w:rsid w:val="00D94ABD"/>
    <w:rsid w:val="00D977B6"/>
    <w:rsid w:val="00DA2BBA"/>
    <w:rsid w:val="00DA41FA"/>
    <w:rsid w:val="00DA4A31"/>
    <w:rsid w:val="00DA577F"/>
    <w:rsid w:val="00DA61F2"/>
    <w:rsid w:val="00DA6E36"/>
    <w:rsid w:val="00DA74ED"/>
    <w:rsid w:val="00DA7B04"/>
    <w:rsid w:val="00DA7ECC"/>
    <w:rsid w:val="00DB04A2"/>
    <w:rsid w:val="00DB2430"/>
    <w:rsid w:val="00DB2F40"/>
    <w:rsid w:val="00DB36C2"/>
    <w:rsid w:val="00DB56BD"/>
    <w:rsid w:val="00DB5C67"/>
    <w:rsid w:val="00DB6375"/>
    <w:rsid w:val="00DB7196"/>
    <w:rsid w:val="00DC0161"/>
    <w:rsid w:val="00DC169B"/>
    <w:rsid w:val="00DC1798"/>
    <w:rsid w:val="00DC2AB9"/>
    <w:rsid w:val="00DC63F0"/>
    <w:rsid w:val="00DD4C01"/>
    <w:rsid w:val="00DD4EFD"/>
    <w:rsid w:val="00DD56C2"/>
    <w:rsid w:val="00DD619F"/>
    <w:rsid w:val="00DD6EE5"/>
    <w:rsid w:val="00DD7F86"/>
    <w:rsid w:val="00DE0C1A"/>
    <w:rsid w:val="00DE1B8E"/>
    <w:rsid w:val="00DE386C"/>
    <w:rsid w:val="00DE4CFA"/>
    <w:rsid w:val="00DE4D35"/>
    <w:rsid w:val="00DE5CD1"/>
    <w:rsid w:val="00DE6870"/>
    <w:rsid w:val="00DE6D9C"/>
    <w:rsid w:val="00DE6E20"/>
    <w:rsid w:val="00DF0549"/>
    <w:rsid w:val="00DF098B"/>
    <w:rsid w:val="00DF11C4"/>
    <w:rsid w:val="00DF14E5"/>
    <w:rsid w:val="00DF1B3D"/>
    <w:rsid w:val="00DF210C"/>
    <w:rsid w:val="00DF2970"/>
    <w:rsid w:val="00DF29BD"/>
    <w:rsid w:val="00DF2B78"/>
    <w:rsid w:val="00DF4B6A"/>
    <w:rsid w:val="00DF4EBC"/>
    <w:rsid w:val="00DF5540"/>
    <w:rsid w:val="00DF5EB4"/>
    <w:rsid w:val="00DF6B17"/>
    <w:rsid w:val="00E02C09"/>
    <w:rsid w:val="00E04D59"/>
    <w:rsid w:val="00E06024"/>
    <w:rsid w:val="00E0769F"/>
    <w:rsid w:val="00E07DA1"/>
    <w:rsid w:val="00E117D5"/>
    <w:rsid w:val="00E11AD4"/>
    <w:rsid w:val="00E123C4"/>
    <w:rsid w:val="00E123CB"/>
    <w:rsid w:val="00E1557C"/>
    <w:rsid w:val="00E20E13"/>
    <w:rsid w:val="00E21DBC"/>
    <w:rsid w:val="00E21F58"/>
    <w:rsid w:val="00E2234E"/>
    <w:rsid w:val="00E22948"/>
    <w:rsid w:val="00E238DD"/>
    <w:rsid w:val="00E27066"/>
    <w:rsid w:val="00E275D7"/>
    <w:rsid w:val="00E27DBE"/>
    <w:rsid w:val="00E313D2"/>
    <w:rsid w:val="00E31972"/>
    <w:rsid w:val="00E31BB2"/>
    <w:rsid w:val="00E32AB1"/>
    <w:rsid w:val="00E33DE9"/>
    <w:rsid w:val="00E355D5"/>
    <w:rsid w:val="00E35E2B"/>
    <w:rsid w:val="00E36C71"/>
    <w:rsid w:val="00E40404"/>
    <w:rsid w:val="00E40731"/>
    <w:rsid w:val="00E4158A"/>
    <w:rsid w:val="00E438A6"/>
    <w:rsid w:val="00E459C6"/>
    <w:rsid w:val="00E4628D"/>
    <w:rsid w:val="00E47589"/>
    <w:rsid w:val="00E51F11"/>
    <w:rsid w:val="00E52087"/>
    <w:rsid w:val="00E529FA"/>
    <w:rsid w:val="00E54190"/>
    <w:rsid w:val="00E548C9"/>
    <w:rsid w:val="00E5734B"/>
    <w:rsid w:val="00E62217"/>
    <w:rsid w:val="00E63193"/>
    <w:rsid w:val="00E63789"/>
    <w:rsid w:val="00E64915"/>
    <w:rsid w:val="00E656CF"/>
    <w:rsid w:val="00E66059"/>
    <w:rsid w:val="00E661D4"/>
    <w:rsid w:val="00E675F5"/>
    <w:rsid w:val="00E70091"/>
    <w:rsid w:val="00E7054F"/>
    <w:rsid w:val="00E720F5"/>
    <w:rsid w:val="00E73054"/>
    <w:rsid w:val="00E74777"/>
    <w:rsid w:val="00E74D01"/>
    <w:rsid w:val="00E76444"/>
    <w:rsid w:val="00E76538"/>
    <w:rsid w:val="00E766BB"/>
    <w:rsid w:val="00E76D47"/>
    <w:rsid w:val="00E7752A"/>
    <w:rsid w:val="00E80654"/>
    <w:rsid w:val="00E81D26"/>
    <w:rsid w:val="00E82EF5"/>
    <w:rsid w:val="00E84659"/>
    <w:rsid w:val="00E849F7"/>
    <w:rsid w:val="00E90302"/>
    <w:rsid w:val="00E90375"/>
    <w:rsid w:val="00E94E23"/>
    <w:rsid w:val="00E9573F"/>
    <w:rsid w:val="00E9597F"/>
    <w:rsid w:val="00E97396"/>
    <w:rsid w:val="00E97FA0"/>
    <w:rsid w:val="00EA146A"/>
    <w:rsid w:val="00EA185E"/>
    <w:rsid w:val="00EA302B"/>
    <w:rsid w:val="00EA3668"/>
    <w:rsid w:val="00EA3FF7"/>
    <w:rsid w:val="00EA592A"/>
    <w:rsid w:val="00EB14E4"/>
    <w:rsid w:val="00EB20EB"/>
    <w:rsid w:val="00EB2E31"/>
    <w:rsid w:val="00EB32A5"/>
    <w:rsid w:val="00EB34ED"/>
    <w:rsid w:val="00EB3573"/>
    <w:rsid w:val="00EB3F3A"/>
    <w:rsid w:val="00EB4159"/>
    <w:rsid w:val="00EB7BE0"/>
    <w:rsid w:val="00EC1E42"/>
    <w:rsid w:val="00EC315E"/>
    <w:rsid w:val="00EC35EA"/>
    <w:rsid w:val="00EC7511"/>
    <w:rsid w:val="00EC7C17"/>
    <w:rsid w:val="00ED077C"/>
    <w:rsid w:val="00ED1190"/>
    <w:rsid w:val="00ED2588"/>
    <w:rsid w:val="00ED3687"/>
    <w:rsid w:val="00ED6544"/>
    <w:rsid w:val="00EE0277"/>
    <w:rsid w:val="00EE02BE"/>
    <w:rsid w:val="00EE1DA9"/>
    <w:rsid w:val="00EE1E46"/>
    <w:rsid w:val="00EE3E00"/>
    <w:rsid w:val="00EE499D"/>
    <w:rsid w:val="00EE5B6B"/>
    <w:rsid w:val="00EE5DD2"/>
    <w:rsid w:val="00EE5F77"/>
    <w:rsid w:val="00EE7E9C"/>
    <w:rsid w:val="00EF11B9"/>
    <w:rsid w:val="00EF1C07"/>
    <w:rsid w:val="00EF3A84"/>
    <w:rsid w:val="00EF41F1"/>
    <w:rsid w:val="00EF4DE6"/>
    <w:rsid w:val="00EF4F08"/>
    <w:rsid w:val="00EF50B0"/>
    <w:rsid w:val="00EF547A"/>
    <w:rsid w:val="00EF573B"/>
    <w:rsid w:val="00EF5EC7"/>
    <w:rsid w:val="00EF6018"/>
    <w:rsid w:val="00F0000A"/>
    <w:rsid w:val="00F00A79"/>
    <w:rsid w:val="00F00E86"/>
    <w:rsid w:val="00F00F8B"/>
    <w:rsid w:val="00F0293B"/>
    <w:rsid w:val="00F04C3F"/>
    <w:rsid w:val="00F064F9"/>
    <w:rsid w:val="00F07327"/>
    <w:rsid w:val="00F07C1E"/>
    <w:rsid w:val="00F105DB"/>
    <w:rsid w:val="00F1077A"/>
    <w:rsid w:val="00F10872"/>
    <w:rsid w:val="00F132BC"/>
    <w:rsid w:val="00F13D80"/>
    <w:rsid w:val="00F13ED6"/>
    <w:rsid w:val="00F14823"/>
    <w:rsid w:val="00F15352"/>
    <w:rsid w:val="00F153DD"/>
    <w:rsid w:val="00F15CAE"/>
    <w:rsid w:val="00F15E0C"/>
    <w:rsid w:val="00F16AAA"/>
    <w:rsid w:val="00F16CCC"/>
    <w:rsid w:val="00F179E5"/>
    <w:rsid w:val="00F17C76"/>
    <w:rsid w:val="00F17E6F"/>
    <w:rsid w:val="00F21161"/>
    <w:rsid w:val="00F218EF"/>
    <w:rsid w:val="00F21BC7"/>
    <w:rsid w:val="00F235E8"/>
    <w:rsid w:val="00F236D6"/>
    <w:rsid w:val="00F266A2"/>
    <w:rsid w:val="00F30821"/>
    <w:rsid w:val="00F310E0"/>
    <w:rsid w:val="00F32269"/>
    <w:rsid w:val="00F32A8C"/>
    <w:rsid w:val="00F33746"/>
    <w:rsid w:val="00F3388D"/>
    <w:rsid w:val="00F3429C"/>
    <w:rsid w:val="00F342AF"/>
    <w:rsid w:val="00F348EE"/>
    <w:rsid w:val="00F352D5"/>
    <w:rsid w:val="00F40146"/>
    <w:rsid w:val="00F4049D"/>
    <w:rsid w:val="00F40C5E"/>
    <w:rsid w:val="00F4457E"/>
    <w:rsid w:val="00F446F8"/>
    <w:rsid w:val="00F46439"/>
    <w:rsid w:val="00F50A67"/>
    <w:rsid w:val="00F54459"/>
    <w:rsid w:val="00F554E1"/>
    <w:rsid w:val="00F56A6F"/>
    <w:rsid w:val="00F56C99"/>
    <w:rsid w:val="00F5709C"/>
    <w:rsid w:val="00F60C57"/>
    <w:rsid w:val="00F64EF1"/>
    <w:rsid w:val="00F66FA9"/>
    <w:rsid w:val="00F70A39"/>
    <w:rsid w:val="00F72178"/>
    <w:rsid w:val="00F72B47"/>
    <w:rsid w:val="00F75585"/>
    <w:rsid w:val="00F77E3D"/>
    <w:rsid w:val="00F80257"/>
    <w:rsid w:val="00F82E5B"/>
    <w:rsid w:val="00F87444"/>
    <w:rsid w:val="00F8765F"/>
    <w:rsid w:val="00F87CCB"/>
    <w:rsid w:val="00F90767"/>
    <w:rsid w:val="00F90D28"/>
    <w:rsid w:val="00F91BC3"/>
    <w:rsid w:val="00F97E1B"/>
    <w:rsid w:val="00FA12A1"/>
    <w:rsid w:val="00FA2B49"/>
    <w:rsid w:val="00FA5A10"/>
    <w:rsid w:val="00FA685B"/>
    <w:rsid w:val="00FB0C01"/>
    <w:rsid w:val="00FB1652"/>
    <w:rsid w:val="00FB4707"/>
    <w:rsid w:val="00FC0E1C"/>
    <w:rsid w:val="00FC18F2"/>
    <w:rsid w:val="00FC39E5"/>
    <w:rsid w:val="00FC3A78"/>
    <w:rsid w:val="00FC5BAE"/>
    <w:rsid w:val="00FC5FFE"/>
    <w:rsid w:val="00FC7672"/>
    <w:rsid w:val="00FD1005"/>
    <w:rsid w:val="00FD1F1E"/>
    <w:rsid w:val="00FD3180"/>
    <w:rsid w:val="00FD6C75"/>
    <w:rsid w:val="00FE0CEA"/>
    <w:rsid w:val="00FE4052"/>
    <w:rsid w:val="00FE4556"/>
    <w:rsid w:val="00FE466C"/>
    <w:rsid w:val="00FE5064"/>
    <w:rsid w:val="00FE6C0B"/>
    <w:rsid w:val="00FE71B3"/>
    <w:rsid w:val="00FF12AC"/>
    <w:rsid w:val="00FF202F"/>
    <w:rsid w:val="00FF298D"/>
    <w:rsid w:val="00FF30F2"/>
    <w:rsid w:val="00FF42C5"/>
    <w:rsid w:val="00FF46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BE4D40"/>
    <w:pPr>
      <w:jc w:val="both"/>
    </w:pPr>
    <w:rPr>
      <w:rFonts w:eastAsia="MS Mincho"/>
      <w:sz w:val="24"/>
      <w:szCs w:val="24"/>
      <w:lang w:eastAsia="en-US"/>
    </w:rPr>
  </w:style>
  <w:style w:type="paragraph" w:styleId="Nagwek1">
    <w:name w:val="heading 1"/>
    <w:basedOn w:val="Normalny"/>
    <w:next w:val="Normalny"/>
    <w:link w:val="Nagwek1Znak"/>
    <w:uiPriority w:val="99"/>
    <w:qFormat/>
    <w:rsid w:val="00BE4D4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BE4D4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BE4D4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BE4D4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BE4D40"/>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BE4D4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BE4D40"/>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BE4D40"/>
    <w:pPr>
      <w:outlineLvl w:val="7"/>
    </w:pPr>
    <w:rPr>
      <w:rFonts w:eastAsia="MS Gothic"/>
      <w:sz w:val="20"/>
      <w:szCs w:val="20"/>
      <w:lang w:eastAsia="pl-PL"/>
    </w:rPr>
  </w:style>
  <w:style w:type="paragraph" w:styleId="Nagwek9">
    <w:name w:val="heading 9"/>
    <w:basedOn w:val="Normalny"/>
    <w:next w:val="Normalny"/>
    <w:link w:val="Nagwek9Znak"/>
    <w:uiPriority w:val="99"/>
    <w:qFormat/>
    <w:rsid w:val="00BE4D40"/>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BE4D40"/>
    <w:rPr>
      <w:rFonts w:ascii="Times New Roman" w:eastAsia="MS Gothic" w:hAnsi="Times New Roman" w:cs="Times New Roman"/>
      <w:b/>
      <w:color w:val="333333"/>
      <w:sz w:val="28"/>
      <w:lang w:val="pl-PL" w:eastAsia="x-none"/>
    </w:rPr>
  </w:style>
  <w:style w:type="character" w:customStyle="1" w:styleId="Nagwek2Znak">
    <w:name w:val="Nagłówek 2 Znak"/>
    <w:basedOn w:val="Domylnaczcionkaakapitu"/>
    <w:link w:val="Nagwek2"/>
    <w:uiPriority w:val="99"/>
    <w:semiHidden/>
    <w:locked/>
    <w:rsid w:val="00BE4D40"/>
    <w:rPr>
      <w:rFonts w:ascii="Times New Roman" w:eastAsia="MS Gothic" w:hAnsi="Times New Roman" w:cs="Times New Roman"/>
      <w:b/>
      <w:color w:val="4D4D4D"/>
      <w:sz w:val="26"/>
      <w:lang w:val="pl-PL" w:eastAsia="x-none"/>
    </w:rPr>
  </w:style>
  <w:style w:type="character" w:customStyle="1" w:styleId="Nagwek3Znak">
    <w:name w:val="Nagłówek 3 Znak"/>
    <w:basedOn w:val="Domylnaczcionkaakapitu"/>
    <w:link w:val="Nagwek3"/>
    <w:uiPriority w:val="99"/>
    <w:semiHidden/>
    <w:locked/>
    <w:rsid w:val="00BE4D40"/>
    <w:rPr>
      <w:rFonts w:ascii="Times New Roman" w:eastAsia="MS Gothic" w:hAnsi="Times New Roman" w:cs="Times New Roman"/>
      <w:b/>
      <w:color w:val="5F5F5F"/>
      <w:sz w:val="24"/>
      <w:lang w:val="pl-PL" w:eastAsia="x-none"/>
    </w:rPr>
  </w:style>
  <w:style w:type="character" w:customStyle="1" w:styleId="Nagwek4Znak">
    <w:name w:val="Nagłówek 4 Znak"/>
    <w:basedOn w:val="Domylnaczcionkaakapitu"/>
    <w:link w:val="Nagwek4"/>
    <w:uiPriority w:val="99"/>
    <w:semiHidden/>
    <w:locked/>
    <w:rsid w:val="00BE4D40"/>
    <w:rPr>
      <w:rFonts w:ascii="Times New Roman" w:eastAsia="MS Gothic" w:hAnsi="Times New Roman" w:cs="Times New Roman"/>
      <w:b/>
      <w:i/>
      <w:color w:val="777777"/>
      <w:sz w:val="24"/>
      <w:lang w:val="pl-PL" w:eastAsia="x-none"/>
    </w:rPr>
  </w:style>
  <w:style w:type="character" w:customStyle="1" w:styleId="Nagwek5Znak">
    <w:name w:val="Nagłówek 5 Znak"/>
    <w:basedOn w:val="Domylnaczcionkaakapitu"/>
    <w:link w:val="Nagwek5"/>
    <w:uiPriority w:val="99"/>
    <w:semiHidden/>
    <w:locked/>
    <w:rsid w:val="00BE4D40"/>
    <w:rPr>
      <w:rFonts w:ascii="Times New Roman" w:eastAsia="MS Gothic" w:hAnsi="Times New Roman" w:cs="Times New Roman"/>
      <w:b/>
      <w:color w:val="808080"/>
    </w:rPr>
  </w:style>
  <w:style w:type="character" w:customStyle="1" w:styleId="Nagwek6Znak">
    <w:name w:val="Nagłówek 6 Znak"/>
    <w:basedOn w:val="Domylnaczcionkaakapitu"/>
    <w:link w:val="Nagwek6"/>
    <w:uiPriority w:val="99"/>
    <w:semiHidden/>
    <w:locked/>
    <w:rsid w:val="00BE4D40"/>
    <w:rPr>
      <w:rFonts w:ascii="Times New Roman" w:eastAsia="MS Gothic" w:hAnsi="Times New Roman" w:cs="Times New Roman"/>
      <w:b/>
      <w:i/>
      <w:color w:val="7F7F7F"/>
      <w:sz w:val="24"/>
      <w:lang w:val="pl-PL" w:eastAsia="x-none"/>
    </w:rPr>
  </w:style>
  <w:style w:type="character" w:customStyle="1" w:styleId="Nagwek7Znak">
    <w:name w:val="Nagłówek 7 Znak"/>
    <w:basedOn w:val="Domylnaczcionkaakapitu"/>
    <w:link w:val="Nagwek7"/>
    <w:uiPriority w:val="99"/>
    <w:semiHidden/>
    <w:locked/>
    <w:rsid w:val="00BE4D40"/>
    <w:rPr>
      <w:rFonts w:ascii="Times New Roman" w:eastAsia="MS Gothic" w:hAnsi="Times New Roman" w:cs="Times New Roman"/>
      <w:i/>
    </w:rPr>
  </w:style>
  <w:style w:type="character" w:customStyle="1" w:styleId="Nagwek8Znak">
    <w:name w:val="Nagłówek 8 Znak"/>
    <w:basedOn w:val="Domylnaczcionkaakapitu"/>
    <w:link w:val="Nagwek8"/>
    <w:uiPriority w:val="99"/>
    <w:semiHidden/>
    <w:locked/>
    <w:rsid w:val="00BE4D40"/>
    <w:rPr>
      <w:rFonts w:ascii="Times New Roman" w:eastAsia="MS Gothic" w:hAnsi="Times New Roman" w:cs="Times New Roman"/>
      <w:sz w:val="20"/>
    </w:rPr>
  </w:style>
  <w:style w:type="character" w:customStyle="1" w:styleId="Nagwek9Znak">
    <w:name w:val="Nagłówek 9 Znak"/>
    <w:basedOn w:val="Domylnaczcionkaakapitu"/>
    <w:link w:val="Nagwek9"/>
    <w:uiPriority w:val="99"/>
    <w:semiHidden/>
    <w:locked/>
    <w:rsid w:val="00BE4D40"/>
    <w:rPr>
      <w:rFonts w:ascii="Times New Roman" w:eastAsia="MS Gothic" w:hAnsi="Times New Roman" w:cs="Times New Roman"/>
      <w:i/>
      <w:spacing w:val="5"/>
      <w:sz w:val="20"/>
    </w:rPr>
  </w:style>
  <w:style w:type="paragraph" w:styleId="Tekstdymka">
    <w:name w:val="Balloon Text"/>
    <w:basedOn w:val="Normalny"/>
    <w:link w:val="TekstdymkaZnak"/>
    <w:uiPriority w:val="99"/>
    <w:semiHidden/>
    <w:rsid w:val="00BE4D4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BE4D40"/>
    <w:rPr>
      <w:rFonts w:ascii="Tahoma" w:eastAsia="MS Mincho" w:hAnsi="Tahoma" w:cs="Times New Roman"/>
      <w:sz w:val="16"/>
      <w:lang w:val="pl-PL" w:eastAsia="x-none"/>
    </w:rPr>
  </w:style>
  <w:style w:type="character" w:styleId="Tytuksiki">
    <w:name w:val="Book Title"/>
    <w:basedOn w:val="Domylnaczcionkaakapitu"/>
    <w:uiPriority w:val="99"/>
    <w:qFormat/>
    <w:rsid w:val="00BE4D40"/>
    <w:rPr>
      <w:rFonts w:cs="Times New Roman"/>
      <w:i/>
      <w:smallCaps/>
      <w:spacing w:val="5"/>
    </w:rPr>
  </w:style>
  <w:style w:type="paragraph" w:customStyle="1" w:styleId="ECHRHeader">
    <w:name w:val="ECHR_Header"/>
    <w:aliases w:val="Ju_Header"/>
    <w:basedOn w:val="Nagwek"/>
    <w:uiPriority w:val="4"/>
    <w:qFormat/>
    <w:rsid w:val="00BE4D40"/>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BE4D40"/>
    <w:pPr>
      <w:jc w:val="left"/>
    </w:pPr>
    <w:rPr>
      <w:sz w:val="8"/>
      <w:szCs w:val="8"/>
    </w:rPr>
  </w:style>
  <w:style w:type="character" w:styleId="Pogrubienie">
    <w:name w:val="Strong"/>
    <w:basedOn w:val="Domylnaczcionkaakapitu"/>
    <w:uiPriority w:val="99"/>
    <w:qFormat/>
    <w:rsid w:val="00BE4D40"/>
    <w:rPr>
      <w:rFonts w:cs="Times New Roman"/>
      <w:b/>
    </w:rPr>
  </w:style>
  <w:style w:type="paragraph" w:styleId="Bezodstpw">
    <w:name w:val="No Spacing"/>
    <w:basedOn w:val="Normalny"/>
    <w:link w:val="BezodstpwZnak"/>
    <w:uiPriority w:val="99"/>
    <w:qFormat/>
    <w:rsid w:val="00BE4D40"/>
    <w:rPr>
      <w:sz w:val="20"/>
      <w:szCs w:val="20"/>
      <w:lang w:eastAsia="pl-PL"/>
    </w:rPr>
  </w:style>
  <w:style w:type="character" w:customStyle="1" w:styleId="BezodstpwZnak">
    <w:name w:val="Bez odstępów Znak"/>
    <w:link w:val="Bezodstpw"/>
    <w:uiPriority w:val="99"/>
    <w:semiHidden/>
    <w:locked/>
    <w:rsid w:val="00BE4D40"/>
    <w:rPr>
      <w:rFonts w:eastAsia="MS Mincho"/>
    </w:rPr>
  </w:style>
  <w:style w:type="paragraph" w:customStyle="1" w:styleId="ECHRFooterLine">
    <w:name w:val="ECHR_Footer_Line"/>
    <w:aliases w:val="Footer_Line"/>
    <w:basedOn w:val="Normalny"/>
    <w:next w:val="ECHRFooter"/>
    <w:uiPriority w:val="99"/>
    <w:semiHidden/>
    <w:rsid w:val="00BE4D4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BE4D40"/>
  </w:style>
  <w:style w:type="paragraph" w:customStyle="1" w:styleId="OpiPara">
    <w:name w:val="Opi_Para"/>
    <w:basedOn w:val="ECHRPara"/>
    <w:uiPriority w:val="99"/>
    <w:rsid w:val="00BE4D40"/>
  </w:style>
  <w:style w:type="paragraph" w:customStyle="1" w:styleId="DecList">
    <w:name w:val="Dec_List"/>
    <w:basedOn w:val="Normalny"/>
    <w:uiPriority w:val="99"/>
    <w:semiHidden/>
    <w:rsid w:val="00BE4D40"/>
    <w:pPr>
      <w:spacing w:before="240"/>
      <w:ind w:left="284"/>
    </w:pPr>
  </w:style>
  <w:style w:type="paragraph" w:customStyle="1" w:styleId="ECHRTitleCentre3">
    <w:name w:val="ECHR_Title_Centre_3"/>
    <w:aliases w:val="Ju_H_Article"/>
    <w:basedOn w:val="Normalny"/>
    <w:next w:val="ECHRParaQuote"/>
    <w:uiPriority w:val="99"/>
    <w:rsid w:val="00BE4D4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BE4D40"/>
    <w:pPr>
      <w:keepNext/>
      <w:keepLines/>
      <w:spacing w:after="240"/>
      <w:jc w:val="center"/>
      <w:outlineLvl w:val="0"/>
    </w:pPr>
    <w:rPr>
      <w:sz w:val="28"/>
      <w:szCs w:val="28"/>
    </w:rPr>
  </w:style>
  <w:style w:type="paragraph" w:customStyle="1" w:styleId="DummyStyle">
    <w:name w:val="Dummy_Style"/>
    <w:basedOn w:val="Normalny"/>
    <w:uiPriority w:val="99"/>
    <w:semiHidden/>
    <w:rsid w:val="00BE4D40"/>
    <w:rPr>
      <w:color w:val="00B050"/>
    </w:rPr>
  </w:style>
  <w:style w:type="paragraph" w:customStyle="1" w:styleId="JuAppQuestion">
    <w:name w:val="Ju_App_Question"/>
    <w:basedOn w:val="Normalny"/>
    <w:uiPriority w:val="99"/>
    <w:semiHidden/>
    <w:rsid w:val="00BE4D40"/>
    <w:pPr>
      <w:numPr>
        <w:numId w:val="10"/>
      </w:numPr>
      <w:tabs>
        <w:tab w:val="num" w:pos="720"/>
        <w:tab w:val="num" w:pos="926"/>
      </w:tabs>
      <w:ind w:left="720"/>
      <w:jc w:val="left"/>
    </w:pPr>
    <w:rPr>
      <w:b/>
      <w:bCs/>
    </w:rPr>
  </w:style>
  <w:style w:type="paragraph" w:customStyle="1" w:styleId="JuCourt">
    <w:name w:val="Ju_Court"/>
    <w:basedOn w:val="Normalny"/>
    <w:next w:val="Normalny"/>
    <w:uiPriority w:val="99"/>
    <w:rsid w:val="00BE4D40"/>
    <w:pPr>
      <w:tabs>
        <w:tab w:val="left" w:pos="907"/>
        <w:tab w:val="left" w:pos="1701"/>
        <w:tab w:val="right" w:pos="7371"/>
      </w:tabs>
      <w:spacing w:before="240"/>
      <w:ind w:left="397" w:hanging="397"/>
      <w:jc w:val="left"/>
    </w:pPr>
  </w:style>
  <w:style w:type="paragraph" w:customStyle="1" w:styleId="ECHRTitleCentre2">
    <w:name w:val="ECHR_Title_Centre_2"/>
    <w:aliases w:val="Dec_H_Case"/>
    <w:basedOn w:val="Normalny"/>
    <w:next w:val="ECHRPara"/>
    <w:uiPriority w:val="99"/>
    <w:rsid w:val="00BE4D40"/>
    <w:pPr>
      <w:spacing w:after="240"/>
      <w:jc w:val="center"/>
      <w:outlineLvl w:val="0"/>
    </w:pPr>
  </w:style>
  <w:style w:type="paragraph" w:customStyle="1" w:styleId="JuHeaderLandscape">
    <w:name w:val="Ju_Header_Landscape"/>
    <w:basedOn w:val="ECHRHeader"/>
    <w:uiPriority w:val="99"/>
    <w:rsid w:val="00BE4D40"/>
    <w:pPr>
      <w:tabs>
        <w:tab w:val="clear" w:pos="3686"/>
        <w:tab w:val="clear" w:pos="7371"/>
        <w:tab w:val="center" w:pos="6146"/>
        <w:tab w:val="right" w:pos="12293"/>
      </w:tabs>
    </w:pPr>
  </w:style>
  <w:style w:type="paragraph" w:styleId="Tytu">
    <w:name w:val="Title"/>
    <w:basedOn w:val="Normalny"/>
    <w:next w:val="Normalny"/>
    <w:link w:val="TytuZnak"/>
    <w:uiPriority w:val="99"/>
    <w:qFormat/>
    <w:rsid w:val="00BE4D40"/>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BE4D40"/>
    <w:rPr>
      <w:rFonts w:ascii="Times New Roman" w:eastAsia="MS Gothic" w:hAnsi="Times New Roman" w:cs="Times New Roman"/>
      <w:spacing w:val="5"/>
      <w:sz w:val="52"/>
    </w:rPr>
  </w:style>
  <w:style w:type="paragraph" w:customStyle="1" w:styleId="ECHRHeading3">
    <w:name w:val="ECHR_Heading_3"/>
    <w:aliases w:val="Ju_H_1."/>
    <w:basedOn w:val="Nagwek3"/>
    <w:next w:val="ECHRPara"/>
    <w:uiPriority w:val="99"/>
    <w:rsid w:val="00BE4D40"/>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BE4D40"/>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E4D40"/>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BE4D40"/>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BE4D40"/>
    <w:pPr>
      <w:keepNext/>
      <w:keepLines/>
      <w:spacing w:before="240" w:after="120"/>
      <w:ind w:left="1236"/>
    </w:pPr>
  </w:style>
  <w:style w:type="character" w:customStyle="1" w:styleId="JuITMark">
    <w:name w:val="Ju_ITMark"/>
    <w:uiPriority w:val="99"/>
    <w:rsid w:val="00BE4D40"/>
    <w:rPr>
      <w:color w:val="auto"/>
      <w:sz w:val="14"/>
      <w:shd w:val="clear" w:color="auto" w:fill="BEE5FF"/>
    </w:rPr>
  </w:style>
  <w:style w:type="paragraph" w:customStyle="1" w:styleId="JuInitialled">
    <w:name w:val="Ju_Initialled"/>
    <w:basedOn w:val="Normalny"/>
    <w:uiPriority w:val="99"/>
    <w:rsid w:val="00BE4D40"/>
    <w:pPr>
      <w:tabs>
        <w:tab w:val="center" w:pos="6407"/>
      </w:tabs>
      <w:spacing w:before="720"/>
      <w:jc w:val="right"/>
    </w:pPr>
  </w:style>
  <w:style w:type="character" w:customStyle="1" w:styleId="JUNAMES">
    <w:name w:val="JU_NAMES"/>
    <w:uiPriority w:val="99"/>
    <w:rsid w:val="00BE4D40"/>
    <w:rPr>
      <w:smallCaps/>
    </w:rPr>
  </w:style>
  <w:style w:type="paragraph" w:styleId="Nagwek">
    <w:name w:val="header"/>
    <w:basedOn w:val="Normalny"/>
    <w:link w:val="NagwekZnak"/>
    <w:uiPriority w:val="99"/>
    <w:rsid w:val="00BE4D4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BE4D40"/>
    <w:rPr>
      <w:rFonts w:cs="Times New Roman"/>
      <w:sz w:val="24"/>
      <w:lang w:val="pl-PL" w:eastAsia="x-none"/>
    </w:rPr>
  </w:style>
  <w:style w:type="paragraph" w:customStyle="1" w:styleId="ECHRHeading1">
    <w:name w:val="ECHR_Heading_1"/>
    <w:aliases w:val="Ju_H_I_Roman"/>
    <w:basedOn w:val="Nagwek1"/>
    <w:next w:val="ECHRPara"/>
    <w:uiPriority w:val="99"/>
    <w:rsid w:val="00BE4D40"/>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link w:val="JuHAChar"/>
    <w:uiPriority w:val="99"/>
    <w:rsid w:val="00BE4D40"/>
    <w:pPr>
      <w:keepNext/>
      <w:keepLines/>
      <w:tabs>
        <w:tab w:val="left" w:pos="584"/>
      </w:tabs>
      <w:spacing w:before="360" w:after="240"/>
      <w:ind w:left="584" w:hanging="352"/>
    </w:pPr>
    <w:rPr>
      <w:color w:val="auto"/>
    </w:rPr>
  </w:style>
  <w:style w:type="paragraph" w:customStyle="1" w:styleId="JuParaSub">
    <w:name w:val="Ju_Para_Sub"/>
    <w:basedOn w:val="ECHRPara"/>
    <w:uiPriority w:val="99"/>
    <w:rsid w:val="00BE4D40"/>
    <w:pPr>
      <w:ind w:left="284"/>
    </w:pPr>
  </w:style>
  <w:style w:type="paragraph" w:customStyle="1" w:styleId="JuCase">
    <w:name w:val="Ju_Case"/>
    <w:basedOn w:val="Normalny"/>
    <w:next w:val="ECHRPara"/>
    <w:uiPriority w:val="99"/>
    <w:rsid w:val="00BE4D40"/>
    <w:pPr>
      <w:ind w:firstLine="284"/>
    </w:pPr>
    <w:rPr>
      <w:b/>
      <w:bCs/>
    </w:rPr>
  </w:style>
  <w:style w:type="character" w:styleId="Wyrnieniedelikatne">
    <w:name w:val="Subtle Emphasis"/>
    <w:basedOn w:val="Domylnaczcionkaakapitu"/>
    <w:uiPriority w:val="99"/>
    <w:qFormat/>
    <w:rsid w:val="00BE4D40"/>
    <w:rPr>
      <w:rFonts w:cs="Times New Roman"/>
      <w:i/>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E4D40"/>
    <w:pPr>
      <w:keepNext/>
      <w:keepLines/>
      <w:spacing w:before="720" w:after="240"/>
      <w:outlineLvl w:val="0"/>
    </w:pPr>
    <w:rPr>
      <w:sz w:val="28"/>
      <w:szCs w:val="28"/>
    </w:rPr>
  </w:style>
  <w:style w:type="character" w:styleId="Uwydatnienie">
    <w:name w:val="Emphasis"/>
    <w:basedOn w:val="Domylnaczcionkaakapitu"/>
    <w:uiPriority w:val="99"/>
    <w:qFormat/>
    <w:rsid w:val="00BE4D40"/>
    <w:rPr>
      <w:rFonts w:cs="Times New Roman"/>
      <w:b/>
      <w:i/>
      <w:spacing w:val="10"/>
      <w:shd w:val="clear" w:color="auto" w:fill="auto"/>
    </w:rPr>
  </w:style>
  <w:style w:type="paragraph" w:styleId="Stopka">
    <w:name w:val="footer"/>
    <w:basedOn w:val="Normalny"/>
    <w:link w:val="StopkaZnak"/>
    <w:uiPriority w:val="99"/>
    <w:semiHidden/>
    <w:rsid w:val="00BE4D4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BE4D40"/>
    <w:rPr>
      <w:rFonts w:cs="Times New Roman"/>
      <w:sz w:val="24"/>
      <w:lang w:val="pl-PL" w:eastAsia="x-none"/>
    </w:rPr>
  </w:style>
  <w:style w:type="character" w:styleId="Odwoanieprzypisudolnego">
    <w:name w:val="footnote reference"/>
    <w:basedOn w:val="Domylnaczcionkaakapitu"/>
    <w:uiPriority w:val="99"/>
    <w:semiHidden/>
    <w:rsid w:val="00BE4D40"/>
    <w:rPr>
      <w:rFonts w:cs="Times New Roman"/>
      <w:vertAlign w:val="superscript"/>
    </w:rPr>
  </w:style>
  <w:style w:type="paragraph" w:styleId="Tekstprzypisudolnego">
    <w:name w:val="footnote text"/>
    <w:basedOn w:val="Normalny"/>
    <w:link w:val="TekstprzypisudolnegoZnak"/>
    <w:uiPriority w:val="99"/>
    <w:semiHidden/>
    <w:rsid w:val="00BE4D4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BE4D40"/>
    <w:rPr>
      <w:rFonts w:eastAsia="MS Mincho" w:cs="Times New Roman"/>
      <w:sz w:val="20"/>
      <w:lang w:val="pl-PL" w:eastAsia="x-none"/>
    </w:rPr>
  </w:style>
  <w:style w:type="character" w:styleId="Hipercze">
    <w:name w:val="Hyperlink"/>
    <w:basedOn w:val="Domylnaczcionkaakapitu"/>
    <w:uiPriority w:val="99"/>
    <w:semiHidden/>
    <w:rsid w:val="00BE4D40"/>
    <w:rPr>
      <w:rFonts w:cs="Times New Roman"/>
      <w:color w:val="0072BC"/>
      <w:u w:val="single"/>
    </w:rPr>
  </w:style>
  <w:style w:type="character" w:styleId="Wyrnienieintensywne">
    <w:name w:val="Intense Emphasis"/>
    <w:basedOn w:val="Domylnaczcionkaakapitu"/>
    <w:uiPriority w:val="99"/>
    <w:qFormat/>
    <w:rsid w:val="00BE4D40"/>
    <w:rPr>
      <w:rFonts w:cs="Times New Roman"/>
      <w:b/>
    </w:rPr>
  </w:style>
  <w:style w:type="paragraph" w:styleId="Cytatintensywny">
    <w:name w:val="Intense Quote"/>
    <w:basedOn w:val="Normalny"/>
    <w:next w:val="Normalny"/>
    <w:link w:val="CytatintensywnyZnak"/>
    <w:uiPriority w:val="99"/>
    <w:qFormat/>
    <w:rsid w:val="00BE4D40"/>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BE4D40"/>
    <w:rPr>
      <w:rFonts w:eastAsia="MS Mincho" w:cs="Times New Roman"/>
      <w:b/>
      <w:i/>
    </w:rPr>
  </w:style>
  <w:style w:type="character" w:styleId="Odwoanieintensywne">
    <w:name w:val="Intense Reference"/>
    <w:basedOn w:val="Domylnaczcionkaakapitu"/>
    <w:uiPriority w:val="99"/>
    <w:qFormat/>
    <w:rsid w:val="00BE4D40"/>
    <w:rPr>
      <w:rFonts w:cs="Times New Roman"/>
      <w:smallCaps/>
      <w:spacing w:val="5"/>
      <w:u w:val="single"/>
    </w:rPr>
  </w:style>
  <w:style w:type="paragraph" w:styleId="Akapitzlist">
    <w:name w:val="List Paragraph"/>
    <w:basedOn w:val="Normalny"/>
    <w:uiPriority w:val="99"/>
    <w:qFormat/>
    <w:rsid w:val="00BE4D40"/>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E4D40"/>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BE4D40"/>
    <w:rPr>
      <w:rFonts w:eastAsia="MS Mincho" w:cs="Times New Roman"/>
      <w:i/>
    </w:rPr>
  </w:style>
  <w:style w:type="character" w:styleId="Odwoaniedelikatne">
    <w:name w:val="Subtle Reference"/>
    <w:basedOn w:val="Domylnaczcionkaakapitu"/>
    <w:uiPriority w:val="99"/>
    <w:qFormat/>
    <w:rsid w:val="00BE4D40"/>
    <w:rPr>
      <w:rFonts w:cs="Times New Roman"/>
      <w:smallCaps/>
    </w:rPr>
  </w:style>
  <w:style w:type="table" w:styleId="Tabela-Siatka">
    <w:name w:val="Table Grid"/>
    <w:basedOn w:val="Standardowy"/>
    <w:uiPriority w:val="99"/>
    <w:semiHidden/>
    <w:rsid w:val="00BE4D40"/>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E4D4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BE4D4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BE4D4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BE4D4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BE4D4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BE4D40"/>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E4D40"/>
    <w:pPr>
      <w:keepNext/>
      <w:keepLines/>
      <w:spacing w:before="240"/>
      <w:jc w:val="center"/>
    </w:pPr>
    <w:rPr>
      <w:rFonts w:eastAsia="MS Gothic"/>
      <w:b/>
      <w:bCs/>
      <w:color w:val="474747"/>
      <w:sz w:val="28"/>
      <w:szCs w:val="28"/>
    </w:rPr>
  </w:style>
  <w:style w:type="paragraph" w:customStyle="1" w:styleId="ECHRParaQuote">
    <w:name w:val="ECHR_Para_Quote"/>
    <w:aliases w:val="Ju_Quot,Para_Quote"/>
    <w:basedOn w:val="Normalny"/>
    <w:link w:val="JuQuotChar"/>
    <w:uiPriority w:val="99"/>
    <w:rsid w:val="00BE4D40"/>
    <w:pPr>
      <w:spacing w:before="120" w:after="120"/>
      <w:ind w:left="425" w:firstLine="142"/>
    </w:pPr>
    <w:rPr>
      <w:sz w:val="20"/>
      <w:szCs w:val="20"/>
      <w:lang w:eastAsia="pl-PL"/>
    </w:rPr>
  </w:style>
  <w:style w:type="paragraph" w:customStyle="1" w:styleId="ECHRPara">
    <w:name w:val="ECHR_Para"/>
    <w:aliases w:val="Ju_Para,Left,First line:  0 cm"/>
    <w:basedOn w:val="Normalny"/>
    <w:link w:val="ECHRParaChar"/>
    <w:uiPriority w:val="99"/>
    <w:rsid w:val="00BE4D40"/>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E4D40"/>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E4D40"/>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BE4D40"/>
    <w:pPr>
      <w:ind w:left="340" w:hanging="340"/>
    </w:pPr>
  </w:style>
  <w:style w:type="paragraph" w:customStyle="1" w:styleId="JuSigned">
    <w:name w:val="Ju_Signed"/>
    <w:basedOn w:val="Normalny"/>
    <w:next w:val="JuParaLast"/>
    <w:uiPriority w:val="99"/>
    <w:rsid w:val="00BE4D40"/>
    <w:pPr>
      <w:tabs>
        <w:tab w:val="center" w:pos="851"/>
        <w:tab w:val="center" w:pos="6407"/>
      </w:tabs>
      <w:spacing w:before="720"/>
      <w:jc w:val="left"/>
    </w:pPr>
  </w:style>
  <w:style w:type="paragraph" w:customStyle="1" w:styleId="JuParaLast">
    <w:name w:val="Ju_Para_Last"/>
    <w:basedOn w:val="Normalny"/>
    <w:next w:val="ECHRPara"/>
    <w:uiPriority w:val="99"/>
    <w:rsid w:val="00BE4D40"/>
    <w:pPr>
      <w:keepNext/>
      <w:keepLines/>
      <w:spacing w:before="240"/>
      <w:ind w:firstLine="284"/>
    </w:pPr>
  </w:style>
  <w:style w:type="paragraph" w:customStyle="1" w:styleId="JuQuotSub">
    <w:name w:val="Ju_Quot_Sub"/>
    <w:basedOn w:val="ECHRParaQuote"/>
    <w:uiPriority w:val="99"/>
    <w:rsid w:val="00BE4D40"/>
    <w:pPr>
      <w:ind w:left="567"/>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BE4D40"/>
    <w:pPr>
      <w:ind w:left="346" w:firstLine="0"/>
    </w:pPr>
  </w:style>
  <w:style w:type="paragraph" w:customStyle="1" w:styleId="JuListi">
    <w:name w:val="Ju_List_i"/>
    <w:basedOn w:val="Normalny"/>
    <w:next w:val="JuLista"/>
    <w:uiPriority w:val="99"/>
    <w:rsid w:val="00BE4D40"/>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cs="Times New Roman"/>
      <w:b/>
      <w:sz w:val="20"/>
    </w:rPr>
  </w:style>
  <w:style w:type="character" w:styleId="Odwoanieprzypisukocowego">
    <w:name w:val="endnote reference"/>
    <w:basedOn w:val="Domylnaczcionkaakapitu"/>
    <w:uiPriority w:val="99"/>
    <w:semiHidden/>
    <w:rsid w:val="00BE4D40"/>
    <w:rPr>
      <w:rFonts w:cs="Times New Roman"/>
      <w:vertAlign w:val="superscript"/>
    </w:rPr>
  </w:style>
  <w:style w:type="paragraph" w:styleId="Tekstprzypisukocowego">
    <w:name w:val="endnote text"/>
    <w:basedOn w:val="Normalny"/>
    <w:link w:val="TekstprzypisukocowegoZnak"/>
    <w:uiPriority w:val="99"/>
    <w:semiHidden/>
    <w:rsid w:val="00BE4D4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BE4D40"/>
    <w:rPr>
      <w:rFonts w:eastAsia="MS Mincho" w:cs="Times New Roman"/>
      <w:sz w:val="20"/>
      <w:lang w:val="pl-PL" w:eastAsia="x-none"/>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imes New Roman"/>
      <w:sz w:val="20"/>
      <w:shd w:val="clear" w:color="auto" w:fill="000080"/>
    </w:rPr>
  </w:style>
  <w:style w:type="paragraph" w:customStyle="1" w:styleId="JuTitle">
    <w:name w:val="Ju_Title"/>
    <w:basedOn w:val="Normalny"/>
    <w:next w:val="ECHRPara"/>
    <w:uiPriority w:val="99"/>
    <w:semiHidden/>
    <w:rsid w:val="00BE4D40"/>
    <w:pPr>
      <w:spacing w:before="720" w:after="240"/>
      <w:jc w:val="center"/>
      <w:outlineLvl w:val="0"/>
    </w:pPr>
    <w:rPr>
      <w:b/>
      <w:bCs/>
      <w:caps/>
    </w:rPr>
  </w:style>
  <w:style w:type="paragraph" w:styleId="Listapunktowana">
    <w:name w:val="List Bullet"/>
    <w:basedOn w:val="Normalny"/>
    <w:uiPriority w:val="99"/>
    <w:semiHidden/>
    <w:rsid w:val="00014566"/>
    <w:pPr>
      <w:numPr>
        <w:numId w:val="21"/>
      </w:numPr>
    </w:pPr>
  </w:style>
  <w:style w:type="paragraph" w:customStyle="1" w:styleId="OpiH1">
    <w:name w:val="Opi_H_1"/>
    <w:basedOn w:val="ECHRHeading2"/>
    <w:uiPriority w:val="99"/>
    <w:rsid w:val="00BE4D40"/>
    <w:pPr>
      <w:ind w:left="635" w:hanging="357"/>
      <w:outlineLvl w:val="2"/>
    </w:pPr>
  </w:style>
  <w:style w:type="paragraph" w:styleId="Podtytu">
    <w:name w:val="Subtitle"/>
    <w:basedOn w:val="Normalny"/>
    <w:next w:val="Normalny"/>
    <w:link w:val="PodtytuZnak"/>
    <w:uiPriority w:val="99"/>
    <w:qFormat/>
    <w:rsid w:val="00BE4D40"/>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BE4D40"/>
    <w:rPr>
      <w:rFonts w:ascii="Times New Roman" w:eastAsia="MS Gothic" w:hAnsi="Times New Roman" w:cs="Times New Roman"/>
      <w:i/>
      <w:spacing w:val="13"/>
      <w:sz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cs="Times New Roman"/>
      <w:sz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cs="Times New Roman"/>
      <w:sz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cs="Times New Roman"/>
      <w:i/>
      <w:sz w:val="24"/>
    </w:rPr>
  </w:style>
  <w:style w:type="character" w:styleId="HTML-cytat">
    <w:name w:val="HTML Cite"/>
    <w:basedOn w:val="Domylnaczcionkaakapitu"/>
    <w:uiPriority w:val="99"/>
    <w:semiHidden/>
    <w:rsid w:val="00014566"/>
    <w:rPr>
      <w:rFonts w:cs="Times New Roman"/>
      <w:i/>
    </w:rPr>
  </w:style>
  <w:style w:type="character" w:styleId="HTML-kod">
    <w:name w:val="HTML Code"/>
    <w:basedOn w:val="Domylnaczcionkaakapitu"/>
    <w:uiPriority w:val="99"/>
    <w:semiHidden/>
    <w:rsid w:val="00014566"/>
    <w:rPr>
      <w:rFonts w:ascii="Consolas" w:hAnsi="Consolas" w:cs="Times New Roman"/>
      <w:sz w:val="20"/>
    </w:rPr>
  </w:style>
  <w:style w:type="character" w:styleId="HTML-definicja">
    <w:name w:val="HTML Definition"/>
    <w:basedOn w:val="Domylnaczcionkaakapitu"/>
    <w:uiPriority w:val="99"/>
    <w:semiHidden/>
    <w:rsid w:val="00014566"/>
    <w:rPr>
      <w:rFonts w:cs="Times New Roman"/>
      <w:i/>
    </w:rPr>
  </w:style>
  <w:style w:type="character" w:styleId="HTML-klawiatura">
    <w:name w:val="HTML Keyboard"/>
    <w:basedOn w:val="Domylnaczcionkaakapitu"/>
    <w:uiPriority w:val="99"/>
    <w:semiHidden/>
    <w:rsid w:val="00014566"/>
    <w:rPr>
      <w:rFonts w:ascii="Consolas" w:hAnsi="Consolas" w:cs="Times New Roman"/>
      <w:sz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Times New Roman"/>
      <w:sz w:val="20"/>
    </w:rPr>
  </w:style>
  <w:style w:type="character" w:styleId="HTML-przykad">
    <w:name w:val="HTML Sample"/>
    <w:basedOn w:val="Domylnaczcionkaakapitu"/>
    <w:uiPriority w:val="99"/>
    <w:semiHidden/>
    <w:rsid w:val="00014566"/>
    <w:rPr>
      <w:rFonts w:ascii="Consolas" w:hAnsi="Consolas" w:cs="Times New Roman"/>
      <w:sz w:val="24"/>
    </w:rPr>
  </w:style>
  <w:style w:type="character" w:styleId="HTML-staaszeroko">
    <w:name w:val="HTML Typewriter"/>
    <w:basedOn w:val="Domylnaczcionkaakapitu"/>
    <w:uiPriority w:val="99"/>
    <w:semiHidden/>
    <w:rsid w:val="00014566"/>
    <w:rPr>
      <w:rFonts w:ascii="Consolas" w:hAnsi="Consolas" w:cs="Times New Roman"/>
      <w:sz w:val="20"/>
    </w:rPr>
  </w:style>
  <w:style w:type="character" w:styleId="HTML-zmienna">
    <w:name w:val="HTML Variable"/>
    <w:basedOn w:val="Domylnaczcionkaakapitu"/>
    <w:uiPriority w:val="99"/>
    <w:semiHidden/>
    <w:rsid w:val="00014566"/>
    <w:rPr>
      <w:rFonts w:cs="Times New Roman"/>
      <w:i/>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 w:val="num" w:pos="1492"/>
      </w:tabs>
      <w:ind w:left="643"/>
    </w:pPr>
  </w:style>
  <w:style w:type="paragraph" w:styleId="Listapunktowana3">
    <w:name w:val="List Bullet 3"/>
    <w:basedOn w:val="Normalny"/>
    <w:uiPriority w:val="99"/>
    <w:semiHidden/>
    <w:rsid w:val="00014566"/>
    <w:pPr>
      <w:numPr>
        <w:numId w:val="2"/>
      </w:numPr>
      <w:tabs>
        <w:tab w:val="num" w:pos="926"/>
      </w:tabs>
      <w:ind w:left="926"/>
    </w:pPr>
  </w:style>
  <w:style w:type="paragraph" w:styleId="Listapunktowana4">
    <w:name w:val="List Bullet 4"/>
    <w:basedOn w:val="Normalny"/>
    <w:uiPriority w:val="99"/>
    <w:semiHidden/>
    <w:rsid w:val="00014566"/>
    <w:pPr>
      <w:numPr>
        <w:numId w:val="3"/>
      </w:numPr>
      <w:tabs>
        <w:tab w:val="num" w:pos="643"/>
        <w:tab w:val="num" w:pos="1209"/>
      </w:tabs>
      <w:ind w:left="1209"/>
    </w:pPr>
  </w:style>
  <w:style w:type="paragraph" w:styleId="Listapunktowana5">
    <w:name w:val="List Bullet 5"/>
    <w:basedOn w:val="Normalny"/>
    <w:uiPriority w:val="99"/>
    <w:semiHidden/>
    <w:rsid w:val="00014566"/>
    <w:pPr>
      <w:numPr>
        <w:numId w:val="4"/>
      </w:numPr>
      <w:tabs>
        <w:tab w:val="num" w:pos="926"/>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num" w:pos="1209"/>
      </w:tabs>
      <w:ind w:left="360"/>
    </w:pPr>
  </w:style>
  <w:style w:type="paragraph" w:styleId="Listanumerowana2">
    <w:name w:val="List Number 2"/>
    <w:basedOn w:val="Normalny"/>
    <w:uiPriority w:val="99"/>
    <w:semiHidden/>
    <w:rsid w:val="00014566"/>
    <w:pPr>
      <w:numPr>
        <w:numId w:val="6"/>
      </w:numPr>
      <w:tabs>
        <w:tab w:val="clear" w:pos="360"/>
        <w:tab w:val="num" w:pos="643"/>
        <w:tab w:val="num" w:pos="1492"/>
      </w:tabs>
      <w:ind w:left="643"/>
    </w:pPr>
  </w:style>
  <w:style w:type="paragraph" w:styleId="Listanumerowana3">
    <w:name w:val="List Number 3"/>
    <w:basedOn w:val="Normalny"/>
    <w:uiPriority w:val="99"/>
    <w:semiHidden/>
    <w:rsid w:val="00014566"/>
    <w:pPr>
      <w:numPr>
        <w:numId w:val="7"/>
      </w:numPr>
      <w:tabs>
        <w:tab w:val="num" w:pos="926"/>
      </w:tabs>
      <w:ind w:left="926"/>
    </w:pPr>
  </w:style>
  <w:style w:type="paragraph" w:styleId="Listanumerowana4">
    <w:name w:val="List Number 4"/>
    <w:basedOn w:val="Normalny"/>
    <w:uiPriority w:val="99"/>
    <w:semiHidden/>
    <w:rsid w:val="00014566"/>
    <w:pPr>
      <w:numPr>
        <w:numId w:val="8"/>
      </w:numPr>
      <w:tabs>
        <w:tab w:val="num" w:pos="643"/>
        <w:tab w:val="num" w:pos="1209"/>
      </w:tabs>
      <w:ind w:left="1209"/>
    </w:pPr>
  </w:style>
  <w:style w:type="paragraph" w:styleId="Listanumerowana5">
    <w:name w:val="List Number 5"/>
    <w:basedOn w:val="Normalny"/>
    <w:uiPriority w:val="99"/>
    <w:semiHidden/>
    <w:rsid w:val="00014566"/>
    <w:pPr>
      <w:numPr>
        <w:numId w:val="9"/>
      </w:numPr>
      <w:tabs>
        <w:tab w:val="num" w:pos="926"/>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Times New Roman"/>
      <w:lang w:val="pl-PL" w:eastAsia="fr-FR"/>
    </w:rPr>
  </w:style>
  <w:style w:type="table" w:styleId="redniasiatka1">
    <w:name w:val="Medium Grid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cs="Times New Roman"/>
      <w:sz w:val="24"/>
    </w:rPr>
  </w:style>
  <w:style w:type="character" w:styleId="Tekstzastpczy">
    <w:name w:val="Placeholder Text"/>
    <w:basedOn w:val="Domylnaczcionkaakapitu"/>
    <w:uiPriority w:val="99"/>
    <w:semiHidden/>
    <w:rsid w:val="00BE4D40"/>
    <w:rPr>
      <w:rFonts w:cs="Times New Roman"/>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Times New Roman"/>
      <w:sz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eastAsia="fr-FR"/>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E4D4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BE4D4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
    <w:name w:val="Opi_H_a"/>
    <w:basedOn w:val="ECHRHeading3"/>
    <w:uiPriority w:val="99"/>
    <w:rsid w:val="00BE4D40"/>
    <w:pPr>
      <w:ind w:left="833" w:hanging="357"/>
      <w:outlineLvl w:val="3"/>
    </w:pPr>
    <w:rPr>
      <w:b/>
      <w:bCs/>
      <w:i w:val="0"/>
      <w:iCs w:val="0"/>
      <w:sz w:val="20"/>
      <w:szCs w:val="20"/>
    </w:rPr>
  </w:style>
  <w:style w:type="paragraph" w:customStyle="1" w:styleId="OpiHA0">
    <w:name w:val="Opi_H_A"/>
    <w:basedOn w:val="ECHRHeading1"/>
    <w:next w:val="OpiPara"/>
    <w:uiPriority w:val="99"/>
    <w:rsid w:val="00BE4D40"/>
    <w:pPr>
      <w:tabs>
        <w:tab w:val="clear" w:pos="357"/>
      </w:tabs>
      <w:outlineLvl w:val="1"/>
    </w:pPr>
    <w:rPr>
      <w:b/>
      <w:bCs/>
    </w:rPr>
  </w:style>
  <w:style w:type="paragraph" w:customStyle="1" w:styleId="OpiHi">
    <w:name w:val="Opi_H_i"/>
    <w:basedOn w:val="ECHRHeading4"/>
    <w:uiPriority w:val="99"/>
    <w:rsid w:val="00BE4D40"/>
    <w:pPr>
      <w:ind w:left="1037" w:hanging="357"/>
      <w:outlineLvl w:val="4"/>
    </w:pPr>
    <w:rPr>
      <w:b w:val="0"/>
      <w:bCs w:val="0"/>
      <w:i/>
      <w:iCs/>
    </w:rPr>
  </w:style>
  <w:style w:type="paragraph" w:customStyle="1" w:styleId="OpiParaSub">
    <w:name w:val="Opi_Para_Sub"/>
    <w:basedOn w:val="JuParaSub"/>
    <w:uiPriority w:val="99"/>
    <w:rsid w:val="00BE4D40"/>
  </w:style>
  <w:style w:type="paragraph" w:customStyle="1" w:styleId="OpiQuot">
    <w:name w:val="Opi_Quot"/>
    <w:basedOn w:val="ECHRParaQuote"/>
    <w:uiPriority w:val="99"/>
    <w:rsid w:val="00BE4D40"/>
  </w:style>
  <w:style w:type="paragraph" w:customStyle="1" w:styleId="OpiQuotSub">
    <w:name w:val="Opi_Quot_Sub"/>
    <w:basedOn w:val="JuQuotSub"/>
    <w:uiPriority w:val="99"/>
    <w:rsid w:val="00BE4D40"/>
  </w:style>
  <w:style w:type="paragraph" w:customStyle="1" w:styleId="OpiTranslation">
    <w:name w:val="Opi_Translation"/>
    <w:basedOn w:val="Normalny"/>
    <w:next w:val="OpiPara"/>
    <w:uiPriority w:val="99"/>
    <w:rsid w:val="00BE4D40"/>
    <w:pPr>
      <w:jc w:val="center"/>
      <w:outlineLvl w:val="0"/>
    </w:pPr>
    <w:rPr>
      <w:i/>
      <w:iCs/>
    </w:rPr>
  </w:style>
  <w:style w:type="character" w:customStyle="1" w:styleId="ECHRParaChar">
    <w:name w:val="ECHR_Para Char"/>
    <w:aliases w:val="Ju_Para Char"/>
    <w:link w:val="ECHRPara"/>
    <w:uiPriority w:val="99"/>
    <w:locked/>
    <w:rsid w:val="00A40A60"/>
    <w:rPr>
      <w:rFonts w:eastAsia="MS Mincho"/>
      <w:sz w:val="24"/>
      <w:lang w:val="pl-PL" w:eastAsia="x-none"/>
    </w:rPr>
  </w:style>
  <w:style w:type="character" w:customStyle="1" w:styleId="JuQuotChar">
    <w:name w:val="Ju_Quot Char"/>
    <w:link w:val="ECHRParaQuote"/>
    <w:uiPriority w:val="99"/>
    <w:locked/>
    <w:rsid w:val="00A40A60"/>
    <w:rPr>
      <w:rFonts w:eastAsia="MS Mincho"/>
      <w:sz w:val="20"/>
      <w:lang w:val="pl-PL" w:eastAsia="x-none"/>
    </w:rPr>
  </w:style>
  <w:style w:type="character" w:customStyle="1" w:styleId="JuHAChar">
    <w:name w:val="Ju_H_A Char"/>
    <w:link w:val="ECHRHeading2"/>
    <w:uiPriority w:val="99"/>
    <w:locked/>
    <w:rsid w:val="00447866"/>
    <w:rPr>
      <w:rFonts w:ascii="Times New Roman" w:eastAsia="MS Gothic" w:hAnsi="Times New Roman"/>
      <w:b/>
      <w:sz w:val="26"/>
      <w:lang w:val="pl-PL" w:eastAsia="x-none"/>
    </w:rPr>
  </w:style>
  <w:style w:type="paragraph" w:customStyle="1" w:styleId="ECHRBullet1">
    <w:name w:val="ECHR_Bullet_1"/>
    <w:aliases w:val="Bul_1"/>
    <w:basedOn w:val="Normalny"/>
    <w:uiPriority w:val="99"/>
    <w:rsid w:val="00A87AF6"/>
    <w:pPr>
      <w:numPr>
        <w:numId w:val="25"/>
      </w:numPr>
      <w:suppressAutoHyphens/>
      <w:spacing w:before="60" w:after="60"/>
    </w:pPr>
    <w:rPr>
      <w:lang w:eastAsia="fr-FR"/>
    </w:rPr>
  </w:style>
  <w:style w:type="paragraph" w:customStyle="1" w:styleId="ECHRBullet2">
    <w:name w:val="ECHR_Bullet_2"/>
    <w:aliases w:val="Bul_2"/>
    <w:basedOn w:val="ECHRBullet1"/>
    <w:uiPriority w:val="99"/>
    <w:rsid w:val="00A87AF6"/>
    <w:pPr>
      <w:numPr>
        <w:ilvl w:val="1"/>
      </w:numPr>
      <w:tabs>
        <w:tab w:val="num" w:pos="926"/>
        <w:tab w:val="num" w:pos="1209"/>
        <w:tab w:val="num" w:pos="1492"/>
      </w:tabs>
      <w:ind w:hanging="360"/>
    </w:pPr>
  </w:style>
  <w:style w:type="paragraph" w:customStyle="1" w:styleId="ECHRBullet3">
    <w:name w:val="ECHR_Bullet_3"/>
    <w:aliases w:val="Bul_3"/>
    <w:basedOn w:val="ECHRBullet2"/>
    <w:uiPriority w:val="99"/>
    <w:rsid w:val="00A87AF6"/>
    <w:pPr>
      <w:numPr>
        <w:ilvl w:val="2"/>
      </w:numPr>
      <w:tabs>
        <w:tab w:val="num" w:pos="926"/>
        <w:tab w:val="num" w:pos="1134"/>
      </w:tabs>
      <w:ind w:hanging="360"/>
    </w:pPr>
  </w:style>
  <w:style w:type="paragraph" w:customStyle="1" w:styleId="ECHRBullet4">
    <w:name w:val="ECHR_Bullet_4"/>
    <w:aliases w:val="Bul_4"/>
    <w:basedOn w:val="ECHRBullet3"/>
    <w:uiPriority w:val="99"/>
    <w:rsid w:val="00A87AF6"/>
    <w:pPr>
      <w:numPr>
        <w:ilvl w:val="3"/>
      </w:numPr>
      <w:tabs>
        <w:tab w:val="clear" w:pos="1418"/>
        <w:tab w:val="num" w:pos="926"/>
        <w:tab w:val="num" w:pos="1134"/>
      </w:tabs>
      <w:ind w:hanging="360"/>
    </w:pPr>
  </w:style>
  <w:style w:type="paragraph" w:styleId="Poprawka">
    <w:name w:val="Revision"/>
    <w:hidden/>
    <w:uiPriority w:val="99"/>
    <w:semiHidden/>
    <w:rsid w:val="0081275A"/>
    <w:rPr>
      <w:rFonts w:eastAsia="MS Mincho"/>
      <w:sz w:val="24"/>
      <w:szCs w:val="24"/>
      <w:lang w:eastAsia="en-US"/>
    </w:rPr>
  </w:style>
  <w:style w:type="character" w:customStyle="1" w:styleId="JuParaCar">
    <w:name w:val="Ju_Para Car"/>
    <w:uiPriority w:val="99"/>
    <w:rsid w:val="00727D73"/>
    <w:rPr>
      <w:sz w:val="24"/>
      <w:lang w:val="pl-PL" w:eastAsia="fr-FR"/>
    </w:rPr>
  </w:style>
  <w:style w:type="paragraph" w:customStyle="1" w:styleId="ECHRParaSpaced">
    <w:name w:val="ECHR_Para_Spaced"/>
    <w:aliases w:val="Para_Spaced"/>
    <w:basedOn w:val="Normalny"/>
    <w:uiPriority w:val="99"/>
    <w:rsid w:val="00F50A67"/>
    <w:pPr>
      <w:spacing w:before="120" w:after="120" w:line="259" w:lineRule="auto"/>
    </w:pPr>
    <w:rPr>
      <w:rFonts w:eastAsia="Times New Roman"/>
      <w:sz w:val="22"/>
      <w:szCs w:val="22"/>
    </w:rPr>
  </w:style>
  <w:style w:type="paragraph" w:customStyle="1" w:styleId="jupara">
    <w:name w:val="jupara"/>
    <w:basedOn w:val="Normalny"/>
    <w:uiPriority w:val="99"/>
    <w:rsid w:val="008D10C9"/>
    <w:pPr>
      <w:ind w:firstLine="284"/>
    </w:pPr>
    <w:rPr>
      <w:rFonts w:eastAsia="Times New Roman"/>
      <w:lang w:eastAsia="en-GB"/>
    </w:rPr>
  </w:style>
  <w:style w:type="paragraph" w:customStyle="1" w:styleId="jucase0">
    <w:name w:val="jucase"/>
    <w:basedOn w:val="Normalny"/>
    <w:uiPriority w:val="99"/>
    <w:rsid w:val="008D10C9"/>
    <w:pPr>
      <w:ind w:firstLine="284"/>
    </w:pPr>
    <w:rPr>
      <w:rFonts w:eastAsia="Times New Roman"/>
      <w:b/>
      <w:bCs/>
      <w:lang w:eastAsia="en-GB"/>
    </w:rPr>
  </w:style>
  <w:style w:type="character" w:customStyle="1" w:styleId="s4f807e54">
    <w:name w:val="s4f807e54"/>
    <w:uiPriority w:val="99"/>
    <w:rsid w:val="00DD619F"/>
  </w:style>
  <w:style w:type="paragraph" w:customStyle="1" w:styleId="s50c0b1c7">
    <w:name w:val="s50c0b1c7"/>
    <w:basedOn w:val="Normalny"/>
    <w:uiPriority w:val="99"/>
    <w:rsid w:val="008B2B8F"/>
    <w:pPr>
      <w:spacing w:before="100" w:beforeAutospacing="1" w:after="100" w:afterAutospacing="1"/>
      <w:jc w:val="left"/>
    </w:pPr>
    <w:rPr>
      <w:rFonts w:eastAsia="Times New Roman"/>
      <w:lang w:eastAsia="pl-PL"/>
    </w:rPr>
  </w:style>
  <w:style w:type="character" w:customStyle="1" w:styleId="s3aeeab2">
    <w:name w:val="s3aeeab2"/>
    <w:uiPriority w:val="99"/>
    <w:rsid w:val="008B2B8F"/>
    <w:rPr>
      <w:lang w:val="pl-PL" w:eastAsia="pl-PL"/>
    </w:rPr>
  </w:style>
  <w:style w:type="character" w:customStyle="1" w:styleId="sfbbfee58">
    <w:name w:val="sfbbfee58"/>
    <w:uiPriority w:val="99"/>
    <w:rsid w:val="008B2B8F"/>
    <w:rPr>
      <w:lang w:val="pl-PL" w:eastAsia="pl-PL"/>
    </w:rPr>
  </w:style>
  <w:style w:type="numbering" w:styleId="1ai">
    <w:name w:val="Outline List 1"/>
    <w:basedOn w:val="Bezlisty"/>
    <w:uiPriority w:val="99"/>
    <w:semiHidden/>
    <w:unhideWhenUsed/>
    <w:pPr>
      <w:numPr>
        <w:numId w:val="23"/>
      </w:numPr>
    </w:pPr>
  </w:style>
  <w:style w:type="numbering" w:styleId="111111">
    <w:name w:val="Outline List 2"/>
    <w:basedOn w:val="Bezlisty"/>
    <w:uiPriority w:val="99"/>
    <w:semiHidden/>
    <w:unhideWhenUsed/>
    <w:pPr>
      <w:numPr>
        <w:numId w:val="22"/>
      </w:numPr>
    </w:pPr>
  </w:style>
  <w:style w:type="numbering" w:customStyle="1" w:styleId="ECHRA1StyleBulletedSquare">
    <w:name w:val="ECHR_A1_Style_Bulleted_Square"/>
    <w:pPr>
      <w:numPr>
        <w:numId w:val="25"/>
      </w:numPr>
    </w:pPr>
  </w:style>
  <w:style w:type="numbering" w:customStyle="1" w:styleId="ArticleSection">
    <w:name w:val="Article / Section"/>
    <w:pPr>
      <w:numPr>
        <w:numId w:val="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BE4D40"/>
    <w:pPr>
      <w:jc w:val="both"/>
    </w:pPr>
    <w:rPr>
      <w:rFonts w:eastAsia="MS Mincho"/>
      <w:sz w:val="24"/>
      <w:szCs w:val="24"/>
      <w:lang w:eastAsia="en-US"/>
    </w:rPr>
  </w:style>
  <w:style w:type="paragraph" w:styleId="Nagwek1">
    <w:name w:val="heading 1"/>
    <w:basedOn w:val="Normalny"/>
    <w:next w:val="Normalny"/>
    <w:link w:val="Nagwek1Znak"/>
    <w:uiPriority w:val="99"/>
    <w:qFormat/>
    <w:rsid w:val="00BE4D4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BE4D4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BE4D4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BE4D4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BE4D40"/>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BE4D4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BE4D40"/>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BE4D40"/>
    <w:pPr>
      <w:outlineLvl w:val="7"/>
    </w:pPr>
    <w:rPr>
      <w:rFonts w:eastAsia="MS Gothic"/>
      <w:sz w:val="20"/>
      <w:szCs w:val="20"/>
      <w:lang w:eastAsia="pl-PL"/>
    </w:rPr>
  </w:style>
  <w:style w:type="paragraph" w:styleId="Nagwek9">
    <w:name w:val="heading 9"/>
    <w:basedOn w:val="Normalny"/>
    <w:next w:val="Normalny"/>
    <w:link w:val="Nagwek9Znak"/>
    <w:uiPriority w:val="99"/>
    <w:qFormat/>
    <w:rsid w:val="00BE4D40"/>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BE4D40"/>
    <w:rPr>
      <w:rFonts w:ascii="Times New Roman" w:eastAsia="MS Gothic" w:hAnsi="Times New Roman" w:cs="Times New Roman"/>
      <w:b/>
      <w:color w:val="333333"/>
      <w:sz w:val="28"/>
      <w:lang w:val="pl-PL" w:eastAsia="x-none"/>
    </w:rPr>
  </w:style>
  <w:style w:type="character" w:customStyle="1" w:styleId="Nagwek2Znak">
    <w:name w:val="Nagłówek 2 Znak"/>
    <w:basedOn w:val="Domylnaczcionkaakapitu"/>
    <w:link w:val="Nagwek2"/>
    <w:uiPriority w:val="99"/>
    <w:semiHidden/>
    <w:locked/>
    <w:rsid w:val="00BE4D40"/>
    <w:rPr>
      <w:rFonts w:ascii="Times New Roman" w:eastAsia="MS Gothic" w:hAnsi="Times New Roman" w:cs="Times New Roman"/>
      <w:b/>
      <w:color w:val="4D4D4D"/>
      <w:sz w:val="26"/>
      <w:lang w:val="pl-PL" w:eastAsia="x-none"/>
    </w:rPr>
  </w:style>
  <w:style w:type="character" w:customStyle="1" w:styleId="Nagwek3Znak">
    <w:name w:val="Nagłówek 3 Znak"/>
    <w:basedOn w:val="Domylnaczcionkaakapitu"/>
    <w:link w:val="Nagwek3"/>
    <w:uiPriority w:val="99"/>
    <w:semiHidden/>
    <w:locked/>
    <w:rsid w:val="00BE4D40"/>
    <w:rPr>
      <w:rFonts w:ascii="Times New Roman" w:eastAsia="MS Gothic" w:hAnsi="Times New Roman" w:cs="Times New Roman"/>
      <w:b/>
      <w:color w:val="5F5F5F"/>
      <w:sz w:val="24"/>
      <w:lang w:val="pl-PL" w:eastAsia="x-none"/>
    </w:rPr>
  </w:style>
  <w:style w:type="character" w:customStyle="1" w:styleId="Nagwek4Znak">
    <w:name w:val="Nagłówek 4 Znak"/>
    <w:basedOn w:val="Domylnaczcionkaakapitu"/>
    <w:link w:val="Nagwek4"/>
    <w:uiPriority w:val="99"/>
    <w:semiHidden/>
    <w:locked/>
    <w:rsid w:val="00BE4D40"/>
    <w:rPr>
      <w:rFonts w:ascii="Times New Roman" w:eastAsia="MS Gothic" w:hAnsi="Times New Roman" w:cs="Times New Roman"/>
      <w:b/>
      <w:i/>
      <w:color w:val="777777"/>
      <w:sz w:val="24"/>
      <w:lang w:val="pl-PL" w:eastAsia="x-none"/>
    </w:rPr>
  </w:style>
  <w:style w:type="character" w:customStyle="1" w:styleId="Nagwek5Znak">
    <w:name w:val="Nagłówek 5 Znak"/>
    <w:basedOn w:val="Domylnaczcionkaakapitu"/>
    <w:link w:val="Nagwek5"/>
    <w:uiPriority w:val="99"/>
    <w:semiHidden/>
    <w:locked/>
    <w:rsid w:val="00BE4D40"/>
    <w:rPr>
      <w:rFonts w:ascii="Times New Roman" w:eastAsia="MS Gothic" w:hAnsi="Times New Roman" w:cs="Times New Roman"/>
      <w:b/>
      <w:color w:val="808080"/>
    </w:rPr>
  </w:style>
  <w:style w:type="character" w:customStyle="1" w:styleId="Nagwek6Znak">
    <w:name w:val="Nagłówek 6 Znak"/>
    <w:basedOn w:val="Domylnaczcionkaakapitu"/>
    <w:link w:val="Nagwek6"/>
    <w:uiPriority w:val="99"/>
    <w:semiHidden/>
    <w:locked/>
    <w:rsid w:val="00BE4D40"/>
    <w:rPr>
      <w:rFonts w:ascii="Times New Roman" w:eastAsia="MS Gothic" w:hAnsi="Times New Roman" w:cs="Times New Roman"/>
      <w:b/>
      <w:i/>
      <w:color w:val="7F7F7F"/>
      <w:sz w:val="24"/>
      <w:lang w:val="pl-PL" w:eastAsia="x-none"/>
    </w:rPr>
  </w:style>
  <w:style w:type="character" w:customStyle="1" w:styleId="Nagwek7Znak">
    <w:name w:val="Nagłówek 7 Znak"/>
    <w:basedOn w:val="Domylnaczcionkaakapitu"/>
    <w:link w:val="Nagwek7"/>
    <w:uiPriority w:val="99"/>
    <w:semiHidden/>
    <w:locked/>
    <w:rsid w:val="00BE4D40"/>
    <w:rPr>
      <w:rFonts w:ascii="Times New Roman" w:eastAsia="MS Gothic" w:hAnsi="Times New Roman" w:cs="Times New Roman"/>
      <w:i/>
    </w:rPr>
  </w:style>
  <w:style w:type="character" w:customStyle="1" w:styleId="Nagwek8Znak">
    <w:name w:val="Nagłówek 8 Znak"/>
    <w:basedOn w:val="Domylnaczcionkaakapitu"/>
    <w:link w:val="Nagwek8"/>
    <w:uiPriority w:val="99"/>
    <w:semiHidden/>
    <w:locked/>
    <w:rsid w:val="00BE4D40"/>
    <w:rPr>
      <w:rFonts w:ascii="Times New Roman" w:eastAsia="MS Gothic" w:hAnsi="Times New Roman" w:cs="Times New Roman"/>
      <w:sz w:val="20"/>
    </w:rPr>
  </w:style>
  <w:style w:type="character" w:customStyle="1" w:styleId="Nagwek9Znak">
    <w:name w:val="Nagłówek 9 Znak"/>
    <w:basedOn w:val="Domylnaczcionkaakapitu"/>
    <w:link w:val="Nagwek9"/>
    <w:uiPriority w:val="99"/>
    <w:semiHidden/>
    <w:locked/>
    <w:rsid w:val="00BE4D40"/>
    <w:rPr>
      <w:rFonts w:ascii="Times New Roman" w:eastAsia="MS Gothic" w:hAnsi="Times New Roman" w:cs="Times New Roman"/>
      <w:i/>
      <w:spacing w:val="5"/>
      <w:sz w:val="20"/>
    </w:rPr>
  </w:style>
  <w:style w:type="paragraph" w:styleId="Tekstdymka">
    <w:name w:val="Balloon Text"/>
    <w:basedOn w:val="Normalny"/>
    <w:link w:val="TekstdymkaZnak"/>
    <w:uiPriority w:val="99"/>
    <w:semiHidden/>
    <w:rsid w:val="00BE4D4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BE4D40"/>
    <w:rPr>
      <w:rFonts w:ascii="Tahoma" w:eastAsia="MS Mincho" w:hAnsi="Tahoma" w:cs="Times New Roman"/>
      <w:sz w:val="16"/>
      <w:lang w:val="pl-PL" w:eastAsia="x-none"/>
    </w:rPr>
  </w:style>
  <w:style w:type="character" w:styleId="Tytuksiki">
    <w:name w:val="Book Title"/>
    <w:basedOn w:val="Domylnaczcionkaakapitu"/>
    <w:uiPriority w:val="99"/>
    <w:qFormat/>
    <w:rsid w:val="00BE4D40"/>
    <w:rPr>
      <w:rFonts w:cs="Times New Roman"/>
      <w:i/>
      <w:smallCaps/>
      <w:spacing w:val="5"/>
    </w:rPr>
  </w:style>
  <w:style w:type="paragraph" w:customStyle="1" w:styleId="ECHRHeader">
    <w:name w:val="ECHR_Header"/>
    <w:aliases w:val="Ju_Header"/>
    <w:basedOn w:val="Nagwek"/>
    <w:uiPriority w:val="4"/>
    <w:qFormat/>
    <w:rsid w:val="00BE4D40"/>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BE4D40"/>
    <w:pPr>
      <w:jc w:val="left"/>
    </w:pPr>
    <w:rPr>
      <w:sz w:val="8"/>
      <w:szCs w:val="8"/>
    </w:rPr>
  </w:style>
  <w:style w:type="character" w:styleId="Pogrubienie">
    <w:name w:val="Strong"/>
    <w:basedOn w:val="Domylnaczcionkaakapitu"/>
    <w:uiPriority w:val="99"/>
    <w:qFormat/>
    <w:rsid w:val="00BE4D40"/>
    <w:rPr>
      <w:rFonts w:cs="Times New Roman"/>
      <w:b/>
    </w:rPr>
  </w:style>
  <w:style w:type="paragraph" w:styleId="Bezodstpw">
    <w:name w:val="No Spacing"/>
    <w:basedOn w:val="Normalny"/>
    <w:link w:val="BezodstpwZnak"/>
    <w:uiPriority w:val="99"/>
    <w:qFormat/>
    <w:rsid w:val="00BE4D40"/>
    <w:rPr>
      <w:sz w:val="20"/>
      <w:szCs w:val="20"/>
      <w:lang w:eastAsia="pl-PL"/>
    </w:rPr>
  </w:style>
  <w:style w:type="character" w:customStyle="1" w:styleId="BezodstpwZnak">
    <w:name w:val="Bez odstępów Znak"/>
    <w:link w:val="Bezodstpw"/>
    <w:uiPriority w:val="99"/>
    <w:semiHidden/>
    <w:locked/>
    <w:rsid w:val="00BE4D40"/>
    <w:rPr>
      <w:rFonts w:eastAsia="MS Mincho"/>
    </w:rPr>
  </w:style>
  <w:style w:type="paragraph" w:customStyle="1" w:styleId="ECHRFooterLine">
    <w:name w:val="ECHR_Footer_Line"/>
    <w:aliases w:val="Footer_Line"/>
    <w:basedOn w:val="Normalny"/>
    <w:next w:val="ECHRFooter"/>
    <w:uiPriority w:val="99"/>
    <w:semiHidden/>
    <w:rsid w:val="00BE4D4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BE4D40"/>
  </w:style>
  <w:style w:type="paragraph" w:customStyle="1" w:styleId="OpiPara">
    <w:name w:val="Opi_Para"/>
    <w:basedOn w:val="ECHRPara"/>
    <w:uiPriority w:val="99"/>
    <w:rsid w:val="00BE4D40"/>
  </w:style>
  <w:style w:type="paragraph" w:customStyle="1" w:styleId="DecList">
    <w:name w:val="Dec_List"/>
    <w:basedOn w:val="Normalny"/>
    <w:uiPriority w:val="99"/>
    <w:semiHidden/>
    <w:rsid w:val="00BE4D40"/>
    <w:pPr>
      <w:spacing w:before="240"/>
      <w:ind w:left="284"/>
    </w:pPr>
  </w:style>
  <w:style w:type="paragraph" w:customStyle="1" w:styleId="ECHRTitleCentre3">
    <w:name w:val="ECHR_Title_Centre_3"/>
    <w:aliases w:val="Ju_H_Article"/>
    <w:basedOn w:val="Normalny"/>
    <w:next w:val="ECHRParaQuote"/>
    <w:uiPriority w:val="99"/>
    <w:rsid w:val="00BE4D4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BE4D40"/>
    <w:pPr>
      <w:keepNext/>
      <w:keepLines/>
      <w:spacing w:after="240"/>
      <w:jc w:val="center"/>
      <w:outlineLvl w:val="0"/>
    </w:pPr>
    <w:rPr>
      <w:sz w:val="28"/>
      <w:szCs w:val="28"/>
    </w:rPr>
  </w:style>
  <w:style w:type="paragraph" w:customStyle="1" w:styleId="DummyStyle">
    <w:name w:val="Dummy_Style"/>
    <w:basedOn w:val="Normalny"/>
    <w:uiPriority w:val="99"/>
    <w:semiHidden/>
    <w:rsid w:val="00BE4D40"/>
    <w:rPr>
      <w:color w:val="00B050"/>
    </w:rPr>
  </w:style>
  <w:style w:type="paragraph" w:customStyle="1" w:styleId="JuAppQuestion">
    <w:name w:val="Ju_App_Question"/>
    <w:basedOn w:val="Normalny"/>
    <w:uiPriority w:val="99"/>
    <w:semiHidden/>
    <w:rsid w:val="00BE4D40"/>
    <w:pPr>
      <w:numPr>
        <w:numId w:val="10"/>
      </w:numPr>
      <w:tabs>
        <w:tab w:val="num" w:pos="720"/>
        <w:tab w:val="num" w:pos="926"/>
      </w:tabs>
      <w:ind w:left="720"/>
      <w:jc w:val="left"/>
    </w:pPr>
    <w:rPr>
      <w:b/>
      <w:bCs/>
    </w:rPr>
  </w:style>
  <w:style w:type="paragraph" w:customStyle="1" w:styleId="JuCourt">
    <w:name w:val="Ju_Court"/>
    <w:basedOn w:val="Normalny"/>
    <w:next w:val="Normalny"/>
    <w:uiPriority w:val="99"/>
    <w:rsid w:val="00BE4D40"/>
    <w:pPr>
      <w:tabs>
        <w:tab w:val="left" w:pos="907"/>
        <w:tab w:val="left" w:pos="1701"/>
        <w:tab w:val="right" w:pos="7371"/>
      </w:tabs>
      <w:spacing w:before="240"/>
      <w:ind w:left="397" w:hanging="397"/>
      <w:jc w:val="left"/>
    </w:pPr>
  </w:style>
  <w:style w:type="paragraph" w:customStyle="1" w:styleId="ECHRTitleCentre2">
    <w:name w:val="ECHR_Title_Centre_2"/>
    <w:aliases w:val="Dec_H_Case"/>
    <w:basedOn w:val="Normalny"/>
    <w:next w:val="ECHRPara"/>
    <w:uiPriority w:val="99"/>
    <w:rsid w:val="00BE4D40"/>
    <w:pPr>
      <w:spacing w:after="240"/>
      <w:jc w:val="center"/>
      <w:outlineLvl w:val="0"/>
    </w:pPr>
  </w:style>
  <w:style w:type="paragraph" w:customStyle="1" w:styleId="JuHeaderLandscape">
    <w:name w:val="Ju_Header_Landscape"/>
    <w:basedOn w:val="ECHRHeader"/>
    <w:uiPriority w:val="99"/>
    <w:rsid w:val="00BE4D40"/>
    <w:pPr>
      <w:tabs>
        <w:tab w:val="clear" w:pos="3686"/>
        <w:tab w:val="clear" w:pos="7371"/>
        <w:tab w:val="center" w:pos="6146"/>
        <w:tab w:val="right" w:pos="12293"/>
      </w:tabs>
    </w:pPr>
  </w:style>
  <w:style w:type="paragraph" w:styleId="Tytu">
    <w:name w:val="Title"/>
    <w:basedOn w:val="Normalny"/>
    <w:next w:val="Normalny"/>
    <w:link w:val="TytuZnak"/>
    <w:uiPriority w:val="99"/>
    <w:qFormat/>
    <w:rsid w:val="00BE4D40"/>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BE4D40"/>
    <w:rPr>
      <w:rFonts w:ascii="Times New Roman" w:eastAsia="MS Gothic" w:hAnsi="Times New Roman" w:cs="Times New Roman"/>
      <w:spacing w:val="5"/>
      <w:sz w:val="52"/>
    </w:rPr>
  </w:style>
  <w:style w:type="paragraph" w:customStyle="1" w:styleId="ECHRHeading3">
    <w:name w:val="ECHR_Heading_3"/>
    <w:aliases w:val="Ju_H_1."/>
    <w:basedOn w:val="Nagwek3"/>
    <w:next w:val="ECHRPara"/>
    <w:uiPriority w:val="99"/>
    <w:rsid w:val="00BE4D40"/>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BE4D40"/>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E4D40"/>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BE4D40"/>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BE4D40"/>
    <w:pPr>
      <w:keepNext/>
      <w:keepLines/>
      <w:spacing w:before="240" w:after="120"/>
      <w:ind w:left="1236"/>
    </w:pPr>
  </w:style>
  <w:style w:type="character" w:customStyle="1" w:styleId="JuITMark">
    <w:name w:val="Ju_ITMark"/>
    <w:uiPriority w:val="99"/>
    <w:rsid w:val="00BE4D40"/>
    <w:rPr>
      <w:color w:val="auto"/>
      <w:sz w:val="14"/>
      <w:shd w:val="clear" w:color="auto" w:fill="BEE5FF"/>
    </w:rPr>
  </w:style>
  <w:style w:type="paragraph" w:customStyle="1" w:styleId="JuInitialled">
    <w:name w:val="Ju_Initialled"/>
    <w:basedOn w:val="Normalny"/>
    <w:uiPriority w:val="99"/>
    <w:rsid w:val="00BE4D40"/>
    <w:pPr>
      <w:tabs>
        <w:tab w:val="center" w:pos="6407"/>
      </w:tabs>
      <w:spacing w:before="720"/>
      <w:jc w:val="right"/>
    </w:pPr>
  </w:style>
  <w:style w:type="character" w:customStyle="1" w:styleId="JUNAMES">
    <w:name w:val="JU_NAMES"/>
    <w:uiPriority w:val="99"/>
    <w:rsid w:val="00BE4D40"/>
    <w:rPr>
      <w:smallCaps/>
    </w:rPr>
  </w:style>
  <w:style w:type="paragraph" w:styleId="Nagwek">
    <w:name w:val="header"/>
    <w:basedOn w:val="Normalny"/>
    <w:link w:val="NagwekZnak"/>
    <w:uiPriority w:val="99"/>
    <w:rsid w:val="00BE4D4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BE4D40"/>
    <w:rPr>
      <w:rFonts w:cs="Times New Roman"/>
      <w:sz w:val="24"/>
      <w:lang w:val="pl-PL" w:eastAsia="x-none"/>
    </w:rPr>
  </w:style>
  <w:style w:type="paragraph" w:customStyle="1" w:styleId="ECHRHeading1">
    <w:name w:val="ECHR_Heading_1"/>
    <w:aliases w:val="Ju_H_I_Roman"/>
    <w:basedOn w:val="Nagwek1"/>
    <w:next w:val="ECHRPara"/>
    <w:uiPriority w:val="99"/>
    <w:rsid w:val="00BE4D40"/>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link w:val="JuHAChar"/>
    <w:uiPriority w:val="99"/>
    <w:rsid w:val="00BE4D40"/>
    <w:pPr>
      <w:keepNext/>
      <w:keepLines/>
      <w:tabs>
        <w:tab w:val="left" w:pos="584"/>
      </w:tabs>
      <w:spacing w:before="360" w:after="240"/>
      <w:ind w:left="584" w:hanging="352"/>
    </w:pPr>
    <w:rPr>
      <w:color w:val="auto"/>
    </w:rPr>
  </w:style>
  <w:style w:type="paragraph" w:customStyle="1" w:styleId="JuParaSub">
    <w:name w:val="Ju_Para_Sub"/>
    <w:basedOn w:val="ECHRPara"/>
    <w:uiPriority w:val="99"/>
    <w:rsid w:val="00BE4D40"/>
    <w:pPr>
      <w:ind w:left="284"/>
    </w:pPr>
  </w:style>
  <w:style w:type="paragraph" w:customStyle="1" w:styleId="JuCase">
    <w:name w:val="Ju_Case"/>
    <w:basedOn w:val="Normalny"/>
    <w:next w:val="ECHRPara"/>
    <w:uiPriority w:val="99"/>
    <w:rsid w:val="00BE4D40"/>
    <w:pPr>
      <w:ind w:firstLine="284"/>
    </w:pPr>
    <w:rPr>
      <w:b/>
      <w:bCs/>
    </w:rPr>
  </w:style>
  <w:style w:type="character" w:styleId="Wyrnieniedelikatne">
    <w:name w:val="Subtle Emphasis"/>
    <w:basedOn w:val="Domylnaczcionkaakapitu"/>
    <w:uiPriority w:val="99"/>
    <w:qFormat/>
    <w:rsid w:val="00BE4D40"/>
    <w:rPr>
      <w:rFonts w:cs="Times New Roman"/>
      <w:i/>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E4D40"/>
    <w:pPr>
      <w:keepNext/>
      <w:keepLines/>
      <w:spacing w:before="720" w:after="240"/>
      <w:outlineLvl w:val="0"/>
    </w:pPr>
    <w:rPr>
      <w:sz w:val="28"/>
      <w:szCs w:val="28"/>
    </w:rPr>
  </w:style>
  <w:style w:type="character" w:styleId="Uwydatnienie">
    <w:name w:val="Emphasis"/>
    <w:basedOn w:val="Domylnaczcionkaakapitu"/>
    <w:uiPriority w:val="99"/>
    <w:qFormat/>
    <w:rsid w:val="00BE4D40"/>
    <w:rPr>
      <w:rFonts w:cs="Times New Roman"/>
      <w:b/>
      <w:i/>
      <w:spacing w:val="10"/>
      <w:shd w:val="clear" w:color="auto" w:fill="auto"/>
    </w:rPr>
  </w:style>
  <w:style w:type="paragraph" w:styleId="Stopka">
    <w:name w:val="footer"/>
    <w:basedOn w:val="Normalny"/>
    <w:link w:val="StopkaZnak"/>
    <w:uiPriority w:val="99"/>
    <w:semiHidden/>
    <w:rsid w:val="00BE4D4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BE4D40"/>
    <w:rPr>
      <w:rFonts w:cs="Times New Roman"/>
      <w:sz w:val="24"/>
      <w:lang w:val="pl-PL" w:eastAsia="x-none"/>
    </w:rPr>
  </w:style>
  <w:style w:type="character" w:styleId="Odwoanieprzypisudolnego">
    <w:name w:val="footnote reference"/>
    <w:basedOn w:val="Domylnaczcionkaakapitu"/>
    <w:uiPriority w:val="99"/>
    <w:semiHidden/>
    <w:rsid w:val="00BE4D40"/>
    <w:rPr>
      <w:rFonts w:cs="Times New Roman"/>
      <w:vertAlign w:val="superscript"/>
    </w:rPr>
  </w:style>
  <w:style w:type="paragraph" w:styleId="Tekstprzypisudolnego">
    <w:name w:val="footnote text"/>
    <w:basedOn w:val="Normalny"/>
    <w:link w:val="TekstprzypisudolnegoZnak"/>
    <w:uiPriority w:val="99"/>
    <w:semiHidden/>
    <w:rsid w:val="00BE4D4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BE4D40"/>
    <w:rPr>
      <w:rFonts w:eastAsia="MS Mincho" w:cs="Times New Roman"/>
      <w:sz w:val="20"/>
      <w:lang w:val="pl-PL" w:eastAsia="x-none"/>
    </w:rPr>
  </w:style>
  <w:style w:type="character" w:styleId="Hipercze">
    <w:name w:val="Hyperlink"/>
    <w:basedOn w:val="Domylnaczcionkaakapitu"/>
    <w:uiPriority w:val="99"/>
    <w:semiHidden/>
    <w:rsid w:val="00BE4D40"/>
    <w:rPr>
      <w:rFonts w:cs="Times New Roman"/>
      <w:color w:val="0072BC"/>
      <w:u w:val="single"/>
    </w:rPr>
  </w:style>
  <w:style w:type="character" w:styleId="Wyrnienieintensywne">
    <w:name w:val="Intense Emphasis"/>
    <w:basedOn w:val="Domylnaczcionkaakapitu"/>
    <w:uiPriority w:val="99"/>
    <w:qFormat/>
    <w:rsid w:val="00BE4D40"/>
    <w:rPr>
      <w:rFonts w:cs="Times New Roman"/>
      <w:b/>
    </w:rPr>
  </w:style>
  <w:style w:type="paragraph" w:styleId="Cytatintensywny">
    <w:name w:val="Intense Quote"/>
    <w:basedOn w:val="Normalny"/>
    <w:next w:val="Normalny"/>
    <w:link w:val="CytatintensywnyZnak"/>
    <w:uiPriority w:val="99"/>
    <w:qFormat/>
    <w:rsid w:val="00BE4D40"/>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BE4D40"/>
    <w:rPr>
      <w:rFonts w:eastAsia="MS Mincho" w:cs="Times New Roman"/>
      <w:b/>
      <w:i/>
    </w:rPr>
  </w:style>
  <w:style w:type="character" w:styleId="Odwoanieintensywne">
    <w:name w:val="Intense Reference"/>
    <w:basedOn w:val="Domylnaczcionkaakapitu"/>
    <w:uiPriority w:val="99"/>
    <w:qFormat/>
    <w:rsid w:val="00BE4D40"/>
    <w:rPr>
      <w:rFonts w:cs="Times New Roman"/>
      <w:smallCaps/>
      <w:spacing w:val="5"/>
      <w:u w:val="single"/>
    </w:rPr>
  </w:style>
  <w:style w:type="paragraph" w:styleId="Akapitzlist">
    <w:name w:val="List Paragraph"/>
    <w:basedOn w:val="Normalny"/>
    <w:uiPriority w:val="99"/>
    <w:qFormat/>
    <w:rsid w:val="00BE4D40"/>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E4D40"/>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BE4D40"/>
    <w:rPr>
      <w:rFonts w:eastAsia="MS Mincho" w:cs="Times New Roman"/>
      <w:i/>
    </w:rPr>
  </w:style>
  <w:style w:type="character" w:styleId="Odwoaniedelikatne">
    <w:name w:val="Subtle Reference"/>
    <w:basedOn w:val="Domylnaczcionkaakapitu"/>
    <w:uiPriority w:val="99"/>
    <w:qFormat/>
    <w:rsid w:val="00BE4D40"/>
    <w:rPr>
      <w:rFonts w:cs="Times New Roman"/>
      <w:smallCaps/>
    </w:rPr>
  </w:style>
  <w:style w:type="table" w:styleId="Tabela-Siatka">
    <w:name w:val="Table Grid"/>
    <w:basedOn w:val="Standardowy"/>
    <w:uiPriority w:val="99"/>
    <w:semiHidden/>
    <w:rsid w:val="00BE4D40"/>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E4D4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BE4D4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BE4D4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BE4D4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BE4D4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BE4D40"/>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E4D40"/>
    <w:pPr>
      <w:keepNext/>
      <w:keepLines/>
      <w:spacing w:before="240"/>
      <w:jc w:val="center"/>
    </w:pPr>
    <w:rPr>
      <w:rFonts w:eastAsia="MS Gothic"/>
      <w:b/>
      <w:bCs/>
      <w:color w:val="474747"/>
      <w:sz w:val="28"/>
      <w:szCs w:val="28"/>
    </w:rPr>
  </w:style>
  <w:style w:type="paragraph" w:customStyle="1" w:styleId="ECHRParaQuote">
    <w:name w:val="ECHR_Para_Quote"/>
    <w:aliases w:val="Ju_Quot,Para_Quote"/>
    <w:basedOn w:val="Normalny"/>
    <w:link w:val="JuQuotChar"/>
    <w:uiPriority w:val="99"/>
    <w:rsid w:val="00BE4D40"/>
    <w:pPr>
      <w:spacing w:before="120" w:after="120"/>
      <w:ind w:left="425" w:firstLine="142"/>
    </w:pPr>
    <w:rPr>
      <w:sz w:val="20"/>
      <w:szCs w:val="20"/>
      <w:lang w:eastAsia="pl-PL"/>
    </w:rPr>
  </w:style>
  <w:style w:type="paragraph" w:customStyle="1" w:styleId="ECHRPara">
    <w:name w:val="ECHR_Para"/>
    <w:aliases w:val="Ju_Para,Left,First line:  0 cm"/>
    <w:basedOn w:val="Normalny"/>
    <w:link w:val="ECHRParaChar"/>
    <w:uiPriority w:val="99"/>
    <w:rsid w:val="00BE4D40"/>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E4D40"/>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E4D40"/>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BE4D40"/>
    <w:pPr>
      <w:ind w:left="340" w:hanging="340"/>
    </w:pPr>
  </w:style>
  <w:style w:type="paragraph" w:customStyle="1" w:styleId="JuSigned">
    <w:name w:val="Ju_Signed"/>
    <w:basedOn w:val="Normalny"/>
    <w:next w:val="JuParaLast"/>
    <w:uiPriority w:val="99"/>
    <w:rsid w:val="00BE4D40"/>
    <w:pPr>
      <w:tabs>
        <w:tab w:val="center" w:pos="851"/>
        <w:tab w:val="center" w:pos="6407"/>
      </w:tabs>
      <w:spacing w:before="720"/>
      <w:jc w:val="left"/>
    </w:pPr>
  </w:style>
  <w:style w:type="paragraph" w:customStyle="1" w:styleId="JuParaLast">
    <w:name w:val="Ju_Para_Last"/>
    <w:basedOn w:val="Normalny"/>
    <w:next w:val="ECHRPara"/>
    <w:uiPriority w:val="99"/>
    <w:rsid w:val="00BE4D40"/>
    <w:pPr>
      <w:keepNext/>
      <w:keepLines/>
      <w:spacing w:before="240"/>
      <w:ind w:firstLine="284"/>
    </w:pPr>
  </w:style>
  <w:style w:type="paragraph" w:customStyle="1" w:styleId="JuQuotSub">
    <w:name w:val="Ju_Quot_Sub"/>
    <w:basedOn w:val="ECHRParaQuote"/>
    <w:uiPriority w:val="99"/>
    <w:rsid w:val="00BE4D40"/>
    <w:pPr>
      <w:ind w:left="567"/>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JuList"/>
    <w:uiPriority w:val="99"/>
    <w:rsid w:val="00BE4D40"/>
    <w:pPr>
      <w:ind w:left="346" w:firstLine="0"/>
    </w:pPr>
  </w:style>
  <w:style w:type="paragraph" w:customStyle="1" w:styleId="JuListi">
    <w:name w:val="Ju_List_i"/>
    <w:basedOn w:val="Normalny"/>
    <w:next w:val="JuLista"/>
    <w:uiPriority w:val="99"/>
    <w:rsid w:val="00BE4D40"/>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cs="Times New Roman"/>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cs="Times New Roman"/>
      <w:b/>
      <w:sz w:val="20"/>
    </w:rPr>
  </w:style>
  <w:style w:type="character" w:styleId="Odwoanieprzypisukocowego">
    <w:name w:val="endnote reference"/>
    <w:basedOn w:val="Domylnaczcionkaakapitu"/>
    <w:uiPriority w:val="99"/>
    <w:semiHidden/>
    <w:rsid w:val="00BE4D40"/>
    <w:rPr>
      <w:rFonts w:cs="Times New Roman"/>
      <w:vertAlign w:val="superscript"/>
    </w:rPr>
  </w:style>
  <w:style w:type="paragraph" w:styleId="Tekstprzypisukocowego">
    <w:name w:val="endnote text"/>
    <w:basedOn w:val="Normalny"/>
    <w:link w:val="TekstprzypisukocowegoZnak"/>
    <w:uiPriority w:val="99"/>
    <w:semiHidden/>
    <w:rsid w:val="00BE4D4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BE4D40"/>
    <w:rPr>
      <w:rFonts w:eastAsia="MS Mincho" w:cs="Times New Roman"/>
      <w:sz w:val="20"/>
      <w:lang w:val="pl-PL" w:eastAsia="x-none"/>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imes New Roman"/>
      <w:sz w:val="20"/>
      <w:shd w:val="clear" w:color="auto" w:fill="000080"/>
    </w:rPr>
  </w:style>
  <w:style w:type="paragraph" w:customStyle="1" w:styleId="JuTitle">
    <w:name w:val="Ju_Title"/>
    <w:basedOn w:val="Normalny"/>
    <w:next w:val="ECHRPara"/>
    <w:uiPriority w:val="99"/>
    <w:semiHidden/>
    <w:rsid w:val="00BE4D40"/>
    <w:pPr>
      <w:spacing w:before="720" w:after="240"/>
      <w:jc w:val="center"/>
      <w:outlineLvl w:val="0"/>
    </w:pPr>
    <w:rPr>
      <w:b/>
      <w:bCs/>
      <w:caps/>
    </w:rPr>
  </w:style>
  <w:style w:type="paragraph" w:styleId="Listapunktowana">
    <w:name w:val="List Bullet"/>
    <w:basedOn w:val="Normalny"/>
    <w:uiPriority w:val="99"/>
    <w:semiHidden/>
    <w:rsid w:val="00014566"/>
    <w:pPr>
      <w:numPr>
        <w:numId w:val="21"/>
      </w:numPr>
    </w:pPr>
  </w:style>
  <w:style w:type="paragraph" w:customStyle="1" w:styleId="OpiH1">
    <w:name w:val="Opi_H_1"/>
    <w:basedOn w:val="ECHRHeading2"/>
    <w:uiPriority w:val="99"/>
    <w:rsid w:val="00BE4D40"/>
    <w:pPr>
      <w:ind w:left="635" w:hanging="357"/>
      <w:outlineLvl w:val="2"/>
    </w:pPr>
  </w:style>
  <w:style w:type="paragraph" w:styleId="Podtytu">
    <w:name w:val="Subtitle"/>
    <w:basedOn w:val="Normalny"/>
    <w:next w:val="Normalny"/>
    <w:link w:val="PodtytuZnak"/>
    <w:uiPriority w:val="99"/>
    <w:qFormat/>
    <w:rsid w:val="00BE4D40"/>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BE4D40"/>
    <w:rPr>
      <w:rFonts w:ascii="Times New Roman" w:eastAsia="MS Gothic" w:hAnsi="Times New Roman" w:cs="Times New Roman"/>
      <w:i/>
      <w:spacing w:val="13"/>
      <w:sz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cs="Times New Roman"/>
      <w:sz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cs="Times New Roman"/>
      <w:sz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cs="Times New Roman"/>
      <w:sz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cs="Times New Roman"/>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cs="Times New Roman"/>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cs="Times New Roman"/>
      <w:sz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cs="Times New Roman"/>
      <w:sz w:val="24"/>
    </w:rPr>
  </w:style>
  <w:style w:type="table" w:styleId="Kolorowasiatka">
    <w:name w:val="Colorful Grid"/>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Ind w:w="0" w:type="nil"/>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Ind w:w="0" w:type="nil"/>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Ind w:w="0" w:type="nil"/>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Ind w:w="0" w:type="nil"/>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Ind w:w="0" w:type="nil"/>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Ind w:w="0" w:type="nil"/>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Ind w:w="0" w:type="nil"/>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Ind w:w="0" w:type="nil"/>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Ind w:w="0" w:type="nil"/>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Ind w:w="0" w:type="nil"/>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Ind w:w="0" w:type="nil"/>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Ind w:w="0" w:type="nil"/>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Ind w:w="0" w:type="nil"/>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cs="Times New Roman"/>
      <w:sz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cs="Times New Roman"/>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cs="Times New Roman"/>
      <w:i/>
      <w:sz w:val="24"/>
    </w:rPr>
  </w:style>
  <w:style w:type="character" w:styleId="HTML-cytat">
    <w:name w:val="HTML Cite"/>
    <w:basedOn w:val="Domylnaczcionkaakapitu"/>
    <w:uiPriority w:val="99"/>
    <w:semiHidden/>
    <w:rsid w:val="00014566"/>
    <w:rPr>
      <w:rFonts w:cs="Times New Roman"/>
      <w:i/>
    </w:rPr>
  </w:style>
  <w:style w:type="character" w:styleId="HTML-kod">
    <w:name w:val="HTML Code"/>
    <w:basedOn w:val="Domylnaczcionkaakapitu"/>
    <w:uiPriority w:val="99"/>
    <w:semiHidden/>
    <w:rsid w:val="00014566"/>
    <w:rPr>
      <w:rFonts w:ascii="Consolas" w:hAnsi="Consolas" w:cs="Times New Roman"/>
      <w:sz w:val="20"/>
    </w:rPr>
  </w:style>
  <w:style w:type="character" w:styleId="HTML-definicja">
    <w:name w:val="HTML Definition"/>
    <w:basedOn w:val="Domylnaczcionkaakapitu"/>
    <w:uiPriority w:val="99"/>
    <w:semiHidden/>
    <w:rsid w:val="00014566"/>
    <w:rPr>
      <w:rFonts w:cs="Times New Roman"/>
      <w:i/>
    </w:rPr>
  </w:style>
  <w:style w:type="character" w:styleId="HTML-klawiatura">
    <w:name w:val="HTML Keyboard"/>
    <w:basedOn w:val="Domylnaczcionkaakapitu"/>
    <w:uiPriority w:val="99"/>
    <w:semiHidden/>
    <w:rsid w:val="00014566"/>
    <w:rPr>
      <w:rFonts w:ascii="Consolas" w:hAnsi="Consolas" w:cs="Times New Roman"/>
      <w:sz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Times New Roman"/>
      <w:sz w:val="20"/>
    </w:rPr>
  </w:style>
  <w:style w:type="character" w:styleId="HTML-przykad">
    <w:name w:val="HTML Sample"/>
    <w:basedOn w:val="Domylnaczcionkaakapitu"/>
    <w:uiPriority w:val="99"/>
    <w:semiHidden/>
    <w:rsid w:val="00014566"/>
    <w:rPr>
      <w:rFonts w:ascii="Consolas" w:hAnsi="Consolas" w:cs="Times New Roman"/>
      <w:sz w:val="24"/>
    </w:rPr>
  </w:style>
  <w:style w:type="character" w:styleId="HTML-staaszeroko">
    <w:name w:val="HTML Typewriter"/>
    <w:basedOn w:val="Domylnaczcionkaakapitu"/>
    <w:uiPriority w:val="99"/>
    <w:semiHidden/>
    <w:rsid w:val="00014566"/>
    <w:rPr>
      <w:rFonts w:ascii="Consolas" w:hAnsi="Consolas" w:cs="Times New Roman"/>
      <w:sz w:val="20"/>
    </w:rPr>
  </w:style>
  <w:style w:type="character" w:styleId="HTML-zmienna">
    <w:name w:val="HTML Variable"/>
    <w:basedOn w:val="Domylnaczcionkaakapitu"/>
    <w:uiPriority w:val="99"/>
    <w:semiHidden/>
    <w:rsid w:val="00014566"/>
    <w:rPr>
      <w:rFonts w:cs="Times New Roman"/>
      <w:i/>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 w:val="num" w:pos="1492"/>
      </w:tabs>
      <w:ind w:left="643"/>
    </w:pPr>
  </w:style>
  <w:style w:type="paragraph" w:styleId="Listapunktowana3">
    <w:name w:val="List Bullet 3"/>
    <w:basedOn w:val="Normalny"/>
    <w:uiPriority w:val="99"/>
    <w:semiHidden/>
    <w:rsid w:val="00014566"/>
    <w:pPr>
      <w:numPr>
        <w:numId w:val="2"/>
      </w:numPr>
      <w:tabs>
        <w:tab w:val="num" w:pos="926"/>
      </w:tabs>
      <w:ind w:left="926"/>
    </w:pPr>
  </w:style>
  <w:style w:type="paragraph" w:styleId="Listapunktowana4">
    <w:name w:val="List Bullet 4"/>
    <w:basedOn w:val="Normalny"/>
    <w:uiPriority w:val="99"/>
    <w:semiHidden/>
    <w:rsid w:val="00014566"/>
    <w:pPr>
      <w:numPr>
        <w:numId w:val="3"/>
      </w:numPr>
      <w:tabs>
        <w:tab w:val="num" w:pos="643"/>
        <w:tab w:val="num" w:pos="1209"/>
      </w:tabs>
      <w:ind w:left="1209"/>
    </w:pPr>
  </w:style>
  <w:style w:type="paragraph" w:styleId="Listapunktowana5">
    <w:name w:val="List Bullet 5"/>
    <w:basedOn w:val="Normalny"/>
    <w:uiPriority w:val="99"/>
    <w:semiHidden/>
    <w:rsid w:val="00014566"/>
    <w:pPr>
      <w:numPr>
        <w:numId w:val="4"/>
      </w:numPr>
      <w:tabs>
        <w:tab w:val="num" w:pos="926"/>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num" w:pos="1209"/>
      </w:tabs>
      <w:ind w:left="360"/>
    </w:pPr>
  </w:style>
  <w:style w:type="paragraph" w:styleId="Listanumerowana2">
    <w:name w:val="List Number 2"/>
    <w:basedOn w:val="Normalny"/>
    <w:uiPriority w:val="99"/>
    <w:semiHidden/>
    <w:rsid w:val="00014566"/>
    <w:pPr>
      <w:numPr>
        <w:numId w:val="6"/>
      </w:numPr>
      <w:tabs>
        <w:tab w:val="clear" w:pos="360"/>
        <w:tab w:val="num" w:pos="643"/>
        <w:tab w:val="num" w:pos="1492"/>
      </w:tabs>
      <w:ind w:left="643"/>
    </w:pPr>
  </w:style>
  <w:style w:type="paragraph" w:styleId="Listanumerowana3">
    <w:name w:val="List Number 3"/>
    <w:basedOn w:val="Normalny"/>
    <w:uiPriority w:val="99"/>
    <w:semiHidden/>
    <w:rsid w:val="00014566"/>
    <w:pPr>
      <w:numPr>
        <w:numId w:val="7"/>
      </w:numPr>
      <w:tabs>
        <w:tab w:val="num" w:pos="926"/>
      </w:tabs>
      <w:ind w:left="926"/>
    </w:pPr>
  </w:style>
  <w:style w:type="paragraph" w:styleId="Listanumerowana4">
    <w:name w:val="List Number 4"/>
    <w:basedOn w:val="Normalny"/>
    <w:uiPriority w:val="99"/>
    <w:semiHidden/>
    <w:rsid w:val="00014566"/>
    <w:pPr>
      <w:numPr>
        <w:numId w:val="8"/>
      </w:numPr>
      <w:tabs>
        <w:tab w:val="num" w:pos="643"/>
        <w:tab w:val="num" w:pos="1209"/>
      </w:tabs>
      <w:ind w:left="1209"/>
    </w:pPr>
  </w:style>
  <w:style w:type="paragraph" w:styleId="Listanumerowana5">
    <w:name w:val="List Number 5"/>
    <w:basedOn w:val="Normalny"/>
    <w:uiPriority w:val="99"/>
    <w:semiHidden/>
    <w:rsid w:val="00014566"/>
    <w:pPr>
      <w:numPr>
        <w:numId w:val="9"/>
      </w:numPr>
      <w:tabs>
        <w:tab w:val="num" w:pos="926"/>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Times New Roman"/>
      <w:lang w:val="pl-PL" w:eastAsia="fr-FR"/>
    </w:rPr>
  </w:style>
  <w:style w:type="table" w:styleId="redniasiatka1">
    <w:name w:val="Medium Grid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cs="Times New Roman"/>
      <w:sz w:val="24"/>
    </w:rPr>
  </w:style>
  <w:style w:type="character" w:styleId="Tekstzastpczy">
    <w:name w:val="Placeholder Text"/>
    <w:basedOn w:val="Domylnaczcionkaakapitu"/>
    <w:uiPriority w:val="99"/>
    <w:semiHidden/>
    <w:rsid w:val="00BE4D40"/>
    <w:rPr>
      <w:rFonts w:cs="Times New Roman"/>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Times New Roman"/>
      <w:sz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cs="Times New Roman"/>
      <w:sz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cs="Times New Roman"/>
      <w:sz w:val="24"/>
    </w:rPr>
  </w:style>
  <w:style w:type="table" w:styleId="Tabela-Efekty3W1">
    <w:name w:val="Table 3D effects 1"/>
    <w:basedOn w:val="Standardowy"/>
    <w:uiPriority w:val="99"/>
    <w:semiHidden/>
    <w:rsid w:val="00014566"/>
    <w:pPr>
      <w:suppressAutoHyphens/>
    </w:pPr>
    <w:rPr>
      <w:lang w:eastAsia="fr-FR"/>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E4D4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BE4D4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
    <w:name w:val="Opi_H_a"/>
    <w:basedOn w:val="ECHRHeading3"/>
    <w:uiPriority w:val="99"/>
    <w:rsid w:val="00BE4D40"/>
    <w:pPr>
      <w:ind w:left="833" w:hanging="357"/>
      <w:outlineLvl w:val="3"/>
    </w:pPr>
    <w:rPr>
      <w:b/>
      <w:bCs/>
      <w:i w:val="0"/>
      <w:iCs w:val="0"/>
      <w:sz w:val="20"/>
      <w:szCs w:val="20"/>
    </w:rPr>
  </w:style>
  <w:style w:type="paragraph" w:customStyle="1" w:styleId="OpiHA0">
    <w:name w:val="Opi_H_A"/>
    <w:basedOn w:val="ECHRHeading1"/>
    <w:next w:val="OpiPara"/>
    <w:uiPriority w:val="99"/>
    <w:rsid w:val="00BE4D40"/>
    <w:pPr>
      <w:tabs>
        <w:tab w:val="clear" w:pos="357"/>
      </w:tabs>
      <w:outlineLvl w:val="1"/>
    </w:pPr>
    <w:rPr>
      <w:b/>
      <w:bCs/>
    </w:rPr>
  </w:style>
  <w:style w:type="paragraph" w:customStyle="1" w:styleId="OpiHi">
    <w:name w:val="Opi_H_i"/>
    <w:basedOn w:val="ECHRHeading4"/>
    <w:uiPriority w:val="99"/>
    <w:rsid w:val="00BE4D40"/>
    <w:pPr>
      <w:ind w:left="1037" w:hanging="357"/>
      <w:outlineLvl w:val="4"/>
    </w:pPr>
    <w:rPr>
      <w:b w:val="0"/>
      <w:bCs w:val="0"/>
      <w:i/>
      <w:iCs/>
    </w:rPr>
  </w:style>
  <w:style w:type="paragraph" w:customStyle="1" w:styleId="OpiParaSub">
    <w:name w:val="Opi_Para_Sub"/>
    <w:basedOn w:val="JuParaSub"/>
    <w:uiPriority w:val="99"/>
    <w:rsid w:val="00BE4D40"/>
  </w:style>
  <w:style w:type="paragraph" w:customStyle="1" w:styleId="OpiQuot">
    <w:name w:val="Opi_Quot"/>
    <w:basedOn w:val="ECHRParaQuote"/>
    <w:uiPriority w:val="99"/>
    <w:rsid w:val="00BE4D40"/>
  </w:style>
  <w:style w:type="paragraph" w:customStyle="1" w:styleId="OpiQuotSub">
    <w:name w:val="Opi_Quot_Sub"/>
    <w:basedOn w:val="JuQuotSub"/>
    <w:uiPriority w:val="99"/>
    <w:rsid w:val="00BE4D40"/>
  </w:style>
  <w:style w:type="paragraph" w:customStyle="1" w:styleId="OpiTranslation">
    <w:name w:val="Opi_Translation"/>
    <w:basedOn w:val="Normalny"/>
    <w:next w:val="OpiPara"/>
    <w:uiPriority w:val="99"/>
    <w:rsid w:val="00BE4D40"/>
    <w:pPr>
      <w:jc w:val="center"/>
      <w:outlineLvl w:val="0"/>
    </w:pPr>
    <w:rPr>
      <w:i/>
      <w:iCs/>
    </w:rPr>
  </w:style>
  <w:style w:type="character" w:customStyle="1" w:styleId="ECHRParaChar">
    <w:name w:val="ECHR_Para Char"/>
    <w:aliases w:val="Ju_Para Char"/>
    <w:link w:val="ECHRPara"/>
    <w:uiPriority w:val="99"/>
    <w:locked/>
    <w:rsid w:val="00A40A60"/>
    <w:rPr>
      <w:rFonts w:eastAsia="MS Mincho"/>
      <w:sz w:val="24"/>
      <w:lang w:val="pl-PL" w:eastAsia="x-none"/>
    </w:rPr>
  </w:style>
  <w:style w:type="character" w:customStyle="1" w:styleId="JuQuotChar">
    <w:name w:val="Ju_Quot Char"/>
    <w:link w:val="ECHRParaQuote"/>
    <w:uiPriority w:val="99"/>
    <w:locked/>
    <w:rsid w:val="00A40A60"/>
    <w:rPr>
      <w:rFonts w:eastAsia="MS Mincho"/>
      <w:sz w:val="20"/>
      <w:lang w:val="pl-PL" w:eastAsia="x-none"/>
    </w:rPr>
  </w:style>
  <w:style w:type="character" w:customStyle="1" w:styleId="JuHAChar">
    <w:name w:val="Ju_H_A Char"/>
    <w:link w:val="ECHRHeading2"/>
    <w:uiPriority w:val="99"/>
    <w:locked/>
    <w:rsid w:val="00447866"/>
    <w:rPr>
      <w:rFonts w:ascii="Times New Roman" w:eastAsia="MS Gothic" w:hAnsi="Times New Roman"/>
      <w:b/>
      <w:sz w:val="26"/>
      <w:lang w:val="pl-PL" w:eastAsia="x-none"/>
    </w:rPr>
  </w:style>
  <w:style w:type="paragraph" w:customStyle="1" w:styleId="ECHRBullet1">
    <w:name w:val="ECHR_Bullet_1"/>
    <w:aliases w:val="Bul_1"/>
    <w:basedOn w:val="Normalny"/>
    <w:uiPriority w:val="99"/>
    <w:rsid w:val="00A87AF6"/>
    <w:pPr>
      <w:numPr>
        <w:numId w:val="25"/>
      </w:numPr>
      <w:suppressAutoHyphens/>
      <w:spacing w:before="60" w:after="60"/>
    </w:pPr>
    <w:rPr>
      <w:lang w:eastAsia="fr-FR"/>
    </w:rPr>
  </w:style>
  <w:style w:type="paragraph" w:customStyle="1" w:styleId="ECHRBullet2">
    <w:name w:val="ECHR_Bullet_2"/>
    <w:aliases w:val="Bul_2"/>
    <w:basedOn w:val="ECHRBullet1"/>
    <w:uiPriority w:val="99"/>
    <w:rsid w:val="00A87AF6"/>
    <w:pPr>
      <w:numPr>
        <w:ilvl w:val="1"/>
      </w:numPr>
      <w:tabs>
        <w:tab w:val="num" w:pos="926"/>
        <w:tab w:val="num" w:pos="1209"/>
        <w:tab w:val="num" w:pos="1492"/>
      </w:tabs>
      <w:ind w:hanging="360"/>
    </w:pPr>
  </w:style>
  <w:style w:type="paragraph" w:customStyle="1" w:styleId="ECHRBullet3">
    <w:name w:val="ECHR_Bullet_3"/>
    <w:aliases w:val="Bul_3"/>
    <w:basedOn w:val="ECHRBullet2"/>
    <w:uiPriority w:val="99"/>
    <w:rsid w:val="00A87AF6"/>
    <w:pPr>
      <w:numPr>
        <w:ilvl w:val="2"/>
      </w:numPr>
      <w:tabs>
        <w:tab w:val="num" w:pos="926"/>
        <w:tab w:val="num" w:pos="1134"/>
      </w:tabs>
      <w:ind w:hanging="360"/>
    </w:pPr>
  </w:style>
  <w:style w:type="paragraph" w:customStyle="1" w:styleId="ECHRBullet4">
    <w:name w:val="ECHR_Bullet_4"/>
    <w:aliases w:val="Bul_4"/>
    <w:basedOn w:val="ECHRBullet3"/>
    <w:uiPriority w:val="99"/>
    <w:rsid w:val="00A87AF6"/>
    <w:pPr>
      <w:numPr>
        <w:ilvl w:val="3"/>
      </w:numPr>
      <w:tabs>
        <w:tab w:val="clear" w:pos="1418"/>
        <w:tab w:val="num" w:pos="926"/>
        <w:tab w:val="num" w:pos="1134"/>
      </w:tabs>
      <w:ind w:hanging="360"/>
    </w:pPr>
  </w:style>
  <w:style w:type="paragraph" w:styleId="Poprawka">
    <w:name w:val="Revision"/>
    <w:hidden/>
    <w:uiPriority w:val="99"/>
    <w:semiHidden/>
    <w:rsid w:val="0081275A"/>
    <w:rPr>
      <w:rFonts w:eastAsia="MS Mincho"/>
      <w:sz w:val="24"/>
      <w:szCs w:val="24"/>
      <w:lang w:eastAsia="en-US"/>
    </w:rPr>
  </w:style>
  <w:style w:type="character" w:customStyle="1" w:styleId="JuParaCar">
    <w:name w:val="Ju_Para Car"/>
    <w:uiPriority w:val="99"/>
    <w:rsid w:val="00727D73"/>
    <w:rPr>
      <w:sz w:val="24"/>
      <w:lang w:val="pl-PL" w:eastAsia="fr-FR"/>
    </w:rPr>
  </w:style>
  <w:style w:type="paragraph" w:customStyle="1" w:styleId="ECHRParaSpaced">
    <w:name w:val="ECHR_Para_Spaced"/>
    <w:aliases w:val="Para_Spaced"/>
    <w:basedOn w:val="Normalny"/>
    <w:uiPriority w:val="99"/>
    <w:rsid w:val="00F50A67"/>
    <w:pPr>
      <w:spacing w:before="120" w:after="120" w:line="259" w:lineRule="auto"/>
    </w:pPr>
    <w:rPr>
      <w:rFonts w:eastAsia="Times New Roman"/>
      <w:sz w:val="22"/>
      <w:szCs w:val="22"/>
    </w:rPr>
  </w:style>
  <w:style w:type="paragraph" w:customStyle="1" w:styleId="jupara">
    <w:name w:val="jupara"/>
    <w:basedOn w:val="Normalny"/>
    <w:uiPriority w:val="99"/>
    <w:rsid w:val="008D10C9"/>
    <w:pPr>
      <w:ind w:firstLine="284"/>
    </w:pPr>
    <w:rPr>
      <w:rFonts w:eastAsia="Times New Roman"/>
      <w:lang w:eastAsia="en-GB"/>
    </w:rPr>
  </w:style>
  <w:style w:type="paragraph" w:customStyle="1" w:styleId="jucase0">
    <w:name w:val="jucase"/>
    <w:basedOn w:val="Normalny"/>
    <w:uiPriority w:val="99"/>
    <w:rsid w:val="008D10C9"/>
    <w:pPr>
      <w:ind w:firstLine="284"/>
    </w:pPr>
    <w:rPr>
      <w:rFonts w:eastAsia="Times New Roman"/>
      <w:b/>
      <w:bCs/>
      <w:lang w:eastAsia="en-GB"/>
    </w:rPr>
  </w:style>
  <w:style w:type="character" w:customStyle="1" w:styleId="s4f807e54">
    <w:name w:val="s4f807e54"/>
    <w:uiPriority w:val="99"/>
    <w:rsid w:val="00DD619F"/>
  </w:style>
  <w:style w:type="paragraph" w:customStyle="1" w:styleId="s50c0b1c7">
    <w:name w:val="s50c0b1c7"/>
    <w:basedOn w:val="Normalny"/>
    <w:uiPriority w:val="99"/>
    <w:rsid w:val="008B2B8F"/>
    <w:pPr>
      <w:spacing w:before="100" w:beforeAutospacing="1" w:after="100" w:afterAutospacing="1"/>
      <w:jc w:val="left"/>
    </w:pPr>
    <w:rPr>
      <w:rFonts w:eastAsia="Times New Roman"/>
      <w:lang w:eastAsia="pl-PL"/>
    </w:rPr>
  </w:style>
  <w:style w:type="character" w:customStyle="1" w:styleId="s3aeeab2">
    <w:name w:val="s3aeeab2"/>
    <w:uiPriority w:val="99"/>
    <w:rsid w:val="008B2B8F"/>
    <w:rPr>
      <w:lang w:val="pl-PL" w:eastAsia="pl-PL"/>
    </w:rPr>
  </w:style>
  <w:style w:type="character" w:customStyle="1" w:styleId="sfbbfee58">
    <w:name w:val="sfbbfee58"/>
    <w:uiPriority w:val="99"/>
    <w:rsid w:val="008B2B8F"/>
    <w:rPr>
      <w:lang w:val="pl-PL" w:eastAsia="pl-PL"/>
    </w:rPr>
  </w:style>
  <w:style w:type="numbering" w:styleId="1ai">
    <w:name w:val="Outline List 1"/>
    <w:basedOn w:val="Bezlisty"/>
    <w:uiPriority w:val="99"/>
    <w:semiHidden/>
    <w:unhideWhenUsed/>
    <w:pPr>
      <w:numPr>
        <w:numId w:val="23"/>
      </w:numPr>
    </w:pPr>
  </w:style>
  <w:style w:type="numbering" w:styleId="111111">
    <w:name w:val="Outline List 2"/>
    <w:basedOn w:val="Bezlisty"/>
    <w:uiPriority w:val="99"/>
    <w:semiHidden/>
    <w:unhideWhenUsed/>
    <w:pPr>
      <w:numPr>
        <w:numId w:val="22"/>
      </w:numPr>
    </w:pPr>
  </w:style>
  <w:style w:type="numbering" w:customStyle="1" w:styleId="ECHRA1StyleBulletedSquare">
    <w:name w:val="ECHR_A1_Style_Bulleted_Square"/>
    <w:pPr>
      <w:numPr>
        <w:numId w:val="25"/>
      </w:numPr>
    </w:pPr>
  </w:style>
  <w:style w:type="numbering" w:customStyle="1" w:styleId="ArticleSection">
    <w:name w:val="Article / Section"/>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363343">
      <w:marLeft w:val="0"/>
      <w:marRight w:val="0"/>
      <w:marTop w:val="0"/>
      <w:marBottom w:val="0"/>
      <w:divBdr>
        <w:top w:val="none" w:sz="0" w:space="0" w:color="auto"/>
        <w:left w:val="none" w:sz="0" w:space="0" w:color="auto"/>
        <w:bottom w:val="none" w:sz="0" w:space="0" w:color="auto"/>
        <w:right w:val="none" w:sz="0" w:space="0" w:color="auto"/>
      </w:divBdr>
      <w:divsChild>
        <w:div w:id="540363514">
          <w:marLeft w:val="0"/>
          <w:marRight w:val="0"/>
          <w:marTop w:val="0"/>
          <w:marBottom w:val="0"/>
          <w:divBdr>
            <w:top w:val="none" w:sz="0" w:space="0" w:color="auto"/>
            <w:left w:val="none" w:sz="0" w:space="0" w:color="auto"/>
            <w:bottom w:val="none" w:sz="0" w:space="0" w:color="auto"/>
            <w:right w:val="none" w:sz="0" w:space="0" w:color="auto"/>
          </w:divBdr>
          <w:divsChild>
            <w:div w:id="540363440">
              <w:marLeft w:val="0"/>
              <w:marRight w:val="0"/>
              <w:marTop w:val="0"/>
              <w:marBottom w:val="0"/>
              <w:divBdr>
                <w:top w:val="none" w:sz="0" w:space="0" w:color="auto"/>
                <w:left w:val="none" w:sz="0" w:space="0" w:color="auto"/>
                <w:bottom w:val="none" w:sz="0" w:space="0" w:color="auto"/>
                <w:right w:val="none" w:sz="0" w:space="0" w:color="auto"/>
              </w:divBdr>
              <w:divsChild>
                <w:div w:id="540363427">
                  <w:marLeft w:val="0"/>
                  <w:marRight w:val="0"/>
                  <w:marTop w:val="0"/>
                  <w:marBottom w:val="0"/>
                  <w:divBdr>
                    <w:top w:val="none" w:sz="0" w:space="0" w:color="auto"/>
                    <w:left w:val="none" w:sz="0" w:space="0" w:color="auto"/>
                    <w:bottom w:val="none" w:sz="0" w:space="0" w:color="auto"/>
                    <w:right w:val="none" w:sz="0" w:space="0" w:color="auto"/>
                  </w:divBdr>
                  <w:divsChild>
                    <w:div w:id="540363505">
                      <w:marLeft w:val="0"/>
                      <w:marRight w:val="0"/>
                      <w:marTop w:val="0"/>
                      <w:marBottom w:val="0"/>
                      <w:divBdr>
                        <w:top w:val="none" w:sz="0" w:space="0" w:color="auto"/>
                        <w:left w:val="none" w:sz="0" w:space="0" w:color="auto"/>
                        <w:bottom w:val="none" w:sz="0" w:space="0" w:color="auto"/>
                        <w:right w:val="none" w:sz="0" w:space="0" w:color="auto"/>
                      </w:divBdr>
                      <w:divsChild>
                        <w:div w:id="540363486">
                          <w:marLeft w:val="0"/>
                          <w:marRight w:val="0"/>
                          <w:marTop w:val="0"/>
                          <w:marBottom w:val="0"/>
                          <w:divBdr>
                            <w:top w:val="none" w:sz="0" w:space="0" w:color="auto"/>
                            <w:left w:val="none" w:sz="0" w:space="0" w:color="auto"/>
                            <w:bottom w:val="none" w:sz="0" w:space="0" w:color="auto"/>
                            <w:right w:val="none" w:sz="0" w:space="0" w:color="auto"/>
                          </w:divBdr>
                          <w:divsChild>
                            <w:div w:id="54036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46">
      <w:marLeft w:val="0"/>
      <w:marRight w:val="0"/>
      <w:marTop w:val="0"/>
      <w:marBottom w:val="0"/>
      <w:divBdr>
        <w:top w:val="none" w:sz="0" w:space="0" w:color="auto"/>
        <w:left w:val="none" w:sz="0" w:space="0" w:color="auto"/>
        <w:bottom w:val="none" w:sz="0" w:space="0" w:color="auto"/>
        <w:right w:val="none" w:sz="0" w:space="0" w:color="auto"/>
      </w:divBdr>
    </w:div>
    <w:div w:id="540363347">
      <w:marLeft w:val="0"/>
      <w:marRight w:val="0"/>
      <w:marTop w:val="0"/>
      <w:marBottom w:val="0"/>
      <w:divBdr>
        <w:top w:val="none" w:sz="0" w:space="0" w:color="auto"/>
        <w:left w:val="none" w:sz="0" w:space="0" w:color="auto"/>
        <w:bottom w:val="none" w:sz="0" w:space="0" w:color="auto"/>
        <w:right w:val="none" w:sz="0" w:space="0" w:color="auto"/>
      </w:divBdr>
      <w:divsChild>
        <w:div w:id="540363437">
          <w:marLeft w:val="0"/>
          <w:marRight w:val="0"/>
          <w:marTop w:val="0"/>
          <w:marBottom w:val="0"/>
          <w:divBdr>
            <w:top w:val="none" w:sz="0" w:space="0" w:color="auto"/>
            <w:left w:val="none" w:sz="0" w:space="0" w:color="auto"/>
            <w:bottom w:val="none" w:sz="0" w:space="0" w:color="auto"/>
            <w:right w:val="none" w:sz="0" w:space="0" w:color="auto"/>
          </w:divBdr>
          <w:divsChild>
            <w:div w:id="540363515">
              <w:marLeft w:val="0"/>
              <w:marRight w:val="0"/>
              <w:marTop w:val="0"/>
              <w:marBottom w:val="0"/>
              <w:divBdr>
                <w:top w:val="none" w:sz="0" w:space="0" w:color="auto"/>
                <w:left w:val="none" w:sz="0" w:space="0" w:color="auto"/>
                <w:bottom w:val="none" w:sz="0" w:space="0" w:color="auto"/>
                <w:right w:val="none" w:sz="0" w:space="0" w:color="auto"/>
              </w:divBdr>
              <w:divsChild>
                <w:div w:id="540363425">
                  <w:marLeft w:val="0"/>
                  <w:marRight w:val="0"/>
                  <w:marTop w:val="0"/>
                  <w:marBottom w:val="0"/>
                  <w:divBdr>
                    <w:top w:val="none" w:sz="0" w:space="0" w:color="auto"/>
                    <w:left w:val="none" w:sz="0" w:space="0" w:color="auto"/>
                    <w:bottom w:val="none" w:sz="0" w:space="0" w:color="auto"/>
                    <w:right w:val="none" w:sz="0" w:space="0" w:color="auto"/>
                  </w:divBdr>
                  <w:divsChild>
                    <w:div w:id="540363517">
                      <w:marLeft w:val="0"/>
                      <w:marRight w:val="0"/>
                      <w:marTop w:val="0"/>
                      <w:marBottom w:val="0"/>
                      <w:divBdr>
                        <w:top w:val="none" w:sz="0" w:space="0" w:color="auto"/>
                        <w:left w:val="none" w:sz="0" w:space="0" w:color="auto"/>
                        <w:bottom w:val="none" w:sz="0" w:space="0" w:color="auto"/>
                        <w:right w:val="none" w:sz="0" w:space="0" w:color="auto"/>
                      </w:divBdr>
                      <w:divsChild>
                        <w:div w:id="540363490">
                          <w:marLeft w:val="0"/>
                          <w:marRight w:val="0"/>
                          <w:marTop w:val="0"/>
                          <w:marBottom w:val="0"/>
                          <w:divBdr>
                            <w:top w:val="none" w:sz="0" w:space="0" w:color="auto"/>
                            <w:left w:val="none" w:sz="0" w:space="0" w:color="auto"/>
                            <w:bottom w:val="none" w:sz="0" w:space="0" w:color="auto"/>
                            <w:right w:val="none" w:sz="0" w:space="0" w:color="auto"/>
                          </w:divBdr>
                          <w:divsChild>
                            <w:div w:id="5403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50">
      <w:marLeft w:val="0"/>
      <w:marRight w:val="0"/>
      <w:marTop w:val="0"/>
      <w:marBottom w:val="0"/>
      <w:divBdr>
        <w:top w:val="none" w:sz="0" w:space="0" w:color="auto"/>
        <w:left w:val="none" w:sz="0" w:space="0" w:color="auto"/>
        <w:bottom w:val="none" w:sz="0" w:space="0" w:color="auto"/>
        <w:right w:val="none" w:sz="0" w:space="0" w:color="auto"/>
      </w:divBdr>
      <w:divsChild>
        <w:div w:id="540363456">
          <w:marLeft w:val="0"/>
          <w:marRight w:val="0"/>
          <w:marTop w:val="0"/>
          <w:marBottom w:val="0"/>
          <w:divBdr>
            <w:top w:val="none" w:sz="0" w:space="0" w:color="auto"/>
            <w:left w:val="none" w:sz="0" w:space="0" w:color="auto"/>
            <w:bottom w:val="none" w:sz="0" w:space="0" w:color="auto"/>
            <w:right w:val="none" w:sz="0" w:space="0" w:color="auto"/>
          </w:divBdr>
          <w:divsChild>
            <w:div w:id="540363507">
              <w:marLeft w:val="0"/>
              <w:marRight w:val="0"/>
              <w:marTop w:val="0"/>
              <w:marBottom w:val="0"/>
              <w:divBdr>
                <w:top w:val="none" w:sz="0" w:space="0" w:color="auto"/>
                <w:left w:val="none" w:sz="0" w:space="0" w:color="auto"/>
                <w:bottom w:val="none" w:sz="0" w:space="0" w:color="auto"/>
                <w:right w:val="none" w:sz="0" w:space="0" w:color="auto"/>
              </w:divBdr>
              <w:divsChild>
                <w:div w:id="540363481">
                  <w:marLeft w:val="0"/>
                  <w:marRight w:val="0"/>
                  <w:marTop w:val="0"/>
                  <w:marBottom w:val="0"/>
                  <w:divBdr>
                    <w:top w:val="none" w:sz="0" w:space="0" w:color="auto"/>
                    <w:left w:val="none" w:sz="0" w:space="0" w:color="auto"/>
                    <w:bottom w:val="none" w:sz="0" w:space="0" w:color="auto"/>
                    <w:right w:val="none" w:sz="0" w:space="0" w:color="auto"/>
                  </w:divBdr>
                  <w:divsChild>
                    <w:div w:id="540363485">
                      <w:marLeft w:val="0"/>
                      <w:marRight w:val="0"/>
                      <w:marTop w:val="0"/>
                      <w:marBottom w:val="0"/>
                      <w:divBdr>
                        <w:top w:val="none" w:sz="0" w:space="0" w:color="auto"/>
                        <w:left w:val="none" w:sz="0" w:space="0" w:color="auto"/>
                        <w:bottom w:val="none" w:sz="0" w:space="0" w:color="auto"/>
                        <w:right w:val="none" w:sz="0" w:space="0" w:color="auto"/>
                      </w:divBdr>
                      <w:divsChild>
                        <w:div w:id="540363470">
                          <w:marLeft w:val="0"/>
                          <w:marRight w:val="0"/>
                          <w:marTop w:val="0"/>
                          <w:marBottom w:val="0"/>
                          <w:divBdr>
                            <w:top w:val="none" w:sz="0" w:space="0" w:color="auto"/>
                            <w:left w:val="none" w:sz="0" w:space="0" w:color="auto"/>
                            <w:bottom w:val="none" w:sz="0" w:space="0" w:color="auto"/>
                            <w:right w:val="none" w:sz="0" w:space="0" w:color="auto"/>
                          </w:divBdr>
                          <w:divsChild>
                            <w:div w:id="54036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52">
      <w:marLeft w:val="0"/>
      <w:marRight w:val="0"/>
      <w:marTop w:val="0"/>
      <w:marBottom w:val="0"/>
      <w:divBdr>
        <w:top w:val="none" w:sz="0" w:space="0" w:color="auto"/>
        <w:left w:val="none" w:sz="0" w:space="0" w:color="auto"/>
        <w:bottom w:val="none" w:sz="0" w:space="0" w:color="auto"/>
        <w:right w:val="none" w:sz="0" w:space="0" w:color="auto"/>
      </w:divBdr>
    </w:div>
    <w:div w:id="540363354">
      <w:marLeft w:val="0"/>
      <w:marRight w:val="0"/>
      <w:marTop w:val="0"/>
      <w:marBottom w:val="0"/>
      <w:divBdr>
        <w:top w:val="none" w:sz="0" w:space="0" w:color="auto"/>
        <w:left w:val="none" w:sz="0" w:space="0" w:color="auto"/>
        <w:bottom w:val="none" w:sz="0" w:space="0" w:color="auto"/>
        <w:right w:val="none" w:sz="0" w:space="0" w:color="auto"/>
      </w:divBdr>
      <w:divsChild>
        <w:div w:id="540363380">
          <w:marLeft w:val="0"/>
          <w:marRight w:val="0"/>
          <w:marTop w:val="0"/>
          <w:marBottom w:val="0"/>
          <w:divBdr>
            <w:top w:val="none" w:sz="0" w:space="0" w:color="auto"/>
            <w:left w:val="none" w:sz="0" w:space="0" w:color="auto"/>
            <w:bottom w:val="none" w:sz="0" w:space="0" w:color="auto"/>
            <w:right w:val="none" w:sz="0" w:space="0" w:color="auto"/>
          </w:divBdr>
          <w:divsChild>
            <w:div w:id="540363484">
              <w:marLeft w:val="0"/>
              <w:marRight w:val="0"/>
              <w:marTop w:val="0"/>
              <w:marBottom w:val="0"/>
              <w:divBdr>
                <w:top w:val="none" w:sz="0" w:space="0" w:color="auto"/>
                <w:left w:val="none" w:sz="0" w:space="0" w:color="auto"/>
                <w:bottom w:val="none" w:sz="0" w:space="0" w:color="auto"/>
                <w:right w:val="none" w:sz="0" w:space="0" w:color="auto"/>
              </w:divBdr>
              <w:divsChild>
                <w:div w:id="540363406">
                  <w:marLeft w:val="0"/>
                  <w:marRight w:val="0"/>
                  <w:marTop w:val="0"/>
                  <w:marBottom w:val="0"/>
                  <w:divBdr>
                    <w:top w:val="none" w:sz="0" w:space="0" w:color="auto"/>
                    <w:left w:val="none" w:sz="0" w:space="0" w:color="auto"/>
                    <w:bottom w:val="none" w:sz="0" w:space="0" w:color="auto"/>
                    <w:right w:val="none" w:sz="0" w:space="0" w:color="auto"/>
                  </w:divBdr>
                  <w:divsChild>
                    <w:div w:id="540363491">
                      <w:marLeft w:val="0"/>
                      <w:marRight w:val="0"/>
                      <w:marTop w:val="0"/>
                      <w:marBottom w:val="0"/>
                      <w:divBdr>
                        <w:top w:val="none" w:sz="0" w:space="0" w:color="auto"/>
                        <w:left w:val="none" w:sz="0" w:space="0" w:color="auto"/>
                        <w:bottom w:val="none" w:sz="0" w:space="0" w:color="auto"/>
                        <w:right w:val="none" w:sz="0" w:space="0" w:color="auto"/>
                      </w:divBdr>
                      <w:divsChild>
                        <w:div w:id="540363420">
                          <w:marLeft w:val="0"/>
                          <w:marRight w:val="0"/>
                          <w:marTop w:val="0"/>
                          <w:marBottom w:val="0"/>
                          <w:divBdr>
                            <w:top w:val="none" w:sz="0" w:space="0" w:color="auto"/>
                            <w:left w:val="none" w:sz="0" w:space="0" w:color="auto"/>
                            <w:bottom w:val="none" w:sz="0" w:space="0" w:color="auto"/>
                            <w:right w:val="none" w:sz="0" w:space="0" w:color="auto"/>
                          </w:divBdr>
                          <w:divsChild>
                            <w:div w:id="5403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68">
      <w:marLeft w:val="0"/>
      <w:marRight w:val="0"/>
      <w:marTop w:val="0"/>
      <w:marBottom w:val="0"/>
      <w:divBdr>
        <w:top w:val="none" w:sz="0" w:space="0" w:color="auto"/>
        <w:left w:val="none" w:sz="0" w:space="0" w:color="auto"/>
        <w:bottom w:val="none" w:sz="0" w:space="0" w:color="auto"/>
        <w:right w:val="none" w:sz="0" w:space="0" w:color="auto"/>
      </w:divBdr>
      <w:divsChild>
        <w:div w:id="540363401">
          <w:marLeft w:val="0"/>
          <w:marRight w:val="0"/>
          <w:marTop w:val="0"/>
          <w:marBottom w:val="0"/>
          <w:divBdr>
            <w:top w:val="none" w:sz="0" w:space="0" w:color="auto"/>
            <w:left w:val="none" w:sz="0" w:space="0" w:color="auto"/>
            <w:bottom w:val="none" w:sz="0" w:space="0" w:color="auto"/>
            <w:right w:val="none" w:sz="0" w:space="0" w:color="auto"/>
          </w:divBdr>
          <w:divsChild>
            <w:div w:id="540363502">
              <w:marLeft w:val="0"/>
              <w:marRight w:val="0"/>
              <w:marTop w:val="0"/>
              <w:marBottom w:val="0"/>
              <w:divBdr>
                <w:top w:val="none" w:sz="0" w:space="0" w:color="auto"/>
                <w:left w:val="none" w:sz="0" w:space="0" w:color="auto"/>
                <w:bottom w:val="none" w:sz="0" w:space="0" w:color="auto"/>
                <w:right w:val="none" w:sz="0" w:space="0" w:color="auto"/>
              </w:divBdr>
              <w:divsChild>
                <w:div w:id="540363431">
                  <w:marLeft w:val="0"/>
                  <w:marRight w:val="0"/>
                  <w:marTop w:val="0"/>
                  <w:marBottom w:val="0"/>
                  <w:divBdr>
                    <w:top w:val="none" w:sz="0" w:space="0" w:color="auto"/>
                    <w:left w:val="none" w:sz="0" w:space="0" w:color="auto"/>
                    <w:bottom w:val="none" w:sz="0" w:space="0" w:color="auto"/>
                    <w:right w:val="none" w:sz="0" w:space="0" w:color="auto"/>
                  </w:divBdr>
                  <w:divsChild>
                    <w:div w:id="540363403">
                      <w:marLeft w:val="0"/>
                      <w:marRight w:val="0"/>
                      <w:marTop w:val="0"/>
                      <w:marBottom w:val="0"/>
                      <w:divBdr>
                        <w:top w:val="none" w:sz="0" w:space="0" w:color="auto"/>
                        <w:left w:val="none" w:sz="0" w:space="0" w:color="auto"/>
                        <w:bottom w:val="none" w:sz="0" w:space="0" w:color="auto"/>
                        <w:right w:val="none" w:sz="0" w:space="0" w:color="auto"/>
                      </w:divBdr>
                      <w:divsChild>
                        <w:div w:id="540363411">
                          <w:marLeft w:val="0"/>
                          <w:marRight w:val="0"/>
                          <w:marTop w:val="0"/>
                          <w:marBottom w:val="0"/>
                          <w:divBdr>
                            <w:top w:val="none" w:sz="0" w:space="0" w:color="auto"/>
                            <w:left w:val="none" w:sz="0" w:space="0" w:color="auto"/>
                            <w:bottom w:val="none" w:sz="0" w:space="0" w:color="auto"/>
                            <w:right w:val="none" w:sz="0" w:space="0" w:color="auto"/>
                          </w:divBdr>
                          <w:divsChild>
                            <w:div w:id="5403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72">
      <w:marLeft w:val="0"/>
      <w:marRight w:val="0"/>
      <w:marTop w:val="0"/>
      <w:marBottom w:val="0"/>
      <w:divBdr>
        <w:top w:val="none" w:sz="0" w:space="0" w:color="auto"/>
        <w:left w:val="none" w:sz="0" w:space="0" w:color="auto"/>
        <w:bottom w:val="none" w:sz="0" w:space="0" w:color="auto"/>
        <w:right w:val="none" w:sz="0" w:space="0" w:color="auto"/>
      </w:divBdr>
    </w:div>
    <w:div w:id="540363378">
      <w:marLeft w:val="0"/>
      <w:marRight w:val="0"/>
      <w:marTop w:val="0"/>
      <w:marBottom w:val="0"/>
      <w:divBdr>
        <w:top w:val="none" w:sz="0" w:space="0" w:color="auto"/>
        <w:left w:val="none" w:sz="0" w:space="0" w:color="auto"/>
        <w:bottom w:val="none" w:sz="0" w:space="0" w:color="auto"/>
        <w:right w:val="none" w:sz="0" w:space="0" w:color="auto"/>
      </w:divBdr>
    </w:div>
    <w:div w:id="540363392">
      <w:marLeft w:val="0"/>
      <w:marRight w:val="0"/>
      <w:marTop w:val="0"/>
      <w:marBottom w:val="0"/>
      <w:divBdr>
        <w:top w:val="none" w:sz="0" w:space="0" w:color="auto"/>
        <w:left w:val="none" w:sz="0" w:space="0" w:color="auto"/>
        <w:bottom w:val="none" w:sz="0" w:space="0" w:color="auto"/>
        <w:right w:val="none" w:sz="0" w:space="0" w:color="auto"/>
      </w:divBdr>
      <w:divsChild>
        <w:div w:id="540363361">
          <w:marLeft w:val="0"/>
          <w:marRight w:val="0"/>
          <w:marTop w:val="0"/>
          <w:marBottom w:val="0"/>
          <w:divBdr>
            <w:top w:val="none" w:sz="0" w:space="0" w:color="auto"/>
            <w:left w:val="none" w:sz="0" w:space="0" w:color="auto"/>
            <w:bottom w:val="none" w:sz="0" w:space="0" w:color="auto"/>
            <w:right w:val="none" w:sz="0" w:space="0" w:color="auto"/>
          </w:divBdr>
          <w:divsChild>
            <w:div w:id="540363414">
              <w:marLeft w:val="0"/>
              <w:marRight w:val="0"/>
              <w:marTop w:val="0"/>
              <w:marBottom w:val="0"/>
              <w:divBdr>
                <w:top w:val="none" w:sz="0" w:space="0" w:color="auto"/>
                <w:left w:val="none" w:sz="0" w:space="0" w:color="auto"/>
                <w:bottom w:val="none" w:sz="0" w:space="0" w:color="auto"/>
                <w:right w:val="none" w:sz="0" w:space="0" w:color="auto"/>
              </w:divBdr>
              <w:divsChild>
                <w:div w:id="540363374">
                  <w:marLeft w:val="0"/>
                  <w:marRight w:val="0"/>
                  <w:marTop w:val="0"/>
                  <w:marBottom w:val="0"/>
                  <w:divBdr>
                    <w:top w:val="none" w:sz="0" w:space="0" w:color="auto"/>
                    <w:left w:val="none" w:sz="0" w:space="0" w:color="auto"/>
                    <w:bottom w:val="none" w:sz="0" w:space="0" w:color="auto"/>
                    <w:right w:val="none" w:sz="0" w:space="0" w:color="auto"/>
                  </w:divBdr>
                  <w:divsChild>
                    <w:div w:id="540363424">
                      <w:marLeft w:val="0"/>
                      <w:marRight w:val="0"/>
                      <w:marTop w:val="0"/>
                      <w:marBottom w:val="0"/>
                      <w:divBdr>
                        <w:top w:val="none" w:sz="0" w:space="0" w:color="auto"/>
                        <w:left w:val="none" w:sz="0" w:space="0" w:color="auto"/>
                        <w:bottom w:val="none" w:sz="0" w:space="0" w:color="auto"/>
                        <w:right w:val="none" w:sz="0" w:space="0" w:color="auto"/>
                      </w:divBdr>
                      <w:divsChild>
                        <w:div w:id="540363500">
                          <w:marLeft w:val="0"/>
                          <w:marRight w:val="0"/>
                          <w:marTop w:val="0"/>
                          <w:marBottom w:val="0"/>
                          <w:divBdr>
                            <w:top w:val="none" w:sz="0" w:space="0" w:color="auto"/>
                            <w:left w:val="none" w:sz="0" w:space="0" w:color="auto"/>
                            <w:bottom w:val="none" w:sz="0" w:space="0" w:color="auto"/>
                            <w:right w:val="none" w:sz="0" w:space="0" w:color="auto"/>
                          </w:divBdr>
                          <w:divsChild>
                            <w:div w:id="54036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394">
      <w:marLeft w:val="0"/>
      <w:marRight w:val="0"/>
      <w:marTop w:val="0"/>
      <w:marBottom w:val="0"/>
      <w:divBdr>
        <w:top w:val="none" w:sz="0" w:space="0" w:color="auto"/>
        <w:left w:val="none" w:sz="0" w:space="0" w:color="auto"/>
        <w:bottom w:val="none" w:sz="0" w:space="0" w:color="auto"/>
        <w:right w:val="none" w:sz="0" w:space="0" w:color="auto"/>
      </w:divBdr>
    </w:div>
    <w:div w:id="540363396">
      <w:marLeft w:val="0"/>
      <w:marRight w:val="0"/>
      <w:marTop w:val="0"/>
      <w:marBottom w:val="0"/>
      <w:divBdr>
        <w:top w:val="none" w:sz="0" w:space="0" w:color="auto"/>
        <w:left w:val="none" w:sz="0" w:space="0" w:color="auto"/>
        <w:bottom w:val="none" w:sz="0" w:space="0" w:color="auto"/>
        <w:right w:val="none" w:sz="0" w:space="0" w:color="auto"/>
      </w:divBdr>
      <w:divsChild>
        <w:div w:id="540363351">
          <w:marLeft w:val="0"/>
          <w:marRight w:val="0"/>
          <w:marTop w:val="0"/>
          <w:marBottom w:val="0"/>
          <w:divBdr>
            <w:top w:val="none" w:sz="0" w:space="0" w:color="auto"/>
            <w:left w:val="none" w:sz="0" w:space="0" w:color="auto"/>
            <w:bottom w:val="none" w:sz="0" w:space="0" w:color="auto"/>
            <w:right w:val="none" w:sz="0" w:space="0" w:color="auto"/>
          </w:divBdr>
          <w:divsChild>
            <w:div w:id="540363379">
              <w:marLeft w:val="0"/>
              <w:marRight w:val="0"/>
              <w:marTop w:val="0"/>
              <w:marBottom w:val="0"/>
              <w:divBdr>
                <w:top w:val="none" w:sz="0" w:space="0" w:color="auto"/>
                <w:left w:val="none" w:sz="0" w:space="0" w:color="auto"/>
                <w:bottom w:val="none" w:sz="0" w:space="0" w:color="auto"/>
                <w:right w:val="none" w:sz="0" w:space="0" w:color="auto"/>
              </w:divBdr>
              <w:divsChild>
                <w:div w:id="540363516">
                  <w:marLeft w:val="0"/>
                  <w:marRight w:val="0"/>
                  <w:marTop w:val="0"/>
                  <w:marBottom w:val="0"/>
                  <w:divBdr>
                    <w:top w:val="none" w:sz="0" w:space="0" w:color="auto"/>
                    <w:left w:val="none" w:sz="0" w:space="0" w:color="auto"/>
                    <w:bottom w:val="none" w:sz="0" w:space="0" w:color="auto"/>
                    <w:right w:val="none" w:sz="0" w:space="0" w:color="auto"/>
                  </w:divBdr>
                  <w:divsChild>
                    <w:div w:id="540363423">
                      <w:marLeft w:val="0"/>
                      <w:marRight w:val="0"/>
                      <w:marTop w:val="0"/>
                      <w:marBottom w:val="0"/>
                      <w:divBdr>
                        <w:top w:val="none" w:sz="0" w:space="0" w:color="auto"/>
                        <w:left w:val="none" w:sz="0" w:space="0" w:color="auto"/>
                        <w:bottom w:val="none" w:sz="0" w:space="0" w:color="auto"/>
                        <w:right w:val="none" w:sz="0" w:space="0" w:color="auto"/>
                      </w:divBdr>
                      <w:divsChild>
                        <w:div w:id="540363345">
                          <w:marLeft w:val="0"/>
                          <w:marRight w:val="0"/>
                          <w:marTop w:val="0"/>
                          <w:marBottom w:val="0"/>
                          <w:divBdr>
                            <w:top w:val="none" w:sz="0" w:space="0" w:color="auto"/>
                            <w:left w:val="none" w:sz="0" w:space="0" w:color="auto"/>
                            <w:bottom w:val="none" w:sz="0" w:space="0" w:color="auto"/>
                            <w:right w:val="none" w:sz="0" w:space="0" w:color="auto"/>
                          </w:divBdr>
                          <w:divsChild>
                            <w:div w:id="5403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04">
      <w:marLeft w:val="0"/>
      <w:marRight w:val="0"/>
      <w:marTop w:val="0"/>
      <w:marBottom w:val="0"/>
      <w:divBdr>
        <w:top w:val="none" w:sz="0" w:space="0" w:color="auto"/>
        <w:left w:val="none" w:sz="0" w:space="0" w:color="auto"/>
        <w:bottom w:val="none" w:sz="0" w:space="0" w:color="auto"/>
        <w:right w:val="none" w:sz="0" w:space="0" w:color="auto"/>
      </w:divBdr>
      <w:divsChild>
        <w:div w:id="540363388">
          <w:marLeft w:val="0"/>
          <w:marRight w:val="0"/>
          <w:marTop w:val="0"/>
          <w:marBottom w:val="0"/>
          <w:divBdr>
            <w:top w:val="none" w:sz="0" w:space="0" w:color="auto"/>
            <w:left w:val="none" w:sz="0" w:space="0" w:color="auto"/>
            <w:bottom w:val="none" w:sz="0" w:space="0" w:color="auto"/>
            <w:right w:val="none" w:sz="0" w:space="0" w:color="auto"/>
          </w:divBdr>
          <w:divsChild>
            <w:div w:id="540363393">
              <w:marLeft w:val="0"/>
              <w:marRight w:val="0"/>
              <w:marTop w:val="0"/>
              <w:marBottom w:val="0"/>
              <w:divBdr>
                <w:top w:val="none" w:sz="0" w:space="0" w:color="auto"/>
                <w:left w:val="none" w:sz="0" w:space="0" w:color="auto"/>
                <w:bottom w:val="none" w:sz="0" w:space="0" w:color="auto"/>
                <w:right w:val="none" w:sz="0" w:space="0" w:color="auto"/>
              </w:divBdr>
              <w:divsChild>
                <w:div w:id="540363454">
                  <w:marLeft w:val="0"/>
                  <w:marRight w:val="0"/>
                  <w:marTop w:val="0"/>
                  <w:marBottom w:val="0"/>
                  <w:divBdr>
                    <w:top w:val="none" w:sz="0" w:space="0" w:color="auto"/>
                    <w:left w:val="none" w:sz="0" w:space="0" w:color="auto"/>
                    <w:bottom w:val="none" w:sz="0" w:space="0" w:color="auto"/>
                    <w:right w:val="none" w:sz="0" w:space="0" w:color="auto"/>
                  </w:divBdr>
                  <w:divsChild>
                    <w:div w:id="540363398">
                      <w:marLeft w:val="0"/>
                      <w:marRight w:val="0"/>
                      <w:marTop w:val="0"/>
                      <w:marBottom w:val="0"/>
                      <w:divBdr>
                        <w:top w:val="none" w:sz="0" w:space="0" w:color="auto"/>
                        <w:left w:val="none" w:sz="0" w:space="0" w:color="auto"/>
                        <w:bottom w:val="none" w:sz="0" w:space="0" w:color="auto"/>
                        <w:right w:val="none" w:sz="0" w:space="0" w:color="auto"/>
                      </w:divBdr>
                      <w:divsChild>
                        <w:div w:id="540363421">
                          <w:marLeft w:val="0"/>
                          <w:marRight w:val="0"/>
                          <w:marTop w:val="0"/>
                          <w:marBottom w:val="0"/>
                          <w:divBdr>
                            <w:top w:val="none" w:sz="0" w:space="0" w:color="auto"/>
                            <w:left w:val="none" w:sz="0" w:space="0" w:color="auto"/>
                            <w:bottom w:val="none" w:sz="0" w:space="0" w:color="auto"/>
                            <w:right w:val="none" w:sz="0" w:space="0" w:color="auto"/>
                          </w:divBdr>
                          <w:divsChild>
                            <w:div w:id="54036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09">
      <w:marLeft w:val="0"/>
      <w:marRight w:val="0"/>
      <w:marTop w:val="0"/>
      <w:marBottom w:val="0"/>
      <w:divBdr>
        <w:top w:val="none" w:sz="0" w:space="0" w:color="auto"/>
        <w:left w:val="none" w:sz="0" w:space="0" w:color="auto"/>
        <w:bottom w:val="none" w:sz="0" w:space="0" w:color="auto"/>
        <w:right w:val="none" w:sz="0" w:space="0" w:color="auto"/>
      </w:divBdr>
      <w:divsChild>
        <w:div w:id="540363504">
          <w:marLeft w:val="0"/>
          <w:marRight w:val="0"/>
          <w:marTop w:val="0"/>
          <w:marBottom w:val="0"/>
          <w:divBdr>
            <w:top w:val="none" w:sz="0" w:space="0" w:color="auto"/>
            <w:left w:val="none" w:sz="0" w:space="0" w:color="auto"/>
            <w:bottom w:val="none" w:sz="0" w:space="0" w:color="auto"/>
            <w:right w:val="none" w:sz="0" w:space="0" w:color="auto"/>
          </w:divBdr>
          <w:divsChild>
            <w:div w:id="540363400">
              <w:marLeft w:val="0"/>
              <w:marRight w:val="0"/>
              <w:marTop w:val="0"/>
              <w:marBottom w:val="0"/>
              <w:divBdr>
                <w:top w:val="none" w:sz="0" w:space="0" w:color="auto"/>
                <w:left w:val="none" w:sz="0" w:space="0" w:color="auto"/>
                <w:bottom w:val="none" w:sz="0" w:space="0" w:color="auto"/>
                <w:right w:val="none" w:sz="0" w:space="0" w:color="auto"/>
              </w:divBdr>
              <w:divsChild>
                <w:div w:id="540363458">
                  <w:marLeft w:val="0"/>
                  <w:marRight w:val="0"/>
                  <w:marTop w:val="0"/>
                  <w:marBottom w:val="0"/>
                  <w:divBdr>
                    <w:top w:val="none" w:sz="0" w:space="0" w:color="auto"/>
                    <w:left w:val="none" w:sz="0" w:space="0" w:color="auto"/>
                    <w:bottom w:val="none" w:sz="0" w:space="0" w:color="auto"/>
                    <w:right w:val="none" w:sz="0" w:space="0" w:color="auto"/>
                  </w:divBdr>
                  <w:divsChild>
                    <w:div w:id="540363385">
                      <w:marLeft w:val="0"/>
                      <w:marRight w:val="0"/>
                      <w:marTop w:val="0"/>
                      <w:marBottom w:val="0"/>
                      <w:divBdr>
                        <w:top w:val="none" w:sz="0" w:space="0" w:color="auto"/>
                        <w:left w:val="none" w:sz="0" w:space="0" w:color="auto"/>
                        <w:bottom w:val="none" w:sz="0" w:space="0" w:color="auto"/>
                        <w:right w:val="none" w:sz="0" w:space="0" w:color="auto"/>
                      </w:divBdr>
                      <w:divsChild>
                        <w:div w:id="540363375">
                          <w:marLeft w:val="0"/>
                          <w:marRight w:val="0"/>
                          <w:marTop w:val="0"/>
                          <w:marBottom w:val="0"/>
                          <w:divBdr>
                            <w:top w:val="none" w:sz="0" w:space="0" w:color="auto"/>
                            <w:left w:val="none" w:sz="0" w:space="0" w:color="auto"/>
                            <w:bottom w:val="none" w:sz="0" w:space="0" w:color="auto"/>
                            <w:right w:val="none" w:sz="0" w:space="0" w:color="auto"/>
                          </w:divBdr>
                          <w:divsChild>
                            <w:div w:id="54036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12">
      <w:marLeft w:val="0"/>
      <w:marRight w:val="0"/>
      <w:marTop w:val="0"/>
      <w:marBottom w:val="0"/>
      <w:divBdr>
        <w:top w:val="none" w:sz="0" w:space="0" w:color="auto"/>
        <w:left w:val="none" w:sz="0" w:space="0" w:color="auto"/>
        <w:bottom w:val="none" w:sz="0" w:space="0" w:color="auto"/>
        <w:right w:val="none" w:sz="0" w:space="0" w:color="auto"/>
      </w:divBdr>
      <w:divsChild>
        <w:div w:id="540363370">
          <w:marLeft w:val="0"/>
          <w:marRight w:val="0"/>
          <w:marTop w:val="0"/>
          <w:marBottom w:val="0"/>
          <w:divBdr>
            <w:top w:val="none" w:sz="0" w:space="0" w:color="auto"/>
            <w:left w:val="none" w:sz="0" w:space="0" w:color="auto"/>
            <w:bottom w:val="none" w:sz="0" w:space="0" w:color="auto"/>
            <w:right w:val="none" w:sz="0" w:space="0" w:color="auto"/>
          </w:divBdr>
          <w:divsChild>
            <w:div w:id="540363356">
              <w:marLeft w:val="0"/>
              <w:marRight w:val="0"/>
              <w:marTop w:val="0"/>
              <w:marBottom w:val="0"/>
              <w:divBdr>
                <w:top w:val="none" w:sz="0" w:space="0" w:color="auto"/>
                <w:left w:val="none" w:sz="0" w:space="0" w:color="auto"/>
                <w:bottom w:val="none" w:sz="0" w:space="0" w:color="auto"/>
                <w:right w:val="none" w:sz="0" w:space="0" w:color="auto"/>
              </w:divBdr>
              <w:divsChild>
                <w:div w:id="540363489">
                  <w:marLeft w:val="0"/>
                  <w:marRight w:val="0"/>
                  <w:marTop w:val="0"/>
                  <w:marBottom w:val="0"/>
                  <w:divBdr>
                    <w:top w:val="none" w:sz="0" w:space="0" w:color="auto"/>
                    <w:left w:val="none" w:sz="0" w:space="0" w:color="auto"/>
                    <w:bottom w:val="none" w:sz="0" w:space="0" w:color="auto"/>
                    <w:right w:val="none" w:sz="0" w:space="0" w:color="auto"/>
                  </w:divBdr>
                  <w:divsChild>
                    <w:div w:id="540363513">
                      <w:marLeft w:val="0"/>
                      <w:marRight w:val="0"/>
                      <w:marTop w:val="0"/>
                      <w:marBottom w:val="0"/>
                      <w:divBdr>
                        <w:top w:val="none" w:sz="0" w:space="0" w:color="auto"/>
                        <w:left w:val="none" w:sz="0" w:space="0" w:color="auto"/>
                        <w:bottom w:val="none" w:sz="0" w:space="0" w:color="auto"/>
                        <w:right w:val="none" w:sz="0" w:space="0" w:color="auto"/>
                      </w:divBdr>
                      <w:divsChild>
                        <w:div w:id="540363452">
                          <w:marLeft w:val="0"/>
                          <w:marRight w:val="0"/>
                          <w:marTop w:val="0"/>
                          <w:marBottom w:val="0"/>
                          <w:divBdr>
                            <w:top w:val="none" w:sz="0" w:space="0" w:color="auto"/>
                            <w:left w:val="none" w:sz="0" w:space="0" w:color="auto"/>
                            <w:bottom w:val="none" w:sz="0" w:space="0" w:color="auto"/>
                            <w:right w:val="none" w:sz="0" w:space="0" w:color="auto"/>
                          </w:divBdr>
                          <w:divsChild>
                            <w:div w:id="5403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19">
      <w:marLeft w:val="0"/>
      <w:marRight w:val="0"/>
      <w:marTop w:val="0"/>
      <w:marBottom w:val="0"/>
      <w:divBdr>
        <w:top w:val="none" w:sz="0" w:space="0" w:color="auto"/>
        <w:left w:val="none" w:sz="0" w:space="0" w:color="auto"/>
        <w:bottom w:val="none" w:sz="0" w:space="0" w:color="auto"/>
        <w:right w:val="none" w:sz="0" w:space="0" w:color="auto"/>
      </w:divBdr>
      <w:divsChild>
        <w:div w:id="540363509">
          <w:marLeft w:val="0"/>
          <w:marRight w:val="0"/>
          <w:marTop w:val="0"/>
          <w:marBottom w:val="0"/>
          <w:divBdr>
            <w:top w:val="none" w:sz="0" w:space="0" w:color="auto"/>
            <w:left w:val="none" w:sz="0" w:space="0" w:color="auto"/>
            <w:bottom w:val="none" w:sz="0" w:space="0" w:color="auto"/>
            <w:right w:val="none" w:sz="0" w:space="0" w:color="auto"/>
          </w:divBdr>
          <w:divsChild>
            <w:div w:id="540363410">
              <w:marLeft w:val="0"/>
              <w:marRight w:val="0"/>
              <w:marTop w:val="0"/>
              <w:marBottom w:val="0"/>
              <w:divBdr>
                <w:top w:val="none" w:sz="0" w:space="0" w:color="auto"/>
                <w:left w:val="none" w:sz="0" w:space="0" w:color="auto"/>
                <w:bottom w:val="none" w:sz="0" w:space="0" w:color="auto"/>
                <w:right w:val="none" w:sz="0" w:space="0" w:color="auto"/>
              </w:divBdr>
              <w:divsChild>
                <w:div w:id="540363369">
                  <w:marLeft w:val="0"/>
                  <w:marRight w:val="0"/>
                  <w:marTop w:val="0"/>
                  <w:marBottom w:val="0"/>
                  <w:divBdr>
                    <w:top w:val="none" w:sz="0" w:space="0" w:color="auto"/>
                    <w:left w:val="none" w:sz="0" w:space="0" w:color="auto"/>
                    <w:bottom w:val="none" w:sz="0" w:space="0" w:color="auto"/>
                    <w:right w:val="none" w:sz="0" w:space="0" w:color="auto"/>
                  </w:divBdr>
                  <w:divsChild>
                    <w:div w:id="540363493">
                      <w:marLeft w:val="0"/>
                      <w:marRight w:val="0"/>
                      <w:marTop w:val="0"/>
                      <w:marBottom w:val="0"/>
                      <w:divBdr>
                        <w:top w:val="none" w:sz="0" w:space="0" w:color="auto"/>
                        <w:left w:val="none" w:sz="0" w:space="0" w:color="auto"/>
                        <w:bottom w:val="none" w:sz="0" w:space="0" w:color="auto"/>
                        <w:right w:val="none" w:sz="0" w:space="0" w:color="auto"/>
                      </w:divBdr>
                      <w:divsChild>
                        <w:div w:id="540363408">
                          <w:marLeft w:val="0"/>
                          <w:marRight w:val="0"/>
                          <w:marTop w:val="0"/>
                          <w:marBottom w:val="0"/>
                          <w:divBdr>
                            <w:top w:val="none" w:sz="0" w:space="0" w:color="auto"/>
                            <w:left w:val="none" w:sz="0" w:space="0" w:color="auto"/>
                            <w:bottom w:val="none" w:sz="0" w:space="0" w:color="auto"/>
                            <w:right w:val="none" w:sz="0" w:space="0" w:color="auto"/>
                          </w:divBdr>
                          <w:divsChild>
                            <w:div w:id="54036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26">
      <w:marLeft w:val="0"/>
      <w:marRight w:val="0"/>
      <w:marTop w:val="0"/>
      <w:marBottom w:val="0"/>
      <w:divBdr>
        <w:top w:val="none" w:sz="0" w:space="0" w:color="auto"/>
        <w:left w:val="none" w:sz="0" w:space="0" w:color="auto"/>
        <w:bottom w:val="none" w:sz="0" w:space="0" w:color="auto"/>
        <w:right w:val="none" w:sz="0" w:space="0" w:color="auto"/>
      </w:divBdr>
    </w:div>
    <w:div w:id="540363430">
      <w:marLeft w:val="0"/>
      <w:marRight w:val="0"/>
      <w:marTop w:val="0"/>
      <w:marBottom w:val="0"/>
      <w:divBdr>
        <w:top w:val="none" w:sz="0" w:space="0" w:color="auto"/>
        <w:left w:val="none" w:sz="0" w:space="0" w:color="auto"/>
        <w:bottom w:val="none" w:sz="0" w:space="0" w:color="auto"/>
        <w:right w:val="none" w:sz="0" w:space="0" w:color="auto"/>
      </w:divBdr>
    </w:div>
    <w:div w:id="540363433">
      <w:marLeft w:val="0"/>
      <w:marRight w:val="0"/>
      <w:marTop w:val="0"/>
      <w:marBottom w:val="0"/>
      <w:divBdr>
        <w:top w:val="none" w:sz="0" w:space="0" w:color="auto"/>
        <w:left w:val="none" w:sz="0" w:space="0" w:color="auto"/>
        <w:bottom w:val="none" w:sz="0" w:space="0" w:color="auto"/>
        <w:right w:val="none" w:sz="0" w:space="0" w:color="auto"/>
      </w:divBdr>
      <w:divsChild>
        <w:div w:id="540363510">
          <w:marLeft w:val="0"/>
          <w:marRight w:val="0"/>
          <w:marTop w:val="0"/>
          <w:marBottom w:val="0"/>
          <w:divBdr>
            <w:top w:val="none" w:sz="0" w:space="0" w:color="auto"/>
            <w:left w:val="none" w:sz="0" w:space="0" w:color="auto"/>
            <w:bottom w:val="none" w:sz="0" w:space="0" w:color="auto"/>
            <w:right w:val="none" w:sz="0" w:space="0" w:color="auto"/>
          </w:divBdr>
          <w:divsChild>
            <w:div w:id="540363506">
              <w:marLeft w:val="0"/>
              <w:marRight w:val="0"/>
              <w:marTop w:val="0"/>
              <w:marBottom w:val="0"/>
              <w:divBdr>
                <w:top w:val="none" w:sz="0" w:space="0" w:color="auto"/>
                <w:left w:val="none" w:sz="0" w:space="0" w:color="auto"/>
                <w:bottom w:val="none" w:sz="0" w:space="0" w:color="auto"/>
                <w:right w:val="none" w:sz="0" w:space="0" w:color="auto"/>
              </w:divBdr>
              <w:divsChild>
                <w:div w:id="540363508">
                  <w:marLeft w:val="0"/>
                  <w:marRight w:val="0"/>
                  <w:marTop w:val="0"/>
                  <w:marBottom w:val="0"/>
                  <w:divBdr>
                    <w:top w:val="none" w:sz="0" w:space="0" w:color="auto"/>
                    <w:left w:val="none" w:sz="0" w:space="0" w:color="auto"/>
                    <w:bottom w:val="none" w:sz="0" w:space="0" w:color="auto"/>
                    <w:right w:val="none" w:sz="0" w:space="0" w:color="auto"/>
                  </w:divBdr>
                  <w:divsChild>
                    <w:div w:id="540363448">
                      <w:marLeft w:val="0"/>
                      <w:marRight w:val="0"/>
                      <w:marTop w:val="0"/>
                      <w:marBottom w:val="0"/>
                      <w:divBdr>
                        <w:top w:val="none" w:sz="0" w:space="0" w:color="auto"/>
                        <w:left w:val="none" w:sz="0" w:space="0" w:color="auto"/>
                        <w:bottom w:val="none" w:sz="0" w:space="0" w:color="auto"/>
                        <w:right w:val="none" w:sz="0" w:space="0" w:color="auto"/>
                      </w:divBdr>
                      <w:divsChild>
                        <w:div w:id="540363488">
                          <w:marLeft w:val="0"/>
                          <w:marRight w:val="0"/>
                          <w:marTop w:val="0"/>
                          <w:marBottom w:val="0"/>
                          <w:divBdr>
                            <w:top w:val="none" w:sz="0" w:space="0" w:color="auto"/>
                            <w:left w:val="none" w:sz="0" w:space="0" w:color="auto"/>
                            <w:bottom w:val="none" w:sz="0" w:space="0" w:color="auto"/>
                            <w:right w:val="none" w:sz="0" w:space="0" w:color="auto"/>
                          </w:divBdr>
                          <w:divsChild>
                            <w:div w:id="54036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34">
      <w:marLeft w:val="0"/>
      <w:marRight w:val="0"/>
      <w:marTop w:val="0"/>
      <w:marBottom w:val="0"/>
      <w:divBdr>
        <w:top w:val="none" w:sz="0" w:space="0" w:color="auto"/>
        <w:left w:val="none" w:sz="0" w:space="0" w:color="auto"/>
        <w:bottom w:val="none" w:sz="0" w:space="0" w:color="auto"/>
        <w:right w:val="none" w:sz="0" w:space="0" w:color="auto"/>
      </w:divBdr>
      <w:divsChild>
        <w:div w:id="540363377">
          <w:marLeft w:val="0"/>
          <w:marRight w:val="0"/>
          <w:marTop w:val="0"/>
          <w:marBottom w:val="0"/>
          <w:divBdr>
            <w:top w:val="none" w:sz="0" w:space="0" w:color="auto"/>
            <w:left w:val="none" w:sz="0" w:space="0" w:color="auto"/>
            <w:bottom w:val="none" w:sz="0" w:space="0" w:color="auto"/>
            <w:right w:val="none" w:sz="0" w:space="0" w:color="auto"/>
          </w:divBdr>
          <w:divsChild>
            <w:div w:id="540363498">
              <w:marLeft w:val="0"/>
              <w:marRight w:val="0"/>
              <w:marTop w:val="0"/>
              <w:marBottom w:val="0"/>
              <w:divBdr>
                <w:top w:val="none" w:sz="0" w:space="0" w:color="auto"/>
                <w:left w:val="none" w:sz="0" w:space="0" w:color="auto"/>
                <w:bottom w:val="none" w:sz="0" w:space="0" w:color="auto"/>
                <w:right w:val="none" w:sz="0" w:space="0" w:color="auto"/>
              </w:divBdr>
              <w:divsChild>
                <w:div w:id="540363384">
                  <w:marLeft w:val="0"/>
                  <w:marRight w:val="0"/>
                  <w:marTop w:val="0"/>
                  <w:marBottom w:val="0"/>
                  <w:divBdr>
                    <w:top w:val="none" w:sz="0" w:space="0" w:color="auto"/>
                    <w:left w:val="none" w:sz="0" w:space="0" w:color="auto"/>
                    <w:bottom w:val="none" w:sz="0" w:space="0" w:color="auto"/>
                    <w:right w:val="none" w:sz="0" w:space="0" w:color="auto"/>
                  </w:divBdr>
                  <w:divsChild>
                    <w:div w:id="540363371">
                      <w:marLeft w:val="0"/>
                      <w:marRight w:val="0"/>
                      <w:marTop w:val="0"/>
                      <w:marBottom w:val="0"/>
                      <w:divBdr>
                        <w:top w:val="none" w:sz="0" w:space="0" w:color="auto"/>
                        <w:left w:val="none" w:sz="0" w:space="0" w:color="auto"/>
                        <w:bottom w:val="none" w:sz="0" w:space="0" w:color="auto"/>
                        <w:right w:val="none" w:sz="0" w:space="0" w:color="auto"/>
                      </w:divBdr>
                      <w:divsChild>
                        <w:div w:id="540363480">
                          <w:marLeft w:val="0"/>
                          <w:marRight w:val="0"/>
                          <w:marTop w:val="0"/>
                          <w:marBottom w:val="0"/>
                          <w:divBdr>
                            <w:top w:val="none" w:sz="0" w:space="0" w:color="auto"/>
                            <w:left w:val="none" w:sz="0" w:space="0" w:color="auto"/>
                            <w:bottom w:val="none" w:sz="0" w:space="0" w:color="auto"/>
                            <w:right w:val="none" w:sz="0" w:space="0" w:color="auto"/>
                          </w:divBdr>
                          <w:divsChild>
                            <w:div w:id="5403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35">
      <w:marLeft w:val="0"/>
      <w:marRight w:val="0"/>
      <w:marTop w:val="0"/>
      <w:marBottom w:val="0"/>
      <w:divBdr>
        <w:top w:val="none" w:sz="0" w:space="0" w:color="auto"/>
        <w:left w:val="none" w:sz="0" w:space="0" w:color="auto"/>
        <w:bottom w:val="none" w:sz="0" w:space="0" w:color="auto"/>
        <w:right w:val="none" w:sz="0" w:space="0" w:color="auto"/>
      </w:divBdr>
    </w:div>
    <w:div w:id="540363442">
      <w:marLeft w:val="0"/>
      <w:marRight w:val="0"/>
      <w:marTop w:val="0"/>
      <w:marBottom w:val="0"/>
      <w:divBdr>
        <w:top w:val="none" w:sz="0" w:space="0" w:color="auto"/>
        <w:left w:val="none" w:sz="0" w:space="0" w:color="auto"/>
        <w:bottom w:val="none" w:sz="0" w:space="0" w:color="auto"/>
        <w:right w:val="none" w:sz="0" w:space="0" w:color="auto"/>
      </w:divBdr>
    </w:div>
    <w:div w:id="540363451">
      <w:marLeft w:val="0"/>
      <w:marRight w:val="0"/>
      <w:marTop w:val="0"/>
      <w:marBottom w:val="0"/>
      <w:divBdr>
        <w:top w:val="none" w:sz="0" w:space="0" w:color="auto"/>
        <w:left w:val="none" w:sz="0" w:space="0" w:color="auto"/>
        <w:bottom w:val="none" w:sz="0" w:space="0" w:color="auto"/>
        <w:right w:val="none" w:sz="0" w:space="0" w:color="auto"/>
      </w:divBdr>
      <w:divsChild>
        <w:div w:id="540363339">
          <w:marLeft w:val="0"/>
          <w:marRight w:val="0"/>
          <w:marTop w:val="0"/>
          <w:marBottom w:val="0"/>
          <w:divBdr>
            <w:top w:val="none" w:sz="0" w:space="0" w:color="auto"/>
            <w:left w:val="none" w:sz="0" w:space="0" w:color="auto"/>
            <w:bottom w:val="none" w:sz="0" w:space="0" w:color="auto"/>
            <w:right w:val="none" w:sz="0" w:space="0" w:color="auto"/>
          </w:divBdr>
          <w:divsChild>
            <w:div w:id="540363387">
              <w:marLeft w:val="0"/>
              <w:marRight w:val="0"/>
              <w:marTop w:val="0"/>
              <w:marBottom w:val="0"/>
              <w:divBdr>
                <w:top w:val="none" w:sz="0" w:space="0" w:color="auto"/>
                <w:left w:val="none" w:sz="0" w:space="0" w:color="auto"/>
                <w:bottom w:val="none" w:sz="0" w:space="0" w:color="auto"/>
                <w:right w:val="none" w:sz="0" w:space="0" w:color="auto"/>
              </w:divBdr>
              <w:divsChild>
                <w:div w:id="540363391">
                  <w:marLeft w:val="0"/>
                  <w:marRight w:val="0"/>
                  <w:marTop w:val="0"/>
                  <w:marBottom w:val="0"/>
                  <w:divBdr>
                    <w:top w:val="none" w:sz="0" w:space="0" w:color="auto"/>
                    <w:left w:val="none" w:sz="0" w:space="0" w:color="auto"/>
                    <w:bottom w:val="none" w:sz="0" w:space="0" w:color="auto"/>
                    <w:right w:val="none" w:sz="0" w:space="0" w:color="auto"/>
                  </w:divBdr>
                  <w:divsChild>
                    <w:div w:id="540363446">
                      <w:marLeft w:val="0"/>
                      <w:marRight w:val="0"/>
                      <w:marTop w:val="0"/>
                      <w:marBottom w:val="0"/>
                      <w:divBdr>
                        <w:top w:val="none" w:sz="0" w:space="0" w:color="auto"/>
                        <w:left w:val="none" w:sz="0" w:space="0" w:color="auto"/>
                        <w:bottom w:val="none" w:sz="0" w:space="0" w:color="auto"/>
                        <w:right w:val="none" w:sz="0" w:space="0" w:color="auto"/>
                      </w:divBdr>
                      <w:divsChild>
                        <w:div w:id="540363499">
                          <w:marLeft w:val="0"/>
                          <w:marRight w:val="0"/>
                          <w:marTop w:val="0"/>
                          <w:marBottom w:val="0"/>
                          <w:divBdr>
                            <w:top w:val="none" w:sz="0" w:space="0" w:color="auto"/>
                            <w:left w:val="none" w:sz="0" w:space="0" w:color="auto"/>
                            <w:bottom w:val="none" w:sz="0" w:space="0" w:color="auto"/>
                            <w:right w:val="none" w:sz="0" w:space="0" w:color="auto"/>
                          </w:divBdr>
                          <w:divsChild>
                            <w:div w:id="54036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55">
      <w:marLeft w:val="0"/>
      <w:marRight w:val="0"/>
      <w:marTop w:val="0"/>
      <w:marBottom w:val="0"/>
      <w:divBdr>
        <w:top w:val="none" w:sz="0" w:space="0" w:color="auto"/>
        <w:left w:val="none" w:sz="0" w:space="0" w:color="auto"/>
        <w:bottom w:val="none" w:sz="0" w:space="0" w:color="auto"/>
        <w:right w:val="none" w:sz="0" w:space="0" w:color="auto"/>
      </w:divBdr>
      <w:divsChild>
        <w:div w:id="540363362">
          <w:marLeft w:val="0"/>
          <w:marRight w:val="0"/>
          <w:marTop w:val="0"/>
          <w:marBottom w:val="0"/>
          <w:divBdr>
            <w:top w:val="none" w:sz="0" w:space="0" w:color="auto"/>
            <w:left w:val="none" w:sz="0" w:space="0" w:color="auto"/>
            <w:bottom w:val="none" w:sz="0" w:space="0" w:color="auto"/>
            <w:right w:val="none" w:sz="0" w:space="0" w:color="auto"/>
          </w:divBdr>
          <w:divsChild>
            <w:div w:id="540363518">
              <w:marLeft w:val="0"/>
              <w:marRight w:val="0"/>
              <w:marTop w:val="0"/>
              <w:marBottom w:val="0"/>
              <w:divBdr>
                <w:top w:val="none" w:sz="0" w:space="0" w:color="auto"/>
                <w:left w:val="none" w:sz="0" w:space="0" w:color="auto"/>
                <w:bottom w:val="none" w:sz="0" w:space="0" w:color="auto"/>
                <w:right w:val="none" w:sz="0" w:space="0" w:color="auto"/>
              </w:divBdr>
              <w:divsChild>
                <w:div w:id="540363495">
                  <w:marLeft w:val="0"/>
                  <w:marRight w:val="0"/>
                  <w:marTop w:val="0"/>
                  <w:marBottom w:val="0"/>
                  <w:divBdr>
                    <w:top w:val="none" w:sz="0" w:space="0" w:color="auto"/>
                    <w:left w:val="none" w:sz="0" w:space="0" w:color="auto"/>
                    <w:bottom w:val="none" w:sz="0" w:space="0" w:color="auto"/>
                    <w:right w:val="none" w:sz="0" w:space="0" w:color="auto"/>
                  </w:divBdr>
                  <w:divsChild>
                    <w:div w:id="540363415">
                      <w:marLeft w:val="0"/>
                      <w:marRight w:val="0"/>
                      <w:marTop w:val="0"/>
                      <w:marBottom w:val="0"/>
                      <w:divBdr>
                        <w:top w:val="none" w:sz="0" w:space="0" w:color="auto"/>
                        <w:left w:val="none" w:sz="0" w:space="0" w:color="auto"/>
                        <w:bottom w:val="none" w:sz="0" w:space="0" w:color="auto"/>
                        <w:right w:val="none" w:sz="0" w:space="0" w:color="auto"/>
                      </w:divBdr>
                      <w:divsChild>
                        <w:div w:id="540363479">
                          <w:marLeft w:val="0"/>
                          <w:marRight w:val="0"/>
                          <w:marTop w:val="0"/>
                          <w:marBottom w:val="0"/>
                          <w:divBdr>
                            <w:top w:val="none" w:sz="0" w:space="0" w:color="auto"/>
                            <w:left w:val="none" w:sz="0" w:space="0" w:color="auto"/>
                            <w:bottom w:val="none" w:sz="0" w:space="0" w:color="auto"/>
                            <w:right w:val="none" w:sz="0" w:space="0" w:color="auto"/>
                          </w:divBdr>
                          <w:divsChild>
                            <w:div w:id="54036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59">
      <w:marLeft w:val="0"/>
      <w:marRight w:val="0"/>
      <w:marTop w:val="0"/>
      <w:marBottom w:val="0"/>
      <w:divBdr>
        <w:top w:val="none" w:sz="0" w:space="0" w:color="auto"/>
        <w:left w:val="none" w:sz="0" w:space="0" w:color="auto"/>
        <w:bottom w:val="none" w:sz="0" w:space="0" w:color="auto"/>
        <w:right w:val="none" w:sz="0" w:space="0" w:color="auto"/>
      </w:divBdr>
      <w:divsChild>
        <w:div w:id="540363399">
          <w:marLeft w:val="0"/>
          <w:marRight w:val="0"/>
          <w:marTop w:val="0"/>
          <w:marBottom w:val="0"/>
          <w:divBdr>
            <w:top w:val="none" w:sz="0" w:space="0" w:color="auto"/>
            <w:left w:val="none" w:sz="0" w:space="0" w:color="auto"/>
            <w:bottom w:val="none" w:sz="0" w:space="0" w:color="auto"/>
            <w:right w:val="none" w:sz="0" w:space="0" w:color="auto"/>
          </w:divBdr>
          <w:divsChild>
            <w:div w:id="540363466">
              <w:marLeft w:val="0"/>
              <w:marRight w:val="0"/>
              <w:marTop w:val="0"/>
              <w:marBottom w:val="0"/>
              <w:divBdr>
                <w:top w:val="none" w:sz="0" w:space="0" w:color="auto"/>
                <w:left w:val="none" w:sz="0" w:space="0" w:color="auto"/>
                <w:bottom w:val="none" w:sz="0" w:space="0" w:color="auto"/>
                <w:right w:val="none" w:sz="0" w:space="0" w:color="auto"/>
              </w:divBdr>
              <w:divsChild>
                <w:div w:id="540363445">
                  <w:marLeft w:val="0"/>
                  <w:marRight w:val="0"/>
                  <w:marTop w:val="0"/>
                  <w:marBottom w:val="0"/>
                  <w:divBdr>
                    <w:top w:val="none" w:sz="0" w:space="0" w:color="auto"/>
                    <w:left w:val="none" w:sz="0" w:space="0" w:color="auto"/>
                    <w:bottom w:val="none" w:sz="0" w:space="0" w:color="auto"/>
                    <w:right w:val="none" w:sz="0" w:space="0" w:color="auto"/>
                  </w:divBdr>
                  <w:divsChild>
                    <w:div w:id="540363367">
                      <w:marLeft w:val="0"/>
                      <w:marRight w:val="0"/>
                      <w:marTop w:val="0"/>
                      <w:marBottom w:val="0"/>
                      <w:divBdr>
                        <w:top w:val="none" w:sz="0" w:space="0" w:color="auto"/>
                        <w:left w:val="none" w:sz="0" w:space="0" w:color="auto"/>
                        <w:bottom w:val="none" w:sz="0" w:space="0" w:color="auto"/>
                        <w:right w:val="none" w:sz="0" w:space="0" w:color="auto"/>
                      </w:divBdr>
                      <w:divsChild>
                        <w:div w:id="540363512">
                          <w:marLeft w:val="0"/>
                          <w:marRight w:val="0"/>
                          <w:marTop w:val="0"/>
                          <w:marBottom w:val="0"/>
                          <w:divBdr>
                            <w:top w:val="none" w:sz="0" w:space="0" w:color="auto"/>
                            <w:left w:val="none" w:sz="0" w:space="0" w:color="auto"/>
                            <w:bottom w:val="none" w:sz="0" w:space="0" w:color="auto"/>
                            <w:right w:val="none" w:sz="0" w:space="0" w:color="auto"/>
                          </w:divBdr>
                          <w:divsChild>
                            <w:div w:id="54036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62">
      <w:marLeft w:val="0"/>
      <w:marRight w:val="0"/>
      <w:marTop w:val="0"/>
      <w:marBottom w:val="0"/>
      <w:divBdr>
        <w:top w:val="none" w:sz="0" w:space="0" w:color="auto"/>
        <w:left w:val="none" w:sz="0" w:space="0" w:color="auto"/>
        <w:bottom w:val="none" w:sz="0" w:space="0" w:color="auto"/>
        <w:right w:val="none" w:sz="0" w:space="0" w:color="auto"/>
      </w:divBdr>
      <w:divsChild>
        <w:div w:id="540363382">
          <w:marLeft w:val="0"/>
          <w:marRight w:val="0"/>
          <w:marTop w:val="0"/>
          <w:marBottom w:val="0"/>
          <w:divBdr>
            <w:top w:val="none" w:sz="0" w:space="0" w:color="auto"/>
            <w:left w:val="none" w:sz="0" w:space="0" w:color="auto"/>
            <w:bottom w:val="none" w:sz="0" w:space="0" w:color="auto"/>
            <w:right w:val="none" w:sz="0" w:space="0" w:color="auto"/>
          </w:divBdr>
          <w:divsChild>
            <w:div w:id="540363429">
              <w:marLeft w:val="0"/>
              <w:marRight w:val="0"/>
              <w:marTop w:val="0"/>
              <w:marBottom w:val="0"/>
              <w:divBdr>
                <w:top w:val="none" w:sz="0" w:space="0" w:color="auto"/>
                <w:left w:val="none" w:sz="0" w:space="0" w:color="auto"/>
                <w:bottom w:val="none" w:sz="0" w:space="0" w:color="auto"/>
                <w:right w:val="none" w:sz="0" w:space="0" w:color="auto"/>
              </w:divBdr>
              <w:divsChild>
                <w:div w:id="540363373">
                  <w:marLeft w:val="0"/>
                  <w:marRight w:val="0"/>
                  <w:marTop w:val="0"/>
                  <w:marBottom w:val="0"/>
                  <w:divBdr>
                    <w:top w:val="none" w:sz="0" w:space="0" w:color="auto"/>
                    <w:left w:val="none" w:sz="0" w:space="0" w:color="auto"/>
                    <w:bottom w:val="none" w:sz="0" w:space="0" w:color="auto"/>
                    <w:right w:val="none" w:sz="0" w:space="0" w:color="auto"/>
                  </w:divBdr>
                  <w:divsChild>
                    <w:div w:id="540363341">
                      <w:marLeft w:val="0"/>
                      <w:marRight w:val="0"/>
                      <w:marTop w:val="0"/>
                      <w:marBottom w:val="0"/>
                      <w:divBdr>
                        <w:top w:val="none" w:sz="0" w:space="0" w:color="auto"/>
                        <w:left w:val="none" w:sz="0" w:space="0" w:color="auto"/>
                        <w:bottom w:val="none" w:sz="0" w:space="0" w:color="auto"/>
                        <w:right w:val="none" w:sz="0" w:space="0" w:color="auto"/>
                      </w:divBdr>
                      <w:divsChild>
                        <w:div w:id="540363349">
                          <w:marLeft w:val="0"/>
                          <w:marRight w:val="0"/>
                          <w:marTop w:val="0"/>
                          <w:marBottom w:val="0"/>
                          <w:divBdr>
                            <w:top w:val="none" w:sz="0" w:space="0" w:color="auto"/>
                            <w:left w:val="none" w:sz="0" w:space="0" w:color="auto"/>
                            <w:bottom w:val="none" w:sz="0" w:space="0" w:color="auto"/>
                            <w:right w:val="none" w:sz="0" w:space="0" w:color="auto"/>
                          </w:divBdr>
                          <w:divsChild>
                            <w:div w:id="54036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63">
      <w:marLeft w:val="0"/>
      <w:marRight w:val="0"/>
      <w:marTop w:val="0"/>
      <w:marBottom w:val="0"/>
      <w:divBdr>
        <w:top w:val="none" w:sz="0" w:space="0" w:color="auto"/>
        <w:left w:val="none" w:sz="0" w:space="0" w:color="auto"/>
        <w:bottom w:val="none" w:sz="0" w:space="0" w:color="auto"/>
        <w:right w:val="none" w:sz="0" w:space="0" w:color="auto"/>
      </w:divBdr>
      <w:divsChild>
        <w:div w:id="540363432">
          <w:marLeft w:val="0"/>
          <w:marRight w:val="0"/>
          <w:marTop w:val="0"/>
          <w:marBottom w:val="0"/>
          <w:divBdr>
            <w:top w:val="none" w:sz="0" w:space="0" w:color="auto"/>
            <w:left w:val="none" w:sz="0" w:space="0" w:color="auto"/>
            <w:bottom w:val="none" w:sz="0" w:space="0" w:color="auto"/>
            <w:right w:val="none" w:sz="0" w:space="0" w:color="auto"/>
          </w:divBdr>
          <w:divsChild>
            <w:div w:id="540363475">
              <w:marLeft w:val="0"/>
              <w:marRight w:val="0"/>
              <w:marTop w:val="0"/>
              <w:marBottom w:val="0"/>
              <w:divBdr>
                <w:top w:val="none" w:sz="0" w:space="0" w:color="auto"/>
                <w:left w:val="none" w:sz="0" w:space="0" w:color="auto"/>
                <w:bottom w:val="none" w:sz="0" w:space="0" w:color="auto"/>
                <w:right w:val="none" w:sz="0" w:space="0" w:color="auto"/>
              </w:divBdr>
              <w:divsChild>
                <w:div w:id="540363364">
                  <w:marLeft w:val="0"/>
                  <w:marRight w:val="0"/>
                  <w:marTop w:val="0"/>
                  <w:marBottom w:val="0"/>
                  <w:divBdr>
                    <w:top w:val="none" w:sz="0" w:space="0" w:color="auto"/>
                    <w:left w:val="none" w:sz="0" w:space="0" w:color="auto"/>
                    <w:bottom w:val="none" w:sz="0" w:space="0" w:color="auto"/>
                    <w:right w:val="none" w:sz="0" w:space="0" w:color="auto"/>
                  </w:divBdr>
                  <w:divsChild>
                    <w:div w:id="540363460">
                      <w:marLeft w:val="0"/>
                      <w:marRight w:val="0"/>
                      <w:marTop w:val="0"/>
                      <w:marBottom w:val="0"/>
                      <w:divBdr>
                        <w:top w:val="none" w:sz="0" w:space="0" w:color="auto"/>
                        <w:left w:val="none" w:sz="0" w:space="0" w:color="auto"/>
                        <w:bottom w:val="none" w:sz="0" w:space="0" w:color="auto"/>
                        <w:right w:val="none" w:sz="0" w:space="0" w:color="auto"/>
                      </w:divBdr>
                      <w:divsChild>
                        <w:div w:id="540363365">
                          <w:marLeft w:val="0"/>
                          <w:marRight w:val="0"/>
                          <w:marTop w:val="0"/>
                          <w:marBottom w:val="0"/>
                          <w:divBdr>
                            <w:top w:val="none" w:sz="0" w:space="0" w:color="auto"/>
                            <w:left w:val="none" w:sz="0" w:space="0" w:color="auto"/>
                            <w:bottom w:val="none" w:sz="0" w:space="0" w:color="auto"/>
                            <w:right w:val="none" w:sz="0" w:space="0" w:color="auto"/>
                          </w:divBdr>
                          <w:divsChild>
                            <w:div w:id="54036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71">
      <w:marLeft w:val="0"/>
      <w:marRight w:val="0"/>
      <w:marTop w:val="0"/>
      <w:marBottom w:val="0"/>
      <w:divBdr>
        <w:top w:val="none" w:sz="0" w:space="0" w:color="auto"/>
        <w:left w:val="none" w:sz="0" w:space="0" w:color="auto"/>
        <w:bottom w:val="none" w:sz="0" w:space="0" w:color="auto"/>
        <w:right w:val="none" w:sz="0" w:space="0" w:color="auto"/>
      </w:divBdr>
    </w:div>
    <w:div w:id="540363474">
      <w:marLeft w:val="0"/>
      <w:marRight w:val="0"/>
      <w:marTop w:val="0"/>
      <w:marBottom w:val="0"/>
      <w:divBdr>
        <w:top w:val="none" w:sz="0" w:space="0" w:color="auto"/>
        <w:left w:val="none" w:sz="0" w:space="0" w:color="auto"/>
        <w:bottom w:val="none" w:sz="0" w:space="0" w:color="auto"/>
        <w:right w:val="none" w:sz="0" w:space="0" w:color="auto"/>
      </w:divBdr>
    </w:div>
    <w:div w:id="540363478">
      <w:marLeft w:val="0"/>
      <w:marRight w:val="0"/>
      <w:marTop w:val="0"/>
      <w:marBottom w:val="0"/>
      <w:divBdr>
        <w:top w:val="none" w:sz="0" w:space="0" w:color="auto"/>
        <w:left w:val="none" w:sz="0" w:space="0" w:color="auto"/>
        <w:bottom w:val="none" w:sz="0" w:space="0" w:color="auto"/>
        <w:right w:val="none" w:sz="0" w:space="0" w:color="auto"/>
      </w:divBdr>
      <w:divsChild>
        <w:div w:id="540363476">
          <w:marLeft w:val="0"/>
          <w:marRight w:val="0"/>
          <w:marTop w:val="0"/>
          <w:marBottom w:val="0"/>
          <w:divBdr>
            <w:top w:val="none" w:sz="0" w:space="0" w:color="auto"/>
            <w:left w:val="none" w:sz="0" w:space="0" w:color="auto"/>
            <w:bottom w:val="none" w:sz="0" w:space="0" w:color="auto"/>
            <w:right w:val="none" w:sz="0" w:space="0" w:color="auto"/>
          </w:divBdr>
          <w:divsChild>
            <w:div w:id="540363389">
              <w:marLeft w:val="0"/>
              <w:marRight w:val="0"/>
              <w:marTop w:val="0"/>
              <w:marBottom w:val="0"/>
              <w:divBdr>
                <w:top w:val="none" w:sz="0" w:space="0" w:color="auto"/>
                <w:left w:val="none" w:sz="0" w:space="0" w:color="auto"/>
                <w:bottom w:val="none" w:sz="0" w:space="0" w:color="auto"/>
                <w:right w:val="none" w:sz="0" w:space="0" w:color="auto"/>
              </w:divBdr>
              <w:divsChild>
                <w:div w:id="540363453">
                  <w:marLeft w:val="0"/>
                  <w:marRight w:val="0"/>
                  <w:marTop w:val="0"/>
                  <w:marBottom w:val="0"/>
                  <w:divBdr>
                    <w:top w:val="none" w:sz="0" w:space="0" w:color="auto"/>
                    <w:left w:val="none" w:sz="0" w:space="0" w:color="auto"/>
                    <w:bottom w:val="none" w:sz="0" w:space="0" w:color="auto"/>
                    <w:right w:val="none" w:sz="0" w:space="0" w:color="auto"/>
                  </w:divBdr>
                  <w:divsChild>
                    <w:div w:id="540363417">
                      <w:marLeft w:val="0"/>
                      <w:marRight w:val="0"/>
                      <w:marTop w:val="0"/>
                      <w:marBottom w:val="0"/>
                      <w:divBdr>
                        <w:top w:val="none" w:sz="0" w:space="0" w:color="auto"/>
                        <w:left w:val="none" w:sz="0" w:space="0" w:color="auto"/>
                        <w:bottom w:val="none" w:sz="0" w:space="0" w:color="auto"/>
                        <w:right w:val="none" w:sz="0" w:space="0" w:color="auto"/>
                      </w:divBdr>
                      <w:divsChild>
                        <w:div w:id="540363439">
                          <w:marLeft w:val="0"/>
                          <w:marRight w:val="0"/>
                          <w:marTop w:val="0"/>
                          <w:marBottom w:val="0"/>
                          <w:divBdr>
                            <w:top w:val="none" w:sz="0" w:space="0" w:color="auto"/>
                            <w:left w:val="none" w:sz="0" w:space="0" w:color="auto"/>
                            <w:bottom w:val="none" w:sz="0" w:space="0" w:color="auto"/>
                            <w:right w:val="none" w:sz="0" w:space="0" w:color="auto"/>
                          </w:divBdr>
                          <w:divsChild>
                            <w:div w:id="54036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82">
      <w:marLeft w:val="0"/>
      <w:marRight w:val="0"/>
      <w:marTop w:val="0"/>
      <w:marBottom w:val="0"/>
      <w:divBdr>
        <w:top w:val="none" w:sz="0" w:space="0" w:color="auto"/>
        <w:left w:val="none" w:sz="0" w:space="0" w:color="auto"/>
        <w:bottom w:val="none" w:sz="0" w:space="0" w:color="auto"/>
        <w:right w:val="none" w:sz="0" w:space="0" w:color="auto"/>
      </w:divBdr>
    </w:div>
    <w:div w:id="540363483">
      <w:marLeft w:val="0"/>
      <w:marRight w:val="0"/>
      <w:marTop w:val="0"/>
      <w:marBottom w:val="0"/>
      <w:divBdr>
        <w:top w:val="none" w:sz="0" w:space="0" w:color="auto"/>
        <w:left w:val="none" w:sz="0" w:space="0" w:color="auto"/>
        <w:bottom w:val="none" w:sz="0" w:space="0" w:color="auto"/>
        <w:right w:val="none" w:sz="0" w:space="0" w:color="auto"/>
      </w:divBdr>
      <w:divsChild>
        <w:div w:id="540363511">
          <w:marLeft w:val="0"/>
          <w:marRight w:val="0"/>
          <w:marTop w:val="0"/>
          <w:marBottom w:val="0"/>
          <w:divBdr>
            <w:top w:val="none" w:sz="0" w:space="0" w:color="auto"/>
            <w:left w:val="none" w:sz="0" w:space="0" w:color="auto"/>
            <w:bottom w:val="none" w:sz="0" w:space="0" w:color="auto"/>
            <w:right w:val="none" w:sz="0" w:space="0" w:color="auto"/>
          </w:divBdr>
          <w:divsChild>
            <w:div w:id="540363413">
              <w:marLeft w:val="0"/>
              <w:marRight w:val="0"/>
              <w:marTop w:val="0"/>
              <w:marBottom w:val="0"/>
              <w:divBdr>
                <w:top w:val="none" w:sz="0" w:space="0" w:color="auto"/>
                <w:left w:val="none" w:sz="0" w:space="0" w:color="auto"/>
                <w:bottom w:val="none" w:sz="0" w:space="0" w:color="auto"/>
                <w:right w:val="none" w:sz="0" w:space="0" w:color="auto"/>
              </w:divBdr>
              <w:divsChild>
                <w:div w:id="540363386">
                  <w:marLeft w:val="0"/>
                  <w:marRight w:val="0"/>
                  <w:marTop w:val="0"/>
                  <w:marBottom w:val="0"/>
                  <w:divBdr>
                    <w:top w:val="none" w:sz="0" w:space="0" w:color="auto"/>
                    <w:left w:val="none" w:sz="0" w:space="0" w:color="auto"/>
                    <w:bottom w:val="none" w:sz="0" w:space="0" w:color="auto"/>
                    <w:right w:val="none" w:sz="0" w:space="0" w:color="auto"/>
                  </w:divBdr>
                  <w:divsChild>
                    <w:div w:id="540363383">
                      <w:marLeft w:val="0"/>
                      <w:marRight w:val="0"/>
                      <w:marTop w:val="0"/>
                      <w:marBottom w:val="0"/>
                      <w:divBdr>
                        <w:top w:val="none" w:sz="0" w:space="0" w:color="auto"/>
                        <w:left w:val="none" w:sz="0" w:space="0" w:color="auto"/>
                        <w:bottom w:val="none" w:sz="0" w:space="0" w:color="auto"/>
                        <w:right w:val="none" w:sz="0" w:space="0" w:color="auto"/>
                      </w:divBdr>
                      <w:divsChild>
                        <w:div w:id="540363357">
                          <w:marLeft w:val="0"/>
                          <w:marRight w:val="0"/>
                          <w:marTop w:val="0"/>
                          <w:marBottom w:val="0"/>
                          <w:divBdr>
                            <w:top w:val="none" w:sz="0" w:space="0" w:color="auto"/>
                            <w:left w:val="none" w:sz="0" w:space="0" w:color="auto"/>
                            <w:bottom w:val="none" w:sz="0" w:space="0" w:color="auto"/>
                            <w:right w:val="none" w:sz="0" w:space="0" w:color="auto"/>
                          </w:divBdr>
                          <w:divsChild>
                            <w:div w:id="5403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94">
      <w:marLeft w:val="0"/>
      <w:marRight w:val="0"/>
      <w:marTop w:val="0"/>
      <w:marBottom w:val="0"/>
      <w:divBdr>
        <w:top w:val="none" w:sz="0" w:space="0" w:color="auto"/>
        <w:left w:val="none" w:sz="0" w:space="0" w:color="auto"/>
        <w:bottom w:val="none" w:sz="0" w:space="0" w:color="auto"/>
        <w:right w:val="none" w:sz="0" w:space="0" w:color="auto"/>
      </w:divBdr>
      <w:divsChild>
        <w:div w:id="540363443">
          <w:marLeft w:val="0"/>
          <w:marRight w:val="0"/>
          <w:marTop w:val="0"/>
          <w:marBottom w:val="0"/>
          <w:divBdr>
            <w:top w:val="none" w:sz="0" w:space="0" w:color="auto"/>
            <w:left w:val="none" w:sz="0" w:space="0" w:color="auto"/>
            <w:bottom w:val="none" w:sz="0" w:space="0" w:color="auto"/>
            <w:right w:val="none" w:sz="0" w:space="0" w:color="auto"/>
          </w:divBdr>
          <w:divsChild>
            <w:div w:id="540363436">
              <w:marLeft w:val="0"/>
              <w:marRight w:val="0"/>
              <w:marTop w:val="0"/>
              <w:marBottom w:val="0"/>
              <w:divBdr>
                <w:top w:val="none" w:sz="0" w:space="0" w:color="auto"/>
                <w:left w:val="none" w:sz="0" w:space="0" w:color="auto"/>
                <w:bottom w:val="none" w:sz="0" w:space="0" w:color="auto"/>
                <w:right w:val="none" w:sz="0" w:space="0" w:color="auto"/>
              </w:divBdr>
              <w:divsChild>
                <w:div w:id="540363447">
                  <w:marLeft w:val="0"/>
                  <w:marRight w:val="0"/>
                  <w:marTop w:val="0"/>
                  <w:marBottom w:val="0"/>
                  <w:divBdr>
                    <w:top w:val="none" w:sz="0" w:space="0" w:color="auto"/>
                    <w:left w:val="none" w:sz="0" w:space="0" w:color="auto"/>
                    <w:bottom w:val="none" w:sz="0" w:space="0" w:color="auto"/>
                    <w:right w:val="none" w:sz="0" w:space="0" w:color="auto"/>
                  </w:divBdr>
                  <w:divsChild>
                    <w:div w:id="540363487">
                      <w:marLeft w:val="0"/>
                      <w:marRight w:val="0"/>
                      <w:marTop w:val="0"/>
                      <w:marBottom w:val="0"/>
                      <w:divBdr>
                        <w:top w:val="none" w:sz="0" w:space="0" w:color="auto"/>
                        <w:left w:val="none" w:sz="0" w:space="0" w:color="auto"/>
                        <w:bottom w:val="none" w:sz="0" w:space="0" w:color="auto"/>
                        <w:right w:val="none" w:sz="0" w:space="0" w:color="auto"/>
                      </w:divBdr>
                      <w:divsChild>
                        <w:div w:id="540363405">
                          <w:marLeft w:val="0"/>
                          <w:marRight w:val="0"/>
                          <w:marTop w:val="0"/>
                          <w:marBottom w:val="0"/>
                          <w:divBdr>
                            <w:top w:val="none" w:sz="0" w:space="0" w:color="auto"/>
                            <w:left w:val="none" w:sz="0" w:space="0" w:color="auto"/>
                            <w:bottom w:val="none" w:sz="0" w:space="0" w:color="auto"/>
                            <w:right w:val="none" w:sz="0" w:space="0" w:color="auto"/>
                          </w:divBdr>
                          <w:divsChild>
                            <w:div w:id="5403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96">
      <w:marLeft w:val="0"/>
      <w:marRight w:val="0"/>
      <w:marTop w:val="0"/>
      <w:marBottom w:val="0"/>
      <w:divBdr>
        <w:top w:val="none" w:sz="0" w:space="0" w:color="auto"/>
        <w:left w:val="none" w:sz="0" w:space="0" w:color="auto"/>
        <w:bottom w:val="none" w:sz="0" w:space="0" w:color="auto"/>
        <w:right w:val="none" w:sz="0" w:space="0" w:color="auto"/>
      </w:divBdr>
      <w:divsChild>
        <w:div w:id="540363376">
          <w:marLeft w:val="0"/>
          <w:marRight w:val="0"/>
          <w:marTop w:val="0"/>
          <w:marBottom w:val="0"/>
          <w:divBdr>
            <w:top w:val="none" w:sz="0" w:space="0" w:color="auto"/>
            <w:left w:val="none" w:sz="0" w:space="0" w:color="auto"/>
            <w:bottom w:val="none" w:sz="0" w:space="0" w:color="auto"/>
            <w:right w:val="none" w:sz="0" w:space="0" w:color="auto"/>
          </w:divBdr>
          <w:divsChild>
            <w:div w:id="540363395">
              <w:marLeft w:val="0"/>
              <w:marRight w:val="0"/>
              <w:marTop w:val="0"/>
              <w:marBottom w:val="0"/>
              <w:divBdr>
                <w:top w:val="none" w:sz="0" w:space="0" w:color="auto"/>
                <w:left w:val="none" w:sz="0" w:space="0" w:color="auto"/>
                <w:bottom w:val="none" w:sz="0" w:space="0" w:color="auto"/>
                <w:right w:val="none" w:sz="0" w:space="0" w:color="auto"/>
              </w:divBdr>
              <w:divsChild>
                <w:div w:id="540363464">
                  <w:marLeft w:val="0"/>
                  <w:marRight w:val="0"/>
                  <w:marTop w:val="0"/>
                  <w:marBottom w:val="0"/>
                  <w:divBdr>
                    <w:top w:val="none" w:sz="0" w:space="0" w:color="auto"/>
                    <w:left w:val="none" w:sz="0" w:space="0" w:color="auto"/>
                    <w:bottom w:val="none" w:sz="0" w:space="0" w:color="auto"/>
                    <w:right w:val="none" w:sz="0" w:space="0" w:color="auto"/>
                  </w:divBdr>
                  <w:divsChild>
                    <w:div w:id="540363438">
                      <w:marLeft w:val="0"/>
                      <w:marRight w:val="0"/>
                      <w:marTop w:val="0"/>
                      <w:marBottom w:val="0"/>
                      <w:divBdr>
                        <w:top w:val="none" w:sz="0" w:space="0" w:color="auto"/>
                        <w:left w:val="none" w:sz="0" w:space="0" w:color="auto"/>
                        <w:bottom w:val="none" w:sz="0" w:space="0" w:color="auto"/>
                        <w:right w:val="none" w:sz="0" w:space="0" w:color="auto"/>
                      </w:divBdr>
                      <w:divsChild>
                        <w:div w:id="540363422">
                          <w:marLeft w:val="0"/>
                          <w:marRight w:val="0"/>
                          <w:marTop w:val="0"/>
                          <w:marBottom w:val="0"/>
                          <w:divBdr>
                            <w:top w:val="none" w:sz="0" w:space="0" w:color="auto"/>
                            <w:left w:val="none" w:sz="0" w:space="0" w:color="auto"/>
                            <w:bottom w:val="none" w:sz="0" w:space="0" w:color="auto"/>
                            <w:right w:val="none" w:sz="0" w:space="0" w:color="auto"/>
                          </w:divBdr>
                          <w:divsChild>
                            <w:div w:id="54036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497">
      <w:marLeft w:val="0"/>
      <w:marRight w:val="0"/>
      <w:marTop w:val="0"/>
      <w:marBottom w:val="0"/>
      <w:divBdr>
        <w:top w:val="none" w:sz="0" w:space="0" w:color="auto"/>
        <w:left w:val="none" w:sz="0" w:space="0" w:color="auto"/>
        <w:bottom w:val="none" w:sz="0" w:space="0" w:color="auto"/>
        <w:right w:val="none" w:sz="0" w:space="0" w:color="auto"/>
      </w:divBdr>
      <w:divsChild>
        <w:div w:id="540363366">
          <w:marLeft w:val="0"/>
          <w:marRight w:val="0"/>
          <w:marTop w:val="0"/>
          <w:marBottom w:val="0"/>
          <w:divBdr>
            <w:top w:val="none" w:sz="0" w:space="0" w:color="auto"/>
            <w:left w:val="none" w:sz="0" w:space="0" w:color="auto"/>
            <w:bottom w:val="none" w:sz="0" w:space="0" w:color="auto"/>
            <w:right w:val="none" w:sz="0" w:space="0" w:color="auto"/>
          </w:divBdr>
          <w:divsChild>
            <w:div w:id="540363444">
              <w:marLeft w:val="0"/>
              <w:marRight w:val="0"/>
              <w:marTop w:val="0"/>
              <w:marBottom w:val="0"/>
              <w:divBdr>
                <w:top w:val="none" w:sz="0" w:space="0" w:color="auto"/>
                <w:left w:val="none" w:sz="0" w:space="0" w:color="auto"/>
                <w:bottom w:val="none" w:sz="0" w:space="0" w:color="auto"/>
                <w:right w:val="none" w:sz="0" w:space="0" w:color="auto"/>
              </w:divBdr>
              <w:divsChild>
                <w:div w:id="540363468">
                  <w:marLeft w:val="0"/>
                  <w:marRight w:val="0"/>
                  <w:marTop w:val="0"/>
                  <w:marBottom w:val="0"/>
                  <w:divBdr>
                    <w:top w:val="none" w:sz="0" w:space="0" w:color="auto"/>
                    <w:left w:val="none" w:sz="0" w:space="0" w:color="auto"/>
                    <w:bottom w:val="none" w:sz="0" w:space="0" w:color="auto"/>
                    <w:right w:val="none" w:sz="0" w:space="0" w:color="auto"/>
                  </w:divBdr>
                  <w:divsChild>
                    <w:div w:id="540363449">
                      <w:marLeft w:val="0"/>
                      <w:marRight w:val="0"/>
                      <w:marTop w:val="0"/>
                      <w:marBottom w:val="0"/>
                      <w:divBdr>
                        <w:top w:val="none" w:sz="0" w:space="0" w:color="auto"/>
                        <w:left w:val="none" w:sz="0" w:space="0" w:color="auto"/>
                        <w:bottom w:val="none" w:sz="0" w:space="0" w:color="auto"/>
                        <w:right w:val="none" w:sz="0" w:space="0" w:color="auto"/>
                      </w:divBdr>
                      <w:divsChild>
                        <w:div w:id="540363465">
                          <w:marLeft w:val="0"/>
                          <w:marRight w:val="0"/>
                          <w:marTop w:val="0"/>
                          <w:marBottom w:val="0"/>
                          <w:divBdr>
                            <w:top w:val="none" w:sz="0" w:space="0" w:color="auto"/>
                            <w:left w:val="none" w:sz="0" w:space="0" w:color="auto"/>
                            <w:bottom w:val="none" w:sz="0" w:space="0" w:color="auto"/>
                            <w:right w:val="none" w:sz="0" w:space="0" w:color="auto"/>
                          </w:divBdr>
                          <w:divsChild>
                            <w:div w:id="54036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363501">
      <w:marLeft w:val="0"/>
      <w:marRight w:val="0"/>
      <w:marTop w:val="0"/>
      <w:marBottom w:val="0"/>
      <w:divBdr>
        <w:top w:val="none" w:sz="0" w:space="0" w:color="auto"/>
        <w:left w:val="none" w:sz="0" w:space="0" w:color="auto"/>
        <w:bottom w:val="none" w:sz="0" w:space="0" w:color="auto"/>
        <w:right w:val="none" w:sz="0" w:space="0" w:color="auto"/>
      </w:divBdr>
    </w:div>
    <w:div w:id="540363519">
      <w:marLeft w:val="0"/>
      <w:marRight w:val="0"/>
      <w:marTop w:val="0"/>
      <w:marBottom w:val="0"/>
      <w:divBdr>
        <w:top w:val="none" w:sz="0" w:space="0" w:color="auto"/>
        <w:left w:val="none" w:sz="0" w:space="0" w:color="auto"/>
        <w:bottom w:val="none" w:sz="0" w:space="0" w:color="auto"/>
        <w:right w:val="none" w:sz="0" w:space="0" w:color="auto"/>
      </w:divBdr>
      <w:divsChild>
        <w:div w:id="540363342">
          <w:marLeft w:val="0"/>
          <w:marRight w:val="0"/>
          <w:marTop w:val="0"/>
          <w:marBottom w:val="0"/>
          <w:divBdr>
            <w:top w:val="none" w:sz="0" w:space="0" w:color="auto"/>
            <w:left w:val="none" w:sz="0" w:space="0" w:color="auto"/>
            <w:bottom w:val="none" w:sz="0" w:space="0" w:color="auto"/>
            <w:right w:val="none" w:sz="0" w:space="0" w:color="auto"/>
          </w:divBdr>
          <w:divsChild>
            <w:div w:id="540363402">
              <w:marLeft w:val="0"/>
              <w:marRight w:val="0"/>
              <w:marTop w:val="0"/>
              <w:marBottom w:val="0"/>
              <w:divBdr>
                <w:top w:val="none" w:sz="0" w:space="0" w:color="auto"/>
                <w:left w:val="none" w:sz="0" w:space="0" w:color="auto"/>
                <w:bottom w:val="none" w:sz="0" w:space="0" w:color="auto"/>
                <w:right w:val="none" w:sz="0" w:space="0" w:color="auto"/>
              </w:divBdr>
              <w:divsChild>
                <w:div w:id="540363418">
                  <w:marLeft w:val="0"/>
                  <w:marRight w:val="0"/>
                  <w:marTop w:val="0"/>
                  <w:marBottom w:val="0"/>
                  <w:divBdr>
                    <w:top w:val="none" w:sz="0" w:space="0" w:color="auto"/>
                    <w:left w:val="none" w:sz="0" w:space="0" w:color="auto"/>
                    <w:bottom w:val="none" w:sz="0" w:space="0" w:color="auto"/>
                    <w:right w:val="none" w:sz="0" w:space="0" w:color="auto"/>
                  </w:divBdr>
                  <w:divsChild>
                    <w:div w:id="540363381">
                      <w:marLeft w:val="0"/>
                      <w:marRight w:val="0"/>
                      <w:marTop w:val="0"/>
                      <w:marBottom w:val="0"/>
                      <w:divBdr>
                        <w:top w:val="none" w:sz="0" w:space="0" w:color="auto"/>
                        <w:left w:val="none" w:sz="0" w:space="0" w:color="auto"/>
                        <w:bottom w:val="none" w:sz="0" w:space="0" w:color="auto"/>
                        <w:right w:val="none" w:sz="0" w:space="0" w:color="auto"/>
                      </w:divBdr>
                      <w:divsChild>
                        <w:div w:id="540363416">
                          <w:marLeft w:val="0"/>
                          <w:marRight w:val="0"/>
                          <w:marTop w:val="0"/>
                          <w:marBottom w:val="0"/>
                          <w:divBdr>
                            <w:top w:val="none" w:sz="0" w:space="0" w:color="auto"/>
                            <w:left w:val="none" w:sz="0" w:space="0" w:color="auto"/>
                            <w:bottom w:val="none" w:sz="0" w:space="0" w:color="auto"/>
                            <w:right w:val="none" w:sz="0" w:space="0" w:color="auto"/>
                          </w:divBdr>
                          <w:divsChild>
                            <w:div w:id="5403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7729</Words>
  <Characters>46379</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2019-11-18T10:34:00Z</dcterms:created>
  <dcterms:modified xsi:type="dcterms:W3CDTF">2019-11-18T10:59:00Z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147/07</vt:lpwstr>
  </property>
  <property fmtid="{D5CDD505-2E9C-101B-9397-08002B2CF9AE}" pid="4" name="CASEID">
    <vt:lpwstr>427600</vt:lpwstr>
  </property>
  <property fmtid="{D5CDD505-2E9C-101B-9397-08002B2CF9AE}" pid="5" name="ContentTypeId">
    <vt:lpwstr>0x010100558EB02BDB9E204AB350EDD385B68E10</vt:lpwstr>
  </property>
</Properties>
</file>