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28F" w:rsidRPr="008F56D3" w:rsidRDefault="00C3128F" w:rsidP="005C2D3E">
      <w:pPr>
        <w:jc w:val="center"/>
        <w:rPr>
          <w:sz w:val="18"/>
          <w:szCs w:val="18"/>
        </w:rPr>
      </w:pPr>
      <w:r>
        <w:rPr>
          <w:rStyle w:val="s4f807e54"/>
          <w:rFonts w:ascii="Arial" w:hAnsi="Arial" w:cs="Arial"/>
          <w:sz w:val="18"/>
          <w:szCs w:val="18"/>
        </w:rPr>
        <w:t>© Copyright for the Polish translation by Naczelny Sąd Administracyjny, Warszawa 2018</w:t>
      </w:r>
    </w:p>
    <w:p w:rsidR="00C3128F" w:rsidRPr="008F56D3" w:rsidRDefault="00C3128F" w:rsidP="005C2D3E">
      <w:pPr>
        <w:jc w:val="center"/>
      </w:pPr>
    </w:p>
    <w:p w:rsidR="00C3128F" w:rsidRPr="00FB770D" w:rsidRDefault="00C3128F" w:rsidP="000133DA">
      <w:pPr>
        <w:pStyle w:val="DecHTitle"/>
      </w:pPr>
      <w:r>
        <w:t>EUROPEJSKI TRYBUNAŁ PRAW CZŁOWIEKA</w:t>
      </w:r>
    </w:p>
    <w:p w:rsidR="00C3128F" w:rsidRPr="005C2D3E" w:rsidRDefault="00C3128F" w:rsidP="00301BFB">
      <w:pPr>
        <w:jc w:val="center"/>
        <w:rPr>
          <w:sz w:val="4"/>
          <w:szCs w:val="4"/>
        </w:rPr>
      </w:pPr>
    </w:p>
    <w:p w:rsidR="00C3128F" w:rsidRPr="005C2D3E" w:rsidRDefault="00C3128F" w:rsidP="00301BFB">
      <w:pPr>
        <w:pStyle w:val="DecHTitle"/>
      </w:pPr>
      <w:r>
        <w:t>SEKCJA PIERWSZA</w:t>
      </w:r>
    </w:p>
    <w:p w:rsidR="00C3128F" w:rsidRDefault="00C3128F" w:rsidP="00086B65">
      <w:pPr>
        <w:pStyle w:val="DecHTitle"/>
        <w:spacing w:after="0"/>
      </w:pPr>
      <w:r>
        <w:t>DECYZJA</w:t>
      </w:r>
    </w:p>
    <w:p w:rsidR="00086B65" w:rsidRPr="002A23B4" w:rsidRDefault="00086B65" w:rsidP="00301BFB">
      <w:pPr>
        <w:pStyle w:val="DecHTitle"/>
        <w:rPr>
          <w:sz w:val="24"/>
        </w:rPr>
      </w:pPr>
      <w:r w:rsidRPr="002A23B4">
        <w:rPr>
          <w:sz w:val="24"/>
        </w:rPr>
        <w:t>[wyciąg]</w:t>
      </w:r>
    </w:p>
    <w:p w:rsidR="00C3128F" w:rsidRPr="005C2D3E" w:rsidRDefault="00C3128F" w:rsidP="00301BFB">
      <w:pPr>
        <w:pStyle w:val="ECHRTitleCentre2"/>
        <w:rPr>
          <w:b/>
          <w:bCs/>
        </w:rPr>
      </w:pPr>
      <w:r>
        <w:rPr>
          <w:b/>
          <w:bCs/>
        </w:rPr>
        <w:t>Skarga nr 42387/13</w:t>
      </w:r>
      <w:r>
        <w:rPr>
          <w:b/>
          <w:bCs/>
        </w:rPr>
        <w:br/>
        <w:t>K2 przeciwko Zjednoczonemu Królestwu</w:t>
      </w:r>
    </w:p>
    <w:p w:rsidR="00C3128F" w:rsidRPr="00301BFB" w:rsidRDefault="00C3128F" w:rsidP="00301BFB">
      <w:pPr>
        <w:pStyle w:val="ECHRPara"/>
      </w:pPr>
      <w:r>
        <w:t>Europejski Trybunał Praw Człowieka (Pierwsza Sekcja), zasiadając w</w:t>
      </w:r>
      <w:r w:rsidR="009A3D3A">
        <w:t> </w:t>
      </w:r>
      <w:r>
        <w:t>dniu 7 lutego 2017 r. jako Izba w składzie:</w:t>
      </w:r>
    </w:p>
    <w:p w:rsidR="00C3128F" w:rsidRPr="00301BFB" w:rsidRDefault="00C3128F" w:rsidP="00301BFB">
      <w:pPr>
        <w:pStyle w:val="ECHRDecisionBody"/>
      </w:pPr>
      <w:r>
        <w:tab/>
        <w:t>Linos-Alexandre Sicilianos,</w:t>
      </w:r>
      <w:r>
        <w:rPr>
          <w:i/>
          <w:iCs/>
        </w:rPr>
        <w:t xml:space="preserve"> Przewodniczący,</w:t>
      </w:r>
      <w:r>
        <w:rPr>
          <w:i/>
          <w:iCs/>
        </w:rPr>
        <w:br/>
      </w:r>
      <w:r>
        <w:tab/>
        <w:t>Kristina Pardalos,</w:t>
      </w:r>
      <w:r>
        <w:rPr>
          <w:i/>
          <w:iCs/>
        </w:rPr>
        <w:br/>
      </w:r>
      <w:r>
        <w:tab/>
        <w:t>Ledi Bianku,</w:t>
      </w:r>
      <w:r>
        <w:rPr>
          <w:i/>
          <w:iCs/>
        </w:rPr>
        <w:br/>
      </w:r>
      <w:r>
        <w:tab/>
        <w:t>Aleš Pejchal,</w:t>
      </w:r>
      <w:r>
        <w:rPr>
          <w:i/>
          <w:iCs/>
        </w:rPr>
        <w:br/>
      </w:r>
      <w:r>
        <w:tab/>
        <w:t>Robert Spano,</w:t>
      </w:r>
      <w:r>
        <w:rPr>
          <w:i/>
          <w:iCs/>
        </w:rPr>
        <w:br/>
      </w:r>
      <w:r>
        <w:tab/>
        <w:t>Armen Harutyunyan,</w:t>
      </w:r>
      <w:r>
        <w:rPr>
          <w:i/>
          <w:iCs/>
        </w:rPr>
        <w:br/>
      </w:r>
      <w:r>
        <w:tab/>
        <w:t>Pauliine Koskelo,</w:t>
      </w:r>
      <w:r>
        <w:rPr>
          <w:i/>
          <w:iCs/>
        </w:rPr>
        <w:t xml:space="preserve"> sędziowie,</w:t>
      </w:r>
      <w:r>
        <w:br/>
        <w:t xml:space="preserve">oraz Abel Campos, </w:t>
      </w:r>
      <w:r>
        <w:rPr>
          <w:i/>
          <w:iCs/>
        </w:rPr>
        <w:t>Kanclerz Sekcji,</w:t>
      </w:r>
    </w:p>
    <w:p w:rsidR="00C3128F" w:rsidRPr="00301BFB" w:rsidRDefault="00C3128F" w:rsidP="00301BFB">
      <w:pPr>
        <w:pStyle w:val="ECHRPara"/>
      </w:pPr>
      <w:r>
        <w:t xml:space="preserve">W sprawie przedmiotowej skargi złożonej </w:t>
      </w:r>
      <w:r w:rsidR="00C24E7B">
        <w:t xml:space="preserve">dnia </w:t>
      </w:r>
      <w:r>
        <w:t>27 czerwca 2013 r.</w:t>
      </w:r>
    </w:p>
    <w:p w:rsidR="00C3128F" w:rsidRPr="00301BFB" w:rsidRDefault="00C3128F" w:rsidP="00301BFB">
      <w:pPr>
        <w:pStyle w:val="ECHRPara"/>
      </w:pPr>
      <w:r>
        <w:t>Z uwzględnieniem dalszych wniosków skarżącego z dnia 24</w:t>
      </w:r>
      <w:r w:rsidR="009A3D3A">
        <w:t> </w:t>
      </w:r>
      <w:r>
        <w:t>października 2016 r.</w:t>
      </w:r>
    </w:p>
    <w:p w:rsidR="00C3128F" w:rsidRPr="00301BFB" w:rsidRDefault="00C3128F" w:rsidP="00301BFB">
      <w:pPr>
        <w:pStyle w:val="ECHRPara"/>
      </w:pPr>
      <w:r>
        <w:t>po przeprowadzeniu obrad wydaje następując</w:t>
      </w:r>
      <w:r w:rsidR="00580136">
        <w:t>ą decyzję</w:t>
      </w:r>
      <w:r>
        <w:t>:</w:t>
      </w:r>
    </w:p>
    <w:p w:rsidR="00C3128F" w:rsidRPr="00DA4886" w:rsidRDefault="00C3128F" w:rsidP="00301BFB">
      <w:pPr>
        <w:pStyle w:val="ECHRTitle1"/>
      </w:pPr>
      <w:r>
        <w:t>FAKTY</w:t>
      </w:r>
    </w:p>
    <w:p w:rsidR="00C3128F" w:rsidRPr="00914ACD" w:rsidRDefault="00C3128F" w:rsidP="00DA4886">
      <w:pPr>
        <w:pStyle w:val="ECHRPara"/>
        <w:ind w:firstLine="0"/>
        <w:rPr>
          <w:i/>
          <w:iCs/>
        </w:rPr>
      </w:pPr>
      <w:r>
        <w:rPr>
          <w:i/>
          <w:iCs/>
        </w:rPr>
        <w:t>[Paragrafy 1-45 decyzji pominięte i zastąpione tłumaczeniem poniższego streszczenia przygotowanego przez Kancelarię Europejskiego Trybunału Praw Człowieka</w:t>
      </w:r>
    </w:p>
    <w:p w:rsidR="00C3128F" w:rsidRPr="00914ACD" w:rsidRDefault="00C3128F" w:rsidP="00DA4886">
      <w:pPr>
        <w:pStyle w:val="ECHRPara"/>
        <w:ind w:firstLine="0"/>
        <w:rPr>
          <w:i/>
          <w:iCs/>
        </w:rPr>
      </w:pPr>
    </w:p>
    <w:p w:rsidR="00C3128F" w:rsidRDefault="00C3128F" w:rsidP="00DA4886">
      <w:pPr>
        <w:pStyle w:val="ECHRPara"/>
        <w:rPr>
          <w:u w:val="single"/>
        </w:rPr>
      </w:pPr>
      <w:r>
        <w:rPr>
          <w:i/>
          <w:iCs/>
          <w:u w:val="single"/>
        </w:rPr>
        <w:lastRenderedPageBreak/>
        <w:t>Streszczenie stanu faktycznego</w:t>
      </w:r>
      <w:r w:rsidRPr="00914ACD">
        <w:rPr>
          <w:rStyle w:val="Odwoanieprzypisudolnego"/>
          <w:u w:val="single"/>
        </w:rPr>
        <w:footnoteReference w:id="2"/>
      </w:r>
      <w:r>
        <w:rPr>
          <w:u w:val="single"/>
        </w:rPr>
        <w:t>:</w:t>
      </w:r>
    </w:p>
    <w:p w:rsidR="00C3128F" w:rsidRPr="00DA4886" w:rsidRDefault="00C3128F" w:rsidP="00DA4886">
      <w:pPr>
        <w:pStyle w:val="ECHRPara"/>
        <w:rPr>
          <w:lang w:val="x-none" w:eastAsia="en-US"/>
        </w:rPr>
      </w:pPr>
    </w:p>
    <w:p w:rsidR="00C3128F" w:rsidRPr="00D27208" w:rsidRDefault="00C3128F" w:rsidP="009D44D9">
      <w:pPr>
        <w:pStyle w:val="ECHRPara"/>
        <w:rPr>
          <w:rFonts w:eastAsia="Times New Roman"/>
        </w:rPr>
      </w:pPr>
      <w:r>
        <w:t>K2 urodził się w Sudanie. Przybył do Wielkiej Brytanii jako dziecko i</w:t>
      </w:r>
      <w:r w:rsidR="009A3D3A">
        <w:t> </w:t>
      </w:r>
      <w:r>
        <w:t>po</w:t>
      </w:r>
      <w:r w:rsidR="009A3D3A">
        <w:t> </w:t>
      </w:r>
      <w:r>
        <w:t>procedurze naturalizacji stał się obywatelem Wielkiej Brytanii w</w:t>
      </w:r>
      <w:r w:rsidR="009A3D3A">
        <w:t> </w:t>
      </w:r>
      <w:r>
        <w:t>2000</w:t>
      </w:r>
      <w:r w:rsidR="009A3D3A">
        <w:t> </w:t>
      </w:r>
      <w:r>
        <w:t>r</w:t>
      </w:r>
      <w:r w:rsidR="005750FA">
        <w:t>.</w:t>
      </w:r>
    </w:p>
    <w:p w:rsidR="00C3128F" w:rsidRPr="00DA4886" w:rsidRDefault="00C3128F" w:rsidP="009D44D9">
      <w:pPr>
        <w:pStyle w:val="ECHRPara"/>
        <w:rPr>
          <w:rFonts w:eastAsia="Times New Roman"/>
        </w:rPr>
      </w:pPr>
      <w:r>
        <w:t>W 2009 r</w:t>
      </w:r>
      <w:r w:rsidR="005750FA">
        <w:t>.</w:t>
      </w:r>
      <w:r>
        <w:t xml:space="preserve"> K2 zatrzymano i oskarżono o przestępstwo przeciwko porządkowi publicznemu, lecz</w:t>
      </w:r>
      <w:r w:rsidR="00030480" w:rsidRPr="00914BB4">
        <w:t xml:space="preserve"> </w:t>
      </w:r>
      <w:r w:rsidRPr="00914BB4">
        <w:t>zanim nadszedł termin, w którym miał stawić się w sądzie</w:t>
      </w:r>
      <w:r w:rsidR="00664755">
        <w:t xml:space="preserve"> za kaucją</w:t>
      </w:r>
      <w:r>
        <w:t>, opuścił Wielką Brytanię. Istniej</w:t>
      </w:r>
      <w:r w:rsidR="009D44D9">
        <w:t>e spór</w:t>
      </w:r>
      <w:r>
        <w:t xml:space="preserve"> co do</w:t>
      </w:r>
      <w:r w:rsidR="009D44D9">
        <w:t xml:space="preserve"> tego</w:t>
      </w:r>
      <w:r>
        <w:t>, czy bezpośrednio z Wielkiej Brytanii udał się do</w:t>
      </w:r>
      <w:r w:rsidR="009A3D3A">
        <w:t> </w:t>
      </w:r>
      <w:r>
        <w:t>Sudanu, czy też najpierw podróżował z dwoma znajomymi ekstremistami do Somalii, gdzie brał udział w działaniach terrorystycznych powiązanych z Al-Szabaab.</w:t>
      </w:r>
    </w:p>
    <w:p w:rsidR="00C3128F" w:rsidRPr="000B72AF" w:rsidRDefault="009D44D9" w:rsidP="009D44D9">
      <w:pPr>
        <w:pStyle w:val="ECHRPara"/>
      </w:pPr>
      <w:r>
        <w:t xml:space="preserve">W dniu </w:t>
      </w:r>
      <w:r w:rsidR="00C3128F">
        <w:t>14 czerwca 2010 r. sekretarz stanu do spraw wewnętrznych, po</w:t>
      </w:r>
      <w:r w:rsidR="009A3D3A">
        <w:t> </w:t>
      </w:r>
      <w:r w:rsidR="00C3128F">
        <w:t>zawiadomieniu K2 o swoim zamiarze, wydała decyzję o pozbawieniu K2</w:t>
      </w:r>
      <w:r w:rsidR="009A3D3A">
        <w:t> </w:t>
      </w:r>
      <w:r w:rsidR="00C3128F">
        <w:t>obywatelstwa brytyjskiego. W tym samym dniu sekretarz stanu ds.</w:t>
      </w:r>
      <w:r w:rsidR="009A3D3A">
        <w:t> </w:t>
      </w:r>
      <w:r w:rsidR="00C3128F">
        <w:t>wewnętrznych zawiadomiła K2 o swojej decyzji o wydaleniu go z</w:t>
      </w:r>
      <w:r w:rsidR="009A3D3A">
        <w:t> </w:t>
      </w:r>
      <w:r w:rsidR="00C3128F">
        <w:t xml:space="preserve">Wielkiej Brytanii ze względu na jego działalność terrorystyczną oraz jego związki z ekstremistami. </w:t>
      </w:r>
      <w:r>
        <w:t>Jest bezsporne</w:t>
      </w:r>
      <w:r w:rsidR="00C3128F">
        <w:t>, że w tym czasie przebywał w</w:t>
      </w:r>
      <w:r w:rsidR="009A3D3A">
        <w:t> </w:t>
      </w:r>
      <w:r w:rsidR="00C3128F">
        <w:t>Sudanie.</w:t>
      </w:r>
    </w:p>
    <w:p w:rsidR="00C3128F" w:rsidRPr="00DA4886" w:rsidRDefault="00C3128F" w:rsidP="009D44D9">
      <w:pPr>
        <w:pStyle w:val="ECHRPara"/>
        <w:rPr>
          <w:rFonts w:eastAsia="Times New Roman"/>
        </w:rPr>
      </w:pPr>
      <w:r>
        <w:t>K2 zainicjował dwa postępowania</w:t>
      </w:r>
      <w:r w:rsidR="00664755">
        <w:t xml:space="preserve"> mające na celu zakwestionowanie</w:t>
      </w:r>
      <w:r>
        <w:t xml:space="preserve"> t</w:t>
      </w:r>
      <w:r w:rsidR="00664755">
        <w:t>ych</w:t>
      </w:r>
      <w:r>
        <w:t xml:space="preserve"> decyzj</w:t>
      </w:r>
      <w:r w:rsidR="00664755">
        <w:t>i</w:t>
      </w:r>
      <w:r>
        <w:t xml:space="preserve">: </w:t>
      </w:r>
      <w:r w:rsidR="00664755">
        <w:t xml:space="preserve">zwrócił się o </w:t>
      </w:r>
      <w:r>
        <w:t xml:space="preserve">sądową kontrolę decyzji o wydaleniu oraz </w:t>
      </w:r>
      <w:r w:rsidR="009D44D9">
        <w:t xml:space="preserve">złożył </w:t>
      </w:r>
      <w:r>
        <w:t>odwołanie od decyzji o</w:t>
      </w:r>
      <w:r w:rsidR="009A3D3A">
        <w:t> </w:t>
      </w:r>
      <w:r>
        <w:t>pozbawieniu go obywatelstwa.</w:t>
      </w:r>
    </w:p>
    <w:p w:rsidR="00C3128F" w:rsidRPr="00DA4886" w:rsidRDefault="00C3128F" w:rsidP="009D44D9">
      <w:pPr>
        <w:pStyle w:val="ECHRPara"/>
        <w:rPr>
          <w:rFonts w:eastAsia="Times New Roman"/>
        </w:rPr>
      </w:pPr>
      <w:r>
        <w:t xml:space="preserve">W postępowaniu </w:t>
      </w:r>
      <w:r w:rsidR="00030480">
        <w:t>dotyczącym sądowej kontroli decyzji</w:t>
      </w:r>
      <w:r>
        <w:t xml:space="preserve"> K2 </w:t>
      </w:r>
      <w:r w:rsidR="009D44D9">
        <w:t xml:space="preserve">przede wszystkim </w:t>
      </w:r>
      <w:r>
        <w:t xml:space="preserve">podniósł, że jego wydalenie z Wielkiej Brytanii </w:t>
      </w:r>
      <w:r w:rsidRPr="00030480">
        <w:t>uniemożliwiło</w:t>
      </w:r>
      <w:r>
        <w:t xml:space="preserve"> mu zaskarżenie do sądu pozbawienia go obywatelstwa. Jednakże Wysoki Trybunał oddalił skargę w lipcu 2011 r. Sąd Apelacyjny po rozpatrzeniu apelacji utrzymał wyrok w mocy, a Sąd Najwyższy w lutym 2013 r.</w:t>
      </w:r>
      <w:r w:rsidDel="009C1DE0">
        <w:t xml:space="preserve"> </w:t>
      </w:r>
      <w:r>
        <w:t>nie</w:t>
      </w:r>
      <w:r w:rsidR="009A3D3A">
        <w:t> </w:t>
      </w:r>
      <w:r>
        <w:t>wyraził zgody na wniesienie apelacji.</w:t>
      </w:r>
    </w:p>
    <w:p w:rsidR="00C3128F" w:rsidRPr="000B72AF" w:rsidRDefault="00C3128F" w:rsidP="009D44D9">
      <w:pPr>
        <w:pStyle w:val="ECHRPara"/>
        <w:rPr>
          <w:rFonts w:eastAsia="Times New Roman"/>
        </w:rPr>
      </w:pPr>
      <w:r>
        <w:t xml:space="preserve">Kwestia obywatelstwa </w:t>
      </w:r>
      <w:r w:rsidR="00506E2B">
        <w:t>została skierowana do rozpatrzenia przez</w:t>
      </w:r>
      <w:r w:rsidR="009A3D3A">
        <w:t> </w:t>
      </w:r>
      <w:r>
        <w:t xml:space="preserve">Specjalną Komisję Odwoławczą ds. Imigracyjnych [ang. </w:t>
      </w:r>
      <w:r w:rsidRPr="00506E2B">
        <w:rPr>
          <w:i/>
        </w:rPr>
        <w:t>Special Immigration Appeals, Commission</w:t>
      </w:r>
      <w:r>
        <w:t xml:space="preserve">, „SIAC”]. Choć część sprawy przeciwko K2 była utajniona ze względów bezpieczeństwa, jego specjalny </w:t>
      </w:r>
      <w:r w:rsidR="00506E2B">
        <w:t>adwokat</w:t>
      </w:r>
      <w:r>
        <w:t xml:space="preserve"> miał dostęp do informacji, a charakter sprawy był szeroko znany K2. K2</w:t>
      </w:r>
      <w:r w:rsidR="009A3D3A">
        <w:t> </w:t>
      </w:r>
      <w:r>
        <w:t>podnosił, że mógłby zakwestionować zarzuty dotyczące działalności terrorystycznej, lecz utrzymywał, że nie jest w stanie tego uczynić podczas pobytu w Sudanie. Twierdził, że obawia się, iż jego korespondencja jest inwigilowana przez władze sudańskie oraz że komunikowanie się w jego własnej sprawie narażałoby go na ryzyko wyrządzenia mu krzywdy z ich strony.</w:t>
      </w:r>
    </w:p>
    <w:p w:rsidR="00C3128F" w:rsidRPr="000B72AF" w:rsidRDefault="00C3128F" w:rsidP="009D44D9">
      <w:pPr>
        <w:pStyle w:val="ECHRPara"/>
        <w:rPr>
          <w:rFonts w:eastAsia="Times New Roman"/>
        </w:rPr>
      </w:pPr>
      <w:r>
        <w:lastRenderedPageBreak/>
        <w:t>SIAC odrzucił</w:t>
      </w:r>
      <w:r w:rsidR="00506E2B">
        <w:t>a</w:t>
      </w:r>
      <w:r>
        <w:t xml:space="preserve"> ten argument w grudniu 2014 r. Komisja uznała, że</w:t>
      </w:r>
      <w:r w:rsidR="009A3D3A">
        <w:t> </w:t>
      </w:r>
      <w:r>
        <w:t>istniały przynajmniej trzy kanały komunikacji pomiędzy K2, jego</w:t>
      </w:r>
      <w:r w:rsidR="009A3D3A">
        <w:t> </w:t>
      </w:r>
      <w:r>
        <w:t xml:space="preserve">prawnikami </w:t>
      </w:r>
      <w:r w:rsidR="00506E2B">
        <w:t>i</w:t>
      </w:r>
      <w:r>
        <w:t xml:space="preserve"> SIAC, jakie mogły być wykorzystywane do komunikacji („dyskretna” komunikacja z prawnikami w Sudanie; komunikacja internetowa za pośrednictwem Internetu</w:t>
      </w:r>
      <w:r w:rsidR="00506E2B">
        <w:t>,</w:t>
      </w:r>
      <w:r>
        <w:t xml:space="preserve"> np. e-mail lub Skype; oraz za pośrednictwem odwiedzających go znajomych lub krewnych). Nie było uzasadnionych powodów, które uzasadniałyby stwierdzenie, że K2 nie był w stanie wydawać swoim prawnikom poleceń i angażować się w</w:t>
      </w:r>
      <w:r w:rsidR="009A3D3A">
        <w:t> </w:t>
      </w:r>
      <w:r>
        <w:t>postępowanie. Rok później SIAC wydała wyrok dotyczący merytorycznej części odwołania. Stwierdziła, że istnieją „rozstrzygające” dowody, iż</w:t>
      </w:r>
      <w:r w:rsidR="009A3D3A">
        <w:t> </w:t>
      </w:r>
      <w:r>
        <w:t>K2</w:t>
      </w:r>
      <w:r w:rsidR="009A3D3A">
        <w:t> </w:t>
      </w:r>
      <w:r>
        <w:t>nawiązał znajomość ze znanymi ekstremistami oraz że podróżował do</w:t>
      </w:r>
      <w:r w:rsidR="009A3D3A">
        <w:t> </w:t>
      </w:r>
      <w:r>
        <w:t>Somalii w towarzystwie ekstremistów, aby zaangażować się w</w:t>
      </w:r>
      <w:r w:rsidR="009A3D3A">
        <w:t> </w:t>
      </w:r>
      <w:r>
        <w:t>dzia</w:t>
      </w:r>
      <w:r w:rsidR="00506E2B">
        <w:t>łania</w:t>
      </w:r>
      <w:r w:rsidR="009A3D3A">
        <w:t> </w:t>
      </w:r>
      <w:r w:rsidR="00506E2B">
        <w:t>terrorystyczne. Dodatkowo</w:t>
      </w:r>
      <w:r>
        <w:t xml:space="preserve"> sąd stwierdził, że jest wysoce prawdopodobne, iż działania terrorystyczne były przynajmniej częściowo związane z Al-Szabaab. Sąd uznał, że sekretarz stanu do spraw wewnętrznych miała pełne prawo podjąć decyzję o pozbawieniu K2 obywatelstwa brytyjskiego i</w:t>
      </w:r>
      <w:r w:rsidR="009A3D3A">
        <w:t> </w:t>
      </w:r>
      <w:r>
        <w:t>oddalił odwołanie. Sąd Apelacyjny odrzucił wniosek K2 o zgodę na odwołanie się od wyroku w lipcu 2016 r.]</w:t>
      </w:r>
    </w:p>
    <w:p w:rsidR="00C3128F" w:rsidRPr="00301BFB" w:rsidRDefault="00506E2B" w:rsidP="003E6546">
      <w:pPr>
        <w:pStyle w:val="ECHRTitle1"/>
        <w:spacing w:before="480"/>
      </w:pPr>
      <w:r>
        <w:t>ZARZUTY</w:t>
      </w:r>
    </w:p>
    <w:p w:rsidR="00C3128F" w:rsidRPr="00301BFB" w:rsidRDefault="00C3128F" w:rsidP="00301BFB">
      <w:pPr>
        <w:pStyle w:val="ECHRPara"/>
      </w:pPr>
      <w:r>
        <w:t>46.</w:t>
      </w:r>
      <w:r w:rsidR="00DC6543">
        <w:t xml:space="preserve"> </w:t>
      </w:r>
      <w:r>
        <w:t>Skarżący podniósł zarzut, powołując się na art. 8 Konwencji</w:t>
      </w:r>
      <w:r w:rsidR="0052040C">
        <w:t xml:space="preserve"> [o ochronie praw człowieka i podstawowych wolności]</w:t>
      </w:r>
      <w:r>
        <w:t>, że</w:t>
      </w:r>
      <w:r w:rsidR="009A3D3A">
        <w:t> </w:t>
      </w:r>
      <w:r>
        <w:t>decyzje o pozbawieniu go obywatelstwa brytyjskiego i wydaleniu go z</w:t>
      </w:r>
      <w:r w:rsidR="009A3D3A">
        <w:t> </w:t>
      </w:r>
      <w:r>
        <w:t xml:space="preserve">Wielkiej Brytanii naruszyły jego prawo do poszanowania życia prywatnego i rodzinnego oraz stanowiło atak na jego reputację. Dalej podniósł zarzut, że gwarancje proceduralne </w:t>
      </w:r>
      <w:r w:rsidR="00506E2B">
        <w:t xml:space="preserve">mające </w:t>
      </w:r>
      <w:r>
        <w:t xml:space="preserve">zabezpieczyć skuteczne poszanowanie jego praw z art. 8 </w:t>
      </w:r>
      <w:r w:rsidR="00506E2B">
        <w:t xml:space="preserve">były nieodpowiednie, </w:t>
      </w:r>
      <w:r>
        <w:t xml:space="preserve">jako że </w:t>
      </w:r>
      <w:r w:rsidR="00F71FD8">
        <w:t>informacje dotyczące</w:t>
      </w:r>
      <w:r w:rsidR="00664755">
        <w:t xml:space="preserve"> jego spraw</w:t>
      </w:r>
      <w:r w:rsidR="00F71FD8">
        <w:t>y</w:t>
      </w:r>
      <w:r w:rsidR="00664755">
        <w:t xml:space="preserve"> </w:t>
      </w:r>
      <w:r>
        <w:t>ze</w:t>
      </w:r>
      <w:r w:rsidR="009A3D3A">
        <w:t> </w:t>
      </w:r>
      <w:r>
        <w:t xml:space="preserve">względu na bezpieczeństwo narodowe </w:t>
      </w:r>
      <w:r w:rsidR="00664755">
        <w:t xml:space="preserve">ujawnione zostały w bardzo ograniczonym zakresie </w:t>
      </w:r>
      <w:r>
        <w:t>i nie był w stanie w sposób efektywny uczestniczyć w postępowaniu.</w:t>
      </w:r>
    </w:p>
    <w:p w:rsidR="00C3128F" w:rsidRPr="00301BFB" w:rsidRDefault="00C3128F" w:rsidP="00301BFB">
      <w:pPr>
        <w:pStyle w:val="ECHRPara"/>
      </w:pPr>
      <w:r>
        <w:t>47.</w:t>
      </w:r>
      <w:r w:rsidR="00DC6543">
        <w:t xml:space="preserve"> </w:t>
      </w:r>
      <w:r>
        <w:t>Skarżący podniósł również zarzut, odwołując się do art. 14 w</w:t>
      </w:r>
      <w:r w:rsidR="009A3D3A">
        <w:t> </w:t>
      </w:r>
      <w:r>
        <w:t>związku z art. 8, że był traktowany inaczej niż brytyjscy obywatele uznawani za zagrożenie dla bezpieczeństwa narodowego, którzy nie</w:t>
      </w:r>
      <w:r w:rsidR="009A3D3A">
        <w:t> </w:t>
      </w:r>
      <w:r>
        <w:t>posiadali drugiego obywatelstwa, jako że nie można było ich pozbawić obywatelstwa brytyjskiego; a także niż osoby zamieszkałe na terytorium państwa</w:t>
      </w:r>
      <w:r w:rsidR="00D53E8D">
        <w:t>,</w:t>
      </w:r>
      <w:r>
        <w:t xml:space="preserve"> lecz niebędące jego obywatelami, które mogą skorzystać z prawa do odwołania ze skutkiem suspensywnym od wycofania zgody na</w:t>
      </w:r>
      <w:r w:rsidR="009A3D3A">
        <w:t> </w:t>
      </w:r>
      <w:r>
        <w:t>przebywanie w Wielkiej Brytanii.</w:t>
      </w:r>
    </w:p>
    <w:p w:rsidR="00C3128F" w:rsidRPr="00301BFB" w:rsidRDefault="00C3128F" w:rsidP="00301BFB">
      <w:pPr>
        <w:pStyle w:val="ECHRTitle1"/>
      </w:pPr>
      <w:r>
        <w:lastRenderedPageBreak/>
        <w:t>PRAWO</w:t>
      </w:r>
    </w:p>
    <w:p w:rsidR="00C3128F" w:rsidRPr="00301BFB" w:rsidRDefault="00C3128F" w:rsidP="00301BFB">
      <w:pPr>
        <w:pStyle w:val="ECHRHeading2"/>
      </w:pPr>
      <w:r>
        <w:t>A. Zarzu</w:t>
      </w:r>
      <w:r w:rsidR="003D2CAB">
        <w:t>cane</w:t>
      </w:r>
      <w:r>
        <w:t xml:space="preserve"> naruszeni</w:t>
      </w:r>
      <w:r w:rsidR="003D2CAB">
        <w:t>e</w:t>
      </w:r>
      <w:r>
        <w:t xml:space="preserve"> art</w:t>
      </w:r>
      <w:r w:rsidR="00203174">
        <w:t>.</w:t>
      </w:r>
      <w:r>
        <w:t xml:space="preserve"> 8 Konwencji</w:t>
      </w:r>
    </w:p>
    <w:p w:rsidR="00C3128F" w:rsidRPr="00301BFB" w:rsidRDefault="00C3128F" w:rsidP="00301BFB">
      <w:pPr>
        <w:pStyle w:val="ECHRPara"/>
      </w:pPr>
      <w:r>
        <w:t>48.</w:t>
      </w:r>
      <w:r w:rsidR="00DC6543">
        <w:t xml:space="preserve"> </w:t>
      </w:r>
      <w:r>
        <w:t>Skarżący skarżył się, w</w:t>
      </w:r>
      <w:r w:rsidR="00242B3E">
        <w:t xml:space="preserve"> oparciu o aspekt merytoryczny i</w:t>
      </w:r>
      <w:r w:rsidR="009A3D3A">
        <w:t> </w:t>
      </w:r>
      <w:r w:rsidR="00242B3E">
        <w:t>proceduralny</w:t>
      </w:r>
      <w:r>
        <w:t xml:space="preserve"> art. 8 Konwencji, na decyzje o pozbawieniu go brytyjskiego obywatelstwa i wydaleniu z Wielkiej Brytanii. Art</w:t>
      </w:r>
      <w:r w:rsidR="00203174">
        <w:t>.</w:t>
      </w:r>
      <w:r>
        <w:t xml:space="preserve"> 8 brzmi następująco:</w:t>
      </w:r>
    </w:p>
    <w:p w:rsidR="00C3128F" w:rsidRPr="00301BFB" w:rsidRDefault="00C3128F" w:rsidP="00301BFB">
      <w:pPr>
        <w:pStyle w:val="ECHRParaQuote"/>
      </w:pPr>
      <w:r>
        <w:t>„1.</w:t>
      </w:r>
      <w:r w:rsidR="00DC6543">
        <w:t xml:space="preserve"> </w:t>
      </w:r>
      <w:r>
        <w:t>Każdy ma prawo do poszanowania swojego życia prywatnego i rodzinnego, swojego mieszkania i swojej korespondencji.</w:t>
      </w:r>
    </w:p>
    <w:p w:rsidR="00C3128F" w:rsidRPr="00301BFB" w:rsidRDefault="00C3128F" w:rsidP="00301BFB">
      <w:pPr>
        <w:pStyle w:val="ECHRParaQuote"/>
      </w:pPr>
      <w:r>
        <w:t>2.</w:t>
      </w:r>
      <w:r w:rsidR="00DC6543">
        <w:t xml:space="preserve"> </w:t>
      </w:r>
      <w:r>
        <w:t>Niedopuszczalna jest ingerencja władzy publicznej w korzystanie z tego prawa, z</w:t>
      </w:r>
      <w:r w:rsidR="009A3D3A">
        <w:t> </w:t>
      </w:r>
      <w:r>
        <w:t>wyjątkiem przypadków przewidzianych przez ustawę i koniecznych w</w:t>
      </w:r>
      <w:r w:rsidR="009A3D3A">
        <w:t> </w:t>
      </w:r>
      <w:r>
        <w:t>demokratycznym społeczeństwie z uwagi na bezpieczeństwo państwowe, bezpieczeństwo publiczne lub dobrobyt gospodarczy kraju, ochronę porządku i</w:t>
      </w:r>
      <w:r w:rsidR="009A3D3A">
        <w:t> </w:t>
      </w:r>
      <w:r>
        <w:t>zapobieganie przestępstwom, ochronę zdrowia i moralności lub ochronę praw i</w:t>
      </w:r>
      <w:r w:rsidR="009A3D3A">
        <w:t> </w:t>
      </w:r>
      <w:r>
        <w:t>wolności innych osób.</w:t>
      </w:r>
    </w:p>
    <w:p w:rsidR="00C3128F" w:rsidRPr="00301BFB" w:rsidRDefault="00C3128F" w:rsidP="00301BFB">
      <w:pPr>
        <w:pStyle w:val="ECHRHeading3"/>
      </w:pPr>
      <w:r>
        <w:t>1.</w:t>
      </w:r>
      <w:r w:rsidR="00DC6543">
        <w:t xml:space="preserve"> </w:t>
      </w:r>
      <w:r>
        <w:t>Pozbawienie obywatelstwa</w:t>
      </w:r>
    </w:p>
    <w:p w:rsidR="00C3128F" w:rsidRPr="00301BFB" w:rsidRDefault="00C3128F" w:rsidP="00301BFB">
      <w:pPr>
        <w:pStyle w:val="ECHRPara"/>
      </w:pPr>
      <w:bookmarkStart w:id="0" w:name="Arbitrary"/>
      <w:r>
        <w:t>49</w:t>
      </w:r>
      <w:bookmarkEnd w:id="0"/>
      <w:r>
        <w:t>.</w:t>
      </w:r>
      <w:r w:rsidR="00DC6543">
        <w:t xml:space="preserve"> </w:t>
      </w:r>
      <w:r>
        <w:t>Trybunał przyjął, że arbitralna odmowa obywatelstwa może, w</w:t>
      </w:r>
      <w:r w:rsidR="009A3D3A">
        <w:t> </w:t>
      </w:r>
      <w:r>
        <w:t xml:space="preserve">pewnych okolicznościach, stanowić kwestię objętą </w:t>
      </w:r>
      <w:r w:rsidR="00203174">
        <w:t>art.</w:t>
      </w:r>
      <w:r>
        <w:t xml:space="preserve"> 8 Konwencji ze</w:t>
      </w:r>
      <w:r w:rsidR="009A3D3A">
        <w:t> </w:t>
      </w:r>
      <w:r>
        <w:t xml:space="preserve">względu na wpływ tej kwestii na życie prywatne osoby (zob. </w:t>
      </w:r>
      <w:r>
        <w:rPr>
          <w:i/>
          <w:iCs/>
        </w:rPr>
        <w:t>Karassev przeciwko Finlandii</w:t>
      </w:r>
      <w:r>
        <w:t xml:space="preserve"> </w:t>
      </w:r>
      <w:r>
        <w:rPr>
          <w:i/>
          <w:iCs/>
        </w:rPr>
        <w:t>(</w:t>
      </w:r>
      <w:r w:rsidR="0093539B">
        <w:rPr>
          <w:i/>
          <w:iCs/>
        </w:rPr>
        <w:t>dec</w:t>
      </w:r>
      <w:r>
        <w:rPr>
          <w:i/>
          <w:iCs/>
        </w:rPr>
        <w:t>.)</w:t>
      </w:r>
      <w:r>
        <w:t xml:space="preserve">, nr 31414/96, ECHR 1999-II; </w:t>
      </w:r>
      <w:r>
        <w:rPr>
          <w:i/>
          <w:iCs/>
        </w:rPr>
        <w:t>Slivenko przeciwko Łotwie (</w:t>
      </w:r>
      <w:r w:rsidR="0093539B">
        <w:rPr>
          <w:i/>
          <w:iCs/>
        </w:rPr>
        <w:t>dec.</w:t>
      </w:r>
      <w:r>
        <w:rPr>
          <w:i/>
          <w:iCs/>
        </w:rPr>
        <w:t>)</w:t>
      </w:r>
      <w:r>
        <w:t xml:space="preserve"> [WI], nr 48321/99, § 77, ECHR 2002-II; </w:t>
      </w:r>
      <w:r>
        <w:rPr>
          <w:i/>
          <w:iCs/>
        </w:rPr>
        <w:t>Savoia i Bounegru przeciwko Włochom (</w:t>
      </w:r>
      <w:r w:rsidR="0093539B">
        <w:rPr>
          <w:i/>
          <w:iCs/>
        </w:rPr>
        <w:t>dec.</w:t>
      </w:r>
      <w:r>
        <w:rPr>
          <w:i/>
          <w:iCs/>
        </w:rPr>
        <w:t>)</w:t>
      </w:r>
      <w:r>
        <w:t xml:space="preserve">, nr 8407/05, 11 lipca 2006 r.; oraz </w:t>
      </w:r>
      <w:r>
        <w:rPr>
          <w:i/>
          <w:iCs/>
        </w:rPr>
        <w:t>Genovese przeciwko Malcie</w:t>
      </w:r>
      <w:r>
        <w:t>, nr 53124/09, § 30, 11 października 2011 r.). Niedawno Trybunał przyjął, że te same zasady winny być stosowane do odebrania obywatelstwa już uzyskanego, jako że musi to prowadzić do podobne</w:t>
      </w:r>
      <w:r w:rsidR="0093539B">
        <w:t>j</w:t>
      </w:r>
      <w:r>
        <w:t xml:space="preserve"> – o</w:t>
      </w:r>
      <w:r w:rsidR="009A3D3A">
        <w:t> </w:t>
      </w:r>
      <w:r>
        <w:t>ile nie większe</w:t>
      </w:r>
      <w:r w:rsidR="0093539B">
        <w:t>j</w:t>
      </w:r>
      <w:r>
        <w:t xml:space="preserve"> – </w:t>
      </w:r>
      <w:r w:rsidR="0093539B">
        <w:t>ingerencji w prawo</w:t>
      </w:r>
      <w:r>
        <w:t xml:space="preserve"> osoby do poszanowania życia rodzinnego i prywatnego (zob. </w:t>
      </w:r>
      <w:r>
        <w:rPr>
          <w:i/>
          <w:iCs/>
        </w:rPr>
        <w:t>Ramadan przeciwko Malcie</w:t>
      </w:r>
      <w:r>
        <w:t>, nr 76136/12</w:t>
      </w:r>
      <w:r>
        <w:rPr>
          <w:snapToGrid w:val="0"/>
        </w:rPr>
        <w:t>, §</w:t>
      </w:r>
      <w:r w:rsidR="009A3D3A">
        <w:rPr>
          <w:snapToGrid w:val="0"/>
        </w:rPr>
        <w:t> </w:t>
      </w:r>
      <w:r>
        <w:rPr>
          <w:snapToGrid w:val="0"/>
        </w:rPr>
        <w:t>85,</w:t>
      </w:r>
      <w:r w:rsidR="00DC6543">
        <w:rPr>
          <w:snapToGrid w:val="0"/>
        </w:rPr>
        <w:t xml:space="preserve"> </w:t>
      </w:r>
      <w:r>
        <w:t>ECHR 2016 (fragmenty)). Przy ustalaniu</w:t>
      </w:r>
      <w:r w:rsidR="0093539B">
        <w:t>,</w:t>
      </w:r>
      <w:r>
        <w:t xml:space="preserve"> czy odebranie obywatelstwa narusza </w:t>
      </w:r>
      <w:r w:rsidR="00203174">
        <w:t xml:space="preserve">art. </w:t>
      </w:r>
      <w:r>
        <w:t>8</w:t>
      </w:r>
      <w:r w:rsidR="0093539B">
        <w:t>,</w:t>
      </w:r>
      <w:r>
        <w:t xml:space="preserve"> Trybunał </w:t>
      </w:r>
      <w:r w:rsidR="0093539B">
        <w:t xml:space="preserve">analizował </w:t>
      </w:r>
      <w:r>
        <w:t>dw</w:t>
      </w:r>
      <w:r w:rsidR="0093539B">
        <w:t>ie odrębne kwestie</w:t>
      </w:r>
      <w:r>
        <w:t>: czy odebranie było arbitralne oraz jakie konsekwencje dla skarżącego miało odebranie obywatelstwa.</w:t>
      </w:r>
    </w:p>
    <w:p w:rsidR="00C3128F" w:rsidRPr="00301BFB" w:rsidRDefault="00C3128F" w:rsidP="00301BFB">
      <w:pPr>
        <w:pStyle w:val="ECHRPara"/>
      </w:pPr>
      <w:r>
        <w:t>50.</w:t>
      </w:r>
      <w:r w:rsidR="00DC6543">
        <w:t xml:space="preserve"> </w:t>
      </w:r>
      <w:r>
        <w:t>Ustalając arbitralność odebrania obywatelstwa</w:t>
      </w:r>
      <w:r w:rsidR="0093539B">
        <w:t>,</w:t>
      </w:r>
      <w:r>
        <w:t xml:space="preserve"> Trybunał</w:t>
      </w:r>
      <w:r w:rsidR="0093539B">
        <w:t xml:space="preserve"> miał na</w:t>
      </w:r>
      <w:r w:rsidR="009A3D3A">
        <w:t> </w:t>
      </w:r>
      <w:r w:rsidR="0093539B">
        <w:t>względzie</w:t>
      </w:r>
      <w:r>
        <w:t xml:space="preserve">, czy odebranie obywatelstwa </w:t>
      </w:r>
      <w:r w:rsidR="0093539B">
        <w:t>było zgodne</w:t>
      </w:r>
      <w:r>
        <w:t xml:space="preserve"> z przepisami prawa; czy towarzyszyły mu niezbędne gwarancje proceduralne, w tym czy osoba pozbawiona obywatelstwa miała możliwość zaskarżyć decyzję przed</w:t>
      </w:r>
      <w:r w:rsidR="009A3D3A">
        <w:t> </w:t>
      </w:r>
      <w:r>
        <w:t>sądem</w:t>
      </w:r>
      <w:r w:rsidR="009A3D3A">
        <w:t> </w:t>
      </w:r>
      <w:r>
        <w:t>dającym stosowne gwarancje; oraz czy władze działały sprawnie i</w:t>
      </w:r>
      <w:r w:rsidR="009A3D3A">
        <w:t> </w:t>
      </w:r>
      <w:r>
        <w:t xml:space="preserve">sumiennie (zob. sprawa </w:t>
      </w:r>
      <w:r>
        <w:rPr>
          <w:i/>
          <w:iCs/>
        </w:rPr>
        <w:t>Ramadan przeciwko Malcie</w:t>
      </w:r>
      <w:r>
        <w:t>, cyt.</w:t>
      </w:r>
      <w:r w:rsidR="009A3D3A">
        <w:t> </w:t>
      </w:r>
      <w:r>
        <w:t>powyżej, §§ 86-89). Mając na względzie istotność gwarancji proceduralnych dla oceny arbitralności</w:t>
      </w:r>
      <w:r w:rsidR="0093539B">
        <w:t>,</w:t>
      </w:r>
      <w:r>
        <w:t xml:space="preserve"> Trybunał uzna</w:t>
      </w:r>
      <w:r w:rsidR="0093539B">
        <w:t>je</w:t>
      </w:r>
      <w:r>
        <w:t>, że</w:t>
      </w:r>
      <w:r w:rsidR="009A3D3A">
        <w:t> </w:t>
      </w:r>
      <w:r>
        <w:t>w</w:t>
      </w:r>
      <w:r w:rsidR="009A3D3A">
        <w:t> </w:t>
      </w:r>
      <w:r>
        <w:t xml:space="preserve">przedmiotowej sprawie byłoby rzeczą sztuczną rozdzielanie </w:t>
      </w:r>
      <w:r w:rsidR="0093539B">
        <w:t xml:space="preserve">zarzutów </w:t>
      </w:r>
      <w:r>
        <w:t xml:space="preserve">merytorycznych i proceduralnych skarżącego. Oba te rodzaje </w:t>
      </w:r>
      <w:r w:rsidR="0093539B">
        <w:t>zarzutów</w:t>
      </w:r>
      <w:r>
        <w:t xml:space="preserve"> zostaną zatem rozpatrzone razem.</w:t>
      </w:r>
    </w:p>
    <w:p w:rsidR="00C3128F" w:rsidRPr="00301BFB" w:rsidRDefault="00C3128F" w:rsidP="00301BFB">
      <w:pPr>
        <w:pStyle w:val="ECHRPara"/>
      </w:pPr>
      <w:r>
        <w:lastRenderedPageBreak/>
        <w:t>51.</w:t>
      </w:r>
      <w:r w:rsidR="00DC6543">
        <w:t xml:space="preserve"> </w:t>
      </w:r>
      <w:r>
        <w:t>Chociaż skarżący nie powołał się na gwarancje wynikające z</w:t>
      </w:r>
      <w:r w:rsidR="009A3D3A">
        <w:t> </w:t>
      </w:r>
      <w:r>
        <w:t xml:space="preserve">proceduralnego aspektu </w:t>
      </w:r>
      <w:r w:rsidR="00203174">
        <w:t>art.</w:t>
      </w:r>
      <w:r>
        <w:t xml:space="preserve"> 8 ani w</w:t>
      </w:r>
      <w:r w:rsidR="00030480" w:rsidRPr="00030480">
        <w:t xml:space="preserve"> postępowaniu dotyczącym </w:t>
      </w:r>
      <w:r w:rsidR="00030480">
        <w:t xml:space="preserve">kontroli </w:t>
      </w:r>
      <w:r w:rsidR="00030480" w:rsidRPr="00030480">
        <w:t>sądowej</w:t>
      </w:r>
      <w:r w:rsidR="0093539B">
        <w:t>,</w:t>
      </w:r>
      <w:r>
        <w:t xml:space="preserve"> ani przed SIAC, </w:t>
      </w:r>
      <w:r w:rsidR="00030480">
        <w:t xml:space="preserve">to </w:t>
      </w:r>
      <w:r>
        <w:t>w świetle faktu</w:t>
      </w:r>
      <w:r w:rsidR="00030480">
        <w:t>,</w:t>
      </w:r>
      <w:r>
        <w:t xml:space="preserve"> iż </w:t>
      </w:r>
      <w:r w:rsidR="0093539B">
        <w:t>zarzutów</w:t>
      </w:r>
      <w:r>
        <w:t xml:space="preserve"> proceduralnych i</w:t>
      </w:r>
      <w:r w:rsidR="009A3D3A">
        <w:t> </w:t>
      </w:r>
      <w:r>
        <w:t>merytorycznych nie można w łatwy sposób rozdzielić</w:t>
      </w:r>
      <w:r w:rsidR="00722987">
        <w:t>,</w:t>
      </w:r>
      <w:r>
        <w:t xml:space="preserve"> oraz w świetle ustaleń z </w:t>
      </w:r>
      <w:r w:rsidR="0093539B">
        <w:t xml:space="preserve">paragrafów </w:t>
      </w:r>
      <w:r>
        <w:t xml:space="preserve">52-67 poniżej, nie istnieje konieczność sformułowania </w:t>
      </w:r>
      <w:r w:rsidR="00FF61FB">
        <w:t xml:space="preserve">przez Trybunał </w:t>
      </w:r>
      <w:r>
        <w:t>wyraźnych wniosków co do</w:t>
      </w:r>
      <w:r w:rsidR="00030480">
        <w:t xml:space="preserve"> kwestii</w:t>
      </w:r>
      <w:r>
        <w:t>, czy</w:t>
      </w:r>
      <w:r w:rsidR="009A3D3A">
        <w:t> </w:t>
      </w:r>
      <w:r w:rsidR="00FF61FB">
        <w:t xml:space="preserve">w odniesieniu do zarzutu proceduralnego </w:t>
      </w:r>
      <w:r>
        <w:t xml:space="preserve">skarżący wyczerpał środki przewidziane prawem krajowym w rozumieniu </w:t>
      </w:r>
      <w:r w:rsidR="00203174">
        <w:t>art.</w:t>
      </w:r>
      <w:r>
        <w:t xml:space="preserve"> 35 </w:t>
      </w:r>
      <w:r w:rsidR="00203174">
        <w:t>ust.</w:t>
      </w:r>
      <w:r>
        <w:t xml:space="preserve"> 1 Konwencji.</w:t>
      </w:r>
    </w:p>
    <w:p w:rsidR="00C3128F" w:rsidRPr="00301BFB" w:rsidRDefault="00C3128F" w:rsidP="00301BFB">
      <w:pPr>
        <w:pStyle w:val="ECHRHeading4"/>
      </w:pPr>
      <w:r>
        <w:t>(a) Arbitralność</w:t>
      </w:r>
    </w:p>
    <w:p w:rsidR="00C3128F" w:rsidRPr="00301BFB" w:rsidRDefault="00C3128F" w:rsidP="00301BFB">
      <w:pPr>
        <w:pStyle w:val="ECHRHeading5"/>
      </w:pPr>
      <w:r>
        <w:t>1. Czy pozbawienie obywatelstwa było zgodne z prawem?</w:t>
      </w:r>
    </w:p>
    <w:p w:rsidR="00C3128F" w:rsidRPr="00301BFB" w:rsidRDefault="00C3128F" w:rsidP="00301BFB">
      <w:pPr>
        <w:pStyle w:val="ECHRPara"/>
      </w:pPr>
      <w:bookmarkStart w:id="1" w:name="MIF1"/>
      <w:r>
        <w:t>52</w:t>
      </w:r>
      <w:bookmarkEnd w:id="1"/>
      <w:r>
        <w:t>.</w:t>
      </w:r>
      <w:r w:rsidR="00DC6543">
        <w:t xml:space="preserve"> </w:t>
      </w:r>
      <w:r>
        <w:t xml:space="preserve">Nie sugeruje się, że decyzja o pozbawieniu skarżącego obywatelstwa </w:t>
      </w:r>
      <w:r w:rsidR="0093539B">
        <w:t xml:space="preserve">nie była </w:t>
      </w:r>
      <w:r>
        <w:t>„zgodna z prawem”. Zgodnie z art. 40 ust. 2 ustawy z 1981 r</w:t>
      </w:r>
      <w:r w:rsidR="005750FA">
        <w:t>.</w:t>
      </w:r>
      <w:r>
        <w:t>, sekretarz stanu ma prawo wydać decyzję pozbawiającą osobę obywatelstwa brytyjskiego ze względu na okoliczność, że pozbawienie obywatelstwa „służy interesowi publicznemu” (zob. paragraf 36 powyżej). Dodatkowo, Korona korzysta z prerogatywy wynikające</w:t>
      </w:r>
      <w:r w:rsidR="000C5254">
        <w:t>j</w:t>
      </w:r>
      <w:r>
        <w:t xml:space="preserve"> z systemu </w:t>
      </w:r>
      <w:r w:rsidRPr="000C5254">
        <w:rPr>
          <w:i/>
        </w:rPr>
        <w:t>common law</w:t>
      </w:r>
      <w:r>
        <w:t xml:space="preserve"> umożliwiającej wydalenie osoby z Wielkiej Brytanii. Choć w</w:t>
      </w:r>
      <w:r w:rsidR="00030480" w:rsidRPr="00030480">
        <w:t xml:space="preserve"> postępowaniu dotyczącym sądowej kontroli decyzji</w:t>
      </w:r>
      <w:r>
        <w:t xml:space="preserve"> skarżący podnosił, że tryb ustawowy w sposób dorozumiany uniemożliwiał wykonanie prerogatywy w postaci wydalenia osoby z uzasadnionych przyczyn w trakcie rozpatrywania odwołania przeciwko pozbawieniu osoby obywatelstwa (zob. paragrafy 9 i</w:t>
      </w:r>
      <w:r w:rsidR="009A3D3A">
        <w:t> </w:t>
      </w:r>
      <w:r>
        <w:t>15 powyżej), zarówno Wysoki Trybunał, jak i Sąd Apelacyjny stwierdziły, że stosownych przepisów nie należy w taki sposób interpretować (zob.</w:t>
      </w:r>
      <w:r w:rsidR="009A3D3A">
        <w:t> </w:t>
      </w:r>
      <w:r>
        <w:t>paragrafy 12 i 15 powyżej). Skarżący nie powtórzył tego zastrzeżenia przed tutejszym Trybunałem, w każdym razie Trybunał wielokrotnie stwierdzał, że interpretacja prawa krajowego należy przede wszystkim do</w:t>
      </w:r>
      <w:r w:rsidR="009A3D3A">
        <w:t> </w:t>
      </w:r>
      <w:r>
        <w:t xml:space="preserve">sądów krajowych (zob. m. in. </w:t>
      </w:r>
      <w:r>
        <w:rPr>
          <w:i/>
          <w:iCs/>
        </w:rPr>
        <w:t>Söderman przeciwko Szwecji</w:t>
      </w:r>
      <w:r>
        <w:t xml:space="preserve"> [WI], nr 5786/08</w:t>
      </w:r>
      <w:r>
        <w:rPr>
          <w:snapToGrid w:val="0"/>
        </w:rPr>
        <w:t xml:space="preserve">, § 102, </w:t>
      </w:r>
      <w:r>
        <w:t xml:space="preserve">ECHR 2013 i </w:t>
      </w:r>
      <w:r>
        <w:rPr>
          <w:i/>
          <w:iCs/>
        </w:rPr>
        <w:t>Nejdet Şahin i Perihan Şahin przeciwko Turcji</w:t>
      </w:r>
      <w:r>
        <w:t xml:space="preserve"> [WI], nr 13279/05, § 49, 20 p</w:t>
      </w:r>
      <w:r w:rsidR="000C5254">
        <w:t>aździernika 2011 r.). Dodatkowo</w:t>
      </w:r>
      <w:r>
        <w:t xml:space="preserve"> skarżący nie zakwestionował przewidywalności ani jakości prawa ani przed sądami krajowymi</w:t>
      </w:r>
      <w:r w:rsidR="000C5254">
        <w:t>,</w:t>
      </w:r>
      <w:r>
        <w:t xml:space="preserve"> ani przed tutejszym Trybunałem.</w:t>
      </w:r>
    </w:p>
    <w:p w:rsidR="00C3128F" w:rsidRPr="00301BFB" w:rsidRDefault="00C3128F" w:rsidP="00301BFB">
      <w:pPr>
        <w:pStyle w:val="ECHRHeading5"/>
      </w:pPr>
      <w:r>
        <w:t>ii.</w:t>
      </w:r>
      <w:r w:rsidR="00DC6543">
        <w:t xml:space="preserve"> </w:t>
      </w:r>
      <w:r>
        <w:t>Czy władze działały sprawnie i sumiennie?</w:t>
      </w:r>
    </w:p>
    <w:p w:rsidR="00C3128F" w:rsidRPr="00301BFB" w:rsidRDefault="00C3128F" w:rsidP="00301BFB">
      <w:pPr>
        <w:pStyle w:val="ECHRPara"/>
      </w:pPr>
      <w:r>
        <w:t>53.</w:t>
      </w:r>
      <w:r w:rsidR="00DC6543">
        <w:t xml:space="preserve"> </w:t>
      </w:r>
      <w:r>
        <w:t>Dodatkowo nie ma dowodów na działanie sekretarza stanu w sposób inny niż sprawnie i sumiennie przy podejmowaniu decyzji o pozbawieniu skarżącego obywatelstwa. Wprawdzie nie wiadomo</w:t>
      </w:r>
      <w:r w:rsidR="000C5254">
        <w:t>,</w:t>
      </w:r>
      <w:r>
        <w:t xml:space="preserve"> kiedy dokładnie władze Wielkiej Brytanii powzięły wiadomość o jego działalności, ja</w:t>
      </w:r>
      <w:r w:rsidR="000C5254">
        <w:t>w</w:t>
      </w:r>
      <w:r>
        <w:t>ne dowody przed SIAC wskazują, że opuścił Wielką Brytanię w październiku 2009 r</w:t>
      </w:r>
      <w:r w:rsidR="005750FA">
        <w:t>.</w:t>
      </w:r>
      <w:r>
        <w:t xml:space="preserve"> i od tamtej pory do kwietnia lub maja 2010 r</w:t>
      </w:r>
      <w:r w:rsidR="005750FA">
        <w:t>.</w:t>
      </w:r>
      <w:r>
        <w:t xml:space="preserve"> zaangażował się w</w:t>
      </w:r>
      <w:r w:rsidR="009A3D3A">
        <w:t> </w:t>
      </w:r>
      <w:r>
        <w:t>działalność terrorystyczną w Somalii, kiedy to udał się do Sudanu (zob.</w:t>
      </w:r>
      <w:r w:rsidR="009A3D3A">
        <w:t> </w:t>
      </w:r>
      <w:r>
        <w:t xml:space="preserve">paragraf 22 powyżej). Sekretarz stanu zawiadomiła go o swoim zamiarze wydania decyzji o pozbawieniu go obywatelstwa w piśmie z dnia </w:t>
      </w:r>
      <w:r>
        <w:lastRenderedPageBreak/>
        <w:t>11 czerwca 2010 r. i w dniu 14 czerwca 2010 r. podpisała decyzję (zob.</w:t>
      </w:r>
      <w:r w:rsidR="009A3D3A">
        <w:t> </w:t>
      </w:r>
      <w:r>
        <w:t>paragraf 6 powyżej).</w:t>
      </w:r>
    </w:p>
    <w:p w:rsidR="00C3128F" w:rsidRPr="00301BFB" w:rsidRDefault="00C3128F" w:rsidP="00301BFB">
      <w:pPr>
        <w:pStyle w:val="ECHRHeading5"/>
      </w:pPr>
      <w:r>
        <w:t>iii.</w:t>
      </w:r>
      <w:r w:rsidR="00DC6543">
        <w:t xml:space="preserve"> </w:t>
      </w:r>
      <w:r>
        <w:t>Gwarancje proceduralne</w:t>
      </w:r>
    </w:p>
    <w:p w:rsidR="00C3128F" w:rsidRPr="00301BFB" w:rsidRDefault="00C3128F" w:rsidP="00301BFB">
      <w:pPr>
        <w:pStyle w:val="ECHRPara"/>
      </w:pPr>
      <w:r>
        <w:t>54.</w:t>
      </w:r>
      <w:r w:rsidR="00DC6543">
        <w:t xml:space="preserve"> </w:t>
      </w:r>
      <w:r>
        <w:t xml:space="preserve">A zatem podstawową kwestią, którą w przedmiotowej sprawie winien zająć się Trybunał, jest kwestia czy skarżącemu zapewniono gwarancje proceduralne wymagane </w:t>
      </w:r>
      <w:r w:rsidR="000C5254">
        <w:t xml:space="preserve">przez </w:t>
      </w:r>
      <w:r w:rsidR="00203174">
        <w:t>art.</w:t>
      </w:r>
      <w:r>
        <w:t xml:space="preserve"> 8 Konwencji.</w:t>
      </w:r>
    </w:p>
    <w:p w:rsidR="00C3128F" w:rsidRPr="00301BFB" w:rsidRDefault="00C3128F" w:rsidP="00301BFB">
      <w:pPr>
        <w:pStyle w:val="ECHRPara"/>
      </w:pPr>
      <w:r>
        <w:t>55.</w:t>
      </w:r>
      <w:r w:rsidR="00DC6543">
        <w:t xml:space="preserve"> </w:t>
      </w:r>
      <w:r>
        <w:t>W tym względzie Trybunał odnotowuje, że skarżący miał ustawowe prawo do złożenia odwołania do SIAC przeciwko decyzji o pozbawieniu go obywatelstwa (zob. paragraf 37 powyżej). Chociaż twierdzi on, że miał bardzo ograniczone informacje o charakterze prowadzonej przeciwko niemu sprawy związanej z bezpieczeństwem narodowym, Trybunał zauważa, że</w:t>
      </w:r>
      <w:r w:rsidR="009A3D3A">
        <w:t> </w:t>
      </w:r>
      <w:r>
        <w:t>przed rozprawą otrzymał Informację Bezpieczeństwa Narodowego określającą wyraźnie – w ramach jawnych dowodów – szczegóły sprawy wytoczonej przez sekretarza stanu przeciwko niemu związanej z</w:t>
      </w:r>
      <w:r w:rsidR="009A3D3A">
        <w:t> </w:t>
      </w:r>
      <w:r>
        <w:t>bezpieczeństwem narodowym (zob. paragraf 22 powyżej). W rezultacie SIAC nie miała wątpliwości, że „charakter sprawy był szeroko znany skarżącemu” (zob. paragraf 30 powyżej). Dodatkowo był reprezentowany w</w:t>
      </w:r>
      <w:r w:rsidR="009A3D3A">
        <w:t> </w:t>
      </w:r>
      <w:r w:rsidR="000C5254">
        <w:t xml:space="preserve">postępowaniu odwoławczym </w:t>
      </w:r>
      <w:r>
        <w:t>przez prawnika oraz wyznaczono specjalnych</w:t>
      </w:r>
      <w:r w:rsidR="00D03B28">
        <w:t xml:space="preserve"> adwokatów</w:t>
      </w:r>
      <w:r>
        <w:t xml:space="preserve"> celem zapoznania się dowodami ujętymi w</w:t>
      </w:r>
      <w:r w:rsidR="009A3D3A">
        <w:t> </w:t>
      </w:r>
      <w:r>
        <w:t xml:space="preserve">materiałach niejawnych. Trybunał przywołuje, iż w sprawie </w:t>
      </w:r>
      <w:r>
        <w:rPr>
          <w:i/>
          <w:iCs/>
        </w:rPr>
        <w:t>I.R. i G.T</w:t>
      </w:r>
      <w:r>
        <w:t>. (</w:t>
      </w:r>
      <w:r w:rsidR="000C5254">
        <w:t xml:space="preserve">cyt. </w:t>
      </w:r>
      <w:r>
        <w:t xml:space="preserve">powyżej, §§ 63-65), która dotyczyła </w:t>
      </w:r>
      <w:r w:rsidR="00B064A8">
        <w:t>cofnięcia ze</w:t>
      </w:r>
      <w:r w:rsidR="000C5254">
        <w:t xml:space="preserve">zwolenia </w:t>
      </w:r>
      <w:r>
        <w:t>na poby</w:t>
      </w:r>
      <w:r w:rsidR="000C5254">
        <w:t>t skarżących oraz ich wydalenia</w:t>
      </w:r>
      <w:r>
        <w:t xml:space="preserve"> z Wielkiej Brytanii, Trybunał uznał, że</w:t>
      </w:r>
      <w:r w:rsidR="009A3D3A">
        <w:t> </w:t>
      </w:r>
      <w:r>
        <w:t xml:space="preserve">istniały wystarczające gwarancje w ramach postępowania przed SIAC zgodnie z wymogami </w:t>
      </w:r>
      <w:r w:rsidR="00203174">
        <w:t>art.</w:t>
      </w:r>
      <w:r>
        <w:t xml:space="preserve"> 8 (zob. również </w:t>
      </w:r>
      <w:r>
        <w:rPr>
          <w:i/>
          <w:iCs/>
        </w:rPr>
        <w:t>Abdul Wahab Khan przeciwko Wielkiej Brytanii (</w:t>
      </w:r>
      <w:r w:rsidR="000C5254">
        <w:rPr>
          <w:i/>
          <w:iCs/>
        </w:rPr>
        <w:t>dec</w:t>
      </w:r>
      <w:r>
        <w:rPr>
          <w:i/>
          <w:iCs/>
        </w:rPr>
        <w:t>.)</w:t>
      </w:r>
      <w:r>
        <w:t>, nr 11987/11, §33, 28 stycznia 2014 r.).</w:t>
      </w:r>
    </w:p>
    <w:p w:rsidR="00C3128F" w:rsidRPr="00301BFB" w:rsidRDefault="00C3128F" w:rsidP="00301BFB">
      <w:pPr>
        <w:pStyle w:val="ECHRPara"/>
      </w:pPr>
      <w:r>
        <w:t>56.</w:t>
      </w:r>
      <w:r w:rsidR="00DC6543">
        <w:t xml:space="preserve"> </w:t>
      </w:r>
      <w:r>
        <w:t>Jednakże mimo to skarżący twierdzi, że z okoliczności przedmiotowej sprawy wynika, iż jego wydalenie z Wielkiej Brytanii uniemożliwiło mu uczestniczenie w sposób skuteczny w postępowaniu odwoławczym przeciwko decyzji o pozbawieniu go obywatelstwa, ponieważ sam fakt komunikowania się z prawnikami z Sudanu naraziłby go</w:t>
      </w:r>
      <w:r w:rsidR="009A3D3A">
        <w:t> </w:t>
      </w:r>
      <w:r>
        <w:t>na ryzyko ogromnej krzywdy ze strony władz sudańskich. Jednakże z</w:t>
      </w:r>
      <w:r w:rsidR="009A3D3A">
        <w:t> </w:t>
      </w:r>
      <w:r>
        <w:t>przyczyn opisanych poniżej Trybunał nie uznaje, iż wydalenie skarżącego z Wielkiej Brytanii sprawił</w:t>
      </w:r>
      <w:r w:rsidR="000C5254">
        <w:t>o</w:t>
      </w:r>
      <w:r>
        <w:t>, że gwarancje proceduralne stały się bezskuteczne.</w:t>
      </w:r>
    </w:p>
    <w:p w:rsidR="00C3128F" w:rsidRPr="00301BFB" w:rsidRDefault="00C3128F" w:rsidP="00301BFB">
      <w:pPr>
        <w:pStyle w:val="ECHRPara"/>
      </w:pPr>
      <w:r>
        <w:t>57.</w:t>
      </w:r>
      <w:r w:rsidR="00DC6543">
        <w:t xml:space="preserve"> </w:t>
      </w:r>
      <w:r>
        <w:t>Przede wszystkim Trybunał nie może zaakceptować</w:t>
      </w:r>
      <w:r w:rsidR="008A06BE">
        <w:t xml:space="preserve"> twierdzenia</w:t>
      </w:r>
      <w:r>
        <w:t>, że</w:t>
      </w:r>
      <w:r w:rsidR="009A3D3A">
        <w:t> </w:t>
      </w:r>
      <w:r>
        <w:t xml:space="preserve">odwołanie składane zza granicy koniecznie powoduje, że decyzja </w:t>
      </w:r>
      <w:r w:rsidR="00A766F0">
        <w:t>o</w:t>
      </w:r>
      <w:r w:rsidR="001F1BFA">
        <w:t> </w:t>
      </w:r>
      <w:r>
        <w:t xml:space="preserve">odebraniu obywatelstwa staje się „arbitralna” w rozumieniu </w:t>
      </w:r>
      <w:r w:rsidR="00203174">
        <w:t>art.</w:t>
      </w:r>
      <w:r>
        <w:t xml:space="preserve"> 8 Konwencji. Nie wyklucza możliwości, że kwestia na tle </w:t>
      </w:r>
      <w:r w:rsidR="00203174">
        <w:t>art.</w:t>
      </w:r>
      <w:r>
        <w:t xml:space="preserve"> 8 może powstać tam, gdzie istnieją wyraźne i obiektywne dowody, że dana osoba nie miała możliwości wydawania poleceń prawnikom lub składania zeznań</w:t>
      </w:r>
      <w:r w:rsidR="008A06BE">
        <w:t>,</w:t>
      </w:r>
      <w:r>
        <w:t xml:space="preserve"> znajdując się poza jurysdykcją organu; jednakże </w:t>
      </w:r>
      <w:r w:rsidR="00203174">
        <w:t xml:space="preserve">art. </w:t>
      </w:r>
      <w:r>
        <w:t xml:space="preserve">8 nie może być interpretowany w ten sposób, że nakłada na </w:t>
      </w:r>
      <w:r w:rsidRPr="00D641F3">
        <w:rPr>
          <w:rStyle w:val="sb8d990e2"/>
        </w:rPr>
        <w:t>Układając</w:t>
      </w:r>
      <w:r>
        <w:rPr>
          <w:rStyle w:val="sb8d990e2"/>
        </w:rPr>
        <w:t>e</w:t>
      </w:r>
      <w:r w:rsidRPr="00D641F3">
        <w:rPr>
          <w:rStyle w:val="sb8d990e2"/>
        </w:rPr>
        <w:t xml:space="preserve"> się Państw</w:t>
      </w:r>
      <w:r>
        <w:rPr>
          <w:rStyle w:val="sb8d990e2"/>
        </w:rPr>
        <w:t>a</w:t>
      </w:r>
      <w:r w:rsidRPr="00D641F3">
        <w:rPr>
          <w:rStyle w:val="sb8d990e2"/>
        </w:rPr>
        <w:t xml:space="preserve"> </w:t>
      </w:r>
      <w:r>
        <w:t xml:space="preserve">obowiązek ułatwiania </w:t>
      </w:r>
      <w:r>
        <w:lastRenderedPageBreak/>
        <w:t>powrotu każdej osobie znajdującej się poza jurysdykcją organu i</w:t>
      </w:r>
      <w:r w:rsidR="009A3D3A">
        <w:t> </w:t>
      </w:r>
      <w:r>
        <w:t>pozbawionej obywatelstwa, celem złożenia odwołania od takiej decyzji.</w:t>
      </w:r>
    </w:p>
    <w:p w:rsidR="00C3128F" w:rsidRPr="00301BFB" w:rsidRDefault="00C3128F" w:rsidP="00301BFB">
      <w:pPr>
        <w:pStyle w:val="ECHRPara"/>
      </w:pPr>
      <w:r>
        <w:t>58.</w:t>
      </w:r>
      <w:r w:rsidR="00DC6543">
        <w:t xml:space="preserve"> </w:t>
      </w:r>
      <w:r>
        <w:t xml:space="preserve">Po drugie, Trybunał zauważa, że w przedmiotowej sprawie skarżący był w stanie złożyć odwołanie do sądu od decyzji o wydaleniu go z Wielkiej Brytanii i w tym postępowaniu jednym z głównych podnoszonych </w:t>
      </w:r>
      <w:r w:rsidR="008A06BE">
        <w:t>przez</w:t>
      </w:r>
      <w:r w:rsidR="009A3D3A">
        <w:t> </w:t>
      </w:r>
      <w:r w:rsidR="008A06BE">
        <w:t xml:space="preserve">niego </w:t>
      </w:r>
      <w:r>
        <w:t xml:space="preserve">argumentów była okoliczność, że jego wydalenie uniemożliwiłoby mu efektywne uczestniczenie w postępowaniu odwoławczym w sprawie dotyczącej pozbawienia go obywatelstwa. Dopuszczono </w:t>
      </w:r>
      <w:r w:rsidR="008A06BE">
        <w:t xml:space="preserve">także </w:t>
      </w:r>
      <w:r>
        <w:t>do przedstawienia tego twierdzenia jako kwestii wstępnej przed SIAC. SIAC, po rozważeniu materiału dowodowego zarówno jawnego jak i niejawnego, stwierdziła, że istniał szereg sposobów, w jaki skarżący mógł się bezpiecznie komunikować z prawnikami oraz</w:t>
      </w:r>
      <w:r w:rsidR="009A3D3A">
        <w:t> </w:t>
      </w:r>
      <w:r>
        <w:t>że</w:t>
      </w:r>
      <w:r w:rsidR="009A3D3A">
        <w:t> </w:t>
      </w:r>
      <w:r>
        <w:t>obawy dotyczące przechwycenia tej komunikacji były w każdym razie nieuzasadnione (zob. paragrafy 28-29 powyżej). Wniosek ten nie jest sprzeczny z ustaleniami Wysokiego Trybunału oraz Sądu Apelacyjnego w</w:t>
      </w:r>
      <w:r w:rsidR="009A3D3A">
        <w:t> </w:t>
      </w:r>
      <w:r w:rsidR="00030480" w:rsidRPr="00030480">
        <w:t>postępowaniu dotyczącym sądowej kontroli decyzji</w:t>
      </w:r>
      <w:r>
        <w:t>. Wysoki Trybunał nie doszedł do żadnych wniosków co do zdolności skarżącego do</w:t>
      </w:r>
      <w:r w:rsidR="009A3D3A">
        <w:t> </w:t>
      </w:r>
      <w:r>
        <w:t>komunikowania się z prawnikami z Sudanu, jako że stwierdził, że skarżący mógł bezpiecznie podróżować do kraju trzeciego (zob. paragraf 13 powyżej). W takim zakresie, w jakim Sąd Apelacyjny rozważał tę kwestię, stwierdził, że sekretarz stanu przedstawiła „uzasadnione argumenty przemawiające za tym, że skarżący mógłby spokojnie kierować swoim odwołaniem z Sudanu” (zob. paragraf 16 powyżej). W świetle wszechstronnego i dokładnego zbadania wniosków w tej sprawie przez sądy krajowe Trybunał uznaje, że nie jest jego rolą kwestionowanie ich ustaleń oraz że nie istnieją wyraźne, obiektywne dowody, iż skarżący w</w:t>
      </w:r>
      <w:r w:rsidR="009A3D3A">
        <w:t> </w:t>
      </w:r>
      <w:r>
        <w:t>przedmiotowej sprawie nie był w stanie wydawać poleceń prawnikom, znajdując się poza jurysdykcją organów.</w:t>
      </w:r>
    </w:p>
    <w:p w:rsidR="00C3128F" w:rsidRPr="00301BFB" w:rsidRDefault="00C3128F" w:rsidP="00301BFB">
      <w:pPr>
        <w:pStyle w:val="ECHRPara"/>
      </w:pPr>
      <w:r>
        <w:t>59.</w:t>
      </w:r>
      <w:r w:rsidR="00DC6543">
        <w:t xml:space="preserve"> </w:t>
      </w:r>
      <w:r>
        <w:t>Po trzecie, z wyroku SIAC z dnia 22 grudnia 2015 r. co do istoty sprawy skarżącego wyraźnie wynika, że mimo stwierdzenia „braku dobrych powodów</w:t>
      </w:r>
      <w:r w:rsidR="008A06BE">
        <w:t>,</w:t>
      </w:r>
      <w:r>
        <w:t xml:space="preserve"> dla</w:t>
      </w:r>
      <w:r w:rsidR="008A06BE">
        <w:t xml:space="preserve"> których skarżący nie mógł angażować</w:t>
      </w:r>
      <w:r>
        <w:t xml:space="preserve"> się w postępowanie odwoławcze i nie wydawał w pełni poleceń swoim prawnikom” (zob.</w:t>
      </w:r>
      <w:r w:rsidR="009A3D3A">
        <w:t> </w:t>
      </w:r>
      <w:r>
        <w:t>paragraf 31 powyżej), w świetle faktu</w:t>
      </w:r>
      <w:r w:rsidR="008A06BE">
        <w:t>,</w:t>
      </w:r>
      <w:r>
        <w:t xml:space="preserve"> iż specjalni </w:t>
      </w:r>
      <w:r w:rsidR="00D03B28">
        <w:t xml:space="preserve">adwokaci </w:t>
      </w:r>
      <w:r>
        <w:t xml:space="preserve">nie angażowali się w niejawną sprawę związaną z bezpieczeństwem narodowym, [Komisja] poszukiwała </w:t>
      </w:r>
      <w:r w:rsidR="008A06BE">
        <w:t>najbardziej niezależnych i</w:t>
      </w:r>
      <w:r w:rsidR="009A3D3A">
        <w:t> </w:t>
      </w:r>
      <w:r w:rsidR="008A06BE">
        <w:t>obiektywnych dowodów</w:t>
      </w:r>
      <w:r>
        <w:t xml:space="preserve"> w niejawnej sprawie i zastosowała szczególną rozwagę w wyciąganiu wniosków niekorzystnych dla skarżącego (zob.</w:t>
      </w:r>
      <w:r w:rsidR="009A3D3A">
        <w:t> </w:t>
      </w:r>
      <w:r>
        <w:t>paragraf 32 powyżej). Jednakże</w:t>
      </w:r>
      <w:r w:rsidR="008A06BE">
        <w:t>,</w:t>
      </w:r>
      <w:r>
        <w:t xml:space="preserve"> mimo tak ostrożnego podejścia, stwierdziła, że niejawne dowody </w:t>
      </w:r>
      <w:r w:rsidR="008A06BE">
        <w:t xml:space="preserve">w sposób </w:t>
      </w:r>
      <w:r>
        <w:t>„rozstrzygając</w:t>
      </w:r>
      <w:r w:rsidR="008A06BE">
        <w:t>y</w:t>
      </w:r>
      <w:r>
        <w:t>” (spełnia</w:t>
      </w:r>
      <w:r w:rsidR="00FF61FB">
        <w:t>jąc</w:t>
      </w:r>
      <w:r w:rsidR="009A3D3A">
        <w:t> </w:t>
      </w:r>
      <w:r>
        <w:t>standard dowodowy dla postępowań karnych) potwierdzały</w:t>
      </w:r>
      <w:r w:rsidR="00DC10EE">
        <w:t>,</w:t>
      </w:r>
      <w:r>
        <w:t xml:space="preserve"> ż</w:t>
      </w:r>
      <w:r w:rsidR="00DC10EE">
        <w:t>e</w:t>
      </w:r>
      <w:r w:rsidR="009A3D3A">
        <w:t> </w:t>
      </w:r>
      <w:r>
        <w:t>skarżący przebywał w Somalii w danym czasie oraz ż</w:t>
      </w:r>
      <w:r w:rsidR="00DC10EE">
        <w:t>e</w:t>
      </w:r>
      <w:r>
        <w:t xml:space="preserve"> podróżował tam</w:t>
      </w:r>
      <w:r w:rsidR="009A3D3A">
        <w:t> </w:t>
      </w:r>
      <w:r>
        <w:t>w towarzystwie ekstremistów</w:t>
      </w:r>
      <w:r w:rsidR="00DC10EE">
        <w:t>,</w:t>
      </w:r>
      <w:r>
        <w:t xml:space="preserve"> aby wziąć udział w działaniach terrorystycznych; że z niejawnych dowodów wynikało, iż</w:t>
      </w:r>
      <w:r w:rsidR="009A3D3A">
        <w:t> </w:t>
      </w:r>
      <w:r>
        <w:t xml:space="preserve">„prawdopodobnie” walczył przeciwko </w:t>
      </w:r>
      <w:r w:rsidR="00DC10EE">
        <w:t xml:space="preserve">siłom </w:t>
      </w:r>
      <w:r>
        <w:t xml:space="preserve">operacji pokojowej </w:t>
      </w:r>
      <w:r>
        <w:lastRenderedPageBreak/>
        <w:t>AMISOM, że było „wysoce prawdopodobne” (co również spełniało standard dowodowy dla postępowań karnych), że jego działalność terrorystyczna przynajmniej częściowo była powiązana z Al</w:t>
      </w:r>
      <w:r>
        <w:noBreakHyphen/>
        <w:t>Szabaab; oraz</w:t>
      </w:r>
      <w:r w:rsidR="009A3D3A">
        <w:t> </w:t>
      </w:r>
      <w:r>
        <w:t>że istniały rozstrzygające niejawne dowody (ponownie spełniające standard dowodowy dla postępowań karnych), że nawiązał kontakty ze</w:t>
      </w:r>
      <w:r w:rsidR="009A3D3A">
        <w:t> </w:t>
      </w:r>
      <w:r>
        <w:t>znanymi ekstremistami w Wielkiej Brytanii i za granicą (zob. paragraf 32 powyżej).</w:t>
      </w:r>
    </w:p>
    <w:p w:rsidR="00C3128F" w:rsidRPr="00301BFB" w:rsidRDefault="00C3128F" w:rsidP="00301BFB">
      <w:pPr>
        <w:pStyle w:val="ECHRPara"/>
      </w:pPr>
      <w:r>
        <w:t>60.</w:t>
      </w:r>
      <w:r w:rsidR="00DC6543">
        <w:t xml:space="preserve"> </w:t>
      </w:r>
      <w:r>
        <w:t xml:space="preserve">Wreszcie Trybunał nie może ignorować okoliczności, że trudności proceduralne, na które powołuje się skarżący, nie były naturalną konsekwencją wypływającą z faktu jednoczesnej decyzji </w:t>
      </w:r>
      <w:r w:rsidR="00CC7BA2">
        <w:t>o pozbawieniu go</w:t>
      </w:r>
      <w:r w:rsidR="009A3D3A">
        <w:t> </w:t>
      </w:r>
      <w:r w:rsidR="00CC7BA2">
        <w:t>obywatelstwa i wydaleniu</w:t>
      </w:r>
      <w:r>
        <w:t xml:space="preserve"> z Wielkiej Brytanii. </w:t>
      </w:r>
      <w:r w:rsidR="00CC7BA2">
        <w:t>J</w:t>
      </w:r>
      <w:r>
        <w:t xml:space="preserve">ak </w:t>
      </w:r>
      <w:r w:rsidR="00CC7BA2">
        <w:t xml:space="preserve">odnotował </w:t>
      </w:r>
      <w:r>
        <w:t xml:space="preserve">Sąd Apelacyjny w </w:t>
      </w:r>
      <w:r w:rsidR="00030480" w:rsidRPr="00030480">
        <w:t>postępowaniu dotyczącym sądowej kontroli decyzji</w:t>
      </w:r>
      <w:r>
        <w:t xml:space="preserve">, przyczyną, dla której </w:t>
      </w:r>
      <w:r w:rsidR="00CC7BA2">
        <w:t xml:space="preserve">skarżący </w:t>
      </w:r>
      <w:r>
        <w:t>musiał prowadzić swoje odwołanie spoza Wielkiej Brytanii</w:t>
      </w:r>
      <w:r w:rsidR="00CC7BA2">
        <w:t>,</w:t>
      </w:r>
      <w:r>
        <w:t xml:space="preserve"> nie była decyzja sekretarz stanu o wydaleniu go, lecz</w:t>
      </w:r>
      <w:r w:rsidR="009A3D3A">
        <w:t> </w:t>
      </w:r>
      <w:r>
        <w:t xml:space="preserve">jego własna decyzja o opuszczeniu kraju </w:t>
      </w:r>
      <w:r w:rsidRPr="00030480">
        <w:t>przed terminem, w którym miał stawić się w sądzie</w:t>
      </w:r>
      <w:r w:rsidR="00030480">
        <w:t xml:space="preserve"> za kaucją</w:t>
      </w:r>
      <w:r w:rsidRPr="00030480">
        <w:t xml:space="preserve"> (zob</w:t>
      </w:r>
      <w:r>
        <w:t>. paragraf 15 powyżej).</w:t>
      </w:r>
    </w:p>
    <w:p w:rsidR="00C3128F" w:rsidRPr="00301BFB" w:rsidRDefault="00C3128F" w:rsidP="00301BFB">
      <w:pPr>
        <w:pStyle w:val="ECHRPara"/>
      </w:pPr>
      <w:r>
        <w:t>61.</w:t>
      </w:r>
      <w:r w:rsidR="00DC6543">
        <w:t xml:space="preserve"> </w:t>
      </w:r>
      <w:r>
        <w:t xml:space="preserve">Trybunał przywołuje, że oceniając decyzję o odebraniu skarżącemu obywatelstwa </w:t>
      </w:r>
      <w:r w:rsidR="00F31716">
        <w:t xml:space="preserve">brytyjskiego </w:t>
      </w:r>
      <w:r>
        <w:t>musi stosować standard „arbitralności” (zob.</w:t>
      </w:r>
      <w:r w:rsidR="009A3D3A">
        <w:t> </w:t>
      </w:r>
      <w:r>
        <w:t xml:space="preserve">paragraf 49 powyżej), który jest </w:t>
      </w:r>
      <w:r w:rsidR="006D4A03" w:rsidRPr="00B63F14">
        <w:t>standardem</w:t>
      </w:r>
      <w:r w:rsidR="006D4A03">
        <w:t xml:space="preserve"> </w:t>
      </w:r>
      <w:r w:rsidRPr="00B63F14">
        <w:t xml:space="preserve">bardziej </w:t>
      </w:r>
      <w:r w:rsidR="00B63F14" w:rsidRPr="00B63F14">
        <w:t>restrykcyjnym</w:t>
      </w:r>
      <w:r w:rsidRPr="00B63F14">
        <w:t xml:space="preserve"> </w:t>
      </w:r>
      <w:r>
        <w:t>niż standard proporcjonalności. Mając powyższe na uwadze oraz</w:t>
      </w:r>
      <w:r w:rsidR="009A3D3A">
        <w:t> </w:t>
      </w:r>
      <w:r>
        <w:t>uwzględniając powyższe rozważania, stwierdza, że decyzja nie była „arbitralna”.</w:t>
      </w:r>
    </w:p>
    <w:p w:rsidR="00C3128F" w:rsidRPr="00301BFB" w:rsidRDefault="00C3128F" w:rsidP="00301BFB">
      <w:pPr>
        <w:pStyle w:val="ECHRHeading4"/>
      </w:pPr>
      <w:r>
        <w:t>(b) Konsekwencje odebrania obywatelstwa</w:t>
      </w:r>
    </w:p>
    <w:p w:rsidR="00C3128F" w:rsidRPr="00301BFB" w:rsidRDefault="00C3128F" w:rsidP="00301BFB">
      <w:pPr>
        <w:pStyle w:val="ECHRPara"/>
      </w:pPr>
      <w:r>
        <w:t>62.</w:t>
      </w:r>
      <w:r w:rsidR="00DC6543">
        <w:t xml:space="preserve"> </w:t>
      </w:r>
      <w:r>
        <w:t xml:space="preserve">Wskutek decyzji o odebraniu mu obywatelstwa brytyjskiego skarżący nie stał się bezpaństwowcem, jako że miał prawo do </w:t>
      </w:r>
      <w:r w:rsidR="00FF61FB">
        <w:t xml:space="preserve">sudańskiego </w:t>
      </w:r>
      <w:r w:rsidR="00F31716">
        <w:t xml:space="preserve">paszportu </w:t>
      </w:r>
      <w:r>
        <w:t xml:space="preserve">i od tamtej pory </w:t>
      </w:r>
      <w:r w:rsidR="00F31716">
        <w:t>go uzyskał</w:t>
      </w:r>
      <w:r>
        <w:t>. Co więcej Trybunał nie może nie uwzględnić ustaleń SIAC z jej wyroku z 22 grudnia 2005 r.</w:t>
      </w:r>
      <w:r w:rsidR="00F31716">
        <w:t>,</w:t>
      </w:r>
      <w:r>
        <w:t xml:space="preserve"> a mianowicie, że skarżący opuścił Wielką Brytanię dobrowolnie przed wydaniem decyzji o odebraniu mu obywatelstwa; j</w:t>
      </w:r>
      <w:r w:rsidR="00F31716">
        <w:t>ego żona i dziecko nie mieszkali</w:t>
      </w:r>
      <w:r>
        <w:t xml:space="preserve"> już w tamtym czasie w</w:t>
      </w:r>
      <w:r w:rsidR="009A3D3A">
        <w:t> </w:t>
      </w:r>
      <w:r>
        <w:t>Wielkiej Brytanii i mogli swobodnie odwiedzać Sudan i tam mieszkać</w:t>
      </w:r>
      <w:r w:rsidR="00F31716">
        <w:t>,</w:t>
      </w:r>
      <w:r>
        <w:t xml:space="preserve"> gdyby chcieli; a własna rodzina mogła go odwiedzać „rozsądnie często” </w:t>
      </w:r>
      <w:r w:rsidR="009A3D3A">
        <w:t>–</w:t>
      </w:r>
      <w:r>
        <w:t xml:space="preserve"> i</w:t>
      </w:r>
      <w:r w:rsidR="009A3D3A">
        <w:t> </w:t>
      </w:r>
      <w:r>
        <w:t>faktycznie to robiła (zob. paragraf 33 powyżej). Choć w najnowszej korespondencji skarżący podnosi, że jego żona i dziecko są rezydentami Wielkiej Brytanii, nie uprawdopodobnił tego argumentu. W każdym razie istotną kwestią jest fakt, że mają oni prawo do odwiedzania go w Sudanie czy też nawet do przeprowadzki.</w:t>
      </w:r>
    </w:p>
    <w:p w:rsidR="00C3128F" w:rsidRPr="00301BFB" w:rsidRDefault="00C3128F" w:rsidP="00301BFB">
      <w:pPr>
        <w:pStyle w:val="ECHRPara"/>
      </w:pPr>
      <w:r>
        <w:t>63.</w:t>
      </w:r>
      <w:r w:rsidR="00DC6543">
        <w:t xml:space="preserve"> </w:t>
      </w:r>
      <w:r>
        <w:t>Wydaje się, że skarżący w postępowaniu krajowym nie skarżył się na</w:t>
      </w:r>
      <w:r w:rsidR="009A3D3A">
        <w:t> </w:t>
      </w:r>
      <w:r>
        <w:t>niekorzystny wpływ zaskarżanych środków na jego reputację. Przed</w:t>
      </w:r>
      <w:r w:rsidR="009A3D3A">
        <w:t> </w:t>
      </w:r>
      <w:r>
        <w:t>tutejszym Trybunałem podnosi, że został umieszczony na liście osób z zakazem podróżowania drogą lotniczą, ale nie przekazał żadnych dowodów na potwierdzenie tego stwierdzenia.</w:t>
      </w:r>
    </w:p>
    <w:p w:rsidR="00C3128F" w:rsidRPr="00301BFB" w:rsidRDefault="00C3128F" w:rsidP="00301BFB">
      <w:pPr>
        <w:pStyle w:val="ECHRHeading4"/>
      </w:pPr>
      <w:r>
        <w:lastRenderedPageBreak/>
        <w:t>(c) Podsumowanie</w:t>
      </w:r>
    </w:p>
    <w:p w:rsidR="00C3128F" w:rsidRPr="00301BFB" w:rsidRDefault="00C3128F" w:rsidP="00301BFB">
      <w:pPr>
        <w:pStyle w:val="ECHRPara"/>
      </w:pPr>
      <w:r>
        <w:t>64.</w:t>
      </w:r>
      <w:r w:rsidR="00DC6543">
        <w:t xml:space="preserve"> </w:t>
      </w:r>
      <w:r>
        <w:t>W świetle po</w:t>
      </w:r>
      <w:r w:rsidR="00F31716">
        <w:t>wyższych rozważań Trybunał uznaje</w:t>
      </w:r>
      <w:r>
        <w:t>, że w zakresie</w:t>
      </w:r>
      <w:r w:rsidR="00F31716">
        <w:t>,</w:t>
      </w:r>
      <w:r>
        <w:t xml:space="preserve"> w</w:t>
      </w:r>
      <w:r w:rsidR="009A3D3A">
        <w:t> </w:t>
      </w:r>
      <w:r>
        <w:t xml:space="preserve">jakim skarga skarżącego z </w:t>
      </w:r>
      <w:r w:rsidR="00203174">
        <w:t>art.</w:t>
      </w:r>
      <w:r>
        <w:t xml:space="preserve"> 8 dotyczy decyzji o pozbawieniu go</w:t>
      </w:r>
      <w:r w:rsidR="009A3D3A">
        <w:t> </w:t>
      </w:r>
      <w:r>
        <w:t xml:space="preserve">obywatelstwa, jest </w:t>
      </w:r>
      <w:r w:rsidR="00360A44">
        <w:t xml:space="preserve">ona </w:t>
      </w:r>
      <w:r w:rsidRPr="00722784">
        <w:t>w sposób oczywisty nieuzasadniona</w:t>
      </w:r>
      <w:r>
        <w:t xml:space="preserve"> i w związku z tym winna być odrzucona zgodnie z </w:t>
      </w:r>
      <w:r w:rsidR="00203174">
        <w:t>art.</w:t>
      </w:r>
      <w:r>
        <w:t xml:space="preserve"> 35 </w:t>
      </w:r>
      <w:r w:rsidR="00203174">
        <w:t>ust.</w:t>
      </w:r>
      <w:r>
        <w:t xml:space="preserve"> 3 lit. a Konwencji.</w:t>
      </w:r>
    </w:p>
    <w:p w:rsidR="00C3128F" w:rsidRPr="00301BFB" w:rsidRDefault="00C3128F" w:rsidP="00301BFB">
      <w:pPr>
        <w:pStyle w:val="ECHRHeading3"/>
      </w:pPr>
      <w:r>
        <w:t>2.</w:t>
      </w:r>
      <w:r w:rsidR="00DC6543">
        <w:t xml:space="preserve"> </w:t>
      </w:r>
      <w:r>
        <w:t>Wydalenie skarżącego z Wielkiej Brytanii</w:t>
      </w:r>
    </w:p>
    <w:p w:rsidR="00C3128F" w:rsidRPr="00301BFB" w:rsidRDefault="00C3128F" w:rsidP="00301BFB">
      <w:pPr>
        <w:pStyle w:val="ECHRPara"/>
      </w:pPr>
      <w:r>
        <w:t>65.</w:t>
      </w:r>
      <w:r w:rsidR="00DC6543">
        <w:t xml:space="preserve"> </w:t>
      </w:r>
      <w:r>
        <w:t>Na podstawie u</w:t>
      </w:r>
      <w:r w:rsidR="008B00A6">
        <w:t>trwalonego</w:t>
      </w:r>
      <w:r>
        <w:t xml:space="preserve"> prawa międzynarodowego i</w:t>
      </w:r>
      <w:r w:rsidR="009A3D3A">
        <w:t> </w:t>
      </w:r>
      <w:r>
        <w:t>z</w:t>
      </w:r>
      <w:r w:rsidR="009A3D3A">
        <w:t> </w:t>
      </w:r>
      <w:r>
        <w:t>zastrzeżeniem zobowiązań traktatowych Państwa mają prawo do kontroli wjazdu, pobytu i wydalania cudzoziemców. Konwencja nie gwarantuje cudzoziemcom prawa do wjazdu do danego państwa czy pobytu w nim, a</w:t>
      </w:r>
      <w:r w:rsidR="009A3D3A">
        <w:t> </w:t>
      </w:r>
      <w:r w:rsidRPr="00D641F3">
        <w:rPr>
          <w:rStyle w:val="sb8d990e2"/>
        </w:rPr>
        <w:t>Układając</w:t>
      </w:r>
      <w:r>
        <w:rPr>
          <w:rStyle w:val="sb8d990e2"/>
        </w:rPr>
        <w:t>e</w:t>
      </w:r>
      <w:r w:rsidRPr="00D641F3">
        <w:rPr>
          <w:rStyle w:val="sb8d990e2"/>
        </w:rPr>
        <w:t xml:space="preserve"> się Państw</w:t>
      </w:r>
      <w:r>
        <w:rPr>
          <w:rStyle w:val="sb8d990e2"/>
        </w:rPr>
        <w:t>a</w:t>
      </w:r>
      <w:r w:rsidR="008F73F6">
        <w:rPr>
          <w:rStyle w:val="sb8d990e2"/>
        </w:rPr>
        <w:t>,</w:t>
      </w:r>
      <w:r w:rsidRPr="00D641F3">
        <w:rPr>
          <w:rStyle w:val="sb8d990e2"/>
        </w:rPr>
        <w:t xml:space="preserve"> </w:t>
      </w:r>
      <w:r>
        <w:t>wykonując zadania z zakresu utrzymania porządku publicznego</w:t>
      </w:r>
      <w:r w:rsidR="008F73F6">
        <w:t>,</w:t>
      </w:r>
      <w:r>
        <w:t xml:space="preserve"> są umocowane do wydalenia cudzoziemca skazanego za przestępstwa karne. Jednakże w zakresie, w jakim </w:t>
      </w:r>
      <w:r w:rsidR="008F73F6">
        <w:t xml:space="preserve">ich decyzje w tym obszarze </w:t>
      </w:r>
      <w:r>
        <w:t xml:space="preserve">mogą kolidować z prawem chronionym na mocy </w:t>
      </w:r>
      <w:r w:rsidR="00203174">
        <w:t>art.</w:t>
      </w:r>
      <w:r>
        <w:t xml:space="preserve"> 8 ust. 1, </w:t>
      </w:r>
      <w:r w:rsidR="008F73F6">
        <w:t xml:space="preserve">muszą </w:t>
      </w:r>
      <w:r>
        <w:t xml:space="preserve">być </w:t>
      </w:r>
      <w:r w:rsidR="008F73F6">
        <w:t>one przewidziane przez ustawę</w:t>
      </w:r>
      <w:r>
        <w:t xml:space="preserve">, realizować </w:t>
      </w:r>
      <w:r w:rsidR="008F73F6">
        <w:t>uprawniony cel</w:t>
      </w:r>
      <w:r>
        <w:t xml:space="preserve"> i</w:t>
      </w:r>
      <w:r w:rsidR="009A3D3A">
        <w:t> </w:t>
      </w:r>
      <w:r>
        <w:t xml:space="preserve">być niezbędne w demokratycznym społeczeństwie (zob. np. </w:t>
      </w:r>
      <w:r>
        <w:rPr>
          <w:i/>
          <w:iCs/>
        </w:rPr>
        <w:t>De Souza Ribeiro przeciwko Francji</w:t>
      </w:r>
      <w:r>
        <w:t>, [WI], nr 22689/07, § 77, ECHR 2012).</w:t>
      </w:r>
    </w:p>
    <w:p w:rsidR="00C3128F" w:rsidRPr="00301BFB" w:rsidRDefault="00C3128F" w:rsidP="00301BFB">
      <w:pPr>
        <w:pStyle w:val="ECHRPara"/>
      </w:pPr>
      <w:r>
        <w:t>66.</w:t>
      </w:r>
      <w:r w:rsidR="00DC6543">
        <w:t xml:space="preserve"> </w:t>
      </w:r>
      <w:r>
        <w:t>W przedmiotowej sprawie Trybunał jest gotów zaakceptować dla</w:t>
      </w:r>
      <w:r w:rsidR="009A3D3A">
        <w:t> </w:t>
      </w:r>
      <w:r>
        <w:t xml:space="preserve">celów niniejszej decyzji, że wydalenie skarżącego z Wielkiej Brytanii </w:t>
      </w:r>
      <w:r w:rsidR="008F73F6">
        <w:t xml:space="preserve">ingerowało w </w:t>
      </w:r>
      <w:r>
        <w:t>jego życie prywatne i rodzinne w Wielkiej Brytanii. Jednakże</w:t>
      </w:r>
      <w:r w:rsidR="009A3D3A">
        <w:t> </w:t>
      </w:r>
      <w:r>
        <w:t xml:space="preserve">w świetle ustaleń przedstawionych w paragrafach 62 i 63 wydaje się, że jego wydalenie nie miało znaczącego negatywnego wpływu na jego prawo do poszanowania życia rodzinnego i prywatnego ani na jego reputację. Biorąc pod uwagę ten ograniczony charakter </w:t>
      </w:r>
      <w:r w:rsidR="008F73F6">
        <w:t xml:space="preserve">ingerencji </w:t>
      </w:r>
      <w:r>
        <w:t>oraz wyraźne ustalenia SIAC dotyczące zakresu działalności terrorystycznej skarżącego, Trybunał nie uważa, by decyzja o wydaleniu skarżącego z</w:t>
      </w:r>
      <w:r w:rsidR="009A3D3A">
        <w:t> </w:t>
      </w:r>
      <w:r>
        <w:t xml:space="preserve">Wielkiej Brytanii była nieproporcjonalna w stosunku do </w:t>
      </w:r>
      <w:r w:rsidR="008F73F6">
        <w:t>uprawnionego</w:t>
      </w:r>
      <w:r>
        <w:t xml:space="preserve"> celu, jaki realizowano: mianowicie ochrony społeczeństwa przed</w:t>
      </w:r>
      <w:r w:rsidR="009A3D3A">
        <w:t> </w:t>
      </w:r>
      <w:r>
        <w:t>zagrożeniem terroryzmem.</w:t>
      </w:r>
    </w:p>
    <w:p w:rsidR="00C3128F" w:rsidRPr="00301BFB" w:rsidRDefault="00C3128F" w:rsidP="00301BFB">
      <w:pPr>
        <w:pStyle w:val="ECHRHeading3"/>
      </w:pPr>
      <w:r>
        <w:t>3.</w:t>
      </w:r>
      <w:r w:rsidR="00DC6543">
        <w:t xml:space="preserve"> </w:t>
      </w:r>
      <w:r>
        <w:t>Podsumowanie</w:t>
      </w:r>
    </w:p>
    <w:p w:rsidR="00C3128F" w:rsidRPr="00301BFB" w:rsidRDefault="00C3128F" w:rsidP="00301BFB">
      <w:pPr>
        <w:pStyle w:val="ECHRPara"/>
      </w:pPr>
      <w:bookmarkStart w:id="2" w:name="MIF2"/>
      <w:r>
        <w:t>67</w:t>
      </w:r>
      <w:bookmarkEnd w:id="2"/>
      <w:r>
        <w:t>.</w:t>
      </w:r>
      <w:r w:rsidR="00DC6543">
        <w:t xml:space="preserve"> </w:t>
      </w:r>
      <w:r>
        <w:t xml:space="preserve">A zatem Trybunał uznaje, że </w:t>
      </w:r>
      <w:r w:rsidR="00D271BB">
        <w:t xml:space="preserve">skarga w zakresie zarzutu </w:t>
      </w:r>
      <w:r>
        <w:t>skarżącego z</w:t>
      </w:r>
      <w:r w:rsidR="009A3D3A">
        <w:t> </w:t>
      </w:r>
      <w:r w:rsidR="00203174">
        <w:t>art.</w:t>
      </w:r>
      <w:r>
        <w:t xml:space="preserve"> 8 jest </w:t>
      </w:r>
      <w:r w:rsidRPr="00722784">
        <w:t>w sposób oczywisty nieuzasadnio</w:t>
      </w:r>
      <w:r w:rsidR="00D271BB">
        <w:t>na i</w:t>
      </w:r>
      <w:r>
        <w:t xml:space="preserve"> w związku z tym winna być odrzucona zgodnie z </w:t>
      </w:r>
      <w:r w:rsidR="00203174">
        <w:t>art.</w:t>
      </w:r>
      <w:r>
        <w:t xml:space="preserve"> 35 </w:t>
      </w:r>
      <w:r w:rsidR="00203174">
        <w:t>ust.</w:t>
      </w:r>
      <w:r>
        <w:t xml:space="preserve"> 3 lit. a</w:t>
      </w:r>
      <w:r w:rsidR="00203174">
        <w:t xml:space="preserve"> Konwencji.</w:t>
      </w:r>
    </w:p>
    <w:p w:rsidR="00C3128F" w:rsidRPr="00301BFB" w:rsidRDefault="00C3128F" w:rsidP="00301BFB">
      <w:pPr>
        <w:pStyle w:val="ECHRHeading2"/>
      </w:pPr>
      <w:r>
        <w:t xml:space="preserve">B. Zarzucane naruszenie </w:t>
      </w:r>
      <w:r w:rsidR="00203174">
        <w:t>art.</w:t>
      </w:r>
      <w:r>
        <w:t xml:space="preserve"> 14 Konwencji w związku z </w:t>
      </w:r>
      <w:r w:rsidR="00203174">
        <w:t>art.</w:t>
      </w:r>
      <w:r>
        <w:t xml:space="preserve"> 8 Konwencji</w:t>
      </w:r>
    </w:p>
    <w:p w:rsidR="00C3128F" w:rsidRPr="00301BFB" w:rsidRDefault="00C3128F" w:rsidP="00301BFB">
      <w:pPr>
        <w:pStyle w:val="ECHRPara"/>
      </w:pPr>
      <w:r>
        <w:t>68.</w:t>
      </w:r>
      <w:r w:rsidR="00DC6543">
        <w:t xml:space="preserve"> </w:t>
      </w:r>
      <w:r>
        <w:t>Skarżący ponosił również na mocy art. 14 w związku z art. 8, że</w:t>
      </w:r>
      <w:r w:rsidR="009A3D3A">
        <w:t> </w:t>
      </w:r>
      <w:r>
        <w:t>był</w:t>
      </w:r>
      <w:r w:rsidR="009A3D3A">
        <w:t> </w:t>
      </w:r>
      <w:r>
        <w:t>traktowany inaczej niż brytyjscy obywatele uznawani za zagrożenie dla bezpieczeństwa narodowego, którzy nie posiadali drugiego obywatelstwa; a także</w:t>
      </w:r>
      <w:r w:rsidR="003D2CAB">
        <w:t xml:space="preserve"> inaczej</w:t>
      </w:r>
      <w:r>
        <w:t xml:space="preserve"> niż osoby zamieszkałe na terytorium państwa</w:t>
      </w:r>
      <w:r w:rsidR="003D2CAB">
        <w:t>,</w:t>
      </w:r>
      <w:r>
        <w:t xml:space="preserve"> </w:t>
      </w:r>
      <w:r>
        <w:lastRenderedPageBreak/>
        <w:t>lecz niebędące jego obywatelami, które mogą skorzystać z prawa do</w:t>
      </w:r>
      <w:r w:rsidR="009A3D3A">
        <w:t> </w:t>
      </w:r>
      <w:r>
        <w:t xml:space="preserve">odwołania ze skutkiem suspensywnym od </w:t>
      </w:r>
      <w:r w:rsidR="00B064A8">
        <w:t>cofnięci</w:t>
      </w:r>
      <w:r w:rsidR="00B064A8" w:rsidRPr="00B064A8">
        <w:t>a</w:t>
      </w:r>
      <w:r w:rsidRPr="00B064A8">
        <w:t xml:space="preserve"> </w:t>
      </w:r>
      <w:r w:rsidR="00B064A8" w:rsidRPr="00B064A8">
        <w:t xml:space="preserve">zezwolenia </w:t>
      </w:r>
      <w:r>
        <w:t>na p</w:t>
      </w:r>
      <w:r w:rsidR="00B064A8">
        <w:t>obyt</w:t>
      </w:r>
      <w:r>
        <w:t xml:space="preserve"> w Wielkiej Brytanii. </w:t>
      </w:r>
      <w:r w:rsidR="00203174">
        <w:t>Art.</w:t>
      </w:r>
      <w:r w:rsidR="00DC6543">
        <w:t xml:space="preserve"> </w:t>
      </w:r>
      <w:r>
        <w:t>14 brzmi następująco:</w:t>
      </w:r>
    </w:p>
    <w:p w:rsidR="00C3128F" w:rsidRPr="00301BFB" w:rsidRDefault="00C3128F" w:rsidP="00301BFB">
      <w:pPr>
        <w:pStyle w:val="ECHRParaQuote"/>
      </w:pPr>
      <w:r>
        <w:t>„Korzystanie z praw i wolności wymienionych w niniejszej konwencji powinno być zapewnione bez dyskryminacji wynikającej z takich powodów jak płeć, rasa, kolor skóry, język, religia, przekonania polityczne i inne, pochodzenie narodowe lub</w:t>
      </w:r>
      <w:r w:rsidR="009A3D3A">
        <w:t> </w:t>
      </w:r>
      <w:r>
        <w:t>społeczne, przynależność do mniejszości narodowej, majątek, urodzenie bądź z</w:t>
      </w:r>
      <w:r w:rsidR="009A3D3A">
        <w:t> </w:t>
      </w:r>
      <w:r>
        <w:t>jakichkolwiek innych przyczyn.”</w:t>
      </w:r>
    </w:p>
    <w:p w:rsidR="00C3128F" w:rsidRPr="00301BFB" w:rsidRDefault="00C3128F" w:rsidP="00301BFB">
      <w:pPr>
        <w:pStyle w:val="ECHRPara"/>
      </w:pPr>
      <w:r>
        <w:t>69.</w:t>
      </w:r>
      <w:r w:rsidR="00DC6543">
        <w:t xml:space="preserve"> </w:t>
      </w:r>
      <w:r>
        <w:t>Trybunał wskazuje, że w postępowaniu przed sądami krajowymi skarżący nie podniósł, że był traktowany inaczej niż obywatel brytyjski, który stanowił zagrożenie dla bezpieczeństwa krajowego. Przed Wysokim Trybunałem podniósł, że był traktowany inaczej niż osoba, która nigdy nie</w:t>
      </w:r>
      <w:r w:rsidR="009A3D3A">
        <w:t> </w:t>
      </w:r>
      <w:r>
        <w:t>posiadała obywatelstwa brytyjskiego (zob. paragraf 11 powyżej), a</w:t>
      </w:r>
      <w:r w:rsidR="009A3D3A">
        <w:t> </w:t>
      </w:r>
      <w:r>
        <w:t>przed Sądem Apelacyjnym podniósł, że był traktowany inaczej niż</w:t>
      </w:r>
      <w:r w:rsidR="009A3D3A">
        <w:t> </w:t>
      </w:r>
      <w:r>
        <w:t xml:space="preserve">cudzoziemiec, który byłby uprawniony do bycia obecnym w celu złożenia odwołania od </w:t>
      </w:r>
      <w:r w:rsidR="00B064A8">
        <w:t>cofnięcia ze</w:t>
      </w:r>
      <w:r>
        <w:t>zwolenia na pobyt (zob. paragraf 18 powyżej).</w:t>
      </w:r>
    </w:p>
    <w:p w:rsidR="00C3128F" w:rsidRPr="00301BFB" w:rsidRDefault="00C3128F" w:rsidP="00301BFB">
      <w:pPr>
        <w:pStyle w:val="ECHRPara"/>
      </w:pPr>
      <w:r>
        <w:t>70.</w:t>
      </w:r>
      <w:r w:rsidR="003D2CAB">
        <w:t xml:space="preserve"> </w:t>
      </w:r>
      <w:r w:rsidR="00FF61FB">
        <w:t xml:space="preserve">Z </w:t>
      </w:r>
      <w:r w:rsidR="003D2CAB">
        <w:t>powyższ</w:t>
      </w:r>
      <w:r w:rsidR="00FF61FB">
        <w:t>ych względów</w:t>
      </w:r>
      <w:r>
        <w:t xml:space="preserve"> Trybunał uważa, że skarga z </w:t>
      </w:r>
      <w:r w:rsidR="00203174">
        <w:t>art.</w:t>
      </w:r>
      <w:r>
        <w:t xml:space="preserve"> 14 </w:t>
      </w:r>
      <w:r w:rsidR="00F25913">
        <w:t xml:space="preserve">oparta na tej podstawie </w:t>
      </w:r>
      <w:r>
        <w:t xml:space="preserve">musi być odrzucona na podstawie </w:t>
      </w:r>
      <w:r w:rsidR="00203174">
        <w:t>art.</w:t>
      </w:r>
      <w:r>
        <w:t xml:space="preserve"> 35 </w:t>
      </w:r>
      <w:r w:rsidR="00203174">
        <w:t>ust.</w:t>
      </w:r>
      <w:r>
        <w:t xml:space="preserve"> 1 Konwencji ze względu na fakt, że nie wyczerpano środków </w:t>
      </w:r>
      <w:r w:rsidR="00F25913">
        <w:t xml:space="preserve">odwoławczych </w:t>
      </w:r>
      <w:r>
        <w:t>przewidzianych w prawie krajowym.</w:t>
      </w:r>
    </w:p>
    <w:p w:rsidR="00C3128F" w:rsidRPr="00301BFB" w:rsidRDefault="00C3128F" w:rsidP="00301BFB">
      <w:pPr>
        <w:pStyle w:val="ECHRPara"/>
      </w:pPr>
      <w:r>
        <w:t>71.</w:t>
      </w:r>
      <w:r w:rsidR="00DC6543">
        <w:t xml:space="preserve"> </w:t>
      </w:r>
      <w:r>
        <w:t xml:space="preserve">Druga </w:t>
      </w:r>
      <w:r w:rsidR="00F25913">
        <w:t xml:space="preserve">zarzucana </w:t>
      </w:r>
      <w:r>
        <w:t>przyczyna dyskryminacji – że [skarżący] był rzekomo traktowany inaczej niż rezydent niebędący obywatelem – została podniesiona przez Sądem Apelacyjnym. Jednakże w przedmiotowej sprawie skarżącemu nie odmówiono prawa do złożenia odwołania w kraju, ponieważ był obywatelem brytyjskim; przyczyną, dla której nie miało miejsca odwołanie w kraju od decyzji o pozbawieniu go obywatelstwa oraz</w:t>
      </w:r>
      <w:r w:rsidR="009A3D3A">
        <w:t> </w:t>
      </w:r>
      <w:r>
        <w:t xml:space="preserve">przyczyną, dla której nie był obecny podczas </w:t>
      </w:r>
      <w:r w:rsidR="00030480" w:rsidRPr="00030480">
        <w:t>postępowani</w:t>
      </w:r>
      <w:r w:rsidR="00030480">
        <w:t>a dotyczącego</w:t>
      </w:r>
      <w:r w:rsidR="00030480" w:rsidRPr="00030480">
        <w:t xml:space="preserve"> sądowej kontroli decyzji</w:t>
      </w:r>
      <w:r>
        <w:t>, był fakt</w:t>
      </w:r>
      <w:r w:rsidR="00F25913">
        <w:t>,</w:t>
      </w:r>
      <w:r>
        <w:t xml:space="preserve"> iż </w:t>
      </w:r>
      <w:r w:rsidR="00F25913">
        <w:t>w czasie, kiedy</w:t>
      </w:r>
      <w:r w:rsidR="009A3D3A">
        <w:t> </w:t>
      </w:r>
      <w:r w:rsidR="00F25913">
        <w:t xml:space="preserve">podejmowane były zaskarżone decyzje, </w:t>
      </w:r>
      <w:r>
        <w:t xml:space="preserve">już wcześniej </w:t>
      </w:r>
      <w:r w:rsidR="00F25913">
        <w:t>opuścił on</w:t>
      </w:r>
      <w:r w:rsidR="009A3D3A">
        <w:t> </w:t>
      </w:r>
      <w:r>
        <w:t>Wielką Brytanię z własnej woli (zob. paragraf 15 powyżej). Rezy</w:t>
      </w:r>
      <w:r w:rsidR="00F25913">
        <w:t>dent niebędący obywatelem, którego</w:t>
      </w:r>
      <w:r>
        <w:t xml:space="preserve"> </w:t>
      </w:r>
      <w:r w:rsidR="00F25913">
        <w:t>prawo pobytu anulowane zostałoby</w:t>
      </w:r>
      <w:r>
        <w:t xml:space="preserve"> podczas </w:t>
      </w:r>
      <w:r w:rsidR="00F25913">
        <w:t xml:space="preserve">jego </w:t>
      </w:r>
      <w:r>
        <w:t>pobytu poza krajem, również nie otrzymałby prawa powr</w:t>
      </w:r>
      <w:r w:rsidR="00F25913">
        <w:t>o</w:t>
      </w:r>
      <w:r>
        <w:t>t</w:t>
      </w:r>
      <w:r w:rsidR="00F25913">
        <w:t>u</w:t>
      </w:r>
      <w:r>
        <w:t xml:space="preserve"> na</w:t>
      </w:r>
      <w:r w:rsidR="009A3D3A">
        <w:t> </w:t>
      </w:r>
      <w:r>
        <w:t xml:space="preserve">potrzeby odwołania (zob. np. sytuacja pierwszego skarżącego w sprawie </w:t>
      </w:r>
      <w:r>
        <w:rPr>
          <w:i/>
          <w:iCs/>
        </w:rPr>
        <w:t>I.R. i G.T. przeciwko Wielkiej Brytanii</w:t>
      </w:r>
      <w:r>
        <w:t>, cyt. powyżej).</w:t>
      </w:r>
    </w:p>
    <w:p w:rsidR="00C3128F" w:rsidRPr="00301BFB" w:rsidRDefault="00C3128F" w:rsidP="00301BFB">
      <w:pPr>
        <w:pStyle w:val="ECHRPara"/>
      </w:pPr>
      <w:r>
        <w:t>72.</w:t>
      </w:r>
      <w:r w:rsidR="00DC6543">
        <w:t xml:space="preserve"> </w:t>
      </w:r>
      <w:r w:rsidR="00F25913">
        <w:t xml:space="preserve">Z powyższych względów </w:t>
      </w:r>
      <w:r>
        <w:t xml:space="preserve">Trybunał uznaje, że skarga z </w:t>
      </w:r>
      <w:r w:rsidR="00203174">
        <w:t>art.</w:t>
      </w:r>
      <w:r>
        <w:t xml:space="preserve"> 14 oparta na tej p</w:t>
      </w:r>
      <w:r w:rsidR="00F25913">
        <w:t xml:space="preserve">odstawie </w:t>
      </w:r>
      <w:r>
        <w:t xml:space="preserve">musi być odrzucona jako </w:t>
      </w:r>
      <w:r w:rsidRPr="00722784">
        <w:t>w sposób oczywisty nieuzasadniona</w:t>
      </w:r>
      <w:r w:rsidR="006E44D0">
        <w:t>,</w:t>
      </w:r>
      <w:bookmarkStart w:id="3" w:name="_GoBack"/>
      <w:bookmarkEnd w:id="3"/>
      <w:r>
        <w:t xml:space="preserve"> zgodnie z </w:t>
      </w:r>
      <w:r w:rsidR="00203174">
        <w:t>art.</w:t>
      </w:r>
      <w:r>
        <w:t xml:space="preserve"> 35 </w:t>
      </w:r>
      <w:r w:rsidR="00203174">
        <w:t>ust.</w:t>
      </w:r>
      <w:r>
        <w:t xml:space="preserve"> 3 lit. a Konwencji.</w:t>
      </w:r>
    </w:p>
    <w:p w:rsidR="00C3128F" w:rsidRPr="00301BFB" w:rsidRDefault="00C3128F" w:rsidP="00301BFB">
      <w:pPr>
        <w:pStyle w:val="JuParaLast"/>
      </w:pPr>
      <w:r>
        <w:t>Z tych względów Trybunał jednogłośnie</w:t>
      </w:r>
    </w:p>
    <w:p w:rsidR="00C3128F" w:rsidRPr="00301BFB" w:rsidRDefault="00C3128F" w:rsidP="00301BFB">
      <w:pPr>
        <w:pStyle w:val="DecList"/>
      </w:pPr>
      <w:r>
        <w:rPr>
          <w:i/>
          <w:iCs/>
        </w:rPr>
        <w:t>Uznaje</w:t>
      </w:r>
      <w:r>
        <w:t xml:space="preserve"> skargę za niedopuszczalną.</w:t>
      </w:r>
    </w:p>
    <w:p w:rsidR="00C3128F" w:rsidRPr="00DE5F4E" w:rsidRDefault="00C3128F" w:rsidP="00301BFB">
      <w:pPr>
        <w:pStyle w:val="ECHRPara"/>
        <w:rPr>
          <w:sz w:val="2"/>
          <w:szCs w:val="2"/>
        </w:rPr>
      </w:pPr>
    </w:p>
    <w:p w:rsidR="00C3128F" w:rsidRPr="00301BFB" w:rsidRDefault="00C3128F" w:rsidP="00301BFB">
      <w:pPr>
        <w:pStyle w:val="DecList"/>
      </w:pPr>
      <w:r>
        <w:lastRenderedPageBreak/>
        <w:t>Sporządzono w języku angielskim i obwieszczono pisemnie w dniu 9</w:t>
      </w:r>
      <w:r w:rsidR="009A3D3A">
        <w:t> </w:t>
      </w:r>
      <w:r>
        <w:t>marca 2017 r.</w:t>
      </w:r>
    </w:p>
    <w:p w:rsidR="00C3128F" w:rsidRPr="00203174" w:rsidRDefault="00C3128F" w:rsidP="00301BFB">
      <w:pPr>
        <w:pStyle w:val="JuSigned"/>
        <w:tabs>
          <w:tab w:val="clear" w:pos="6407"/>
          <w:tab w:val="center" w:pos="6096"/>
        </w:tabs>
        <w:rPr>
          <w:lang w:val="fr-FR"/>
        </w:rPr>
      </w:pPr>
      <w:r>
        <w:tab/>
      </w:r>
      <w:r w:rsidRPr="00203174">
        <w:rPr>
          <w:lang w:val="fr-FR"/>
        </w:rPr>
        <w:t>Abel Campos</w:t>
      </w:r>
      <w:r w:rsidRPr="00203174">
        <w:rPr>
          <w:lang w:val="fr-FR"/>
        </w:rPr>
        <w:tab/>
        <w:t>Linos-Alexandre Sicilianos</w:t>
      </w:r>
      <w:r w:rsidRPr="00203174">
        <w:rPr>
          <w:lang w:val="fr-FR"/>
        </w:rPr>
        <w:br/>
      </w:r>
      <w:r w:rsidRPr="00203174">
        <w:rPr>
          <w:lang w:val="fr-FR"/>
        </w:rPr>
        <w:tab/>
        <w:t>Kanclerz</w:t>
      </w:r>
      <w:r w:rsidRPr="00203174">
        <w:rPr>
          <w:lang w:val="fr-FR"/>
        </w:rPr>
        <w:tab/>
        <w:t>Przewodniczący</w:t>
      </w:r>
    </w:p>
    <w:sectPr w:rsidR="00C3128F" w:rsidRPr="00203174" w:rsidSect="00DE5F4E">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2274" w:right="2274" w:bottom="2274" w:left="2274" w:header="1701" w:footer="708"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0E2" w:rsidRPr="00952FA0" w:rsidRDefault="00C630E2" w:rsidP="005C4C1E">
      <w:pPr>
        <w:rPr>
          <w:lang w:val="en-GB"/>
        </w:rPr>
      </w:pPr>
      <w:r w:rsidRPr="00952FA0">
        <w:rPr>
          <w:lang w:val="en-GB"/>
        </w:rPr>
        <w:separator/>
      </w:r>
    </w:p>
  </w:endnote>
  <w:endnote w:type="continuationSeparator" w:id="0">
    <w:p w:rsidR="00C630E2" w:rsidRPr="00952FA0" w:rsidRDefault="00C630E2" w:rsidP="005C4C1E">
      <w:pPr>
        <w:rPr>
          <w:lang w:val="en-GB"/>
        </w:rPr>
      </w:pPr>
      <w:r w:rsidRPr="00952FA0">
        <w:rPr>
          <w:lang w:val="en-GB"/>
        </w:rPr>
        <w:continuationSeparator/>
      </w:r>
    </w:p>
  </w:endnote>
  <w:endnote w:type="continuationNotice" w:id="1">
    <w:p w:rsidR="00C630E2" w:rsidRDefault="00C630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297" w:rsidRDefault="0011729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297" w:rsidRDefault="00117297">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28F" w:rsidRPr="00952FA0" w:rsidRDefault="00117297" w:rsidP="0020718E">
    <w:pPr>
      <w:jc w:val="center"/>
    </w:pPr>
    <w:r>
      <w:rPr>
        <w:noProof/>
        <w:lang w:eastAsia="pl-PL"/>
      </w:rPr>
      <w:drawing>
        <wp:inline distT="0" distB="0" distL="0" distR="0">
          <wp:extent cx="762000" cy="617220"/>
          <wp:effectExtent l="0" t="0" r="0" b="0"/>
          <wp:docPr id="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7220"/>
                  </a:xfrm>
                  <a:prstGeom prst="rect">
                    <a:avLst/>
                  </a:prstGeom>
                  <a:noFill/>
                  <a:ln>
                    <a:noFill/>
                  </a:ln>
                </pic:spPr>
              </pic:pic>
            </a:graphicData>
          </a:graphic>
        </wp:inline>
      </w:drawing>
    </w:r>
  </w:p>
  <w:p w:rsidR="00C3128F" w:rsidRPr="00952FA0" w:rsidRDefault="00C3128F" w:rsidP="002E2C77">
    <w:pPr>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0E2" w:rsidRPr="00952FA0" w:rsidRDefault="00C630E2" w:rsidP="005C4C1E">
      <w:pPr>
        <w:rPr>
          <w:lang w:val="en-GB"/>
        </w:rPr>
      </w:pPr>
      <w:r w:rsidRPr="00952FA0">
        <w:rPr>
          <w:lang w:val="en-GB"/>
        </w:rPr>
        <w:separator/>
      </w:r>
    </w:p>
  </w:footnote>
  <w:footnote w:type="continuationSeparator" w:id="0">
    <w:p w:rsidR="00C630E2" w:rsidRPr="00952FA0" w:rsidRDefault="00C630E2" w:rsidP="005C4C1E">
      <w:pPr>
        <w:rPr>
          <w:lang w:val="en-GB"/>
        </w:rPr>
      </w:pPr>
      <w:r w:rsidRPr="00952FA0">
        <w:rPr>
          <w:lang w:val="en-GB"/>
        </w:rPr>
        <w:continuationSeparator/>
      </w:r>
    </w:p>
  </w:footnote>
  <w:footnote w:type="continuationNotice" w:id="1">
    <w:p w:rsidR="00C630E2" w:rsidRDefault="00C630E2"/>
  </w:footnote>
  <w:footnote w:id="2">
    <w:p w:rsidR="001B3426" w:rsidRPr="00580136" w:rsidRDefault="00C3128F" w:rsidP="00DA4886">
      <w:pPr>
        <w:pStyle w:val="s50c0b1c7"/>
        <w:jc w:val="both"/>
        <w:rPr>
          <w:lang w:val="en-GB"/>
        </w:rPr>
      </w:pPr>
      <w:r>
        <w:rPr>
          <w:rStyle w:val="Odwoanieprzypisudolnego"/>
          <w:rFonts w:eastAsia="MS Gothic"/>
          <w:sz w:val="20"/>
          <w:szCs w:val="20"/>
        </w:rPr>
        <w:footnoteRef/>
      </w:r>
      <w:r w:rsidRPr="00DE5F4E">
        <w:rPr>
          <w:lang w:val="en-US"/>
        </w:rPr>
        <w:t xml:space="preserve"> </w:t>
      </w:r>
      <w:r w:rsidRPr="00DE5F4E">
        <w:rPr>
          <w:sz w:val="20"/>
          <w:szCs w:val="20"/>
          <w:lang w:val="en-US"/>
        </w:rPr>
        <w:t>Źródło: Komunikat prasowy ECHR 084(2017), 9.03.2017 (</w:t>
      </w:r>
      <w:r w:rsidRPr="00DE5F4E">
        <w:rPr>
          <w:rStyle w:val="s3aeeab2"/>
          <w:i/>
          <w:iCs/>
          <w:sz w:val="20"/>
          <w:szCs w:val="20"/>
          <w:lang w:val="en-US"/>
        </w:rPr>
        <w:t>Press Release issued by</w:t>
      </w:r>
      <w:r w:rsidR="009A3D3A">
        <w:rPr>
          <w:rStyle w:val="s3aeeab2"/>
          <w:i/>
          <w:iCs/>
          <w:sz w:val="20"/>
          <w:szCs w:val="20"/>
          <w:lang w:val="en-US"/>
        </w:rPr>
        <w:t> </w:t>
      </w:r>
      <w:r w:rsidRPr="00DE5F4E">
        <w:rPr>
          <w:rStyle w:val="s3aeeab2"/>
          <w:i/>
          <w:iCs/>
          <w:sz w:val="20"/>
          <w:szCs w:val="20"/>
          <w:lang w:val="en-US"/>
        </w:rPr>
        <w:t>the</w:t>
      </w:r>
      <w:r w:rsidR="009A3D3A">
        <w:rPr>
          <w:rStyle w:val="s3aeeab2"/>
          <w:i/>
          <w:iCs/>
          <w:sz w:val="20"/>
          <w:szCs w:val="20"/>
          <w:lang w:val="en-US"/>
        </w:rPr>
        <w:t> </w:t>
      </w:r>
      <w:r w:rsidRPr="00DE5F4E">
        <w:rPr>
          <w:rStyle w:val="s3aeeab2"/>
          <w:i/>
          <w:iCs/>
          <w:sz w:val="20"/>
          <w:szCs w:val="20"/>
          <w:lang w:val="en-US"/>
        </w:rPr>
        <w:t>Registrar of the Court,</w:t>
      </w:r>
      <w:r w:rsidR="00DC6543">
        <w:rPr>
          <w:rStyle w:val="s3aeeab2"/>
          <w:i/>
          <w:iCs/>
          <w:sz w:val="20"/>
          <w:szCs w:val="20"/>
          <w:lang w:val="en-US"/>
        </w:rPr>
        <w:t xml:space="preserve"> </w:t>
      </w:r>
      <w:r w:rsidRPr="00DE5F4E">
        <w:rPr>
          <w:sz w:val="20"/>
          <w:szCs w:val="20"/>
          <w:lang w:val="en-US"/>
        </w:rPr>
        <w:t>ECHR 084(2017), 9.03.2017</w:t>
      </w:r>
      <w:r w:rsidRPr="00DE5F4E">
        <w:rPr>
          <w:rStyle w:val="sfbbfee58"/>
          <w:i/>
          <w:iCs/>
          <w:sz w:val="20"/>
          <w:szCs w:val="20"/>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28F" w:rsidRPr="00DA4886" w:rsidRDefault="00C3128F" w:rsidP="0076040F">
    <w:pPr>
      <w:pStyle w:val="ECHRHeader"/>
    </w:pPr>
    <w:r w:rsidRPr="00DA4886">
      <w:rPr>
        <w:rStyle w:val="Numerstrony"/>
      </w:rPr>
      <w:fldChar w:fldCharType="begin"/>
    </w:r>
    <w:r w:rsidRPr="00DA4886">
      <w:rPr>
        <w:rStyle w:val="Numerstrony"/>
      </w:rPr>
      <w:instrText xml:space="preserve"> PAGE </w:instrText>
    </w:r>
    <w:r w:rsidRPr="00DA4886">
      <w:rPr>
        <w:rStyle w:val="Numerstrony"/>
      </w:rPr>
      <w:fldChar w:fldCharType="separate"/>
    </w:r>
    <w:r w:rsidR="006E44D0">
      <w:rPr>
        <w:rStyle w:val="Numerstrony"/>
        <w:noProof/>
      </w:rPr>
      <w:t>10</w:t>
    </w:r>
    <w:r w:rsidRPr="00DA4886">
      <w:rPr>
        <w:rStyle w:val="Numerstrony"/>
      </w:rPr>
      <w:fldChar w:fldCharType="end"/>
    </w:r>
    <w:r>
      <w:tab/>
      <w:t>DECYZJA W SPRAWIE K2 PRZECIWKO ZJEDNOCZONEMU KRÓLESTWU</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28F" w:rsidRPr="00DA4886" w:rsidRDefault="00C3128F" w:rsidP="0076040F">
    <w:pPr>
      <w:pStyle w:val="ECHRHeader"/>
    </w:pPr>
    <w:r>
      <w:tab/>
      <w:t>DECYZJA W SPRAWIE K2 PRZECIWKO ZJEDNOCZONEMU KRÓLESTWU</w:t>
    </w:r>
    <w:r>
      <w:tab/>
    </w:r>
    <w:r w:rsidRPr="00DA4886">
      <w:rPr>
        <w:rStyle w:val="Numerstrony"/>
      </w:rPr>
      <w:fldChar w:fldCharType="begin"/>
    </w:r>
    <w:r w:rsidRPr="00DA4886">
      <w:rPr>
        <w:rStyle w:val="Numerstrony"/>
      </w:rPr>
      <w:instrText xml:space="preserve"> PAGE </w:instrText>
    </w:r>
    <w:r w:rsidRPr="00DA4886">
      <w:rPr>
        <w:rStyle w:val="Numerstrony"/>
      </w:rPr>
      <w:fldChar w:fldCharType="separate"/>
    </w:r>
    <w:r w:rsidR="006E44D0">
      <w:rPr>
        <w:rStyle w:val="Numerstrony"/>
        <w:noProof/>
      </w:rPr>
      <w:t>11</w:t>
    </w:r>
    <w:r w:rsidRPr="00DA4886">
      <w:rPr>
        <w:rStyle w:val="Numerstrony"/>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28F" w:rsidRPr="00952FA0" w:rsidRDefault="00117297" w:rsidP="00A45145">
    <w:pPr>
      <w:jc w:val="center"/>
    </w:pPr>
    <w:r>
      <w:rPr>
        <w:noProof/>
        <w:lang w:eastAsia="pl-PL"/>
      </w:rPr>
      <w:drawing>
        <wp:inline distT="0" distB="0" distL="0" distR="0">
          <wp:extent cx="2956560" cy="12192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6560" cy="1219200"/>
                  </a:xfrm>
                  <a:prstGeom prst="rect">
                    <a:avLst/>
                  </a:prstGeom>
                  <a:noFill/>
                  <a:ln>
                    <a:noFill/>
                  </a:ln>
                </pic:spPr>
              </pic:pic>
            </a:graphicData>
          </a:graphic>
        </wp:inline>
      </w:drawing>
    </w:r>
  </w:p>
  <w:p w:rsidR="00C3128F" w:rsidRPr="00952FA0" w:rsidRDefault="00C3128F" w:rsidP="00EA1004">
    <w:pPr>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7C1512"/>
    <w:lvl w:ilvl="0">
      <w:start w:val="1"/>
      <w:numFmt w:val="decimal"/>
      <w:pStyle w:val="Listanumerowana5"/>
      <w:lvlText w:val="%1."/>
      <w:lvlJc w:val="left"/>
      <w:pPr>
        <w:tabs>
          <w:tab w:val="num" w:pos="1492"/>
        </w:tabs>
        <w:ind w:left="1492" w:hanging="360"/>
      </w:pPr>
      <w:rPr>
        <w:rFonts w:cs="Times New Roman"/>
      </w:rPr>
    </w:lvl>
  </w:abstractNum>
  <w:abstractNum w:abstractNumId="1">
    <w:nsid w:val="FFFFFF7D"/>
    <w:multiLevelType w:val="singleLevel"/>
    <w:tmpl w:val="41A25970"/>
    <w:lvl w:ilvl="0">
      <w:start w:val="1"/>
      <w:numFmt w:val="decimal"/>
      <w:pStyle w:val="Listanumerowana4"/>
      <w:lvlText w:val="%1."/>
      <w:lvlJc w:val="left"/>
      <w:pPr>
        <w:tabs>
          <w:tab w:val="num" w:pos="1209"/>
        </w:tabs>
        <w:ind w:left="1209" w:hanging="360"/>
      </w:pPr>
      <w:rPr>
        <w:rFonts w:cs="Times New Roman"/>
      </w:rPr>
    </w:lvl>
  </w:abstractNum>
  <w:abstractNum w:abstractNumId="2">
    <w:nsid w:val="FFFFFF7E"/>
    <w:multiLevelType w:val="singleLevel"/>
    <w:tmpl w:val="9AE02580"/>
    <w:lvl w:ilvl="0">
      <w:start w:val="1"/>
      <w:numFmt w:val="decimal"/>
      <w:pStyle w:val="Listanumerowana3"/>
      <w:lvlText w:val="%1."/>
      <w:lvlJc w:val="left"/>
      <w:pPr>
        <w:tabs>
          <w:tab w:val="num" w:pos="926"/>
        </w:tabs>
        <w:ind w:left="926" w:hanging="360"/>
      </w:pPr>
      <w:rPr>
        <w:rFonts w:cs="Times New Roman"/>
      </w:rPr>
    </w:lvl>
  </w:abstractNum>
  <w:abstractNum w:abstractNumId="3">
    <w:nsid w:val="FFFFFF7F"/>
    <w:multiLevelType w:val="singleLevel"/>
    <w:tmpl w:val="0D8C0106"/>
    <w:lvl w:ilvl="0">
      <w:start w:val="1"/>
      <w:numFmt w:val="decimal"/>
      <w:pStyle w:val="JuAppQuestion"/>
      <w:lvlText w:val="%1."/>
      <w:lvlJc w:val="left"/>
      <w:pPr>
        <w:tabs>
          <w:tab w:val="num" w:pos="643"/>
        </w:tabs>
        <w:ind w:left="643" w:hanging="360"/>
      </w:pPr>
      <w:rPr>
        <w:rFonts w:cs="Times New Roman"/>
      </w:rPr>
    </w:lvl>
  </w:abstractNum>
  <w:abstractNum w:abstractNumId="4">
    <w:nsid w:val="FFFFFF80"/>
    <w:multiLevelType w:val="singleLevel"/>
    <w:tmpl w:val="BBBCB4B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DBE6B42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3A124C6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838ADC30"/>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64C40F8C"/>
    <w:lvl w:ilvl="0">
      <w:start w:val="1"/>
      <w:numFmt w:val="decimal"/>
      <w:pStyle w:val="Listanumerowana"/>
      <w:lvlText w:val="%1."/>
      <w:lvlJc w:val="left"/>
      <w:pPr>
        <w:tabs>
          <w:tab w:val="num" w:pos="360"/>
        </w:tabs>
        <w:ind w:left="360" w:hanging="360"/>
      </w:pPr>
      <w:rPr>
        <w:rFonts w:cs="Times New Roman"/>
      </w:rPr>
    </w:lvl>
  </w:abstractNum>
  <w:abstractNum w:abstractNumId="9">
    <w:nsid w:val="FFFFFF89"/>
    <w:multiLevelType w:val="singleLevel"/>
    <w:tmpl w:val="42924700"/>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0624E75"/>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08920C14"/>
    <w:multiLevelType w:val="multilevel"/>
    <w:tmpl w:val="0409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nsid w:val="175C4D5D"/>
    <w:multiLevelType w:val="multilevel"/>
    <w:tmpl w:val="04090023"/>
    <w:styleLink w:val="ArticleSection"/>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3">
    <w:nsid w:val="2DBD65D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BB25E07"/>
    <w:multiLevelType w:val="multilevel"/>
    <w:tmpl w:val="0409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45504A0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CA76990"/>
    <w:multiLevelType w:val="multilevel"/>
    <w:tmpl w:val="0415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14"/>
  </w:num>
  <w:num w:numId="32">
    <w:abstractNumId w:val="11"/>
  </w:num>
  <w:num w:numId="33">
    <w:abstractNumId w:val="12"/>
  </w:num>
  <w:num w:numId="34">
    <w:abstractNumId w:val="16"/>
  </w:num>
  <w:num w:numId="35">
    <w:abstractNumId w:val="10"/>
  </w:num>
  <w:num w:numId="36">
    <w:abstractNumId w:val="13"/>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defaultTabStop w:val="720"/>
  <w:hyphenationZone w:val="425"/>
  <w:doNotHyphenateCaps/>
  <w:evenAndOddHeaders/>
  <w:characterSpacingControl w:val="doNotCompress"/>
  <w:doNotValidateAgainstSchema/>
  <w:doNotDemarcateInvalidXml/>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s>
  <w:rsids>
    <w:rsidRoot w:val="00FE0E84"/>
    <w:rsid w:val="000133DA"/>
    <w:rsid w:val="00024CA4"/>
    <w:rsid w:val="00030480"/>
    <w:rsid w:val="00086B65"/>
    <w:rsid w:val="000953F7"/>
    <w:rsid w:val="000B72AF"/>
    <w:rsid w:val="000C5254"/>
    <w:rsid w:val="000D00CD"/>
    <w:rsid w:val="000D2AA5"/>
    <w:rsid w:val="000D48D9"/>
    <w:rsid w:val="000E56B4"/>
    <w:rsid w:val="00111CFC"/>
    <w:rsid w:val="00115035"/>
    <w:rsid w:val="00117297"/>
    <w:rsid w:val="001325B5"/>
    <w:rsid w:val="0014480E"/>
    <w:rsid w:val="001818B5"/>
    <w:rsid w:val="001863F1"/>
    <w:rsid w:val="00190C45"/>
    <w:rsid w:val="001A7C27"/>
    <w:rsid w:val="001B1B19"/>
    <w:rsid w:val="001B3426"/>
    <w:rsid w:val="001C0BB8"/>
    <w:rsid w:val="001C180B"/>
    <w:rsid w:val="001E173F"/>
    <w:rsid w:val="001E2830"/>
    <w:rsid w:val="001F1BFA"/>
    <w:rsid w:val="00202FF9"/>
    <w:rsid w:val="00203174"/>
    <w:rsid w:val="00206A52"/>
    <w:rsid w:val="0020718E"/>
    <w:rsid w:val="002136DE"/>
    <w:rsid w:val="00231C9A"/>
    <w:rsid w:val="00242B3E"/>
    <w:rsid w:val="002828D5"/>
    <w:rsid w:val="0029715C"/>
    <w:rsid w:val="002A23B4"/>
    <w:rsid w:val="002B6368"/>
    <w:rsid w:val="002C26ED"/>
    <w:rsid w:val="002E2C77"/>
    <w:rsid w:val="002E3A7E"/>
    <w:rsid w:val="00301BFB"/>
    <w:rsid w:val="00315A17"/>
    <w:rsid w:val="003458D0"/>
    <w:rsid w:val="00347CF5"/>
    <w:rsid w:val="00352546"/>
    <w:rsid w:val="00360A44"/>
    <w:rsid w:val="00363385"/>
    <w:rsid w:val="0038341E"/>
    <w:rsid w:val="003C576E"/>
    <w:rsid w:val="003D2893"/>
    <w:rsid w:val="003D2CAB"/>
    <w:rsid w:val="003D63F1"/>
    <w:rsid w:val="003E6546"/>
    <w:rsid w:val="003F5BAF"/>
    <w:rsid w:val="0044072C"/>
    <w:rsid w:val="00475B4E"/>
    <w:rsid w:val="00477D57"/>
    <w:rsid w:val="004929CF"/>
    <w:rsid w:val="00494875"/>
    <w:rsid w:val="004E4E74"/>
    <w:rsid w:val="004F2BB1"/>
    <w:rsid w:val="00506E2B"/>
    <w:rsid w:val="0052040C"/>
    <w:rsid w:val="00534BD9"/>
    <w:rsid w:val="00547F6A"/>
    <w:rsid w:val="005750FA"/>
    <w:rsid w:val="00580136"/>
    <w:rsid w:val="005A0AD8"/>
    <w:rsid w:val="005C2D3E"/>
    <w:rsid w:val="005C4C1E"/>
    <w:rsid w:val="005F22A0"/>
    <w:rsid w:val="00623174"/>
    <w:rsid w:val="006318CE"/>
    <w:rsid w:val="00635391"/>
    <w:rsid w:val="00664755"/>
    <w:rsid w:val="00664966"/>
    <w:rsid w:val="00667EF4"/>
    <w:rsid w:val="006C0C45"/>
    <w:rsid w:val="006C406F"/>
    <w:rsid w:val="006D4A03"/>
    <w:rsid w:val="006E44D0"/>
    <w:rsid w:val="006E550C"/>
    <w:rsid w:val="006F236F"/>
    <w:rsid w:val="00700638"/>
    <w:rsid w:val="007010D2"/>
    <w:rsid w:val="00713876"/>
    <w:rsid w:val="0071453A"/>
    <w:rsid w:val="007214D6"/>
    <w:rsid w:val="00722784"/>
    <w:rsid w:val="00722987"/>
    <w:rsid w:val="00723E8D"/>
    <w:rsid w:val="007444EE"/>
    <w:rsid w:val="00750F4F"/>
    <w:rsid w:val="0076040F"/>
    <w:rsid w:val="007718BF"/>
    <w:rsid w:val="007845EF"/>
    <w:rsid w:val="007B5A4A"/>
    <w:rsid w:val="008175AD"/>
    <w:rsid w:val="00836895"/>
    <w:rsid w:val="00847FB7"/>
    <w:rsid w:val="00857CE7"/>
    <w:rsid w:val="00860861"/>
    <w:rsid w:val="00883450"/>
    <w:rsid w:val="008A06BE"/>
    <w:rsid w:val="008A2DC9"/>
    <w:rsid w:val="008A4084"/>
    <w:rsid w:val="008B00A6"/>
    <w:rsid w:val="008C2D52"/>
    <w:rsid w:val="008F27B4"/>
    <w:rsid w:val="008F56D3"/>
    <w:rsid w:val="008F73F6"/>
    <w:rsid w:val="00914ACD"/>
    <w:rsid w:val="00914BB4"/>
    <w:rsid w:val="009152F4"/>
    <w:rsid w:val="00926DAB"/>
    <w:rsid w:val="00931477"/>
    <w:rsid w:val="0093539B"/>
    <w:rsid w:val="00952FA0"/>
    <w:rsid w:val="00953DC1"/>
    <w:rsid w:val="00957393"/>
    <w:rsid w:val="00965DB7"/>
    <w:rsid w:val="00987A64"/>
    <w:rsid w:val="009912DE"/>
    <w:rsid w:val="009A3D3A"/>
    <w:rsid w:val="009A722F"/>
    <w:rsid w:val="009C1DE0"/>
    <w:rsid w:val="009D44D9"/>
    <w:rsid w:val="009E4DD0"/>
    <w:rsid w:val="009F6AE7"/>
    <w:rsid w:val="00A26346"/>
    <w:rsid w:val="00A3454F"/>
    <w:rsid w:val="00A41810"/>
    <w:rsid w:val="00A45145"/>
    <w:rsid w:val="00A567CA"/>
    <w:rsid w:val="00A66F6A"/>
    <w:rsid w:val="00A72428"/>
    <w:rsid w:val="00A766F0"/>
    <w:rsid w:val="00A846A8"/>
    <w:rsid w:val="00A92649"/>
    <w:rsid w:val="00A92D46"/>
    <w:rsid w:val="00AB2B11"/>
    <w:rsid w:val="00AD00DF"/>
    <w:rsid w:val="00AD2B38"/>
    <w:rsid w:val="00B064A8"/>
    <w:rsid w:val="00B11E53"/>
    <w:rsid w:val="00B2397A"/>
    <w:rsid w:val="00B63F14"/>
    <w:rsid w:val="00B67325"/>
    <w:rsid w:val="00B719CC"/>
    <w:rsid w:val="00B86732"/>
    <w:rsid w:val="00B90EA9"/>
    <w:rsid w:val="00BA6B27"/>
    <w:rsid w:val="00BB52D0"/>
    <w:rsid w:val="00BC393E"/>
    <w:rsid w:val="00BE37E9"/>
    <w:rsid w:val="00C138D4"/>
    <w:rsid w:val="00C24E7B"/>
    <w:rsid w:val="00C3128F"/>
    <w:rsid w:val="00C47FEB"/>
    <w:rsid w:val="00C630E2"/>
    <w:rsid w:val="00C71C5A"/>
    <w:rsid w:val="00C72A0D"/>
    <w:rsid w:val="00C75D1C"/>
    <w:rsid w:val="00C75E0F"/>
    <w:rsid w:val="00C841F3"/>
    <w:rsid w:val="00CC7BA2"/>
    <w:rsid w:val="00D03B28"/>
    <w:rsid w:val="00D0494C"/>
    <w:rsid w:val="00D16E31"/>
    <w:rsid w:val="00D271BB"/>
    <w:rsid w:val="00D27208"/>
    <w:rsid w:val="00D27DAA"/>
    <w:rsid w:val="00D53E8D"/>
    <w:rsid w:val="00D641F3"/>
    <w:rsid w:val="00D67AD5"/>
    <w:rsid w:val="00D76FFD"/>
    <w:rsid w:val="00D8634B"/>
    <w:rsid w:val="00DA4886"/>
    <w:rsid w:val="00DB2DE6"/>
    <w:rsid w:val="00DC10EE"/>
    <w:rsid w:val="00DC6543"/>
    <w:rsid w:val="00DD3241"/>
    <w:rsid w:val="00DE5F4E"/>
    <w:rsid w:val="00DF27F6"/>
    <w:rsid w:val="00E10012"/>
    <w:rsid w:val="00E30457"/>
    <w:rsid w:val="00E32E31"/>
    <w:rsid w:val="00E34B5B"/>
    <w:rsid w:val="00E50569"/>
    <w:rsid w:val="00E62B8E"/>
    <w:rsid w:val="00E906BA"/>
    <w:rsid w:val="00E93FC7"/>
    <w:rsid w:val="00EA1004"/>
    <w:rsid w:val="00ED04C3"/>
    <w:rsid w:val="00EE3667"/>
    <w:rsid w:val="00EE65A4"/>
    <w:rsid w:val="00EF6E65"/>
    <w:rsid w:val="00F05C7B"/>
    <w:rsid w:val="00F158B2"/>
    <w:rsid w:val="00F24A83"/>
    <w:rsid w:val="00F25913"/>
    <w:rsid w:val="00F31716"/>
    <w:rsid w:val="00F32274"/>
    <w:rsid w:val="00F41351"/>
    <w:rsid w:val="00F71FD8"/>
    <w:rsid w:val="00F913F2"/>
    <w:rsid w:val="00F9346B"/>
    <w:rsid w:val="00FA70F8"/>
    <w:rsid w:val="00FB770D"/>
    <w:rsid w:val="00FE0E84"/>
    <w:rsid w:val="00FE395D"/>
    <w:rsid w:val="00FF61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pPr>
        <w:spacing w:after="200" w:line="276" w:lineRule="auto"/>
      </w:pPr>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315A17"/>
    <w:pPr>
      <w:spacing w:after="0" w:line="240" w:lineRule="auto"/>
      <w:jc w:val="both"/>
    </w:pPr>
    <w:rPr>
      <w:rFonts w:eastAsia="MS Mincho"/>
      <w:sz w:val="24"/>
      <w:szCs w:val="24"/>
      <w:lang w:eastAsia="en-US"/>
    </w:rPr>
  </w:style>
  <w:style w:type="paragraph" w:styleId="Nagwek1">
    <w:name w:val="heading 1"/>
    <w:basedOn w:val="Normalny"/>
    <w:next w:val="Normalny"/>
    <w:link w:val="Nagwek1Znak"/>
    <w:uiPriority w:val="99"/>
    <w:qFormat/>
    <w:rsid w:val="00315A17"/>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315A17"/>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315A17"/>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315A17"/>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315A17"/>
    <w:pPr>
      <w:spacing w:before="200"/>
      <w:outlineLvl w:val="4"/>
    </w:pPr>
    <w:rPr>
      <w:rFonts w:eastAsia="MS Gothic"/>
      <w:b/>
      <w:bCs/>
      <w:color w:val="808080"/>
      <w:sz w:val="22"/>
      <w:szCs w:val="22"/>
    </w:rPr>
  </w:style>
  <w:style w:type="paragraph" w:styleId="Nagwek6">
    <w:name w:val="heading 6"/>
    <w:basedOn w:val="Normalny"/>
    <w:next w:val="Normalny"/>
    <w:link w:val="Nagwek6Znak"/>
    <w:uiPriority w:val="99"/>
    <w:qFormat/>
    <w:rsid w:val="00315A17"/>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315A17"/>
    <w:pPr>
      <w:outlineLvl w:val="6"/>
    </w:pPr>
    <w:rPr>
      <w:rFonts w:eastAsia="MS Gothic"/>
      <w:i/>
      <w:iCs/>
      <w:sz w:val="22"/>
      <w:szCs w:val="22"/>
    </w:rPr>
  </w:style>
  <w:style w:type="paragraph" w:styleId="Nagwek8">
    <w:name w:val="heading 8"/>
    <w:basedOn w:val="Normalny"/>
    <w:next w:val="Normalny"/>
    <w:link w:val="Nagwek8Znak"/>
    <w:uiPriority w:val="99"/>
    <w:qFormat/>
    <w:rsid w:val="00315A17"/>
    <w:pPr>
      <w:outlineLvl w:val="7"/>
    </w:pPr>
    <w:rPr>
      <w:rFonts w:eastAsia="MS Gothic"/>
      <w:sz w:val="20"/>
      <w:szCs w:val="20"/>
    </w:rPr>
  </w:style>
  <w:style w:type="paragraph" w:styleId="Nagwek9">
    <w:name w:val="heading 9"/>
    <w:basedOn w:val="Normalny"/>
    <w:next w:val="Normalny"/>
    <w:link w:val="Nagwek9Znak"/>
    <w:uiPriority w:val="99"/>
    <w:qFormat/>
    <w:rsid w:val="00315A17"/>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315A17"/>
    <w:rPr>
      <w:rFonts w:ascii="Times New Roman" w:eastAsia="MS Gothic"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315A17"/>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315A17"/>
    <w:rPr>
      <w:rFonts w:ascii="Times New Roman" w:eastAsia="MS Gothic" w:hAnsi="Times New Roman" w:cs="Times New Roman"/>
      <w:b/>
      <w:bCs/>
      <w:color w:val="5F5F5F"/>
      <w:sz w:val="24"/>
      <w:szCs w:val="24"/>
    </w:rPr>
  </w:style>
  <w:style w:type="character" w:customStyle="1" w:styleId="Nagwek4Znak">
    <w:name w:val="Nagłówek 4 Znak"/>
    <w:basedOn w:val="Domylnaczcionkaakapitu"/>
    <w:link w:val="Nagwek4"/>
    <w:uiPriority w:val="99"/>
    <w:semiHidden/>
    <w:locked/>
    <w:rsid w:val="00315A17"/>
    <w:rPr>
      <w:rFonts w:ascii="Times New Roman" w:eastAsia="MS Gothic" w:hAnsi="Times New Roman" w:cs="Times New Roman"/>
      <w:b/>
      <w:bCs/>
      <w:i/>
      <w:iCs/>
      <w:color w:val="777777"/>
      <w:sz w:val="24"/>
      <w:szCs w:val="24"/>
    </w:rPr>
  </w:style>
  <w:style w:type="character" w:customStyle="1" w:styleId="Nagwek5Znak">
    <w:name w:val="Nagłówek 5 Znak"/>
    <w:basedOn w:val="Domylnaczcionkaakapitu"/>
    <w:link w:val="Nagwek5"/>
    <w:uiPriority w:val="99"/>
    <w:semiHidden/>
    <w:locked/>
    <w:rsid w:val="00315A17"/>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315A17"/>
    <w:rPr>
      <w:rFonts w:ascii="Times New Roman" w:eastAsia="MS Gothic" w:hAnsi="Times New Roman" w:cs="Times New Roman"/>
      <w:b/>
      <w:bCs/>
      <w:i/>
      <w:iCs/>
      <w:color w:val="7F7F7F"/>
      <w:sz w:val="24"/>
      <w:szCs w:val="24"/>
    </w:rPr>
  </w:style>
  <w:style w:type="character" w:customStyle="1" w:styleId="Nagwek7Znak">
    <w:name w:val="Nagłówek 7 Znak"/>
    <w:basedOn w:val="Domylnaczcionkaakapitu"/>
    <w:link w:val="Nagwek7"/>
    <w:uiPriority w:val="99"/>
    <w:semiHidden/>
    <w:locked/>
    <w:rsid w:val="00315A17"/>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315A17"/>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315A17"/>
    <w:rPr>
      <w:rFonts w:ascii="Times New Roman" w:eastAsia="MS Gothic" w:hAnsi="Times New Roman" w:cs="Times New Roman"/>
      <w:i/>
      <w:iCs/>
      <w:spacing w:val="5"/>
      <w:sz w:val="20"/>
      <w:szCs w:val="20"/>
    </w:rPr>
  </w:style>
  <w:style w:type="paragraph" w:customStyle="1" w:styleId="JuSigned">
    <w:name w:val="Ju_Signed"/>
    <w:basedOn w:val="Normalny"/>
    <w:next w:val="JuParaLast"/>
    <w:uiPriority w:val="99"/>
    <w:rsid w:val="00315A17"/>
    <w:pPr>
      <w:tabs>
        <w:tab w:val="center" w:pos="851"/>
        <w:tab w:val="center" w:pos="6407"/>
      </w:tabs>
      <w:spacing w:before="720"/>
      <w:jc w:val="left"/>
    </w:pPr>
  </w:style>
  <w:style w:type="paragraph" w:customStyle="1" w:styleId="ECHRPara">
    <w:name w:val="ECHR_Para"/>
    <w:aliases w:val="Ju_Para,Left,First line:  0 cm"/>
    <w:basedOn w:val="Normalny"/>
    <w:link w:val="ECHRParaChar"/>
    <w:uiPriority w:val="99"/>
    <w:rsid w:val="00315A17"/>
    <w:pPr>
      <w:ind w:firstLine="284"/>
    </w:pPr>
    <w:rPr>
      <w:lang w:eastAsia="pl-PL"/>
    </w:rPr>
  </w:style>
  <w:style w:type="character" w:styleId="Numerstrony">
    <w:name w:val="page number"/>
    <w:basedOn w:val="Domylnaczcionkaakapitu"/>
    <w:uiPriority w:val="99"/>
    <w:semiHidden/>
    <w:rsid w:val="00E93FC7"/>
    <w:rPr>
      <w:rFonts w:cs="Times New Roman"/>
      <w:sz w:val="18"/>
      <w:szCs w:val="18"/>
    </w:rPr>
  </w:style>
  <w:style w:type="character" w:styleId="Odwoaniedokomentarza">
    <w:name w:val="annotation reference"/>
    <w:basedOn w:val="Domylnaczcionkaakapitu"/>
    <w:uiPriority w:val="99"/>
    <w:semiHidden/>
    <w:rsid w:val="00E93FC7"/>
    <w:rPr>
      <w:rFonts w:cs="Times New Roman"/>
      <w:sz w:val="16"/>
      <w:szCs w:val="16"/>
    </w:rPr>
  </w:style>
  <w:style w:type="paragraph" w:styleId="Tekstkomentarza">
    <w:name w:val="annotation text"/>
    <w:basedOn w:val="Normalny"/>
    <w:link w:val="TekstkomentarzaZnak"/>
    <w:uiPriority w:val="99"/>
    <w:semiHidden/>
    <w:rsid w:val="00E93FC7"/>
    <w:rPr>
      <w:sz w:val="20"/>
      <w:szCs w:val="20"/>
    </w:rPr>
  </w:style>
  <w:style w:type="character" w:customStyle="1" w:styleId="TekstkomentarzaZnak">
    <w:name w:val="Tekst komentarza Znak"/>
    <w:basedOn w:val="Domylnaczcionkaakapitu"/>
    <w:link w:val="Tekstkomentarza"/>
    <w:uiPriority w:val="99"/>
    <w:semiHidden/>
    <w:locked/>
    <w:rsid w:val="00E93FC7"/>
    <w:rPr>
      <w:rFonts w:eastAsia="MS Mincho" w:cs="Times New Roman"/>
      <w:sz w:val="20"/>
      <w:szCs w:val="20"/>
    </w:rPr>
  </w:style>
  <w:style w:type="paragraph" w:customStyle="1" w:styleId="DecHTitle">
    <w:name w:val="Dec_H_Title"/>
    <w:basedOn w:val="ECHRTitleCentre1"/>
    <w:uiPriority w:val="99"/>
    <w:rsid w:val="00315A17"/>
  </w:style>
  <w:style w:type="paragraph" w:customStyle="1" w:styleId="ECHRTitleCentre2">
    <w:name w:val="ECHR_Title_Centre_2"/>
    <w:aliases w:val="Dec_H_Case"/>
    <w:basedOn w:val="Normalny"/>
    <w:next w:val="ECHRPara"/>
    <w:uiPriority w:val="99"/>
    <w:rsid w:val="00315A17"/>
    <w:pPr>
      <w:spacing w:after="240"/>
      <w:jc w:val="center"/>
      <w:outlineLvl w:val="0"/>
    </w:pPr>
  </w:style>
  <w:style w:type="paragraph" w:customStyle="1" w:styleId="JuTitle">
    <w:name w:val="Ju_Title"/>
    <w:basedOn w:val="Normalny"/>
    <w:next w:val="ECHRPara"/>
    <w:uiPriority w:val="99"/>
    <w:rsid w:val="00315A17"/>
    <w:pPr>
      <w:spacing w:before="720" w:after="240"/>
      <w:jc w:val="center"/>
      <w:outlineLvl w:val="0"/>
    </w:pPr>
    <w:rPr>
      <w:b/>
      <w:bCs/>
      <w:caps/>
    </w:rPr>
  </w:style>
  <w:style w:type="paragraph" w:customStyle="1" w:styleId="ECHRHeader">
    <w:name w:val="ECHR_Header"/>
    <w:aliases w:val="Ju_Header"/>
    <w:basedOn w:val="Nagwek"/>
    <w:uiPriority w:val="99"/>
    <w:rsid w:val="00315A17"/>
    <w:pPr>
      <w:tabs>
        <w:tab w:val="clear" w:pos="4536"/>
        <w:tab w:val="clear" w:pos="9072"/>
        <w:tab w:val="center" w:pos="3686"/>
        <w:tab w:val="right" w:pos="7371"/>
      </w:tabs>
      <w:jc w:val="left"/>
    </w:pPr>
    <w:rPr>
      <w:sz w:val="18"/>
      <w:szCs w:val="18"/>
    </w:rPr>
  </w:style>
  <w:style w:type="paragraph" w:styleId="Nagwek">
    <w:name w:val="header"/>
    <w:basedOn w:val="Normalny"/>
    <w:link w:val="NagwekZnak"/>
    <w:uiPriority w:val="99"/>
    <w:semiHidden/>
    <w:rsid w:val="00315A17"/>
    <w:pPr>
      <w:tabs>
        <w:tab w:val="center" w:pos="4536"/>
        <w:tab w:val="right" w:pos="9072"/>
      </w:tabs>
    </w:pPr>
    <w:rPr>
      <w:rFonts w:eastAsia="Times New Roman"/>
    </w:rPr>
  </w:style>
  <w:style w:type="character" w:customStyle="1" w:styleId="NagwekZnak">
    <w:name w:val="Nagłówek Znak"/>
    <w:basedOn w:val="Domylnaczcionkaakapitu"/>
    <w:link w:val="Nagwek"/>
    <w:uiPriority w:val="99"/>
    <w:semiHidden/>
    <w:locked/>
    <w:rsid w:val="00315A17"/>
    <w:rPr>
      <w:rFonts w:cs="Times New Roman"/>
      <w:sz w:val="24"/>
      <w:szCs w:val="24"/>
    </w:rPr>
  </w:style>
  <w:style w:type="paragraph" w:styleId="Tekstdymka">
    <w:name w:val="Balloon Text"/>
    <w:basedOn w:val="Normalny"/>
    <w:link w:val="TekstdymkaZnak"/>
    <w:uiPriority w:val="99"/>
    <w:semiHidden/>
    <w:rsid w:val="00315A17"/>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315A17"/>
    <w:rPr>
      <w:rFonts w:ascii="Tahoma" w:eastAsia="MS Mincho" w:hAnsi="Tahoma" w:cs="Tahoma"/>
      <w:sz w:val="16"/>
      <w:szCs w:val="16"/>
    </w:rPr>
  </w:style>
  <w:style w:type="paragraph" w:customStyle="1" w:styleId="DummyStyle">
    <w:name w:val="Dummy_Style"/>
    <w:basedOn w:val="Normalny"/>
    <w:uiPriority w:val="99"/>
    <w:semiHidden/>
    <w:rsid w:val="00315A17"/>
    <w:rPr>
      <w:color w:val="00B050"/>
    </w:rPr>
  </w:style>
  <w:style w:type="paragraph" w:customStyle="1" w:styleId="JuAppQuestion">
    <w:name w:val="Ju_App_Question"/>
    <w:basedOn w:val="Normalny"/>
    <w:uiPriority w:val="99"/>
    <w:rsid w:val="00315A17"/>
    <w:pPr>
      <w:numPr>
        <w:numId w:val="7"/>
      </w:numPr>
      <w:tabs>
        <w:tab w:val="clear" w:pos="643"/>
        <w:tab w:val="num" w:pos="720"/>
      </w:tabs>
      <w:ind w:left="720"/>
      <w:jc w:val="left"/>
    </w:pPr>
    <w:rPr>
      <w:b/>
      <w:bCs/>
    </w:rPr>
  </w:style>
  <w:style w:type="paragraph" w:customStyle="1" w:styleId="ECHRParaQuote">
    <w:name w:val="ECHR_Para_Quote"/>
    <w:aliases w:val="Ju_Quot"/>
    <w:basedOn w:val="Normalny"/>
    <w:uiPriority w:val="99"/>
    <w:rsid w:val="00315A17"/>
    <w:pPr>
      <w:spacing w:before="120" w:after="120"/>
      <w:ind w:left="425" w:firstLine="142"/>
    </w:pPr>
    <w:rPr>
      <w:sz w:val="20"/>
      <w:szCs w:val="20"/>
    </w:rPr>
  </w:style>
  <w:style w:type="paragraph" w:customStyle="1" w:styleId="JuCase">
    <w:name w:val="Ju_Case"/>
    <w:basedOn w:val="Normalny"/>
    <w:next w:val="ECHRPara"/>
    <w:uiPriority w:val="99"/>
    <w:semiHidden/>
    <w:rsid w:val="00315A17"/>
    <w:pPr>
      <w:ind w:firstLine="284"/>
    </w:pPr>
    <w:rPr>
      <w:b/>
      <w:bCs/>
    </w:rPr>
  </w:style>
  <w:style w:type="paragraph" w:customStyle="1" w:styleId="JuCourt">
    <w:name w:val="Ju_Court"/>
    <w:basedOn w:val="Normalny"/>
    <w:next w:val="Normalny"/>
    <w:uiPriority w:val="99"/>
    <w:rsid w:val="00315A17"/>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315A17"/>
    <w:pPr>
      <w:tabs>
        <w:tab w:val="clear" w:pos="3686"/>
        <w:tab w:val="clear" w:pos="7371"/>
        <w:tab w:val="center" w:pos="6146"/>
        <w:tab w:val="right" w:pos="12293"/>
      </w:tabs>
    </w:pPr>
  </w:style>
  <w:style w:type="paragraph" w:customStyle="1" w:styleId="JuInitialled">
    <w:name w:val="Ju_Initialled"/>
    <w:basedOn w:val="Normalny"/>
    <w:uiPriority w:val="99"/>
    <w:rsid w:val="00315A17"/>
    <w:pPr>
      <w:tabs>
        <w:tab w:val="center" w:pos="6407"/>
      </w:tabs>
      <w:spacing w:before="720"/>
      <w:jc w:val="right"/>
    </w:pPr>
  </w:style>
  <w:style w:type="paragraph" w:customStyle="1" w:styleId="ECHRTitleCentre3">
    <w:name w:val="ECHR_Title_Centre_3"/>
    <w:aliases w:val="Ju_H_Article"/>
    <w:basedOn w:val="Normalny"/>
    <w:next w:val="ECHRParaQuote"/>
    <w:uiPriority w:val="99"/>
    <w:rsid w:val="00315A17"/>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315A17"/>
    <w:pPr>
      <w:keepNext/>
      <w:keepLines/>
      <w:spacing w:after="240"/>
      <w:jc w:val="center"/>
      <w:outlineLvl w:val="0"/>
    </w:pPr>
    <w:rPr>
      <w:sz w:val="28"/>
      <w:szCs w:val="28"/>
    </w:rPr>
  </w:style>
  <w:style w:type="character" w:customStyle="1" w:styleId="JuITMark">
    <w:name w:val="Ju_ITMark"/>
    <w:basedOn w:val="Domylnaczcionkaakapitu"/>
    <w:uiPriority w:val="99"/>
    <w:semiHidden/>
    <w:rsid w:val="00315A17"/>
    <w:rPr>
      <w:rFonts w:cs="Times New Roman"/>
      <w:color w:val="auto"/>
      <w:sz w:val="14"/>
      <w:szCs w:val="14"/>
      <w:shd w:val="clear" w:color="auto" w:fill="BEE5FF"/>
    </w:rPr>
  </w:style>
  <w:style w:type="paragraph" w:customStyle="1" w:styleId="ECHRTitle1">
    <w:name w:val="ECHR_Title_1"/>
    <w:aliases w:val="Ju_H_Head"/>
    <w:basedOn w:val="Normalny"/>
    <w:next w:val="ECHRPara"/>
    <w:uiPriority w:val="99"/>
    <w:rsid w:val="00315A17"/>
    <w:pPr>
      <w:keepNext/>
      <w:keepLines/>
      <w:spacing w:before="720" w:after="240"/>
      <w:outlineLvl w:val="0"/>
    </w:pPr>
    <w:rPr>
      <w:sz w:val="28"/>
      <w:szCs w:val="28"/>
    </w:rPr>
  </w:style>
  <w:style w:type="paragraph" w:customStyle="1" w:styleId="JuList">
    <w:name w:val="Ju_List"/>
    <w:basedOn w:val="Normalny"/>
    <w:uiPriority w:val="99"/>
    <w:rsid w:val="00315A17"/>
    <w:pPr>
      <w:ind w:left="340" w:hanging="340"/>
    </w:pPr>
  </w:style>
  <w:style w:type="paragraph" w:customStyle="1" w:styleId="JuLista">
    <w:name w:val="Ju_List_a"/>
    <w:basedOn w:val="JuList"/>
    <w:uiPriority w:val="99"/>
    <w:rsid w:val="00315A17"/>
    <w:pPr>
      <w:ind w:left="346" w:firstLine="0"/>
    </w:pPr>
  </w:style>
  <w:style w:type="paragraph" w:customStyle="1" w:styleId="JuListi">
    <w:name w:val="Ju_List_i"/>
    <w:basedOn w:val="Normalny"/>
    <w:next w:val="JuLista"/>
    <w:uiPriority w:val="99"/>
    <w:rsid w:val="00315A17"/>
    <w:pPr>
      <w:ind w:left="794"/>
    </w:pPr>
  </w:style>
  <w:style w:type="character" w:customStyle="1" w:styleId="JUNAMES">
    <w:name w:val="JU_NAMES"/>
    <w:uiPriority w:val="99"/>
    <w:rsid w:val="00315A17"/>
    <w:rPr>
      <w:smallCaps/>
    </w:rPr>
  </w:style>
  <w:style w:type="paragraph" w:customStyle="1" w:styleId="JuParaSub">
    <w:name w:val="Ju_Para_Sub"/>
    <w:basedOn w:val="ECHRPara"/>
    <w:uiPriority w:val="99"/>
    <w:rsid w:val="00315A17"/>
    <w:pPr>
      <w:ind w:left="284"/>
    </w:pPr>
  </w:style>
  <w:style w:type="paragraph" w:customStyle="1" w:styleId="JuQuotSub">
    <w:name w:val="Ju_Quot_Sub"/>
    <w:basedOn w:val="ECHRParaQuote"/>
    <w:uiPriority w:val="99"/>
    <w:rsid w:val="00315A17"/>
    <w:pPr>
      <w:ind w:left="567"/>
    </w:pPr>
  </w:style>
  <w:style w:type="paragraph" w:customStyle="1" w:styleId="ECHRHeading1">
    <w:name w:val="ECHR_Heading_1"/>
    <w:aliases w:val="Ju_H_I_Roman"/>
    <w:basedOn w:val="Nagwek1"/>
    <w:next w:val="ECHRPara"/>
    <w:uiPriority w:val="99"/>
    <w:rsid w:val="00315A17"/>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315A17"/>
    <w:pPr>
      <w:keepNext/>
      <w:keepLines/>
      <w:tabs>
        <w:tab w:val="left" w:pos="584"/>
      </w:tabs>
      <w:spacing w:before="360" w:after="240"/>
      <w:ind w:left="584" w:hanging="352"/>
    </w:pPr>
    <w:rPr>
      <w:color w:val="auto"/>
      <w:sz w:val="24"/>
      <w:szCs w:val="24"/>
    </w:rPr>
  </w:style>
  <w:style w:type="paragraph" w:customStyle="1" w:styleId="ECHRHeading3">
    <w:name w:val="ECHR_Heading_3"/>
    <w:aliases w:val="Ju_H_1."/>
    <w:basedOn w:val="Nagwek3"/>
    <w:next w:val="ECHRPara"/>
    <w:uiPriority w:val="99"/>
    <w:rsid w:val="00315A17"/>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315A17"/>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315A17"/>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315A17"/>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315A17"/>
    <w:pPr>
      <w:keepNext/>
      <w:keepLines/>
      <w:spacing w:before="240" w:after="120"/>
      <w:ind w:left="1236"/>
    </w:pPr>
    <w:rPr>
      <w:sz w:val="20"/>
      <w:szCs w:val="20"/>
    </w:rPr>
  </w:style>
  <w:style w:type="paragraph" w:customStyle="1" w:styleId="JuParaLast">
    <w:name w:val="Ju_Para_Last"/>
    <w:basedOn w:val="Normalny"/>
    <w:next w:val="ECHRPara"/>
    <w:uiPriority w:val="99"/>
    <w:rsid w:val="00315A17"/>
    <w:pPr>
      <w:keepNext/>
      <w:keepLines/>
      <w:spacing w:before="240"/>
      <w:ind w:firstLine="284"/>
    </w:pPr>
  </w:style>
  <w:style w:type="paragraph" w:customStyle="1" w:styleId="DecList">
    <w:name w:val="Dec_List"/>
    <w:basedOn w:val="Normalny"/>
    <w:uiPriority w:val="99"/>
    <w:rsid w:val="00315A17"/>
    <w:pPr>
      <w:spacing w:before="240"/>
      <w:ind w:left="284"/>
    </w:pPr>
  </w:style>
  <w:style w:type="paragraph" w:customStyle="1" w:styleId="ECHRDecisionBody">
    <w:name w:val="ECHR_Decision_Body"/>
    <w:aliases w:val="Ju_Judges"/>
    <w:basedOn w:val="Normalny"/>
    <w:uiPriority w:val="99"/>
    <w:rsid w:val="00315A17"/>
    <w:pPr>
      <w:tabs>
        <w:tab w:val="left" w:pos="567"/>
        <w:tab w:val="left" w:pos="1134"/>
      </w:tabs>
      <w:jc w:val="left"/>
    </w:pPr>
  </w:style>
  <w:style w:type="paragraph" w:customStyle="1" w:styleId="OpiH1">
    <w:name w:val="Opi_H_1"/>
    <w:basedOn w:val="ECHRHeading2"/>
    <w:uiPriority w:val="99"/>
    <w:semiHidden/>
    <w:rsid w:val="00315A17"/>
    <w:pPr>
      <w:ind w:left="635" w:hanging="357"/>
      <w:outlineLvl w:val="2"/>
    </w:pPr>
  </w:style>
  <w:style w:type="paragraph" w:customStyle="1" w:styleId="OpiHa">
    <w:name w:val="Opi_H_a"/>
    <w:basedOn w:val="ECHRHeading3"/>
    <w:uiPriority w:val="99"/>
    <w:semiHidden/>
    <w:rsid w:val="00315A17"/>
    <w:pPr>
      <w:ind w:left="833" w:hanging="357"/>
      <w:outlineLvl w:val="3"/>
    </w:pPr>
    <w:rPr>
      <w:b/>
      <w:bCs/>
      <w:i w:val="0"/>
      <w:iCs w:val="0"/>
      <w:sz w:val="20"/>
      <w:szCs w:val="20"/>
    </w:rPr>
  </w:style>
  <w:style w:type="paragraph" w:customStyle="1" w:styleId="OpiHA0">
    <w:name w:val="Opi_H_A"/>
    <w:basedOn w:val="ECHRHeading1"/>
    <w:next w:val="OpiPara"/>
    <w:uiPriority w:val="99"/>
    <w:semiHidden/>
    <w:rsid w:val="00315A17"/>
    <w:pPr>
      <w:tabs>
        <w:tab w:val="clear" w:pos="357"/>
      </w:tabs>
      <w:outlineLvl w:val="1"/>
    </w:pPr>
    <w:rPr>
      <w:b/>
      <w:bCs/>
    </w:rPr>
  </w:style>
  <w:style w:type="paragraph" w:customStyle="1" w:styleId="OpiHi">
    <w:name w:val="Opi_H_i"/>
    <w:basedOn w:val="ECHRHeading4"/>
    <w:uiPriority w:val="99"/>
    <w:semiHidden/>
    <w:rsid w:val="00315A17"/>
    <w:pPr>
      <w:ind w:left="1037" w:hanging="357"/>
      <w:outlineLvl w:val="4"/>
    </w:pPr>
    <w:rPr>
      <w:b w:val="0"/>
      <w:bCs w:val="0"/>
      <w:i/>
      <w:iCs/>
    </w:rPr>
  </w:style>
  <w:style w:type="paragraph" w:customStyle="1" w:styleId="OpiPara">
    <w:name w:val="Opi_Para"/>
    <w:basedOn w:val="ECHRPara"/>
    <w:uiPriority w:val="99"/>
    <w:semiHidden/>
    <w:rsid w:val="00315A17"/>
  </w:style>
  <w:style w:type="paragraph" w:customStyle="1" w:styleId="OpiParaSub">
    <w:name w:val="Opi_Para_Sub"/>
    <w:basedOn w:val="JuParaSub"/>
    <w:uiPriority w:val="99"/>
    <w:semiHidden/>
    <w:rsid w:val="00315A17"/>
  </w:style>
  <w:style w:type="paragraph" w:styleId="Tytu">
    <w:name w:val="Title"/>
    <w:basedOn w:val="Normalny"/>
    <w:next w:val="Normalny"/>
    <w:link w:val="TytuZnak"/>
    <w:uiPriority w:val="99"/>
    <w:qFormat/>
    <w:rsid w:val="00315A17"/>
    <w:pPr>
      <w:pBdr>
        <w:bottom w:val="single" w:sz="4" w:space="1" w:color="auto"/>
      </w:pBdr>
    </w:pPr>
    <w:rPr>
      <w:rFonts w:eastAsia="MS Gothic"/>
      <w:spacing w:val="5"/>
      <w:sz w:val="52"/>
      <w:szCs w:val="52"/>
    </w:rPr>
  </w:style>
  <w:style w:type="character" w:customStyle="1" w:styleId="TytuZnak">
    <w:name w:val="Tytuł Znak"/>
    <w:basedOn w:val="Domylnaczcionkaakapitu"/>
    <w:link w:val="Tytu"/>
    <w:uiPriority w:val="99"/>
    <w:semiHidden/>
    <w:locked/>
    <w:rsid w:val="00315A17"/>
    <w:rPr>
      <w:rFonts w:ascii="Times New Roman" w:eastAsia="MS Gothic" w:hAnsi="Times New Roman" w:cs="Times New Roman"/>
      <w:spacing w:val="5"/>
      <w:sz w:val="52"/>
      <w:szCs w:val="52"/>
    </w:rPr>
  </w:style>
  <w:style w:type="paragraph" w:styleId="Podtytu">
    <w:name w:val="Subtitle"/>
    <w:basedOn w:val="Normalny"/>
    <w:next w:val="Normalny"/>
    <w:link w:val="PodtytuZnak"/>
    <w:uiPriority w:val="99"/>
    <w:qFormat/>
    <w:rsid w:val="00315A17"/>
    <w:pPr>
      <w:spacing w:after="600"/>
    </w:pPr>
    <w:rPr>
      <w:rFonts w:eastAsia="MS Gothic"/>
      <w:i/>
      <w:iCs/>
      <w:spacing w:val="13"/>
    </w:rPr>
  </w:style>
  <w:style w:type="character" w:customStyle="1" w:styleId="PodtytuZnak">
    <w:name w:val="Podtytuł Znak"/>
    <w:basedOn w:val="Domylnaczcionkaakapitu"/>
    <w:link w:val="Podtytu"/>
    <w:uiPriority w:val="99"/>
    <w:semiHidden/>
    <w:locked/>
    <w:rsid w:val="00315A17"/>
    <w:rPr>
      <w:rFonts w:ascii="Times New Roman" w:eastAsia="MS Gothic" w:hAnsi="Times New Roman" w:cs="Times New Roman"/>
      <w:i/>
      <w:iCs/>
      <w:spacing w:val="13"/>
      <w:sz w:val="24"/>
      <w:szCs w:val="24"/>
    </w:rPr>
  </w:style>
  <w:style w:type="character" w:styleId="Pogrubienie">
    <w:name w:val="Strong"/>
    <w:basedOn w:val="Domylnaczcionkaakapitu"/>
    <w:uiPriority w:val="99"/>
    <w:qFormat/>
    <w:rsid w:val="00315A17"/>
    <w:rPr>
      <w:rFonts w:cs="Times New Roman"/>
      <w:b/>
      <w:bCs/>
    </w:rPr>
  </w:style>
  <w:style w:type="character" w:styleId="Uwydatnienie">
    <w:name w:val="Emphasis"/>
    <w:basedOn w:val="Domylnaczcionkaakapitu"/>
    <w:uiPriority w:val="99"/>
    <w:qFormat/>
    <w:rsid w:val="00315A17"/>
    <w:rPr>
      <w:rFonts w:cs="Times New Roman"/>
      <w:b/>
      <w:bCs/>
      <w:i/>
      <w:iCs/>
      <w:spacing w:val="10"/>
      <w:shd w:val="clear" w:color="auto" w:fill="auto"/>
    </w:rPr>
  </w:style>
  <w:style w:type="paragraph" w:styleId="Bezodstpw">
    <w:name w:val="No Spacing"/>
    <w:basedOn w:val="Normalny"/>
    <w:link w:val="BezodstpwZnak"/>
    <w:uiPriority w:val="99"/>
    <w:qFormat/>
    <w:rsid w:val="00315A17"/>
    <w:rPr>
      <w:sz w:val="22"/>
      <w:szCs w:val="22"/>
    </w:rPr>
  </w:style>
  <w:style w:type="character" w:customStyle="1" w:styleId="BezodstpwZnak">
    <w:name w:val="Bez odstępów Znak"/>
    <w:basedOn w:val="Domylnaczcionkaakapitu"/>
    <w:link w:val="Bezodstpw"/>
    <w:uiPriority w:val="99"/>
    <w:semiHidden/>
    <w:locked/>
    <w:rsid w:val="00315A17"/>
    <w:rPr>
      <w:rFonts w:eastAsia="MS Mincho" w:cs="Times New Roman"/>
    </w:rPr>
  </w:style>
  <w:style w:type="paragraph" w:styleId="Akapitzlist">
    <w:name w:val="List Paragraph"/>
    <w:basedOn w:val="Normalny"/>
    <w:uiPriority w:val="99"/>
    <w:qFormat/>
    <w:rsid w:val="00315A17"/>
    <w:pPr>
      <w:ind w:left="720"/>
    </w:pPr>
  </w:style>
  <w:style w:type="paragraph" w:styleId="Cytat">
    <w:name w:val="Quote"/>
    <w:basedOn w:val="Normalny"/>
    <w:next w:val="Normalny"/>
    <w:link w:val="CytatZnak"/>
    <w:uiPriority w:val="99"/>
    <w:qFormat/>
    <w:rsid w:val="00315A17"/>
    <w:pPr>
      <w:spacing w:before="200"/>
      <w:ind w:left="360" w:right="360"/>
    </w:pPr>
    <w:rPr>
      <w:i/>
      <w:iCs/>
      <w:sz w:val="22"/>
      <w:szCs w:val="22"/>
    </w:rPr>
  </w:style>
  <w:style w:type="character" w:customStyle="1" w:styleId="CytatZnak">
    <w:name w:val="Cytat Znak"/>
    <w:basedOn w:val="Domylnaczcionkaakapitu"/>
    <w:link w:val="Cytat"/>
    <w:uiPriority w:val="99"/>
    <w:semiHidden/>
    <w:locked/>
    <w:rsid w:val="00315A17"/>
    <w:rPr>
      <w:rFonts w:eastAsia="MS Mincho" w:cs="Times New Roman"/>
      <w:i/>
      <w:iCs/>
    </w:rPr>
  </w:style>
  <w:style w:type="paragraph" w:styleId="Cytatintensywny">
    <w:name w:val="Intense Quote"/>
    <w:basedOn w:val="Normalny"/>
    <w:next w:val="Normalny"/>
    <w:link w:val="CytatintensywnyZnak"/>
    <w:uiPriority w:val="99"/>
    <w:qFormat/>
    <w:rsid w:val="00315A17"/>
    <w:pPr>
      <w:pBdr>
        <w:bottom w:val="single" w:sz="4" w:space="1" w:color="auto"/>
      </w:pBdr>
      <w:spacing w:before="200" w:after="280"/>
      <w:ind w:left="1008" w:right="1152"/>
    </w:pPr>
    <w:rPr>
      <w:b/>
      <w:bCs/>
      <w:i/>
      <w:iCs/>
      <w:sz w:val="22"/>
      <w:szCs w:val="22"/>
    </w:rPr>
  </w:style>
  <w:style w:type="character" w:customStyle="1" w:styleId="CytatintensywnyZnak">
    <w:name w:val="Cytat intensywny Znak"/>
    <w:basedOn w:val="Domylnaczcionkaakapitu"/>
    <w:link w:val="Cytatintensywny"/>
    <w:uiPriority w:val="99"/>
    <w:semiHidden/>
    <w:locked/>
    <w:rsid w:val="00315A17"/>
    <w:rPr>
      <w:rFonts w:eastAsia="MS Mincho" w:cs="Times New Roman"/>
      <w:b/>
      <w:bCs/>
      <w:i/>
      <w:iCs/>
    </w:rPr>
  </w:style>
  <w:style w:type="character" w:styleId="Wyrnieniedelikatne">
    <w:name w:val="Subtle Emphasis"/>
    <w:basedOn w:val="Domylnaczcionkaakapitu"/>
    <w:uiPriority w:val="99"/>
    <w:qFormat/>
    <w:rsid w:val="00315A17"/>
    <w:rPr>
      <w:rFonts w:cs="Times New Roman"/>
      <w:i/>
      <w:iCs/>
    </w:rPr>
  </w:style>
  <w:style w:type="character" w:styleId="Wyrnienieintensywne">
    <w:name w:val="Intense Emphasis"/>
    <w:basedOn w:val="Domylnaczcionkaakapitu"/>
    <w:uiPriority w:val="99"/>
    <w:qFormat/>
    <w:rsid w:val="00315A17"/>
    <w:rPr>
      <w:rFonts w:cs="Times New Roman"/>
      <w:b/>
      <w:bCs/>
    </w:rPr>
  </w:style>
  <w:style w:type="character" w:styleId="Odwoaniedelikatne">
    <w:name w:val="Subtle Reference"/>
    <w:basedOn w:val="Domylnaczcionkaakapitu"/>
    <w:uiPriority w:val="99"/>
    <w:qFormat/>
    <w:rsid w:val="00315A17"/>
    <w:rPr>
      <w:rFonts w:cs="Times New Roman"/>
      <w:smallCaps/>
    </w:rPr>
  </w:style>
  <w:style w:type="character" w:styleId="Odwoanieintensywne">
    <w:name w:val="Intense Reference"/>
    <w:basedOn w:val="Domylnaczcionkaakapitu"/>
    <w:uiPriority w:val="99"/>
    <w:qFormat/>
    <w:rsid w:val="00315A17"/>
    <w:rPr>
      <w:rFonts w:cs="Times New Roman"/>
      <w:smallCaps/>
      <w:spacing w:val="5"/>
      <w:u w:val="single"/>
    </w:rPr>
  </w:style>
  <w:style w:type="character" w:styleId="Tytuksiki">
    <w:name w:val="Book Title"/>
    <w:basedOn w:val="Domylnaczcionkaakapitu"/>
    <w:uiPriority w:val="99"/>
    <w:qFormat/>
    <w:rsid w:val="00315A17"/>
    <w:rPr>
      <w:rFonts w:cs="Times New Roman"/>
      <w:i/>
      <w:iCs/>
      <w:smallCaps/>
      <w:spacing w:val="5"/>
    </w:rPr>
  </w:style>
  <w:style w:type="paragraph" w:styleId="Nagwekspisutreci">
    <w:name w:val="TOC Heading"/>
    <w:basedOn w:val="Normalny"/>
    <w:next w:val="Normalny"/>
    <w:uiPriority w:val="99"/>
    <w:qFormat/>
    <w:rsid w:val="00315A17"/>
    <w:pPr>
      <w:keepNext/>
      <w:keepLines/>
      <w:spacing w:before="240"/>
      <w:jc w:val="center"/>
    </w:pPr>
    <w:rPr>
      <w:rFonts w:eastAsia="Times New Roman"/>
      <w:b/>
      <w:bCs/>
      <w:color w:val="474747"/>
      <w:sz w:val="28"/>
      <w:szCs w:val="28"/>
    </w:rPr>
  </w:style>
  <w:style w:type="paragraph" w:styleId="Bibliografia">
    <w:name w:val="Bibliography"/>
    <w:basedOn w:val="Normalny"/>
    <w:next w:val="Normalny"/>
    <w:uiPriority w:val="99"/>
    <w:semiHidden/>
    <w:rsid w:val="00E93FC7"/>
  </w:style>
  <w:style w:type="paragraph" w:styleId="Tekstblokowy">
    <w:name w:val="Block Text"/>
    <w:basedOn w:val="Normalny"/>
    <w:uiPriority w:val="99"/>
    <w:semiHidden/>
    <w:rsid w:val="00E93FC7"/>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93FC7"/>
    <w:pPr>
      <w:spacing w:after="120"/>
    </w:pPr>
  </w:style>
  <w:style w:type="character" w:customStyle="1" w:styleId="TekstpodstawowyZnak">
    <w:name w:val="Tekst podstawowy Znak"/>
    <w:basedOn w:val="Domylnaczcionkaakapitu"/>
    <w:link w:val="Tekstpodstawowy"/>
    <w:uiPriority w:val="99"/>
    <w:semiHidden/>
    <w:locked/>
    <w:rsid w:val="00E93FC7"/>
    <w:rPr>
      <w:rFonts w:eastAsia="MS Mincho" w:cs="Times New Roman"/>
      <w:sz w:val="24"/>
      <w:szCs w:val="24"/>
    </w:rPr>
  </w:style>
  <w:style w:type="paragraph" w:styleId="Tekstpodstawowy2">
    <w:name w:val="Body Text 2"/>
    <w:basedOn w:val="Normalny"/>
    <w:link w:val="Tekstpodstawowy2Znak"/>
    <w:uiPriority w:val="99"/>
    <w:semiHidden/>
    <w:rsid w:val="00E93FC7"/>
    <w:pPr>
      <w:spacing w:after="120" w:line="480" w:lineRule="auto"/>
    </w:pPr>
  </w:style>
  <w:style w:type="character" w:customStyle="1" w:styleId="Tekstpodstawowy2Znak">
    <w:name w:val="Tekst podstawowy 2 Znak"/>
    <w:basedOn w:val="Domylnaczcionkaakapitu"/>
    <w:link w:val="Tekstpodstawowy2"/>
    <w:uiPriority w:val="99"/>
    <w:semiHidden/>
    <w:locked/>
    <w:rsid w:val="00E93FC7"/>
    <w:rPr>
      <w:rFonts w:eastAsia="MS Mincho" w:cs="Times New Roman"/>
      <w:sz w:val="24"/>
      <w:szCs w:val="24"/>
    </w:rPr>
  </w:style>
  <w:style w:type="paragraph" w:styleId="Tekstpodstawowy3">
    <w:name w:val="Body Text 3"/>
    <w:basedOn w:val="Normalny"/>
    <w:link w:val="Tekstpodstawowy3Znak"/>
    <w:uiPriority w:val="99"/>
    <w:semiHidden/>
    <w:rsid w:val="00E93FC7"/>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E93FC7"/>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E93FC7"/>
    <w:rPr>
      <w:rFonts w:eastAsia="MS Mincho" w:cs="Times New Roman"/>
      <w:sz w:val="24"/>
      <w:szCs w:val="24"/>
    </w:rPr>
  </w:style>
  <w:style w:type="paragraph" w:styleId="Tekstpodstawowywcity">
    <w:name w:val="Body Text Indent"/>
    <w:basedOn w:val="Normalny"/>
    <w:link w:val="TekstpodstawowywcityZnak"/>
    <w:uiPriority w:val="99"/>
    <w:semiHidden/>
    <w:rsid w:val="00E93FC7"/>
    <w:pPr>
      <w:spacing w:after="120"/>
      <w:ind w:left="283"/>
    </w:pPr>
  </w:style>
  <w:style w:type="character" w:customStyle="1" w:styleId="TekstpodstawowywcityZnak">
    <w:name w:val="Tekst podstawowy wcięty Znak"/>
    <w:basedOn w:val="Domylnaczcionkaakapitu"/>
    <w:link w:val="Tekstpodstawowywcity"/>
    <w:uiPriority w:val="99"/>
    <w:semiHidden/>
    <w:locked/>
    <w:rsid w:val="00E93FC7"/>
    <w:rPr>
      <w:rFonts w:eastAsia="MS Mincho" w:cs="Times New Roman"/>
      <w:sz w:val="24"/>
      <w:szCs w:val="24"/>
    </w:rPr>
  </w:style>
  <w:style w:type="paragraph" w:styleId="Tekstpodstawowyzwciciem2">
    <w:name w:val="Body Text First Indent 2"/>
    <w:basedOn w:val="Tekstpodstawowywcity"/>
    <w:link w:val="Tekstpodstawowyzwciciem2Znak"/>
    <w:uiPriority w:val="99"/>
    <w:semiHidden/>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E93FC7"/>
    <w:rPr>
      <w:rFonts w:eastAsia="MS Mincho" w:cs="Times New Roman"/>
      <w:sz w:val="24"/>
      <w:szCs w:val="24"/>
    </w:rPr>
  </w:style>
  <w:style w:type="paragraph" w:styleId="Tekstpodstawowywcity2">
    <w:name w:val="Body Text Indent 2"/>
    <w:basedOn w:val="Normalny"/>
    <w:link w:val="Tekstpodstawowywcity2Znak"/>
    <w:uiPriority w:val="99"/>
    <w:semiHidden/>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E93FC7"/>
    <w:rPr>
      <w:rFonts w:eastAsia="MS Mincho" w:cs="Times New Roman"/>
      <w:sz w:val="24"/>
      <w:szCs w:val="24"/>
    </w:rPr>
  </w:style>
  <w:style w:type="paragraph" w:styleId="Tekstpodstawowywcity3">
    <w:name w:val="Body Text Indent 3"/>
    <w:basedOn w:val="Normalny"/>
    <w:link w:val="Tekstpodstawowywcity3Znak"/>
    <w:uiPriority w:val="99"/>
    <w:semiHidden/>
    <w:rsid w:val="00E93FC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E93FC7"/>
    <w:rPr>
      <w:rFonts w:eastAsia="MS Mincho" w:cs="Times New Roman"/>
      <w:sz w:val="16"/>
      <w:szCs w:val="16"/>
    </w:rPr>
  </w:style>
  <w:style w:type="paragraph" w:styleId="Legenda">
    <w:name w:val="caption"/>
    <w:basedOn w:val="Normalny"/>
    <w:next w:val="Normalny"/>
    <w:uiPriority w:val="99"/>
    <w:qFormat/>
    <w:rsid w:val="00E93FC7"/>
    <w:pPr>
      <w:spacing w:after="200"/>
    </w:pPr>
    <w:rPr>
      <w:b/>
      <w:bCs/>
      <w:color w:val="0072BC"/>
      <w:sz w:val="18"/>
      <w:szCs w:val="18"/>
    </w:rPr>
  </w:style>
  <w:style w:type="paragraph" w:styleId="Zwrotpoegnalny">
    <w:name w:val="Closing"/>
    <w:basedOn w:val="Normalny"/>
    <w:link w:val="ZwrotpoegnalnyZnak"/>
    <w:uiPriority w:val="99"/>
    <w:semiHidden/>
    <w:rsid w:val="00E93FC7"/>
    <w:pPr>
      <w:ind w:left="4252"/>
    </w:pPr>
  </w:style>
  <w:style w:type="character" w:customStyle="1" w:styleId="ZwrotpoegnalnyZnak">
    <w:name w:val="Zwrot pożegnalny Znak"/>
    <w:basedOn w:val="Domylnaczcionkaakapitu"/>
    <w:link w:val="Zwrotpoegnalny"/>
    <w:uiPriority w:val="99"/>
    <w:semiHidden/>
    <w:locked/>
    <w:rsid w:val="00E93FC7"/>
    <w:rPr>
      <w:rFonts w:eastAsia="MS Mincho" w:cs="Times New Roman"/>
      <w:sz w:val="24"/>
      <w:szCs w:val="24"/>
    </w:rPr>
  </w:style>
  <w:style w:type="table" w:styleId="Kolorowasiatka">
    <w:name w:val="Colorful Grid"/>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paragraph" w:styleId="Tematkomentarza">
    <w:name w:val="annotation subject"/>
    <w:basedOn w:val="Tekstkomentarza"/>
    <w:next w:val="Tekstkomentarza"/>
    <w:link w:val="TematkomentarzaZnak"/>
    <w:uiPriority w:val="99"/>
    <w:semiHidden/>
    <w:rsid w:val="00E93FC7"/>
    <w:rPr>
      <w:b/>
      <w:bCs/>
    </w:rPr>
  </w:style>
  <w:style w:type="character" w:customStyle="1" w:styleId="TematkomentarzaZnak">
    <w:name w:val="Temat komentarza Znak"/>
    <w:basedOn w:val="TekstkomentarzaZnak"/>
    <w:link w:val="Tematkomentarza"/>
    <w:uiPriority w:val="99"/>
    <w:semiHidden/>
    <w:locked/>
    <w:rsid w:val="00E93FC7"/>
    <w:rPr>
      <w:rFonts w:eastAsia="MS Mincho" w:cs="Times New Roman"/>
      <w:b/>
      <w:bCs/>
      <w:sz w:val="20"/>
      <w:szCs w:val="20"/>
    </w:rPr>
  </w:style>
  <w:style w:type="table" w:styleId="Ciemnalista">
    <w:name w:val="Dark List"/>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93FC7"/>
  </w:style>
  <w:style w:type="character" w:customStyle="1" w:styleId="DataZnak">
    <w:name w:val="Data Znak"/>
    <w:basedOn w:val="Domylnaczcionkaakapitu"/>
    <w:link w:val="Data"/>
    <w:uiPriority w:val="99"/>
    <w:semiHidden/>
    <w:locked/>
    <w:rsid w:val="00E93FC7"/>
    <w:rPr>
      <w:rFonts w:eastAsia="MS Mincho" w:cs="Times New Roman"/>
      <w:sz w:val="24"/>
      <w:szCs w:val="24"/>
    </w:rPr>
  </w:style>
  <w:style w:type="paragraph" w:styleId="Mapadokumentu">
    <w:name w:val="Document Map"/>
    <w:basedOn w:val="Normalny"/>
    <w:link w:val="MapadokumentuZnak"/>
    <w:uiPriority w:val="99"/>
    <w:semiHidden/>
    <w:rsid w:val="00E93FC7"/>
    <w:rPr>
      <w:rFonts w:ascii="Tahoma" w:hAnsi="Tahoma" w:cs="Tahoma"/>
      <w:sz w:val="16"/>
      <w:szCs w:val="16"/>
    </w:rPr>
  </w:style>
  <w:style w:type="character" w:customStyle="1" w:styleId="MapadokumentuZnak">
    <w:name w:val="Mapa dokumentu Znak"/>
    <w:basedOn w:val="Domylnaczcionkaakapitu"/>
    <w:link w:val="Mapadokumentu"/>
    <w:uiPriority w:val="99"/>
    <w:semiHidden/>
    <w:locked/>
    <w:rsid w:val="00E93FC7"/>
    <w:rPr>
      <w:rFonts w:ascii="Tahoma" w:eastAsia="MS Mincho" w:hAnsi="Tahoma" w:cs="Tahoma"/>
      <w:sz w:val="16"/>
      <w:szCs w:val="16"/>
    </w:rPr>
  </w:style>
  <w:style w:type="paragraph" w:styleId="Podpise-mail">
    <w:name w:val="E-mail Signature"/>
    <w:basedOn w:val="Normalny"/>
    <w:link w:val="Podpise-mailZnak"/>
    <w:uiPriority w:val="99"/>
    <w:semiHidden/>
    <w:rsid w:val="00E93FC7"/>
  </w:style>
  <w:style w:type="character" w:customStyle="1" w:styleId="Podpise-mailZnak">
    <w:name w:val="Podpis e-mail Znak"/>
    <w:basedOn w:val="Domylnaczcionkaakapitu"/>
    <w:link w:val="Podpise-mail"/>
    <w:uiPriority w:val="99"/>
    <w:semiHidden/>
    <w:locked/>
    <w:rsid w:val="00E93FC7"/>
    <w:rPr>
      <w:rFonts w:eastAsia="MS Mincho" w:cs="Times New Roman"/>
      <w:sz w:val="24"/>
      <w:szCs w:val="24"/>
    </w:rPr>
  </w:style>
  <w:style w:type="character" w:styleId="Odwoanieprzypisukocowego">
    <w:name w:val="endnote reference"/>
    <w:basedOn w:val="Domylnaczcionkaakapitu"/>
    <w:uiPriority w:val="99"/>
    <w:semiHidden/>
    <w:rsid w:val="00E93FC7"/>
    <w:rPr>
      <w:rFonts w:cs="Times New Roman"/>
      <w:vertAlign w:val="superscript"/>
    </w:rPr>
  </w:style>
  <w:style w:type="paragraph" w:styleId="Tekstprzypisukocowego">
    <w:name w:val="endnote text"/>
    <w:basedOn w:val="Normalny"/>
    <w:link w:val="TekstprzypisukocowegoZnak"/>
    <w:uiPriority w:val="99"/>
    <w:semiHidden/>
    <w:rsid w:val="00E93FC7"/>
    <w:rPr>
      <w:sz w:val="20"/>
      <w:szCs w:val="20"/>
    </w:rPr>
  </w:style>
  <w:style w:type="character" w:customStyle="1" w:styleId="TekstprzypisukocowegoZnak">
    <w:name w:val="Tekst przypisu końcowego Znak"/>
    <w:basedOn w:val="Domylnaczcionkaakapitu"/>
    <w:link w:val="Tekstprzypisukocowego"/>
    <w:uiPriority w:val="99"/>
    <w:semiHidden/>
    <w:locked/>
    <w:rsid w:val="00E93FC7"/>
    <w:rPr>
      <w:rFonts w:eastAsia="MS Mincho" w:cs="Times New Roman"/>
      <w:sz w:val="20"/>
      <w:szCs w:val="20"/>
    </w:rPr>
  </w:style>
  <w:style w:type="paragraph" w:styleId="Adresnakopercie">
    <w:name w:val="envelope address"/>
    <w:basedOn w:val="Normalny"/>
    <w:uiPriority w:val="99"/>
    <w:semiHidden/>
    <w:rsid w:val="00E93FC7"/>
    <w:pPr>
      <w:framePr w:w="7920" w:h="1980" w:hRule="exact" w:hSpace="180" w:wrap="auto" w:hAnchor="page" w:xAlign="center" w:yAlign="bottom"/>
      <w:ind w:left="2880"/>
    </w:pPr>
    <w:rPr>
      <w:rFonts w:eastAsia="MS Gothic"/>
    </w:rPr>
  </w:style>
  <w:style w:type="paragraph" w:styleId="Adreszwrotnynakopercie">
    <w:name w:val="envelope return"/>
    <w:basedOn w:val="Normalny"/>
    <w:uiPriority w:val="99"/>
    <w:semiHidden/>
    <w:rsid w:val="00E93FC7"/>
    <w:rPr>
      <w:rFonts w:eastAsia="MS Gothic"/>
      <w:sz w:val="20"/>
      <w:szCs w:val="20"/>
    </w:rPr>
  </w:style>
  <w:style w:type="character" w:styleId="UyteHipercze">
    <w:name w:val="FollowedHyperlink"/>
    <w:basedOn w:val="Domylnaczcionkaakapitu"/>
    <w:uiPriority w:val="99"/>
    <w:semiHidden/>
    <w:rsid w:val="00E93FC7"/>
    <w:rPr>
      <w:rFonts w:cs="Times New Roman"/>
      <w:color w:val="auto"/>
      <w:u w:val="single"/>
    </w:rPr>
  </w:style>
  <w:style w:type="character" w:styleId="Odwoanieprzypisudolnego">
    <w:name w:val="footnote reference"/>
    <w:basedOn w:val="Domylnaczcionkaakapitu"/>
    <w:uiPriority w:val="99"/>
    <w:semiHidden/>
    <w:rsid w:val="00315A17"/>
    <w:rPr>
      <w:rFonts w:cs="Times New Roman"/>
      <w:vertAlign w:val="superscript"/>
    </w:rPr>
  </w:style>
  <w:style w:type="paragraph" w:styleId="Tekstprzypisudolnego">
    <w:name w:val="footnote text"/>
    <w:basedOn w:val="Normalny"/>
    <w:link w:val="TekstprzypisudolnegoZnak"/>
    <w:uiPriority w:val="99"/>
    <w:semiHidden/>
    <w:rsid w:val="00315A17"/>
    <w:rPr>
      <w:sz w:val="20"/>
      <w:szCs w:val="20"/>
    </w:rPr>
  </w:style>
  <w:style w:type="character" w:customStyle="1" w:styleId="TekstprzypisudolnegoZnak">
    <w:name w:val="Tekst przypisu dolnego Znak"/>
    <w:basedOn w:val="Domylnaczcionkaakapitu"/>
    <w:link w:val="Tekstprzypisudolnego"/>
    <w:uiPriority w:val="99"/>
    <w:semiHidden/>
    <w:locked/>
    <w:rsid w:val="00315A17"/>
    <w:rPr>
      <w:rFonts w:eastAsia="MS Mincho" w:cs="Times New Roman"/>
      <w:sz w:val="20"/>
      <w:szCs w:val="20"/>
    </w:rPr>
  </w:style>
  <w:style w:type="character" w:styleId="HTML-akronim">
    <w:name w:val="HTML Acronym"/>
    <w:basedOn w:val="Domylnaczcionkaakapitu"/>
    <w:uiPriority w:val="99"/>
    <w:semiHidden/>
    <w:rsid w:val="00E93FC7"/>
    <w:rPr>
      <w:rFonts w:cs="Times New Roman"/>
    </w:rPr>
  </w:style>
  <w:style w:type="paragraph" w:styleId="HTML-adres">
    <w:name w:val="HTML Address"/>
    <w:basedOn w:val="Normalny"/>
    <w:link w:val="HTML-adresZnak"/>
    <w:uiPriority w:val="99"/>
    <w:semiHidden/>
    <w:rsid w:val="00E93FC7"/>
    <w:rPr>
      <w:i/>
      <w:iCs/>
    </w:rPr>
  </w:style>
  <w:style w:type="character" w:customStyle="1" w:styleId="HTML-adresZnak">
    <w:name w:val="HTML - adres Znak"/>
    <w:basedOn w:val="Domylnaczcionkaakapitu"/>
    <w:link w:val="HTML-adres"/>
    <w:uiPriority w:val="99"/>
    <w:semiHidden/>
    <w:locked/>
    <w:rsid w:val="00E93FC7"/>
    <w:rPr>
      <w:rFonts w:eastAsia="MS Mincho" w:cs="Times New Roman"/>
      <w:i/>
      <w:iCs/>
      <w:sz w:val="24"/>
      <w:szCs w:val="24"/>
    </w:rPr>
  </w:style>
  <w:style w:type="character" w:styleId="HTML-cytat">
    <w:name w:val="HTML Cite"/>
    <w:basedOn w:val="Domylnaczcionkaakapitu"/>
    <w:uiPriority w:val="99"/>
    <w:semiHidden/>
    <w:rsid w:val="00E93FC7"/>
    <w:rPr>
      <w:rFonts w:cs="Times New Roman"/>
      <w:i/>
      <w:iCs/>
    </w:rPr>
  </w:style>
  <w:style w:type="character" w:styleId="HTML-kod">
    <w:name w:val="HTML Code"/>
    <w:basedOn w:val="Domylnaczcionkaakapitu"/>
    <w:uiPriority w:val="99"/>
    <w:semiHidden/>
    <w:rsid w:val="00E93FC7"/>
    <w:rPr>
      <w:rFonts w:ascii="Consolas" w:hAnsi="Consolas" w:cs="Consolas"/>
      <w:sz w:val="20"/>
      <w:szCs w:val="20"/>
    </w:rPr>
  </w:style>
  <w:style w:type="character" w:styleId="HTML-definicja">
    <w:name w:val="HTML Definition"/>
    <w:basedOn w:val="Domylnaczcionkaakapitu"/>
    <w:uiPriority w:val="99"/>
    <w:semiHidden/>
    <w:rsid w:val="00E93FC7"/>
    <w:rPr>
      <w:rFonts w:cs="Times New Roman"/>
      <w:i/>
      <w:iCs/>
    </w:rPr>
  </w:style>
  <w:style w:type="character" w:styleId="HTML-klawiatura">
    <w:name w:val="HTML Keyboard"/>
    <w:basedOn w:val="Domylnaczcionkaakapitu"/>
    <w:uiPriority w:val="99"/>
    <w:semiHidden/>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rsid w:val="00E93FC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E93FC7"/>
    <w:rPr>
      <w:rFonts w:ascii="Consolas" w:eastAsia="MS Mincho" w:hAnsi="Consolas" w:cs="Consolas"/>
      <w:sz w:val="20"/>
      <w:szCs w:val="20"/>
    </w:rPr>
  </w:style>
  <w:style w:type="character" w:styleId="HTML-przykad">
    <w:name w:val="HTML Sample"/>
    <w:basedOn w:val="Domylnaczcionkaakapitu"/>
    <w:uiPriority w:val="99"/>
    <w:semiHidden/>
    <w:rsid w:val="00E93FC7"/>
    <w:rPr>
      <w:rFonts w:ascii="Consolas" w:hAnsi="Consolas" w:cs="Consolas"/>
      <w:sz w:val="24"/>
      <w:szCs w:val="24"/>
    </w:rPr>
  </w:style>
  <w:style w:type="character" w:styleId="HTML-staaszeroko">
    <w:name w:val="HTML Typewriter"/>
    <w:basedOn w:val="Domylnaczcionkaakapitu"/>
    <w:uiPriority w:val="99"/>
    <w:semiHidden/>
    <w:rsid w:val="00E93FC7"/>
    <w:rPr>
      <w:rFonts w:ascii="Consolas" w:hAnsi="Consolas" w:cs="Consolas"/>
      <w:sz w:val="20"/>
      <w:szCs w:val="20"/>
    </w:rPr>
  </w:style>
  <w:style w:type="character" w:styleId="HTML-zmienna">
    <w:name w:val="HTML Variable"/>
    <w:basedOn w:val="Domylnaczcionkaakapitu"/>
    <w:uiPriority w:val="99"/>
    <w:semiHidden/>
    <w:rsid w:val="00E93FC7"/>
    <w:rPr>
      <w:rFonts w:cs="Times New Roman"/>
      <w:i/>
      <w:iCs/>
    </w:rPr>
  </w:style>
  <w:style w:type="character" w:styleId="Hipercze">
    <w:name w:val="Hyperlink"/>
    <w:basedOn w:val="Domylnaczcionkaakapitu"/>
    <w:uiPriority w:val="99"/>
    <w:semiHidden/>
    <w:rsid w:val="00315A17"/>
    <w:rPr>
      <w:rFonts w:cs="Times New Roman"/>
      <w:color w:val="0072BC"/>
      <w:u w:val="single"/>
    </w:rPr>
  </w:style>
  <w:style w:type="paragraph" w:styleId="Indeks1">
    <w:name w:val="index 1"/>
    <w:basedOn w:val="Normalny"/>
    <w:next w:val="Normalny"/>
    <w:autoRedefine/>
    <w:uiPriority w:val="99"/>
    <w:semiHidden/>
    <w:rsid w:val="00E93FC7"/>
    <w:pPr>
      <w:ind w:left="240" w:hanging="240"/>
    </w:pPr>
  </w:style>
  <w:style w:type="paragraph" w:styleId="Indeks2">
    <w:name w:val="index 2"/>
    <w:basedOn w:val="Normalny"/>
    <w:next w:val="Normalny"/>
    <w:autoRedefine/>
    <w:uiPriority w:val="99"/>
    <w:semiHidden/>
    <w:rsid w:val="00E93FC7"/>
    <w:pPr>
      <w:ind w:left="480" w:hanging="240"/>
    </w:pPr>
  </w:style>
  <w:style w:type="paragraph" w:styleId="Indeks3">
    <w:name w:val="index 3"/>
    <w:basedOn w:val="Normalny"/>
    <w:next w:val="Normalny"/>
    <w:autoRedefine/>
    <w:uiPriority w:val="99"/>
    <w:semiHidden/>
    <w:rsid w:val="00E93FC7"/>
    <w:pPr>
      <w:ind w:left="720" w:hanging="240"/>
    </w:pPr>
  </w:style>
  <w:style w:type="paragraph" w:styleId="Indeks4">
    <w:name w:val="index 4"/>
    <w:basedOn w:val="Normalny"/>
    <w:next w:val="Normalny"/>
    <w:autoRedefine/>
    <w:uiPriority w:val="99"/>
    <w:semiHidden/>
    <w:rsid w:val="00E93FC7"/>
    <w:pPr>
      <w:ind w:left="960" w:hanging="240"/>
    </w:pPr>
  </w:style>
  <w:style w:type="paragraph" w:styleId="Indeks5">
    <w:name w:val="index 5"/>
    <w:basedOn w:val="Normalny"/>
    <w:next w:val="Normalny"/>
    <w:autoRedefine/>
    <w:uiPriority w:val="99"/>
    <w:semiHidden/>
    <w:rsid w:val="00E93FC7"/>
    <w:pPr>
      <w:ind w:left="1200" w:hanging="240"/>
    </w:pPr>
  </w:style>
  <w:style w:type="paragraph" w:styleId="Indeks6">
    <w:name w:val="index 6"/>
    <w:basedOn w:val="Normalny"/>
    <w:next w:val="Normalny"/>
    <w:autoRedefine/>
    <w:uiPriority w:val="99"/>
    <w:semiHidden/>
    <w:rsid w:val="00E93FC7"/>
    <w:pPr>
      <w:ind w:left="1440" w:hanging="240"/>
    </w:pPr>
  </w:style>
  <w:style w:type="paragraph" w:styleId="Indeks7">
    <w:name w:val="index 7"/>
    <w:basedOn w:val="Normalny"/>
    <w:next w:val="Normalny"/>
    <w:autoRedefine/>
    <w:uiPriority w:val="99"/>
    <w:semiHidden/>
    <w:rsid w:val="00E93FC7"/>
    <w:pPr>
      <w:ind w:left="1680" w:hanging="240"/>
    </w:pPr>
  </w:style>
  <w:style w:type="paragraph" w:styleId="Indeks8">
    <w:name w:val="index 8"/>
    <w:basedOn w:val="Normalny"/>
    <w:next w:val="Normalny"/>
    <w:autoRedefine/>
    <w:uiPriority w:val="99"/>
    <w:semiHidden/>
    <w:rsid w:val="00E93FC7"/>
    <w:pPr>
      <w:ind w:left="1920" w:hanging="240"/>
    </w:pPr>
  </w:style>
  <w:style w:type="paragraph" w:styleId="Indeks9">
    <w:name w:val="index 9"/>
    <w:basedOn w:val="Normalny"/>
    <w:next w:val="Normalny"/>
    <w:autoRedefine/>
    <w:uiPriority w:val="99"/>
    <w:semiHidden/>
    <w:rsid w:val="00E93FC7"/>
    <w:pPr>
      <w:ind w:left="2160" w:hanging="240"/>
    </w:pPr>
  </w:style>
  <w:style w:type="paragraph" w:styleId="Nagwekindeksu">
    <w:name w:val="index heading"/>
    <w:basedOn w:val="Normalny"/>
    <w:next w:val="Indeks1"/>
    <w:uiPriority w:val="99"/>
    <w:semiHidden/>
    <w:rsid w:val="00E93FC7"/>
    <w:rPr>
      <w:rFonts w:eastAsia="MS Gothic"/>
      <w:b/>
      <w:bCs/>
    </w:rPr>
  </w:style>
  <w:style w:type="table" w:styleId="Jasnasiatka">
    <w:name w:val="Light Grid"/>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93FC7"/>
    <w:pPr>
      <w:spacing w:after="0" w:line="240" w:lineRule="auto"/>
    </w:pPr>
    <w:rPr>
      <w:color w:val="00548C"/>
      <w:sz w:val="20"/>
      <w:szCs w:val="20"/>
    </w:rPr>
    <w:tblPr>
      <w:tblStyleRowBandSize w:val="1"/>
      <w:tblStyleColBandSize w:val="1"/>
      <w:tblInd w:w="0" w:type="nil"/>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93FC7"/>
    <w:pPr>
      <w:spacing w:after="0" w:line="240" w:lineRule="auto"/>
    </w:pPr>
    <w:rPr>
      <w:color w:val="8F0000"/>
      <w:sz w:val="20"/>
      <w:szCs w:val="20"/>
    </w:rPr>
    <w:tblPr>
      <w:tblStyleRowBandSize w:val="1"/>
      <w:tblStyleColBandSize w:val="1"/>
      <w:tblInd w:w="0" w:type="nil"/>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93FC7"/>
    <w:pPr>
      <w:spacing w:after="0" w:line="240" w:lineRule="auto"/>
    </w:pPr>
    <w:rPr>
      <w:color w:val="474747"/>
      <w:sz w:val="20"/>
      <w:szCs w:val="20"/>
    </w:rPr>
    <w:tblPr>
      <w:tblStyleRowBandSize w:val="1"/>
      <w:tblStyleColBandSize w:val="1"/>
      <w:tblInd w:w="0" w:type="nil"/>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93FC7"/>
    <w:pPr>
      <w:spacing w:after="0" w:line="240" w:lineRule="auto"/>
    </w:pPr>
    <w:rPr>
      <w:color w:val="707070"/>
      <w:sz w:val="20"/>
      <w:szCs w:val="20"/>
    </w:rPr>
    <w:tblPr>
      <w:tblStyleRowBandSize w:val="1"/>
      <w:tblStyleColBandSize w:val="1"/>
      <w:tblInd w:w="0" w:type="nil"/>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93FC7"/>
    <w:pPr>
      <w:spacing w:after="0" w:line="240" w:lineRule="auto"/>
    </w:pPr>
    <w:rPr>
      <w:color w:val="474747"/>
      <w:sz w:val="20"/>
      <w:szCs w:val="20"/>
    </w:rPr>
    <w:tblPr>
      <w:tblStyleRowBandSize w:val="1"/>
      <w:tblStyleColBandSize w:val="1"/>
      <w:tblInd w:w="0" w:type="nil"/>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93FC7"/>
    <w:pPr>
      <w:spacing w:after="0" w:line="240" w:lineRule="auto"/>
    </w:pPr>
    <w:rPr>
      <w:color w:val="393939"/>
      <w:sz w:val="20"/>
      <w:szCs w:val="20"/>
    </w:rPr>
    <w:tblPr>
      <w:tblStyleRowBandSize w:val="1"/>
      <w:tblStyleColBandSize w:val="1"/>
      <w:tblInd w:w="0" w:type="nil"/>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93FC7"/>
    <w:rPr>
      <w:rFonts w:cs="Times New Roman"/>
    </w:rPr>
  </w:style>
  <w:style w:type="paragraph" w:styleId="Lista">
    <w:name w:val="List"/>
    <w:basedOn w:val="Normalny"/>
    <w:uiPriority w:val="99"/>
    <w:semiHidden/>
    <w:rsid w:val="00E93FC7"/>
    <w:pPr>
      <w:ind w:left="283" w:hanging="283"/>
    </w:pPr>
  </w:style>
  <w:style w:type="paragraph" w:styleId="Lista2">
    <w:name w:val="List 2"/>
    <w:basedOn w:val="Normalny"/>
    <w:uiPriority w:val="99"/>
    <w:semiHidden/>
    <w:rsid w:val="00E93FC7"/>
    <w:pPr>
      <w:ind w:left="566" w:hanging="283"/>
    </w:pPr>
  </w:style>
  <w:style w:type="paragraph" w:styleId="Lista3">
    <w:name w:val="List 3"/>
    <w:basedOn w:val="Normalny"/>
    <w:uiPriority w:val="99"/>
    <w:semiHidden/>
    <w:rsid w:val="00E93FC7"/>
    <w:pPr>
      <w:ind w:left="849" w:hanging="283"/>
    </w:pPr>
  </w:style>
  <w:style w:type="paragraph" w:styleId="Lista4">
    <w:name w:val="List 4"/>
    <w:basedOn w:val="Normalny"/>
    <w:uiPriority w:val="99"/>
    <w:semiHidden/>
    <w:rsid w:val="00E93FC7"/>
    <w:pPr>
      <w:ind w:left="1132" w:hanging="283"/>
    </w:pPr>
  </w:style>
  <w:style w:type="paragraph" w:styleId="Lista5">
    <w:name w:val="List 5"/>
    <w:basedOn w:val="Normalny"/>
    <w:uiPriority w:val="99"/>
    <w:semiHidden/>
    <w:rsid w:val="00E93FC7"/>
    <w:pPr>
      <w:ind w:left="1415" w:hanging="283"/>
    </w:pPr>
  </w:style>
  <w:style w:type="paragraph" w:styleId="Listapunktowana">
    <w:name w:val="List Bullet"/>
    <w:basedOn w:val="Normalny"/>
    <w:uiPriority w:val="99"/>
    <w:semiHidden/>
    <w:rsid w:val="00E93FC7"/>
    <w:pPr>
      <w:numPr>
        <w:numId w:val="1"/>
      </w:numPr>
    </w:pPr>
  </w:style>
  <w:style w:type="paragraph" w:styleId="Listapunktowana2">
    <w:name w:val="List Bullet 2"/>
    <w:basedOn w:val="Normalny"/>
    <w:uiPriority w:val="99"/>
    <w:semiHidden/>
    <w:rsid w:val="00E93FC7"/>
    <w:pPr>
      <w:numPr>
        <w:numId w:val="2"/>
      </w:numPr>
    </w:pPr>
  </w:style>
  <w:style w:type="paragraph" w:styleId="Listapunktowana3">
    <w:name w:val="List Bullet 3"/>
    <w:basedOn w:val="Normalny"/>
    <w:uiPriority w:val="99"/>
    <w:semiHidden/>
    <w:rsid w:val="00E93FC7"/>
    <w:pPr>
      <w:numPr>
        <w:numId w:val="3"/>
      </w:numPr>
    </w:pPr>
  </w:style>
  <w:style w:type="paragraph" w:styleId="Listapunktowana4">
    <w:name w:val="List Bullet 4"/>
    <w:basedOn w:val="Normalny"/>
    <w:uiPriority w:val="99"/>
    <w:semiHidden/>
    <w:rsid w:val="00E93FC7"/>
    <w:pPr>
      <w:numPr>
        <w:numId w:val="4"/>
      </w:numPr>
    </w:pPr>
  </w:style>
  <w:style w:type="paragraph" w:styleId="Listapunktowana5">
    <w:name w:val="List Bullet 5"/>
    <w:basedOn w:val="Normalny"/>
    <w:uiPriority w:val="99"/>
    <w:semiHidden/>
    <w:rsid w:val="00E93FC7"/>
    <w:pPr>
      <w:numPr>
        <w:numId w:val="5"/>
      </w:numPr>
    </w:pPr>
  </w:style>
  <w:style w:type="paragraph" w:styleId="Lista-kontynuacja">
    <w:name w:val="List Continue"/>
    <w:basedOn w:val="Normalny"/>
    <w:uiPriority w:val="99"/>
    <w:semiHidden/>
    <w:rsid w:val="00E93FC7"/>
    <w:pPr>
      <w:spacing w:after="120"/>
      <w:ind w:left="283"/>
    </w:pPr>
  </w:style>
  <w:style w:type="paragraph" w:styleId="Lista-kontynuacja2">
    <w:name w:val="List Continue 2"/>
    <w:basedOn w:val="Normalny"/>
    <w:uiPriority w:val="99"/>
    <w:semiHidden/>
    <w:rsid w:val="00E93FC7"/>
    <w:pPr>
      <w:spacing w:after="120"/>
      <w:ind w:left="566"/>
    </w:pPr>
  </w:style>
  <w:style w:type="paragraph" w:styleId="Lista-kontynuacja3">
    <w:name w:val="List Continue 3"/>
    <w:basedOn w:val="Normalny"/>
    <w:uiPriority w:val="99"/>
    <w:semiHidden/>
    <w:rsid w:val="00E93FC7"/>
    <w:pPr>
      <w:spacing w:after="120"/>
      <w:ind w:left="849"/>
    </w:pPr>
  </w:style>
  <w:style w:type="paragraph" w:styleId="Lista-kontynuacja4">
    <w:name w:val="List Continue 4"/>
    <w:basedOn w:val="Normalny"/>
    <w:uiPriority w:val="99"/>
    <w:semiHidden/>
    <w:rsid w:val="00E93FC7"/>
    <w:pPr>
      <w:spacing w:after="120"/>
      <w:ind w:left="1132"/>
    </w:pPr>
  </w:style>
  <w:style w:type="paragraph" w:styleId="Lista-kontynuacja5">
    <w:name w:val="List Continue 5"/>
    <w:basedOn w:val="Normalny"/>
    <w:uiPriority w:val="99"/>
    <w:semiHidden/>
    <w:rsid w:val="00E93FC7"/>
    <w:pPr>
      <w:spacing w:after="120"/>
      <w:ind w:left="1415"/>
    </w:pPr>
  </w:style>
  <w:style w:type="paragraph" w:styleId="Listanumerowana">
    <w:name w:val="List Number"/>
    <w:basedOn w:val="Normalny"/>
    <w:uiPriority w:val="99"/>
    <w:semiHidden/>
    <w:rsid w:val="00E93FC7"/>
    <w:pPr>
      <w:numPr>
        <w:numId w:val="6"/>
      </w:numPr>
    </w:pPr>
  </w:style>
  <w:style w:type="paragraph" w:styleId="Listanumerowana2">
    <w:name w:val="List Number 2"/>
    <w:basedOn w:val="Normalny"/>
    <w:uiPriority w:val="99"/>
    <w:semiHidden/>
    <w:rsid w:val="00E93FC7"/>
    <w:pPr>
      <w:tabs>
        <w:tab w:val="num" w:pos="643"/>
      </w:tabs>
      <w:ind w:left="643" w:hanging="360"/>
    </w:pPr>
  </w:style>
  <w:style w:type="paragraph" w:styleId="Listanumerowana3">
    <w:name w:val="List Number 3"/>
    <w:basedOn w:val="Normalny"/>
    <w:uiPriority w:val="99"/>
    <w:semiHidden/>
    <w:rsid w:val="00E93FC7"/>
    <w:pPr>
      <w:numPr>
        <w:numId w:val="8"/>
      </w:numPr>
    </w:pPr>
  </w:style>
  <w:style w:type="paragraph" w:styleId="Listanumerowana4">
    <w:name w:val="List Number 4"/>
    <w:basedOn w:val="Normalny"/>
    <w:uiPriority w:val="99"/>
    <w:semiHidden/>
    <w:rsid w:val="00E93FC7"/>
    <w:pPr>
      <w:numPr>
        <w:numId w:val="9"/>
      </w:numPr>
    </w:pPr>
  </w:style>
  <w:style w:type="paragraph" w:styleId="Listanumerowana5">
    <w:name w:val="List Number 5"/>
    <w:basedOn w:val="Normalny"/>
    <w:uiPriority w:val="99"/>
    <w:semiHidden/>
    <w:rsid w:val="00E93FC7"/>
    <w:pPr>
      <w:numPr>
        <w:numId w:val="10"/>
      </w:numPr>
    </w:pPr>
  </w:style>
  <w:style w:type="paragraph" w:styleId="Tekstmakra">
    <w:name w:val="macro"/>
    <w:link w:val="TekstmakraZnak"/>
    <w:uiPriority w:val="99"/>
    <w:semiHidden/>
    <w:rsid w:val="00E93FC7"/>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MS Mincho" w:hAnsi="Consolas" w:cs="Consolas"/>
      <w:sz w:val="20"/>
      <w:szCs w:val="20"/>
      <w:lang w:eastAsia="en-US"/>
    </w:rPr>
  </w:style>
  <w:style w:type="character" w:customStyle="1" w:styleId="TekstmakraZnak">
    <w:name w:val="Tekst makra Znak"/>
    <w:basedOn w:val="Domylnaczcionkaakapitu"/>
    <w:link w:val="Tekstmakra"/>
    <w:uiPriority w:val="99"/>
    <w:semiHidden/>
    <w:locked/>
    <w:rsid w:val="00E93FC7"/>
    <w:rPr>
      <w:rFonts w:ascii="Consolas" w:eastAsia="MS Mincho" w:hAnsi="Consolas" w:cs="Consolas"/>
      <w:lang w:val="pl-PL" w:eastAsia="en-US"/>
    </w:rPr>
  </w:style>
  <w:style w:type="table" w:styleId="redniasiatka1">
    <w:name w:val="Medium Grid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basedOn w:val="Domylnaczcionkaakapitu"/>
    <w:link w:val="Nagwekwiadomoci"/>
    <w:uiPriority w:val="99"/>
    <w:semiHidden/>
    <w:locked/>
    <w:rsid w:val="00E93FC7"/>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E93FC7"/>
  </w:style>
  <w:style w:type="paragraph" w:styleId="Wcicienormalne">
    <w:name w:val="Normal Indent"/>
    <w:basedOn w:val="Normalny"/>
    <w:uiPriority w:val="99"/>
    <w:semiHidden/>
    <w:rsid w:val="00E93FC7"/>
    <w:pPr>
      <w:ind w:left="720"/>
    </w:pPr>
  </w:style>
  <w:style w:type="paragraph" w:styleId="Nagweknotatki">
    <w:name w:val="Note Heading"/>
    <w:basedOn w:val="Normalny"/>
    <w:next w:val="Normalny"/>
    <w:link w:val="NagweknotatkiZnak"/>
    <w:uiPriority w:val="99"/>
    <w:semiHidden/>
    <w:rsid w:val="00E93FC7"/>
  </w:style>
  <w:style w:type="character" w:customStyle="1" w:styleId="NagweknotatkiZnak">
    <w:name w:val="Nagłówek notatki Znak"/>
    <w:basedOn w:val="Domylnaczcionkaakapitu"/>
    <w:link w:val="Nagweknotatki"/>
    <w:uiPriority w:val="99"/>
    <w:semiHidden/>
    <w:locked/>
    <w:rsid w:val="00E93FC7"/>
    <w:rPr>
      <w:rFonts w:eastAsia="MS Mincho" w:cs="Times New Roman"/>
      <w:sz w:val="24"/>
      <w:szCs w:val="24"/>
    </w:rPr>
  </w:style>
  <w:style w:type="character" w:styleId="Tekstzastpczy">
    <w:name w:val="Placeholder Text"/>
    <w:basedOn w:val="Domylnaczcionkaakapitu"/>
    <w:uiPriority w:val="99"/>
    <w:semiHidden/>
    <w:rsid w:val="00315A17"/>
    <w:rPr>
      <w:rFonts w:cs="Times New Roman"/>
      <w:color w:val="auto"/>
      <w:shd w:val="clear" w:color="auto" w:fill="DFDFDF"/>
    </w:rPr>
  </w:style>
  <w:style w:type="paragraph" w:styleId="Zwykytekst">
    <w:name w:val="Plain Text"/>
    <w:basedOn w:val="Normalny"/>
    <w:link w:val="ZwykytekstZnak"/>
    <w:uiPriority w:val="99"/>
    <w:semiHidden/>
    <w:rsid w:val="00E93FC7"/>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E93FC7"/>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E93FC7"/>
  </w:style>
  <w:style w:type="character" w:customStyle="1" w:styleId="ZwrotgrzecznociowyZnak">
    <w:name w:val="Zwrot grzecznościowy Znak"/>
    <w:basedOn w:val="Domylnaczcionkaakapitu"/>
    <w:link w:val="Zwrotgrzecznociowy"/>
    <w:uiPriority w:val="99"/>
    <w:semiHidden/>
    <w:locked/>
    <w:rsid w:val="00E93FC7"/>
    <w:rPr>
      <w:rFonts w:eastAsia="MS Mincho" w:cs="Times New Roman"/>
      <w:sz w:val="24"/>
      <w:szCs w:val="24"/>
    </w:rPr>
  </w:style>
  <w:style w:type="paragraph" w:styleId="Podpis">
    <w:name w:val="Signature"/>
    <w:basedOn w:val="Normalny"/>
    <w:link w:val="PodpisZnak"/>
    <w:uiPriority w:val="99"/>
    <w:semiHidden/>
    <w:rsid w:val="00E93FC7"/>
    <w:pPr>
      <w:ind w:left="4252"/>
    </w:pPr>
  </w:style>
  <w:style w:type="character" w:customStyle="1" w:styleId="PodpisZnak">
    <w:name w:val="Podpis Znak"/>
    <w:basedOn w:val="Domylnaczcionkaakapitu"/>
    <w:link w:val="Podpis"/>
    <w:uiPriority w:val="99"/>
    <w:semiHidden/>
    <w:locked/>
    <w:rsid w:val="00E93FC7"/>
    <w:rPr>
      <w:rFonts w:eastAsia="MS Mincho" w:cs="Times New Roman"/>
      <w:sz w:val="24"/>
      <w:szCs w:val="24"/>
    </w:rPr>
  </w:style>
  <w:style w:type="table" w:styleId="Tabela-Efekty3W1">
    <w:name w:val="Table 3D effects 1"/>
    <w:basedOn w:val="Standardowy"/>
    <w:uiPriority w:val="99"/>
    <w:semiHidden/>
    <w:rsid w:val="00E93FC7"/>
    <w:pPr>
      <w:spacing w:after="0" w:line="240" w:lineRule="auto"/>
      <w:jc w:val="both"/>
    </w:pPr>
    <w:rPr>
      <w:sz w:val="20"/>
      <w:szCs w:val="20"/>
    </w:rPr>
    <w:tblPr>
      <w:tblInd w:w="0" w:type="nil"/>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93FC7"/>
    <w:pPr>
      <w:spacing w:after="0" w:line="240" w:lineRule="auto"/>
      <w:jc w:val="both"/>
    </w:pPr>
    <w:rPr>
      <w:sz w:val="20"/>
      <w:szCs w:val="20"/>
    </w:rPr>
    <w:tblPr>
      <w:tblStyleRowBandSize w:val="1"/>
      <w:tblInd w:w="0" w:type="nil"/>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93FC7"/>
    <w:pPr>
      <w:spacing w:after="0" w:line="240" w:lineRule="auto"/>
      <w:jc w:val="both"/>
    </w:pPr>
    <w:rPr>
      <w:sz w:val="20"/>
      <w:szCs w:val="20"/>
    </w:rPr>
    <w:tblPr>
      <w:tblStyleRowBandSize w:val="1"/>
      <w:tblStyleColBandSize w:val="1"/>
      <w:tblInd w:w="0" w:type="nil"/>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93FC7"/>
    <w:pPr>
      <w:spacing w:after="0" w:line="240" w:lineRule="auto"/>
      <w:jc w:val="both"/>
    </w:pPr>
    <w:rPr>
      <w:sz w:val="20"/>
      <w:szCs w:val="20"/>
    </w:rPr>
    <w:tblPr>
      <w:tblInd w:w="0" w:type="nil"/>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93FC7"/>
    <w:pPr>
      <w:spacing w:after="0" w:line="240" w:lineRule="auto"/>
      <w:jc w:val="both"/>
    </w:pPr>
    <w:rPr>
      <w:sz w:val="20"/>
      <w:szCs w:val="20"/>
    </w:rPr>
    <w:tblPr>
      <w:tblInd w:w="0" w:type="nil"/>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93FC7"/>
    <w:pPr>
      <w:spacing w:after="0" w:line="240" w:lineRule="auto"/>
      <w:jc w:val="both"/>
    </w:pPr>
    <w:rPr>
      <w:color w:val="000080"/>
      <w:sz w:val="20"/>
      <w:szCs w:val="2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93FC7"/>
    <w:pPr>
      <w:spacing w:after="0" w:line="240" w:lineRule="auto"/>
      <w:jc w:val="both"/>
    </w:pPr>
    <w:rPr>
      <w:sz w:val="20"/>
      <w:szCs w:val="20"/>
    </w:rPr>
    <w:tblPr>
      <w:tblInd w:w="0" w:type="nil"/>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93FC7"/>
    <w:pPr>
      <w:spacing w:after="0" w:line="240" w:lineRule="auto"/>
      <w:jc w:val="both"/>
    </w:pPr>
    <w:rPr>
      <w:color w:val="FFFFFF"/>
      <w:sz w:val="20"/>
      <w:szCs w:val="20"/>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93FC7"/>
    <w:pPr>
      <w:spacing w:after="0" w:line="240" w:lineRule="auto"/>
      <w:jc w:val="both"/>
    </w:pPr>
    <w:rPr>
      <w:sz w:val="20"/>
      <w:szCs w:val="20"/>
    </w:rPr>
    <w:tblPr>
      <w:tblInd w:w="0" w:type="nil"/>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93FC7"/>
    <w:pPr>
      <w:spacing w:after="0" w:line="240" w:lineRule="auto"/>
      <w:jc w:val="both"/>
    </w:pPr>
    <w:rPr>
      <w:sz w:val="20"/>
      <w:szCs w:val="20"/>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93FC7"/>
    <w:pPr>
      <w:spacing w:after="0" w:line="240" w:lineRule="auto"/>
      <w:jc w:val="both"/>
    </w:pPr>
    <w:rPr>
      <w:b/>
      <w:bCs/>
      <w:sz w:val="20"/>
      <w:szCs w:val="20"/>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93FC7"/>
    <w:pPr>
      <w:spacing w:after="0" w:line="240" w:lineRule="auto"/>
      <w:jc w:val="both"/>
    </w:pPr>
    <w:rPr>
      <w:b/>
      <w:bCs/>
      <w:sz w:val="20"/>
      <w:szCs w:val="20"/>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93FC7"/>
    <w:pPr>
      <w:spacing w:after="0" w:line="240" w:lineRule="auto"/>
      <w:jc w:val="both"/>
    </w:pPr>
    <w:rPr>
      <w:b/>
      <w:bCs/>
      <w:sz w:val="20"/>
      <w:szCs w:val="20"/>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93FC7"/>
    <w:pPr>
      <w:spacing w:after="0" w:line="240" w:lineRule="auto"/>
      <w:jc w:val="both"/>
    </w:pPr>
    <w:rPr>
      <w:sz w:val="20"/>
      <w:szCs w:val="20"/>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E93FC7"/>
    <w:pPr>
      <w:spacing w:after="0" w:line="240" w:lineRule="auto"/>
      <w:jc w:val="both"/>
    </w:pPr>
    <w:rPr>
      <w:sz w:val="20"/>
      <w:szCs w:val="20"/>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E93FC7"/>
    <w:pPr>
      <w:spacing w:after="0" w:line="240" w:lineRule="auto"/>
      <w:jc w:val="both"/>
    </w:pPr>
    <w:rPr>
      <w:sz w:val="20"/>
      <w:szCs w:val="20"/>
    </w:rPr>
    <w:tblPr>
      <w:tblStyleRowBandSize w:val="1"/>
      <w:tblInd w:w="0" w:type="nil"/>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93FC7"/>
    <w:pPr>
      <w:spacing w:after="0" w:line="240" w:lineRule="auto"/>
      <w:jc w:val="both"/>
    </w:pPr>
    <w:rPr>
      <w:sz w:val="20"/>
      <w:szCs w:val="20"/>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315A17"/>
    <w:pPr>
      <w:spacing w:after="0" w:line="240" w:lineRule="auto"/>
    </w:pPr>
    <w:rPr>
      <w:rFonts w:eastAsia="MS Mincho"/>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E93FC7"/>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93FC7"/>
    <w:pPr>
      <w:spacing w:after="0" w:line="240" w:lineRule="auto"/>
      <w:jc w:val="both"/>
    </w:pPr>
    <w:rPr>
      <w:sz w:val="20"/>
      <w:szCs w:val="20"/>
    </w:rPr>
    <w:tblPr>
      <w:tblInd w:w="0" w:type="nil"/>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93FC7"/>
    <w:pPr>
      <w:spacing w:after="0" w:line="240" w:lineRule="auto"/>
      <w:jc w:val="both"/>
    </w:pPr>
    <w:rPr>
      <w:sz w:val="20"/>
      <w:szCs w:val="20"/>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93FC7"/>
    <w:pPr>
      <w:spacing w:after="0" w:line="240" w:lineRule="auto"/>
      <w:jc w:val="both"/>
    </w:pPr>
    <w:rPr>
      <w:sz w:val="20"/>
      <w:szCs w:val="20"/>
    </w:rPr>
    <w:tblPr>
      <w:tblInd w:w="0" w:type="nil"/>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93FC7"/>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E93FC7"/>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E93FC7"/>
    <w:pPr>
      <w:spacing w:after="0" w:line="240" w:lineRule="auto"/>
      <w:jc w:val="both"/>
    </w:pPr>
    <w:rPr>
      <w:b/>
      <w:bCs/>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E93FC7"/>
    <w:pPr>
      <w:spacing w:after="0" w:line="240" w:lineRule="auto"/>
      <w:jc w:val="both"/>
    </w:pPr>
    <w:rPr>
      <w:sz w:val="20"/>
      <w:szCs w:val="20"/>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93FC7"/>
    <w:pPr>
      <w:spacing w:after="0" w:line="240" w:lineRule="auto"/>
      <w:jc w:val="both"/>
    </w:pPr>
    <w:rPr>
      <w:sz w:val="20"/>
      <w:szCs w:val="20"/>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93FC7"/>
    <w:pPr>
      <w:spacing w:after="0" w:line="240" w:lineRule="auto"/>
      <w:jc w:val="both"/>
    </w:pPr>
    <w:rPr>
      <w:sz w:val="20"/>
      <w:szCs w:val="20"/>
    </w:rPr>
    <w:tblPr>
      <w:tblStyleRowBandSize w:val="2"/>
      <w:tblInd w:w="0" w:type="nil"/>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93FC7"/>
    <w:pPr>
      <w:spacing w:after="0" w:line="240" w:lineRule="auto"/>
      <w:jc w:val="both"/>
    </w:pPr>
    <w:rPr>
      <w:sz w:val="20"/>
      <w:szCs w:val="20"/>
    </w:rPr>
    <w:tblPr>
      <w:tblInd w:w="0" w:type="nil"/>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93FC7"/>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93FC7"/>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93FC7"/>
    <w:pPr>
      <w:spacing w:after="0" w:line="240" w:lineRule="auto"/>
      <w:jc w:val="both"/>
    </w:pPr>
    <w:rPr>
      <w:sz w:val="20"/>
      <w:szCs w:val="20"/>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93FC7"/>
    <w:pPr>
      <w:spacing w:after="0" w:line="240" w:lineRule="auto"/>
      <w:jc w:val="both"/>
    </w:pPr>
    <w:rPr>
      <w:sz w:val="20"/>
      <w:szCs w:val="20"/>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93FC7"/>
    <w:pPr>
      <w:spacing w:after="0" w:line="240" w:lineRule="auto"/>
      <w:jc w:val="both"/>
    </w:pPr>
    <w:rPr>
      <w:sz w:val="20"/>
      <w:szCs w:val="20"/>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93FC7"/>
    <w:pPr>
      <w:ind w:left="240" w:hanging="240"/>
    </w:pPr>
  </w:style>
  <w:style w:type="paragraph" w:styleId="Spisilustracji">
    <w:name w:val="table of figures"/>
    <w:basedOn w:val="Normalny"/>
    <w:next w:val="Normalny"/>
    <w:uiPriority w:val="99"/>
    <w:semiHidden/>
    <w:rsid w:val="00E93FC7"/>
  </w:style>
  <w:style w:type="table" w:styleId="Tabela-Profesjonalny">
    <w:name w:val="Table Professional"/>
    <w:basedOn w:val="Standardowy"/>
    <w:uiPriority w:val="99"/>
    <w:semiHidden/>
    <w:rsid w:val="00E93FC7"/>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93FC7"/>
    <w:pPr>
      <w:spacing w:after="0" w:line="240" w:lineRule="auto"/>
      <w:jc w:val="both"/>
    </w:pPr>
    <w:rPr>
      <w:sz w:val="20"/>
      <w:szCs w:val="20"/>
    </w:rPr>
    <w:tblPr>
      <w:tblInd w:w="0" w:type="nil"/>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93FC7"/>
    <w:pPr>
      <w:spacing w:after="0" w:line="240" w:lineRule="auto"/>
      <w:jc w:val="both"/>
    </w:pPr>
    <w:rPr>
      <w:sz w:val="20"/>
      <w:szCs w:val="20"/>
    </w:rPr>
    <w:tblPr>
      <w:tblInd w:w="0" w:type="nil"/>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93FC7"/>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93FC7"/>
    <w:pPr>
      <w:spacing w:after="0" w:line="240" w:lineRule="auto"/>
      <w:jc w:val="both"/>
    </w:pPr>
    <w:rPr>
      <w:sz w:val="20"/>
      <w:szCs w:val="20"/>
    </w:rPr>
    <w:tblPr>
      <w:tblStyleRowBandSize w:val="1"/>
      <w:tblInd w:w="0" w:type="nil"/>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93FC7"/>
    <w:pPr>
      <w:spacing w:after="0" w:line="240" w:lineRule="auto"/>
      <w:jc w:val="both"/>
    </w:pPr>
    <w:rPr>
      <w:sz w:val="20"/>
      <w:szCs w:val="20"/>
    </w:rPr>
    <w:tblPr>
      <w:tblInd w:w="0" w:type="nil"/>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93FC7"/>
    <w:pPr>
      <w:spacing w:after="0" w:line="240" w:lineRule="auto"/>
      <w:jc w:val="both"/>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93FC7"/>
    <w:pPr>
      <w:spacing w:after="0" w:line="240" w:lineRule="auto"/>
      <w:jc w:val="both"/>
    </w:pPr>
    <w:rPr>
      <w:sz w:val="20"/>
      <w:szCs w:val="20"/>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93FC7"/>
    <w:pPr>
      <w:spacing w:after="0" w:line="240" w:lineRule="auto"/>
      <w:jc w:val="both"/>
    </w:pPr>
    <w:rPr>
      <w:sz w:val="20"/>
      <w:szCs w:val="20"/>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93FC7"/>
    <w:pPr>
      <w:spacing w:after="0" w:line="240" w:lineRule="auto"/>
      <w:jc w:val="both"/>
    </w:pPr>
    <w:rPr>
      <w:sz w:val="20"/>
      <w:szCs w:val="20"/>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315A17"/>
    <w:pPr>
      <w:keepNext/>
      <w:keepLines/>
      <w:spacing w:before="240"/>
      <w:jc w:val="center"/>
    </w:pPr>
    <w:rPr>
      <w:rFonts w:eastAsia="MS Gothic"/>
      <w:b/>
      <w:bCs/>
      <w:color w:val="474747"/>
      <w:sz w:val="28"/>
      <w:szCs w:val="28"/>
    </w:rPr>
  </w:style>
  <w:style w:type="paragraph" w:styleId="Spistreci1">
    <w:name w:val="toc 1"/>
    <w:basedOn w:val="Normalny"/>
    <w:next w:val="Normalny"/>
    <w:autoRedefine/>
    <w:uiPriority w:val="99"/>
    <w:semiHidden/>
    <w:rsid w:val="00315A17"/>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315A17"/>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315A17"/>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315A17"/>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315A17"/>
    <w:pPr>
      <w:tabs>
        <w:tab w:val="right" w:leader="dot" w:pos="7371"/>
      </w:tabs>
      <w:spacing w:after="60" w:line="240" w:lineRule="exact"/>
      <w:ind w:left="1701" w:right="567" w:hanging="340"/>
    </w:pPr>
    <w:rPr>
      <w:sz w:val="20"/>
      <w:szCs w:val="20"/>
    </w:rPr>
  </w:style>
  <w:style w:type="paragraph" w:styleId="Spistreci6">
    <w:name w:val="toc 6"/>
    <w:basedOn w:val="Normalny"/>
    <w:next w:val="Normalny"/>
    <w:autoRedefine/>
    <w:uiPriority w:val="99"/>
    <w:semiHidden/>
    <w:rsid w:val="00315A17"/>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315A17"/>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E93FC7"/>
    <w:pPr>
      <w:spacing w:after="100"/>
      <w:ind w:left="1680"/>
    </w:pPr>
  </w:style>
  <w:style w:type="paragraph" w:styleId="Spistreci9">
    <w:name w:val="toc 9"/>
    <w:basedOn w:val="Normalny"/>
    <w:next w:val="Normalny"/>
    <w:autoRedefine/>
    <w:uiPriority w:val="99"/>
    <w:semiHidden/>
    <w:rsid w:val="00E93FC7"/>
    <w:pPr>
      <w:spacing w:after="100"/>
      <w:ind w:left="1920"/>
    </w:pPr>
  </w:style>
  <w:style w:type="paragraph" w:customStyle="1" w:styleId="ECHRFooter">
    <w:name w:val="ECHR_Footer"/>
    <w:aliases w:val="Footer_ECHR"/>
    <w:basedOn w:val="Stopka"/>
    <w:uiPriority w:val="99"/>
    <w:semiHidden/>
    <w:rsid w:val="00315A17"/>
    <w:pPr>
      <w:jc w:val="left"/>
    </w:pPr>
    <w:rPr>
      <w:sz w:val="8"/>
      <w:szCs w:val="8"/>
    </w:rPr>
  </w:style>
  <w:style w:type="paragraph" w:customStyle="1" w:styleId="OpiQuot">
    <w:name w:val="Opi_Quot"/>
    <w:basedOn w:val="ECHRParaQuote"/>
    <w:uiPriority w:val="99"/>
    <w:semiHidden/>
    <w:rsid w:val="00315A17"/>
  </w:style>
  <w:style w:type="paragraph" w:styleId="Stopka">
    <w:name w:val="footer"/>
    <w:basedOn w:val="Normalny"/>
    <w:link w:val="StopkaZnak"/>
    <w:uiPriority w:val="99"/>
    <w:semiHidden/>
    <w:rsid w:val="00315A17"/>
    <w:pPr>
      <w:tabs>
        <w:tab w:val="center" w:pos="4536"/>
        <w:tab w:val="right" w:pos="9696"/>
      </w:tabs>
      <w:ind w:left="-680" w:right="-680"/>
    </w:pPr>
    <w:rPr>
      <w:rFonts w:eastAsia="Times New Roman"/>
    </w:rPr>
  </w:style>
  <w:style w:type="character" w:customStyle="1" w:styleId="StopkaZnak">
    <w:name w:val="Stopka Znak"/>
    <w:basedOn w:val="Domylnaczcionkaakapitu"/>
    <w:link w:val="Stopka"/>
    <w:uiPriority w:val="99"/>
    <w:semiHidden/>
    <w:locked/>
    <w:rsid w:val="00315A17"/>
    <w:rPr>
      <w:rFonts w:cs="Times New Roman"/>
      <w:sz w:val="24"/>
      <w:szCs w:val="24"/>
    </w:rPr>
  </w:style>
  <w:style w:type="paragraph" w:customStyle="1" w:styleId="ECHRFooterLine">
    <w:name w:val="ECHR_Footer_Line"/>
    <w:aliases w:val="Footer_Line"/>
    <w:basedOn w:val="Normalny"/>
    <w:next w:val="ECHRFooter"/>
    <w:uiPriority w:val="99"/>
    <w:semiHidden/>
    <w:rsid w:val="00315A17"/>
    <w:pPr>
      <w:pBdr>
        <w:top w:val="single" w:sz="6" w:space="1" w:color="5F5F5F"/>
      </w:pBdr>
      <w:tabs>
        <w:tab w:val="center" w:pos="4536"/>
        <w:tab w:val="right" w:pos="9696"/>
      </w:tabs>
      <w:ind w:left="-680" w:right="-680"/>
      <w:jc w:val="left"/>
    </w:pPr>
    <w:rPr>
      <w:color w:val="5F5F5F"/>
    </w:rPr>
  </w:style>
  <w:style w:type="table" w:customStyle="1" w:styleId="ECHRListTable">
    <w:name w:val="ECHR_List_Table"/>
    <w:uiPriority w:val="99"/>
    <w:rsid w:val="00315A17"/>
    <w:pPr>
      <w:spacing w:after="0" w:line="240" w:lineRule="auto"/>
    </w:pPr>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OpiQuotSub">
    <w:name w:val="Opi_Quot_Sub"/>
    <w:basedOn w:val="JuQuotSub"/>
    <w:uiPriority w:val="99"/>
    <w:semiHidden/>
    <w:rsid w:val="00315A17"/>
  </w:style>
  <w:style w:type="paragraph" w:customStyle="1" w:styleId="OpiTranslation">
    <w:name w:val="Opi_Translation"/>
    <w:basedOn w:val="Normalny"/>
    <w:next w:val="OpiPara"/>
    <w:uiPriority w:val="99"/>
    <w:semiHidden/>
    <w:rsid w:val="00315A17"/>
    <w:pPr>
      <w:jc w:val="center"/>
      <w:outlineLvl w:val="0"/>
    </w:pPr>
    <w:rPr>
      <w:i/>
      <w:iCs/>
    </w:rPr>
  </w:style>
  <w:style w:type="table" w:customStyle="1" w:styleId="ECHRTable">
    <w:name w:val="ECHR_Table"/>
    <w:uiPriority w:val="99"/>
    <w:rsid w:val="00FE0E84"/>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FE0E84"/>
    <w:pPr>
      <w:spacing w:after="0" w:line="240" w:lineRule="auto"/>
    </w:pPr>
    <w:rPr>
      <w:rFonts w:ascii="Verdana" w:hAnsi="Verdana" w:cs="Verdana"/>
      <w:sz w:val="20"/>
      <w:szCs w:val="20"/>
    </w:rPr>
    <w:tblPr>
      <w:tblCellMar>
        <w:top w:w="57" w:type="dxa"/>
        <w:left w:w="57" w:type="dxa"/>
        <w:bottom w:w="57" w:type="dxa"/>
        <w:right w:w="57" w:type="dxa"/>
      </w:tblCellMar>
    </w:tblPr>
    <w:tcPr>
      <w:shd w:val="clear" w:color="auto" w:fill="F8F8F8"/>
    </w:tcPr>
  </w:style>
  <w:style w:type="table" w:customStyle="1" w:styleId="LtrTableAddress">
    <w:name w:val="Ltr_Table_Address"/>
    <w:uiPriority w:val="99"/>
    <w:rsid w:val="00FE0E84"/>
    <w:pPr>
      <w:spacing w:after="0" w:line="240" w:lineRule="auto"/>
    </w:pPr>
    <w:rPr>
      <w:sz w:val="20"/>
      <w:szCs w:val="20"/>
    </w:rPr>
    <w:tblPr>
      <w:tblCellMar>
        <w:top w:w="0" w:type="dxa"/>
        <w:left w:w="108" w:type="dxa"/>
        <w:bottom w:w="0" w:type="dxa"/>
        <w:right w:w="108" w:type="dxa"/>
      </w:tblCellMar>
    </w:tblPr>
  </w:style>
  <w:style w:type="table" w:customStyle="1" w:styleId="UGTable">
    <w:name w:val="UG_Table"/>
    <w:uiPriority w:val="99"/>
    <w:rsid w:val="00FE0E84"/>
    <w:pPr>
      <w:spacing w:after="0" w:line="240" w:lineRule="auto"/>
    </w:pPr>
    <w:rPr>
      <w:rFonts w:eastAsia="MS Mincho"/>
      <w:sz w:val="20"/>
      <w:szCs w:val="20"/>
      <w:lang w:eastAsia="en-GB"/>
    </w:rPr>
    <w:tblPr>
      <w:tblCellMar>
        <w:top w:w="0" w:type="dxa"/>
        <w:left w:w="57" w:type="dxa"/>
        <w:bottom w:w="57" w:type="dxa"/>
        <w:right w:w="113" w:type="dxa"/>
      </w:tblCellMar>
    </w:tblPr>
  </w:style>
  <w:style w:type="table" w:customStyle="1" w:styleId="UGTableWhiteBox">
    <w:name w:val="UG_Table_White_Box"/>
    <w:uiPriority w:val="99"/>
    <w:rsid w:val="00FE0E84"/>
    <w:pPr>
      <w:spacing w:after="0" w:line="240" w:lineRule="auto"/>
    </w:pPr>
    <w:rPr>
      <w:rFonts w:eastAsia="MS Mincho"/>
      <w:sz w:val="20"/>
      <w:szCs w:val="20"/>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FE0E84"/>
    <w:pPr>
      <w:spacing w:after="0" w:line="240" w:lineRule="auto"/>
    </w:pPr>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FE0E84"/>
    <w:pPr>
      <w:spacing w:after="0" w:line="240" w:lineRule="auto"/>
    </w:pPr>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FE0E84"/>
    <w:pPr>
      <w:spacing w:after="0" w:line="240" w:lineRule="auto"/>
    </w:pPr>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FE0E84"/>
    <w:pPr>
      <w:spacing w:after="0" w:line="240" w:lineRule="auto"/>
    </w:pPr>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table" w:customStyle="1" w:styleId="ECHRTableSimpleBox">
    <w:name w:val="ECHR_Table_Simple_Box"/>
    <w:uiPriority w:val="99"/>
    <w:rsid w:val="00FE0E84"/>
    <w:pPr>
      <w:spacing w:after="0" w:line="240" w:lineRule="auto"/>
    </w:pPr>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E0E84"/>
    <w:pPr>
      <w:spacing w:after="0" w:line="240" w:lineRule="auto"/>
    </w:pPr>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FE0E84"/>
    <w:pPr>
      <w:spacing w:after="0" w:line="240" w:lineRule="auto"/>
    </w:pPr>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HeaderTable">
    <w:name w:val="ECHR_Header_Table"/>
    <w:uiPriority w:val="99"/>
    <w:rsid w:val="00FE0E84"/>
    <w:pPr>
      <w:spacing w:after="0" w:line="240" w:lineRule="auto"/>
    </w:pPr>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FE0E84"/>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FE0E84"/>
    <w:pPr>
      <w:spacing w:after="0" w:line="240" w:lineRule="auto"/>
    </w:pPr>
    <w:rPr>
      <w:sz w:val="20"/>
      <w:szCs w:val="20"/>
    </w:rPr>
    <w:tblPr>
      <w:tblCellMar>
        <w:top w:w="0" w:type="dxa"/>
        <w:left w:w="0" w:type="dxa"/>
        <w:bottom w:w="0" w:type="dxa"/>
        <w:right w:w="0" w:type="dxa"/>
      </w:tblCellMar>
    </w:tblPr>
  </w:style>
  <w:style w:type="character" w:customStyle="1" w:styleId="ECHRParaChar">
    <w:name w:val="ECHR_Para Char"/>
    <w:aliases w:val="Ju_Para Char"/>
    <w:link w:val="ECHRPara"/>
    <w:uiPriority w:val="99"/>
    <w:locked/>
    <w:rsid w:val="00FE0E84"/>
    <w:rPr>
      <w:rFonts w:eastAsia="MS Mincho"/>
      <w:sz w:val="24"/>
    </w:rPr>
  </w:style>
  <w:style w:type="character" w:customStyle="1" w:styleId="s4f807e54">
    <w:name w:val="s4f807e54"/>
    <w:uiPriority w:val="99"/>
    <w:rsid w:val="005C2D3E"/>
  </w:style>
  <w:style w:type="paragraph" w:customStyle="1" w:styleId="s50c0b1c7">
    <w:name w:val="s50c0b1c7"/>
    <w:basedOn w:val="Normalny"/>
    <w:uiPriority w:val="99"/>
    <w:rsid w:val="00DA4886"/>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DA4886"/>
    <w:rPr>
      <w:rFonts w:cs="Times New Roman"/>
    </w:rPr>
  </w:style>
  <w:style w:type="character" w:customStyle="1" w:styleId="sfbbfee58">
    <w:name w:val="sfbbfee58"/>
    <w:basedOn w:val="Domylnaczcionkaakapitu"/>
    <w:uiPriority w:val="99"/>
    <w:rsid w:val="00DA4886"/>
    <w:rPr>
      <w:rFonts w:cs="Times New Roman"/>
    </w:rPr>
  </w:style>
  <w:style w:type="character" w:customStyle="1" w:styleId="sb8d990e2">
    <w:name w:val="sb8d990e2"/>
    <w:basedOn w:val="Domylnaczcionkaakapitu"/>
    <w:uiPriority w:val="99"/>
    <w:rsid w:val="003C576E"/>
    <w:rPr>
      <w:rFonts w:cs="Times New Roman"/>
    </w:rPr>
  </w:style>
  <w:style w:type="numbering" w:styleId="1ai">
    <w:name w:val="Outline List 1"/>
    <w:basedOn w:val="Bezlisty"/>
    <w:uiPriority w:val="99"/>
    <w:semiHidden/>
    <w:unhideWhenUsed/>
    <w:pPr>
      <w:numPr>
        <w:numId w:val="32"/>
      </w:numPr>
    </w:pPr>
  </w:style>
  <w:style w:type="numbering" w:customStyle="1" w:styleId="ArticleSection">
    <w:name w:val="Article / Section"/>
    <w:pPr>
      <w:numPr>
        <w:numId w:val="33"/>
      </w:numPr>
    </w:pPr>
  </w:style>
  <w:style w:type="numbering" w:styleId="111111">
    <w:name w:val="Outline List 2"/>
    <w:basedOn w:val="Bezlisty"/>
    <w:uiPriority w:val="99"/>
    <w:semiHidden/>
    <w:unhideWhenUsed/>
    <w:pPr>
      <w:numPr>
        <w:numId w:val="3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pPr>
        <w:spacing w:after="200" w:line="276" w:lineRule="auto"/>
      </w:pPr>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315A17"/>
    <w:pPr>
      <w:spacing w:after="0" w:line="240" w:lineRule="auto"/>
      <w:jc w:val="both"/>
    </w:pPr>
    <w:rPr>
      <w:rFonts w:eastAsia="MS Mincho"/>
      <w:sz w:val="24"/>
      <w:szCs w:val="24"/>
      <w:lang w:eastAsia="en-US"/>
    </w:rPr>
  </w:style>
  <w:style w:type="paragraph" w:styleId="Nagwek1">
    <w:name w:val="heading 1"/>
    <w:basedOn w:val="Normalny"/>
    <w:next w:val="Normalny"/>
    <w:link w:val="Nagwek1Znak"/>
    <w:uiPriority w:val="99"/>
    <w:qFormat/>
    <w:rsid w:val="00315A17"/>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315A17"/>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315A17"/>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315A17"/>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315A17"/>
    <w:pPr>
      <w:spacing w:before="200"/>
      <w:outlineLvl w:val="4"/>
    </w:pPr>
    <w:rPr>
      <w:rFonts w:eastAsia="MS Gothic"/>
      <w:b/>
      <w:bCs/>
      <w:color w:val="808080"/>
      <w:sz w:val="22"/>
      <w:szCs w:val="22"/>
    </w:rPr>
  </w:style>
  <w:style w:type="paragraph" w:styleId="Nagwek6">
    <w:name w:val="heading 6"/>
    <w:basedOn w:val="Normalny"/>
    <w:next w:val="Normalny"/>
    <w:link w:val="Nagwek6Znak"/>
    <w:uiPriority w:val="99"/>
    <w:qFormat/>
    <w:rsid w:val="00315A17"/>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315A17"/>
    <w:pPr>
      <w:outlineLvl w:val="6"/>
    </w:pPr>
    <w:rPr>
      <w:rFonts w:eastAsia="MS Gothic"/>
      <w:i/>
      <w:iCs/>
      <w:sz w:val="22"/>
      <w:szCs w:val="22"/>
    </w:rPr>
  </w:style>
  <w:style w:type="paragraph" w:styleId="Nagwek8">
    <w:name w:val="heading 8"/>
    <w:basedOn w:val="Normalny"/>
    <w:next w:val="Normalny"/>
    <w:link w:val="Nagwek8Znak"/>
    <w:uiPriority w:val="99"/>
    <w:qFormat/>
    <w:rsid w:val="00315A17"/>
    <w:pPr>
      <w:outlineLvl w:val="7"/>
    </w:pPr>
    <w:rPr>
      <w:rFonts w:eastAsia="MS Gothic"/>
      <w:sz w:val="20"/>
      <w:szCs w:val="20"/>
    </w:rPr>
  </w:style>
  <w:style w:type="paragraph" w:styleId="Nagwek9">
    <w:name w:val="heading 9"/>
    <w:basedOn w:val="Normalny"/>
    <w:next w:val="Normalny"/>
    <w:link w:val="Nagwek9Znak"/>
    <w:uiPriority w:val="99"/>
    <w:qFormat/>
    <w:rsid w:val="00315A17"/>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315A17"/>
    <w:rPr>
      <w:rFonts w:ascii="Times New Roman" w:eastAsia="MS Gothic"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315A17"/>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315A17"/>
    <w:rPr>
      <w:rFonts w:ascii="Times New Roman" w:eastAsia="MS Gothic" w:hAnsi="Times New Roman" w:cs="Times New Roman"/>
      <w:b/>
      <w:bCs/>
      <w:color w:val="5F5F5F"/>
      <w:sz w:val="24"/>
      <w:szCs w:val="24"/>
    </w:rPr>
  </w:style>
  <w:style w:type="character" w:customStyle="1" w:styleId="Nagwek4Znak">
    <w:name w:val="Nagłówek 4 Znak"/>
    <w:basedOn w:val="Domylnaczcionkaakapitu"/>
    <w:link w:val="Nagwek4"/>
    <w:uiPriority w:val="99"/>
    <w:semiHidden/>
    <w:locked/>
    <w:rsid w:val="00315A17"/>
    <w:rPr>
      <w:rFonts w:ascii="Times New Roman" w:eastAsia="MS Gothic" w:hAnsi="Times New Roman" w:cs="Times New Roman"/>
      <w:b/>
      <w:bCs/>
      <w:i/>
      <w:iCs/>
      <w:color w:val="777777"/>
      <w:sz w:val="24"/>
      <w:szCs w:val="24"/>
    </w:rPr>
  </w:style>
  <w:style w:type="character" w:customStyle="1" w:styleId="Nagwek5Znak">
    <w:name w:val="Nagłówek 5 Znak"/>
    <w:basedOn w:val="Domylnaczcionkaakapitu"/>
    <w:link w:val="Nagwek5"/>
    <w:uiPriority w:val="99"/>
    <w:semiHidden/>
    <w:locked/>
    <w:rsid w:val="00315A17"/>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315A17"/>
    <w:rPr>
      <w:rFonts w:ascii="Times New Roman" w:eastAsia="MS Gothic" w:hAnsi="Times New Roman" w:cs="Times New Roman"/>
      <w:b/>
      <w:bCs/>
      <w:i/>
      <w:iCs/>
      <w:color w:val="7F7F7F"/>
      <w:sz w:val="24"/>
      <w:szCs w:val="24"/>
    </w:rPr>
  </w:style>
  <w:style w:type="character" w:customStyle="1" w:styleId="Nagwek7Znak">
    <w:name w:val="Nagłówek 7 Znak"/>
    <w:basedOn w:val="Domylnaczcionkaakapitu"/>
    <w:link w:val="Nagwek7"/>
    <w:uiPriority w:val="99"/>
    <w:semiHidden/>
    <w:locked/>
    <w:rsid w:val="00315A17"/>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315A17"/>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315A17"/>
    <w:rPr>
      <w:rFonts w:ascii="Times New Roman" w:eastAsia="MS Gothic" w:hAnsi="Times New Roman" w:cs="Times New Roman"/>
      <w:i/>
      <w:iCs/>
      <w:spacing w:val="5"/>
      <w:sz w:val="20"/>
      <w:szCs w:val="20"/>
    </w:rPr>
  </w:style>
  <w:style w:type="paragraph" w:customStyle="1" w:styleId="JuSigned">
    <w:name w:val="Ju_Signed"/>
    <w:basedOn w:val="Normalny"/>
    <w:next w:val="JuParaLast"/>
    <w:uiPriority w:val="99"/>
    <w:rsid w:val="00315A17"/>
    <w:pPr>
      <w:tabs>
        <w:tab w:val="center" w:pos="851"/>
        <w:tab w:val="center" w:pos="6407"/>
      </w:tabs>
      <w:spacing w:before="720"/>
      <w:jc w:val="left"/>
    </w:pPr>
  </w:style>
  <w:style w:type="paragraph" w:customStyle="1" w:styleId="ECHRPara">
    <w:name w:val="ECHR_Para"/>
    <w:aliases w:val="Ju_Para,Left,First line:  0 cm"/>
    <w:basedOn w:val="Normalny"/>
    <w:link w:val="ECHRParaChar"/>
    <w:uiPriority w:val="99"/>
    <w:rsid w:val="00315A17"/>
    <w:pPr>
      <w:ind w:firstLine="284"/>
    </w:pPr>
    <w:rPr>
      <w:lang w:eastAsia="pl-PL"/>
    </w:rPr>
  </w:style>
  <w:style w:type="character" w:styleId="Numerstrony">
    <w:name w:val="page number"/>
    <w:basedOn w:val="Domylnaczcionkaakapitu"/>
    <w:uiPriority w:val="99"/>
    <w:semiHidden/>
    <w:rsid w:val="00E93FC7"/>
    <w:rPr>
      <w:rFonts w:cs="Times New Roman"/>
      <w:sz w:val="18"/>
      <w:szCs w:val="18"/>
    </w:rPr>
  </w:style>
  <w:style w:type="character" w:styleId="Odwoaniedokomentarza">
    <w:name w:val="annotation reference"/>
    <w:basedOn w:val="Domylnaczcionkaakapitu"/>
    <w:uiPriority w:val="99"/>
    <w:semiHidden/>
    <w:rsid w:val="00E93FC7"/>
    <w:rPr>
      <w:rFonts w:cs="Times New Roman"/>
      <w:sz w:val="16"/>
      <w:szCs w:val="16"/>
    </w:rPr>
  </w:style>
  <w:style w:type="paragraph" w:styleId="Tekstkomentarza">
    <w:name w:val="annotation text"/>
    <w:basedOn w:val="Normalny"/>
    <w:link w:val="TekstkomentarzaZnak"/>
    <w:uiPriority w:val="99"/>
    <w:semiHidden/>
    <w:rsid w:val="00E93FC7"/>
    <w:rPr>
      <w:sz w:val="20"/>
      <w:szCs w:val="20"/>
    </w:rPr>
  </w:style>
  <w:style w:type="character" w:customStyle="1" w:styleId="TekstkomentarzaZnak">
    <w:name w:val="Tekst komentarza Znak"/>
    <w:basedOn w:val="Domylnaczcionkaakapitu"/>
    <w:link w:val="Tekstkomentarza"/>
    <w:uiPriority w:val="99"/>
    <w:semiHidden/>
    <w:locked/>
    <w:rsid w:val="00E93FC7"/>
    <w:rPr>
      <w:rFonts w:eastAsia="MS Mincho" w:cs="Times New Roman"/>
      <w:sz w:val="20"/>
      <w:szCs w:val="20"/>
    </w:rPr>
  </w:style>
  <w:style w:type="paragraph" w:customStyle="1" w:styleId="DecHTitle">
    <w:name w:val="Dec_H_Title"/>
    <w:basedOn w:val="ECHRTitleCentre1"/>
    <w:uiPriority w:val="99"/>
    <w:rsid w:val="00315A17"/>
  </w:style>
  <w:style w:type="paragraph" w:customStyle="1" w:styleId="ECHRTitleCentre2">
    <w:name w:val="ECHR_Title_Centre_2"/>
    <w:aliases w:val="Dec_H_Case"/>
    <w:basedOn w:val="Normalny"/>
    <w:next w:val="ECHRPara"/>
    <w:uiPriority w:val="99"/>
    <w:rsid w:val="00315A17"/>
    <w:pPr>
      <w:spacing w:after="240"/>
      <w:jc w:val="center"/>
      <w:outlineLvl w:val="0"/>
    </w:pPr>
  </w:style>
  <w:style w:type="paragraph" w:customStyle="1" w:styleId="JuTitle">
    <w:name w:val="Ju_Title"/>
    <w:basedOn w:val="Normalny"/>
    <w:next w:val="ECHRPara"/>
    <w:uiPriority w:val="99"/>
    <w:rsid w:val="00315A17"/>
    <w:pPr>
      <w:spacing w:before="720" w:after="240"/>
      <w:jc w:val="center"/>
      <w:outlineLvl w:val="0"/>
    </w:pPr>
    <w:rPr>
      <w:b/>
      <w:bCs/>
      <w:caps/>
    </w:rPr>
  </w:style>
  <w:style w:type="paragraph" w:customStyle="1" w:styleId="ECHRHeader">
    <w:name w:val="ECHR_Header"/>
    <w:aliases w:val="Ju_Header"/>
    <w:basedOn w:val="Nagwek"/>
    <w:uiPriority w:val="99"/>
    <w:rsid w:val="00315A17"/>
    <w:pPr>
      <w:tabs>
        <w:tab w:val="clear" w:pos="4536"/>
        <w:tab w:val="clear" w:pos="9072"/>
        <w:tab w:val="center" w:pos="3686"/>
        <w:tab w:val="right" w:pos="7371"/>
      </w:tabs>
      <w:jc w:val="left"/>
    </w:pPr>
    <w:rPr>
      <w:sz w:val="18"/>
      <w:szCs w:val="18"/>
    </w:rPr>
  </w:style>
  <w:style w:type="paragraph" w:styleId="Nagwek">
    <w:name w:val="header"/>
    <w:basedOn w:val="Normalny"/>
    <w:link w:val="NagwekZnak"/>
    <w:uiPriority w:val="99"/>
    <w:semiHidden/>
    <w:rsid w:val="00315A17"/>
    <w:pPr>
      <w:tabs>
        <w:tab w:val="center" w:pos="4536"/>
        <w:tab w:val="right" w:pos="9072"/>
      </w:tabs>
    </w:pPr>
    <w:rPr>
      <w:rFonts w:eastAsia="Times New Roman"/>
    </w:rPr>
  </w:style>
  <w:style w:type="character" w:customStyle="1" w:styleId="NagwekZnak">
    <w:name w:val="Nagłówek Znak"/>
    <w:basedOn w:val="Domylnaczcionkaakapitu"/>
    <w:link w:val="Nagwek"/>
    <w:uiPriority w:val="99"/>
    <w:semiHidden/>
    <w:locked/>
    <w:rsid w:val="00315A17"/>
    <w:rPr>
      <w:rFonts w:cs="Times New Roman"/>
      <w:sz w:val="24"/>
      <w:szCs w:val="24"/>
    </w:rPr>
  </w:style>
  <w:style w:type="paragraph" w:styleId="Tekstdymka">
    <w:name w:val="Balloon Text"/>
    <w:basedOn w:val="Normalny"/>
    <w:link w:val="TekstdymkaZnak"/>
    <w:uiPriority w:val="99"/>
    <w:semiHidden/>
    <w:rsid w:val="00315A17"/>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315A17"/>
    <w:rPr>
      <w:rFonts w:ascii="Tahoma" w:eastAsia="MS Mincho" w:hAnsi="Tahoma" w:cs="Tahoma"/>
      <w:sz w:val="16"/>
      <w:szCs w:val="16"/>
    </w:rPr>
  </w:style>
  <w:style w:type="paragraph" w:customStyle="1" w:styleId="DummyStyle">
    <w:name w:val="Dummy_Style"/>
    <w:basedOn w:val="Normalny"/>
    <w:uiPriority w:val="99"/>
    <w:semiHidden/>
    <w:rsid w:val="00315A17"/>
    <w:rPr>
      <w:color w:val="00B050"/>
    </w:rPr>
  </w:style>
  <w:style w:type="paragraph" w:customStyle="1" w:styleId="JuAppQuestion">
    <w:name w:val="Ju_App_Question"/>
    <w:basedOn w:val="Normalny"/>
    <w:uiPriority w:val="99"/>
    <w:rsid w:val="00315A17"/>
    <w:pPr>
      <w:numPr>
        <w:numId w:val="7"/>
      </w:numPr>
      <w:tabs>
        <w:tab w:val="clear" w:pos="643"/>
        <w:tab w:val="num" w:pos="720"/>
      </w:tabs>
      <w:ind w:left="720"/>
      <w:jc w:val="left"/>
    </w:pPr>
    <w:rPr>
      <w:b/>
      <w:bCs/>
    </w:rPr>
  </w:style>
  <w:style w:type="paragraph" w:customStyle="1" w:styleId="ECHRParaQuote">
    <w:name w:val="ECHR_Para_Quote"/>
    <w:aliases w:val="Ju_Quot"/>
    <w:basedOn w:val="Normalny"/>
    <w:uiPriority w:val="99"/>
    <w:rsid w:val="00315A17"/>
    <w:pPr>
      <w:spacing w:before="120" w:after="120"/>
      <w:ind w:left="425" w:firstLine="142"/>
    </w:pPr>
    <w:rPr>
      <w:sz w:val="20"/>
      <w:szCs w:val="20"/>
    </w:rPr>
  </w:style>
  <w:style w:type="paragraph" w:customStyle="1" w:styleId="JuCase">
    <w:name w:val="Ju_Case"/>
    <w:basedOn w:val="Normalny"/>
    <w:next w:val="ECHRPara"/>
    <w:uiPriority w:val="99"/>
    <w:semiHidden/>
    <w:rsid w:val="00315A17"/>
    <w:pPr>
      <w:ind w:firstLine="284"/>
    </w:pPr>
    <w:rPr>
      <w:b/>
      <w:bCs/>
    </w:rPr>
  </w:style>
  <w:style w:type="paragraph" w:customStyle="1" w:styleId="JuCourt">
    <w:name w:val="Ju_Court"/>
    <w:basedOn w:val="Normalny"/>
    <w:next w:val="Normalny"/>
    <w:uiPriority w:val="99"/>
    <w:rsid w:val="00315A17"/>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315A17"/>
    <w:pPr>
      <w:tabs>
        <w:tab w:val="clear" w:pos="3686"/>
        <w:tab w:val="clear" w:pos="7371"/>
        <w:tab w:val="center" w:pos="6146"/>
        <w:tab w:val="right" w:pos="12293"/>
      </w:tabs>
    </w:pPr>
  </w:style>
  <w:style w:type="paragraph" w:customStyle="1" w:styleId="JuInitialled">
    <w:name w:val="Ju_Initialled"/>
    <w:basedOn w:val="Normalny"/>
    <w:uiPriority w:val="99"/>
    <w:rsid w:val="00315A17"/>
    <w:pPr>
      <w:tabs>
        <w:tab w:val="center" w:pos="6407"/>
      </w:tabs>
      <w:spacing w:before="720"/>
      <w:jc w:val="right"/>
    </w:pPr>
  </w:style>
  <w:style w:type="paragraph" w:customStyle="1" w:styleId="ECHRTitleCentre3">
    <w:name w:val="ECHR_Title_Centre_3"/>
    <w:aliases w:val="Ju_H_Article"/>
    <w:basedOn w:val="Normalny"/>
    <w:next w:val="ECHRParaQuote"/>
    <w:uiPriority w:val="99"/>
    <w:rsid w:val="00315A17"/>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315A17"/>
    <w:pPr>
      <w:keepNext/>
      <w:keepLines/>
      <w:spacing w:after="240"/>
      <w:jc w:val="center"/>
      <w:outlineLvl w:val="0"/>
    </w:pPr>
    <w:rPr>
      <w:sz w:val="28"/>
      <w:szCs w:val="28"/>
    </w:rPr>
  </w:style>
  <w:style w:type="character" w:customStyle="1" w:styleId="JuITMark">
    <w:name w:val="Ju_ITMark"/>
    <w:basedOn w:val="Domylnaczcionkaakapitu"/>
    <w:uiPriority w:val="99"/>
    <w:semiHidden/>
    <w:rsid w:val="00315A17"/>
    <w:rPr>
      <w:rFonts w:cs="Times New Roman"/>
      <w:color w:val="auto"/>
      <w:sz w:val="14"/>
      <w:szCs w:val="14"/>
      <w:shd w:val="clear" w:color="auto" w:fill="BEE5FF"/>
    </w:rPr>
  </w:style>
  <w:style w:type="paragraph" w:customStyle="1" w:styleId="ECHRTitle1">
    <w:name w:val="ECHR_Title_1"/>
    <w:aliases w:val="Ju_H_Head"/>
    <w:basedOn w:val="Normalny"/>
    <w:next w:val="ECHRPara"/>
    <w:uiPriority w:val="99"/>
    <w:rsid w:val="00315A17"/>
    <w:pPr>
      <w:keepNext/>
      <w:keepLines/>
      <w:spacing w:before="720" w:after="240"/>
      <w:outlineLvl w:val="0"/>
    </w:pPr>
    <w:rPr>
      <w:sz w:val="28"/>
      <w:szCs w:val="28"/>
    </w:rPr>
  </w:style>
  <w:style w:type="paragraph" w:customStyle="1" w:styleId="JuList">
    <w:name w:val="Ju_List"/>
    <w:basedOn w:val="Normalny"/>
    <w:uiPriority w:val="99"/>
    <w:rsid w:val="00315A17"/>
    <w:pPr>
      <w:ind w:left="340" w:hanging="340"/>
    </w:pPr>
  </w:style>
  <w:style w:type="paragraph" w:customStyle="1" w:styleId="JuLista">
    <w:name w:val="Ju_List_a"/>
    <w:basedOn w:val="JuList"/>
    <w:uiPriority w:val="99"/>
    <w:rsid w:val="00315A17"/>
    <w:pPr>
      <w:ind w:left="346" w:firstLine="0"/>
    </w:pPr>
  </w:style>
  <w:style w:type="paragraph" w:customStyle="1" w:styleId="JuListi">
    <w:name w:val="Ju_List_i"/>
    <w:basedOn w:val="Normalny"/>
    <w:next w:val="JuLista"/>
    <w:uiPriority w:val="99"/>
    <w:rsid w:val="00315A17"/>
    <w:pPr>
      <w:ind w:left="794"/>
    </w:pPr>
  </w:style>
  <w:style w:type="character" w:customStyle="1" w:styleId="JUNAMES">
    <w:name w:val="JU_NAMES"/>
    <w:uiPriority w:val="99"/>
    <w:rsid w:val="00315A17"/>
    <w:rPr>
      <w:smallCaps/>
    </w:rPr>
  </w:style>
  <w:style w:type="paragraph" w:customStyle="1" w:styleId="JuParaSub">
    <w:name w:val="Ju_Para_Sub"/>
    <w:basedOn w:val="ECHRPara"/>
    <w:uiPriority w:val="99"/>
    <w:rsid w:val="00315A17"/>
    <w:pPr>
      <w:ind w:left="284"/>
    </w:pPr>
  </w:style>
  <w:style w:type="paragraph" w:customStyle="1" w:styleId="JuQuotSub">
    <w:name w:val="Ju_Quot_Sub"/>
    <w:basedOn w:val="ECHRParaQuote"/>
    <w:uiPriority w:val="99"/>
    <w:rsid w:val="00315A17"/>
    <w:pPr>
      <w:ind w:left="567"/>
    </w:pPr>
  </w:style>
  <w:style w:type="paragraph" w:customStyle="1" w:styleId="ECHRHeading1">
    <w:name w:val="ECHR_Heading_1"/>
    <w:aliases w:val="Ju_H_I_Roman"/>
    <w:basedOn w:val="Nagwek1"/>
    <w:next w:val="ECHRPara"/>
    <w:uiPriority w:val="99"/>
    <w:rsid w:val="00315A17"/>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315A17"/>
    <w:pPr>
      <w:keepNext/>
      <w:keepLines/>
      <w:tabs>
        <w:tab w:val="left" w:pos="584"/>
      </w:tabs>
      <w:spacing w:before="360" w:after="240"/>
      <w:ind w:left="584" w:hanging="352"/>
    </w:pPr>
    <w:rPr>
      <w:color w:val="auto"/>
      <w:sz w:val="24"/>
      <w:szCs w:val="24"/>
    </w:rPr>
  </w:style>
  <w:style w:type="paragraph" w:customStyle="1" w:styleId="ECHRHeading3">
    <w:name w:val="ECHR_Heading_3"/>
    <w:aliases w:val="Ju_H_1."/>
    <w:basedOn w:val="Nagwek3"/>
    <w:next w:val="ECHRPara"/>
    <w:uiPriority w:val="99"/>
    <w:rsid w:val="00315A17"/>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315A17"/>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315A17"/>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315A17"/>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315A17"/>
    <w:pPr>
      <w:keepNext/>
      <w:keepLines/>
      <w:spacing w:before="240" w:after="120"/>
      <w:ind w:left="1236"/>
    </w:pPr>
    <w:rPr>
      <w:sz w:val="20"/>
      <w:szCs w:val="20"/>
    </w:rPr>
  </w:style>
  <w:style w:type="paragraph" w:customStyle="1" w:styleId="JuParaLast">
    <w:name w:val="Ju_Para_Last"/>
    <w:basedOn w:val="Normalny"/>
    <w:next w:val="ECHRPara"/>
    <w:uiPriority w:val="99"/>
    <w:rsid w:val="00315A17"/>
    <w:pPr>
      <w:keepNext/>
      <w:keepLines/>
      <w:spacing w:before="240"/>
      <w:ind w:firstLine="284"/>
    </w:pPr>
  </w:style>
  <w:style w:type="paragraph" w:customStyle="1" w:styleId="DecList">
    <w:name w:val="Dec_List"/>
    <w:basedOn w:val="Normalny"/>
    <w:uiPriority w:val="99"/>
    <w:rsid w:val="00315A17"/>
    <w:pPr>
      <w:spacing w:before="240"/>
      <w:ind w:left="284"/>
    </w:pPr>
  </w:style>
  <w:style w:type="paragraph" w:customStyle="1" w:styleId="ECHRDecisionBody">
    <w:name w:val="ECHR_Decision_Body"/>
    <w:aliases w:val="Ju_Judges"/>
    <w:basedOn w:val="Normalny"/>
    <w:uiPriority w:val="99"/>
    <w:rsid w:val="00315A17"/>
    <w:pPr>
      <w:tabs>
        <w:tab w:val="left" w:pos="567"/>
        <w:tab w:val="left" w:pos="1134"/>
      </w:tabs>
      <w:jc w:val="left"/>
    </w:pPr>
  </w:style>
  <w:style w:type="paragraph" w:customStyle="1" w:styleId="OpiH1">
    <w:name w:val="Opi_H_1"/>
    <w:basedOn w:val="ECHRHeading2"/>
    <w:uiPriority w:val="99"/>
    <w:semiHidden/>
    <w:rsid w:val="00315A17"/>
    <w:pPr>
      <w:ind w:left="635" w:hanging="357"/>
      <w:outlineLvl w:val="2"/>
    </w:pPr>
  </w:style>
  <w:style w:type="paragraph" w:customStyle="1" w:styleId="OpiHa">
    <w:name w:val="Opi_H_a"/>
    <w:basedOn w:val="ECHRHeading3"/>
    <w:uiPriority w:val="99"/>
    <w:semiHidden/>
    <w:rsid w:val="00315A17"/>
    <w:pPr>
      <w:ind w:left="833" w:hanging="357"/>
      <w:outlineLvl w:val="3"/>
    </w:pPr>
    <w:rPr>
      <w:b/>
      <w:bCs/>
      <w:i w:val="0"/>
      <w:iCs w:val="0"/>
      <w:sz w:val="20"/>
      <w:szCs w:val="20"/>
    </w:rPr>
  </w:style>
  <w:style w:type="paragraph" w:customStyle="1" w:styleId="OpiHA0">
    <w:name w:val="Opi_H_A"/>
    <w:basedOn w:val="ECHRHeading1"/>
    <w:next w:val="OpiPara"/>
    <w:uiPriority w:val="99"/>
    <w:semiHidden/>
    <w:rsid w:val="00315A17"/>
    <w:pPr>
      <w:tabs>
        <w:tab w:val="clear" w:pos="357"/>
      </w:tabs>
      <w:outlineLvl w:val="1"/>
    </w:pPr>
    <w:rPr>
      <w:b/>
      <w:bCs/>
    </w:rPr>
  </w:style>
  <w:style w:type="paragraph" w:customStyle="1" w:styleId="OpiHi">
    <w:name w:val="Opi_H_i"/>
    <w:basedOn w:val="ECHRHeading4"/>
    <w:uiPriority w:val="99"/>
    <w:semiHidden/>
    <w:rsid w:val="00315A17"/>
    <w:pPr>
      <w:ind w:left="1037" w:hanging="357"/>
      <w:outlineLvl w:val="4"/>
    </w:pPr>
    <w:rPr>
      <w:b w:val="0"/>
      <w:bCs w:val="0"/>
      <w:i/>
      <w:iCs/>
    </w:rPr>
  </w:style>
  <w:style w:type="paragraph" w:customStyle="1" w:styleId="OpiPara">
    <w:name w:val="Opi_Para"/>
    <w:basedOn w:val="ECHRPara"/>
    <w:uiPriority w:val="99"/>
    <w:semiHidden/>
    <w:rsid w:val="00315A17"/>
  </w:style>
  <w:style w:type="paragraph" w:customStyle="1" w:styleId="OpiParaSub">
    <w:name w:val="Opi_Para_Sub"/>
    <w:basedOn w:val="JuParaSub"/>
    <w:uiPriority w:val="99"/>
    <w:semiHidden/>
    <w:rsid w:val="00315A17"/>
  </w:style>
  <w:style w:type="paragraph" w:styleId="Tytu">
    <w:name w:val="Title"/>
    <w:basedOn w:val="Normalny"/>
    <w:next w:val="Normalny"/>
    <w:link w:val="TytuZnak"/>
    <w:uiPriority w:val="99"/>
    <w:qFormat/>
    <w:rsid w:val="00315A17"/>
    <w:pPr>
      <w:pBdr>
        <w:bottom w:val="single" w:sz="4" w:space="1" w:color="auto"/>
      </w:pBdr>
    </w:pPr>
    <w:rPr>
      <w:rFonts w:eastAsia="MS Gothic"/>
      <w:spacing w:val="5"/>
      <w:sz w:val="52"/>
      <w:szCs w:val="52"/>
    </w:rPr>
  </w:style>
  <w:style w:type="character" w:customStyle="1" w:styleId="TytuZnak">
    <w:name w:val="Tytuł Znak"/>
    <w:basedOn w:val="Domylnaczcionkaakapitu"/>
    <w:link w:val="Tytu"/>
    <w:uiPriority w:val="99"/>
    <w:semiHidden/>
    <w:locked/>
    <w:rsid w:val="00315A17"/>
    <w:rPr>
      <w:rFonts w:ascii="Times New Roman" w:eastAsia="MS Gothic" w:hAnsi="Times New Roman" w:cs="Times New Roman"/>
      <w:spacing w:val="5"/>
      <w:sz w:val="52"/>
      <w:szCs w:val="52"/>
    </w:rPr>
  </w:style>
  <w:style w:type="paragraph" w:styleId="Podtytu">
    <w:name w:val="Subtitle"/>
    <w:basedOn w:val="Normalny"/>
    <w:next w:val="Normalny"/>
    <w:link w:val="PodtytuZnak"/>
    <w:uiPriority w:val="99"/>
    <w:qFormat/>
    <w:rsid w:val="00315A17"/>
    <w:pPr>
      <w:spacing w:after="600"/>
    </w:pPr>
    <w:rPr>
      <w:rFonts w:eastAsia="MS Gothic"/>
      <w:i/>
      <w:iCs/>
      <w:spacing w:val="13"/>
    </w:rPr>
  </w:style>
  <w:style w:type="character" w:customStyle="1" w:styleId="PodtytuZnak">
    <w:name w:val="Podtytuł Znak"/>
    <w:basedOn w:val="Domylnaczcionkaakapitu"/>
    <w:link w:val="Podtytu"/>
    <w:uiPriority w:val="99"/>
    <w:semiHidden/>
    <w:locked/>
    <w:rsid w:val="00315A17"/>
    <w:rPr>
      <w:rFonts w:ascii="Times New Roman" w:eastAsia="MS Gothic" w:hAnsi="Times New Roman" w:cs="Times New Roman"/>
      <w:i/>
      <w:iCs/>
      <w:spacing w:val="13"/>
      <w:sz w:val="24"/>
      <w:szCs w:val="24"/>
    </w:rPr>
  </w:style>
  <w:style w:type="character" w:styleId="Pogrubienie">
    <w:name w:val="Strong"/>
    <w:basedOn w:val="Domylnaczcionkaakapitu"/>
    <w:uiPriority w:val="99"/>
    <w:qFormat/>
    <w:rsid w:val="00315A17"/>
    <w:rPr>
      <w:rFonts w:cs="Times New Roman"/>
      <w:b/>
      <w:bCs/>
    </w:rPr>
  </w:style>
  <w:style w:type="character" w:styleId="Uwydatnienie">
    <w:name w:val="Emphasis"/>
    <w:basedOn w:val="Domylnaczcionkaakapitu"/>
    <w:uiPriority w:val="99"/>
    <w:qFormat/>
    <w:rsid w:val="00315A17"/>
    <w:rPr>
      <w:rFonts w:cs="Times New Roman"/>
      <w:b/>
      <w:bCs/>
      <w:i/>
      <w:iCs/>
      <w:spacing w:val="10"/>
      <w:shd w:val="clear" w:color="auto" w:fill="auto"/>
    </w:rPr>
  </w:style>
  <w:style w:type="paragraph" w:styleId="Bezodstpw">
    <w:name w:val="No Spacing"/>
    <w:basedOn w:val="Normalny"/>
    <w:link w:val="BezodstpwZnak"/>
    <w:uiPriority w:val="99"/>
    <w:qFormat/>
    <w:rsid w:val="00315A17"/>
    <w:rPr>
      <w:sz w:val="22"/>
      <w:szCs w:val="22"/>
    </w:rPr>
  </w:style>
  <w:style w:type="character" w:customStyle="1" w:styleId="BezodstpwZnak">
    <w:name w:val="Bez odstępów Znak"/>
    <w:basedOn w:val="Domylnaczcionkaakapitu"/>
    <w:link w:val="Bezodstpw"/>
    <w:uiPriority w:val="99"/>
    <w:semiHidden/>
    <w:locked/>
    <w:rsid w:val="00315A17"/>
    <w:rPr>
      <w:rFonts w:eastAsia="MS Mincho" w:cs="Times New Roman"/>
    </w:rPr>
  </w:style>
  <w:style w:type="paragraph" w:styleId="Akapitzlist">
    <w:name w:val="List Paragraph"/>
    <w:basedOn w:val="Normalny"/>
    <w:uiPriority w:val="99"/>
    <w:qFormat/>
    <w:rsid w:val="00315A17"/>
    <w:pPr>
      <w:ind w:left="720"/>
    </w:pPr>
  </w:style>
  <w:style w:type="paragraph" w:styleId="Cytat">
    <w:name w:val="Quote"/>
    <w:basedOn w:val="Normalny"/>
    <w:next w:val="Normalny"/>
    <w:link w:val="CytatZnak"/>
    <w:uiPriority w:val="99"/>
    <w:qFormat/>
    <w:rsid w:val="00315A17"/>
    <w:pPr>
      <w:spacing w:before="200"/>
      <w:ind w:left="360" w:right="360"/>
    </w:pPr>
    <w:rPr>
      <w:i/>
      <w:iCs/>
      <w:sz w:val="22"/>
      <w:szCs w:val="22"/>
    </w:rPr>
  </w:style>
  <w:style w:type="character" w:customStyle="1" w:styleId="CytatZnak">
    <w:name w:val="Cytat Znak"/>
    <w:basedOn w:val="Domylnaczcionkaakapitu"/>
    <w:link w:val="Cytat"/>
    <w:uiPriority w:val="99"/>
    <w:semiHidden/>
    <w:locked/>
    <w:rsid w:val="00315A17"/>
    <w:rPr>
      <w:rFonts w:eastAsia="MS Mincho" w:cs="Times New Roman"/>
      <w:i/>
      <w:iCs/>
    </w:rPr>
  </w:style>
  <w:style w:type="paragraph" w:styleId="Cytatintensywny">
    <w:name w:val="Intense Quote"/>
    <w:basedOn w:val="Normalny"/>
    <w:next w:val="Normalny"/>
    <w:link w:val="CytatintensywnyZnak"/>
    <w:uiPriority w:val="99"/>
    <w:qFormat/>
    <w:rsid w:val="00315A17"/>
    <w:pPr>
      <w:pBdr>
        <w:bottom w:val="single" w:sz="4" w:space="1" w:color="auto"/>
      </w:pBdr>
      <w:spacing w:before="200" w:after="280"/>
      <w:ind w:left="1008" w:right="1152"/>
    </w:pPr>
    <w:rPr>
      <w:b/>
      <w:bCs/>
      <w:i/>
      <w:iCs/>
      <w:sz w:val="22"/>
      <w:szCs w:val="22"/>
    </w:rPr>
  </w:style>
  <w:style w:type="character" w:customStyle="1" w:styleId="CytatintensywnyZnak">
    <w:name w:val="Cytat intensywny Znak"/>
    <w:basedOn w:val="Domylnaczcionkaakapitu"/>
    <w:link w:val="Cytatintensywny"/>
    <w:uiPriority w:val="99"/>
    <w:semiHidden/>
    <w:locked/>
    <w:rsid w:val="00315A17"/>
    <w:rPr>
      <w:rFonts w:eastAsia="MS Mincho" w:cs="Times New Roman"/>
      <w:b/>
      <w:bCs/>
      <w:i/>
      <w:iCs/>
    </w:rPr>
  </w:style>
  <w:style w:type="character" w:styleId="Wyrnieniedelikatne">
    <w:name w:val="Subtle Emphasis"/>
    <w:basedOn w:val="Domylnaczcionkaakapitu"/>
    <w:uiPriority w:val="99"/>
    <w:qFormat/>
    <w:rsid w:val="00315A17"/>
    <w:rPr>
      <w:rFonts w:cs="Times New Roman"/>
      <w:i/>
      <w:iCs/>
    </w:rPr>
  </w:style>
  <w:style w:type="character" w:styleId="Wyrnienieintensywne">
    <w:name w:val="Intense Emphasis"/>
    <w:basedOn w:val="Domylnaczcionkaakapitu"/>
    <w:uiPriority w:val="99"/>
    <w:qFormat/>
    <w:rsid w:val="00315A17"/>
    <w:rPr>
      <w:rFonts w:cs="Times New Roman"/>
      <w:b/>
      <w:bCs/>
    </w:rPr>
  </w:style>
  <w:style w:type="character" w:styleId="Odwoaniedelikatne">
    <w:name w:val="Subtle Reference"/>
    <w:basedOn w:val="Domylnaczcionkaakapitu"/>
    <w:uiPriority w:val="99"/>
    <w:qFormat/>
    <w:rsid w:val="00315A17"/>
    <w:rPr>
      <w:rFonts w:cs="Times New Roman"/>
      <w:smallCaps/>
    </w:rPr>
  </w:style>
  <w:style w:type="character" w:styleId="Odwoanieintensywne">
    <w:name w:val="Intense Reference"/>
    <w:basedOn w:val="Domylnaczcionkaakapitu"/>
    <w:uiPriority w:val="99"/>
    <w:qFormat/>
    <w:rsid w:val="00315A17"/>
    <w:rPr>
      <w:rFonts w:cs="Times New Roman"/>
      <w:smallCaps/>
      <w:spacing w:val="5"/>
      <w:u w:val="single"/>
    </w:rPr>
  </w:style>
  <w:style w:type="character" w:styleId="Tytuksiki">
    <w:name w:val="Book Title"/>
    <w:basedOn w:val="Domylnaczcionkaakapitu"/>
    <w:uiPriority w:val="99"/>
    <w:qFormat/>
    <w:rsid w:val="00315A17"/>
    <w:rPr>
      <w:rFonts w:cs="Times New Roman"/>
      <w:i/>
      <w:iCs/>
      <w:smallCaps/>
      <w:spacing w:val="5"/>
    </w:rPr>
  </w:style>
  <w:style w:type="paragraph" w:styleId="Nagwekspisutreci">
    <w:name w:val="TOC Heading"/>
    <w:basedOn w:val="Normalny"/>
    <w:next w:val="Normalny"/>
    <w:uiPriority w:val="99"/>
    <w:qFormat/>
    <w:rsid w:val="00315A17"/>
    <w:pPr>
      <w:keepNext/>
      <w:keepLines/>
      <w:spacing w:before="240"/>
      <w:jc w:val="center"/>
    </w:pPr>
    <w:rPr>
      <w:rFonts w:eastAsia="Times New Roman"/>
      <w:b/>
      <w:bCs/>
      <w:color w:val="474747"/>
      <w:sz w:val="28"/>
      <w:szCs w:val="28"/>
    </w:rPr>
  </w:style>
  <w:style w:type="paragraph" w:styleId="Bibliografia">
    <w:name w:val="Bibliography"/>
    <w:basedOn w:val="Normalny"/>
    <w:next w:val="Normalny"/>
    <w:uiPriority w:val="99"/>
    <w:semiHidden/>
    <w:rsid w:val="00E93FC7"/>
  </w:style>
  <w:style w:type="paragraph" w:styleId="Tekstblokowy">
    <w:name w:val="Block Text"/>
    <w:basedOn w:val="Normalny"/>
    <w:uiPriority w:val="99"/>
    <w:semiHidden/>
    <w:rsid w:val="00E93FC7"/>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93FC7"/>
    <w:pPr>
      <w:spacing w:after="120"/>
    </w:pPr>
  </w:style>
  <w:style w:type="character" w:customStyle="1" w:styleId="TekstpodstawowyZnak">
    <w:name w:val="Tekst podstawowy Znak"/>
    <w:basedOn w:val="Domylnaczcionkaakapitu"/>
    <w:link w:val="Tekstpodstawowy"/>
    <w:uiPriority w:val="99"/>
    <w:semiHidden/>
    <w:locked/>
    <w:rsid w:val="00E93FC7"/>
    <w:rPr>
      <w:rFonts w:eastAsia="MS Mincho" w:cs="Times New Roman"/>
      <w:sz w:val="24"/>
      <w:szCs w:val="24"/>
    </w:rPr>
  </w:style>
  <w:style w:type="paragraph" w:styleId="Tekstpodstawowy2">
    <w:name w:val="Body Text 2"/>
    <w:basedOn w:val="Normalny"/>
    <w:link w:val="Tekstpodstawowy2Znak"/>
    <w:uiPriority w:val="99"/>
    <w:semiHidden/>
    <w:rsid w:val="00E93FC7"/>
    <w:pPr>
      <w:spacing w:after="120" w:line="480" w:lineRule="auto"/>
    </w:pPr>
  </w:style>
  <w:style w:type="character" w:customStyle="1" w:styleId="Tekstpodstawowy2Znak">
    <w:name w:val="Tekst podstawowy 2 Znak"/>
    <w:basedOn w:val="Domylnaczcionkaakapitu"/>
    <w:link w:val="Tekstpodstawowy2"/>
    <w:uiPriority w:val="99"/>
    <w:semiHidden/>
    <w:locked/>
    <w:rsid w:val="00E93FC7"/>
    <w:rPr>
      <w:rFonts w:eastAsia="MS Mincho" w:cs="Times New Roman"/>
      <w:sz w:val="24"/>
      <w:szCs w:val="24"/>
    </w:rPr>
  </w:style>
  <w:style w:type="paragraph" w:styleId="Tekstpodstawowy3">
    <w:name w:val="Body Text 3"/>
    <w:basedOn w:val="Normalny"/>
    <w:link w:val="Tekstpodstawowy3Znak"/>
    <w:uiPriority w:val="99"/>
    <w:semiHidden/>
    <w:rsid w:val="00E93FC7"/>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E93FC7"/>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E93FC7"/>
    <w:rPr>
      <w:rFonts w:eastAsia="MS Mincho" w:cs="Times New Roman"/>
      <w:sz w:val="24"/>
      <w:szCs w:val="24"/>
    </w:rPr>
  </w:style>
  <w:style w:type="paragraph" w:styleId="Tekstpodstawowywcity">
    <w:name w:val="Body Text Indent"/>
    <w:basedOn w:val="Normalny"/>
    <w:link w:val="TekstpodstawowywcityZnak"/>
    <w:uiPriority w:val="99"/>
    <w:semiHidden/>
    <w:rsid w:val="00E93FC7"/>
    <w:pPr>
      <w:spacing w:after="120"/>
      <w:ind w:left="283"/>
    </w:pPr>
  </w:style>
  <w:style w:type="character" w:customStyle="1" w:styleId="TekstpodstawowywcityZnak">
    <w:name w:val="Tekst podstawowy wcięty Znak"/>
    <w:basedOn w:val="Domylnaczcionkaakapitu"/>
    <w:link w:val="Tekstpodstawowywcity"/>
    <w:uiPriority w:val="99"/>
    <w:semiHidden/>
    <w:locked/>
    <w:rsid w:val="00E93FC7"/>
    <w:rPr>
      <w:rFonts w:eastAsia="MS Mincho" w:cs="Times New Roman"/>
      <w:sz w:val="24"/>
      <w:szCs w:val="24"/>
    </w:rPr>
  </w:style>
  <w:style w:type="paragraph" w:styleId="Tekstpodstawowyzwciciem2">
    <w:name w:val="Body Text First Indent 2"/>
    <w:basedOn w:val="Tekstpodstawowywcity"/>
    <w:link w:val="Tekstpodstawowyzwciciem2Znak"/>
    <w:uiPriority w:val="99"/>
    <w:semiHidden/>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E93FC7"/>
    <w:rPr>
      <w:rFonts w:eastAsia="MS Mincho" w:cs="Times New Roman"/>
      <w:sz w:val="24"/>
      <w:szCs w:val="24"/>
    </w:rPr>
  </w:style>
  <w:style w:type="paragraph" w:styleId="Tekstpodstawowywcity2">
    <w:name w:val="Body Text Indent 2"/>
    <w:basedOn w:val="Normalny"/>
    <w:link w:val="Tekstpodstawowywcity2Znak"/>
    <w:uiPriority w:val="99"/>
    <w:semiHidden/>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E93FC7"/>
    <w:rPr>
      <w:rFonts w:eastAsia="MS Mincho" w:cs="Times New Roman"/>
      <w:sz w:val="24"/>
      <w:szCs w:val="24"/>
    </w:rPr>
  </w:style>
  <w:style w:type="paragraph" w:styleId="Tekstpodstawowywcity3">
    <w:name w:val="Body Text Indent 3"/>
    <w:basedOn w:val="Normalny"/>
    <w:link w:val="Tekstpodstawowywcity3Znak"/>
    <w:uiPriority w:val="99"/>
    <w:semiHidden/>
    <w:rsid w:val="00E93FC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E93FC7"/>
    <w:rPr>
      <w:rFonts w:eastAsia="MS Mincho" w:cs="Times New Roman"/>
      <w:sz w:val="16"/>
      <w:szCs w:val="16"/>
    </w:rPr>
  </w:style>
  <w:style w:type="paragraph" w:styleId="Legenda">
    <w:name w:val="caption"/>
    <w:basedOn w:val="Normalny"/>
    <w:next w:val="Normalny"/>
    <w:uiPriority w:val="99"/>
    <w:qFormat/>
    <w:rsid w:val="00E93FC7"/>
    <w:pPr>
      <w:spacing w:after="200"/>
    </w:pPr>
    <w:rPr>
      <w:b/>
      <w:bCs/>
      <w:color w:val="0072BC"/>
      <w:sz w:val="18"/>
      <w:szCs w:val="18"/>
    </w:rPr>
  </w:style>
  <w:style w:type="paragraph" w:styleId="Zwrotpoegnalny">
    <w:name w:val="Closing"/>
    <w:basedOn w:val="Normalny"/>
    <w:link w:val="ZwrotpoegnalnyZnak"/>
    <w:uiPriority w:val="99"/>
    <w:semiHidden/>
    <w:rsid w:val="00E93FC7"/>
    <w:pPr>
      <w:ind w:left="4252"/>
    </w:pPr>
  </w:style>
  <w:style w:type="character" w:customStyle="1" w:styleId="ZwrotpoegnalnyZnak">
    <w:name w:val="Zwrot pożegnalny Znak"/>
    <w:basedOn w:val="Domylnaczcionkaakapitu"/>
    <w:link w:val="Zwrotpoegnalny"/>
    <w:uiPriority w:val="99"/>
    <w:semiHidden/>
    <w:locked/>
    <w:rsid w:val="00E93FC7"/>
    <w:rPr>
      <w:rFonts w:eastAsia="MS Mincho" w:cs="Times New Roman"/>
      <w:sz w:val="24"/>
      <w:szCs w:val="24"/>
    </w:rPr>
  </w:style>
  <w:style w:type="table" w:styleId="Kolorowasiatka">
    <w:name w:val="Colorful Grid"/>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E93FC7"/>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E93FC7"/>
    <w:pPr>
      <w:spacing w:after="0" w:line="240" w:lineRule="auto"/>
    </w:pPr>
    <w:rPr>
      <w:color w:val="000000"/>
      <w:sz w:val="20"/>
      <w:szCs w:val="20"/>
    </w:rPr>
    <w:tblPr>
      <w:tblStyleRowBandSize w:val="1"/>
      <w:tblStyleColBandSize w:val="1"/>
      <w:tblInd w:w="0" w:type="nil"/>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paragraph" w:styleId="Tematkomentarza">
    <w:name w:val="annotation subject"/>
    <w:basedOn w:val="Tekstkomentarza"/>
    <w:next w:val="Tekstkomentarza"/>
    <w:link w:val="TematkomentarzaZnak"/>
    <w:uiPriority w:val="99"/>
    <w:semiHidden/>
    <w:rsid w:val="00E93FC7"/>
    <w:rPr>
      <w:b/>
      <w:bCs/>
    </w:rPr>
  </w:style>
  <w:style w:type="character" w:customStyle="1" w:styleId="TematkomentarzaZnak">
    <w:name w:val="Temat komentarza Znak"/>
    <w:basedOn w:val="TekstkomentarzaZnak"/>
    <w:link w:val="Tematkomentarza"/>
    <w:uiPriority w:val="99"/>
    <w:semiHidden/>
    <w:locked/>
    <w:rsid w:val="00E93FC7"/>
    <w:rPr>
      <w:rFonts w:eastAsia="MS Mincho" w:cs="Times New Roman"/>
      <w:b/>
      <w:bCs/>
      <w:sz w:val="20"/>
      <w:szCs w:val="20"/>
    </w:rPr>
  </w:style>
  <w:style w:type="table" w:styleId="Ciemnalista">
    <w:name w:val="Dark List"/>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93FC7"/>
    <w:pPr>
      <w:spacing w:after="0" w:line="240" w:lineRule="auto"/>
    </w:pPr>
    <w:rPr>
      <w:color w:val="0072BC"/>
      <w:sz w:val="20"/>
      <w:szCs w:val="20"/>
    </w:rPr>
    <w:tblPr>
      <w:tblStyleRowBandSize w:val="1"/>
      <w:tblStyleColBandSize w:val="1"/>
      <w:tblInd w:w="0" w:type="nil"/>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93FC7"/>
  </w:style>
  <w:style w:type="character" w:customStyle="1" w:styleId="DataZnak">
    <w:name w:val="Data Znak"/>
    <w:basedOn w:val="Domylnaczcionkaakapitu"/>
    <w:link w:val="Data"/>
    <w:uiPriority w:val="99"/>
    <w:semiHidden/>
    <w:locked/>
    <w:rsid w:val="00E93FC7"/>
    <w:rPr>
      <w:rFonts w:eastAsia="MS Mincho" w:cs="Times New Roman"/>
      <w:sz w:val="24"/>
      <w:szCs w:val="24"/>
    </w:rPr>
  </w:style>
  <w:style w:type="paragraph" w:styleId="Mapadokumentu">
    <w:name w:val="Document Map"/>
    <w:basedOn w:val="Normalny"/>
    <w:link w:val="MapadokumentuZnak"/>
    <w:uiPriority w:val="99"/>
    <w:semiHidden/>
    <w:rsid w:val="00E93FC7"/>
    <w:rPr>
      <w:rFonts w:ascii="Tahoma" w:hAnsi="Tahoma" w:cs="Tahoma"/>
      <w:sz w:val="16"/>
      <w:szCs w:val="16"/>
    </w:rPr>
  </w:style>
  <w:style w:type="character" w:customStyle="1" w:styleId="MapadokumentuZnak">
    <w:name w:val="Mapa dokumentu Znak"/>
    <w:basedOn w:val="Domylnaczcionkaakapitu"/>
    <w:link w:val="Mapadokumentu"/>
    <w:uiPriority w:val="99"/>
    <w:semiHidden/>
    <w:locked/>
    <w:rsid w:val="00E93FC7"/>
    <w:rPr>
      <w:rFonts w:ascii="Tahoma" w:eastAsia="MS Mincho" w:hAnsi="Tahoma" w:cs="Tahoma"/>
      <w:sz w:val="16"/>
      <w:szCs w:val="16"/>
    </w:rPr>
  </w:style>
  <w:style w:type="paragraph" w:styleId="Podpise-mail">
    <w:name w:val="E-mail Signature"/>
    <w:basedOn w:val="Normalny"/>
    <w:link w:val="Podpise-mailZnak"/>
    <w:uiPriority w:val="99"/>
    <w:semiHidden/>
    <w:rsid w:val="00E93FC7"/>
  </w:style>
  <w:style w:type="character" w:customStyle="1" w:styleId="Podpise-mailZnak">
    <w:name w:val="Podpis e-mail Znak"/>
    <w:basedOn w:val="Domylnaczcionkaakapitu"/>
    <w:link w:val="Podpise-mail"/>
    <w:uiPriority w:val="99"/>
    <w:semiHidden/>
    <w:locked/>
    <w:rsid w:val="00E93FC7"/>
    <w:rPr>
      <w:rFonts w:eastAsia="MS Mincho" w:cs="Times New Roman"/>
      <w:sz w:val="24"/>
      <w:szCs w:val="24"/>
    </w:rPr>
  </w:style>
  <w:style w:type="character" w:styleId="Odwoanieprzypisukocowego">
    <w:name w:val="endnote reference"/>
    <w:basedOn w:val="Domylnaczcionkaakapitu"/>
    <w:uiPriority w:val="99"/>
    <w:semiHidden/>
    <w:rsid w:val="00E93FC7"/>
    <w:rPr>
      <w:rFonts w:cs="Times New Roman"/>
      <w:vertAlign w:val="superscript"/>
    </w:rPr>
  </w:style>
  <w:style w:type="paragraph" w:styleId="Tekstprzypisukocowego">
    <w:name w:val="endnote text"/>
    <w:basedOn w:val="Normalny"/>
    <w:link w:val="TekstprzypisukocowegoZnak"/>
    <w:uiPriority w:val="99"/>
    <w:semiHidden/>
    <w:rsid w:val="00E93FC7"/>
    <w:rPr>
      <w:sz w:val="20"/>
      <w:szCs w:val="20"/>
    </w:rPr>
  </w:style>
  <w:style w:type="character" w:customStyle="1" w:styleId="TekstprzypisukocowegoZnak">
    <w:name w:val="Tekst przypisu końcowego Znak"/>
    <w:basedOn w:val="Domylnaczcionkaakapitu"/>
    <w:link w:val="Tekstprzypisukocowego"/>
    <w:uiPriority w:val="99"/>
    <w:semiHidden/>
    <w:locked/>
    <w:rsid w:val="00E93FC7"/>
    <w:rPr>
      <w:rFonts w:eastAsia="MS Mincho" w:cs="Times New Roman"/>
      <w:sz w:val="20"/>
      <w:szCs w:val="20"/>
    </w:rPr>
  </w:style>
  <w:style w:type="paragraph" w:styleId="Adresnakopercie">
    <w:name w:val="envelope address"/>
    <w:basedOn w:val="Normalny"/>
    <w:uiPriority w:val="99"/>
    <w:semiHidden/>
    <w:rsid w:val="00E93FC7"/>
    <w:pPr>
      <w:framePr w:w="7920" w:h="1980" w:hRule="exact" w:hSpace="180" w:wrap="auto" w:hAnchor="page" w:xAlign="center" w:yAlign="bottom"/>
      <w:ind w:left="2880"/>
    </w:pPr>
    <w:rPr>
      <w:rFonts w:eastAsia="MS Gothic"/>
    </w:rPr>
  </w:style>
  <w:style w:type="paragraph" w:styleId="Adreszwrotnynakopercie">
    <w:name w:val="envelope return"/>
    <w:basedOn w:val="Normalny"/>
    <w:uiPriority w:val="99"/>
    <w:semiHidden/>
    <w:rsid w:val="00E93FC7"/>
    <w:rPr>
      <w:rFonts w:eastAsia="MS Gothic"/>
      <w:sz w:val="20"/>
      <w:szCs w:val="20"/>
    </w:rPr>
  </w:style>
  <w:style w:type="character" w:styleId="UyteHipercze">
    <w:name w:val="FollowedHyperlink"/>
    <w:basedOn w:val="Domylnaczcionkaakapitu"/>
    <w:uiPriority w:val="99"/>
    <w:semiHidden/>
    <w:rsid w:val="00E93FC7"/>
    <w:rPr>
      <w:rFonts w:cs="Times New Roman"/>
      <w:color w:val="auto"/>
      <w:u w:val="single"/>
    </w:rPr>
  </w:style>
  <w:style w:type="character" w:styleId="Odwoanieprzypisudolnego">
    <w:name w:val="footnote reference"/>
    <w:basedOn w:val="Domylnaczcionkaakapitu"/>
    <w:uiPriority w:val="99"/>
    <w:semiHidden/>
    <w:rsid w:val="00315A17"/>
    <w:rPr>
      <w:rFonts w:cs="Times New Roman"/>
      <w:vertAlign w:val="superscript"/>
    </w:rPr>
  </w:style>
  <w:style w:type="paragraph" w:styleId="Tekstprzypisudolnego">
    <w:name w:val="footnote text"/>
    <w:basedOn w:val="Normalny"/>
    <w:link w:val="TekstprzypisudolnegoZnak"/>
    <w:uiPriority w:val="99"/>
    <w:semiHidden/>
    <w:rsid w:val="00315A17"/>
    <w:rPr>
      <w:sz w:val="20"/>
      <w:szCs w:val="20"/>
    </w:rPr>
  </w:style>
  <w:style w:type="character" w:customStyle="1" w:styleId="TekstprzypisudolnegoZnak">
    <w:name w:val="Tekst przypisu dolnego Znak"/>
    <w:basedOn w:val="Domylnaczcionkaakapitu"/>
    <w:link w:val="Tekstprzypisudolnego"/>
    <w:uiPriority w:val="99"/>
    <w:semiHidden/>
    <w:locked/>
    <w:rsid w:val="00315A17"/>
    <w:rPr>
      <w:rFonts w:eastAsia="MS Mincho" w:cs="Times New Roman"/>
      <w:sz w:val="20"/>
      <w:szCs w:val="20"/>
    </w:rPr>
  </w:style>
  <w:style w:type="character" w:styleId="HTML-akronim">
    <w:name w:val="HTML Acronym"/>
    <w:basedOn w:val="Domylnaczcionkaakapitu"/>
    <w:uiPriority w:val="99"/>
    <w:semiHidden/>
    <w:rsid w:val="00E93FC7"/>
    <w:rPr>
      <w:rFonts w:cs="Times New Roman"/>
    </w:rPr>
  </w:style>
  <w:style w:type="paragraph" w:styleId="HTML-adres">
    <w:name w:val="HTML Address"/>
    <w:basedOn w:val="Normalny"/>
    <w:link w:val="HTML-adresZnak"/>
    <w:uiPriority w:val="99"/>
    <w:semiHidden/>
    <w:rsid w:val="00E93FC7"/>
    <w:rPr>
      <w:i/>
      <w:iCs/>
    </w:rPr>
  </w:style>
  <w:style w:type="character" w:customStyle="1" w:styleId="HTML-adresZnak">
    <w:name w:val="HTML - adres Znak"/>
    <w:basedOn w:val="Domylnaczcionkaakapitu"/>
    <w:link w:val="HTML-adres"/>
    <w:uiPriority w:val="99"/>
    <w:semiHidden/>
    <w:locked/>
    <w:rsid w:val="00E93FC7"/>
    <w:rPr>
      <w:rFonts w:eastAsia="MS Mincho" w:cs="Times New Roman"/>
      <w:i/>
      <w:iCs/>
      <w:sz w:val="24"/>
      <w:szCs w:val="24"/>
    </w:rPr>
  </w:style>
  <w:style w:type="character" w:styleId="HTML-cytat">
    <w:name w:val="HTML Cite"/>
    <w:basedOn w:val="Domylnaczcionkaakapitu"/>
    <w:uiPriority w:val="99"/>
    <w:semiHidden/>
    <w:rsid w:val="00E93FC7"/>
    <w:rPr>
      <w:rFonts w:cs="Times New Roman"/>
      <w:i/>
      <w:iCs/>
    </w:rPr>
  </w:style>
  <w:style w:type="character" w:styleId="HTML-kod">
    <w:name w:val="HTML Code"/>
    <w:basedOn w:val="Domylnaczcionkaakapitu"/>
    <w:uiPriority w:val="99"/>
    <w:semiHidden/>
    <w:rsid w:val="00E93FC7"/>
    <w:rPr>
      <w:rFonts w:ascii="Consolas" w:hAnsi="Consolas" w:cs="Consolas"/>
      <w:sz w:val="20"/>
      <w:szCs w:val="20"/>
    </w:rPr>
  </w:style>
  <w:style w:type="character" w:styleId="HTML-definicja">
    <w:name w:val="HTML Definition"/>
    <w:basedOn w:val="Domylnaczcionkaakapitu"/>
    <w:uiPriority w:val="99"/>
    <w:semiHidden/>
    <w:rsid w:val="00E93FC7"/>
    <w:rPr>
      <w:rFonts w:cs="Times New Roman"/>
      <w:i/>
      <w:iCs/>
    </w:rPr>
  </w:style>
  <w:style w:type="character" w:styleId="HTML-klawiatura">
    <w:name w:val="HTML Keyboard"/>
    <w:basedOn w:val="Domylnaczcionkaakapitu"/>
    <w:uiPriority w:val="99"/>
    <w:semiHidden/>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rsid w:val="00E93FC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E93FC7"/>
    <w:rPr>
      <w:rFonts w:ascii="Consolas" w:eastAsia="MS Mincho" w:hAnsi="Consolas" w:cs="Consolas"/>
      <w:sz w:val="20"/>
      <w:szCs w:val="20"/>
    </w:rPr>
  </w:style>
  <w:style w:type="character" w:styleId="HTML-przykad">
    <w:name w:val="HTML Sample"/>
    <w:basedOn w:val="Domylnaczcionkaakapitu"/>
    <w:uiPriority w:val="99"/>
    <w:semiHidden/>
    <w:rsid w:val="00E93FC7"/>
    <w:rPr>
      <w:rFonts w:ascii="Consolas" w:hAnsi="Consolas" w:cs="Consolas"/>
      <w:sz w:val="24"/>
      <w:szCs w:val="24"/>
    </w:rPr>
  </w:style>
  <w:style w:type="character" w:styleId="HTML-staaszeroko">
    <w:name w:val="HTML Typewriter"/>
    <w:basedOn w:val="Domylnaczcionkaakapitu"/>
    <w:uiPriority w:val="99"/>
    <w:semiHidden/>
    <w:rsid w:val="00E93FC7"/>
    <w:rPr>
      <w:rFonts w:ascii="Consolas" w:hAnsi="Consolas" w:cs="Consolas"/>
      <w:sz w:val="20"/>
      <w:szCs w:val="20"/>
    </w:rPr>
  </w:style>
  <w:style w:type="character" w:styleId="HTML-zmienna">
    <w:name w:val="HTML Variable"/>
    <w:basedOn w:val="Domylnaczcionkaakapitu"/>
    <w:uiPriority w:val="99"/>
    <w:semiHidden/>
    <w:rsid w:val="00E93FC7"/>
    <w:rPr>
      <w:rFonts w:cs="Times New Roman"/>
      <w:i/>
      <w:iCs/>
    </w:rPr>
  </w:style>
  <w:style w:type="character" w:styleId="Hipercze">
    <w:name w:val="Hyperlink"/>
    <w:basedOn w:val="Domylnaczcionkaakapitu"/>
    <w:uiPriority w:val="99"/>
    <w:semiHidden/>
    <w:rsid w:val="00315A17"/>
    <w:rPr>
      <w:rFonts w:cs="Times New Roman"/>
      <w:color w:val="0072BC"/>
      <w:u w:val="single"/>
    </w:rPr>
  </w:style>
  <w:style w:type="paragraph" w:styleId="Indeks1">
    <w:name w:val="index 1"/>
    <w:basedOn w:val="Normalny"/>
    <w:next w:val="Normalny"/>
    <w:autoRedefine/>
    <w:uiPriority w:val="99"/>
    <w:semiHidden/>
    <w:rsid w:val="00E93FC7"/>
    <w:pPr>
      <w:ind w:left="240" w:hanging="240"/>
    </w:pPr>
  </w:style>
  <w:style w:type="paragraph" w:styleId="Indeks2">
    <w:name w:val="index 2"/>
    <w:basedOn w:val="Normalny"/>
    <w:next w:val="Normalny"/>
    <w:autoRedefine/>
    <w:uiPriority w:val="99"/>
    <w:semiHidden/>
    <w:rsid w:val="00E93FC7"/>
    <w:pPr>
      <w:ind w:left="480" w:hanging="240"/>
    </w:pPr>
  </w:style>
  <w:style w:type="paragraph" w:styleId="Indeks3">
    <w:name w:val="index 3"/>
    <w:basedOn w:val="Normalny"/>
    <w:next w:val="Normalny"/>
    <w:autoRedefine/>
    <w:uiPriority w:val="99"/>
    <w:semiHidden/>
    <w:rsid w:val="00E93FC7"/>
    <w:pPr>
      <w:ind w:left="720" w:hanging="240"/>
    </w:pPr>
  </w:style>
  <w:style w:type="paragraph" w:styleId="Indeks4">
    <w:name w:val="index 4"/>
    <w:basedOn w:val="Normalny"/>
    <w:next w:val="Normalny"/>
    <w:autoRedefine/>
    <w:uiPriority w:val="99"/>
    <w:semiHidden/>
    <w:rsid w:val="00E93FC7"/>
    <w:pPr>
      <w:ind w:left="960" w:hanging="240"/>
    </w:pPr>
  </w:style>
  <w:style w:type="paragraph" w:styleId="Indeks5">
    <w:name w:val="index 5"/>
    <w:basedOn w:val="Normalny"/>
    <w:next w:val="Normalny"/>
    <w:autoRedefine/>
    <w:uiPriority w:val="99"/>
    <w:semiHidden/>
    <w:rsid w:val="00E93FC7"/>
    <w:pPr>
      <w:ind w:left="1200" w:hanging="240"/>
    </w:pPr>
  </w:style>
  <w:style w:type="paragraph" w:styleId="Indeks6">
    <w:name w:val="index 6"/>
    <w:basedOn w:val="Normalny"/>
    <w:next w:val="Normalny"/>
    <w:autoRedefine/>
    <w:uiPriority w:val="99"/>
    <w:semiHidden/>
    <w:rsid w:val="00E93FC7"/>
    <w:pPr>
      <w:ind w:left="1440" w:hanging="240"/>
    </w:pPr>
  </w:style>
  <w:style w:type="paragraph" w:styleId="Indeks7">
    <w:name w:val="index 7"/>
    <w:basedOn w:val="Normalny"/>
    <w:next w:val="Normalny"/>
    <w:autoRedefine/>
    <w:uiPriority w:val="99"/>
    <w:semiHidden/>
    <w:rsid w:val="00E93FC7"/>
    <w:pPr>
      <w:ind w:left="1680" w:hanging="240"/>
    </w:pPr>
  </w:style>
  <w:style w:type="paragraph" w:styleId="Indeks8">
    <w:name w:val="index 8"/>
    <w:basedOn w:val="Normalny"/>
    <w:next w:val="Normalny"/>
    <w:autoRedefine/>
    <w:uiPriority w:val="99"/>
    <w:semiHidden/>
    <w:rsid w:val="00E93FC7"/>
    <w:pPr>
      <w:ind w:left="1920" w:hanging="240"/>
    </w:pPr>
  </w:style>
  <w:style w:type="paragraph" w:styleId="Indeks9">
    <w:name w:val="index 9"/>
    <w:basedOn w:val="Normalny"/>
    <w:next w:val="Normalny"/>
    <w:autoRedefine/>
    <w:uiPriority w:val="99"/>
    <w:semiHidden/>
    <w:rsid w:val="00E93FC7"/>
    <w:pPr>
      <w:ind w:left="2160" w:hanging="240"/>
    </w:pPr>
  </w:style>
  <w:style w:type="paragraph" w:styleId="Nagwekindeksu">
    <w:name w:val="index heading"/>
    <w:basedOn w:val="Normalny"/>
    <w:next w:val="Indeks1"/>
    <w:uiPriority w:val="99"/>
    <w:semiHidden/>
    <w:rsid w:val="00E93FC7"/>
    <w:rPr>
      <w:rFonts w:eastAsia="MS Gothic"/>
      <w:b/>
      <w:bCs/>
    </w:rPr>
  </w:style>
  <w:style w:type="table" w:styleId="Jasnasiatka">
    <w:name w:val="Light Grid"/>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93FC7"/>
    <w:pPr>
      <w:spacing w:after="0" w:line="240" w:lineRule="auto"/>
    </w:pPr>
    <w:rPr>
      <w:color w:val="00548C"/>
      <w:sz w:val="20"/>
      <w:szCs w:val="20"/>
    </w:rPr>
    <w:tblPr>
      <w:tblStyleRowBandSize w:val="1"/>
      <w:tblStyleColBandSize w:val="1"/>
      <w:tblInd w:w="0" w:type="nil"/>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93FC7"/>
    <w:pPr>
      <w:spacing w:after="0" w:line="240" w:lineRule="auto"/>
    </w:pPr>
    <w:rPr>
      <w:color w:val="8F0000"/>
      <w:sz w:val="20"/>
      <w:szCs w:val="20"/>
    </w:rPr>
    <w:tblPr>
      <w:tblStyleRowBandSize w:val="1"/>
      <w:tblStyleColBandSize w:val="1"/>
      <w:tblInd w:w="0" w:type="nil"/>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93FC7"/>
    <w:pPr>
      <w:spacing w:after="0" w:line="240" w:lineRule="auto"/>
    </w:pPr>
    <w:rPr>
      <w:color w:val="474747"/>
      <w:sz w:val="20"/>
      <w:szCs w:val="20"/>
    </w:rPr>
    <w:tblPr>
      <w:tblStyleRowBandSize w:val="1"/>
      <w:tblStyleColBandSize w:val="1"/>
      <w:tblInd w:w="0" w:type="nil"/>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93FC7"/>
    <w:pPr>
      <w:spacing w:after="0" w:line="240" w:lineRule="auto"/>
    </w:pPr>
    <w:rPr>
      <w:color w:val="707070"/>
      <w:sz w:val="20"/>
      <w:szCs w:val="20"/>
    </w:rPr>
    <w:tblPr>
      <w:tblStyleRowBandSize w:val="1"/>
      <w:tblStyleColBandSize w:val="1"/>
      <w:tblInd w:w="0" w:type="nil"/>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93FC7"/>
    <w:pPr>
      <w:spacing w:after="0" w:line="240" w:lineRule="auto"/>
    </w:pPr>
    <w:rPr>
      <w:color w:val="474747"/>
      <w:sz w:val="20"/>
      <w:szCs w:val="20"/>
    </w:rPr>
    <w:tblPr>
      <w:tblStyleRowBandSize w:val="1"/>
      <w:tblStyleColBandSize w:val="1"/>
      <w:tblInd w:w="0" w:type="nil"/>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93FC7"/>
    <w:pPr>
      <w:spacing w:after="0" w:line="240" w:lineRule="auto"/>
    </w:pPr>
    <w:rPr>
      <w:color w:val="393939"/>
      <w:sz w:val="20"/>
      <w:szCs w:val="20"/>
    </w:rPr>
    <w:tblPr>
      <w:tblStyleRowBandSize w:val="1"/>
      <w:tblStyleColBandSize w:val="1"/>
      <w:tblInd w:w="0" w:type="nil"/>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93FC7"/>
    <w:rPr>
      <w:rFonts w:cs="Times New Roman"/>
    </w:rPr>
  </w:style>
  <w:style w:type="paragraph" w:styleId="Lista">
    <w:name w:val="List"/>
    <w:basedOn w:val="Normalny"/>
    <w:uiPriority w:val="99"/>
    <w:semiHidden/>
    <w:rsid w:val="00E93FC7"/>
    <w:pPr>
      <w:ind w:left="283" w:hanging="283"/>
    </w:pPr>
  </w:style>
  <w:style w:type="paragraph" w:styleId="Lista2">
    <w:name w:val="List 2"/>
    <w:basedOn w:val="Normalny"/>
    <w:uiPriority w:val="99"/>
    <w:semiHidden/>
    <w:rsid w:val="00E93FC7"/>
    <w:pPr>
      <w:ind w:left="566" w:hanging="283"/>
    </w:pPr>
  </w:style>
  <w:style w:type="paragraph" w:styleId="Lista3">
    <w:name w:val="List 3"/>
    <w:basedOn w:val="Normalny"/>
    <w:uiPriority w:val="99"/>
    <w:semiHidden/>
    <w:rsid w:val="00E93FC7"/>
    <w:pPr>
      <w:ind w:left="849" w:hanging="283"/>
    </w:pPr>
  </w:style>
  <w:style w:type="paragraph" w:styleId="Lista4">
    <w:name w:val="List 4"/>
    <w:basedOn w:val="Normalny"/>
    <w:uiPriority w:val="99"/>
    <w:semiHidden/>
    <w:rsid w:val="00E93FC7"/>
    <w:pPr>
      <w:ind w:left="1132" w:hanging="283"/>
    </w:pPr>
  </w:style>
  <w:style w:type="paragraph" w:styleId="Lista5">
    <w:name w:val="List 5"/>
    <w:basedOn w:val="Normalny"/>
    <w:uiPriority w:val="99"/>
    <w:semiHidden/>
    <w:rsid w:val="00E93FC7"/>
    <w:pPr>
      <w:ind w:left="1415" w:hanging="283"/>
    </w:pPr>
  </w:style>
  <w:style w:type="paragraph" w:styleId="Listapunktowana">
    <w:name w:val="List Bullet"/>
    <w:basedOn w:val="Normalny"/>
    <w:uiPriority w:val="99"/>
    <w:semiHidden/>
    <w:rsid w:val="00E93FC7"/>
    <w:pPr>
      <w:numPr>
        <w:numId w:val="1"/>
      </w:numPr>
    </w:pPr>
  </w:style>
  <w:style w:type="paragraph" w:styleId="Listapunktowana2">
    <w:name w:val="List Bullet 2"/>
    <w:basedOn w:val="Normalny"/>
    <w:uiPriority w:val="99"/>
    <w:semiHidden/>
    <w:rsid w:val="00E93FC7"/>
    <w:pPr>
      <w:numPr>
        <w:numId w:val="2"/>
      </w:numPr>
    </w:pPr>
  </w:style>
  <w:style w:type="paragraph" w:styleId="Listapunktowana3">
    <w:name w:val="List Bullet 3"/>
    <w:basedOn w:val="Normalny"/>
    <w:uiPriority w:val="99"/>
    <w:semiHidden/>
    <w:rsid w:val="00E93FC7"/>
    <w:pPr>
      <w:numPr>
        <w:numId w:val="3"/>
      </w:numPr>
    </w:pPr>
  </w:style>
  <w:style w:type="paragraph" w:styleId="Listapunktowana4">
    <w:name w:val="List Bullet 4"/>
    <w:basedOn w:val="Normalny"/>
    <w:uiPriority w:val="99"/>
    <w:semiHidden/>
    <w:rsid w:val="00E93FC7"/>
    <w:pPr>
      <w:numPr>
        <w:numId w:val="4"/>
      </w:numPr>
    </w:pPr>
  </w:style>
  <w:style w:type="paragraph" w:styleId="Listapunktowana5">
    <w:name w:val="List Bullet 5"/>
    <w:basedOn w:val="Normalny"/>
    <w:uiPriority w:val="99"/>
    <w:semiHidden/>
    <w:rsid w:val="00E93FC7"/>
    <w:pPr>
      <w:numPr>
        <w:numId w:val="5"/>
      </w:numPr>
    </w:pPr>
  </w:style>
  <w:style w:type="paragraph" w:styleId="Lista-kontynuacja">
    <w:name w:val="List Continue"/>
    <w:basedOn w:val="Normalny"/>
    <w:uiPriority w:val="99"/>
    <w:semiHidden/>
    <w:rsid w:val="00E93FC7"/>
    <w:pPr>
      <w:spacing w:after="120"/>
      <w:ind w:left="283"/>
    </w:pPr>
  </w:style>
  <w:style w:type="paragraph" w:styleId="Lista-kontynuacja2">
    <w:name w:val="List Continue 2"/>
    <w:basedOn w:val="Normalny"/>
    <w:uiPriority w:val="99"/>
    <w:semiHidden/>
    <w:rsid w:val="00E93FC7"/>
    <w:pPr>
      <w:spacing w:after="120"/>
      <w:ind w:left="566"/>
    </w:pPr>
  </w:style>
  <w:style w:type="paragraph" w:styleId="Lista-kontynuacja3">
    <w:name w:val="List Continue 3"/>
    <w:basedOn w:val="Normalny"/>
    <w:uiPriority w:val="99"/>
    <w:semiHidden/>
    <w:rsid w:val="00E93FC7"/>
    <w:pPr>
      <w:spacing w:after="120"/>
      <w:ind w:left="849"/>
    </w:pPr>
  </w:style>
  <w:style w:type="paragraph" w:styleId="Lista-kontynuacja4">
    <w:name w:val="List Continue 4"/>
    <w:basedOn w:val="Normalny"/>
    <w:uiPriority w:val="99"/>
    <w:semiHidden/>
    <w:rsid w:val="00E93FC7"/>
    <w:pPr>
      <w:spacing w:after="120"/>
      <w:ind w:left="1132"/>
    </w:pPr>
  </w:style>
  <w:style w:type="paragraph" w:styleId="Lista-kontynuacja5">
    <w:name w:val="List Continue 5"/>
    <w:basedOn w:val="Normalny"/>
    <w:uiPriority w:val="99"/>
    <w:semiHidden/>
    <w:rsid w:val="00E93FC7"/>
    <w:pPr>
      <w:spacing w:after="120"/>
      <w:ind w:left="1415"/>
    </w:pPr>
  </w:style>
  <w:style w:type="paragraph" w:styleId="Listanumerowana">
    <w:name w:val="List Number"/>
    <w:basedOn w:val="Normalny"/>
    <w:uiPriority w:val="99"/>
    <w:semiHidden/>
    <w:rsid w:val="00E93FC7"/>
    <w:pPr>
      <w:numPr>
        <w:numId w:val="6"/>
      </w:numPr>
    </w:pPr>
  </w:style>
  <w:style w:type="paragraph" w:styleId="Listanumerowana2">
    <w:name w:val="List Number 2"/>
    <w:basedOn w:val="Normalny"/>
    <w:uiPriority w:val="99"/>
    <w:semiHidden/>
    <w:rsid w:val="00E93FC7"/>
    <w:pPr>
      <w:tabs>
        <w:tab w:val="num" w:pos="643"/>
      </w:tabs>
      <w:ind w:left="643" w:hanging="360"/>
    </w:pPr>
  </w:style>
  <w:style w:type="paragraph" w:styleId="Listanumerowana3">
    <w:name w:val="List Number 3"/>
    <w:basedOn w:val="Normalny"/>
    <w:uiPriority w:val="99"/>
    <w:semiHidden/>
    <w:rsid w:val="00E93FC7"/>
    <w:pPr>
      <w:numPr>
        <w:numId w:val="8"/>
      </w:numPr>
    </w:pPr>
  </w:style>
  <w:style w:type="paragraph" w:styleId="Listanumerowana4">
    <w:name w:val="List Number 4"/>
    <w:basedOn w:val="Normalny"/>
    <w:uiPriority w:val="99"/>
    <w:semiHidden/>
    <w:rsid w:val="00E93FC7"/>
    <w:pPr>
      <w:numPr>
        <w:numId w:val="9"/>
      </w:numPr>
    </w:pPr>
  </w:style>
  <w:style w:type="paragraph" w:styleId="Listanumerowana5">
    <w:name w:val="List Number 5"/>
    <w:basedOn w:val="Normalny"/>
    <w:uiPriority w:val="99"/>
    <w:semiHidden/>
    <w:rsid w:val="00E93FC7"/>
    <w:pPr>
      <w:numPr>
        <w:numId w:val="10"/>
      </w:numPr>
    </w:pPr>
  </w:style>
  <w:style w:type="paragraph" w:styleId="Tekstmakra">
    <w:name w:val="macro"/>
    <w:link w:val="TekstmakraZnak"/>
    <w:uiPriority w:val="99"/>
    <w:semiHidden/>
    <w:rsid w:val="00E93FC7"/>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MS Mincho" w:hAnsi="Consolas" w:cs="Consolas"/>
      <w:sz w:val="20"/>
      <w:szCs w:val="20"/>
      <w:lang w:eastAsia="en-US"/>
    </w:rPr>
  </w:style>
  <w:style w:type="character" w:customStyle="1" w:styleId="TekstmakraZnak">
    <w:name w:val="Tekst makra Znak"/>
    <w:basedOn w:val="Domylnaczcionkaakapitu"/>
    <w:link w:val="Tekstmakra"/>
    <w:uiPriority w:val="99"/>
    <w:semiHidden/>
    <w:locked/>
    <w:rsid w:val="00E93FC7"/>
    <w:rPr>
      <w:rFonts w:ascii="Consolas" w:eastAsia="MS Mincho" w:hAnsi="Consolas" w:cs="Consolas"/>
      <w:lang w:val="pl-PL" w:eastAsia="en-US"/>
    </w:rPr>
  </w:style>
  <w:style w:type="table" w:styleId="redniasiatka1">
    <w:name w:val="Medium Grid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E93FC7"/>
    <w:pPr>
      <w:spacing w:after="0" w:line="240" w:lineRule="auto"/>
    </w:pPr>
    <w:rPr>
      <w:color w:val="000000"/>
      <w:sz w:val="20"/>
      <w:szCs w:val="20"/>
    </w:rPr>
    <w:tblPr>
      <w:tblStyleRowBandSize w:val="1"/>
      <w:tblStyleColBandSize w:val="1"/>
      <w:tblInd w:w="0" w:type="nil"/>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E93FC7"/>
    <w:pPr>
      <w:spacing w:after="0" w:line="240" w:lineRule="auto"/>
    </w:pPr>
    <w:rPr>
      <w:rFonts w:eastAsia="MS Gothic"/>
      <w:color w:val="000000"/>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93FC7"/>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basedOn w:val="Domylnaczcionkaakapitu"/>
    <w:link w:val="Nagwekwiadomoci"/>
    <w:uiPriority w:val="99"/>
    <w:semiHidden/>
    <w:locked/>
    <w:rsid w:val="00E93FC7"/>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E93FC7"/>
  </w:style>
  <w:style w:type="paragraph" w:styleId="Wcicienormalne">
    <w:name w:val="Normal Indent"/>
    <w:basedOn w:val="Normalny"/>
    <w:uiPriority w:val="99"/>
    <w:semiHidden/>
    <w:rsid w:val="00E93FC7"/>
    <w:pPr>
      <w:ind w:left="720"/>
    </w:pPr>
  </w:style>
  <w:style w:type="paragraph" w:styleId="Nagweknotatki">
    <w:name w:val="Note Heading"/>
    <w:basedOn w:val="Normalny"/>
    <w:next w:val="Normalny"/>
    <w:link w:val="NagweknotatkiZnak"/>
    <w:uiPriority w:val="99"/>
    <w:semiHidden/>
    <w:rsid w:val="00E93FC7"/>
  </w:style>
  <w:style w:type="character" w:customStyle="1" w:styleId="NagweknotatkiZnak">
    <w:name w:val="Nagłówek notatki Znak"/>
    <w:basedOn w:val="Domylnaczcionkaakapitu"/>
    <w:link w:val="Nagweknotatki"/>
    <w:uiPriority w:val="99"/>
    <w:semiHidden/>
    <w:locked/>
    <w:rsid w:val="00E93FC7"/>
    <w:rPr>
      <w:rFonts w:eastAsia="MS Mincho" w:cs="Times New Roman"/>
      <w:sz w:val="24"/>
      <w:szCs w:val="24"/>
    </w:rPr>
  </w:style>
  <w:style w:type="character" w:styleId="Tekstzastpczy">
    <w:name w:val="Placeholder Text"/>
    <w:basedOn w:val="Domylnaczcionkaakapitu"/>
    <w:uiPriority w:val="99"/>
    <w:semiHidden/>
    <w:rsid w:val="00315A17"/>
    <w:rPr>
      <w:rFonts w:cs="Times New Roman"/>
      <w:color w:val="auto"/>
      <w:shd w:val="clear" w:color="auto" w:fill="DFDFDF"/>
    </w:rPr>
  </w:style>
  <w:style w:type="paragraph" w:styleId="Zwykytekst">
    <w:name w:val="Plain Text"/>
    <w:basedOn w:val="Normalny"/>
    <w:link w:val="ZwykytekstZnak"/>
    <w:uiPriority w:val="99"/>
    <w:semiHidden/>
    <w:rsid w:val="00E93FC7"/>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E93FC7"/>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E93FC7"/>
  </w:style>
  <w:style w:type="character" w:customStyle="1" w:styleId="ZwrotgrzecznociowyZnak">
    <w:name w:val="Zwrot grzecznościowy Znak"/>
    <w:basedOn w:val="Domylnaczcionkaakapitu"/>
    <w:link w:val="Zwrotgrzecznociowy"/>
    <w:uiPriority w:val="99"/>
    <w:semiHidden/>
    <w:locked/>
    <w:rsid w:val="00E93FC7"/>
    <w:rPr>
      <w:rFonts w:eastAsia="MS Mincho" w:cs="Times New Roman"/>
      <w:sz w:val="24"/>
      <w:szCs w:val="24"/>
    </w:rPr>
  </w:style>
  <w:style w:type="paragraph" w:styleId="Podpis">
    <w:name w:val="Signature"/>
    <w:basedOn w:val="Normalny"/>
    <w:link w:val="PodpisZnak"/>
    <w:uiPriority w:val="99"/>
    <w:semiHidden/>
    <w:rsid w:val="00E93FC7"/>
    <w:pPr>
      <w:ind w:left="4252"/>
    </w:pPr>
  </w:style>
  <w:style w:type="character" w:customStyle="1" w:styleId="PodpisZnak">
    <w:name w:val="Podpis Znak"/>
    <w:basedOn w:val="Domylnaczcionkaakapitu"/>
    <w:link w:val="Podpis"/>
    <w:uiPriority w:val="99"/>
    <w:semiHidden/>
    <w:locked/>
    <w:rsid w:val="00E93FC7"/>
    <w:rPr>
      <w:rFonts w:eastAsia="MS Mincho" w:cs="Times New Roman"/>
      <w:sz w:val="24"/>
      <w:szCs w:val="24"/>
    </w:rPr>
  </w:style>
  <w:style w:type="table" w:styleId="Tabela-Efekty3W1">
    <w:name w:val="Table 3D effects 1"/>
    <w:basedOn w:val="Standardowy"/>
    <w:uiPriority w:val="99"/>
    <w:semiHidden/>
    <w:rsid w:val="00E93FC7"/>
    <w:pPr>
      <w:spacing w:after="0" w:line="240" w:lineRule="auto"/>
      <w:jc w:val="both"/>
    </w:pPr>
    <w:rPr>
      <w:sz w:val="20"/>
      <w:szCs w:val="20"/>
    </w:rPr>
    <w:tblPr>
      <w:tblInd w:w="0" w:type="nil"/>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93FC7"/>
    <w:pPr>
      <w:spacing w:after="0" w:line="240" w:lineRule="auto"/>
      <w:jc w:val="both"/>
    </w:pPr>
    <w:rPr>
      <w:sz w:val="20"/>
      <w:szCs w:val="20"/>
    </w:rPr>
    <w:tblPr>
      <w:tblStyleRowBandSize w:val="1"/>
      <w:tblInd w:w="0" w:type="nil"/>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93FC7"/>
    <w:pPr>
      <w:spacing w:after="0" w:line="240" w:lineRule="auto"/>
      <w:jc w:val="both"/>
    </w:pPr>
    <w:rPr>
      <w:sz w:val="20"/>
      <w:szCs w:val="20"/>
    </w:rPr>
    <w:tblPr>
      <w:tblStyleRowBandSize w:val="1"/>
      <w:tblStyleColBandSize w:val="1"/>
      <w:tblInd w:w="0" w:type="nil"/>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93FC7"/>
    <w:pPr>
      <w:spacing w:after="0" w:line="240" w:lineRule="auto"/>
      <w:jc w:val="both"/>
    </w:pPr>
    <w:rPr>
      <w:sz w:val="20"/>
      <w:szCs w:val="20"/>
    </w:rPr>
    <w:tblPr>
      <w:tblInd w:w="0" w:type="nil"/>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93FC7"/>
    <w:pPr>
      <w:spacing w:after="0" w:line="240" w:lineRule="auto"/>
      <w:jc w:val="both"/>
    </w:pPr>
    <w:rPr>
      <w:sz w:val="20"/>
      <w:szCs w:val="20"/>
    </w:rPr>
    <w:tblPr>
      <w:tblInd w:w="0" w:type="nil"/>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93FC7"/>
    <w:pPr>
      <w:spacing w:after="0" w:line="240" w:lineRule="auto"/>
      <w:jc w:val="both"/>
    </w:pPr>
    <w:rPr>
      <w:color w:val="000080"/>
      <w:sz w:val="20"/>
      <w:szCs w:val="2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93FC7"/>
    <w:pPr>
      <w:spacing w:after="0" w:line="240" w:lineRule="auto"/>
      <w:jc w:val="both"/>
    </w:pPr>
    <w:rPr>
      <w:sz w:val="20"/>
      <w:szCs w:val="20"/>
    </w:rPr>
    <w:tblPr>
      <w:tblInd w:w="0" w:type="nil"/>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93FC7"/>
    <w:pPr>
      <w:spacing w:after="0" w:line="240" w:lineRule="auto"/>
      <w:jc w:val="both"/>
    </w:pPr>
    <w:rPr>
      <w:color w:val="FFFFFF"/>
      <w:sz w:val="20"/>
      <w:szCs w:val="20"/>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93FC7"/>
    <w:pPr>
      <w:spacing w:after="0" w:line="240" w:lineRule="auto"/>
      <w:jc w:val="both"/>
    </w:pPr>
    <w:rPr>
      <w:sz w:val="20"/>
      <w:szCs w:val="20"/>
    </w:rPr>
    <w:tblPr>
      <w:tblInd w:w="0" w:type="nil"/>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93FC7"/>
    <w:pPr>
      <w:spacing w:after="0" w:line="240" w:lineRule="auto"/>
      <w:jc w:val="both"/>
    </w:pPr>
    <w:rPr>
      <w:sz w:val="20"/>
      <w:szCs w:val="20"/>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93FC7"/>
    <w:pPr>
      <w:spacing w:after="0" w:line="240" w:lineRule="auto"/>
      <w:jc w:val="both"/>
    </w:pPr>
    <w:rPr>
      <w:b/>
      <w:bCs/>
      <w:sz w:val="20"/>
      <w:szCs w:val="20"/>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93FC7"/>
    <w:pPr>
      <w:spacing w:after="0" w:line="240" w:lineRule="auto"/>
      <w:jc w:val="both"/>
    </w:pPr>
    <w:rPr>
      <w:b/>
      <w:bCs/>
      <w:sz w:val="20"/>
      <w:szCs w:val="20"/>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93FC7"/>
    <w:pPr>
      <w:spacing w:after="0" w:line="240" w:lineRule="auto"/>
      <w:jc w:val="both"/>
    </w:pPr>
    <w:rPr>
      <w:b/>
      <w:bCs/>
      <w:sz w:val="20"/>
      <w:szCs w:val="20"/>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93FC7"/>
    <w:pPr>
      <w:spacing w:after="0" w:line="240" w:lineRule="auto"/>
      <w:jc w:val="both"/>
    </w:pPr>
    <w:rPr>
      <w:sz w:val="20"/>
      <w:szCs w:val="20"/>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E93FC7"/>
    <w:pPr>
      <w:spacing w:after="0" w:line="240" w:lineRule="auto"/>
      <w:jc w:val="both"/>
    </w:pPr>
    <w:rPr>
      <w:sz w:val="20"/>
      <w:szCs w:val="20"/>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E93FC7"/>
    <w:pPr>
      <w:spacing w:after="0" w:line="240" w:lineRule="auto"/>
      <w:jc w:val="both"/>
    </w:pPr>
    <w:rPr>
      <w:sz w:val="20"/>
      <w:szCs w:val="20"/>
    </w:rPr>
    <w:tblPr>
      <w:tblStyleRowBandSize w:val="1"/>
      <w:tblInd w:w="0" w:type="nil"/>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93FC7"/>
    <w:pPr>
      <w:spacing w:after="0" w:line="240" w:lineRule="auto"/>
      <w:jc w:val="both"/>
    </w:pPr>
    <w:rPr>
      <w:sz w:val="20"/>
      <w:szCs w:val="20"/>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315A17"/>
    <w:pPr>
      <w:spacing w:after="0" w:line="240" w:lineRule="auto"/>
    </w:pPr>
    <w:rPr>
      <w:rFonts w:eastAsia="MS Mincho"/>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E93FC7"/>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93FC7"/>
    <w:pPr>
      <w:spacing w:after="0" w:line="240" w:lineRule="auto"/>
      <w:jc w:val="both"/>
    </w:pPr>
    <w:rPr>
      <w:sz w:val="20"/>
      <w:szCs w:val="20"/>
    </w:rPr>
    <w:tblPr>
      <w:tblInd w:w="0" w:type="nil"/>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93FC7"/>
    <w:pPr>
      <w:spacing w:after="0" w:line="240" w:lineRule="auto"/>
      <w:jc w:val="both"/>
    </w:pPr>
    <w:rPr>
      <w:sz w:val="20"/>
      <w:szCs w:val="20"/>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93FC7"/>
    <w:pPr>
      <w:spacing w:after="0" w:line="240" w:lineRule="auto"/>
      <w:jc w:val="both"/>
    </w:pPr>
    <w:rPr>
      <w:sz w:val="20"/>
      <w:szCs w:val="20"/>
    </w:rPr>
    <w:tblPr>
      <w:tblInd w:w="0" w:type="nil"/>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93FC7"/>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E93FC7"/>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E93FC7"/>
    <w:pPr>
      <w:spacing w:after="0" w:line="240" w:lineRule="auto"/>
      <w:jc w:val="both"/>
    </w:pPr>
    <w:rPr>
      <w:b/>
      <w:bCs/>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E93FC7"/>
    <w:pPr>
      <w:spacing w:after="0" w:line="240" w:lineRule="auto"/>
      <w:jc w:val="both"/>
    </w:pPr>
    <w:rPr>
      <w:sz w:val="20"/>
      <w:szCs w:val="20"/>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93FC7"/>
    <w:pPr>
      <w:spacing w:after="0" w:line="240" w:lineRule="auto"/>
      <w:jc w:val="both"/>
    </w:pPr>
    <w:rPr>
      <w:sz w:val="20"/>
      <w:szCs w:val="20"/>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93FC7"/>
    <w:pPr>
      <w:spacing w:after="0" w:line="240" w:lineRule="auto"/>
      <w:jc w:val="both"/>
    </w:pPr>
    <w:rPr>
      <w:sz w:val="20"/>
      <w:szCs w:val="20"/>
    </w:rPr>
    <w:tblPr>
      <w:tblStyleRowBandSize w:val="2"/>
      <w:tblInd w:w="0" w:type="nil"/>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93FC7"/>
    <w:pPr>
      <w:spacing w:after="0" w:line="240" w:lineRule="auto"/>
      <w:jc w:val="both"/>
    </w:pPr>
    <w:rPr>
      <w:sz w:val="20"/>
      <w:szCs w:val="20"/>
    </w:rPr>
    <w:tblPr>
      <w:tblInd w:w="0" w:type="nil"/>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93FC7"/>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93FC7"/>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93FC7"/>
    <w:pPr>
      <w:spacing w:after="0" w:line="240" w:lineRule="auto"/>
      <w:jc w:val="both"/>
    </w:pPr>
    <w:rPr>
      <w:sz w:val="20"/>
      <w:szCs w:val="20"/>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93FC7"/>
    <w:pPr>
      <w:spacing w:after="0" w:line="240" w:lineRule="auto"/>
      <w:jc w:val="both"/>
    </w:pPr>
    <w:rPr>
      <w:sz w:val="20"/>
      <w:szCs w:val="20"/>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93FC7"/>
    <w:pPr>
      <w:spacing w:after="0" w:line="240" w:lineRule="auto"/>
      <w:jc w:val="both"/>
    </w:pPr>
    <w:rPr>
      <w:sz w:val="20"/>
      <w:szCs w:val="20"/>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93FC7"/>
    <w:pPr>
      <w:ind w:left="240" w:hanging="240"/>
    </w:pPr>
  </w:style>
  <w:style w:type="paragraph" w:styleId="Spisilustracji">
    <w:name w:val="table of figures"/>
    <w:basedOn w:val="Normalny"/>
    <w:next w:val="Normalny"/>
    <w:uiPriority w:val="99"/>
    <w:semiHidden/>
    <w:rsid w:val="00E93FC7"/>
  </w:style>
  <w:style w:type="table" w:styleId="Tabela-Profesjonalny">
    <w:name w:val="Table Professional"/>
    <w:basedOn w:val="Standardowy"/>
    <w:uiPriority w:val="99"/>
    <w:semiHidden/>
    <w:rsid w:val="00E93FC7"/>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93FC7"/>
    <w:pPr>
      <w:spacing w:after="0" w:line="240" w:lineRule="auto"/>
      <w:jc w:val="both"/>
    </w:pPr>
    <w:rPr>
      <w:sz w:val="20"/>
      <w:szCs w:val="20"/>
    </w:rPr>
    <w:tblPr>
      <w:tblInd w:w="0" w:type="nil"/>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93FC7"/>
    <w:pPr>
      <w:spacing w:after="0" w:line="240" w:lineRule="auto"/>
      <w:jc w:val="both"/>
    </w:pPr>
    <w:rPr>
      <w:sz w:val="20"/>
      <w:szCs w:val="20"/>
    </w:rPr>
    <w:tblPr>
      <w:tblInd w:w="0" w:type="nil"/>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93FC7"/>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93FC7"/>
    <w:pPr>
      <w:spacing w:after="0" w:line="240" w:lineRule="auto"/>
      <w:jc w:val="both"/>
    </w:pPr>
    <w:rPr>
      <w:sz w:val="20"/>
      <w:szCs w:val="20"/>
    </w:rPr>
    <w:tblPr>
      <w:tblStyleRowBandSize w:val="1"/>
      <w:tblInd w:w="0" w:type="nil"/>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93FC7"/>
    <w:pPr>
      <w:spacing w:after="0" w:line="240" w:lineRule="auto"/>
      <w:jc w:val="both"/>
    </w:pPr>
    <w:rPr>
      <w:sz w:val="20"/>
      <w:szCs w:val="20"/>
    </w:rPr>
    <w:tblPr>
      <w:tblInd w:w="0" w:type="nil"/>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93FC7"/>
    <w:pPr>
      <w:spacing w:after="0" w:line="240" w:lineRule="auto"/>
      <w:jc w:val="both"/>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93FC7"/>
    <w:pPr>
      <w:spacing w:after="0" w:line="240" w:lineRule="auto"/>
      <w:jc w:val="both"/>
    </w:pPr>
    <w:rPr>
      <w:sz w:val="20"/>
      <w:szCs w:val="20"/>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93FC7"/>
    <w:pPr>
      <w:spacing w:after="0" w:line="240" w:lineRule="auto"/>
      <w:jc w:val="both"/>
    </w:pPr>
    <w:rPr>
      <w:sz w:val="20"/>
      <w:szCs w:val="20"/>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93FC7"/>
    <w:pPr>
      <w:spacing w:after="0" w:line="240" w:lineRule="auto"/>
      <w:jc w:val="both"/>
    </w:pPr>
    <w:rPr>
      <w:sz w:val="20"/>
      <w:szCs w:val="20"/>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315A17"/>
    <w:pPr>
      <w:keepNext/>
      <w:keepLines/>
      <w:spacing w:before="240"/>
      <w:jc w:val="center"/>
    </w:pPr>
    <w:rPr>
      <w:rFonts w:eastAsia="MS Gothic"/>
      <w:b/>
      <w:bCs/>
      <w:color w:val="474747"/>
      <w:sz w:val="28"/>
      <w:szCs w:val="28"/>
    </w:rPr>
  </w:style>
  <w:style w:type="paragraph" w:styleId="Spistreci1">
    <w:name w:val="toc 1"/>
    <w:basedOn w:val="Normalny"/>
    <w:next w:val="Normalny"/>
    <w:autoRedefine/>
    <w:uiPriority w:val="99"/>
    <w:semiHidden/>
    <w:rsid w:val="00315A17"/>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315A17"/>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315A17"/>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315A17"/>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315A17"/>
    <w:pPr>
      <w:tabs>
        <w:tab w:val="right" w:leader="dot" w:pos="7371"/>
      </w:tabs>
      <w:spacing w:after="60" w:line="240" w:lineRule="exact"/>
      <w:ind w:left="1701" w:right="567" w:hanging="340"/>
    </w:pPr>
    <w:rPr>
      <w:sz w:val="20"/>
      <w:szCs w:val="20"/>
    </w:rPr>
  </w:style>
  <w:style w:type="paragraph" w:styleId="Spistreci6">
    <w:name w:val="toc 6"/>
    <w:basedOn w:val="Normalny"/>
    <w:next w:val="Normalny"/>
    <w:autoRedefine/>
    <w:uiPriority w:val="99"/>
    <w:semiHidden/>
    <w:rsid w:val="00315A17"/>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315A17"/>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E93FC7"/>
    <w:pPr>
      <w:spacing w:after="100"/>
      <w:ind w:left="1680"/>
    </w:pPr>
  </w:style>
  <w:style w:type="paragraph" w:styleId="Spistreci9">
    <w:name w:val="toc 9"/>
    <w:basedOn w:val="Normalny"/>
    <w:next w:val="Normalny"/>
    <w:autoRedefine/>
    <w:uiPriority w:val="99"/>
    <w:semiHidden/>
    <w:rsid w:val="00E93FC7"/>
    <w:pPr>
      <w:spacing w:after="100"/>
      <w:ind w:left="1920"/>
    </w:pPr>
  </w:style>
  <w:style w:type="paragraph" w:customStyle="1" w:styleId="ECHRFooter">
    <w:name w:val="ECHR_Footer"/>
    <w:aliases w:val="Footer_ECHR"/>
    <w:basedOn w:val="Stopka"/>
    <w:uiPriority w:val="99"/>
    <w:semiHidden/>
    <w:rsid w:val="00315A17"/>
    <w:pPr>
      <w:jc w:val="left"/>
    </w:pPr>
    <w:rPr>
      <w:sz w:val="8"/>
      <w:szCs w:val="8"/>
    </w:rPr>
  </w:style>
  <w:style w:type="paragraph" w:customStyle="1" w:styleId="OpiQuot">
    <w:name w:val="Opi_Quot"/>
    <w:basedOn w:val="ECHRParaQuote"/>
    <w:uiPriority w:val="99"/>
    <w:semiHidden/>
    <w:rsid w:val="00315A17"/>
  </w:style>
  <w:style w:type="paragraph" w:styleId="Stopka">
    <w:name w:val="footer"/>
    <w:basedOn w:val="Normalny"/>
    <w:link w:val="StopkaZnak"/>
    <w:uiPriority w:val="99"/>
    <w:semiHidden/>
    <w:rsid w:val="00315A17"/>
    <w:pPr>
      <w:tabs>
        <w:tab w:val="center" w:pos="4536"/>
        <w:tab w:val="right" w:pos="9696"/>
      </w:tabs>
      <w:ind w:left="-680" w:right="-680"/>
    </w:pPr>
    <w:rPr>
      <w:rFonts w:eastAsia="Times New Roman"/>
    </w:rPr>
  </w:style>
  <w:style w:type="character" w:customStyle="1" w:styleId="StopkaZnak">
    <w:name w:val="Stopka Znak"/>
    <w:basedOn w:val="Domylnaczcionkaakapitu"/>
    <w:link w:val="Stopka"/>
    <w:uiPriority w:val="99"/>
    <w:semiHidden/>
    <w:locked/>
    <w:rsid w:val="00315A17"/>
    <w:rPr>
      <w:rFonts w:cs="Times New Roman"/>
      <w:sz w:val="24"/>
      <w:szCs w:val="24"/>
    </w:rPr>
  </w:style>
  <w:style w:type="paragraph" w:customStyle="1" w:styleId="ECHRFooterLine">
    <w:name w:val="ECHR_Footer_Line"/>
    <w:aliases w:val="Footer_Line"/>
    <w:basedOn w:val="Normalny"/>
    <w:next w:val="ECHRFooter"/>
    <w:uiPriority w:val="99"/>
    <w:semiHidden/>
    <w:rsid w:val="00315A17"/>
    <w:pPr>
      <w:pBdr>
        <w:top w:val="single" w:sz="6" w:space="1" w:color="5F5F5F"/>
      </w:pBdr>
      <w:tabs>
        <w:tab w:val="center" w:pos="4536"/>
        <w:tab w:val="right" w:pos="9696"/>
      </w:tabs>
      <w:ind w:left="-680" w:right="-680"/>
      <w:jc w:val="left"/>
    </w:pPr>
    <w:rPr>
      <w:color w:val="5F5F5F"/>
    </w:rPr>
  </w:style>
  <w:style w:type="table" w:customStyle="1" w:styleId="ECHRListTable">
    <w:name w:val="ECHR_List_Table"/>
    <w:uiPriority w:val="99"/>
    <w:rsid w:val="00315A17"/>
    <w:pPr>
      <w:spacing w:after="0" w:line="240" w:lineRule="auto"/>
    </w:pPr>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OpiQuotSub">
    <w:name w:val="Opi_Quot_Sub"/>
    <w:basedOn w:val="JuQuotSub"/>
    <w:uiPriority w:val="99"/>
    <w:semiHidden/>
    <w:rsid w:val="00315A17"/>
  </w:style>
  <w:style w:type="paragraph" w:customStyle="1" w:styleId="OpiTranslation">
    <w:name w:val="Opi_Translation"/>
    <w:basedOn w:val="Normalny"/>
    <w:next w:val="OpiPara"/>
    <w:uiPriority w:val="99"/>
    <w:semiHidden/>
    <w:rsid w:val="00315A17"/>
    <w:pPr>
      <w:jc w:val="center"/>
      <w:outlineLvl w:val="0"/>
    </w:pPr>
    <w:rPr>
      <w:i/>
      <w:iCs/>
    </w:rPr>
  </w:style>
  <w:style w:type="table" w:customStyle="1" w:styleId="ECHRTable">
    <w:name w:val="ECHR_Table"/>
    <w:uiPriority w:val="99"/>
    <w:rsid w:val="00FE0E84"/>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FE0E84"/>
    <w:pPr>
      <w:spacing w:after="0" w:line="240" w:lineRule="auto"/>
    </w:pPr>
    <w:rPr>
      <w:rFonts w:ascii="Verdana" w:hAnsi="Verdana" w:cs="Verdana"/>
      <w:sz w:val="20"/>
      <w:szCs w:val="20"/>
    </w:rPr>
    <w:tblPr>
      <w:tblCellMar>
        <w:top w:w="57" w:type="dxa"/>
        <w:left w:w="57" w:type="dxa"/>
        <w:bottom w:w="57" w:type="dxa"/>
        <w:right w:w="57" w:type="dxa"/>
      </w:tblCellMar>
    </w:tblPr>
    <w:tcPr>
      <w:shd w:val="clear" w:color="auto" w:fill="F8F8F8"/>
    </w:tcPr>
  </w:style>
  <w:style w:type="table" w:customStyle="1" w:styleId="LtrTableAddress">
    <w:name w:val="Ltr_Table_Address"/>
    <w:uiPriority w:val="99"/>
    <w:rsid w:val="00FE0E84"/>
    <w:pPr>
      <w:spacing w:after="0" w:line="240" w:lineRule="auto"/>
    </w:pPr>
    <w:rPr>
      <w:sz w:val="20"/>
      <w:szCs w:val="20"/>
    </w:rPr>
    <w:tblPr>
      <w:tblCellMar>
        <w:top w:w="0" w:type="dxa"/>
        <w:left w:w="108" w:type="dxa"/>
        <w:bottom w:w="0" w:type="dxa"/>
        <w:right w:w="108" w:type="dxa"/>
      </w:tblCellMar>
    </w:tblPr>
  </w:style>
  <w:style w:type="table" w:customStyle="1" w:styleId="UGTable">
    <w:name w:val="UG_Table"/>
    <w:uiPriority w:val="99"/>
    <w:rsid w:val="00FE0E84"/>
    <w:pPr>
      <w:spacing w:after="0" w:line="240" w:lineRule="auto"/>
    </w:pPr>
    <w:rPr>
      <w:rFonts w:eastAsia="MS Mincho"/>
      <w:sz w:val="20"/>
      <w:szCs w:val="20"/>
      <w:lang w:eastAsia="en-GB"/>
    </w:rPr>
    <w:tblPr>
      <w:tblCellMar>
        <w:top w:w="0" w:type="dxa"/>
        <w:left w:w="57" w:type="dxa"/>
        <w:bottom w:w="57" w:type="dxa"/>
        <w:right w:w="113" w:type="dxa"/>
      </w:tblCellMar>
    </w:tblPr>
  </w:style>
  <w:style w:type="table" w:customStyle="1" w:styleId="UGTableWhiteBox">
    <w:name w:val="UG_Table_White_Box"/>
    <w:uiPriority w:val="99"/>
    <w:rsid w:val="00FE0E84"/>
    <w:pPr>
      <w:spacing w:after="0" w:line="240" w:lineRule="auto"/>
    </w:pPr>
    <w:rPr>
      <w:rFonts w:eastAsia="MS Mincho"/>
      <w:sz w:val="20"/>
      <w:szCs w:val="20"/>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FE0E84"/>
    <w:pPr>
      <w:spacing w:after="0" w:line="240" w:lineRule="auto"/>
    </w:pPr>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FE0E84"/>
    <w:pPr>
      <w:spacing w:after="0" w:line="240" w:lineRule="auto"/>
    </w:pPr>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FE0E84"/>
    <w:pPr>
      <w:spacing w:after="0" w:line="240" w:lineRule="auto"/>
    </w:pPr>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FE0E84"/>
    <w:pPr>
      <w:spacing w:after="0" w:line="240" w:lineRule="auto"/>
    </w:pPr>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table" w:customStyle="1" w:styleId="ECHRTableSimpleBox">
    <w:name w:val="ECHR_Table_Simple_Box"/>
    <w:uiPriority w:val="99"/>
    <w:rsid w:val="00FE0E84"/>
    <w:pPr>
      <w:spacing w:after="0" w:line="240" w:lineRule="auto"/>
    </w:pPr>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E0E84"/>
    <w:pPr>
      <w:spacing w:after="0" w:line="240" w:lineRule="auto"/>
    </w:pPr>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FE0E84"/>
    <w:pPr>
      <w:spacing w:after="0" w:line="240" w:lineRule="auto"/>
    </w:pPr>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HeaderTable">
    <w:name w:val="ECHR_Header_Table"/>
    <w:uiPriority w:val="99"/>
    <w:rsid w:val="00FE0E84"/>
    <w:pPr>
      <w:spacing w:after="0" w:line="240" w:lineRule="auto"/>
    </w:pPr>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FE0E84"/>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FE0E84"/>
    <w:pPr>
      <w:spacing w:after="0" w:line="240" w:lineRule="auto"/>
    </w:pPr>
    <w:rPr>
      <w:sz w:val="20"/>
      <w:szCs w:val="20"/>
    </w:rPr>
    <w:tblPr>
      <w:tblCellMar>
        <w:top w:w="0" w:type="dxa"/>
        <w:left w:w="0" w:type="dxa"/>
        <w:bottom w:w="0" w:type="dxa"/>
        <w:right w:w="0" w:type="dxa"/>
      </w:tblCellMar>
    </w:tblPr>
  </w:style>
  <w:style w:type="character" w:customStyle="1" w:styleId="ECHRParaChar">
    <w:name w:val="ECHR_Para Char"/>
    <w:aliases w:val="Ju_Para Char"/>
    <w:link w:val="ECHRPara"/>
    <w:uiPriority w:val="99"/>
    <w:locked/>
    <w:rsid w:val="00FE0E84"/>
    <w:rPr>
      <w:rFonts w:eastAsia="MS Mincho"/>
      <w:sz w:val="24"/>
    </w:rPr>
  </w:style>
  <w:style w:type="character" w:customStyle="1" w:styleId="s4f807e54">
    <w:name w:val="s4f807e54"/>
    <w:uiPriority w:val="99"/>
    <w:rsid w:val="005C2D3E"/>
  </w:style>
  <w:style w:type="paragraph" w:customStyle="1" w:styleId="s50c0b1c7">
    <w:name w:val="s50c0b1c7"/>
    <w:basedOn w:val="Normalny"/>
    <w:uiPriority w:val="99"/>
    <w:rsid w:val="00DA4886"/>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DA4886"/>
    <w:rPr>
      <w:rFonts w:cs="Times New Roman"/>
    </w:rPr>
  </w:style>
  <w:style w:type="character" w:customStyle="1" w:styleId="sfbbfee58">
    <w:name w:val="sfbbfee58"/>
    <w:basedOn w:val="Domylnaczcionkaakapitu"/>
    <w:uiPriority w:val="99"/>
    <w:rsid w:val="00DA4886"/>
    <w:rPr>
      <w:rFonts w:cs="Times New Roman"/>
    </w:rPr>
  </w:style>
  <w:style w:type="character" w:customStyle="1" w:styleId="sb8d990e2">
    <w:name w:val="sb8d990e2"/>
    <w:basedOn w:val="Domylnaczcionkaakapitu"/>
    <w:uiPriority w:val="99"/>
    <w:rsid w:val="003C576E"/>
    <w:rPr>
      <w:rFonts w:cs="Times New Roman"/>
    </w:rPr>
  </w:style>
  <w:style w:type="numbering" w:styleId="1ai">
    <w:name w:val="Outline List 1"/>
    <w:basedOn w:val="Bezlisty"/>
    <w:uiPriority w:val="99"/>
    <w:semiHidden/>
    <w:unhideWhenUsed/>
    <w:pPr>
      <w:numPr>
        <w:numId w:val="32"/>
      </w:numPr>
    </w:pPr>
  </w:style>
  <w:style w:type="numbering" w:customStyle="1" w:styleId="ArticleSection">
    <w:name w:val="Article / Section"/>
    <w:pPr>
      <w:numPr>
        <w:numId w:val="33"/>
      </w:numPr>
    </w:pPr>
  </w:style>
  <w:style w:type="numbering" w:styleId="111111">
    <w:name w:val="Outline List 2"/>
    <w:basedOn w:val="Bezlisty"/>
    <w:uiPriority w:val="99"/>
    <w:semiHidden/>
    <w:unhideWhenUsed/>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DE51B-C634-4070-8699-F3850093C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3403</Words>
  <Characters>20419</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23775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2019-09-11T11:49:00Z</dcterms:created>
  <dcterms:modified xsi:type="dcterms:W3CDTF">2019-09-11T11:52:00Z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