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196CDD" w14:textId="77777777" w:rsidR="00DF36FA" w:rsidRPr="00271D9A" w:rsidRDefault="00DF36FA" w:rsidP="00271D9A">
      <w:pPr>
        <w:jc w:val="center"/>
        <w:rPr>
          <w:sz w:val="4"/>
          <w:szCs w:val="4"/>
          <w:lang w:val="fr-FR"/>
        </w:rPr>
      </w:pPr>
    </w:p>
    <w:p w14:paraId="107241EA" w14:textId="77777777" w:rsidR="00DF36FA" w:rsidRPr="008F56D3" w:rsidRDefault="00DF36FA" w:rsidP="00C84491">
      <w:pPr>
        <w:jc w:val="center"/>
        <w:rPr>
          <w:sz w:val="18"/>
          <w:szCs w:val="18"/>
          <w:lang w:val="pl-PL"/>
        </w:rPr>
      </w:pPr>
      <w:r w:rsidRPr="008F56D3">
        <w:rPr>
          <w:rStyle w:val="s4f807e54"/>
          <w:rFonts w:ascii="Arial" w:hAnsi="Arial" w:cs="Arial"/>
          <w:sz w:val="18"/>
          <w:szCs w:val="18"/>
          <w:lang w:val="pl-PL"/>
        </w:rPr>
        <w:t xml:space="preserve">© Copyright for the </w:t>
      </w:r>
      <w:proofErr w:type="spellStart"/>
      <w:r w:rsidRPr="008F56D3">
        <w:rPr>
          <w:rStyle w:val="s4f807e54"/>
          <w:rFonts w:ascii="Arial" w:hAnsi="Arial" w:cs="Arial"/>
          <w:sz w:val="18"/>
          <w:szCs w:val="18"/>
          <w:lang w:val="pl-PL"/>
        </w:rPr>
        <w:t>Polish</w:t>
      </w:r>
      <w:proofErr w:type="spellEnd"/>
      <w:r w:rsidRPr="008F56D3">
        <w:rPr>
          <w:rStyle w:val="s4f807e54"/>
          <w:rFonts w:ascii="Arial" w:hAnsi="Arial" w:cs="Arial"/>
          <w:sz w:val="18"/>
          <w:szCs w:val="18"/>
          <w:lang w:val="pl-PL"/>
        </w:rPr>
        <w:t xml:space="preserve"> </w:t>
      </w:r>
      <w:proofErr w:type="spellStart"/>
      <w:r w:rsidRPr="008F56D3">
        <w:rPr>
          <w:rStyle w:val="s4f807e54"/>
          <w:rFonts w:ascii="Arial" w:hAnsi="Arial" w:cs="Arial"/>
          <w:sz w:val="18"/>
          <w:szCs w:val="18"/>
          <w:lang w:val="pl-PL"/>
        </w:rPr>
        <w:t>translation</w:t>
      </w:r>
      <w:proofErr w:type="spellEnd"/>
      <w:r w:rsidRPr="008F56D3">
        <w:rPr>
          <w:rStyle w:val="s4f807e54"/>
          <w:rFonts w:ascii="Arial" w:hAnsi="Arial" w:cs="Arial"/>
          <w:sz w:val="18"/>
          <w:szCs w:val="18"/>
          <w:lang w:val="pl-PL"/>
        </w:rPr>
        <w:t xml:space="preserve"> by Naczelny Sąd Administracyjny, Warszawa 2018</w:t>
      </w:r>
    </w:p>
    <w:p w14:paraId="0A576981" w14:textId="77777777" w:rsidR="00DF36FA" w:rsidRPr="008F56D3" w:rsidRDefault="00DF36FA" w:rsidP="00C84491">
      <w:pPr>
        <w:jc w:val="center"/>
        <w:rPr>
          <w:lang w:val="pl-PL"/>
        </w:rPr>
      </w:pPr>
    </w:p>
    <w:p w14:paraId="567735E1" w14:textId="77777777" w:rsidR="00DF36FA" w:rsidRPr="00FB770D" w:rsidRDefault="00DF36FA" w:rsidP="00575074">
      <w:pPr>
        <w:pStyle w:val="DecHTitle"/>
        <w:rPr>
          <w:lang w:val="pl-PL"/>
        </w:rPr>
      </w:pPr>
      <w:r w:rsidRPr="00FB770D">
        <w:rPr>
          <w:lang w:val="pl-PL"/>
        </w:rPr>
        <w:t>EUROPEJSKI TRYBUNAŁ PRAW CZŁOWIEKA</w:t>
      </w:r>
    </w:p>
    <w:p w14:paraId="582488B8" w14:textId="77777777" w:rsidR="00DF36FA" w:rsidRPr="00496B01" w:rsidRDefault="00DF36FA" w:rsidP="00271D9A">
      <w:pPr>
        <w:pStyle w:val="DecHTitle"/>
        <w:rPr>
          <w:lang w:val="pl-PL"/>
        </w:rPr>
      </w:pPr>
      <w:r w:rsidRPr="00496B01">
        <w:rPr>
          <w:lang w:val="pl-PL"/>
        </w:rPr>
        <w:t>PIĄTA SEKCJA</w:t>
      </w:r>
    </w:p>
    <w:p w14:paraId="0C9DCD6B" w14:textId="77777777" w:rsidR="00DF36FA" w:rsidRDefault="00DF36FA" w:rsidP="00542C81">
      <w:pPr>
        <w:pStyle w:val="DecHTitle"/>
        <w:spacing w:after="0"/>
        <w:rPr>
          <w:lang w:val="pl-PL"/>
        </w:rPr>
      </w:pPr>
      <w:r w:rsidRPr="00496B01">
        <w:rPr>
          <w:lang w:val="pl-PL"/>
        </w:rPr>
        <w:t>DECYZJA</w:t>
      </w:r>
    </w:p>
    <w:p w14:paraId="5F055A75" w14:textId="0FDB5C91" w:rsidR="00542C81" w:rsidRPr="00542C81" w:rsidRDefault="00542C81" w:rsidP="00271D9A">
      <w:pPr>
        <w:pStyle w:val="DecHTitle"/>
        <w:rPr>
          <w:caps/>
          <w:szCs w:val="32"/>
          <w:lang w:val="pl-PL"/>
        </w:rPr>
      </w:pPr>
      <w:r w:rsidRPr="00542C81">
        <w:rPr>
          <w:sz w:val="24"/>
          <w:lang w:val="pl-PL"/>
        </w:rPr>
        <w:t>[wyciąg]</w:t>
      </w:r>
    </w:p>
    <w:p w14:paraId="1CDE3BCB" w14:textId="77777777" w:rsidR="00DF36FA" w:rsidRPr="00F402DB" w:rsidRDefault="00DF36FA" w:rsidP="00271D9A">
      <w:pPr>
        <w:pStyle w:val="ECHRTitleCentre2"/>
        <w:rPr>
          <w:b/>
          <w:bCs/>
          <w:lang w:val="pl-PL"/>
        </w:rPr>
      </w:pPr>
      <w:r w:rsidRPr="00F402DB">
        <w:rPr>
          <w:b/>
          <w:bCs/>
          <w:lang w:val="pl-PL"/>
        </w:rPr>
        <w:t>Skarga nr 14894/14</w:t>
      </w:r>
      <w:r w:rsidRPr="00F402DB">
        <w:rPr>
          <w:b/>
          <w:bCs/>
          <w:lang w:val="pl-PL"/>
        </w:rPr>
        <w:br/>
      </w:r>
      <w:proofErr w:type="spellStart"/>
      <w:r w:rsidRPr="00F402DB">
        <w:rPr>
          <w:b/>
          <w:bCs/>
          <w:lang w:val="pl-PL"/>
        </w:rPr>
        <w:t>Chérif</w:t>
      </w:r>
      <w:proofErr w:type="spellEnd"/>
      <w:r w:rsidRPr="00F402DB">
        <w:rPr>
          <w:b/>
          <w:bCs/>
          <w:lang w:val="pl-PL"/>
        </w:rPr>
        <w:t xml:space="preserve"> BOUDELAL przeciwko FRANCJI</w:t>
      </w:r>
      <w:r w:rsidRPr="00F402DB">
        <w:rPr>
          <w:b/>
          <w:bCs/>
          <w:lang w:val="pl-PL"/>
        </w:rPr>
        <w:br/>
      </w:r>
    </w:p>
    <w:p w14:paraId="14A89DE3" w14:textId="59035BDA" w:rsidR="00DF36FA" w:rsidRPr="00496B01" w:rsidRDefault="00DF36FA" w:rsidP="00496B01">
      <w:pPr>
        <w:pStyle w:val="ECHRPara"/>
      </w:pPr>
      <w:r>
        <w:rPr>
          <w:rStyle w:val="tlid-translation"/>
        </w:rPr>
        <w:t>Europejski Trybunał Praw Człowieka (</w:t>
      </w:r>
      <w:r w:rsidR="00DE4D09">
        <w:rPr>
          <w:rStyle w:val="tlid-translation"/>
        </w:rPr>
        <w:t>Sekcja Piąta</w:t>
      </w:r>
      <w:r>
        <w:rPr>
          <w:rStyle w:val="tlid-translation"/>
        </w:rPr>
        <w:t>), obradujący w dniu 1</w:t>
      </w:r>
      <w:r w:rsidRPr="00496B01">
        <w:t xml:space="preserve">3 </w:t>
      </w:r>
      <w:r>
        <w:t>czerwca</w:t>
      </w:r>
      <w:r w:rsidRPr="00496B01">
        <w:t xml:space="preserve"> 2017 </w:t>
      </w:r>
      <w:r>
        <w:t xml:space="preserve">r. </w:t>
      </w:r>
      <w:r w:rsidR="00DE4D09">
        <w:t xml:space="preserve">jako Izba złożona </w:t>
      </w:r>
      <w:r>
        <w:rPr>
          <w:rStyle w:val="tlid-translation"/>
        </w:rPr>
        <w:t>z</w:t>
      </w:r>
      <w:r w:rsidRPr="00496B01">
        <w:t>:</w:t>
      </w:r>
    </w:p>
    <w:p w14:paraId="23BDB75A" w14:textId="70E79515" w:rsidR="00DF36FA" w:rsidRPr="00496B01" w:rsidRDefault="00DF36FA" w:rsidP="00271D9A">
      <w:pPr>
        <w:pStyle w:val="ECHRDecisionBody"/>
        <w:rPr>
          <w:lang w:val="pl-PL"/>
        </w:rPr>
      </w:pPr>
      <w:r w:rsidRPr="00496B01">
        <w:rPr>
          <w:lang w:val="pl-PL"/>
        </w:rPr>
        <w:tab/>
        <w:t xml:space="preserve">Angelika </w:t>
      </w:r>
      <w:proofErr w:type="spellStart"/>
      <w:r w:rsidRPr="00496B01">
        <w:rPr>
          <w:lang w:val="pl-PL"/>
        </w:rPr>
        <w:t>Nußberger</w:t>
      </w:r>
      <w:proofErr w:type="spellEnd"/>
      <w:r w:rsidRPr="00496B01">
        <w:rPr>
          <w:lang w:val="pl-PL"/>
        </w:rPr>
        <w:t>,</w:t>
      </w:r>
      <w:r w:rsidRPr="00496B01">
        <w:rPr>
          <w:i/>
          <w:iCs/>
          <w:lang w:val="pl-PL"/>
        </w:rPr>
        <w:t xml:space="preserve"> przewodnicząc</w:t>
      </w:r>
      <w:r>
        <w:rPr>
          <w:i/>
          <w:iCs/>
          <w:lang w:val="pl-PL"/>
        </w:rPr>
        <w:t>a</w:t>
      </w:r>
      <w:r w:rsidRPr="00496B01">
        <w:rPr>
          <w:i/>
          <w:iCs/>
          <w:lang w:val="pl-PL"/>
        </w:rPr>
        <w:t>,</w:t>
      </w:r>
      <w:r w:rsidRPr="00496B01">
        <w:rPr>
          <w:i/>
          <w:iCs/>
          <w:lang w:val="pl-PL"/>
        </w:rPr>
        <w:br/>
      </w:r>
      <w:r w:rsidRPr="00496B01">
        <w:rPr>
          <w:lang w:val="pl-PL"/>
        </w:rPr>
        <w:tab/>
        <w:t xml:space="preserve">Erik </w:t>
      </w:r>
      <w:proofErr w:type="spellStart"/>
      <w:r w:rsidRPr="00496B01">
        <w:rPr>
          <w:lang w:val="pl-PL"/>
        </w:rPr>
        <w:t>Møse</w:t>
      </w:r>
      <w:proofErr w:type="spellEnd"/>
      <w:r w:rsidRPr="00496B01">
        <w:rPr>
          <w:lang w:val="pl-PL"/>
        </w:rPr>
        <w:t>,</w:t>
      </w:r>
      <w:r w:rsidRPr="00496B01">
        <w:rPr>
          <w:i/>
          <w:iCs/>
          <w:lang w:val="pl-PL"/>
        </w:rPr>
        <w:br/>
      </w:r>
      <w:r w:rsidRPr="00496B01">
        <w:rPr>
          <w:lang w:val="pl-PL"/>
        </w:rPr>
        <w:tab/>
        <w:t xml:space="preserve">Nona </w:t>
      </w:r>
      <w:proofErr w:type="spellStart"/>
      <w:r w:rsidRPr="00496B01">
        <w:rPr>
          <w:lang w:val="pl-PL"/>
        </w:rPr>
        <w:t>Tsotsoria</w:t>
      </w:r>
      <w:proofErr w:type="spellEnd"/>
      <w:r w:rsidRPr="00496B01">
        <w:rPr>
          <w:lang w:val="pl-PL"/>
        </w:rPr>
        <w:t>,</w:t>
      </w:r>
      <w:r w:rsidRPr="00496B01">
        <w:rPr>
          <w:i/>
          <w:iCs/>
          <w:lang w:val="pl-PL"/>
        </w:rPr>
        <w:br/>
      </w:r>
      <w:r w:rsidRPr="00496B01">
        <w:rPr>
          <w:lang w:val="pl-PL"/>
        </w:rPr>
        <w:tab/>
      </w:r>
      <w:proofErr w:type="spellStart"/>
      <w:r w:rsidRPr="00496B01">
        <w:rPr>
          <w:lang w:val="pl-PL"/>
        </w:rPr>
        <w:t>André</w:t>
      </w:r>
      <w:proofErr w:type="spellEnd"/>
      <w:r w:rsidRPr="00496B01">
        <w:rPr>
          <w:lang w:val="pl-PL"/>
        </w:rPr>
        <w:t xml:space="preserve"> Potocki,</w:t>
      </w:r>
      <w:r w:rsidRPr="00496B01">
        <w:rPr>
          <w:i/>
          <w:iCs/>
          <w:lang w:val="pl-PL"/>
        </w:rPr>
        <w:br/>
      </w:r>
      <w:r w:rsidRPr="00496B01">
        <w:rPr>
          <w:lang w:val="pl-PL"/>
        </w:rPr>
        <w:tab/>
      </w:r>
      <w:proofErr w:type="spellStart"/>
      <w:r w:rsidRPr="00496B01">
        <w:rPr>
          <w:lang w:val="pl-PL"/>
        </w:rPr>
        <w:t>Síofra</w:t>
      </w:r>
      <w:proofErr w:type="spellEnd"/>
      <w:r w:rsidRPr="00496B01">
        <w:rPr>
          <w:lang w:val="pl-PL"/>
        </w:rPr>
        <w:t xml:space="preserve"> </w:t>
      </w:r>
      <w:proofErr w:type="spellStart"/>
      <w:r w:rsidRPr="00496B01">
        <w:rPr>
          <w:lang w:val="pl-PL"/>
        </w:rPr>
        <w:t>O’Leary</w:t>
      </w:r>
      <w:proofErr w:type="spellEnd"/>
      <w:r w:rsidRPr="00496B01">
        <w:rPr>
          <w:lang w:val="pl-PL"/>
        </w:rPr>
        <w:t>,</w:t>
      </w:r>
      <w:r w:rsidRPr="00496B01">
        <w:rPr>
          <w:i/>
          <w:iCs/>
          <w:lang w:val="pl-PL"/>
        </w:rPr>
        <w:br/>
      </w:r>
      <w:r w:rsidRPr="00496B01">
        <w:rPr>
          <w:lang w:val="pl-PL"/>
        </w:rPr>
        <w:tab/>
      </w:r>
      <w:proofErr w:type="spellStart"/>
      <w:r w:rsidRPr="00496B01">
        <w:rPr>
          <w:lang w:val="pl-PL"/>
        </w:rPr>
        <w:t>Mārtiņš</w:t>
      </w:r>
      <w:proofErr w:type="spellEnd"/>
      <w:r w:rsidRPr="00496B01">
        <w:rPr>
          <w:lang w:val="pl-PL"/>
        </w:rPr>
        <w:t xml:space="preserve"> </w:t>
      </w:r>
      <w:proofErr w:type="spellStart"/>
      <w:r w:rsidRPr="00496B01">
        <w:rPr>
          <w:lang w:val="pl-PL"/>
        </w:rPr>
        <w:t>Mits</w:t>
      </w:r>
      <w:proofErr w:type="spellEnd"/>
      <w:r w:rsidRPr="00496B01">
        <w:rPr>
          <w:lang w:val="pl-PL"/>
        </w:rPr>
        <w:t>,</w:t>
      </w:r>
      <w:r w:rsidRPr="00496B01">
        <w:rPr>
          <w:i/>
          <w:iCs/>
          <w:lang w:val="pl-PL"/>
        </w:rPr>
        <w:br/>
      </w:r>
      <w:r w:rsidRPr="00496B01">
        <w:rPr>
          <w:lang w:val="pl-PL"/>
        </w:rPr>
        <w:tab/>
        <w:t xml:space="preserve">Gabriele </w:t>
      </w:r>
      <w:proofErr w:type="spellStart"/>
      <w:r w:rsidRPr="00496B01">
        <w:rPr>
          <w:lang w:val="pl-PL"/>
        </w:rPr>
        <w:t>Kucsko-Stadlmayer</w:t>
      </w:r>
      <w:proofErr w:type="spellEnd"/>
      <w:r w:rsidRPr="00496B01">
        <w:rPr>
          <w:lang w:val="pl-PL"/>
        </w:rPr>
        <w:t>,</w:t>
      </w:r>
      <w:r w:rsidRPr="00496B01">
        <w:rPr>
          <w:i/>
          <w:iCs/>
          <w:lang w:val="pl-PL"/>
        </w:rPr>
        <w:t xml:space="preserve"> </w:t>
      </w:r>
      <w:r>
        <w:rPr>
          <w:i/>
          <w:iCs/>
          <w:lang w:val="pl-PL"/>
        </w:rPr>
        <w:t>sędziowie</w:t>
      </w:r>
      <w:r w:rsidRPr="00496B01">
        <w:rPr>
          <w:i/>
          <w:iCs/>
          <w:lang w:val="pl-PL"/>
        </w:rPr>
        <w:t>,</w:t>
      </w:r>
      <w:r w:rsidRPr="00496B01">
        <w:rPr>
          <w:i/>
          <w:iCs/>
          <w:lang w:val="pl-PL"/>
        </w:rPr>
        <w:br/>
      </w:r>
      <w:r>
        <w:rPr>
          <w:lang w:val="pl-PL"/>
        </w:rPr>
        <w:t>i</w:t>
      </w:r>
      <w:r w:rsidRPr="00496B01">
        <w:rPr>
          <w:lang w:val="pl-PL"/>
        </w:rPr>
        <w:t xml:space="preserve"> </w:t>
      </w:r>
      <w:r w:rsidRPr="00496B01">
        <w:rPr>
          <w:rStyle w:val="sb8d990e2"/>
          <w:lang w:val="pl-PL"/>
        </w:rPr>
        <w:t xml:space="preserve">Milan </w:t>
      </w:r>
      <w:proofErr w:type="spellStart"/>
      <w:r w:rsidRPr="00496B01">
        <w:rPr>
          <w:rStyle w:val="sb8d990e2"/>
          <w:lang w:val="pl-PL"/>
        </w:rPr>
        <w:t>Blaško</w:t>
      </w:r>
      <w:proofErr w:type="spellEnd"/>
      <w:r w:rsidRPr="00496B01">
        <w:rPr>
          <w:rStyle w:val="sb8d990e2"/>
          <w:lang w:val="pl-PL"/>
        </w:rPr>
        <w:t xml:space="preserve">, </w:t>
      </w:r>
      <w:r w:rsidR="00DE4D09">
        <w:rPr>
          <w:rStyle w:val="sb8d990e2"/>
          <w:i/>
          <w:iCs/>
          <w:lang w:val="pl-PL"/>
        </w:rPr>
        <w:t>Zastępca Kanclerza</w:t>
      </w:r>
      <w:r>
        <w:rPr>
          <w:rStyle w:val="sb8d990e2"/>
          <w:i/>
          <w:iCs/>
          <w:lang w:val="pl-PL"/>
        </w:rPr>
        <w:t xml:space="preserve"> </w:t>
      </w:r>
      <w:r w:rsidR="00DE4D09">
        <w:rPr>
          <w:rStyle w:val="sb8d990e2"/>
          <w:i/>
          <w:iCs/>
          <w:lang w:val="pl-PL"/>
        </w:rPr>
        <w:t>Sekcji</w:t>
      </w:r>
      <w:r w:rsidRPr="00496B01">
        <w:rPr>
          <w:lang w:val="pl-PL"/>
        </w:rPr>
        <w:t>,</w:t>
      </w:r>
    </w:p>
    <w:p w14:paraId="402FBFC7" w14:textId="77777777" w:rsidR="00DE4D09" w:rsidRDefault="00DF36FA" w:rsidP="00496B01">
      <w:pPr>
        <w:pStyle w:val="ECHRPara"/>
        <w:ind w:firstLine="0"/>
        <w:rPr>
          <w:rStyle w:val="tlid-translation"/>
        </w:rPr>
      </w:pPr>
      <w:r>
        <w:rPr>
          <w:rStyle w:val="tlid-translation"/>
        </w:rPr>
        <w:t>Uwzględniając wyżej wymienioną skargę złożoną w dniu 15 lutego 2014 r.,</w:t>
      </w:r>
    </w:p>
    <w:p w14:paraId="02DD0518" w14:textId="77777777" w:rsidR="00DF36FA" w:rsidRDefault="00DF36FA" w:rsidP="00496B01">
      <w:pPr>
        <w:pStyle w:val="ECHRPara"/>
        <w:ind w:firstLine="0"/>
        <w:rPr>
          <w:rStyle w:val="tlid-translation"/>
        </w:rPr>
      </w:pPr>
      <w:r>
        <w:rPr>
          <w:rStyle w:val="tlid-translation"/>
        </w:rPr>
        <w:t xml:space="preserve">Uwzględniając uwagi przedłożone przez strony, </w:t>
      </w:r>
    </w:p>
    <w:p w14:paraId="74192E5A" w14:textId="714789C2" w:rsidR="00DF36FA" w:rsidRPr="004E39E5" w:rsidRDefault="00DF36FA" w:rsidP="00496B01">
      <w:pPr>
        <w:pStyle w:val="ECHRPara"/>
        <w:ind w:left="284" w:firstLine="0"/>
      </w:pPr>
      <w:r>
        <w:rPr>
          <w:rStyle w:val="tlid-translation"/>
        </w:rPr>
        <w:t>Po obradach, wydaje następując</w:t>
      </w:r>
      <w:r w:rsidR="003A6799">
        <w:rPr>
          <w:rStyle w:val="tlid-translation"/>
        </w:rPr>
        <w:t>ą decyzję</w:t>
      </w:r>
      <w:r w:rsidRPr="004E39E5">
        <w:t>:</w:t>
      </w:r>
    </w:p>
    <w:p w14:paraId="05141B3A" w14:textId="77777777" w:rsidR="00DF36FA" w:rsidRPr="00496B01" w:rsidRDefault="00331C40" w:rsidP="00271D9A">
      <w:pPr>
        <w:pStyle w:val="ECHRTitle1"/>
        <w:spacing w:before="600"/>
        <w:rPr>
          <w:lang w:val="pl-PL"/>
        </w:rPr>
      </w:pPr>
      <w:r>
        <w:rPr>
          <w:lang w:val="pl-PL"/>
        </w:rPr>
        <w:t>FAKTY</w:t>
      </w:r>
    </w:p>
    <w:p w14:paraId="6F653318" w14:textId="77777777" w:rsidR="00DF36FA" w:rsidRPr="001D040F" w:rsidRDefault="00DF36FA" w:rsidP="006760D2">
      <w:pPr>
        <w:pStyle w:val="ECHRPara"/>
        <w:ind w:firstLine="0"/>
        <w:rPr>
          <w:i/>
          <w:iCs/>
        </w:rPr>
      </w:pPr>
      <w:r w:rsidRPr="001D040F">
        <w:rPr>
          <w:i/>
          <w:iCs/>
        </w:rPr>
        <w:t>[Paragrafy 1-12 decyzji pominięte i zastąpione tłumaczeniem poniższego streszczenia przygotowanego przez Kancelarię Europejskiego Trybunału Praw Człowieka</w:t>
      </w:r>
    </w:p>
    <w:p w14:paraId="1866144F" w14:textId="77777777" w:rsidR="00DF36FA" w:rsidRDefault="00DF36FA" w:rsidP="006760D2">
      <w:pPr>
        <w:pStyle w:val="ECHRPara"/>
        <w:ind w:firstLine="0"/>
        <w:rPr>
          <w:i/>
          <w:iCs/>
        </w:rPr>
      </w:pPr>
    </w:p>
    <w:p w14:paraId="55BD21CF" w14:textId="77777777" w:rsidR="00000FB9" w:rsidRPr="001D040F" w:rsidRDefault="00000FB9" w:rsidP="006760D2">
      <w:pPr>
        <w:pStyle w:val="ECHRPara"/>
        <w:ind w:firstLine="0"/>
        <w:rPr>
          <w:i/>
          <w:iCs/>
        </w:rPr>
      </w:pPr>
    </w:p>
    <w:p w14:paraId="1F25E674" w14:textId="77777777" w:rsidR="00DF36FA" w:rsidRPr="001706B2" w:rsidRDefault="00DF36FA" w:rsidP="006760D2">
      <w:pPr>
        <w:pStyle w:val="ECHRPara"/>
        <w:rPr>
          <w:u w:val="single"/>
        </w:rPr>
      </w:pPr>
      <w:r w:rsidRPr="00453306">
        <w:rPr>
          <w:i/>
          <w:iCs/>
          <w:u w:val="single"/>
        </w:rPr>
        <w:lastRenderedPageBreak/>
        <w:t>Streszczenie stanu faktycznego</w:t>
      </w:r>
      <w:r w:rsidRPr="00453306">
        <w:rPr>
          <w:rStyle w:val="Odwoanieprzypisudolnego"/>
          <w:u w:val="single"/>
        </w:rPr>
        <w:footnoteReference w:id="2"/>
      </w:r>
      <w:r w:rsidRPr="00453306">
        <w:rPr>
          <w:u w:val="single"/>
        </w:rPr>
        <w:t>:</w:t>
      </w:r>
    </w:p>
    <w:p w14:paraId="0C06BC1F" w14:textId="12E77FC3" w:rsidR="00DF36FA" w:rsidRPr="001706B2" w:rsidRDefault="00DF36FA" w:rsidP="001706B2">
      <w:pPr>
        <w:autoSpaceDE w:val="0"/>
        <w:autoSpaceDN w:val="0"/>
        <w:adjustRightInd w:val="0"/>
        <w:ind w:firstLine="284"/>
        <w:rPr>
          <w:rFonts w:eastAsia="Times New Roman"/>
          <w:lang w:val="pl-PL"/>
        </w:rPr>
      </w:pPr>
      <w:r w:rsidRPr="001706B2">
        <w:rPr>
          <w:lang w:val="pl-PL"/>
        </w:rPr>
        <w:t xml:space="preserve">Skarżący, </w:t>
      </w:r>
      <w:proofErr w:type="spellStart"/>
      <w:r w:rsidRPr="001706B2">
        <w:rPr>
          <w:lang w:val="pl-PL"/>
        </w:rPr>
        <w:t>Chérif</w:t>
      </w:r>
      <w:proofErr w:type="spellEnd"/>
      <w:r w:rsidRPr="001706B2">
        <w:rPr>
          <w:lang w:val="pl-PL"/>
        </w:rPr>
        <w:t xml:space="preserve"> </w:t>
      </w:r>
      <w:proofErr w:type="spellStart"/>
      <w:r w:rsidRPr="001706B2">
        <w:rPr>
          <w:lang w:val="pl-PL"/>
        </w:rPr>
        <w:t>Boudelal</w:t>
      </w:r>
      <w:proofErr w:type="spellEnd"/>
      <w:r w:rsidRPr="001706B2">
        <w:rPr>
          <w:lang w:val="pl-PL"/>
        </w:rPr>
        <w:t>, jest obywatelem Algierii, który urodził się w</w:t>
      </w:r>
      <w:r w:rsidR="00D57C4F">
        <w:rPr>
          <w:lang w:val="pl-PL"/>
        </w:rPr>
        <w:t> </w:t>
      </w:r>
      <w:r w:rsidRPr="001706B2">
        <w:rPr>
          <w:lang w:val="pl-PL"/>
        </w:rPr>
        <w:t xml:space="preserve">1945 r. i mieszka w Avignon. Pan </w:t>
      </w:r>
      <w:proofErr w:type="spellStart"/>
      <w:r w:rsidRPr="001706B2">
        <w:rPr>
          <w:lang w:val="pl-PL"/>
        </w:rPr>
        <w:t>Boudelal</w:t>
      </w:r>
      <w:proofErr w:type="spellEnd"/>
      <w:r w:rsidRPr="001706B2">
        <w:rPr>
          <w:lang w:val="pl-PL"/>
        </w:rPr>
        <w:t xml:space="preserve"> mieszka legalnie we Francji od 1967 r.</w:t>
      </w:r>
    </w:p>
    <w:p w14:paraId="796BABC7" w14:textId="463F55B1" w:rsidR="00DF36FA" w:rsidRPr="001706B2" w:rsidRDefault="00DF36FA" w:rsidP="001706B2">
      <w:pPr>
        <w:autoSpaceDE w:val="0"/>
        <w:autoSpaceDN w:val="0"/>
        <w:adjustRightInd w:val="0"/>
        <w:ind w:firstLine="284"/>
        <w:rPr>
          <w:rFonts w:eastAsia="Times New Roman"/>
          <w:lang w:val="pl-PL"/>
        </w:rPr>
      </w:pPr>
      <w:r w:rsidRPr="001706B2">
        <w:rPr>
          <w:lang w:val="pl-PL"/>
        </w:rPr>
        <w:t>W 2009 r</w:t>
      </w:r>
      <w:r w:rsidR="00DE4D09">
        <w:rPr>
          <w:lang w:val="pl-PL"/>
        </w:rPr>
        <w:t>.</w:t>
      </w:r>
      <w:r w:rsidRPr="001706B2">
        <w:rPr>
          <w:lang w:val="pl-PL"/>
        </w:rPr>
        <w:t xml:space="preserve"> złożył wniosek o obywatelstwo francuskie w drodze przywrócenia. Ministerstwo ds. imigracji, integracji, tożsamości narodowej i rozwoju wspierającego odrzuciło jego wniosek w szczególności ze</w:t>
      </w:r>
      <w:r w:rsidR="00D57C4F">
        <w:rPr>
          <w:lang w:val="pl-PL"/>
        </w:rPr>
        <w:t> </w:t>
      </w:r>
      <w:r w:rsidRPr="001706B2">
        <w:rPr>
          <w:lang w:val="pl-PL"/>
        </w:rPr>
        <w:t>względu na fakt iż miał on powiązania z „ruchem odpowiedzialnym za</w:t>
      </w:r>
      <w:r w:rsidR="00D57C4F">
        <w:rPr>
          <w:lang w:val="pl-PL"/>
        </w:rPr>
        <w:t> </w:t>
      </w:r>
      <w:r w:rsidRPr="001706B2">
        <w:rPr>
          <w:lang w:val="pl-PL"/>
        </w:rPr>
        <w:t xml:space="preserve">brutalne działania i propagującym radykalne praktykowanie islamu: społecznością </w:t>
      </w:r>
      <w:proofErr w:type="spellStart"/>
      <w:r w:rsidRPr="001706B2">
        <w:rPr>
          <w:i/>
          <w:iCs/>
          <w:lang w:val="pl-PL"/>
        </w:rPr>
        <w:t>Paix</w:t>
      </w:r>
      <w:proofErr w:type="spellEnd"/>
      <w:r w:rsidRPr="001706B2">
        <w:rPr>
          <w:i/>
          <w:iCs/>
          <w:lang w:val="pl-PL"/>
        </w:rPr>
        <w:t xml:space="preserve"> </w:t>
      </w:r>
      <w:proofErr w:type="spellStart"/>
      <w:r w:rsidRPr="001706B2">
        <w:rPr>
          <w:i/>
          <w:iCs/>
          <w:lang w:val="pl-PL"/>
        </w:rPr>
        <w:t>comme</w:t>
      </w:r>
      <w:proofErr w:type="spellEnd"/>
      <w:r w:rsidRPr="001706B2">
        <w:rPr>
          <w:i/>
          <w:iCs/>
          <w:lang w:val="pl-PL"/>
        </w:rPr>
        <w:t xml:space="preserve"> </w:t>
      </w:r>
      <w:proofErr w:type="spellStart"/>
      <w:r w:rsidRPr="001706B2">
        <w:rPr>
          <w:i/>
          <w:iCs/>
          <w:lang w:val="pl-PL"/>
        </w:rPr>
        <w:t>Palestine</w:t>
      </w:r>
      <w:proofErr w:type="spellEnd"/>
      <w:r w:rsidR="00D74DE5">
        <w:rPr>
          <w:i/>
          <w:iCs/>
          <w:lang w:val="pl-PL"/>
        </w:rPr>
        <w:t>”</w:t>
      </w:r>
      <w:r w:rsidRPr="001706B2">
        <w:rPr>
          <w:lang w:val="pl-PL"/>
        </w:rPr>
        <w:t>, któremu przewodniczył, będącym</w:t>
      </w:r>
      <w:r w:rsidR="00D74DE5">
        <w:rPr>
          <w:lang w:val="pl-PL"/>
        </w:rPr>
        <w:t>, w</w:t>
      </w:r>
      <w:r w:rsidR="00D57C4F">
        <w:rPr>
          <w:lang w:val="pl-PL"/>
        </w:rPr>
        <w:t> </w:t>
      </w:r>
      <w:r w:rsidR="00D74DE5">
        <w:rPr>
          <w:lang w:val="pl-PL"/>
        </w:rPr>
        <w:t>opinii ministerstwa,</w:t>
      </w:r>
      <w:r w:rsidRPr="001706B2">
        <w:rPr>
          <w:lang w:val="pl-PL"/>
        </w:rPr>
        <w:t xml:space="preserve"> lokalnym oddziałem organizacji „bliskiej ideologii Hamasu (Palestyńskiego Bractwa Muz</w:t>
      </w:r>
      <w:r w:rsidR="00D74DE5">
        <w:rPr>
          <w:lang w:val="pl-PL"/>
        </w:rPr>
        <w:t>u</w:t>
      </w:r>
      <w:r w:rsidRPr="001706B2">
        <w:rPr>
          <w:lang w:val="pl-PL"/>
        </w:rPr>
        <w:t>łmańskiego)”.</w:t>
      </w:r>
    </w:p>
    <w:p w14:paraId="32A9EC2D" w14:textId="77777777" w:rsidR="00DF36FA" w:rsidRPr="001706B2" w:rsidRDefault="00DF36FA" w:rsidP="001706B2">
      <w:pPr>
        <w:autoSpaceDE w:val="0"/>
        <w:autoSpaceDN w:val="0"/>
        <w:adjustRightInd w:val="0"/>
        <w:ind w:firstLine="284"/>
        <w:rPr>
          <w:rFonts w:eastAsia="Times New Roman"/>
          <w:lang w:val="pl-PL"/>
        </w:rPr>
      </w:pPr>
      <w:r w:rsidRPr="001706B2">
        <w:rPr>
          <w:lang w:val="pl-PL"/>
        </w:rPr>
        <w:t xml:space="preserve">Pan </w:t>
      </w:r>
      <w:proofErr w:type="spellStart"/>
      <w:r w:rsidRPr="001706B2">
        <w:rPr>
          <w:lang w:val="pl-PL"/>
        </w:rPr>
        <w:t>Boudelal</w:t>
      </w:r>
      <w:proofErr w:type="spellEnd"/>
      <w:r w:rsidRPr="001706B2">
        <w:rPr>
          <w:lang w:val="pl-PL"/>
        </w:rPr>
        <w:t xml:space="preserve"> złożył odwołanie do Ministerstwa ds. imigracji, integracji, tożsamości narodowej i rozwoju wspierającego. Wiceminister podjął decyzję o podtrzymaniu odmowy.</w:t>
      </w:r>
    </w:p>
    <w:p w14:paraId="3BD64FFE" w14:textId="6CFE2AE7" w:rsidR="00DF36FA" w:rsidRPr="001706B2" w:rsidRDefault="00DF36FA" w:rsidP="001706B2">
      <w:pPr>
        <w:autoSpaceDE w:val="0"/>
        <w:autoSpaceDN w:val="0"/>
        <w:adjustRightInd w:val="0"/>
        <w:ind w:firstLine="284"/>
        <w:rPr>
          <w:rFonts w:eastAsia="Times New Roman"/>
          <w:lang w:val="pl-PL"/>
        </w:rPr>
      </w:pPr>
      <w:r w:rsidRPr="001706B2">
        <w:rPr>
          <w:lang w:val="pl-PL"/>
        </w:rPr>
        <w:t xml:space="preserve">Pan </w:t>
      </w:r>
      <w:proofErr w:type="spellStart"/>
      <w:r w:rsidRPr="001706B2">
        <w:rPr>
          <w:lang w:val="pl-PL"/>
        </w:rPr>
        <w:t>Boudelal</w:t>
      </w:r>
      <w:proofErr w:type="spellEnd"/>
      <w:r w:rsidRPr="001706B2">
        <w:rPr>
          <w:lang w:val="pl-PL"/>
        </w:rPr>
        <w:t xml:space="preserve"> oraz jego żona, której wniosek również został odrzucony, zwrócili się do sądu administracyjnego w Nantes o kasację decyzji. W dniu 22 lutego 2012 r. sąd oddalił ich wnioski. </w:t>
      </w:r>
      <w:r w:rsidR="00964A81" w:rsidRPr="001706B2">
        <w:rPr>
          <w:lang w:val="pl-PL"/>
        </w:rPr>
        <w:t xml:space="preserve">Apelacyjny </w:t>
      </w:r>
      <w:r w:rsidR="00964A81">
        <w:rPr>
          <w:lang w:val="pl-PL"/>
        </w:rPr>
        <w:t xml:space="preserve">Sąd </w:t>
      </w:r>
      <w:r w:rsidRPr="001706B2">
        <w:rPr>
          <w:lang w:val="pl-PL"/>
        </w:rPr>
        <w:t>Administracyjny w Nantes podtrzymał wyrok w dniu 31 maja 2013 r. Stwierdził, że</w:t>
      </w:r>
      <w:r w:rsidR="00D57C4F">
        <w:rPr>
          <w:lang w:val="pl-PL"/>
        </w:rPr>
        <w:t> </w:t>
      </w:r>
      <w:r w:rsidRPr="001706B2">
        <w:rPr>
          <w:lang w:val="pl-PL"/>
        </w:rPr>
        <w:t xml:space="preserve">obowiązkiem ministra odpowiedzialnego za naturalizację jest przede wszystkim dokonanie oceny interesu w wyrażeniu zgody na naturalizację lub przywrócenie obywatelstwa francuskiego cudzoziemcowi, który </w:t>
      </w:r>
      <w:r w:rsidR="00D57C4F">
        <w:rPr>
          <w:lang w:val="pl-PL"/>
        </w:rPr>
        <w:t xml:space="preserve">się </w:t>
      </w:r>
      <w:r w:rsidRPr="001706B2">
        <w:rPr>
          <w:lang w:val="pl-PL"/>
        </w:rPr>
        <w:t>o</w:t>
      </w:r>
      <w:r w:rsidR="00D57C4F">
        <w:rPr>
          <w:lang w:val="pl-PL"/>
        </w:rPr>
        <w:t> </w:t>
      </w:r>
      <w:r w:rsidRPr="001706B2">
        <w:rPr>
          <w:lang w:val="pl-PL"/>
        </w:rPr>
        <w:t>nie ubiega, oraz że w kontekście „badania stosowności” minister miał również prawo „wziąć pod uwagę wszelkie niekorzystne informacje dotyczące postępowania wnioskodawcy, jakie otrzymał”.</w:t>
      </w:r>
    </w:p>
    <w:p w14:paraId="27C78E5A" w14:textId="1532DB80" w:rsidR="00DF36FA" w:rsidRPr="001706B2" w:rsidRDefault="00DF36FA" w:rsidP="001706B2">
      <w:pPr>
        <w:autoSpaceDE w:val="0"/>
        <w:autoSpaceDN w:val="0"/>
        <w:adjustRightInd w:val="0"/>
        <w:rPr>
          <w:rFonts w:eastAsia="Times New Roman"/>
          <w:lang w:val="pl-PL" w:eastAsia="pl-PL"/>
        </w:rPr>
      </w:pPr>
      <w:r w:rsidRPr="001706B2">
        <w:rPr>
          <w:lang w:val="pl-PL"/>
        </w:rPr>
        <w:t xml:space="preserve">Wniosek o przyznanie pomocy prawnej złożony przez pana </w:t>
      </w:r>
      <w:proofErr w:type="spellStart"/>
      <w:r w:rsidRPr="001706B2">
        <w:rPr>
          <w:lang w:val="pl-PL"/>
        </w:rPr>
        <w:t>Boudelala</w:t>
      </w:r>
      <w:proofErr w:type="spellEnd"/>
      <w:r w:rsidRPr="001706B2">
        <w:rPr>
          <w:lang w:val="pl-PL"/>
        </w:rPr>
        <w:t xml:space="preserve"> w</w:t>
      </w:r>
      <w:r w:rsidR="00D57C4F">
        <w:rPr>
          <w:lang w:val="pl-PL"/>
        </w:rPr>
        <w:t> </w:t>
      </w:r>
      <w:r w:rsidRPr="001706B2">
        <w:rPr>
          <w:lang w:val="pl-PL"/>
        </w:rPr>
        <w:t>ramach postępowania kasacyjnego został odrzucony na takiej podstawie, iż nie było możliwości podnie</w:t>
      </w:r>
      <w:r w:rsidR="00F61A79">
        <w:rPr>
          <w:lang w:val="pl-PL"/>
        </w:rPr>
        <w:t>sienia</w:t>
      </w:r>
      <w:r w:rsidRPr="001706B2">
        <w:rPr>
          <w:lang w:val="pl-PL"/>
        </w:rPr>
        <w:t xml:space="preserve"> żadnych poważnych podstaw </w:t>
      </w:r>
      <w:r w:rsidR="00F61A79">
        <w:rPr>
          <w:lang w:val="pl-PL"/>
        </w:rPr>
        <w:t xml:space="preserve">kasacji </w:t>
      </w:r>
      <w:r w:rsidRPr="001706B2">
        <w:rPr>
          <w:lang w:val="pl-PL"/>
        </w:rPr>
        <w:t>od</w:t>
      </w:r>
      <w:r w:rsidR="00D57C4F">
        <w:rPr>
          <w:lang w:val="pl-PL"/>
        </w:rPr>
        <w:t> </w:t>
      </w:r>
      <w:r w:rsidRPr="001706B2">
        <w:rPr>
          <w:lang w:val="pl-PL"/>
        </w:rPr>
        <w:t>wyroku sądu wynikających z podstaw prawnych.]</w:t>
      </w:r>
    </w:p>
    <w:p w14:paraId="2DACECB0" w14:textId="77777777" w:rsidR="00DF36FA" w:rsidRPr="006D5227" w:rsidRDefault="00DF36FA" w:rsidP="00271D9A">
      <w:pPr>
        <w:pStyle w:val="ECHRTitle1"/>
        <w:spacing w:before="480"/>
        <w:rPr>
          <w:lang w:val="pl-PL"/>
        </w:rPr>
      </w:pPr>
      <w:r w:rsidRPr="006D5227">
        <w:rPr>
          <w:lang w:val="pl-PL"/>
        </w:rPr>
        <w:t>SKARGA</w:t>
      </w:r>
    </w:p>
    <w:p w14:paraId="5E00D52E" w14:textId="05107E11" w:rsidR="00DF36FA" w:rsidRPr="007253E5" w:rsidRDefault="00DF36FA" w:rsidP="00271D9A">
      <w:pPr>
        <w:pStyle w:val="ECHRPara"/>
      </w:pPr>
      <w:r w:rsidRPr="006D5227">
        <w:t>13.</w:t>
      </w:r>
      <w:r w:rsidR="00DE4D09">
        <w:t xml:space="preserve"> </w:t>
      </w:r>
      <w:r>
        <w:rPr>
          <w:rStyle w:val="tlid-translation"/>
        </w:rPr>
        <w:t>Powołując się na art</w:t>
      </w:r>
      <w:r w:rsidR="00DE4D09">
        <w:rPr>
          <w:rStyle w:val="tlid-translation"/>
        </w:rPr>
        <w:t>.</w:t>
      </w:r>
      <w:r>
        <w:rPr>
          <w:rStyle w:val="tlid-translation"/>
        </w:rPr>
        <w:t xml:space="preserve"> 10 i 11 Konwencji</w:t>
      </w:r>
      <w:r w:rsidR="006C3820">
        <w:rPr>
          <w:rStyle w:val="tlid-translation"/>
        </w:rPr>
        <w:t xml:space="preserve"> [o ochronie praw człowieka i</w:t>
      </w:r>
      <w:r w:rsidR="000C56F2">
        <w:rPr>
          <w:rStyle w:val="tlid-translation"/>
        </w:rPr>
        <w:t> </w:t>
      </w:r>
      <w:bookmarkStart w:id="0" w:name="_GoBack"/>
      <w:bookmarkEnd w:id="0"/>
      <w:r w:rsidR="006C3820">
        <w:rPr>
          <w:rStyle w:val="tlid-translation"/>
        </w:rPr>
        <w:t>podstawowych wolności]</w:t>
      </w:r>
      <w:r>
        <w:rPr>
          <w:rStyle w:val="tlid-translation"/>
        </w:rPr>
        <w:t xml:space="preserve">, Skarżący </w:t>
      </w:r>
      <w:r w:rsidR="00F61A79">
        <w:rPr>
          <w:rStyle w:val="tlid-translation"/>
        </w:rPr>
        <w:t>zarzuca</w:t>
      </w:r>
      <w:r>
        <w:rPr>
          <w:rStyle w:val="tlid-translation"/>
        </w:rPr>
        <w:t>, że w celu odrzucenia jego wniosku o przywrócenie obywatelstwa francuskiego, władze krajowe oparły się na fakcie, że walczy</w:t>
      </w:r>
      <w:r w:rsidR="007253E5">
        <w:rPr>
          <w:rStyle w:val="tlid-translation"/>
        </w:rPr>
        <w:t xml:space="preserve"> on</w:t>
      </w:r>
      <w:r>
        <w:rPr>
          <w:rStyle w:val="tlid-translation"/>
        </w:rPr>
        <w:t xml:space="preserve"> w sprawie palestyńskiej i</w:t>
      </w:r>
      <w:r w:rsidR="00D57C4F">
        <w:rPr>
          <w:rStyle w:val="tlid-translation"/>
        </w:rPr>
        <w:t> </w:t>
      </w:r>
      <w:r>
        <w:rPr>
          <w:rStyle w:val="tlid-translation"/>
        </w:rPr>
        <w:t xml:space="preserve">sprawie </w:t>
      </w:r>
      <w:r w:rsidRPr="007253E5">
        <w:rPr>
          <w:rStyle w:val="tlid-translation"/>
        </w:rPr>
        <w:t>imigrantów.</w:t>
      </w:r>
      <w:r w:rsidR="00F61A79" w:rsidRPr="007253E5">
        <w:rPr>
          <w:rStyle w:val="tlid-translation"/>
        </w:rPr>
        <w:t xml:space="preserve"> Skarży się na</w:t>
      </w:r>
      <w:r w:rsidRPr="007253E5">
        <w:rPr>
          <w:rStyle w:val="tlid-translation"/>
        </w:rPr>
        <w:t xml:space="preserve"> </w:t>
      </w:r>
      <w:r w:rsidR="00F61A79" w:rsidRPr="007253E5">
        <w:rPr>
          <w:rStyle w:val="tlid-translation"/>
        </w:rPr>
        <w:t>„</w:t>
      </w:r>
      <w:r w:rsidRPr="007253E5">
        <w:rPr>
          <w:rStyle w:val="tlid-translation"/>
        </w:rPr>
        <w:t>odmowę obywatelstwa za</w:t>
      </w:r>
      <w:r w:rsidR="00D57C4F">
        <w:rPr>
          <w:rStyle w:val="tlid-translation"/>
        </w:rPr>
        <w:t> </w:t>
      </w:r>
      <w:r w:rsidR="003F6220">
        <w:rPr>
          <w:rStyle w:val="tlid-translation"/>
        </w:rPr>
        <w:t>myślozbrodnię</w:t>
      </w:r>
      <w:r w:rsidR="00F61A79" w:rsidRPr="007253E5">
        <w:rPr>
          <w:rStyle w:val="tlid-translation"/>
        </w:rPr>
        <w:t>”</w:t>
      </w:r>
      <w:r w:rsidRPr="007253E5">
        <w:t>.</w:t>
      </w:r>
    </w:p>
    <w:p w14:paraId="60FF3D38" w14:textId="77777777" w:rsidR="00DF36FA" w:rsidRPr="006D5227" w:rsidRDefault="00331C40" w:rsidP="00271D9A">
      <w:pPr>
        <w:pStyle w:val="ECHRTitle1"/>
        <w:spacing w:before="480"/>
        <w:rPr>
          <w:lang w:val="pl-PL"/>
        </w:rPr>
      </w:pPr>
      <w:r>
        <w:rPr>
          <w:lang w:val="pl-PL"/>
        </w:rPr>
        <w:lastRenderedPageBreak/>
        <w:t>PRAWO</w:t>
      </w:r>
    </w:p>
    <w:p w14:paraId="3ADC82AF" w14:textId="6E7BFA31" w:rsidR="00DF36FA" w:rsidRPr="00895FD7" w:rsidRDefault="00DF36FA" w:rsidP="00271D9A">
      <w:pPr>
        <w:pStyle w:val="ECHRPara"/>
      </w:pPr>
      <w:r w:rsidRPr="006D5227">
        <w:t>14.</w:t>
      </w:r>
      <w:r w:rsidR="00DE4D09">
        <w:t xml:space="preserve"> </w:t>
      </w:r>
      <w:r>
        <w:rPr>
          <w:rStyle w:val="tlid-translation"/>
        </w:rPr>
        <w:t>Skarżący zarzuca, że w celu odrzucenia jego wniosku o przywrócenie obywatelstwa francuskiego władze krajowe oparły się na fakcie, że walczy w sprawie palestyńskiej i sprawie imigrantów. Powołuje się na art</w:t>
      </w:r>
      <w:r w:rsidR="00DE4D09">
        <w:rPr>
          <w:rStyle w:val="tlid-translation"/>
        </w:rPr>
        <w:t>.</w:t>
      </w:r>
      <w:r>
        <w:rPr>
          <w:rStyle w:val="tlid-translation"/>
        </w:rPr>
        <w:t xml:space="preserve"> 10 i 11 Konwencji, które gwarantują </w:t>
      </w:r>
      <w:r w:rsidR="00F61A79">
        <w:rPr>
          <w:rStyle w:val="tlid-translation"/>
        </w:rPr>
        <w:t xml:space="preserve">wolność wyrażania opinii </w:t>
      </w:r>
      <w:r>
        <w:rPr>
          <w:rStyle w:val="tlid-translation"/>
        </w:rPr>
        <w:t>oraz wolność zgromadzeń</w:t>
      </w:r>
      <w:r w:rsidR="00F61A79">
        <w:rPr>
          <w:rStyle w:val="tlid-translation"/>
        </w:rPr>
        <w:t xml:space="preserve"> i stowarzyszania się</w:t>
      </w:r>
      <w:r>
        <w:rPr>
          <w:rStyle w:val="tlid-translation"/>
        </w:rPr>
        <w:t xml:space="preserve">. Ponadto, argumentując, że </w:t>
      </w:r>
      <w:r w:rsidR="007253E5">
        <w:rPr>
          <w:rStyle w:val="tlid-translation"/>
        </w:rPr>
        <w:t>stanowi to</w:t>
      </w:r>
      <w:r w:rsidR="00D57C4F">
        <w:rPr>
          <w:rStyle w:val="tlid-translation"/>
        </w:rPr>
        <w:t> </w:t>
      </w:r>
      <w:r w:rsidR="00453306">
        <w:rPr>
          <w:rStyle w:val="tlid-translation"/>
        </w:rPr>
        <w:t>„</w:t>
      </w:r>
      <w:r w:rsidR="007253E5">
        <w:rPr>
          <w:rStyle w:val="tlid-translation"/>
        </w:rPr>
        <w:t>odmowę</w:t>
      </w:r>
      <w:r>
        <w:rPr>
          <w:rStyle w:val="tlid-translation"/>
        </w:rPr>
        <w:t xml:space="preserve"> obywatelstwa za </w:t>
      </w:r>
      <w:r w:rsidR="003F6220">
        <w:rPr>
          <w:rStyle w:val="tlid-translation"/>
        </w:rPr>
        <w:t>myślozbrodnię</w:t>
      </w:r>
      <w:r>
        <w:rPr>
          <w:rStyle w:val="tlid-translation"/>
        </w:rPr>
        <w:t xml:space="preserve">", </w:t>
      </w:r>
      <w:r w:rsidR="00F61A79" w:rsidRPr="007253E5">
        <w:rPr>
          <w:rStyle w:val="tlid-translation"/>
        </w:rPr>
        <w:t>skarży się co do istoty na</w:t>
      </w:r>
      <w:r w:rsidR="00D57C4F">
        <w:rPr>
          <w:rStyle w:val="tlid-translation"/>
        </w:rPr>
        <w:t> </w:t>
      </w:r>
      <w:r>
        <w:rPr>
          <w:rStyle w:val="tlid-translation"/>
        </w:rPr>
        <w:t>naruszenie art</w:t>
      </w:r>
      <w:r w:rsidR="00DE4D09">
        <w:rPr>
          <w:rStyle w:val="tlid-translation"/>
        </w:rPr>
        <w:t>.</w:t>
      </w:r>
      <w:r>
        <w:rPr>
          <w:rStyle w:val="tlid-translation"/>
        </w:rPr>
        <w:t xml:space="preserve"> 9 Konwencji. Przepisy te są sformułowane w sposób następujący</w:t>
      </w:r>
      <w:r w:rsidRPr="00895FD7">
        <w:t>:</w:t>
      </w:r>
    </w:p>
    <w:p w14:paraId="388E3849" w14:textId="0E10D90B" w:rsidR="00DF36FA" w:rsidRPr="006D5227" w:rsidRDefault="00DF36FA" w:rsidP="00271D9A">
      <w:pPr>
        <w:pStyle w:val="ECHRTitleCentre3"/>
        <w:rPr>
          <w:lang w:val="pl-PL"/>
        </w:rPr>
      </w:pPr>
      <w:r w:rsidRPr="006D5227">
        <w:rPr>
          <w:lang w:val="pl-PL"/>
        </w:rPr>
        <w:t>Art</w:t>
      </w:r>
      <w:r w:rsidR="00DE4D09">
        <w:rPr>
          <w:lang w:val="pl-PL"/>
        </w:rPr>
        <w:t>.</w:t>
      </w:r>
      <w:r w:rsidRPr="006D5227">
        <w:rPr>
          <w:lang w:val="pl-PL"/>
        </w:rPr>
        <w:t xml:space="preserve"> 9</w:t>
      </w:r>
    </w:p>
    <w:p w14:paraId="431211A6" w14:textId="38E4254A" w:rsidR="00DF36FA" w:rsidRPr="00895FD7" w:rsidRDefault="00F61A79" w:rsidP="00271D9A">
      <w:pPr>
        <w:pStyle w:val="ECHRParaQuote"/>
        <w:rPr>
          <w:lang w:val="pl-PL"/>
        </w:rPr>
      </w:pPr>
      <w:r>
        <w:rPr>
          <w:lang w:val="pl-PL"/>
        </w:rPr>
        <w:t>„</w:t>
      </w:r>
      <w:r w:rsidR="00DF36FA" w:rsidRPr="006D5227">
        <w:rPr>
          <w:lang w:val="pl-PL"/>
        </w:rPr>
        <w:t>1.</w:t>
      </w:r>
      <w:r w:rsidR="00DE4D09">
        <w:rPr>
          <w:lang w:val="pl-PL"/>
        </w:rPr>
        <w:t xml:space="preserve"> </w:t>
      </w:r>
      <w:r w:rsidR="00DF36FA" w:rsidRPr="00895FD7">
        <w:rPr>
          <w:sz w:val="19"/>
          <w:szCs w:val="19"/>
          <w:lang w:val="pl-PL"/>
        </w:rPr>
        <w:t>Każdy ma prawo do wolności myśli, sumienia i wyznania; prawo to obejmuje wolność zmiany wyznania lub przekonań oraz wolność uzewnętrzniania indywidualnie lub</w:t>
      </w:r>
      <w:r w:rsidR="00D57C4F">
        <w:rPr>
          <w:sz w:val="19"/>
          <w:szCs w:val="19"/>
          <w:lang w:val="pl-PL"/>
        </w:rPr>
        <w:t> </w:t>
      </w:r>
      <w:r w:rsidR="00DF36FA" w:rsidRPr="00895FD7">
        <w:rPr>
          <w:sz w:val="19"/>
          <w:szCs w:val="19"/>
          <w:lang w:val="pl-PL"/>
        </w:rPr>
        <w:t>wspólnie z innymi, publicznie lub prywatnie, swego wyznania lub przekonań przez</w:t>
      </w:r>
      <w:r w:rsidR="00D57C4F">
        <w:rPr>
          <w:sz w:val="19"/>
          <w:szCs w:val="19"/>
          <w:lang w:val="pl-PL"/>
        </w:rPr>
        <w:t> </w:t>
      </w:r>
      <w:r w:rsidR="00DF36FA" w:rsidRPr="00895FD7">
        <w:rPr>
          <w:sz w:val="19"/>
          <w:szCs w:val="19"/>
          <w:lang w:val="pl-PL"/>
        </w:rPr>
        <w:t>uprawianie kultu, nauczanie, praktykowanie i czynności rytualne</w:t>
      </w:r>
      <w:r w:rsidR="00DF36FA" w:rsidRPr="00895FD7">
        <w:rPr>
          <w:lang w:val="pl-PL"/>
        </w:rPr>
        <w:t>.</w:t>
      </w:r>
    </w:p>
    <w:p w14:paraId="273BF1EF" w14:textId="75816C87" w:rsidR="00DF36FA" w:rsidRPr="00895FD7" w:rsidRDefault="00DF36FA" w:rsidP="00271D9A">
      <w:pPr>
        <w:pStyle w:val="ECHRParaQuote"/>
        <w:rPr>
          <w:lang w:val="pl-PL"/>
        </w:rPr>
      </w:pPr>
      <w:r w:rsidRPr="006D5227">
        <w:rPr>
          <w:lang w:val="pl-PL"/>
        </w:rPr>
        <w:t>2.</w:t>
      </w:r>
      <w:r w:rsidR="00DE4D09">
        <w:rPr>
          <w:lang w:val="pl-PL"/>
        </w:rPr>
        <w:t xml:space="preserve"> </w:t>
      </w:r>
      <w:r w:rsidRPr="00895FD7">
        <w:rPr>
          <w:sz w:val="19"/>
          <w:szCs w:val="19"/>
          <w:lang w:val="pl-PL"/>
        </w:rPr>
        <w:t>Wolność uzewnętrzniania wyznania lub przekonań może podlegać jedynie takim ograniczeniom, które są przewidziane przez ustawę i konieczne w społeczeństwie demokratycznym z uwagi na interesy bezpieczeństwa publicznego, ochronę porządku publicznego, zdrowia i moralności lub ochronę praw i wolności innych osób</w:t>
      </w:r>
      <w:r w:rsidR="00F61A79">
        <w:rPr>
          <w:lang w:val="pl-PL"/>
        </w:rPr>
        <w:t>”.</w:t>
      </w:r>
    </w:p>
    <w:p w14:paraId="41BD357E" w14:textId="012D7048" w:rsidR="00DF36FA" w:rsidRPr="006D5227" w:rsidRDefault="00DF36FA" w:rsidP="00271D9A">
      <w:pPr>
        <w:pStyle w:val="ECHRTitleCentre3"/>
        <w:rPr>
          <w:lang w:val="pl-PL"/>
        </w:rPr>
      </w:pPr>
      <w:r w:rsidRPr="006D5227">
        <w:rPr>
          <w:lang w:val="pl-PL"/>
        </w:rPr>
        <w:t>Art</w:t>
      </w:r>
      <w:r w:rsidR="00DE4D09">
        <w:rPr>
          <w:lang w:val="pl-PL"/>
        </w:rPr>
        <w:t>.</w:t>
      </w:r>
      <w:r w:rsidRPr="006D5227">
        <w:rPr>
          <w:lang w:val="pl-PL"/>
        </w:rPr>
        <w:t xml:space="preserve"> 10</w:t>
      </w:r>
    </w:p>
    <w:p w14:paraId="12B9EA2F" w14:textId="473929BC" w:rsidR="00DF36FA" w:rsidRPr="00895FD7" w:rsidRDefault="00F61A79" w:rsidP="00271D9A">
      <w:pPr>
        <w:pStyle w:val="ECHRParaQuote"/>
        <w:rPr>
          <w:lang w:val="pl-PL"/>
        </w:rPr>
      </w:pPr>
      <w:r>
        <w:rPr>
          <w:lang w:val="pl-PL"/>
        </w:rPr>
        <w:t>„</w:t>
      </w:r>
      <w:r w:rsidR="00DF36FA" w:rsidRPr="006D5227">
        <w:rPr>
          <w:lang w:val="pl-PL"/>
        </w:rPr>
        <w:t>1.</w:t>
      </w:r>
      <w:r w:rsidR="00DE4D09">
        <w:rPr>
          <w:lang w:val="pl-PL"/>
        </w:rPr>
        <w:t xml:space="preserve"> </w:t>
      </w:r>
      <w:r w:rsidR="00DF36FA" w:rsidRPr="00895FD7">
        <w:rPr>
          <w:sz w:val="19"/>
          <w:szCs w:val="19"/>
          <w:lang w:val="pl-PL"/>
        </w:rPr>
        <w:t>Każdy ma prawo do wolności wyrażania opinii. Prawo to obejmuje wolność posiadania poglądów oraz otrzymywania i przekazywania informacji i idei bez ingerencji władz publicznych i bez względu na granice państwowe. Niniejszy przepis nie wyklucza prawa Państw do poddania procedurze zezwoleń przedsiębiorstw radiowych, telewizyjnych lub kinematograficznych</w:t>
      </w:r>
      <w:r w:rsidR="00DF36FA" w:rsidRPr="00895FD7">
        <w:rPr>
          <w:lang w:val="pl-PL"/>
        </w:rPr>
        <w:t>.</w:t>
      </w:r>
    </w:p>
    <w:p w14:paraId="0159C486" w14:textId="12779B4F" w:rsidR="00DF36FA" w:rsidRPr="00895FD7" w:rsidRDefault="00DF36FA" w:rsidP="00271D9A">
      <w:pPr>
        <w:pStyle w:val="ECHRParaQuote"/>
        <w:rPr>
          <w:lang w:val="pl-PL"/>
        </w:rPr>
      </w:pPr>
      <w:r w:rsidRPr="006D5227">
        <w:rPr>
          <w:lang w:val="pl-PL"/>
        </w:rPr>
        <w:t>2.</w:t>
      </w:r>
      <w:r w:rsidR="00DE4D09">
        <w:rPr>
          <w:lang w:val="pl-PL"/>
        </w:rPr>
        <w:t xml:space="preserve"> </w:t>
      </w:r>
      <w:r w:rsidRPr="00895FD7">
        <w:rPr>
          <w:sz w:val="19"/>
          <w:szCs w:val="19"/>
          <w:lang w:val="pl-PL"/>
        </w:rPr>
        <w:t>Korzystanie z tych wolności pociągających za sobą obowiązki i odpowiedzialność może podlegać takim wymogom formalnym, warunkom, ograniczeniom i sankcjom, jakie</w:t>
      </w:r>
      <w:r w:rsidR="00D57C4F">
        <w:rPr>
          <w:sz w:val="19"/>
          <w:szCs w:val="19"/>
          <w:lang w:val="pl-PL"/>
        </w:rPr>
        <w:t> </w:t>
      </w:r>
      <w:r w:rsidRPr="00895FD7">
        <w:rPr>
          <w:sz w:val="19"/>
          <w:szCs w:val="19"/>
          <w:lang w:val="pl-PL"/>
        </w:rPr>
        <w:t>są przewidziane przez ustawę i niezbędne w społeczeństwie demokratycznym w</w:t>
      </w:r>
      <w:r w:rsidR="00D57C4F">
        <w:rPr>
          <w:sz w:val="19"/>
          <w:szCs w:val="19"/>
          <w:lang w:val="pl-PL"/>
        </w:rPr>
        <w:t> </w:t>
      </w:r>
      <w:r w:rsidRPr="00895FD7">
        <w:rPr>
          <w:sz w:val="19"/>
          <w:szCs w:val="19"/>
          <w:lang w:val="pl-PL"/>
        </w:rPr>
        <w:t>interesie bezpieczeństwa państwowego, integralności terytorialnej lub bezpieczeństwa publicznego ze względu na konieczność zapobieżenia zakłóceniu porządku lub</w:t>
      </w:r>
      <w:r w:rsidR="00D57C4F">
        <w:rPr>
          <w:sz w:val="19"/>
          <w:szCs w:val="19"/>
          <w:lang w:val="pl-PL"/>
        </w:rPr>
        <w:t> </w:t>
      </w:r>
      <w:r w:rsidRPr="00895FD7">
        <w:rPr>
          <w:sz w:val="19"/>
          <w:szCs w:val="19"/>
          <w:lang w:val="pl-PL"/>
        </w:rPr>
        <w:t>przestępstwu, z uwagi na ochronę zdrowia i moralności, ochronę dobrego imienia i</w:t>
      </w:r>
      <w:r w:rsidR="00D57C4F">
        <w:rPr>
          <w:sz w:val="19"/>
          <w:szCs w:val="19"/>
          <w:lang w:val="pl-PL"/>
        </w:rPr>
        <w:t> </w:t>
      </w:r>
      <w:r w:rsidRPr="00895FD7">
        <w:rPr>
          <w:sz w:val="19"/>
          <w:szCs w:val="19"/>
          <w:lang w:val="pl-PL"/>
        </w:rPr>
        <w:t>praw innych osób oraz ze względu na zapobieżenie ujawnieniu informacji poufnych lub</w:t>
      </w:r>
      <w:r w:rsidR="00D57C4F">
        <w:rPr>
          <w:sz w:val="19"/>
          <w:szCs w:val="19"/>
          <w:lang w:val="pl-PL"/>
        </w:rPr>
        <w:t> </w:t>
      </w:r>
      <w:r w:rsidRPr="00895FD7">
        <w:rPr>
          <w:sz w:val="19"/>
          <w:szCs w:val="19"/>
          <w:lang w:val="pl-PL"/>
        </w:rPr>
        <w:t>na zagwarantowanie powagi i bezstronności władzy sądowej</w:t>
      </w:r>
      <w:r w:rsidR="00F61A79">
        <w:rPr>
          <w:lang w:val="pl-PL"/>
        </w:rPr>
        <w:t>”.</w:t>
      </w:r>
    </w:p>
    <w:p w14:paraId="6BD50C0A" w14:textId="47FA8438" w:rsidR="00DF36FA" w:rsidRPr="006D5227" w:rsidRDefault="00DF36FA" w:rsidP="00271D9A">
      <w:pPr>
        <w:pStyle w:val="ECHRTitleCentre3"/>
        <w:rPr>
          <w:lang w:val="pl-PL"/>
        </w:rPr>
      </w:pPr>
      <w:r w:rsidRPr="006D5227">
        <w:rPr>
          <w:lang w:val="pl-PL"/>
        </w:rPr>
        <w:t>Art</w:t>
      </w:r>
      <w:r w:rsidR="00DE4D09">
        <w:rPr>
          <w:lang w:val="pl-PL"/>
        </w:rPr>
        <w:t>.</w:t>
      </w:r>
      <w:r w:rsidRPr="006D5227">
        <w:rPr>
          <w:lang w:val="pl-PL"/>
        </w:rPr>
        <w:t xml:space="preserve"> 11</w:t>
      </w:r>
    </w:p>
    <w:p w14:paraId="673BC0C9" w14:textId="09FF62F4" w:rsidR="00DF36FA" w:rsidRPr="00895FD7" w:rsidRDefault="00F61A79" w:rsidP="00271D9A">
      <w:pPr>
        <w:pStyle w:val="ECHRParaQuote"/>
        <w:rPr>
          <w:lang w:val="pl-PL"/>
        </w:rPr>
      </w:pPr>
      <w:r>
        <w:rPr>
          <w:lang w:val="pl-PL"/>
        </w:rPr>
        <w:t>„</w:t>
      </w:r>
      <w:r w:rsidR="00DF36FA" w:rsidRPr="006D5227">
        <w:rPr>
          <w:lang w:val="pl-PL"/>
        </w:rPr>
        <w:t>1.</w:t>
      </w:r>
      <w:r w:rsidR="00DE4D09">
        <w:rPr>
          <w:lang w:val="pl-PL"/>
        </w:rPr>
        <w:t xml:space="preserve"> </w:t>
      </w:r>
      <w:r w:rsidR="00DF36FA" w:rsidRPr="00895FD7">
        <w:rPr>
          <w:sz w:val="19"/>
          <w:szCs w:val="19"/>
          <w:lang w:val="pl-PL"/>
        </w:rPr>
        <w:t>Każdy ma prawo do swobodnego, pokojowego zgromadzania się oraz do</w:t>
      </w:r>
      <w:r w:rsidR="00D57C4F">
        <w:rPr>
          <w:sz w:val="19"/>
          <w:szCs w:val="19"/>
          <w:lang w:val="pl-PL"/>
        </w:rPr>
        <w:t> </w:t>
      </w:r>
      <w:r w:rsidR="00DF36FA" w:rsidRPr="00895FD7">
        <w:rPr>
          <w:sz w:val="19"/>
          <w:szCs w:val="19"/>
          <w:lang w:val="pl-PL"/>
        </w:rPr>
        <w:t>swobodnego stowarzyszania się, włącznie z prawem tworzenia związków zawodowych i przystępowania do nich dla ochrony swoich interesów</w:t>
      </w:r>
      <w:r w:rsidR="00DF36FA" w:rsidRPr="00895FD7">
        <w:rPr>
          <w:lang w:val="pl-PL"/>
        </w:rPr>
        <w:t>.</w:t>
      </w:r>
    </w:p>
    <w:p w14:paraId="7A5FCCA3" w14:textId="72BFDF41" w:rsidR="00DF36FA" w:rsidRPr="00A42754" w:rsidRDefault="00DF36FA" w:rsidP="00271D9A">
      <w:pPr>
        <w:pStyle w:val="ECHRParaQuote"/>
        <w:rPr>
          <w:lang w:val="pl-PL"/>
        </w:rPr>
      </w:pPr>
      <w:r w:rsidRPr="006D5227">
        <w:rPr>
          <w:lang w:val="pl-PL"/>
        </w:rPr>
        <w:t>2.</w:t>
      </w:r>
      <w:r w:rsidR="00DE4D09">
        <w:rPr>
          <w:lang w:val="pl-PL"/>
        </w:rPr>
        <w:t xml:space="preserve"> </w:t>
      </w:r>
      <w:r w:rsidRPr="00A42754">
        <w:rPr>
          <w:sz w:val="19"/>
          <w:szCs w:val="19"/>
          <w:lang w:val="pl-PL"/>
        </w:rPr>
        <w:t>Wykonywanie tych praw nie może podlegać innym ograniczeniom niż te, które</w:t>
      </w:r>
      <w:r w:rsidR="00D57C4F">
        <w:rPr>
          <w:sz w:val="19"/>
          <w:szCs w:val="19"/>
          <w:lang w:val="pl-PL"/>
        </w:rPr>
        <w:t> </w:t>
      </w:r>
      <w:r w:rsidRPr="00A42754">
        <w:rPr>
          <w:sz w:val="19"/>
          <w:szCs w:val="19"/>
          <w:lang w:val="pl-PL"/>
        </w:rPr>
        <w:t>określa ustawa i które są konieczne w społeczeństwie demokratycznym z uwagi na</w:t>
      </w:r>
      <w:r w:rsidR="00D57C4F">
        <w:rPr>
          <w:sz w:val="19"/>
          <w:szCs w:val="19"/>
          <w:lang w:val="pl-PL"/>
        </w:rPr>
        <w:t> </w:t>
      </w:r>
      <w:r w:rsidRPr="00A42754">
        <w:rPr>
          <w:sz w:val="19"/>
          <w:szCs w:val="19"/>
          <w:lang w:val="pl-PL"/>
        </w:rPr>
        <w:t>interesy bezpieczeństwa państwowego lub publicznego, ochronę porządku i</w:t>
      </w:r>
      <w:r w:rsidR="00D57C4F">
        <w:rPr>
          <w:sz w:val="19"/>
          <w:szCs w:val="19"/>
          <w:lang w:val="pl-PL"/>
        </w:rPr>
        <w:t> </w:t>
      </w:r>
      <w:r w:rsidRPr="00A42754">
        <w:rPr>
          <w:sz w:val="19"/>
          <w:szCs w:val="19"/>
          <w:lang w:val="pl-PL"/>
        </w:rPr>
        <w:t>zapobieganie przestępstwu, ochronę zdrowia i moralności lub ochronę praw i wolności innych osób. Niniejszy przepis nie stanowi przeszkody w nakładaniu zgodnych z prawem ograniczeń w korzystaniu z tych praw przez członków sił zbrojnych, policji lub</w:t>
      </w:r>
      <w:r w:rsidR="00D57C4F">
        <w:rPr>
          <w:sz w:val="19"/>
          <w:szCs w:val="19"/>
          <w:lang w:val="pl-PL"/>
        </w:rPr>
        <w:t> </w:t>
      </w:r>
      <w:r w:rsidRPr="00A42754">
        <w:rPr>
          <w:sz w:val="19"/>
          <w:szCs w:val="19"/>
          <w:lang w:val="pl-PL"/>
        </w:rPr>
        <w:t>administracji państwowej</w:t>
      </w:r>
      <w:r w:rsidR="00F61A79">
        <w:rPr>
          <w:lang w:val="pl-PL"/>
        </w:rPr>
        <w:t>”.</w:t>
      </w:r>
    </w:p>
    <w:p w14:paraId="483A7F74" w14:textId="77777777" w:rsidR="00DF36FA" w:rsidRPr="006D5227" w:rsidRDefault="00DF36FA" w:rsidP="00271D9A">
      <w:pPr>
        <w:pStyle w:val="ECHRHeading2"/>
        <w:rPr>
          <w:lang w:val="pl-PL"/>
        </w:rPr>
      </w:pPr>
      <w:r w:rsidRPr="006D5227">
        <w:rPr>
          <w:lang w:val="pl-PL"/>
        </w:rPr>
        <w:lastRenderedPageBreak/>
        <w:t>A.</w:t>
      </w:r>
      <w:r w:rsidRPr="006D5227">
        <w:rPr>
          <w:lang w:val="pl-PL"/>
        </w:rPr>
        <w:tab/>
        <w:t>Twierdzenia stron</w:t>
      </w:r>
    </w:p>
    <w:p w14:paraId="073850E6" w14:textId="77777777" w:rsidR="00DF36FA" w:rsidRPr="006D5227" w:rsidRDefault="00DF36FA" w:rsidP="00271D9A">
      <w:pPr>
        <w:pStyle w:val="ECHRHeading3"/>
        <w:rPr>
          <w:lang w:val="pl-PL"/>
        </w:rPr>
      </w:pPr>
      <w:r w:rsidRPr="006D5227">
        <w:rPr>
          <w:lang w:val="pl-PL"/>
        </w:rPr>
        <w:t>1.</w:t>
      </w:r>
      <w:r w:rsidRPr="006D5227">
        <w:rPr>
          <w:lang w:val="pl-PL"/>
        </w:rPr>
        <w:tab/>
        <w:t>Rząd</w:t>
      </w:r>
    </w:p>
    <w:p w14:paraId="16842D2C" w14:textId="6FA9D301" w:rsidR="00DF36FA" w:rsidRPr="00A42754" w:rsidRDefault="00DF36FA" w:rsidP="00271D9A">
      <w:pPr>
        <w:pStyle w:val="ECHRPara"/>
        <w:rPr>
          <w:snapToGrid w:val="0"/>
        </w:rPr>
      </w:pPr>
      <w:r w:rsidRPr="006D5227">
        <w:t>15.</w:t>
      </w:r>
      <w:r w:rsidR="00DE4D09">
        <w:t xml:space="preserve"> </w:t>
      </w:r>
      <w:r>
        <w:rPr>
          <w:rStyle w:val="tlid-translation"/>
        </w:rPr>
        <w:t>Rząd przypomina, że ani Konwencja, ani jej protokoły nie</w:t>
      </w:r>
      <w:r w:rsidR="00D57C4F">
        <w:rPr>
          <w:rStyle w:val="tlid-translation"/>
        </w:rPr>
        <w:t> </w:t>
      </w:r>
      <w:r>
        <w:rPr>
          <w:rStyle w:val="tlid-translation"/>
        </w:rPr>
        <w:t>gwarantują prawa do obywatelstwa, a warunki narzucone przez prawo krajowe dotyczące nabycia obywatelstwa wchodzą w zakres Konwencji tylko wtedy, gdy skutecznie mogą naruszać gwarantowane przez nią prawa</w:t>
      </w:r>
      <w:r w:rsidRPr="00A42754">
        <w:rPr>
          <w:snapToGrid w:val="0"/>
        </w:rPr>
        <w:t>.</w:t>
      </w:r>
    </w:p>
    <w:p w14:paraId="67C5AB80" w14:textId="318FCE62" w:rsidR="00DF36FA" w:rsidRPr="00A14D9F" w:rsidRDefault="00DF36FA" w:rsidP="00271D9A">
      <w:pPr>
        <w:pStyle w:val="ECHRPara"/>
        <w:rPr>
          <w:snapToGrid w:val="0"/>
        </w:rPr>
      </w:pPr>
      <w:r w:rsidRPr="00A14D9F">
        <w:rPr>
          <w:snapToGrid w:val="0"/>
        </w:rPr>
        <w:t>16.</w:t>
      </w:r>
      <w:r w:rsidR="00DE4D09">
        <w:rPr>
          <w:snapToGrid w:val="0"/>
        </w:rPr>
        <w:t xml:space="preserve"> </w:t>
      </w:r>
      <w:r w:rsidR="007253E5">
        <w:rPr>
          <w:snapToGrid w:val="0"/>
        </w:rPr>
        <w:t>Jednak</w:t>
      </w:r>
      <w:r w:rsidRPr="007253E5">
        <w:rPr>
          <w:rStyle w:val="tlid-translation"/>
        </w:rPr>
        <w:t>,</w:t>
      </w:r>
      <w:r>
        <w:rPr>
          <w:rStyle w:val="tlid-translation"/>
        </w:rPr>
        <w:t xml:space="preserve"> jak za</w:t>
      </w:r>
      <w:r w:rsidR="007253E5">
        <w:rPr>
          <w:rStyle w:val="tlid-translation"/>
        </w:rPr>
        <w:t>uważa</w:t>
      </w:r>
      <w:r>
        <w:rPr>
          <w:rStyle w:val="tlid-translation"/>
        </w:rPr>
        <w:t xml:space="preserve"> on w pierwszej kolejności, Skarżący nie</w:t>
      </w:r>
      <w:r w:rsidR="00D57C4F">
        <w:rPr>
          <w:rStyle w:val="tlid-translation"/>
        </w:rPr>
        <w:t> </w:t>
      </w:r>
      <w:r>
        <w:rPr>
          <w:rStyle w:val="tlid-translation"/>
        </w:rPr>
        <w:t>wykazuje, że ​​decyzja o odmowie przywrócenia obywatelstwa francuskiego, która została</w:t>
      </w:r>
      <w:r w:rsidR="00453306">
        <w:rPr>
          <w:rStyle w:val="tlid-translation"/>
        </w:rPr>
        <w:t xml:space="preserve"> wobec niego wydana</w:t>
      </w:r>
      <w:r>
        <w:rPr>
          <w:rStyle w:val="tlid-translation"/>
        </w:rPr>
        <w:t xml:space="preserve">, miała wpływ na jego wolność </w:t>
      </w:r>
      <w:r w:rsidR="00FF283D">
        <w:rPr>
          <w:rStyle w:val="tlid-translation"/>
        </w:rPr>
        <w:t>wyrażania opinii</w:t>
      </w:r>
      <w:r>
        <w:rPr>
          <w:rStyle w:val="tlid-translation"/>
        </w:rPr>
        <w:t xml:space="preserve">, sumienia lub </w:t>
      </w:r>
      <w:r w:rsidR="00FF283D">
        <w:rPr>
          <w:rStyle w:val="tlid-translation"/>
        </w:rPr>
        <w:t xml:space="preserve">stowarzyszania </w:t>
      </w:r>
      <w:r>
        <w:rPr>
          <w:rStyle w:val="tlid-translation"/>
        </w:rPr>
        <w:t>się: zawsze był w</w:t>
      </w:r>
      <w:r w:rsidR="00D57C4F">
        <w:rPr>
          <w:rStyle w:val="tlid-translation"/>
        </w:rPr>
        <w:t> </w:t>
      </w:r>
      <w:r>
        <w:rPr>
          <w:rStyle w:val="tlid-translation"/>
        </w:rPr>
        <w:t>stanie wyra</w:t>
      </w:r>
      <w:r w:rsidR="00FF283D">
        <w:rPr>
          <w:rStyle w:val="tlid-translation"/>
        </w:rPr>
        <w:t>ża</w:t>
      </w:r>
      <w:r>
        <w:rPr>
          <w:rStyle w:val="tlid-translation"/>
        </w:rPr>
        <w:t>ć się swobodnie i dołącz</w:t>
      </w:r>
      <w:r w:rsidR="003F6220">
        <w:rPr>
          <w:rStyle w:val="tlid-translation"/>
        </w:rPr>
        <w:t>a</w:t>
      </w:r>
      <w:r>
        <w:rPr>
          <w:rStyle w:val="tlid-translation"/>
        </w:rPr>
        <w:t xml:space="preserve">ć do stowarzyszeń, które wybrał, nadal jest członkiem </w:t>
      </w:r>
      <w:r w:rsidR="00FF283D">
        <w:rPr>
          <w:rStyle w:val="tlid-translation"/>
        </w:rPr>
        <w:t>społeczności</w:t>
      </w:r>
      <w:r>
        <w:rPr>
          <w:rStyle w:val="tlid-translation"/>
        </w:rPr>
        <w:t xml:space="preserve"> </w:t>
      </w:r>
      <w:proofErr w:type="spellStart"/>
      <w:r w:rsidR="00453306" w:rsidRPr="001706B2">
        <w:rPr>
          <w:i/>
          <w:iCs/>
        </w:rPr>
        <w:t>Paix</w:t>
      </w:r>
      <w:proofErr w:type="spellEnd"/>
      <w:r w:rsidR="00453306" w:rsidRPr="001706B2">
        <w:rPr>
          <w:i/>
          <w:iCs/>
        </w:rPr>
        <w:t xml:space="preserve"> </w:t>
      </w:r>
      <w:proofErr w:type="spellStart"/>
      <w:r w:rsidR="00453306" w:rsidRPr="001706B2">
        <w:rPr>
          <w:i/>
          <w:iCs/>
        </w:rPr>
        <w:t>comme</w:t>
      </w:r>
      <w:proofErr w:type="spellEnd"/>
      <w:r w:rsidR="00453306" w:rsidRPr="001706B2">
        <w:rPr>
          <w:i/>
          <w:iCs/>
        </w:rPr>
        <w:t xml:space="preserve"> </w:t>
      </w:r>
      <w:proofErr w:type="spellStart"/>
      <w:r w:rsidR="00453306" w:rsidRPr="001706B2">
        <w:rPr>
          <w:i/>
          <w:iCs/>
        </w:rPr>
        <w:t>Palestine</w:t>
      </w:r>
      <w:proofErr w:type="spellEnd"/>
      <w:r>
        <w:rPr>
          <w:rStyle w:val="tlid-translation"/>
        </w:rPr>
        <w:t xml:space="preserve"> i nigdy nie był karany za swoje opinie, za udział w manifestacjach lub członkostwo w</w:t>
      </w:r>
      <w:r w:rsidR="00D57C4F">
        <w:rPr>
          <w:rStyle w:val="tlid-translation"/>
        </w:rPr>
        <w:t> </w:t>
      </w:r>
      <w:r>
        <w:rPr>
          <w:rStyle w:val="tlid-translation"/>
        </w:rPr>
        <w:t xml:space="preserve">stowarzyszeniu. Po drugie, Rząd podkreśla, że państwo </w:t>
      </w:r>
      <w:r w:rsidR="003F6220">
        <w:rPr>
          <w:rStyle w:val="tlid-translation"/>
        </w:rPr>
        <w:t>korzysta z</w:t>
      </w:r>
      <w:r w:rsidR="00D57C4F">
        <w:rPr>
          <w:rStyle w:val="tlid-translation"/>
        </w:rPr>
        <w:t> </w:t>
      </w:r>
      <w:r>
        <w:rPr>
          <w:rStyle w:val="tlid-translation"/>
        </w:rPr>
        <w:t>margines</w:t>
      </w:r>
      <w:r w:rsidR="003F6220">
        <w:rPr>
          <w:rStyle w:val="tlid-translation"/>
        </w:rPr>
        <w:t>u</w:t>
      </w:r>
      <w:r>
        <w:rPr>
          <w:rStyle w:val="tlid-translation"/>
        </w:rPr>
        <w:t xml:space="preserve"> </w:t>
      </w:r>
      <w:r w:rsidR="00DE4D09">
        <w:rPr>
          <w:rStyle w:val="tlid-translation"/>
        </w:rPr>
        <w:t xml:space="preserve">oceny </w:t>
      </w:r>
      <w:r>
        <w:rPr>
          <w:rStyle w:val="tlid-translation"/>
        </w:rPr>
        <w:t xml:space="preserve">w zakresie warunków przyznawania obywatelstwa, zwracając uwagę w szczególności, że naturalizacja lub </w:t>
      </w:r>
      <w:r w:rsidR="00FF283D">
        <w:rPr>
          <w:rStyle w:val="tlid-translation"/>
        </w:rPr>
        <w:t>przywrócenie</w:t>
      </w:r>
      <w:r>
        <w:rPr>
          <w:rStyle w:val="tlid-translation"/>
        </w:rPr>
        <w:t xml:space="preserve"> obywatelstwa nie są prawem w prawie francuskim, ale przysługą wyświadczoną przez państwo. Dodaje, że jeśli administracja ma w związku z tym swobodę decyzyjną i może także odmówić naturalizacji lub</w:t>
      </w:r>
      <w:r w:rsidR="00D57C4F">
        <w:rPr>
          <w:rStyle w:val="tlid-translation"/>
        </w:rPr>
        <w:t> </w:t>
      </w:r>
      <w:r>
        <w:rPr>
          <w:rStyle w:val="tlid-translation"/>
        </w:rPr>
        <w:t>przywrócenia obywatelstwa, zainteresowane strony są zabezpieczone przed arbitralnością, ponieważ administracja jest zobowiązana do</w:t>
      </w:r>
      <w:r w:rsidR="00D57C4F">
        <w:rPr>
          <w:rStyle w:val="tlid-translation"/>
        </w:rPr>
        <w:t> </w:t>
      </w:r>
      <w:r>
        <w:rPr>
          <w:rStyle w:val="tlid-translation"/>
        </w:rPr>
        <w:t xml:space="preserve">uzasadnienia decyzji odmownych, i ponieważ mogą przekazać </w:t>
      </w:r>
      <w:r w:rsidR="00BD448C">
        <w:rPr>
          <w:rStyle w:val="tlid-translation"/>
        </w:rPr>
        <w:t>sprawę o</w:t>
      </w:r>
      <w:r w:rsidR="00D57C4F">
        <w:rPr>
          <w:rStyle w:val="tlid-translation"/>
        </w:rPr>
        <w:t> </w:t>
      </w:r>
      <w:r w:rsidR="00BD448C">
        <w:rPr>
          <w:rStyle w:val="tlid-translation"/>
        </w:rPr>
        <w:t xml:space="preserve">przekroczenie uprawnień </w:t>
      </w:r>
      <w:r>
        <w:rPr>
          <w:rStyle w:val="tlid-translation"/>
        </w:rPr>
        <w:t xml:space="preserve">sędziemu, który orzeka </w:t>
      </w:r>
      <w:r w:rsidR="00FF283D">
        <w:rPr>
          <w:rStyle w:val="tlid-translation"/>
        </w:rPr>
        <w:t>po przeprowadzeniu postępowania kontradyktoryjnego</w:t>
      </w:r>
      <w:r>
        <w:rPr>
          <w:rStyle w:val="tlid-translation"/>
        </w:rPr>
        <w:t>. W odniesieniu do</w:t>
      </w:r>
      <w:r w:rsidR="00453306">
        <w:rPr>
          <w:rStyle w:val="tlid-translation"/>
        </w:rPr>
        <w:t xml:space="preserve"> przedstawionych</w:t>
      </w:r>
      <w:r>
        <w:rPr>
          <w:rStyle w:val="tlid-translation"/>
        </w:rPr>
        <w:t xml:space="preserve"> przyczyn</w:t>
      </w:r>
      <w:r w:rsidR="00453306">
        <w:rPr>
          <w:rStyle w:val="tlid-translation"/>
        </w:rPr>
        <w:t xml:space="preserve"> </w:t>
      </w:r>
      <w:r w:rsidR="00453306" w:rsidRPr="007253E5">
        <w:rPr>
          <w:rStyle w:val="tlid-translation"/>
        </w:rPr>
        <w:t>odmowy</w:t>
      </w:r>
      <w:r w:rsidR="007D7F41" w:rsidRPr="007253E5">
        <w:rPr>
          <w:rStyle w:val="tlid-translation"/>
        </w:rPr>
        <w:t xml:space="preserve"> uwzględnienia wniosku Skarżącego</w:t>
      </w:r>
      <w:r>
        <w:rPr>
          <w:rStyle w:val="tlid-translation"/>
        </w:rPr>
        <w:t xml:space="preserve"> Rząd twierdzi, że</w:t>
      </w:r>
      <w:r w:rsidR="00D57C4F">
        <w:rPr>
          <w:rStyle w:val="tlid-translation"/>
        </w:rPr>
        <w:t> </w:t>
      </w:r>
      <w:r>
        <w:rPr>
          <w:rStyle w:val="tlid-translation"/>
        </w:rPr>
        <w:t xml:space="preserve">Trybunał orzekł w sprawie </w:t>
      </w:r>
      <w:proofErr w:type="spellStart"/>
      <w:r w:rsidRPr="00D74DE5">
        <w:rPr>
          <w:rStyle w:val="tlid-translation"/>
          <w:i/>
        </w:rPr>
        <w:t>Petropavlovskis</w:t>
      </w:r>
      <w:proofErr w:type="spellEnd"/>
      <w:r w:rsidRPr="00D74DE5">
        <w:rPr>
          <w:rStyle w:val="tlid-translation"/>
          <w:i/>
        </w:rPr>
        <w:t xml:space="preserve"> przeciwko Łotwie</w:t>
      </w:r>
      <w:r>
        <w:rPr>
          <w:rStyle w:val="tlid-translation"/>
        </w:rPr>
        <w:t xml:space="preserve"> (nr</w:t>
      </w:r>
      <w:r w:rsidR="00D57C4F">
        <w:rPr>
          <w:rStyle w:val="tlid-translation"/>
        </w:rPr>
        <w:t> </w:t>
      </w:r>
      <w:r>
        <w:rPr>
          <w:rStyle w:val="tlid-translation"/>
        </w:rPr>
        <w:t xml:space="preserve">44230/06, § 84, EKPC 2015), że państwa mają prawo domagać się </w:t>
      </w:r>
      <w:r w:rsidR="007D7F41">
        <w:rPr>
          <w:rStyle w:val="tlid-translation"/>
        </w:rPr>
        <w:t>od</w:t>
      </w:r>
      <w:r w:rsidR="00D57C4F">
        <w:rPr>
          <w:rStyle w:val="tlid-translation"/>
        </w:rPr>
        <w:t> </w:t>
      </w:r>
      <w:r w:rsidR="007D7F41">
        <w:rPr>
          <w:rStyle w:val="tlid-translation"/>
        </w:rPr>
        <w:t xml:space="preserve">wnioskodawcy </w:t>
      </w:r>
      <w:r>
        <w:rPr>
          <w:rStyle w:val="tlid-translation"/>
        </w:rPr>
        <w:t xml:space="preserve">pewnej lojalności, </w:t>
      </w:r>
      <w:r w:rsidR="007D7F41">
        <w:rPr>
          <w:rStyle w:val="tlid-translation"/>
        </w:rPr>
        <w:t>wobec Skarżącego</w:t>
      </w:r>
      <w:r>
        <w:rPr>
          <w:rStyle w:val="tlid-translation"/>
        </w:rPr>
        <w:t xml:space="preserve"> nie </w:t>
      </w:r>
      <w:r w:rsidR="00173536">
        <w:rPr>
          <w:rStyle w:val="tlid-translation"/>
        </w:rPr>
        <w:t>czyniono</w:t>
      </w:r>
      <w:r w:rsidR="007D7F41">
        <w:rPr>
          <w:rStyle w:val="tlid-translation"/>
        </w:rPr>
        <w:t xml:space="preserve"> zarzutów </w:t>
      </w:r>
      <w:r w:rsidR="003F6220">
        <w:rPr>
          <w:rStyle w:val="tlid-translation"/>
        </w:rPr>
        <w:t xml:space="preserve">odnośnie do </w:t>
      </w:r>
      <w:r w:rsidR="007D7F41">
        <w:rPr>
          <w:rStyle w:val="tlid-translation"/>
        </w:rPr>
        <w:t>jego przekonań</w:t>
      </w:r>
      <w:r>
        <w:rPr>
          <w:rStyle w:val="tlid-translation"/>
        </w:rPr>
        <w:t xml:space="preserve">, </w:t>
      </w:r>
      <w:r w:rsidR="007D7F41">
        <w:rPr>
          <w:rStyle w:val="tlid-translation"/>
        </w:rPr>
        <w:t>opinii lub zobowiązań stowarzyszeniowych</w:t>
      </w:r>
      <w:r>
        <w:rPr>
          <w:rStyle w:val="tlid-translation"/>
        </w:rPr>
        <w:t xml:space="preserve">, </w:t>
      </w:r>
      <w:r w:rsidR="00BD448C">
        <w:rPr>
          <w:rStyle w:val="tlid-translation"/>
        </w:rPr>
        <w:t xml:space="preserve">a </w:t>
      </w:r>
      <w:r>
        <w:rPr>
          <w:rStyle w:val="tlid-translation"/>
        </w:rPr>
        <w:t xml:space="preserve">władze po prostu uznały, że jego naturalizacja jest niewłaściwa, </w:t>
      </w:r>
      <w:r w:rsidR="007D7F41">
        <w:rPr>
          <w:rStyle w:val="tlid-translation"/>
        </w:rPr>
        <w:t xml:space="preserve">gdyż </w:t>
      </w:r>
      <w:r w:rsidR="00F61A79">
        <w:rPr>
          <w:rStyle w:val="tlid-translation"/>
        </w:rPr>
        <w:t>„</w:t>
      </w:r>
      <w:r>
        <w:rPr>
          <w:rStyle w:val="tlid-translation"/>
        </w:rPr>
        <w:t xml:space="preserve">jego udział w pro-palestyńskim ruchu może wzbudzić wątpliwości co do </w:t>
      </w:r>
      <w:r w:rsidR="007D7F41">
        <w:rPr>
          <w:rStyle w:val="tlid-translation"/>
        </w:rPr>
        <w:t xml:space="preserve">jego </w:t>
      </w:r>
      <w:r>
        <w:rPr>
          <w:rStyle w:val="tlid-translation"/>
        </w:rPr>
        <w:t>lojalności wobec instytucji</w:t>
      </w:r>
      <w:r w:rsidR="003F6220" w:rsidRPr="003F6220">
        <w:rPr>
          <w:rStyle w:val="tlid-translation"/>
        </w:rPr>
        <w:t xml:space="preserve"> </w:t>
      </w:r>
      <w:r w:rsidR="003F6220">
        <w:rPr>
          <w:rStyle w:val="tlid-translation"/>
        </w:rPr>
        <w:t>francuskich”</w:t>
      </w:r>
      <w:r>
        <w:rPr>
          <w:rStyle w:val="tlid-translation"/>
        </w:rPr>
        <w:t xml:space="preserve">. W związku z powyższym, odnosząc się do cytowanego powyżej wyroku w sprawie </w:t>
      </w:r>
      <w:proofErr w:type="spellStart"/>
      <w:r w:rsidRPr="00D74DE5">
        <w:rPr>
          <w:rStyle w:val="tlid-translation"/>
          <w:i/>
        </w:rPr>
        <w:t>Petropavlovskis</w:t>
      </w:r>
      <w:proofErr w:type="spellEnd"/>
      <w:r>
        <w:rPr>
          <w:rStyle w:val="tlid-translation"/>
        </w:rPr>
        <w:t>, Rząd zwraca się do Trybunału, aby ten uznał, że art</w:t>
      </w:r>
      <w:r w:rsidR="00DE4D09">
        <w:rPr>
          <w:rStyle w:val="tlid-translation"/>
        </w:rPr>
        <w:t>.</w:t>
      </w:r>
      <w:r>
        <w:rPr>
          <w:rStyle w:val="tlid-translation"/>
        </w:rPr>
        <w:t xml:space="preserve"> 9, 10 i</w:t>
      </w:r>
      <w:r w:rsidR="00D57C4F">
        <w:rPr>
          <w:rStyle w:val="tlid-translation"/>
        </w:rPr>
        <w:t> </w:t>
      </w:r>
      <w:r>
        <w:rPr>
          <w:rStyle w:val="tlid-translation"/>
        </w:rPr>
        <w:t>11 Konwencji nie mają w tym przypadku zastosowania</w:t>
      </w:r>
      <w:r w:rsidRPr="00A14D9F">
        <w:rPr>
          <w:snapToGrid w:val="0"/>
        </w:rPr>
        <w:t>.</w:t>
      </w:r>
    </w:p>
    <w:p w14:paraId="25514862" w14:textId="21CE3DEA" w:rsidR="00DF36FA" w:rsidRPr="007231BE" w:rsidRDefault="00DF36FA" w:rsidP="004B7264">
      <w:pPr>
        <w:ind w:firstLine="284"/>
        <w:rPr>
          <w:rFonts w:eastAsia="Times New Roman"/>
          <w:lang w:val="pl-PL" w:eastAsia="pl-PL"/>
        </w:rPr>
      </w:pPr>
      <w:r w:rsidRPr="006D5227">
        <w:rPr>
          <w:snapToGrid w:val="0"/>
          <w:lang w:val="pl-PL"/>
        </w:rPr>
        <w:t>17.</w:t>
      </w:r>
      <w:r w:rsidR="00DE4D09">
        <w:rPr>
          <w:snapToGrid w:val="0"/>
          <w:lang w:val="pl-PL"/>
        </w:rPr>
        <w:t xml:space="preserve"> </w:t>
      </w:r>
      <w:r>
        <w:rPr>
          <w:rFonts w:eastAsia="Times New Roman"/>
          <w:lang w:val="pl-PL" w:eastAsia="pl-PL"/>
        </w:rPr>
        <w:t>Ponadto</w:t>
      </w:r>
      <w:r w:rsidR="00173536">
        <w:rPr>
          <w:rFonts w:eastAsia="Times New Roman"/>
          <w:lang w:val="pl-PL" w:eastAsia="pl-PL"/>
        </w:rPr>
        <w:t xml:space="preserve"> </w:t>
      </w:r>
      <w:r w:rsidRPr="007231BE">
        <w:rPr>
          <w:rFonts w:eastAsia="Times New Roman"/>
          <w:lang w:val="pl-PL" w:eastAsia="pl-PL"/>
        </w:rPr>
        <w:t>Rząd zwraca się do Trybunału o stwierdzenie, że</w:t>
      </w:r>
      <w:r w:rsidR="00D57C4F">
        <w:rPr>
          <w:rFonts w:eastAsia="Times New Roman"/>
          <w:lang w:val="pl-PL" w:eastAsia="pl-PL"/>
        </w:rPr>
        <w:t> </w:t>
      </w:r>
      <w:r w:rsidRPr="007231BE">
        <w:rPr>
          <w:rFonts w:eastAsia="Times New Roman"/>
          <w:lang w:val="pl-PL" w:eastAsia="pl-PL"/>
        </w:rPr>
        <w:t>w</w:t>
      </w:r>
      <w:r w:rsidR="00D57C4F">
        <w:rPr>
          <w:rFonts w:eastAsia="Times New Roman"/>
          <w:lang w:val="pl-PL" w:eastAsia="pl-PL"/>
        </w:rPr>
        <w:t> </w:t>
      </w:r>
      <w:r w:rsidRPr="007231BE">
        <w:rPr>
          <w:rFonts w:eastAsia="Times New Roman"/>
          <w:lang w:val="pl-PL" w:eastAsia="pl-PL"/>
        </w:rPr>
        <w:t>niniejszym przypadku nie doszło do ingerencji organu publicznego w</w:t>
      </w:r>
      <w:r w:rsidR="00D57C4F">
        <w:rPr>
          <w:rFonts w:eastAsia="Times New Roman"/>
          <w:lang w:val="pl-PL" w:eastAsia="pl-PL"/>
        </w:rPr>
        <w:t> </w:t>
      </w:r>
      <w:r w:rsidRPr="007231BE">
        <w:rPr>
          <w:rFonts w:eastAsia="Times New Roman"/>
          <w:lang w:val="pl-PL" w:eastAsia="pl-PL"/>
        </w:rPr>
        <w:t xml:space="preserve">wykonywanie </w:t>
      </w:r>
      <w:r w:rsidR="007D7F41">
        <w:rPr>
          <w:rFonts w:eastAsia="Times New Roman"/>
          <w:lang w:val="pl-PL" w:eastAsia="pl-PL"/>
        </w:rPr>
        <w:t xml:space="preserve">wolności </w:t>
      </w:r>
      <w:r w:rsidRPr="007231BE">
        <w:rPr>
          <w:rFonts w:eastAsia="Times New Roman"/>
          <w:lang w:val="pl-PL" w:eastAsia="pl-PL"/>
        </w:rPr>
        <w:t>gwarantowanych przez te przepisy</w:t>
      </w:r>
      <w:r w:rsidR="007D7F41">
        <w:rPr>
          <w:rFonts w:eastAsia="Times New Roman"/>
          <w:lang w:val="pl-PL" w:eastAsia="pl-PL"/>
        </w:rPr>
        <w:t>, zważywszy</w:t>
      </w:r>
      <w:r>
        <w:rPr>
          <w:rFonts w:eastAsia="Times New Roman"/>
          <w:lang w:val="pl-PL" w:eastAsia="pl-PL"/>
        </w:rPr>
        <w:t xml:space="preserve"> że </w:t>
      </w:r>
      <w:r w:rsidRPr="007231BE">
        <w:rPr>
          <w:rFonts w:eastAsia="Times New Roman"/>
          <w:lang w:val="pl-PL" w:eastAsia="pl-PL"/>
        </w:rPr>
        <w:t>odrzuceni</w:t>
      </w:r>
      <w:r>
        <w:rPr>
          <w:rFonts w:eastAsia="Times New Roman"/>
          <w:lang w:val="pl-PL" w:eastAsia="pl-PL"/>
        </w:rPr>
        <w:t xml:space="preserve">e </w:t>
      </w:r>
      <w:r w:rsidRPr="007231BE">
        <w:rPr>
          <w:rFonts w:eastAsia="Times New Roman"/>
          <w:lang w:val="pl-PL" w:eastAsia="pl-PL"/>
        </w:rPr>
        <w:t xml:space="preserve">wniosku </w:t>
      </w:r>
      <w:r>
        <w:rPr>
          <w:rFonts w:eastAsia="Times New Roman"/>
          <w:lang w:val="pl-PL" w:eastAsia="pl-PL"/>
        </w:rPr>
        <w:t>Skarżącego</w:t>
      </w:r>
      <w:r w:rsidRPr="007231BE">
        <w:rPr>
          <w:rFonts w:eastAsia="Times New Roman"/>
          <w:lang w:val="pl-PL" w:eastAsia="pl-PL"/>
        </w:rPr>
        <w:t xml:space="preserve"> nie miał</w:t>
      </w:r>
      <w:r>
        <w:rPr>
          <w:rFonts w:eastAsia="Times New Roman"/>
          <w:lang w:val="pl-PL" w:eastAsia="pl-PL"/>
        </w:rPr>
        <w:t>o</w:t>
      </w:r>
      <w:r w:rsidRPr="007231BE">
        <w:rPr>
          <w:rFonts w:eastAsia="Times New Roman"/>
          <w:lang w:val="pl-PL" w:eastAsia="pl-PL"/>
        </w:rPr>
        <w:t xml:space="preserve"> na nie</w:t>
      </w:r>
      <w:r>
        <w:rPr>
          <w:rFonts w:eastAsia="Times New Roman"/>
          <w:lang w:val="pl-PL" w:eastAsia="pl-PL"/>
        </w:rPr>
        <w:t xml:space="preserve"> żadnego</w:t>
      </w:r>
      <w:r w:rsidRPr="007231BE">
        <w:rPr>
          <w:rFonts w:eastAsia="Times New Roman"/>
          <w:lang w:val="pl-PL" w:eastAsia="pl-PL"/>
        </w:rPr>
        <w:t xml:space="preserve"> wpływu. Zakładając, że Trybunał uzna, że doszło do takiej ingerencji, należy zauważyć, że została ona przewidziana przez prawo (Rząd od</w:t>
      </w:r>
      <w:r>
        <w:rPr>
          <w:rFonts w:eastAsia="Times New Roman"/>
          <w:lang w:val="pl-PL" w:eastAsia="pl-PL"/>
        </w:rPr>
        <w:t>wołuje się</w:t>
      </w:r>
      <w:r w:rsidRPr="007231BE">
        <w:rPr>
          <w:rFonts w:eastAsia="Times New Roman"/>
          <w:lang w:val="pl-PL" w:eastAsia="pl-PL"/>
        </w:rPr>
        <w:t xml:space="preserve"> w</w:t>
      </w:r>
      <w:r w:rsidR="00D57C4F">
        <w:rPr>
          <w:rFonts w:eastAsia="Times New Roman"/>
          <w:lang w:val="pl-PL" w:eastAsia="pl-PL"/>
        </w:rPr>
        <w:t> </w:t>
      </w:r>
      <w:r w:rsidRPr="007231BE">
        <w:rPr>
          <w:rFonts w:eastAsia="Times New Roman"/>
          <w:lang w:val="pl-PL" w:eastAsia="pl-PL"/>
        </w:rPr>
        <w:t>szczególności do art</w:t>
      </w:r>
      <w:r w:rsidR="00DE4D09">
        <w:rPr>
          <w:rFonts w:eastAsia="Times New Roman"/>
          <w:lang w:val="pl-PL" w:eastAsia="pl-PL"/>
        </w:rPr>
        <w:t>.</w:t>
      </w:r>
      <w:r w:rsidRPr="007231BE">
        <w:rPr>
          <w:rFonts w:eastAsia="Times New Roman"/>
          <w:lang w:val="pl-PL" w:eastAsia="pl-PL"/>
        </w:rPr>
        <w:t xml:space="preserve"> 36 dekretu nr 93-1362 z dnia 30 grudnia 1993 r.) </w:t>
      </w:r>
      <w:r>
        <w:rPr>
          <w:rFonts w:eastAsia="Times New Roman"/>
          <w:lang w:val="pl-PL" w:eastAsia="pl-PL"/>
        </w:rPr>
        <w:t>i</w:t>
      </w:r>
      <w:r w:rsidR="00D57C4F">
        <w:rPr>
          <w:rFonts w:eastAsia="Times New Roman"/>
          <w:lang w:val="pl-PL" w:eastAsia="pl-PL"/>
        </w:rPr>
        <w:t> </w:t>
      </w:r>
      <w:r w:rsidRPr="007231BE">
        <w:rPr>
          <w:rStyle w:val="tlid-translation"/>
          <w:lang w:val="pl-PL"/>
        </w:rPr>
        <w:t xml:space="preserve">służyła </w:t>
      </w:r>
      <w:r w:rsidR="007D7F41">
        <w:rPr>
          <w:rStyle w:val="tlid-translation"/>
          <w:lang w:val="pl-PL"/>
        </w:rPr>
        <w:t xml:space="preserve">uprawnionemu </w:t>
      </w:r>
      <w:r w:rsidRPr="007231BE">
        <w:rPr>
          <w:rStyle w:val="tlid-translation"/>
          <w:lang w:val="pl-PL"/>
        </w:rPr>
        <w:t>celowi</w:t>
      </w:r>
      <w:r w:rsidRPr="007231BE">
        <w:rPr>
          <w:rFonts w:eastAsia="Times New Roman"/>
          <w:lang w:val="pl-PL" w:eastAsia="pl-PL"/>
        </w:rPr>
        <w:t>: bezpieczeństw</w:t>
      </w:r>
      <w:r>
        <w:rPr>
          <w:rFonts w:eastAsia="Times New Roman"/>
          <w:lang w:val="pl-PL" w:eastAsia="pl-PL"/>
        </w:rPr>
        <w:t>u</w:t>
      </w:r>
      <w:r w:rsidRPr="007231BE">
        <w:rPr>
          <w:rFonts w:eastAsia="Times New Roman"/>
          <w:lang w:val="pl-PL" w:eastAsia="pl-PL"/>
        </w:rPr>
        <w:t xml:space="preserve"> publiczne</w:t>
      </w:r>
      <w:r>
        <w:rPr>
          <w:rFonts w:eastAsia="Times New Roman"/>
          <w:lang w:val="pl-PL" w:eastAsia="pl-PL"/>
        </w:rPr>
        <w:t>mu</w:t>
      </w:r>
      <w:r w:rsidRPr="007231BE">
        <w:rPr>
          <w:rFonts w:eastAsia="Times New Roman"/>
          <w:lang w:val="pl-PL" w:eastAsia="pl-PL"/>
        </w:rPr>
        <w:t xml:space="preserve"> i ochron</w:t>
      </w:r>
      <w:r>
        <w:rPr>
          <w:rFonts w:eastAsia="Times New Roman"/>
          <w:lang w:val="pl-PL" w:eastAsia="pl-PL"/>
        </w:rPr>
        <w:t>ie</w:t>
      </w:r>
      <w:r w:rsidRPr="007231BE">
        <w:rPr>
          <w:rFonts w:eastAsia="Times New Roman"/>
          <w:lang w:val="pl-PL" w:eastAsia="pl-PL"/>
        </w:rPr>
        <w:t xml:space="preserve"> porządku publicznego i moralności. Należy również zauważyć, </w:t>
      </w:r>
      <w:r w:rsidRPr="007231BE">
        <w:rPr>
          <w:rFonts w:eastAsia="Times New Roman"/>
          <w:lang w:val="pl-PL" w:eastAsia="pl-PL"/>
        </w:rPr>
        <w:lastRenderedPageBreak/>
        <w:t>że</w:t>
      </w:r>
      <w:r w:rsidR="00D57C4F">
        <w:rPr>
          <w:rFonts w:eastAsia="Times New Roman"/>
          <w:lang w:val="pl-PL" w:eastAsia="pl-PL"/>
        </w:rPr>
        <w:t> </w:t>
      </w:r>
      <w:r w:rsidRPr="007231BE">
        <w:rPr>
          <w:rFonts w:eastAsia="Times New Roman"/>
          <w:lang w:val="pl-PL" w:eastAsia="pl-PL"/>
        </w:rPr>
        <w:t>w</w:t>
      </w:r>
      <w:r w:rsidR="00D57C4F">
        <w:rPr>
          <w:rFonts w:eastAsia="Times New Roman"/>
          <w:lang w:val="pl-PL" w:eastAsia="pl-PL"/>
        </w:rPr>
        <w:t> </w:t>
      </w:r>
      <w:r w:rsidRPr="007231BE">
        <w:rPr>
          <w:rFonts w:eastAsia="Times New Roman"/>
          <w:lang w:val="pl-PL" w:eastAsia="pl-PL"/>
        </w:rPr>
        <w:t xml:space="preserve">dziedzinie naturalizacji, w której państwo musi dysponować szerokim marginesem </w:t>
      </w:r>
      <w:r>
        <w:rPr>
          <w:rFonts w:eastAsia="Times New Roman"/>
          <w:lang w:val="pl-PL" w:eastAsia="pl-PL"/>
        </w:rPr>
        <w:t>oceny</w:t>
      </w:r>
      <w:r w:rsidRPr="007231BE">
        <w:rPr>
          <w:rFonts w:eastAsia="Times New Roman"/>
          <w:lang w:val="pl-PL" w:eastAsia="pl-PL"/>
        </w:rPr>
        <w:t xml:space="preserve">, </w:t>
      </w:r>
      <w:r>
        <w:rPr>
          <w:rFonts w:eastAsia="Times New Roman"/>
          <w:lang w:val="pl-PL" w:eastAsia="pl-PL"/>
        </w:rPr>
        <w:t xml:space="preserve">fakt </w:t>
      </w:r>
      <w:r w:rsidRPr="007231BE">
        <w:rPr>
          <w:rFonts w:eastAsia="Times New Roman"/>
          <w:lang w:val="pl-PL" w:eastAsia="pl-PL"/>
        </w:rPr>
        <w:t xml:space="preserve">przyznania lub odmowy naturalizacji cudzoziemcowi, którego </w:t>
      </w:r>
      <w:r w:rsidR="007D7F41">
        <w:rPr>
          <w:rFonts w:eastAsia="Times New Roman"/>
          <w:lang w:val="pl-PL" w:eastAsia="pl-PL"/>
        </w:rPr>
        <w:t xml:space="preserve">zobowiązania </w:t>
      </w:r>
      <w:r w:rsidRPr="007231BE">
        <w:rPr>
          <w:rFonts w:eastAsia="Times New Roman"/>
          <w:lang w:val="pl-PL" w:eastAsia="pl-PL"/>
        </w:rPr>
        <w:t xml:space="preserve">bojowe wzbudzają wątpliwości </w:t>
      </w:r>
      <w:r>
        <w:rPr>
          <w:rFonts w:eastAsia="Times New Roman"/>
          <w:lang w:val="pl-PL" w:eastAsia="pl-PL"/>
        </w:rPr>
        <w:t>co</w:t>
      </w:r>
      <w:r w:rsidR="00D57C4F">
        <w:rPr>
          <w:rFonts w:eastAsia="Times New Roman"/>
          <w:lang w:val="pl-PL" w:eastAsia="pl-PL"/>
        </w:rPr>
        <w:t> </w:t>
      </w:r>
      <w:r>
        <w:rPr>
          <w:rFonts w:eastAsia="Times New Roman"/>
          <w:lang w:val="pl-PL" w:eastAsia="pl-PL"/>
        </w:rPr>
        <w:t xml:space="preserve">do jego </w:t>
      </w:r>
      <w:r w:rsidRPr="007231BE">
        <w:rPr>
          <w:rFonts w:eastAsia="Times New Roman"/>
          <w:lang w:val="pl-PL" w:eastAsia="pl-PL"/>
        </w:rPr>
        <w:t>lojalność wobec instytucji francuskich, nie stanowi w</w:t>
      </w:r>
      <w:r w:rsidR="00D57C4F">
        <w:rPr>
          <w:rFonts w:eastAsia="Times New Roman"/>
          <w:lang w:val="pl-PL" w:eastAsia="pl-PL"/>
        </w:rPr>
        <w:t> </w:t>
      </w:r>
      <w:r w:rsidRPr="007231BE">
        <w:rPr>
          <w:rFonts w:eastAsia="Times New Roman"/>
          <w:lang w:val="pl-PL" w:eastAsia="pl-PL"/>
        </w:rPr>
        <w:t xml:space="preserve">społeczeństwie demokratycznym nadmiernego naruszenia wolności </w:t>
      </w:r>
      <w:r w:rsidR="007D7F41">
        <w:rPr>
          <w:rFonts w:eastAsia="Times New Roman"/>
          <w:lang w:val="pl-PL" w:eastAsia="pl-PL"/>
        </w:rPr>
        <w:t>wyrażania opinii</w:t>
      </w:r>
      <w:r w:rsidRPr="007231BE">
        <w:rPr>
          <w:rFonts w:eastAsia="Times New Roman"/>
          <w:lang w:val="pl-PL" w:eastAsia="pl-PL"/>
        </w:rPr>
        <w:t xml:space="preserve">, sumienia i </w:t>
      </w:r>
      <w:r w:rsidR="007D7F41">
        <w:rPr>
          <w:rFonts w:eastAsia="Times New Roman"/>
          <w:lang w:val="pl-PL" w:eastAsia="pl-PL"/>
        </w:rPr>
        <w:t>stowarzyszania</w:t>
      </w:r>
      <w:r w:rsidRPr="007231BE">
        <w:rPr>
          <w:rFonts w:eastAsia="Times New Roman"/>
          <w:lang w:val="pl-PL" w:eastAsia="pl-PL"/>
        </w:rPr>
        <w:t xml:space="preserve"> się, </w:t>
      </w:r>
      <w:r w:rsidR="00173536">
        <w:rPr>
          <w:rFonts w:eastAsia="Times New Roman"/>
          <w:lang w:val="pl-PL" w:eastAsia="pl-PL"/>
        </w:rPr>
        <w:t xml:space="preserve">zważywszy że </w:t>
      </w:r>
      <w:r w:rsidRPr="007231BE">
        <w:rPr>
          <w:rFonts w:eastAsia="Times New Roman"/>
          <w:lang w:val="pl-PL" w:eastAsia="pl-PL"/>
        </w:rPr>
        <w:t>wątpliwoś</w:t>
      </w:r>
      <w:r w:rsidR="007D7F41">
        <w:rPr>
          <w:rFonts w:eastAsia="Times New Roman"/>
          <w:lang w:val="pl-PL" w:eastAsia="pl-PL"/>
        </w:rPr>
        <w:t>ci te</w:t>
      </w:r>
      <w:r w:rsidRPr="007231BE">
        <w:rPr>
          <w:rFonts w:eastAsia="Times New Roman"/>
          <w:lang w:val="pl-PL" w:eastAsia="pl-PL"/>
        </w:rPr>
        <w:t xml:space="preserve"> opiera</w:t>
      </w:r>
      <w:r w:rsidR="007D7F41">
        <w:rPr>
          <w:rFonts w:eastAsia="Times New Roman"/>
          <w:lang w:val="pl-PL" w:eastAsia="pl-PL"/>
        </w:rPr>
        <w:t>ją</w:t>
      </w:r>
      <w:r w:rsidRPr="007231BE">
        <w:rPr>
          <w:rFonts w:eastAsia="Times New Roman"/>
          <w:lang w:val="pl-PL" w:eastAsia="pl-PL"/>
        </w:rPr>
        <w:t xml:space="preserve"> się na ustalonych faktach</w:t>
      </w:r>
      <w:r w:rsidRPr="007231BE">
        <w:rPr>
          <w:snapToGrid w:val="0"/>
          <w:lang w:val="pl-PL"/>
        </w:rPr>
        <w:t>.</w:t>
      </w:r>
    </w:p>
    <w:p w14:paraId="3A52AD3F" w14:textId="77777777" w:rsidR="00DF36FA" w:rsidRPr="007231BE" w:rsidRDefault="00DF36FA" w:rsidP="00271D9A">
      <w:pPr>
        <w:pStyle w:val="ECHRHeading3"/>
        <w:rPr>
          <w:lang w:val="pl-PL"/>
        </w:rPr>
      </w:pPr>
      <w:r w:rsidRPr="007231BE">
        <w:rPr>
          <w:lang w:val="pl-PL"/>
        </w:rPr>
        <w:t>2.</w:t>
      </w:r>
      <w:r w:rsidRPr="007231BE">
        <w:rPr>
          <w:lang w:val="pl-PL"/>
        </w:rPr>
        <w:tab/>
        <w:t>Skarżący</w:t>
      </w:r>
    </w:p>
    <w:p w14:paraId="10CD14F8" w14:textId="0FBAD325" w:rsidR="00DF36FA" w:rsidRPr="00C1033F" w:rsidRDefault="00DF36FA" w:rsidP="00271D9A">
      <w:pPr>
        <w:pStyle w:val="ECHRPara"/>
      </w:pPr>
      <w:r w:rsidRPr="007231BE">
        <w:t>18.</w:t>
      </w:r>
      <w:r w:rsidR="00DE4D09">
        <w:t xml:space="preserve"> </w:t>
      </w:r>
      <w:r w:rsidRPr="00C1033F">
        <w:t xml:space="preserve">Skarżący </w:t>
      </w:r>
      <w:r>
        <w:rPr>
          <w:rStyle w:val="tlid-translation"/>
        </w:rPr>
        <w:t xml:space="preserve">odpowiada, że Trybunał podkreślił w powyższym wyroku w sprawie </w:t>
      </w:r>
      <w:proofErr w:type="spellStart"/>
      <w:r w:rsidRPr="00D74DE5">
        <w:rPr>
          <w:rStyle w:val="tlid-translation"/>
          <w:i/>
        </w:rPr>
        <w:t>Petropavlovskis</w:t>
      </w:r>
      <w:proofErr w:type="spellEnd"/>
      <w:r>
        <w:rPr>
          <w:rStyle w:val="tlid-translation"/>
        </w:rPr>
        <w:t xml:space="preserve"> (§ 73), że </w:t>
      </w:r>
      <w:r w:rsidR="00BD448C">
        <w:rPr>
          <w:rStyle w:val="tlid-translation"/>
        </w:rPr>
        <w:t xml:space="preserve"> choć</w:t>
      </w:r>
      <w:r>
        <w:rPr>
          <w:rStyle w:val="tlid-translation"/>
        </w:rPr>
        <w:t xml:space="preserve"> Konwencja nie gwarantuje prawa do uzyskania obywatelstwa, arbitralna odmowa naturalizacji może </w:t>
      </w:r>
      <w:r w:rsidR="007253E5">
        <w:rPr>
          <w:rStyle w:val="tlid-translation"/>
        </w:rPr>
        <w:t xml:space="preserve">rodzić zagadnienie z </w:t>
      </w:r>
      <w:r>
        <w:rPr>
          <w:rStyle w:val="tlid-translation"/>
        </w:rPr>
        <w:t>jej</w:t>
      </w:r>
      <w:r w:rsidR="00AF24C3">
        <w:rPr>
          <w:rStyle w:val="tlid-translation"/>
        </w:rPr>
        <w:t xml:space="preserve"> zakresu</w:t>
      </w:r>
      <w:r>
        <w:rPr>
          <w:rStyle w:val="tlid-translation"/>
        </w:rPr>
        <w:t>.</w:t>
      </w:r>
      <w:r w:rsidR="007253E5">
        <w:rPr>
          <w:rStyle w:val="tlid-translation"/>
        </w:rPr>
        <w:t xml:space="preserve"> </w:t>
      </w:r>
      <w:r w:rsidR="00173536">
        <w:rPr>
          <w:rStyle w:val="tlid-translation"/>
        </w:rPr>
        <w:t>M</w:t>
      </w:r>
      <w:r w:rsidR="007253E5">
        <w:rPr>
          <w:rStyle w:val="tlid-translation"/>
        </w:rPr>
        <w:t>a to</w:t>
      </w:r>
      <w:r w:rsidR="00173536">
        <w:rPr>
          <w:rStyle w:val="tlid-translation"/>
        </w:rPr>
        <w:t xml:space="preserve"> więc </w:t>
      </w:r>
      <w:r w:rsidR="007253E5">
        <w:rPr>
          <w:rStyle w:val="tlid-translation"/>
        </w:rPr>
        <w:t xml:space="preserve">miejsce </w:t>
      </w:r>
      <w:r>
        <w:rPr>
          <w:rStyle w:val="tlid-translation"/>
        </w:rPr>
        <w:t xml:space="preserve">w jego sprawie, </w:t>
      </w:r>
      <w:r w:rsidR="00F20782" w:rsidRPr="00CC70DB">
        <w:rPr>
          <w:rStyle w:val="tlid-translation"/>
        </w:rPr>
        <w:t>zważywszy</w:t>
      </w:r>
      <w:r w:rsidRPr="00CC70DB">
        <w:rPr>
          <w:rStyle w:val="tlid-translation"/>
        </w:rPr>
        <w:t xml:space="preserve"> że odmowa opiera się na jego opiniach, uwagach i</w:t>
      </w:r>
      <w:r w:rsidR="00D57C4F">
        <w:rPr>
          <w:rStyle w:val="tlid-translation"/>
        </w:rPr>
        <w:t> </w:t>
      </w:r>
      <w:r w:rsidRPr="00CC70DB">
        <w:rPr>
          <w:rStyle w:val="tlid-translation"/>
        </w:rPr>
        <w:t>zobo</w:t>
      </w:r>
      <w:r>
        <w:rPr>
          <w:rStyle w:val="tlid-translation"/>
        </w:rPr>
        <w:t xml:space="preserve">wiązaniach stowarzyszeniowych, z wyłączeniem względów dotyczących np. rejestru karnego lub braku asymilacji. Podkreśla on również, że okoliczności jego sprawy różnią się od tych ze sprawy </w:t>
      </w:r>
      <w:proofErr w:type="spellStart"/>
      <w:r w:rsidRPr="00D74DE5">
        <w:rPr>
          <w:rStyle w:val="tlid-translation"/>
          <w:i/>
        </w:rPr>
        <w:t>Petropavlovskis</w:t>
      </w:r>
      <w:proofErr w:type="spellEnd"/>
      <w:r>
        <w:rPr>
          <w:rStyle w:val="tlid-translation"/>
        </w:rPr>
        <w:t xml:space="preserve">, w której brak lojalności Skarżącego można było wydedukować z jego anty-łotewskiej działalności </w:t>
      </w:r>
      <w:r w:rsidR="00F20782">
        <w:rPr>
          <w:rStyle w:val="tlid-translation"/>
        </w:rPr>
        <w:t xml:space="preserve">i </w:t>
      </w:r>
      <w:r>
        <w:rPr>
          <w:rStyle w:val="tlid-translation"/>
        </w:rPr>
        <w:t>z faktu, że starał się o</w:t>
      </w:r>
      <w:r w:rsidR="00D57C4F">
        <w:rPr>
          <w:rStyle w:val="tlid-translation"/>
        </w:rPr>
        <w:t> </w:t>
      </w:r>
      <w:r>
        <w:rPr>
          <w:rStyle w:val="tlid-translation"/>
        </w:rPr>
        <w:t xml:space="preserve">naturalizację, aby kandydować w wyborach, by w ten sposób </w:t>
      </w:r>
      <w:r w:rsidR="00F20782" w:rsidRPr="00CC70DB">
        <w:rPr>
          <w:rStyle w:val="tlid-translation"/>
        </w:rPr>
        <w:t>realizować</w:t>
      </w:r>
      <w:r w:rsidRPr="00CC70DB">
        <w:rPr>
          <w:rStyle w:val="tlid-translation"/>
        </w:rPr>
        <w:t xml:space="preserve"> </w:t>
      </w:r>
      <w:r w:rsidR="00BD448C">
        <w:rPr>
          <w:rStyle w:val="tlid-translation"/>
        </w:rPr>
        <w:t>tę swoją działalność</w:t>
      </w:r>
      <w:r>
        <w:rPr>
          <w:rStyle w:val="tlid-translation"/>
        </w:rPr>
        <w:t xml:space="preserve">; w jego własnym przypadku </w:t>
      </w:r>
      <w:r w:rsidR="00BD448C">
        <w:rPr>
          <w:rStyle w:val="tlid-translation"/>
        </w:rPr>
        <w:t xml:space="preserve">zarzucane mu </w:t>
      </w:r>
      <w:r>
        <w:rPr>
          <w:rStyle w:val="tlid-translation"/>
        </w:rPr>
        <w:t>myśli, uwagi i działalność</w:t>
      </w:r>
      <w:r w:rsidR="00BD448C">
        <w:rPr>
          <w:rStyle w:val="tlid-translation"/>
        </w:rPr>
        <w:t xml:space="preserve"> </w:t>
      </w:r>
      <w:r>
        <w:rPr>
          <w:rStyle w:val="tlid-translation"/>
        </w:rPr>
        <w:t xml:space="preserve">nie dotyczyły Republiki Francuskiej ani rządu francuskiego, a jego wniosek o przywrócenie obywatelstwa </w:t>
      </w:r>
      <w:r w:rsidR="00F20782">
        <w:rPr>
          <w:rStyle w:val="tlid-translation"/>
        </w:rPr>
        <w:t xml:space="preserve">francuskiego </w:t>
      </w:r>
      <w:r>
        <w:rPr>
          <w:rStyle w:val="tlid-translation"/>
        </w:rPr>
        <w:t>nie miał na celu umożliwienia mu kandydowania w wyborach jako przedstawiciel partii frakcyjnej, aby wpłynąć na integralność państwa francuskiego</w:t>
      </w:r>
      <w:r w:rsidRPr="00C1033F">
        <w:t>.</w:t>
      </w:r>
    </w:p>
    <w:p w14:paraId="26AA21B9" w14:textId="26DAB050" w:rsidR="00DF36FA" w:rsidRPr="00432B0B" w:rsidRDefault="00DF36FA" w:rsidP="00271D9A">
      <w:pPr>
        <w:pStyle w:val="ECHRPara"/>
      </w:pPr>
      <w:r w:rsidRPr="006D5227">
        <w:t>19.</w:t>
      </w:r>
      <w:r w:rsidR="00DE4D09">
        <w:t xml:space="preserve"> </w:t>
      </w:r>
      <w:r>
        <w:rPr>
          <w:rStyle w:val="tlid-translation"/>
        </w:rPr>
        <w:t xml:space="preserve">Skarżący dodaje, że </w:t>
      </w:r>
      <w:r w:rsidR="00BD448C">
        <w:rPr>
          <w:rStyle w:val="tlid-translation"/>
        </w:rPr>
        <w:t>doszło do ingerencji</w:t>
      </w:r>
      <w:r>
        <w:rPr>
          <w:rStyle w:val="tlid-translation"/>
        </w:rPr>
        <w:t xml:space="preserve"> w korzystanie z</w:t>
      </w:r>
      <w:r w:rsidR="00F20782">
        <w:rPr>
          <w:rStyle w:val="tlid-translation"/>
        </w:rPr>
        <w:t xml:space="preserve"> wolności</w:t>
      </w:r>
      <w:r>
        <w:rPr>
          <w:rStyle w:val="tlid-translation"/>
        </w:rPr>
        <w:t xml:space="preserve"> zagwarantowanych w art</w:t>
      </w:r>
      <w:r w:rsidR="00DE4D09">
        <w:rPr>
          <w:rStyle w:val="tlid-translation"/>
        </w:rPr>
        <w:t>.</w:t>
      </w:r>
      <w:r>
        <w:rPr>
          <w:rStyle w:val="tlid-translation"/>
        </w:rPr>
        <w:t xml:space="preserve"> 9, 10 i 11 Kon</w:t>
      </w:r>
      <w:r w:rsidR="00F20782">
        <w:rPr>
          <w:rStyle w:val="tlid-translation"/>
        </w:rPr>
        <w:t>wencji, ingerencja ta wynikała</w:t>
      </w:r>
      <w:r>
        <w:rPr>
          <w:rStyle w:val="tlid-translation"/>
        </w:rPr>
        <w:t xml:space="preserve"> nie</w:t>
      </w:r>
      <w:r w:rsidR="00D57C4F">
        <w:rPr>
          <w:rStyle w:val="tlid-translation"/>
        </w:rPr>
        <w:t> </w:t>
      </w:r>
      <w:r>
        <w:rPr>
          <w:rStyle w:val="tlid-translation"/>
        </w:rPr>
        <w:t>z</w:t>
      </w:r>
      <w:r w:rsidR="00D57C4F">
        <w:rPr>
          <w:rStyle w:val="tlid-translation"/>
        </w:rPr>
        <w:t> </w:t>
      </w:r>
      <w:r>
        <w:rPr>
          <w:rStyle w:val="tlid-translation"/>
        </w:rPr>
        <w:t>odmowy przywrócenia obywatelstwa francuskiego jako takiego, lecz</w:t>
      </w:r>
      <w:r w:rsidR="00D57C4F">
        <w:rPr>
          <w:rStyle w:val="tlid-translation"/>
        </w:rPr>
        <w:t> </w:t>
      </w:r>
      <w:r>
        <w:rPr>
          <w:rStyle w:val="tlid-translation"/>
        </w:rPr>
        <w:t>z</w:t>
      </w:r>
      <w:r w:rsidR="00D57C4F">
        <w:rPr>
          <w:rStyle w:val="tlid-translation"/>
        </w:rPr>
        <w:t> </w:t>
      </w:r>
      <w:r>
        <w:rPr>
          <w:rStyle w:val="tlid-translation"/>
        </w:rPr>
        <w:t xml:space="preserve">podanych przyczyn tej odmowy. Według niego </w:t>
      </w:r>
      <w:r w:rsidR="00BF6D5C">
        <w:rPr>
          <w:rStyle w:val="tlid-translation"/>
        </w:rPr>
        <w:t xml:space="preserve">oparcie </w:t>
      </w:r>
      <w:r>
        <w:rPr>
          <w:rStyle w:val="tlid-translation"/>
        </w:rPr>
        <w:t>odmowy</w:t>
      </w:r>
      <w:r w:rsidR="00BF6D5C">
        <w:rPr>
          <w:rStyle w:val="tlid-translation"/>
        </w:rPr>
        <w:t xml:space="preserve"> na</w:t>
      </w:r>
      <w:r w:rsidR="00D57C4F">
        <w:rPr>
          <w:rStyle w:val="tlid-translation"/>
        </w:rPr>
        <w:t> </w:t>
      </w:r>
      <w:r w:rsidR="00BF6D5C">
        <w:rPr>
          <w:rStyle w:val="tlid-translation"/>
        </w:rPr>
        <w:t>takich</w:t>
      </w:r>
      <w:r w:rsidR="001B7452">
        <w:rPr>
          <w:rStyle w:val="tlid-translation"/>
        </w:rPr>
        <w:t xml:space="preserve"> argumentach</w:t>
      </w:r>
      <w:r w:rsidR="00BF6D5C">
        <w:rPr>
          <w:rStyle w:val="tlid-translation"/>
        </w:rPr>
        <w:t xml:space="preserve">, </w:t>
      </w:r>
      <w:r>
        <w:rPr>
          <w:rStyle w:val="tlid-translation"/>
        </w:rPr>
        <w:t xml:space="preserve">że </w:t>
      </w:r>
      <w:r w:rsidR="00BF6D5C">
        <w:rPr>
          <w:rStyle w:val="tlid-translation"/>
        </w:rPr>
        <w:t>wnioskodawca</w:t>
      </w:r>
      <w:r>
        <w:rPr>
          <w:rStyle w:val="tlid-translation"/>
        </w:rPr>
        <w:t xml:space="preserve"> jest </w:t>
      </w:r>
      <w:r w:rsidR="00BF6D5C">
        <w:rPr>
          <w:rStyle w:val="tlid-translation"/>
        </w:rPr>
        <w:t>„</w:t>
      </w:r>
      <w:r>
        <w:rPr>
          <w:rStyle w:val="tlid-translation"/>
        </w:rPr>
        <w:t>przekonanym bojownikiem o sprawę palestyńsk</w:t>
      </w:r>
      <w:r w:rsidR="00BF6D5C">
        <w:rPr>
          <w:rStyle w:val="tlid-translation"/>
        </w:rPr>
        <w:t>ą”</w:t>
      </w:r>
      <w:r>
        <w:rPr>
          <w:rStyle w:val="tlid-translation"/>
        </w:rPr>
        <w:t xml:space="preserve"> lub </w:t>
      </w:r>
      <w:r w:rsidR="00BF6D5C">
        <w:rPr>
          <w:rStyle w:val="tlid-translation"/>
        </w:rPr>
        <w:t>„</w:t>
      </w:r>
      <w:r>
        <w:rPr>
          <w:rStyle w:val="tlid-translation"/>
        </w:rPr>
        <w:t>zajadłym krytykiem polityki izraelskiej</w:t>
      </w:r>
      <w:r w:rsidR="00BF6D5C">
        <w:rPr>
          <w:rStyle w:val="tlid-translation"/>
        </w:rPr>
        <w:t>”</w:t>
      </w:r>
      <w:r>
        <w:rPr>
          <w:rStyle w:val="tlid-translation"/>
        </w:rPr>
        <w:t xml:space="preserve"> lub jest </w:t>
      </w:r>
      <w:r w:rsidR="00BF6D5C">
        <w:rPr>
          <w:rStyle w:val="tlid-translation"/>
        </w:rPr>
        <w:t>„</w:t>
      </w:r>
      <w:r>
        <w:rPr>
          <w:rStyle w:val="tlid-translation"/>
        </w:rPr>
        <w:t>żarliwie zaangażowany w obronę praw imigrantów</w:t>
      </w:r>
      <w:r w:rsidR="00BF6D5C">
        <w:rPr>
          <w:rStyle w:val="tlid-translation"/>
        </w:rPr>
        <w:t>”</w:t>
      </w:r>
      <w:r>
        <w:rPr>
          <w:rStyle w:val="tlid-translation"/>
        </w:rPr>
        <w:t xml:space="preserve">, </w:t>
      </w:r>
      <w:r w:rsidR="00BF6D5C">
        <w:rPr>
          <w:rStyle w:val="tlid-translation"/>
        </w:rPr>
        <w:t>jak uczyniły to</w:t>
      </w:r>
      <w:r w:rsidR="00D57C4F">
        <w:rPr>
          <w:rStyle w:val="tlid-translation"/>
        </w:rPr>
        <w:t> </w:t>
      </w:r>
      <w:r w:rsidR="00BF6D5C">
        <w:rPr>
          <w:rStyle w:val="tlid-translation"/>
        </w:rPr>
        <w:t xml:space="preserve">władze i sądy krajowe, </w:t>
      </w:r>
      <w:r>
        <w:rPr>
          <w:rStyle w:val="tlid-translation"/>
        </w:rPr>
        <w:t>wywołuje efekt mrożący, który ma następujące założenie: powstrzymaj się od j</w:t>
      </w:r>
      <w:r w:rsidR="00BF6D5C">
        <w:rPr>
          <w:rStyle w:val="tlid-translation"/>
        </w:rPr>
        <w:t>akiejkolwiek działalności, uwag,</w:t>
      </w:r>
      <w:r>
        <w:rPr>
          <w:rStyle w:val="tlid-translation"/>
        </w:rPr>
        <w:t xml:space="preserve"> opinii lub</w:t>
      </w:r>
      <w:r w:rsidR="00D57C4F">
        <w:rPr>
          <w:rStyle w:val="tlid-translation"/>
        </w:rPr>
        <w:t> </w:t>
      </w:r>
      <w:r>
        <w:rPr>
          <w:rStyle w:val="tlid-translation"/>
        </w:rPr>
        <w:t xml:space="preserve">myśli, które prowadziłyby cię do poparcia sprawy palestyńskiej lub sprawy imigrantów lub </w:t>
      </w:r>
      <w:r w:rsidR="001B7452">
        <w:rPr>
          <w:rStyle w:val="tlid-translation"/>
        </w:rPr>
        <w:t xml:space="preserve">do </w:t>
      </w:r>
      <w:r>
        <w:rPr>
          <w:rStyle w:val="tlid-translation"/>
        </w:rPr>
        <w:t xml:space="preserve">krytyki Izraela, w przeciwnym razie administracja francuska będzie </w:t>
      </w:r>
      <w:r w:rsidRPr="00CC70DB">
        <w:rPr>
          <w:rStyle w:val="tlid-translation"/>
        </w:rPr>
        <w:t>usprawiedliwiona</w:t>
      </w:r>
      <w:r w:rsidR="00BF6D5C" w:rsidRPr="00CC70DB">
        <w:rPr>
          <w:rStyle w:val="tlid-translation"/>
        </w:rPr>
        <w:t>,</w:t>
      </w:r>
      <w:r>
        <w:rPr>
          <w:rStyle w:val="tlid-translation"/>
        </w:rPr>
        <w:t xml:space="preserve"> wpędzając cię w kłopoty</w:t>
      </w:r>
      <w:r w:rsidRPr="00432B0B">
        <w:t>.</w:t>
      </w:r>
    </w:p>
    <w:p w14:paraId="67DC6F73" w14:textId="18585681" w:rsidR="00DF36FA" w:rsidRDefault="00DF36FA" w:rsidP="00331C40">
      <w:pPr>
        <w:pStyle w:val="ECHRPara"/>
      </w:pPr>
      <w:r w:rsidRPr="006D5227">
        <w:t>20.</w:t>
      </w:r>
      <w:r w:rsidR="00DE4D09">
        <w:t xml:space="preserve"> </w:t>
      </w:r>
      <w:r>
        <w:rPr>
          <w:rStyle w:val="tlid-translation"/>
        </w:rPr>
        <w:t>Skarżący przyznaje, że ingerencja ta</w:t>
      </w:r>
      <w:r w:rsidR="00BF6D5C">
        <w:rPr>
          <w:rStyle w:val="tlid-translation"/>
        </w:rPr>
        <w:t xml:space="preserve"> była przewidziana przez prawo, a ponieważ </w:t>
      </w:r>
      <w:r>
        <w:rPr>
          <w:rStyle w:val="tlid-translation"/>
        </w:rPr>
        <w:t>miała na celu zapewnienie lojalności osoby ubiegającej się o</w:t>
      </w:r>
      <w:r w:rsidR="00D57C4F">
        <w:rPr>
          <w:rStyle w:val="tlid-translation"/>
        </w:rPr>
        <w:t> </w:t>
      </w:r>
      <w:r>
        <w:rPr>
          <w:rStyle w:val="tlid-translation"/>
        </w:rPr>
        <w:t xml:space="preserve">naturalizację, miała </w:t>
      </w:r>
      <w:r w:rsidR="001B7452">
        <w:rPr>
          <w:rStyle w:val="tlid-translation"/>
        </w:rPr>
        <w:t xml:space="preserve">także </w:t>
      </w:r>
      <w:r w:rsidR="00BF6D5C">
        <w:rPr>
          <w:rStyle w:val="tlid-translation"/>
        </w:rPr>
        <w:t xml:space="preserve">uprawniony </w:t>
      </w:r>
      <w:r>
        <w:rPr>
          <w:rStyle w:val="tlid-translation"/>
        </w:rPr>
        <w:t xml:space="preserve">cel. Uważa </w:t>
      </w:r>
      <w:r w:rsidR="00BF6D5C">
        <w:rPr>
          <w:rStyle w:val="tlid-translation"/>
        </w:rPr>
        <w:t xml:space="preserve">on </w:t>
      </w:r>
      <w:r>
        <w:rPr>
          <w:rStyle w:val="tlid-translation"/>
        </w:rPr>
        <w:t>jednak, że</w:t>
      </w:r>
      <w:r w:rsidR="00D57C4F">
        <w:rPr>
          <w:rStyle w:val="tlid-translation"/>
        </w:rPr>
        <w:t> </w:t>
      </w:r>
      <w:r>
        <w:rPr>
          <w:rStyle w:val="tlid-translation"/>
        </w:rPr>
        <w:t>w</w:t>
      </w:r>
      <w:r w:rsidR="00D57C4F">
        <w:rPr>
          <w:rStyle w:val="tlid-translation"/>
        </w:rPr>
        <w:t> </w:t>
      </w:r>
      <w:r>
        <w:rPr>
          <w:rStyle w:val="tlid-translation"/>
        </w:rPr>
        <w:t xml:space="preserve">społeczeństwie </w:t>
      </w:r>
      <w:r w:rsidR="00BF6D5C">
        <w:rPr>
          <w:rStyle w:val="tlid-translation"/>
        </w:rPr>
        <w:t xml:space="preserve">demokratycznym </w:t>
      </w:r>
      <w:r>
        <w:rPr>
          <w:rStyle w:val="tlid-translation"/>
        </w:rPr>
        <w:t>nie była</w:t>
      </w:r>
      <w:r w:rsidR="004969F0">
        <w:rPr>
          <w:rStyle w:val="tlid-translation"/>
        </w:rPr>
        <w:t xml:space="preserve"> ona</w:t>
      </w:r>
      <w:r>
        <w:rPr>
          <w:rStyle w:val="tlid-translation"/>
        </w:rPr>
        <w:t xml:space="preserve"> konieczna, aby osiągnąć ten cel. Podkreśla w tym względzie, że władze i sądy francuskie </w:t>
      </w:r>
      <w:r w:rsidR="00BF6D5C">
        <w:rPr>
          <w:rStyle w:val="tlid-translation"/>
        </w:rPr>
        <w:t xml:space="preserve">wyciągnęły wniosek o </w:t>
      </w:r>
      <w:r>
        <w:rPr>
          <w:rStyle w:val="tlid-translation"/>
        </w:rPr>
        <w:t>brak</w:t>
      </w:r>
      <w:r w:rsidR="00BF6D5C">
        <w:rPr>
          <w:rStyle w:val="tlid-translation"/>
        </w:rPr>
        <w:t>u jego</w:t>
      </w:r>
      <w:r>
        <w:rPr>
          <w:rStyle w:val="tlid-translation"/>
        </w:rPr>
        <w:t xml:space="preserve"> lojalności wobec Francji na podstawie faktu, </w:t>
      </w:r>
      <w:r>
        <w:rPr>
          <w:rStyle w:val="tlid-translation"/>
        </w:rPr>
        <w:lastRenderedPageBreak/>
        <w:t>że</w:t>
      </w:r>
      <w:r w:rsidR="00D57C4F">
        <w:rPr>
          <w:rStyle w:val="tlid-translation"/>
        </w:rPr>
        <w:t> </w:t>
      </w:r>
      <w:r>
        <w:rPr>
          <w:rStyle w:val="tlid-translation"/>
        </w:rPr>
        <w:t>walczył o sprawę palestyńską, popierał pokój na Bliski</w:t>
      </w:r>
      <w:r w:rsidR="00BF6D5C">
        <w:rPr>
          <w:rStyle w:val="tlid-translation"/>
        </w:rPr>
        <w:t>m Wschodzie</w:t>
      </w:r>
      <w:r>
        <w:rPr>
          <w:rStyle w:val="tlid-translation"/>
        </w:rPr>
        <w:t xml:space="preserve"> i</w:t>
      </w:r>
      <w:r w:rsidR="00D57C4F">
        <w:rPr>
          <w:rStyle w:val="tlid-translation"/>
        </w:rPr>
        <w:t> </w:t>
      </w:r>
      <w:r>
        <w:rPr>
          <w:rStyle w:val="tlid-translation"/>
        </w:rPr>
        <w:t>krytykował operacje wojenne prowadzone w Strefie Gazy</w:t>
      </w:r>
      <w:r w:rsidRPr="00D34AEB">
        <w:t xml:space="preserve">. </w:t>
      </w:r>
    </w:p>
    <w:p w14:paraId="0EAC864B" w14:textId="46924076" w:rsidR="00964A81" w:rsidRPr="00964A81" w:rsidRDefault="00BF6D5C" w:rsidP="00331C40">
      <w:pPr>
        <w:rPr>
          <w:rStyle w:val="tlid-translation"/>
          <w:highlight w:val="yellow"/>
          <w:lang w:val="pl-PL"/>
        </w:rPr>
      </w:pPr>
      <w:r w:rsidRPr="000D0C0B">
        <w:rPr>
          <w:rFonts w:eastAsia="Times New Roman"/>
          <w:lang w:val="pl-PL" w:eastAsia="pl-PL"/>
        </w:rPr>
        <w:t xml:space="preserve">Niemniej jednak, </w:t>
      </w:r>
      <w:r w:rsidR="00DF36FA" w:rsidRPr="000D0C0B">
        <w:rPr>
          <w:rFonts w:eastAsia="Times New Roman"/>
          <w:lang w:val="pl-PL" w:eastAsia="pl-PL"/>
        </w:rPr>
        <w:t>nie tylko żaden z tych powodów nie był poważny, ale</w:t>
      </w:r>
      <w:r w:rsidR="00D57C4F">
        <w:rPr>
          <w:rFonts w:eastAsia="Times New Roman"/>
          <w:lang w:val="pl-PL" w:eastAsia="pl-PL"/>
        </w:rPr>
        <w:t> </w:t>
      </w:r>
      <w:r w:rsidR="001B7452">
        <w:rPr>
          <w:rFonts w:eastAsia="Times New Roman"/>
          <w:lang w:val="pl-PL" w:eastAsia="pl-PL"/>
        </w:rPr>
        <w:t>co</w:t>
      </w:r>
      <w:r w:rsidR="00D57C4F">
        <w:rPr>
          <w:rFonts w:eastAsia="Times New Roman"/>
          <w:lang w:val="pl-PL" w:eastAsia="pl-PL"/>
        </w:rPr>
        <w:t> </w:t>
      </w:r>
      <w:r w:rsidR="001B7452">
        <w:rPr>
          <w:rFonts w:eastAsia="Times New Roman"/>
          <w:lang w:val="pl-PL" w:eastAsia="pl-PL"/>
        </w:rPr>
        <w:t xml:space="preserve">więcej </w:t>
      </w:r>
      <w:r w:rsidR="00DF36FA" w:rsidRPr="000D0C0B">
        <w:rPr>
          <w:rFonts w:eastAsia="Times New Roman"/>
          <w:lang w:val="pl-PL" w:eastAsia="pl-PL"/>
        </w:rPr>
        <w:t xml:space="preserve">ten, który miał być </w:t>
      </w:r>
      <w:r w:rsidR="00CC70DB" w:rsidRPr="000D0C0B">
        <w:rPr>
          <w:rFonts w:eastAsia="Times New Roman"/>
          <w:lang w:val="pl-PL" w:eastAsia="pl-PL"/>
        </w:rPr>
        <w:t>głównym i decydującym, wynikał</w:t>
      </w:r>
      <w:r w:rsidR="00DF36FA" w:rsidRPr="000D0C0B">
        <w:rPr>
          <w:rFonts w:eastAsia="Times New Roman"/>
          <w:lang w:val="pl-PL" w:eastAsia="pl-PL"/>
        </w:rPr>
        <w:t xml:space="preserve"> z</w:t>
      </w:r>
      <w:r w:rsidR="00D57C4F">
        <w:rPr>
          <w:rFonts w:eastAsia="Times New Roman"/>
          <w:lang w:val="pl-PL" w:eastAsia="pl-PL"/>
        </w:rPr>
        <w:t> </w:t>
      </w:r>
      <w:r w:rsidR="001B7452">
        <w:rPr>
          <w:rFonts w:eastAsia="Times New Roman"/>
          <w:lang w:val="pl-PL" w:eastAsia="pl-PL"/>
        </w:rPr>
        <w:t xml:space="preserve">zastosowania rozumowania </w:t>
      </w:r>
      <w:r w:rsidR="00DF36FA" w:rsidRPr="000D0C0B">
        <w:rPr>
          <w:rFonts w:eastAsia="Times New Roman"/>
          <w:lang w:val="pl-PL" w:eastAsia="pl-PL"/>
        </w:rPr>
        <w:t>kapilarnego.</w:t>
      </w:r>
      <w:r w:rsidR="00DF36FA" w:rsidRPr="006D5227">
        <w:rPr>
          <w:rFonts w:eastAsia="Times New Roman"/>
          <w:lang w:val="pl-PL" w:eastAsia="pl-PL"/>
        </w:rPr>
        <w:t xml:space="preserve"> </w:t>
      </w:r>
      <w:r w:rsidR="001B7452">
        <w:rPr>
          <w:rFonts w:eastAsia="Times New Roman"/>
          <w:lang w:val="pl-PL" w:eastAsia="pl-PL"/>
        </w:rPr>
        <w:t>Skarżący o</w:t>
      </w:r>
      <w:r w:rsidR="00DF36FA" w:rsidRPr="006D5227">
        <w:rPr>
          <w:rStyle w:val="tlid-translation"/>
          <w:lang w:val="pl-PL"/>
        </w:rPr>
        <w:t>dwołuje się w tym względzie do treści pisma z dnia 6 października 2010 r.</w:t>
      </w:r>
      <w:r w:rsidR="00DF36FA" w:rsidRPr="006D5227">
        <w:rPr>
          <w:rFonts w:eastAsia="Times New Roman"/>
          <w:lang w:val="pl-PL" w:eastAsia="pl-PL"/>
        </w:rPr>
        <w:t>, cytowane</w:t>
      </w:r>
      <w:r w:rsidR="00DF36FA">
        <w:rPr>
          <w:rFonts w:eastAsia="Times New Roman"/>
          <w:lang w:val="pl-PL" w:eastAsia="pl-PL"/>
        </w:rPr>
        <w:t>go</w:t>
      </w:r>
      <w:r w:rsidR="00DF36FA" w:rsidRPr="006D5227">
        <w:rPr>
          <w:rFonts w:eastAsia="Times New Roman"/>
          <w:lang w:val="pl-PL" w:eastAsia="pl-PL"/>
        </w:rPr>
        <w:t xml:space="preserve"> przez</w:t>
      </w:r>
      <w:r w:rsidR="00D57C4F">
        <w:rPr>
          <w:rFonts w:eastAsia="Times New Roman"/>
          <w:lang w:val="pl-PL" w:eastAsia="pl-PL"/>
        </w:rPr>
        <w:t> </w:t>
      </w:r>
      <w:r w:rsidR="00DF36FA">
        <w:rPr>
          <w:rFonts w:eastAsia="Times New Roman"/>
          <w:lang w:val="pl-PL" w:eastAsia="pl-PL"/>
        </w:rPr>
        <w:t>sądy</w:t>
      </w:r>
      <w:r>
        <w:rPr>
          <w:rFonts w:eastAsia="Times New Roman"/>
          <w:lang w:val="pl-PL" w:eastAsia="pl-PL"/>
        </w:rPr>
        <w:t>, do których się zwrócił</w:t>
      </w:r>
      <w:r w:rsidR="00DF36FA" w:rsidRPr="006D5227">
        <w:rPr>
          <w:rFonts w:eastAsia="Times New Roman"/>
          <w:lang w:val="pl-PL" w:eastAsia="pl-PL"/>
        </w:rPr>
        <w:t>, w który</w:t>
      </w:r>
      <w:r w:rsidR="00DF36FA">
        <w:rPr>
          <w:rFonts w:eastAsia="Times New Roman"/>
          <w:lang w:val="pl-PL" w:eastAsia="pl-PL"/>
        </w:rPr>
        <w:t>m</w:t>
      </w:r>
      <w:r w:rsidR="00DF36FA" w:rsidRPr="006D5227">
        <w:rPr>
          <w:rFonts w:eastAsia="Times New Roman"/>
          <w:lang w:val="pl-PL" w:eastAsia="pl-PL"/>
        </w:rPr>
        <w:t xml:space="preserve"> administracja </w:t>
      </w:r>
      <w:r w:rsidR="00DF36FA">
        <w:rPr>
          <w:rFonts w:eastAsia="Times New Roman"/>
          <w:lang w:val="pl-PL" w:eastAsia="pl-PL"/>
        </w:rPr>
        <w:t>zarzuca mu</w:t>
      </w:r>
      <w:r w:rsidR="00D57C4F">
        <w:rPr>
          <w:rFonts w:eastAsia="Times New Roman"/>
          <w:lang w:val="pl-PL" w:eastAsia="pl-PL"/>
        </w:rPr>
        <w:t> </w:t>
      </w:r>
      <w:r w:rsidR="00DF36FA" w:rsidRPr="006D5227">
        <w:rPr>
          <w:rFonts w:eastAsia="Times New Roman"/>
          <w:lang w:val="pl-PL" w:eastAsia="pl-PL"/>
        </w:rPr>
        <w:t xml:space="preserve">powiązania z ruchem </w:t>
      </w:r>
      <w:proofErr w:type="spellStart"/>
      <w:r w:rsidR="00453306" w:rsidRPr="001706B2">
        <w:rPr>
          <w:i/>
          <w:iCs/>
          <w:lang w:val="pl-PL"/>
        </w:rPr>
        <w:t>Paix</w:t>
      </w:r>
      <w:proofErr w:type="spellEnd"/>
      <w:r w:rsidR="00453306" w:rsidRPr="001706B2">
        <w:rPr>
          <w:i/>
          <w:iCs/>
          <w:lang w:val="pl-PL"/>
        </w:rPr>
        <w:t xml:space="preserve"> </w:t>
      </w:r>
      <w:proofErr w:type="spellStart"/>
      <w:r w:rsidR="00453306" w:rsidRPr="001706B2">
        <w:rPr>
          <w:i/>
          <w:iCs/>
          <w:lang w:val="pl-PL"/>
        </w:rPr>
        <w:t>comme</w:t>
      </w:r>
      <w:proofErr w:type="spellEnd"/>
      <w:r w:rsidR="00453306" w:rsidRPr="001706B2">
        <w:rPr>
          <w:i/>
          <w:iCs/>
          <w:lang w:val="pl-PL"/>
        </w:rPr>
        <w:t xml:space="preserve"> </w:t>
      </w:r>
      <w:proofErr w:type="spellStart"/>
      <w:r w:rsidR="00453306" w:rsidRPr="001706B2">
        <w:rPr>
          <w:i/>
          <w:iCs/>
          <w:lang w:val="pl-PL"/>
        </w:rPr>
        <w:t>Palestine</w:t>
      </w:r>
      <w:proofErr w:type="spellEnd"/>
      <w:r w:rsidR="00453306">
        <w:rPr>
          <w:i/>
          <w:iCs/>
          <w:lang w:val="pl-PL"/>
        </w:rPr>
        <w:t>,</w:t>
      </w:r>
      <w:r w:rsidR="00DF36FA" w:rsidRPr="006D5227">
        <w:rPr>
          <w:rFonts w:eastAsia="Times New Roman"/>
          <w:lang w:val="pl-PL" w:eastAsia="pl-PL"/>
        </w:rPr>
        <w:t xml:space="preserve"> któr</w:t>
      </w:r>
      <w:r w:rsidR="00DF36FA">
        <w:rPr>
          <w:rFonts w:eastAsia="Times New Roman"/>
          <w:lang w:val="pl-PL" w:eastAsia="pl-PL"/>
        </w:rPr>
        <w:t>y</w:t>
      </w:r>
      <w:r w:rsidR="00DF36FA" w:rsidRPr="006D5227">
        <w:rPr>
          <w:rFonts w:eastAsia="Times New Roman"/>
          <w:lang w:val="pl-PL" w:eastAsia="pl-PL"/>
        </w:rPr>
        <w:t xml:space="preserve"> </w:t>
      </w:r>
      <w:r w:rsidR="00DF36FA">
        <w:rPr>
          <w:rFonts w:eastAsia="Times New Roman"/>
          <w:lang w:val="pl-PL" w:eastAsia="pl-PL"/>
        </w:rPr>
        <w:t xml:space="preserve">miałby mieć </w:t>
      </w:r>
      <w:r>
        <w:rPr>
          <w:rFonts w:eastAsia="Times New Roman"/>
          <w:lang w:val="pl-PL" w:eastAsia="pl-PL"/>
        </w:rPr>
        <w:t>powiązania</w:t>
      </w:r>
      <w:r w:rsidR="00DF36FA" w:rsidRPr="006D5227">
        <w:rPr>
          <w:rFonts w:eastAsia="Times New Roman"/>
          <w:lang w:val="pl-PL" w:eastAsia="pl-PL"/>
        </w:rPr>
        <w:t xml:space="preserve"> </w:t>
      </w:r>
      <w:r w:rsidR="00DF36FA">
        <w:rPr>
          <w:rFonts w:eastAsia="Times New Roman"/>
          <w:lang w:val="pl-PL" w:eastAsia="pl-PL"/>
        </w:rPr>
        <w:t>z</w:t>
      </w:r>
      <w:r w:rsidR="00DF36FA" w:rsidRPr="006D5227">
        <w:rPr>
          <w:rFonts w:eastAsia="Times New Roman"/>
          <w:lang w:val="pl-PL" w:eastAsia="pl-PL"/>
        </w:rPr>
        <w:t xml:space="preserve"> </w:t>
      </w:r>
      <w:r w:rsidR="00DF36FA" w:rsidRPr="000D0C0B">
        <w:rPr>
          <w:rFonts w:eastAsia="Times New Roman"/>
          <w:lang w:val="pl-PL" w:eastAsia="pl-PL"/>
        </w:rPr>
        <w:t xml:space="preserve">Komitetem </w:t>
      </w:r>
      <w:r w:rsidRPr="000D0C0B">
        <w:rPr>
          <w:rFonts w:eastAsia="Times New Roman"/>
          <w:lang w:val="pl-PL" w:eastAsia="pl-PL"/>
        </w:rPr>
        <w:t xml:space="preserve">Dobroczynności </w:t>
      </w:r>
      <w:r w:rsidR="00DF36FA" w:rsidRPr="000D0C0B">
        <w:rPr>
          <w:rFonts w:eastAsia="Times New Roman"/>
          <w:lang w:val="pl-PL" w:eastAsia="pl-PL"/>
        </w:rPr>
        <w:t xml:space="preserve">i </w:t>
      </w:r>
      <w:r w:rsidRPr="000D0C0B">
        <w:rPr>
          <w:rFonts w:eastAsia="Times New Roman"/>
          <w:lang w:val="pl-PL" w:eastAsia="pl-PL"/>
        </w:rPr>
        <w:t xml:space="preserve">Pomocy </w:t>
      </w:r>
      <w:r w:rsidR="00DF36FA" w:rsidRPr="000D0C0B">
        <w:rPr>
          <w:rFonts w:eastAsia="Times New Roman"/>
          <w:lang w:val="pl-PL" w:eastAsia="pl-PL"/>
        </w:rPr>
        <w:t>dla Palestyńczyków</w:t>
      </w:r>
      <w:r w:rsidR="00DF36FA" w:rsidRPr="006D5227">
        <w:rPr>
          <w:rFonts w:eastAsia="Times New Roman"/>
          <w:lang w:val="pl-PL" w:eastAsia="pl-PL"/>
        </w:rPr>
        <w:t>, który</w:t>
      </w:r>
      <w:r w:rsidR="00964A81">
        <w:rPr>
          <w:rFonts w:eastAsia="Times New Roman"/>
          <w:lang w:val="pl-PL" w:eastAsia="pl-PL"/>
        </w:rPr>
        <w:t xml:space="preserve"> miałby być</w:t>
      </w:r>
      <w:r w:rsidR="00DF36FA">
        <w:rPr>
          <w:rFonts w:eastAsia="Times New Roman"/>
          <w:lang w:val="pl-PL" w:eastAsia="pl-PL"/>
        </w:rPr>
        <w:t xml:space="preserve"> bliski ideom</w:t>
      </w:r>
      <w:r w:rsidR="00DF36FA" w:rsidRPr="006D5227">
        <w:rPr>
          <w:rFonts w:eastAsia="Times New Roman"/>
          <w:lang w:val="pl-PL" w:eastAsia="pl-PL"/>
        </w:rPr>
        <w:t xml:space="preserve"> Hamasu, który </w:t>
      </w:r>
      <w:r w:rsidR="00964A81">
        <w:rPr>
          <w:rFonts w:eastAsia="Times New Roman"/>
          <w:lang w:val="pl-PL" w:eastAsia="pl-PL"/>
        </w:rPr>
        <w:t xml:space="preserve">miałby być </w:t>
      </w:r>
      <w:r w:rsidR="00DF36FA" w:rsidRPr="006D5227">
        <w:rPr>
          <w:rFonts w:eastAsia="Times New Roman"/>
          <w:lang w:val="pl-PL" w:eastAsia="pl-PL"/>
        </w:rPr>
        <w:t>palestyńsk</w:t>
      </w:r>
      <w:r w:rsidR="004969F0">
        <w:rPr>
          <w:rFonts w:eastAsia="Times New Roman"/>
          <w:lang w:val="pl-PL" w:eastAsia="pl-PL"/>
        </w:rPr>
        <w:t xml:space="preserve">ą emanacją </w:t>
      </w:r>
      <w:r w:rsidR="00DF36FA" w:rsidRPr="006D5227">
        <w:rPr>
          <w:rFonts w:eastAsia="Times New Roman"/>
          <w:lang w:val="pl-PL" w:eastAsia="pl-PL"/>
        </w:rPr>
        <w:t>Brac</w:t>
      </w:r>
      <w:r w:rsidR="001B7452">
        <w:rPr>
          <w:rFonts w:eastAsia="Times New Roman"/>
          <w:lang w:val="pl-PL" w:eastAsia="pl-PL"/>
        </w:rPr>
        <w:t>twa Muzułmańskiego</w:t>
      </w:r>
      <w:r w:rsidR="00DF36FA" w:rsidRPr="006D5227">
        <w:rPr>
          <w:rFonts w:eastAsia="Times New Roman"/>
          <w:lang w:val="pl-PL" w:eastAsia="pl-PL"/>
        </w:rPr>
        <w:t xml:space="preserve">. Władze i sądy krajowe </w:t>
      </w:r>
      <w:r w:rsidR="00DF36FA">
        <w:rPr>
          <w:rFonts w:eastAsia="Times New Roman"/>
          <w:lang w:val="pl-PL" w:eastAsia="pl-PL"/>
        </w:rPr>
        <w:t xml:space="preserve">działały </w:t>
      </w:r>
      <w:r w:rsidR="00964A81" w:rsidRPr="006D5227">
        <w:rPr>
          <w:rFonts w:eastAsia="Times New Roman"/>
          <w:lang w:val="pl-PL" w:eastAsia="pl-PL"/>
        </w:rPr>
        <w:t xml:space="preserve">również </w:t>
      </w:r>
      <w:r w:rsidR="000D0C0B">
        <w:rPr>
          <w:rFonts w:eastAsia="Times New Roman"/>
          <w:lang w:val="pl-PL" w:eastAsia="pl-PL"/>
        </w:rPr>
        <w:t>po</w:t>
      </w:r>
      <w:r w:rsidR="00DF36FA">
        <w:rPr>
          <w:rFonts w:eastAsia="Times New Roman"/>
          <w:lang w:val="pl-PL" w:eastAsia="pl-PL"/>
        </w:rPr>
        <w:t xml:space="preserve">przez </w:t>
      </w:r>
      <w:r w:rsidR="00DF36FA" w:rsidRPr="006D5227">
        <w:rPr>
          <w:rFonts w:eastAsia="Times New Roman"/>
          <w:lang w:val="pl-PL" w:eastAsia="pl-PL"/>
        </w:rPr>
        <w:t xml:space="preserve">insynuację. </w:t>
      </w:r>
      <w:r w:rsidR="00DF36FA" w:rsidRPr="00A2579D">
        <w:rPr>
          <w:rStyle w:val="tlid-translation"/>
          <w:lang w:val="pl-PL"/>
        </w:rPr>
        <w:t xml:space="preserve">Byłoby jednak </w:t>
      </w:r>
      <w:r w:rsidR="00964A81">
        <w:rPr>
          <w:rStyle w:val="tlid-translation"/>
          <w:lang w:val="pl-PL"/>
        </w:rPr>
        <w:t>błędem</w:t>
      </w:r>
      <w:r w:rsidR="00DF36FA">
        <w:rPr>
          <w:rStyle w:val="tlid-translation"/>
          <w:lang w:val="pl-PL"/>
        </w:rPr>
        <w:t xml:space="preserve"> </w:t>
      </w:r>
      <w:r w:rsidR="009C6B80">
        <w:rPr>
          <w:rStyle w:val="tlid-translation"/>
          <w:lang w:val="pl-PL"/>
        </w:rPr>
        <w:t xml:space="preserve">uwzględnianie motywu </w:t>
      </w:r>
      <w:r w:rsidR="00DF36FA" w:rsidRPr="00A2579D">
        <w:rPr>
          <w:rStyle w:val="tlid-translation"/>
          <w:lang w:val="pl-PL"/>
        </w:rPr>
        <w:t xml:space="preserve">czyichś myśli, słów lub działań stowarzyszeniowych, </w:t>
      </w:r>
      <w:r w:rsidR="009C6B80">
        <w:rPr>
          <w:rStyle w:val="tlid-translation"/>
          <w:lang w:val="pl-PL"/>
        </w:rPr>
        <w:t>by sugerować, że</w:t>
      </w:r>
      <w:r w:rsidR="00D57C4F">
        <w:rPr>
          <w:rStyle w:val="tlid-translation"/>
          <w:lang w:val="pl-PL"/>
        </w:rPr>
        <w:t> </w:t>
      </w:r>
      <w:r w:rsidR="009C6B80">
        <w:rPr>
          <w:rStyle w:val="tlid-translation"/>
          <w:lang w:val="pl-PL"/>
        </w:rPr>
        <w:t xml:space="preserve">osoba ta </w:t>
      </w:r>
      <w:r w:rsidR="00DF36FA" w:rsidRPr="000D0C0B">
        <w:rPr>
          <w:rStyle w:val="tlid-translation"/>
          <w:lang w:val="pl-PL"/>
        </w:rPr>
        <w:t>był</w:t>
      </w:r>
      <w:r w:rsidR="009C6B80">
        <w:rPr>
          <w:rStyle w:val="tlid-translation"/>
          <w:lang w:val="pl-PL"/>
        </w:rPr>
        <w:t>aby znana</w:t>
      </w:r>
      <w:r w:rsidR="00DF36FA" w:rsidRPr="000D0C0B">
        <w:rPr>
          <w:rStyle w:val="tlid-translation"/>
          <w:lang w:val="pl-PL"/>
        </w:rPr>
        <w:t xml:space="preserve"> władzom w nieprzychylnym znaczeniu, niepożądan</w:t>
      </w:r>
      <w:r w:rsidR="009C6B80">
        <w:rPr>
          <w:rStyle w:val="tlid-translation"/>
          <w:lang w:val="pl-PL"/>
        </w:rPr>
        <w:t>a</w:t>
      </w:r>
      <w:r w:rsidR="00DF36FA" w:rsidRPr="000D0C0B">
        <w:rPr>
          <w:rStyle w:val="tlid-translation"/>
          <w:lang w:val="pl-PL"/>
        </w:rPr>
        <w:t xml:space="preserve">, </w:t>
      </w:r>
      <w:r w:rsidR="009C6B80">
        <w:rPr>
          <w:rStyle w:val="tlid-translation"/>
          <w:lang w:val="pl-PL"/>
        </w:rPr>
        <w:t>niechciana</w:t>
      </w:r>
      <w:r w:rsidR="000D0C0B" w:rsidRPr="000D0C0B">
        <w:rPr>
          <w:rStyle w:val="tlid-translation"/>
          <w:lang w:val="pl-PL"/>
        </w:rPr>
        <w:t>,</w:t>
      </w:r>
      <w:r w:rsidR="00DF36FA" w:rsidRPr="000D0C0B">
        <w:rPr>
          <w:rStyle w:val="tlid-translation"/>
          <w:lang w:val="pl-PL"/>
        </w:rPr>
        <w:t xml:space="preserve"> o wątpliwej lojalności wobec Francji, </w:t>
      </w:r>
      <w:r w:rsidR="00964A81" w:rsidRPr="000D0C0B">
        <w:rPr>
          <w:rStyle w:val="tlid-translation"/>
          <w:lang w:val="pl-PL"/>
        </w:rPr>
        <w:t xml:space="preserve">ponieważ </w:t>
      </w:r>
      <w:r w:rsidR="000D0C0B" w:rsidRPr="000D0C0B">
        <w:rPr>
          <w:rStyle w:val="tlid-translation"/>
          <w:lang w:val="pl-PL"/>
        </w:rPr>
        <w:t>insynuacja</w:t>
      </w:r>
      <w:r w:rsidR="009C6B80">
        <w:rPr>
          <w:rStyle w:val="tlid-translation"/>
          <w:lang w:val="pl-PL"/>
        </w:rPr>
        <w:t xml:space="preserve"> –</w:t>
      </w:r>
      <w:r w:rsidR="000D0C0B" w:rsidRPr="000D0C0B">
        <w:rPr>
          <w:rStyle w:val="tlid-translation"/>
          <w:lang w:val="pl-PL"/>
        </w:rPr>
        <w:t xml:space="preserve"> </w:t>
      </w:r>
      <w:r w:rsidR="00964A81" w:rsidRPr="000D0C0B">
        <w:rPr>
          <w:rStyle w:val="tlid-translation"/>
          <w:lang w:val="pl-PL"/>
        </w:rPr>
        <w:t>jako nie poddająca się wykazaniu</w:t>
      </w:r>
      <w:r w:rsidR="009C6B80">
        <w:rPr>
          <w:rStyle w:val="tlid-translation"/>
          <w:lang w:val="pl-PL"/>
        </w:rPr>
        <w:t xml:space="preserve"> –</w:t>
      </w:r>
      <w:r w:rsidR="00964A81" w:rsidRPr="000D0C0B">
        <w:rPr>
          <w:rStyle w:val="tlid-translation"/>
          <w:lang w:val="pl-PL"/>
        </w:rPr>
        <w:t xml:space="preserve"> </w:t>
      </w:r>
      <w:r w:rsidR="000D0C0B" w:rsidRPr="000D0C0B">
        <w:rPr>
          <w:rStyle w:val="tlid-translation"/>
          <w:lang w:val="pl-PL"/>
        </w:rPr>
        <w:t>nie może</w:t>
      </w:r>
      <w:r w:rsidR="00964A81" w:rsidRPr="000D0C0B">
        <w:rPr>
          <w:rStyle w:val="tlid-translation"/>
          <w:lang w:val="pl-PL"/>
        </w:rPr>
        <w:t xml:space="preserve"> by</w:t>
      </w:r>
      <w:r w:rsidR="000D0C0B" w:rsidRPr="000D0C0B">
        <w:rPr>
          <w:rStyle w:val="tlid-translation"/>
          <w:lang w:val="pl-PL"/>
        </w:rPr>
        <w:t xml:space="preserve">ć obalona </w:t>
      </w:r>
      <w:r w:rsidR="00964A81" w:rsidRPr="000D0C0B">
        <w:rPr>
          <w:rStyle w:val="tlid-translation"/>
          <w:lang w:val="pl-PL"/>
        </w:rPr>
        <w:t>przez wykazanie.</w:t>
      </w:r>
    </w:p>
    <w:p w14:paraId="0BA893DC" w14:textId="77777777" w:rsidR="00DF36FA" w:rsidRPr="001706B2" w:rsidRDefault="00DF36FA" w:rsidP="00271D9A">
      <w:pPr>
        <w:pStyle w:val="ECHRHeading2"/>
        <w:rPr>
          <w:lang w:val="pl-PL"/>
        </w:rPr>
      </w:pPr>
      <w:r w:rsidRPr="001706B2">
        <w:rPr>
          <w:lang w:val="pl-PL"/>
        </w:rPr>
        <w:t>B.</w:t>
      </w:r>
      <w:r w:rsidRPr="001706B2">
        <w:rPr>
          <w:lang w:val="pl-PL"/>
        </w:rPr>
        <w:tab/>
        <w:t>Ocena Trybunału</w:t>
      </w:r>
    </w:p>
    <w:p w14:paraId="5D3D23A1" w14:textId="6FB65B0D" w:rsidR="00DF36FA" w:rsidRPr="0021363E" w:rsidRDefault="00DF36FA" w:rsidP="004B7264">
      <w:pPr>
        <w:rPr>
          <w:rFonts w:eastAsia="Times New Roman"/>
          <w:lang w:val="pl-PL" w:eastAsia="pl-PL"/>
        </w:rPr>
      </w:pPr>
      <w:r w:rsidRPr="001706B2">
        <w:rPr>
          <w:lang w:val="pl-PL"/>
        </w:rPr>
        <w:t>21.</w:t>
      </w:r>
      <w:r w:rsidR="00DE4D09">
        <w:rPr>
          <w:lang w:val="pl-PL"/>
        </w:rPr>
        <w:t xml:space="preserve"> </w:t>
      </w:r>
      <w:r w:rsidRPr="0021363E">
        <w:rPr>
          <w:rFonts w:eastAsia="Times New Roman"/>
          <w:lang w:val="pl-PL" w:eastAsia="pl-PL"/>
        </w:rPr>
        <w:t xml:space="preserve">Trybunał zauważa, że wniosek </w:t>
      </w:r>
      <w:r>
        <w:rPr>
          <w:rFonts w:eastAsia="Times New Roman"/>
          <w:lang w:val="pl-PL" w:eastAsia="pl-PL"/>
        </w:rPr>
        <w:t>S</w:t>
      </w:r>
      <w:r w:rsidRPr="0021363E">
        <w:rPr>
          <w:rFonts w:eastAsia="Times New Roman"/>
          <w:lang w:val="pl-PL" w:eastAsia="pl-PL"/>
        </w:rPr>
        <w:t>karżącego o przywrócenie obywatelstwa francuskiego został odrzucony ze względu na wątpliwości co</w:t>
      </w:r>
      <w:r w:rsidR="00D57C4F">
        <w:rPr>
          <w:rFonts w:eastAsia="Times New Roman"/>
          <w:lang w:val="pl-PL" w:eastAsia="pl-PL"/>
        </w:rPr>
        <w:t> </w:t>
      </w:r>
      <w:r w:rsidRPr="0021363E">
        <w:rPr>
          <w:rFonts w:eastAsia="Times New Roman"/>
          <w:lang w:val="pl-PL" w:eastAsia="pl-PL"/>
        </w:rPr>
        <w:t xml:space="preserve">do jego lojalności wobec Francji. </w:t>
      </w:r>
      <w:r>
        <w:rPr>
          <w:rFonts w:eastAsia="Times New Roman"/>
          <w:lang w:val="pl-PL" w:eastAsia="pl-PL"/>
        </w:rPr>
        <w:t>Z</w:t>
      </w:r>
      <w:r w:rsidRPr="0021363E">
        <w:rPr>
          <w:rFonts w:eastAsia="Times New Roman"/>
          <w:lang w:val="pl-PL" w:eastAsia="pl-PL"/>
        </w:rPr>
        <w:t xml:space="preserve"> wyroku </w:t>
      </w:r>
      <w:r>
        <w:rPr>
          <w:rFonts w:eastAsia="Times New Roman"/>
          <w:lang w:val="pl-PL" w:eastAsia="pl-PL"/>
        </w:rPr>
        <w:t xml:space="preserve">Apelacyjnego </w:t>
      </w:r>
      <w:r w:rsidRPr="0021363E">
        <w:rPr>
          <w:rFonts w:eastAsia="Times New Roman"/>
          <w:lang w:val="pl-PL" w:eastAsia="pl-PL"/>
        </w:rPr>
        <w:t>Sądu Administracyjnego w Nantes z dnia 31 maja 2013 r. (</w:t>
      </w:r>
      <w:r>
        <w:rPr>
          <w:rFonts w:eastAsia="Times New Roman"/>
          <w:lang w:val="pl-PL" w:eastAsia="pl-PL"/>
        </w:rPr>
        <w:t>zo</w:t>
      </w:r>
      <w:r w:rsidRPr="0021363E">
        <w:rPr>
          <w:rFonts w:eastAsia="Times New Roman"/>
          <w:lang w:val="pl-PL" w:eastAsia="pl-PL"/>
        </w:rPr>
        <w:t xml:space="preserve">b. </w:t>
      </w:r>
      <w:r>
        <w:rPr>
          <w:rFonts w:eastAsia="Times New Roman"/>
          <w:lang w:val="pl-PL" w:eastAsia="pl-PL"/>
        </w:rPr>
        <w:t>paragraf</w:t>
      </w:r>
      <w:r w:rsidRPr="0021363E">
        <w:rPr>
          <w:rFonts w:eastAsia="Times New Roman"/>
          <w:lang w:val="pl-PL" w:eastAsia="pl-PL"/>
        </w:rPr>
        <w:t xml:space="preserve"> 8 powyżej)</w:t>
      </w:r>
      <w:r w:rsidRPr="00BC0AF2">
        <w:rPr>
          <w:rFonts w:eastAsia="Times New Roman"/>
          <w:lang w:val="pl-PL" w:eastAsia="pl-PL"/>
        </w:rPr>
        <w:t xml:space="preserve"> </w:t>
      </w:r>
      <w:r>
        <w:rPr>
          <w:rFonts w:eastAsia="Times New Roman"/>
          <w:lang w:val="pl-PL" w:eastAsia="pl-PL"/>
        </w:rPr>
        <w:t>w</w:t>
      </w:r>
      <w:r w:rsidRPr="0021363E">
        <w:rPr>
          <w:rFonts w:eastAsia="Times New Roman"/>
          <w:lang w:val="pl-PL" w:eastAsia="pl-PL"/>
        </w:rPr>
        <w:t>ynika w szczególności, że ta wątpliwość opierała się na</w:t>
      </w:r>
      <w:r w:rsidR="00D57C4F">
        <w:rPr>
          <w:rFonts w:eastAsia="Times New Roman"/>
          <w:lang w:val="pl-PL" w:eastAsia="pl-PL"/>
        </w:rPr>
        <w:t> </w:t>
      </w:r>
      <w:r w:rsidRPr="0021363E">
        <w:rPr>
          <w:rFonts w:eastAsia="Times New Roman"/>
          <w:lang w:val="pl-PL" w:eastAsia="pl-PL"/>
        </w:rPr>
        <w:t xml:space="preserve">następujących elementach: </w:t>
      </w:r>
      <w:r>
        <w:rPr>
          <w:rFonts w:eastAsia="Times New Roman"/>
          <w:lang w:val="pl-PL" w:eastAsia="pl-PL"/>
        </w:rPr>
        <w:t>S</w:t>
      </w:r>
      <w:r w:rsidRPr="0021363E">
        <w:rPr>
          <w:rFonts w:eastAsia="Times New Roman"/>
          <w:lang w:val="pl-PL" w:eastAsia="pl-PL"/>
        </w:rPr>
        <w:t xml:space="preserve">karżący był </w:t>
      </w:r>
      <w:r w:rsidR="0056501D">
        <w:rPr>
          <w:rFonts w:eastAsia="Times New Roman"/>
          <w:lang w:val="pl-PL" w:eastAsia="pl-PL"/>
        </w:rPr>
        <w:t>„</w:t>
      </w:r>
      <w:r w:rsidRPr="0021363E">
        <w:rPr>
          <w:rFonts w:eastAsia="Times New Roman"/>
          <w:lang w:val="pl-PL" w:eastAsia="pl-PL"/>
        </w:rPr>
        <w:t>przekonanym bojownikiem o</w:t>
      </w:r>
      <w:r w:rsidR="00D57C4F">
        <w:rPr>
          <w:rFonts w:eastAsia="Times New Roman"/>
          <w:lang w:val="pl-PL" w:eastAsia="pl-PL"/>
        </w:rPr>
        <w:t> </w:t>
      </w:r>
      <w:r w:rsidRPr="0021363E">
        <w:rPr>
          <w:rFonts w:eastAsia="Times New Roman"/>
          <w:lang w:val="pl-PL" w:eastAsia="pl-PL"/>
        </w:rPr>
        <w:t>sprawę palestyńską, które</w:t>
      </w:r>
      <w:r>
        <w:rPr>
          <w:rFonts w:eastAsia="Times New Roman"/>
          <w:lang w:val="pl-PL" w:eastAsia="pl-PL"/>
        </w:rPr>
        <w:t>j</w:t>
      </w:r>
      <w:r w:rsidRPr="0021363E">
        <w:rPr>
          <w:rFonts w:eastAsia="Times New Roman"/>
          <w:lang w:val="pl-PL" w:eastAsia="pl-PL"/>
        </w:rPr>
        <w:t xml:space="preserve"> [był] gorliwym </w:t>
      </w:r>
      <w:r>
        <w:rPr>
          <w:rFonts w:eastAsia="Times New Roman"/>
          <w:lang w:val="pl-PL" w:eastAsia="pl-PL"/>
        </w:rPr>
        <w:t>obrońcą</w:t>
      </w:r>
      <w:r w:rsidR="0056501D">
        <w:rPr>
          <w:rFonts w:eastAsia="Times New Roman"/>
          <w:lang w:val="pl-PL" w:eastAsia="pl-PL"/>
        </w:rPr>
        <w:t>”</w:t>
      </w:r>
      <w:r w:rsidRPr="00BC0AF2">
        <w:rPr>
          <w:rFonts w:eastAsia="Times New Roman"/>
          <w:lang w:val="pl-PL" w:eastAsia="pl-PL"/>
        </w:rPr>
        <w:t xml:space="preserve"> </w:t>
      </w:r>
      <w:r w:rsidRPr="0021363E">
        <w:rPr>
          <w:rFonts w:eastAsia="Times New Roman"/>
          <w:lang w:val="pl-PL" w:eastAsia="pl-PL"/>
        </w:rPr>
        <w:t>i</w:t>
      </w:r>
      <w:r>
        <w:rPr>
          <w:rFonts w:eastAsia="Times New Roman"/>
          <w:lang w:val="pl-PL" w:eastAsia="pl-PL"/>
        </w:rPr>
        <w:t xml:space="preserve"> </w:t>
      </w:r>
      <w:r w:rsidR="0056501D">
        <w:rPr>
          <w:rFonts w:eastAsia="Times New Roman"/>
          <w:lang w:val="pl-PL" w:eastAsia="pl-PL"/>
        </w:rPr>
        <w:t>„</w:t>
      </w:r>
      <w:r>
        <w:rPr>
          <w:rFonts w:eastAsia="Times New Roman"/>
          <w:lang w:val="pl-PL" w:eastAsia="pl-PL"/>
        </w:rPr>
        <w:t>zajadłym</w:t>
      </w:r>
      <w:r w:rsidRPr="0021363E">
        <w:rPr>
          <w:rFonts w:eastAsia="Times New Roman"/>
          <w:lang w:val="pl-PL" w:eastAsia="pl-PL"/>
        </w:rPr>
        <w:t xml:space="preserve"> krytykiem izraelskiej polityki</w:t>
      </w:r>
      <w:r w:rsidR="0056501D">
        <w:rPr>
          <w:rFonts w:eastAsia="Times New Roman"/>
          <w:lang w:val="pl-PL" w:eastAsia="pl-PL"/>
        </w:rPr>
        <w:t>”</w:t>
      </w:r>
      <w:r w:rsidRPr="0021363E">
        <w:rPr>
          <w:rFonts w:eastAsia="Times New Roman"/>
          <w:lang w:val="pl-PL" w:eastAsia="pl-PL"/>
        </w:rPr>
        <w:t xml:space="preserve">; był </w:t>
      </w:r>
      <w:r w:rsidR="0056501D">
        <w:rPr>
          <w:rFonts w:eastAsia="Times New Roman"/>
          <w:lang w:val="pl-PL" w:eastAsia="pl-PL"/>
        </w:rPr>
        <w:t>„</w:t>
      </w:r>
      <w:r w:rsidRPr="0021363E">
        <w:rPr>
          <w:rFonts w:eastAsia="Times New Roman"/>
          <w:lang w:val="pl-PL" w:eastAsia="pl-PL"/>
        </w:rPr>
        <w:t>gorliwie zaangażowany w obronę praw imigrantów</w:t>
      </w:r>
      <w:r w:rsidR="0056501D">
        <w:rPr>
          <w:rFonts w:eastAsia="Times New Roman"/>
          <w:lang w:val="pl-PL" w:eastAsia="pl-PL"/>
        </w:rPr>
        <w:t>”</w:t>
      </w:r>
      <w:r w:rsidRPr="0021363E">
        <w:rPr>
          <w:rFonts w:eastAsia="Times New Roman"/>
          <w:lang w:val="pl-PL" w:eastAsia="pl-PL"/>
        </w:rPr>
        <w:t>; jego zaangażowanie opierało się na strukturach stowarzyszeniowych, które zainicjował lub ożywił (</w:t>
      </w:r>
      <w:r>
        <w:rPr>
          <w:rFonts w:eastAsia="Times New Roman"/>
          <w:lang w:val="pl-PL" w:eastAsia="pl-PL"/>
        </w:rPr>
        <w:t>wyrok</w:t>
      </w:r>
      <w:r w:rsidRPr="0021363E">
        <w:rPr>
          <w:rFonts w:eastAsia="Times New Roman"/>
          <w:lang w:val="pl-PL" w:eastAsia="pl-PL"/>
        </w:rPr>
        <w:t xml:space="preserve"> odnosi się do</w:t>
      </w:r>
      <w:r w:rsidR="00D57C4F">
        <w:rPr>
          <w:rFonts w:eastAsia="Times New Roman"/>
          <w:lang w:val="pl-PL" w:eastAsia="pl-PL"/>
        </w:rPr>
        <w:t> </w:t>
      </w:r>
      <w:r w:rsidRPr="0021363E">
        <w:rPr>
          <w:rFonts w:eastAsia="Times New Roman"/>
          <w:lang w:val="pl-PL" w:eastAsia="pl-PL"/>
        </w:rPr>
        <w:t xml:space="preserve">stowarzyszenia </w:t>
      </w:r>
      <w:proofErr w:type="spellStart"/>
      <w:r w:rsidR="00453306" w:rsidRPr="001706B2">
        <w:rPr>
          <w:i/>
          <w:iCs/>
          <w:lang w:val="pl-PL"/>
        </w:rPr>
        <w:t>Paix</w:t>
      </w:r>
      <w:proofErr w:type="spellEnd"/>
      <w:r w:rsidR="00453306" w:rsidRPr="001706B2">
        <w:rPr>
          <w:i/>
          <w:iCs/>
          <w:lang w:val="pl-PL"/>
        </w:rPr>
        <w:t xml:space="preserve"> </w:t>
      </w:r>
      <w:proofErr w:type="spellStart"/>
      <w:r w:rsidR="00453306" w:rsidRPr="001706B2">
        <w:rPr>
          <w:i/>
          <w:iCs/>
          <w:lang w:val="pl-PL"/>
        </w:rPr>
        <w:t>comme</w:t>
      </w:r>
      <w:proofErr w:type="spellEnd"/>
      <w:r w:rsidR="00453306" w:rsidRPr="001706B2">
        <w:rPr>
          <w:i/>
          <w:iCs/>
          <w:lang w:val="pl-PL"/>
        </w:rPr>
        <w:t xml:space="preserve"> </w:t>
      </w:r>
      <w:proofErr w:type="spellStart"/>
      <w:r w:rsidR="00453306" w:rsidRPr="001706B2">
        <w:rPr>
          <w:i/>
          <w:iCs/>
          <w:lang w:val="pl-PL"/>
        </w:rPr>
        <w:t>Palestine</w:t>
      </w:r>
      <w:proofErr w:type="spellEnd"/>
      <w:r w:rsidR="00453306">
        <w:rPr>
          <w:i/>
          <w:iCs/>
          <w:lang w:val="pl-PL"/>
        </w:rPr>
        <w:t>,</w:t>
      </w:r>
      <w:r w:rsidRPr="0021363E">
        <w:rPr>
          <w:rFonts w:eastAsia="Times New Roman"/>
          <w:lang w:val="pl-PL" w:eastAsia="pl-PL"/>
        </w:rPr>
        <w:t xml:space="preserve"> które opisuje jako </w:t>
      </w:r>
      <w:r w:rsidR="0056501D" w:rsidRPr="001706B2">
        <w:rPr>
          <w:lang w:val="pl-PL"/>
        </w:rPr>
        <w:t>lokalny</w:t>
      </w:r>
      <w:r w:rsidR="0056501D">
        <w:rPr>
          <w:lang w:val="pl-PL"/>
        </w:rPr>
        <w:t xml:space="preserve"> oddział</w:t>
      </w:r>
      <w:r w:rsidR="0056501D" w:rsidRPr="001706B2">
        <w:rPr>
          <w:lang w:val="pl-PL"/>
        </w:rPr>
        <w:t xml:space="preserve"> organizacji</w:t>
      </w:r>
      <w:r w:rsidRPr="0021363E">
        <w:rPr>
          <w:rFonts w:eastAsia="Times New Roman"/>
          <w:lang w:val="pl-PL" w:eastAsia="pl-PL"/>
        </w:rPr>
        <w:t xml:space="preserve"> </w:t>
      </w:r>
      <w:r w:rsidR="0056501D">
        <w:rPr>
          <w:rFonts w:eastAsia="Times New Roman"/>
          <w:lang w:val="pl-PL" w:eastAsia="pl-PL"/>
        </w:rPr>
        <w:t>„</w:t>
      </w:r>
      <w:r w:rsidRPr="0021363E">
        <w:rPr>
          <w:rFonts w:eastAsia="Times New Roman"/>
          <w:lang w:val="pl-PL" w:eastAsia="pl-PL"/>
        </w:rPr>
        <w:t>blisk</w:t>
      </w:r>
      <w:r w:rsidR="0056501D">
        <w:rPr>
          <w:rFonts w:eastAsia="Times New Roman"/>
          <w:lang w:val="pl-PL" w:eastAsia="pl-PL"/>
        </w:rPr>
        <w:t>iej</w:t>
      </w:r>
      <w:r w:rsidRPr="0021363E">
        <w:rPr>
          <w:rFonts w:eastAsia="Times New Roman"/>
          <w:lang w:val="pl-PL" w:eastAsia="pl-PL"/>
        </w:rPr>
        <w:t xml:space="preserve"> </w:t>
      </w:r>
      <w:r>
        <w:rPr>
          <w:rFonts w:eastAsia="Times New Roman"/>
          <w:lang w:val="pl-PL" w:eastAsia="pl-PL"/>
        </w:rPr>
        <w:t>i</w:t>
      </w:r>
      <w:r w:rsidRPr="0021363E">
        <w:rPr>
          <w:rFonts w:eastAsia="Times New Roman"/>
          <w:lang w:val="pl-PL" w:eastAsia="pl-PL"/>
        </w:rPr>
        <w:t>deologi</w:t>
      </w:r>
      <w:r>
        <w:rPr>
          <w:rFonts w:eastAsia="Times New Roman"/>
          <w:lang w:val="pl-PL" w:eastAsia="pl-PL"/>
        </w:rPr>
        <w:t>i</w:t>
      </w:r>
      <w:r w:rsidRPr="0021363E">
        <w:rPr>
          <w:rFonts w:eastAsia="Times New Roman"/>
          <w:lang w:val="pl-PL" w:eastAsia="pl-PL"/>
        </w:rPr>
        <w:t xml:space="preserve"> Hamasu</w:t>
      </w:r>
      <w:r w:rsidR="0056501D">
        <w:rPr>
          <w:rFonts w:eastAsia="Times New Roman"/>
          <w:lang w:val="pl-PL" w:eastAsia="pl-PL"/>
        </w:rPr>
        <w:t>”,</w:t>
      </w:r>
      <w:r w:rsidRPr="0021363E">
        <w:rPr>
          <w:rFonts w:eastAsia="Times New Roman"/>
          <w:lang w:val="pl-PL" w:eastAsia="pl-PL"/>
        </w:rPr>
        <w:t xml:space="preserve"> oraz </w:t>
      </w:r>
      <w:r w:rsidR="0056501D">
        <w:rPr>
          <w:rFonts w:eastAsia="Times New Roman"/>
          <w:lang w:val="pl-PL" w:eastAsia="pl-PL"/>
        </w:rPr>
        <w:t xml:space="preserve">do </w:t>
      </w:r>
      <w:r w:rsidRPr="0021363E">
        <w:rPr>
          <w:rFonts w:eastAsia="Times New Roman"/>
          <w:lang w:val="pl-PL" w:eastAsia="pl-PL"/>
        </w:rPr>
        <w:t>stowarzyszeni</w:t>
      </w:r>
      <w:r>
        <w:rPr>
          <w:rFonts w:eastAsia="Times New Roman"/>
          <w:lang w:val="pl-PL" w:eastAsia="pl-PL"/>
        </w:rPr>
        <w:t>a</w:t>
      </w:r>
      <w:r w:rsidRPr="0021363E">
        <w:rPr>
          <w:rFonts w:eastAsia="Times New Roman"/>
          <w:lang w:val="pl-PL" w:eastAsia="pl-PL"/>
        </w:rPr>
        <w:t xml:space="preserve"> </w:t>
      </w:r>
      <w:r w:rsidR="0056501D">
        <w:rPr>
          <w:rFonts w:eastAsia="Times New Roman"/>
          <w:lang w:val="pl-PL" w:eastAsia="pl-PL"/>
        </w:rPr>
        <w:t>„</w:t>
      </w:r>
      <w:proofErr w:type="spellStart"/>
      <w:r w:rsidRPr="0056501D">
        <w:rPr>
          <w:i/>
          <w:lang w:val="pl-PL" w:eastAsia="pl-PL"/>
        </w:rPr>
        <w:t>Immigration</w:t>
      </w:r>
      <w:proofErr w:type="spellEnd"/>
      <w:r w:rsidRPr="0056501D">
        <w:rPr>
          <w:i/>
          <w:lang w:val="pl-PL" w:eastAsia="pl-PL"/>
        </w:rPr>
        <w:t xml:space="preserve"> </w:t>
      </w:r>
      <w:proofErr w:type="spellStart"/>
      <w:r w:rsidRPr="0056501D">
        <w:rPr>
          <w:i/>
          <w:lang w:val="pl-PL" w:eastAsia="pl-PL"/>
        </w:rPr>
        <w:t>Repère</w:t>
      </w:r>
      <w:proofErr w:type="spellEnd"/>
      <w:r w:rsidRPr="0056501D">
        <w:rPr>
          <w:i/>
          <w:lang w:val="pl-PL" w:eastAsia="pl-PL"/>
        </w:rPr>
        <w:t xml:space="preserve"> et </w:t>
      </w:r>
      <w:proofErr w:type="spellStart"/>
      <w:r w:rsidRPr="0056501D">
        <w:rPr>
          <w:i/>
          <w:lang w:val="pl-PL" w:eastAsia="pl-PL"/>
        </w:rPr>
        <w:t>Citoyenneté</w:t>
      </w:r>
      <w:proofErr w:type="spellEnd"/>
      <w:r w:rsidR="0056501D">
        <w:rPr>
          <w:lang w:val="pl-PL" w:eastAsia="pl-PL"/>
        </w:rPr>
        <w:t>”</w:t>
      </w:r>
      <w:r w:rsidRPr="0021363E">
        <w:rPr>
          <w:rFonts w:eastAsia="Times New Roman"/>
          <w:lang w:val="pl-PL" w:eastAsia="pl-PL"/>
        </w:rPr>
        <w:t xml:space="preserve">); </w:t>
      </w:r>
      <w:r w:rsidR="0056501D">
        <w:rPr>
          <w:rFonts w:eastAsia="Times New Roman"/>
          <w:lang w:val="pl-PL" w:eastAsia="pl-PL"/>
        </w:rPr>
        <w:t>„</w:t>
      </w:r>
      <w:r w:rsidRPr="0021363E">
        <w:rPr>
          <w:rFonts w:eastAsia="Times New Roman"/>
          <w:lang w:val="pl-PL" w:eastAsia="pl-PL"/>
        </w:rPr>
        <w:t xml:space="preserve">uczestniczył w licznych </w:t>
      </w:r>
      <w:r>
        <w:rPr>
          <w:rFonts w:eastAsia="Times New Roman"/>
          <w:lang w:val="pl-PL" w:eastAsia="pl-PL"/>
        </w:rPr>
        <w:t>manifestacjach</w:t>
      </w:r>
      <w:r w:rsidRPr="0021363E">
        <w:rPr>
          <w:rFonts w:eastAsia="Times New Roman"/>
          <w:lang w:val="pl-PL" w:eastAsia="pl-PL"/>
        </w:rPr>
        <w:t xml:space="preserve"> na rzecz sprawy palestyńskiej od 14 października 2000 r.</w:t>
      </w:r>
      <w:r w:rsidR="0056501D">
        <w:rPr>
          <w:rFonts w:eastAsia="Times New Roman"/>
          <w:lang w:val="pl-PL" w:eastAsia="pl-PL"/>
        </w:rPr>
        <w:t>”</w:t>
      </w:r>
      <w:r w:rsidRPr="0021363E">
        <w:rPr>
          <w:rFonts w:eastAsia="Times New Roman"/>
          <w:lang w:val="pl-PL" w:eastAsia="pl-PL"/>
        </w:rPr>
        <w:t xml:space="preserve">; w styczniu 2009 r., podczas </w:t>
      </w:r>
      <w:r>
        <w:rPr>
          <w:rFonts w:eastAsia="Times New Roman"/>
          <w:lang w:val="pl-PL" w:eastAsia="pl-PL"/>
        </w:rPr>
        <w:t>manife</w:t>
      </w:r>
      <w:r w:rsidRPr="0021363E">
        <w:rPr>
          <w:rFonts w:eastAsia="Times New Roman"/>
          <w:lang w:val="pl-PL" w:eastAsia="pl-PL"/>
        </w:rPr>
        <w:t xml:space="preserve">stacji przeciwko izraelskiej interwencji wojskowej w Strefie Gazy, </w:t>
      </w:r>
      <w:r>
        <w:rPr>
          <w:rFonts w:eastAsia="Times New Roman"/>
          <w:lang w:val="pl-PL" w:eastAsia="pl-PL"/>
        </w:rPr>
        <w:t>S</w:t>
      </w:r>
      <w:r w:rsidRPr="0021363E">
        <w:rPr>
          <w:rFonts w:eastAsia="Times New Roman"/>
          <w:lang w:val="pl-PL" w:eastAsia="pl-PL"/>
        </w:rPr>
        <w:t xml:space="preserve">karżący zabrał głos, aby przekazać protestującym </w:t>
      </w:r>
      <w:r w:rsidR="0056501D">
        <w:rPr>
          <w:rFonts w:eastAsia="Times New Roman"/>
          <w:lang w:val="pl-PL" w:eastAsia="pl-PL"/>
        </w:rPr>
        <w:t>„</w:t>
      </w:r>
      <w:r w:rsidRPr="0021363E">
        <w:rPr>
          <w:rFonts w:eastAsia="Times New Roman"/>
          <w:lang w:val="pl-PL" w:eastAsia="pl-PL"/>
        </w:rPr>
        <w:t>wiadomoś</w:t>
      </w:r>
      <w:r>
        <w:rPr>
          <w:rFonts w:eastAsia="Times New Roman"/>
          <w:lang w:val="pl-PL" w:eastAsia="pl-PL"/>
        </w:rPr>
        <w:t>ci</w:t>
      </w:r>
      <w:r w:rsidRPr="0021363E">
        <w:rPr>
          <w:rFonts w:eastAsia="Times New Roman"/>
          <w:lang w:val="pl-PL" w:eastAsia="pl-PL"/>
        </w:rPr>
        <w:t xml:space="preserve"> o sytuacji w Strefie Gazy</w:t>
      </w:r>
      <w:r w:rsidR="0056501D">
        <w:rPr>
          <w:rFonts w:eastAsia="Times New Roman"/>
          <w:lang w:val="pl-PL" w:eastAsia="pl-PL"/>
        </w:rPr>
        <w:t>”</w:t>
      </w:r>
      <w:r w:rsidRPr="0021363E">
        <w:rPr>
          <w:rFonts w:eastAsia="Times New Roman"/>
          <w:lang w:val="pl-PL" w:eastAsia="pl-PL"/>
        </w:rPr>
        <w:t xml:space="preserve">, </w:t>
      </w:r>
      <w:r>
        <w:rPr>
          <w:rFonts w:eastAsia="Times New Roman"/>
          <w:lang w:val="pl-PL" w:eastAsia="pl-PL"/>
        </w:rPr>
        <w:t>stwierdził, że jest</w:t>
      </w:r>
      <w:r w:rsidRPr="0021363E">
        <w:rPr>
          <w:rFonts w:eastAsia="Times New Roman"/>
          <w:lang w:val="pl-PL" w:eastAsia="pl-PL"/>
        </w:rPr>
        <w:t xml:space="preserve"> </w:t>
      </w:r>
      <w:r w:rsidR="00AB7219">
        <w:rPr>
          <w:rFonts w:eastAsia="Times New Roman"/>
          <w:lang w:val="pl-PL" w:eastAsia="pl-PL"/>
        </w:rPr>
        <w:t>„</w:t>
      </w:r>
      <w:r w:rsidRPr="0021363E">
        <w:rPr>
          <w:rFonts w:eastAsia="Times New Roman"/>
          <w:lang w:val="pl-PL" w:eastAsia="pl-PL"/>
        </w:rPr>
        <w:t xml:space="preserve">w </w:t>
      </w:r>
      <w:r>
        <w:rPr>
          <w:rFonts w:eastAsia="Times New Roman"/>
          <w:lang w:val="pl-PL" w:eastAsia="pl-PL"/>
        </w:rPr>
        <w:t>kontakcie</w:t>
      </w:r>
      <w:r w:rsidRPr="0021363E">
        <w:rPr>
          <w:rFonts w:eastAsia="Times New Roman"/>
          <w:lang w:val="pl-PL" w:eastAsia="pl-PL"/>
        </w:rPr>
        <w:t xml:space="preserve"> z przedstawicielem Hamasu [i powiedział], że organizacja ta</w:t>
      </w:r>
      <w:r w:rsidR="00D57C4F">
        <w:rPr>
          <w:rFonts w:eastAsia="Times New Roman"/>
          <w:lang w:val="pl-PL" w:eastAsia="pl-PL"/>
        </w:rPr>
        <w:t> </w:t>
      </w:r>
      <w:r w:rsidRPr="0021363E">
        <w:rPr>
          <w:rFonts w:eastAsia="Times New Roman"/>
          <w:lang w:val="pl-PL" w:eastAsia="pl-PL"/>
        </w:rPr>
        <w:t>odmówiłaby rozejmu proponowanego przez państwo Izrael</w:t>
      </w:r>
      <w:r w:rsidR="00F61A79">
        <w:rPr>
          <w:lang w:val="pl-PL"/>
        </w:rPr>
        <w:t>”.</w:t>
      </w:r>
    </w:p>
    <w:p w14:paraId="0D8CC6FC" w14:textId="77777777" w:rsidR="00DF36FA" w:rsidRPr="005D05B3" w:rsidRDefault="00DF36FA" w:rsidP="004B7264">
      <w:pPr>
        <w:pStyle w:val="ECHRPara"/>
      </w:pPr>
      <w:r w:rsidRPr="001706B2">
        <w:t>22.</w:t>
      </w:r>
      <w:r w:rsidR="00DE4D09">
        <w:t xml:space="preserve"> </w:t>
      </w:r>
      <w:r>
        <w:rPr>
          <w:rStyle w:val="tlid-translation"/>
        </w:rPr>
        <w:t xml:space="preserve">Trybunał podziela pogląd Rządu, według którego w niniejszej sprawie należy się odnieść do sprawy </w:t>
      </w:r>
      <w:proofErr w:type="spellStart"/>
      <w:r w:rsidRPr="00D74DE5">
        <w:rPr>
          <w:rStyle w:val="tlid-translation"/>
          <w:i/>
        </w:rPr>
        <w:t>Petropavlovskis</w:t>
      </w:r>
      <w:proofErr w:type="spellEnd"/>
      <w:r>
        <w:rPr>
          <w:rStyle w:val="tlid-translation"/>
        </w:rPr>
        <w:t xml:space="preserve"> (cytowanej powyżej), mimo że te dwa przypadki różnią się kontekstem, w jakim się mieszczą</w:t>
      </w:r>
      <w:r w:rsidRPr="005D05B3">
        <w:t>.</w:t>
      </w:r>
    </w:p>
    <w:p w14:paraId="6CBA6FCF" w14:textId="17417F65" w:rsidR="00DF36FA" w:rsidRPr="0085475B" w:rsidRDefault="00DF36FA" w:rsidP="004B7264">
      <w:pPr>
        <w:pStyle w:val="ECHRPara"/>
      </w:pPr>
      <w:r w:rsidRPr="001706B2">
        <w:t>23.</w:t>
      </w:r>
      <w:r w:rsidR="00DE4D09">
        <w:t xml:space="preserve"> </w:t>
      </w:r>
      <w:r>
        <w:rPr>
          <w:rStyle w:val="tlid-translation"/>
        </w:rPr>
        <w:t xml:space="preserve">W sprawie </w:t>
      </w:r>
      <w:proofErr w:type="spellStart"/>
      <w:r w:rsidRPr="00D74DE5">
        <w:rPr>
          <w:rStyle w:val="tlid-translation"/>
          <w:i/>
        </w:rPr>
        <w:t>Petropavlovskis</w:t>
      </w:r>
      <w:proofErr w:type="spellEnd"/>
      <w:r>
        <w:rPr>
          <w:rStyle w:val="tlid-translation"/>
        </w:rPr>
        <w:t xml:space="preserve"> chodziło o osobę narodowości rosyjskiej urodzoną na Łotwie w 1955 r., </w:t>
      </w:r>
      <w:r w:rsidR="00AB7219">
        <w:rPr>
          <w:rStyle w:val="tlid-translation"/>
        </w:rPr>
        <w:t>zaangażowaną przeciw</w:t>
      </w:r>
      <w:r>
        <w:rPr>
          <w:rStyle w:val="tlid-translation"/>
        </w:rPr>
        <w:t xml:space="preserve"> reformie edukacji, a</w:t>
      </w:r>
      <w:r w:rsidR="00D57C4F">
        <w:rPr>
          <w:rStyle w:val="tlid-translation"/>
        </w:rPr>
        <w:t> </w:t>
      </w:r>
      <w:r>
        <w:rPr>
          <w:rStyle w:val="tlid-translation"/>
        </w:rPr>
        <w:t xml:space="preserve">za promowaniem prawa społeczności rosyjskojęzycznej do korzystania </w:t>
      </w:r>
      <w:r>
        <w:rPr>
          <w:rStyle w:val="tlid-translation"/>
        </w:rPr>
        <w:lastRenderedPageBreak/>
        <w:t>z</w:t>
      </w:r>
      <w:r w:rsidR="00D57C4F">
        <w:rPr>
          <w:rStyle w:val="tlid-translation"/>
        </w:rPr>
        <w:t> </w:t>
      </w:r>
      <w:r>
        <w:rPr>
          <w:rStyle w:val="tlid-translation"/>
        </w:rPr>
        <w:t>edukacji w języku rosyjskim, której wniosek o obywatelstwo ł</w:t>
      </w:r>
      <w:r w:rsidR="00AB7219">
        <w:rPr>
          <w:rStyle w:val="tlid-translation"/>
        </w:rPr>
        <w:t>otewskie przez</w:t>
      </w:r>
      <w:r>
        <w:rPr>
          <w:rStyle w:val="tlid-translation"/>
        </w:rPr>
        <w:t xml:space="preserve"> </w:t>
      </w:r>
      <w:r w:rsidR="00AB7219">
        <w:rPr>
          <w:rStyle w:val="tlid-translation"/>
        </w:rPr>
        <w:t>naturalizację</w:t>
      </w:r>
      <w:r>
        <w:rPr>
          <w:rStyle w:val="tlid-translation"/>
        </w:rPr>
        <w:t xml:space="preserve"> został odrzucony z powodu braku lojalności wobec Republiki Łotewskiej. Rada Ministrów uznała, że z działań zainteres</w:t>
      </w:r>
      <w:r w:rsidR="00AB7219">
        <w:rPr>
          <w:rStyle w:val="tlid-translation"/>
        </w:rPr>
        <w:t>owanego wynika, że nie mógł</w:t>
      </w:r>
      <w:r>
        <w:rPr>
          <w:rStyle w:val="tlid-translation"/>
        </w:rPr>
        <w:t xml:space="preserve"> uczciwie przysiąc wierności Republice Łotewskiej. Według Rady Ministrów jego publiczne oświadczenia dowodziły, że nie miał on z nią prawdziwego związku, że</w:t>
      </w:r>
      <w:r w:rsidR="00D57C4F">
        <w:rPr>
          <w:rStyle w:val="tlid-translation"/>
        </w:rPr>
        <w:t> </w:t>
      </w:r>
      <w:r>
        <w:rPr>
          <w:rStyle w:val="tlid-translation"/>
        </w:rPr>
        <w:t>nie</w:t>
      </w:r>
      <w:r w:rsidR="00D57C4F">
        <w:rPr>
          <w:rStyle w:val="tlid-translation"/>
        </w:rPr>
        <w:t> </w:t>
      </w:r>
      <w:r>
        <w:rPr>
          <w:rStyle w:val="tlid-translation"/>
        </w:rPr>
        <w:t>chciał go ustanowić i że ubiegał się o obywatelstwo jedynie w</w:t>
      </w:r>
      <w:r w:rsidR="00D57C4F">
        <w:rPr>
          <w:rStyle w:val="tlid-translation"/>
        </w:rPr>
        <w:t> </w:t>
      </w:r>
      <w:r>
        <w:rPr>
          <w:rStyle w:val="tlid-translation"/>
        </w:rPr>
        <w:t>kontekście kampanii politycznej</w:t>
      </w:r>
      <w:r w:rsidR="00B53F99">
        <w:rPr>
          <w:rStyle w:val="tlid-translation"/>
        </w:rPr>
        <w:t xml:space="preserve"> mającej jej </w:t>
      </w:r>
      <w:r w:rsidRPr="00B53F99">
        <w:rPr>
          <w:rStyle w:val="tlid-translation"/>
        </w:rPr>
        <w:t>szkodzić</w:t>
      </w:r>
      <w:r w:rsidRPr="00B53F99">
        <w:t>.</w:t>
      </w:r>
    </w:p>
    <w:p w14:paraId="4760563A" w14:textId="5EC22080" w:rsidR="00DF36FA" w:rsidRPr="0085475B" w:rsidRDefault="00DF36FA" w:rsidP="004B7264">
      <w:pPr>
        <w:pStyle w:val="ECHRPara"/>
      </w:pPr>
      <w:r w:rsidRPr="001706B2">
        <w:t>24.</w:t>
      </w:r>
      <w:r w:rsidR="00DE4D09">
        <w:t xml:space="preserve"> </w:t>
      </w:r>
      <w:r>
        <w:rPr>
          <w:rStyle w:val="tlid-translation"/>
        </w:rPr>
        <w:t>Opierając się na art</w:t>
      </w:r>
      <w:r w:rsidR="00DE4D09">
        <w:rPr>
          <w:rStyle w:val="tlid-translation"/>
        </w:rPr>
        <w:t>.</w:t>
      </w:r>
      <w:r>
        <w:rPr>
          <w:rStyle w:val="tlid-translation"/>
        </w:rPr>
        <w:t xml:space="preserve"> 10 i 11 Konwencji, Skarżący </w:t>
      </w:r>
      <w:r w:rsidR="000D4072">
        <w:rPr>
          <w:rStyle w:val="tlid-translation"/>
        </w:rPr>
        <w:t>skarżył się na</w:t>
      </w:r>
      <w:r w:rsidR="00D57C4F">
        <w:rPr>
          <w:rStyle w:val="tlid-translation"/>
        </w:rPr>
        <w:t> </w:t>
      </w:r>
      <w:r w:rsidR="000D4072">
        <w:rPr>
          <w:rStyle w:val="tlid-translation"/>
        </w:rPr>
        <w:t>odmowę</w:t>
      </w:r>
      <w:r>
        <w:rPr>
          <w:rStyle w:val="tlid-translation"/>
        </w:rPr>
        <w:t xml:space="preserve"> przyznania mu obywatelstwa łotewskiego, twierdząc w</w:t>
      </w:r>
      <w:r w:rsidR="00D57C4F">
        <w:rPr>
          <w:rStyle w:val="tlid-translation"/>
        </w:rPr>
        <w:t> </w:t>
      </w:r>
      <w:r>
        <w:rPr>
          <w:rStyle w:val="tlid-translation"/>
        </w:rPr>
        <w:t xml:space="preserve">szczególności, że odmowa miała na celu ukaranie go za wyrażanie opinii i korzystanie z prawa do </w:t>
      </w:r>
      <w:r w:rsidR="000D4072">
        <w:rPr>
          <w:rStyle w:val="tlid-translation"/>
        </w:rPr>
        <w:t xml:space="preserve">pokojowych </w:t>
      </w:r>
      <w:r>
        <w:rPr>
          <w:rStyle w:val="tlid-translation"/>
        </w:rPr>
        <w:t xml:space="preserve">zgromadzeń. Trybunał stwierdził jednak, że przepisy te nie miały zastosowania w okolicznościach </w:t>
      </w:r>
      <w:r w:rsidR="00B22FF5">
        <w:rPr>
          <w:rStyle w:val="tlid-translation"/>
        </w:rPr>
        <w:t xml:space="preserve">tamtej </w:t>
      </w:r>
      <w:r>
        <w:rPr>
          <w:rStyle w:val="tlid-translation"/>
        </w:rPr>
        <w:t>sprawy</w:t>
      </w:r>
      <w:r w:rsidRPr="0085475B">
        <w:t>.</w:t>
      </w:r>
    </w:p>
    <w:p w14:paraId="55D8DCFD" w14:textId="4A18B95E" w:rsidR="00DF36FA" w:rsidRPr="0085475B" w:rsidRDefault="00DF36FA" w:rsidP="004B7264">
      <w:pPr>
        <w:pStyle w:val="ECHRPara"/>
      </w:pPr>
      <w:r w:rsidRPr="001706B2">
        <w:t>25.</w:t>
      </w:r>
      <w:r w:rsidR="00DE4D09">
        <w:t xml:space="preserve"> </w:t>
      </w:r>
      <w:r>
        <w:rPr>
          <w:rStyle w:val="tlid-translation"/>
        </w:rPr>
        <w:t>Aby dojść do takiego wniosku, Trybunał najpierw stwierdził, że</w:t>
      </w:r>
      <w:r w:rsidR="00D57C4F">
        <w:rPr>
          <w:rStyle w:val="tlid-translation"/>
        </w:rPr>
        <w:t> </w:t>
      </w:r>
      <w:r>
        <w:rPr>
          <w:rStyle w:val="tlid-translation"/>
        </w:rPr>
        <w:t>Skarżący mógł swobodnie wyrażać swoje poglądy, zarówno przed</w:t>
      </w:r>
      <w:r w:rsidR="00D57C4F">
        <w:rPr>
          <w:rStyle w:val="tlid-translation"/>
        </w:rPr>
        <w:t> </w:t>
      </w:r>
      <w:r>
        <w:rPr>
          <w:rStyle w:val="tlid-translation"/>
        </w:rPr>
        <w:t>odrzuceniem wniosku o naturalizację, jak i po jego odrzuceniu, i</w:t>
      </w:r>
      <w:r w:rsidR="00D57C4F">
        <w:rPr>
          <w:rStyle w:val="tlid-translation"/>
        </w:rPr>
        <w:t> </w:t>
      </w:r>
      <w:r>
        <w:rPr>
          <w:rStyle w:val="tlid-translation"/>
        </w:rPr>
        <w:t>że</w:t>
      </w:r>
      <w:r w:rsidR="00D57C4F">
        <w:rPr>
          <w:rStyle w:val="tlid-translation"/>
        </w:rPr>
        <w:t> </w:t>
      </w:r>
      <w:r>
        <w:rPr>
          <w:rStyle w:val="tlid-translation"/>
        </w:rPr>
        <w:t>nic nie wskazywało na to, że decyzja ta miała zniechęcający wpływ na</w:t>
      </w:r>
      <w:r w:rsidR="00D57C4F">
        <w:rPr>
          <w:rStyle w:val="tlid-translation"/>
        </w:rPr>
        <w:t> </w:t>
      </w:r>
      <w:r>
        <w:rPr>
          <w:rStyle w:val="tlid-translation"/>
        </w:rPr>
        <w:t xml:space="preserve">niego, </w:t>
      </w:r>
      <w:r w:rsidR="00B22FF5">
        <w:rPr>
          <w:rStyle w:val="tlid-translation"/>
        </w:rPr>
        <w:t>an</w:t>
      </w:r>
      <w:r>
        <w:rPr>
          <w:rStyle w:val="tlid-translation"/>
        </w:rPr>
        <w:t xml:space="preserve">i że polityka rządu łotewskiego </w:t>
      </w:r>
      <w:r w:rsidR="00B22FF5">
        <w:rPr>
          <w:rStyle w:val="tlid-translation"/>
        </w:rPr>
        <w:t xml:space="preserve">w obszarze obywatelstwa </w:t>
      </w:r>
      <w:r>
        <w:rPr>
          <w:rStyle w:val="tlid-translation"/>
        </w:rPr>
        <w:t xml:space="preserve">miała taki wpływ na niego lub na osoby wyrażające </w:t>
      </w:r>
      <w:r w:rsidR="00B22FF5">
        <w:rPr>
          <w:rStyle w:val="tlid-translation"/>
        </w:rPr>
        <w:t xml:space="preserve">podobne jak on </w:t>
      </w:r>
      <w:r>
        <w:rPr>
          <w:rStyle w:val="tlid-translation"/>
        </w:rPr>
        <w:t xml:space="preserve">poglądy. Trybunał brał również pod uwagę fakt, że nie został on ukarany </w:t>
      </w:r>
      <w:r w:rsidR="00B22FF5">
        <w:rPr>
          <w:rStyle w:val="tlid-translation"/>
        </w:rPr>
        <w:t>na</w:t>
      </w:r>
      <w:r w:rsidR="00D57C4F">
        <w:rPr>
          <w:rStyle w:val="tlid-translation"/>
        </w:rPr>
        <w:t> </w:t>
      </w:r>
      <w:r w:rsidR="00B22FF5">
        <w:rPr>
          <w:rStyle w:val="tlid-translation"/>
        </w:rPr>
        <w:t xml:space="preserve">podstawie prawa karnego </w:t>
      </w:r>
      <w:r>
        <w:rPr>
          <w:rStyle w:val="tlid-translation"/>
        </w:rPr>
        <w:t>za wyrażanie swoich opinii lub udział w</w:t>
      </w:r>
      <w:r w:rsidR="00D57C4F">
        <w:rPr>
          <w:rStyle w:val="tlid-translation"/>
        </w:rPr>
        <w:t> </w:t>
      </w:r>
      <w:r>
        <w:rPr>
          <w:rStyle w:val="tlid-translation"/>
        </w:rPr>
        <w:t>manifestacji</w:t>
      </w:r>
      <w:r w:rsidRPr="0085475B">
        <w:t>.</w:t>
      </w:r>
    </w:p>
    <w:p w14:paraId="7BA2C1A7" w14:textId="0A90F43F" w:rsidR="00DF36FA" w:rsidRPr="00573E1C" w:rsidRDefault="00DF36FA" w:rsidP="00B22FF5">
      <w:pPr>
        <w:pStyle w:val="ECHRPara"/>
        <w:rPr>
          <w:rFonts w:eastAsia="Times New Roman"/>
        </w:rPr>
      </w:pPr>
      <w:r w:rsidRPr="001706B2">
        <w:t>26.</w:t>
      </w:r>
      <w:r w:rsidR="00DE4D09">
        <w:t xml:space="preserve"> </w:t>
      </w:r>
      <w:r w:rsidRPr="00573E1C">
        <w:rPr>
          <w:rFonts w:eastAsia="Times New Roman"/>
        </w:rPr>
        <w:t xml:space="preserve">Następnie Trybunał orzekł, że odrzucenie wniosku </w:t>
      </w:r>
      <w:r>
        <w:rPr>
          <w:rFonts w:eastAsia="Times New Roman"/>
        </w:rPr>
        <w:t>Sk</w:t>
      </w:r>
      <w:r w:rsidRPr="00573E1C">
        <w:rPr>
          <w:rFonts w:eastAsia="Times New Roman"/>
        </w:rPr>
        <w:t>arżącego o</w:t>
      </w:r>
      <w:r w:rsidR="00D57C4F">
        <w:rPr>
          <w:rFonts w:eastAsia="Times New Roman"/>
        </w:rPr>
        <w:t> </w:t>
      </w:r>
      <w:r w:rsidRPr="00573E1C">
        <w:rPr>
          <w:rFonts w:eastAsia="Times New Roman"/>
        </w:rPr>
        <w:t xml:space="preserve">naturalizację nie miało na celu ukarania go za korzystanie z wolności </w:t>
      </w:r>
      <w:r w:rsidR="00B22FF5">
        <w:rPr>
          <w:rFonts w:eastAsia="Times New Roman"/>
        </w:rPr>
        <w:t>wyrażania opinii</w:t>
      </w:r>
      <w:r w:rsidRPr="00573E1C">
        <w:rPr>
          <w:rFonts w:eastAsia="Times New Roman"/>
        </w:rPr>
        <w:t xml:space="preserve"> i zgromadzeń. Podkreślił, że wybór kryteriów do celów procedury naturalizacyjnej zasadniczo nie podlega szczególnym zasadom prawa międzynarodowego i że państwa swobodnie decydują o przyznaniu naturalizacji osobom, które o to wnioskują (paragraf 80). W tym kontekście przypomniał, że </w:t>
      </w:r>
      <w:r w:rsidR="00B22FF5">
        <w:rPr>
          <w:rFonts w:eastAsia="Times New Roman"/>
        </w:rPr>
        <w:t xml:space="preserve">choć </w:t>
      </w:r>
      <w:r w:rsidRPr="00573E1C">
        <w:rPr>
          <w:rFonts w:eastAsia="Times New Roman"/>
        </w:rPr>
        <w:t>w pewnych okolicznościach arbitralne lub</w:t>
      </w:r>
      <w:r w:rsidR="00D57C4F">
        <w:rPr>
          <w:rFonts w:eastAsia="Times New Roman"/>
        </w:rPr>
        <w:t> </w:t>
      </w:r>
      <w:r w:rsidRPr="00573E1C">
        <w:rPr>
          <w:rFonts w:eastAsia="Times New Roman"/>
        </w:rPr>
        <w:t xml:space="preserve">dyskryminujące decyzje </w:t>
      </w:r>
      <w:r>
        <w:rPr>
          <w:rFonts w:eastAsia="Times New Roman"/>
        </w:rPr>
        <w:t xml:space="preserve">wydane </w:t>
      </w:r>
      <w:r w:rsidRPr="00573E1C">
        <w:rPr>
          <w:rFonts w:eastAsia="Times New Roman"/>
        </w:rPr>
        <w:t xml:space="preserve">w </w:t>
      </w:r>
      <w:r>
        <w:rPr>
          <w:rFonts w:eastAsia="Times New Roman"/>
        </w:rPr>
        <w:t>zakresie</w:t>
      </w:r>
      <w:r w:rsidRPr="00573E1C">
        <w:rPr>
          <w:rFonts w:eastAsia="Times New Roman"/>
        </w:rPr>
        <w:t xml:space="preserve"> obywatelstwa mog</w:t>
      </w:r>
      <w:r w:rsidR="002F456A">
        <w:rPr>
          <w:rFonts w:eastAsia="Times New Roman"/>
        </w:rPr>
        <w:t>ą</w:t>
      </w:r>
      <w:r w:rsidRPr="00573E1C">
        <w:rPr>
          <w:rFonts w:eastAsia="Times New Roman"/>
        </w:rPr>
        <w:t xml:space="preserve"> podnosić kwestie </w:t>
      </w:r>
      <w:r w:rsidR="00B22FF5">
        <w:rPr>
          <w:rFonts w:eastAsia="Times New Roman"/>
        </w:rPr>
        <w:t xml:space="preserve">z zakresu ogólnie </w:t>
      </w:r>
      <w:r w:rsidRPr="00573E1C">
        <w:rPr>
          <w:rFonts w:eastAsia="Times New Roman"/>
        </w:rPr>
        <w:t>praw człowieka, a w szczególności Konwencj</w:t>
      </w:r>
      <w:r>
        <w:rPr>
          <w:rFonts w:eastAsia="Times New Roman"/>
        </w:rPr>
        <w:t>i, ani</w:t>
      </w:r>
      <w:r w:rsidRPr="00573E1C">
        <w:rPr>
          <w:rFonts w:eastAsia="Times New Roman"/>
        </w:rPr>
        <w:t xml:space="preserve"> Konwencja</w:t>
      </w:r>
      <w:r w:rsidR="009B0549">
        <w:rPr>
          <w:rFonts w:eastAsia="Times New Roman"/>
        </w:rPr>
        <w:t>,</w:t>
      </w:r>
      <w:r w:rsidRPr="00573E1C">
        <w:rPr>
          <w:rFonts w:eastAsia="Times New Roman"/>
        </w:rPr>
        <w:t xml:space="preserve"> </w:t>
      </w:r>
      <w:r>
        <w:rPr>
          <w:rFonts w:eastAsia="Times New Roman"/>
        </w:rPr>
        <w:t>an</w:t>
      </w:r>
      <w:r w:rsidRPr="00573E1C">
        <w:rPr>
          <w:rFonts w:eastAsia="Times New Roman"/>
        </w:rPr>
        <w:t xml:space="preserve">i </w:t>
      </w:r>
      <w:r w:rsidR="00B22FF5" w:rsidRPr="00573E1C">
        <w:rPr>
          <w:rFonts w:eastAsia="Times New Roman"/>
        </w:rPr>
        <w:t>ogól</w:t>
      </w:r>
      <w:r w:rsidR="00B22FF5">
        <w:rPr>
          <w:rFonts w:eastAsia="Times New Roman"/>
        </w:rPr>
        <w:t>nie</w:t>
      </w:r>
      <w:r w:rsidR="00B22FF5" w:rsidRPr="00573E1C">
        <w:rPr>
          <w:rFonts w:eastAsia="Times New Roman"/>
        </w:rPr>
        <w:t xml:space="preserve"> </w:t>
      </w:r>
      <w:r w:rsidRPr="00573E1C">
        <w:rPr>
          <w:rFonts w:eastAsia="Times New Roman"/>
        </w:rPr>
        <w:t>prawo</w:t>
      </w:r>
      <w:r w:rsidR="002F456A">
        <w:rPr>
          <w:rFonts w:eastAsia="Times New Roman"/>
        </w:rPr>
        <w:t xml:space="preserve"> międzynarodowe nie</w:t>
      </w:r>
      <w:r w:rsidR="00D57C4F">
        <w:rPr>
          <w:rFonts w:eastAsia="Times New Roman"/>
        </w:rPr>
        <w:t> </w:t>
      </w:r>
      <w:r w:rsidR="002F456A">
        <w:rPr>
          <w:rFonts w:eastAsia="Times New Roman"/>
        </w:rPr>
        <w:t>przewidują</w:t>
      </w:r>
      <w:r w:rsidRPr="00573E1C">
        <w:rPr>
          <w:rFonts w:eastAsia="Times New Roman"/>
        </w:rPr>
        <w:t xml:space="preserve"> prawa do nabycia określonego obywatelstwa (paragraf 83). </w:t>
      </w:r>
      <w:r>
        <w:rPr>
          <w:rFonts w:eastAsia="Times New Roman"/>
        </w:rPr>
        <w:t>Następnie, p</w:t>
      </w:r>
      <w:r w:rsidRPr="00573E1C">
        <w:rPr>
          <w:rFonts w:eastAsia="Times New Roman"/>
        </w:rPr>
        <w:t>o stwierdzeniu, że nic w łotewskim ustawodawstwie dotyczącym obywatelstwa nie wskaz</w:t>
      </w:r>
      <w:r>
        <w:rPr>
          <w:rFonts w:eastAsia="Times New Roman"/>
        </w:rPr>
        <w:t>yw</w:t>
      </w:r>
      <w:r w:rsidRPr="00573E1C">
        <w:rPr>
          <w:rFonts w:eastAsia="Times New Roman"/>
        </w:rPr>
        <w:t>ało</w:t>
      </w:r>
      <w:r>
        <w:rPr>
          <w:rFonts w:eastAsia="Times New Roman"/>
        </w:rPr>
        <w:t xml:space="preserve"> na to</w:t>
      </w:r>
      <w:r w:rsidRPr="00573E1C">
        <w:rPr>
          <w:rFonts w:eastAsia="Times New Roman"/>
        </w:rPr>
        <w:t xml:space="preserve">, że </w:t>
      </w:r>
      <w:r>
        <w:rPr>
          <w:rFonts w:eastAsia="Times New Roman"/>
        </w:rPr>
        <w:t>S</w:t>
      </w:r>
      <w:r w:rsidRPr="00573E1C">
        <w:rPr>
          <w:rFonts w:eastAsia="Times New Roman"/>
        </w:rPr>
        <w:t xml:space="preserve">karżący może </w:t>
      </w:r>
      <w:r w:rsidR="005810D1" w:rsidRPr="00573E1C">
        <w:rPr>
          <w:rFonts w:eastAsia="Times New Roman"/>
        </w:rPr>
        <w:t>do</w:t>
      </w:r>
      <w:r w:rsidR="002F456A">
        <w:rPr>
          <w:rFonts w:eastAsia="Times New Roman"/>
        </w:rPr>
        <w:t>magać się</w:t>
      </w:r>
      <w:r w:rsidRPr="00573E1C">
        <w:rPr>
          <w:rFonts w:eastAsia="Times New Roman"/>
        </w:rPr>
        <w:t xml:space="preserve"> bezwarunkowego prawa do uzyskania obywatelstwa łotewskiego</w:t>
      </w:r>
      <w:r w:rsidR="005810D1">
        <w:rPr>
          <w:rFonts w:eastAsia="Times New Roman"/>
        </w:rPr>
        <w:t>,</w:t>
      </w:r>
      <w:r w:rsidRPr="00573E1C">
        <w:rPr>
          <w:rFonts w:eastAsia="Times New Roman"/>
        </w:rPr>
        <w:t xml:space="preserve"> i że nie było powodu, aby sądzić, że decyzja </w:t>
      </w:r>
      <w:r>
        <w:rPr>
          <w:rFonts w:eastAsia="Times New Roman"/>
        </w:rPr>
        <w:t xml:space="preserve">podjęta </w:t>
      </w:r>
      <w:r w:rsidRPr="00573E1C">
        <w:rPr>
          <w:rFonts w:eastAsia="Times New Roman"/>
        </w:rPr>
        <w:t>w</w:t>
      </w:r>
      <w:r w:rsidR="00D57C4F">
        <w:rPr>
          <w:rFonts w:eastAsia="Times New Roman"/>
        </w:rPr>
        <w:t> </w:t>
      </w:r>
      <w:r w:rsidRPr="00573E1C">
        <w:rPr>
          <w:rFonts w:eastAsia="Times New Roman"/>
        </w:rPr>
        <w:t>niniejszej sprawie była skażona arbitralnością, Trybunał orzekł, że</w:t>
      </w:r>
      <w:r w:rsidR="00D57C4F">
        <w:rPr>
          <w:rFonts w:eastAsia="Times New Roman"/>
        </w:rPr>
        <w:t> </w:t>
      </w:r>
      <w:r w:rsidRPr="00573E1C">
        <w:rPr>
          <w:rFonts w:eastAsia="Times New Roman"/>
        </w:rPr>
        <w:t xml:space="preserve">wymóg lojalności wobec państwa i Konstytucji, </w:t>
      </w:r>
      <w:r w:rsidR="005810D1">
        <w:rPr>
          <w:rFonts w:eastAsia="Times New Roman"/>
        </w:rPr>
        <w:t>od</w:t>
      </w:r>
      <w:r w:rsidRPr="00573E1C">
        <w:rPr>
          <w:rFonts w:eastAsia="Times New Roman"/>
        </w:rPr>
        <w:t xml:space="preserve"> którego prawo łotewskie </w:t>
      </w:r>
      <w:r w:rsidR="005810D1" w:rsidRPr="009A4C02">
        <w:rPr>
          <w:rFonts w:eastAsia="Times New Roman"/>
        </w:rPr>
        <w:t>uzależniało</w:t>
      </w:r>
      <w:r w:rsidR="005810D1">
        <w:rPr>
          <w:rFonts w:eastAsia="Times New Roman"/>
        </w:rPr>
        <w:t xml:space="preserve"> </w:t>
      </w:r>
      <w:r w:rsidRPr="00573E1C">
        <w:rPr>
          <w:rFonts w:eastAsia="Times New Roman"/>
        </w:rPr>
        <w:t xml:space="preserve">przyznanie obywatelstwa, nie był środkiem karnym ograniczającym </w:t>
      </w:r>
      <w:r w:rsidR="005810D1">
        <w:rPr>
          <w:rFonts w:eastAsia="Times New Roman"/>
        </w:rPr>
        <w:t>wolność wyrażania opinii</w:t>
      </w:r>
      <w:r w:rsidRPr="00573E1C">
        <w:rPr>
          <w:rFonts w:eastAsia="Times New Roman"/>
        </w:rPr>
        <w:t xml:space="preserve"> i </w:t>
      </w:r>
      <w:r>
        <w:rPr>
          <w:rFonts w:eastAsia="Times New Roman"/>
        </w:rPr>
        <w:t>zgromadzeń</w:t>
      </w:r>
      <w:r w:rsidRPr="00573E1C">
        <w:rPr>
          <w:rFonts w:eastAsia="Times New Roman"/>
        </w:rPr>
        <w:t xml:space="preserve">, ale kryterium, </w:t>
      </w:r>
      <w:r w:rsidR="005810D1">
        <w:rPr>
          <w:rFonts w:eastAsia="Times New Roman"/>
        </w:rPr>
        <w:t xml:space="preserve">które </w:t>
      </w:r>
      <w:r w:rsidRPr="00573E1C">
        <w:rPr>
          <w:rFonts w:eastAsia="Times New Roman"/>
        </w:rPr>
        <w:t xml:space="preserve">powinna </w:t>
      </w:r>
      <w:r w:rsidR="005810D1">
        <w:rPr>
          <w:rFonts w:eastAsia="Times New Roman"/>
        </w:rPr>
        <w:t>spełnić</w:t>
      </w:r>
      <w:r w:rsidRPr="00573E1C">
        <w:rPr>
          <w:rFonts w:eastAsia="Times New Roman"/>
        </w:rPr>
        <w:t xml:space="preserve"> każda osoba, która chce uzyskać obywatelstwo łotewskie przez naturalizację (paragraf 85)</w:t>
      </w:r>
      <w:r w:rsidRPr="00573E1C">
        <w:t>.</w:t>
      </w:r>
    </w:p>
    <w:p w14:paraId="2DEC2B84" w14:textId="46C979C4" w:rsidR="00DF36FA" w:rsidRPr="002962EB" w:rsidRDefault="00DF36FA" w:rsidP="004B7264">
      <w:pPr>
        <w:pStyle w:val="ECHRPara"/>
      </w:pPr>
      <w:r w:rsidRPr="001706B2">
        <w:lastRenderedPageBreak/>
        <w:t>27.</w:t>
      </w:r>
      <w:r w:rsidR="00DE4D09">
        <w:t xml:space="preserve"> </w:t>
      </w:r>
      <w:r>
        <w:rPr>
          <w:rStyle w:val="tlid-translation"/>
        </w:rPr>
        <w:t xml:space="preserve">W niniejszej sprawie, podobnie jak skarżący </w:t>
      </w:r>
      <w:r w:rsidR="00D74DE5">
        <w:rPr>
          <w:rStyle w:val="tlid-translation"/>
        </w:rPr>
        <w:t xml:space="preserve">w sprawie </w:t>
      </w:r>
      <w:proofErr w:type="spellStart"/>
      <w:r w:rsidRPr="00D74DE5">
        <w:rPr>
          <w:rStyle w:val="tlid-translation"/>
          <w:i/>
        </w:rPr>
        <w:t>Petropavlovskis</w:t>
      </w:r>
      <w:proofErr w:type="spellEnd"/>
      <w:r>
        <w:rPr>
          <w:rStyle w:val="tlid-translation"/>
        </w:rPr>
        <w:t>, Skarżący mógł, zarówno przed jak i po odrzuceniu wniosku o przywrócenie francuskiego obywatelstwa, swobodnie wyrażać swoje poglądy, brać udział w manifestacjach i przystępować do</w:t>
      </w:r>
      <w:r w:rsidR="00D57C4F">
        <w:rPr>
          <w:rStyle w:val="tlid-translation"/>
        </w:rPr>
        <w:t> </w:t>
      </w:r>
      <w:r>
        <w:rPr>
          <w:rStyle w:val="tlid-translation"/>
        </w:rPr>
        <w:t xml:space="preserve">stowarzyszeń, które wybrał. Ponadto, </w:t>
      </w:r>
      <w:r w:rsidR="005810D1">
        <w:rPr>
          <w:rStyle w:val="tlid-translation"/>
        </w:rPr>
        <w:t>choć odwoł</w:t>
      </w:r>
      <w:r w:rsidR="000D0C0B">
        <w:rPr>
          <w:rStyle w:val="tlid-translation"/>
        </w:rPr>
        <w:t>uje</w:t>
      </w:r>
      <w:r>
        <w:rPr>
          <w:rStyle w:val="tlid-translation"/>
        </w:rPr>
        <w:t xml:space="preserve"> się </w:t>
      </w:r>
      <w:r w:rsidR="000D0C0B">
        <w:rPr>
          <w:rStyle w:val="tlid-translation"/>
        </w:rPr>
        <w:t xml:space="preserve">on </w:t>
      </w:r>
      <w:r>
        <w:rPr>
          <w:rStyle w:val="tlid-translation"/>
        </w:rPr>
        <w:t xml:space="preserve">do </w:t>
      </w:r>
      <w:r w:rsidR="005810D1">
        <w:rPr>
          <w:rStyle w:val="tlid-translation"/>
        </w:rPr>
        <w:t>efektu zniechęcającego</w:t>
      </w:r>
      <w:r>
        <w:rPr>
          <w:rStyle w:val="tlid-translation"/>
        </w:rPr>
        <w:t xml:space="preserve">, jaki środek </w:t>
      </w:r>
      <w:r w:rsidR="002F456A">
        <w:rPr>
          <w:rStyle w:val="tlid-translation"/>
        </w:rPr>
        <w:t>ten</w:t>
      </w:r>
      <w:r w:rsidR="002F456A" w:rsidRPr="000D0C0B">
        <w:rPr>
          <w:rStyle w:val="tlid-translation"/>
        </w:rPr>
        <w:t xml:space="preserve"> </w:t>
      </w:r>
      <w:r w:rsidR="005810D1" w:rsidRPr="000D0C0B">
        <w:rPr>
          <w:rStyle w:val="tlid-translation"/>
        </w:rPr>
        <w:t xml:space="preserve">miałby </w:t>
      </w:r>
      <w:r w:rsidR="00B65F79">
        <w:rPr>
          <w:rStyle w:val="tlid-translation"/>
        </w:rPr>
        <w:t>dla jego zdolności</w:t>
      </w:r>
      <w:r w:rsidRPr="000D0C0B">
        <w:rPr>
          <w:rStyle w:val="tlid-translation"/>
        </w:rPr>
        <w:t xml:space="preserve"> do korzystania z</w:t>
      </w:r>
      <w:r w:rsidR="00D57C4F">
        <w:rPr>
          <w:rStyle w:val="tlid-translation"/>
        </w:rPr>
        <w:t> </w:t>
      </w:r>
      <w:r w:rsidRPr="000D0C0B">
        <w:rPr>
          <w:rStyle w:val="tlid-translation"/>
        </w:rPr>
        <w:t>praw zagwarantowanych w art</w:t>
      </w:r>
      <w:r w:rsidR="00DE4D09" w:rsidRPr="000D0C0B">
        <w:rPr>
          <w:rStyle w:val="tlid-translation"/>
        </w:rPr>
        <w:t>.</w:t>
      </w:r>
      <w:r w:rsidRPr="000D0C0B">
        <w:rPr>
          <w:rStyle w:val="tlid-translation"/>
        </w:rPr>
        <w:t xml:space="preserve"> 9, 10 i 11 Konwencji, nie po</w:t>
      </w:r>
      <w:r w:rsidR="005810D1" w:rsidRPr="000D0C0B">
        <w:rPr>
          <w:rStyle w:val="tlid-translation"/>
        </w:rPr>
        <w:t>piera</w:t>
      </w:r>
      <w:r w:rsidRPr="000D0C0B">
        <w:rPr>
          <w:rStyle w:val="tlid-translation"/>
        </w:rPr>
        <w:t xml:space="preserve"> tego stwierdzenia. Z akt sprawy</w:t>
      </w:r>
      <w:r>
        <w:rPr>
          <w:rStyle w:val="tlid-translation"/>
        </w:rPr>
        <w:t xml:space="preserve"> nie wynika, że </w:t>
      </w:r>
      <w:r w:rsidR="000D0C0B">
        <w:rPr>
          <w:rStyle w:val="tlid-translation"/>
        </w:rPr>
        <w:t>na</w:t>
      </w:r>
      <w:r w:rsidR="00F9435A">
        <w:rPr>
          <w:rStyle w:val="tlid-translation"/>
        </w:rPr>
        <w:t xml:space="preserve"> </w:t>
      </w:r>
      <w:r w:rsidR="000D0C0B">
        <w:rPr>
          <w:rStyle w:val="tlid-translation"/>
        </w:rPr>
        <w:t>skutek</w:t>
      </w:r>
      <w:r w:rsidR="00F9435A">
        <w:rPr>
          <w:rStyle w:val="tlid-translation"/>
        </w:rPr>
        <w:t xml:space="preserve"> </w:t>
      </w:r>
      <w:r w:rsidR="000D0C0B">
        <w:rPr>
          <w:rStyle w:val="tlid-translation"/>
        </w:rPr>
        <w:t xml:space="preserve">tego </w:t>
      </w:r>
      <w:r>
        <w:rPr>
          <w:rStyle w:val="tlid-translation"/>
        </w:rPr>
        <w:t xml:space="preserve">na przykład zrezygnował ze zobowiązań stowarzyszeniowych lub </w:t>
      </w:r>
      <w:r w:rsidR="005810D1">
        <w:rPr>
          <w:rStyle w:val="tlid-translation"/>
        </w:rPr>
        <w:t xml:space="preserve">z </w:t>
      </w:r>
      <w:r>
        <w:rPr>
          <w:rStyle w:val="tlid-translation"/>
        </w:rPr>
        <w:t>wyrażania swoich opinii</w:t>
      </w:r>
      <w:r w:rsidRPr="002962EB">
        <w:t>.</w:t>
      </w:r>
    </w:p>
    <w:p w14:paraId="584E2691" w14:textId="65CE06E6" w:rsidR="00DF36FA" w:rsidRPr="0002534B" w:rsidRDefault="00DF36FA" w:rsidP="004B7264">
      <w:pPr>
        <w:ind w:firstLine="284"/>
        <w:rPr>
          <w:rFonts w:eastAsia="Times New Roman"/>
          <w:lang w:val="pl-PL" w:eastAsia="pl-PL"/>
        </w:rPr>
      </w:pPr>
      <w:r w:rsidRPr="001706B2">
        <w:rPr>
          <w:lang w:val="pl-PL"/>
        </w:rPr>
        <w:t>28.</w:t>
      </w:r>
      <w:r w:rsidR="00DE4D09">
        <w:rPr>
          <w:lang w:val="pl-PL"/>
        </w:rPr>
        <w:t xml:space="preserve"> </w:t>
      </w:r>
      <w:r w:rsidRPr="0002534B">
        <w:rPr>
          <w:rFonts w:eastAsia="Times New Roman"/>
          <w:lang w:val="pl-PL" w:eastAsia="pl-PL"/>
        </w:rPr>
        <w:t>Co więcej, t</w:t>
      </w:r>
      <w:r>
        <w:rPr>
          <w:rFonts w:eastAsia="Times New Roman"/>
          <w:lang w:val="pl-PL" w:eastAsia="pl-PL"/>
        </w:rPr>
        <w:t xml:space="preserve">a decyzja </w:t>
      </w:r>
      <w:r w:rsidRPr="0002534B">
        <w:rPr>
          <w:rFonts w:eastAsia="Times New Roman"/>
          <w:lang w:val="pl-PL" w:eastAsia="pl-PL"/>
        </w:rPr>
        <w:t>odmow</w:t>
      </w:r>
      <w:r w:rsidR="009A74E9">
        <w:rPr>
          <w:rFonts w:eastAsia="Times New Roman"/>
          <w:lang w:val="pl-PL" w:eastAsia="pl-PL"/>
        </w:rPr>
        <w:t>na</w:t>
      </w:r>
      <w:r w:rsidRPr="0002534B">
        <w:rPr>
          <w:rFonts w:eastAsia="Times New Roman"/>
          <w:lang w:val="pl-PL" w:eastAsia="pl-PL"/>
        </w:rPr>
        <w:t>, któr</w:t>
      </w:r>
      <w:r>
        <w:rPr>
          <w:rFonts w:eastAsia="Times New Roman"/>
          <w:lang w:val="pl-PL" w:eastAsia="pl-PL"/>
        </w:rPr>
        <w:t xml:space="preserve">a </w:t>
      </w:r>
      <w:r w:rsidRPr="0002534B">
        <w:rPr>
          <w:rFonts w:eastAsia="Times New Roman"/>
          <w:lang w:val="pl-PL" w:eastAsia="pl-PL"/>
        </w:rPr>
        <w:t>nie był</w:t>
      </w:r>
      <w:r>
        <w:rPr>
          <w:rFonts w:eastAsia="Times New Roman"/>
          <w:lang w:val="pl-PL" w:eastAsia="pl-PL"/>
        </w:rPr>
        <w:t>a</w:t>
      </w:r>
      <w:r w:rsidRPr="0002534B">
        <w:rPr>
          <w:rFonts w:eastAsia="Times New Roman"/>
          <w:lang w:val="pl-PL" w:eastAsia="pl-PL"/>
        </w:rPr>
        <w:t xml:space="preserve"> powiązan</w:t>
      </w:r>
      <w:r>
        <w:rPr>
          <w:rFonts w:eastAsia="Times New Roman"/>
          <w:lang w:val="pl-PL" w:eastAsia="pl-PL"/>
        </w:rPr>
        <w:t>a</w:t>
      </w:r>
      <w:r w:rsidRPr="0002534B">
        <w:rPr>
          <w:rFonts w:eastAsia="Times New Roman"/>
          <w:lang w:val="pl-PL" w:eastAsia="pl-PL"/>
        </w:rPr>
        <w:t xml:space="preserve"> z żadnym innym środkiem, takim jak sankcje karne, nie </w:t>
      </w:r>
      <w:r>
        <w:rPr>
          <w:rFonts w:eastAsia="Times New Roman"/>
          <w:lang w:val="pl-PL" w:eastAsia="pl-PL"/>
        </w:rPr>
        <w:t>miała charakteru</w:t>
      </w:r>
      <w:r w:rsidRPr="0002534B">
        <w:rPr>
          <w:rFonts w:eastAsia="Times New Roman"/>
          <w:lang w:val="pl-PL" w:eastAsia="pl-PL"/>
        </w:rPr>
        <w:t xml:space="preserve"> kar</w:t>
      </w:r>
      <w:r>
        <w:rPr>
          <w:rFonts w:eastAsia="Times New Roman"/>
          <w:lang w:val="pl-PL" w:eastAsia="pl-PL"/>
        </w:rPr>
        <w:t>zącego.</w:t>
      </w:r>
      <w:r w:rsidRPr="0002534B">
        <w:rPr>
          <w:rFonts w:eastAsia="Times New Roman"/>
          <w:lang w:val="pl-PL" w:eastAsia="pl-PL"/>
        </w:rPr>
        <w:t xml:space="preserve"> W rzeczywistości </w:t>
      </w:r>
      <w:r>
        <w:rPr>
          <w:rFonts w:eastAsia="Times New Roman"/>
          <w:lang w:val="pl-PL" w:eastAsia="pl-PL"/>
        </w:rPr>
        <w:t>ograniczała</w:t>
      </w:r>
      <w:r w:rsidRPr="0002534B">
        <w:rPr>
          <w:rFonts w:eastAsia="Times New Roman"/>
          <w:lang w:val="pl-PL" w:eastAsia="pl-PL"/>
        </w:rPr>
        <w:t xml:space="preserve"> </w:t>
      </w:r>
      <w:r w:rsidR="009A74E9">
        <w:rPr>
          <w:rFonts w:eastAsia="Times New Roman"/>
          <w:lang w:val="pl-PL" w:eastAsia="pl-PL"/>
        </w:rPr>
        <w:t xml:space="preserve">się </w:t>
      </w:r>
      <w:r w:rsidRPr="0002534B">
        <w:rPr>
          <w:rFonts w:eastAsia="Times New Roman"/>
          <w:lang w:val="pl-PL" w:eastAsia="pl-PL"/>
        </w:rPr>
        <w:t xml:space="preserve">jedynie </w:t>
      </w:r>
      <w:r>
        <w:rPr>
          <w:rFonts w:eastAsia="Times New Roman"/>
          <w:lang w:val="pl-PL" w:eastAsia="pl-PL"/>
        </w:rPr>
        <w:t xml:space="preserve">do odnotowania </w:t>
      </w:r>
      <w:r w:rsidRPr="0002534B">
        <w:rPr>
          <w:rFonts w:eastAsia="Times New Roman"/>
          <w:lang w:val="pl-PL" w:eastAsia="pl-PL"/>
        </w:rPr>
        <w:t>fakt</w:t>
      </w:r>
      <w:r>
        <w:rPr>
          <w:rFonts w:eastAsia="Times New Roman"/>
          <w:lang w:val="pl-PL" w:eastAsia="pl-PL"/>
        </w:rPr>
        <w:t>u</w:t>
      </w:r>
      <w:r w:rsidRPr="0002534B">
        <w:rPr>
          <w:rFonts w:eastAsia="Times New Roman"/>
          <w:lang w:val="pl-PL" w:eastAsia="pl-PL"/>
        </w:rPr>
        <w:t>, że</w:t>
      </w:r>
      <w:r w:rsidR="00D57C4F">
        <w:rPr>
          <w:rFonts w:eastAsia="Times New Roman"/>
          <w:lang w:val="pl-PL" w:eastAsia="pl-PL"/>
        </w:rPr>
        <w:t> </w:t>
      </w:r>
      <w:r w:rsidRPr="0002534B">
        <w:rPr>
          <w:rFonts w:eastAsia="Times New Roman"/>
          <w:lang w:val="pl-PL" w:eastAsia="pl-PL"/>
        </w:rPr>
        <w:t>nie</w:t>
      </w:r>
      <w:r w:rsidR="00D57C4F">
        <w:rPr>
          <w:rFonts w:eastAsia="Times New Roman"/>
          <w:lang w:val="pl-PL" w:eastAsia="pl-PL"/>
        </w:rPr>
        <w:t> </w:t>
      </w:r>
      <w:r w:rsidRPr="0002534B">
        <w:rPr>
          <w:rFonts w:eastAsia="Times New Roman"/>
          <w:lang w:val="pl-PL" w:eastAsia="pl-PL"/>
        </w:rPr>
        <w:t>spełniono jednego z kryteriów ustanowionych przez prawo krajowe w</w:t>
      </w:r>
      <w:r w:rsidR="00D57C4F">
        <w:rPr>
          <w:rFonts w:eastAsia="Times New Roman"/>
          <w:lang w:val="pl-PL" w:eastAsia="pl-PL"/>
        </w:rPr>
        <w:t> </w:t>
      </w:r>
      <w:r w:rsidRPr="0002534B">
        <w:rPr>
          <w:rFonts w:eastAsia="Times New Roman"/>
          <w:lang w:val="pl-PL" w:eastAsia="pl-PL"/>
        </w:rPr>
        <w:t xml:space="preserve">zakresie naturalizacji lub przywrócenia obywatelstwa francuskiego. Trybunał zauważa w związku z tym, </w:t>
      </w:r>
      <w:r>
        <w:rPr>
          <w:rFonts w:eastAsia="Times New Roman"/>
          <w:lang w:val="pl-PL" w:eastAsia="pl-PL"/>
        </w:rPr>
        <w:t xml:space="preserve">że </w:t>
      </w:r>
      <w:r w:rsidRPr="0002534B">
        <w:rPr>
          <w:rFonts w:eastAsia="Times New Roman"/>
          <w:lang w:val="pl-PL" w:eastAsia="pl-PL"/>
        </w:rPr>
        <w:t>podobnie jak praw</w:t>
      </w:r>
      <w:r>
        <w:rPr>
          <w:rFonts w:eastAsia="Times New Roman"/>
          <w:lang w:val="pl-PL" w:eastAsia="pl-PL"/>
        </w:rPr>
        <w:t>o</w:t>
      </w:r>
      <w:r w:rsidRPr="0002534B">
        <w:rPr>
          <w:rFonts w:eastAsia="Times New Roman"/>
          <w:lang w:val="pl-PL" w:eastAsia="pl-PL"/>
        </w:rPr>
        <w:t xml:space="preserve"> łotewskie, któr</w:t>
      </w:r>
      <w:r>
        <w:rPr>
          <w:rFonts w:eastAsia="Times New Roman"/>
          <w:lang w:val="pl-PL" w:eastAsia="pl-PL"/>
        </w:rPr>
        <w:t>e</w:t>
      </w:r>
      <w:r w:rsidR="00D57C4F">
        <w:rPr>
          <w:rFonts w:eastAsia="Times New Roman"/>
          <w:lang w:val="pl-PL" w:eastAsia="pl-PL"/>
        </w:rPr>
        <w:t> </w:t>
      </w:r>
      <w:r w:rsidRPr="0002534B">
        <w:rPr>
          <w:rFonts w:eastAsia="Times New Roman"/>
          <w:lang w:val="pl-PL" w:eastAsia="pl-PL"/>
        </w:rPr>
        <w:t>był</w:t>
      </w:r>
      <w:r>
        <w:rPr>
          <w:rFonts w:eastAsia="Times New Roman"/>
          <w:lang w:val="pl-PL" w:eastAsia="pl-PL"/>
        </w:rPr>
        <w:t>o</w:t>
      </w:r>
      <w:r w:rsidRPr="0002534B">
        <w:rPr>
          <w:rFonts w:eastAsia="Times New Roman"/>
          <w:lang w:val="pl-PL" w:eastAsia="pl-PL"/>
        </w:rPr>
        <w:t xml:space="preserve"> rozpatrywan</w:t>
      </w:r>
      <w:r>
        <w:rPr>
          <w:rFonts w:eastAsia="Times New Roman"/>
          <w:lang w:val="pl-PL" w:eastAsia="pl-PL"/>
        </w:rPr>
        <w:t>e</w:t>
      </w:r>
      <w:r w:rsidRPr="0002534B">
        <w:rPr>
          <w:rFonts w:eastAsia="Times New Roman"/>
          <w:lang w:val="pl-PL" w:eastAsia="pl-PL"/>
        </w:rPr>
        <w:t xml:space="preserve"> w </w:t>
      </w:r>
      <w:r w:rsidR="00D74DE5">
        <w:rPr>
          <w:rFonts w:eastAsia="Times New Roman"/>
          <w:lang w:val="pl-PL" w:eastAsia="pl-PL"/>
        </w:rPr>
        <w:t>sprawie</w:t>
      </w:r>
      <w:r w:rsidRPr="0002534B">
        <w:rPr>
          <w:rFonts w:eastAsia="Times New Roman"/>
          <w:lang w:val="pl-PL" w:eastAsia="pl-PL"/>
        </w:rPr>
        <w:t xml:space="preserve"> </w:t>
      </w:r>
      <w:proofErr w:type="spellStart"/>
      <w:r w:rsidRPr="00D74DE5">
        <w:rPr>
          <w:rFonts w:eastAsia="Times New Roman"/>
          <w:i/>
          <w:lang w:val="pl-PL" w:eastAsia="pl-PL"/>
        </w:rPr>
        <w:t>Petropavlovskis</w:t>
      </w:r>
      <w:proofErr w:type="spellEnd"/>
      <w:r w:rsidRPr="0002534B">
        <w:rPr>
          <w:rFonts w:eastAsia="Times New Roman"/>
          <w:lang w:val="pl-PL" w:eastAsia="pl-PL"/>
        </w:rPr>
        <w:t xml:space="preserve">, prawo francuskie </w:t>
      </w:r>
      <w:r w:rsidRPr="00E10439">
        <w:rPr>
          <w:rStyle w:val="tlid-translation"/>
          <w:lang w:val="pl-PL"/>
        </w:rPr>
        <w:t>nie</w:t>
      </w:r>
      <w:r w:rsidR="00D57C4F">
        <w:rPr>
          <w:rStyle w:val="tlid-translation"/>
          <w:lang w:val="pl-PL"/>
        </w:rPr>
        <w:t> </w:t>
      </w:r>
      <w:r w:rsidRPr="00E10439">
        <w:rPr>
          <w:rStyle w:val="tlid-translation"/>
          <w:lang w:val="pl-PL"/>
        </w:rPr>
        <w:t>gwarantuje cudzoziemcom bezwarunkowego prawa do uzyskania obywatelstwa</w:t>
      </w:r>
      <w:r w:rsidR="009A74E9" w:rsidRPr="009A74E9">
        <w:rPr>
          <w:rStyle w:val="tlid-translation"/>
          <w:lang w:val="pl-PL"/>
        </w:rPr>
        <w:t xml:space="preserve"> </w:t>
      </w:r>
      <w:r w:rsidR="009A74E9" w:rsidRPr="00E10439">
        <w:rPr>
          <w:rStyle w:val="tlid-translation"/>
          <w:lang w:val="pl-PL"/>
        </w:rPr>
        <w:t>francuskiego</w:t>
      </w:r>
      <w:r w:rsidRPr="0002534B">
        <w:rPr>
          <w:rFonts w:eastAsia="Times New Roman"/>
          <w:lang w:val="pl-PL" w:eastAsia="pl-PL"/>
        </w:rPr>
        <w:t xml:space="preserve">. Przeciwnie, </w:t>
      </w:r>
      <w:r>
        <w:rPr>
          <w:rStyle w:val="tlid-translation"/>
          <w:lang w:val="pl-PL"/>
        </w:rPr>
        <w:t>warunkuje uzyskanie obywatelstwa</w:t>
      </w:r>
      <w:r w:rsidRPr="00E10439">
        <w:rPr>
          <w:rStyle w:val="tlid-translation"/>
          <w:lang w:val="pl-PL"/>
        </w:rPr>
        <w:t xml:space="preserve"> </w:t>
      </w:r>
      <w:r w:rsidRPr="00F85AAF">
        <w:rPr>
          <w:rStyle w:val="tlid-translation"/>
          <w:lang w:val="pl-PL"/>
        </w:rPr>
        <w:t xml:space="preserve">lojalnością </w:t>
      </w:r>
      <w:r w:rsidR="009A74E9" w:rsidRPr="00F85AAF">
        <w:rPr>
          <w:rStyle w:val="tlid-translation"/>
          <w:lang w:val="pl-PL"/>
        </w:rPr>
        <w:t xml:space="preserve">wnioskodawców, </w:t>
      </w:r>
      <w:r w:rsidRPr="00F85AAF">
        <w:rPr>
          <w:rStyle w:val="tlid-translation"/>
          <w:lang w:val="pl-PL"/>
        </w:rPr>
        <w:t>ocenianą przez władze, oferując im</w:t>
      </w:r>
      <w:r w:rsidR="00D57C4F">
        <w:rPr>
          <w:rStyle w:val="tlid-translation"/>
          <w:lang w:val="pl-PL"/>
        </w:rPr>
        <w:t> </w:t>
      </w:r>
      <w:r>
        <w:rPr>
          <w:rStyle w:val="tlid-translation"/>
          <w:lang w:val="pl-PL"/>
        </w:rPr>
        <w:t>zabezpieczenie</w:t>
      </w:r>
      <w:r w:rsidRPr="00E10439">
        <w:rPr>
          <w:rStyle w:val="tlid-translation"/>
          <w:lang w:val="pl-PL"/>
        </w:rPr>
        <w:t xml:space="preserve"> prze</w:t>
      </w:r>
      <w:r>
        <w:rPr>
          <w:rStyle w:val="tlid-translation"/>
          <w:lang w:val="pl-PL"/>
        </w:rPr>
        <w:t>d</w:t>
      </w:r>
      <w:r w:rsidRPr="00E10439">
        <w:rPr>
          <w:rStyle w:val="tlid-translation"/>
          <w:lang w:val="pl-PL"/>
        </w:rPr>
        <w:t xml:space="preserve"> arbitralności</w:t>
      </w:r>
      <w:r>
        <w:rPr>
          <w:rStyle w:val="tlid-translation"/>
          <w:lang w:val="pl-PL"/>
        </w:rPr>
        <w:t>ą</w:t>
      </w:r>
      <w:r w:rsidR="009A74E9">
        <w:rPr>
          <w:rStyle w:val="tlid-translation"/>
          <w:lang w:val="pl-PL"/>
        </w:rPr>
        <w:t xml:space="preserve"> poprzez zobowiązanie władz</w:t>
      </w:r>
      <w:r w:rsidRPr="00E10439">
        <w:rPr>
          <w:rStyle w:val="tlid-translation"/>
          <w:lang w:val="pl-PL"/>
        </w:rPr>
        <w:t xml:space="preserve"> do</w:t>
      </w:r>
      <w:r w:rsidR="00D57C4F">
        <w:rPr>
          <w:rStyle w:val="tlid-translation"/>
          <w:lang w:val="pl-PL"/>
        </w:rPr>
        <w:t> </w:t>
      </w:r>
      <w:r w:rsidRPr="00E10439">
        <w:rPr>
          <w:rStyle w:val="tlid-translation"/>
          <w:lang w:val="pl-PL"/>
        </w:rPr>
        <w:t xml:space="preserve">uzasadnienia decyzji odmownych i </w:t>
      </w:r>
      <w:r w:rsidR="009A74E9">
        <w:rPr>
          <w:rStyle w:val="tlid-translation"/>
          <w:lang w:val="pl-PL"/>
        </w:rPr>
        <w:t xml:space="preserve">umożliwienie </w:t>
      </w:r>
      <w:r w:rsidR="00F85AAF">
        <w:rPr>
          <w:rStyle w:val="tlid-translation"/>
          <w:lang w:val="pl-PL"/>
        </w:rPr>
        <w:t xml:space="preserve">osobom, które dostały odmowę, </w:t>
      </w:r>
      <w:r w:rsidRPr="00E10439">
        <w:rPr>
          <w:rStyle w:val="tlid-translation"/>
          <w:lang w:val="pl-PL"/>
        </w:rPr>
        <w:t xml:space="preserve">odwołania się do sądów administracyjnych. Z akt sprawy jasno wynika, że </w:t>
      </w:r>
      <w:r>
        <w:rPr>
          <w:rStyle w:val="tlid-translation"/>
          <w:lang w:val="pl-PL"/>
        </w:rPr>
        <w:t>S</w:t>
      </w:r>
      <w:r w:rsidRPr="00E10439">
        <w:rPr>
          <w:rStyle w:val="tlid-translation"/>
          <w:lang w:val="pl-PL"/>
        </w:rPr>
        <w:t>karżąc</w:t>
      </w:r>
      <w:r>
        <w:rPr>
          <w:rStyle w:val="tlid-translation"/>
          <w:lang w:val="pl-PL"/>
        </w:rPr>
        <w:t>y</w:t>
      </w:r>
      <w:r w:rsidRPr="00E10439">
        <w:rPr>
          <w:rStyle w:val="tlid-translation"/>
          <w:lang w:val="pl-PL"/>
        </w:rPr>
        <w:t xml:space="preserve"> rzeczywiście skorzystał z tych </w:t>
      </w:r>
      <w:r>
        <w:rPr>
          <w:rStyle w:val="tlid-translation"/>
          <w:lang w:val="pl-PL"/>
        </w:rPr>
        <w:t>zabezpieczeń</w:t>
      </w:r>
      <w:r w:rsidRPr="0002534B">
        <w:rPr>
          <w:lang w:val="pl-PL"/>
        </w:rPr>
        <w:t>.</w:t>
      </w:r>
    </w:p>
    <w:p w14:paraId="492A6AAF" w14:textId="06F5BB2D" w:rsidR="00DF36FA" w:rsidRPr="00E10439" w:rsidRDefault="00DF36FA" w:rsidP="004B7264">
      <w:pPr>
        <w:pStyle w:val="ECHRPara"/>
      </w:pPr>
      <w:r w:rsidRPr="001706B2">
        <w:t>29.</w:t>
      </w:r>
      <w:r w:rsidR="00DE4D09">
        <w:t xml:space="preserve"> </w:t>
      </w:r>
      <w:r>
        <w:rPr>
          <w:rStyle w:val="tlid-translation"/>
        </w:rPr>
        <w:t xml:space="preserve">Trybunał zauważa również, że </w:t>
      </w:r>
      <w:r w:rsidRPr="00453306">
        <w:rPr>
          <w:rStyle w:val="tlid-translation"/>
        </w:rPr>
        <w:t xml:space="preserve">konkluzja </w:t>
      </w:r>
      <w:r w:rsidR="00453306" w:rsidRPr="00453306">
        <w:rPr>
          <w:rStyle w:val="tlid-translation"/>
        </w:rPr>
        <w:t xml:space="preserve">Apelacyjnego </w:t>
      </w:r>
      <w:r w:rsidRPr="00453306">
        <w:rPr>
          <w:rStyle w:val="tlid-translation"/>
        </w:rPr>
        <w:t xml:space="preserve">Sądu </w:t>
      </w:r>
      <w:r w:rsidR="00453306" w:rsidRPr="00453306">
        <w:rPr>
          <w:rStyle w:val="tlid-translation"/>
        </w:rPr>
        <w:t xml:space="preserve">Administracyjnego </w:t>
      </w:r>
      <w:r w:rsidRPr="00453306">
        <w:rPr>
          <w:rStyle w:val="tlid-translation"/>
        </w:rPr>
        <w:t>w Nantes opiera się na usta</w:t>
      </w:r>
      <w:r>
        <w:rPr>
          <w:rStyle w:val="tlid-translation"/>
        </w:rPr>
        <w:t xml:space="preserve">leniu, że elementy sprawy mogą </w:t>
      </w:r>
      <w:r w:rsidR="00453306">
        <w:rPr>
          <w:rStyle w:val="tlid-translation"/>
        </w:rPr>
        <w:t>„</w:t>
      </w:r>
      <w:r>
        <w:rPr>
          <w:rStyle w:val="tlid-translation"/>
        </w:rPr>
        <w:t>wzbudzać wątpliwości co do lojalności [Skarżącego] wobec Francji</w:t>
      </w:r>
      <w:r w:rsidR="00453306">
        <w:rPr>
          <w:rStyle w:val="tlid-translation"/>
        </w:rPr>
        <w:t>”</w:t>
      </w:r>
      <w:r>
        <w:rPr>
          <w:rStyle w:val="tlid-translation"/>
        </w:rPr>
        <w:t xml:space="preserve"> (paragraf 8 powyżej). Również w tym aspekcie niniejsza sprawa jest podobna do sprawy </w:t>
      </w:r>
      <w:proofErr w:type="spellStart"/>
      <w:r w:rsidRPr="00D74DE5">
        <w:rPr>
          <w:rStyle w:val="tlid-translation"/>
          <w:i/>
        </w:rPr>
        <w:t>Petropavlovskis</w:t>
      </w:r>
      <w:proofErr w:type="spellEnd"/>
      <w:r>
        <w:rPr>
          <w:rStyle w:val="tlid-translation"/>
        </w:rPr>
        <w:t xml:space="preserve"> (cytowanej powyżej, § 85), w której Trybunał znaczną wagę przypisał faktowi, że ocena lojalności dokonana na</w:t>
      </w:r>
      <w:r w:rsidR="00D57C4F">
        <w:rPr>
          <w:rStyle w:val="tlid-translation"/>
        </w:rPr>
        <w:t> </w:t>
      </w:r>
      <w:r>
        <w:rPr>
          <w:rStyle w:val="tlid-translation"/>
        </w:rPr>
        <w:t>potrzeby decyzji w sprawie wniosku o przyznanie obywatelstwa łotewskiego nie odnosiła się do lojalności wobec sprawującego władzę rządu, lecz do lojalności wobec państwa i Konstytucji</w:t>
      </w:r>
      <w:r w:rsidRPr="00E10439">
        <w:t>.</w:t>
      </w:r>
    </w:p>
    <w:p w14:paraId="7B4B8586" w14:textId="3888ECC7" w:rsidR="00DF36FA" w:rsidRPr="0040366B" w:rsidRDefault="00DF36FA" w:rsidP="004B7264">
      <w:pPr>
        <w:pStyle w:val="ECHRPara"/>
      </w:pPr>
      <w:r w:rsidRPr="001706B2">
        <w:t>30.</w:t>
      </w:r>
      <w:r w:rsidR="00DE4D09">
        <w:t xml:space="preserve"> </w:t>
      </w:r>
      <w:r>
        <w:rPr>
          <w:rStyle w:val="tlid-translation"/>
        </w:rPr>
        <w:t xml:space="preserve">Podsumowując, podobnie jak w sprawie </w:t>
      </w:r>
      <w:proofErr w:type="spellStart"/>
      <w:r w:rsidRPr="00D74DE5">
        <w:rPr>
          <w:rStyle w:val="tlid-translation"/>
          <w:i/>
        </w:rPr>
        <w:t>Petropavlovskis</w:t>
      </w:r>
      <w:proofErr w:type="spellEnd"/>
      <w:r>
        <w:rPr>
          <w:rStyle w:val="tlid-translation"/>
        </w:rPr>
        <w:t xml:space="preserve"> (cytowanej powyżej, § 86), Trybunał nie widzi, w jaki sposób Skarżącemu uniemożliwiono wyrażanie jego poglądów lub branie udziału w</w:t>
      </w:r>
      <w:r w:rsidR="00D57C4F">
        <w:rPr>
          <w:rStyle w:val="tlid-translation"/>
        </w:rPr>
        <w:t> </w:t>
      </w:r>
      <w:r>
        <w:rPr>
          <w:rStyle w:val="tlid-translation"/>
        </w:rPr>
        <w:t>jakimkolwiek zgromadzeniu lub ruchu. Dochodząc do t</w:t>
      </w:r>
      <w:r w:rsidR="00453306">
        <w:rPr>
          <w:rStyle w:val="tlid-translation"/>
        </w:rPr>
        <w:t>ego wniosku, Trybunał stwierdza</w:t>
      </w:r>
      <w:r>
        <w:rPr>
          <w:rStyle w:val="tlid-translation"/>
        </w:rPr>
        <w:t>, że art</w:t>
      </w:r>
      <w:r w:rsidR="00DE4D09">
        <w:rPr>
          <w:rStyle w:val="tlid-translation"/>
        </w:rPr>
        <w:t>.</w:t>
      </w:r>
      <w:r>
        <w:rPr>
          <w:rStyle w:val="tlid-translation"/>
        </w:rPr>
        <w:t xml:space="preserve"> 9, 10 i 11 Konwencji nie mają zastosowania w okolicznościach niniejszej sprawy</w:t>
      </w:r>
      <w:r w:rsidRPr="0040366B">
        <w:t>.</w:t>
      </w:r>
    </w:p>
    <w:p w14:paraId="1B4E7099" w14:textId="543D5700" w:rsidR="00DF36FA" w:rsidRPr="0040366B" w:rsidRDefault="00DF36FA" w:rsidP="004B7264">
      <w:pPr>
        <w:pStyle w:val="ECHRPara"/>
      </w:pPr>
      <w:r w:rsidRPr="001706B2">
        <w:t>31.</w:t>
      </w:r>
      <w:r w:rsidR="00DE4D09">
        <w:t xml:space="preserve"> </w:t>
      </w:r>
      <w:r>
        <w:rPr>
          <w:rStyle w:val="tlid-translation"/>
        </w:rPr>
        <w:t xml:space="preserve">Wynika z tego, że </w:t>
      </w:r>
      <w:r w:rsidR="00B65F79">
        <w:rPr>
          <w:rStyle w:val="tlid-translation"/>
        </w:rPr>
        <w:t xml:space="preserve">skargę </w:t>
      </w:r>
      <w:r>
        <w:rPr>
          <w:rStyle w:val="tlid-translation"/>
        </w:rPr>
        <w:t xml:space="preserve">należy odrzucić zgodnie z </w:t>
      </w:r>
      <w:r w:rsidR="00DE4D09">
        <w:rPr>
          <w:rStyle w:val="tlid-translation"/>
        </w:rPr>
        <w:t xml:space="preserve">art. </w:t>
      </w:r>
      <w:r>
        <w:rPr>
          <w:rStyle w:val="tlid-translation"/>
        </w:rPr>
        <w:t xml:space="preserve">35 </w:t>
      </w:r>
      <w:r w:rsidR="00DE4D09">
        <w:rPr>
          <w:rStyle w:val="tlid-translation"/>
        </w:rPr>
        <w:t xml:space="preserve">ust. </w:t>
      </w:r>
      <w:r>
        <w:rPr>
          <w:rStyle w:val="tlid-translation"/>
        </w:rPr>
        <w:t xml:space="preserve">3 </w:t>
      </w:r>
      <w:r w:rsidR="00DE4D09">
        <w:rPr>
          <w:rStyle w:val="tlid-translation"/>
        </w:rPr>
        <w:t xml:space="preserve">lit. </w:t>
      </w:r>
      <w:r>
        <w:rPr>
          <w:rStyle w:val="tlid-translation"/>
        </w:rPr>
        <w:t xml:space="preserve">a i </w:t>
      </w:r>
      <w:r w:rsidR="00DE4D09">
        <w:rPr>
          <w:rStyle w:val="tlid-translation"/>
        </w:rPr>
        <w:t xml:space="preserve">ust. </w:t>
      </w:r>
      <w:r>
        <w:rPr>
          <w:rStyle w:val="tlid-translation"/>
        </w:rPr>
        <w:t>4 Konwencji</w:t>
      </w:r>
      <w:r w:rsidRPr="0040366B">
        <w:rPr>
          <w:rStyle w:val="sb8d990e2"/>
        </w:rPr>
        <w:t>.</w:t>
      </w:r>
    </w:p>
    <w:p w14:paraId="2B426E6E" w14:textId="77777777" w:rsidR="00DF36FA" w:rsidRPr="0040366B" w:rsidRDefault="00DF36FA" w:rsidP="00271D9A">
      <w:pPr>
        <w:pStyle w:val="JuParaLast"/>
        <w:rPr>
          <w:lang w:val="pl-PL"/>
        </w:rPr>
      </w:pPr>
      <w:r w:rsidRPr="0040366B">
        <w:rPr>
          <w:rStyle w:val="tlid-translation"/>
          <w:lang w:val="pl-PL"/>
        </w:rPr>
        <w:t>Z tych powodów Trybunał jednogłośnie</w:t>
      </w:r>
      <w:r w:rsidRPr="0040366B">
        <w:rPr>
          <w:lang w:val="pl-PL"/>
        </w:rPr>
        <w:t>,</w:t>
      </w:r>
    </w:p>
    <w:p w14:paraId="2E934B6D" w14:textId="77777777" w:rsidR="00DF36FA" w:rsidRPr="0040366B" w:rsidRDefault="00DF36FA" w:rsidP="00271D9A">
      <w:pPr>
        <w:pStyle w:val="DecList"/>
        <w:rPr>
          <w:lang w:val="pl-PL"/>
        </w:rPr>
      </w:pPr>
      <w:r w:rsidRPr="0040366B">
        <w:rPr>
          <w:rStyle w:val="tlid-translation"/>
          <w:i/>
          <w:iCs/>
          <w:lang w:val="pl-PL"/>
        </w:rPr>
        <w:t>Uznaje</w:t>
      </w:r>
      <w:r w:rsidRPr="0040366B">
        <w:rPr>
          <w:rStyle w:val="tlid-translation"/>
          <w:lang w:val="pl-PL"/>
        </w:rPr>
        <w:t xml:space="preserve"> skargę za niedopuszczalną</w:t>
      </w:r>
      <w:r w:rsidRPr="0040366B">
        <w:rPr>
          <w:lang w:val="pl-PL"/>
        </w:rPr>
        <w:t>.</w:t>
      </w:r>
    </w:p>
    <w:p w14:paraId="63C169CA" w14:textId="77777777" w:rsidR="00DF36FA" w:rsidRPr="0068074B" w:rsidRDefault="00DF36FA" w:rsidP="00271D9A">
      <w:pPr>
        <w:pStyle w:val="ECHRPara"/>
        <w:rPr>
          <w:sz w:val="2"/>
          <w:szCs w:val="2"/>
          <w:lang w:eastAsia="en-GB"/>
        </w:rPr>
      </w:pPr>
    </w:p>
    <w:p w14:paraId="0E045862" w14:textId="77777777" w:rsidR="00DF36FA" w:rsidRPr="00FF3EAD" w:rsidRDefault="00DF36FA" w:rsidP="00271D9A">
      <w:pPr>
        <w:pStyle w:val="JuParaLast"/>
        <w:rPr>
          <w:lang w:val="pl-PL"/>
        </w:rPr>
      </w:pPr>
      <w:r w:rsidRPr="00FF3EAD">
        <w:rPr>
          <w:lang w:val="pl-PL"/>
        </w:rPr>
        <w:lastRenderedPageBreak/>
        <w:t xml:space="preserve">Sporządzono w języku francuskim, </w:t>
      </w:r>
      <w:r w:rsidRPr="005A55EF">
        <w:rPr>
          <w:rStyle w:val="tlid-translation"/>
          <w:lang w:val="pl-PL"/>
        </w:rPr>
        <w:t>a następnie powiadomiono na piśmie w dniu</w:t>
      </w:r>
      <w:r w:rsidRPr="00FF3EAD">
        <w:rPr>
          <w:lang w:val="pl-PL"/>
        </w:rPr>
        <w:t xml:space="preserve"> 6 </w:t>
      </w:r>
      <w:r>
        <w:rPr>
          <w:lang w:val="pl-PL"/>
        </w:rPr>
        <w:t>lipca</w:t>
      </w:r>
      <w:r w:rsidRPr="00FF3EAD">
        <w:rPr>
          <w:lang w:val="pl-PL"/>
        </w:rPr>
        <w:t xml:space="preserve"> 2017</w:t>
      </w:r>
      <w:r>
        <w:rPr>
          <w:lang w:val="pl-PL"/>
        </w:rPr>
        <w:t xml:space="preserve"> r</w:t>
      </w:r>
      <w:r w:rsidRPr="00FF3EAD">
        <w:rPr>
          <w:lang w:val="pl-PL"/>
        </w:rPr>
        <w:t>.</w:t>
      </w:r>
    </w:p>
    <w:p w14:paraId="57BF4D97" w14:textId="503F89D1" w:rsidR="00DF36FA" w:rsidRPr="00FF3EAD" w:rsidRDefault="00DF36FA" w:rsidP="00271D9A">
      <w:pPr>
        <w:pStyle w:val="JuSigned"/>
        <w:rPr>
          <w:lang w:val="pl-PL"/>
        </w:rPr>
      </w:pPr>
      <w:r w:rsidRPr="00FF3EAD">
        <w:rPr>
          <w:lang w:val="pl-PL"/>
        </w:rPr>
        <w:tab/>
      </w:r>
      <w:r w:rsidRPr="001706B2">
        <w:rPr>
          <w:lang w:val="pl-PL"/>
        </w:rPr>
        <w:t xml:space="preserve">Milan </w:t>
      </w:r>
      <w:proofErr w:type="spellStart"/>
      <w:r w:rsidRPr="001706B2">
        <w:rPr>
          <w:lang w:val="pl-PL"/>
        </w:rPr>
        <w:t>Blaško</w:t>
      </w:r>
      <w:proofErr w:type="spellEnd"/>
      <w:r w:rsidRPr="001706B2">
        <w:rPr>
          <w:lang w:val="pl-PL"/>
        </w:rPr>
        <w:tab/>
        <w:t xml:space="preserve">Angelika </w:t>
      </w:r>
      <w:proofErr w:type="spellStart"/>
      <w:r w:rsidRPr="001706B2">
        <w:rPr>
          <w:lang w:val="pl-PL"/>
        </w:rPr>
        <w:t>Nußberger</w:t>
      </w:r>
      <w:proofErr w:type="spellEnd"/>
      <w:r w:rsidRPr="001706B2">
        <w:rPr>
          <w:lang w:val="pl-PL"/>
        </w:rPr>
        <w:br/>
      </w:r>
      <w:r w:rsidRPr="00FF3EAD">
        <w:rPr>
          <w:lang w:val="pl-PL"/>
        </w:rPr>
        <w:tab/>
        <w:t xml:space="preserve">Zastępca </w:t>
      </w:r>
      <w:r w:rsidR="00D74DE5">
        <w:rPr>
          <w:lang w:val="pl-PL"/>
        </w:rPr>
        <w:t>Kanclerza</w:t>
      </w:r>
      <w:r w:rsidRPr="00FF3EAD">
        <w:rPr>
          <w:lang w:val="pl-PL"/>
        </w:rPr>
        <w:tab/>
        <w:t>Przewodnicząca</w:t>
      </w:r>
    </w:p>
    <w:sectPr w:rsidR="00DF36FA" w:rsidRPr="00FF3EAD" w:rsidSect="00CF19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Restart w:val="eachPage"/>
      </w:footnotePr>
      <w:pgSz w:w="11906" w:h="16838" w:code="9"/>
      <w:pgMar w:top="2274" w:right="2274" w:bottom="1985" w:left="2274" w:header="1701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4A661F" w14:textId="77777777" w:rsidR="00BF7D60" w:rsidRPr="007A6280" w:rsidRDefault="00BF7D60" w:rsidP="006544C4">
      <w:pPr>
        <w:rPr>
          <w:lang w:val="fr-FR"/>
        </w:rPr>
      </w:pPr>
      <w:r w:rsidRPr="007A6280">
        <w:rPr>
          <w:lang w:val="fr-FR"/>
        </w:rPr>
        <w:separator/>
      </w:r>
    </w:p>
  </w:endnote>
  <w:endnote w:type="continuationSeparator" w:id="0">
    <w:p w14:paraId="07D7E3E9" w14:textId="77777777" w:rsidR="00BF7D60" w:rsidRPr="007A6280" w:rsidRDefault="00BF7D60" w:rsidP="006544C4">
      <w:pPr>
        <w:rPr>
          <w:lang w:val="fr-FR"/>
        </w:rPr>
      </w:pPr>
      <w:r w:rsidRPr="007A6280">
        <w:rPr>
          <w:lang w:val="fr-FR"/>
        </w:rPr>
        <w:continuationSeparator/>
      </w:r>
    </w:p>
  </w:endnote>
  <w:endnote w:type="continuationNotice" w:id="1">
    <w:p w14:paraId="77D2966F" w14:textId="77777777" w:rsidR="00BF7D60" w:rsidRDefault="00BF7D6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2B3E6E1" w14:textId="77777777" w:rsidR="002417DB" w:rsidRDefault="002417D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E95609" w14:textId="77777777" w:rsidR="002878B9" w:rsidRDefault="002878B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F1E7DF" w14:textId="77777777" w:rsidR="00DF36FA" w:rsidRPr="00150BFA" w:rsidRDefault="000929C9" w:rsidP="0020718E">
    <w:pPr>
      <w:jc w:val="center"/>
    </w:pPr>
    <w:r>
      <w:rPr>
        <w:noProof/>
        <w:lang w:val="pl-PL" w:eastAsia="pl-PL"/>
      </w:rPr>
      <w:drawing>
        <wp:inline distT="0" distB="0" distL="0" distR="0" wp14:anchorId="69DE8420" wp14:editId="187FB99C">
          <wp:extent cx="762000" cy="617220"/>
          <wp:effectExtent l="0" t="0" r="0" b="0"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D590CEF" w14:textId="77777777" w:rsidR="00DF36FA" w:rsidRPr="007A6280" w:rsidRDefault="00DF36FA" w:rsidP="003146E4">
    <w:pPr>
      <w:jc w:val="center"/>
      <w:rPr>
        <w:lang w:val="fr-F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0CABB5" w14:textId="77777777" w:rsidR="00BF7D60" w:rsidRPr="007A6280" w:rsidRDefault="00BF7D60" w:rsidP="006544C4">
      <w:pPr>
        <w:rPr>
          <w:lang w:val="fr-FR"/>
        </w:rPr>
      </w:pPr>
      <w:r w:rsidRPr="007A6280">
        <w:rPr>
          <w:lang w:val="fr-FR"/>
        </w:rPr>
        <w:separator/>
      </w:r>
    </w:p>
  </w:footnote>
  <w:footnote w:type="continuationSeparator" w:id="0">
    <w:p w14:paraId="59E4F284" w14:textId="77777777" w:rsidR="00BF7D60" w:rsidRPr="007A6280" w:rsidRDefault="00BF7D60" w:rsidP="006544C4">
      <w:pPr>
        <w:rPr>
          <w:lang w:val="fr-FR"/>
        </w:rPr>
      </w:pPr>
      <w:r w:rsidRPr="007A6280">
        <w:rPr>
          <w:lang w:val="fr-FR"/>
        </w:rPr>
        <w:continuationSeparator/>
      </w:r>
    </w:p>
  </w:footnote>
  <w:footnote w:type="continuationNotice" w:id="1">
    <w:p w14:paraId="76DF01D9" w14:textId="77777777" w:rsidR="00BF7D60" w:rsidRDefault="00BF7D60"/>
  </w:footnote>
  <w:footnote w:id="2">
    <w:p w14:paraId="61107737" w14:textId="77777777" w:rsidR="00DF36FA" w:rsidRDefault="00DF36FA" w:rsidP="006760D2">
      <w:pPr>
        <w:pStyle w:val="s50c0b1c7"/>
        <w:jc w:val="both"/>
      </w:pPr>
      <w:r w:rsidRPr="00A3454F">
        <w:rPr>
          <w:rStyle w:val="Odwoanieprzypisudolnego"/>
          <w:rFonts w:eastAsia="MS Gothic"/>
          <w:sz w:val="20"/>
          <w:szCs w:val="20"/>
        </w:rPr>
        <w:footnoteRef/>
      </w:r>
      <w:r w:rsidRPr="00DA4886">
        <w:rPr>
          <w:lang w:val="en-US"/>
        </w:rPr>
        <w:t xml:space="preserve"> </w:t>
      </w:r>
      <w:proofErr w:type="spellStart"/>
      <w:r w:rsidRPr="00DA4886">
        <w:rPr>
          <w:sz w:val="20"/>
          <w:szCs w:val="20"/>
          <w:lang w:val="en-US"/>
        </w:rPr>
        <w:t>Źródło</w:t>
      </w:r>
      <w:proofErr w:type="spellEnd"/>
      <w:r w:rsidRPr="00DA4886">
        <w:rPr>
          <w:sz w:val="20"/>
          <w:szCs w:val="20"/>
          <w:lang w:val="en-US"/>
        </w:rPr>
        <w:t xml:space="preserve">: </w:t>
      </w:r>
      <w:proofErr w:type="spellStart"/>
      <w:r w:rsidRPr="00DA4886">
        <w:rPr>
          <w:sz w:val="20"/>
          <w:szCs w:val="20"/>
          <w:lang w:val="en-US"/>
        </w:rPr>
        <w:t>Kom</w:t>
      </w:r>
      <w:r>
        <w:rPr>
          <w:sz w:val="20"/>
          <w:szCs w:val="20"/>
          <w:lang w:val="en-US"/>
        </w:rPr>
        <w:t>unikat</w:t>
      </w:r>
      <w:proofErr w:type="spellEnd"/>
      <w:r>
        <w:rPr>
          <w:sz w:val="20"/>
          <w:szCs w:val="20"/>
          <w:lang w:val="en-US"/>
        </w:rPr>
        <w:t xml:space="preserve"> </w:t>
      </w:r>
      <w:proofErr w:type="spellStart"/>
      <w:r>
        <w:rPr>
          <w:sz w:val="20"/>
          <w:szCs w:val="20"/>
          <w:lang w:val="en-US"/>
        </w:rPr>
        <w:t>prasowy</w:t>
      </w:r>
      <w:proofErr w:type="spellEnd"/>
      <w:r>
        <w:rPr>
          <w:sz w:val="20"/>
          <w:szCs w:val="20"/>
          <w:lang w:val="en-US"/>
        </w:rPr>
        <w:t xml:space="preserve"> ECHR 235(2017), 6.07</w:t>
      </w:r>
      <w:r w:rsidRPr="00DA4886">
        <w:rPr>
          <w:sz w:val="20"/>
          <w:szCs w:val="20"/>
          <w:lang w:val="en-US"/>
        </w:rPr>
        <w:t>.2017 (</w:t>
      </w:r>
      <w:r w:rsidRPr="00DA4886">
        <w:rPr>
          <w:rStyle w:val="s3aeeab2"/>
          <w:i/>
          <w:iCs/>
          <w:sz w:val="20"/>
          <w:szCs w:val="20"/>
          <w:lang w:val="en-US"/>
        </w:rPr>
        <w:t>Press Release</w:t>
      </w:r>
      <w:r>
        <w:rPr>
          <w:rStyle w:val="s3aeeab2"/>
          <w:i/>
          <w:iCs/>
          <w:sz w:val="20"/>
          <w:szCs w:val="20"/>
          <w:lang w:val="en-US"/>
        </w:rPr>
        <w:t xml:space="preserve"> issued by the Registrar of the Court,</w:t>
      </w:r>
      <w:r w:rsidR="00DE4D09">
        <w:rPr>
          <w:rStyle w:val="s3aeeab2"/>
          <w:i/>
          <w:iCs/>
          <w:sz w:val="20"/>
          <w:szCs w:val="20"/>
          <w:lang w:val="en-US"/>
        </w:rPr>
        <w:t xml:space="preserve"> </w:t>
      </w:r>
      <w:r>
        <w:rPr>
          <w:sz w:val="20"/>
          <w:szCs w:val="20"/>
          <w:lang w:val="en-US"/>
        </w:rPr>
        <w:t>ECHR 235(2017), 6.07</w:t>
      </w:r>
      <w:r w:rsidRPr="00DA4886">
        <w:rPr>
          <w:sz w:val="20"/>
          <w:szCs w:val="20"/>
          <w:lang w:val="en-US"/>
        </w:rPr>
        <w:t>.2017</w:t>
      </w:r>
      <w:r w:rsidRPr="00DA4886">
        <w:rPr>
          <w:rStyle w:val="sfbbfee58"/>
          <w:i/>
          <w:iCs/>
          <w:sz w:val="20"/>
          <w:szCs w:val="20"/>
          <w:lang w:val="en-US"/>
        </w:rPr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BA5F42" w14:textId="77777777" w:rsidR="00DF36FA" w:rsidRPr="00C84491" w:rsidRDefault="00DF36FA" w:rsidP="003312A3">
    <w:pPr>
      <w:pStyle w:val="ECHRHeader"/>
      <w:rPr>
        <w:lang w:val="pl-PL"/>
      </w:rPr>
    </w:pPr>
    <w:r w:rsidRPr="00C84491">
      <w:rPr>
        <w:rStyle w:val="Numerstrony"/>
        <w:lang w:val="pl-PL"/>
      </w:rPr>
      <w:fldChar w:fldCharType="begin"/>
    </w:r>
    <w:r w:rsidRPr="00C84491">
      <w:rPr>
        <w:rStyle w:val="Numerstrony"/>
        <w:lang w:val="pl-PL"/>
      </w:rPr>
      <w:instrText xml:space="preserve"> PAGE </w:instrText>
    </w:r>
    <w:r w:rsidRPr="00C84491">
      <w:rPr>
        <w:rStyle w:val="Numerstrony"/>
        <w:lang w:val="pl-PL"/>
      </w:rPr>
      <w:fldChar w:fldCharType="separate"/>
    </w:r>
    <w:r w:rsidR="000C56F2">
      <w:rPr>
        <w:rStyle w:val="Numerstrony"/>
        <w:noProof/>
        <w:lang w:val="pl-PL"/>
      </w:rPr>
      <w:t>2</w:t>
    </w:r>
    <w:r w:rsidRPr="00C84491">
      <w:rPr>
        <w:rStyle w:val="Numerstrony"/>
        <w:lang w:val="pl-PL"/>
      </w:rPr>
      <w:fldChar w:fldCharType="end"/>
    </w:r>
    <w:r w:rsidRPr="00C84491">
      <w:rPr>
        <w:lang w:val="pl-PL"/>
      </w:rPr>
      <w:tab/>
      <w:t>DECYZJA W SPRAWIE BOUDELAL PRZECIWKO FRANCJI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9B479B" w14:textId="77777777" w:rsidR="00DF36FA" w:rsidRPr="00C84491" w:rsidRDefault="00DF36FA" w:rsidP="006544C4">
    <w:pPr>
      <w:pStyle w:val="ECHRHeader"/>
      <w:rPr>
        <w:lang w:val="pl-PL"/>
      </w:rPr>
    </w:pPr>
    <w:r w:rsidRPr="007A6280">
      <w:rPr>
        <w:lang w:val="fr-FR"/>
      </w:rPr>
      <w:tab/>
    </w:r>
    <w:r w:rsidRPr="00C84491">
      <w:rPr>
        <w:lang w:val="pl-PL"/>
      </w:rPr>
      <w:t>DECYZJA W SPRAWIE BOUDELAL PRZECIWKO FRANCJI</w:t>
    </w:r>
    <w:r w:rsidRPr="00C84491">
      <w:rPr>
        <w:lang w:val="pl-PL"/>
      </w:rPr>
      <w:tab/>
    </w:r>
    <w:r w:rsidRPr="00C84491">
      <w:rPr>
        <w:rStyle w:val="Numerstrony"/>
        <w:lang w:val="pl-PL"/>
      </w:rPr>
      <w:fldChar w:fldCharType="begin"/>
    </w:r>
    <w:r w:rsidRPr="00C84491">
      <w:rPr>
        <w:rStyle w:val="Numerstrony"/>
        <w:lang w:val="pl-PL"/>
      </w:rPr>
      <w:instrText xml:space="preserve"> PAGE </w:instrText>
    </w:r>
    <w:r w:rsidRPr="00C84491">
      <w:rPr>
        <w:rStyle w:val="Numerstrony"/>
        <w:lang w:val="pl-PL"/>
      </w:rPr>
      <w:fldChar w:fldCharType="separate"/>
    </w:r>
    <w:r w:rsidR="000C56F2">
      <w:rPr>
        <w:rStyle w:val="Numerstrony"/>
        <w:noProof/>
        <w:lang w:val="pl-PL"/>
      </w:rPr>
      <w:t>3</w:t>
    </w:r>
    <w:r w:rsidRPr="00C84491">
      <w:rPr>
        <w:rStyle w:val="Numerstrony"/>
        <w:lang w:val="pl-PL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501165" w14:textId="77777777" w:rsidR="00DF36FA" w:rsidRPr="00A45145" w:rsidRDefault="000929C9" w:rsidP="00A45145">
    <w:pPr>
      <w:jc w:val="center"/>
    </w:pPr>
    <w:r>
      <w:rPr>
        <w:noProof/>
        <w:lang w:val="pl-PL" w:eastAsia="pl-PL"/>
      </w:rPr>
      <w:drawing>
        <wp:inline distT="0" distB="0" distL="0" distR="0" wp14:anchorId="283F92FA" wp14:editId="29F65318">
          <wp:extent cx="2964180" cy="1219200"/>
          <wp:effectExtent l="0" t="0" r="762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4180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B83BE4" w14:textId="77777777" w:rsidR="00DF36FA" w:rsidRPr="007A6280" w:rsidRDefault="00DF36FA" w:rsidP="003146E4">
    <w:pPr>
      <w:jc w:val="center"/>
      <w:rPr>
        <w:lang w:val="fr-F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26C5606"/>
    <w:lvl w:ilvl="0">
      <w:start w:val="1"/>
      <w:numFmt w:val="decimal"/>
      <w:pStyle w:val="Listapunktowana4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784B494"/>
    <w:lvl w:ilvl="0">
      <w:start w:val="1"/>
      <w:numFmt w:val="decimal"/>
      <w:pStyle w:val="Listapunktowana3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2BEA742"/>
    <w:lvl w:ilvl="0">
      <w:start w:val="1"/>
      <w:numFmt w:val="decimal"/>
      <w:pStyle w:val="Listapunktowana2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0CE4694"/>
    <w:lvl w:ilvl="0">
      <w:start w:val="1"/>
      <w:numFmt w:val="decimal"/>
      <w:pStyle w:val="Listanumerowana5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BBB0CDAA"/>
    <w:lvl w:ilvl="0">
      <w:start w:val="1"/>
      <w:numFmt w:val="bullet"/>
      <w:pStyle w:val="Listanumerowana3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5">
    <w:nsid w:val="FFFFFF81"/>
    <w:multiLevelType w:val="singleLevel"/>
    <w:tmpl w:val="1F7C1866"/>
    <w:lvl w:ilvl="0">
      <w:start w:val="1"/>
      <w:numFmt w:val="bullet"/>
      <w:pStyle w:val="Listanumerowana2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6">
    <w:nsid w:val="FFFFFF82"/>
    <w:multiLevelType w:val="singleLevel"/>
    <w:tmpl w:val="5B040F8A"/>
    <w:lvl w:ilvl="0">
      <w:start w:val="1"/>
      <w:numFmt w:val="bullet"/>
      <w:pStyle w:val="Listapunktowana5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7">
    <w:nsid w:val="FFFFFF83"/>
    <w:multiLevelType w:val="singleLevel"/>
    <w:tmpl w:val="7270AC30"/>
    <w:lvl w:ilvl="0">
      <w:start w:val="1"/>
      <w:numFmt w:val="bullet"/>
      <w:pStyle w:val="JuAppQuestion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8">
    <w:nsid w:val="FFFFFF88"/>
    <w:multiLevelType w:val="singleLevel"/>
    <w:tmpl w:val="3DE83B68"/>
    <w:lvl w:ilvl="0">
      <w:start w:val="1"/>
      <w:numFmt w:val="decimal"/>
      <w:pStyle w:val="Listanumerowana4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98E4CA0"/>
    <w:lvl w:ilvl="0">
      <w:start w:val="1"/>
      <w:numFmt w:val="bullet"/>
      <w:pStyle w:val="Listanumer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590D1DC3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726306C2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7CCD2930"/>
    <w:multiLevelType w:val="multilevel"/>
    <w:tmpl w:val="04090023"/>
    <w:styleLink w:val="Artykusekcja"/>
    <w:lvl w:ilvl="0">
      <w:start w:val="1"/>
      <w:numFmt w:val="upperRoman"/>
      <w:lvlText w:val="Article %1."/>
      <w:lvlJc w:val="left"/>
    </w:lvl>
    <w:lvl w:ilvl="1">
      <w:start w:val="1"/>
      <w:numFmt w:val="decimalZero"/>
      <w:isLgl/>
      <w:lvlText w:val="Section %1.%2"/>
      <w:lvlJc w:val="left"/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7"/>
  </w:num>
  <w:num w:numId="2">
    <w:abstractNumId w:val="6"/>
  </w:num>
  <w:num w:numId="3">
    <w:abstractNumId w:val="9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1"/>
  </w:num>
  <w:num w:numId="13">
    <w:abstractNumId w:val="1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embedSystemFonts/>
  <w:proofState w:spelling="clean"/>
  <w:defaultTabStop w:val="720"/>
  <w:hyphenationZone w:val="425"/>
  <w:doNotHyphenateCaps/>
  <w:evenAndOddHeaders/>
  <w:drawingGridHorizontalSpacing w:val="110"/>
  <w:displayHorizontalDrawingGridEvery w:val="2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numRestart w:val="eachPage"/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ApplicationsApp" w:val="1"/>
    <w:docVar w:name="AppNatAutre" w:val="0"/>
    <w:docVar w:name="DocVarPREMATURE" w:val="0"/>
    <w:docVar w:name="EMM" w:val="0"/>
    <w:docVar w:name="ETRANSMISSION" w:val="PAR VOIE ÉLECTRONIQUE UNIQUEMENT"/>
    <w:docVar w:name="L4_1Annex" w:val="0"/>
    <w:docVar w:name="L4_1Anonymity" w:val="0"/>
    <w:docVar w:name="NBEMMDOC" w:val="0"/>
    <w:docVar w:name="Plural" w:val="0"/>
    <w:docVar w:name="SignForeName" w:val="0"/>
  </w:docVars>
  <w:rsids>
    <w:rsidRoot w:val="00093F7B"/>
    <w:rsid w:val="00000FB9"/>
    <w:rsid w:val="000041F8"/>
    <w:rsid w:val="000042A8"/>
    <w:rsid w:val="00004308"/>
    <w:rsid w:val="00005BF0"/>
    <w:rsid w:val="00007154"/>
    <w:rsid w:val="000103AE"/>
    <w:rsid w:val="00011D69"/>
    <w:rsid w:val="00012AD3"/>
    <w:rsid w:val="000158DB"/>
    <w:rsid w:val="00015C2D"/>
    <w:rsid w:val="00015F00"/>
    <w:rsid w:val="00022C1D"/>
    <w:rsid w:val="0002534B"/>
    <w:rsid w:val="000279B8"/>
    <w:rsid w:val="00034987"/>
    <w:rsid w:val="00050A32"/>
    <w:rsid w:val="000564BD"/>
    <w:rsid w:val="000602DF"/>
    <w:rsid w:val="00061B05"/>
    <w:rsid w:val="000632D5"/>
    <w:rsid w:val="000644EE"/>
    <w:rsid w:val="00090E90"/>
    <w:rsid w:val="000925AD"/>
    <w:rsid w:val="000929C9"/>
    <w:rsid w:val="00093F7B"/>
    <w:rsid w:val="000A24EB"/>
    <w:rsid w:val="000B6923"/>
    <w:rsid w:val="000C56F2"/>
    <w:rsid w:val="000C5F3C"/>
    <w:rsid w:val="000C6DCC"/>
    <w:rsid w:val="000D0C0B"/>
    <w:rsid w:val="000D4072"/>
    <w:rsid w:val="000D47AA"/>
    <w:rsid w:val="000D721F"/>
    <w:rsid w:val="000E069B"/>
    <w:rsid w:val="000E0E82"/>
    <w:rsid w:val="000E1DC5"/>
    <w:rsid w:val="000E223F"/>
    <w:rsid w:val="000E7D45"/>
    <w:rsid w:val="000F7851"/>
    <w:rsid w:val="00104E23"/>
    <w:rsid w:val="001104E0"/>
    <w:rsid w:val="00111B0C"/>
    <w:rsid w:val="00112D62"/>
    <w:rsid w:val="00120D6C"/>
    <w:rsid w:val="001257EC"/>
    <w:rsid w:val="00133D33"/>
    <w:rsid w:val="00134D64"/>
    <w:rsid w:val="00135A30"/>
    <w:rsid w:val="0013612C"/>
    <w:rsid w:val="00137FF6"/>
    <w:rsid w:val="00141650"/>
    <w:rsid w:val="00150BFA"/>
    <w:rsid w:val="00162A12"/>
    <w:rsid w:val="00166234"/>
    <w:rsid w:val="00166530"/>
    <w:rsid w:val="00166767"/>
    <w:rsid w:val="0016678F"/>
    <w:rsid w:val="001706B2"/>
    <w:rsid w:val="00173536"/>
    <w:rsid w:val="001832BD"/>
    <w:rsid w:val="001943B5"/>
    <w:rsid w:val="00195134"/>
    <w:rsid w:val="001A145B"/>
    <w:rsid w:val="001A674C"/>
    <w:rsid w:val="001A6CE0"/>
    <w:rsid w:val="001B3B24"/>
    <w:rsid w:val="001B7452"/>
    <w:rsid w:val="001C0F98"/>
    <w:rsid w:val="001C2A42"/>
    <w:rsid w:val="001D040F"/>
    <w:rsid w:val="001D63ED"/>
    <w:rsid w:val="001D7348"/>
    <w:rsid w:val="001E035B"/>
    <w:rsid w:val="001E0961"/>
    <w:rsid w:val="001E3EAE"/>
    <w:rsid w:val="001E6F32"/>
    <w:rsid w:val="001F2145"/>
    <w:rsid w:val="001F6262"/>
    <w:rsid w:val="001F67B0"/>
    <w:rsid w:val="001F7B3D"/>
    <w:rsid w:val="00205F9F"/>
    <w:rsid w:val="0020718E"/>
    <w:rsid w:val="00210338"/>
    <w:rsid w:val="002115FC"/>
    <w:rsid w:val="0021363E"/>
    <w:rsid w:val="0021423C"/>
    <w:rsid w:val="00230D00"/>
    <w:rsid w:val="00231DF7"/>
    <w:rsid w:val="00231FD1"/>
    <w:rsid w:val="002339E0"/>
    <w:rsid w:val="00233CF8"/>
    <w:rsid w:val="00234E8A"/>
    <w:rsid w:val="0023575D"/>
    <w:rsid w:val="00237148"/>
    <w:rsid w:val="002417DB"/>
    <w:rsid w:val="0024222D"/>
    <w:rsid w:val="00244B0E"/>
    <w:rsid w:val="00244F6C"/>
    <w:rsid w:val="002532C5"/>
    <w:rsid w:val="00260C03"/>
    <w:rsid w:val="0026540E"/>
    <w:rsid w:val="00271D9A"/>
    <w:rsid w:val="00275123"/>
    <w:rsid w:val="00282240"/>
    <w:rsid w:val="002878B9"/>
    <w:rsid w:val="0029304E"/>
    <w:rsid w:val="002948AD"/>
    <w:rsid w:val="002962EB"/>
    <w:rsid w:val="002A0115"/>
    <w:rsid w:val="002A01CC"/>
    <w:rsid w:val="002A61B1"/>
    <w:rsid w:val="002A663C"/>
    <w:rsid w:val="002B444B"/>
    <w:rsid w:val="002B5887"/>
    <w:rsid w:val="002C0E27"/>
    <w:rsid w:val="002C3040"/>
    <w:rsid w:val="002D022D"/>
    <w:rsid w:val="002D24BB"/>
    <w:rsid w:val="002D6691"/>
    <w:rsid w:val="002F2AF7"/>
    <w:rsid w:val="002F456A"/>
    <w:rsid w:val="002F7E1C"/>
    <w:rsid w:val="00301A75"/>
    <w:rsid w:val="00302F70"/>
    <w:rsid w:val="0030336F"/>
    <w:rsid w:val="0030375E"/>
    <w:rsid w:val="0030671D"/>
    <w:rsid w:val="00312A30"/>
    <w:rsid w:val="003146E4"/>
    <w:rsid w:val="0031731F"/>
    <w:rsid w:val="00320F72"/>
    <w:rsid w:val="0032463E"/>
    <w:rsid w:val="00326224"/>
    <w:rsid w:val="003309CC"/>
    <w:rsid w:val="003312A3"/>
    <w:rsid w:val="00331C40"/>
    <w:rsid w:val="00334EC5"/>
    <w:rsid w:val="00337EE4"/>
    <w:rsid w:val="00340FFD"/>
    <w:rsid w:val="003506B1"/>
    <w:rsid w:val="00351B7D"/>
    <w:rsid w:val="0035621E"/>
    <w:rsid w:val="00356AC7"/>
    <w:rsid w:val="003609FA"/>
    <w:rsid w:val="00367E71"/>
    <w:rsid w:val="003710C8"/>
    <w:rsid w:val="003750BE"/>
    <w:rsid w:val="00381AF0"/>
    <w:rsid w:val="00387B9D"/>
    <w:rsid w:val="0039055E"/>
    <w:rsid w:val="0039364F"/>
    <w:rsid w:val="00396686"/>
    <w:rsid w:val="0039778E"/>
    <w:rsid w:val="003A4A3D"/>
    <w:rsid w:val="003A6799"/>
    <w:rsid w:val="003B4941"/>
    <w:rsid w:val="003C5714"/>
    <w:rsid w:val="003C594F"/>
    <w:rsid w:val="003C6B9F"/>
    <w:rsid w:val="003C6E2A"/>
    <w:rsid w:val="003D0299"/>
    <w:rsid w:val="003D0489"/>
    <w:rsid w:val="003D60A1"/>
    <w:rsid w:val="003E6D80"/>
    <w:rsid w:val="003E747B"/>
    <w:rsid w:val="003F05FA"/>
    <w:rsid w:val="003F2169"/>
    <w:rsid w:val="003F244A"/>
    <w:rsid w:val="003F30B8"/>
    <w:rsid w:val="003F4C45"/>
    <w:rsid w:val="003F5F7B"/>
    <w:rsid w:val="003F6220"/>
    <w:rsid w:val="003F7D64"/>
    <w:rsid w:val="0040366B"/>
    <w:rsid w:val="004047FE"/>
    <w:rsid w:val="00414300"/>
    <w:rsid w:val="00425C67"/>
    <w:rsid w:val="00427E7A"/>
    <w:rsid w:val="00432B0B"/>
    <w:rsid w:val="00436C49"/>
    <w:rsid w:val="00445366"/>
    <w:rsid w:val="00447F5B"/>
    <w:rsid w:val="00452A50"/>
    <w:rsid w:val="00453306"/>
    <w:rsid w:val="00461DB0"/>
    <w:rsid w:val="00463926"/>
    <w:rsid w:val="00464C9A"/>
    <w:rsid w:val="00465BF5"/>
    <w:rsid w:val="00471FEC"/>
    <w:rsid w:val="00474F3D"/>
    <w:rsid w:val="00477E3A"/>
    <w:rsid w:val="00482328"/>
    <w:rsid w:val="00483E5F"/>
    <w:rsid w:val="00485FF9"/>
    <w:rsid w:val="004907F0"/>
    <w:rsid w:val="0049140B"/>
    <w:rsid w:val="004923A5"/>
    <w:rsid w:val="004969F0"/>
    <w:rsid w:val="00496B01"/>
    <w:rsid w:val="00496BFB"/>
    <w:rsid w:val="004A15C7"/>
    <w:rsid w:val="004B013B"/>
    <w:rsid w:val="004B112B"/>
    <w:rsid w:val="004B53E7"/>
    <w:rsid w:val="004B7264"/>
    <w:rsid w:val="004C01E4"/>
    <w:rsid w:val="004C086C"/>
    <w:rsid w:val="004C1F56"/>
    <w:rsid w:val="004C27BC"/>
    <w:rsid w:val="004D15F3"/>
    <w:rsid w:val="004D5311"/>
    <w:rsid w:val="004D5DCC"/>
    <w:rsid w:val="004D6EFF"/>
    <w:rsid w:val="004E1D0A"/>
    <w:rsid w:val="004E39E5"/>
    <w:rsid w:val="004F10AF"/>
    <w:rsid w:val="004F11A4"/>
    <w:rsid w:val="004F2389"/>
    <w:rsid w:val="004F304D"/>
    <w:rsid w:val="004F61BE"/>
    <w:rsid w:val="004F66B1"/>
    <w:rsid w:val="00511C07"/>
    <w:rsid w:val="005173A6"/>
    <w:rsid w:val="00520BAA"/>
    <w:rsid w:val="00525208"/>
    <w:rsid w:val="005257A5"/>
    <w:rsid w:val="005264C0"/>
    <w:rsid w:val="00526A8A"/>
    <w:rsid w:val="00531DF2"/>
    <w:rsid w:val="00542C81"/>
    <w:rsid w:val="005442EE"/>
    <w:rsid w:val="00547353"/>
    <w:rsid w:val="005474E7"/>
    <w:rsid w:val="005512A3"/>
    <w:rsid w:val="00553510"/>
    <w:rsid w:val="005578CE"/>
    <w:rsid w:val="00562781"/>
    <w:rsid w:val="0056501D"/>
    <w:rsid w:val="0057271C"/>
    <w:rsid w:val="00572845"/>
    <w:rsid w:val="00573E1C"/>
    <w:rsid w:val="00575074"/>
    <w:rsid w:val="005810D1"/>
    <w:rsid w:val="00592772"/>
    <w:rsid w:val="0059574A"/>
    <w:rsid w:val="00597608"/>
    <w:rsid w:val="005A1B9B"/>
    <w:rsid w:val="005A55EF"/>
    <w:rsid w:val="005A6751"/>
    <w:rsid w:val="005B092E"/>
    <w:rsid w:val="005B152C"/>
    <w:rsid w:val="005B1EE0"/>
    <w:rsid w:val="005B2B24"/>
    <w:rsid w:val="005B4425"/>
    <w:rsid w:val="005B4B94"/>
    <w:rsid w:val="005B7BE9"/>
    <w:rsid w:val="005C3EE8"/>
    <w:rsid w:val="005D05B3"/>
    <w:rsid w:val="005D34F9"/>
    <w:rsid w:val="005D4190"/>
    <w:rsid w:val="005D67A3"/>
    <w:rsid w:val="005E2988"/>
    <w:rsid w:val="005E3085"/>
    <w:rsid w:val="005F51E1"/>
    <w:rsid w:val="0060384D"/>
    <w:rsid w:val="00611C80"/>
    <w:rsid w:val="00620692"/>
    <w:rsid w:val="006242CA"/>
    <w:rsid w:val="00627507"/>
    <w:rsid w:val="00633717"/>
    <w:rsid w:val="006344E1"/>
    <w:rsid w:val="006544C4"/>
    <w:rsid w:val="006545C4"/>
    <w:rsid w:val="00661971"/>
    <w:rsid w:val="00661CE8"/>
    <w:rsid w:val="006623D9"/>
    <w:rsid w:val="0066550C"/>
    <w:rsid w:val="006716F2"/>
    <w:rsid w:val="006760D2"/>
    <w:rsid w:val="0068074B"/>
    <w:rsid w:val="00682BF2"/>
    <w:rsid w:val="006859CE"/>
    <w:rsid w:val="00691270"/>
    <w:rsid w:val="00694BA8"/>
    <w:rsid w:val="006A037C"/>
    <w:rsid w:val="006A36F4"/>
    <w:rsid w:val="006A406F"/>
    <w:rsid w:val="006A5D3A"/>
    <w:rsid w:val="006B7E08"/>
    <w:rsid w:val="006C23D4"/>
    <w:rsid w:val="006C3820"/>
    <w:rsid w:val="006C7BB0"/>
    <w:rsid w:val="006D3237"/>
    <w:rsid w:val="006D5227"/>
    <w:rsid w:val="006E2E37"/>
    <w:rsid w:val="006E3CF1"/>
    <w:rsid w:val="006E6C35"/>
    <w:rsid w:val="006E7E80"/>
    <w:rsid w:val="006F19B0"/>
    <w:rsid w:val="006F2BEB"/>
    <w:rsid w:val="006F48CA"/>
    <w:rsid w:val="006F64DD"/>
    <w:rsid w:val="0071460E"/>
    <w:rsid w:val="00715127"/>
    <w:rsid w:val="00715E8E"/>
    <w:rsid w:val="007231BE"/>
    <w:rsid w:val="00723580"/>
    <w:rsid w:val="00723755"/>
    <w:rsid w:val="007253E5"/>
    <w:rsid w:val="0073136C"/>
    <w:rsid w:val="00731F0F"/>
    <w:rsid w:val="00733250"/>
    <w:rsid w:val="00741404"/>
    <w:rsid w:val="007449E5"/>
    <w:rsid w:val="00747FF0"/>
    <w:rsid w:val="00764D4E"/>
    <w:rsid w:val="00765A1F"/>
    <w:rsid w:val="00775B6D"/>
    <w:rsid w:val="00776D68"/>
    <w:rsid w:val="007850EE"/>
    <w:rsid w:val="00785B95"/>
    <w:rsid w:val="00790E96"/>
    <w:rsid w:val="00793366"/>
    <w:rsid w:val="007A1122"/>
    <w:rsid w:val="007A3515"/>
    <w:rsid w:val="007A6280"/>
    <w:rsid w:val="007A716F"/>
    <w:rsid w:val="007B270A"/>
    <w:rsid w:val="007B73FD"/>
    <w:rsid w:val="007C0695"/>
    <w:rsid w:val="007C419A"/>
    <w:rsid w:val="007C4CC8"/>
    <w:rsid w:val="007C5426"/>
    <w:rsid w:val="007C5798"/>
    <w:rsid w:val="007D4832"/>
    <w:rsid w:val="007D7F41"/>
    <w:rsid w:val="007E21B2"/>
    <w:rsid w:val="007E2C4E"/>
    <w:rsid w:val="007F1905"/>
    <w:rsid w:val="00801300"/>
    <w:rsid w:val="00802C64"/>
    <w:rsid w:val="00805E52"/>
    <w:rsid w:val="008061D0"/>
    <w:rsid w:val="00810B38"/>
    <w:rsid w:val="00813DC2"/>
    <w:rsid w:val="008204C7"/>
    <w:rsid w:val="00820992"/>
    <w:rsid w:val="00823602"/>
    <w:rsid w:val="008255F5"/>
    <w:rsid w:val="0082618F"/>
    <w:rsid w:val="0083014E"/>
    <w:rsid w:val="0083214A"/>
    <w:rsid w:val="00834220"/>
    <w:rsid w:val="00845723"/>
    <w:rsid w:val="00851EF9"/>
    <w:rsid w:val="0085475B"/>
    <w:rsid w:val="008577FD"/>
    <w:rsid w:val="00860B03"/>
    <w:rsid w:val="0086497A"/>
    <w:rsid w:val="008713A1"/>
    <w:rsid w:val="008754AB"/>
    <w:rsid w:val="0088060C"/>
    <w:rsid w:val="00893576"/>
    <w:rsid w:val="00893E73"/>
    <w:rsid w:val="00895FD7"/>
    <w:rsid w:val="008B02DC"/>
    <w:rsid w:val="008B0BD9"/>
    <w:rsid w:val="008B57CE"/>
    <w:rsid w:val="008C26DE"/>
    <w:rsid w:val="008C4AA6"/>
    <w:rsid w:val="008D2225"/>
    <w:rsid w:val="008D4752"/>
    <w:rsid w:val="008E271C"/>
    <w:rsid w:val="008E418E"/>
    <w:rsid w:val="008E5BC6"/>
    <w:rsid w:val="008E6A25"/>
    <w:rsid w:val="008F290B"/>
    <w:rsid w:val="008F5193"/>
    <w:rsid w:val="008F56D3"/>
    <w:rsid w:val="009013A7"/>
    <w:rsid w:val="009017FB"/>
    <w:rsid w:val="009017FC"/>
    <w:rsid w:val="0090506B"/>
    <w:rsid w:val="009050C9"/>
    <w:rsid w:val="00905B75"/>
    <w:rsid w:val="009066FC"/>
    <w:rsid w:val="009140A3"/>
    <w:rsid w:val="009144A2"/>
    <w:rsid w:val="0091478F"/>
    <w:rsid w:val="0091510C"/>
    <w:rsid w:val="009259AC"/>
    <w:rsid w:val="00926F38"/>
    <w:rsid w:val="00934301"/>
    <w:rsid w:val="00934A97"/>
    <w:rsid w:val="00936CD1"/>
    <w:rsid w:val="00941747"/>
    <w:rsid w:val="0094178F"/>
    <w:rsid w:val="00941EFB"/>
    <w:rsid w:val="00944538"/>
    <w:rsid w:val="00947AFB"/>
    <w:rsid w:val="00951D7D"/>
    <w:rsid w:val="009630C7"/>
    <w:rsid w:val="00964A81"/>
    <w:rsid w:val="0096555E"/>
    <w:rsid w:val="00972B55"/>
    <w:rsid w:val="009743B7"/>
    <w:rsid w:val="009773A5"/>
    <w:rsid w:val="00977DA8"/>
    <w:rsid w:val="0098228B"/>
    <w:rsid w:val="009828DA"/>
    <w:rsid w:val="00985BAB"/>
    <w:rsid w:val="009A4C02"/>
    <w:rsid w:val="009A74E9"/>
    <w:rsid w:val="009B01A2"/>
    <w:rsid w:val="009B0549"/>
    <w:rsid w:val="009B1B5F"/>
    <w:rsid w:val="009B6673"/>
    <w:rsid w:val="009C191B"/>
    <w:rsid w:val="009C2BD6"/>
    <w:rsid w:val="009C6B80"/>
    <w:rsid w:val="009C7798"/>
    <w:rsid w:val="009E1F32"/>
    <w:rsid w:val="009E776C"/>
    <w:rsid w:val="009F0D00"/>
    <w:rsid w:val="009F1D6B"/>
    <w:rsid w:val="00A14D9F"/>
    <w:rsid w:val="00A167B5"/>
    <w:rsid w:val="00A1726E"/>
    <w:rsid w:val="00A204CF"/>
    <w:rsid w:val="00A238DB"/>
    <w:rsid w:val="00A23D49"/>
    <w:rsid w:val="00A2579D"/>
    <w:rsid w:val="00A27004"/>
    <w:rsid w:val="00A30C29"/>
    <w:rsid w:val="00A3454F"/>
    <w:rsid w:val="00A34DD6"/>
    <w:rsid w:val="00A36819"/>
    <w:rsid w:val="00A36989"/>
    <w:rsid w:val="00A42754"/>
    <w:rsid w:val="00A43628"/>
    <w:rsid w:val="00A45145"/>
    <w:rsid w:val="00A54192"/>
    <w:rsid w:val="00A560C6"/>
    <w:rsid w:val="00A6035E"/>
    <w:rsid w:val="00A6144C"/>
    <w:rsid w:val="00A66617"/>
    <w:rsid w:val="00A671F8"/>
    <w:rsid w:val="00A673A4"/>
    <w:rsid w:val="00A724AE"/>
    <w:rsid w:val="00A73329"/>
    <w:rsid w:val="00A807BF"/>
    <w:rsid w:val="00A82359"/>
    <w:rsid w:val="00A865D2"/>
    <w:rsid w:val="00A94C20"/>
    <w:rsid w:val="00AA227F"/>
    <w:rsid w:val="00AA3BC7"/>
    <w:rsid w:val="00AA754A"/>
    <w:rsid w:val="00AB099E"/>
    <w:rsid w:val="00AB4328"/>
    <w:rsid w:val="00AB7219"/>
    <w:rsid w:val="00AC6FC1"/>
    <w:rsid w:val="00AD4F05"/>
    <w:rsid w:val="00AE0A2E"/>
    <w:rsid w:val="00AE354C"/>
    <w:rsid w:val="00AF098D"/>
    <w:rsid w:val="00AF24C3"/>
    <w:rsid w:val="00AF321F"/>
    <w:rsid w:val="00AF4B07"/>
    <w:rsid w:val="00AF6186"/>
    <w:rsid w:val="00AF7102"/>
    <w:rsid w:val="00AF7A3A"/>
    <w:rsid w:val="00B010E0"/>
    <w:rsid w:val="00B160DB"/>
    <w:rsid w:val="00B20836"/>
    <w:rsid w:val="00B22FF5"/>
    <w:rsid w:val="00B235BB"/>
    <w:rsid w:val="00B27A44"/>
    <w:rsid w:val="00B30BBF"/>
    <w:rsid w:val="00B33C03"/>
    <w:rsid w:val="00B44E56"/>
    <w:rsid w:val="00B46543"/>
    <w:rsid w:val="00B47D33"/>
    <w:rsid w:val="00B52BE0"/>
    <w:rsid w:val="00B53F99"/>
    <w:rsid w:val="00B54133"/>
    <w:rsid w:val="00B65F79"/>
    <w:rsid w:val="00B701ED"/>
    <w:rsid w:val="00B70C67"/>
    <w:rsid w:val="00B8086C"/>
    <w:rsid w:val="00B861B4"/>
    <w:rsid w:val="00B86DFE"/>
    <w:rsid w:val="00B87FB1"/>
    <w:rsid w:val="00B90990"/>
    <w:rsid w:val="00B922FF"/>
    <w:rsid w:val="00B9281E"/>
    <w:rsid w:val="00B93925"/>
    <w:rsid w:val="00B95187"/>
    <w:rsid w:val="00BA1CA3"/>
    <w:rsid w:val="00BA2D55"/>
    <w:rsid w:val="00BA71B1"/>
    <w:rsid w:val="00BB0637"/>
    <w:rsid w:val="00BB345F"/>
    <w:rsid w:val="00BB68EA"/>
    <w:rsid w:val="00BC0AF2"/>
    <w:rsid w:val="00BC1C27"/>
    <w:rsid w:val="00BC6BBF"/>
    <w:rsid w:val="00BD1572"/>
    <w:rsid w:val="00BD448C"/>
    <w:rsid w:val="00BE14E3"/>
    <w:rsid w:val="00BE3774"/>
    <w:rsid w:val="00BE41E5"/>
    <w:rsid w:val="00BF4109"/>
    <w:rsid w:val="00BF4CC3"/>
    <w:rsid w:val="00BF6D5C"/>
    <w:rsid w:val="00BF7D60"/>
    <w:rsid w:val="00C054C7"/>
    <w:rsid w:val="00C057B5"/>
    <w:rsid w:val="00C1033F"/>
    <w:rsid w:val="00C22687"/>
    <w:rsid w:val="00C32E4D"/>
    <w:rsid w:val="00C333A0"/>
    <w:rsid w:val="00C36408"/>
    <w:rsid w:val="00C36A81"/>
    <w:rsid w:val="00C41974"/>
    <w:rsid w:val="00C53F4A"/>
    <w:rsid w:val="00C54125"/>
    <w:rsid w:val="00C559CB"/>
    <w:rsid w:val="00C55B54"/>
    <w:rsid w:val="00C6098E"/>
    <w:rsid w:val="00C6152C"/>
    <w:rsid w:val="00C74810"/>
    <w:rsid w:val="00C8182C"/>
    <w:rsid w:val="00C84491"/>
    <w:rsid w:val="00C90D68"/>
    <w:rsid w:val="00C939FE"/>
    <w:rsid w:val="00CA4BDA"/>
    <w:rsid w:val="00CB1F66"/>
    <w:rsid w:val="00CB2951"/>
    <w:rsid w:val="00CC70DB"/>
    <w:rsid w:val="00CD282B"/>
    <w:rsid w:val="00CD4C35"/>
    <w:rsid w:val="00CD7369"/>
    <w:rsid w:val="00CE0B0E"/>
    <w:rsid w:val="00CE3831"/>
    <w:rsid w:val="00CE6ED9"/>
    <w:rsid w:val="00CF1937"/>
    <w:rsid w:val="00D00ABB"/>
    <w:rsid w:val="00D02EEC"/>
    <w:rsid w:val="00D03551"/>
    <w:rsid w:val="00D06A63"/>
    <w:rsid w:val="00D07E0E"/>
    <w:rsid w:val="00D111ED"/>
    <w:rsid w:val="00D11478"/>
    <w:rsid w:val="00D15ED0"/>
    <w:rsid w:val="00D21B3E"/>
    <w:rsid w:val="00D21FED"/>
    <w:rsid w:val="00D24251"/>
    <w:rsid w:val="00D343E2"/>
    <w:rsid w:val="00D34AEB"/>
    <w:rsid w:val="00D361A2"/>
    <w:rsid w:val="00D4276F"/>
    <w:rsid w:val="00D43F5E"/>
    <w:rsid w:val="00D44C2E"/>
    <w:rsid w:val="00D45414"/>
    <w:rsid w:val="00D566BD"/>
    <w:rsid w:val="00D57A4D"/>
    <w:rsid w:val="00D57C4F"/>
    <w:rsid w:val="00D60AA7"/>
    <w:rsid w:val="00D6435F"/>
    <w:rsid w:val="00D74DE5"/>
    <w:rsid w:val="00D75E28"/>
    <w:rsid w:val="00D772C2"/>
    <w:rsid w:val="00D8008E"/>
    <w:rsid w:val="00D82C45"/>
    <w:rsid w:val="00D8326A"/>
    <w:rsid w:val="00D86BF7"/>
    <w:rsid w:val="00D908A8"/>
    <w:rsid w:val="00D916DD"/>
    <w:rsid w:val="00D977B6"/>
    <w:rsid w:val="00DA4886"/>
    <w:rsid w:val="00DA4A31"/>
    <w:rsid w:val="00DA7B04"/>
    <w:rsid w:val="00DB36C2"/>
    <w:rsid w:val="00DC169B"/>
    <w:rsid w:val="00DC2AB9"/>
    <w:rsid w:val="00DC63F0"/>
    <w:rsid w:val="00DD37D0"/>
    <w:rsid w:val="00DD6EE5"/>
    <w:rsid w:val="00DE386C"/>
    <w:rsid w:val="00DE4D09"/>
    <w:rsid w:val="00DE4D35"/>
    <w:rsid w:val="00DF098B"/>
    <w:rsid w:val="00DF1114"/>
    <w:rsid w:val="00DF11C4"/>
    <w:rsid w:val="00DF210C"/>
    <w:rsid w:val="00DF36FA"/>
    <w:rsid w:val="00DF4B6A"/>
    <w:rsid w:val="00E02897"/>
    <w:rsid w:val="00E02C09"/>
    <w:rsid w:val="00E04D59"/>
    <w:rsid w:val="00E07DA1"/>
    <w:rsid w:val="00E10439"/>
    <w:rsid w:val="00E123CB"/>
    <w:rsid w:val="00E17227"/>
    <w:rsid w:val="00E20E13"/>
    <w:rsid w:val="00E21DB2"/>
    <w:rsid w:val="00E21DBC"/>
    <w:rsid w:val="00E275D7"/>
    <w:rsid w:val="00E27DBE"/>
    <w:rsid w:val="00E32AB1"/>
    <w:rsid w:val="00E3471A"/>
    <w:rsid w:val="00E36C71"/>
    <w:rsid w:val="00E40404"/>
    <w:rsid w:val="00E459C6"/>
    <w:rsid w:val="00E47589"/>
    <w:rsid w:val="00E64915"/>
    <w:rsid w:val="00E661D4"/>
    <w:rsid w:val="00E70091"/>
    <w:rsid w:val="00E720F5"/>
    <w:rsid w:val="00E76D47"/>
    <w:rsid w:val="00E81800"/>
    <w:rsid w:val="00E849F7"/>
    <w:rsid w:val="00E8668A"/>
    <w:rsid w:val="00E90302"/>
    <w:rsid w:val="00E97396"/>
    <w:rsid w:val="00EA185E"/>
    <w:rsid w:val="00EA592A"/>
    <w:rsid w:val="00EB14E4"/>
    <w:rsid w:val="00EB32A5"/>
    <w:rsid w:val="00EB34ED"/>
    <w:rsid w:val="00EB7BE0"/>
    <w:rsid w:val="00EC315E"/>
    <w:rsid w:val="00EC78A3"/>
    <w:rsid w:val="00ED077C"/>
    <w:rsid w:val="00ED1190"/>
    <w:rsid w:val="00ED6544"/>
    <w:rsid w:val="00EE0277"/>
    <w:rsid w:val="00EE3E00"/>
    <w:rsid w:val="00EE5DD2"/>
    <w:rsid w:val="00F00A79"/>
    <w:rsid w:val="00F00E86"/>
    <w:rsid w:val="00F00F72"/>
    <w:rsid w:val="00F07C1E"/>
    <w:rsid w:val="00F105DB"/>
    <w:rsid w:val="00F132BC"/>
    <w:rsid w:val="00F13D80"/>
    <w:rsid w:val="00F165C9"/>
    <w:rsid w:val="00F16AAA"/>
    <w:rsid w:val="00F20782"/>
    <w:rsid w:val="00F21161"/>
    <w:rsid w:val="00F218EF"/>
    <w:rsid w:val="00F21BC7"/>
    <w:rsid w:val="00F266A2"/>
    <w:rsid w:val="00F32269"/>
    <w:rsid w:val="00F402DB"/>
    <w:rsid w:val="00F40988"/>
    <w:rsid w:val="00F56A6F"/>
    <w:rsid w:val="00F5709C"/>
    <w:rsid w:val="00F61A79"/>
    <w:rsid w:val="00F64EF1"/>
    <w:rsid w:val="00F669DB"/>
    <w:rsid w:val="00F733FE"/>
    <w:rsid w:val="00F85AAF"/>
    <w:rsid w:val="00F8765F"/>
    <w:rsid w:val="00F90767"/>
    <w:rsid w:val="00F9130D"/>
    <w:rsid w:val="00F9435A"/>
    <w:rsid w:val="00FA685B"/>
    <w:rsid w:val="00FB0C01"/>
    <w:rsid w:val="00FB770D"/>
    <w:rsid w:val="00FC18F2"/>
    <w:rsid w:val="00FC39E5"/>
    <w:rsid w:val="00FC3A78"/>
    <w:rsid w:val="00FD1005"/>
    <w:rsid w:val="00FD6C75"/>
    <w:rsid w:val="00FE71B3"/>
    <w:rsid w:val="00FF283D"/>
    <w:rsid w:val="00FF3EAD"/>
    <w:rsid w:val="00FF42C5"/>
    <w:rsid w:val="00FF6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uiPriority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130D"/>
    <w:pPr>
      <w:jc w:val="both"/>
    </w:pPr>
    <w:rPr>
      <w:rFonts w:eastAsia="MS Mincho"/>
      <w:sz w:val="24"/>
      <w:szCs w:val="24"/>
      <w:lang w:val="en-US"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9130D"/>
    <w:pPr>
      <w:spacing w:before="480"/>
      <w:outlineLvl w:val="0"/>
    </w:pPr>
    <w:rPr>
      <w:rFonts w:eastAsia="MS Gothic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9130D"/>
    <w:pPr>
      <w:spacing w:before="200"/>
      <w:outlineLvl w:val="1"/>
    </w:pPr>
    <w:rPr>
      <w:rFonts w:eastAsia="MS Gothic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F9130D"/>
    <w:pPr>
      <w:spacing w:before="200" w:line="271" w:lineRule="auto"/>
      <w:outlineLvl w:val="2"/>
    </w:pPr>
    <w:rPr>
      <w:rFonts w:eastAsia="MS Gothic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F9130D"/>
    <w:pPr>
      <w:spacing w:before="200"/>
      <w:outlineLvl w:val="3"/>
    </w:pPr>
    <w:rPr>
      <w:rFonts w:eastAsia="MS Gothic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F9130D"/>
    <w:pPr>
      <w:spacing w:before="200"/>
      <w:outlineLvl w:val="4"/>
    </w:pPr>
    <w:rPr>
      <w:rFonts w:eastAsia="MS Gothic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F9130D"/>
    <w:pPr>
      <w:spacing w:line="271" w:lineRule="auto"/>
      <w:outlineLvl w:val="5"/>
    </w:pPr>
    <w:rPr>
      <w:rFonts w:eastAsia="MS Gothic"/>
      <w:b/>
      <w:bCs/>
      <w:i/>
      <w:iCs/>
      <w:color w:val="7F7F7F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F9130D"/>
    <w:pPr>
      <w:outlineLvl w:val="6"/>
    </w:pPr>
    <w:rPr>
      <w:rFonts w:eastAsia="MS Gothic"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F9130D"/>
    <w:pPr>
      <w:outlineLvl w:val="7"/>
    </w:pPr>
    <w:rPr>
      <w:rFonts w:eastAsia="MS Gothic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F9130D"/>
    <w:pPr>
      <w:outlineLvl w:val="8"/>
    </w:pPr>
    <w:rPr>
      <w:rFonts w:eastAsia="MS Gothic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semiHidden/>
    <w:locked/>
    <w:rsid w:val="00F9130D"/>
    <w:rPr>
      <w:rFonts w:ascii="Times New Roman" w:eastAsia="MS Gothic" w:hAnsi="Times New Roman" w:cs="Times New Roman"/>
      <w:b/>
      <w:bCs/>
      <w:color w:val="333333"/>
      <w:sz w:val="28"/>
      <w:szCs w:val="28"/>
    </w:rPr>
  </w:style>
  <w:style w:type="character" w:customStyle="1" w:styleId="Nagwek2Znak">
    <w:name w:val="Nagłówek 2 Znak"/>
    <w:link w:val="Nagwek2"/>
    <w:uiPriority w:val="99"/>
    <w:semiHidden/>
    <w:locked/>
    <w:rsid w:val="00F9130D"/>
    <w:rPr>
      <w:rFonts w:ascii="Times New Roman" w:eastAsia="MS Gothic" w:hAnsi="Times New Roman" w:cs="Times New Roman"/>
      <w:b/>
      <w:bCs/>
      <w:color w:val="4D4D4D"/>
      <w:sz w:val="26"/>
      <w:szCs w:val="26"/>
    </w:rPr>
  </w:style>
  <w:style w:type="character" w:customStyle="1" w:styleId="Nagwek3Znak">
    <w:name w:val="Nagłówek 3 Znak"/>
    <w:link w:val="Nagwek3"/>
    <w:uiPriority w:val="99"/>
    <w:semiHidden/>
    <w:locked/>
    <w:rsid w:val="00F9130D"/>
    <w:rPr>
      <w:rFonts w:ascii="Times New Roman" w:eastAsia="MS Gothic" w:hAnsi="Times New Roman" w:cs="Times New Roman"/>
      <w:b/>
      <w:bCs/>
      <w:color w:val="5F5F5F"/>
      <w:sz w:val="24"/>
      <w:szCs w:val="24"/>
    </w:rPr>
  </w:style>
  <w:style w:type="character" w:customStyle="1" w:styleId="Nagwek4Znak">
    <w:name w:val="Nagłówek 4 Znak"/>
    <w:link w:val="Nagwek4"/>
    <w:uiPriority w:val="99"/>
    <w:semiHidden/>
    <w:locked/>
    <w:rsid w:val="00F9130D"/>
    <w:rPr>
      <w:rFonts w:ascii="Times New Roman" w:eastAsia="MS Gothic" w:hAnsi="Times New Roman" w:cs="Times New Roman"/>
      <w:b/>
      <w:bCs/>
      <w:i/>
      <w:iCs/>
      <w:color w:val="777777"/>
      <w:sz w:val="24"/>
      <w:szCs w:val="24"/>
    </w:rPr>
  </w:style>
  <w:style w:type="character" w:customStyle="1" w:styleId="Nagwek5Znak">
    <w:name w:val="Nagłówek 5 Znak"/>
    <w:link w:val="Nagwek5"/>
    <w:uiPriority w:val="99"/>
    <w:semiHidden/>
    <w:locked/>
    <w:rsid w:val="00F9130D"/>
    <w:rPr>
      <w:rFonts w:ascii="Times New Roman" w:eastAsia="MS Gothic" w:hAnsi="Times New Roman" w:cs="Times New Roman"/>
      <w:b/>
      <w:bCs/>
      <w:color w:val="808080"/>
    </w:rPr>
  </w:style>
  <w:style w:type="character" w:customStyle="1" w:styleId="Nagwek6Znak">
    <w:name w:val="Nagłówek 6 Znak"/>
    <w:link w:val="Nagwek6"/>
    <w:uiPriority w:val="99"/>
    <w:semiHidden/>
    <w:locked/>
    <w:rsid w:val="00F9130D"/>
    <w:rPr>
      <w:rFonts w:ascii="Times New Roman" w:eastAsia="MS Gothic" w:hAnsi="Times New Roman" w:cs="Times New Roman"/>
      <w:b/>
      <w:bCs/>
      <w:i/>
      <w:iCs/>
      <w:color w:val="7F7F7F"/>
      <w:sz w:val="24"/>
      <w:szCs w:val="24"/>
    </w:rPr>
  </w:style>
  <w:style w:type="character" w:customStyle="1" w:styleId="Nagwek7Znak">
    <w:name w:val="Nagłówek 7 Znak"/>
    <w:link w:val="Nagwek7"/>
    <w:uiPriority w:val="99"/>
    <w:semiHidden/>
    <w:locked/>
    <w:rsid w:val="00F9130D"/>
    <w:rPr>
      <w:rFonts w:ascii="Times New Roman" w:eastAsia="MS Gothic" w:hAnsi="Times New Roman" w:cs="Times New Roman"/>
      <w:i/>
      <w:iCs/>
    </w:rPr>
  </w:style>
  <w:style w:type="character" w:customStyle="1" w:styleId="Nagwek8Znak">
    <w:name w:val="Nagłówek 8 Znak"/>
    <w:link w:val="Nagwek8"/>
    <w:uiPriority w:val="99"/>
    <w:semiHidden/>
    <w:locked/>
    <w:rsid w:val="00F9130D"/>
    <w:rPr>
      <w:rFonts w:ascii="Times New Roman" w:eastAsia="MS Gothic" w:hAnsi="Times New Roman" w:cs="Times New Roman"/>
      <w:sz w:val="20"/>
      <w:szCs w:val="20"/>
    </w:rPr>
  </w:style>
  <w:style w:type="character" w:customStyle="1" w:styleId="Nagwek9Znak">
    <w:name w:val="Nagłówek 9 Znak"/>
    <w:link w:val="Nagwek9"/>
    <w:uiPriority w:val="99"/>
    <w:semiHidden/>
    <w:locked/>
    <w:rsid w:val="00F9130D"/>
    <w:rPr>
      <w:rFonts w:ascii="Times New Roman" w:eastAsia="MS Gothic" w:hAnsi="Times New Roman" w:cs="Times New Roman"/>
      <w:i/>
      <w:iCs/>
      <w:spacing w:val="5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F9130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F9130D"/>
    <w:rPr>
      <w:rFonts w:ascii="Tahoma" w:eastAsia="MS Mincho" w:hAnsi="Tahoma" w:cs="Tahoma"/>
      <w:sz w:val="16"/>
      <w:szCs w:val="16"/>
    </w:rPr>
  </w:style>
  <w:style w:type="character" w:styleId="Tytuksiki">
    <w:name w:val="Book Title"/>
    <w:uiPriority w:val="99"/>
    <w:qFormat/>
    <w:rsid w:val="00F9130D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99"/>
    <w:rsid w:val="00F9130D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  <w:szCs w:val="18"/>
    </w:rPr>
  </w:style>
  <w:style w:type="paragraph" w:customStyle="1" w:styleId="JuAppQuestion">
    <w:name w:val="Ju_App_Question"/>
    <w:basedOn w:val="Normalny"/>
    <w:uiPriority w:val="99"/>
    <w:rsid w:val="00F9130D"/>
    <w:pPr>
      <w:numPr>
        <w:numId w:val="1"/>
      </w:numPr>
      <w:tabs>
        <w:tab w:val="clear" w:pos="643"/>
        <w:tab w:val="num" w:pos="720"/>
      </w:tabs>
      <w:ind w:left="720"/>
      <w:jc w:val="left"/>
    </w:pPr>
    <w:rPr>
      <w:b/>
      <w:bCs/>
    </w:rPr>
  </w:style>
  <w:style w:type="character" w:styleId="Pogrubienie">
    <w:name w:val="Strong"/>
    <w:uiPriority w:val="99"/>
    <w:qFormat/>
    <w:rsid w:val="00F9130D"/>
    <w:rPr>
      <w:b/>
      <w:bCs/>
    </w:rPr>
  </w:style>
  <w:style w:type="paragraph" w:styleId="Bezodstpw">
    <w:name w:val="No Spacing"/>
    <w:basedOn w:val="Normalny"/>
    <w:link w:val="BezodstpwZnak"/>
    <w:uiPriority w:val="99"/>
    <w:qFormat/>
    <w:rsid w:val="00F9130D"/>
    <w:rPr>
      <w:sz w:val="22"/>
      <w:szCs w:val="22"/>
    </w:rPr>
  </w:style>
  <w:style w:type="character" w:customStyle="1" w:styleId="BezodstpwZnak">
    <w:name w:val="Bez odstępów Znak"/>
    <w:link w:val="Bezodstpw"/>
    <w:uiPriority w:val="99"/>
    <w:semiHidden/>
    <w:locked/>
    <w:rsid w:val="00F9130D"/>
    <w:rPr>
      <w:rFonts w:eastAsia="MS Mincho"/>
    </w:rPr>
  </w:style>
  <w:style w:type="paragraph" w:customStyle="1" w:styleId="OpiPara">
    <w:name w:val="Opi_Para"/>
    <w:basedOn w:val="ECHRPara"/>
    <w:uiPriority w:val="99"/>
    <w:rsid w:val="00F9130D"/>
  </w:style>
  <w:style w:type="paragraph" w:customStyle="1" w:styleId="ECHRParaQuote">
    <w:name w:val="ECHR_Para_Quote"/>
    <w:aliases w:val="Ju_Quot"/>
    <w:basedOn w:val="Normalny"/>
    <w:uiPriority w:val="99"/>
    <w:rsid w:val="00F9130D"/>
    <w:pPr>
      <w:spacing w:before="120" w:after="120"/>
      <w:ind w:left="425" w:firstLine="142"/>
    </w:pPr>
    <w:rPr>
      <w:sz w:val="20"/>
      <w:szCs w:val="20"/>
    </w:rPr>
  </w:style>
  <w:style w:type="paragraph" w:customStyle="1" w:styleId="JuParaSub">
    <w:name w:val="Ju_Para_Sub"/>
    <w:basedOn w:val="ECHRPara"/>
    <w:uiPriority w:val="99"/>
    <w:rsid w:val="00F9130D"/>
    <w:pPr>
      <w:ind w:left="284"/>
    </w:pPr>
  </w:style>
  <w:style w:type="paragraph" w:customStyle="1" w:styleId="OpiParaSub">
    <w:name w:val="Opi_Para_Sub"/>
    <w:basedOn w:val="JuParaSub"/>
    <w:uiPriority w:val="99"/>
    <w:rsid w:val="00F9130D"/>
  </w:style>
  <w:style w:type="paragraph" w:customStyle="1" w:styleId="OpiQuot">
    <w:name w:val="Opi_Quot"/>
    <w:basedOn w:val="ECHRParaQuote"/>
    <w:uiPriority w:val="99"/>
    <w:rsid w:val="00F9130D"/>
  </w:style>
  <w:style w:type="paragraph" w:customStyle="1" w:styleId="OpiQuotSub">
    <w:name w:val="Opi_Quot_Sub"/>
    <w:basedOn w:val="JuQuotSub"/>
    <w:uiPriority w:val="99"/>
    <w:rsid w:val="00F9130D"/>
  </w:style>
  <w:style w:type="paragraph" w:customStyle="1" w:styleId="ECHRTitleCentre3">
    <w:name w:val="ECHR_Title_Centre_3"/>
    <w:aliases w:val="Ju_H_Article"/>
    <w:basedOn w:val="Normalny"/>
    <w:next w:val="ECHRParaQuote"/>
    <w:uiPriority w:val="99"/>
    <w:rsid w:val="00F9130D"/>
    <w:pPr>
      <w:keepNext/>
      <w:keepLines/>
      <w:spacing w:before="240" w:after="120"/>
      <w:jc w:val="center"/>
      <w:outlineLvl w:val="3"/>
    </w:pPr>
    <w:rPr>
      <w:b/>
      <w:bCs/>
      <w:sz w:val="20"/>
      <w:szCs w:val="20"/>
    </w:rPr>
  </w:style>
  <w:style w:type="paragraph" w:customStyle="1" w:styleId="ECHRTitleCentre1">
    <w:name w:val="ECHR_Title_Centre_1"/>
    <w:aliases w:val="Opi_H_Head"/>
    <w:basedOn w:val="Normalny"/>
    <w:next w:val="OpiPara"/>
    <w:uiPriority w:val="99"/>
    <w:rsid w:val="00F9130D"/>
    <w:pPr>
      <w:keepNext/>
      <w:keepLines/>
      <w:spacing w:after="240"/>
      <w:jc w:val="center"/>
      <w:outlineLvl w:val="0"/>
    </w:pPr>
    <w:rPr>
      <w:sz w:val="28"/>
      <w:szCs w:val="28"/>
    </w:rPr>
  </w:style>
  <w:style w:type="paragraph" w:customStyle="1" w:styleId="JuQuotSub">
    <w:name w:val="Ju_Quot_Sub"/>
    <w:basedOn w:val="ECHRParaQuote"/>
    <w:uiPriority w:val="99"/>
    <w:rsid w:val="00F9130D"/>
    <w:pPr>
      <w:ind w:left="567"/>
    </w:pPr>
  </w:style>
  <w:style w:type="paragraph" w:customStyle="1" w:styleId="ECHRTitle1">
    <w:name w:val="ECHR_Title_1"/>
    <w:aliases w:val="Ju_H_Head"/>
    <w:basedOn w:val="Normalny"/>
    <w:next w:val="ECHRPara"/>
    <w:uiPriority w:val="99"/>
    <w:rsid w:val="00F9130D"/>
    <w:pPr>
      <w:keepNext/>
      <w:keepLines/>
      <w:spacing w:before="720" w:after="240"/>
      <w:outlineLvl w:val="0"/>
    </w:pPr>
    <w:rPr>
      <w:sz w:val="28"/>
      <w:szCs w:val="28"/>
    </w:rPr>
  </w:style>
  <w:style w:type="paragraph" w:customStyle="1" w:styleId="JuInitialled">
    <w:name w:val="Ju_Initialled"/>
    <w:basedOn w:val="Normalny"/>
    <w:uiPriority w:val="99"/>
    <w:rsid w:val="00F9130D"/>
    <w:pPr>
      <w:tabs>
        <w:tab w:val="center" w:pos="6407"/>
      </w:tabs>
      <w:spacing w:before="720"/>
      <w:jc w:val="right"/>
    </w:pPr>
  </w:style>
  <w:style w:type="paragraph" w:styleId="Tytu">
    <w:name w:val="Title"/>
    <w:basedOn w:val="Normalny"/>
    <w:next w:val="Normalny"/>
    <w:link w:val="TytuZnak"/>
    <w:uiPriority w:val="99"/>
    <w:qFormat/>
    <w:rsid w:val="00F9130D"/>
    <w:pPr>
      <w:pBdr>
        <w:bottom w:val="single" w:sz="4" w:space="1" w:color="auto"/>
      </w:pBdr>
    </w:pPr>
    <w:rPr>
      <w:rFonts w:eastAsia="MS Gothic"/>
      <w:spacing w:val="5"/>
      <w:sz w:val="52"/>
      <w:szCs w:val="52"/>
    </w:rPr>
  </w:style>
  <w:style w:type="character" w:customStyle="1" w:styleId="TytuZnak">
    <w:name w:val="Tytuł Znak"/>
    <w:link w:val="Tytu"/>
    <w:uiPriority w:val="99"/>
    <w:semiHidden/>
    <w:locked/>
    <w:rsid w:val="00F9130D"/>
    <w:rPr>
      <w:rFonts w:ascii="Times New Roman" w:eastAsia="MS Gothic" w:hAnsi="Times New Roman" w:cs="Times New Roman"/>
      <w:spacing w:val="5"/>
      <w:sz w:val="52"/>
      <w:szCs w:val="52"/>
    </w:rPr>
  </w:style>
  <w:style w:type="paragraph" w:customStyle="1" w:styleId="OpiHA">
    <w:name w:val="Opi_H_A"/>
    <w:basedOn w:val="ECHRHeading1"/>
    <w:next w:val="OpiPara"/>
    <w:uiPriority w:val="99"/>
    <w:rsid w:val="00F9130D"/>
    <w:pPr>
      <w:tabs>
        <w:tab w:val="clear" w:pos="357"/>
      </w:tabs>
      <w:outlineLvl w:val="1"/>
    </w:pPr>
    <w:rPr>
      <w:b/>
      <w:bCs/>
    </w:rPr>
  </w:style>
  <w:style w:type="character" w:customStyle="1" w:styleId="JUNAMES">
    <w:name w:val="JU_NAMES"/>
    <w:uiPriority w:val="99"/>
    <w:rsid w:val="00F9130D"/>
    <w:rPr>
      <w:smallCaps/>
    </w:rPr>
  </w:style>
  <w:style w:type="character" w:customStyle="1" w:styleId="JuITMark">
    <w:name w:val="Ju_ITMark"/>
    <w:uiPriority w:val="99"/>
    <w:rsid w:val="00F9130D"/>
    <w:rPr>
      <w:color w:val="auto"/>
      <w:sz w:val="14"/>
      <w:szCs w:val="14"/>
      <w:shd w:val="clear" w:color="auto" w:fill="BEE5FF"/>
    </w:rPr>
  </w:style>
  <w:style w:type="paragraph" w:customStyle="1" w:styleId="OpiTranslation">
    <w:name w:val="Opi_Translation"/>
    <w:basedOn w:val="Normalny"/>
    <w:next w:val="OpiPara"/>
    <w:uiPriority w:val="99"/>
    <w:rsid w:val="00F9130D"/>
    <w:pPr>
      <w:jc w:val="center"/>
      <w:outlineLvl w:val="0"/>
    </w:pPr>
    <w:rPr>
      <w:i/>
      <w:iCs/>
    </w:rPr>
  </w:style>
  <w:style w:type="paragraph" w:customStyle="1" w:styleId="JuCourt">
    <w:name w:val="Ju_Court"/>
    <w:basedOn w:val="Normalny"/>
    <w:next w:val="Normalny"/>
    <w:uiPriority w:val="99"/>
    <w:rsid w:val="00F9130D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</w:style>
  <w:style w:type="paragraph" w:customStyle="1" w:styleId="ECHRHeading1">
    <w:name w:val="ECHR_Heading_1"/>
    <w:aliases w:val="Ju_H_I_Roman"/>
    <w:basedOn w:val="Nagwek1"/>
    <w:next w:val="ECHRPara"/>
    <w:uiPriority w:val="99"/>
    <w:rsid w:val="00F9130D"/>
    <w:pPr>
      <w:keepNext/>
      <w:keepLines/>
      <w:tabs>
        <w:tab w:val="left" w:pos="357"/>
      </w:tabs>
      <w:spacing w:before="360" w:after="240"/>
      <w:ind w:left="357" w:hanging="357"/>
    </w:pPr>
    <w:rPr>
      <w:b w:val="0"/>
      <w:bCs w:val="0"/>
      <w:color w:val="auto"/>
      <w:sz w:val="24"/>
      <w:szCs w:val="24"/>
    </w:rPr>
  </w:style>
  <w:style w:type="paragraph" w:customStyle="1" w:styleId="ECHRHeading2">
    <w:name w:val="ECHR_Heading_2"/>
    <w:aliases w:val="Ju_H_A"/>
    <w:basedOn w:val="Nagwek2"/>
    <w:next w:val="ECHRPara"/>
    <w:uiPriority w:val="99"/>
    <w:rsid w:val="00F9130D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  <w:szCs w:val="24"/>
    </w:rPr>
  </w:style>
  <w:style w:type="paragraph" w:customStyle="1" w:styleId="ECHRHeading3">
    <w:name w:val="ECHR_Heading_3"/>
    <w:aliases w:val="Ju_H_1."/>
    <w:basedOn w:val="Nagwek3"/>
    <w:next w:val="ECHRPara"/>
    <w:uiPriority w:val="99"/>
    <w:rsid w:val="00F9130D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bCs w:val="0"/>
      <w:i/>
      <w:iCs/>
      <w:color w:val="auto"/>
    </w:rPr>
  </w:style>
  <w:style w:type="paragraph" w:styleId="Nagwek">
    <w:name w:val="header"/>
    <w:basedOn w:val="Normalny"/>
    <w:link w:val="NagwekZnak"/>
    <w:uiPriority w:val="99"/>
    <w:semiHidden/>
    <w:rsid w:val="00F9130D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NagwekZnak">
    <w:name w:val="Nagłówek Znak"/>
    <w:link w:val="Nagwek"/>
    <w:uiPriority w:val="99"/>
    <w:semiHidden/>
    <w:locked/>
    <w:rsid w:val="00F9130D"/>
    <w:rPr>
      <w:sz w:val="24"/>
      <w:szCs w:val="24"/>
    </w:rPr>
  </w:style>
  <w:style w:type="paragraph" w:customStyle="1" w:styleId="ECHRHeading4">
    <w:name w:val="ECHR_Heading_4"/>
    <w:aliases w:val="Ju_H_a"/>
    <w:basedOn w:val="Nagwek4"/>
    <w:next w:val="ECHRPara"/>
    <w:uiPriority w:val="99"/>
    <w:rsid w:val="00F9130D"/>
    <w:pPr>
      <w:keepNext/>
      <w:keepLines/>
      <w:tabs>
        <w:tab w:val="left" w:pos="975"/>
      </w:tabs>
      <w:spacing w:before="240" w:after="120"/>
      <w:ind w:left="975" w:hanging="340"/>
    </w:pPr>
    <w:rPr>
      <w:i w:val="0"/>
      <w:iCs w:val="0"/>
      <w:color w:val="auto"/>
      <w:sz w:val="20"/>
      <w:szCs w:val="20"/>
    </w:rPr>
  </w:style>
  <w:style w:type="paragraph" w:customStyle="1" w:styleId="ECHRHeading5">
    <w:name w:val="ECHR_Heading_5"/>
    <w:aliases w:val="Ju_H_i"/>
    <w:basedOn w:val="Nagwek5"/>
    <w:next w:val="ECHRPara"/>
    <w:uiPriority w:val="99"/>
    <w:rsid w:val="00F9130D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bCs w:val="0"/>
      <w:i/>
      <w:iCs/>
      <w:color w:val="auto"/>
      <w:sz w:val="20"/>
      <w:szCs w:val="20"/>
    </w:rPr>
  </w:style>
  <w:style w:type="paragraph" w:customStyle="1" w:styleId="ECHRHeading6">
    <w:name w:val="ECHR_Heading_6"/>
    <w:aliases w:val="Ju_H_alpha"/>
    <w:basedOn w:val="Nagwek6"/>
    <w:next w:val="ECHRPara"/>
    <w:uiPriority w:val="99"/>
    <w:rsid w:val="00F9130D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bCs w:val="0"/>
      <w:i w:val="0"/>
      <w:iCs w:val="0"/>
      <w:color w:val="auto"/>
      <w:sz w:val="20"/>
      <w:szCs w:val="20"/>
    </w:rPr>
  </w:style>
  <w:style w:type="paragraph" w:customStyle="1" w:styleId="ECHRHeading7">
    <w:name w:val="ECHR_Heading_7"/>
    <w:aliases w:val="Ju_H_–"/>
    <w:basedOn w:val="Nagwek7"/>
    <w:next w:val="ECHRPara"/>
    <w:uiPriority w:val="99"/>
    <w:rsid w:val="00F9130D"/>
    <w:pPr>
      <w:keepNext/>
      <w:keepLines/>
      <w:spacing w:before="240" w:after="120"/>
      <w:ind w:left="1236"/>
    </w:pPr>
    <w:rPr>
      <w:sz w:val="20"/>
      <w:szCs w:val="20"/>
    </w:rPr>
  </w:style>
  <w:style w:type="paragraph" w:customStyle="1" w:styleId="JuParaLast">
    <w:name w:val="Ju_Para_Last"/>
    <w:basedOn w:val="Normalny"/>
    <w:next w:val="ECHRPara"/>
    <w:uiPriority w:val="99"/>
    <w:rsid w:val="00F9130D"/>
    <w:pPr>
      <w:keepNext/>
      <w:keepLines/>
      <w:spacing w:before="240"/>
      <w:ind w:firstLine="284"/>
    </w:pPr>
  </w:style>
  <w:style w:type="paragraph" w:customStyle="1" w:styleId="DecList">
    <w:name w:val="Dec_List"/>
    <w:basedOn w:val="Normalny"/>
    <w:uiPriority w:val="99"/>
    <w:rsid w:val="00F9130D"/>
    <w:pPr>
      <w:spacing w:before="240"/>
      <w:ind w:left="284"/>
    </w:pPr>
  </w:style>
  <w:style w:type="paragraph" w:customStyle="1" w:styleId="ECHRDecisionBody">
    <w:name w:val="ECHR_Decision_Body"/>
    <w:aliases w:val="Ju_Judges"/>
    <w:basedOn w:val="Normalny"/>
    <w:uiPriority w:val="99"/>
    <w:rsid w:val="00F9130D"/>
    <w:pPr>
      <w:tabs>
        <w:tab w:val="left" w:pos="567"/>
        <w:tab w:val="left" w:pos="1134"/>
      </w:tabs>
      <w:jc w:val="left"/>
    </w:pPr>
  </w:style>
  <w:style w:type="paragraph" w:customStyle="1" w:styleId="JuList">
    <w:name w:val="Ju_List"/>
    <w:basedOn w:val="Normalny"/>
    <w:uiPriority w:val="99"/>
    <w:rsid w:val="00F9130D"/>
    <w:pPr>
      <w:ind w:left="340" w:hanging="340"/>
    </w:pPr>
  </w:style>
  <w:style w:type="paragraph" w:customStyle="1" w:styleId="JuLista">
    <w:name w:val="Ju_List_a"/>
    <w:basedOn w:val="JuList"/>
    <w:uiPriority w:val="99"/>
    <w:rsid w:val="00F9130D"/>
    <w:pPr>
      <w:ind w:left="346" w:firstLine="0"/>
    </w:pPr>
  </w:style>
  <w:style w:type="character" w:styleId="Wyrnieniedelikatne">
    <w:name w:val="Subtle Emphasis"/>
    <w:uiPriority w:val="99"/>
    <w:qFormat/>
    <w:rsid w:val="00F9130D"/>
    <w:rPr>
      <w:i/>
      <w:iCs/>
    </w:rPr>
  </w:style>
  <w:style w:type="paragraph" w:customStyle="1" w:styleId="JuListi">
    <w:name w:val="Ju_List_i"/>
    <w:basedOn w:val="Normalny"/>
    <w:next w:val="JuLista"/>
    <w:uiPriority w:val="99"/>
    <w:rsid w:val="00F9130D"/>
    <w:pPr>
      <w:ind w:left="794"/>
    </w:pPr>
  </w:style>
  <w:style w:type="table" w:customStyle="1" w:styleId="ECHRTable">
    <w:name w:val="ECHR_Table"/>
    <w:uiPriority w:val="99"/>
    <w:rsid w:val="00860B03"/>
    <w:rPr>
      <w:lang w:val="en-GB"/>
    </w:rPr>
    <w:tblPr>
      <w:tblStyleRowBandSize w:val="1"/>
      <w:tblStyleColBandSize w:val="1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ECHRTableBoxHeader">
    <w:name w:val="ECHR_Table_Box_Header"/>
    <w:uiPriority w:val="99"/>
    <w:rsid w:val="004C086C"/>
    <w:rPr>
      <w:rFonts w:ascii="Verdana" w:hAnsi="Verdana" w:cs="Verdana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/>
    </w:tcPr>
  </w:style>
  <w:style w:type="paragraph" w:customStyle="1" w:styleId="OpiH1">
    <w:name w:val="Opi_H_1"/>
    <w:basedOn w:val="ECHRHeading2"/>
    <w:uiPriority w:val="99"/>
    <w:rsid w:val="00F9130D"/>
    <w:pPr>
      <w:ind w:left="635" w:hanging="357"/>
      <w:outlineLvl w:val="2"/>
    </w:pPr>
  </w:style>
  <w:style w:type="paragraph" w:customStyle="1" w:styleId="OpiHa0">
    <w:name w:val="Opi_H_a"/>
    <w:basedOn w:val="ECHRHeading3"/>
    <w:uiPriority w:val="99"/>
    <w:rsid w:val="00F9130D"/>
    <w:pPr>
      <w:ind w:left="833" w:hanging="357"/>
      <w:outlineLvl w:val="3"/>
    </w:pPr>
    <w:rPr>
      <w:b/>
      <w:bCs/>
      <w:i w:val="0"/>
      <w:iCs w:val="0"/>
      <w:sz w:val="20"/>
      <w:szCs w:val="20"/>
    </w:rPr>
  </w:style>
  <w:style w:type="paragraph" w:customStyle="1" w:styleId="ECHRTitleCentre2">
    <w:name w:val="ECHR_Title_Centre_2"/>
    <w:aliases w:val="Dec_H_Case"/>
    <w:basedOn w:val="Normalny"/>
    <w:next w:val="ECHRPara"/>
    <w:uiPriority w:val="99"/>
    <w:rsid w:val="00F9130D"/>
    <w:pPr>
      <w:spacing w:after="240"/>
      <w:jc w:val="center"/>
      <w:outlineLvl w:val="0"/>
    </w:pPr>
  </w:style>
  <w:style w:type="character" w:styleId="Uwydatnienie">
    <w:name w:val="Emphasis"/>
    <w:uiPriority w:val="99"/>
    <w:qFormat/>
    <w:rsid w:val="00F9130D"/>
    <w:rPr>
      <w:b/>
      <w:bCs/>
      <w:i/>
      <w:iCs/>
      <w:spacing w:val="10"/>
      <w:shd w:val="clear" w:color="auto" w:fill="auto"/>
    </w:rPr>
  </w:style>
  <w:style w:type="paragraph" w:styleId="Stopka">
    <w:name w:val="footer"/>
    <w:basedOn w:val="Normalny"/>
    <w:link w:val="StopkaZnak"/>
    <w:uiPriority w:val="99"/>
    <w:semiHidden/>
    <w:rsid w:val="00F9130D"/>
    <w:pPr>
      <w:tabs>
        <w:tab w:val="center" w:pos="4536"/>
        <w:tab w:val="right" w:pos="9696"/>
      </w:tabs>
      <w:ind w:left="-680" w:right="-680"/>
    </w:pPr>
    <w:rPr>
      <w:rFonts w:eastAsia="Times New Roman"/>
    </w:rPr>
  </w:style>
  <w:style w:type="character" w:customStyle="1" w:styleId="StopkaZnak">
    <w:name w:val="Stopka Znak"/>
    <w:link w:val="Stopka"/>
    <w:uiPriority w:val="99"/>
    <w:semiHidden/>
    <w:locked/>
    <w:rsid w:val="00F9130D"/>
    <w:rPr>
      <w:sz w:val="24"/>
      <w:szCs w:val="24"/>
    </w:rPr>
  </w:style>
  <w:style w:type="character" w:styleId="Odwoanieprzypisudolnego">
    <w:name w:val="footnote reference"/>
    <w:uiPriority w:val="99"/>
    <w:semiHidden/>
    <w:rsid w:val="00F9130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9130D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F9130D"/>
    <w:rPr>
      <w:rFonts w:eastAsia="MS Mincho"/>
      <w:sz w:val="20"/>
      <w:szCs w:val="20"/>
    </w:rPr>
  </w:style>
  <w:style w:type="character" w:styleId="Hipercze">
    <w:name w:val="Hyperlink"/>
    <w:uiPriority w:val="99"/>
    <w:semiHidden/>
    <w:rsid w:val="00F9130D"/>
    <w:rPr>
      <w:color w:val="0072BC"/>
      <w:u w:val="single"/>
    </w:rPr>
  </w:style>
  <w:style w:type="character" w:styleId="Wyrnienieintensywne">
    <w:name w:val="Intense Emphasis"/>
    <w:uiPriority w:val="99"/>
    <w:qFormat/>
    <w:rsid w:val="00F9130D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qFormat/>
    <w:rsid w:val="00F9130D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szCs w:val="22"/>
    </w:rPr>
  </w:style>
  <w:style w:type="character" w:customStyle="1" w:styleId="CytatintensywnyZnak">
    <w:name w:val="Cytat intensywny Znak"/>
    <w:link w:val="Cytatintensywny"/>
    <w:uiPriority w:val="99"/>
    <w:semiHidden/>
    <w:locked/>
    <w:rsid w:val="00F9130D"/>
    <w:rPr>
      <w:rFonts w:eastAsia="MS Mincho"/>
      <w:b/>
      <w:bCs/>
      <w:i/>
      <w:iCs/>
    </w:rPr>
  </w:style>
  <w:style w:type="character" w:styleId="Odwoanieintensywne">
    <w:name w:val="Intense Reference"/>
    <w:uiPriority w:val="99"/>
    <w:qFormat/>
    <w:rsid w:val="00F9130D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qFormat/>
    <w:rsid w:val="00F9130D"/>
    <w:pPr>
      <w:ind w:left="720"/>
    </w:pPr>
  </w:style>
  <w:style w:type="table" w:customStyle="1" w:styleId="LtrTableAddress">
    <w:name w:val="Ltr_Table_Address"/>
    <w:uiPriority w:val="99"/>
    <w:rsid w:val="001E6F32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Cytat">
    <w:name w:val="Quote"/>
    <w:basedOn w:val="Normalny"/>
    <w:next w:val="Normalny"/>
    <w:link w:val="CytatZnak"/>
    <w:uiPriority w:val="99"/>
    <w:qFormat/>
    <w:rsid w:val="00F9130D"/>
    <w:pPr>
      <w:spacing w:before="200"/>
      <w:ind w:left="360" w:right="360"/>
    </w:pPr>
    <w:rPr>
      <w:i/>
      <w:iCs/>
      <w:sz w:val="22"/>
      <w:szCs w:val="22"/>
    </w:rPr>
  </w:style>
  <w:style w:type="character" w:customStyle="1" w:styleId="CytatZnak">
    <w:name w:val="Cytat Znak"/>
    <w:link w:val="Cytat"/>
    <w:uiPriority w:val="99"/>
    <w:semiHidden/>
    <w:locked/>
    <w:rsid w:val="00F9130D"/>
    <w:rPr>
      <w:rFonts w:eastAsia="MS Mincho"/>
      <w:i/>
      <w:iCs/>
    </w:rPr>
  </w:style>
  <w:style w:type="character" w:styleId="Odwoaniedelikatne">
    <w:name w:val="Subtle Reference"/>
    <w:uiPriority w:val="99"/>
    <w:qFormat/>
    <w:rsid w:val="00F9130D"/>
    <w:rPr>
      <w:smallCaps/>
    </w:rPr>
  </w:style>
  <w:style w:type="table" w:styleId="Tabela-Siatka">
    <w:name w:val="Table Grid"/>
    <w:basedOn w:val="Standardowy"/>
    <w:uiPriority w:val="99"/>
    <w:semiHidden/>
    <w:rsid w:val="00F9130D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F9130D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bCs/>
      <w:sz w:val="22"/>
      <w:szCs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F9130D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  <w:szCs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F9130D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  <w:szCs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F9130D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  <w:szCs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F9130D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  <w:szCs w:val="20"/>
    </w:rPr>
  </w:style>
  <w:style w:type="paragraph" w:styleId="Nagwekspisutreci">
    <w:name w:val="TOC Heading"/>
    <w:basedOn w:val="Normalny"/>
    <w:next w:val="Normalny"/>
    <w:uiPriority w:val="99"/>
    <w:qFormat/>
    <w:rsid w:val="00F9130D"/>
    <w:pPr>
      <w:keepNext/>
      <w:keepLines/>
      <w:spacing w:before="240"/>
      <w:jc w:val="center"/>
    </w:pPr>
    <w:rPr>
      <w:rFonts w:eastAsia="Times New Roman"/>
      <w:b/>
      <w:bCs/>
      <w:color w:val="474747"/>
      <w:sz w:val="28"/>
      <w:szCs w:val="28"/>
    </w:rPr>
  </w:style>
  <w:style w:type="table" w:customStyle="1" w:styleId="UGTable">
    <w:name w:val="UG_Table"/>
    <w:uiPriority w:val="99"/>
    <w:rsid w:val="00801300"/>
    <w:rPr>
      <w:rFonts w:eastAsia="MS Mincho"/>
      <w:lang w:val="en-GB" w:eastAsia="en-GB"/>
    </w:rPr>
    <w:tblPr>
      <w:tblCellMar>
        <w:top w:w="57" w:type="dxa"/>
        <w:left w:w="0" w:type="dxa"/>
        <w:bottom w:w="0" w:type="dxa"/>
        <w:right w:w="0" w:type="dxa"/>
      </w:tblCellMar>
    </w:tblPr>
  </w:style>
  <w:style w:type="table" w:customStyle="1" w:styleId="UGTableWhiteBox">
    <w:name w:val="UG_Table_White_Box"/>
    <w:uiPriority w:val="99"/>
    <w:rsid w:val="00801300"/>
    <w:rPr>
      <w:rFonts w:eastAsia="MS Mincho"/>
      <w:lang w:val="en-GB" w:eastAsia="en-GB"/>
    </w:rPr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uiPriority w:val="99"/>
    <w:rsid w:val="00810B38"/>
    <w:rPr>
      <w:color w:val="000000"/>
      <w:sz w:val="18"/>
      <w:szCs w:val="18"/>
    </w:rPr>
    <w:tblPr>
      <w:tblBorders>
        <w:top w:val="single" w:sz="8" w:space="0" w:color="9F9F9F"/>
        <w:left w:val="single" w:sz="8" w:space="0" w:color="9F9F9F"/>
        <w:bottom w:val="single" w:sz="8" w:space="0" w:color="9F9F9F"/>
        <w:right w:val="single" w:sz="8" w:space="0" w:color="9F9F9F"/>
        <w:insideH w:val="single" w:sz="8" w:space="0" w:color="9F9F9F"/>
        <w:insideV w:val="single" w:sz="8" w:space="0" w:color="9F9F9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ECHRTableFax">
    <w:name w:val="ECHR_Table_Fax"/>
    <w:uiPriority w:val="99"/>
    <w:rsid w:val="00893576"/>
    <w:rPr>
      <w:color w:val="000000"/>
    </w:rPr>
    <w:tblPr>
      <w:tblBorders>
        <w:insideH w:val="single" w:sz="4" w:space="0" w:color="C6C6C6"/>
        <w:insideV w:val="single" w:sz="4" w:space="0" w:color="C6C6C6"/>
      </w:tblBorders>
      <w:tblCellMar>
        <w:top w:w="142" w:type="dxa"/>
        <w:left w:w="108" w:type="dxa"/>
        <w:bottom w:w="142" w:type="dxa"/>
        <w:right w:w="108" w:type="dxa"/>
      </w:tblCellMar>
    </w:tblPr>
    <w:trPr>
      <w:cantSplit/>
    </w:trPr>
  </w:style>
  <w:style w:type="table" w:customStyle="1" w:styleId="ECHRTableMemo">
    <w:name w:val="ECHR_Table_Memo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</w:style>
  <w:style w:type="table" w:customStyle="1" w:styleId="ECHRDNTable">
    <w:name w:val="ECHR_DN_Table"/>
    <w:aliases w:val="DN_Table"/>
    <w:uiPriority w:val="99"/>
    <w:rsid w:val="0090506B"/>
    <w:tblPr>
      <w:jc w:val="center"/>
      <w:tblBorders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57" w:type="dxa"/>
        <w:left w:w="108" w:type="dxa"/>
        <w:bottom w:w="57" w:type="dxa"/>
        <w:right w:w="108" w:type="dxa"/>
      </w:tblCellMar>
    </w:tblPr>
    <w:trPr>
      <w:jc w:val="center"/>
    </w:trPr>
  </w:style>
  <w:style w:type="paragraph" w:styleId="Nagwekwykazurde">
    <w:name w:val="toa heading"/>
    <w:basedOn w:val="Normalny"/>
    <w:next w:val="Normalny"/>
    <w:uiPriority w:val="99"/>
    <w:semiHidden/>
    <w:rsid w:val="00F9130D"/>
    <w:pPr>
      <w:keepNext/>
      <w:keepLines/>
      <w:spacing w:before="240"/>
      <w:jc w:val="center"/>
    </w:pPr>
    <w:rPr>
      <w:rFonts w:eastAsia="MS Gothic"/>
      <w:b/>
      <w:bCs/>
      <w:color w:val="474747"/>
      <w:sz w:val="28"/>
      <w:szCs w:val="28"/>
    </w:rPr>
  </w:style>
  <w:style w:type="paragraph" w:customStyle="1" w:styleId="OpiHi">
    <w:name w:val="Opi_H_i"/>
    <w:basedOn w:val="ECHRHeading4"/>
    <w:uiPriority w:val="99"/>
    <w:rsid w:val="00F9130D"/>
    <w:pPr>
      <w:ind w:left="1037" w:hanging="357"/>
      <w:outlineLvl w:val="4"/>
    </w:pPr>
    <w:rPr>
      <w:b w:val="0"/>
      <w:bCs w:val="0"/>
      <w:i/>
      <w:iCs/>
    </w:rPr>
  </w:style>
  <w:style w:type="paragraph" w:customStyle="1" w:styleId="DummyStyle">
    <w:name w:val="Dummy_Style"/>
    <w:basedOn w:val="Normalny"/>
    <w:uiPriority w:val="99"/>
    <w:semiHidden/>
    <w:rsid w:val="00F9130D"/>
    <w:rPr>
      <w:color w:val="00B050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F9130D"/>
    <w:pPr>
      <w:spacing w:after="600"/>
    </w:pPr>
    <w:rPr>
      <w:rFonts w:eastAsia="MS Gothic"/>
      <w:i/>
      <w:iCs/>
      <w:spacing w:val="13"/>
    </w:rPr>
  </w:style>
  <w:style w:type="character" w:customStyle="1" w:styleId="PodtytuZnak">
    <w:name w:val="Podtytuł Znak"/>
    <w:link w:val="Podtytu"/>
    <w:uiPriority w:val="99"/>
    <w:semiHidden/>
    <w:locked/>
    <w:rsid w:val="00F9130D"/>
    <w:rPr>
      <w:rFonts w:ascii="Times New Roman" w:eastAsia="MS Gothic" w:hAnsi="Times New Roman" w:cs="Times New Roman"/>
      <w:i/>
      <w:iCs/>
      <w:spacing w:val="13"/>
      <w:sz w:val="24"/>
      <w:szCs w:val="24"/>
    </w:rPr>
  </w:style>
  <w:style w:type="paragraph" w:customStyle="1" w:styleId="ECHRPara">
    <w:name w:val="ECHR_Para"/>
    <w:aliases w:val="Ju_Para,Para,Left,First line:  0 cm"/>
    <w:basedOn w:val="Normalny"/>
    <w:link w:val="ECHRParaChar"/>
    <w:uiPriority w:val="99"/>
    <w:rsid w:val="00F9130D"/>
    <w:pPr>
      <w:ind w:firstLine="284"/>
    </w:pPr>
    <w:rPr>
      <w:lang w:val="pl-PL" w:eastAsia="pl-PL"/>
    </w:rPr>
  </w:style>
  <w:style w:type="table" w:customStyle="1" w:styleId="ECHRTableSimpleBox">
    <w:name w:val="ECHR_Table_Simple_Box"/>
    <w:uiPriority w:val="99"/>
    <w:rsid w:val="00AE354C"/>
    <w:tblPr>
      <w:tblBorders>
        <w:top w:val="single" w:sz="4" w:space="0" w:color="9F9F9F"/>
        <w:left w:val="single" w:sz="4" w:space="0" w:color="9F9F9F"/>
        <w:bottom w:val="single" w:sz="4" w:space="0" w:color="9F9F9F"/>
        <w:right w:val="single" w:sz="4" w:space="0" w:color="9F9F9F"/>
      </w:tblBorders>
      <w:tblCellMar>
        <w:top w:w="113" w:type="dxa"/>
        <w:left w:w="108" w:type="dxa"/>
        <w:bottom w:w="113" w:type="dxa"/>
        <w:right w:w="108" w:type="dxa"/>
      </w:tblCellMar>
    </w:tblPr>
  </w:style>
  <w:style w:type="table" w:customStyle="1" w:styleId="ECHRTableNoLines">
    <w:name w:val="ECHR_Table_No_Lines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</w:style>
  <w:style w:type="table" w:customStyle="1" w:styleId="ECHRTableForInternalUse">
    <w:name w:val="ECHR_Table_For_Internal_Use"/>
    <w:uiPriority w:val="99"/>
    <w:rsid w:val="005474E7"/>
    <w:rPr>
      <w:color w:val="636363"/>
      <w:sz w:val="18"/>
      <w:szCs w:val="18"/>
    </w:rPr>
    <w:tblPr>
      <w:tblStyleColBandSize w:val="1"/>
      <w:jc w:val="right"/>
      <w:tblCellMar>
        <w:top w:w="113" w:type="dxa"/>
        <w:left w:w="108" w:type="dxa"/>
        <w:bottom w:w="28" w:type="dxa"/>
        <w:right w:w="108" w:type="dxa"/>
      </w:tblCellMar>
    </w:tblPr>
    <w:trPr>
      <w:jc w:val="right"/>
    </w:trPr>
  </w:style>
  <w:style w:type="table" w:customStyle="1" w:styleId="ECHRListTable">
    <w:name w:val="ECHR_List_Table"/>
    <w:uiPriority w:val="99"/>
    <w:rsid w:val="00F9130D"/>
    <w:tblPr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ECHRHeaderTable">
    <w:name w:val="ECHR_Header_Table"/>
    <w:uiPriority w:val="99"/>
    <w:rsid w:val="00661971"/>
    <w:tblPr>
      <w:tblBorders>
        <w:bottom w:val="single" w:sz="6" w:space="0" w:color="949494"/>
      </w:tblBorders>
      <w:tblCellMar>
        <w:top w:w="0" w:type="dxa"/>
        <w:left w:w="0" w:type="dxa"/>
        <w:bottom w:w="28" w:type="dxa"/>
        <w:right w:w="0" w:type="dxa"/>
      </w:tblCellMar>
    </w:tblPr>
  </w:style>
  <w:style w:type="paragraph" w:styleId="Bibliografia">
    <w:name w:val="Bibliography"/>
    <w:basedOn w:val="Normalny"/>
    <w:next w:val="Normalny"/>
    <w:uiPriority w:val="99"/>
    <w:semiHidden/>
    <w:rsid w:val="006544C4"/>
  </w:style>
  <w:style w:type="paragraph" w:styleId="Tekstblokowy">
    <w:name w:val="Block Text"/>
    <w:basedOn w:val="Normalny"/>
    <w:uiPriority w:val="99"/>
    <w:semiHidden/>
    <w:rsid w:val="006544C4"/>
    <w:pPr>
      <w:pBdr>
        <w:top w:val="single" w:sz="2" w:space="10" w:color="0072BC" w:shadow="1"/>
        <w:left w:val="single" w:sz="2" w:space="10" w:color="0072BC" w:shadow="1"/>
        <w:bottom w:val="single" w:sz="2" w:space="10" w:color="0072BC" w:shadow="1"/>
        <w:right w:val="single" w:sz="2" w:space="10" w:color="0072BC" w:shadow="1"/>
      </w:pBdr>
      <w:ind w:left="1152" w:right="1152"/>
    </w:pPr>
    <w:rPr>
      <w:i/>
      <w:iCs/>
      <w:color w:val="0072BC"/>
    </w:rPr>
  </w:style>
  <w:style w:type="table" w:customStyle="1" w:styleId="ECHRTableOddBanded">
    <w:name w:val="ECHR_Table_Odd_Banded"/>
    <w:uiPriority w:val="99"/>
    <w:rsid w:val="00860B03"/>
    <w:tblPr>
      <w:tblStyleRowBandSize w:val="1"/>
      <w:tblStyleColBandSize w:val="1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left w:w="108" w:type="dxa"/>
        <w:bottom w:w="28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iPriority w:val="99"/>
    <w:semiHidden/>
    <w:rsid w:val="006544C4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6544C4"/>
    <w:rPr>
      <w:rFonts w:eastAsia="MS Mincho"/>
      <w:sz w:val="24"/>
      <w:szCs w:val="24"/>
    </w:rPr>
  </w:style>
  <w:style w:type="table" w:customStyle="1" w:styleId="ECHRHeaderTableReduced">
    <w:name w:val="ECHR_Header_Table_Reduced"/>
    <w:uiPriority w:val="99"/>
    <w:rsid w:val="00B52BE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Numerstrony">
    <w:name w:val="page number"/>
    <w:uiPriority w:val="99"/>
    <w:semiHidden/>
    <w:rsid w:val="006544C4"/>
    <w:rPr>
      <w:rFonts w:ascii="Times New Roman" w:hAnsi="Times New Roman" w:cs="Times New Roman"/>
      <w:sz w:val="18"/>
      <w:szCs w:val="18"/>
    </w:rPr>
  </w:style>
  <w:style w:type="character" w:styleId="Odwoaniedokomentarza">
    <w:name w:val="annotation reference"/>
    <w:uiPriority w:val="99"/>
    <w:semiHidden/>
    <w:rsid w:val="006544C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544C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6544C4"/>
    <w:rPr>
      <w:rFonts w:eastAsia="MS Mincho"/>
      <w:sz w:val="20"/>
      <w:szCs w:val="20"/>
    </w:rPr>
  </w:style>
  <w:style w:type="paragraph" w:customStyle="1" w:styleId="JuSigned">
    <w:name w:val="Ju_Signed"/>
    <w:basedOn w:val="Normalny"/>
    <w:next w:val="JuParaLast"/>
    <w:uiPriority w:val="99"/>
    <w:rsid w:val="00F9130D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Title">
    <w:name w:val="Ju_Title"/>
    <w:basedOn w:val="Normalny"/>
    <w:next w:val="ECHRPara"/>
    <w:uiPriority w:val="99"/>
    <w:rsid w:val="00F9130D"/>
    <w:pPr>
      <w:spacing w:before="720" w:after="240"/>
      <w:jc w:val="center"/>
      <w:outlineLvl w:val="0"/>
    </w:pPr>
    <w:rPr>
      <w:b/>
      <w:bCs/>
      <w:caps/>
    </w:rPr>
  </w:style>
  <w:style w:type="paragraph" w:customStyle="1" w:styleId="DecHTitle">
    <w:name w:val="Dec_H_Title"/>
    <w:basedOn w:val="ECHRTitleCentre1"/>
    <w:uiPriority w:val="99"/>
    <w:rsid w:val="00F9130D"/>
  </w:style>
  <w:style w:type="paragraph" w:styleId="Listapunktowana2">
    <w:name w:val="List Bullet 2"/>
    <w:basedOn w:val="Normalny"/>
    <w:uiPriority w:val="99"/>
    <w:semiHidden/>
    <w:rsid w:val="006544C4"/>
    <w:pPr>
      <w:numPr>
        <w:numId w:val="8"/>
      </w:numPr>
      <w:tabs>
        <w:tab w:val="clear" w:pos="926"/>
        <w:tab w:val="num" w:pos="643"/>
      </w:tabs>
      <w:ind w:left="643"/>
    </w:pPr>
  </w:style>
  <w:style w:type="paragraph" w:styleId="Listapunktowana3">
    <w:name w:val="List Bullet 3"/>
    <w:basedOn w:val="Normalny"/>
    <w:uiPriority w:val="99"/>
    <w:semiHidden/>
    <w:rsid w:val="006544C4"/>
    <w:pPr>
      <w:numPr>
        <w:numId w:val="9"/>
      </w:numPr>
      <w:tabs>
        <w:tab w:val="clear" w:pos="1209"/>
        <w:tab w:val="num" w:pos="926"/>
      </w:tabs>
      <w:ind w:left="926"/>
    </w:pPr>
  </w:style>
  <w:style w:type="paragraph" w:styleId="Tekstpodstawowy2">
    <w:name w:val="Body Text 2"/>
    <w:basedOn w:val="Normalny"/>
    <w:link w:val="Tekstpodstawowy2Znak"/>
    <w:uiPriority w:val="99"/>
    <w:semiHidden/>
    <w:rsid w:val="006544C4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locked/>
    <w:rsid w:val="006544C4"/>
    <w:rPr>
      <w:rFonts w:eastAsia="MS Minch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544C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6544C4"/>
    <w:rPr>
      <w:rFonts w:eastAsia="MS Mincho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6544C4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locked/>
    <w:rsid w:val="006544C4"/>
    <w:rPr>
      <w:rFonts w:eastAsia="MS Minch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6544C4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6544C4"/>
    <w:rPr>
      <w:rFonts w:eastAsia="MS Mincho"/>
      <w:sz w:val="24"/>
      <w:szCs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6544C4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locked/>
    <w:rsid w:val="006544C4"/>
    <w:rPr>
      <w:rFonts w:eastAsia="MS Mincho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6544C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6544C4"/>
    <w:rPr>
      <w:rFonts w:eastAsia="MS Mincho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6544C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6544C4"/>
    <w:rPr>
      <w:rFonts w:eastAsia="MS Mincho"/>
      <w:sz w:val="16"/>
      <w:szCs w:val="16"/>
    </w:rPr>
  </w:style>
  <w:style w:type="paragraph" w:styleId="Legenda">
    <w:name w:val="caption"/>
    <w:basedOn w:val="Normalny"/>
    <w:next w:val="Normalny"/>
    <w:uiPriority w:val="99"/>
    <w:qFormat/>
    <w:rsid w:val="006544C4"/>
    <w:pPr>
      <w:spacing w:after="200"/>
    </w:pPr>
    <w:rPr>
      <w:b/>
      <w:bCs/>
      <w:color w:val="0072BC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6544C4"/>
    <w:pPr>
      <w:ind w:left="4252"/>
    </w:pPr>
  </w:style>
  <w:style w:type="character" w:customStyle="1" w:styleId="ZwrotpoegnalnyZnak">
    <w:name w:val="Zwrot pożegnalny Znak"/>
    <w:link w:val="Zwrotpoegnalny"/>
    <w:uiPriority w:val="99"/>
    <w:semiHidden/>
    <w:locked/>
    <w:rsid w:val="006544C4"/>
    <w:rPr>
      <w:rFonts w:eastAsia="MS Mincho"/>
      <w:sz w:val="24"/>
      <w:szCs w:val="24"/>
    </w:rPr>
  </w:style>
  <w:style w:type="table" w:styleId="Kolorowasiatka">
    <w:name w:val="Colorful Grid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0072BC"/>
      </w:rPr>
      <w:tblPr/>
      <w:tcPr>
        <w:shd w:val="clear" w:color="auto" w:fill="000000"/>
      </w:tcPr>
    </w:tblStylePr>
    <w:tblStylePr w:type="lastCol">
      <w:rPr>
        <w:color w:val="0072BC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Kolorowasiatkaakcent1">
    <w:name w:val="Colorful Grid Accent 1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BEE5FF"/>
    </w:tcPr>
    <w:tblStylePr w:type="firstRow">
      <w:rPr>
        <w:b/>
        <w:bCs/>
      </w:rPr>
      <w:tblPr/>
      <w:tcPr>
        <w:shd w:val="clear" w:color="auto" w:fill="7ECBFF"/>
      </w:tcPr>
    </w:tblStylePr>
    <w:tblStylePr w:type="lastRow">
      <w:rPr>
        <w:b/>
        <w:bCs/>
        <w:color w:val="000000"/>
      </w:rPr>
      <w:tblPr/>
      <w:tcPr>
        <w:shd w:val="clear" w:color="auto" w:fill="7ECBFF"/>
      </w:tcPr>
    </w:tblStylePr>
    <w:tblStylePr w:type="firstCol">
      <w:rPr>
        <w:color w:val="0072BC"/>
      </w:rPr>
      <w:tblPr/>
      <w:tcPr>
        <w:shd w:val="clear" w:color="auto" w:fill="00548C"/>
      </w:tcPr>
    </w:tblStylePr>
    <w:tblStylePr w:type="lastCol">
      <w:rPr>
        <w:color w:val="0072BC"/>
      </w:rPr>
      <w:tblPr/>
      <w:tcPr>
        <w:shd w:val="clear" w:color="auto" w:fill="00548C"/>
      </w:tcPr>
    </w:tblStylePr>
    <w:tblStylePr w:type="band1Vert">
      <w:tblPr/>
      <w:tcPr>
        <w:shd w:val="clear" w:color="auto" w:fill="5EBFFF"/>
      </w:tcPr>
    </w:tblStylePr>
    <w:tblStylePr w:type="band1Horz">
      <w:tblPr/>
      <w:tcPr>
        <w:shd w:val="clear" w:color="auto" w:fill="5EBFFF"/>
      </w:tcPr>
    </w:tblStylePr>
  </w:style>
  <w:style w:type="table" w:styleId="Kolorowasiatkaakcent2">
    <w:name w:val="Colorful Grid Accent 2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FFBFBF"/>
    </w:tcPr>
    <w:tblStylePr w:type="firstRow">
      <w:rPr>
        <w:b/>
        <w:bCs/>
      </w:rPr>
      <w:tblPr/>
      <w:tcPr>
        <w:shd w:val="clear" w:color="auto" w:fill="FF7F7F"/>
      </w:tcPr>
    </w:tblStylePr>
    <w:tblStylePr w:type="lastRow">
      <w:rPr>
        <w:b/>
        <w:bCs/>
        <w:color w:val="000000"/>
      </w:rPr>
      <w:tblPr/>
      <w:tcPr>
        <w:shd w:val="clear" w:color="auto" w:fill="FF7F7F"/>
      </w:tcPr>
    </w:tblStylePr>
    <w:tblStylePr w:type="firstCol">
      <w:rPr>
        <w:color w:val="0072BC"/>
      </w:rPr>
      <w:tblPr/>
      <w:tcPr>
        <w:shd w:val="clear" w:color="auto" w:fill="8F0000"/>
      </w:tcPr>
    </w:tblStylePr>
    <w:tblStylePr w:type="lastCol">
      <w:rPr>
        <w:color w:val="0072BC"/>
      </w:rPr>
      <w:tblPr/>
      <w:tcPr>
        <w:shd w:val="clear" w:color="auto" w:fill="8F0000"/>
      </w:tcPr>
    </w:tblStylePr>
    <w:tblStylePr w:type="band1Vert">
      <w:tblPr/>
      <w:tcPr>
        <w:shd w:val="clear" w:color="auto" w:fill="FF6060"/>
      </w:tcPr>
    </w:tblStylePr>
    <w:tblStylePr w:type="band1Horz">
      <w:tblPr/>
      <w:tcPr>
        <w:shd w:val="clear" w:color="auto" w:fill="FF6060"/>
      </w:tcPr>
    </w:tblStylePr>
  </w:style>
  <w:style w:type="table" w:styleId="Kolorowasiatkaakcent3">
    <w:name w:val="Colorful Grid Accent 3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FDFDF"/>
    </w:tcPr>
    <w:tblStylePr w:type="firstRow">
      <w:rPr>
        <w:b/>
        <w:bCs/>
      </w:rPr>
      <w:tblPr/>
      <w:tcPr>
        <w:shd w:val="clear" w:color="auto" w:fill="BFBFBF"/>
      </w:tcPr>
    </w:tblStylePr>
    <w:tblStylePr w:type="lastRow">
      <w:rPr>
        <w:b/>
        <w:bCs/>
        <w:color w:val="000000"/>
      </w:rPr>
      <w:tblPr/>
      <w:tcPr>
        <w:shd w:val="clear" w:color="auto" w:fill="BFBFBF"/>
      </w:tcPr>
    </w:tblStylePr>
    <w:tblStylePr w:type="firstCol">
      <w:rPr>
        <w:color w:val="0072BC"/>
      </w:rPr>
      <w:tblPr/>
      <w:tcPr>
        <w:shd w:val="clear" w:color="auto" w:fill="474747"/>
      </w:tcPr>
    </w:tblStylePr>
    <w:tblStylePr w:type="lastCol">
      <w:rPr>
        <w:color w:val="0072BC"/>
      </w:rPr>
      <w:tblPr/>
      <w:tcPr>
        <w:shd w:val="clear" w:color="auto" w:fill="474747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Kolorowasiatkaakcent4">
    <w:name w:val="Colorful Grid Accent 4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EAEAEA"/>
    </w:tcPr>
    <w:tblStylePr w:type="firstRow">
      <w:rPr>
        <w:b/>
        <w:bCs/>
      </w:rPr>
      <w:tblPr/>
      <w:tcPr>
        <w:shd w:val="clear" w:color="auto" w:fill="D5D5D5"/>
      </w:tcPr>
    </w:tblStylePr>
    <w:tblStylePr w:type="lastRow">
      <w:rPr>
        <w:b/>
        <w:bCs/>
        <w:color w:val="000000"/>
      </w:rPr>
      <w:tblPr/>
      <w:tcPr>
        <w:shd w:val="clear" w:color="auto" w:fill="D5D5D5"/>
      </w:tcPr>
    </w:tblStylePr>
    <w:tblStylePr w:type="firstCol">
      <w:rPr>
        <w:color w:val="0072BC"/>
      </w:rPr>
      <w:tblPr/>
      <w:tcPr>
        <w:shd w:val="clear" w:color="auto" w:fill="707070"/>
      </w:tcPr>
    </w:tblStylePr>
    <w:tblStylePr w:type="lastCol">
      <w:rPr>
        <w:color w:val="0072BC"/>
      </w:rPr>
      <w:tblPr/>
      <w:tcPr>
        <w:shd w:val="clear" w:color="auto" w:fill="707070"/>
      </w:tcPr>
    </w:tblStylePr>
    <w:tblStylePr w:type="band1Vert">
      <w:tblPr/>
      <w:tcPr>
        <w:shd w:val="clear" w:color="auto" w:fill="CACACA"/>
      </w:tcPr>
    </w:tblStylePr>
    <w:tblStylePr w:type="band1Horz">
      <w:tblPr/>
      <w:tcPr>
        <w:shd w:val="clear" w:color="auto" w:fill="CACACA"/>
      </w:tcPr>
    </w:tblStylePr>
  </w:style>
  <w:style w:type="table" w:styleId="Kolorowasiatkaakcent5">
    <w:name w:val="Colorful Grid Accent 5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FDFDF"/>
    </w:tcPr>
    <w:tblStylePr w:type="firstRow">
      <w:rPr>
        <w:b/>
        <w:bCs/>
      </w:rPr>
      <w:tblPr/>
      <w:tcPr>
        <w:shd w:val="clear" w:color="auto" w:fill="BFBFBF"/>
      </w:tcPr>
    </w:tblStylePr>
    <w:tblStylePr w:type="lastRow">
      <w:rPr>
        <w:b/>
        <w:bCs/>
        <w:color w:val="000000"/>
      </w:rPr>
      <w:tblPr/>
      <w:tcPr>
        <w:shd w:val="clear" w:color="auto" w:fill="BFBFBF"/>
      </w:tcPr>
    </w:tblStylePr>
    <w:tblStylePr w:type="firstCol">
      <w:rPr>
        <w:color w:val="0072BC"/>
      </w:rPr>
      <w:tblPr/>
      <w:tcPr>
        <w:shd w:val="clear" w:color="auto" w:fill="474747"/>
      </w:tcPr>
    </w:tblStylePr>
    <w:tblStylePr w:type="lastCol">
      <w:rPr>
        <w:color w:val="0072BC"/>
      </w:rPr>
      <w:tblPr/>
      <w:tcPr>
        <w:shd w:val="clear" w:color="auto" w:fill="474747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Kolorowasiatkaakcent6">
    <w:name w:val="Colorful Grid Accent 6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BDBDB"/>
    </w:tcPr>
    <w:tblStylePr w:type="firstRow">
      <w:rPr>
        <w:b/>
        <w:bCs/>
      </w:rPr>
      <w:tblPr/>
      <w:tcPr>
        <w:shd w:val="clear" w:color="auto" w:fill="B7B7B7"/>
      </w:tcPr>
    </w:tblStylePr>
    <w:tblStylePr w:type="lastRow">
      <w:rPr>
        <w:b/>
        <w:bCs/>
        <w:color w:val="000000"/>
      </w:rPr>
      <w:tblPr/>
      <w:tcPr>
        <w:shd w:val="clear" w:color="auto" w:fill="B7B7B7"/>
      </w:tcPr>
    </w:tblStylePr>
    <w:tblStylePr w:type="firstCol">
      <w:rPr>
        <w:color w:val="0072BC"/>
      </w:rPr>
      <w:tblPr/>
      <w:tcPr>
        <w:shd w:val="clear" w:color="auto" w:fill="393939"/>
      </w:tcPr>
    </w:tblStylePr>
    <w:tblStylePr w:type="lastCol">
      <w:rPr>
        <w:color w:val="0072BC"/>
      </w:rPr>
      <w:tblPr/>
      <w:tcPr>
        <w:shd w:val="clear" w:color="auto" w:fill="393939"/>
      </w:tcPr>
    </w:tblStylePr>
    <w:tblStylePr w:type="band1Vert">
      <w:tblPr/>
      <w:tcPr>
        <w:shd w:val="clear" w:color="auto" w:fill="A6A6A6"/>
      </w:tcPr>
    </w:tblStylePr>
    <w:tblStylePr w:type="band1Horz">
      <w:tblPr/>
      <w:tcPr>
        <w:shd w:val="clear" w:color="auto" w:fill="A6A6A6"/>
      </w:tcPr>
    </w:tblStylePr>
  </w:style>
  <w:style w:type="table" w:styleId="Kolorowalista">
    <w:name w:val="Colorful List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Kolorowalistaakcent1">
    <w:name w:val="Colorful List Accent 1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</w:tblPr>
    <w:tcPr>
      <w:shd w:val="clear" w:color="auto" w:fill="DFF2F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shd w:val="clear" w:color="auto" w:fill="BEE5FF"/>
      </w:tcPr>
    </w:tblStylePr>
  </w:style>
  <w:style w:type="table" w:styleId="Kolorowalistaakcent2">
    <w:name w:val="Colorful List Accent 2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</w:tblPr>
    <w:tcPr>
      <w:shd w:val="clear" w:color="auto" w:fill="FFDFD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shd w:val="clear" w:color="auto" w:fill="FFBFBF"/>
      </w:tcPr>
    </w:tblStylePr>
  </w:style>
  <w:style w:type="table" w:styleId="Kolorowalistaakcent3">
    <w:name w:val="Colorful List Accent 3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</w:tblPr>
    <w:tcPr>
      <w:shd w:val="clear" w:color="auto" w:fill="EFEFE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787878"/>
      </w:tcPr>
    </w:tblStylePr>
    <w:tblStylePr w:type="lastRow">
      <w:rPr>
        <w:b/>
        <w:bCs/>
        <w:color w:val="787878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FDFDF"/>
      </w:tcPr>
    </w:tblStylePr>
  </w:style>
  <w:style w:type="table" w:styleId="Kolorowalistaakcent4">
    <w:name w:val="Colorful List Accent 4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</w:tblPr>
    <w:tcPr>
      <w:shd w:val="clear" w:color="auto" w:fill="F4F4F4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4C4C4C"/>
      </w:tcPr>
    </w:tblStylePr>
    <w:tblStylePr w:type="lastRow">
      <w:rPr>
        <w:b/>
        <w:bCs/>
        <w:color w:val="4C4C4C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shd w:val="clear" w:color="auto" w:fill="EAEAEA"/>
      </w:tcPr>
    </w:tblStylePr>
  </w:style>
  <w:style w:type="table" w:styleId="Kolorowalistaakcent5">
    <w:name w:val="Colorful List Accent 5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</w:tblPr>
    <w:tcPr>
      <w:shd w:val="clear" w:color="auto" w:fill="EFEFE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3D3D3D"/>
      </w:tcPr>
    </w:tblStylePr>
    <w:tblStylePr w:type="lastRow">
      <w:rPr>
        <w:b/>
        <w:bCs/>
        <w:color w:val="3D3D3D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FDFDF"/>
      </w:tcPr>
    </w:tblStylePr>
  </w:style>
  <w:style w:type="table" w:styleId="Kolorowalistaakcent6">
    <w:name w:val="Colorful List Accent 6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</w:tblPr>
    <w:tcPr>
      <w:shd w:val="clear" w:color="auto" w:fill="EDEDED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4C4C4C"/>
      </w:tcPr>
    </w:tblStylePr>
    <w:tblStylePr w:type="lastRow">
      <w:rPr>
        <w:b/>
        <w:bCs/>
        <w:color w:val="4C4C4C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shd w:val="clear" w:color="auto" w:fill="DBDBDB"/>
      </w:tcPr>
    </w:tblStylePr>
  </w:style>
  <w:style w:type="table" w:styleId="Kolorowecieniowanie">
    <w:name w:val="Colorful Shading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  <w:tblBorders>
        <w:top w:val="single" w:sz="24" w:space="0" w:color="C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72BC"/>
        <w:insideV w:val="single" w:sz="4" w:space="0" w:color="0072BC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00000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1">
    <w:name w:val="Colorful Shading Accent 1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  <w:tblBorders>
        <w:top w:val="single" w:sz="24" w:space="0" w:color="C00000"/>
        <w:left w:val="single" w:sz="4" w:space="0" w:color="0072BC"/>
        <w:bottom w:val="single" w:sz="4" w:space="0" w:color="0072BC"/>
        <w:right w:val="single" w:sz="4" w:space="0" w:color="0072BC"/>
        <w:insideH w:val="single" w:sz="4" w:space="0" w:color="0072BC"/>
        <w:insideV w:val="single" w:sz="4" w:space="0" w:color="0072BC"/>
      </w:tblBorders>
    </w:tblPr>
    <w:tcPr>
      <w:shd w:val="clear" w:color="auto" w:fill="DFF2F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00447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004470"/>
          <w:insideV w:val="nil"/>
        </w:tcBorders>
        <w:shd w:val="clear" w:color="auto" w:fill="00447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/>
      </w:tcPr>
    </w:tblStylePr>
    <w:tblStylePr w:type="band1Vert">
      <w:tblPr/>
      <w:tcPr>
        <w:shd w:val="clear" w:color="auto" w:fill="7ECBFF"/>
      </w:tcPr>
    </w:tblStylePr>
    <w:tblStylePr w:type="band1Horz">
      <w:tblPr/>
      <w:tcPr>
        <w:shd w:val="clear" w:color="auto" w:fill="5EBFF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2">
    <w:name w:val="Colorful Shading Accent 2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  <w:tblBorders>
        <w:top w:val="single" w:sz="24" w:space="0" w:color="C00000"/>
        <w:left w:val="single" w:sz="4" w:space="0" w:color="C00000"/>
        <w:bottom w:val="single" w:sz="4" w:space="0" w:color="C00000"/>
        <w:right w:val="single" w:sz="4" w:space="0" w:color="C00000"/>
        <w:insideH w:val="single" w:sz="4" w:space="0" w:color="0072BC"/>
        <w:insideV w:val="single" w:sz="4" w:space="0" w:color="0072BC"/>
      </w:tblBorders>
    </w:tblPr>
    <w:tcPr>
      <w:shd w:val="clear" w:color="auto" w:fill="FFDFD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73000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730000"/>
          <w:insideV w:val="nil"/>
        </w:tcBorders>
        <w:shd w:val="clear" w:color="auto" w:fill="73000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/>
      </w:tcPr>
    </w:tblStylePr>
    <w:tblStylePr w:type="band1Vert">
      <w:tblPr/>
      <w:tcPr>
        <w:shd w:val="clear" w:color="auto" w:fill="FF7F7F"/>
      </w:tcPr>
    </w:tblStylePr>
    <w:tblStylePr w:type="band1Horz">
      <w:tblPr/>
      <w:tcPr>
        <w:shd w:val="clear" w:color="auto" w:fill="FF606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3">
    <w:name w:val="Colorful Shading Accent 3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  <w:tblBorders>
        <w:top w:val="single" w:sz="24" w:space="0" w:color="969696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</w:tblPr>
    <w:tcPr>
      <w:shd w:val="clear" w:color="auto" w:fill="EFEFE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393939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393939"/>
          <w:insideV w:val="nil"/>
        </w:tcBorders>
        <w:shd w:val="clear" w:color="auto" w:fill="393939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AFAFAF"/>
      </w:tcPr>
    </w:tblStylePr>
  </w:style>
  <w:style w:type="table" w:styleId="Kolorowecieniowanieakcent4">
    <w:name w:val="Colorful Shading Accent 4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  <w:tblBorders>
        <w:top w:val="single" w:sz="24" w:space="0" w:color="5F5F5F"/>
        <w:left w:val="single" w:sz="4" w:space="0" w:color="969696"/>
        <w:bottom w:val="single" w:sz="4" w:space="0" w:color="969696"/>
        <w:right w:val="single" w:sz="4" w:space="0" w:color="969696"/>
        <w:insideH w:val="single" w:sz="4" w:space="0" w:color="0072BC"/>
        <w:insideV w:val="single" w:sz="4" w:space="0" w:color="0072BC"/>
      </w:tblBorders>
    </w:tblPr>
    <w:tcPr>
      <w:shd w:val="clear" w:color="auto" w:fill="F4F4F4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5A5A5A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5A5A5A"/>
          <w:insideV w:val="nil"/>
        </w:tcBorders>
        <w:shd w:val="clear" w:color="auto" w:fill="5A5A5A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/>
      </w:tcPr>
    </w:tblStylePr>
    <w:tblStylePr w:type="band1Vert">
      <w:tblPr/>
      <w:tcPr>
        <w:shd w:val="clear" w:color="auto" w:fill="D5D5D5"/>
      </w:tcPr>
    </w:tblStylePr>
    <w:tblStylePr w:type="band1Horz">
      <w:tblPr/>
      <w:tcPr>
        <w:shd w:val="clear" w:color="auto" w:fill="CACACA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5">
    <w:name w:val="Colorful Shading Accent 5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  <w:tblBorders>
        <w:top w:val="single" w:sz="24" w:space="0" w:color="4D4D4D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</w:tblPr>
    <w:tcPr>
      <w:shd w:val="clear" w:color="auto" w:fill="EFEFE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393939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393939"/>
          <w:insideV w:val="nil"/>
        </w:tcBorders>
        <w:shd w:val="clear" w:color="auto" w:fill="393939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AFAFA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6">
    <w:name w:val="Colorful Shading Accent 6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  <w:tblBorders>
        <w:top w:val="single" w:sz="24" w:space="0" w:color="5F5F5F"/>
        <w:left w:val="single" w:sz="4" w:space="0" w:color="4D4D4D"/>
        <w:bottom w:val="single" w:sz="4" w:space="0" w:color="4D4D4D"/>
        <w:right w:val="single" w:sz="4" w:space="0" w:color="4D4D4D"/>
        <w:insideH w:val="single" w:sz="4" w:space="0" w:color="0072BC"/>
        <w:insideV w:val="single" w:sz="4" w:space="0" w:color="0072BC"/>
      </w:tblBorders>
    </w:tblPr>
    <w:tcPr>
      <w:shd w:val="clear" w:color="auto" w:fill="ED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2E2E2E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2E2E2E"/>
          <w:insideV w:val="nil"/>
        </w:tcBorders>
        <w:shd w:val="clear" w:color="auto" w:fill="2E2E2E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/>
      </w:tcPr>
    </w:tblStylePr>
    <w:tblStylePr w:type="band1Vert">
      <w:tblPr/>
      <w:tcPr>
        <w:shd w:val="clear" w:color="auto" w:fill="B7B7B7"/>
      </w:tcPr>
    </w:tblStylePr>
    <w:tblStylePr w:type="band1Horz">
      <w:tblPr/>
      <w:tcPr>
        <w:shd w:val="clear" w:color="auto" w:fill="A6A6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6544C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6544C4"/>
    <w:rPr>
      <w:rFonts w:eastAsia="MS Mincho"/>
      <w:b/>
      <w:bCs/>
      <w:sz w:val="20"/>
      <w:szCs w:val="20"/>
    </w:rPr>
  </w:style>
  <w:style w:type="table" w:styleId="Ciemnalista">
    <w:name w:val="Dark List"/>
    <w:basedOn w:val="Standardowy"/>
    <w:uiPriority w:val="99"/>
    <w:semiHidden/>
    <w:rsid w:val="006544C4"/>
    <w:rPr>
      <w:color w:val="0072BC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Ciemnalista2akcent1">
    <w:name w:val="Dark List Accent 1"/>
    <w:basedOn w:val="Standardowy"/>
    <w:uiPriority w:val="99"/>
    <w:semiHidden/>
    <w:rsid w:val="006544C4"/>
    <w:rPr>
      <w:color w:val="0072BC"/>
    </w:rPr>
    <w:tblPr>
      <w:tblStyleRowBandSize w:val="1"/>
      <w:tblStyleColBandSize w:val="1"/>
    </w:tblPr>
    <w:tcPr>
      <w:shd w:val="clear" w:color="auto" w:fill="0072BC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385D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00548C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00548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/>
      </w:tcPr>
    </w:tblStylePr>
  </w:style>
  <w:style w:type="table" w:styleId="Ciemnalistaakcent2">
    <w:name w:val="Dark List Accent 2"/>
    <w:basedOn w:val="Standardowy"/>
    <w:uiPriority w:val="99"/>
    <w:semiHidden/>
    <w:rsid w:val="006544C4"/>
    <w:rPr>
      <w:color w:val="0072BC"/>
    </w:rPr>
    <w:tblPr>
      <w:tblStyleRowBandSize w:val="1"/>
      <w:tblStyleColBandSize w:val="1"/>
    </w:tblPr>
    <w:tcPr>
      <w:shd w:val="clear" w:color="auto" w:fill="C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5F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8F000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8F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/>
      </w:tcPr>
    </w:tblStylePr>
  </w:style>
  <w:style w:type="table" w:styleId="Ciemnalistaakcent3">
    <w:name w:val="Dark List Accent 3"/>
    <w:basedOn w:val="Standardowy"/>
    <w:uiPriority w:val="99"/>
    <w:semiHidden/>
    <w:rsid w:val="006544C4"/>
    <w:rPr>
      <w:color w:val="0072BC"/>
    </w:rPr>
    <w:tblPr>
      <w:tblStyleRowBandSize w:val="1"/>
      <w:tblStyleColBandSize w:val="1"/>
    </w:tblPr>
    <w:tcPr>
      <w:shd w:val="clear" w:color="auto" w:fill="5F5F5F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F2F2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474747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</w:style>
  <w:style w:type="table" w:styleId="Ciemnalistaakcent4">
    <w:name w:val="Dark List Accent 4"/>
    <w:basedOn w:val="Standardowy"/>
    <w:uiPriority w:val="99"/>
    <w:semiHidden/>
    <w:rsid w:val="006544C4"/>
    <w:rPr>
      <w:color w:val="0072BC"/>
    </w:rPr>
    <w:tblPr>
      <w:tblStyleRowBandSize w:val="1"/>
      <w:tblStyleColBandSize w:val="1"/>
    </w:tblPr>
    <w:tcPr>
      <w:shd w:val="clear" w:color="auto" w:fill="96969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4A4A4A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70707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70707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/>
      </w:tcPr>
    </w:tblStylePr>
  </w:style>
  <w:style w:type="table" w:styleId="Ciemnalistaakcent5">
    <w:name w:val="Dark List Accent 5"/>
    <w:basedOn w:val="Standardowy"/>
    <w:uiPriority w:val="99"/>
    <w:semiHidden/>
    <w:rsid w:val="006544C4"/>
    <w:rPr>
      <w:color w:val="0072BC"/>
    </w:rPr>
    <w:tblPr>
      <w:tblStyleRowBandSize w:val="1"/>
      <w:tblStyleColBandSize w:val="1"/>
    </w:tblPr>
    <w:tcPr>
      <w:shd w:val="clear" w:color="auto" w:fill="5F5F5F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F2F2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474747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</w:style>
  <w:style w:type="table" w:styleId="Ciemnalistaakcent6">
    <w:name w:val="Dark List Accent 6"/>
    <w:basedOn w:val="Standardowy"/>
    <w:uiPriority w:val="99"/>
    <w:semiHidden/>
    <w:rsid w:val="006544C4"/>
    <w:rPr>
      <w:color w:val="0072BC"/>
    </w:rPr>
    <w:tblPr>
      <w:tblStyleRowBandSize w:val="1"/>
      <w:tblStyleColBandSize w:val="1"/>
    </w:tblPr>
    <w:tcPr>
      <w:shd w:val="clear" w:color="auto" w:fill="4D4D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6262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393939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6544C4"/>
  </w:style>
  <w:style w:type="character" w:customStyle="1" w:styleId="DataZnak">
    <w:name w:val="Data Znak"/>
    <w:link w:val="Data"/>
    <w:uiPriority w:val="99"/>
    <w:semiHidden/>
    <w:locked/>
    <w:rsid w:val="006544C4"/>
    <w:rPr>
      <w:rFonts w:eastAsia="MS Mincho"/>
      <w:sz w:val="24"/>
      <w:szCs w:val="24"/>
    </w:rPr>
  </w:style>
  <w:style w:type="paragraph" w:styleId="Mapadokumentu">
    <w:name w:val="Document Map"/>
    <w:basedOn w:val="Normalny"/>
    <w:link w:val="MapadokumentuZnak"/>
    <w:uiPriority w:val="99"/>
    <w:semiHidden/>
    <w:rsid w:val="006544C4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link w:val="Mapadokumentu"/>
    <w:uiPriority w:val="99"/>
    <w:semiHidden/>
    <w:locked/>
    <w:rsid w:val="006544C4"/>
    <w:rPr>
      <w:rFonts w:ascii="Tahoma" w:eastAsia="MS Mincho" w:hAnsi="Tahoma" w:cs="Tahoma"/>
      <w:sz w:val="16"/>
      <w:szCs w:val="16"/>
    </w:rPr>
  </w:style>
  <w:style w:type="paragraph" w:styleId="Podpise-mail">
    <w:name w:val="E-mail Signature"/>
    <w:basedOn w:val="Normalny"/>
    <w:link w:val="Podpise-mailZnak"/>
    <w:uiPriority w:val="99"/>
    <w:semiHidden/>
    <w:rsid w:val="006544C4"/>
  </w:style>
  <w:style w:type="character" w:customStyle="1" w:styleId="Podpise-mailZnak">
    <w:name w:val="Podpis e-mail Znak"/>
    <w:link w:val="Podpise-mail"/>
    <w:uiPriority w:val="99"/>
    <w:semiHidden/>
    <w:locked/>
    <w:rsid w:val="006544C4"/>
    <w:rPr>
      <w:rFonts w:eastAsia="MS Mincho"/>
      <w:sz w:val="24"/>
      <w:szCs w:val="24"/>
    </w:rPr>
  </w:style>
  <w:style w:type="character" w:styleId="Odwoanieprzypisukocowego">
    <w:name w:val="endnote reference"/>
    <w:uiPriority w:val="99"/>
    <w:semiHidden/>
    <w:rsid w:val="006544C4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6544C4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6544C4"/>
    <w:rPr>
      <w:rFonts w:eastAsia="MS Mincho"/>
      <w:sz w:val="20"/>
      <w:szCs w:val="20"/>
    </w:rPr>
  </w:style>
  <w:style w:type="paragraph" w:styleId="Adresnakopercie">
    <w:name w:val="envelope address"/>
    <w:basedOn w:val="Normalny"/>
    <w:uiPriority w:val="99"/>
    <w:semiHidden/>
    <w:rsid w:val="006544C4"/>
    <w:pPr>
      <w:framePr w:w="7920" w:h="1980" w:hRule="exact" w:hSpace="180" w:wrap="auto" w:hAnchor="page" w:xAlign="center" w:yAlign="bottom"/>
      <w:ind w:left="2880"/>
    </w:pPr>
    <w:rPr>
      <w:rFonts w:eastAsia="MS Gothic"/>
    </w:rPr>
  </w:style>
  <w:style w:type="paragraph" w:styleId="Adreszwrotnynakopercie">
    <w:name w:val="envelope return"/>
    <w:basedOn w:val="Normalny"/>
    <w:uiPriority w:val="99"/>
    <w:semiHidden/>
    <w:rsid w:val="006544C4"/>
    <w:rPr>
      <w:rFonts w:eastAsia="MS Gothic"/>
      <w:sz w:val="20"/>
      <w:szCs w:val="20"/>
    </w:rPr>
  </w:style>
  <w:style w:type="character" w:styleId="UyteHipercze">
    <w:name w:val="FollowedHyperlink"/>
    <w:uiPriority w:val="99"/>
    <w:semiHidden/>
    <w:rsid w:val="006544C4"/>
    <w:rPr>
      <w:color w:val="auto"/>
      <w:u w:val="single"/>
    </w:rPr>
  </w:style>
  <w:style w:type="character" w:styleId="HTML-akronim">
    <w:name w:val="HTML Acronym"/>
    <w:basedOn w:val="Domylnaczcionkaakapitu"/>
    <w:uiPriority w:val="99"/>
    <w:semiHidden/>
    <w:rsid w:val="006544C4"/>
  </w:style>
  <w:style w:type="paragraph" w:styleId="HTML-adres">
    <w:name w:val="HTML Address"/>
    <w:basedOn w:val="Normalny"/>
    <w:link w:val="HTML-adresZnak"/>
    <w:uiPriority w:val="99"/>
    <w:semiHidden/>
    <w:rsid w:val="006544C4"/>
    <w:rPr>
      <w:i/>
      <w:iCs/>
    </w:rPr>
  </w:style>
  <w:style w:type="character" w:customStyle="1" w:styleId="HTML-adresZnak">
    <w:name w:val="HTML - adres Znak"/>
    <w:link w:val="HTML-adres"/>
    <w:uiPriority w:val="99"/>
    <w:semiHidden/>
    <w:locked/>
    <w:rsid w:val="006544C4"/>
    <w:rPr>
      <w:rFonts w:eastAsia="MS Mincho"/>
      <w:i/>
      <w:iCs/>
      <w:sz w:val="24"/>
      <w:szCs w:val="24"/>
    </w:rPr>
  </w:style>
  <w:style w:type="character" w:styleId="HTML-cytat">
    <w:name w:val="HTML Cite"/>
    <w:uiPriority w:val="99"/>
    <w:semiHidden/>
    <w:rsid w:val="006544C4"/>
    <w:rPr>
      <w:i/>
      <w:iCs/>
    </w:rPr>
  </w:style>
  <w:style w:type="character" w:styleId="HTML-kod">
    <w:name w:val="HTML Code"/>
    <w:uiPriority w:val="99"/>
    <w:semiHidden/>
    <w:rsid w:val="006544C4"/>
    <w:rPr>
      <w:rFonts w:ascii="Consolas" w:hAnsi="Consolas" w:cs="Consolas"/>
      <w:sz w:val="20"/>
      <w:szCs w:val="20"/>
    </w:rPr>
  </w:style>
  <w:style w:type="character" w:styleId="HTML-definicja">
    <w:name w:val="HTML Definition"/>
    <w:uiPriority w:val="99"/>
    <w:semiHidden/>
    <w:rsid w:val="006544C4"/>
    <w:rPr>
      <w:i/>
      <w:iCs/>
    </w:rPr>
  </w:style>
  <w:style w:type="character" w:styleId="HTML-klawiatura">
    <w:name w:val="HTML Keyboard"/>
    <w:uiPriority w:val="99"/>
    <w:semiHidden/>
    <w:rsid w:val="006544C4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6544C4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locked/>
    <w:rsid w:val="006544C4"/>
    <w:rPr>
      <w:rFonts w:ascii="Consolas" w:eastAsia="MS Mincho" w:hAnsi="Consolas" w:cs="Consolas"/>
      <w:sz w:val="20"/>
      <w:szCs w:val="20"/>
    </w:rPr>
  </w:style>
  <w:style w:type="character" w:styleId="HTML-przykad">
    <w:name w:val="HTML Sample"/>
    <w:uiPriority w:val="99"/>
    <w:semiHidden/>
    <w:rsid w:val="006544C4"/>
    <w:rPr>
      <w:rFonts w:ascii="Consolas" w:hAnsi="Consolas" w:cs="Consolas"/>
      <w:sz w:val="24"/>
      <w:szCs w:val="24"/>
    </w:rPr>
  </w:style>
  <w:style w:type="character" w:styleId="HTML-staaszeroko">
    <w:name w:val="HTML Typewriter"/>
    <w:uiPriority w:val="99"/>
    <w:semiHidden/>
    <w:rsid w:val="006544C4"/>
    <w:rPr>
      <w:rFonts w:ascii="Consolas" w:hAnsi="Consolas" w:cs="Consolas"/>
      <w:sz w:val="20"/>
      <w:szCs w:val="20"/>
    </w:rPr>
  </w:style>
  <w:style w:type="character" w:styleId="HTML-zmienna">
    <w:name w:val="HTML Variable"/>
    <w:uiPriority w:val="99"/>
    <w:semiHidden/>
    <w:rsid w:val="006544C4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6544C4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6544C4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6544C4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6544C4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6544C4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6544C4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6544C4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6544C4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6544C4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6544C4"/>
    <w:rPr>
      <w:rFonts w:eastAsia="MS Gothic"/>
      <w:b/>
      <w:bCs/>
    </w:rPr>
  </w:style>
  <w:style w:type="table" w:styleId="Jasnasiatka">
    <w:name w:val="Light Grid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1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  <w:shd w:val="clear" w:color="auto" w:fill="AFDFF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  <w:shd w:val="clear" w:color="auto" w:fill="AFDFFF"/>
      </w:tcPr>
    </w:tblStylePr>
    <w:tblStylePr w:type="band2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C00000"/>
          <w:left w:val="single" w:sz="8" w:space="0" w:color="C00000"/>
          <w:bottom w:val="single" w:sz="18" w:space="0" w:color="C00000"/>
          <w:right w:val="single" w:sz="8" w:space="0" w:color="C00000"/>
          <w:insideH w:val="nil"/>
          <w:insideV w:val="single" w:sz="8" w:space="0" w:color="C00000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C00000"/>
          <w:left w:val="single" w:sz="8" w:space="0" w:color="C00000"/>
          <w:bottom w:val="single" w:sz="8" w:space="0" w:color="C00000"/>
          <w:right w:val="single" w:sz="8" w:space="0" w:color="C00000"/>
          <w:insideH w:val="nil"/>
          <w:insideV w:val="single" w:sz="8" w:space="0" w:color="C00000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Vert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  <w:shd w:val="clear" w:color="auto" w:fill="FFB0B0"/>
      </w:tcPr>
    </w:tblStylePr>
    <w:tblStylePr w:type="band1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V w:val="single" w:sz="8" w:space="0" w:color="C00000"/>
        </w:tcBorders>
        <w:shd w:val="clear" w:color="auto" w:fill="FFB0B0"/>
      </w:tcPr>
    </w:tblStylePr>
    <w:tblStylePr w:type="band2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V w:val="single" w:sz="8" w:space="0" w:color="C00000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1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  <w:shd w:val="clear" w:color="auto" w:fill="D7D7D7"/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  <w:shd w:val="clear" w:color="auto" w:fill="D7D7D7"/>
      </w:tcPr>
    </w:tblStylePr>
    <w:tblStylePr w:type="band2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969696"/>
          <w:left w:val="single" w:sz="8" w:space="0" w:color="969696"/>
          <w:bottom w:val="single" w:sz="18" w:space="0" w:color="969696"/>
          <w:right w:val="single" w:sz="8" w:space="0" w:color="969696"/>
          <w:insideH w:val="nil"/>
          <w:insideV w:val="single" w:sz="8" w:space="0" w:color="969696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969696"/>
          <w:left w:val="single" w:sz="8" w:space="0" w:color="969696"/>
          <w:bottom w:val="single" w:sz="8" w:space="0" w:color="969696"/>
          <w:right w:val="single" w:sz="8" w:space="0" w:color="969696"/>
          <w:insideH w:val="nil"/>
          <w:insideV w:val="single" w:sz="8" w:space="0" w:color="969696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band1Vert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  <w:shd w:val="clear" w:color="auto" w:fill="E5E5E5"/>
      </w:tcPr>
    </w:tblStylePr>
    <w:tblStylePr w:type="band1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  <w:insideV w:val="single" w:sz="8" w:space="0" w:color="969696"/>
        </w:tcBorders>
        <w:shd w:val="clear" w:color="auto" w:fill="E5E5E5"/>
      </w:tcPr>
    </w:tblStylePr>
    <w:tblStylePr w:type="band2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  <w:insideV w:val="single" w:sz="8" w:space="0" w:color="969696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1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  <w:shd w:val="clear" w:color="auto" w:fill="D7D7D7"/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  <w:shd w:val="clear" w:color="auto" w:fill="D7D7D7"/>
      </w:tcPr>
    </w:tblStylePr>
    <w:tblStylePr w:type="band2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4D4D4D"/>
          <w:left w:val="single" w:sz="8" w:space="0" w:color="4D4D4D"/>
          <w:bottom w:val="single" w:sz="18" w:space="0" w:color="4D4D4D"/>
          <w:right w:val="single" w:sz="8" w:space="0" w:color="4D4D4D"/>
          <w:insideH w:val="nil"/>
          <w:insideV w:val="single" w:sz="8" w:space="0" w:color="4D4D4D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4D4D4D"/>
          <w:left w:val="single" w:sz="8" w:space="0" w:color="4D4D4D"/>
          <w:bottom w:val="single" w:sz="8" w:space="0" w:color="4D4D4D"/>
          <w:right w:val="single" w:sz="8" w:space="0" w:color="4D4D4D"/>
          <w:insideH w:val="nil"/>
          <w:insideV w:val="single" w:sz="8" w:space="0" w:color="4D4D4D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band1Vert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  <w:shd w:val="clear" w:color="auto" w:fill="D3D3D3"/>
      </w:tcPr>
    </w:tblStylePr>
    <w:tblStylePr w:type="band1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  <w:insideV w:val="single" w:sz="8" w:space="0" w:color="4D4D4D"/>
        </w:tcBorders>
        <w:shd w:val="clear" w:color="auto" w:fill="D3D3D3"/>
      </w:tcPr>
    </w:tblStylePr>
    <w:tblStylePr w:type="band2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  <w:insideV w:val="single" w:sz="8" w:space="0" w:color="4D4D4D"/>
        </w:tcBorders>
      </w:tcPr>
    </w:tblStylePr>
  </w:style>
  <w:style w:type="table" w:styleId="Jasnalista">
    <w:name w:val="Light List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000000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0072BC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C00000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5F5F5F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969696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band1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5F5F5F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4D4D4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band1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</w:style>
  <w:style w:type="table" w:styleId="Jasnecieniowanie">
    <w:name w:val="Light Shading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Jasnecieniowanieakcent1">
    <w:name w:val="Light Shading Accent 1"/>
    <w:basedOn w:val="Standardowy"/>
    <w:uiPriority w:val="99"/>
    <w:semiHidden/>
    <w:rsid w:val="006544C4"/>
    <w:rPr>
      <w:color w:val="00548C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</w:style>
  <w:style w:type="table" w:styleId="Jasnecieniowanieakcent2">
    <w:name w:val="Light Shading Accent 2"/>
    <w:basedOn w:val="Standardowy"/>
    <w:uiPriority w:val="99"/>
    <w:semiHidden/>
    <w:rsid w:val="006544C4"/>
    <w:rPr>
      <w:color w:val="8F0000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C00000"/>
          <w:left w:val="nil"/>
          <w:bottom w:val="single" w:sz="8" w:space="0" w:color="C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C00000"/>
          <w:left w:val="nil"/>
          <w:bottom w:val="single" w:sz="8" w:space="0" w:color="C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</w:style>
  <w:style w:type="table" w:styleId="Jasnecieniowanieakcent3">
    <w:name w:val="Light Shading Accent 3"/>
    <w:basedOn w:val="Standardowy"/>
    <w:uiPriority w:val="99"/>
    <w:semiHidden/>
    <w:rsid w:val="006544C4"/>
    <w:rPr>
      <w:color w:val="474747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</w:style>
  <w:style w:type="table" w:styleId="Jasnecieniowanieakcent4">
    <w:name w:val="Light Shading Accent 4"/>
    <w:basedOn w:val="Standardowy"/>
    <w:uiPriority w:val="99"/>
    <w:semiHidden/>
    <w:rsid w:val="006544C4"/>
    <w:rPr>
      <w:color w:val="707070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</w:style>
  <w:style w:type="table" w:styleId="Jasnecieniowanieakcent5">
    <w:name w:val="Light Shading Accent 5"/>
    <w:basedOn w:val="Standardowy"/>
    <w:uiPriority w:val="99"/>
    <w:semiHidden/>
    <w:rsid w:val="006544C4"/>
    <w:rPr>
      <w:color w:val="474747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</w:style>
  <w:style w:type="table" w:styleId="Jasnecieniowanieakcent6">
    <w:name w:val="Light Shading Accent 6"/>
    <w:basedOn w:val="Standardowy"/>
    <w:uiPriority w:val="99"/>
    <w:semiHidden/>
    <w:rsid w:val="006544C4"/>
    <w:rPr>
      <w:color w:val="393939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4D4D4D"/>
          <w:left w:val="nil"/>
          <w:bottom w:val="single" w:sz="8" w:space="0" w:color="4D4D4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4D4D4D"/>
          <w:left w:val="nil"/>
          <w:bottom w:val="single" w:sz="8" w:space="0" w:color="4D4D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</w:style>
  <w:style w:type="character" w:styleId="Numerwiersza">
    <w:name w:val="line number"/>
    <w:basedOn w:val="Domylnaczcionkaakapitu"/>
    <w:uiPriority w:val="99"/>
    <w:semiHidden/>
    <w:rsid w:val="006544C4"/>
  </w:style>
  <w:style w:type="paragraph" w:styleId="Lista">
    <w:name w:val="List"/>
    <w:basedOn w:val="Normalny"/>
    <w:uiPriority w:val="99"/>
    <w:semiHidden/>
    <w:rsid w:val="006544C4"/>
    <w:pPr>
      <w:ind w:left="283" w:hanging="283"/>
    </w:pPr>
  </w:style>
  <w:style w:type="paragraph" w:styleId="Lista2">
    <w:name w:val="List 2"/>
    <w:basedOn w:val="Normalny"/>
    <w:uiPriority w:val="99"/>
    <w:semiHidden/>
    <w:rsid w:val="006544C4"/>
    <w:pPr>
      <w:ind w:left="566" w:hanging="283"/>
    </w:pPr>
  </w:style>
  <w:style w:type="paragraph" w:styleId="Lista3">
    <w:name w:val="List 3"/>
    <w:basedOn w:val="Normalny"/>
    <w:uiPriority w:val="99"/>
    <w:semiHidden/>
    <w:rsid w:val="006544C4"/>
    <w:pPr>
      <w:ind w:left="849" w:hanging="283"/>
    </w:pPr>
  </w:style>
  <w:style w:type="paragraph" w:styleId="Lista4">
    <w:name w:val="List 4"/>
    <w:basedOn w:val="Normalny"/>
    <w:uiPriority w:val="99"/>
    <w:semiHidden/>
    <w:rsid w:val="006544C4"/>
    <w:pPr>
      <w:ind w:left="1132" w:hanging="283"/>
    </w:pPr>
  </w:style>
  <w:style w:type="paragraph" w:styleId="Lista5">
    <w:name w:val="List 5"/>
    <w:basedOn w:val="Normalny"/>
    <w:uiPriority w:val="99"/>
    <w:semiHidden/>
    <w:rsid w:val="006544C4"/>
    <w:pPr>
      <w:ind w:left="1415" w:hanging="283"/>
    </w:pPr>
  </w:style>
  <w:style w:type="paragraph" w:styleId="Listapunktowana">
    <w:name w:val="List Bullet"/>
    <w:basedOn w:val="Normalny"/>
    <w:uiPriority w:val="99"/>
    <w:semiHidden/>
    <w:rsid w:val="006544C4"/>
    <w:pPr>
      <w:tabs>
        <w:tab w:val="num" w:pos="360"/>
      </w:tabs>
      <w:ind w:left="360" w:hanging="360"/>
    </w:pPr>
  </w:style>
  <w:style w:type="paragraph" w:styleId="Listapunktowana4">
    <w:name w:val="List Bullet 4"/>
    <w:basedOn w:val="Normalny"/>
    <w:uiPriority w:val="99"/>
    <w:semiHidden/>
    <w:rsid w:val="006544C4"/>
    <w:pPr>
      <w:numPr>
        <w:numId w:val="10"/>
      </w:numPr>
      <w:tabs>
        <w:tab w:val="clear" w:pos="1492"/>
        <w:tab w:val="num" w:pos="1209"/>
      </w:tabs>
      <w:ind w:left="1209"/>
    </w:pPr>
  </w:style>
  <w:style w:type="paragraph" w:styleId="Listapunktowana5">
    <w:name w:val="List Bullet 5"/>
    <w:basedOn w:val="Normalny"/>
    <w:uiPriority w:val="99"/>
    <w:semiHidden/>
    <w:rsid w:val="006544C4"/>
    <w:pPr>
      <w:numPr>
        <w:numId w:val="2"/>
      </w:numPr>
      <w:tabs>
        <w:tab w:val="clear" w:pos="926"/>
        <w:tab w:val="num" w:pos="1492"/>
      </w:tabs>
      <w:ind w:left="1492"/>
    </w:pPr>
  </w:style>
  <w:style w:type="paragraph" w:styleId="Lista-kontynuacja">
    <w:name w:val="List Continue"/>
    <w:basedOn w:val="Normalny"/>
    <w:uiPriority w:val="99"/>
    <w:semiHidden/>
    <w:rsid w:val="006544C4"/>
    <w:pPr>
      <w:spacing w:after="120"/>
      <w:ind w:left="283"/>
    </w:pPr>
  </w:style>
  <w:style w:type="paragraph" w:styleId="Lista-kontynuacja2">
    <w:name w:val="List Continue 2"/>
    <w:basedOn w:val="Normalny"/>
    <w:uiPriority w:val="99"/>
    <w:semiHidden/>
    <w:rsid w:val="006544C4"/>
    <w:pPr>
      <w:spacing w:after="120"/>
      <w:ind w:left="566"/>
    </w:pPr>
  </w:style>
  <w:style w:type="paragraph" w:styleId="Lista-kontynuacja3">
    <w:name w:val="List Continue 3"/>
    <w:basedOn w:val="Normalny"/>
    <w:uiPriority w:val="99"/>
    <w:semiHidden/>
    <w:rsid w:val="006544C4"/>
    <w:pPr>
      <w:spacing w:after="120"/>
      <w:ind w:left="849"/>
    </w:pPr>
  </w:style>
  <w:style w:type="paragraph" w:styleId="Lista-kontynuacja4">
    <w:name w:val="List Continue 4"/>
    <w:basedOn w:val="Normalny"/>
    <w:uiPriority w:val="99"/>
    <w:semiHidden/>
    <w:rsid w:val="006544C4"/>
    <w:pPr>
      <w:spacing w:after="120"/>
      <w:ind w:left="1132"/>
    </w:pPr>
  </w:style>
  <w:style w:type="paragraph" w:styleId="Lista-kontynuacja5">
    <w:name w:val="List Continue 5"/>
    <w:basedOn w:val="Normalny"/>
    <w:uiPriority w:val="99"/>
    <w:semiHidden/>
    <w:rsid w:val="006544C4"/>
    <w:pPr>
      <w:spacing w:after="120"/>
      <w:ind w:left="1415"/>
    </w:pPr>
  </w:style>
  <w:style w:type="paragraph" w:styleId="Listanumerowana">
    <w:name w:val="List Number"/>
    <w:basedOn w:val="Normalny"/>
    <w:uiPriority w:val="99"/>
    <w:semiHidden/>
    <w:rsid w:val="006544C4"/>
    <w:pPr>
      <w:numPr>
        <w:numId w:val="3"/>
      </w:numPr>
    </w:pPr>
  </w:style>
  <w:style w:type="paragraph" w:styleId="Listanumerowana2">
    <w:name w:val="List Number 2"/>
    <w:basedOn w:val="Normalny"/>
    <w:uiPriority w:val="99"/>
    <w:semiHidden/>
    <w:rsid w:val="006544C4"/>
    <w:pPr>
      <w:numPr>
        <w:numId w:val="4"/>
      </w:numPr>
      <w:tabs>
        <w:tab w:val="clear" w:pos="1209"/>
        <w:tab w:val="num" w:pos="643"/>
      </w:tabs>
      <w:ind w:left="643"/>
    </w:pPr>
  </w:style>
  <w:style w:type="paragraph" w:styleId="Listanumerowana3">
    <w:name w:val="List Number 3"/>
    <w:basedOn w:val="Normalny"/>
    <w:uiPriority w:val="99"/>
    <w:semiHidden/>
    <w:rsid w:val="006544C4"/>
    <w:pPr>
      <w:numPr>
        <w:numId w:val="5"/>
      </w:numPr>
      <w:tabs>
        <w:tab w:val="clear" w:pos="1492"/>
        <w:tab w:val="num" w:pos="926"/>
      </w:tabs>
      <w:ind w:left="926"/>
    </w:pPr>
  </w:style>
  <w:style w:type="paragraph" w:styleId="Listanumerowana4">
    <w:name w:val="List Number 4"/>
    <w:basedOn w:val="Normalny"/>
    <w:uiPriority w:val="99"/>
    <w:semiHidden/>
    <w:rsid w:val="006544C4"/>
    <w:pPr>
      <w:numPr>
        <w:numId w:val="6"/>
      </w:numPr>
      <w:tabs>
        <w:tab w:val="clear" w:pos="360"/>
        <w:tab w:val="num" w:pos="1209"/>
      </w:tabs>
      <w:ind w:left="1209"/>
    </w:pPr>
  </w:style>
  <w:style w:type="paragraph" w:styleId="Listanumerowana5">
    <w:name w:val="List Number 5"/>
    <w:basedOn w:val="Normalny"/>
    <w:uiPriority w:val="99"/>
    <w:semiHidden/>
    <w:rsid w:val="006544C4"/>
    <w:pPr>
      <w:numPr>
        <w:numId w:val="7"/>
      </w:numPr>
      <w:tabs>
        <w:tab w:val="clear" w:pos="643"/>
        <w:tab w:val="num" w:pos="1492"/>
      </w:tabs>
      <w:ind w:left="1492"/>
    </w:pPr>
  </w:style>
  <w:style w:type="paragraph" w:styleId="Tekstmakra">
    <w:name w:val="macro"/>
    <w:link w:val="TekstmakraZnak"/>
    <w:uiPriority w:val="99"/>
    <w:semiHidden/>
    <w:rsid w:val="006544C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="MS Mincho" w:hAnsi="Consolas" w:cs="Consolas"/>
      <w:lang w:val="en-US" w:eastAsia="en-US"/>
    </w:rPr>
  </w:style>
  <w:style w:type="character" w:customStyle="1" w:styleId="TekstmakraZnak">
    <w:name w:val="Tekst makra Znak"/>
    <w:link w:val="Tekstmakra"/>
    <w:uiPriority w:val="99"/>
    <w:semiHidden/>
    <w:locked/>
    <w:rsid w:val="006544C4"/>
    <w:rPr>
      <w:rFonts w:ascii="Consolas" w:eastAsia="MS Mincho" w:hAnsi="Consolas" w:cs="Consolas"/>
      <w:lang w:val="en-US" w:eastAsia="en-US"/>
    </w:rPr>
  </w:style>
  <w:style w:type="table" w:styleId="redniasiatka1">
    <w:name w:val="Medium Grid 1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redniasiatka1akcent1">
    <w:name w:val="Medium Grid 1 Accent 1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  <w:insideV w:val="single" w:sz="8" w:space="0" w:color="0D9FFF"/>
      </w:tblBorders>
    </w:tblPr>
    <w:tcPr>
      <w:shd w:val="clear" w:color="auto" w:fill="AFDFF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/>
      </w:tcPr>
    </w:tblStylePr>
    <w:tblStylePr w:type="band1Horz">
      <w:tblPr/>
      <w:tcPr>
        <w:shd w:val="clear" w:color="auto" w:fill="5EBFFF"/>
      </w:tcPr>
    </w:tblStylePr>
  </w:style>
  <w:style w:type="table" w:styleId="redniasiatka1akcent2">
    <w:name w:val="Medium Grid 1 Accent 2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  <w:insideV w:val="single" w:sz="8" w:space="0" w:color="FF1010"/>
      </w:tblBorders>
    </w:tblPr>
    <w:tcPr>
      <w:shd w:val="clear" w:color="auto" w:fill="FFB0B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/>
      </w:tcPr>
    </w:tblStylePr>
    <w:tblStylePr w:type="band1Horz">
      <w:tblPr/>
      <w:tcPr>
        <w:shd w:val="clear" w:color="auto" w:fill="FF6060"/>
      </w:tcPr>
    </w:tblStylePr>
  </w:style>
  <w:style w:type="table" w:styleId="redniasiatka1akcent3">
    <w:name w:val="Medium Grid 1 Accent 3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</w:tblPr>
    <w:tcPr>
      <w:shd w:val="clear" w:color="auto" w:fill="D7D7D7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redniasiatka1akcent4">
    <w:name w:val="Medium Grid 1 Accent 4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  <w:insideV w:val="single" w:sz="8" w:space="0" w:color="B0B0B0"/>
      </w:tblBorders>
    </w:tblPr>
    <w:tcPr>
      <w:shd w:val="clear" w:color="auto" w:fill="E5E5E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/>
      </w:tcPr>
    </w:tblStylePr>
    <w:tblStylePr w:type="band1Horz">
      <w:tblPr/>
      <w:tcPr>
        <w:shd w:val="clear" w:color="auto" w:fill="CACACA"/>
      </w:tcPr>
    </w:tblStylePr>
  </w:style>
  <w:style w:type="table" w:styleId="redniasiatka1akcent5">
    <w:name w:val="Medium Grid 1 Accent 5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</w:tblPr>
    <w:tcPr>
      <w:shd w:val="clear" w:color="auto" w:fill="D7D7D7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redniasiatka1akcent6">
    <w:name w:val="Medium Grid 1 Accent 6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  <w:insideV w:val="single" w:sz="8" w:space="0" w:color="797979"/>
      </w:tblBorders>
    </w:tblPr>
    <w:tcPr>
      <w:shd w:val="clear" w:color="auto" w:fill="D3D3D3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/>
      </w:tcPr>
    </w:tblStylePr>
    <w:tblStylePr w:type="band1Horz">
      <w:tblPr/>
      <w:tcPr>
        <w:shd w:val="clear" w:color="auto" w:fill="A6A6A6"/>
      </w:tcPr>
    </w:tblStylePr>
  </w:style>
  <w:style w:type="table" w:styleId="redniasiatka2">
    <w:name w:val="Medium Grid 2"/>
    <w:basedOn w:val="Standardowy"/>
    <w:uiPriority w:val="99"/>
    <w:semiHidden/>
    <w:rsid w:val="006544C4"/>
    <w:rPr>
      <w:rFonts w:eastAsia="MS Gothic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0072BC"/>
      </w:tcPr>
    </w:tblStylePr>
  </w:style>
  <w:style w:type="table" w:styleId="redniasiatka2akcent1">
    <w:name w:val="Medium Grid 2 Accent 1"/>
    <w:basedOn w:val="Standardowy"/>
    <w:uiPriority w:val="99"/>
    <w:semiHidden/>
    <w:rsid w:val="006544C4"/>
    <w:rPr>
      <w:rFonts w:eastAsia="MS Gothic"/>
      <w:color w:val="000000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</w:tblPr>
    <w:tcPr>
      <w:shd w:val="clear" w:color="auto" w:fill="AFDFFF"/>
    </w:tcPr>
    <w:tblStylePr w:type="firstRow">
      <w:rPr>
        <w:b/>
        <w:bCs/>
        <w:color w:val="000000"/>
      </w:rPr>
      <w:tblPr/>
      <w:tcPr>
        <w:shd w:val="clear" w:color="auto" w:fill="DFF2F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/>
      </w:tcPr>
    </w:tblStylePr>
    <w:tblStylePr w:type="band1Vert">
      <w:tblPr/>
      <w:tcPr>
        <w:shd w:val="clear" w:color="auto" w:fill="5EBFFF"/>
      </w:tcPr>
    </w:tblStylePr>
    <w:tblStylePr w:type="band1Horz">
      <w:tblPr/>
      <w:tcPr>
        <w:tcBorders>
          <w:insideH w:val="single" w:sz="6" w:space="0" w:color="0072BC"/>
          <w:insideV w:val="single" w:sz="6" w:space="0" w:color="0072BC"/>
        </w:tcBorders>
        <w:shd w:val="clear" w:color="auto" w:fill="5EBFFF"/>
      </w:tcPr>
    </w:tblStylePr>
    <w:tblStylePr w:type="nwCell">
      <w:tblPr/>
      <w:tcPr>
        <w:shd w:val="clear" w:color="auto" w:fill="0072BC"/>
      </w:tcPr>
    </w:tblStylePr>
  </w:style>
  <w:style w:type="table" w:styleId="redniasiatka2akcent2">
    <w:name w:val="Medium Grid 2 Accent 2"/>
    <w:basedOn w:val="Standardowy"/>
    <w:uiPriority w:val="99"/>
    <w:semiHidden/>
    <w:rsid w:val="006544C4"/>
    <w:rPr>
      <w:rFonts w:eastAsia="MS Gothic"/>
      <w:color w:val="000000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</w:tblPr>
    <w:tcPr>
      <w:shd w:val="clear" w:color="auto" w:fill="FFB0B0"/>
    </w:tcPr>
    <w:tblStylePr w:type="firstRow">
      <w:rPr>
        <w:b/>
        <w:bCs/>
        <w:color w:val="000000"/>
      </w:rPr>
      <w:tblPr/>
      <w:tcPr>
        <w:shd w:val="clear" w:color="auto" w:fill="FFDFD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/>
      </w:tcPr>
    </w:tblStylePr>
    <w:tblStylePr w:type="band1Vert">
      <w:tblPr/>
      <w:tcPr>
        <w:shd w:val="clear" w:color="auto" w:fill="FF6060"/>
      </w:tcPr>
    </w:tblStylePr>
    <w:tblStylePr w:type="band1Horz">
      <w:tblPr/>
      <w:tcPr>
        <w:tcBorders>
          <w:insideH w:val="single" w:sz="6" w:space="0" w:color="C00000"/>
          <w:insideV w:val="single" w:sz="6" w:space="0" w:color="C00000"/>
        </w:tcBorders>
        <w:shd w:val="clear" w:color="auto" w:fill="FF6060"/>
      </w:tcPr>
    </w:tblStylePr>
    <w:tblStylePr w:type="nwCell">
      <w:tblPr/>
      <w:tcPr>
        <w:shd w:val="clear" w:color="auto" w:fill="0072BC"/>
      </w:tcPr>
    </w:tblStylePr>
  </w:style>
  <w:style w:type="table" w:styleId="redniasiatka2akcent3">
    <w:name w:val="Medium Grid 2 Accent 3"/>
    <w:basedOn w:val="Standardowy"/>
    <w:uiPriority w:val="99"/>
    <w:semiHidden/>
    <w:rsid w:val="006544C4"/>
    <w:rPr>
      <w:rFonts w:eastAsia="MS Gothic"/>
      <w:color w:val="000000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cPr>
      <w:shd w:val="clear" w:color="auto" w:fill="D7D7D7"/>
    </w:tcPr>
    <w:tblStylePr w:type="firstRow">
      <w:rPr>
        <w:b/>
        <w:bCs/>
        <w:color w:val="000000"/>
      </w:rPr>
      <w:tblPr/>
      <w:tcPr>
        <w:shd w:val="clear" w:color="auto" w:fill="EFEFE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tcBorders>
          <w:insideH w:val="single" w:sz="6" w:space="0" w:color="5F5F5F"/>
          <w:insideV w:val="single" w:sz="6" w:space="0" w:color="5F5F5F"/>
        </w:tcBorders>
        <w:shd w:val="clear" w:color="auto" w:fill="AFAFAF"/>
      </w:tcPr>
    </w:tblStylePr>
    <w:tblStylePr w:type="nwCell">
      <w:tblPr/>
      <w:tcPr>
        <w:shd w:val="clear" w:color="auto" w:fill="0072BC"/>
      </w:tcPr>
    </w:tblStylePr>
  </w:style>
  <w:style w:type="table" w:styleId="redniasiatka2akcent4">
    <w:name w:val="Medium Grid 2 Accent 4"/>
    <w:basedOn w:val="Standardowy"/>
    <w:uiPriority w:val="99"/>
    <w:semiHidden/>
    <w:rsid w:val="006544C4"/>
    <w:rPr>
      <w:rFonts w:eastAsia="MS Gothic"/>
      <w:color w:val="000000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</w:tblPr>
    <w:tcPr>
      <w:shd w:val="clear" w:color="auto" w:fill="E5E5E5"/>
    </w:tcPr>
    <w:tblStylePr w:type="firstRow">
      <w:rPr>
        <w:b/>
        <w:bCs/>
        <w:color w:val="000000"/>
      </w:rPr>
      <w:tblPr/>
      <w:tcPr>
        <w:shd w:val="clear" w:color="auto" w:fill="F4F4F4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/>
      </w:tcPr>
    </w:tblStylePr>
    <w:tblStylePr w:type="band1Vert">
      <w:tblPr/>
      <w:tcPr>
        <w:shd w:val="clear" w:color="auto" w:fill="CACACA"/>
      </w:tcPr>
    </w:tblStylePr>
    <w:tblStylePr w:type="band1Horz">
      <w:tblPr/>
      <w:tcPr>
        <w:tcBorders>
          <w:insideH w:val="single" w:sz="6" w:space="0" w:color="969696"/>
          <w:insideV w:val="single" w:sz="6" w:space="0" w:color="969696"/>
        </w:tcBorders>
        <w:shd w:val="clear" w:color="auto" w:fill="CACACA"/>
      </w:tcPr>
    </w:tblStylePr>
    <w:tblStylePr w:type="nwCell">
      <w:tblPr/>
      <w:tcPr>
        <w:shd w:val="clear" w:color="auto" w:fill="0072BC"/>
      </w:tcPr>
    </w:tblStylePr>
  </w:style>
  <w:style w:type="table" w:styleId="redniasiatka2akcent5">
    <w:name w:val="Medium Grid 2 Accent 5"/>
    <w:basedOn w:val="Standardowy"/>
    <w:uiPriority w:val="99"/>
    <w:semiHidden/>
    <w:rsid w:val="006544C4"/>
    <w:rPr>
      <w:rFonts w:eastAsia="MS Gothic"/>
      <w:color w:val="000000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cPr>
      <w:shd w:val="clear" w:color="auto" w:fill="D7D7D7"/>
    </w:tcPr>
    <w:tblStylePr w:type="firstRow">
      <w:rPr>
        <w:b/>
        <w:bCs/>
        <w:color w:val="000000"/>
      </w:rPr>
      <w:tblPr/>
      <w:tcPr>
        <w:shd w:val="clear" w:color="auto" w:fill="EFEFE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tcBorders>
          <w:insideH w:val="single" w:sz="6" w:space="0" w:color="5F5F5F"/>
          <w:insideV w:val="single" w:sz="6" w:space="0" w:color="5F5F5F"/>
        </w:tcBorders>
        <w:shd w:val="clear" w:color="auto" w:fill="AFAFAF"/>
      </w:tcPr>
    </w:tblStylePr>
    <w:tblStylePr w:type="nwCell">
      <w:tblPr/>
      <w:tcPr>
        <w:shd w:val="clear" w:color="auto" w:fill="0072BC"/>
      </w:tcPr>
    </w:tblStylePr>
  </w:style>
  <w:style w:type="table" w:styleId="redniasiatka2akcent6">
    <w:name w:val="Medium Grid 2 Accent 6"/>
    <w:basedOn w:val="Standardowy"/>
    <w:uiPriority w:val="99"/>
    <w:semiHidden/>
    <w:rsid w:val="006544C4"/>
    <w:rPr>
      <w:rFonts w:eastAsia="MS Gothic"/>
      <w:color w:val="000000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</w:tblPr>
    <w:tcPr>
      <w:shd w:val="clear" w:color="auto" w:fill="D3D3D3"/>
    </w:tcPr>
    <w:tblStylePr w:type="firstRow">
      <w:rPr>
        <w:b/>
        <w:bCs/>
        <w:color w:val="000000"/>
      </w:rPr>
      <w:tblPr/>
      <w:tcPr>
        <w:shd w:val="clear" w:color="auto" w:fill="ED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/>
      </w:tcPr>
    </w:tblStylePr>
    <w:tblStylePr w:type="band1Vert">
      <w:tblPr/>
      <w:tcPr>
        <w:shd w:val="clear" w:color="auto" w:fill="A6A6A6"/>
      </w:tcPr>
    </w:tblStylePr>
    <w:tblStylePr w:type="band1Horz">
      <w:tblPr/>
      <w:tcPr>
        <w:tcBorders>
          <w:insideH w:val="single" w:sz="6" w:space="0" w:color="4D4D4D"/>
          <w:insideV w:val="single" w:sz="6" w:space="0" w:color="4D4D4D"/>
        </w:tcBorders>
        <w:shd w:val="clear" w:color="auto" w:fill="A6A6A6"/>
      </w:tcPr>
    </w:tblStylePr>
    <w:tblStylePr w:type="nwCell">
      <w:tblPr/>
      <w:tcPr>
        <w:shd w:val="clear" w:color="auto" w:fill="0072BC"/>
      </w:tcPr>
    </w:tblStylePr>
  </w:style>
  <w:style w:type="table" w:styleId="redniasiatka3">
    <w:name w:val="Medium Grid 3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808080"/>
      </w:tcPr>
    </w:tblStylePr>
  </w:style>
  <w:style w:type="table" w:styleId="redniasiatka3akcent1">
    <w:name w:val="Medium Grid 3 Accent 1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AFDFFF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72BC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72BC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0072BC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5EBFF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5EBFFF"/>
      </w:tcPr>
    </w:tblStylePr>
  </w:style>
  <w:style w:type="table" w:styleId="redniasiatka3akcent2">
    <w:name w:val="Medium Grid 3 Accent 2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FFB0B0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C00000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C00000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C00000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C00000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FF6060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FF6060"/>
      </w:tcPr>
    </w:tblStylePr>
  </w:style>
  <w:style w:type="table" w:styleId="redniasiatka3akcent3">
    <w:name w:val="Medium Grid 3 Accent 3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7D7D7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FAFA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FAFAF"/>
      </w:tcPr>
    </w:tblStylePr>
  </w:style>
  <w:style w:type="table" w:styleId="redniasiatka3akcent4">
    <w:name w:val="Medium Grid 3 Accent 4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E5E5E5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969696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969696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969696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969696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CACACA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CACACA"/>
      </w:tcPr>
    </w:tblStylePr>
  </w:style>
  <w:style w:type="table" w:styleId="redniasiatka3akcent5">
    <w:name w:val="Medium Grid 3 Accent 5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7D7D7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FAFA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FAFAF"/>
      </w:tcPr>
    </w:tblStylePr>
  </w:style>
  <w:style w:type="table" w:styleId="redniasiatka3akcent6">
    <w:name w:val="Medium Grid 3 Accent 6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3D3D3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4D4D4D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4D4D4D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4D4D4D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4D4D4D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6A6A6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6A6A6"/>
      </w:tcPr>
    </w:tblStylePr>
  </w:style>
  <w:style w:type="table" w:styleId="rednialista1">
    <w:name w:val="Medium List 1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rednialista1akcent1">
    <w:name w:val="Medium List 1 Accent 1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0072BC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band1Vert">
      <w:tblPr/>
      <w:tcPr>
        <w:shd w:val="clear" w:color="auto" w:fill="AFDFFF"/>
      </w:tcPr>
    </w:tblStylePr>
    <w:tblStylePr w:type="band1Horz">
      <w:tblPr/>
      <w:tcPr>
        <w:shd w:val="clear" w:color="auto" w:fill="AFDFFF"/>
      </w:tcPr>
    </w:tblStylePr>
  </w:style>
  <w:style w:type="table" w:styleId="rednialista1akcent2">
    <w:name w:val="Medium List 1 Accent 2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C00000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C00000"/>
          <w:bottom w:val="single" w:sz="8" w:space="0" w:color="C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/>
          <w:bottom w:val="single" w:sz="8" w:space="0" w:color="C00000"/>
        </w:tcBorders>
      </w:tcPr>
    </w:tblStylePr>
    <w:tblStylePr w:type="band1Vert">
      <w:tblPr/>
      <w:tcPr>
        <w:shd w:val="clear" w:color="auto" w:fill="FFB0B0"/>
      </w:tcPr>
    </w:tblStylePr>
    <w:tblStylePr w:type="band1Horz">
      <w:tblPr/>
      <w:tcPr>
        <w:shd w:val="clear" w:color="auto" w:fill="FFB0B0"/>
      </w:tcPr>
    </w:tblStylePr>
  </w:style>
  <w:style w:type="table" w:styleId="rednialista1akcent3">
    <w:name w:val="Medium List 1 Accent 3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5F5F5F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band1Vert">
      <w:tblPr/>
      <w:tcPr>
        <w:shd w:val="clear" w:color="auto" w:fill="D7D7D7"/>
      </w:tcPr>
    </w:tblStylePr>
    <w:tblStylePr w:type="band1Horz">
      <w:tblPr/>
      <w:tcPr>
        <w:shd w:val="clear" w:color="auto" w:fill="D7D7D7"/>
      </w:tcPr>
    </w:tblStylePr>
  </w:style>
  <w:style w:type="table" w:styleId="rednialista1akcent4">
    <w:name w:val="Medium List 1 Accent 4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969696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969696"/>
          <w:bottom w:val="single" w:sz="8" w:space="0" w:color="96969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/>
          <w:bottom w:val="single" w:sz="8" w:space="0" w:color="969696"/>
        </w:tcBorders>
      </w:tcPr>
    </w:tblStylePr>
    <w:tblStylePr w:type="band1Vert">
      <w:tblPr/>
      <w:tcPr>
        <w:shd w:val="clear" w:color="auto" w:fill="E5E5E5"/>
      </w:tcPr>
    </w:tblStylePr>
    <w:tblStylePr w:type="band1Horz">
      <w:tblPr/>
      <w:tcPr>
        <w:shd w:val="clear" w:color="auto" w:fill="E5E5E5"/>
      </w:tcPr>
    </w:tblStylePr>
  </w:style>
  <w:style w:type="table" w:styleId="rednialista1akcent5">
    <w:name w:val="Medium List 1 Accent 5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5F5F5F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band1Vert">
      <w:tblPr/>
      <w:tcPr>
        <w:shd w:val="clear" w:color="auto" w:fill="D7D7D7"/>
      </w:tcPr>
    </w:tblStylePr>
    <w:tblStylePr w:type="band1Horz">
      <w:tblPr/>
      <w:tcPr>
        <w:shd w:val="clear" w:color="auto" w:fill="D7D7D7"/>
      </w:tcPr>
    </w:tblStylePr>
  </w:style>
  <w:style w:type="table" w:styleId="rednialista1akcent6">
    <w:name w:val="Medium List 1 Accent 6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4D4D4D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4D4D4D"/>
          <w:bottom w:val="single" w:sz="8" w:space="0" w:color="4D4D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/>
          <w:bottom w:val="single" w:sz="8" w:space="0" w:color="4D4D4D"/>
        </w:tcBorders>
      </w:tcPr>
    </w:tblStylePr>
    <w:tblStylePr w:type="band1Vert">
      <w:tblPr/>
      <w:tcPr>
        <w:shd w:val="clear" w:color="auto" w:fill="D3D3D3"/>
      </w:tcPr>
    </w:tblStylePr>
    <w:tblStylePr w:type="band1Horz">
      <w:tblPr/>
      <w:tcPr>
        <w:shd w:val="clear" w:color="auto" w:fill="D3D3D3"/>
      </w:tcPr>
    </w:tblStylePr>
  </w:style>
  <w:style w:type="table" w:styleId="rednialista2">
    <w:name w:val="Medium List 2"/>
    <w:basedOn w:val="Standardowy"/>
    <w:uiPriority w:val="99"/>
    <w:semiHidden/>
    <w:rsid w:val="006544C4"/>
    <w:rPr>
      <w:rFonts w:eastAsia="MS Gothic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6544C4"/>
    <w:rPr>
      <w:rFonts w:eastAsia="MS Gothic"/>
      <w:color w:val="000000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0072BC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6544C4"/>
    <w:rPr>
      <w:rFonts w:eastAsia="MS Gothic"/>
      <w:color w:val="000000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C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C00000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6544C4"/>
    <w:rPr>
      <w:rFonts w:eastAsia="MS Gothic"/>
      <w:color w:val="000000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5F5F5F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5F5F5F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6544C4"/>
    <w:rPr>
      <w:rFonts w:eastAsia="MS Gothic"/>
      <w:color w:val="000000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969696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969696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6544C4"/>
    <w:rPr>
      <w:rFonts w:eastAsia="MS Gothic"/>
      <w:color w:val="000000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5F5F5F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5F5F5F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6544C4"/>
    <w:rPr>
      <w:rFonts w:eastAsia="MS Gothic"/>
      <w:color w:val="000000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4D4D4D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4D4D4D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FF1010"/>
          <w:left w:val="single" w:sz="8" w:space="0" w:color="FF1010"/>
          <w:bottom w:val="single" w:sz="8" w:space="0" w:color="FF1010"/>
          <w:right w:val="single" w:sz="8" w:space="0" w:color="FF1010"/>
          <w:insideH w:val="nil"/>
          <w:insideV w:val="nil"/>
        </w:tcBorders>
        <w:shd w:val="clear" w:color="auto" w:fill="C00000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FF1010"/>
          <w:left w:val="single" w:sz="8" w:space="0" w:color="FF1010"/>
          <w:bottom w:val="single" w:sz="8" w:space="0" w:color="FF1010"/>
          <w:right w:val="single" w:sz="8" w:space="0" w:color="FF101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B0B0B0"/>
          <w:left w:val="single" w:sz="8" w:space="0" w:color="B0B0B0"/>
          <w:bottom w:val="single" w:sz="8" w:space="0" w:color="B0B0B0"/>
          <w:right w:val="single" w:sz="8" w:space="0" w:color="B0B0B0"/>
          <w:insideH w:val="nil"/>
          <w:insideV w:val="nil"/>
        </w:tcBorders>
        <w:shd w:val="clear" w:color="auto" w:fill="969696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B0B0B0"/>
          <w:left w:val="single" w:sz="8" w:space="0" w:color="B0B0B0"/>
          <w:bottom w:val="single" w:sz="8" w:space="0" w:color="B0B0B0"/>
          <w:right w:val="single" w:sz="8" w:space="0" w:color="B0B0B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797979"/>
          <w:left w:val="single" w:sz="8" w:space="0" w:color="797979"/>
          <w:bottom w:val="single" w:sz="8" w:space="0" w:color="797979"/>
          <w:right w:val="single" w:sz="8" w:space="0" w:color="797979"/>
          <w:insideH w:val="nil"/>
          <w:insideV w:val="nil"/>
        </w:tcBorders>
        <w:shd w:val="clear" w:color="auto" w:fill="4D4D4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797979"/>
          <w:left w:val="single" w:sz="8" w:space="0" w:color="797979"/>
          <w:bottom w:val="single" w:sz="8" w:space="0" w:color="797979"/>
          <w:right w:val="single" w:sz="8" w:space="0" w:color="7979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6544C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6544C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6544C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6544C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6544C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6544C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6544C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6544C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eastAsia="MS Gothic"/>
    </w:rPr>
  </w:style>
  <w:style w:type="character" w:customStyle="1" w:styleId="NagwekwiadomociZnak">
    <w:name w:val="Nagłówek wiadomości Znak"/>
    <w:link w:val="Nagwekwiadomoci"/>
    <w:uiPriority w:val="99"/>
    <w:semiHidden/>
    <w:locked/>
    <w:rsid w:val="006544C4"/>
    <w:rPr>
      <w:rFonts w:ascii="Times New Roman" w:eastAsia="MS Gothic" w:hAnsi="Times New Roman" w:cs="Times New Roman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6544C4"/>
  </w:style>
  <w:style w:type="paragraph" w:styleId="Wcicienormalne">
    <w:name w:val="Normal Indent"/>
    <w:basedOn w:val="Normalny"/>
    <w:uiPriority w:val="99"/>
    <w:semiHidden/>
    <w:rsid w:val="006544C4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6544C4"/>
  </w:style>
  <w:style w:type="character" w:customStyle="1" w:styleId="NagweknotatkiZnak">
    <w:name w:val="Nagłówek notatki Znak"/>
    <w:link w:val="Nagweknotatki"/>
    <w:uiPriority w:val="99"/>
    <w:semiHidden/>
    <w:locked/>
    <w:rsid w:val="006544C4"/>
    <w:rPr>
      <w:rFonts w:eastAsia="MS Mincho"/>
      <w:sz w:val="24"/>
      <w:szCs w:val="24"/>
    </w:rPr>
  </w:style>
  <w:style w:type="character" w:styleId="Tekstzastpczy">
    <w:name w:val="Placeholder Text"/>
    <w:uiPriority w:val="99"/>
    <w:semiHidden/>
    <w:rsid w:val="00F9130D"/>
    <w:rPr>
      <w:color w:val="auto"/>
      <w:shd w:val="clear" w:color="auto" w:fill="DFDFDF"/>
    </w:rPr>
  </w:style>
  <w:style w:type="paragraph" w:styleId="Zwykytekst">
    <w:name w:val="Plain Text"/>
    <w:basedOn w:val="Normalny"/>
    <w:link w:val="ZwykytekstZnak"/>
    <w:uiPriority w:val="99"/>
    <w:semiHidden/>
    <w:rsid w:val="006544C4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link w:val="Zwykytekst"/>
    <w:uiPriority w:val="99"/>
    <w:semiHidden/>
    <w:locked/>
    <w:rsid w:val="006544C4"/>
    <w:rPr>
      <w:rFonts w:ascii="Consolas" w:eastAsia="MS Mincho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6544C4"/>
  </w:style>
  <w:style w:type="character" w:customStyle="1" w:styleId="ZwrotgrzecznociowyZnak">
    <w:name w:val="Zwrot grzecznościowy Znak"/>
    <w:link w:val="Zwrotgrzecznociowy"/>
    <w:uiPriority w:val="99"/>
    <w:semiHidden/>
    <w:locked/>
    <w:rsid w:val="006544C4"/>
    <w:rPr>
      <w:rFonts w:eastAsia="MS Mincho"/>
      <w:sz w:val="24"/>
      <w:szCs w:val="24"/>
    </w:rPr>
  </w:style>
  <w:style w:type="paragraph" w:styleId="Podpis">
    <w:name w:val="Signature"/>
    <w:basedOn w:val="Normalny"/>
    <w:link w:val="PodpisZnak"/>
    <w:uiPriority w:val="99"/>
    <w:semiHidden/>
    <w:rsid w:val="006544C4"/>
    <w:pPr>
      <w:ind w:left="4252"/>
    </w:pPr>
  </w:style>
  <w:style w:type="character" w:customStyle="1" w:styleId="PodpisZnak">
    <w:name w:val="Podpis Znak"/>
    <w:link w:val="Podpis"/>
    <w:uiPriority w:val="99"/>
    <w:semiHidden/>
    <w:locked/>
    <w:rsid w:val="006544C4"/>
    <w:rPr>
      <w:rFonts w:eastAsia="MS Mincho"/>
      <w:sz w:val="24"/>
      <w:szCs w:val="24"/>
    </w:rPr>
  </w:style>
  <w:style w:type="table" w:styleId="Tabela-Efekty3W1">
    <w:name w:val="Table 3D effects 1"/>
    <w:basedOn w:val="Standardowy"/>
    <w:uiPriority w:val="99"/>
    <w:semiHidden/>
    <w:rsid w:val="006544C4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6544C4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6544C4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6544C4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6544C4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6544C4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6544C4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6544C4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6544C4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6544C4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6544C4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6544C4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6544C4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6544C4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6544C4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6544C4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6544C4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6544C4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6544C4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6544C4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6544C4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6544C4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6544C4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6544C4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6544C4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6544C4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6544C4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6544C4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6544C4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6544C4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6544C4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6544C4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6544C4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6544C4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6544C4"/>
  </w:style>
  <w:style w:type="table" w:styleId="Tabela-Profesjonalny">
    <w:name w:val="Table Professional"/>
    <w:basedOn w:val="Standardowy"/>
    <w:uiPriority w:val="99"/>
    <w:semiHidden/>
    <w:rsid w:val="006544C4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6544C4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6544C4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6544C4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6544C4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6544C4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6544C4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6544C4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6544C4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6544C4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F9130D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  <w:szCs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F9130D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  <w:szCs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6544C4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6544C4"/>
    <w:pPr>
      <w:spacing w:after="100"/>
      <w:ind w:left="1920"/>
    </w:pPr>
  </w:style>
  <w:style w:type="character" w:customStyle="1" w:styleId="sb8d990e2">
    <w:name w:val="sb8d990e2"/>
    <w:basedOn w:val="Domylnaczcionkaakapitu"/>
    <w:uiPriority w:val="99"/>
    <w:rsid w:val="00934A97"/>
  </w:style>
  <w:style w:type="paragraph" w:customStyle="1" w:styleId="ECHRFooter">
    <w:name w:val="ECHR_Footer"/>
    <w:aliases w:val="Footer_ECHR"/>
    <w:basedOn w:val="Stopka"/>
    <w:uiPriority w:val="99"/>
    <w:semiHidden/>
    <w:rsid w:val="00F9130D"/>
    <w:pPr>
      <w:jc w:val="left"/>
    </w:pPr>
    <w:rPr>
      <w:sz w:val="8"/>
      <w:szCs w:val="8"/>
    </w:rPr>
  </w:style>
  <w:style w:type="paragraph" w:customStyle="1" w:styleId="ECHRFooterLine">
    <w:name w:val="ECHR_Footer_Line"/>
    <w:aliases w:val="Footer_Line"/>
    <w:basedOn w:val="Normalny"/>
    <w:next w:val="ECHRFooter"/>
    <w:uiPriority w:val="99"/>
    <w:semiHidden/>
    <w:rsid w:val="00F9130D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JuCase">
    <w:name w:val="Ju_Case"/>
    <w:basedOn w:val="Normalny"/>
    <w:next w:val="ECHRPara"/>
    <w:uiPriority w:val="99"/>
    <w:rsid w:val="00F9130D"/>
    <w:pPr>
      <w:ind w:firstLine="284"/>
    </w:pPr>
    <w:rPr>
      <w:b/>
      <w:bCs/>
    </w:rPr>
  </w:style>
  <w:style w:type="paragraph" w:customStyle="1" w:styleId="JuHeaderLandscape">
    <w:name w:val="Ju_Header_Landscape"/>
    <w:basedOn w:val="ECHRHeader"/>
    <w:uiPriority w:val="99"/>
    <w:rsid w:val="00F9130D"/>
    <w:pPr>
      <w:tabs>
        <w:tab w:val="clear" w:pos="3686"/>
        <w:tab w:val="clear" w:pos="7371"/>
        <w:tab w:val="center" w:pos="6146"/>
        <w:tab w:val="right" w:pos="12293"/>
      </w:tabs>
    </w:pPr>
  </w:style>
  <w:style w:type="character" w:customStyle="1" w:styleId="ECHRParaChar">
    <w:name w:val="ECHR_Para Char"/>
    <w:aliases w:val="Ju_Para Char"/>
    <w:link w:val="ECHRPara"/>
    <w:uiPriority w:val="99"/>
    <w:locked/>
    <w:rsid w:val="00093F7B"/>
    <w:rPr>
      <w:rFonts w:eastAsia="MS Mincho"/>
      <w:sz w:val="24"/>
      <w:szCs w:val="24"/>
    </w:rPr>
  </w:style>
  <w:style w:type="character" w:customStyle="1" w:styleId="s4f807e54">
    <w:name w:val="s4f807e54"/>
    <w:uiPriority w:val="99"/>
    <w:rsid w:val="00C84491"/>
  </w:style>
  <w:style w:type="paragraph" w:customStyle="1" w:styleId="s50c0b1c7">
    <w:name w:val="s50c0b1c7"/>
    <w:basedOn w:val="Normalny"/>
    <w:uiPriority w:val="99"/>
    <w:rsid w:val="006760D2"/>
    <w:pPr>
      <w:spacing w:before="100" w:beforeAutospacing="1" w:after="100" w:afterAutospacing="1"/>
      <w:jc w:val="left"/>
    </w:pPr>
    <w:rPr>
      <w:rFonts w:eastAsia="Times New Roman"/>
      <w:lang w:val="en-GB" w:eastAsia="en-GB"/>
    </w:rPr>
  </w:style>
  <w:style w:type="character" w:customStyle="1" w:styleId="s3aeeab2">
    <w:name w:val="s3aeeab2"/>
    <w:basedOn w:val="Domylnaczcionkaakapitu"/>
    <w:uiPriority w:val="99"/>
    <w:rsid w:val="006760D2"/>
  </w:style>
  <w:style w:type="character" w:customStyle="1" w:styleId="sfbbfee58">
    <w:name w:val="sfbbfee58"/>
    <w:basedOn w:val="Domylnaczcionkaakapitu"/>
    <w:uiPriority w:val="99"/>
    <w:rsid w:val="006760D2"/>
  </w:style>
  <w:style w:type="character" w:customStyle="1" w:styleId="tlid-translation">
    <w:name w:val="tlid-translation"/>
    <w:rsid w:val="00496B01"/>
  </w:style>
  <w:style w:type="numbering" w:styleId="111111">
    <w:name w:val="Outline List 2"/>
    <w:basedOn w:val="Bezlisty"/>
    <w:uiPriority w:val="99"/>
    <w:semiHidden/>
    <w:unhideWhenUsed/>
    <w:locked/>
    <w:rsid w:val="00CB6355"/>
    <w:pPr>
      <w:numPr>
        <w:numId w:val="11"/>
      </w:numPr>
    </w:pPr>
  </w:style>
  <w:style w:type="numbering" w:styleId="1ai">
    <w:name w:val="Outline List 1"/>
    <w:basedOn w:val="Bezlisty"/>
    <w:uiPriority w:val="99"/>
    <w:semiHidden/>
    <w:unhideWhenUsed/>
    <w:locked/>
    <w:rsid w:val="00CB6355"/>
    <w:pPr>
      <w:numPr>
        <w:numId w:val="12"/>
      </w:numPr>
    </w:pPr>
  </w:style>
  <w:style w:type="numbering" w:styleId="Artykusekcja">
    <w:name w:val="Outline List 3"/>
    <w:basedOn w:val="Bezlisty"/>
    <w:uiPriority w:val="99"/>
    <w:semiHidden/>
    <w:unhideWhenUsed/>
    <w:locked/>
    <w:rsid w:val="00CB6355"/>
    <w:pPr>
      <w:numPr>
        <w:numId w:val="1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uiPriority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130D"/>
    <w:pPr>
      <w:jc w:val="both"/>
    </w:pPr>
    <w:rPr>
      <w:rFonts w:eastAsia="MS Mincho"/>
      <w:sz w:val="24"/>
      <w:szCs w:val="24"/>
      <w:lang w:val="en-US"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F9130D"/>
    <w:pPr>
      <w:spacing w:before="480"/>
      <w:outlineLvl w:val="0"/>
    </w:pPr>
    <w:rPr>
      <w:rFonts w:eastAsia="MS Gothic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9130D"/>
    <w:pPr>
      <w:spacing w:before="200"/>
      <w:outlineLvl w:val="1"/>
    </w:pPr>
    <w:rPr>
      <w:rFonts w:eastAsia="MS Gothic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F9130D"/>
    <w:pPr>
      <w:spacing w:before="200" w:line="271" w:lineRule="auto"/>
      <w:outlineLvl w:val="2"/>
    </w:pPr>
    <w:rPr>
      <w:rFonts w:eastAsia="MS Gothic"/>
      <w:b/>
      <w:bCs/>
      <w:color w:val="5F5F5F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F9130D"/>
    <w:pPr>
      <w:spacing w:before="200"/>
      <w:outlineLvl w:val="3"/>
    </w:pPr>
    <w:rPr>
      <w:rFonts w:eastAsia="MS Gothic"/>
      <w:b/>
      <w:bCs/>
      <w:i/>
      <w:iCs/>
      <w:color w:val="777777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F9130D"/>
    <w:pPr>
      <w:spacing w:before="200"/>
      <w:outlineLvl w:val="4"/>
    </w:pPr>
    <w:rPr>
      <w:rFonts w:eastAsia="MS Gothic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F9130D"/>
    <w:pPr>
      <w:spacing w:line="271" w:lineRule="auto"/>
      <w:outlineLvl w:val="5"/>
    </w:pPr>
    <w:rPr>
      <w:rFonts w:eastAsia="MS Gothic"/>
      <w:b/>
      <w:bCs/>
      <w:i/>
      <w:iCs/>
      <w:color w:val="7F7F7F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F9130D"/>
    <w:pPr>
      <w:outlineLvl w:val="6"/>
    </w:pPr>
    <w:rPr>
      <w:rFonts w:eastAsia="MS Gothic"/>
      <w:i/>
      <w:i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F9130D"/>
    <w:pPr>
      <w:outlineLvl w:val="7"/>
    </w:pPr>
    <w:rPr>
      <w:rFonts w:eastAsia="MS Gothic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F9130D"/>
    <w:pPr>
      <w:outlineLvl w:val="8"/>
    </w:pPr>
    <w:rPr>
      <w:rFonts w:eastAsia="MS Gothic"/>
      <w:i/>
      <w:iCs/>
      <w:spacing w:val="5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semiHidden/>
    <w:locked/>
    <w:rsid w:val="00F9130D"/>
    <w:rPr>
      <w:rFonts w:ascii="Times New Roman" w:eastAsia="MS Gothic" w:hAnsi="Times New Roman" w:cs="Times New Roman"/>
      <w:b/>
      <w:bCs/>
      <w:color w:val="333333"/>
      <w:sz w:val="28"/>
      <w:szCs w:val="28"/>
    </w:rPr>
  </w:style>
  <w:style w:type="character" w:customStyle="1" w:styleId="Nagwek2Znak">
    <w:name w:val="Nagłówek 2 Znak"/>
    <w:link w:val="Nagwek2"/>
    <w:uiPriority w:val="99"/>
    <w:semiHidden/>
    <w:locked/>
    <w:rsid w:val="00F9130D"/>
    <w:rPr>
      <w:rFonts w:ascii="Times New Roman" w:eastAsia="MS Gothic" w:hAnsi="Times New Roman" w:cs="Times New Roman"/>
      <w:b/>
      <w:bCs/>
      <w:color w:val="4D4D4D"/>
      <w:sz w:val="26"/>
      <w:szCs w:val="26"/>
    </w:rPr>
  </w:style>
  <w:style w:type="character" w:customStyle="1" w:styleId="Nagwek3Znak">
    <w:name w:val="Nagłówek 3 Znak"/>
    <w:link w:val="Nagwek3"/>
    <w:uiPriority w:val="99"/>
    <w:semiHidden/>
    <w:locked/>
    <w:rsid w:val="00F9130D"/>
    <w:rPr>
      <w:rFonts w:ascii="Times New Roman" w:eastAsia="MS Gothic" w:hAnsi="Times New Roman" w:cs="Times New Roman"/>
      <w:b/>
      <w:bCs/>
      <w:color w:val="5F5F5F"/>
      <w:sz w:val="24"/>
      <w:szCs w:val="24"/>
    </w:rPr>
  </w:style>
  <w:style w:type="character" w:customStyle="1" w:styleId="Nagwek4Znak">
    <w:name w:val="Nagłówek 4 Znak"/>
    <w:link w:val="Nagwek4"/>
    <w:uiPriority w:val="99"/>
    <w:semiHidden/>
    <w:locked/>
    <w:rsid w:val="00F9130D"/>
    <w:rPr>
      <w:rFonts w:ascii="Times New Roman" w:eastAsia="MS Gothic" w:hAnsi="Times New Roman" w:cs="Times New Roman"/>
      <w:b/>
      <w:bCs/>
      <w:i/>
      <w:iCs/>
      <w:color w:val="777777"/>
      <w:sz w:val="24"/>
      <w:szCs w:val="24"/>
    </w:rPr>
  </w:style>
  <w:style w:type="character" w:customStyle="1" w:styleId="Nagwek5Znak">
    <w:name w:val="Nagłówek 5 Znak"/>
    <w:link w:val="Nagwek5"/>
    <w:uiPriority w:val="99"/>
    <w:semiHidden/>
    <w:locked/>
    <w:rsid w:val="00F9130D"/>
    <w:rPr>
      <w:rFonts w:ascii="Times New Roman" w:eastAsia="MS Gothic" w:hAnsi="Times New Roman" w:cs="Times New Roman"/>
      <w:b/>
      <w:bCs/>
      <w:color w:val="808080"/>
    </w:rPr>
  </w:style>
  <w:style w:type="character" w:customStyle="1" w:styleId="Nagwek6Znak">
    <w:name w:val="Nagłówek 6 Znak"/>
    <w:link w:val="Nagwek6"/>
    <w:uiPriority w:val="99"/>
    <w:semiHidden/>
    <w:locked/>
    <w:rsid w:val="00F9130D"/>
    <w:rPr>
      <w:rFonts w:ascii="Times New Roman" w:eastAsia="MS Gothic" w:hAnsi="Times New Roman" w:cs="Times New Roman"/>
      <w:b/>
      <w:bCs/>
      <w:i/>
      <w:iCs/>
      <w:color w:val="7F7F7F"/>
      <w:sz w:val="24"/>
      <w:szCs w:val="24"/>
    </w:rPr>
  </w:style>
  <w:style w:type="character" w:customStyle="1" w:styleId="Nagwek7Znak">
    <w:name w:val="Nagłówek 7 Znak"/>
    <w:link w:val="Nagwek7"/>
    <w:uiPriority w:val="99"/>
    <w:semiHidden/>
    <w:locked/>
    <w:rsid w:val="00F9130D"/>
    <w:rPr>
      <w:rFonts w:ascii="Times New Roman" w:eastAsia="MS Gothic" w:hAnsi="Times New Roman" w:cs="Times New Roman"/>
      <w:i/>
      <w:iCs/>
    </w:rPr>
  </w:style>
  <w:style w:type="character" w:customStyle="1" w:styleId="Nagwek8Znak">
    <w:name w:val="Nagłówek 8 Znak"/>
    <w:link w:val="Nagwek8"/>
    <w:uiPriority w:val="99"/>
    <w:semiHidden/>
    <w:locked/>
    <w:rsid w:val="00F9130D"/>
    <w:rPr>
      <w:rFonts w:ascii="Times New Roman" w:eastAsia="MS Gothic" w:hAnsi="Times New Roman" w:cs="Times New Roman"/>
      <w:sz w:val="20"/>
      <w:szCs w:val="20"/>
    </w:rPr>
  </w:style>
  <w:style w:type="character" w:customStyle="1" w:styleId="Nagwek9Znak">
    <w:name w:val="Nagłówek 9 Znak"/>
    <w:link w:val="Nagwek9"/>
    <w:uiPriority w:val="99"/>
    <w:semiHidden/>
    <w:locked/>
    <w:rsid w:val="00F9130D"/>
    <w:rPr>
      <w:rFonts w:ascii="Times New Roman" w:eastAsia="MS Gothic" w:hAnsi="Times New Roman" w:cs="Times New Roman"/>
      <w:i/>
      <w:iCs/>
      <w:spacing w:val="5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F9130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F9130D"/>
    <w:rPr>
      <w:rFonts w:ascii="Tahoma" w:eastAsia="MS Mincho" w:hAnsi="Tahoma" w:cs="Tahoma"/>
      <w:sz w:val="16"/>
      <w:szCs w:val="16"/>
    </w:rPr>
  </w:style>
  <w:style w:type="character" w:styleId="Tytuksiki">
    <w:name w:val="Book Title"/>
    <w:uiPriority w:val="99"/>
    <w:qFormat/>
    <w:rsid w:val="00F9130D"/>
    <w:rPr>
      <w:i/>
      <w:iCs/>
      <w:smallCaps/>
      <w:spacing w:val="5"/>
    </w:rPr>
  </w:style>
  <w:style w:type="paragraph" w:customStyle="1" w:styleId="ECHRHeader">
    <w:name w:val="ECHR_Header"/>
    <w:aliases w:val="Ju_Header"/>
    <w:basedOn w:val="Nagwek"/>
    <w:uiPriority w:val="99"/>
    <w:rsid w:val="00F9130D"/>
    <w:pPr>
      <w:tabs>
        <w:tab w:val="clear" w:pos="4536"/>
        <w:tab w:val="clear" w:pos="9072"/>
        <w:tab w:val="center" w:pos="3686"/>
        <w:tab w:val="right" w:pos="7371"/>
      </w:tabs>
      <w:jc w:val="left"/>
    </w:pPr>
    <w:rPr>
      <w:sz w:val="18"/>
      <w:szCs w:val="18"/>
    </w:rPr>
  </w:style>
  <w:style w:type="paragraph" w:customStyle="1" w:styleId="JuAppQuestion">
    <w:name w:val="Ju_App_Question"/>
    <w:basedOn w:val="Normalny"/>
    <w:uiPriority w:val="99"/>
    <w:rsid w:val="00F9130D"/>
    <w:pPr>
      <w:numPr>
        <w:numId w:val="1"/>
      </w:numPr>
      <w:tabs>
        <w:tab w:val="clear" w:pos="643"/>
        <w:tab w:val="num" w:pos="720"/>
      </w:tabs>
      <w:ind w:left="720"/>
      <w:jc w:val="left"/>
    </w:pPr>
    <w:rPr>
      <w:b/>
      <w:bCs/>
    </w:rPr>
  </w:style>
  <w:style w:type="character" w:styleId="Pogrubienie">
    <w:name w:val="Strong"/>
    <w:uiPriority w:val="99"/>
    <w:qFormat/>
    <w:rsid w:val="00F9130D"/>
    <w:rPr>
      <w:b/>
      <w:bCs/>
    </w:rPr>
  </w:style>
  <w:style w:type="paragraph" w:styleId="Bezodstpw">
    <w:name w:val="No Spacing"/>
    <w:basedOn w:val="Normalny"/>
    <w:link w:val="BezodstpwZnak"/>
    <w:uiPriority w:val="99"/>
    <w:qFormat/>
    <w:rsid w:val="00F9130D"/>
    <w:rPr>
      <w:sz w:val="22"/>
      <w:szCs w:val="22"/>
    </w:rPr>
  </w:style>
  <w:style w:type="character" w:customStyle="1" w:styleId="BezodstpwZnak">
    <w:name w:val="Bez odstępów Znak"/>
    <w:link w:val="Bezodstpw"/>
    <w:uiPriority w:val="99"/>
    <w:semiHidden/>
    <w:locked/>
    <w:rsid w:val="00F9130D"/>
    <w:rPr>
      <w:rFonts w:eastAsia="MS Mincho"/>
    </w:rPr>
  </w:style>
  <w:style w:type="paragraph" w:customStyle="1" w:styleId="OpiPara">
    <w:name w:val="Opi_Para"/>
    <w:basedOn w:val="ECHRPara"/>
    <w:uiPriority w:val="99"/>
    <w:rsid w:val="00F9130D"/>
  </w:style>
  <w:style w:type="paragraph" w:customStyle="1" w:styleId="ECHRParaQuote">
    <w:name w:val="ECHR_Para_Quote"/>
    <w:aliases w:val="Ju_Quot"/>
    <w:basedOn w:val="Normalny"/>
    <w:uiPriority w:val="99"/>
    <w:rsid w:val="00F9130D"/>
    <w:pPr>
      <w:spacing w:before="120" w:after="120"/>
      <w:ind w:left="425" w:firstLine="142"/>
    </w:pPr>
    <w:rPr>
      <w:sz w:val="20"/>
      <w:szCs w:val="20"/>
    </w:rPr>
  </w:style>
  <w:style w:type="paragraph" w:customStyle="1" w:styleId="JuParaSub">
    <w:name w:val="Ju_Para_Sub"/>
    <w:basedOn w:val="ECHRPara"/>
    <w:uiPriority w:val="99"/>
    <w:rsid w:val="00F9130D"/>
    <w:pPr>
      <w:ind w:left="284"/>
    </w:pPr>
  </w:style>
  <w:style w:type="paragraph" w:customStyle="1" w:styleId="OpiParaSub">
    <w:name w:val="Opi_Para_Sub"/>
    <w:basedOn w:val="JuParaSub"/>
    <w:uiPriority w:val="99"/>
    <w:rsid w:val="00F9130D"/>
  </w:style>
  <w:style w:type="paragraph" w:customStyle="1" w:styleId="OpiQuot">
    <w:name w:val="Opi_Quot"/>
    <w:basedOn w:val="ECHRParaQuote"/>
    <w:uiPriority w:val="99"/>
    <w:rsid w:val="00F9130D"/>
  </w:style>
  <w:style w:type="paragraph" w:customStyle="1" w:styleId="OpiQuotSub">
    <w:name w:val="Opi_Quot_Sub"/>
    <w:basedOn w:val="JuQuotSub"/>
    <w:uiPriority w:val="99"/>
    <w:rsid w:val="00F9130D"/>
  </w:style>
  <w:style w:type="paragraph" w:customStyle="1" w:styleId="ECHRTitleCentre3">
    <w:name w:val="ECHR_Title_Centre_3"/>
    <w:aliases w:val="Ju_H_Article"/>
    <w:basedOn w:val="Normalny"/>
    <w:next w:val="ECHRParaQuote"/>
    <w:uiPriority w:val="99"/>
    <w:rsid w:val="00F9130D"/>
    <w:pPr>
      <w:keepNext/>
      <w:keepLines/>
      <w:spacing w:before="240" w:after="120"/>
      <w:jc w:val="center"/>
      <w:outlineLvl w:val="3"/>
    </w:pPr>
    <w:rPr>
      <w:b/>
      <w:bCs/>
      <w:sz w:val="20"/>
      <w:szCs w:val="20"/>
    </w:rPr>
  </w:style>
  <w:style w:type="paragraph" w:customStyle="1" w:styleId="ECHRTitleCentre1">
    <w:name w:val="ECHR_Title_Centre_1"/>
    <w:aliases w:val="Opi_H_Head"/>
    <w:basedOn w:val="Normalny"/>
    <w:next w:val="OpiPara"/>
    <w:uiPriority w:val="99"/>
    <w:rsid w:val="00F9130D"/>
    <w:pPr>
      <w:keepNext/>
      <w:keepLines/>
      <w:spacing w:after="240"/>
      <w:jc w:val="center"/>
      <w:outlineLvl w:val="0"/>
    </w:pPr>
    <w:rPr>
      <w:sz w:val="28"/>
      <w:szCs w:val="28"/>
    </w:rPr>
  </w:style>
  <w:style w:type="paragraph" w:customStyle="1" w:styleId="JuQuotSub">
    <w:name w:val="Ju_Quot_Sub"/>
    <w:basedOn w:val="ECHRParaQuote"/>
    <w:uiPriority w:val="99"/>
    <w:rsid w:val="00F9130D"/>
    <w:pPr>
      <w:ind w:left="567"/>
    </w:pPr>
  </w:style>
  <w:style w:type="paragraph" w:customStyle="1" w:styleId="ECHRTitle1">
    <w:name w:val="ECHR_Title_1"/>
    <w:aliases w:val="Ju_H_Head"/>
    <w:basedOn w:val="Normalny"/>
    <w:next w:val="ECHRPara"/>
    <w:uiPriority w:val="99"/>
    <w:rsid w:val="00F9130D"/>
    <w:pPr>
      <w:keepNext/>
      <w:keepLines/>
      <w:spacing w:before="720" w:after="240"/>
      <w:outlineLvl w:val="0"/>
    </w:pPr>
    <w:rPr>
      <w:sz w:val="28"/>
      <w:szCs w:val="28"/>
    </w:rPr>
  </w:style>
  <w:style w:type="paragraph" w:customStyle="1" w:styleId="JuInitialled">
    <w:name w:val="Ju_Initialled"/>
    <w:basedOn w:val="Normalny"/>
    <w:uiPriority w:val="99"/>
    <w:rsid w:val="00F9130D"/>
    <w:pPr>
      <w:tabs>
        <w:tab w:val="center" w:pos="6407"/>
      </w:tabs>
      <w:spacing w:before="720"/>
      <w:jc w:val="right"/>
    </w:pPr>
  </w:style>
  <w:style w:type="paragraph" w:styleId="Tytu">
    <w:name w:val="Title"/>
    <w:basedOn w:val="Normalny"/>
    <w:next w:val="Normalny"/>
    <w:link w:val="TytuZnak"/>
    <w:uiPriority w:val="99"/>
    <w:qFormat/>
    <w:rsid w:val="00F9130D"/>
    <w:pPr>
      <w:pBdr>
        <w:bottom w:val="single" w:sz="4" w:space="1" w:color="auto"/>
      </w:pBdr>
    </w:pPr>
    <w:rPr>
      <w:rFonts w:eastAsia="MS Gothic"/>
      <w:spacing w:val="5"/>
      <w:sz w:val="52"/>
      <w:szCs w:val="52"/>
    </w:rPr>
  </w:style>
  <w:style w:type="character" w:customStyle="1" w:styleId="TytuZnak">
    <w:name w:val="Tytuł Znak"/>
    <w:link w:val="Tytu"/>
    <w:uiPriority w:val="99"/>
    <w:semiHidden/>
    <w:locked/>
    <w:rsid w:val="00F9130D"/>
    <w:rPr>
      <w:rFonts w:ascii="Times New Roman" w:eastAsia="MS Gothic" w:hAnsi="Times New Roman" w:cs="Times New Roman"/>
      <w:spacing w:val="5"/>
      <w:sz w:val="52"/>
      <w:szCs w:val="52"/>
    </w:rPr>
  </w:style>
  <w:style w:type="paragraph" w:customStyle="1" w:styleId="OpiHA">
    <w:name w:val="Opi_H_A"/>
    <w:basedOn w:val="ECHRHeading1"/>
    <w:next w:val="OpiPara"/>
    <w:uiPriority w:val="99"/>
    <w:rsid w:val="00F9130D"/>
    <w:pPr>
      <w:tabs>
        <w:tab w:val="clear" w:pos="357"/>
      </w:tabs>
      <w:outlineLvl w:val="1"/>
    </w:pPr>
    <w:rPr>
      <w:b/>
      <w:bCs/>
    </w:rPr>
  </w:style>
  <w:style w:type="character" w:customStyle="1" w:styleId="JUNAMES">
    <w:name w:val="JU_NAMES"/>
    <w:uiPriority w:val="99"/>
    <w:rsid w:val="00F9130D"/>
    <w:rPr>
      <w:smallCaps/>
    </w:rPr>
  </w:style>
  <w:style w:type="character" w:customStyle="1" w:styleId="JuITMark">
    <w:name w:val="Ju_ITMark"/>
    <w:uiPriority w:val="99"/>
    <w:rsid w:val="00F9130D"/>
    <w:rPr>
      <w:color w:val="auto"/>
      <w:sz w:val="14"/>
      <w:szCs w:val="14"/>
      <w:shd w:val="clear" w:color="auto" w:fill="BEE5FF"/>
    </w:rPr>
  </w:style>
  <w:style w:type="paragraph" w:customStyle="1" w:styleId="OpiTranslation">
    <w:name w:val="Opi_Translation"/>
    <w:basedOn w:val="Normalny"/>
    <w:next w:val="OpiPara"/>
    <w:uiPriority w:val="99"/>
    <w:rsid w:val="00F9130D"/>
    <w:pPr>
      <w:jc w:val="center"/>
      <w:outlineLvl w:val="0"/>
    </w:pPr>
    <w:rPr>
      <w:i/>
      <w:iCs/>
    </w:rPr>
  </w:style>
  <w:style w:type="paragraph" w:customStyle="1" w:styleId="JuCourt">
    <w:name w:val="Ju_Court"/>
    <w:basedOn w:val="Normalny"/>
    <w:next w:val="Normalny"/>
    <w:uiPriority w:val="99"/>
    <w:rsid w:val="00F9130D"/>
    <w:pPr>
      <w:tabs>
        <w:tab w:val="left" w:pos="907"/>
        <w:tab w:val="left" w:pos="1701"/>
        <w:tab w:val="right" w:pos="7371"/>
      </w:tabs>
      <w:spacing w:before="240"/>
      <w:ind w:left="397" w:hanging="397"/>
      <w:jc w:val="left"/>
    </w:pPr>
  </w:style>
  <w:style w:type="paragraph" w:customStyle="1" w:styleId="ECHRHeading1">
    <w:name w:val="ECHR_Heading_1"/>
    <w:aliases w:val="Ju_H_I_Roman"/>
    <w:basedOn w:val="Nagwek1"/>
    <w:next w:val="ECHRPara"/>
    <w:uiPriority w:val="99"/>
    <w:rsid w:val="00F9130D"/>
    <w:pPr>
      <w:keepNext/>
      <w:keepLines/>
      <w:tabs>
        <w:tab w:val="left" w:pos="357"/>
      </w:tabs>
      <w:spacing w:before="360" w:after="240"/>
      <w:ind w:left="357" w:hanging="357"/>
    </w:pPr>
    <w:rPr>
      <w:b w:val="0"/>
      <w:bCs w:val="0"/>
      <w:color w:val="auto"/>
      <w:sz w:val="24"/>
      <w:szCs w:val="24"/>
    </w:rPr>
  </w:style>
  <w:style w:type="paragraph" w:customStyle="1" w:styleId="ECHRHeading2">
    <w:name w:val="ECHR_Heading_2"/>
    <w:aliases w:val="Ju_H_A"/>
    <w:basedOn w:val="Nagwek2"/>
    <w:next w:val="ECHRPara"/>
    <w:uiPriority w:val="99"/>
    <w:rsid w:val="00F9130D"/>
    <w:pPr>
      <w:keepNext/>
      <w:keepLines/>
      <w:tabs>
        <w:tab w:val="left" w:pos="584"/>
      </w:tabs>
      <w:spacing w:before="360" w:after="240"/>
      <w:ind w:left="584" w:hanging="352"/>
    </w:pPr>
    <w:rPr>
      <w:color w:val="auto"/>
      <w:sz w:val="24"/>
      <w:szCs w:val="24"/>
    </w:rPr>
  </w:style>
  <w:style w:type="paragraph" w:customStyle="1" w:styleId="ECHRHeading3">
    <w:name w:val="ECHR_Heading_3"/>
    <w:aliases w:val="Ju_H_1."/>
    <w:basedOn w:val="Nagwek3"/>
    <w:next w:val="ECHRPara"/>
    <w:uiPriority w:val="99"/>
    <w:rsid w:val="00F9130D"/>
    <w:pPr>
      <w:keepNext/>
      <w:keepLines/>
      <w:tabs>
        <w:tab w:val="left" w:pos="731"/>
      </w:tabs>
      <w:spacing w:before="240" w:after="120" w:line="240" w:lineRule="auto"/>
      <w:ind w:left="732" w:hanging="301"/>
    </w:pPr>
    <w:rPr>
      <w:b w:val="0"/>
      <w:bCs w:val="0"/>
      <w:i/>
      <w:iCs/>
      <w:color w:val="auto"/>
    </w:rPr>
  </w:style>
  <w:style w:type="paragraph" w:styleId="Nagwek">
    <w:name w:val="header"/>
    <w:basedOn w:val="Normalny"/>
    <w:link w:val="NagwekZnak"/>
    <w:uiPriority w:val="99"/>
    <w:semiHidden/>
    <w:rsid w:val="00F9130D"/>
    <w:pPr>
      <w:tabs>
        <w:tab w:val="center" w:pos="4536"/>
        <w:tab w:val="right" w:pos="9072"/>
      </w:tabs>
    </w:pPr>
    <w:rPr>
      <w:rFonts w:eastAsia="Times New Roman"/>
    </w:rPr>
  </w:style>
  <w:style w:type="character" w:customStyle="1" w:styleId="NagwekZnak">
    <w:name w:val="Nagłówek Znak"/>
    <w:link w:val="Nagwek"/>
    <w:uiPriority w:val="99"/>
    <w:semiHidden/>
    <w:locked/>
    <w:rsid w:val="00F9130D"/>
    <w:rPr>
      <w:sz w:val="24"/>
      <w:szCs w:val="24"/>
    </w:rPr>
  </w:style>
  <w:style w:type="paragraph" w:customStyle="1" w:styleId="ECHRHeading4">
    <w:name w:val="ECHR_Heading_4"/>
    <w:aliases w:val="Ju_H_a"/>
    <w:basedOn w:val="Nagwek4"/>
    <w:next w:val="ECHRPara"/>
    <w:uiPriority w:val="99"/>
    <w:rsid w:val="00F9130D"/>
    <w:pPr>
      <w:keepNext/>
      <w:keepLines/>
      <w:tabs>
        <w:tab w:val="left" w:pos="975"/>
      </w:tabs>
      <w:spacing w:before="240" w:after="120"/>
      <w:ind w:left="975" w:hanging="340"/>
    </w:pPr>
    <w:rPr>
      <w:i w:val="0"/>
      <w:iCs w:val="0"/>
      <w:color w:val="auto"/>
      <w:sz w:val="20"/>
      <w:szCs w:val="20"/>
    </w:rPr>
  </w:style>
  <w:style w:type="paragraph" w:customStyle="1" w:styleId="ECHRHeading5">
    <w:name w:val="ECHR_Heading_5"/>
    <w:aliases w:val="Ju_H_i"/>
    <w:basedOn w:val="Nagwek5"/>
    <w:next w:val="ECHRPara"/>
    <w:uiPriority w:val="99"/>
    <w:rsid w:val="00F9130D"/>
    <w:pPr>
      <w:keepNext/>
      <w:keepLines/>
      <w:tabs>
        <w:tab w:val="left" w:pos="1191"/>
      </w:tabs>
      <w:spacing w:before="240" w:after="120"/>
      <w:ind w:left="1190" w:hanging="357"/>
    </w:pPr>
    <w:rPr>
      <w:b w:val="0"/>
      <w:bCs w:val="0"/>
      <w:i/>
      <w:iCs/>
      <w:color w:val="auto"/>
      <w:sz w:val="20"/>
      <w:szCs w:val="20"/>
    </w:rPr>
  </w:style>
  <w:style w:type="paragraph" w:customStyle="1" w:styleId="ECHRHeading6">
    <w:name w:val="ECHR_Heading_6"/>
    <w:aliases w:val="Ju_H_alpha"/>
    <w:basedOn w:val="Nagwek6"/>
    <w:next w:val="ECHRPara"/>
    <w:uiPriority w:val="99"/>
    <w:rsid w:val="00F9130D"/>
    <w:pPr>
      <w:keepNext/>
      <w:keepLines/>
      <w:tabs>
        <w:tab w:val="left" w:pos="1372"/>
      </w:tabs>
      <w:spacing w:before="240" w:after="120" w:line="240" w:lineRule="auto"/>
      <w:ind w:left="1373" w:hanging="335"/>
    </w:pPr>
    <w:rPr>
      <w:b w:val="0"/>
      <w:bCs w:val="0"/>
      <w:i w:val="0"/>
      <w:iCs w:val="0"/>
      <w:color w:val="auto"/>
      <w:sz w:val="20"/>
      <w:szCs w:val="20"/>
    </w:rPr>
  </w:style>
  <w:style w:type="paragraph" w:customStyle="1" w:styleId="ECHRHeading7">
    <w:name w:val="ECHR_Heading_7"/>
    <w:aliases w:val="Ju_H_–"/>
    <w:basedOn w:val="Nagwek7"/>
    <w:next w:val="ECHRPara"/>
    <w:uiPriority w:val="99"/>
    <w:rsid w:val="00F9130D"/>
    <w:pPr>
      <w:keepNext/>
      <w:keepLines/>
      <w:spacing w:before="240" w:after="120"/>
      <w:ind w:left="1236"/>
    </w:pPr>
    <w:rPr>
      <w:sz w:val="20"/>
      <w:szCs w:val="20"/>
    </w:rPr>
  </w:style>
  <w:style w:type="paragraph" w:customStyle="1" w:styleId="JuParaLast">
    <w:name w:val="Ju_Para_Last"/>
    <w:basedOn w:val="Normalny"/>
    <w:next w:val="ECHRPara"/>
    <w:uiPriority w:val="99"/>
    <w:rsid w:val="00F9130D"/>
    <w:pPr>
      <w:keepNext/>
      <w:keepLines/>
      <w:spacing w:before="240"/>
      <w:ind w:firstLine="284"/>
    </w:pPr>
  </w:style>
  <w:style w:type="paragraph" w:customStyle="1" w:styleId="DecList">
    <w:name w:val="Dec_List"/>
    <w:basedOn w:val="Normalny"/>
    <w:uiPriority w:val="99"/>
    <w:rsid w:val="00F9130D"/>
    <w:pPr>
      <w:spacing w:before="240"/>
      <w:ind w:left="284"/>
    </w:pPr>
  </w:style>
  <w:style w:type="paragraph" w:customStyle="1" w:styleId="ECHRDecisionBody">
    <w:name w:val="ECHR_Decision_Body"/>
    <w:aliases w:val="Ju_Judges"/>
    <w:basedOn w:val="Normalny"/>
    <w:uiPriority w:val="99"/>
    <w:rsid w:val="00F9130D"/>
    <w:pPr>
      <w:tabs>
        <w:tab w:val="left" w:pos="567"/>
        <w:tab w:val="left" w:pos="1134"/>
      </w:tabs>
      <w:jc w:val="left"/>
    </w:pPr>
  </w:style>
  <w:style w:type="paragraph" w:customStyle="1" w:styleId="JuList">
    <w:name w:val="Ju_List"/>
    <w:basedOn w:val="Normalny"/>
    <w:uiPriority w:val="99"/>
    <w:rsid w:val="00F9130D"/>
    <w:pPr>
      <w:ind w:left="340" w:hanging="340"/>
    </w:pPr>
  </w:style>
  <w:style w:type="paragraph" w:customStyle="1" w:styleId="JuLista">
    <w:name w:val="Ju_List_a"/>
    <w:basedOn w:val="JuList"/>
    <w:uiPriority w:val="99"/>
    <w:rsid w:val="00F9130D"/>
    <w:pPr>
      <w:ind w:left="346" w:firstLine="0"/>
    </w:pPr>
  </w:style>
  <w:style w:type="character" w:styleId="Wyrnieniedelikatne">
    <w:name w:val="Subtle Emphasis"/>
    <w:uiPriority w:val="99"/>
    <w:qFormat/>
    <w:rsid w:val="00F9130D"/>
    <w:rPr>
      <w:i/>
      <w:iCs/>
    </w:rPr>
  </w:style>
  <w:style w:type="paragraph" w:customStyle="1" w:styleId="JuListi">
    <w:name w:val="Ju_List_i"/>
    <w:basedOn w:val="Normalny"/>
    <w:next w:val="JuLista"/>
    <w:uiPriority w:val="99"/>
    <w:rsid w:val="00F9130D"/>
    <w:pPr>
      <w:ind w:left="794"/>
    </w:pPr>
  </w:style>
  <w:style w:type="table" w:customStyle="1" w:styleId="ECHRTable">
    <w:name w:val="ECHR_Table"/>
    <w:uiPriority w:val="99"/>
    <w:rsid w:val="00860B03"/>
    <w:rPr>
      <w:lang w:val="en-GB"/>
    </w:rPr>
    <w:tblPr>
      <w:tblStyleRowBandSize w:val="1"/>
      <w:tblStyleColBandSize w:val="1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ECHRTableBoxHeader">
    <w:name w:val="ECHR_Table_Box_Header"/>
    <w:uiPriority w:val="99"/>
    <w:rsid w:val="004C086C"/>
    <w:rPr>
      <w:rFonts w:ascii="Verdana" w:hAnsi="Verdana" w:cs="Verdana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/>
    </w:tcPr>
  </w:style>
  <w:style w:type="paragraph" w:customStyle="1" w:styleId="OpiH1">
    <w:name w:val="Opi_H_1"/>
    <w:basedOn w:val="ECHRHeading2"/>
    <w:uiPriority w:val="99"/>
    <w:rsid w:val="00F9130D"/>
    <w:pPr>
      <w:ind w:left="635" w:hanging="357"/>
      <w:outlineLvl w:val="2"/>
    </w:pPr>
  </w:style>
  <w:style w:type="paragraph" w:customStyle="1" w:styleId="OpiHa0">
    <w:name w:val="Opi_H_a"/>
    <w:basedOn w:val="ECHRHeading3"/>
    <w:uiPriority w:val="99"/>
    <w:rsid w:val="00F9130D"/>
    <w:pPr>
      <w:ind w:left="833" w:hanging="357"/>
      <w:outlineLvl w:val="3"/>
    </w:pPr>
    <w:rPr>
      <w:b/>
      <w:bCs/>
      <w:i w:val="0"/>
      <w:iCs w:val="0"/>
      <w:sz w:val="20"/>
      <w:szCs w:val="20"/>
    </w:rPr>
  </w:style>
  <w:style w:type="paragraph" w:customStyle="1" w:styleId="ECHRTitleCentre2">
    <w:name w:val="ECHR_Title_Centre_2"/>
    <w:aliases w:val="Dec_H_Case"/>
    <w:basedOn w:val="Normalny"/>
    <w:next w:val="ECHRPara"/>
    <w:uiPriority w:val="99"/>
    <w:rsid w:val="00F9130D"/>
    <w:pPr>
      <w:spacing w:after="240"/>
      <w:jc w:val="center"/>
      <w:outlineLvl w:val="0"/>
    </w:pPr>
  </w:style>
  <w:style w:type="character" w:styleId="Uwydatnienie">
    <w:name w:val="Emphasis"/>
    <w:uiPriority w:val="99"/>
    <w:qFormat/>
    <w:rsid w:val="00F9130D"/>
    <w:rPr>
      <w:b/>
      <w:bCs/>
      <w:i/>
      <w:iCs/>
      <w:spacing w:val="10"/>
      <w:shd w:val="clear" w:color="auto" w:fill="auto"/>
    </w:rPr>
  </w:style>
  <w:style w:type="paragraph" w:styleId="Stopka">
    <w:name w:val="footer"/>
    <w:basedOn w:val="Normalny"/>
    <w:link w:val="StopkaZnak"/>
    <w:uiPriority w:val="99"/>
    <w:semiHidden/>
    <w:rsid w:val="00F9130D"/>
    <w:pPr>
      <w:tabs>
        <w:tab w:val="center" w:pos="4536"/>
        <w:tab w:val="right" w:pos="9696"/>
      </w:tabs>
      <w:ind w:left="-680" w:right="-680"/>
    </w:pPr>
    <w:rPr>
      <w:rFonts w:eastAsia="Times New Roman"/>
    </w:rPr>
  </w:style>
  <w:style w:type="character" w:customStyle="1" w:styleId="StopkaZnak">
    <w:name w:val="Stopka Znak"/>
    <w:link w:val="Stopka"/>
    <w:uiPriority w:val="99"/>
    <w:semiHidden/>
    <w:locked/>
    <w:rsid w:val="00F9130D"/>
    <w:rPr>
      <w:sz w:val="24"/>
      <w:szCs w:val="24"/>
    </w:rPr>
  </w:style>
  <w:style w:type="character" w:styleId="Odwoanieprzypisudolnego">
    <w:name w:val="footnote reference"/>
    <w:uiPriority w:val="99"/>
    <w:semiHidden/>
    <w:rsid w:val="00F9130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9130D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F9130D"/>
    <w:rPr>
      <w:rFonts w:eastAsia="MS Mincho"/>
      <w:sz w:val="20"/>
      <w:szCs w:val="20"/>
    </w:rPr>
  </w:style>
  <w:style w:type="character" w:styleId="Hipercze">
    <w:name w:val="Hyperlink"/>
    <w:uiPriority w:val="99"/>
    <w:semiHidden/>
    <w:rsid w:val="00F9130D"/>
    <w:rPr>
      <w:color w:val="0072BC"/>
      <w:u w:val="single"/>
    </w:rPr>
  </w:style>
  <w:style w:type="character" w:styleId="Wyrnienieintensywne">
    <w:name w:val="Intense Emphasis"/>
    <w:uiPriority w:val="99"/>
    <w:qFormat/>
    <w:rsid w:val="00F9130D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9"/>
    <w:qFormat/>
    <w:rsid w:val="00F9130D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sz w:val="22"/>
      <w:szCs w:val="22"/>
    </w:rPr>
  </w:style>
  <w:style w:type="character" w:customStyle="1" w:styleId="CytatintensywnyZnak">
    <w:name w:val="Cytat intensywny Znak"/>
    <w:link w:val="Cytatintensywny"/>
    <w:uiPriority w:val="99"/>
    <w:semiHidden/>
    <w:locked/>
    <w:rsid w:val="00F9130D"/>
    <w:rPr>
      <w:rFonts w:eastAsia="MS Mincho"/>
      <w:b/>
      <w:bCs/>
      <w:i/>
      <w:iCs/>
    </w:rPr>
  </w:style>
  <w:style w:type="character" w:styleId="Odwoanieintensywne">
    <w:name w:val="Intense Reference"/>
    <w:uiPriority w:val="99"/>
    <w:qFormat/>
    <w:rsid w:val="00F9130D"/>
    <w:rPr>
      <w:smallCaps/>
      <w:spacing w:val="5"/>
      <w:u w:val="single"/>
    </w:rPr>
  </w:style>
  <w:style w:type="paragraph" w:styleId="Akapitzlist">
    <w:name w:val="List Paragraph"/>
    <w:basedOn w:val="Normalny"/>
    <w:uiPriority w:val="99"/>
    <w:qFormat/>
    <w:rsid w:val="00F9130D"/>
    <w:pPr>
      <w:ind w:left="720"/>
    </w:pPr>
  </w:style>
  <w:style w:type="table" w:customStyle="1" w:styleId="LtrTableAddress">
    <w:name w:val="Ltr_Table_Address"/>
    <w:uiPriority w:val="99"/>
    <w:rsid w:val="001E6F32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Cytat">
    <w:name w:val="Quote"/>
    <w:basedOn w:val="Normalny"/>
    <w:next w:val="Normalny"/>
    <w:link w:val="CytatZnak"/>
    <w:uiPriority w:val="99"/>
    <w:qFormat/>
    <w:rsid w:val="00F9130D"/>
    <w:pPr>
      <w:spacing w:before="200"/>
      <w:ind w:left="360" w:right="360"/>
    </w:pPr>
    <w:rPr>
      <w:i/>
      <w:iCs/>
      <w:sz w:val="22"/>
      <w:szCs w:val="22"/>
    </w:rPr>
  </w:style>
  <w:style w:type="character" w:customStyle="1" w:styleId="CytatZnak">
    <w:name w:val="Cytat Znak"/>
    <w:link w:val="Cytat"/>
    <w:uiPriority w:val="99"/>
    <w:semiHidden/>
    <w:locked/>
    <w:rsid w:val="00F9130D"/>
    <w:rPr>
      <w:rFonts w:eastAsia="MS Mincho"/>
      <w:i/>
      <w:iCs/>
    </w:rPr>
  </w:style>
  <w:style w:type="character" w:styleId="Odwoaniedelikatne">
    <w:name w:val="Subtle Reference"/>
    <w:uiPriority w:val="99"/>
    <w:qFormat/>
    <w:rsid w:val="00F9130D"/>
    <w:rPr>
      <w:smallCaps/>
    </w:rPr>
  </w:style>
  <w:style w:type="table" w:styleId="Tabela-Siatka">
    <w:name w:val="Table Grid"/>
    <w:basedOn w:val="Standardowy"/>
    <w:uiPriority w:val="99"/>
    <w:semiHidden/>
    <w:rsid w:val="00F9130D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9"/>
    <w:semiHidden/>
    <w:rsid w:val="00F9130D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bCs/>
      <w:sz w:val="22"/>
      <w:szCs w:val="22"/>
    </w:rPr>
  </w:style>
  <w:style w:type="paragraph" w:styleId="Spistreci2">
    <w:name w:val="toc 2"/>
    <w:basedOn w:val="Normalny"/>
    <w:next w:val="Normalny"/>
    <w:autoRedefine/>
    <w:uiPriority w:val="99"/>
    <w:semiHidden/>
    <w:rsid w:val="00F9130D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  <w:szCs w:val="22"/>
    </w:rPr>
  </w:style>
  <w:style w:type="paragraph" w:styleId="Spistreci3">
    <w:name w:val="toc 3"/>
    <w:basedOn w:val="Normalny"/>
    <w:next w:val="Normalny"/>
    <w:autoRedefine/>
    <w:uiPriority w:val="99"/>
    <w:semiHidden/>
    <w:rsid w:val="00F9130D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  <w:szCs w:val="20"/>
    </w:rPr>
  </w:style>
  <w:style w:type="paragraph" w:styleId="Spistreci4">
    <w:name w:val="toc 4"/>
    <w:basedOn w:val="Normalny"/>
    <w:next w:val="Normalny"/>
    <w:autoRedefine/>
    <w:uiPriority w:val="99"/>
    <w:semiHidden/>
    <w:rsid w:val="00F9130D"/>
    <w:pPr>
      <w:tabs>
        <w:tab w:val="right" w:leader="dot" w:pos="7371"/>
      </w:tabs>
      <w:spacing w:after="60" w:line="240" w:lineRule="exact"/>
      <w:ind w:left="1361" w:right="567" w:hanging="340"/>
    </w:pPr>
    <w:rPr>
      <w:sz w:val="20"/>
      <w:szCs w:val="20"/>
    </w:rPr>
  </w:style>
  <w:style w:type="paragraph" w:styleId="Spistreci5">
    <w:name w:val="toc 5"/>
    <w:basedOn w:val="Normalny"/>
    <w:next w:val="Normalny"/>
    <w:autoRedefine/>
    <w:uiPriority w:val="99"/>
    <w:semiHidden/>
    <w:rsid w:val="00F9130D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  <w:szCs w:val="20"/>
    </w:rPr>
  </w:style>
  <w:style w:type="paragraph" w:styleId="Nagwekspisutreci">
    <w:name w:val="TOC Heading"/>
    <w:basedOn w:val="Normalny"/>
    <w:next w:val="Normalny"/>
    <w:uiPriority w:val="99"/>
    <w:qFormat/>
    <w:rsid w:val="00F9130D"/>
    <w:pPr>
      <w:keepNext/>
      <w:keepLines/>
      <w:spacing w:before="240"/>
      <w:jc w:val="center"/>
    </w:pPr>
    <w:rPr>
      <w:rFonts w:eastAsia="Times New Roman"/>
      <w:b/>
      <w:bCs/>
      <w:color w:val="474747"/>
      <w:sz w:val="28"/>
      <w:szCs w:val="28"/>
    </w:rPr>
  </w:style>
  <w:style w:type="table" w:customStyle="1" w:styleId="UGTable">
    <w:name w:val="UG_Table"/>
    <w:uiPriority w:val="99"/>
    <w:rsid w:val="00801300"/>
    <w:rPr>
      <w:rFonts w:eastAsia="MS Mincho"/>
      <w:lang w:val="en-GB" w:eastAsia="en-GB"/>
    </w:rPr>
    <w:tblPr>
      <w:tblCellMar>
        <w:top w:w="57" w:type="dxa"/>
        <w:left w:w="0" w:type="dxa"/>
        <w:bottom w:w="0" w:type="dxa"/>
        <w:right w:w="0" w:type="dxa"/>
      </w:tblCellMar>
    </w:tblPr>
  </w:style>
  <w:style w:type="table" w:customStyle="1" w:styleId="UGTableWhiteBox">
    <w:name w:val="UG_Table_White_Box"/>
    <w:uiPriority w:val="99"/>
    <w:rsid w:val="00801300"/>
    <w:rPr>
      <w:rFonts w:eastAsia="MS Mincho"/>
      <w:lang w:val="en-GB" w:eastAsia="en-GB"/>
    </w:rPr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uiPriority w:val="99"/>
    <w:rsid w:val="00810B38"/>
    <w:rPr>
      <w:color w:val="000000"/>
      <w:sz w:val="18"/>
      <w:szCs w:val="18"/>
    </w:rPr>
    <w:tblPr>
      <w:tblBorders>
        <w:top w:val="single" w:sz="8" w:space="0" w:color="9F9F9F"/>
        <w:left w:val="single" w:sz="8" w:space="0" w:color="9F9F9F"/>
        <w:bottom w:val="single" w:sz="8" w:space="0" w:color="9F9F9F"/>
        <w:right w:val="single" w:sz="8" w:space="0" w:color="9F9F9F"/>
        <w:insideH w:val="single" w:sz="8" w:space="0" w:color="9F9F9F"/>
        <w:insideV w:val="single" w:sz="8" w:space="0" w:color="9F9F9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ECHRTableFax">
    <w:name w:val="ECHR_Table_Fax"/>
    <w:uiPriority w:val="99"/>
    <w:rsid w:val="00893576"/>
    <w:rPr>
      <w:color w:val="000000"/>
    </w:rPr>
    <w:tblPr>
      <w:tblBorders>
        <w:insideH w:val="single" w:sz="4" w:space="0" w:color="C6C6C6"/>
        <w:insideV w:val="single" w:sz="4" w:space="0" w:color="C6C6C6"/>
      </w:tblBorders>
      <w:tblCellMar>
        <w:top w:w="142" w:type="dxa"/>
        <w:left w:w="108" w:type="dxa"/>
        <w:bottom w:w="142" w:type="dxa"/>
        <w:right w:w="108" w:type="dxa"/>
      </w:tblCellMar>
    </w:tblPr>
    <w:trPr>
      <w:cantSplit/>
    </w:trPr>
  </w:style>
  <w:style w:type="table" w:customStyle="1" w:styleId="ECHRTableMemo">
    <w:name w:val="ECHR_Table_Memo"/>
    <w:uiPriority w:val="99"/>
    <w:rsid w:val="00210338"/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</w:style>
  <w:style w:type="table" w:customStyle="1" w:styleId="ECHRDNTable">
    <w:name w:val="ECHR_DN_Table"/>
    <w:aliases w:val="DN_Table"/>
    <w:uiPriority w:val="99"/>
    <w:rsid w:val="0090506B"/>
    <w:tblPr>
      <w:jc w:val="center"/>
      <w:tblBorders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57" w:type="dxa"/>
        <w:left w:w="108" w:type="dxa"/>
        <w:bottom w:w="57" w:type="dxa"/>
        <w:right w:w="108" w:type="dxa"/>
      </w:tblCellMar>
    </w:tblPr>
    <w:trPr>
      <w:jc w:val="center"/>
    </w:trPr>
  </w:style>
  <w:style w:type="paragraph" w:styleId="Nagwekwykazurde">
    <w:name w:val="toa heading"/>
    <w:basedOn w:val="Normalny"/>
    <w:next w:val="Normalny"/>
    <w:uiPriority w:val="99"/>
    <w:semiHidden/>
    <w:rsid w:val="00F9130D"/>
    <w:pPr>
      <w:keepNext/>
      <w:keepLines/>
      <w:spacing w:before="240"/>
      <w:jc w:val="center"/>
    </w:pPr>
    <w:rPr>
      <w:rFonts w:eastAsia="MS Gothic"/>
      <w:b/>
      <w:bCs/>
      <w:color w:val="474747"/>
      <w:sz w:val="28"/>
      <w:szCs w:val="28"/>
    </w:rPr>
  </w:style>
  <w:style w:type="paragraph" w:customStyle="1" w:styleId="OpiHi">
    <w:name w:val="Opi_H_i"/>
    <w:basedOn w:val="ECHRHeading4"/>
    <w:uiPriority w:val="99"/>
    <w:rsid w:val="00F9130D"/>
    <w:pPr>
      <w:ind w:left="1037" w:hanging="357"/>
      <w:outlineLvl w:val="4"/>
    </w:pPr>
    <w:rPr>
      <w:b w:val="0"/>
      <w:bCs w:val="0"/>
      <w:i/>
      <w:iCs/>
    </w:rPr>
  </w:style>
  <w:style w:type="paragraph" w:customStyle="1" w:styleId="DummyStyle">
    <w:name w:val="Dummy_Style"/>
    <w:basedOn w:val="Normalny"/>
    <w:uiPriority w:val="99"/>
    <w:semiHidden/>
    <w:rsid w:val="00F9130D"/>
    <w:rPr>
      <w:color w:val="00B050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F9130D"/>
    <w:pPr>
      <w:spacing w:after="600"/>
    </w:pPr>
    <w:rPr>
      <w:rFonts w:eastAsia="MS Gothic"/>
      <w:i/>
      <w:iCs/>
      <w:spacing w:val="13"/>
    </w:rPr>
  </w:style>
  <w:style w:type="character" w:customStyle="1" w:styleId="PodtytuZnak">
    <w:name w:val="Podtytuł Znak"/>
    <w:link w:val="Podtytu"/>
    <w:uiPriority w:val="99"/>
    <w:semiHidden/>
    <w:locked/>
    <w:rsid w:val="00F9130D"/>
    <w:rPr>
      <w:rFonts w:ascii="Times New Roman" w:eastAsia="MS Gothic" w:hAnsi="Times New Roman" w:cs="Times New Roman"/>
      <w:i/>
      <w:iCs/>
      <w:spacing w:val="13"/>
      <w:sz w:val="24"/>
      <w:szCs w:val="24"/>
    </w:rPr>
  </w:style>
  <w:style w:type="paragraph" w:customStyle="1" w:styleId="ECHRPara">
    <w:name w:val="ECHR_Para"/>
    <w:aliases w:val="Ju_Para,Para,Left,First line:  0 cm"/>
    <w:basedOn w:val="Normalny"/>
    <w:link w:val="ECHRParaChar"/>
    <w:uiPriority w:val="99"/>
    <w:rsid w:val="00F9130D"/>
    <w:pPr>
      <w:ind w:firstLine="284"/>
    </w:pPr>
    <w:rPr>
      <w:lang w:val="pl-PL" w:eastAsia="pl-PL"/>
    </w:rPr>
  </w:style>
  <w:style w:type="table" w:customStyle="1" w:styleId="ECHRTableSimpleBox">
    <w:name w:val="ECHR_Table_Simple_Box"/>
    <w:uiPriority w:val="99"/>
    <w:rsid w:val="00AE354C"/>
    <w:tblPr>
      <w:tblBorders>
        <w:top w:val="single" w:sz="4" w:space="0" w:color="9F9F9F"/>
        <w:left w:val="single" w:sz="4" w:space="0" w:color="9F9F9F"/>
        <w:bottom w:val="single" w:sz="4" w:space="0" w:color="9F9F9F"/>
        <w:right w:val="single" w:sz="4" w:space="0" w:color="9F9F9F"/>
      </w:tblBorders>
      <w:tblCellMar>
        <w:top w:w="113" w:type="dxa"/>
        <w:left w:w="108" w:type="dxa"/>
        <w:bottom w:w="113" w:type="dxa"/>
        <w:right w:w="108" w:type="dxa"/>
      </w:tblCellMar>
    </w:tblPr>
  </w:style>
  <w:style w:type="table" w:customStyle="1" w:styleId="ECHRTableNoLines">
    <w:name w:val="ECHR_Table_No_Lines"/>
    <w:uiPriority w:val="99"/>
    <w:rsid w:val="00F218EF"/>
    <w:tblPr>
      <w:tblCellMar>
        <w:top w:w="85" w:type="dxa"/>
        <w:left w:w="142" w:type="dxa"/>
        <w:bottom w:w="28" w:type="dxa"/>
        <w:right w:w="142" w:type="dxa"/>
      </w:tblCellMar>
    </w:tblPr>
  </w:style>
  <w:style w:type="table" w:customStyle="1" w:styleId="ECHRTableForInternalUse">
    <w:name w:val="ECHR_Table_For_Internal_Use"/>
    <w:uiPriority w:val="99"/>
    <w:rsid w:val="005474E7"/>
    <w:rPr>
      <w:color w:val="636363"/>
      <w:sz w:val="18"/>
      <w:szCs w:val="18"/>
    </w:rPr>
    <w:tblPr>
      <w:tblStyleColBandSize w:val="1"/>
      <w:jc w:val="right"/>
      <w:tblCellMar>
        <w:top w:w="113" w:type="dxa"/>
        <w:left w:w="108" w:type="dxa"/>
        <w:bottom w:w="28" w:type="dxa"/>
        <w:right w:w="108" w:type="dxa"/>
      </w:tblCellMar>
    </w:tblPr>
    <w:trPr>
      <w:jc w:val="right"/>
    </w:trPr>
  </w:style>
  <w:style w:type="table" w:customStyle="1" w:styleId="ECHRListTable">
    <w:name w:val="ECHR_List_Table"/>
    <w:uiPriority w:val="99"/>
    <w:rsid w:val="00F9130D"/>
    <w:tblPr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ECHRHeaderTable">
    <w:name w:val="ECHR_Header_Table"/>
    <w:uiPriority w:val="99"/>
    <w:rsid w:val="00661971"/>
    <w:tblPr>
      <w:tblBorders>
        <w:bottom w:val="single" w:sz="6" w:space="0" w:color="949494"/>
      </w:tblBorders>
      <w:tblCellMar>
        <w:top w:w="0" w:type="dxa"/>
        <w:left w:w="0" w:type="dxa"/>
        <w:bottom w:w="28" w:type="dxa"/>
        <w:right w:w="0" w:type="dxa"/>
      </w:tblCellMar>
    </w:tblPr>
  </w:style>
  <w:style w:type="paragraph" w:styleId="Bibliografia">
    <w:name w:val="Bibliography"/>
    <w:basedOn w:val="Normalny"/>
    <w:next w:val="Normalny"/>
    <w:uiPriority w:val="99"/>
    <w:semiHidden/>
    <w:rsid w:val="006544C4"/>
  </w:style>
  <w:style w:type="paragraph" w:styleId="Tekstblokowy">
    <w:name w:val="Block Text"/>
    <w:basedOn w:val="Normalny"/>
    <w:uiPriority w:val="99"/>
    <w:semiHidden/>
    <w:rsid w:val="006544C4"/>
    <w:pPr>
      <w:pBdr>
        <w:top w:val="single" w:sz="2" w:space="10" w:color="0072BC" w:shadow="1"/>
        <w:left w:val="single" w:sz="2" w:space="10" w:color="0072BC" w:shadow="1"/>
        <w:bottom w:val="single" w:sz="2" w:space="10" w:color="0072BC" w:shadow="1"/>
        <w:right w:val="single" w:sz="2" w:space="10" w:color="0072BC" w:shadow="1"/>
      </w:pBdr>
      <w:ind w:left="1152" w:right="1152"/>
    </w:pPr>
    <w:rPr>
      <w:i/>
      <w:iCs/>
      <w:color w:val="0072BC"/>
    </w:rPr>
  </w:style>
  <w:style w:type="table" w:customStyle="1" w:styleId="ECHRTableOddBanded">
    <w:name w:val="ECHR_Table_Odd_Banded"/>
    <w:uiPriority w:val="99"/>
    <w:rsid w:val="00860B03"/>
    <w:tblPr>
      <w:tblStyleRowBandSize w:val="1"/>
      <w:tblStyleColBandSize w:val="1"/>
      <w:tblBorders>
        <w:top w:val="single" w:sz="4" w:space="0" w:color="949494"/>
        <w:left w:val="single" w:sz="4" w:space="0" w:color="949494"/>
        <w:bottom w:val="single" w:sz="4" w:space="0" w:color="949494"/>
        <w:right w:val="single" w:sz="4" w:space="0" w:color="949494"/>
        <w:insideH w:val="single" w:sz="4" w:space="0" w:color="949494"/>
        <w:insideV w:val="single" w:sz="4" w:space="0" w:color="949494"/>
      </w:tblBorders>
      <w:tblCellMar>
        <w:top w:w="28" w:type="dxa"/>
        <w:left w:w="108" w:type="dxa"/>
        <w:bottom w:w="28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uiPriority w:val="99"/>
    <w:semiHidden/>
    <w:rsid w:val="006544C4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locked/>
    <w:rsid w:val="006544C4"/>
    <w:rPr>
      <w:rFonts w:eastAsia="MS Mincho"/>
      <w:sz w:val="24"/>
      <w:szCs w:val="24"/>
    </w:rPr>
  </w:style>
  <w:style w:type="table" w:customStyle="1" w:styleId="ECHRHeaderTableReduced">
    <w:name w:val="ECHR_Header_Table_Reduced"/>
    <w:uiPriority w:val="99"/>
    <w:rsid w:val="00B52BE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Numerstrony">
    <w:name w:val="page number"/>
    <w:uiPriority w:val="99"/>
    <w:semiHidden/>
    <w:rsid w:val="006544C4"/>
    <w:rPr>
      <w:rFonts w:ascii="Times New Roman" w:hAnsi="Times New Roman" w:cs="Times New Roman"/>
      <w:sz w:val="18"/>
      <w:szCs w:val="18"/>
    </w:rPr>
  </w:style>
  <w:style w:type="character" w:styleId="Odwoaniedokomentarza">
    <w:name w:val="annotation reference"/>
    <w:uiPriority w:val="99"/>
    <w:semiHidden/>
    <w:rsid w:val="006544C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544C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6544C4"/>
    <w:rPr>
      <w:rFonts w:eastAsia="MS Mincho"/>
      <w:sz w:val="20"/>
      <w:szCs w:val="20"/>
    </w:rPr>
  </w:style>
  <w:style w:type="paragraph" w:customStyle="1" w:styleId="JuSigned">
    <w:name w:val="Ju_Signed"/>
    <w:basedOn w:val="Normalny"/>
    <w:next w:val="JuParaLast"/>
    <w:uiPriority w:val="99"/>
    <w:rsid w:val="00F9130D"/>
    <w:pPr>
      <w:tabs>
        <w:tab w:val="center" w:pos="851"/>
        <w:tab w:val="center" w:pos="6407"/>
      </w:tabs>
      <w:spacing w:before="720"/>
      <w:jc w:val="left"/>
    </w:pPr>
  </w:style>
  <w:style w:type="paragraph" w:customStyle="1" w:styleId="JuTitle">
    <w:name w:val="Ju_Title"/>
    <w:basedOn w:val="Normalny"/>
    <w:next w:val="ECHRPara"/>
    <w:uiPriority w:val="99"/>
    <w:rsid w:val="00F9130D"/>
    <w:pPr>
      <w:spacing w:before="720" w:after="240"/>
      <w:jc w:val="center"/>
      <w:outlineLvl w:val="0"/>
    </w:pPr>
    <w:rPr>
      <w:b/>
      <w:bCs/>
      <w:caps/>
    </w:rPr>
  </w:style>
  <w:style w:type="paragraph" w:customStyle="1" w:styleId="DecHTitle">
    <w:name w:val="Dec_H_Title"/>
    <w:basedOn w:val="ECHRTitleCentre1"/>
    <w:uiPriority w:val="99"/>
    <w:rsid w:val="00F9130D"/>
  </w:style>
  <w:style w:type="paragraph" w:styleId="Listapunktowana2">
    <w:name w:val="List Bullet 2"/>
    <w:basedOn w:val="Normalny"/>
    <w:uiPriority w:val="99"/>
    <w:semiHidden/>
    <w:rsid w:val="006544C4"/>
    <w:pPr>
      <w:numPr>
        <w:numId w:val="8"/>
      </w:numPr>
      <w:tabs>
        <w:tab w:val="clear" w:pos="926"/>
        <w:tab w:val="num" w:pos="643"/>
      </w:tabs>
      <w:ind w:left="643"/>
    </w:pPr>
  </w:style>
  <w:style w:type="paragraph" w:styleId="Listapunktowana3">
    <w:name w:val="List Bullet 3"/>
    <w:basedOn w:val="Normalny"/>
    <w:uiPriority w:val="99"/>
    <w:semiHidden/>
    <w:rsid w:val="006544C4"/>
    <w:pPr>
      <w:numPr>
        <w:numId w:val="9"/>
      </w:numPr>
      <w:tabs>
        <w:tab w:val="clear" w:pos="1209"/>
        <w:tab w:val="num" w:pos="926"/>
      </w:tabs>
      <w:ind w:left="926"/>
    </w:pPr>
  </w:style>
  <w:style w:type="paragraph" w:styleId="Tekstpodstawowy2">
    <w:name w:val="Body Text 2"/>
    <w:basedOn w:val="Normalny"/>
    <w:link w:val="Tekstpodstawowy2Znak"/>
    <w:uiPriority w:val="99"/>
    <w:semiHidden/>
    <w:rsid w:val="006544C4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locked/>
    <w:rsid w:val="006544C4"/>
    <w:rPr>
      <w:rFonts w:eastAsia="MS Minch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544C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locked/>
    <w:rsid w:val="006544C4"/>
    <w:rPr>
      <w:rFonts w:eastAsia="MS Mincho"/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6544C4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locked/>
    <w:rsid w:val="006544C4"/>
    <w:rPr>
      <w:rFonts w:eastAsia="MS Minch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6544C4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6544C4"/>
    <w:rPr>
      <w:rFonts w:eastAsia="MS Mincho"/>
      <w:sz w:val="24"/>
      <w:szCs w:val="24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rsid w:val="006544C4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locked/>
    <w:rsid w:val="006544C4"/>
    <w:rPr>
      <w:rFonts w:eastAsia="MS Mincho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6544C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locked/>
    <w:rsid w:val="006544C4"/>
    <w:rPr>
      <w:rFonts w:eastAsia="MS Mincho"/>
      <w:sz w:val="24"/>
      <w:szCs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6544C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6544C4"/>
    <w:rPr>
      <w:rFonts w:eastAsia="MS Mincho"/>
      <w:sz w:val="16"/>
      <w:szCs w:val="16"/>
    </w:rPr>
  </w:style>
  <w:style w:type="paragraph" w:styleId="Legenda">
    <w:name w:val="caption"/>
    <w:basedOn w:val="Normalny"/>
    <w:next w:val="Normalny"/>
    <w:uiPriority w:val="99"/>
    <w:qFormat/>
    <w:rsid w:val="006544C4"/>
    <w:pPr>
      <w:spacing w:after="200"/>
    </w:pPr>
    <w:rPr>
      <w:b/>
      <w:bCs/>
      <w:color w:val="0072BC"/>
      <w:sz w:val="18"/>
      <w:szCs w:val="18"/>
    </w:rPr>
  </w:style>
  <w:style w:type="paragraph" w:styleId="Zwrotpoegnalny">
    <w:name w:val="Closing"/>
    <w:basedOn w:val="Normalny"/>
    <w:link w:val="ZwrotpoegnalnyZnak"/>
    <w:uiPriority w:val="99"/>
    <w:semiHidden/>
    <w:rsid w:val="006544C4"/>
    <w:pPr>
      <w:ind w:left="4252"/>
    </w:pPr>
  </w:style>
  <w:style w:type="character" w:customStyle="1" w:styleId="ZwrotpoegnalnyZnak">
    <w:name w:val="Zwrot pożegnalny Znak"/>
    <w:link w:val="Zwrotpoegnalny"/>
    <w:uiPriority w:val="99"/>
    <w:semiHidden/>
    <w:locked/>
    <w:rsid w:val="006544C4"/>
    <w:rPr>
      <w:rFonts w:eastAsia="MS Mincho"/>
      <w:sz w:val="24"/>
      <w:szCs w:val="24"/>
    </w:rPr>
  </w:style>
  <w:style w:type="table" w:styleId="Kolorowasiatka">
    <w:name w:val="Colorful Grid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0072BC"/>
      </w:rPr>
      <w:tblPr/>
      <w:tcPr>
        <w:shd w:val="clear" w:color="auto" w:fill="000000"/>
      </w:tcPr>
    </w:tblStylePr>
    <w:tblStylePr w:type="lastCol">
      <w:rPr>
        <w:color w:val="0072BC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Kolorowasiatkaakcent1">
    <w:name w:val="Colorful Grid Accent 1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BEE5FF"/>
    </w:tcPr>
    <w:tblStylePr w:type="firstRow">
      <w:rPr>
        <w:b/>
        <w:bCs/>
      </w:rPr>
      <w:tblPr/>
      <w:tcPr>
        <w:shd w:val="clear" w:color="auto" w:fill="7ECBFF"/>
      </w:tcPr>
    </w:tblStylePr>
    <w:tblStylePr w:type="lastRow">
      <w:rPr>
        <w:b/>
        <w:bCs/>
        <w:color w:val="000000"/>
      </w:rPr>
      <w:tblPr/>
      <w:tcPr>
        <w:shd w:val="clear" w:color="auto" w:fill="7ECBFF"/>
      </w:tcPr>
    </w:tblStylePr>
    <w:tblStylePr w:type="firstCol">
      <w:rPr>
        <w:color w:val="0072BC"/>
      </w:rPr>
      <w:tblPr/>
      <w:tcPr>
        <w:shd w:val="clear" w:color="auto" w:fill="00548C"/>
      </w:tcPr>
    </w:tblStylePr>
    <w:tblStylePr w:type="lastCol">
      <w:rPr>
        <w:color w:val="0072BC"/>
      </w:rPr>
      <w:tblPr/>
      <w:tcPr>
        <w:shd w:val="clear" w:color="auto" w:fill="00548C"/>
      </w:tcPr>
    </w:tblStylePr>
    <w:tblStylePr w:type="band1Vert">
      <w:tblPr/>
      <w:tcPr>
        <w:shd w:val="clear" w:color="auto" w:fill="5EBFFF"/>
      </w:tcPr>
    </w:tblStylePr>
    <w:tblStylePr w:type="band1Horz">
      <w:tblPr/>
      <w:tcPr>
        <w:shd w:val="clear" w:color="auto" w:fill="5EBFFF"/>
      </w:tcPr>
    </w:tblStylePr>
  </w:style>
  <w:style w:type="table" w:styleId="Kolorowasiatkaakcent2">
    <w:name w:val="Colorful Grid Accent 2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FFBFBF"/>
    </w:tcPr>
    <w:tblStylePr w:type="firstRow">
      <w:rPr>
        <w:b/>
        <w:bCs/>
      </w:rPr>
      <w:tblPr/>
      <w:tcPr>
        <w:shd w:val="clear" w:color="auto" w:fill="FF7F7F"/>
      </w:tcPr>
    </w:tblStylePr>
    <w:tblStylePr w:type="lastRow">
      <w:rPr>
        <w:b/>
        <w:bCs/>
        <w:color w:val="000000"/>
      </w:rPr>
      <w:tblPr/>
      <w:tcPr>
        <w:shd w:val="clear" w:color="auto" w:fill="FF7F7F"/>
      </w:tcPr>
    </w:tblStylePr>
    <w:tblStylePr w:type="firstCol">
      <w:rPr>
        <w:color w:val="0072BC"/>
      </w:rPr>
      <w:tblPr/>
      <w:tcPr>
        <w:shd w:val="clear" w:color="auto" w:fill="8F0000"/>
      </w:tcPr>
    </w:tblStylePr>
    <w:tblStylePr w:type="lastCol">
      <w:rPr>
        <w:color w:val="0072BC"/>
      </w:rPr>
      <w:tblPr/>
      <w:tcPr>
        <w:shd w:val="clear" w:color="auto" w:fill="8F0000"/>
      </w:tcPr>
    </w:tblStylePr>
    <w:tblStylePr w:type="band1Vert">
      <w:tblPr/>
      <w:tcPr>
        <w:shd w:val="clear" w:color="auto" w:fill="FF6060"/>
      </w:tcPr>
    </w:tblStylePr>
    <w:tblStylePr w:type="band1Horz">
      <w:tblPr/>
      <w:tcPr>
        <w:shd w:val="clear" w:color="auto" w:fill="FF6060"/>
      </w:tcPr>
    </w:tblStylePr>
  </w:style>
  <w:style w:type="table" w:styleId="Kolorowasiatkaakcent3">
    <w:name w:val="Colorful Grid Accent 3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FDFDF"/>
    </w:tcPr>
    <w:tblStylePr w:type="firstRow">
      <w:rPr>
        <w:b/>
        <w:bCs/>
      </w:rPr>
      <w:tblPr/>
      <w:tcPr>
        <w:shd w:val="clear" w:color="auto" w:fill="BFBFBF"/>
      </w:tcPr>
    </w:tblStylePr>
    <w:tblStylePr w:type="lastRow">
      <w:rPr>
        <w:b/>
        <w:bCs/>
        <w:color w:val="000000"/>
      </w:rPr>
      <w:tblPr/>
      <w:tcPr>
        <w:shd w:val="clear" w:color="auto" w:fill="BFBFBF"/>
      </w:tcPr>
    </w:tblStylePr>
    <w:tblStylePr w:type="firstCol">
      <w:rPr>
        <w:color w:val="0072BC"/>
      </w:rPr>
      <w:tblPr/>
      <w:tcPr>
        <w:shd w:val="clear" w:color="auto" w:fill="474747"/>
      </w:tcPr>
    </w:tblStylePr>
    <w:tblStylePr w:type="lastCol">
      <w:rPr>
        <w:color w:val="0072BC"/>
      </w:rPr>
      <w:tblPr/>
      <w:tcPr>
        <w:shd w:val="clear" w:color="auto" w:fill="474747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Kolorowasiatkaakcent4">
    <w:name w:val="Colorful Grid Accent 4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EAEAEA"/>
    </w:tcPr>
    <w:tblStylePr w:type="firstRow">
      <w:rPr>
        <w:b/>
        <w:bCs/>
      </w:rPr>
      <w:tblPr/>
      <w:tcPr>
        <w:shd w:val="clear" w:color="auto" w:fill="D5D5D5"/>
      </w:tcPr>
    </w:tblStylePr>
    <w:tblStylePr w:type="lastRow">
      <w:rPr>
        <w:b/>
        <w:bCs/>
        <w:color w:val="000000"/>
      </w:rPr>
      <w:tblPr/>
      <w:tcPr>
        <w:shd w:val="clear" w:color="auto" w:fill="D5D5D5"/>
      </w:tcPr>
    </w:tblStylePr>
    <w:tblStylePr w:type="firstCol">
      <w:rPr>
        <w:color w:val="0072BC"/>
      </w:rPr>
      <w:tblPr/>
      <w:tcPr>
        <w:shd w:val="clear" w:color="auto" w:fill="707070"/>
      </w:tcPr>
    </w:tblStylePr>
    <w:tblStylePr w:type="lastCol">
      <w:rPr>
        <w:color w:val="0072BC"/>
      </w:rPr>
      <w:tblPr/>
      <w:tcPr>
        <w:shd w:val="clear" w:color="auto" w:fill="707070"/>
      </w:tcPr>
    </w:tblStylePr>
    <w:tblStylePr w:type="band1Vert">
      <w:tblPr/>
      <w:tcPr>
        <w:shd w:val="clear" w:color="auto" w:fill="CACACA"/>
      </w:tcPr>
    </w:tblStylePr>
    <w:tblStylePr w:type="band1Horz">
      <w:tblPr/>
      <w:tcPr>
        <w:shd w:val="clear" w:color="auto" w:fill="CACACA"/>
      </w:tcPr>
    </w:tblStylePr>
  </w:style>
  <w:style w:type="table" w:styleId="Kolorowasiatkaakcent5">
    <w:name w:val="Colorful Grid Accent 5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FDFDF"/>
    </w:tcPr>
    <w:tblStylePr w:type="firstRow">
      <w:rPr>
        <w:b/>
        <w:bCs/>
      </w:rPr>
      <w:tblPr/>
      <w:tcPr>
        <w:shd w:val="clear" w:color="auto" w:fill="BFBFBF"/>
      </w:tcPr>
    </w:tblStylePr>
    <w:tblStylePr w:type="lastRow">
      <w:rPr>
        <w:b/>
        <w:bCs/>
        <w:color w:val="000000"/>
      </w:rPr>
      <w:tblPr/>
      <w:tcPr>
        <w:shd w:val="clear" w:color="auto" w:fill="BFBFBF"/>
      </w:tcPr>
    </w:tblStylePr>
    <w:tblStylePr w:type="firstCol">
      <w:rPr>
        <w:color w:val="0072BC"/>
      </w:rPr>
      <w:tblPr/>
      <w:tcPr>
        <w:shd w:val="clear" w:color="auto" w:fill="474747"/>
      </w:tcPr>
    </w:tblStylePr>
    <w:tblStylePr w:type="lastCol">
      <w:rPr>
        <w:color w:val="0072BC"/>
      </w:rPr>
      <w:tblPr/>
      <w:tcPr>
        <w:shd w:val="clear" w:color="auto" w:fill="474747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Kolorowasiatkaakcent6">
    <w:name w:val="Colorful Grid Accent 6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  <w:tblBorders>
        <w:insideH w:val="single" w:sz="4" w:space="0" w:color="0072BC"/>
      </w:tblBorders>
    </w:tblPr>
    <w:tcPr>
      <w:shd w:val="clear" w:color="auto" w:fill="DBDBDB"/>
    </w:tcPr>
    <w:tblStylePr w:type="firstRow">
      <w:rPr>
        <w:b/>
        <w:bCs/>
      </w:rPr>
      <w:tblPr/>
      <w:tcPr>
        <w:shd w:val="clear" w:color="auto" w:fill="B7B7B7"/>
      </w:tcPr>
    </w:tblStylePr>
    <w:tblStylePr w:type="lastRow">
      <w:rPr>
        <w:b/>
        <w:bCs/>
        <w:color w:val="000000"/>
      </w:rPr>
      <w:tblPr/>
      <w:tcPr>
        <w:shd w:val="clear" w:color="auto" w:fill="B7B7B7"/>
      </w:tcPr>
    </w:tblStylePr>
    <w:tblStylePr w:type="firstCol">
      <w:rPr>
        <w:color w:val="0072BC"/>
      </w:rPr>
      <w:tblPr/>
      <w:tcPr>
        <w:shd w:val="clear" w:color="auto" w:fill="393939"/>
      </w:tcPr>
    </w:tblStylePr>
    <w:tblStylePr w:type="lastCol">
      <w:rPr>
        <w:color w:val="0072BC"/>
      </w:rPr>
      <w:tblPr/>
      <w:tcPr>
        <w:shd w:val="clear" w:color="auto" w:fill="393939"/>
      </w:tcPr>
    </w:tblStylePr>
    <w:tblStylePr w:type="band1Vert">
      <w:tblPr/>
      <w:tcPr>
        <w:shd w:val="clear" w:color="auto" w:fill="A6A6A6"/>
      </w:tcPr>
    </w:tblStylePr>
    <w:tblStylePr w:type="band1Horz">
      <w:tblPr/>
      <w:tcPr>
        <w:shd w:val="clear" w:color="auto" w:fill="A6A6A6"/>
      </w:tcPr>
    </w:tblStylePr>
  </w:style>
  <w:style w:type="table" w:styleId="Kolorowalista">
    <w:name w:val="Colorful List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Kolorowalistaakcent1">
    <w:name w:val="Colorful List Accent 1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</w:tblPr>
    <w:tcPr>
      <w:shd w:val="clear" w:color="auto" w:fill="DFF2F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shd w:val="clear" w:color="auto" w:fill="BEE5FF"/>
      </w:tcPr>
    </w:tblStylePr>
  </w:style>
  <w:style w:type="table" w:styleId="Kolorowalistaakcent2">
    <w:name w:val="Colorful List Accent 2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</w:tblPr>
    <w:tcPr>
      <w:shd w:val="clear" w:color="auto" w:fill="FFDFD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990000"/>
      </w:tcPr>
    </w:tblStylePr>
    <w:tblStylePr w:type="lastRow">
      <w:rPr>
        <w:b/>
        <w:bCs/>
        <w:color w:val="990000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shd w:val="clear" w:color="auto" w:fill="FFBFBF"/>
      </w:tcPr>
    </w:tblStylePr>
  </w:style>
  <w:style w:type="table" w:styleId="Kolorowalistaakcent3">
    <w:name w:val="Colorful List Accent 3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</w:tblPr>
    <w:tcPr>
      <w:shd w:val="clear" w:color="auto" w:fill="EFEFE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787878"/>
      </w:tcPr>
    </w:tblStylePr>
    <w:tblStylePr w:type="lastRow">
      <w:rPr>
        <w:b/>
        <w:bCs/>
        <w:color w:val="787878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FDFDF"/>
      </w:tcPr>
    </w:tblStylePr>
  </w:style>
  <w:style w:type="table" w:styleId="Kolorowalistaakcent4">
    <w:name w:val="Colorful List Accent 4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</w:tblPr>
    <w:tcPr>
      <w:shd w:val="clear" w:color="auto" w:fill="F4F4F4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4C4C4C"/>
      </w:tcPr>
    </w:tblStylePr>
    <w:tblStylePr w:type="lastRow">
      <w:rPr>
        <w:b/>
        <w:bCs/>
        <w:color w:val="4C4C4C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shd w:val="clear" w:color="auto" w:fill="EAEAEA"/>
      </w:tcPr>
    </w:tblStylePr>
  </w:style>
  <w:style w:type="table" w:styleId="Kolorowalistaakcent5">
    <w:name w:val="Colorful List Accent 5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</w:tblPr>
    <w:tcPr>
      <w:shd w:val="clear" w:color="auto" w:fill="EFEFEF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3D3D3D"/>
      </w:tcPr>
    </w:tblStylePr>
    <w:tblStylePr w:type="lastRow">
      <w:rPr>
        <w:b/>
        <w:bCs/>
        <w:color w:val="3D3D3D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shd w:val="clear" w:color="auto" w:fill="DFDFDF"/>
      </w:tcPr>
    </w:tblStylePr>
  </w:style>
  <w:style w:type="table" w:styleId="Kolorowalistaakcent6">
    <w:name w:val="Colorful List Accent 6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</w:tblPr>
    <w:tcPr>
      <w:shd w:val="clear" w:color="auto" w:fill="EDEDED"/>
    </w:tcPr>
    <w:tblStylePr w:type="firstRow">
      <w:rPr>
        <w:b/>
        <w:bCs/>
        <w:color w:val="0072BC"/>
      </w:rPr>
      <w:tblPr/>
      <w:tcPr>
        <w:tcBorders>
          <w:bottom w:val="single" w:sz="12" w:space="0" w:color="0072BC"/>
        </w:tcBorders>
        <w:shd w:val="clear" w:color="auto" w:fill="4C4C4C"/>
      </w:tcPr>
    </w:tblStylePr>
    <w:tblStylePr w:type="lastRow">
      <w:rPr>
        <w:b/>
        <w:bCs/>
        <w:color w:val="4C4C4C"/>
      </w:rPr>
      <w:tblPr/>
      <w:tcPr>
        <w:tcBorders>
          <w:top w:val="single" w:sz="12" w:space="0" w:color="000000"/>
        </w:tcBorders>
        <w:shd w:val="clear" w:color="auto" w:fill="0072BC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shd w:val="clear" w:color="auto" w:fill="DBDBDB"/>
      </w:tcPr>
    </w:tblStylePr>
  </w:style>
  <w:style w:type="table" w:styleId="Kolorowecieniowanie">
    <w:name w:val="Colorful Shading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  <w:tblBorders>
        <w:top w:val="single" w:sz="24" w:space="0" w:color="C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72BC"/>
        <w:insideV w:val="single" w:sz="4" w:space="0" w:color="0072BC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00000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1">
    <w:name w:val="Colorful Shading Accent 1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  <w:tblBorders>
        <w:top w:val="single" w:sz="24" w:space="0" w:color="C00000"/>
        <w:left w:val="single" w:sz="4" w:space="0" w:color="0072BC"/>
        <w:bottom w:val="single" w:sz="4" w:space="0" w:color="0072BC"/>
        <w:right w:val="single" w:sz="4" w:space="0" w:color="0072BC"/>
        <w:insideH w:val="single" w:sz="4" w:space="0" w:color="0072BC"/>
        <w:insideV w:val="single" w:sz="4" w:space="0" w:color="0072BC"/>
      </w:tblBorders>
    </w:tblPr>
    <w:tcPr>
      <w:shd w:val="clear" w:color="auto" w:fill="DFF2F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00447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004470"/>
          <w:insideV w:val="nil"/>
        </w:tcBorders>
        <w:shd w:val="clear" w:color="auto" w:fill="00447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/>
      </w:tcPr>
    </w:tblStylePr>
    <w:tblStylePr w:type="band1Vert">
      <w:tblPr/>
      <w:tcPr>
        <w:shd w:val="clear" w:color="auto" w:fill="7ECBFF"/>
      </w:tcPr>
    </w:tblStylePr>
    <w:tblStylePr w:type="band1Horz">
      <w:tblPr/>
      <w:tcPr>
        <w:shd w:val="clear" w:color="auto" w:fill="5EBFF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2">
    <w:name w:val="Colorful Shading Accent 2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  <w:tblBorders>
        <w:top w:val="single" w:sz="24" w:space="0" w:color="C00000"/>
        <w:left w:val="single" w:sz="4" w:space="0" w:color="C00000"/>
        <w:bottom w:val="single" w:sz="4" w:space="0" w:color="C00000"/>
        <w:right w:val="single" w:sz="4" w:space="0" w:color="C00000"/>
        <w:insideH w:val="single" w:sz="4" w:space="0" w:color="0072BC"/>
        <w:insideV w:val="single" w:sz="4" w:space="0" w:color="0072BC"/>
      </w:tblBorders>
    </w:tblPr>
    <w:tcPr>
      <w:shd w:val="clear" w:color="auto" w:fill="FFDFD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730000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730000"/>
          <w:insideV w:val="nil"/>
        </w:tcBorders>
        <w:shd w:val="clear" w:color="auto" w:fill="730000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/>
      </w:tcPr>
    </w:tblStylePr>
    <w:tblStylePr w:type="band1Vert">
      <w:tblPr/>
      <w:tcPr>
        <w:shd w:val="clear" w:color="auto" w:fill="FF7F7F"/>
      </w:tcPr>
    </w:tblStylePr>
    <w:tblStylePr w:type="band1Horz">
      <w:tblPr/>
      <w:tcPr>
        <w:shd w:val="clear" w:color="auto" w:fill="FF606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3">
    <w:name w:val="Colorful Shading Accent 3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  <w:tblBorders>
        <w:top w:val="single" w:sz="24" w:space="0" w:color="969696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</w:tblPr>
    <w:tcPr>
      <w:shd w:val="clear" w:color="auto" w:fill="EFEFE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393939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393939"/>
          <w:insideV w:val="nil"/>
        </w:tcBorders>
        <w:shd w:val="clear" w:color="auto" w:fill="393939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AFAFAF"/>
      </w:tcPr>
    </w:tblStylePr>
  </w:style>
  <w:style w:type="table" w:styleId="Kolorowecieniowanieakcent4">
    <w:name w:val="Colorful Shading Accent 4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  <w:tblBorders>
        <w:top w:val="single" w:sz="24" w:space="0" w:color="5F5F5F"/>
        <w:left w:val="single" w:sz="4" w:space="0" w:color="969696"/>
        <w:bottom w:val="single" w:sz="4" w:space="0" w:color="969696"/>
        <w:right w:val="single" w:sz="4" w:space="0" w:color="969696"/>
        <w:insideH w:val="single" w:sz="4" w:space="0" w:color="0072BC"/>
        <w:insideV w:val="single" w:sz="4" w:space="0" w:color="0072BC"/>
      </w:tblBorders>
    </w:tblPr>
    <w:tcPr>
      <w:shd w:val="clear" w:color="auto" w:fill="F4F4F4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5A5A5A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5A5A5A"/>
          <w:insideV w:val="nil"/>
        </w:tcBorders>
        <w:shd w:val="clear" w:color="auto" w:fill="5A5A5A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/>
      </w:tcPr>
    </w:tblStylePr>
    <w:tblStylePr w:type="band1Vert">
      <w:tblPr/>
      <w:tcPr>
        <w:shd w:val="clear" w:color="auto" w:fill="D5D5D5"/>
      </w:tcPr>
    </w:tblStylePr>
    <w:tblStylePr w:type="band1Horz">
      <w:tblPr/>
      <w:tcPr>
        <w:shd w:val="clear" w:color="auto" w:fill="CACACA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5">
    <w:name w:val="Colorful Shading Accent 5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  <w:tblBorders>
        <w:top w:val="single" w:sz="24" w:space="0" w:color="4D4D4D"/>
        <w:left w:val="single" w:sz="4" w:space="0" w:color="5F5F5F"/>
        <w:bottom w:val="single" w:sz="4" w:space="0" w:color="5F5F5F"/>
        <w:right w:val="single" w:sz="4" w:space="0" w:color="5F5F5F"/>
        <w:insideH w:val="single" w:sz="4" w:space="0" w:color="0072BC"/>
        <w:insideV w:val="single" w:sz="4" w:space="0" w:color="0072BC"/>
      </w:tblBorders>
    </w:tblPr>
    <w:tcPr>
      <w:shd w:val="clear" w:color="auto" w:fill="EFEFEF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393939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393939"/>
          <w:insideV w:val="nil"/>
        </w:tcBorders>
        <w:shd w:val="clear" w:color="auto" w:fill="393939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AFAFAF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Kolorowecieniowanieakcent6">
    <w:name w:val="Colorful Shading Accent 6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  <w:tblBorders>
        <w:top w:val="single" w:sz="24" w:space="0" w:color="5F5F5F"/>
        <w:left w:val="single" w:sz="4" w:space="0" w:color="4D4D4D"/>
        <w:bottom w:val="single" w:sz="4" w:space="0" w:color="4D4D4D"/>
        <w:right w:val="single" w:sz="4" w:space="0" w:color="4D4D4D"/>
        <w:insideH w:val="single" w:sz="4" w:space="0" w:color="0072BC"/>
        <w:insideV w:val="single" w:sz="4" w:space="0" w:color="0072BC"/>
      </w:tblBorders>
    </w:tblPr>
    <w:tcPr>
      <w:shd w:val="clear" w:color="auto" w:fill="ED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rPr>
        <w:b/>
        <w:bCs/>
        <w:color w:val="0072BC"/>
      </w:rPr>
      <w:tblPr/>
      <w:tcPr>
        <w:tcBorders>
          <w:top w:val="single" w:sz="6" w:space="0" w:color="0072BC"/>
        </w:tcBorders>
        <w:shd w:val="clear" w:color="auto" w:fill="2E2E2E"/>
      </w:tcPr>
    </w:tblStylePr>
    <w:tblStylePr w:type="fir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single" w:sz="4" w:space="0" w:color="2E2E2E"/>
          <w:insideV w:val="nil"/>
        </w:tcBorders>
        <w:shd w:val="clear" w:color="auto" w:fill="2E2E2E"/>
      </w:tcPr>
    </w:tblStylePr>
    <w:tblStylePr w:type="lastCol">
      <w:rPr>
        <w:color w:val="0072BC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/>
      </w:tcPr>
    </w:tblStylePr>
    <w:tblStylePr w:type="band1Vert">
      <w:tblPr/>
      <w:tcPr>
        <w:shd w:val="clear" w:color="auto" w:fill="B7B7B7"/>
      </w:tcPr>
    </w:tblStylePr>
    <w:tblStylePr w:type="band1Horz">
      <w:tblPr/>
      <w:tcPr>
        <w:shd w:val="clear" w:color="auto" w:fill="A6A6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6544C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6544C4"/>
    <w:rPr>
      <w:rFonts w:eastAsia="MS Mincho"/>
      <w:b/>
      <w:bCs/>
      <w:sz w:val="20"/>
      <w:szCs w:val="20"/>
    </w:rPr>
  </w:style>
  <w:style w:type="table" w:styleId="Ciemnalista">
    <w:name w:val="Dark List"/>
    <w:basedOn w:val="Standardowy"/>
    <w:uiPriority w:val="99"/>
    <w:semiHidden/>
    <w:rsid w:val="006544C4"/>
    <w:rPr>
      <w:color w:val="0072BC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Ciemnalista2akcent1">
    <w:name w:val="Dark List Accent 1"/>
    <w:basedOn w:val="Standardowy"/>
    <w:uiPriority w:val="99"/>
    <w:semiHidden/>
    <w:rsid w:val="006544C4"/>
    <w:rPr>
      <w:color w:val="0072BC"/>
    </w:rPr>
    <w:tblPr>
      <w:tblStyleRowBandSize w:val="1"/>
      <w:tblStyleColBandSize w:val="1"/>
    </w:tblPr>
    <w:tcPr>
      <w:shd w:val="clear" w:color="auto" w:fill="0072BC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385D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00548C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00548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/>
      </w:tcPr>
    </w:tblStylePr>
  </w:style>
  <w:style w:type="table" w:styleId="Ciemnalistaakcent2">
    <w:name w:val="Dark List Accent 2"/>
    <w:basedOn w:val="Standardowy"/>
    <w:uiPriority w:val="99"/>
    <w:semiHidden/>
    <w:rsid w:val="006544C4"/>
    <w:rPr>
      <w:color w:val="0072BC"/>
    </w:rPr>
    <w:tblPr>
      <w:tblStyleRowBandSize w:val="1"/>
      <w:tblStyleColBandSize w:val="1"/>
    </w:tblPr>
    <w:tcPr>
      <w:shd w:val="clear" w:color="auto" w:fill="C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5F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8F000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8F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/>
      </w:tcPr>
    </w:tblStylePr>
  </w:style>
  <w:style w:type="table" w:styleId="Ciemnalistaakcent3">
    <w:name w:val="Dark List Accent 3"/>
    <w:basedOn w:val="Standardowy"/>
    <w:uiPriority w:val="99"/>
    <w:semiHidden/>
    <w:rsid w:val="006544C4"/>
    <w:rPr>
      <w:color w:val="0072BC"/>
    </w:rPr>
    <w:tblPr>
      <w:tblStyleRowBandSize w:val="1"/>
      <w:tblStyleColBandSize w:val="1"/>
    </w:tblPr>
    <w:tcPr>
      <w:shd w:val="clear" w:color="auto" w:fill="5F5F5F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F2F2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474747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</w:style>
  <w:style w:type="table" w:styleId="Ciemnalistaakcent4">
    <w:name w:val="Dark List Accent 4"/>
    <w:basedOn w:val="Standardowy"/>
    <w:uiPriority w:val="99"/>
    <w:semiHidden/>
    <w:rsid w:val="006544C4"/>
    <w:rPr>
      <w:color w:val="0072BC"/>
    </w:rPr>
    <w:tblPr>
      <w:tblStyleRowBandSize w:val="1"/>
      <w:tblStyleColBandSize w:val="1"/>
    </w:tblPr>
    <w:tcPr>
      <w:shd w:val="clear" w:color="auto" w:fill="96969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4A4A4A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707070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70707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/>
      </w:tcPr>
    </w:tblStylePr>
  </w:style>
  <w:style w:type="table" w:styleId="Ciemnalistaakcent5">
    <w:name w:val="Dark List Accent 5"/>
    <w:basedOn w:val="Standardowy"/>
    <w:uiPriority w:val="99"/>
    <w:semiHidden/>
    <w:rsid w:val="006544C4"/>
    <w:rPr>
      <w:color w:val="0072BC"/>
    </w:rPr>
    <w:tblPr>
      <w:tblStyleRowBandSize w:val="1"/>
      <w:tblStyleColBandSize w:val="1"/>
    </w:tblPr>
    <w:tcPr>
      <w:shd w:val="clear" w:color="auto" w:fill="5F5F5F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F2F2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474747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/>
      </w:tcPr>
    </w:tblStylePr>
  </w:style>
  <w:style w:type="table" w:styleId="Ciemnalistaakcent6">
    <w:name w:val="Dark List Accent 6"/>
    <w:basedOn w:val="Standardowy"/>
    <w:uiPriority w:val="99"/>
    <w:semiHidden/>
    <w:rsid w:val="006544C4"/>
    <w:rPr>
      <w:color w:val="0072BC"/>
    </w:rPr>
    <w:tblPr>
      <w:tblStyleRowBandSize w:val="1"/>
      <w:tblStyleColBandSize w:val="1"/>
    </w:tblPr>
    <w:tcPr>
      <w:shd w:val="clear" w:color="auto" w:fill="4D4D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0072BC"/>
          <w:left w:val="nil"/>
          <w:bottom w:val="nil"/>
          <w:right w:val="nil"/>
          <w:insideH w:val="nil"/>
          <w:insideV w:val="nil"/>
        </w:tcBorders>
        <w:shd w:val="clear" w:color="auto" w:fill="26262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/>
          <w:insideH w:val="nil"/>
          <w:insideV w:val="nil"/>
        </w:tcBorders>
        <w:shd w:val="clear" w:color="auto" w:fill="393939"/>
      </w:tcPr>
    </w:tblStylePr>
    <w:tblStylePr w:type="lastCol">
      <w:tblPr/>
      <w:tcPr>
        <w:tcBorders>
          <w:top w:val="nil"/>
          <w:left w:val="single" w:sz="18" w:space="0" w:color="0072BC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/>
      </w:tcPr>
    </w:tblStylePr>
  </w:style>
  <w:style w:type="paragraph" w:styleId="Data">
    <w:name w:val="Date"/>
    <w:basedOn w:val="Normalny"/>
    <w:next w:val="Normalny"/>
    <w:link w:val="DataZnak"/>
    <w:uiPriority w:val="99"/>
    <w:semiHidden/>
    <w:rsid w:val="006544C4"/>
  </w:style>
  <w:style w:type="character" w:customStyle="1" w:styleId="DataZnak">
    <w:name w:val="Data Znak"/>
    <w:link w:val="Data"/>
    <w:uiPriority w:val="99"/>
    <w:semiHidden/>
    <w:locked/>
    <w:rsid w:val="006544C4"/>
    <w:rPr>
      <w:rFonts w:eastAsia="MS Mincho"/>
      <w:sz w:val="24"/>
      <w:szCs w:val="24"/>
    </w:rPr>
  </w:style>
  <w:style w:type="paragraph" w:styleId="Mapadokumentu">
    <w:name w:val="Document Map"/>
    <w:basedOn w:val="Normalny"/>
    <w:link w:val="MapadokumentuZnak"/>
    <w:uiPriority w:val="99"/>
    <w:semiHidden/>
    <w:rsid w:val="006544C4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link w:val="Mapadokumentu"/>
    <w:uiPriority w:val="99"/>
    <w:semiHidden/>
    <w:locked/>
    <w:rsid w:val="006544C4"/>
    <w:rPr>
      <w:rFonts w:ascii="Tahoma" w:eastAsia="MS Mincho" w:hAnsi="Tahoma" w:cs="Tahoma"/>
      <w:sz w:val="16"/>
      <w:szCs w:val="16"/>
    </w:rPr>
  </w:style>
  <w:style w:type="paragraph" w:styleId="Podpise-mail">
    <w:name w:val="E-mail Signature"/>
    <w:basedOn w:val="Normalny"/>
    <w:link w:val="Podpise-mailZnak"/>
    <w:uiPriority w:val="99"/>
    <w:semiHidden/>
    <w:rsid w:val="006544C4"/>
  </w:style>
  <w:style w:type="character" w:customStyle="1" w:styleId="Podpise-mailZnak">
    <w:name w:val="Podpis e-mail Znak"/>
    <w:link w:val="Podpise-mail"/>
    <w:uiPriority w:val="99"/>
    <w:semiHidden/>
    <w:locked/>
    <w:rsid w:val="006544C4"/>
    <w:rPr>
      <w:rFonts w:eastAsia="MS Mincho"/>
      <w:sz w:val="24"/>
      <w:szCs w:val="24"/>
    </w:rPr>
  </w:style>
  <w:style w:type="character" w:styleId="Odwoanieprzypisukocowego">
    <w:name w:val="endnote reference"/>
    <w:uiPriority w:val="99"/>
    <w:semiHidden/>
    <w:rsid w:val="006544C4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6544C4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6544C4"/>
    <w:rPr>
      <w:rFonts w:eastAsia="MS Mincho"/>
      <w:sz w:val="20"/>
      <w:szCs w:val="20"/>
    </w:rPr>
  </w:style>
  <w:style w:type="paragraph" w:styleId="Adresnakopercie">
    <w:name w:val="envelope address"/>
    <w:basedOn w:val="Normalny"/>
    <w:uiPriority w:val="99"/>
    <w:semiHidden/>
    <w:rsid w:val="006544C4"/>
    <w:pPr>
      <w:framePr w:w="7920" w:h="1980" w:hRule="exact" w:hSpace="180" w:wrap="auto" w:hAnchor="page" w:xAlign="center" w:yAlign="bottom"/>
      <w:ind w:left="2880"/>
    </w:pPr>
    <w:rPr>
      <w:rFonts w:eastAsia="MS Gothic"/>
    </w:rPr>
  </w:style>
  <w:style w:type="paragraph" w:styleId="Adreszwrotnynakopercie">
    <w:name w:val="envelope return"/>
    <w:basedOn w:val="Normalny"/>
    <w:uiPriority w:val="99"/>
    <w:semiHidden/>
    <w:rsid w:val="006544C4"/>
    <w:rPr>
      <w:rFonts w:eastAsia="MS Gothic"/>
      <w:sz w:val="20"/>
      <w:szCs w:val="20"/>
    </w:rPr>
  </w:style>
  <w:style w:type="character" w:styleId="UyteHipercze">
    <w:name w:val="FollowedHyperlink"/>
    <w:uiPriority w:val="99"/>
    <w:semiHidden/>
    <w:rsid w:val="006544C4"/>
    <w:rPr>
      <w:color w:val="auto"/>
      <w:u w:val="single"/>
    </w:rPr>
  </w:style>
  <w:style w:type="character" w:styleId="HTML-akronim">
    <w:name w:val="HTML Acronym"/>
    <w:basedOn w:val="Domylnaczcionkaakapitu"/>
    <w:uiPriority w:val="99"/>
    <w:semiHidden/>
    <w:rsid w:val="006544C4"/>
  </w:style>
  <w:style w:type="paragraph" w:styleId="HTML-adres">
    <w:name w:val="HTML Address"/>
    <w:basedOn w:val="Normalny"/>
    <w:link w:val="HTML-adresZnak"/>
    <w:uiPriority w:val="99"/>
    <w:semiHidden/>
    <w:rsid w:val="006544C4"/>
    <w:rPr>
      <w:i/>
      <w:iCs/>
    </w:rPr>
  </w:style>
  <w:style w:type="character" w:customStyle="1" w:styleId="HTML-adresZnak">
    <w:name w:val="HTML - adres Znak"/>
    <w:link w:val="HTML-adres"/>
    <w:uiPriority w:val="99"/>
    <w:semiHidden/>
    <w:locked/>
    <w:rsid w:val="006544C4"/>
    <w:rPr>
      <w:rFonts w:eastAsia="MS Mincho"/>
      <w:i/>
      <w:iCs/>
      <w:sz w:val="24"/>
      <w:szCs w:val="24"/>
    </w:rPr>
  </w:style>
  <w:style w:type="character" w:styleId="HTML-cytat">
    <w:name w:val="HTML Cite"/>
    <w:uiPriority w:val="99"/>
    <w:semiHidden/>
    <w:rsid w:val="006544C4"/>
    <w:rPr>
      <w:i/>
      <w:iCs/>
    </w:rPr>
  </w:style>
  <w:style w:type="character" w:styleId="HTML-kod">
    <w:name w:val="HTML Code"/>
    <w:uiPriority w:val="99"/>
    <w:semiHidden/>
    <w:rsid w:val="006544C4"/>
    <w:rPr>
      <w:rFonts w:ascii="Consolas" w:hAnsi="Consolas" w:cs="Consolas"/>
      <w:sz w:val="20"/>
      <w:szCs w:val="20"/>
    </w:rPr>
  </w:style>
  <w:style w:type="character" w:styleId="HTML-definicja">
    <w:name w:val="HTML Definition"/>
    <w:uiPriority w:val="99"/>
    <w:semiHidden/>
    <w:rsid w:val="006544C4"/>
    <w:rPr>
      <w:i/>
      <w:iCs/>
    </w:rPr>
  </w:style>
  <w:style w:type="character" w:styleId="HTML-klawiatura">
    <w:name w:val="HTML Keyboard"/>
    <w:uiPriority w:val="99"/>
    <w:semiHidden/>
    <w:rsid w:val="006544C4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rsid w:val="006544C4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locked/>
    <w:rsid w:val="006544C4"/>
    <w:rPr>
      <w:rFonts w:ascii="Consolas" w:eastAsia="MS Mincho" w:hAnsi="Consolas" w:cs="Consolas"/>
      <w:sz w:val="20"/>
      <w:szCs w:val="20"/>
    </w:rPr>
  </w:style>
  <w:style w:type="character" w:styleId="HTML-przykad">
    <w:name w:val="HTML Sample"/>
    <w:uiPriority w:val="99"/>
    <w:semiHidden/>
    <w:rsid w:val="006544C4"/>
    <w:rPr>
      <w:rFonts w:ascii="Consolas" w:hAnsi="Consolas" w:cs="Consolas"/>
      <w:sz w:val="24"/>
      <w:szCs w:val="24"/>
    </w:rPr>
  </w:style>
  <w:style w:type="character" w:styleId="HTML-staaszeroko">
    <w:name w:val="HTML Typewriter"/>
    <w:uiPriority w:val="99"/>
    <w:semiHidden/>
    <w:rsid w:val="006544C4"/>
    <w:rPr>
      <w:rFonts w:ascii="Consolas" w:hAnsi="Consolas" w:cs="Consolas"/>
      <w:sz w:val="20"/>
      <w:szCs w:val="20"/>
    </w:rPr>
  </w:style>
  <w:style w:type="character" w:styleId="HTML-zmienna">
    <w:name w:val="HTML Variable"/>
    <w:uiPriority w:val="99"/>
    <w:semiHidden/>
    <w:rsid w:val="006544C4"/>
    <w:rPr>
      <w:i/>
      <w:iCs/>
    </w:rPr>
  </w:style>
  <w:style w:type="paragraph" w:styleId="Indeks1">
    <w:name w:val="index 1"/>
    <w:basedOn w:val="Normalny"/>
    <w:next w:val="Normalny"/>
    <w:autoRedefine/>
    <w:uiPriority w:val="99"/>
    <w:semiHidden/>
    <w:rsid w:val="006544C4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9"/>
    <w:semiHidden/>
    <w:rsid w:val="006544C4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9"/>
    <w:semiHidden/>
    <w:rsid w:val="006544C4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9"/>
    <w:semiHidden/>
    <w:rsid w:val="006544C4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9"/>
    <w:semiHidden/>
    <w:rsid w:val="006544C4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9"/>
    <w:semiHidden/>
    <w:rsid w:val="006544C4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9"/>
    <w:semiHidden/>
    <w:rsid w:val="006544C4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9"/>
    <w:semiHidden/>
    <w:rsid w:val="006544C4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9"/>
    <w:semiHidden/>
    <w:rsid w:val="006544C4"/>
    <w:pPr>
      <w:ind w:left="2160" w:hanging="240"/>
    </w:pPr>
  </w:style>
  <w:style w:type="paragraph" w:styleId="Nagwekindeksu">
    <w:name w:val="index heading"/>
    <w:basedOn w:val="Normalny"/>
    <w:next w:val="Indeks1"/>
    <w:uiPriority w:val="99"/>
    <w:semiHidden/>
    <w:rsid w:val="006544C4"/>
    <w:rPr>
      <w:rFonts w:eastAsia="MS Gothic"/>
      <w:b/>
      <w:bCs/>
    </w:rPr>
  </w:style>
  <w:style w:type="table" w:styleId="Jasnasiatka">
    <w:name w:val="Light Grid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Jasnasiatkaakcent1">
    <w:name w:val="Light Grid Accent 1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1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  <w:shd w:val="clear" w:color="auto" w:fill="AFDFF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  <w:shd w:val="clear" w:color="auto" w:fill="AFDFFF"/>
      </w:tcPr>
    </w:tblStylePr>
    <w:tblStylePr w:type="band2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V w:val="single" w:sz="8" w:space="0" w:color="0072BC"/>
        </w:tcBorders>
      </w:tcPr>
    </w:tblStylePr>
  </w:style>
  <w:style w:type="table" w:styleId="Jasnasiatkaakcent2">
    <w:name w:val="Light Grid Accent 2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C00000"/>
          <w:left w:val="single" w:sz="8" w:space="0" w:color="C00000"/>
          <w:bottom w:val="single" w:sz="18" w:space="0" w:color="C00000"/>
          <w:right w:val="single" w:sz="8" w:space="0" w:color="C00000"/>
          <w:insideH w:val="nil"/>
          <w:insideV w:val="single" w:sz="8" w:space="0" w:color="C00000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C00000"/>
          <w:left w:val="single" w:sz="8" w:space="0" w:color="C00000"/>
          <w:bottom w:val="single" w:sz="8" w:space="0" w:color="C00000"/>
          <w:right w:val="single" w:sz="8" w:space="0" w:color="C00000"/>
          <w:insideH w:val="nil"/>
          <w:insideV w:val="single" w:sz="8" w:space="0" w:color="C00000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Vert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  <w:shd w:val="clear" w:color="auto" w:fill="FFB0B0"/>
      </w:tcPr>
    </w:tblStylePr>
    <w:tblStylePr w:type="band1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V w:val="single" w:sz="8" w:space="0" w:color="C00000"/>
        </w:tcBorders>
        <w:shd w:val="clear" w:color="auto" w:fill="FFB0B0"/>
      </w:tcPr>
    </w:tblStylePr>
    <w:tblStylePr w:type="band2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  <w:insideV w:val="single" w:sz="8" w:space="0" w:color="C00000"/>
        </w:tcBorders>
      </w:tcPr>
    </w:tblStylePr>
  </w:style>
  <w:style w:type="table" w:styleId="Jasnasiatkaakcent3">
    <w:name w:val="Light Grid Accent 3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1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  <w:shd w:val="clear" w:color="auto" w:fill="D7D7D7"/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  <w:shd w:val="clear" w:color="auto" w:fill="D7D7D7"/>
      </w:tcPr>
    </w:tblStylePr>
    <w:tblStylePr w:type="band2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</w:tcPr>
    </w:tblStylePr>
  </w:style>
  <w:style w:type="table" w:styleId="Jasnasiatkaakcent4">
    <w:name w:val="Light Grid Accent 4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969696"/>
          <w:left w:val="single" w:sz="8" w:space="0" w:color="969696"/>
          <w:bottom w:val="single" w:sz="18" w:space="0" w:color="969696"/>
          <w:right w:val="single" w:sz="8" w:space="0" w:color="969696"/>
          <w:insideH w:val="nil"/>
          <w:insideV w:val="single" w:sz="8" w:space="0" w:color="969696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969696"/>
          <w:left w:val="single" w:sz="8" w:space="0" w:color="969696"/>
          <w:bottom w:val="single" w:sz="8" w:space="0" w:color="969696"/>
          <w:right w:val="single" w:sz="8" w:space="0" w:color="969696"/>
          <w:insideH w:val="nil"/>
          <w:insideV w:val="single" w:sz="8" w:space="0" w:color="969696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band1Vert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  <w:shd w:val="clear" w:color="auto" w:fill="E5E5E5"/>
      </w:tcPr>
    </w:tblStylePr>
    <w:tblStylePr w:type="band1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  <w:insideV w:val="single" w:sz="8" w:space="0" w:color="969696"/>
        </w:tcBorders>
        <w:shd w:val="clear" w:color="auto" w:fill="E5E5E5"/>
      </w:tcPr>
    </w:tblStylePr>
    <w:tblStylePr w:type="band2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  <w:insideV w:val="single" w:sz="8" w:space="0" w:color="969696"/>
        </w:tcBorders>
      </w:tcPr>
    </w:tblStylePr>
  </w:style>
  <w:style w:type="table" w:styleId="Jasnasiatkaakcent5">
    <w:name w:val="Light Grid Accent 5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1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  <w:insideH w:val="nil"/>
          <w:insideV w:val="single" w:sz="8" w:space="0" w:color="5F5F5F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  <w:shd w:val="clear" w:color="auto" w:fill="D7D7D7"/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  <w:shd w:val="clear" w:color="auto" w:fill="D7D7D7"/>
      </w:tcPr>
    </w:tblStylePr>
    <w:tblStylePr w:type="band2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  <w:insideV w:val="single" w:sz="8" w:space="0" w:color="5F5F5F"/>
        </w:tcBorders>
      </w:tcPr>
    </w:tblStylePr>
  </w:style>
  <w:style w:type="table" w:styleId="Jasnasiatkaakcent6">
    <w:name w:val="Light Grid Accent 6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</w:tblPr>
    <w:tblStylePr w:type="fir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4D4D4D"/>
          <w:left w:val="single" w:sz="8" w:space="0" w:color="4D4D4D"/>
          <w:bottom w:val="single" w:sz="18" w:space="0" w:color="4D4D4D"/>
          <w:right w:val="single" w:sz="8" w:space="0" w:color="4D4D4D"/>
          <w:insideH w:val="nil"/>
          <w:insideV w:val="single" w:sz="8" w:space="0" w:color="4D4D4D"/>
        </w:tcBorders>
      </w:tcPr>
    </w:tblStylePr>
    <w:tblStylePr w:type="lastRow">
      <w:pPr>
        <w:spacing w:before="0" w:after="0"/>
      </w:pPr>
      <w:rPr>
        <w:rFonts w:ascii="Times New Roman" w:eastAsia="MS Gothic" w:hAnsi="Times New Roman" w:cs="Times New Roman"/>
        <w:b/>
        <w:bCs/>
      </w:rPr>
      <w:tblPr/>
      <w:tcPr>
        <w:tcBorders>
          <w:top w:val="double" w:sz="6" w:space="0" w:color="4D4D4D"/>
          <w:left w:val="single" w:sz="8" w:space="0" w:color="4D4D4D"/>
          <w:bottom w:val="single" w:sz="8" w:space="0" w:color="4D4D4D"/>
          <w:right w:val="single" w:sz="8" w:space="0" w:color="4D4D4D"/>
          <w:insideH w:val="nil"/>
          <w:insideV w:val="single" w:sz="8" w:space="0" w:color="4D4D4D"/>
        </w:tcBorders>
      </w:tcPr>
    </w:tblStylePr>
    <w:tblStylePr w:type="firstCol">
      <w:rPr>
        <w:rFonts w:ascii="Times New Roman" w:eastAsia="MS Gothic" w:hAnsi="Times New Roman" w:cs="Times New Roman"/>
        <w:b/>
        <w:bCs/>
      </w:rPr>
    </w:tblStylePr>
    <w:tblStylePr w:type="lastCol">
      <w:rPr>
        <w:rFonts w:ascii="Times New Roman" w:eastAsia="MS Gothic" w:hAnsi="Times New Roman" w:cs="Times New Roman"/>
        <w:b/>
        <w:bCs/>
      </w:rPr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band1Vert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  <w:shd w:val="clear" w:color="auto" w:fill="D3D3D3"/>
      </w:tcPr>
    </w:tblStylePr>
    <w:tblStylePr w:type="band1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  <w:insideV w:val="single" w:sz="8" w:space="0" w:color="4D4D4D"/>
        </w:tcBorders>
        <w:shd w:val="clear" w:color="auto" w:fill="D3D3D3"/>
      </w:tcPr>
    </w:tblStylePr>
    <w:tblStylePr w:type="band2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  <w:insideV w:val="single" w:sz="8" w:space="0" w:color="4D4D4D"/>
        </w:tcBorders>
      </w:tcPr>
    </w:tblStylePr>
  </w:style>
  <w:style w:type="table" w:styleId="Jasnalista">
    <w:name w:val="Light List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000000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Jasnalistaakcent1">
    <w:name w:val="Light List Accent 1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0072BC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</w:tcBorders>
      </w:tcPr>
    </w:tblStylePr>
  </w:style>
  <w:style w:type="table" w:styleId="Jasnalistaakcent2">
    <w:name w:val="Light List Accent 2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C00000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  <w:tblStylePr w:type="band1Horz">
      <w:tblPr/>
      <w:tcPr>
        <w:tcBorders>
          <w:top w:val="single" w:sz="8" w:space="0" w:color="C00000"/>
          <w:left w:val="single" w:sz="8" w:space="0" w:color="C00000"/>
          <w:bottom w:val="single" w:sz="8" w:space="0" w:color="C00000"/>
          <w:right w:val="single" w:sz="8" w:space="0" w:color="C00000"/>
        </w:tcBorders>
      </w:tcPr>
    </w:tblStylePr>
  </w:style>
  <w:style w:type="table" w:styleId="Jasnalistaakcent3">
    <w:name w:val="Light List Accent 3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5F5F5F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</w:style>
  <w:style w:type="table" w:styleId="Jasnalistaakcent4">
    <w:name w:val="Light List Accent 4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969696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  <w:tblStylePr w:type="band1Horz">
      <w:tblPr/>
      <w:tcPr>
        <w:tcBorders>
          <w:top w:val="single" w:sz="8" w:space="0" w:color="969696"/>
          <w:left w:val="single" w:sz="8" w:space="0" w:color="969696"/>
          <w:bottom w:val="single" w:sz="8" w:space="0" w:color="969696"/>
          <w:right w:val="single" w:sz="8" w:space="0" w:color="969696"/>
        </w:tcBorders>
      </w:tcPr>
    </w:tblStylePr>
  </w:style>
  <w:style w:type="table" w:styleId="Jasnalistaakcent5">
    <w:name w:val="Light List Accent 5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5F5F5F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  <w:tblStylePr w:type="band1Horz">
      <w:tblPr/>
      <w:tcPr>
        <w:tcBorders>
          <w:top w:val="single" w:sz="8" w:space="0" w:color="5F5F5F"/>
          <w:left w:val="single" w:sz="8" w:space="0" w:color="5F5F5F"/>
          <w:bottom w:val="single" w:sz="8" w:space="0" w:color="5F5F5F"/>
          <w:right w:val="single" w:sz="8" w:space="0" w:color="5F5F5F"/>
        </w:tcBorders>
      </w:tcPr>
    </w:tblStylePr>
  </w:style>
  <w:style w:type="table" w:styleId="Jasnalistaakcent6">
    <w:name w:val="Light List Accent 6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shd w:val="clear" w:color="auto" w:fill="4D4D4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  <w:tblStylePr w:type="band1Horz">
      <w:tblPr/>
      <w:tcPr>
        <w:tcBorders>
          <w:top w:val="single" w:sz="8" w:space="0" w:color="4D4D4D"/>
          <w:left w:val="single" w:sz="8" w:space="0" w:color="4D4D4D"/>
          <w:bottom w:val="single" w:sz="8" w:space="0" w:color="4D4D4D"/>
          <w:right w:val="single" w:sz="8" w:space="0" w:color="4D4D4D"/>
        </w:tcBorders>
      </w:tcPr>
    </w:tblStylePr>
  </w:style>
  <w:style w:type="table" w:styleId="Jasnecieniowanie">
    <w:name w:val="Light Shading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Jasnecieniowanieakcent1">
    <w:name w:val="Light Shading Accent 1"/>
    <w:basedOn w:val="Standardowy"/>
    <w:uiPriority w:val="99"/>
    <w:semiHidden/>
    <w:rsid w:val="006544C4"/>
    <w:rPr>
      <w:color w:val="00548C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0072BC"/>
          <w:left w:val="nil"/>
          <w:bottom w:val="single" w:sz="8" w:space="0" w:color="0072BC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</w:style>
  <w:style w:type="table" w:styleId="Jasnecieniowanieakcent2">
    <w:name w:val="Light Shading Accent 2"/>
    <w:basedOn w:val="Standardowy"/>
    <w:uiPriority w:val="99"/>
    <w:semiHidden/>
    <w:rsid w:val="006544C4"/>
    <w:rPr>
      <w:color w:val="8F0000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C00000"/>
          <w:left w:val="nil"/>
          <w:bottom w:val="single" w:sz="8" w:space="0" w:color="C00000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C00000"/>
          <w:left w:val="nil"/>
          <w:bottom w:val="single" w:sz="8" w:space="0" w:color="C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</w:style>
  <w:style w:type="table" w:styleId="Jasnecieniowanieakcent3">
    <w:name w:val="Light Shading Accent 3"/>
    <w:basedOn w:val="Standardowy"/>
    <w:uiPriority w:val="99"/>
    <w:semiHidden/>
    <w:rsid w:val="006544C4"/>
    <w:rPr>
      <w:color w:val="474747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</w:style>
  <w:style w:type="table" w:styleId="Jasnecieniowanieakcent4">
    <w:name w:val="Light Shading Accent 4"/>
    <w:basedOn w:val="Standardowy"/>
    <w:uiPriority w:val="99"/>
    <w:semiHidden/>
    <w:rsid w:val="006544C4"/>
    <w:rPr>
      <w:color w:val="707070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969696"/>
          <w:left w:val="nil"/>
          <w:bottom w:val="single" w:sz="8" w:space="0" w:color="96969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</w:style>
  <w:style w:type="table" w:styleId="Jasnecieniowanieakcent5">
    <w:name w:val="Light Shading Accent 5"/>
    <w:basedOn w:val="Standardowy"/>
    <w:uiPriority w:val="99"/>
    <w:semiHidden/>
    <w:rsid w:val="006544C4"/>
    <w:rPr>
      <w:color w:val="474747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5F5F5F"/>
          <w:left w:val="nil"/>
          <w:bottom w:val="single" w:sz="8" w:space="0" w:color="5F5F5F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</w:style>
  <w:style w:type="table" w:styleId="Jasnecieniowanieakcent6">
    <w:name w:val="Light Shading Accent 6"/>
    <w:basedOn w:val="Standardowy"/>
    <w:uiPriority w:val="99"/>
    <w:semiHidden/>
    <w:rsid w:val="006544C4"/>
    <w:rPr>
      <w:color w:val="393939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</w:tblPr>
    <w:tblStylePr w:type="firstRow">
      <w:pPr>
        <w:spacing w:before="0" w:after="0"/>
      </w:pPr>
      <w:rPr>
        <w:b/>
        <w:bCs/>
      </w:rPr>
      <w:tblPr/>
      <w:tcPr>
        <w:tcBorders>
          <w:top w:val="single" w:sz="8" w:space="0" w:color="4D4D4D"/>
          <w:left w:val="nil"/>
          <w:bottom w:val="single" w:sz="8" w:space="0" w:color="4D4D4D"/>
          <w:right w:val="nil"/>
          <w:insideH w:val="nil"/>
          <w:insideV w:val="nil"/>
        </w:tcBorders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single" w:sz="8" w:space="0" w:color="4D4D4D"/>
          <w:left w:val="nil"/>
          <w:bottom w:val="single" w:sz="8" w:space="0" w:color="4D4D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</w:style>
  <w:style w:type="character" w:styleId="Numerwiersza">
    <w:name w:val="line number"/>
    <w:basedOn w:val="Domylnaczcionkaakapitu"/>
    <w:uiPriority w:val="99"/>
    <w:semiHidden/>
    <w:rsid w:val="006544C4"/>
  </w:style>
  <w:style w:type="paragraph" w:styleId="Lista">
    <w:name w:val="List"/>
    <w:basedOn w:val="Normalny"/>
    <w:uiPriority w:val="99"/>
    <w:semiHidden/>
    <w:rsid w:val="006544C4"/>
    <w:pPr>
      <w:ind w:left="283" w:hanging="283"/>
    </w:pPr>
  </w:style>
  <w:style w:type="paragraph" w:styleId="Lista2">
    <w:name w:val="List 2"/>
    <w:basedOn w:val="Normalny"/>
    <w:uiPriority w:val="99"/>
    <w:semiHidden/>
    <w:rsid w:val="006544C4"/>
    <w:pPr>
      <w:ind w:left="566" w:hanging="283"/>
    </w:pPr>
  </w:style>
  <w:style w:type="paragraph" w:styleId="Lista3">
    <w:name w:val="List 3"/>
    <w:basedOn w:val="Normalny"/>
    <w:uiPriority w:val="99"/>
    <w:semiHidden/>
    <w:rsid w:val="006544C4"/>
    <w:pPr>
      <w:ind w:left="849" w:hanging="283"/>
    </w:pPr>
  </w:style>
  <w:style w:type="paragraph" w:styleId="Lista4">
    <w:name w:val="List 4"/>
    <w:basedOn w:val="Normalny"/>
    <w:uiPriority w:val="99"/>
    <w:semiHidden/>
    <w:rsid w:val="006544C4"/>
    <w:pPr>
      <w:ind w:left="1132" w:hanging="283"/>
    </w:pPr>
  </w:style>
  <w:style w:type="paragraph" w:styleId="Lista5">
    <w:name w:val="List 5"/>
    <w:basedOn w:val="Normalny"/>
    <w:uiPriority w:val="99"/>
    <w:semiHidden/>
    <w:rsid w:val="006544C4"/>
    <w:pPr>
      <w:ind w:left="1415" w:hanging="283"/>
    </w:pPr>
  </w:style>
  <w:style w:type="paragraph" w:styleId="Listapunktowana">
    <w:name w:val="List Bullet"/>
    <w:basedOn w:val="Normalny"/>
    <w:uiPriority w:val="99"/>
    <w:semiHidden/>
    <w:rsid w:val="006544C4"/>
    <w:pPr>
      <w:tabs>
        <w:tab w:val="num" w:pos="360"/>
      </w:tabs>
      <w:ind w:left="360" w:hanging="360"/>
    </w:pPr>
  </w:style>
  <w:style w:type="paragraph" w:styleId="Listapunktowana4">
    <w:name w:val="List Bullet 4"/>
    <w:basedOn w:val="Normalny"/>
    <w:uiPriority w:val="99"/>
    <w:semiHidden/>
    <w:rsid w:val="006544C4"/>
    <w:pPr>
      <w:numPr>
        <w:numId w:val="10"/>
      </w:numPr>
      <w:tabs>
        <w:tab w:val="clear" w:pos="1492"/>
        <w:tab w:val="num" w:pos="1209"/>
      </w:tabs>
      <w:ind w:left="1209"/>
    </w:pPr>
  </w:style>
  <w:style w:type="paragraph" w:styleId="Listapunktowana5">
    <w:name w:val="List Bullet 5"/>
    <w:basedOn w:val="Normalny"/>
    <w:uiPriority w:val="99"/>
    <w:semiHidden/>
    <w:rsid w:val="006544C4"/>
    <w:pPr>
      <w:numPr>
        <w:numId w:val="2"/>
      </w:numPr>
      <w:tabs>
        <w:tab w:val="clear" w:pos="926"/>
        <w:tab w:val="num" w:pos="1492"/>
      </w:tabs>
      <w:ind w:left="1492"/>
    </w:pPr>
  </w:style>
  <w:style w:type="paragraph" w:styleId="Lista-kontynuacja">
    <w:name w:val="List Continue"/>
    <w:basedOn w:val="Normalny"/>
    <w:uiPriority w:val="99"/>
    <w:semiHidden/>
    <w:rsid w:val="006544C4"/>
    <w:pPr>
      <w:spacing w:after="120"/>
      <w:ind w:left="283"/>
    </w:pPr>
  </w:style>
  <w:style w:type="paragraph" w:styleId="Lista-kontynuacja2">
    <w:name w:val="List Continue 2"/>
    <w:basedOn w:val="Normalny"/>
    <w:uiPriority w:val="99"/>
    <w:semiHidden/>
    <w:rsid w:val="006544C4"/>
    <w:pPr>
      <w:spacing w:after="120"/>
      <w:ind w:left="566"/>
    </w:pPr>
  </w:style>
  <w:style w:type="paragraph" w:styleId="Lista-kontynuacja3">
    <w:name w:val="List Continue 3"/>
    <w:basedOn w:val="Normalny"/>
    <w:uiPriority w:val="99"/>
    <w:semiHidden/>
    <w:rsid w:val="006544C4"/>
    <w:pPr>
      <w:spacing w:after="120"/>
      <w:ind w:left="849"/>
    </w:pPr>
  </w:style>
  <w:style w:type="paragraph" w:styleId="Lista-kontynuacja4">
    <w:name w:val="List Continue 4"/>
    <w:basedOn w:val="Normalny"/>
    <w:uiPriority w:val="99"/>
    <w:semiHidden/>
    <w:rsid w:val="006544C4"/>
    <w:pPr>
      <w:spacing w:after="120"/>
      <w:ind w:left="1132"/>
    </w:pPr>
  </w:style>
  <w:style w:type="paragraph" w:styleId="Lista-kontynuacja5">
    <w:name w:val="List Continue 5"/>
    <w:basedOn w:val="Normalny"/>
    <w:uiPriority w:val="99"/>
    <w:semiHidden/>
    <w:rsid w:val="006544C4"/>
    <w:pPr>
      <w:spacing w:after="120"/>
      <w:ind w:left="1415"/>
    </w:pPr>
  </w:style>
  <w:style w:type="paragraph" w:styleId="Listanumerowana">
    <w:name w:val="List Number"/>
    <w:basedOn w:val="Normalny"/>
    <w:uiPriority w:val="99"/>
    <w:semiHidden/>
    <w:rsid w:val="006544C4"/>
    <w:pPr>
      <w:numPr>
        <w:numId w:val="3"/>
      </w:numPr>
    </w:pPr>
  </w:style>
  <w:style w:type="paragraph" w:styleId="Listanumerowana2">
    <w:name w:val="List Number 2"/>
    <w:basedOn w:val="Normalny"/>
    <w:uiPriority w:val="99"/>
    <w:semiHidden/>
    <w:rsid w:val="006544C4"/>
    <w:pPr>
      <w:numPr>
        <w:numId w:val="4"/>
      </w:numPr>
      <w:tabs>
        <w:tab w:val="clear" w:pos="1209"/>
        <w:tab w:val="num" w:pos="643"/>
      </w:tabs>
      <w:ind w:left="643"/>
    </w:pPr>
  </w:style>
  <w:style w:type="paragraph" w:styleId="Listanumerowana3">
    <w:name w:val="List Number 3"/>
    <w:basedOn w:val="Normalny"/>
    <w:uiPriority w:val="99"/>
    <w:semiHidden/>
    <w:rsid w:val="006544C4"/>
    <w:pPr>
      <w:numPr>
        <w:numId w:val="5"/>
      </w:numPr>
      <w:tabs>
        <w:tab w:val="clear" w:pos="1492"/>
        <w:tab w:val="num" w:pos="926"/>
      </w:tabs>
      <w:ind w:left="926"/>
    </w:pPr>
  </w:style>
  <w:style w:type="paragraph" w:styleId="Listanumerowana4">
    <w:name w:val="List Number 4"/>
    <w:basedOn w:val="Normalny"/>
    <w:uiPriority w:val="99"/>
    <w:semiHidden/>
    <w:rsid w:val="006544C4"/>
    <w:pPr>
      <w:numPr>
        <w:numId w:val="6"/>
      </w:numPr>
      <w:tabs>
        <w:tab w:val="clear" w:pos="360"/>
        <w:tab w:val="num" w:pos="1209"/>
      </w:tabs>
      <w:ind w:left="1209"/>
    </w:pPr>
  </w:style>
  <w:style w:type="paragraph" w:styleId="Listanumerowana5">
    <w:name w:val="List Number 5"/>
    <w:basedOn w:val="Normalny"/>
    <w:uiPriority w:val="99"/>
    <w:semiHidden/>
    <w:rsid w:val="006544C4"/>
    <w:pPr>
      <w:numPr>
        <w:numId w:val="7"/>
      </w:numPr>
      <w:tabs>
        <w:tab w:val="clear" w:pos="643"/>
        <w:tab w:val="num" w:pos="1492"/>
      </w:tabs>
      <w:ind w:left="1492"/>
    </w:pPr>
  </w:style>
  <w:style w:type="paragraph" w:styleId="Tekstmakra">
    <w:name w:val="macro"/>
    <w:link w:val="TekstmakraZnak"/>
    <w:uiPriority w:val="99"/>
    <w:semiHidden/>
    <w:rsid w:val="006544C4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="MS Mincho" w:hAnsi="Consolas" w:cs="Consolas"/>
      <w:lang w:val="en-US" w:eastAsia="en-US"/>
    </w:rPr>
  </w:style>
  <w:style w:type="character" w:customStyle="1" w:styleId="TekstmakraZnak">
    <w:name w:val="Tekst makra Znak"/>
    <w:link w:val="Tekstmakra"/>
    <w:uiPriority w:val="99"/>
    <w:semiHidden/>
    <w:locked/>
    <w:rsid w:val="006544C4"/>
    <w:rPr>
      <w:rFonts w:ascii="Consolas" w:eastAsia="MS Mincho" w:hAnsi="Consolas" w:cs="Consolas"/>
      <w:lang w:val="en-US" w:eastAsia="en-US"/>
    </w:rPr>
  </w:style>
  <w:style w:type="table" w:styleId="redniasiatka1">
    <w:name w:val="Medium Grid 1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redniasiatka1akcent1">
    <w:name w:val="Medium Grid 1 Accent 1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  <w:insideV w:val="single" w:sz="8" w:space="0" w:color="0D9FFF"/>
      </w:tblBorders>
    </w:tblPr>
    <w:tcPr>
      <w:shd w:val="clear" w:color="auto" w:fill="AFDFF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/>
      </w:tcPr>
    </w:tblStylePr>
    <w:tblStylePr w:type="band1Horz">
      <w:tblPr/>
      <w:tcPr>
        <w:shd w:val="clear" w:color="auto" w:fill="5EBFFF"/>
      </w:tcPr>
    </w:tblStylePr>
  </w:style>
  <w:style w:type="table" w:styleId="redniasiatka1akcent2">
    <w:name w:val="Medium Grid 1 Accent 2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  <w:insideV w:val="single" w:sz="8" w:space="0" w:color="FF1010"/>
      </w:tblBorders>
    </w:tblPr>
    <w:tcPr>
      <w:shd w:val="clear" w:color="auto" w:fill="FFB0B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/>
      </w:tcPr>
    </w:tblStylePr>
    <w:tblStylePr w:type="band1Horz">
      <w:tblPr/>
      <w:tcPr>
        <w:shd w:val="clear" w:color="auto" w:fill="FF6060"/>
      </w:tcPr>
    </w:tblStylePr>
  </w:style>
  <w:style w:type="table" w:styleId="redniasiatka1akcent3">
    <w:name w:val="Medium Grid 1 Accent 3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</w:tblPr>
    <w:tcPr>
      <w:shd w:val="clear" w:color="auto" w:fill="D7D7D7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redniasiatka1akcent4">
    <w:name w:val="Medium Grid 1 Accent 4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  <w:insideV w:val="single" w:sz="8" w:space="0" w:color="B0B0B0"/>
      </w:tblBorders>
    </w:tblPr>
    <w:tcPr>
      <w:shd w:val="clear" w:color="auto" w:fill="E5E5E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/>
      </w:tcPr>
    </w:tblStylePr>
    <w:tblStylePr w:type="band1Horz">
      <w:tblPr/>
      <w:tcPr>
        <w:shd w:val="clear" w:color="auto" w:fill="CACACA"/>
      </w:tcPr>
    </w:tblStylePr>
  </w:style>
  <w:style w:type="table" w:styleId="redniasiatka1akcent5">
    <w:name w:val="Medium Grid 1 Accent 5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  <w:insideV w:val="single" w:sz="8" w:space="0" w:color="878787"/>
      </w:tblBorders>
    </w:tblPr>
    <w:tcPr>
      <w:shd w:val="clear" w:color="auto" w:fill="D7D7D7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/>
      </w:tcPr>
    </w:tblStylePr>
    <w:tblStylePr w:type="band1Horz">
      <w:tblPr/>
      <w:tcPr>
        <w:shd w:val="clear" w:color="auto" w:fill="AFAFAF"/>
      </w:tcPr>
    </w:tblStylePr>
  </w:style>
  <w:style w:type="table" w:styleId="redniasiatka1akcent6">
    <w:name w:val="Medium Grid 1 Accent 6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  <w:insideV w:val="single" w:sz="8" w:space="0" w:color="797979"/>
      </w:tblBorders>
    </w:tblPr>
    <w:tcPr>
      <w:shd w:val="clear" w:color="auto" w:fill="D3D3D3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/>
      </w:tcPr>
    </w:tblStylePr>
    <w:tblStylePr w:type="band1Horz">
      <w:tblPr/>
      <w:tcPr>
        <w:shd w:val="clear" w:color="auto" w:fill="A6A6A6"/>
      </w:tcPr>
    </w:tblStylePr>
  </w:style>
  <w:style w:type="table" w:styleId="redniasiatka2">
    <w:name w:val="Medium Grid 2"/>
    <w:basedOn w:val="Standardowy"/>
    <w:uiPriority w:val="99"/>
    <w:semiHidden/>
    <w:rsid w:val="006544C4"/>
    <w:rPr>
      <w:rFonts w:eastAsia="MS Gothic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0072BC"/>
      </w:tcPr>
    </w:tblStylePr>
  </w:style>
  <w:style w:type="table" w:styleId="redniasiatka2akcent1">
    <w:name w:val="Medium Grid 2 Accent 1"/>
    <w:basedOn w:val="Standardowy"/>
    <w:uiPriority w:val="99"/>
    <w:semiHidden/>
    <w:rsid w:val="006544C4"/>
    <w:rPr>
      <w:rFonts w:eastAsia="MS Gothic"/>
      <w:color w:val="000000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8" w:space="0" w:color="0072BC"/>
        <w:insideV w:val="single" w:sz="8" w:space="0" w:color="0072BC"/>
      </w:tblBorders>
    </w:tblPr>
    <w:tcPr>
      <w:shd w:val="clear" w:color="auto" w:fill="AFDFFF"/>
    </w:tcPr>
    <w:tblStylePr w:type="firstRow">
      <w:rPr>
        <w:b/>
        <w:bCs/>
        <w:color w:val="000000"/>
      </w:rPr>
      <w:tblPr/>
      <w:tcPr>
        <w:shd w:val="clear" w:color="auto" w:fill="DFF2F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/>
      </w:tcPr>
    </w:tblStylePr>
    <w:tblStylePr w:type="band1Vert">
      <w:tblPr/>
      <w:tcPr>
        <w:shd w:val="clear" w:color="auto" w:fill="5EBFFF"/>
      </w:tcPr>
    </w:tblStylePr>
    <w:tblStylePr w:type="band1Horz">
      <w:tblPr/>
      <w:tcPr>
        <w:tcBorders>
          <w:insideH w:val="single" w:sz="6" w:space="0" w:color="0072BC"/>
          <w:insideV w:val="single" w:sz="6" w:space="0" w:color="0072BC"/>
        </w:tcBorders>
        <w:shd w:val="clear" w:color="auto" w:fill="5EBFFF"/>
      </w:tcPr>
    </w:tblStylePr>
    <w:tblStylePr w:type="nwCell">
      <w:tblPr/>
      <w:tcPr>
        <w:shd w:val="clear" w:color="auto" w:fill="0072BC"/>
      </w:tcPr>
    </w:tblStylePr>
  </w:style>
  <w:style w:type="table" w:styleId="redniasiatka2akcent2">
    <w:name w:val="Medium Grid 2 Accent 2"/>
    <w:basedOn w:val="Standardowy"/>
    <w:uiPriority w:val="99"/>
    <w:semiHidden/>
    <w:rsid w:val="006544C4"/>
    <w:rPr>
      <w:rFonts w:eastAsia="MS Gothic"/>
      <w:color w:val="000000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  <w:insideH w:val="single" w:sz="8" w:space="0" w:color="C00000"/>
        <w:insideV w:val="single" w:sz="8" w:space="0" w:color="C00000"/>
      </w:tblBorders>
    </w:tblPr>
    <w:tcPr>
      <w:shd w:val="clear" w:color="auto" w:fill="FFB0B0"/>
    </w:tcPr>
    <w:tblStylePr w:type="firstRow">
      <w:rPr>
        <w:b/>
        <w:bCs/>
        <w:color w:val="000000"/>
      </w:rPr>
      <w:tblPr/>
      <w:tcPr>
        <w:shd w:val="clear" w:color="auto" w:fill="FFDFD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/>
      </w:tcPr>
    </w:tblStylePr>
    <w:tblStylePr w:type="band1Vert">
      <w:tblPr/>
      <w:tcPr>
        <w:shd w:val="clear" w:color="auto" w:fill="FF6060"/>
      </w:tcPr>
    </w:tblStylePr>
    <w:tblStylePr w:type="band1Horz">
      <w:tblPr/>
      <w:tcPr>
        <w:tcBorders>
          <w:insideH w:val="single" w:sz="6" w:space="0" w:color="C00000"/>
          <w:insideV w:val="single" w:sz="6" w:space="0" w:color="C00000"/>
        </w:tcBorders>
        <w:shd w:val="clear" w:color="auto" w:fill="FF6060"/>
      </w:tcPr>
    </w:tblStylePr>
    <w:tblStylePr w:type="nwCell">
      <w:tblPr/>
      <w:tcPr>
        <w:shd w:val="clear" w:color="auto" w:fill="0072BC"/>
      </w:tcPr>
    </w:tblStylePr>
  </w:style>
  <w:style w:type="table" w:styleId="redniasiatka2akcent3">
    <w:name w:val="Medium Grid 2 Accent 3"/>
    <w:basedOn w:val="Standardowy"/>
    <w:uiPriority w:val="99"/>
    <w:semiHidden/>
    <w:rsid w:val="006544C4"/>
    <w:rPr>
      <w:rFonts w:eastAsia="MS Gothic"/>
      <w:color w:val="000000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cPr>
      <w:shd w:val="clear" w:color="auto" w:fill="D7D7D7"/>
    </w:tcPr>
    <w:tblStylePr w:type="firstRow">
      <w:rPr>
        <w:b/>
        <w:bCs/>
        <w:color w:val="000000"/>
      </w:rPr>
      <w:tblPr/>
      <w:tcPr>
        <w:shd w:val="clear" w:color="auto" w:fill="EFEFE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tcBorders>
          <w:insideH w:val="single" w:sz="6" w:space="0" w:color="5F5F5F"/>
          <w:insideV w:val="single" w:sz="6" w:space="0" w:color="5F5F5F"/>
        </w:tcBorders>
        <w:shd w:val="clear" w:color="auto" w:fill="AFAFAF"/>
      </w:tcPr>
    </w:tblStylePr>
    <w:tblStylePr w:type="nwCell">
      <w:tblPr/>
      <w:tcPr>
        <w:shd w:val="clear" w:color="auto" w:fill="0072BC"/>
      </w:tcPr>
    </w:tblStylePr>
  </w:style>
  <w:style w:type="table" w:styleId="redniasiatka2akcent4">
    <w:name w:val="Medium Grid 2 Accent 4"/>
    <w:basedOn w:val="Standardowy"/>
    <w:uiPriority w:val="99"/>
    <w:semiHidden/>
    <w:rsid w:val="006544C4"/>
    <w:rPr>
      <w:rFonts w:eastAsia="MS Gothic"/>
      <w:color w:val="000000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  <w:insideH w:val="single" w:sz="8" w:space="0" w:color="969696"/>
        <w:insideV w:val="single" w:sz="8" w:space="0" w:color="969696"/>
      </w:tblBorders>
    </w:tblPr>
    <w:tcPr>
      <w:shd w:val="clear" w:color="auto" w:fill="E5E5E5"/>
    </w:tcPr>
    <w:tblStylePr w:type="firstRow">
      <w:rPr>
        <w:b/>
        <w:bCs/>
        <w:color w:val="000000"/>
      </w:rPr>
      <w:tblPr/>
      <w:tcPr>
        <w:shd w:val="clear" w:color="auto" w:fill="F4F4F4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/>
      </w:tcPr>
    </w:tblStylePr>
    <w:tblStylePr w:type="band1Vert">
      <w:tblPr/>
      <w:tcPr>
        <w:shd w:val="clear" w:color="auto" w:fill="CACACA"/>
      </w:tcPr>
    </w:tblStylePr>
    <w:tblStylePr w:type="band1Horz">
      <w:tblPr/>
      <w:tcPr>
        <w:tcBorders>
          <w:insideH w:val="single" w:sz="6" w:space="0" w:color="969696"/>
          <w:insideV w:val="single" w:sz="6" w:space="0" w:color="969696"/>
        </w:tcBorders>
        <w:shd w:val="clear" w:color="auto" w:fill="CACACA"/>
      </w:tcPr>
    </w:tblStylePr>
    <w:tblStylePr w:type="nwCell">
      <w:tblPr/>
      <w:tcPr>
        <w:shd w:val="clear" w:color="auto" w:fill="0072BC"/>
      </w:tcPr>
    </w:tblStylePr>
  </w:style>
  <w:style w:type="table" w:styleId="redniasiatka2akcent5">
    <w:name w:val="Medium Grid 2 Accent 5"/>
    <w:basedOn w:val="Standardowy"/>
    <w:uiPriority w:val="99"/>
    <w:semiHidden/>
    <w:rsid w:val="006544C4"/>
    <w:rPr>
      <w:rFonts w:eastAsia="MS Gothic"/>
      <w:color w:val="000000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  <w:insideH w:val="single" w:sz="8" w:space="0" w:color="5F5F5F"/>
        <w:insideV w:val="single" w:sz="8" w:space="0" w:color="5F5F5F"/>
      </w:tblBorders>
    </w:tblPr>
    <w:tcPr>
      <w:shd w:val="clear" w:color="auto" w:fill="D7D7D7"/>
    </w:tcPr>
    <w:tblStylePr w:type="firstRow">
      <w:rPr>
        <w:b/>
        <w:bCs/>
        <w:color w:val="000000"/>
      </w:rPr>
      <w:tblPr/>
      <w:tcPr>
        <w:shd w:val="clear" w:color="auto" w:fill="EFEFEF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/>
      </w:tcPr>
    </w:tblStylePr>
    <w:tblStylePr w:type="band1Vert">
      <w:tblPr/>
      <w:tcPr>
        <w:shd w:val="clear" w:color="auto" w:fill="AFAFAF"/>
      </w:tcPr>
    </w:tblStylePr>
    <w:tblStylePr w:type="band1Horz">
      <w:tblPr/>
      <w:tcPr>
        <w:tcBorders>
          <w:insideH w:val="single" w:sz="6" w:space="0" w:color="5F5F5F"/>
          <w:insideV w:val="single" w:sz="6" w:space="0" w:color="5F5F5F"/>
        </w:tcBorders>
        <w:shd w:val="clear" w:color="auto" w:fill="AFAFAF"/>
      </w:tcPr>
    </w:tblStylePr>
    <w:tblStylePr w:type="nwCell">
      <w:tblPr/>
      <w:tcPr>
        <w:shd w:val="clear" w:color="auto" w:fill="0072BC"/>
      </w:tcPr>
    </w:tblStylePr>
  </w:style>
  <w:style w:type="table" w:styleId="redniasiatka2akcent6">
    <w:name w:val="Medium Grid 2 Accent 6"/>
    <w:basedOn w:val="Standardowy"/>
    <w:uiPriority w:val="99"/>
    <w:semiHidden/>
    <w:rsid w:val="006544C4"/>
    <w:rPr>
      <w:rFonts w:eastAsia="MS Gothic"/>
      <w:color w:val="000000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  <w:insideH w:val="single" w:sz="8" w:space="0" w:color="4D4D4D"/>
        <w:insideV w:val="single" w:sz="8" w:space="0" w:color="4D4D4D"/>
      </w:tblBorders>
    </w:tblPr>
    <w:tcPr>
      <w:shd w:val="clear" w:color="auto" w:fill="D3D3D3"/>
    </w:tcPr>
    <w:tblStylePr w:type="firstRow">
      <w:rPr>
        <w:b/>
        <w:bCs/>
        <w:color w:val="000000"/>
      </w:rPr>
      <w:tblPr/>
      <w:tcPr>
        <w:shd w:val="clear" w:color="auto" w:fill="ED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/>
      </w:tcPr>
    </w:tblStylePr>
    <w:tblStylePr w:type="band1Vert">
      <w:tblPr/>
      <w:tcPr>
        <w:shd w:val="clear" w:color="auto" w:fill="A6A6A6"/>
      </w:tcPr>
    </w:tblStylePr>
    <w:tblStylePr w:type="band1Horz">
      <w:tblPr/>
      <w:tcPr>
        <w:tcBorders>
          <w:insideH w:val="single" w:sz="6" w:space="0" w:color="4D4D4D"/>
          <w:insideV w:val="single" w:sz="6" w:space="0" w:color="4D4D4D"/>
        </w:tcBorders>
        <w:shd w:val="clear" w:color="auto" w:fill="A6A6A6"/>
      </w:tcPr>
    </w:tblStylePr>
    <w:tblStylePr w:type="nwCell">
      <w:tblPr/>
      <w:tcPr>
        <w:shd w:val="clear" w:color="auto" w:fill="0072BC"/>
      </w:tcPr>
    </w:tblStylePr>
  </w:style>
  <w:style w:type="table" w:styleId="redniasiatka3">
    <w:name w:val="Medium Grid 3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808080"/>
      </w:tcPr>
    </w:tblStylePr>
  </w:style>
  <w:style w:type="table" w:styleId="redniasiatka3akcent1">
    <w:name w:val="Medium Grid 3 Accent 1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AFDFFF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72BC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0072BC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0072BC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5EBFF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5EBFFF"/>
      </w:tcPr>
    </w:tblStylePr>
  </w:style>
  <w:style w:type="table" w:styleId="redniasiatka3akcent2">
    <w:name w:val="Medium Grid 3 Accent 2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FFB0B0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C00000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C00000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C00000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C00000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FF6060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FF6060"/>
      </w:tcPr>
    </w:tblStylePr>
  </w:style>
  <w:style w:type="table" w:styleId="redniasiatka3akcent3">
    <w:name w:val="Medium Grid 3 Accent 3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7D7D7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FAFA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FAFAF"/>
      </w:tcPr>
    </w:tblStylePr>
  </w:style>
  <w:style w:type="table" w:styleId="redniasiatka3akcent4">
    <w:name w:val="Medium Grid 3 Accent 4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E5E5E5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969696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969696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969696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969696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CACACA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CACACA"/>
      </w:tcPr>
    </w:tblStylePr>
  </w:style>
  <w:style w:type="table" w:styleId="redniasiatka3akcent5">
    <w:name w:val="Medium Grid 3 Accent 5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7D7D7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5F5F5F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FAFAF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FAFAF"/>
      </w:tcPr>
    </w:tblStylePr>
  </w:style>
  <w:style w:type="table" w:styleId="redniasiatka3akcent6">
    <w:name w:val="Medium Grid 3 Accent 6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  <w:insideH w:val="single" w:sz="6" w:space="0" w:color="0072BC"/>
        <w:insideV w:val="single" w:sz="6" w:space="0" w:color="0072BC"/>
      </w:tblBorders>
    </w:tblPr>
    <w:tcPr>
      <w:shd w:val="clear" w:color="auto" w:fill="D3D3D3"/>
    </w:tcPr>
    <w:tblStylePr w:type="firstRow">
      <w:rPr>
        <w:b/>
        <w:bCs/>
        <w:i w:val="0"/>
        <w:iCs w:val="0"/>
        <w:color w:val="0072BC"/>
      </w:rPr>
      <w:tblPr/>
      <w:tcPr>
        <w:tcBorders>
          <w:top w:val="single" w:sz="8" w:space="0" w:color="0072BC"/>
          <w:left w:val="single" w:sz="8" w:space="0" w:color="0072BC"/>
          <w:bottom w:val="single" w:sz="24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4D4D4D"/>
      </w:tcPr>
    </w:tblStylePr>
    <w:tblStylePr w:type="lastRow">
      <w:rPr>
        <w:b/>
        <w:bCs/>
        <w:i w:val="0"/>
        <w:iCs w:val="0"/>
        <w:color w:val="0072BC"/>
      </w:rPr>
      <w:tblPr/>
      <w:tcPr>
        <w:tcBorders>
          <w:top w:val="single" w:sz="24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single" w:sz="8" w:space="0" w:color="0072BC"/>
        </w:tcBorders>
        <w:shd w:val="clear" w:color="auto" w:fill="4D4D4D"/>
      </w:tcPr>
    </w:tblStylePr>
    <w:tblStylePr w:type="firstCol">
      <w:rPr>
        <w:b/>
        <w:bCs/>
        <w:i w:val="0"/>
        <w:iCs w:val="0"/>
        <w:color w:val="0072BC"/>
      </w:rPr>
      <w:tblPr/>
      <w:tcPr>
        <w:tcBorders>
          <w:left w:val="single" w:sz="8" w:space="0" w:color="0072BC"/>
          <w:right w:val="single" w:sz="24" w:space="0" w:color="0072BC"/>
          <w:insideH w:val="nil"/>
          <w:insideV w:val="nil"/>
        </w:tcBorders>
        <w:shd w:val="clear" w:color="auto" w:fill="4D4D4D"/>
      </w:tcPr>
    </w:tblStylePr>
    <w:tblStylePr w:type="lastCol">
      <w:rPr>
        <w:b/>
        <w:bCs/>
        <w:i w:val="0"/>
        <w:iCs w:val="0"/>
        <w:color w:val="0072BC"/>
      </w:rPr>
      <w:tblPr/>
      <w:tcPr>
        <w:tcBorders>
          <w:top w:val="nil"/>
          <w:left w:val="single" w:sz="24" w:space="0" w:color="0072BC"/>
          <w:bottom w:val="nil"/>
          <w:right w:val="nil"/>
          <w:insideH w:val="nil"/>
          <w:insideV w:val="nil"/>
        </w:tcBorders>
        <w:shd w:val="clear" w:color="auto" w:fill="4D4D4D"/>
      </w:tcPr>
    </w:tblStylePr>
    <w:tblStylePr w:type="band1Vert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nil"/>
          <w:insideV w:val="nil"/>
        </w:tcBorders>
        <w:shd w:val="clear" w:color="auto" w:fill="A6A6A6"/>
      </w:tcPr>
    </w:tblStylePr>
    <w:tblStylePr w:type="band1Horz">
      <w:tblPr/>
      <w:tcPr>
        <w:tcBorders>
          <w:top w:val="single" w:sz="8" w:space="0" w:color="0072BC"/>
          <w:left w:val="single" w:sz="8" w:space="0" w:color="0072BC"/>
          <w:bottom w:val="single" w:sz="8" w:space="0" w:color="0072BC"/>
          <w:right w:val="single" w:sz="8" w:space="0" w:color="0072BC"/>
          <w:insideH w:val="single" w:sz="8" w:space="0" w:color="0072BC"/>
          <w:insideV w:val="single" w:sz="8" w:space="0" w:color="0072BC"/>
        </w:tcBorders>
        <w:shd w:val="clear" w:color="auto" w:fill="A6A6A6"/>
      </w:tcPr>
    </w:tblStylePr>
  </w:style>
  <w:style w:type="table" w:styleId="rednialista1">
    <w:name w:val="Medium List 1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rednialista1akcent1">
    <w:name w:val="Medium List 1 Accent 1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  <w:tblBorders>
        <w:top w:val="single" w:sz="8" w:space="0" w:color="0072BC"/>
        <w:bottom w:val="single" w:sz="8" w:space="0" w:color="0072BC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0072BC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/>
          <w:bottom w:val="single" w:sz="8" w:space="0" w:color="0072BC"/>
        </w:tcBorders>
      </w:tcPr>
    </w:tblStylePr>
    <w:tblStylePr w:type="band1Vert">
      <w:tblPr/>
      <w:tcPr>
        <w:shd w:val="clear" w:color="auto" w:fill="AFDFFF"/>
      </w:tcPr>
    </w:tblStylePr>
    <w:tblStylePr w:type="band1Horz">
      <w:tblPr/>
      <w:tcPr>
        <w:shd w:val="clear" w:color="auto" w:fill="AFDFFF"/>
      </w:tcPr>
    </w:tblStylePr>
  </w:style>
  <w:style w:type="table" w:styleId="rednialista1akcent2">
    <w:name w:val="Medium List 1 Accent 2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  <w:tblBorders>
        <w:top w:val="single" w:sz="8" w:space="0" w:color="C00000"/>
        <w:bottom w:val="single" w:sz="8" w:space="0" w:color="C00000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C00000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C00000"/>
          <w:bottom w:val="single" w:sz="8" w:space="0" w:color="C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/>
          <w:bottom w:val="single" w:sz="8" w:space="0" w:color="C00000"/>
        </w:tcBorders>
      </w:tcPr>
    </w:tblStylePr>
    <w:tblStylePr w:type="band1Vert">
      <w:tblPr/>
      <w:tcPr>
        <w:shd w:val="clear" w:color="auto" w:fill="FFB0B0"/>
      </w:tcPr>
    </w:tblStylePr>
    <w:tblStylePr w:type="band1Horz">
      <w:tblPr/>
      <w:tcPr>
        <w:shd w:val="clear" w:color="auto" w:fill="FFB0B0"/>
      </w:tcPr>
    </w:tblStylePr>
  </w:style>
  <w:style w:type="table" w:styleId="rednialista1akcent3">
    <w:name w:val="Medium List 1 Accent 3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5F5F5F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band1Vert">
      <w:tblPr/>
      <w:tcPr>
        <w:shd w:val="clear" w:color="auto" w:fill="D7D7D7"/>
      </w:tcPr>
    </w:tblStylePr>
    <w:tblStylePr w:type="band1Horz">
      <w:tblPr/>
      <w:tcPr>
        <w:shd w:val="clear" w:color="auto" w:fill="D7D7D7"/>
      </w:tcPr>
    </w:tblStylePr>
  </w:style>
  <w:style w:type="table" w:styleId="rednialista1akcent4">
    <w:name w:val="Medium List 1 Accent 4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  <w:tblBorders>
        <w:top w:val="single" w:sz="8" w:space="0" w:color="969696"/>
        <w:bottom w:val="single" w:sz="8" w:space="0" w:color="969696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969696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969696"/>
          <w:bottom w:val="single" w:sz="8" w:space="0" w:color="96969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/>
          <w:bottom w:val="single" w:sz="8" w:space="0" w:color="969696"/>
        </w:tcBorders>
      </w:tcPr>
    </w:tblStylePr>
    <w:tblStylePr w:type="band1Vert">
      <w:tblPr/>
      <w:tcPr>
        <w:shd w:val="clear" w:color="auto" w:fill="E5E5E5"/>
      </w:tcPr>
    </w:tblStylePr>
    <w:tblStylePr w:type="band1Horz">
      <w:tblPr/>
      <w:tcPr>
        <w:shd w:val="clear" w:color="auto" w:fill="E5E5E5"/>
      </w:tcPr>
    </w:tblStylePr>
  </w:style>
  <w:style w:type="table" w:styleId="rednialista1akcent5">
    <w:name w:val="Medium List 1 Accent 5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  <w:tblBorders>
        <w:top w:val="single" w:sz="8" w:space="0" w:color="5F5F5F"/>
        <w:bottom w:val="single" w:sz="8" w:space="0" w:color="5F5F5F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5F5F5F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/>
          <w:bottom w:val="single" w:sz="8" w:space="0" w:color="5F5F5F"/>
        </w:tcBorders>
      </w:tcPr>
    </w:tblStylePr>
    <w:tblStylePr w:type="band1Vert">
      <w:tblPr/>
      <w:tcPr>
        <w:shd w:val="clear" w:color="auto" w:fill="D7D7D7"/>
      </w:tcPr>
    </w:tblStylePr>
    <w:tblStylePr w:type="band1Horz">
      <w:tblPr/>
      <w:tcPr>
        <w:shd w:val="clear" w:color="auto" w:fill="D7D7D7"/>
      </w:tcPr>
    </w:tblStylePr>
  </w:style>
  <w:style w:type="table" w:styleId="rednialista1akcent6">
    <w:name w:val="Medium List 1 Accent 6"/>
    <w:basedOn w:val="Standardowy"/>
    <w:uiPriority w:val="99"/>
    <w:semiHidden/>
    <w:rsid w:val="006544C4"/>
    <w:rPr>
      <w:color w:val="000000"/>
    </w:rPr>
    <w:tblPr>
      <w:tblStyleRowBandSize w:val="1"/>
      <w:tblStyleColBandSize w:val="1"/>
      <w:tblBorders>
        <w:top w:val="single" w:sz="8" w:space="0" w:color="4D4D4D"/>
        <w:bottom w:val="single" w:sz="8" w:space="0" w:color="4D4D4D"/>
      </w:tblBorders>
    </w:tblPr>
    <w:tblStylePr w:type="firstRow">
      <w:rPr>
        <w:rFonts w:ascii="Times New Roman" w:eastAsia="MS Gothic" w:hAnsi="Times New Roman" w:cs="Times New Roman"/>
      </w:rPr>
      <w:tblPr/>
      <w:tcPr>
        <w:tcBorders>
          <w:top w:val="nil"/>
          <w:bottom w:val="single" w:sz="8" w:space="0" w:color="4D4D4D"/>
        </w:tcBorders>
      </w:tcPr>
    </w:tblStylePr>
    <w:tblStylePr w:type="lastRow">
      <w:rPr>
        <w:b/>
        <w:bCs/>
        <w:color w:val="C6C6C6"/>
      </w:rPr>
      <w:tblPr/>
      <w:tcPr>
        <w:tcBorders>
          <w:top w:val="single" w:sz="8" w:space="0" w:color="4D4D4D"/>
          <w:bottom w:val="single" w:sz="8" w:space="0" w:color="4D4D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/>
          <w:bottom w:val="single" w:sz="8" w:space="0" w:color="4D4D4D"/>
        </w:tcBorders>
      </w:tcPr>
    </w:tblStylePr>
    <w:tblStylePr w:type="band1Vert">
      <w:tblPr/>
      <w:tcPr>
        <w:shd w:val="clear" w:color="auto" w:fill="D3D3D3"/>
      </w:tcPr>
    </w:tblStylePr>
    <w:tblStylePr w:type="band1Horz">
      <w:tblPr/>
      <w:tcPr>
        <w:shd w:val="clear" w:color="auto" w:fill="D3D3D3"/>
      </w:tcPr>
    </w:tblStylePr>
  </w:style>
  <w:style w:type="table" w:styleId="rednialista2">
    <w:name w:val="Medium List 2"/>
    <w:basedOn w:val="Standardowy"/>
    <w:uiPriority w:val="99"/>
    <w:semiHidden/>
    <w:rsid w:val="006544C4"/>
    <w:rPr>
      <w:rFonts w:eastAsia="MS Gothic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99"/>
    <w:semiHidden/>
    <w:rsid w:val="006544C4"/>
    <w:rPr>
      <w:rFonts w:eastAsia="MS Gothic"/>
      <w:color w:val="000000"/>
    </w:rPr>
    <w:tblPr>
      <w:tblStyleRowBandSize w:val="1"/>
      <w:tblStyleColBandSize w:val="1"/>
      <w:tblBorders>
        <w:top w:val="single" w:sz="8" w:space="0" w:color="0072BC"/>
        <w:left w:val="single" w:sz="8" w:space="0" w:color="0072BC"/>
        <w:bottom w:val="single" w:sz="8" w:space="0" w:color="0072BC"/>
        <w:right w:val="single" w:sz="8" w:space="0" w:color="0072BC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0072BC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0072BC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99"/>
    <w:semiHidden/>
    <w:rsid w:val="006544C4"/>
    <w:rPr>
      <w:rFonts w:eastAsia="MS Gothic"/>
      <w:color w:val="000000"/>
    </w:rPr>
    <w:tblPr>
      <w:tblStyleRowBandSize w:val="1"/>
      <w:tblStyleColBandSize w:val="1"/>
      <w:tblBorders>
        <w:top w:val="single" w:sz="8" w:space="0" w:color="C00000"/>
        <w:left w:val="single" w:sz="8" w:space="0" w:color="C00000"/>
        <w:bottom w:val="single" w:sz="8" w:space="0" w:color="C00000"/>
        <w:right w:val="single" w:sz="8" w:space="0" w:color="C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C00000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C00000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99"/>
    <w:semiHidden/>
    <w:rsid w:val="006544C4"/>
    <w:rPr>
      <w:rFonts w:eastAsia="MS Gothic"/>
      <w:color w:val="000000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5F5F5F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5F5F5F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99"/>
    <w:semiHidden/>
    <w:rsid w:val="006544C4"/>
    <w:rPr>
      <w:rFonts w:eastAsia="MS Gothic"/>
      <w:color w:val="000000"/>
    </w:rPr>
    <w:tblPr>
      <w:tblStyleRowBandSize w:val="1"/>
      <w:tblStyleColBandSize w:val="1"/>
      <w:tblBorders>
        <w:top w:val="single" w:sz="8" w:space="0" w:color="969696"/>
        <w:left w:val="single" w:sz="8" w:space="0" w:color="969696"/>
        <w:bottom w:val="single" w:sz="8" w:space="0" w:color="969696"/>
        <w:right w:val="single" w:sz="8" w:space="0" w:color="96969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969696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969696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99"/>
    <w:semiHidden/>
    <w:rsid w:val="006544C4"/>
    <w:rPr>
      <w:rFonts w:eastAsia="MS Gothic"/>
      <w:color w:val="000000"/>
    </w:rPr>
    <w:tblPr>
      <w:tblStyleRowBandSize w:val="1"/>
      <w:tblStyleColBandSize w:val="1"/>
      <w:tblBorders>
        <w:top w:val="single" w:sz="8" w:space="0" w:color="5F5F5F"/>
        <w:left w:val="single" w:sz="8" w:space="0" w:color="5F5F5F"/>
        <w:bottom w:val="single" w:sz="8" w:space="0" w:color="5F5F5F"/>
        <w:right w:val="single" w:sz="8" w:space="0" w:color="5F5F5F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5F5F5F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5F5F5F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99"/>
    <w:semiHidden/>
    <w:rsid w:val="006544C4"/>
    <w:rPr>
      <w:rFonts w:eastAsia="MS Gothic"/>
      <w:color w:val="000000"/>
    </w:rPr>
    <w:tblPr>
      <w:tblStyleRowBandSize w:val="1"/>
      <w:tblStyleColBandSize w:val="1"/>
      <w:tblBorders>
        <w:top w:val="single" w:sz="8" w:space="0" w:color="4D4D4D"/>
        <w:left w:val="single" w:sz="8" w:space="0" w:color="4D4D4D"/>
        <w:bottom w:val="single" w:sz="8" w:space="0" w:color="4D4D4D"/>
        <w:right w:val="single" w:sz="8" w:space="0" w:color="4D4D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/>
          <w:right w:val="nil"/>
          <w:insideH w:val="nil"/>
          <w:insideV w:val="nil"/>
        </w:tcBorders>
        <w:shd w:val="clear" w:color="auto" w:fill="0072BC"/>
      </w:tcPr>
    </w:tblStylePr>
    <w:tblStylePr w:type="lastRow">
      <w:tblPr/>
      <w:tcPr>
        <w:tcBorders>
          <w:top w:val="single" w:sz="8" w:space="0" w:color="4D4D4D"/>
          <w:left w:val="nil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/>
          <w:insideH w:val="nil"/>
          <w:insideV w:val="nil"/>
        </w:tcBorders>
        <w:shd w:val="clear" w:color="auto" w:fill="0072BC"/>
      </w:tcPr>
    </w:tblStylePr>
    <w:tblStylePr w:type="lastCol">
      <w:tblPr/>
      <w:tcPr>
        <w:tcBorders>
          <w:top w:val="nil"/>
          <w:left w:val="single" w:sz="8" w:space="0" w:color="4D4D4D"/>
          <w:bottom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/>
      </w:tcPr>
    </w:tblStylePr>
    <w:tblStylePr w:type="nwCell">
      <w:tblPr/>
      <w:tcPr>
        <w:shd w:val="clear" w:color="auto" w:fill="0072BC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0D9FFF"/>
        <w:left w:val="single" w:sz="8" w:space="0" w:color="0D9FFF"/>
        <w:bottom w:val="single" w:sz="8" w:space="0" w:color="0D9FFF"/>
        <w:right w:val="single" w:sz="8" w:space="0" w:color="0D9FFF"/>
        <w:insideH w:val="single" w:sz="8" w:space="0" w:color="0D9FFF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0D9FFF"/>
          <w:left w:val="single" w:sz="8" w:space="0" w:color="0D9FFF"/>
          <w:bottom w:val="single" w:sz="8" w:space="0" w:color="0D9FFF"/>
          <w:right w:val="single" w:sz="8" w:space="0" w:color="0D9FF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FF1010"/>
        <w:left w:val="single" w:sz="8" w:space="0" w:color="FF1010"/>
        <w:bottom w:val="single" w:sz="8" w:space="0" w:color="FF1010"/>
        <w:right w:val="single" w:sz="8" w:space="0" w:color="FF1010"/>
        <w:insideH w:val="single" w:sz="8" w:space="0" w:color="FF1010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FF1010"/>
          <w:left w:val="single" w:sz="8" w:space="0" w:color="FF1010"/>
          <w:bottom w:val="single" w:sz="8" w:space="0" w:color="FF1010"/>
          <w:right w:val="single" w:sz="8" w:space="0" w:color="FF1010"/>
          <w:insideH w:val="nil"/>
          <w:insideV w:val="nil"/>
        </w:tcBorders>
        <w:shd w:val="clear" w:color="auto" w:fill="C00000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FF1010"/>
          <w:left w:val="single" w:sz="8" w:space="0" w:color="FF1010"/>
          <w:bottom w:val="single" w:sz="8" w:space="0" w:color="FF1010"/>
          <w:right w:val="single" w:sz="8" w:space="0" w:color="FF101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B0B0B0"/>
        <w:left w:val="single" w:sz="8" w:space="0" w:color="B0B0B0"/>
        <w:bottom w:val="single" w:sz="8" w:space="0" w:color="B0B0B0"/>
        <w:right w:val="single" w:sz="8" w:space="0" w:color="B0B0B0"/>
        <w:insideH w:val="single" w:sz="8" w:space="0" w:color="B0B0B0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B0B0B0"/>
          <w:left w:val="single" w:sz="8" w:space="0" w:color="B0B0B0"/>
          <w:bottom w:val="single" w:sz="8" w:space="0" w:color="B0B0B0"/>
          <w:right w:val="single" w:sz="8" w:space="0" w:color="B0B0B0"/>
          <w:insideH w:val="nil"/>
          <w:insideV w:val="nil"/>
        </w:tcBorders>
        <w:shd w:val="clear" w:color="auto" w:fill="969696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B0B0B0"/>
          <w:left w:val="single" w:sz="8" w:space="0" w:color="B0B0B0"/>
          <w:bottom w:val="single" w:sz="8" w:space="0" w:color="B0B0B0"/>
          <w:right w:val="single" w:sz="8" w:space="0" w:color="B0B0B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878787"/>
        <w:left w:val="single" w:sz="8" w:space="0" w:color="878787"/>
        <w:bottom w:val="single" w:sz="8" w:space="0" w:color="878787"/>
        <w:right w:val="single" w:sz="8" w:space="0" w:color="878787"/>
        <w:insideH w:val="single" w:sz="8" w:space="0" w:color="878787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878787"/>
          <w:left w:val="single" w:sz="8" w:space="0" w:color="878787"/>
          <w:bottom w:val="single" w:sz="8" w:space="0" w:color="878787"/>
          <w:right w:val="single" w:sz="8" w:space="0" w:color="878787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99"/>
    <w:semiHidden/>
    <w:rsid w:val="006544C4"/>
    <w:tblPr>
      <w:tblStyleRowBandSize w:val="1"/>
      <w:tblStyleColBandSize w:val="1"/>
      <w:tblBorders>
        <w:top w:val="single" w:sz="8" w:space="0" w:color="797979"/>
        <w:left w:val="single" w:sz="8" w:space="0" w:color="797979"/>
        <w:bottom w:val="single" w:sz="8" w:space="0" w:color="797979"/>
        <w:right w:val="single" w:sz="8" w:space="0" w:color="797979"/>
        <w:insideH w:val="single" w:sz="8" w:space="0" w:color="797979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8" w:space="0" w:color="797979"/>
          <w:left w:val="single" w:sz="8" w:space="0" w:color="797979"/>
          <w:bottom w:val="single" w:sz="8" w:space="0" w:color="797979"/>
          <w:right w:val="single" w:sz="8" w:space="0" w:color="797979"/>
          <w:insideH w:val="nil"/>
          <w:insideV w:val="nil"/>
        </w:tcBorders>
        <w:shd w:val="clear" w:color="auto" w:fill="4D4D4D"/>
      </w:tcPr>
    </w:tblStylePr>
    <w:tblStylePr w:type="lastRow">
      <w:pPr>
        <w:spacing w:before="0" w:after="0"/>
      </w:pPr>
      <w:rPr>
        <w:b/>
        <w:bCs/>
      </w:rPr>
      <w:tblPr/>
      <w:tcPr>
        <w:tcBorders>
          <w:top w:val="double" w:sz="6" w:space="0" w:color="797979"/>
          <w:left w:val="single" w:sz="8" w:space="0" w:color="797979"/>
          <w:bottom w:val="single" w:sz="8" w:space="0" w:color="797979"/>
          <w:right w:val="single" w:sz="8" w:space="0" w:color="7979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99"/>
    <w:semiHidden/>
    <w:rsid w:val="006544C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99"/>
    <w:semiHidden/>
    <w:rsid w:val="006544C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99"/>
    <w:semiHidden/>
    <w:rsid w:val="006544C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99"/>
    <w:semiHidden/>
    <w:rsid w:val="006544C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99"/>
    <w:semiHidden/>
    <w:rsid w:val="006544C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99"/>
    <w:semiHidden/>
    <w:rsid w:val="006544C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99"/>
    <w:semiHidden/>
    <w:rsid w:val="006544C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/>
      </w:pPr>
      <w:rPr>
        <w:b/>
        <w:bCs/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/>
      </w:tcPr>
    </w:tblStylePr>
    <w:tblStylePr w:type="lastRow">
      <w:pPr>
        <w:spacing w:before="0" w:after="0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/>
      </w:tcPr>
    </w:tblStylePr>
    <w:tblStylePr w:type="firstCol">
      <w:rPr>
        <w:b/>
        <w:bCs/>
        <w:color w:val="0072BC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/>
      </w:tcPr>
    </w:tblStylePr>
    <w:tblStylePr w:type="lastCol">
      <w:rPr>
        <w:b/>
        <w:bCs/>
        <w:color w:val="0072BC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/>
      </w:tcPr>
    </w:tblStylePr>
    <w:tblStylePr w:type="band1Horz">
      <w:tblPr/>
      <w:tcPr>
        <w:shd w:val="clear" w:color="auto" w:fill="00609F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9"/>
    <w:semiHidden/>
    <w:rsid w:val="006544C4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eastAsia="MS Gothic"/>
    </w:rPr>
  </w:style>
  <w:style w:type="character" w:customStyle="1" w:styleId="NagwekwiadomociZnak">
    <w:name w:val="Nagłówek wiadomości Znak"/>
    <w:link w:val="Nagwekwiadomoci"/>
    <w:uiPriority w:val="99"/>
    <w:semiHidden/>
    <w:locked/>
    <w:rsid w:val="006544C4"/>
    <w:rPr>
      <w:rFonts w:ascii="Times New Roman" w:eastAsia="MS Gothic" w:hAnsi="Times New Roman" w:cs="Times New Roman"/>
      <w:sz w:val="24"/>
      <w:szCs w:val="24"/>
      <w:shd w:val="pct20" w:color="auto" w:fill="auto"/>
    </w:rPr>
  </w:style>
  <w:style w:type="paragraph" w:styleId="NormalnyWeb">
    <w:name w:val="Normal (Web)"/>
    <w:basedOn w:val="Normalny"/>
    <w:uiPriority w:val="99"/>
    <w:semiHidden/>
    <w:rsid w:val="006544C4"/>
  </w:style>
  <w:style w:type="paragraph" w:styleId="Wcicienormalne">
    <w:name w:val="Normal Indent"/>
    <w:basedOn w:val="Normalny"/>
    <w:uiPriority w:val="99"/>
    <w:semiHidden/>
    <w:rsid w:val="006544C4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9"/>
    <w:semiHidden/>
    <w:rsid w:val="006544C4"/>
  </w:style>
  <w:style w:type="character" w:customStyle="1" w:styleId="NagweknotatkiZnak">
    <w:name w:val="Nagłówek notatki Znak"/>
    <w:link w:val="Nagweknotatki"/>
    <w:uiPriority w:val="99"/>
    <w:semiHidden/>
    <w:locked/>
    <w:rsid w:val="006544C4"/>
    <w:rPr>
      <w:rFonts w:eastAsia="MS Mincho"/>
      <w:sz w:val="24"/>
      <w:szCs w:val="24"/>
    </w:rPr>
  </w:style>
  <w:style w:type="character" w:styleId="Tekstzastpczy">
    <w:name w:val="Placeholder Text"/>
    <w:uiPriority w:val="99"/>
    <w:semiHidden/>
    <w:rsid w:val="00F9130D"/>
    <w:rPr>
      <w:color w:val="auto"/>
      <w:shd w:val="clear" w:color="auto" w:fill="DFDFDF"/>
    </w:rPr>
  </w:style>
  <w:style w:type="paragraph" w:styleId="Zwykytekst">
    <w:name w:val="Plain Text"/>
    <w:basedOn w:val="Normalny"/>
    <w:link w:val="ZwykytekstZnak"/>
    <w:uiPriority w:val="99"/>
    <w:semiHidden/>
    <w:rsid w:val="006544C4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link w:val="Zwykytekst"/>
    <w:uiPriority w:val="99"/>
    <w:semiHidden/>
    <w:locked/>
    <w:rsid w:val="006544C4"/>
    <w:rPr>
      <w:rFonts w:ascii="Consolas" w:eastAsia="MS Mincho" w:hAnsi="Consolas" w:cs="Consolas"/>
      <w:sz w:val="21"/>
      <w:szCs w:val="21"/>
    </w:r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rsid w:val="006544C4"/>
  </w:style>
  <w:style w:type="character" w:customStyle="1" w:styleId="ZwrotgrzecznociowyZnak">
    <w:name w:val="Zwrot grzecznościowy Znak"/>
    <w:link w:val="Zwrotgrzecznociowy"/>
    <w:uiPriority w:val="99"/>
    <w:semiHidden/>
    <w:locked/>
    <w:rsid w:val="006544C4"/>
    <w:rPr>
      <w:rFonts w:eastAsia="MS Mincho"/>
      <w:sz w:val="24"/>
      <w:szCs w:val="24"/>
    </w:rPr>
  </w:style>
  <w:style w:type="paragraph" w:styleId="Podpis">
    <w:name w:val="Signature"/>
    <w:basedOn w:val="Normalny"/>
    <w:link w:val="PodpisZnak"/>
    <w:uiPriority w:val="99"/>
    <w:semiHidden/>
    <w:rsid w:val="006544C4"/>
    <w:pPr>
      <w:ind w:left="4252"/>
    </w:pPr>
  </w:style>
  <w:style w:type="character" w:customStyle="1" w:styleId="PodpisZnak">
    <w:name w:val="Podpis Znak"/>
    <w:link w:val="Podpis"/>
    <w:uiPriority w:val="99"/>
    <w:semiHidden/>
    <w:locked/>
    <w:rsid w:val="006544C4"/>
    <w:rPr>
      <w:rFonts w:eastAsia="MS Mincho"/>
      <w:sz w:val="24"/>
      <w:szCs w:val="24"/>
    </w:rPr>
  </w:style>
  <w:style w:type="table" w:styleId="Tabela-Efekty3W1">
    <w:name w:val="Table 3D effects 1"/>
    <w:basedOn w:val="Standardowy"/>
    <w:uiPriority w:val="99"/>
    <w:semiHidden/>
    <w:rsid w:val="006544C4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W2">
    <w:name w:val="Table 3D effects 2"/>
    <w:basedOn w:val="Standardowy"/>
    <w:uiPriority w:val="99"/>
    <w:semiHidden/>
    <w:rsid w:val="006544C4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W3">
    <w:name w:val="Table 3D effects 3"/>
    <w:basedOn w:val="Standardowy"/>
    <w:uiPriority w:val="99"/>
    <w:semiHidden/>
    <w:rsid w:val="006544C4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rsid w:val="006544C4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rsid w:val="006544C4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rsid w:val="006544C4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rsid w:val="006544C4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rsid w:val="006544C4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rsid w:val="006544C4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rsid w:val="006544C4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rsid w:val="006544C4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rsid w:val="006544C4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rsid w:val="006544C4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rsid w:val="006544C4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rsid w:val="006544C4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rsid w:val="006544C4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rsid w:val="006544C4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rsid w:val="006544C4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rsid w:val="006544C4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rsid w:val="006544C4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rsid w:val="006544C4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rsid w:val="006544C4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rsid w:val="006544C4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rsid w:val="006544C4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rsid w:val="006544C4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rsid w:val="006544C4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rsid w:val="006544C4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rsid w:val="006544C4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rsid w:val="006544C4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rsid w:val="006544C4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rsid w:val="006544C4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rsid w:val="006544C4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rsid w:val="006544C4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9"/>
    <w:semiHidden/>
    <w:rsid w:val="006544C4"/>
    <w:pPr>
      <w:ind w:left="240" w:hanging="240"/>
    </w:pPr>
  </w:style>
  <w:style w:type="paragraph" w:styleId="Spisilustracji">
    <w:name w:val="table of figures"/>
    <w:basedOn w:val="Normalny"/>
    <w:next w:val="Normalny"/>
    <w:uiPriority w:val="99"/>
    <w:semiHidden/>
    <w:rsid w:val="006544C4"/>
  </w:style>
  <w:style w:type="table" w:styleId="Tabela-Profesjonalny">
    <w:name w:val="Table Professional"/>
    <w:basedOn w:val="Standardowy"/>
    <w:uiPriority w:val="99"/>
    <w:semiHidden/>
    <w:rsid w:val="006544C4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rsid w:val="006544C4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rsid w:val="006544C4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rsid w:val="006544C4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rsid w:val="006544C4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rsid w:val="006544C4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rsid w:val="006544C4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rsid w:val="006544C4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rsid w:val="006544C4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rsid w:val="006544C4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9"/>
    <w:semiHidden/>
    <w:rsid w:val="00F9130D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  <w:szCs w:val="20"/>
    </w:rPr>
  </w:style>
  <w:style w:type="paragraph" w:styleId="Spistreci7">
    <w:name w:val="toc 7"/>
    <w:basedOn w:val="Normalny"/>
    <w:next w:val="Normalny"/>
    <w:autoRedefine/>
    <w:uiPriority w:val="99"/>
    <w:semiHidden/>
    <w:rsid w:val="00F9130D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  <w:szCs w:val="20"/>
    </w:rPr>
  </w:style>
  <w:style w:type="paragraph" w:styleId="Spistreci8">
    <w:name w:val="toc 8"/>
    <w:basedOn w:val="Normalny"/>
    <w:next w:val="Normalny"/>
    <w:autoRedefine/>
    <w:uiPriority w:val="99"/>
    <w:semiHidden/>
    <w:rsid w:val="006544C4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6544C4"/>
    <w:pPr>
      <w:spacing w:after="100"/>
      <w:ind w:left="1920"/>
    </w:pPr>
  </w:style>
  <w:style w:type="character" w:customStyle="1" w:styleId="sb8d990e2">
    <w:name w:val="sb8d990e2"/>
    <w:basedOn w:val="Domylnaczcionkaakapitu"/>
    <w:uiPriority w:val="99"/>
    <w:rsid w:val="00934A97"/>
  </w:style>
  <w:style w:type="paragraph" w:customStyle="1" w:styleId="ECHRFooter">
    <w:name w:val="ECHR_Footer"/>
    <w:aliases w:val="Footer_ECHR"/>
    <w:basedOn w:val="Stopka"/>
    <w:uiPriority w:val="99"/>
    <w:semiHidden/>
    <w:rsid w:val="00F9130D"/>
    <w:pPr>
      <w:jc w:val="left"/>
    </w:pPr>
    <w:rPr>
      <w:sz w:val="8"/>
      <w:szCs w:val="8"/>
    </w:rPr>
  </w:style>
  <w:style w:type="paragraph" w:customStyle="1" w:styleId="ECHRFooterLine">
    <w:name w:val="ECHR_Footer_Line"/>
    <w:aliases w:val="Footer_Line"/>
    <w:basedOn w:val="Normalny"/>
    <w:next w:val="ECHRFooter"/>
    <w:uiPriority w:val="99"/>
    <w:semiHidden/>
    <w:rsid w:val="00F9130D"/>
    <w:pPr>
      <w:pBdr>
        <w:top w:val="single" w:sz="6" w:space="1" w:color="5F5F5F"/>
      </w:pBdr>
      <w:tabs>
        <w:tab w:val="center" w:pos="4536"/>
        <w:tab w:val="right" w:pos="9696"/>
      </w:tabs>
      <w:ind w:left="-680" w:right="-680"/>
      <w:jc w:val="left"/>
    </w:pPr>
    <w:rPr>
      <w:color w:val="5F5F5F"/>
    </w:rPr>
  </w:style>
  <w:style w:type="paragraph" w:customStyle="1" w:styleId="JuCase">
    <w:name w:val="Ju_Case"/>
    <w:basedOn w:val="Normalny"/>
    <w:next w:val="ECHRPara"/>
    <w:uiPriority w:val="99"/>
    <w:rsid w:val="00F9130D"/>
    <w:pPr>
      <w:ind w:firstLine="284"/>
    </w:pPr>
    <w:rPr>
      <w:b/>
      <w:bCs/>
    </w:rPr>
  </w:style>
  <w:style w:type="paragraph" w:customStyle="1" w:styleId="JuHeaderLandscape">
    <w:name w:val="Ju_Header_Landscape"/>
    <w:basedOn w:val="ECHRHeader"/>
    <w:uiPriority w:val="99"/>
    <w:rsid w:val="00F9130D"/>
    <w:pPr>
      <w:tabs>
        <w:tab w:val="clear" w:pos="3686"/>
        <w:tab w:val="clear" w:pos="7371"/>
        <w:tab w:val="center" w:pos="6146"/>
        <w:tab w:val="right" w:pos="12293"/>
      </w:tabs>
    </w:pPr>
  </w:style>
  <w:style w:type="character" w:customStyle="1" w:styleId="ECHRParaChar">
    <w:name w:val="ECHR_Para Char"/>
    <w:aliases w:val="Ju_Para Char"/>
    <w:link w:val="ECHRPara"/>
    <w:uiPriority w:val="99"/>
    <w:locked/>
    <w:rsid w:val="00093F7B"/>
    <w:rPr>
      <w:rFonts w:eastAsia="MS Mincho"/>
      <w:sz w:val="24"/>
      <w:szCs w:val="24"/>
    </w:rPr>
  </w:style>
  <w:style w:type="character" w:customStyle="1" w:styleId="s4f807e54">
    <w:name w:val="s4f807e54"/>
    <w:uiPriority w:val="99"/>
    <w:rsid w:val="00C84491"/>
  </w:style>
  <w:style w:type="paragraph" w:customStyle="1" w:styleId="s50c0b1c7">
    <w:name w:val="s50c0b1c7"/>
    <w:basedOn w:val="Normalny"/>
    <w:uiPriority w:val="99"/>
    <w:rsid w:val="006760D2"/>
    <w:pPr>
      <w:spacing w:before="100" w:beforeAutospacing="1" w:after="100" w:afterAutospacing="1"/>
      <w:jc w:val="left"/>
    </w:pPr>
    <w:rPr>
      <w:rFonts w:eastAsia="Times New Roman"/>
      <w:lang w:val="en-GB" w:eastAsia="en-GB"/>
    </w:rPr>
  </w:style>
  <w:style w:type="character" w:customStyle="1" w:styleId="s3aeeab2">
    <w:name w:val="s3aeeab2"/>
    <w:basedOn w:val="Domylnaczcionkaakapitu"/>
    <w:uiPriority w:val="99"/>
    <w:rsid w:val="006760D2"/>
  </w:style>
  <w:style w:type="character" w:customStyle="1" w:styleId="sfbbfee58">
    <w:name w:val="sfbbfee58"/>
    <w:basedOn w:val="Domylnaczcionkaakapitu"/>
    <w:uiPriority w:val="99"/>
    <w:rsid w:val="006760D2"/>
  </w:style>
  <w:style w:type="character" w:customStyle="1" w:styleId="tlid-translation">
    <w:name w:val="tlid-translation"/>
    <w:rsid w:val="00496B01"/>
  </w:style>
  <w:style w:type="numbering" w:styleId="111111">
    <w:name w:val="Outline List 2"/>
    <w:basedOn w:val="Bezlisty"/>
    <w:uiPriority w:val="99"/>
    <w:semiHidden/>
    <w:unhideWhenUsed/>
    <w:locked/>
    <w:rsid w:val="00CB6355"/>
    <w:pPr>
      <w:numPr>
        <w:numId w:val="11"/>
      </w:numPr>
    </w:pPr>
  </w:style>
  <w:style w:type="numbering" w:styleId="1ai">
    <w:name w:val="Outline List 1"/>
    <w:basedOn w:val="Bezlisty"/>
    <w:uiPriority w:val="99"/>
    <w:semiHidden/>
    <w:unhideWhenUsed/>
    <w:locked/>
    <w:rsid w:val="00CB6355"/>
    <w:pPr>
      <w:numPr>
        <w:numId w:val="12"/>
      </w:numPr>
    </w:pPr>
  </w:style>
  <w:style w:type="numbering" w:styleId="Artykusekcja">
    <w:name w:val="Outline List 3"/>
    <w:basedOn w:val="Bezlisty"/>
    <w:uiPriority w:val="99"/>
    <w:semiHidden/>
    <w:unhideWhenUsed/>
    <w:locked/>
    <w:rsid w:val="00CB6355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529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52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52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529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52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529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529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52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52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529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52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52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529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9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52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52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2834</Words>
  <Characters>17004</Characters>
  <Application>Microsoft Office Word</Application>
  <DocSecurity>0</DocSecurity>
  <Lines>141</Lines>
  <Paragraphs>39</Paragraphs>
  <ScaleCrop>false</ScaleCrop>
  <LinksUpToDate>false</LinksUpToDate>
  <CharactersWithSpaces>19799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2019-09-05T11:41:00Z</dcterms:created>
  <dcterms:modified xsi:type="dcterms:W3CDTF">2019-09-11T12:44:00Z</dcterms:modified>
</cp:coreProperties>
</file>