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284" w:rsidRPr="006031A9" w:rsidRDefault="000E5284" w:rsidP="006031A9">
      <w:pPr>
        <w:pStyle w:val="ECHRDecisionBody"/>
        <w:jc w:val="center"/>
        <w:rPr>
          <w:lang w:val="fr-FR"/>
        </w:rPr>
      </w:pPr>
      <w:bookmarkStart w:id="0" w:name="_GoBack"/>
      <w:bookmarkEnd w:id="0"/>
    </w:p>
    <w:p w:rsidR="000E5284" w:rsidRPr="006031A9" w:rsidRDefault="000E5284" w:rsidP="006031A9">
      <w:pPr>
        <w:pStyle w:val="ECHRDecisionBody"/>
        <w:jc w:val="center"/>
        <w:rPr>
          <w:lang w:val="fr-FR"/>
        </w:rPr>
      </w:pPr>
    </w:p>
    <w:p w:rsidR="002D2C99" w:rsidRPr="006031A9" w:rsidRDefault="002D2C99" w:rsidP="006031A9">
      <w:pPr>
        <w:jc w:val="center"/>
        <w:rPr>
          <w:lang w:val="fr-FR"/>
        </w:rPr>
      </w:pPr>
    </w:p>
    <w:p w:rsidR="002D2C99" w:rsidRPr="006031A9" w:rsidRDefault="00334409" w:rsidP="006031A9">
      <w:pPr>
        <w:tabs>
          <w:tab w:val="left" w:pos="5529"/>
        </w:tabs>
        <w:jc w:val="center"/>
        <w:rPr>
          <w:lang w:val="fr-FR"/>
        </w:rPr>
      </w:pPr>
      <w:r w:rsidRPr="006031A9">
        <w:rPr>
          <w:lang w:val="fr-FR"/>
        </w:rPr>
        <w:t>DEUXIÈME SECTION</w:t>
      </w:r>
    </w:p>
    <w:p w:rsidR="002D2C99" w:rsidRPr="006031A9" w:rsidRDefault="002D2C99" w:rsidP="006031A9">
      <w:pPr>
        <w:jc w:val="center"/>
        <w:rPr>
          <w:lang w:val="fr-FR"/>
        </w:rPr>
      </w:pPr>
    </w:p>
    <w:p w:rsidR="002D2C99" w:rsidRPr="006031A9" w:rsidRDefault="002D2C99" w:rsidP="006031A9">
      <w:pPr>
        <w:jc w:val="center"/>
        <w:rPr>
          <w:lang w:val="fr-FR"/>
        </w:rPr>
      </w:pPr>
    </w:p>
    <w:p w:rsidR="002D2C99" w:rsidRPr="006031A9" w:rsidRDefault="002D2C99" w:rsidP="006031A9">
      <w:pPr>
        <w:jc w:val="center"/>
        <w:rPr>
          <w:lang w:val="fr-FR"/>
        </w:rPr>
      </w:pPr>
    </w:p>
    <w:p w:rsidR="00293CF7" w:rsidRPr="006031A9" w:rsidRDefault="00293CF7" w:rsidP="006031A9">
      <w:pPr>
        <w:jc w:val="center"/>
        <w:rPr>
          <w:lang w:val="fr-FR"/>
        </w:rPr>
      </w:pPr>
    </w:p>
    <w:p w:rsidR="002D2C99" w:rsidRPr="006031A9" w:rsidRDefault="002D2C99" w:rsidP="006031A9">
      <w:pPr>
        <w:jc w:val="center"/>
        <w:rPr>
          <w:lang w:val="fr-FR"/>
        </w:rPr>
      </w:pPr>
    </w:p>
    <w:p w:rsidR="002D2C99" w:rsidRPr="006031A9" w:rsidRDefault="002D2C99" w:rsidP="006031A9">
      <w:pPr>
        <w:jc w:val="center"/>
        <w:rPr>
          <w:lang w:val="fr-FR"/>
        </w:rPr>
      </w:pPr>
    </w:p>
    <w:p w:rsidR="002D2C99" w:rsidRPr="006031A9" w:rsidRDefault="002D2C99" w:rsidP="006031A9">
      <w:pPr>
        <w:jc w:val="center"/>
        <w:rPr>
          <w:lang w:val="fr-FR"/>
        </w:rPr>
      </w:pPr>
    </w:p>
    <w:p w:rsidR="002D2C99" w:rsidRPr="006031A9" w:rsidRDefault="002D2C99" w:rsidP="006031A9">
      <w:pPr>
        <w:jc w:val="center"/>
        <w:outlineLvl w:val="0"/>
        <w:rPr>
          <w:b/>
          <w:lang w:val="fr-FR"/>
        </w:rPr>
      </w:pPr>
      <w:r w:rsidRPr="006031A9">
        <w:rPr>
          <w:b/>
          <w:lang w:val="fr-FR"/>
        </w:rPr>
        <w:t xml:space="preserve">AFFAIRE </w:t>
      </w:r>
      <w:r w:rsidR="00334409" w:rsidRPr="006031A9">
        <w:rPr>
          <w:b/>
          <w:lang w:val="fr-FR"/>
        </w:rPr>
        <w:t>VAN WESENBEECK c. BELGIQUE</w:t>
      </w:r>
    </w:p>
    <w:p w:rsidR="002D2C99" w:rsidRPr="006031A9" w:rsidRDefault="002D2C99" w:rsidP="006031A9">
      <w:pPr>
        <w:jc w:val="center"/>
        <w:rPr>
          <w:lang w:val="fr-FR"/>
        </w:rPr>
      </w:pPr>
    </w:p>
    <w:p w:rsidR="002D2C99" w:rsidRPr="006031A9" w:rsidRDefault="002D2C99" w:rsidP="006031A9">
      <w:pPr>
        <w:jc w:val="center"/>
        <w:rPr>
          <w:i/>
          <w:lang w:val="fr-FR"/>
        </w:rPr>
      </w:pPr>
      <w:r w:rsidRPr="006031A9">
        <w:rPr>
          <w:i/>
          <w:lang w:val="fr-FR"/>
        </w:rPr>
        <w:t>(</w:t>
      </w:r>
      <w:r w:rsidR="00334409" w:rsidRPr="006031A9">
        <w:rPr>
          <w:i/>
          <w:lang w:val="fr-FR"/>
        </w:rPr>
        <w:t>Requêtes n</w:t>
      </w:r>
      <w:r w:rsidR="00334409" w:rsidRPr="006031A9">
        <w:rPr>
          <w:i/>
          <w:vertAlign w:val="superscript"/>
          <w:lang w:val="fr-FR"/>
        </w:rPr>
        <w:t>os</w:t>
      </w:r>
      <w:r w:rsidR="00334409" w:rsidRPr="006031A9">
        <w:rPr>
          <w:i/>
          <w:lang w:val="fr-FR"/>
        </w:rPr>
        <w:t xml:space="preserve"> 67496/10 et 52936/12</w:t>
      </w:r>
      <w:r w:rsidRPr="006031A9">
        <w:rPr>
          <w:i/>
          <w:lang w:val="fr-FR"/>
        </w:rPr>
        <w:t>)</w:t>
      </w:r>
    </w:p>
    <w:p w:rsidR="002D2C99" w:rsidRPr="006031A9" w:rsidRDefault="002D2C99" w:rsidP="006031A9">
      <w:pPr>
        <w:jc w:val="center"/>
        <w:rPr>
          <w:lang w:val="fr-FR"/>
        </w:rPr>
      </w:pPr>
    </w:p>
    <w:p w:rsidR="002D2C99" w:rsidRPr="006031A9" w:rsidRDefault="002D2C99" w:rsidP="006031A9">
      <w:pPr>
        <w:jc w:val="center"/>
        <w:rPr>
          <w:lang w:val="fr-FR"/>
        </w:rPr>
      </w:pPr>
    </w:p>
    <w:p w:rsidR="002D2C99" w:rsidRPr="006031A9" w:rsidRDefault="002D2C99" w:rsidP="006031A9">
      <w:pPr>
        <w:jc w:val="center"/>
        <w:rPr>
          <w:lang w:val="fr-FR"/>
        </w:rPr>
      </w:pPr>
    </w:p>
    <w:p w:rsidR="002D2C99" w:rsidRPr="006031A9" w:rsidRDefault="002D2C99" w:rsidP="006031A9">
      <w:pPr>
        <w:jc w:val="center"/>
        <w:rPr>
          <w:lang w:val="fr-FR"/>
        </w:rPr>
      </w:pPr>
    </w:p>
    <w:p w:rsidR="002D2C99" w:rsidRPr="006031A9" w:rsidRDefault="002D2C99" w:rsidP="006031A9">
      <w:pPr>
        <w:jc w:val="center"/>
        <w:rPr>
          <w:lang w:val="fr-FR"/>
        </w:rPr>
      </w:pPr>
    </w:p>
    <w:p w:rsidR="002D2C99" w:rsidRPr="006031A9" w:rsidRDefault="002D2C99" w:rsidP="006031A9">
      <w:pPr>
        <w:jc w:val="center"/>
        <w:rPr>
          <w:lang w:val="fr-FR"/>
        </w:rPr>
      </w:pPr>
    </w:p>
    <w:p w:rsidR="002D2C99" w:rsidRPr="006031A9" w:rsidRDefault="002D2C99" w:rsidP="006031A9">
      <w:pPr>
        <w:jc w:val="center"/>
        <w:rPr>
          <w:lang w:val="fr-FR"/>
        </w:rPr>
      </w:pPr>
    </w:p>
    <w:p w:rsidR="002D2C99" w:rsidRPr="006031A9" w:rsidRDefault="002D2C99" w:rsidP="006031A9">
      <w:pPr>
        <w:jc w:val="center"/>
        <w:rPr>
          <w:lang w:val="fr-FR"/>
        </w:rPr>
      </w:pPr>
    </w:p>
    <w:p w:rsidR="002D2C99" w:rsidRPr="006031A9" w:rsidRDefault="002D2C99" w:rsidP="006031A9">
      <w:pPr>
        <w:jc w:val="center"/>
        <w:outlineLvl w:val="0"/>
        <w:rPr>
          <w:lang w:val="fr-FR"/>
        </w:rPr>
      </w:pPr>
      <w:r w:rsidRPr="006031A9">
        <w:rPr>
          <w:lang w:val="fr-FR"/>
        </w:rPr>
        <w:t>ARRÊT</w:t>
      </w:r>
    </w:p>
    <w:p w:rsidR="002D2C99" w:rsidRPr="006031A9" w:rsidRDefault="002D2C99" w:rsidP="006031A9">
      <w:pPr>
        <w:jc w:val="center"/>
        <w:rPr>
          <w:i/>
          <w:lang w:val="fr-FR"/>
        </w:rPr>
      </w:pPr>
    </w:p>
    <w:p w:rsidR="002D2C99" w:rsidRPr="006031A9" w:rsidRDefault="002D2C99" w:rsidP="006031A9">
      <w:pPr>
        <w:jc w:val="center"/>
        <w:rPr>
          <w:lang w:val="fr-FR"/>
        </w:rPr>
      </w:pPr>
    </w:p>
    <w:p w:rsidR="002D2C99" w:rsidRPr="006031A9" w:rsidRDefault="002D2C99" w:rsidP="006031A9">
      <w:pPr>
        <w:jc w:val="center"/>
        <w:outlineLvl w:val="0"/>
        <w:rPr>
          <w:lang w:val="fr-FR"/>
        </w:rPr>
      </w:pPr>
      <w:r w:rsidRPr="006031A9">
        <w:rPr>
          <w:lang w:val="fr-FR"/>
        </w:rPr>
        <w:t>STRASBOURG</w:t>
      </w:r>
    </w:p>
    <w:p w:rsidR="002D2C99" w:rsidRPr="006031A9" w:rsidRDefault="002D2C99" w:rsidP="006031A9">
      <w:pPr>
        <w:jc w:val="center"/>
        <w:rPr>
          <w:lang w:val="fr-FR"/>
        </w:rPr>
      </w:pPr>
    </w:p>
    <w:p w:rsidR="002D2C99" w:rsidRPr="006031A9" w:rsidRDefault="001325E0" w:rsidP="006031A9">
      <w:pPr>
        <w:jc w:val="center"/>
        <w:rPr>
          <w:lang w:val="fr-FR"/>
        </w:rPr>
      </w:pPr>
      <w:r w:rsidRPr="006031A9">
        <w:rPr>
          <w:lang w:val="fr-FR"/>
        </w:rPr>
        <w:t>23</w:t>
      </w:r>
      <w:r w:rsidR="00334409" w:rsidRPr="006031A9">
        <w:rPr>
          <w:lang w:val="fr-FR"/>
        </w:rPr>
        <w:t xml:space="preserve"> </w:t>
      </w:r>
      <w:r w:rsidR="006C5590" w:rsidRPr="006031A9">
        <w:rPr>
          <w:lang w:val="fr-FR"/>
        </w:rPr>
        <w:t>mai</w:t>
      </w:r>
      <w:r w:rsidR="00334409" w:rsidRPr="006031A9">
        <w:rPr>
          <w:lang w:val="fr-FR"/>
        </w:rPr>
        <w:t xml:space="preserve"> 2017</w:t>
      </w:r>
    </w:p>
    <w:p w:rsidR="002D2C99" w:rsidRPr="006031A9" w:rsidRDefault="002D2C99" w:rsidP="006031A9">
      <w:pPr>
        <w:jc w:val="center"/>
        <w:rPr>
          <w:lang w:val="fr-FR"/>
        </w:rPr>
      </w:pPr>
    </w:p>
    <w:p w:rsidR="002D2C99" w:rsidRPr="006031A9" w:rsidRDefault="002D2C99" w:rsidP="006031A9">
      <w:pPr>
        <w:jc w:val="center"/>
        <w:rPr>
          <w:lang w:val="fr-FR"/>
        </w:rPr>
      </w:pPr>
    </w:p>
    <w:p w:rsidR="006031A9" w:rsidRPr="006031A9" w:rsidRDefault="006031A9" w:rsidP="006031A9">
      <w:pPr>
        <w:pStyle w:val="jucase0"/>
        <w:ind w:firstLine="0"/>
        <w:jc w:val="center"/>
        <w:rPr>
          <w:color w:val="FF0000"/>
          <w:sz w:val="28"/>
          <w:szCs w:val="28"/>
          <w:u w:val="single"/>
          <w:lang w:val="fr-FR"/>
        </w:rPr>
      </w:pPr>
      <w:r w:rsidRPr="006031A9">
        <w:rPr>
          <w:color w:val="FF0000"/>
          <w:sz w:val="28"/>
          <w:szCs w:val="28"/>
          <w:u w:val="single"/>
          <w:lang w:val="fr-FR"/>
        </w:rPr>
        <w:t>DÉFINITIF</w:t>
      </w:r>
    </w:p>
    <w:p w:rsidR="006031A9" w:rsidRPr="006031A9" w:rsidRDefault="006031A9" w:rsidP="006031A9">
      <w:pPr>
        <w:pStyle w:val="jupara"/>
        <w:tabs>
          <w:tab w:val="left" w:pos="3450"/>
        </w:tabs>
        <w:ind w:firstLine="0"/>
        <w:jc w:val="center"/>
        <w:rPr>
          <w:color w:val="FF0000"/>
          <w:sz w:val="28"/>
          <w:szCs w:val="28"/>
          <w:lang w:val="fr-FR"/>
        </w:rPr>
      </w:pPr>
    </w:p>
    <w:p w:rsidR="006031A9" w:rsidRPr="006031A9" w:rsidRDefault="006031A9" w:rsidP="006031A9">
      <w:pPr>
        <w:pStyle w:val="jupara"/>
        <w:ind w:firstLine="0"/>
        <w:jc w:val="center"/>
        <w:rPr>
          <w:color w:val="FF0000"/>
          <w:sz w:val="28"/>
          <w:szCs w:val="28"/>
          <w:lang w:val="fr-FR"/>
        </w:rPr>
      </w:pPr>
      <w:r w:rsidRPr="006031A9">
        <w:rPr>
          <w:color w:val="FF0000"/>
          <w:sz w:val="28"/>
          <w:szCs w:val="28"/>
          <w:lang w:val="fr-FR"/>
        </w:rPr>
        <w:t>18/09/2017</w:t>
      </w:r>
    </w:p>
    <w:p w:rsidR="006031A9" w:rsidRPr="006031A9" w:rsidRDefault="006031A9" w:rsidP="006031A9">
      <w:pPr>
        <w:pStyle w:val="jupara"/>
        <w:ind w:firstLine="0"/>
        <w:jc w:val="center"/>
        <w:rPr>
          <w:u w:val="single"/>
          <w:lang w:val="fr-FR"/>
        </w:rPr>
      </w:pPr>
    </w:p>
    <w:p w:rsidR="006031A9" w:rsidRPr="006031A9" w:rsidRDefault="006031A9" w:rsidP="006031A9">
      <w:pPr>
        <w:jc w:val="center"/>
        <w:rPr>
          <w:i/>
          <w:iCs/>
          <w:sz w:val="22"/>
          <w:lang w:val="fr-FR"/>
        </w:rPr>
      </w:pPr>
      <w:r w:rsidRPr="006031A9">
        <w:rPr>
          <w:i/>
          <w:iCs/>
          <w:sz w:val="22"/>
          <w:lang w:val="fr-FR"/>
        </w:rPr>
        <w:t>Cet arrêt est devenu définitif en vertu de l’article 44 § 2 de la Convention. Il peut subir des retouches de forme.</w:t>
      </w:r>
    </w:p>
    <w:p w:rsidR="002D2C99" w:rsidRPr="006031A9" w:rsidRDefault="002D2C99" w:rsidP="006031A9">
      <w:pPr>
        <w:rPr>
          <w:lang w:val="fr-FR"/>
        </w:rPr>
      </w:pPr>
    </w:p>
    <w:p w:rsidR="00293CF7" w:rsidRPr="006031A9" w:rsidRDefault="00293CF7" w:rsidP="006031A9">
      <w:pPr>
        <w:rPr>
          <w:lang w:val="fr-FR"/>
        </w:rPr>
        <w:sectPr w:rsidR="00293CF7" w:rsidRPr="006031A9" w:rsidSect="00F5432B">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2D2C99" w:rsidRPr="006031A9" w:rsidRDefault="002D2C99" w:rsidP="006031A9">
      <w:pPr>
        <w:pStyle w:val="JuCase"/>
        <w:rPr>
          <w:lang w:val="fr-FR"/>
        </w:rPr>
      </w:pPr>
      <w:r w:rsidRPr="006031A9">
        <w:rPr>
          <w:lang w:val="fr-FR"/>
        </w:rPr>
        <w:lastRenderedPageBreak/>
        <w:t>En l</w:t>
      </w:r>
      <w:r w:rsidR="006031A9" w:rsidRPr="006031A9">
        <w:rPr>
          <w:lang w:val="fr-FR"/>
        </w:rPr>
        <w:t>’</w:t>
      </w:r>
      <w:r w:rsidRPr="006031A9">
        <w:rPr>
          <w:lang w:val="fr-FR"/>
        </w:rPr>
        <w:t xml:space="preserve">affaire </w:t>
      </w:r>
      <w:r w:rsidR="00334409" w:rsidRPr="006031A9">
        <w:rPr>
          <w:lang w:val="fr-FR"/>
        </w:rPr>
        <w:t>van Wesenbeeck c. Belgique</w:t>
      </w:r>
      <w:r w:rsidRPr="006031A9">
        <w:rPr>
          <w:lang w:val="fr-FR"/>
        </w:rPr>
        <w:t>,</w:t>
      </w:r>
    </w:p>
    <w:p w:rsidR="00C85586" w:rsidRPr="006031A9" w:rsidRDefault="00C85586" w:rsidP="006031A9">
      <w:pPr>
        <w:pStyle w:val="ECHRPara"/>
        <w:rPr>
          <w:lang w:val="fr-FR"/>
        </w:rPr>
      </w:pPr>
      <w:r w:rsidRPr="006031A9">
        <w:rPr>
          <w:lang w:val="fr-FR"/>
        </w:rPr>
        <w:t>La Cour européenne des droits de l</w:t>
      </w:r>
      <w:r w:rsidR="006031A9" w:rsidRPr="006031A9">
        <w:rPr>
          <w:lang w:val="fr-FR"/>
        </w:rPr>
        <w:t>’</w:t>
      </w:r>
      <w:r w:rsidRPr="006031A9">
        <w:rPr>
          <w:lang w:val="fr-FR"/>
        </w:rPr>
        <w:t>homme (deuxième section), siégeant en une chambre composée de :</w:t>
      </w:r>
    </w:p>
    <w:p w:rsidR="00C85586" w:rsidRPr="006031A9" w:rsidRDefault="00C85586" w:rsidP="006031A9">
      <w:pPr>
        <w:pStyle w:val="ECHRDecisionBody"/>
        <w:rPr>
          <w:lang w:val="fr-FR"/>
        </w:rPr>
      </w:pPr>
      <w:r w:rsidRPr="006031A9">
        <w:rPr>
          <w:lang w:val="fr-FR"/>
        </w:rPr>
        <w:tab/>
        <w:t>Işıl Karakaş,</w:t>
      </w:r>
      <w:r w:rsidRPr="006031A9">
        <w:rPr>
          <w:i/>
          <w:lang w:val="fr-FR"/>
        </w:rPr>
        <w:t xml:space="preserve"> présidente,</w:t>
      </w:r>
      <w:r w:rsidRPr="006031A9">
        <w:rPr>
          <w:i/>
          <w:lang w:val="fr-FR"/>
        </w:rPr>
        <w:br/>
      </w:r>
      <w:r w:rsidRPr="006031A9">
        <w:rPr>
          <w:lang w:val="fr-FR"/>
        </w:rPr>
        <w:tab/>
        <w:t>Julia Laffranque,</w:t>
      </w:r>
      <w:r w:rsidRPr="006031A9">
        <w:rPr>
          <w:i/>
          <w:lang w:val="fr-FR"/>
        </w:rPr>
        <w:br/>
      </w:r>
      <w:r w:rsidRPr="006031A9">
        <w:rPr>
          <w:lang w:val="fr-FR"/>
        </w:rPr>
        <w:tab/>
        <w:t>Paul Lemmens,</w:t>
      </w:r>
      <w:r w:rsidRPr="006031A9">
        <w:rPr>
          <w:i/>
          <w:lang w:val="fr-FR"/>
        </w:rPr>
        <w:br/>
      </w:r>
      <w:r w:rsidRPr="006031A9">
        <w:rPr>
          <w:lang w:val="fr-FR"/>
        </w:rPr>
        <w:tab/>
        <w:t>Valeriu Griţco,</w:t>
      </w:r>
      <w:r w:rsidRPr="006031A9">
        <w:rPr>
          <w:i/>
          <w:lang w:val="fr-FR"/>
        </w:rPr>
        <w:br/>
      </w:r>
      <w:r w:rsidRPr="006031A9">
        <w:rPr>
          <w:lang w:val="fr-FR"/>
        </w:rPr>
        <w:tab/>
        <w:t>Ksenija Turković,</w:t>
      </w:r>
      <w:r w:rsidRPr="006031A9">
        <w:rPr>
          <w:i/>
          <w:lang w:val="fr-FR"/>
        </w:rPr>
        <w:br/>
      </w:r>
      <w:r w:rsidRPr="006031A9">
        <w:rPr>
          <w:lang w:val="fr-FR"/>
        </w:rPr>
        <w:tab/>
        <w:t>Stéphanie Mourou-Vikström,</w:t>
      </w:r>
      <w:r w:rsidRPr="006031A9">
        <w:rPr>
          <w:i/>
          <w:lang w:val="fr-FR"/>
        </w:rPr>
        <w:br/>
      </w:r>
      <w:r w:rsidRPr="006031A9">
        <w:rPr>
          <w:lang w:val="fr-FR"/>
        </w:rPr>
        <w:tab/>
        <w:t>Georges Ravarani,</w:t>
      </w:r>
      <w:r w:rsidRPr="006031A9">
        <w:rPr>
          <w:i/>
          <w:lang w:val="fr-FR"/>
        </w:rPr>
        <w:t xml:space="preserve"> juges,</w:t>
      </w:r>
      <w:r w:rsidRPr="006031A9">
        <w:rPr>
          <w:lang w:val="fr-FR"/>
        </w:rPr>
        <w:br/>
        <w:t xml:space="preserve">et de Hasan Bakırcı, </w:t>
      </w:r>
      <w:r w:rsidRPr="006031A9">
        <w:rPr>
          <w:i/>
          <w:lang w:val="fr-FR"/>
        </w:rPr>
        <w:t>greffier adjoint</w:t>
      </w:r>
      <w:r w:rsidRPr="006031A9">
        <w:rPr>
          <w:iCs/>
          <w:lang w:val="fr-FR"/>
        </w:rPr>
        <w:t xml:space="preserve"> </w:t>
      </w:r>
      <w:r w:rsidRPr="006031A9">
        <w:rPr>
          <w:i/>
          <w:iCs/>
          <w:lang w:val="fr-FR"/>
        </w:rPr>
        <w:t>d</w:t>
      </w:r>
      <w:r w:rsidRPr="006031A9">
        <w:rPr>
          <w:i/>
          <w:lang w:val="fr-FR"/>
        </w:rPr>
        <w:t>e section</w:t>
      </w:r>
      <w:r w:rsidRPr="006031A9">
        <w:rPr>
          <w:lang w:val="fr-FR"/>
        </w:rPr>
        <w:t>,</w:t>
      </w:r>
    </w:p>
    <w:p w:rsidR="00C85586" w:rsidRPr="006031A9" w:rsidRDefault="00C85586" w:rsidP="006031A9">
      <w:pPr>
        <w:pStyle w:val="ECHRPara"/>
        <w:rPr>
          <w:lang w:val="fr-FR"/>
        </w:rPr>
      </w:pPr>
      <w:r w:rsidRPr="006031A9">
        <w:rPr>
          <w:lang w:val="fr-FR"/>
        </w:rPr>
        <w:t>Après en avoir délibéré en chambre du conseil le 4 avril 2017,</w:t>
      </w:r>
    </w:p>
    <w:p w:rsidR="00C85586" w:rsidRPr="006031A9" w:rsidRDefault="00C85586" w:rsidP="006031A9">
      <w:pPr>
        <w:pStyle w:val="ECHRPara"/>
        <w:rPr>
          <w:lang w:val="fr-FR"/>
        </w:rPr>
      </w:pPr>
      <w:r w:rsidRPr="006031A9">
        <w:rPr>
          <w:lang w:val="fr-FR"/>
        </w:rPr>
        <w:t>Rend l</w:t>
      </w:r>
      <w:r w:rsidR="006031A9" w:rsidRPr="006031A9">
        <w:rPr>
          <w:lang w:val="fr-FR"/>
        </w:rPr>
        <w:t>’</w:t>
      </w:r>
      <w:r w:rsidRPr="006031A9">
        <w:rPr>
          <w:lang w:val="fr-FR"/>
        </w:rPr>
        <w:t>arrêt que voici, adopté à cette date :</w:t>
      </w:r>
    </w:p>
    <w:p w:rsidR="00C85586" w:rsidRPr="006031A9" w:rsidRDefault="00C85586" w:rsidP="006031A9">
      <w:pPr>
        <w:pStyle w:val="ECHRTitle1"/>
        <w:rPr>
          <w:lang w:val="fr-FR"/>
        </w:rPr>
      </w:pPr>
      <w:r w:rsidRPr="006031A9">
        <w:rPr>
          <w:lang w:val="fr-FR"/>
        </w:rPr>
        <w:t>PROCÉDURE</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w:t>
      </w:r>
      <w:r w:rsidRPr="006031A9">
        <w:rPr>
          <w:lang w:val="fr-FR"/>
        </w:rPr>
        <w:fldChar w:fldCharType="end"/>
      </w:r>
      <w:r w:rsidRPr="006031A9">
        <w:rPr>
          <w:lang w:val="fr-FR"/>
        </w:rPr>
        <w:t>.  À l</w:t>
      </w:r>
      <w:r w:rsidR="006031A9" w:rsidRPr="006031A9">
        <w:rPr>
          <w:lang w:val="fr-FR"/>
        </w:rPr>
        <w:t>’</w:t>
      </w:r>
      <w:r w:rsidRPr="006031A9">
        <w:rPr>
          <w:lang w:val="fr-FR"/>
        </w:rPr>
        <w:t>origine de l</w:t>
      </w:r>
      <w:r w:rsidR="006031A9" w:rsidRPr="006031A9">
        <w:rPr>
          <w:lang w:val="fr-FR"/>
        </w:rPr>
        <w:t>’</w:t>
      </w:r>
      <w:r w:rsidRPr="006031A9">
        <w:rPr>
          <w:lang w:val="fr-FR"/>
        </w:rPr>
        <w:t>affaire se trouvent deux requêtes (n</w:t>
      </w:r>
      <w:r w:rsidRPr="006031A9">
        <w:rPr>
          <w:vertAlign w:val="superscript"/>
          <w:lang w:val="fr-FR"/>
        </w:rPr>
        <w:t>os</w:t>
      </w:r>
      <w:r w:rsidRPr="006031A9">
        <w:rPr>
          <w:lang w:val="fr-FR"/>
        </w:rPr>
        <w:t xml:space="preserve"> 67496/10 et 52936/12) dirigées contre le Royaume de Belgique et dont un ressortissant néerlandais, M. Adrianus Van Wesenbeeck («</w:t>
      </w:r>
      <w:r w:rsidR="006C5590" w:rsidRPr="006031A9">
        <w:rPr>
          <w:lang w:val="fr-FR"/>
        </w:rPr>
        <w:t> </w:t>
      </w:r>
      <w:r w:rsidRPr="006031A9">
        <w:rPr>
          <w:lang w:val="fr-FR"/>
        </w:rPr>
        <w:t>le requérant</w:t>
      </w:r>
      <w:r w:rsidR="006C5590" w:rsidRPr="006031A9">
        <w:rPr>
          <w:lang w:val="fr-FR"/>
        </w:rPr>
        <w:t> </w:t>
      </w:r>
      <w:r w:rsidRPr="006031A9">
        <w:rPr>
          <w:lang w:val="fr-FR"/>
        </w:rPr>
        <w:t>»), a saisi la Cour le 19 novembre 2010 et le 17 juillet 2012 en vertu de l</w:t>
      </w:r>
      <w:r w:rsidR="006031A9" w:rsidRPr="006031A9">
        <w:rPr>
          <w:lang w:val="fr-FR"/>
        </w:rPr>
        <w:t>’</w:t>
      </w:r>
      <w:r w:rsidRPr="006031A9">
        <w:rPr>
          <w:lang w:val="fr-FR"/>
        </w:rPr>
        <w:t>article 34 de la Convention de sauvegarde des droits de l</w:t>
      </w:r>
      <w:r w:rsidR="006031A9" w:rsidRPr="006031A9">
        <w:rPr>
          <w:lang w:val="fr-FR"/>
        </w:rPr>
        <w:t>’</w:t>
      </w:r>
      <w:r w:rsidRPr="006031A9">
        <w:rPr>
          <w:lang w:val="fr-FR"/>
        </w:rPr>
        <w:t>homme et des libertés fondamentales («</w:t>
      </w:r>
      <w:r w:rsidR="006C5590" w:rsidRPr="006031A9">
        <w:rPr>
          <w:lang w:val="fr-FR"/>
        </w:rPr>
        <w:t> </w:t>
      </w:r>
      <w:r w:rsidRPr="006031A9">
        <w:rPr>
          <w:lang w:val="fr-FR"/>
        </w:rPr>
        <w:t>la Convention</w:t>
      </w:r>
      <w:r w:rsidR="006C5590" w:rsidRPr="006031A9">
        <w:rPr>
          <w:lang w:val="fr-FR"/>
        </w:rPr>
        <w:t> </w:t>
      </w:r>
      <w:r w:rsidRPr="006031A9">
        <w:rPr>
          <w:lang w:val="fr-FR"/>
        </w:rPr>
        <w:t>»).</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2</w:t>
      </w:r>
      <w:r w:rsidRPr="006031A9">
        <w:rPr>
          <w:lang w:val="fr-FR"/>
        </w:rPr>
        <w:fldChar w:fldCharType="end"/>
      </w:r>
      <w:r w:rsidRPr="006031A9">
        <w:rPr>
          <w:lang w:val="fr-FR"/>
        </w:rPr>
        <w:t>.  Le requérant a été représenté par M</w:t>
      </w:r>
      <w:r w:rsidRPr="006031A9">
        <w:rPr>
          <w:vertAlign w:val="superscript"/>
          <w:lang w:val="fr-FR"/>
        </w:rPr>
        <w:t>es</w:t>
      </w:r>
      <w:r w:rsidRPr="006031A9">
        <w:rPr>
          <w:lang w:val="fr-FR"/>
        </w:rPr>
        <w:t xml:space="preserve"> G.G.J. Knoops et L. Delbrouck, avocats à Amsterdam et Hasselt. Le gouvernement belge («</w:t>
      </w:r>
      <w:r w:rsidR="006C5590" w:rsidRPr="006031A9">
        <w:rPr>
          <w:lang w:val="fr-FR"/>
        </w:rPr>
        <w:t> </w:t>
      </w:r>
      <w:r w:rsidRPr="006031A9">
        <w:rPr>
          <w:lang w:val="fr-FR"/>
        </w:rPr>
        <w:t>le</w:t>
      </w:r>
      <w:r w:rsidR="00CD3B18" w:rsidRPr="006031A9">
        <w:rPr>
          <w:lang w:val="fr-FR"/>
        </w:rPr>
        <w:t xml:space="preserve"> </w:t>
      </w:r>
      <w:r w:rsidRPr="006031A9">
        <w:rPr>
          <w:lang w:val="fr-FR"/>
        </w:rPr>
        <w:t>Gouvernement</w:t>
      </w:r>
      <w:r w:rsidR="006C5590" w:rsidRPr="006031A9">
        <w:rPr>
          <w:lang w:val="fr-FR"/>
        </w:rPr>
        <w:t> </w:t>
      </w:r>
      <w:r w:rsidRPr="006031A9">
        <w:rPr>
          <w:lang w:val="fr-FR"/>
        </w:rPr>
        <w:t>») a été représenté par son agent, M. M. Tysebaert, conseiller général, service public fédéral de la Justice.</w:t>
      </w:r>
    </w:p>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3</w:t>
      </w:r>
      <w:r w:rsidRPr="006031A9">
        <w:rPr>
          <w:lang w:val="fr-FR"/>
        </w:rPr>
        <w:fldChar w:fldCharType="end"/>
      </w:r>
      <w:r w:rsidRPr="006031A9">
        <w:rPr>
          <w:lang w:val="fr-FR"/>
        </w:rPr>
        <w:t>.  Le requérant se plaint de ne pas avoir bénéficié d</w:t>
      </w:r>
      <w:r w:rsidR="006031A9" w:rsidRPr="006031A9">
        <w:rPr>
          <w:lang w:val="fr-FR"/>
        </w:rPr>
        <w:t>’</w:t>
      </w:r>
      <w:r w:rsidRPr="006031A9">
        <w:rPr>
          <w:lang w:val="fr-FR"/>
        </w:rPr>
        <w:t>un procès équitable au sens de l</w:t>
      </w:r>
      <w:r w:rsidR="006031A9" w:rsidRPr="006031A9">
        <w:rPr>
          <w:lang w:val="fr-FR"/>
        </w:rPr>
        <w:t>’</w:t>
      </w:r>
      <w:r w:rsidRPr="006031A9">
        <w:rPr>
          <w:lang w:val="fr-FR"/>
        </w:rPr>
        <w:t>article 6 § 1 de la Convention en ce que ses droits de la défense n</w:t>
      </w:r>
      <w:r w:rsidR="006031A9" w:rsidRPr="006031A9">
        <w:rPr>
          <w:lang w:val="fr-FR"/>
        </w:rPr>
        <w:t>’</w:t>
      </w:r>
      <w:r w:rsidRPr="006031A9">
        <w:rPr>
          <w:lang w:val="fr-FR"/>
        </w:rPr>
        <w:t>ont pas été respectés et de ne pas avoir pu interroger les agents infiltrés conformément à l</w:t>
      </w:r>
      <w:r w:rsidR="006031A9" w:rsidRPr="006031A9">
        <w:rPr>
          <w:lang w:val="fr-FR"/>
        </w:rPr>
        <w:t>’</w:t>
      </w:r>
      <w:r w:rsidRPr="006031A9">
        <w:rPr>
          <w:lang w:val="fr-FR"/>
        </w:rPr>
        <w:t>article 6 § 3 d).</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4</w:t>
      </w:r>
      <w:r w:rsidRPr="006031A9">
        <w:rPr>
          <w:lang w:val="fr-FR"/>
        </w:rPr>
        <w:fldChar w:fldCharType="end"/>
      </w:r>
      <w:r w:rsidRPr="006031A9">
        <w:rPr>
          <w:lang w:val="fr-FR"/>
        </w:rPr>
        <w:t>.  Le 18 mars 2015, ces griefs ont été communiqués au Gouvernement belge et les requêtes ont été déclarées irrecevables pour le surplus conformément à l</w:t>
      </w:r>
      <w:r w:rsidR="006031A9" w:rsidRPr="006031A9">
        <w:rPr>
          <w:lang w:val="fr-FR"/>
        </w:rPr>
        <w:t>’</w:t>
      </w:r>
      <w:r w:rsidRPr="006031A9">
        <w:rPr>
          <w:lang w:val="fr-FR"/>
        </w:rPr>
        <w:t>article 54 § 3 du Règlement de la Cour.</w:t>
      </w:r>
    </w:p>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5</w:t>
      </w:r>
      <w:r w:rsidRPr="006031A9">
        <w:rPr>
          <w:lang w:val="fr-FR"/>
        </w:rPr>
        <w:fldChar w:fldCharType="end"/>
      </w:r>
      <w:r w:rsidRPr="006031A9">
        <w:rPr>
          <w:lang w:val="fr-FR"/>
        </w:rPr>
        <w:t>. </w:t>
      </w:r>
      <w:r w:rsidR="00916F7E" w:rsidRPr="006031A9">
        <w:rPr>
          <w:lang w:val="fr-FR"/>
        </w:rPr>
        <w:t> </w:t>
      </w:r>
      <w:r w:rsidRPr="006031A9">
        <w:rPr>
          <w:lang w:val="fr-FR"/>
        </w:rPr>
        <w:t>Par une lettre du 23 mars 2015, le gouvernement néerlandais fut informé qu</w:t>
      </w:r>
      <w:r w:rsidR="006031A9" w:rsidRPr="006031A9">
        <w:rPr>
          <w:lang w:val="fr-FR"/>
        </w:rPr>
        <w:t>’</w:t>
      </w:r>
      <w:r w:rsidRPr="006031A9">
        <w:rPr>
          <w:lang w:val="fr-FR"/>
        </w:rPr>
        <w:t>il avait la possibilité, s</w:t>
      </w:r>
      <w:r w:rsidR="006031A9" w:rsidRPr="006031A9">
        <w:rPr>
          <w:lang w:val="fr-FR"/>
        </w:rPr>
        <w:t>’</w:t>
      </w:r>
      <w:r w:rsidRPr="006031A9">
        <w:rPr>
          <w:lang w:val="fr-FR"/>
        </w:rPr>
        <w:t>il le désirait, de présenter des observations écrites en vertu des articles 36 § 1 de la Convention et 44 du Règlement de la Cour. Le gouvernement néerlandais ne s</w:t>
      </w:r>
      <w:r w:rsidR="006031A9" w:rsidRPr="006031A9">
        <w:rPr>
          <w:lang w:val="fr-FR"/>
        </w:rPr>
        <w:t>’</w:t>
      </w:r>
      <w:r w:rsidRPr="006031A9">
        <w:rPr>
          <w:lang w:val="fr-FR"/>
        </w:rPr>
        <w:t>est pas prévalu de son droit d</w:t>
      </w:r>
      <w:r w:rsidR="006031A9" w:rsidRPr="006031A9">
        <w:rPr>
          <w:lang w:val="fr-FR"/>
        </w:rPr>
        <w:t>’</w:t>
      </w:r>
      <w:r w:rsidRPr="006031A9">
        <w:rPr>
          <w:lang w:val="fr-FR"/>
        </w:rPr>
        <w:t>intervention.</w:t>
      </w:r>
    </w:p>
    <w:p w:rsidR="00C85586" w:rsidRPr="006031A9" w:rsidRDefault="00C85586" w:rsidP="006031A9">
      <w:pPr>
        <w:pStyle w:val="ECHRTitle1"/>
        <w:tabs>
          <w:tab w:val="left" w:pos="5387"/>
        </w:tabs>
        <w:rPr>
          <w:lang w:val="fr-FR"/>
        </w:rPr>
      </w:pPr>
      <w:r w:rsidRPr="006031A9">
        <w:rPr>
          <w:lang w:val="fr-FR"/>
        </w:rPr>
        <w:lastRenderedPageBreak/>
        <w:t>EN FAIT</w:t>
      </w:r>
    </w:p>
    <w:p w:rsidR="00C85586" w:rsidRPr="006031A9" w:rsidRDefault="00C85586" w:rsidP="006031A9">
      <w:pPr>
        <w:pStyle w:val="ECHRHeading1"/>
        <w:rPr>
          <w:lang w:val="fr-FR"/>
        </w:rPr>
      </w:pPr>
      <w:r w:rsidRPr="006031A9">
        <w:rPr>
          <w:lang w:val="fr-FR"/>
        </w:rPr>
        <w:t>I.  LES CIRCONSTANCES DE L</w:t>
      </w:r>
      <w:r w:rsidR="006031A9" w:rsidRPr="006031A9">
        <w:rPr>
          <w:lang w:val="fr-FR"/>
        </w:rPr>
        <w:t>’</w:t>
      </w:r>
      <w:r w:rsidRPr="006031A9">
        <w:rPr>
          <w:lang w:val="fr-FR"/>
        </w:rPr>
        <w:t>ESPÈCE</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6</w:t>
      </w:r>
      <w:r w:rsidRPr="006031A9">
        <w:rPr>
          <w:lang w:val="fr-FR"/>
        </w:rPr>
        <w:fldChar w:fldCharType="end"/>
      </w:r>
      <w:r w:rsidRPr="006031A9">
        <w:rPr>
          <w:lang w:val="fr-FR"/>
        </w:rPr>
        <w:t>.  Le requérant est né en 1961 et réside à Beveren.</w:t>
      </w:r>
    </w:p>
    <w:p w:rsidR="0002655A" w:rsidRPr="006031A9" w:rsidRDefault="00C85586" w:rsidP="006031A9">
      <w:pPr>
        <w:pStyle w:val="ECHRHeading2"/>
        <w:rPr>
          <w:lang w:val="fr-FR"/>
        </w:rPr>
      </w:pPr>
      <w:r w:rsidRPr="006031A9">
        <w:rPr>
          <w:lang w:val="fr-FR"/>
        </w:rPr>
        <w:t>A.  Phases d</w:t>
      </w:r>
      <w:r w:rsidR="006031A9" w:rsidRPr="006031A9">
        <w:rPr>
          <w:lang w:val="fr-FR"/>
        </w:rPr>
        <w:t>’</w:t>
      </w:r>
      <w:r w:rsidRPr="006031A9">
        <w:rPr>
          <w:lang w:val="fr-FR"/>
        </w:rPr>
        <w:t>information et d</w:t>
      </w:r>
      <w:r w:rsidR="006031A9" w:rsidRPr="006031A9">
        <w:rPr>
          <w:lang w:val="fr-FR"/>
        </w:rPr>
        <w:t>’</w:t>
      </w:r>
      <w:r w:rsidRPr="006031A9">
        <w:rPr>
          <w:lang w:val="fr-FR"/>
        </w:rPr>
        <w:t>instruction</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7</w:t>
      </w:r>
      <w:r w:rsidRPr="006031A9">
        <w:rPr>
          <w:lang w:val="fr-FR"/>
        </w:rPr>
        <w:fldChar w:fldCharType="end"/>
      </w:r>
      <w:r w:rsidRPr="006031A9">
        <w:rPr>
          <w:lang w:val="fr-FR"/>
        </w:rPr>
        <w:t>.  Le 10 mai 2006, le procureur du Roi de Hasselt donna, en application de l</w:t>
      </w:r>
      <w:r w:rsidR="006031A9" w:rsidRPr="006031A9">
        <w:rPr>
          <w:lang w:val="fr-FR"/>
        </w:rPr>
        <w:t>’</w:t>
      </w:r>
      <w:r w:rsidRPr="006031A9">
        <w:rPr>
          <w:lang w:val="fr-FR"/>
        </w:rPr>
        <w:t>article 28</w:t>
      </w:r>
      <w:r w:rsidRPr="006031A9">
        <w:rPr>
          <w:i/>
          <w:lang w:val="fr-FR"/>
        </w:rPr>
        <w:t>bis</w:t>
      </w:r>
      <w:r w:rsidRPr="006031A9">
        <w:rPr>
          <w:lang w:val="fr-FR"/>
        </w:rPr>
        <w:t xml:space="preserve"> § 2 du code d</w:t>
      </w:r>
      <w:r w:rsidR="006031A9" w:rsidRPr="006031A9">
        <w:rPr>
          <w:lang w:val="fr-FR"/>
        </w:rPr>
        <w:t>’</w:t>
      </w:r>
      <w:r w:rsidRPr="006031A9">
        <w:rPr>
          <w:lang w:val="fr-FR"/>
        </w:rPr>
        <w:t>instruction criminelle (« CIC »), son accord préalable et écrit pour le recours à une enquête proactive à l</w:t>
      </w:r>
      <w:r w:rsidR="006031A9" w:rsidRPr="006031A9">
        <w:rPr>
          <w:lang w:val="fr-FR"/>
        </w:rPr>
        <w:t>’</w:t>
      </w:r>
      <w:r w:rsidRPr="006031A9">
        <w:rPr>
          <w:lang w:val="fr-FR"/>
        </w:rPr>
        <w:t>égard du requérant et de plusieurs autres suspects, soupçonnés, entre autres, de trafic de drogue, de participation à une organisation criminelle internationale et de blanchiment d</w:t>
      </w:r>
      <w:r w:rsidR="006031A9" w:rsidRPr="006031A9">
        <w:rPr>
          <w:lang w:val="fr-FR"/>
        </w:rPr>
        <w:t>’</w:t>
      </w:r>
      <w:r w:rsidRPr="006031A9">
        <w:rPr>
          <w:lang w:val="fr-FR"/>
        </w:rPr>
        <w:t>argent. Cette recherche proactive comprenait le recours à la méthode particulière de recherche d</w:t>
      </w:r>
      <w:r w:rsidR="006031A9" w:rsidRPr="006031A9">
        <w:rPr>
          <w:lang w:val="fr-FR"/>
        </w:rPr>
        <w:t>’</w:t>
      </w:r>
      <w:r w:rsidRPr="006031A9">
        <w:rPr>
          <w:lang w:val="fr-FR"/>
        </w:rPr>
        <w:t>infiltration. Le 1</w:t>
      </w:r>
      <w:r w:rsidRPr="006031A9">
        <w:rPr>
          <w:vertAlign w:val="superscript"/>
          <w:lang w:val="fr-FR"/>
        </w:rPr>
        <w:t>er</w:t>
      </w:r>
      <w:r w:rsidRPr="006031A9">
        <w:rPr>
          <w:lang w:val="fr-FR"/>
        </w:rPr>
        <w:t xml:space="preserve"> août 2006, le procureur du Roi autorisa également le recours à la méthode particulière de recherche d</w:t>
      </w:r>
      <w:r w:rsidR="006031A9" w:rsidRPr="006031A9">
        <w:rPr>
          <w:lang w:val="fr-FR"/>
        </w:rPr>
        <w:t>’</w:t>
      </w:r>
      <w:r w:rsidRPr="006031A9">
        <w:rPr>
          <w:lang w:val="fr-FR"/>
        </w:rPr>
        <w:t>observation.</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8</w:t>
      </w:r>
      <w:r w:rsidRPr="006031A9">
        <w:rPr>
          <w:lang w:val="fr-FR"/>
        </w:rPr>
        <w:fldChar w:fldCharType="end"/>
      </w:r>
      <w:r w:rsidRPr="006031A9">
        <w:rPr>
          <w:lang w:val="fr-FR"/>
        </w:rPr>
        <w:t>.  Conformément aux articles 47</w:t>
      </w:r>
      <w:r w:rsidRPr="006031A9">
        <w:rPr>
          <w:i/>
          <w:lang w:val="fr-FR"/>
        </w:rPr>
        <w:t>septies</w:t>
      </w:r>
      <w:r w:rsidRPr="006031A9">
        <w:rPr>
          <w:lang w:val="fr-FR"/>
        </w:rPr>
        <w:t xml:space="preserve"> § 1 et 47</w:t>
      </w:r>
      <w:r w:rsidRPr="006031A9">
        <w:rPr>
          <w:i/>
          <w:lang w:val="fr-FR"/>
        </w:rPr>
        <w:t>nonies</w:t>
      </w:r>
      <w:r w:rsidRPr="006031A9">
        <w:rPr>
          <w:lang w:val="fr-FR"/>
        </w:rPr>
        <w:t xml:space="preserve"> § 1 du CIC, un dossier séparé et confidentiel fut établi (voir paragraphes </w:t>
      </w:r>
      <w:r w:rsidRPr="006031A9">
        <w:rPr>
          <w:lang w:val="fr-FR"/>
        </w:rPr>
        <w:fldChar w:fldCharType="begin"/>
      </w:r>
      <w:r w:rsidRPr="006031A9">
        <w:rPr>
          <w:lang w:val="fr-FR"/>
        </w:rPr>
        <w:instrText xml:space="preserve"> REF DOSCONF1 \h  \* MERGEFORMAT </w:instrText>
      </w:r>
      <w:r w:rsidRPr="006031A9">
        <w:rPr>
          <w:lang w:val="fr-FR"/>
        </w:rPr>
      </w:r>
      <w:r w:rsidRPr="006031A9">
        <w:rPr>
          <w:lang w:val="fr-FR"/>
        </w:rPr>
        <w:fldChar w:fldCharType="separate"/>
      </w:r>
      <w:r w:rsidR="006031A9" w:rsidRPr="006031A9">
        <w:rPr>
          <w:noProof/>
          <w:lang w:val="fr-FR"/>
        </w:rPr>
        <w:t>47</w:t>
      </w:r>
      <w:r w:rsidRPr="006031A9">
        <w:rPr>
          <w:lang w:val="fr-FR"/>
        </w:rPr>
        <w:fldChar w:fldCharType="end"/>
      </w:r>
      <w:r w:rsidRPr="006031A9">
        <w:rPr>
          <w:lang w:val="fr-FR"/>
        </w:rPr>
        <w:t>-</w:t>
      </w:r>
      <w:r w:rsidRPr="006031A9">
        <w:rPr>
          <w:lang w:val="fr-FR"/>
        </w:rPr>
        <w:fldChar w:fldCharType="begin"/>
      </w:r>
      <w:r w:rsidRPr="006031A9">
        <w:rPr>
          <w:lang w:val="fr-FR"/>
        </w:rPr>
        <w:instrText xml:space="preserve"> REF DOSCONF2 \h  \* MERGEFORMAT </w:instrText>
      </w:r>
      <w:r w:rsidRPr="006031A9">
        <w:rPr>
          <w:lang w:val="fr-FR"/>
        </w:rPr>
      </w:r>
      <w:r w:rsidRPr="006031A9">
        <w:rPr>
          <w:lang w:val="fr-FR"/>
        </w:rPr>
        <w:fldChar w:fldCharType="separate"/>
      </w:r>
      <w:r w:rsidR="006031A9" w:rsidRPr="006031A9">
        <w:rPr>
          <w:noProof/>
          <w:sz w:val="23"/>
          <w:szCs w:val="23"/>
          <w:lang w:val="fr-FR"/>
        </w:rPr>
        <w:t>49</w:t>
      </w:r>
      <w:r w:rsidRPr="006031A9">
        <w:rPr>
          <w:lang w:val="fr-FR"/>
        </w:rPr>
        <w:fldChar w:fldCharType="end"/>
      </w:r>
      <w:r w:rsidRPr="006031A9">
        <w:rPr>
          <w:lang w:val="fr-FR"/>
        </w:rPr>
        <w:t>, ci-dessous).</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9</w:t>
      </w:r>
      <w:r w:rsidRPr="006031A9">
        <w:rPr>
          <w:lang w:val="fr-FR"/>
        </w:rPr>
        <w:fldChar w:fldCharType="end"/>
      </w:r>
      <w:r w:rsidRPr="006031A9">
        <w:rPr>
          <w:lang w:val="fr-FR"/>
        </w:rPr>
        <w:t>.  L</w:t>
      </w:r>
      <w:r w:rsidR="006031A9" w:rsidRPr="006031A9">
        <w:rPr>
          <w:lang w:val="fr-FR"/>
        </w:rPr>
        <w:t>’</w:t>
      </w:r>
      <w:r w:rsidRPr="006031A9">
        <w:rPr>
          <w:lang w:val="fr-FR"/>
        </w:rPr>
        <w:t>enquête proactive se poursuivit jusqu</w:t>
      </w:r>
      <w:r w:rsidR="006031A9" w:rsidRPr="006031A9">
        <w:rPr>
          <w:lang w:val="fr-FR"/>
        </w:rPr>
        <w:t>’</w:t>
      </w:r>
      <w:r w:rsidRPr="006031A9">
        <w:rPr>
          <w:lang w:val="fr-FR"/>
        </w:rPr>
        <w:t>au 17 septembre 2008. À cette date, un procès-verbal fut dressé par l</w:t>
      </w:r>
      <w:r w:rsidR="006031A9" w:rsidRPr="006031A9">
        <w:rPr>
          <w:lang w:val="fr-FR"/>
        </w:rPr>
        <w:t>’</w:t>
      </w:r>
      <w:r w:rsidRPr="006031A9">
        <w:rPr>
          <w:lang w:val="fr-FR"/>
        </w:rPr>
        <w:t>officier de police judiciaire en charge, décrivant en forme synthétique tous les éléments recueillis dans le cadre de l</w:t>
      </w:r>
      <w:r w:rsidR="006031A9" w:rsidRPr="006031A9">
        <w:rPr>
          <w:lang w:val="fr-FR"/>
        </w:rPr>
        <w:t>’</w:t>
      </w:r>
      <w:r w:rsidRPr="006031A9">
        <w:rPr>
          <w:lang w:val="fr-FR"/>
        </w:rPr>
        <w:t>enquête proactive. Ce procès-v</w:t>
      </w:r>
      <w:r w:rsidR="006C5590" w:rsidRPr="006031A9">
        <w:rPr>
          <w:lang w:val="fr-FR"/>
        </w:rPr>
        <w:t>erbal fut suivi par deux procès</w:t>
      </w:r>
      <w:r w:rsidR="006C5590" w:rsidRPr="006031A9">
        <w:rPr>
          <w:lang w:val="fr-FR"/>
        </w:rPr>
        <w:noBreakHyphen/>
      </w:r>
      <w:r w:rsidRPr="006031A9">
        <w:rPr>
          <w:lang w:val="fr-FR"/>
        </w:rPr>
        <w:t>verbaux du 18 septembre 2008, l</w:t>
      </w:r>
      <w:r w:rsidR="006031A9" w:rsidRPr="006031A9">
        <w:rPr>
          <w:lang w:val="fr-FR"/>
        </w:rPr>
        <w:t>’</w:t>
      </w:r>
      <w:r w:rsidRPr="006031A9">
        <w:rPr>
          <w:lang w:val="fr-FR"/>
        </w:rPr>
        <w:t>un relatif à l</w:t>
      </w:r>
      <w:r w:rsidR="006031A9" w:rsidRPr="006031A9">
        <w:rPr>
          <w:lang w:val="fr-FR"/>
        </w:rPr>
        <w:t>’</w:t>
      </w:r>
      <w:r w:rsidRPr="006031A9">
        <w:rPr>
          <w:lang w:val="fr-FR"/>
        </w:rPr>
        <w:t>infiltration et l</w:t>
      </w:r>
      <w:r w:rsidR="006031A9" w:rsidRPr="006031A9">
        <w:rPr>
          <w:lang w:val="fr-FR"/>
        </w:rPr>
        <w:t>’</w:t>
      </w:r>
      <w:r w:rsidRPr="006031A9">
        <w:rPr>
          <w:lang w:val="fr-FR"/>
        </w:rPr>
        <w:t>autre relatif à l</w:t>
      </w:r>
      <w:r w:rsidR="006031A9" w:rsidRPr="006031A9">
        <w:rPr>
          <w:lang w:val="fr-FR"/>
        </w:rPr>
        <w:t>’</w:t>
      </w:r>
      <w:r w:rsidRPr="006031A9">
        <w:rPr>
          <w:lang w:val="fr-FR"/>
        </w:rPr>
        <w:t>observation, qui décrivirent les éléments spécifiquement recueillis à l</w:t>
      </w:r>
      <w:r w:rsidR="006031A9" w:rsidRPr="006031A9">
        <w:rPr>
          <w:lang w:val="fr-FR"/>
        </w:rPr>
        <w:t>’</w:t>
      </w:r>
      <w:r w:rsidRPr="006031A9">
        <w:rPr>
          <w:lang w:val="fr-FR"/>
        </w:rPr>
        <w:t>aide de ces mesures de recherche particulière. Ces trois procès-verbaux furent joints au dossier répressif qui, plus tard, était destiné à devenir accessible aux prévenus.</w:t>
      </w:r>
    </w:p>
    <w:bookmarkStart w:id="1" w:name="DEC180908"/>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10</w:t>
      </w:r>
      <w:r w:rsidRPr="006031A9">
        <w:rPr>
          <w:lang w:val="fr-FR"/>
        </w:rPr>
        <w:fldChar w:fldCharType="end"/>
      </w:r>
      <w:bookmarkEnd w:id="1"/>
      <w:r w:rsidRPr="006031A9">
        <w:rPr>
          <w:lang w:val="fr-FR"/>
        </w:rPr>
        <w:t>.  Par deux décisions du 18 septembre 2008, le procureur du Roi confirma l</w:t>
      </w:r>
      <w:r w:rsidR="006031A9" w:rsidRPr="006031A9">
        <w:rPr>
          <w:lang w:val="fr-FR"/>
        </w:rPr>
        <w:t>’</w:t>
      </w:r>
      <w:r w:rsidRPr="006031A9">
        <w:rPr>
          <w:lang w:val="fr-FR"/>
        </w:rPr>
        <w:t>existence d</w:t>
      </w:r>
      <w:r w:rsidR="006031A9" w:rsidRPr="006031A9">
        <w:rPr>
          <w:lang w:val="fr-FR"/>
        </w:rPr>
        <w:t>’</w:t>
      </w:r>
      <w:r w:rsidRPr="006031A9">
        <w:rPr>
          <w:lang w:val="fr-FR"/>
        </w:rPr>
        <w:t>autorisations respectivement d</w:t>
      </w:r>
      <w:r w:rsidR="006031A9" w:rsidRPr="006031A9">
        <w:rPr>
          <w:lang w:val="fr-FR"/>
        </w:rPr>
        <w:t>’</w:t>
      </w:r>
      <w:r w:rsidRPr="006031A9">
        <w:rPr>
          <w:lang w:val="fr-FR"/>
        </w:rPr>
        <w:t>observation et d</w:t>
      </w:r>
      <w:r w:rsidR="006031A9" w:rsidRPr="006031A9">
        <w:rPr>
          <w:lang w:val="fr-FR"/>
        </w:rPr>
        <w:t>’</w:t>
      </w:r>
      <w:r w:rsidRPr="006031A9">
        <w:rPr>
          <w:lang w:val="fr-FR"/>
        </w:rPr>
        <w:t>infiltration.</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11</w:t>
      </w:r>
      <w:r w:rsidRPr="006031A9">
        <w:rPr>
          <w:lang w:val="fr-FR"/>
        </w:rPr>
        <w:fldChar w:fldCharType="end"/>
      </w:r>
      <w:r w:rsidRPr="006031A9">
        <w:rPr>
          <w:lang w:val="fr-FR"/>
        </w:rPr>
        <w:t>.  Le 18 septembre 2008, le procureur du Roi saisit le juge d</w:t>
      </w:r>
      <w:r w:rsidR="006031A9" w:rsidRPr="006031A9">
        <w:rPr>
          <w:lang w:val="fr-FR"/>
        </w:rPr>
        <w:t>’</w:t>
      </w:r>
      <w:r w:rsidRPr="006031A9">
        <w:rPr>
          <w:lang w:val="fr-FR"/>
        </w:rPr>
        <w:t>instruction au tribunal de première instance de Hasselt d</w:t>
      </w:r>
      <w:r w:rsidR="006031A9" w:rsidRPr="006031A9">
        <w:rPr>
          <w:lang w:val="fr-FR"/>
        </w:rPr>
        <w:t>’</w:t>
      </w:r>
      <w:r w:rsidRPr="006031A9">
        <w:rPr>
          <w:lang w:val="fr-FR"/>
        </w:rPr>
        <w:t>une instruction judiciaire. Une enquête « classique », réactive, s</w:t>
      </w:r>
      <w:r w:rsidR="006031A9" w:rsidRPr="006031A9">
        <w:rPr>
          <w:lang w:val="fr-FR"/>
        </w:rPr>
        <w:t>’</w:t>
      </w:r>
      <w:r w:rsidRPr="006031A9">
        <w:rPr>
          <w:lang w:val="fr-FR"/>
        </w:rPr>
        <w:t>en suivit sous la conduite du juge d</w:t>
      </w:r>
      <w:r w:rsidR="006031A9" w:rsidRPr="006031A9">
        <w:rPr>
          <w:lang w:val="fr-FR"/>
        </w:rPr>
        <w:t>’</w:t>
      </w:r>
      <w:r w:rsidRPr="006031A9">
        <w:rPr>
          <w:lang w:val="fr-FR"/>
        </w:rPr>
        <w:t>instruction. En plus de la poursuite des opérations d</w:t>
      </w:r>
      <w:r w:rsidR="006031A9" w:rsidRPr="006031A9">
        <w:rPr>
          <w:lang w:val="fr-FR"/>
        </w:rPr>
        <w:t>’</w:t>
      </w:r>
      <w:r w:rsidRPr="006031A9">
        <w:rPr>
          <w:lang w:val="fr-FR"/>
        </w:rPr>
        <w:t>observation et d</w:t>
      </w:r>
      <w:r w:rsidR="006031A9" w:rsidRPr="006031A9">
        <w:rPr>
          <w:lang w:val="fr-FR"/>
        </w:rPr>
        <w:t>’</w:t>
      </w:r>
      <w:r w:rsidRPr="006031A9">
        <w:rPr>
          <w:lang w:val="fr-FR"/>
        </w:rPr>
        <w:t>infiltration, usage fut fait d</w:t>
      </w:r>
      <w:r w:rsidR="006031A9" w:rsidRPr="006031A9">
        <w:rPr>
          <w:lang w:val="fr-FR"/>
        </w:rPr>
        <w:t>’</w:t>
      </w:r>
      <w:r w:rsidRPr="006031A9">
        <w:rPr>
          <w:lang w:val="fr-FR"/>
        </w:rPr>
        <w:t>écoutes téléphoniques et de l</w:t>
      </w:r>
      <w:r w:rsidR="006031A9" w:rsidRPr="006031A9">
        <w:rPr>
          <w:lang w:val="fr-FR"/>
        </w:rPr>
        <w:t>’</w:t>
      </w:r>
      <w:r w:rsidRPr="006031A9">
        <w:rPr>
          <w:lang w:val="fr-FR"/>
        </w:rPr>
        <w:t>entraide judiciaire internationale.</w:t>
      </w:r>
    </w:p>
    <w:bookmarkStart w:id="2" w:name="PV1"/>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12</w:t>
      </w:r>
      <w:r w:rsidRPr="006031A9">
        <w:rPr>
          <w:lang w:val="fr-FR"/>
        </w:rPr>
        <w:fldChar w:fldCharType="end"/>
      </w:r>
      <w:bookmarkEnd w:id="2"/>
      <w:r w:rsidRPr="006031A9">
        <w:rPr>
          <w:lang w:val="fr-FR"/>
        </w:rPr>
        <w:t>.  Un procès-verbal du 25 septembre 2008 de l</w:t>
      </w:r>
      <w:r w:rsidR="006031A9" w:rsidRPr="006031A9">
        <w:rPr>
          <w:lang w:val="fr-FR"/>
        </w:rPr>
        <w:t>’</w:t>
      </w:r>
      <w:r w:rsidRPr="006031A9">
        <w:rPr>
          <w:lang w:val="fr-FR"/>
        </w:rPr>
        <w:t>officier de police judiciaire en charge mentionna les indications de l</w:t>
      </w:r>
      <w:r w:rsidR="006031A9" w:rsidRPr="006031A9">
        <w:rPr>
          <w:lang w:val="fr-FR"/>
        </w:rPr>
        <w:t>’</w:t>
      </w:r>
      <w:r w:rsidRPr="006031A9">
        <w:rPr>
          <w:lang w:val="fr-FR"/>
        </w:rPr>
        <w:t>existence d</w:t>
      </w:r>
      <w:r w:rsidR="006031A9" w:rsidRPr="006031A9">
        <w:rPr>
          <w:lang w:val="fr-FR"/>
        </w:rPr>
        <w:t>’</w:t>
      </w:r>
      <w:r w:rsidRPr="006031A9">
        <w:rPr>
          <w:lang w:val="fr-FR"/>
        </w:rPr>
        <w:t>une organisation criminelle ayant servi de base au recours à l</w:t>
      </w:r>
      <w:r w:rsidR="006031A9" w:rsidRPr="006031A9">
        <w:rPr>
          <w:lang w:val="fr-FR"/>
        </w:rPr>
        <w:t>’</w:t>
      </w:r>
      <w:r w:rsidRPr="006031A9">
        <w:rPr>
          <w:lang w:val="fr-FR"/>
        </w:rPr>
        <w:t>observation et l</w:t>
      </w:r>
      <w:r w:rsidR="006031A9" w:rsidRPr="006031A9">
        <w:rPr>
          <w:lang w:val="fr-FR"/>
        </w:rPr>
        <w:t>’</w:t>
      </w:r>
      <w:r w:rsidRPr="006031A9">
        <w:rPr>
          <w:lang w:val="fr-FR"/>
        </w:rPr>
        <w:t>infiltration au stade de la recherche proactive, ainsi que les confirmations qui avaient pu être obtenues grâce à la mise en œuvre de ces mesures particulières de recherche.</w:t>
      </w:r>
    </w:p>
    <w:p w:rsidR="00C85586" w:rsidRPr="006031A9" w:rsidRDefault="00C85586" w:rsidP="006031A9">
      <w:pPr>
        <w:pStyle w:val="ECHRPara"/>
        <w:rPr>
          <w:lang w:val="fr-FR"/>
        </w:rPr>
      </w:pPr>
      <w:r w:rsidRPr="006031A9">
        <w:rPr>
          <w:lang w:val="fr-FR"/>
        </w:rPr>
        <w:lastRenderedPageBreak/>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13</w:t>
      </w:r>
      <w:r w:rsidRPr="006031A9">
        <w:rPr>
          <w:lang w:val="fr-FR"/>
        </w:rPr>
        <w:fldChar w:fldCharType="end"/>
      </w:r>
      <w:r w:rsidRPr="006031A9">
        <w:rPr>
          <w:lang w:val="fr-FR"/>
        </w:rPr>
        <w:t>.  Le 20 octobre 2008, le parquet fédéral reprit le dossier du parquet de Hasselt. L</w:t>
      </w:r>
      <w:r w:rsidR="006031A9" w:rsidRPr="006031A9">
        <w:rPr>
          <w:lang w:val="fr-FR"/>
        </w:rPr>
        <w:t>’</w:t>
      </w:r>
      <w:r w:rsidRPr="006031A9">
        <w:rPr>
          <w:lang w:val="fr-FR"/>
        </w:rPr>
        <w:t>instruction continua d</w:t>
      </w:r>
      <w:r w:rsidR="006031A9" w:rsidRPr="006031A9">
        <w:rPr>
          <w:lang w:val="fr-FR"/>
        </w:rPr>
        <w:t>’</w:t>
      </w:r>
      <w:r w:rsidRPr="006031A9">
        <w:rPr>
          <w:lang w:val="fr-FR"/>
        </w:rPr>
        <w:t>être menée sous la direction et l</w:t>
      </w:r>
      <w:r w:rsidR="006031A9" w:rsidRPr="006031A9">
        <w:rPr>
          <w:lang w:val="fr-FR"/>
        </w:rPr>
        <w:t>’</w:t>
      </w:r>
      <w:r w:rsidRPr="006031A9">
        <w:rPr>
          <w:lang w:val="fr-FR"/>
        </w:rPr>
        <w:t>autorité du juge d</w:t>
      </w:r>
      <w:r w:rsidR="006031A9" w:rsidRPr="006031A9">
        <w:rPr>
          <w:lang w:val="fr-FR"/>
        </w:rPr>
        <w:t>’</w:t>
      </w:r>
      <w:r w:rsidRPr="006031A9">
        <w:rPr>
          <w:lang w:val="fr-FR"/>
        </w:rPr>
        <w:t>instruction de Hasselt.</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14</w:t>
      </w:r>
      <w:r w:rsidRPr="006031A9">
        <w:rPr>
          <w:lang w:val="fr-FR"/>
        </w:rPr>
        <w:fldChar w:fldCharType="end"/>
      </w:r>
      <w:r w:rsidRPr="006031A9">
        <w:rPr>
          <w:lang w:val="fr-FR"/>
        </w:rPr>
        <w:t>.  Les opérations d</w:t>
      </w:r>
      <w:r w:rsidR="006031A9" w:rsidRPr="006031A9">
        <w:rPr>
          <w:lang w:val="fr-FR"/>
        </w:rPr>
        <w:t>’</w:t>
      </w:r>
      <w:r w:rsidRPr="006031A9">
        <w:rPr>
          <w:lang w:val="fr-FR"/>
        </w:rPr>
        <w:t>observation et d</w:t>
      </w:r>
      <w:r w:rsidR="006031A9" w:rsidRPr="006031A9">
        <w:rPr>
          <w:lang w:val="fr-FR"/>
        </w:rPr>
        <w:t>’</w:t>
      </w:r>
      <w:r w:rsidRPr="006031A9">
        <w:rPr>
          <w:lang w:val="fr-FR"/>
        </w:rPr>
        <w:t>infiltration s</w:t>
      </w:r>
      <w:r w:rsidR="006031A9" w:rsidRPr="006031A9">
        <w:rPr>
          <w:lang w:val="fr-FR"/>
        </w:rPr>
        <w:t>’</w:t>
      </w:r>
      <w:r w:rsidRPr="006031A9">
        <w:rPr>
          <w:lang w:val="fr-FR"/>
        </w:rPr>
        <w:t>arrêtèrent le 14 juin 2009. À cette date, plusieurs suspects, dont le requérant, furent arrêtés et mis en détention préventive.</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15</w:t>
      </w:r>
      <w:r w:rsidRPr="006031A9">
        <w:rPr>
          <w:lang w:val="fr-FR"/>
        </w:rPr>
        <w:fldChar w:fldCharType="end"/>
      </w:r>
      <w:r w:rsidRPr="006031A9">
        <w:rPr>
          <w:lang w:val="fr-FR"/>
        </w:rPr>
        <w:t>.  Par réquisitions écrites du procureur fédéral du 29 décembre 2009, la chambre des</w:t>
      </w:r>
      <w:r w:rsidRPr="006031A9">
        <w:rPr>
          <w:color w:val="FF0000"/>
          <w:lang w:val="fr-FR"/>
        </w:rPr>
        <w:t xml:space="preserve"> </w:t>
      </w:r>
      <w:r w:rsidRPr="006031A9">
        <w:rPr>
          <w:lang w:val="fr-FR"/>
        </w:rPr>
        <w:t>mises en accusation de la cour d</w:t>
      </w:r>
      <w:r w:rsidR="006031A9" w:rsidRPr="006031A9">
        <w:rPr>
          <w:lang w:val="fr-FR"/>
        </w:rPr>
        <w:t>’</w:t>
      </w:r>
      <w:r w:rsidRPr="006031A9">
        <w:rPr>
          <w:lang w:val="fr-FR"/>
        </w:rPr>
        <w:t>appel d</w:t>
      </w:r>
      <w:r w:rsidR="006031A9" w:rsidRPr="006031A9">
        <w:rPr>
          <w:lang w:val="fr-FR"/>
        </w:rPr>
        <w:t>’</w:t>
      </w:r>
      <w:r w:rsidRPr="006031A9">
        <w:rPr>
          <w:lang w:val="fr-FR"/>
        </w:rPr>
        <w:t>Anvers fut chargée du contrôle, prévu par l</w:t>
      </w:r>
      <w:r w:rsidR="006031A9" w:rsidRPr="006031A9">
        <w:rPr>
          <w:lang w:val="fr-FR"/>
        </w:rPr>
        <w:t>’</w:t>
      </w:r>
      <w:r w:rsidRPr="006031A9">
        <w:rPr>
          <w:lang w:val="fr-FR"/>
        </w:rPr>
        <w:t>article 235</w:t>
      </w:r>
      <w:r w:rsidRPr="006031A9">
        <w:rPr>
          <w:i/>
          <w:lang w:val="fr-FR"/>
        </w:rPr>
        <w:t>ter</w:t>
      </w:r>
      <w:r w:rsidRPr="006031A9">
        <w:rPr>
          <w:lang w:val="fr-FR"/>
        </w:rPr>
        <w:t xml:space="preserve"> du CIC, de</w:t>
      </w:r>
      <w:bookmarkStart w:id="3" w:name="ADDPIECESDOSOUV"/>
      <w:bookmarkEnd w:id="3"/>
      <w:r w:rsidRPr="006031A9">
        <w:rPr>
          <w:lang w:val="fr-FR"/>
        </w:rPr>
        <w:t xml:space="preserve"> la conformité du dossier confidentiel avec les éléments figurant dans le dossier répressif et de vérifier l</w:t>
      </w:r>
      <w:r w:rsidR="006031A9" w:rsidRPr="006031A9">
        <w:rPr>
          <w:lang w:val="fr-FR"/>
        </w:rPr>
        <w:t>’</w:t>
      </w:r>
      <w:r w:rsidRPr="006031A9">
        <w:rPr>
          <w:lang w:val="fr-FR"/>
        </w:rPr>
        <w:t>absence d</w:t>
      </w:r>
      <w:r w:rsidR="006031A9" w:rsidRPr="006031A9">
        <w:rPr>
          <w:lang w:val="fr-FR"/>
        </w:rPr>
        <w:t>’</w:t>
      </w:r>
      <w:r w:rsidRPr="006031A9">
        <w:rPr>
          <w:lang w:val="fr-FR"/>
        </w:rPr>
        <w:t xml:space="preserve">irrégularité (voir paragraphes </w:t>
      </w:r>
      <w:r w:rsidRPr="006031A9">
        <w:rPr>
          <w:lang w:val="fr-FR"/>
        </w:rPr>
        <w:fldChar w:fldCharType="begin"/>
      </w:r>
      <w:r w:rsidRPr="006031A9">
        <w:rPr>
          <w:lang w:val="fr-FR"/>
        </w:rPr>
        <w:instrText xml:space="preserve"> REF CONTROLCHBMIS1 \h  \* MERGEFORMAT </w:instrText>
      </w:r>
      <w:r w:rsidRPr="006031A9">
        <w:rPr>
          <w:lang w:val="fr-FR"/>
        </w:rPr>
      </w:r>
      <w:r w:rsidRPr="006031A9">
        <w:rPr>
          <w:lang w:val="fr-FR"/>
        </w:rPr>
        <w:fldChar w:fldCharType="separate"/>
      </w:r>
      <w:r w:rsidR="006031A9" w:rsidRPr="006031A9">
        <w:rPr>
          <w:noProof/>
          <w:lang w:val="fr-FR"/>
        </w:rPr>
        <w:t>50</w:t>
      </w:r>
      <w:r w:rsidRPr="006031A9">
        <w:rPr>
          <w:lang w:val="fr-FR"/>
        </w:rPr>
        <w:fldChar w:fldCharType="end"/>
      </w:r>
      <w:r w:rsidRPr="006031A9">
        <w:rPr>
          <w:lang w:val="fr-FR"/>
        </w:rPr>
        <w:t>-</w:t>
      </w:r>
      <w:r w:rsidRPr="006031A9">
        <w:rPr>
          <w:lang w:val="fr-FR"/>
        </w:rPr>
        <w:fldChar w:fldCharType="begin"/>
      </w:r>
      <w:r w:rsidRPr="006031A9">
        <w:rPr>
          <w:lang w:val="fr-FR"/>
        </w:rPr>
        <w:instrText xml:space="preserve"> REF CONTROLCHBMIS2 \h  \* MERGEFORMAT </w:instrText>
      </w:r>
      <w:r w:rsidRPr="006031A9">
        <w:rPr>
          <w:lang w:val="fr-FR"/>
        </w:rPr>
      </w:r>
      <w:r w:rsidRPr="006031A9">
        <w:rPr>
          <w:lang w:val="fr-FR"/>
        </w:rPr>
        <w:fldChar w:fldCharType="separate"/>
      </w:r>
      <w:r w:rsidR="006031A9" w:rsidRPr="006031A9">
        <w:rPr>
          <w:noProof/>
          <w:lang w:val="fr-FR"/>
        </w:rPr>
        <w:t>54</w:t>
      </w:r>
      <w:r w:rsidRPr="006031A9">
        <w:rPr>
          <w:lang w:val="fr-FR"/>
        </w:rPr>
        <w:fldChar w:fldCharType="end"/>
      </w:r>
      <w:r w:rsidRPr="006031A9">
        <w:rPr>
          <w:lang w:val="fr-FR"/>
        </w:rPr>
        <w:t>, ci-dessous). En cours d</w:t>
      </w:r>
      <w:r w:rsidR="006031A9" w:rsidRPr="006031A9">
        <w:rPr>
          <w:lang w:val="fr-FR"/>
        </w:rPr>
        <w:t>’</w:t>
      </w:r>
      <w:r w:rsidRPr="006031A9">
        <w:rPr>
          <w:lang w:val="fr-FR"/>
        </w:rPr>
        <w:t>instance, elle fut requise par les parties de contrôler également la régularité de la procédure suivie en application de l</w:t>
      </w:r>
      <w:r w:rsidR="006031A9" w:rsidRPr="006031A9">
        <w:rPr>
          <w:lang w:val="fr-FR"/>
        </w:rPr>
        <w:t>’</w:t>
      </w:r>
      <w:r w:rsidRPr="006031A9">
        <w:rPr>
          <w:lang w:val="fr-FR"/>
        </w:rPr>
        <w:t>article 235</w:t>
      </w:r>
      <w:r w:rsidRPr="006031A9">
        <w:rPr>
          <w:i/>
          <w:lang w:val="fr-FR"/>
        </w:rPr>
        <w:t>bis</w:t>
      </w:r>
      <w:r w:rsidRPr="006031A9">
        <w:rPr>
          <w:lang w:val="fr-FR"/>
        </w:rPr>
        <w:t xml:space="preserve"> du CIC (voir paragraphe </w:t>
      </w:r>
      <w:r w:rsidRPr="006031A9">
        <w:rPr>
          <w:lang w:val="fr-FR"/>
        </w:rPr>
        <w:fldChar w:fldCharType="begin"/>
      </w:r>
      <w:r w:rsidRPr="006031A9">
        <w:rPr>
          <w:lang w:val="fr-FR"/>
        </w:rPr>
        <w:instrText xml:space="preserve"> REF CONTROLCHBMIS3 \h  \* MERGEFORMAT </w:instrText>
      </w:r>
      <w:r w:rsidRPr="006031A9">
        <w:rPr>
          <w:lang w:val="fr-FR"/>
        </w:rPr>
      </w:r>
      <w:r w:rsidRPr="006031A9">
        <w:rPr>
          <w:lang w:val="fr-FR"/>
        </w:rPr>
        <w:fldChar w:fldCharType="separate"/>
      </w:r>
      <w:r w:rsidR="006031A9" w:rsidRPr="006031A9">
        <w:rPr>
          <w:noProof/>
          <w:lang w:val="fr-FR"/>
        </w:rPr>
        <w:t>55</w:t>
      </w:r>
      <w:r w:rsidRPr="006031A9">
        <w:rPr>
          <w:lang w:val="fr-FR"/>
        </w:rPr>
        <w:fldChar w:fldCharType="end"/>
      </w:r>
      <w:r w:rsidRPr="006031A9">
        <w:rPr>
          <w:lang w:val="fr-FR"/>
        </w:rPr>
        <w:t>, ci-dessous).</w:t>
      </w:r>
    </w:p>
    <w:bookmarkStart w:id="4" w:name="AudienceInterlocu"/>
    <w:bookmarkStart w:id="5" w:name="Réouvdébats"/>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16</w:t>
      </w:r>
      <w:r w:rsidRPr="006031A9">
        <w:rPr>
          <w:lang w:val="fr-FR"/>
        </w:rPr>
        <w:fldChar w:fldCharType="end"/>
      </w:r>
      <w:bookmarkEnd w:id="4"/>
      <w:r w:rsidRPr="006031A9">
        <w:rPr>
          <w:lang w:val="fr-FR"/>
        </w:rPr>
        <w:t>.  Lors d</w:t>
      </w:r>
      <w:r w:rsidR="006031A9" w:rsidRPr="006031A9">
        <w:rPr>
          <w:lang w:val="fr-FR"/>
        </w:rPr>
        <w:t>’</w:t>
      </w:r>
      <w:r w:rsidRPr="006031A9">
        <w:rPr>
          <w:lang w:val="fr-FR"/>
        </w:rPr>
        <w:t>une audience tenue le 2 mars 2010, la chambre des mises en accusation auditionna le procureur fédéral de façon séparée et en dehors de la présence des parties. À cette occasion, le dossier confidentiel fut mis à la disposition de la chambre. Ensuite, plusieurs inculpés, dont le requérant, furent entendus, avec l</w:t>
      </w:r>
      <w:r w:rsidR="006031A9" w:rsidRPr="006031A9">
        <w:rPr>
          <w:lang w:val="fr-FR"/>
        </w:rPr>
        <w:t>’</w:t>
      </w:r>
      <w:r w:rsidRPr="006031A9">
        <w:rPr>
          <w:lang w:val="fr-FR"/>
        </w:rPr>
        <w:t>assistance de leurs avocats, dans leurs moyens de défense.</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17</w:t>
      </w:r>
      <w:r w:rsidRPr="006031A9">
        <w:rPr>
          <w:lang w:val="fr-FR"/>
        </w:rPr>
        <w:fldChar w:fldCharType="end"/>
      </w:r>
      <w:bookmarkEnd w:id="5"/>
      <w:r w:rsidRPr="006031A9">
        <w:rPr>
          <w:lang w:val="fr-FR"/>
        </w:rPr>
        <w:t>.  Par un arrêt interlocutoire du 20 mai 2010, la chambre des mises en accusation souligna qu</w:t>
      </w:r>
      <w:r w:rsidR="006031A9" w:rsidRPr="006031A9">
        <w:rPr>
          <w:lang w:val="fr-FR"/>
        </w:rPr>
        <w:t>’</w:t>
      </w:r>
      <w:r w:rsidRPr="006031A9">
        <w:rPr>
          <w:lang w:val="fr-FR"/>
        </w:rPr>
        <w:t>en ce qui concerne le contrôle des mesures particulières de recherche, elle devait vérifier les données du dossier confidentiel, non seulement relatives à la recherche réactive, mais aussi relatives à la recherche proactive. Elle estima en outre que certaines pièces concernant les mesures de recherche particulière devaient encore être déposées au dossier répressif. Elle ordonna la réouverture des débats afin de permettre au parquet fédéral de compléter les dossiers.</w:t>
      </w:r>
    </w:p>
    <w:bookmarkStart w:id="6" w:name="AJOUTPV"/>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18</w:t>
      </w:r>
      <w:r w:rsidRPr="006031A9">
        <w:rPr>
          <w:lang w:val="fr-FR"/>
        </w:rPr>
        <w:fldChar w:fldCharType="end"/>
      </w:r>
      <w:bookmarkEnd w:id="6"/>
      <w:r w:rsidRPr="006031A9">
        <w:rPr>
          <w:lang w:val="fr-FR"/>
        </w:rPr>
        <w:t xml:space="preserve">.  À la suite de cet arrêt, les décisions du 18 septembre 2008 précitées et le procès-verbal établi le 25 septembre 2008 (voir paragraphes </w:t>
      </w:r>
      <w:r w:rsidRPr="006031A9">
        <w:rPr>
          <w:lang w:val="fr-FR"/>
        </w:rPr>
        <w:fldChar w:fldCharType="begin"/>
      </w:r>
      <w:r w:rsidRPr="006031A9">
        <w:rPr>
          <w:lang w:val="fr-FR"/>
        </w:rPr>
        <w:instrText xml:space="preserve"> REF DEC180908 \h  \* MERGEFORMAT </w:instrText>
      </w:r>
      <w:r w:rsidRPr="006031A9">
        <w:rPr>
          <w:lang w:val="fr-FR"/>
        </w:rPr>
      </w:r>
      <w:r w:rsidRPr="006031A9">
        <w:rPr>
          <w:lang w:val="fr-FR"/>
        </w:rPr>
        <w:fldChar w:fldCharType="separate"/>
      </w:r>
      <w:r w:rsidR="006031A9" w:rsidRPr="006031A9">
        <w:rPr>
          <w:noProof/>
          <w:lang w:val="fr-FR"/>
        </w:rPr>
        <w:t>10</w:t>
      </w:r>
      <w:r w:rsidRPr="006031A9">
        <w:rPr>
          <w:lang w:val="fr-FR"/>
        </w:rPr>
        <w:fldChar w:fldCharType="end"/>
      </w:r>
      <w:r w:rsidRPr="006031A9">
        <w:rPr>
          <w:lang w:val="fr-FR"/>
        </w:rPr>
        <w:t xml:space="preserve"> et </w:t>
      </w:r>
      <w:r w:rsidRPr="006031A9">
        <w:rPr>
          <w:lang w:val="fr-FR"/>
        </w:rPr>
        <w:fldChar w:fldCharType="begin"/>
      </w:r>
      <w:r w:rsidRPr="006031A9">
        <w:rPr>
          <w:lang w:val="fr-FR"/>
        </w:rPr>
        <w:instrText xml:space="preserve"> REF PV1 \h  \* MERGEFORMAT </w:instrText>
      </w:r>
      <w:r w:rsidRPr="006031A9">
        <w:rPr>
          <w:lang w:val="fr-FR"/>
        </w:rPr>
      </w:r>
      <w:r w:rsidRPr="006031A9">
        <w:rPr>
          <w:lang w:val="fr-FR"/>
        </w:rPr>
        <w:fldChar w:fldCharType="separate"/>
      </w:r>
      <w:r w:rsidR="006031A9" w:rsidRPr="006031A9">
        <w:rPr>
          <w:noProof/>
          <w:lang w:val="fr-FR"/>
        </w:rPr>
        <w:t>12</w:t>
      </w:r>
      <w:r w:rsidRPr="006031A9">
        <w:rPr>
          <w:lang w:val="fr-FR"/>
        </w:rPr>
        <w:fldChar w:fldCharType="end"/>
      </w:r>
      <w:r w:rsidRPr="006031A9">
        <w:rPr>
          <w:lang w:val="fr-FR"/>
        </w:rPr>
        <w:t>, précités) furent versés au dossier répressif conformément aux articles 47</w:t>
      </w:r>
      <w:r w:rsidRPr="006031A9">
        <w:rPr>
          <w:i/>
          <w:lang w:val="fr-FR"/>
        </w:rPr>
        <w:t>septies</w:t>
      </w:r>
      <w:r w:rsidRPr="006031A9">
        <w:rPr>
          <w:lang w:val="fr-FR"/>
        </w:rPr>
        <w:t xml:space="preserve"> et 47</w:t>
      </w:r>
      <w:r w:rsidRPr="006031A9">
        <w:rPr>
          <w:i/>
          <w:lang w:val="fr-FR"/>
        </w:rPr>
        <w:t>novies</w:t>
      </w:r>
      <w:r w:rsidRPr="006031A9">
        <w:rPr>
          <w:lang w:val="fr-FR"/>
        </w:rPr>
        <w:t xml:space="preserve"> du CIC.</w:t>
      </w:r>
    </w:p>
    <w:bookmarkStart w:id="7" w:name="CHBMIS240110"/>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19</w:t>
      </w:r>
      <w:r w:rsidRPr="006031A9">
        <w:rPr>
          <w:lang w:val="fr-FR"/>
        </w:rPr>
        <w:fldChar w:fldCharType="end"/>
      </w:r>
      <w:bookmarkEnd w:id="7"/>
      <w:r w:rsidRPr="006031A9">
        <w:rPr>
          <w:lang w:val="fr-FR"/>
        </w:rPr>
        <w:t>.  Par un arrêt du 24 juin 2010, la chambre des mises en accusation considéra que le dossier répressif était complet et qu</w:t>
      </w:r>
      <w:r w:rsidR="006031A9" w:rsidRPr="006031A9">
        <w:rPr>
          <w:lang w:val="fr-FR"/>
        </w:rPr>
        <w:t>’</w:t>
      </w:r>
      <w:r w:rsidRPr="006031A9">
        <w:rPr>
          <w:lang w:val="fr-FR"/>
        </w:rPr>
        <w:t>aucune nullité, irrégularité ou violation de dispositions légales ou conventionnelles ne pouvait être retenue (voir article 235</w:t>
      </w:r>
      <w:r w:rsidRPr="006031A9">
        <w:rPr>
          <w:i/>
          <w:lang w:val="fr-FR"/>
        </w:rPr>
        <w:t>bis</w:t>
      </w:r>
      <w:r w:rsidRPr="006031A9">
        <w:rPr>
          <w:lang w:val="fr-FR"/>
        </w:rPr>
        <w:t xml:space="preserve"> du CIC) ni davantage que des irrégularités aient été commises dans la mise en œuvre des méthodes particulières de recherche (voir article 235</w:t>
      </w:r>
      <w:r w:rsidRPr="006031A9">
        <w:rPr>
          <w:i/>
          <w:lang w:val="fr-FR"/>
        </w:rPr>
        <w:t>ter</w:t>
      </w:r>
      <w:r w:rsidRPr="006031A9">
        <w:rPr>
          <w:lang w:val="fr-FR"/>
        </w:rPr>
        <w:t xml:space="preserve"> du CIC).</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20</w:t>
      </w:r>
      <w:r w:rsidRPr="006031A9">
        <w:rPr>
          <w:lang w:val="fr-FR"/>
        </w:rPr>
        <w:fldChar w:fldCharType="end"/>
      </w:r>
      <w:r w:rsidRPr="006031A9">
        <w:rPr>
          <w:lang w:val="fr-FR"/>
        </w:rPr>
        <w:t>.  Spécialement en ce qui concerne l</w:t>
      </w:r>
      <w:r w:rsidR="006031A9" w:rsidRPr="006031A9">
        <w:rPr>
          <w:lang w:val="fr-FR"/>
        </w:rPr>
        <w:t>’</w:t>
      </w:r>
      <w:r w:rsidRPr="006031A9">
        <w:rPr>
          <w:lang w:val="fr-FR"/>
        </w:rPr>
        <w:t>utilisation de ces méthodes pendant la recherche proactive, elle s</w:t>
      </w:r>
      <w:r w:rsidR="006031A9" w:rsidRPr="006031A9">
        <w:rPr>
          <w:lang w:val="fr-FR"/>
        </w:rPr>
        <w:t>’</w:t>
      </w:r>
      <w:r w:rsidRPr="006031A9">
        <w:rPr>
          <w:lang w:val="fr-FR"/>
        </w:rPr>
        <w:t>exprima notamment en ces termes :</w:t>
      </w:r>
    </w:p>
    <w:p w:rsidR="00C85586" w:rsidRPr="006031A9" w:rsidRDefault="00C85586" w:rsidP="006031A9">
      <w:pPr>
        <w:pStyle w:val="ECHRParaQuote"/>
        <w:rPr>
          <w:lang w:val="fr-FR"/>
        </w:rPr>
      </w:pPr>
      <w:r w:rsidRPr="006031A9">
        <w:rPr>
          <w:lang w:val="fr-FR"/>
        </w:rPr>
        <w:t>« La recherche proactive, y compris les méthodes particulières de recherche d</w:t>
      </w:r>
      <w:r w:rsidR="006031A9" w:rsidRPr="006031A9">
        <w:rPr>
          <w:lang w:val="fr-FR"/>
        </w:rPr>
        <w:t>’</w:t>
      </w:r>
      <w:r w:rsidRPr="006031A9">
        <w:rPr>
          <w:lang w:val="fr-FR"/>
        </w:rPr>
        <w:t>observation et d</w:t>
      </w:r>
      <w:r w:rsidR="006031A9" w:rsidRPr="006031A9">
        <w:rPr>
          <w:lang w:val="fr-FR"/>
        </w:rPr>
        <w:t>’</w:t>
      </w:r>
      <w:r w:rsidRPr="006031A9">
        <w:rPr>
          <w:lang w:val="fr-FR"/>
        </w:rPr>
        <w:t>infiltration, satisfait aux conditions des articles 28</w:t>
      </w:r>
      <w:r w:rsidRPr="006031A9">
        <w:rPr>
          <w:i/>
          <w:lang w:val="fr-FR"/>
        </w:rPr>
        <w:t>bis</w:t>
      </w:r>
      <w:r w:rsidRPr="006031A9">
        <w:rPr>
          <w:lang w:val="fr-FR"/>
        </w:rPr>
        <w:t>, 47</w:t>
      </w:r>
      <w:r w:rsidRPr="006031A9">
        <w:rPr>
          <w:i/>
          <w:lang w:val="fr-FR"/>
        </w:rPr>
        <w:t>sexies</w:t>
      </w:r>
      <w:r w:rsidRPr="006031A9">
        <w:rPr>
          <w:lang w:val="fr-FR"/>
        </w:rPr>
        <w:t xml:space="preserve"> et 47</w:t>
      </w:r>
      <w:r w:rsidRPr="006031A9">
        <w:rPr>
          <w:i/>
          <w:lang w:val="fr-FR"/>
        </w:rPr>
        <w:t>octies</w:t>
      </w:r>
      <w:r w:rsidRPr="006031A9">
        <w:rPr>
          <w:lang w:val="fr-FR"/>
        </w:rPr>
        <w:t xml:space="preserve"> du Code d</w:t>
      </w:r>
      <w:r w:rsidR="006031A9" w:rsidRPr="006031A9">
        <w:rPr>
          <w:lang w:val="fr-FR"/>
        </w:rPr>
        <w:t>’</w:t>
      </w:r>
      <w:r w:rsidRPr="006031A9">
        <w:rPr>
          <w:lang w:val="fr-FR"/>
        </w:rPr>
        <w:t xml:space="preserve">instruction criminelle. Les indices sérieux des faits mis à charge </w:t>
      </w:r>
      <w:r w:rsidRPr="006031A9">
        <w:rPr>
          <w:lang w:val="fr-FR"/>
        </w:rPr>
        <w:lastRenderedPageBreak/>
        <w:t>et la suspicion raisonnable définie à l</w:t>
      </w:r>
      <w:r w:rsidR="006031A9" w:rsidRPr="006031A9">
        <w:rPr>
          <w:lang w:val="fr-FR"/>
        </w:rPr>
        <w:t>’</w:t>
      </w:r>
      <w:r w:rsidRPr="006031A9">
        <w:rPr>
          <w:lang w:val="fr-FR"/>
        </w:rPr>
        <w:t>article 28</w:t>
      </w:r>
      <w:r w:rsidRPr="006031A9">
        <w:rPr>
          <w:i/>
          <w:lang w:val="fr-FR"/>
        </w:rPr>
        <w:t>bis</w:t>
      </w:r>
      <w:r w:rsidRPr="006031A9">
        <w:rPr>
          <w:lang w:val="fr-FR"/>
        </w:rPr>
        <w:t xml:space="preserve"> du Code d</w:t>
      </w:r>
      <w:r w:rsidR="006031A9" w:rsidRPr="006031A9">
        <w:rPr>
          <w:lang w:val="fr-FR"/>
        </w:rPr>
        <w:t>’</w:t>
      </w:r>
      <w:r w:rsidRPr="006031A9">
        <w:rPr>
          <w:lang w:val="fr-FR"/>
        </w:rPr>
        <w:t>instruction criminelle étaient réunis et ressortent [des procès-verbaux des 25, 17 et 18 septembre 2008].</w:t>
      </w:r>
    </w:p>
    <w:p w:rsidR="00C85586" w:rsidRPr="006031A9" w:rsidRDefault="00C85586" w:rsidP="006031A9">
      <w:pPr>
        <w:pStyle w:val="ECHRParaQuote"/>
        <w:rPr>
          <w:lang w:val="fr-FR"/>
        </w:rPr>
      </w:pPr>
      <w:r w:rsidRPr="006031A9">
        <w:rPr>
          <w:lang w:val="fr-FR"/>
        </w:rPr>
        <w:t>Ces procès-verbaux des 17 et 18 septembre 2008 permettent également de considérer que la limite dite supérieure de la recherche proactive a été respectée. Il a alors été conclu, d</w:t>
      </w:r>
      <w:r w:rsidR="006031A9" w:rsidRPr="006031A9">
        <w:rPr>
          <w:lang w:val="fr-FR"/>
        </w:rPr>
        <w:t>’</w:t>
      </w:r>
      <w:r w:rsidRPr="006031A9">
        <w:rPr>
          <w:lang w:val="fr-FR"/>
        </w:rPr>
        <w:t>une part, que la vue d</w:t>
      </w:r>
      <w:r w:rsidR="006031A9" w:rsidRPr="006031A9">
        <w:rPr>
          <w:lang w:val="fr-FR"/>
        </w:rPr>
        <w:t>’</w:t>
      </w:r>
      <w:r w:rsidRPr="006031A9">
        <w:rPr>
          <w:lang w:val="fr-FR"/>
        </w:rPr>
        <w:t>ensemble était suffisamment établie et, d</w:t>
      </w:r>
      <w:r w:rsidR="006031A9" w:rsidRPr="006031A9">
        <w:rPr>
          <w:lang w:val="fr-FR"/>
        </w:rPr>
        <w:t>’</w:t>
      </w:r>
      <w:r w:rsidRPr="006031A9">
        <w:rPr>
          <w:lang w:val="fr-FR"/>
        </w:rPr>
        <w:t>autre part, que des indices suffisamment concrets avaient été réunis pour lancer une recherche réactive. Ces indices concrets ont été traduits dans les conclusions écrites en réponse et de synthèse du ministère public. Dans ce contexte, le fait de trouver un code de chargement laissé par V.W. le 15 août 2008 a été déterminant.</w:t>
      </w:r>
    </w:p>
    <w:p w:rsidR="00C85586" w:rsidRPr="006031A9" w:rsidRDefault="00C85586" w:rsidP="006031A9">
      <w:pPr>
        <w:pStyle w:val="ECHRParaQuote"/>
        <w:rPr>
          <w:lang w:val="fr-FR"/>
        </w:rPr>
      </w:pPr>
      <w:r w:rsidRPr="006031A9">
        <w:rPr>
          <w:lang w:val="fr-FR"/>
        </w:rPr>
        <w:t>Ces mêmes procès-verbaux démontrent que les méthodes particulières de recherche mises en œuvre au cours de la recherche proactive répondent aux conditions de proportionnalité et de subsidiarité. »</w:t>
      </w:r>
    </w:p>
    <w:p w:rsidR="00C85586" w:rsidRPr="006031A9" w:rsidRDefault="00C85586" w:rsidP="006031A9">
      <w:pPr>
        <w:pStyle w:val="ECHRPara"/>
        <w:rPr>
          <w:color w:val="222222"/>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21</w:t>
      </w:r>
      <w:r w:rsidRPr="006031A9">
        <w:rPr>
          <w:lang w:val="fr-FR"/>
        </w:rPr>
        <w:fldChar w:fldCharType="end"/>
      </w:r>
      <w:r w:rsidRPr="006031A9">
        <w:rPr>
          <w:lang w:val="fr-FR"/>
        </w:rPr>
        <w:t>.  Quant à la circonstance que le requérant n</w:t>
      </w:r>
      <w:r w:rsidR="006031A9" w:rsidRPr="006031A9">
        <w:rPr>
          <w:lang w:val="fr-FR"/>
        </w:rPr>
        <w:t>’</w:t>
      </w:r>
      <w:r w:rsidRPr="006031A9">
        <w:rPr>
          <w:lang w:val="fr-FR"/>
        </w:rPr>
        <w:t>avait pas accès au dossier confidentiel, la juridiction d</w:t>
      </w:r>
      <w:r w:rsidR="006031A9" w:rsidRPr="006031A9">
        <w:rPr>
          <w:lang w:val="fr-FR"/>
        </w:rPr>
        <w:t>’</w:t>
      </w:r>
      <w:r w:rsidRPr="006031A9">
        <w:rPr>
          <w:lang w:val="fr-FR"/>
        </w:rPr>
        <w:t>instruction rappela qu</w:t>
      </w:r>
      <w:r w:rsidR="006031A9" w:rsidRPr="006031A9">
        <w:rPr>
          <w:lang w:val="fr-FR"/>
        </w:rPr>
        <w:t>’</w:t>
      </w:r>
      <w:r w:rsidRPr="006031A9">
        <w:rPr>
          <w:lang w:val="fr-FR"/>
        </w:rPr>
        <w:t>en droit belge, conformément à la jurisprudence de la Cour, le droit d</w:t>
      </w:r>
      <w:r w:rsidR="006031A9" w:rsidRPr="006031A9">
        <w:rPr>
          <w:lang w:val="fr-FR"/>
        </w:rPr>
        <w:t>’</w:t>
      </w:r>
      <w:r w:rsidRPr="006031A9">
        <w:rPr>
          <w:lang w:val="fr-FR"/>
        </w:rPr>
        <w:t>accès au dossier n</w:t>
      </w:r>
      <w:r w:rsidR="006031A9" w:rsidRPr="006031A9">
        <w:rPr>
          <w:lang w:val="fr-FR"/>
        </w:rPr>
        <w:t>’</w:t>
      </w:r>
      <w:r w:rsidRPr="006031A9">
        <w:rPr>
          <w:lang w:val="fr-FR"/>
        </w:rPr>
        <w:t>était pas absolu et que l</w:t>
      </w:r>
      <w:r w:rsidR="006031A9" w:rsidRPr="006031A9">
        <w:rPr>
          <w:color w:val="222222"/>
          <w:lang w:val="fr-FR"/>
        </w:rPr>
        <w:t>’</w:t>
      </w:r>
      <w:r w:rsidRPr="006031A9">
        <w:rPr>
          <w:color w:val="222222"/>
          <w:lang w:val="fr-FR"/>
        </w:rPr>
        <w:t>objectif d</w:t>
      </w:r>
      <w:r w:rsidR="006031A9" w:rsidRPr="006031A9">
        <w:rPr>
          <w:color w:val="222222"/>
          <w:lang w:val="fr-FR"/>
        </w:rPr>
        <w:t>’</w:t>
      </w:r>
      <w:r w:rsidRPr="006031A9">
        <w:rPr>
          <w:color w:val="222222"/>
          <w:lang w:val="fr-FR"/>
        </w:rPr>
        <w:t>assurer la protection de l</w:t>
      </w:r>
      <w:r w:rsidR="006031A9" w:rsidRPr="006031A9">
        <w:rPr>
          <w:color w:val="222222"/>
          <w:lang w:val="fr-FR"/>
        </w:rPr>
        <w:t>’</w:t>
      </w:r>
      <w:r w:rsidRPr="006031A9">
        <w:rPr>
          <w:color w:val="222222"/>
          <w:lang w:val="fr-FR"/>
        </w:rPr>
        <w:t>intégrité physique des personnes participant à des méthodes particulières de recherche, était légitime et important afin que leur anonymat soit assuré tant à l</w:t>
      </w:r>
      <w:r w:rsidR="006031A9" w:rsidRPr="006031A9">
        <w:rPr>
          <w:color w:val="222222"/>
          <w:lang w:val="fr-FR"/>
        </w:rPr>
        <w:t>’</w:t>
      </w:r>
      <w:r w:rsidRPr="006031A9">
        <w:rPr>
          <w:color w:val="222222"/>
          <w:lang w:val="fr-FR"/>
        </w:rPr>
        <w:t>égard de la défense que des tiers et que l</w:t>
      </w:r>
      <w:r w:rsidR="006031A9" w:rsidRPr="006031A9">
        <w:rPr>
          <w:color w:val="222222"/>
          <w:lang w:val="fr-FR"/>
        </w:rPr>
        <w:t>’</w:t>
      </w:r>
      <w:r w:rsidRPr="006031A9">
        <w:rPr>
          <w:color w:val="222222"/>
          <w:lang w:val="fr-FR"/>
        </w:rPr>
        <w:t>efficacité des techniques utilisées soit garantie pour l</w:t>
      </w:r>
      <w:r w:rsidR="006031A9" w:rsidRPr="006031A9">
        <w:rPr>
          <w:color w:val="222222"/>
          <w:lang w:val="fr-FR"/>
        </w:rPr>
        <w:t>’</w:t>
      </w:r>
      <w:r w:rsidRPr="006031A9">
        <w:rPr>
          <w:color w:val="222222"/>
          <w:lang w:val="fr-FR"/>
        </w:rPr>
        <w:t>avenir. La chambre des mises en accusation conclut que, conformément à la volonté du législateur dans les affaires de grande criminalité, grâce au contrôle qu</w:t>
      </w:r>
      <w:r w:rsidR="006031A9" w:rsidRPr="006031A9">
        <w:rPr>
          <w:color w:val="222222"/>
          <w:lang w:val="fr-FR"/>
        </w:rPr>
        <w:t>’</w:t>
      </w:r>
      <w:r w:rsidRPr="006031A9">
        <w:rPr>
          <w:color w:val="222222"/>
          <w:lang w:val="fr-FR"/>
        </w:rPr>
        <w:t>elle avait exercé sur le dossier confidentiel et au fait que, sur la base du dossier répressif ouvert, les inculpés avaient pu soulever tous les moyens de droit relatifs à l</w:t>
      </w:r>
      <w:r w:rsidR="006031A9" w:rsidRPr="006031A9">
        <w:rPr>
          <w:color w:val="222222"/>
          <w:lang w:val="fr-FR"/>
        </w:rPr>
        <w:t>’</w:t>
      </w:r>
      <w:r w:rsidRPr="006031A9">
        <w:rPr>
          <w:color w:val="222222"/>
          <w:lang w:val="fr-FR"/>
        </w:rPr>
        <w:t>usage des méthodes particulières de recherche, les droits de la défense et le droit à un procès équitable avaient été respectés.</w:t>
      </w:r>
    </w:p>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22</w:t>
      </w:r>
      <w:r w:rsidRPr="006031A9">
        <w:rPr>
          <w:lang w:val="fr-FR"/>
        </w:rPr>
        <w:fldChar w:fldCharType="end"/>
      </w:r>
      <w:r w:rsidRPr="006031A9">
        <w:rPr>
          <w:lang w:val="fr-FR"/>
        </w:rPr>
        <w:t>.  Le pourvoi en cassation formé par le requérant contre l</w:t>
      </w:r>
      <w:r w:rsidR="006031A9" w:rsidRPr="006031A9">
        <w:rPr>
          <w:lang w:val="fr-FR"/>
        </w:rPr>
        <w:t>’</w:t>
      </w:r>
      <w:r w:rsidRPr="006031A9">
        <w:rPr>
          <w:lang w:val="fr-FR"/>
        </w:rPr>
        <w:t>arrêt du 24 juin 2010 fut rejeté par un arrêt de la Cour de cassation du 21 septembre 2010. Invoquant l</w:t>
      </w:r>
      <w:r w:rsidR="006031A9" w:rsidRPr="006031A9">
        <w:rPr>
          <w:lang w:val="fr-FR"/>
        </w:rPr>
        <w:t>’</w:t>
      </w:r>
      <w:r w:rsidRPr="006031A9">
        <w:rPr>
          <w:lang w:val="fr-FR"/>
        </w:rPr>
        <w:t>article 6 de la Convention, le requérant se plaignait que le dossier pénal ne contenait pas le rapport sur base duquel le procureur du Roi avait ouvert une enquête proactive, le 10 mai 2006, ni les documents relatifs à cette enquête proactive. Ces moyens furent rejetés au motif qu</w:t>
      </w:r>
      <w:r w:rsidR="006031A9" w:rsidRPr="006031A9">
        <w:rPr>
          <w:lang w:val="fr-FR"/>
        </w:rPr>
        <w:t>’</w:t>
      </w:r>
      <w:r w:rsidRPr="006031A9">
        <w:rPr>
          <w:lang w:val="fr-FR"/>
        </w:rPr>
        <w:t>ils nécessitaient une appréciation en fait à laquelle la Cour de cassation ne pouvait procéder.</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23</w:t>
      </w:r>
      <w:r w:rsidRPr="006031A9">
        <w:rPr>
          <w:lang w:val="fr-FR"/>
        </w:rPr>
        <w:fldChar w:fldCharType="end"/>
      </w:r>
      <w:r w:rsidRPr="006031A9">
        <w:rPr>
          <w:lang w:val="fr-FR"/>
        </w:rPr>
        <w:t>.  Par une ordonnance de la chambre du conseil du tribunal de première instance de Hasselt du 29 septembre 2010, dix-sept prévenus, dont le requérant, furent renvoyés devant la juridiction de jugement.</w:t>
      </w:r>
    </w:p>
    <w:p w:rsidR="0002655A" w:rsidRPr="006031A9" w:rsidRDefault="00C85586" w:rsidP="006031A9">
      <w:pPr>
        <w:pStyle w:val="ECHRHeading2"/>
        <w:rPr>
          <w:lang w:val="fr-FR"/>
        </w:rPr>
      </w:pPr>
      <w:r w:rsidRPr="006031A9">
        <w:rPr>
          <w:lang w:val="fr-FR"/>
        </w:rPr>
        <w:t>B.  Procédure devant les juridictions du fond</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24</w:t>
      </w:r>
      <w:r w:rsidRPr="006031A9">
        <w:rPr>
          <w:lang w:val="fr-FR"/>
        </w:rPr>
        <w:fldChar w:fldCharType="end"/>
      </w:r>
      <w:r w:rsidRPr="006031A9">
        <w:rPr>
          <w:lang w:val="fr-FR"/>
        </w:rPr>
        <w:t>.  Le 16 mars 2011, le requérant fut condamné à dix années d</w:t>
      </w:r>
      <w:r w:rsidR="006031A9" w:rsidRPr="006031A9">
        <w:rPr>
          <w:lang w:val="fr-FR"/>
        </w:rPr>
        <w:t>’</w:t>
      </w:r>
      <w:r w:rsidRPr="006031A9">
        <w:rPr>
          <w:lang w:val="fr-FR"/>
        </w:rPr>
        <w:t>emprisonnement et une amende de 137 500 euros par le tribunal de première instance de Hasselt pour trafic de drogue, participation à une organisation criminelle internationale et blanchiment d</w:t>
      </w:r>
      <w:r w:rsidR="006031A9" w:rsidRPr="006031A9">
        <w:rPr>
          <w:lang w:val="fr-FR"/>
        </w:rPr>
        <w:t>’</w:t>
      </w:r>
      <w:r w:rsidRPr="006031A9">
        <w:rPr>
          <w:lang w:val="fr-FR"/>
        </w:rPr>
        <w:t xml:space="preserve">argent. Il ressort du </w:t>
      </w:r>
      <w:r w:rsidRPr="006031A9">
        <w:rPr>
          <w:lang w:val="fr-FR"/>
        </w:rPr>
        <w:lastRenderedPageBreak/>
        <w:t>jugement de près de 160 pages que l</w:t>
      </w:r>
      <w:r w:rsidR="006031A9" w:rsidRPr="006031A9">
        <w:rPr>
          <w:lang w:val="fr-FR"/>
        </w:rPr>
        <w:t>’</w:t>
      </w:r>
      <w:r w:rsidRPr="006031A9">
        <w:rPr>
          <w:lang w:val="fr-FR"/>
        </w:rPr>
        <w:t>établissement des faits résulte en partie d</w:t>
      </w:r>
      <w:r w:rsidR="006031A9" w:rsidRPr="006031A9">
        <w:rPr>
          <w:lang w:val="fr-FR"/>
        </w:rPr>
        <w:t>’</w:t>
      </w:r>
      <w:r w:rsidRPr="006031A9">
        <w:rPr>
          <w:lang w:val="fr-FR"/>
        </w:rPr>
        <w:t>éléments recueillis grâce aux méthodes particulières de recherche.</w:t>
      </w:r>
    </w:p>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25</w:t>
      </w:r>
      <w:r w:rsidRPr="006031A9">
        <w:rPr>
          <w:lang w:val="fr-FR"/>
        </w:rPr>
        <w:fldChar w:fldCharType="end"/>
      </w:r>
      <w:r w:rsidRPr="006031A9">
        <w:rPr>
          <w:lang w:val="fr-FR"/>
        </w:rPr>
        <w:t>.  Aux allégations du requérant mettant en cause la légalité et la régularité des méthodes particulières de recherche utilisées pendant l</w:t>
      </w:r>
      <w:r w:rsidR="006031A9" w:rsidRPr="006031A9">
        <w:rPr>
          <w:lang w:val="fr-FR"/>
        </w:rPr>
        <w:t>’</w:t>
      </w:r>
      <w:r w:rsidRPr="006031A9">
        <w:rPr>
          <w:lang w:val="fr-FR"/>
        </w:rPr>
        <w:t>enquête proactive, le tribunal opposa que la chambre des mises en accusation de la cour d</w:t>
      </w:r>
      <w:r w:rsidR="006031A9" w:rsidRPr="006031A9">
        <w:rPr>
          <w:lang w:val="fr-FR"/>
        </w:rPr>
        <w:t>’</w:t>
      </w:r>
      <w:r w:rsidRPr="006031A9">
        <w:rPr>
          <w:lang w:val="fr-FR"/>
        </w:rPr>
        <w:t>appel d</w:t>
      </w:r>
      <w:r w:rsidR="006031A9" w:rsidRPr="006031A9">
        <w:rPr>
          <w:lang w:val="fr-FR"/>
        </w:rPr>
        <w:t>’</w:t>
      </w:r>
      <w:r w:rsidRPr="006031A9">
        <w:rPr>
          <w:lang w:val="fr-FR"/>
        </w:rPr>
        <w:t>Anvers avait opéré un contrôle très complet non seulement de l</w:t>
      </w:r>
      <w:r w:rsidR="006031A9" w:rsidRPr="006031A9">
        <w:rPr>
          <w:lang w:val="fr-FR"/>
        </w:rPr>
        <w:t>’</w:t>
      </w:r>
      <w:r w:rsidRPr="006031A9">
        <w:rPr>
          <w:lang w:val="fr-FR"/>
        </w:rPr>
        <w:t>enquête proactive et de la régularité des méthodes d</w:t>
      </w:r>
      <w:r w:rsidR="006031A9" w:rsidRPr="006031A9">
        <w:rPr>
          <w:lang w:val="fr-FR"/>
        </w:rPr>
        <w:t>’</w:t>
      </w:r>
      <w:r w:rsidRPr="006031A9">
        <w:rPr>
          <w:lang w:val="fr-FR"/>
        </w:rPr>
        <w:t>observation et d</w:t>
      </w:r>
      <w:r w:rsidR="006031A9" w:rsidRPr="006031A9">
        <w:rPr>
          <w:lang w:val="fr-FR"/>
        </w:rPr>
        <w:t>’</w:t>
      </w:r>
      <w:r w:rsidRPr="006031A9">
        <w:rPr>
          <w:lang w:val="fr-FR"/>
        </w:rPr>
        <w:t>infiltration mises en œuvre, mais également de l</w:t>
      </w:r>
      <w:r w:rsidR="006031A9" w:rsidRPr="006031A9">
        <w:rPr>
          <w:lang w:val="fr-FR"/>
        </w:rPr>
        <w:t>’</w:t>
      </w:r>
      <w:r w:rsidRPr="006031A9">
        <w:rPr>
          <w:lang w:val="fr-FR"/>
        </w:rPr>
        <w:t>enquête réactive. Il rappela que la chambre des mises en accusation avait jugé que la mise en œuvre de ces mesures remplissait les conditions légales, et considéra que les juridictions de jugement ne pouvaient apprécier ni la légalité ou la régularité de ces méthodes ni les décisions de la juridiction d</w:t>
      </w:r>
      <w:r w:rsidR="006031A9" w:rsidRPr="006031A9">
        <w:rPr>
          <w:lang w:val="fr-FR"/>
        </w:rPr>
        <w:t>’</w:t>
      </w:r>
      <w:r w:rsidRPr="006031A9">
        <w:rPr>
          <w:lang w:val="fr-FR"/>
        </w:rPr>
        <w:t>instruction prises dans le cadre de ce contrôle. Cela étant, le tribunal examina en détail la pertinence et la valeur probante des éléments de preuve obtenus grâce à l</w:t>
      </w:r>
      <w:r w:rsidR="006031A9" w:rsidRPr="006031A9">
        <w:rPr>
          <w:lang w:val="fr-FR"/>
        </w:rPr>
        <w:t>’</w:t>
      </w:r>
      <w:r w:rsidRPr="006031A9">
        <w:rPr>
          <w:lang w:val="fr-FR"/>
        </w:rPr>
        <w:t>observation et l</w:t>
      </w:r>
      <w:r w:rsidR="006031A9" w:rsidRPr="006031A9">
        <w:rPr>
          <w:lang w:val="fr-FR"/>
        </w:rPr>
        <w:t>’</w:t>
      </w:r>
      <w:r w:rsidRPr="006031A9">
        <w:rPr>
          <w:lang w:val="fr-FR"/>
        </w:rPr>
        <w:t>infiltration.</w:t>
      </w:r>
    </w:p>
    <w:bookmarkStart w:id="8" w:name="TPIDOSCONF"/>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26</w:t>
      </w:r>
      <w:r w:rsidRPr="006031A9">
        <w:rPr>
          <w:lang w:val="fr-FR"/>
        </w:rPr>
        <w:fldChar w:fldCharType="end"/>
      </w:r>
      <w:r w:rsidRPr="006031A9">
        <w:rPr>
          <w:lang w:val="fr-FR"/>
        </w:rPr>
        <w:t>.  </w:t>
      </w:r>
      <w:bookmarkEnd w:id="8"/>
      <w:r w:rsidRPr="006031A9">
        <w:rPr>
          <w:lang w:val="fr-FR"/>
        </w:rPr>
        <w:t>Le requérant dénonçait le fait qu</w:t>
      </w:r>
      <w:r w:rsidR="006031A9" w:rsidRPr="006031A9">
        <w:rPr>
          <w:lang w:val="fr-FR"/>
        </w:rPr>
        <w:t>’</w:t>
      </w:r>
      <w:r w:rsidRPr="006031A9">
        <w:rPr>
          <w:lang w:val="fr-FR"/>
        </w:rPr>
        <w:t>il n</w:t>
      </w:r>
      <w:r w:rsidR="006031A9" w:rsidRPr="006031A9">
        <w:rPr>
          <w:lang w:val="fr-FR"/>
        </w:rPr>
        <w:t>’</w:t>
      </w:r>
      <w:r w:rsidRPr="006031A9">
        <w:rPr>
          <w:lang w:val="fr-FR"/>
        </w:rPr>
        <w:t>avait pas eu accès aux éléments issus de l</w:t>
      </w:r>
      <w:r w:rsidR="006031A9" w:rsidRPr="006031A9">
        <w:rPr>
          <w:lang w:val="fr-FR"/>
        </w:rPr>
        <w:t>’</w:t>
      </w:r>
      <w:r w:rsidRPr="006031A9">
        <w:rPr>
          <w:lang w:val="fr-FR"/>
        </w:rPr>
        <w:t>enquête proactive ni aux pièces du dossier confidentiel concernant les méthodes de recherche. Le tribunal répondit qu</w:t>
      </w:r>
      <w:r w:rsidR="006031A9" w:rsidRPr="006031A9">
        <w:rPr>
          <w:lang w:val="fr-FR"/>
        </w:rPr>
        <w:t>’</w:t>
      </w:r>
      <w:r w:rsidRPr="006031A9">
        <w:rPr>
          <w:lang w:val="fr-FR"/>
        </w:rPr>
        <w:t>il n</w:t>
      </w:r>
      <w:r w:rsidR="006031A9" w:rsidRPr="006031A9">
        <w:rPr>
          <w:lang w:val="fr-FR"/>
        </w:rPr>
        <w:t>’</w:t>
      </w:r>
      <w:r w:rsidRPr="006031A9">
        <w:rPr>
          <w:lang w:val="fr-FR"/>
        </w:rPr>
        <w:t>avait pas davantage eu accès à ces éléments, rappela que ces données ne pouvaient servir à la charge des prévenus et que les éventuels inconvénients qui en auraient résulté pour la défense avaient été compensés par le contrôle opéré par la chambre des mises en accusation et par la circonstance que la défense avait pu soulever tous les moyens de droit pour contester l</w:t>
      </w:r>
      <w:r w:rsidR="006031A9" w:rsidRPr="006031A9">
        <w:rPr>
          <w:lang w:val="fr-FR"/>
        </w:rPr>
        <w:t>’</w:t>
      </w:r>
      <w:r w:rsidRPr="006031A9">
        <w:rPr>
          <w:lang w:val="fr-FR"/>
        </w:rPr>
        <w:t>usage des méthodes de recherche.</w:t>
      </w:r>
    </w:p>
    <w:bookmarkStart w:id="9" w:name="TEMOINTPI"/>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27</w:t>
      </w:r>
      <w:r w:rsidRPr="006031A9">
        <w:rPr>
          <w:lang w:val="fr-FR"/>
        </w:rPr>
        <w:fldChar w:fldCharType="end"/>
      </w:r>
      <w:bookmarkEnd w:id="9"/>
      <w:r w:rsidRPr="006031A9">
        <w:rPr>
          <w:lang w:val="fr-FR"/>
        </w:rPr>
        <w:t>.  En ce qui concerne la demande faite par le requérant d</w:t>
      </w:r>
      <w:r w:rsidR="006031A9" w:rsidRPr="006031A9">
        <w:rPr>
          <w:lang w:val="fr-FR"/>
        </w:rPr>
        <w:t>’</w:t>
      </w:r>
      <w:r w:rsidRPr="006031A9">
        <w:rPr>
          <w:lang w:val="fr-FR"/>
        </w:rPr>
        <w:t>une confrontation avec les agents infiltrés, le tribunal se prononça comme suit :</w:t>
      </w:r>
    </w:p>
    <w:p w:rsidR="00C85586" w:rsidRPr="006031A9" w:rsidRDefault="00C85586" w:rsidP="006031A9">
      <w:pPr>
        <w:pStyle w:val="ECHRParaQuote"/>
        <w:rPr>
          <w:lang w:val="fr-FR"/>
        </w:rPr>
      </w:pPr>
      <w:r w:rsidRPr="006031A9">
        <w:rPr>
          <w:lang w:val="fr-FR"/>
        </w:rPr>
        <w:t>« En tenant compte de la procédure suivie, de la procédure relative aux méthodes particulières de recherche menée devant la chambre des mises en accusation, de l</w:t>
      </w:r>
      <w:r w:rsidR="006031A9" w:rsidRPr="006031A9">
        <w:rPr>
          <w:lang w:val="fr-FR"/>
        </w:rPr>
        <w:t>’</w:t>
      </w:r>
      <w:r w:rsidRPr="006031A9">
        <w:rPr>
          <w:lang w:val="fr-FR"/>
        </w:rPr>
        <w:t>instruction à l</w:t>
      </w:r>
      <w:r w:rsidR="006031A9" w:rsidRPr="006031A9">
        <w:rPr>
          <w:lang w:val="fr-FR"/>
        </w:rPr>
        <w:t>’</w:t>
      </w:r>
      <w:r w:rsidRPr="006031A9">
        <w:rPr>
          <w:lang w:val="fr-FR"/>
        </w:rPr>
        <w:t>audience, des pièces en présence, du fait que deux agents sous couverture ont dressé un rapport et que leurs résultats ont pu être comparés, du fait que les prévenus ont pu citer des témoins et qu</w:t>
      </w:r>
      <w:r w:rsidR="006031A9" w:rsidRPr="006031A9">
        <w:rPr>
          <w:lang w:val="fr-FR"/>
        </w:rPr>
        <w:t>’</w:t>
      </w:r>
      <w:r w:rsidRPr="006031A9">
        <w:rPr>
          <w:lang w:val="fr-FR"/>
        </w:rPr>
        <w:t>ainsi, à la requête notamment du [requérant] et du deuxième prévenu, des témoins ont été entendus concernant les déclarations du [requérant] à propos des agents sous couverture, et du fait que le tribunal et les prévenus ont pu confronter les rapports relatifs aux découvertes des agents sous couverture à des éléments objectifs, notamment les biens découverts lors des perquisitions (p.ex. la carte), la conversation entre l</w:t>
      </w:r>
      <w:r w:rsidR="006031A9" w:rsidRPr="006031A9">
        <w:rPr>
          <w:lang w:val="fr-FR"/>
        </w:rPr>
        <w:t>’</w:t>
      </w:r>
      <w:r w:rsidRPr="006031A9">
        <w:rPr>
          <w:lang w:val="fr-FR"/>
        </w:rPr>
        <w:t>agent sous couverture Billy et le [requérant], des messages sms (p.ex. entre le [requérant] et Billy) et des conversations téléphoniques (p.ex. la conversation avec le troisième prévenu), le tribunal estime qu</w:t>
      </w:r>
      <w:r w:rsidR="006031A9" w:rsidRPr="006031A9">
        <w:rPr>
          <w:lang w:val="fr-FR"/>
        </w:rPr>
        <w:t>’</w:t>
      </w:r>
      <w:r w:rsidRPr="006031A9">
        <w:rPr>
          <w:lang w:val="fr-FR"/>
        </w:rPr>
        <w:t>il n</w:t>
      </w:r>
      <w:r w:rsidR="006031A9" w:rsidRPr="006031A9">
        <w:rPr>
          <w:lang w:val="fr-FR"/>
        </w:rPr>
        <w:t>’</w:t>
      </w:r>
      <w:r w:rsidRPr="006031A9">
        <w:rPr>
          <w:lang w:val="fr-FR"/>
        </w:rPr>
        <w:t>est pas nécessaire pour la recherche de la vérité ni pour l</w:t>
      </w:r>
      <w:r w:rsidR="006031A9" w:rsidRPr="006031A9">
        <w:rPr>
          <w:lang w:val="fr-FR"/>
        </w:rPr>
        <w:t>’</w:t>
      </w:r>
      <w:r w:rsidRPr="006031A9">
        <w:rPr>
          <w:lang w:val="fr-FR"/>
        </w:rPr>
        <w:t>exercice du droit de la défense ou la garantie du procès équitable que les agents sous couverture soient entendus.</w:t>
      </w:r>
    </w:p>
    <w:p w:rsidR="00C85586" w:rsidRPr="006031A9" w:rsidRDefault="00C85586" w:rsidP="006031A9">
      <w:pPr>
        <w:pStyle w:val="ECHRParaQuote"/>
        <w:rPr>
          <w:lang w:val="fr-FR"/>
        </w:rPr>
      </w:pPr>
      <w:r w:rsidRPr="006031A9">
        <w:rPr>
          <w:lang w:val="fr-FR"/>
        </w:rPr>
        <w:t>(</w:t>
      </w:r>
      <w:r w:rsidR="0002655A" w:rsidRPr="006031A9">
        <w:rPr>
          <w:lang w:val="fr-FR"/>
        </w:rPr>
        <w:t>...</w:t>
      </w:r>
      <w:r w:rsidRPr="006031A9">
        <w:rPr>
          <w:lang w:val="fr-FR"/>
        </w:rPr>
        <w:t>)</w:t>
      </w:r>
    </w:p>
    <w:p w:rsidR="00C85586" w:rsidRPr="006031A9" w:rsidRDefault="00C85586" w:rsidP="006031A9">
      <w:pPr>
        <w:pStyle w:val="ECHRParaQuote"/>
        <w:rPr>
          <w:lang w:val="fr-FR"/>
        </w:rPr>
      </w:pPr>
      <w:r w:rsidRPr="006031A9">
        <w:rPr>
          <w:lang w:val="fr-FR"/>
        </w:rPr>
        <w:t>En outre, il faut tenir compte de l</w:t>
      </w:r>
      <w:r w:rsidR="006031A9" w:rsidRPr="006031A9">
        <w:rPr>
          <w:lang w:val="fr-FR"/>
        </w:rPr>
        <w:t>’</w:t>
      </w:r>
      <w:r w:rsidRPr="006031A9">
        <w:rPr>
          <w:lang w:val="fr-FR"/>
        </w:rPr>
        <w:t>aspect de la sécurité des agents d</w:t>
      </w:r>
      <w:r w:rsidR="006031A9" w:rsidRPr="006031A9">
        <w:rPr>
          <w:lang w:val="fr-FR"/>
        </w:rPr>
        <w:t>’</w:t>
      </w:r>
      <w:r w:rsidRPr="006031A9">
        <w:rPr>
          <w:lang w:val="fr-FR"/>
        </w:rPr>
        <w:t>infiltration et de l</w:t>
      </w:r>
      <w:r w:rsidR="006031A9" w:rsidRPr="006031A9">
        <w:rPr>
          <w:lang w:val="fr-FR"/>
        </w:rPr>
        <w:t>’</w:t>
      </w:r>
      <w:r w:rsidRPr="006031A9">
        <w:rPr>
          <w:lang w:val="fr-FR"/>
        </w:rPr>
        <w:t>importance de l</w:t>
      </w:r>
      <w:r w:rsidR="006031A9" w:rsidRPr="006031A9">
        <w:rPr>
          <w:lang w:val="fr-FR"/>
        </w:rPr>
        <w:t>’</w:t>
      </w:r>
      <w:r w:rsidRPr="006031A9">
        <w:rPr>
          <w:lang w:val="fr-FR"/>
        </w:rPr>
        <w:t>anonymat, également, le cas échéant, dans la perspective de leur déploiement dans d</w:t>
      </w:r>
      <w:r w:rsidR="006031A9" w:rsidRPr="006031A9">
        <w:rPr>
          <w:lang w:val="fr-FR"/>
        </w:rPr>
        <w:t>’</w:t>
      </w:r>
      <w:r w:rsidRPr="006031A9">
        <w:rPr>
          <w:lang w:val="fr-FR"/>
        </w:rPr>
        <w:t>autres affaires. En l</w:t>
      </w:r>
      <w:r w:rsidR="006031A9" w:rsidRPr="006031A9">
        <w:rPr>
          <w:lang w:val="fr-FR"/>
        </w:rPr>
        <w:t>’</w:t>
      </w:r>
      <w:r w:rsidRPr="006031A9">
        <w:rPr>
          <w:lang w:val="fr-FR"/>
        </w:rPr>
        <w:t>espèce, cela est encore plus important du fait que l</w:t>
      </w:r>
      <w:r w:rsidR="006031A9" w:rsidRPr="006031A9">
        <w:rPr>
          <w:lang w:val="fr-FR"/>
        </w:rPr>
        <w:t>’</w:t>
      </w:r>
      <w:r w:rsidRPr="006031A9">
        <w:rPr>
          <w:lang w:val="fr-FR"/>
        </w:rPr>
        <w:t>infiltration a eu lieu pendant plusieurs années et que des liens d</w:t>
      </w:r>
      <w:r w:rsidR="006031A9" w:rsidRPr="006031A9">
        <w:rPr>
          <w:lang w:val="fr-FR"/>
        </w:rPr>
        <w:t>’</w:t>
      </w:r>
      <w:r w:rsidRPr="006031A9">
        <w:rPr>
          <w:lang w:val="fr-FR"/>
        </w:rPr>
        <w:t xml:space="preserve">amitié se sont </w:t>
      </w:r>
      <w:r w:rsidRPr="006031A9">
        <w:rPr>
          <w:lang w:val="fr-FR"/>
        </w:rPr>
        <w:lastRenderedPageBreak/>
        <w:t>tissés entre les infiltrés et plusieurs prévenus ainsi que leurs partenaires. Au cours de l</w:t>
      </w:r>
      <w:r w:rsidR="006031A9" w:rsidRPr="006031A9">
        <w:rPr>
          <w:lang w:val="fr-FR"/>
        </w:rPr>
        <w:t>’</w:t>
      </w:r>
      <w:r w:rsidRPr="006031A9">
        <w:rPr>
          <w:lang w:val="fr-FR"/>
        </w:rPr>
        <w:t>enquête préliminaire, il semble que des photos des agents infiltrés aient été publiées sur l</w:t>
      </w:r>
      <w:r w:rsidR="006031A9" w:rsidRPr="006031A9">
        <w:rPr>
          <w:lang w:val="fr-FR"/>
        </w:rPr>
        <w:t>’</w:t>
      </w:r>
      <w:r w:rsidRPr="006031A9">
        <w:rPr>
          <w:lang w:val="fr-FR"/>
        </w:rPr>
        <w:t>internet pour alerter les autres sur le fait qu</w:t>
      </w:r>
      <w:r w:rsidR="006031A9" w:rsidRPr="006031A9">
        <w:rPr>
          <w:lang w:val="fr-FR"/>
        </w:rPr>
        <w:t>’</w:t>
      </w:r>
      <w:r w:rsidRPr="006031A9">
        <w:rPr>
          <w:lang w:val="fr-FR"/>
        </w:rPr>
        <w:t>ils étaient infiltrés. Compte tenu de la relation d</w:t>
      </w:r>
      <w:r w:rsidR="006031A9" w:rsidRPr="006031A9">
        <w:rPr>
          <w:lang w:val="fr-FR"/>
        </w:rPr>
        <w:t>’</w:t>
      </w:r>
      <w:r w:rsidRPr="006031A9">
        <w:rPr>
          <w:lang w:val="fr-FR"/>
        </w:rPr>
        <w:t>amitié qui s</w:t>
      </w:r>
      <w:r w:rsidR="006031A9" w:rsidRPr="006031A9">
        <w:rPr>
          <w:lang w:val="fr-FR"/>
        </w:rPr>
        <w:t>’</w:t>
      </w:r>
      <w:r w:rsidRPr="006031A9">
        <w:rPr>
          <w:lang w:val="fr-FR"/>
        </w:rPr>
        <w:t>est construite et du contenu de certaines conversations téléphoniques (y compris celles entre le [requérant] et le troisième prévenu), (</w:t>
      </w:r>
      <w:r w:rsidR="0002655A" w:rsidRPr="006031A9">
        <w:rPr>
          <w:lang w:val="fr-FR"/>
        </w:rPr>
        <w:t>...</w:t>
      </w:r>
      <w:r w:rsidRPr="006031A9">
        <w:rPr>
          <w:lang w:val="fr-FR"/>
        </w:rPr>
        <w:t>), le risque de représailles est très réel.</w:t>
      </w:r>
    </w:p>
    <w:p w:rsidR="00C85586" w:rsidRPr="006031A9" w:rsidRDefault="00C85586" w:rsidP="006031A9">
      <w:pPr>
        <w:pStyle w:val="ECHRParaQuote"/>
        <w:rPr>
          <w:lang w:val="fr-FR"/>
        </w:rPr>
      </w:pPr>
      <w:r w:rsidRPr="006031A9">
        <w:rPr>
          <w:lang w:val="fr-FR"/>
        </w:rPr>
        <w:t>(</w:t>
      </w:r>
      <w:r w:rsidR="0002655A" w:rsidRPr="006031A9">
        <w:rPr>
          <w:lang w:val="fr-FR"/>
        </w:rPr>
        <w:t>...</w:t>
      </w:r>
      <w:r w:rsidRPr="006031A9">
        <w:rPr>
          <w:lang w:val="fr-FR"/>
        </w:rPr>
        <w:t>)</w:t>
      </w:r>
    </w:p>
    <w:p w:rsidR="00C85586" w:rsidRPr="006031A9" w:rsidRDefault="00C85586" w:rsidP="006031A9">
      <w:pPr>
        <w:pStyle w:val="ECHRParaQuote"/>
        <w:rPr>
          <w:lang w:val="fr-FR"/>
        </w:rPr>
      </w:pPr>
      <w:r w:rsidRPr="006031A9">
        <w:rPr>
          <w:lang w:val="fr-FR"/>
        </w:rPr>
        <w:t>Enfin, il est à noter qu</w:t>
      </w:r>
      <w:r w:rsidR="006031A9" w:rsidRPr="006031A9">
        <w:rPr>
          <w:lang w:val="fr-FR"/>
        </w:rPr>
        <w:t>’</w:t>
      </w:r>
      <w:r w:rsidRPr="006031A9">
        <w:rPr>
          <w:lang w:val="fr-FR"/>
        </w:rPr>
        <w:t>il n</w:t>
      </w:r>
      <w:r w:rsidR="006031A9" w:rsidRPr="006031A9">
        <w:rPr>
          <w:lang w:val="fr-FR"/>
        </w:rPr>
        <w:t>’</w:t>
      </w:r>
      <w:r w:rsidRPr="006031A9">
        <w:rPr>
          <w:lang w:val="fr-FR"/>
        </w:rPr>
        <w:t>apparaît pas clairement quelles questions spécifiques l</w:t>
      </w:r>
      <w:r w:rsidR="006031A9" w:rsidRPr="006031A9">
        <w:rPr>
          <w:lang w:val="fr-FR"/>
        </w:rPr>
        <w:t>’</w:t>
      </w:r>
      <w:r w:rsidRPr="006031A9">
        <w:rPr>
          <w:lang w:val="fr-FR"/>
        </w:rPr>
        <w:t>on voudrait demander aux agents infiltrés. En ce qui concerne le [requérant] et le deuxième prévenu, il est seulement question de poser des questions à l</w:t>
      </w:r>
      <w:r w:rsidR="006031A9" w:rsidRPr="006031A9">
        <w:rPr>
          <w:lang w:val="fr-FR"/>
        </w:rPr>
        <w:t>’</w:t>
      </w:r>
      <w:r w:rsidRPr="006031A9">
        <w:rPr>
          <w:lang w:val="fr-FR"/>
        </w:rPr>
        <w:t>agent infiltré Billy sur la récupération du code de charge qui aurait été jeté par le [requérant]. Cependant, la thèse de l</w:t>
      </w:r>
      <w:r w:rsidR="006031A9" w:rsidRPr="006031A9">
        <w:rPr>
          <w:lang w:val="fr-FR"/>
        </w:rPr>
        <w:t>’</w:t>
      </w:r>
      <w:r w:rsidRPr="006031A9">
        <w:rPr>
          <w:lang w:val="fr-FR"/>
        </w:rPr>
        <w:t>agent infiltré sur ce point ressortant déjà du rapport qui a été inclus dans le dossier répressif ouvert, il n</w:t>
      </w:r>
      <w:r w:rsidR="006031A9" w:rsidRPr="006031A9">
        <w:rPr>
          <w:lang w:val="fr-FR"/>
        </w:rPr>
        <w:t>’</w:t>
      </w:r>
      <w:r w:rsidRPr="006031A9">
        <w:rPr>
          <w:lang w:val="fr-FR"/>
        </w:rPr>
        <w:t>est pas utile d</w:t>
      </w:r>
      <w:r w:rsidR="006031A9" w:rsidRPr="006031A9">
        <w:rPr>
          <w:lang w:val="fr-FR"/>
        </w:rPr>
        <w:t>’</w:t>
      </w:r>
      <w:r w:rsidRPr="006031A9">
        <w:rPr>
          <w:lang w:val="fr-FR"/>
        </w:rPr>
        <w:t>entendre l</w:t>
      </w:r>
      <w:r w:rsidR="006031A9" w:rsidRPr="006031A9">
        <w:rPr>
          <w:lang w:val="fr-FR"/>
        </w:rPr>
        <w:t>’</w:t>
      </w:r>
      <w:r w:rsidRPr="006031A9">
        <w:rPr>
          <w:lang w:val="fr-FR"/>
        </w:rPr>
        <w:t>agent infiltré sur cette question. La chambre des mises en accusation, qui est une juridiction indépendante, a considéré que les rapports correspondaient au dossier confidentiel. Les prévenus ont la possibilité de présenter à l</w:t>
      </w:r>
      <w:r w:rsidR="006031A9" w:rsidRPr="006031A9">
        <w:rPr>
          <w:lang w:val="fr-FR"/>
        </w:rPr>
        <w:t>’</w:t>
      </w:r>
      <w:r w:rsidRPr="006031A9">
        <w:rPr>
          <w:lang w:val="fr-FR"/>
        </w:rPr>
        <w:t>audience leurs arguments sur la récupération du code de charge, et de contredire la version de l</w:t>
      </w:r>
      <w:r w:rsidR="006031A9" w:rsidRPr="006031A9">
        <w:rPr>
          <w:lang w:val="fr-FR"/>
        </w:rPr>
        <w:t>’</w:t>
      </w:r>
      <w:r w:rsidRPr="006031A9">
        <w:rPr>
          <w:lang w:val="fr-FR"/>
        </w:rPr>
        <w:t>agent infiltré. »</w:t>
      </w:r>
    </w:p>
    <w:bookmarkStart w:id="10" w:name="TPIPROVOC"/>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28</w:t>
      </w:r>
      <w:r w:rsidRPr="006031A9">
        <w:rPr>
          <w:lang w:val="fr-FR"/>
        </w:rPr>
        <w:fldChar w:fldCharType="end"/>
      </w:r>
      <w:bookmarkEnd w:id="10"/>
      <w:r w:rsidR="006C5590" w:rsidRPr="006031A9">
        <w:rPr>
          <w:lang w:val="fr-FR"/>
        </w:rPr>
        <w:t>.  </w:t>
      </w:r>
      <w:r w:rsidRPr="006031A9">
        <w:rPr>
          <w:lang w:val="fr-FR"/>
        </w:rPr>
        <w:t>Au moyen de défense selon lequel le requérant n</w:t>
      </w:r>
      <w:r w:rsidR="006031A9" w:rsidRPr="006031A9">
        <w:rPr>
          <w:lang w:val="fr-FR"/>
        </w:rPr>
        <w:t>’</w:t>
      </w:r>
      <w:r w:rsidRPr="006031A9">
        <w:rPr>
          <w:lang w:val="fr-FR"/>
        </w:rPr>
        <w:t>avait pas été en mesure de contrôler s</w:t>
      </w:r>
      <w:r w:rsidR="006031A9" w:rsidRPr="006031A9">
        <w:rPr>
          <w:lang w:val="fr-FR"/>
        </w:rPr>
        <w:t>’</w:t>
      </w:r>
      <w:r w:rsidRPr="006031A9">
        <w:rPr>
          <w:lang w:val="fr-FR"/>
        </w:rPr>
        <w:t>il y avait eu incitation à commettre des infractions de la part d</w:t>
      </w:r>
      <w:r w:rsidR="006031A9" w:rsidRPr="006031A9">
        <w:rPr>
          <w:lang w:val="fr-FR"/>
        </w:rPr>
        <w:t>’</w:t>
      </w:r>
      <w:r w:rsidRPr="006031A9">
        <w:rPr>
          <w:lang w:val="fr-FR"/>
        </w:rPr>
        <w:t>un agent infiltré, le tribunal répondit en ces termes :</w:t>
      </w:r>
    </w:p>
    <w:p w:rsidR="0002655A" w:rsidRPr="006031A9" w:rsidRDefault="00C85586" w:rsidP="006031A9">
      <w:pPr>
        <w:pStyle w:val="ECHRParaQuote"/>
        <w:rPr>
          <w:lang w:val="fr-FR"/>
        </w:rPr>
      </w:pPr>
      <w:r w:rsidRPr="006031A9">
        <w:rPr>
          <w:lang w:val="fr-FR"/>
        </w:rPr>
        <w:t>« En l</w:t>
      </w:r>
      <w:r w:rsidR="006031A9" w:rsidRPr="006031A9">
        <w:rPr>
          <w:lang w:val="fr-FR"/>
        </w:rPr>
        <w:t>’</w:t>
      </w:r>
      <w:r w:rsidRPr="006031A9">
        <w:rPr>
          <w:lang w:val="fr-FR"/>
        </w:rPr>
        <w:t>espèce, l</w:t>
      </w:r>
      <w:r w:rsidR="006031A9" w:rsidRPr="006031A9">
        <w:rPr>
          <w:lang w:val="fr-FR"/>
        </w:rPr>
        <w:t>’</w:t>
      </w:r>
      <w:r w:rsidRPr="006031A9">
        <w:rPr>
          <w:lang w:val="fr-FR"/>
        </w:rPr>
        <w:t>agent infiltré a seulement agi concernant le fait visé au point C de l</w:t>
      </w:r>
      <w:r w:rsidR="006031A9" w:rsidRPr="006031A9">
        <w:rPr>
          <w:lang w:val="fr-FR"/>
        </w:rPr>
        <w:t>’</w:t>
      </w:r>
      <w:r w:rsidRPr="006031A9">
        <w:rPr>
          <w:lang w:val="fr-FR"/>
        </w:rPr>
        <w:t>acte d</w:t>
      </w:r>
      <w:r w:rsidR="006031A9" w:rsidRPr="006031A9">
        <w:rPr>
          <w:lang w:val="fr-FR"/>
        </w:rPr>
        <w:t>’</w:t>
      </w:r>
      <w:r w:rsidRPr="006031A9">
        <w:rPr>
          <w:lang w:val="fr-FR"/>
        </w:rPr>
        <w:t>accusation. [Ce fait] date de janvier à juin 2009, alors que l</w:t>
      </w:r>
      <w:r w:rsidR="006031A9" w:rsidRPr="006031A9">
        <w:rPr>
          <w:lang w:val="fr-FR"/>
        </w:rPr>
        <w:t>’</w:t>
      </w:r>
      <w:r w:rsidRPr="006031A9">
        <w:rPr>
          <w:lang w:val="fr-FR"/>
        </w:rPr>
        <w:t>enquête judiciaire avait déjà commencé le 18 septembre 2008. Sur la base, entre autres, des rapports réguliers sur l</w:t>
      </w:r>
      <w:r w:rsidR="006031A9" w:rsidRPr="006031A9">
        <w:rPr>
          <w:lang w:val="fr-FR"/>
        </w:rPr>
        <w:t>’</w:t>
      </w:r>
      <w:r w:rsidRPr="006031A9">
        <w:rPr>
          <w:lang w:val="fr-FR"/>
        </w:rPr>
        <w:t>infiltration qui ont été consignés au cours de l</w:t>
      </w:r>
      <w:r w:rsidR="006031A9" w:rsidRPr="006031A9">
        <w:rPr>
          <w:lang w:val="fr-FR"/>
        </w:rPr>
        <w:t>’</w:t>
      </w:r>
      <w:r w:rsidRPr="006031A9">
        <w:rPr>
          <w:lang w:val="fr-FR"/>
        </w:rPr>
        <w:t>enquête judiciaire et des messages texte et appels téléphoniques interceptés, les accords et transactions relatives à ces faits ainsi que les opérations préalables [ont été] contrôlées. Ces données montrent qu</w:t>
      </w:r>
      <w:r w:rsidR="006031A9" w:rsidRPr="006031A9">
        <w:rPr>
          <w:lang w:val="fr-FR"/>
        </w:rPr>
        <w:t>’</w:t>
      </w:r>
      <w:r w:rsidRPr="006031A9">
        <w:rPr>
          <w:lang w:val="fr-FR"/>
        </w:rPr>
        <w:t>il n</w:t>
      </w:r>
      <w:r w:rsidR="006031A9" w:rsidRPr="006031A9">
        <w:rPr>
          <w:lang w:val="fr-FR"/>
        </w:rPr>
        <w:t>’</w:t>
      </w:r>
      <w:r w:rsidRPr="006031A9">
        <w:rPr>
          <w:lang w:val="fr-FR"/>
        </w:rPr>
        <w:t>y a pas eu d</w:t>
      </w:r>
      <w:r w:rsidR="006031A9" w:rsidRPr="006031A9">
        <w:rPr>
          <w:lang w:val="fr-FR"/>
        </w:rPr>
        <w:t>’</w:t>
      </w:r>
      <w:r w:rsidRPr="006031A9">
        <w:rPr>
          <w:lang w:val="fr-FR"/>
        </w:rPr>
        <w:t>incitation. Ceci est d</w:t>
      </w:r>
      <w:r w:rsidR="006031A9" w:rsidRPr="006031A9">
        <w:rPr>
          <w:lang w:val="fr-FR"/>
        </w:rPr>
        <w:t>’</w:t>
      </w:r>
      <w:r w:rsidRPr="006031A9">
        <w:rPr>
          <w:lang w:val="fr-FR"/>
        </w:rPr>
        <w:t>ailleurs confirmé par le fait que d</w:t>
      </w:r>
      <w:r w:rsidR="006031A9" w:rsidRPr="006031A9">
        <w:rPr>
          <w:lang w:val="fr-FR"/>
        </w:rPr>
        <w:t>’</w:t>
      </w:r>
      <w:r w:rsidRPr="006031A9">
        <w:rPr>
          <w:lang w:val="fr-FR"/>
        </w:rPr>
        <w:t>autres faits de possession, de vente, d</w:t>
      </w:r>
      <w:r w:rsidR="006031A9" w:rsidRPr="006031A9">
        <w:rPr>
          <w:lang w:val="fr-FR"/>
        </w:rPr>
        <w:t>’</w:t>
      </w:r>
      <w:r w:rsidRPr="006031A9">
        <w:rPr>
          <w:lang w:val="fr-FR"/>
        </w:rPr>
        <w:t>importation et d</w:t>
      </w:r>
      <w:r w:rsidR="006031A9" w:rsidRPr="006031A9">
        <w:rPr>
          <w:lang w:val="fr-FR"/>
        </w:rPr>
        <w:t>’</w:t>
      </w:r>
      <w:r w:rsidRPr="006031A9">
        <w:rPr>
          <w:lang w:val="fr-FR"/>
        </w:rPr>
        <w:t>exportation de stupéfiants ou de substances psychotropes, dans lesquels les agents infiltrés n</w:t>
      </w:r>
      <w:r w:rsidR="006031A9" w:rsidRPr="006031A9">
        <w:rPr>
          <w:lang w:val="fr-FR"/>
        </w:rPr>
        <w:t>’</w:t>
      </w:r>
      <w:r w:rsidRPr="006031A9">
        <w:rPr>
          <w:lang w:val="fr-FR"/>
        </w:rPr>
        <w:t>ont pris aucune part, ont été retenus. »</w:t>
      </w:r>
    </w:p>
    <w:bookmarkStart w:id="11" w:name="COURAPPEL"/>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29</w:t>
      </w:r>
      <w:r w:rsidRPr="006031A9">
        <w:rPr>
          <w:lang w:val="fr-FR"/>
        </w:rPr>
        <w:fldChar w:fldCharType="end"/>
      </w:r>
      <w:bookmarkEnd w:id="11"/>
      <w:r w:rsidRPr="006031A9">
        <w:rPr>
          <w:lang w:val="fr-FR"/>
        </w:rPr>
        <w:t>.  Le 23 juin 2011, la cour d</w:t>
      </w:r>
      <w:r w:rsidR="006031A9" w:rsidRPr="006031A9">
        <w:rPr>
          <w:lang w:val="fr-FR"/>
        </w:rPr>
        <w:t>’</w:t>
      </w:r>
      <w:r w:rsidRPr="006031A9">
        <w:rPr>
          <w:lang w:val="fr-FR"/>
        </w:rPr>
        <w:t>appel d</w:t>
      </w:r>
      <w:r w:rsidR="006031A9" w:rsidRPr="006031A9">
        <w:rPr>
          <w:lang w:val="fr-FR"/>
        </w:rPr>
        <w:t>’</w:t>
      </w:r>
      <w:r w:rsidRPr="006031A9">
        <w:rPr>
          <w:lang w:val="fr-FR"/>
        </w:rPr>
        <w:t xml:space="preserve">Anvers, </w:t>
      </w:r>
      <w:r w:rsidRPr="006031A9">
        <w:rPr>
          <w:i/>
          <w:lang w:val="fr-FR"/>
        </w:rPr>
        <w:t>in absentia</w:t>
      </w:r>
      <w:r w:rsidRPr="006031A9">
        <w:rPr>
          <w:lang w:val="fr-FR"/>
        </w:rPr>
        <w:t>, confirma le jugement de première instance.</w:t>
      </w:r>
    </w:p>
    <w:bookmarkStart w:id="12" w:name="CAPP131011"/>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30</w:t>
      </w:r>
      <w:r w:rsidRPr="006031A9">
        <w:rPr>
          <w:lang w:val="fr-FR"/>
        </w:rPr>
        <w:fldChar w:fldCharType="end"/>
      </w:r>
      <w:bookmarkEnd w:id="12"/>
      <w:r w:rsidRPr="006031A9">
        <w:rPr>
          <w:lang w:val="fr-FR"/>
        </w:rPr>
        <w:t>.  Saisie sur opposition, ladite juridiction rendit un arrêt contradictoire le 13 octobre 2011, confirmant dans les mêmes termes que sa première décision, le jugement de première instance. Comme il l</w:t>
      </w:r>
      <w:r w:rsidR="006031A9" w:rsidRPr="006031A9">
        <w:rPr>
          <w:lang w:val="fr-FR"/>
        </w:rPr>
        <w:t>’</w:t>
      </w:r>
      <w:r w:rsidRPr="006031A9">
        <w:rPr>
          <w:lang w:val="fr-FR"/>
        </w:rPr>
        <w:t>avait fait devant le tribunal de première instance, le requérant avait demandé à la cour d</w:t>
      </w:r>
      <w:r w:rsidR="006031A9" w:rsidRPr="006031A9">
        <w:rPr>
          <w:lang w:val="fr-FR"/>
        </w:rPr>
        <w:t>’</w:t>
      </w:r>
      <w:r w:rsidRPr="006031A9">
        <w:rPr>
          <w:lang w:val="fr-FR"/>
        </w:rPr>
        <w:t>appel de confronter les agents infiltrés afin de vérifier la fiabilité de leurs déclarations. La cour d</w:t>
      </w:r>
      <w:r w:rsidR="006031A9" w:rsidRPr="006031A9">
        <w:rPr>
          <w:lang w:val="fr-FR"/>
        </w:rPr>
        <w:t>’</w:t>
      </w:r>
      <w:r w:rsidRPr="006031A9">
        <w:rPr>
          <w:lang w:val="fr-FR"/>
        </w:rPr>
        <w:t>appel rejeta la demande en se référant aux motifs du jugement entrepris. Elle ajouta qu</w:t>
      </w:r>
      <w:r w:rsidR="006031A9" w:rsidRPr="006031A9">
        <w:rPr>
          <w:lang w:val="fr-FR"/>
        </w:rPr>
        <w:t>’</w:t>
      </w:r>
      <w:r w:rsidRPr="006031A9">
        <w:rPr>
          <w:lang w:val="fr-FR"/>
        </w:rPr>
        <w:t>elle n</w:t>
      </w:r>
      <w:r w:rsidR="006031A9" w:rsidRPr="006031A9">
        <w:rPr>
          <w:lang w:val="fr-FR"/>
        </w:rPr>
        <w:t>’</w:t>
      </w:r>
      <w:r w:rsidRPr="006031A9">
        <w:rPr>
          <w:lang w:val="fr-FR"/>
        </w:rPr>
        <w:t>attachait qu</w:t>
      </w:r>
      <w:r w:rsidR="006031A9" w:rsidRPr="006031A9">
        <w:rPr>
          <w:lang w:val="fr-FR"/>
        </w:rPr>
        <w:t>’</w:t>
      </w:r>
      <w:r w:rsidRPr="006031A9">
        <w:rPr>
          <w:lang w:val="fr-FR"/>
        </w:rPr>
        <w:t>une valeur probante relative aux déclarations des agents infiltrés et que la découverte de la vérité et l</w:t>
      </w:r>
      <w:r w:rsidR="006031A9" w:rsidRPr="006031A9">
        <w:rPr>
          <w:lang w:val="fr-FR"/>
        </w:rPr>
        <w:t>’</w:t>
      </w:r>
      <w:r w:rsidRPr="006031A9">
        <w:rPr>
          <w:lang w:val="fr-FR"/>
        </w:rPr>
        <w:t>établissement de la culpabilité résultaient également d</w:t>
      </w:r>
      <w:r w:rsidR="006031A9" w:rsidRPr="006031A9">
        <w:rPr>
          <w:lang w:val="fr-FR"/>
        </w:rPr>
        <w:t>’</w:t>
      </w:r>
      <w:r w:rsidRPr="006031A9">
        <w:rPr>
          <w:lang w:val="fr-FR"/>
        </w:rPr>
        <w:t>autres éléments de preuve. Elle souligna en outre que, le requérant ayant refusé de comparaître en première instance et en appel, la demande de confrontation était plutôt théorique.</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31</w:t>
      </w:r>
      <w:r w:rsidRPr="006031A9">
        <w:rPr>
          <w:lang w:val="fr-FR"/>
        </w:rPr>
        <w:fldChar w:fldCharType="end"/>
      </w:r>
      <w:r w:rsidRPr="006031A9">
        <w:rPr>
          <w:lang w:val="fr-FR"/>
        </w:rPr>
        <w:t>.  Sur pied notamment de l</w:t>
      </w:r>
      <w:r w:rsidR="006031A9" w:rsidRPr="006031A9">
        <w:rPr>
          <w:lang w:val="fr-FR"/>
        </w:rPr>
        <w:t>’</w:t>
      </w:r>
      <w:r w:rsidRPr="006031A9">
        <w:rPr>
          <w:lang w:val="fr-FR"/>
        </w:rPr>
        <w:t>article 6 de la Convention, le requérant saisit la Cour de cassation d</w:t>
      </w:r>
      <w:r w:rsidR="006031A9" w:rsidRPr="006031A9">
        <w:rPr>
          <w:lang w:val="fr-FR"/>
        </w:rPr>
        <w:t>’</w:t>
      </w:r>
      <w:r w:rsidRPr="006031A9">
        <w:rPr>
          <w:lang w:val="fr-FR"/>
        </w:rPr>
        <w:t>un pourvoi contre cet arrêt. Comme il l</w:t>
      </w:r>
      <w:r w:rsidR="006031A9" w:rsidRPr="006031A9">
        <w:rPr>
          <w:lang w:val="fr-FR"/>
        </w:rPr>
        <w:t>’</w:t>
      </w:r>
      <w:r w:rsidRPr="006031A9">
        <w:rPr>
          <w:lang w:val="fr-FR"/>
        </w:rPr>
        <w:t xml:space="preserve">avait </w:t>
      </w:r>
      <w:r w:rsidRPr="006031A9">
        <w:rPr>
          <w:lang w:val="fr-FR"/>
        </w:rPr>
        <w:lastRenderedPageBreak/>
        <w:t>fait devant la cour d</w:t>
      </w:r>
      <w:r w:rsidR="006031A9" w:rsidRPr="006031A9">
        <w:rPr>
          <w:lang w:val="fr-FR"/>
        </w:rPr>
        <w:t>’</w:t>
      </w:r>
      <w:r w:rsidRPr="006031A9">
        <w:rPr>
          <w:lang w:val="fr-FR"/>
        </w:rPr>
        <w:t>appel, il invoqua une violation du droit à un procès équitable, des droits de la défense et du principe du contradictoire, se plaignant plus précisément du fait que les juges du fond avaient fait usage d</w:t>
      </w:r>
      <w:r w:rsidR="006031A9" w:rsidRPr="006031A9">
        <w:rPr>
          <w:lang w:val="fr-FR"/>
        </w:rPr>
        <w:t>’</w:t>
      </w:r>
      <w:r w:rsidRPr="006031A9">
        <w:rPr>
          <w:lang w:val="fr-FR"/>
        </w:rPr>
        <w:t>éléments recueillis pour le condamner alors que ceux-ci ressortaient du dossier confidentiel, lequel n</w:t>
      </w:r>
      <w:r w:rsidR="006031A9" w:rsidRPr="006031A9">
        <w:rPr>
          <w:lang w:val="fr-FR"/>
        </w:rPr>
        <w:t>’</w:t>
      </w:r>
      <w:r w:rsidRPr="006031A9">
        <w:rPr>
          <w:lang w:val="fr-FR"/>
        </w:rPr>
        <w:t>avait pas été porté à la connaissance de la défense ni au cours de l</w:t>
      </w:r>
      <w:r w:rsidR="006031A9" w:rsidRPr="006031A9">
        <w:rPr>
          <w:lang w:val="fr-FR"/>
        </w:rPr>
        <w:t>’</w:t>
      </w:r>
      <w:r w:rsidRPr="006031A9">
        <w:rPr>
          <w:lang w:val="fr-FR"/>
        </w:rPr>
        <w:t>instruction judiciaire ni au cours de l</w:t>
      </w:r>
      <w:r w:rsidR="006031A9" w:rsidRPr="006031A9">
        <w:rPr>
          <w:lang w:val="fr-FR"/>
        </w:rPr>
        <w:t>’</w:t>
      </w:r>
      <w:r w:rsidRPr="006031A9">
        <w:rPr>
          <w:lang w:val="fr-FR"/>
        </w:rPr>
        <w:t>instruction sur le fond. Enfin, il reprochait à la cour d</w:t>
      </w:r>
      <w:r w:rsidR="006031A9" w:rsidRPr="006031A9">
        <w:rPr>
          <w:lang w:val="fr-FR"/>
        </w:rPr>
        <w:t>’</w:t>
      </w:r>
      <w:r w:rsidRPr="006031A9">
        <w:rPr>
          <w:lang w:val="fr-FR"/>
        </w:rPr>
        <w:t>appel d</w:t>
      </w:r>
      <w:r w:rsidR="006031A9" w:rsidRPr="006031A9">
        <w:rPr>
          <w:lang w:val="fr-FR"/>
        </w:rPr>
        <w:t>’</w:t>
      </w:r>
      <w:r w:rsidRPr="006031A9">
        <w:rPr>
          <w:lang w:val="fr-FR"/>
        </w:rPr>
        <w:t>avoir rejeté sa demande de confrontation avec les agents infiltrés.</w:t>
      </w:r>
    </w:p>
    <w:bookmarkStart w:id="13" w:name="CCASS2012"/>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32</w:t>
      </w:r>
      <w:r w:rsidRPr="006031A9">
        <w:rPr>
          <w:lang w:val="fr-FR"/>
        </w:rPr>
        <w:fldChar w:fldCharType="end"/>
      </w:r>
      <w:bookmarkEnd w:id="13"/>
      <w:r w:rsidRPr="006031A9">
        <w:rPr>
          <w:lang w:val="fr-FR"/>
        </w:rPr>
        <w:t>.  Par un arrêt du 20 mars 2012, la Cour de cassation rejeta le pourvoi. Elle rejeta le moyen relatif à l</w:t>
      </w:r>
      <w:r w:rsidR="006031A9" w:rsidRPr="006031A9">
        <w:rPr>
          <w:lang w:val="fr-FR"/>
        </w:rPr>
        <w:t>’</w:t>
      </w:r>
      <w:r w:rsidRPr="006031A9">
        <w:rPr>
          <w:lang w:val="fr-FR"/>
        </w:rPr>
        <w:t>accès au dossier confidentiel en ces termes :</w:t>
      </w:r>
    </w:p>
    <w:p w:rsidR="0002655A" w:rsidRPr="006031A9" w:rsidRDefault="00C85586" w:rsidP="006031A9">
      <w:pPr>
        <w:pStyle w:val="ECHRParaQuote"/>
        <w:rPr>
          <w:lang w:val="fr-FR"/>
        </w:rPr>
      </w:pPr>
      <w:r w:rsidRPr="006031A9">
        <w:rPr>
          <w:lang w:val="fr-FR"/>
        </w:rPr>
        <w:t>« Le fait que, également au cours de l</w:t>
      </w:r>
      <w:r w:rsidR="006031A9" w:rsidRPr="006031A9">
        <w:rPr>
          <w:lang w:val="fr-FR"/>
        </w:rPr>
        <w:t>’</w:t>
      </w:r>
      <w:r w:rsidRPr="006031A9">
        <w:rPr>
          <w:lang w:val="fr-FR"/>
        </w:rPr>
        <w:t>instruction sur le fond, l</w:t>
      </w:r>
      <w:r w:rsidR="006031A9" w:rsidRPr="006031A9">
        <w:rPr>
          <w:lang w:val="fr-FR"/>
        </w:rPr>
        <w:t>’</w:t>
      </w:r>
      <w:r w:rsidRPr="006031A9">
        <w:rPr>
          <w:lang w:val="fr-FR"/>
        </w:rPr>
        <w:t>inculpé ne puisse pas consulter le dossier confidentiel, ne constitue pas en soi une violation de l</w:t>
      </w:r>
      <w:r w:rsidR="006031A9" w:rsidRPr="006031A9">
        <w:rPr>
          <w:lang w:val="fr-FR"/>
        </w:rPr>
        <w:t>’</w:t>
      </w:r>
      <w:r w:rsidRPr="006031A9">
        <w:rPr>
          <w:lang w:val="fr-FR"/>
        </w:rPr>
        <w:t>article 6 de la [Convention]. Cela constitue certes pour l</w:t>
      </w:r>
      <w:r w:rsidR="006031A9" w:rsidRPr="006031A9">
        <w:rPr>
          <w:lang w:val="fr-FR"/>
        </w:rPr>
        <w:t>’</w:t>
      </w:r>
      <w:r w:rsidRPr="006031A9">
        <w:rPr>
          <w:lang w:val="fr-FR"/>
        </w:rPr>
        <w:t>inculpé une restriction de ses droits de défense mais elle est justifiée par la nécessité de protéger les moyens techniques utilisés et les techniques d</w:t>
      </w:r>
      <w:r w:rsidR="006031A9" w:rsidRPr="006031A9">
        <w:rPr>
          <w:lang w:val="fr-FR"/>
        </w:rPr>
        <w:t>’</w:t>
      </w:r>
      <w:r w:rsidRPr="006031A9">
        <w:rPr>
          <w:lang w:val="fr-FR"/>
        </w:rPr>
        <w:t>enquête policière et de garantir la sécurité et l</w:t>
      </w:r>
      <w:r w:rsidR="006031A9" w:rsidRPr="006031A9">
        <w:rPr>
          <w:lang w:val="fr-FR"/>
        </w:rPr>
        <w:t>’</w:t>
      </w:r>
      <w:r w:rsidRPr="006031A9">
        <w:rPr>
          <w:lang w:val="fr-FR"/>
        </w:rPr>
        <w:t>anonymat des personnes qui l</w:t>
      </w:r>
      <w:r w:rsidR="006031A9" w:rsidRPr="006031A9">
        <w:rPr>
          <w:lang w:val="fr-FR"/>
        </w:rPr>
        <w:t>’</w:t>
      </w:r>
      <w:r w:rsidRPr="006031A9">
        <w:rPr>
          <w:lang w:val="fr-FR"/>
        </w:rPr>
        <w:t>exercent.</w:t>
      </w:r>
    </w:p>
    <w:p w:rsidR="0002655A" w:rsidRPr="006031A9" w:rsidRDefault="00C85586" w:rsidP="006031A9">
      <w:pPr>
        <w:pStyle w:val="ECHRParaQuote"/>
        <w:rPr>
          <w:lang w:val="fr-FR"/>
        </w:rPr>
      </w:pPr>
      <w:r w:rsidRPr="006031A9">
        <w:rPr>
          <w:lang w:val="fr-FR"/>
        </w:rPr>
        <w:t>Cette restriction du droit au contradictoire demeure exceptionnelle tout au long du procès et est compensée par le fait que la régularité des méthodes de recherche mises en œuvre est contrôlée par une juridiction indépendante et impartiale, en l</w:t>
      </w:r>
      <w:r w:rsidR="006031A9" w:rsidRPr="006031A9">
        <w:rPr>
          <w:lang w:val="fr-FR"/>
        </w:rPr>
        <w:t>’</w:t>
      </w:r>
      <w:r w:rsidRPr="006031A9">
        <w:rPr>
          <w:lang w:val="fr-FR"/>
        </w:rPr>
        <w:t>occurrence la chambre des mises en accusation, qui constate souverainement que les éléments du dossier répressif, parmi lesquels le procès-verbal de mise en œuvre et [ceux] de l</w:t>
      </w:r>
      <w:r w:rsidR="006031A9" w:rsidRPr="006031A9">
        <w:rPr>
          <w:lang w:val="fr-FR"/>
        </w:rPr>
        <w:t>’</w:t>
      </w:r>
      <w:r w:rsidRPr="006031A9">
        <w:rPr>
          <w:lang w:val="fr-FR"/>
        </w:rPr>
        <w:t>instruction proactive, correspondent aux éléments du dossier confidentiel.</w:t>
      </w:r>
    </w:p>
    <w:p w:rsidR="0002655A" w:rsidRPr="006031A9" w:rsidRDefault="00C85586" w:rsidP="006031A9">
      <w:pPr>
        <w:pStyle w:val="ECHRParaQuote"/>
        <w:rPr>
          <w:lang w:val="fr-FR"/>
        </w:rPr>
      </w:pPr>
      <w:r w:rsidRPr="006031A9">
        <w:rPr>
          <w:lang w:val="fr-FR"/>
        </w:rPr>
        <w:t>Sur la base du dossier répressif, le prévenu peut également invoquer devant le juge du fond tous moyens de droit contre les méthodes de recherche mises en œuvre.</w:t>
      </w:r>
    </w:p>
    <w:p w:rsidR="0002655A" w:rsidRPr="006031A9" w:rsidRDefault="00C85586" w:rsidP="006031A9">
      <w:pPr>
        <w:pStyle w:val="ECHRParaQuote"/>
        <w:rPr>
          <w:lang w:val="fr-FR"/>
        </w:rPr>
      </w:pPr>
      <w:r w:rsidRPr="006031A9">
        <w:rPr>
          <w:lang w:val="fr-FR"/>
        </w:rPr>
        <w:t>Tenant compte du fait que les pièces du dossier confidentiel ne peuvent être utilisées à titre de preuve, il n</w:t>
      </w:r>
      <w:r w:rsidR="006031A9" w:rsidRPr="006031A9">
        <w:rPr>
          <w:lang w:val="fr-FR"/>
        </w:rPr>
        <w:t>’</w:t>
      </w:r>
      <w:r w:rsidRPr="006031A9">
        <w:rPr>
          <w:lang w:val="fr-FR"/>
        </w:rPr>
        <w:t>est pas porté atteinte au droit de défense de l</w:t>
      </w:r>
      <w:r w:rsidR="006031A9" w:rsidRPr="006031A9">
        <w:rPr>
          <w:lang w:val="fr-FR"/>
        </w:rPr>
        <w:t>’</w:t>
      </w:r>
      <w:r w:rsidRPr="006031A9">
        <w:rPr>
          <w:lang w:val="fr-FR"/>
        </w:rPr>
        <w:t>inculpé.</w:t>
      </w:r>
    </w:p>
    <w:p w:rsidR="00C85586" w:rsidRPr="006031A9" w:rsidRDefault="00C85586" w:rsidP="006031A9">
      <w:pPr>
        <w:pStyle w:val="ECHRParaQuote"/>
        <w:rPr>
          <w:lang w:val="fr-FR"/>
        </w:rPr>
      </w:pPr>
      <w:r w:rsidRPr="006031A9">
        <w:rPr>
          <w:lang w:val="fr-FR"/>
        </w:rPr>
        <w:t>Dans cette mesure, le moyen manque en droit. »</w:t>
      </w:r>
    </w:p>
    <w:bookmarkStart w:id="14" w:name="TEMOINSCCASS1"/>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33</w:t>
      </w:r>
      <w:r w:rsidRPr="006031A9">
        <w:rPr>
          <w:lang w:val="fr-FR"/>
        </w:rPr>
        <w:fldChar w:fldCharType="end"/>
      </w:r>
      <w:bookmarkEnd w:id="14"/>
      <w:r w:rsidRPr="006031A9">
        <w:rPr>
          <w:lang w:val="fr-FR"/>
        </w:rPr>
        <w:t>.  En ce qui concerne la confrontation avec les agents infiltrés, la Cour de cassation fit en premier lieu valoir ce qui suit :</w:t>
      </w:r>
    </w:p>
    <w:p w:rsidR="0002655A" w:rsidRPr="006031A9" w:rsidRDefault="00C85586" w:rsidP="006031A9">
      <w:pPr>
        <w:pStyle w:val="ECHRParaQuote"/>
        <w:rPr>
          <w:lang w:val="fr-FR"/>
        </w:rPr>
      </w:pPr>
      <w:r w:rsidRPr="006031A9">
        <w:rPr>
          <w:lang w:val="fr-FR"/>
        </w:rPr>
        <w:t>« L</w:t>
      </w:r>
      <w:r w:rsidR="006031A9" w:rsidRPr="006031A9">
        <w:rPr>
          <w:lang w:val="fr-FR"/>
        </w:rPr>
        <w:t>’</w:t>
      </w:r>
      <w:r w:rsidRPr="006031A9">
        <w:rPr>
          <w:lang w:val="fr-FR"/>
        </w:rPr>
        <w:t>article 6 § 3 d) de la [Convention] garantit le droit du prévenu de citer des témoins à charge ou à décharge</w:t>
      </w:r>
      <w:r w:rsidR="00FD7757" w:rsidRPr="006031A9">
        <w:rPr>
          <w:lang w:val="fr-FR"/>
        </w:rPr>
        <w:t> </w:t>
      </w:r>
      <w:r w:rsidRPr="006031A9">
        <w:rPr>
          <w:lang w:val="fr-FR"/>
        </w:rPr>
        <w:t>; cette disposition n</w:t>
      </w:r>
      <w:r w:rsidR="006031A9" w:rsidRPr="006031A9">
        <w:rPr>
          <w:lang w:val="fr-FR"/>
        </w:rPr>
        <w:t>’</w:t>
      </w:r>
      <w:r w:rsidRPr="006031A9">
        <w:rPr>
          <w:lang w:val="fr-FR"/>
        </w:rPr>
        <w:t>empêche pas le juge d</w:t>
      </w:r>
      <w:r w:rsidR="006031A9" w:rsidRPr="006031A9">
        <w:rPr>
          <w:lang w:val="fr-FR"/>
        </w:rPr>
        <w:t>’</w:t>
      </w:r>
      <w:r w:rsidRPr="006031A9">
        <w:rPr>
          <w:lang w:val="fr-FR"/>
        </w:rPr>
        <w:t>apprécier souverainement la nécessité et la pertinence d</w:t>
      </w:r>
      <w:r w:rsidR="006031A9" w:rsidRPr="006031A9">
        <w:rPr>
          <w:lang w:val="fr-FR"/>
        </w:rPr>
        <w:t>’</w:t>
      </w:r>
      <w:r w:rsidRPr="006031A9">
        <w:rPr>
          <w:lang w:val="fr-FR"/>
        </w:rPr>
        <w:t>une audition de témoin demandée et de rejeter cette demande, pour autant qu</w:t>
      </w:r>
      <w:r w:rsidR="006031A9" w:rsidRPr="006031A9">
        <w:rPr>
          <w:lang w:val="fr-FR"/>
        </w:rPr>
        <w:t>’</w:t>
      </w:r>
      <w:r w:rsidRPr="006031A9">
        <w:rPr>
          <w:lang w:val="fr-FR"/>
        </w:rPr>
        <w:t>il ne viole pas le droit des parties de fournir une telle preuve.</w:t>
      </w:r>
    </w:p>
    <w:p w:rsidR="00C85586" w:rsidRPr="006031A9" w:rsidRDefault="00C85586" w:rsidP="006031A9">
      <w:pPr>
        <w:pStyle w:val="ECHRParaQuote"/>
        <w:rPr>
          <w:lang w:val="fr-FR"/>
        </w:rPr>
      </w:pPr>
      <w:r w:rsidRPr="006031A9">
        <w:rPr>
          <w:lang w:val="fr-FR"/>
        </w:rPr>
        <w:t>Dans cette mesure, le moyen manque en droit. »</w:t>
      </w:r>
    </w:p>
    <w:bookmarkStart w:id="15" w:name="ELDETCASS"/>
    <w:bookmarkStart w:id="16" w:name="CASSPROVOC"/>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34</w:t>
      </w:r>
      <w:r w:rsidRPr="006031A9">
        <w:rPr>
          <w:noProof/>
          <w:lang w:val="fr-FR"/>
        </w:rPr>
        <w:fldChar w:fldCharType="end"/>
      </w:r>
      <w:bookmarkEnd w:id="15"/>
      <w:bookmarkEnd w:id="16"/>
      <w:r w:rsidRPr="006031A9">
        <w:rPr>
          <w:lang w:val="fr-FR"/>
        </w:rPr>
        <w:t>.  Pour le reste, la Cour de cassation considéra que les juges d</w:t>
      </w:r>
      <w:r w:rsidR="006031A9" w:rsidRPr="006031A9">
        <w:rPr>
          <w:lang w:val="fr-FR"/>
        </w:rPr>
        <w:t>’</w:t>
      </w:r>
      <w:r w:rsidRPr="006031A9">
        <w:rPr>
          <w:lang w:val="fr-FR"/>
        </w:rPr>
        <w:t>appel avaient légalement justifié leur décision et qu</w:t>
      </w:r>
      <w:r w:rsidR="006031A9" w:rsidRPr="006031A9">
        <w:rPr>
          <w:lang w:val="fr-FR"/>
        </w:rPr>
        <w:t>’</w:t>
      </w:r>
      <w:r w:rsidRPr="006031A9">
        <w:rPr>
          <w:lang w:val="fr-FR"/>
        </w:rPr>
        <w:t>en adoptant les motifs du jugement dont appel, en particulier ceux concernant la provocation alléguée, les juges d</w:t>
      </w:r>
      <w:r w:rsidR="006031A9" w:rsidRPr="006031A9">
        <w:rPr>
          <w:lang w:val="fr-FR"/>
        </w:rPr>
        <w:t>’</w:t>
      </w:r>
      <w:r w:rsidRPr="006031A9">
        <w:rPr>
          <w:lang w:val="fr-FR"/>
        </w:rPr>
        <w:t>appel avaient répondu à la défense spécifique du requérant y relative.</w:t>
      </w:r>
    </w:p>
    <w:p w:rsidR="00C85586" w:rsidRPr="006031A9" w:rsidRDefault="00C85586" w:rsidP="006031A9">
      <w:pPr>
        <w:pStyle w:val="ECHRHeading1"/>
        <w:rPr>
          <w:lang w:val="fr-FR"/>
        </w:rPr>
      </w:pPr>
      <w:r w:rsidRPr="006031A9">
        <w:rPr>
          <w:lang w:val="fr-FR"/>
        </w:rPr>
        <w:lastRenderedPageBreak/>
        <w:t>II.  LE DROIT ET LA PRATIQUE INTERNES PERTINENTS</w:t>
      </w:r>
    </w:p>
    <w:p w:rsidR="00C85586" w:rsidRPr="006031A9" w:rsidRDefault="00C85586" w:rsidP="006031A9">
      <w:pPr>
        <w:pStyle w:val="ECHRHeading2"/>
        <w:rPr>
          <w:lang w:val="fr-FR"/>
        </w:rPr>
      </w:pPr>
      <w:r w:rsidRPr="006031A9">
        <w:rPr>
          <w:lang w:val="fr-FR"/>
        </w:rPr>
        <w:t>A.  Les recherches proactive et réactive</w:t>
      </w:r>
    </w:p>
    <w:p w:rsidR="00C85586" w:rsidRPr="006031A9" w:rsidRDefault="00C85586" w:rsidP="006031A9">
      <w:pPr>
        <w:pStyle w:val="ECHRPara"/>
        <w:rPr>
          <w:rFonts w:ascii="Times New Roman" w:eastAsiaTheme="minorHAnsi" w:hAnsi="Times New Roman" w:cs="Times New Roman"/>
          <w:szCs w:val="24"/>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35</w:t>
      </w:r>
      <w:r w:rsidRPr="006031A9">
        <w:rPr>
          <w:lang w:val="fr-FR"/>
        </w:rPr>
        <w:fldChar w:fldCharType="end"/>
      </w:r>
      <w:r w:rsidRPr="006031A9">
        <w:rPr>
          <w:lang w:val="fr-FR"/>
        </w:rPr>
        <w:t>.  </w:t>
      </w:r>
      <w:r w:rsidRPr="006031A9">
        <w:rPr>
          <w:rFonts w:ascii="Times New Roman" w:eastAsiaTheme="minorHAnsi" w:hAnsi="Times New Roman" w:cs="Times New Roman"/>
          <w:szCs w:val="24"/>
          <w:lang w:val="fr-FR"/>
        </w:rPr>
        <w:t>L</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enquête conduite par le ministère public, tant proactive (quand des faits punissables n</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ont pas encore eu lieu ou ne sont pas encore connus) ou réactive (quand des faits punissables ont eu lieu) s</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appelle « information ». L</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enquête conduite par le juge d</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instruction, toujours réactive, s</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appelle « instruction ».</w:t>
      </w:r>
    </w:p>
    <w:bookmarkStart w:id="17" w:name="BOMINFO"/>
    <w:p w:rsidR="00C85586" w:rsidRPr="006031A9" w:rsidRDefault="00C85586" w:rsidP="006031A9">
      <w:pPr>
        <w:pStyle w:val="ECHRPara"/>
        <w:rPr>
          <w:rFonts w:ascii="Times New Roman" w:eastAsiaTheme="minorHAnsi" w:hAnsi="Times New Roman" w:cs="Times New Roman"/>
          <w:szCs w:val="24"/>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36</w:t>
      </w:r>
      <w:r w:rsidRPr="006031A9">
        <w:rPr>
          <w:lang w:val="fr-FR"/>
        </w:rPr>
        <w:fldChar w:fldCharType="end"/>
      </w:r>
      <w:bookmarkEnd w:id="17"/>
      <w:r w:rsidRPr="006031A9">
        <w:rPr>
          <w:lang w:val="fr-FR"/>
        </w:rPr>
        <w:t>.  La recherche proactive peut être autorisée par le ministère public, dans le cadre de l</w:t>
      </w:r>
      <w:r w:rsidR="006031A9" w:rsidRPr="006031A9">
        <w:rPr>
          <w:lang w:val="fr-FR"/>
        </w:rPr>
        <w:t>’</w:t>
      </w:r>
      <w:r w:rsidRPr="006031A9">
        <w:rPr>
          <w:lang w:val="fr-FR"/>
        </w:rPr>
        <w:t> « information ». Elle est régie par l</w:t>
      </w:r>
      <w:r w:rsidR="006031A9" w:rsidRPr="006031A9">
        <w:rPr>
          <w:lang w:val="fr-FR"/>
        </w:rPr>
        <w:t>’</w:t>
      </w:r>
      <w:r w:rsidRPr="006031A9">
        <w:rPr>
          <w:lang w:val="fr-FR"/>
        </w:rPr>
        <w:t>article 28</w:t>
      </w:r>
      <w:r w:rsidRPr="006031A9">
        <w:rPr>
          <w:i/>
          <w:lang w:val="fr-FR"/>
        </w:rPr>
        <w:t>bis</w:t>
      </w:r>
      <w:r w:rsidRPr="006031A9">
        <w:rPr>
          <w:lang w:val="fr-FR"/>
        </w:rPr>
        <w:t xml:space="preserve"> § 2 du CIC. Elle est menée sous la direction et le contrôle du procureur du Roi (</w:t>
      </w:r>
      <w:r w:rsidRPr="006031A9">
        <w:rPr>
          <w:rFonts w:ascii="Times New Roman" w:eastAsiaTheme="minorHAnsi" w:hAnsi="Times New Roman" w:cs="Times New Roman"/>
          <w:szCs w:val="24"/>
          <w:lang w:val="fr-FR"/>
        </w:rPr>
        <w:t>ou du procureur fédéral)</w:t>
      </w:r>
      <w:r w:rsidRPr="006031A9">
        <w:rPr>
          <w:lang w:val="fr-FR"/>
        </w:rPr>
        <w:t>. Elle consiste, dans le but de permettre la poursuite d</w:t>
      </w:r>
      <w:r w:rsidR="006031A9" w:rsidRPr="006031A9">
        <w:rPr>
          <w:lang w:val="fr-FR"/>
        </w:rPr>
        <w:t>’</w:t>
      </w:r>
      <w:r w:rsidRPr="006031A9">
        <w:rPr>
          <w:lang w:val="fr-FR"/>
        </w:rPr>
        <w:t>auteurs d</w:t>
      </w:r>
      <w:r w:rsidR="006031A9" w:rsidRPr="006031A9">
        <w:rPr>
          <w:lang w:val="fr-FR"/>
        </w:rPr>
        <w:t>’</w:t>
      </w:r>
      <w:r w:rsidRPr="006031A9">
        <w:rPr>
          <w:lang w:val="fr-FR"/>
        </w:rPr>
        <w:t>infractions, en la recherche, la collecte, l</w:t>
      </w:r>
      <w:r w:rsidR="006031A9" w:rsidRPr="006031A9">
        <w:rPr>
          <w:lang w:val="fr-FR"/>
        </w:rPr>
        <w:t>’</w:t>
      </w:r>
      <w:r w:rsidRPr="006031A9">
        <w:rPr>
          <w:lang w:val="fr-FR"/>
        </w:rPr>
        <w:t>enregistrement et le traitement de données et d</w:t>
      </w:r>
      <w:r w:rsidR="006031A9" w:rsidRPr="006031A9">
        <w:rPr>
          <w:lang w:val="fr-FR"/>
        </w:rPr>
        <w:t>’</w:t>
      </w:r>
      <w:r w:rsidRPr="006031A9">
        <w:rPr>
          <w:lang w:val="fr-FR"/>
        </w:rPr>
        <w:t>informations sur la base d</w:t>
      </w:r>
      <w:r w:rsidR="006031A9" w:rsidRPr="006031A9">
        <w:rPr>
          <w:lang w:val="fr-FR"/>
        </w:rPr>
        <w:t>’</w:t>
      </w:r>
      <w:r w:rsidRPr="006031A9">
        <w:rPr>
          <w:lang w:val="fr-FR"/>
        </w:rPr>
        <w:t xml:space="preserve">une suspicion raisonnable que des faits punissables vont être commis ou ont été commis mais qui ne sont pas encore connus et qui sont ou seraient commis dans </w:t>
      </w:r>
      <w:r w:rsidRPr="006031A9">
        <w:rPr>
          <w:rFonts w:ascii="Times New Roman" w:eastAsiaTheme="minorHAnsi" w:hAnsi="Times New Roman" w:cs="Times New Roman"/>
          <w:szCs w:val="24"/>
          <w:lang w:val="fr-FR"/>
        </w:rPr>
        <w:t>le cadre d</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une organisation criminelle telle qu</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elle est définie par la loi, ou constitueraient un crime ou un délit spécialement visé par la loi.</w:t>
      </w:r>
    </w:p>
    <w:p w:rsidR="00C85586" w:rsidRPr="006031A9" w:rsidRDefault="00C85586" w:rsidP="006031A9">
      <w:pPr>
        <w:pStyle w:val="ECHRPara"/>
        <w:rPr>
          <w:lang w:val="fr-FR"/>
        </w:rPr>
      </w:pPr>
      <w:r w:rsidRPr="006031A9">
        <w:rPr>
          <w:rFonts w:ascii="Times New Roman" w:eastAsiaTheme="minorHAnsi" w:hAnsi="Times New Roman" w:cs="Times New Roman"/>
          <w:szCs w:val="24"/>
          <w:lang w:val="fr-FR"/>
        </w:rPr>
        <w:fldChar w:fldCharType="begin"/>
      </w:r>
      <w:r w:rsidRPr="006031A9">
        <w:rPr>
          <w:rFonts w:ascii="Times New Roman" w:eastAsiaTheme="minorHAnsi" w:hAnsi="Times New Roman" w:cs="Times New Roman"/>
          <w:szCs w:val="24"/>
          <w:lang w:val="fr-FR"/>
        </w:rPr>
        <w:instrText xml:space="preserve"> SEQ level0 \*arabic </w:instrText>
      </w:r>
      <w:r w:rsidRPr="006031A9">
        <w:rPr>
          <w:rFonts w:ascii="Times New Roman" w:eastAsiaTheme="minorHAnsi" w:hAnsi="Times New Roman" w:cs="Times New Roman"/>
          <w:szCs w:val="24"/>
          <w:lang w:val="fr-FR"/>
        </w:rPr>
        <w:fldChar w:fldCharType="separate"/>
      </w:r>
      <w:r w:rsidR="006031A9" w:rsidRPr="006031A9">
        <w:rPr>
          <w:rFonts w:ascii="Times New Roman" w:eastAsiaTheme="minorHAnsi" w:hAnsi="Times New Roman" w:cs="Times New Roman"/>
          <w:noProof/>
          <w:szCs w:val="24"/>
          <w:lang w:val="fr-FR"/>
        </w:rPr>
        <w:t>37</w:t>
      </w:r>
      <w:r w:rsidRPr="006031A9">
        <w:rPr>
          <w:rFonts w:ascii="Times New Roman" w:eastAsiaTheme="minorHAnsi" w:hAnsi="Times New Roman" w:cs="Times New Roman"/>
          <w:szCs w:val="24"/>
          <w:lang w:val="fr-FR"/>
        </w:rPr>
        <w:fldChar w:fldCharType="end"/>
      </w:r>
      <w:r w:rsidRPr="006031A9">
        <w:rPr>
          <w:rFonts w:ascii="Times New Roman" w:eastAsiaTheme="minorHAnsi" w:hAnsi="Times New Roman" w:cs="Times New Roman"/>
          <w:szCs w:val="24"/>
          <w:lang w:val="fr-FR"/>
        </w:rPr>
        <w:t>.  Pour entamer une enquête proactive, l</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autorisation écrite et préalable du procureur du Roi est requise par la disposition précitée du CIC.</w:t>
      </w:r>
    </w:p>
    <w:p w:rsidR="00C85586" w:rsidRPr="006031A9" w:rsidRDefault="00C85586" w:rsidP="006031A9">
      <w:pPr>
        <w:pStyle w:val="ECHRPara"/>
        <w:rPr>
          <w:rFonts w:eastAsiaTheme="minorHAnsi"/>
          <w:lang w:val="fr-FR"/>
        </w:rPr>
      </w:pPr>
      <w:r w:rsidRPr="006031A9">
        <w:rPr>
          <w:rFonts w:eastAsiaTheme="minorHAnsi"/>
          <w:lang w:val="fr-FR"/>
        </w:rPr>
        <w:fldChar w:fldCharType="begin"/>
      </w:r>
      <w:r w:rsidRPr="006031A9">
        <w:rPr>
          <w:rFonts w:eastAsiaTheme="minorHAnsi"/>
          <w:lang w:val="fr-FR"/>
        </w:rPr>
        <w:instrText xml:space="preserve"> SEQ level0 \*arabic </w:instrText>
      </w:r>
      <w:r w:rsidRPr="006031A9">
        <w:rPr>
          <w:rFonts w:eastAsiaTheme="minorHAnsi"/>
          <w:lang w:val="fr-FR"/>
        </w:rPr>
        <w:fldChar w:fldCharType="separate"/>
      </w:r>
      <w:r w:rsidR="006031A9" w:rsidRPr="006031A9">
        <w:rPr>
          <w:rFonts w:eastAsiaTheme="minorHAnsi"/>
          <w:noProof/>
          <w:lang w:val="fr-FR"/>
        </w:rPr>
        <w:t>38</w:t>
      </w:r>
      <w:r w:rsidRPr="006031A9">
        <w:rPr>
          <w:rFonts w:eastAsiaTheme="minorHAnsi"/>
          <w:lang w:val="fr-FR"/>
        </w:rPr>
        <w:fldChar w:fldCharType="end"/>
      </w:r>
      <w:r w:rsidRPr="006031A9">
        <w:rPr>
          <w:rFonts w:eastAsiaTheme="minorHAnsi"/>
          <w:lang w:val="fr-FR"/>
        </w:rPr>
        <w:t xml:space="preserve">.  Les méthodes particulières de recherche (voir paragraphes </w:t>
      </w:r>
      <w:r w:rsidRPr="006031A9">
        <w:rPr>
          <w:rFonts w:eastAsiaTheme="minorHAnsi"/>
          <w:lang w:val="fr-FR"/>
        </w:rPr>
        <w:fldChar w:fldCharType="begin"/>
      </w:r>
      <w:r w:rsidRPr="006031A9">
        <w:rPr>
          <w:rFonts w:eastAsiaTheme="minorHAnsi"/>
          <w:lang w:val="fr-FR"/>
        </w:rPr>
        <w:instrText xml:space="preserve"> REF BOMNOTION1 \h  \* MERGEFORMAT </w:instrText>
      </w:r>
      <w:r w:rsidRPr="006031A9">
        <w:rPr>
          <w:rFonts w:eastAsiaTheme="minorHAnsi"/>
          <w:lang w:val="fr-FR"/>
        </w:rPr>
      </w:r>
      <w:r w:rsidRPr="006031A9">
        <w:rPr>
          <w:rFonts w:eastAsiaTheme="minorHAnsi"/>
          <w:lang w:val="fr-FR"/>
        </w:rPr>
        <w:fldChar w:fldCharType="separate"/>
      </w:r>
      <w:r w:rsidR="006031A9" w:rsidRPr="006031A9">
        <w:rPr>
          <w:noProof/>
          <w:lang w:val="fr-FR"/>
        </w:rPr>
        <w:t>40</w:t>
      </w:r>
      <w:r w:rsidRPr="006031A9">
        <w:rPr>
          <w:rFonts w:eastAsiaTheme="minorHAnsi"/>
          <w:lang w:val="fr-FR"/>
        </w:rPr>
        <w:fldChar w:fldCharType="end"/>
      </w:r>
      <w:r w:rsidRPr="006031A9">
        <w:rPr>
          <w:rFonts w:eastAsiaTheme="minorHAnsi"/>
          <w:lang w:val="fr-FR"/>
        </w:rPr>
        <w:t>-</w:t>
      </w:r>
      <w:r w:rsidRPr="006031A9">
        <w:rPr>
          <w:rFonts w:eastAsiaTheme="minorHAnsi"/>
          <w:lang w:val="fr-FR"/>
        </w:rPr>
        <w:fldChar w:fldCharType="begin"/>
      </w:r>
      <w:r w:rsidRPr="006031A9">
        <w:rPr>
          <w:rFonts w:eastAsiaTheme="minorHAnsi"/>
          <w:lang w:val="fr-FR"/>
        </w:rPr>
        <w:instrText xml:space="preserve"> REF BOMNOTION2 \h  \* MERGEFORMAT </w:instrText>
      </w:r>
      <w:r w:rsidRPr="006031A9">
        <w:rPr>
          <w:rFonts w:eastAsiaTheme="minorHAnsi"/>
          <w:lang w:val="fr-FR"/>
        </w:rPr>
      </w:r>
      <w:r w:rsidRPr="006031A9">
        <w:rPr>
          <w:rFonts w:eastAsiaTheme="minorHAnsi"/>
          <w:lang w:val="fr-FR"/>
        </w:rPr>
        <w:fldChar w:fldCharType="separate"/>
      </w:r>
      <w:r w:rsidR="006031A9" w:rsidRPr="006031A9">
        <w:rPr>
          <w:noProof/>
          <w:lang w:val="fr-FR"/>
        </w:rPr>
        <w:t>41</w:t>
      </w:r>
      <w:r w:rsidRPr="006031A9">
        <w:rPr>
          <w:rFonts w:eastAsiaTheme="minorHAnsi"/>
          <w:lang w:val="fr-FR"/>
        </w:rPr>
        <w:fldChar w:fldCharType="end"/>
      </w:r>
      <w:r w:rsidRPr="006031A9">
        <w:rPr>
          <w:rFonts w:eastAsiaTheme="minorHAnsi"/>
          <w:lang w:val="fr-FR"/>
        </w:rPr>
        <w:t>, ci</w:t>
      </w:r>
      <w:r w:rsidRPr="006031A9">
        <w:rPr>
          <w:rFonts w:eastAsiaTheme="minorHAnsi"/>
          <w:lang w:val="fr-FR"/>
        </w:rPr>
        <w:noBreakHyphen/>
        <w:t>dessous) qui seraient appliquées dans le cadre d</w:t>
      </w:r>
      <w:r w:rsidR="006031A9" w:rsidRPr="006031A9">
        <w:rPr>
          <w:rFonts w:eastAsiaTheme="minorHAnsi"/>
          <w:lang w:val="fr-FR"/>
        </w:rPr>
        <w:t>’</w:t>
      </w:r>
      <w:r w:rsidRPr="006031A9">
        <w:rPr>
          <w:rFonts w:eastAsiaTheme="minorHAnsi"/>
          <w:lang w:val="fr-FR"/>
        </w:rPr>
        <w:t xml:space="preserve">enquêtes proactives sont soumises aux conditions générales, mentionnées ci-dessus (paragraphe </w:t>
      </w:r>
      <w:r w:rsidRPr="006031A9">
        <w:rPr>
          <w:rFonts w:eastAsiaTheme="minorHAnsi"/>
          <w:lang w:val="fr-FR"/>
        </w:rPr>
        <w:fldChar w:fldCharType="begin"/>
      </w:r>
      <w:r w:rsidRPr="006031A9">
        <w:rPr>
          <w:rFonts w:eastAsiaTheme="minorHAnsi"/>
          <w:lang w:val="fr-FR"/>
        </w:rPr>
        <w:instrText xml:space="preserve"> REF BOMINFO \h  \* MERGEFORMAT </w:instrText>
      </w:r>
      <w:r w:rsidRPr="006031A9">
        <w:rPr>
          <w:rFonts w:eastAsiaTheme="minorHAnsi"/>
          <w:lang w:val="fr-FR"/>
        </w:rPr>
      </w:r>
      <w:r w:rsidRPr="006031A9">
        <w:rPr>
          <w:rFonts w:eastAsiaTheme="minorHAnsi"/>
          <w:lang w:val="fr-FR"/>
        </w:rPr>
        <w:fldChar w:fldCharType="separate"/>
      </w:r>
      <w:r w:rsidR="006031A9" w:rsidRPr="006031A9">
        <w:rPr>
          <w:noProof/>
          <w:lang w:val="fr-FR"/>
        </w:rPr>
        <w:t>36</w:t>
      </w:r>
      <w:r w:rsidRPr="006031A9">
        <w:rPr>
          <w:rFonts w:eastAsiaTheme="minorHAnsi"/>
          <w:lang w:val="fr-FR"/>
        </w:rPr>
        <w:fldChar w:fldCharType="end"/>
      </w:r>
      <w:r w:rsidRPr="006031A9">
        <w:rPr>
          <w:rFonts w:eastAsiaTheme="minorHAnsi"/>
          <w:lang w:val="fr-FR"/>
        </w:rPr>
        <w:t>), auxquelles toute enquête proactive est subordonnée (Cour constitutionnelle, arrêt n</w:t>
      </w:r>
      <w:r w:rsidR="0002655A" w:rsidRPr="006031A9">
        <w:rPr>
          <w:rFonts w:eastAsiaTheme="minorHAnsi"/>
          <w:vertAlign w:val="superscript"/>
          <w:lang w:val="fr-FR"/>
        </w:rPr>
        <w:t>o</w:t>
      </w:r>
      <w:r w:rsidRPr="006031A9">
        <w:rPr>
          <w:rFonts w:eastAsiaTheme="minorHAnsi"/>
          <w:lang w:val="fr-FR"/>
        </w:rPr>
        <w:t xml:space="preserve"> 202/2004 du 21 décembre 2004, point B.4.4).</w:t>
      </w:r>
    </w:p>
    <w:p w:rsidR="00C85586" w:rsidRPr="006031A9" w:rsidRDefault="00C85586" w:rsidP="006031A9">
      <w:pPr>
        <w:pStyle w:val="ECHRHeading2"/>
        <w:rPr>
          <w:lang w:val="fr-FR"/>
        </w:rPr>
      </w:pPr>
      <w:r w:rsidRPr="006031A9">
        <w:rPr>
          <w:lang w:val="fr-FR"/>
        </w:rPr>
        <w:t>B.  Les méthodes particulières de recherche</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39</w:t>
      </w:r>
      <w:r w:rsidRPr="006031A9">
        <w:rPr>
          <w:lang w:val="fr-FR"/>
        </w:rPr>
        <w:fldChar w:fldCharType="end"/>
      </w:r>
      <w:r w:rsidRPr="006031A9">
        <w:rPr>
          <w:lang w:val="fr-FR"/>
        </w:rPr>
        <w:t>.  Aux termes de l</w:t>
      </w:r>
      <w:r w:rsidR="006031A9" w:rsidRPr="006031A9">
        <w:rPr>
          <w:lang w:val="fr-FR"/>
        </w:rPr>
        <w:t>’</w:t>
      </w:r>
      <w:r w:rsidRPr="006031A9">
        <w:rPr>
          <w:lang w:val="fr-FR"/>
        </w:rPr>
        <w:t>article 47</w:t>
      </w:r>
      <w:r w:rsidRPr="006031A9">
        <w:rPr>
          <w:i/>
          <w:lang w:val="fr-FR"/>
        </w:rPr>
        <w:t xml:space="preserve">ter </w:t>
      </w:r>
      <w:r w:rsidRPr="006031A9">
        <w:rPr>
          <w:lang w:val="fr-FR"/>
        </w:rPr>
        <w:t>§ 1</w:t>
      </w:r>
      <w:r w:rsidRPr="006031A9">
        <w:rPr>
          <w:vertAlign w:val="superscript"/>
          <w:lang w:val="fr-FR"/>
        </w:rPr>
        <w:t>er</w:t>
      </w:r>
      <w:r w:rsidRPr="006031A9">
        <w:rPr>
          <w:lang w:val="fr-FR"/>
        </w:rPr>
        <w:t xml:space="preserve"> du CIC, les méthodes </w:t>
      </w:r>
      <w:r w:rsidRPr="006031A9">
        <w:rPr>
          <w:rFonts w:ascii="Times New Roman" w:eastAsiaTheme="minorHAnsi" w:hAnsi="Times New Roman" w:cs="Times New Roman"/>
          <w:szCs w:val="24"/>
          <w:lang w:val="fr-FR"/>
        </w:rPr>
        <w:t>particulières de recherche</w:t>
      </w:r>
      <w:r w:rsidRPr="006031A9">
        <w:rPr>
          <w:lang w:val="fr-FR"/>
        </w:rPr>
        <w:t xml:space="preserve"> sont l</w:t>
      </w:r>
      <w:r w:rsidR="006031A9" w:rsidRPr="006031A9">
        <w:rPr>
          <w:lang w:val="fr-FR"/>
        </w:rPr>
        <w:t>’</w:t>
      </w:r>
      <w:r w:rsidRPr="006031A9">
        <w:rPr>
          <w:lang w:val="fr-FR"/>
        </w:rPr>
        <w:t>observation, l</w:t>
      </w:r>
      <w:r w:rsidR="006031A9" w:rsidRPr="006031A9">
        <w:rPr>
          <w:lang w:val="fr-FR"/>
        </w:rPr>
        <w:t>’</w:t>
      </w:r>
      <w:r w:rsidRPr="006031A9">
        <w:rPr>
          <w:lang w:val="fr-FR"/>
        </w:rPr>
        <w:t>infiltration et le recours aux indicateurs. Il ne sera question ci-après que des deux premières techniques.</w:t>
      </w:r>
    </w:p>
    <w:p w:rsidR="00C85586" w:rsidRPr="006031A9" w:rsidRDefault="00C85586" w:rsidP="006031A9">
      <w:pPr>
        <w:pStyle w:val="ECHRHeading3"/>
        <w:rPr>
          <w:lang w:val="fr-FR"/>
        </w:rPr>
      </w:pPr>
      <w:r w:rsidRPr="006031A9">
        <w:rPr>
          <w:lang w:val="fr-FR"/>
        </w:rPr>
        <w:t>1.  Notions</w:t>
      </w:r>
    </w:p>
    <w:bookmarkStart w:id="18" w:name="BOMNOTION1"/>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40</w:t>
      </w:r>
      <w:r w:rsidRPr="006031A9">
        <w:rPr>
          <w:lang w:val="fr-FR"/>
        </w:rPr>
        <w:fldChar w:fldCharType="end"/>
      </w:r>
      <w:bookmarkEnd w:id="18"/>
      <w:r w:rsidRPr="006031A9">
        <w:rPr>
          <w:lang w:val="fr-FR"/>
        </w:rPr>
        <w:t>.  L</w:t>
      </w:r>
      <w:r w:rsidR="006031A9" w:rsidRPr="006031A9">
        <w:rPr>
          <w:lang w:val="fr-FR"/>
        </w:rPr>
        <w:t>’</w:t>
      </w:r>
      <w:r w:rsidRPr="006031A9">
        <w:rPr>
          <w:lang w:val="fr-FR"/>
        </w:rPr>
        <w:t>article 47</w:t>
      </w:r>
      <w:r w:rsidRPr="006031A9">
        <w:rPr>
          <w:i/>
          <w:lang w:val="fr-FR"/>
        </w:rPr>
        <w:t>sexies</w:t>
      </w:r>
      <w:r w:rsidRPr="006031A9">
        <w:rPr>
          <w:lang w:val="fr-FR"/>
        </w:rPr>
        <w:t xml:space="preserve"> § 1 du CIC définit l</w:t>
      </w:r>
      <w:r w:rsidR="006031A9" w:rsidRPr="006031A9">
        <w:rPr>
          <w:lang w:val="fr-FR"/>
        </w:rPr>
        <w:t>’</w:t>
      </w:r>
      <w:r w:rsidRPr="006031A9">
        <w:rPr>
          <w:lang w:val="fr-FR"/>
        </w:rPr>
        <w:t>observation comme étant l</w:t>
      </w:r>
      <w:r w:rsidR="006031A9" w:rsidRPr="006031A9">
        <w:rPr>
          <w:lang w:val="fr-FR"/>
        </w:rPr>
        <w:t>’</w:t>
      </w:r>
      <w:r w:rsidRPr="006031A9">
        <w:rPr>
          <w:lang w:val="fr-FR"/>
        </w:rPr>
        <w:t>observation systématique, par un fonctionnaire de police, d</w:t>
      </w:r>
      <w:r w:rsidR="006031A9" w:rsidRPr="006031A9">
        <w:rPr>
          <w:lang w:val="fr-FR"/>
        </w:rPr>
        <w:t>’</w:t>
      </w:r>
      <w:r w:rsidRPr="006031A9">
        <w:rPr>
          <w:lang w:val="fr-FR"/>
        </w:rPr>
        <w:t>une ou plusieurs personnes, de leur présence ou de leur comportement, ou de choses, de lieux ou d</w:t>
      </w:r>
      <w:r w:rsidR="006031A9" w:rsidRPr="006031A9">
        <w:rPr>
          <w:lang w:val="fr-FR"/>
        </w:rPr>
        <w:t>’</w:t>
      </w:r>
      <w:r w:rsidRPr="006031A9">
        <w:rPr>
          <w:lang w:val="fr-FR"/>
        </w:rPr>
        <w:t>évènements déterminés. Il s</w:t>
      </w:r>
      <w:r w:rsidR="006031A9" w:rsidRPr="006031A9">
        <w:rPr>
          <w:lang w:val="fr-FR"/>
        </w:rPr>
        <w:t>’</w:t>
      </w:r>
      <w:r w:rsidRPr="006031A9">
        <w:rPr>
          <w:lang w:val="fr-FR"/>
        </w:rPr>
        <w:t>agit d</w:t>
      </w:r>
      <w:r w:rsidR="006031A9" w:rsidRPr="006031A9">
        <w:rPr>
          <w:lang w:val="fr-FR"/>
        </w:rPr>
        <w:t>’</w:t>
      </w:r>
      <w:r w:rsidRPr="006031A9">
        <w:rPr>
          <w:lang w:val="fr-FR"/>
        </w:rPr>
        <w:t>une observation de plus de cinq jours consécutifs ou de plus de cinq jours non consécutifs répartis sur un mois, d</w:t>
      </w:r>
      <w:r w:rsidR="006031A9" w:rsidRPr="006031A9">
        <w:rPr>
          <w:lang w:val="fr-FR"/>
        </w:rPr>
        <w:t>’</w:t>
      </w:r>
      <w:r w:rsidRPr="006031A9">
        <w:rPr>
          <w:lang w:val="fr-FR"/>
        </w:rPr>
        <w:t>une observation dans le cadre de laquelle des moyens techniques sont utilisés, d</w:t>
      </w:r>
      <w:r w:rsidR="006031A9" w:rsidRPr="006031A9">
        <w:rPr>
          <w:lang w:val="fr-FR"/>
        </w:rPr>
        <w:t>’</w:t>
      </w:r>
      <w:r w:rsidRPr="006031A9">
        <w:rPr>
          <w:lang w:val="fr-FR"/>
        </w:rPr>
        <w:t>une observation revêtant un caractère international ou d</w:t>
      </w:r>
      <w:r w:rsidR="006031A9" w:rsidRPr="006031A9">
        <w:rPr>
          <w:lang w:val="fr-FR"/>
        </w:rPr>
        <w:t>’</w:t>
      </w:r>
      <w:r w:rsidRPr="006031A9">
        <w:rPr>
          <w:lang w:val="fr-FR"/>
        </w:rPr>
        <w:t>une observation exécutée par des unités spécialisées de la police fédérale.</w:t>
      </w:r>
    </w:p>
    <w:bookmarkStart w:id="19" w:name="BOMNOTION2"/>
    <w:p w:rsidR="00C85586" w:rsidRPr="006031A9" w:rsidRDefault="00C85586" w:rsidP="006031A9">
      <w:pPr>
        <w:pStyle w:val="ECHRPara"/>
        <w:rPr>
          <w:lang w:val="fr-FR"/>
        </w:rPr>
      </w:pPr>
      <w:r w:rsidRPr="006031A9">
        <w:rPr>
          <w:lang w:val="fr-FR"/>
        </w:rPr>
        <w:lastRenderedPageBreak/>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41</w:t>
      </w:r>
      <w:r w:rsidRPr="006031A9">
        <w:rPr>
          <w:lang w:val="fr-FR"/>
        </w:rPr>
        <w:fldChar w:fldCharType="end"/>
      </w:r>
      <w:bookmarkEnd w:id="19"/>
      <w:r w:rsidRPr="006031A9">
        <w:rPr>
          <w:lang w:val="fr-FR"/>
        </w:rPr>
        <w:t>.  Selon l</w:t>
      </w:r>
      <w:r w:rsidR="006031A9" w:rsidRPr="006031A9">
        <w:rPr>
          <w:lang w:val="fr-FR"/>
        </w:rPr>
        <w:t>’</w:t>
      </w:r>
      <w:r w:rsidRPr="006031A9">
        <w:rPr>
          <w:lang w:val="fr-FR"/>
        </w:rPr>
        <w:t>article 47</w:t>
      </w:r>
      <w:r w:rsidRPr="006031A9">
        <w:rPr>
          <w:i/>
          <w:lang w:val="fr-FR"/>
        </w:rPr>
        <w:t>octies</w:t>
      </w:r>
      <w:r w:rsidRPr="006031A9">
        <w:rPr>
          <w:lang w:val="fr-FR"/>
        </w:rPr>
        <w:t xml:space="preserve"> § 1 du CIC, l</w:t>
      </w:r>
      <w:r w:rsidR="006031A9" w:rsidRPr="006031A9">
        <w:rPr>
          <w:lang w:val="fr-FR"/>
        </w:rPr>
        <w:t>’</w:t>
      </w:r>
      <w:r w:rsidRPr="006031A9">
        <w:rPr>
          <w:lang w:val="fr-FR"/>
        </w:rPr>
        <w:t>infiltration est le fait pour un fonctionnaire de police, appelé infiltrant, d</w:t>
      </w:r>
      <w:r w:rsidR="006031A9" w:rsidRPr="006031A9">
        <w:rPr>
          <w:lang w:val="fr-FR"/>
        </w:rPr>
        <w:t>’</w:t>
      </w:r>
      <w:r w:rsidRPr="006031A9">
        <w:rPr>
          <w:lang w:val="fr-FR"/>
        </w:rPr>
        <w:t>entretenir sous une identité fictive, des relations durables avec une ou plusieurs personnes concernant lesquelles il existe des indices sérieux qu</w:t>
      </w:r>
      <w:r w:rsidR="006031A9" w:rsidRPr="006031A9">
        <w:rPr>
          <w:lang w:val="fr-FR"/>
        </w:rPr>
        <w:t>’</w:t>
      </w:r>
      <w:r w:rsidRPr="006031A9">
        <w:rPr>
          <w:lang w:val="fr-FR"/>
        </w:rPr>
        <w:t>elles commettent ou commettraient des infractions dans le cadre d</w:t>
      </w:r>
      <w:r w:rsidR="006031A9" w:rsidRPr="006031A9">
        <w:rPr>
          <w:lang w:val="fr-FR"/>
        </w:rPr>
        <w:t>’</w:t>
      </w:r>
      <w:r w:rsidRPr="006031A9">
        <w:rPr>
          <w:lang w:val="fr-FR"/>
        </w:rPr>
        <w:t>une organisation criminelle ou de certains crimes et délits.</w:t>
      </w:r>
    </w:p>
    <w:p w:rsidR="0002655A" w:rsidRPr="006031A9" w:rsidRDefault="00C85586" w:rsidP="006031A9">
      <w:pPr>
        <w:pStyle w:val="ECHRHeading3"/>
        <w:rPr>
          <w:lang w:val="fr-FR"/>
        </w:rPr>
      </w:pPr>
      <w:r w:rsidRPr="006031A9">
        <w:rPr>
          <w:lang w:val="fr-FR"/>
        </w:rPr>
        <w:t>2.  Conditions générales</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42</w:t>
      </w:r>
      <w:r w:rsidRPr="006031A9">
        <w:rPr>
          <w:lang w:val="fr-FR"/>
        </w:rPr>
        <w:fldChar w:fldCharType="end"/>
      </w:r>
      <w:r w:rsidRPr="006031A9">
        <w:rPr>
          <w:lang w:val="fr-FR"/>
        </w:rPr>
        <w:t>.  Toute observation ou infiltration dans le cadre d</w:t>
      </w:r>
      <w:r w:rsidR="006031A9" w:rsidRPr="006031A9">
        <w:rPr>
          <w:lang w:val="fr-FR"/>
        </w:rPr>
        <w:t>’</w:t>
      </w:r>
      <w:r w:rsidRPr="006031A9">
        <w:rPr>
          <w:lang w:val="fr-FR"/>
        </w:rPr>
        <w:t>une information requiert l</w:t>
      </w:r>
      <w:r w:rsidR="006031A9" w:rsidRPr="006031A9">
        <w:rPr>
          <w:lang w:val="fr-FR"/>
        </w:rPr>
        <w:t>’</w:t>
      </w:r>
      <w:r w:rsidRPr="006031A9">
        <w:rPr>
          <w:lang w:val="fr-FR"/>
        </w:rPr>
        <w:t>autorisation du procureur du Roi qui ne peut prendre la mesure que si les nécessités de l</w:t>
      </w:r>
      <w:r w:rsidR="006031A9" w:rsidRPr="006031A9">
        <w:rPr>
          <w:lang w:val="fr-FR"/>
        </w:rPr>
        <w:t>’</w:t>
      </w:r>
      <w:r w:rsidRPr="006031A9">
        <w:rPr>
          <w:lang w:val="fr-FR"/>
        </w:rPr>
        <w:t>enquête l</w:t>
      </w:r>
      <w:r w:rsidR="006031A9" w:rsidRPr="006031A9">
        <w:rPr>
          <w:lang w:val="fr-FR"/>
        </w:rPr>
        <w:t>’</w:t>
      </w:r>
      <w:r w:rsidRPr="006031A9">
        <w:rPr>
          <w:lang w:val="fr-FR"/>
        </w:rPr>
        <w:t>exigent et si les autres moyens d</w:t>
      </w:r>
      <w:r w:rsidR="006031A9" w:rsidRPr="006031A9">
        <w:rPr>
          <w:lang w:val="fr-FR"/>
        </w:rPr>
        <w:t>’</w:t>
      </w:r>
      <w:r w:rsidRPr="006031A9">
        <w:rPr>
          <w:lang w:val="fr-FR"/>
        </w:rPr>
        <w:t>investigation ne peuvent suffire à la manifestation de la vérité (principe de subsidiarité) (articles 47</w:t>
      </w:r>
      <w:r w:rsidRPr="006031A9">
        <w:rPr>
          <w:i/>
          <w:lang w:val="fr-FR"/>
        </w:rPr>
        <w:t>sexies</w:t>
      </w:r>
      <w:r w:rsidRPr="006031A9">
        <w:rPr>
          <w:lang w:val="fr-FR"/>
        </w:rPr>
        <w:t xml:space="preserve"> § 2 et 47</w:t>
      </w:r>
      <w:r w:rsidRPr="006031A9">
        <w:rPr>
          <w:i/>
          <w:lang w:val="fr-FR"/>
        </w:rPr>
        <w:t>octies</w:t>
      </w:r>
      <w:r w:rsidRPr="006031A9">
        <w:rPr>
          <w:lang w:val="fr-FR"/>
        </w:rPr>
        <w:t xml:space="preserve"> § 2 du CIC).</w:t>
      </w:r>
    </w:p>
    <w:p w:rsidR="0002655A" w:rsidRPr="006031A9" w:rsidRDefault="00C85586" w:rsidP="006031A9">
      <w:pPr>
        <w:pStyle w:val="ECHRPara"/>
        <w:rPr>
          <w:lang w:val="fr-FR"/>
        </w:rPr>
      </w:pPr>
      <w:r w:rsidRPr="006031A9">
        <w:rPr>
          <w:lang w:val="fr-FR"/>
        </w:rPr>
        <w:t>L</w:t>
      </w:r>
      <w:r w:rsidR="006031A9" w:rsidRPr="006031A9">
        <w:rPr>
          <w:lang w:val="fr-FR"/>
        </w:rPr>
        <w:t>’</w:t>
      </w:r>
      <w:r w:rsidRPr="006031A9">
        <w:rPr>
          <w:lang w:val="fr-FR"/>
        </w:rPr>
        <w:t>observation et l</w:t>
      </w:r>
      <w:r w:rsidR="006031A9" w:rsidRPr="006031A9">
        <w:rPr>
          <w:lang w:val="fr-FR"/>
        </w:rPr>
        <w:t>’</w:t>
      </w:r>
      <w:r w:rsidRPr="006031A9">
        <w:rPr>
          <w:lang w:val="fr-FR"/>
        </w:rPr>
        <w:t>infiltration peuvent également être autorisées par le juge d</w:t>
      </w:r>
      <w:r w:rsidR="006031A9" w:rsidRPr="006031A9">
        <w:rPr>
          <w:lang w:val="fr-FR"/>
        </w:rPr>
        <w:t>’</w:t>
      </w:r>
      <w:r w:rsidRPr="006031A9">
        <w:rPr>
          <w:lang w:val="fr-FR"/>
        </w:rPr>
        <w:t>instruction dans le cadre d</w:t>
      </w:r>
      <w:r w:rsidR="006031A9" w:rsidRPr="006031A9">
        <w:rPr>
          <w:lang w:val="fr-FR"/>
        </w:rPr>
        <w:t>’</w:t>
      </w:r>
      <w:r w:rsidRPr="006031A9">
        <w:rPr>
          <w:lang w:val="fr-FR"/>
        </w:rPr>
        <w:t>une instruction. Ces autorisations sont alors exécutées par le procureur du Roi, conformément aux règles applicables dans le cadre d</w:t>
      </w:r>
      <w:r w:rsidR="006031A9" w:rsidRPr="006031A9">
        <w:rPr>
          <w:lang w:val="fr-FR"/>
        </w:rPr>
        <w:t>’</w:t>
      </w:r>
      <w:r w:rsidRPr="006031A9">
        <w:rPr>
          <w:lang w:val="fr-FR"/>
        </w:rPr>
        <w:t>une instruction (article 56</w:t>
      </w:r>
      <w:r w:rsidRPr="006031A9">
        <w:rPr>
          <w:i/>
          <w:lang w:val="fr-FR"/>
        </w:rPr>
        <w:t>bis</w:t>
      </w:r>
      <w:r w:rsidRPr="006031A9">
        <w:rPr>
          <w:lang w:val="fr-FR"/>
        </w:rPr>
        <w:t xml:space="preserve"> du CIC).</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43</w:t>
      </w:r>
      <w:r w:rsidRPr="006031A9">
        <w:rPr>
          <w:lang w:val="fr-FR"/>
        </w:rPr>
        <w:fldChar w:fldCharType="end"/>
      </w:r>
      <w:r w:rsidRPr="006031A9">
        <w:rPr>
          <w:lang w:val="fr-FR"/>
        </w:rPr>
        <w:t>.  S</w:t>
      </w:r>
      <w:r w:rsidR="006031A9" w:rsidRPr="006031A9">
        <w:rPr>
          <w:lang w:val="fr-FR"/>
        </w:rPr>
        <w:t>’</w:t>
      </w:r>
      <w:r w:rsidRPr="006031A9">
        <w:rPr>
          <w:lang w:val="fr-FR"/>
        </w:rPr>
        <w:t>il est fait appel à des moyens techniques, l</w:t>
      </w:r>
      <w:r w:rsidR="006031A9" w:rsidRPr="006031A9">
        <w:rPr>
          <w:lang w:val="fr-FR"/>
        </w:rPr>
        <w:t>’</w:t>
      </w:r>
      <w:r w:rsidRPr="006031A9">
        <w:rPr>
          <w:lang w:val="fr-FR"/>
        </w:rPr>
        <w:t>observation ne peut être autorisée que lorsqu</w:t>
      </w:r>
      <w:r w:rsidR="006031A9" w:rsidRPr="006031A9">
        <w:rPr>
          <w:lang w:val="fr-FR"/>
        </w:rPr>
        <w:t>’</w:t>
      </w:r>
      <w:r w:rsidRPr="006031A9">
        <w:rPr>
          <w:lang w:val="fr-FR"/>
        </w:rPr>
        <w:t>il existe des indices sérieux que les infractions sont de nature à entraîner un emprisonnement correctionnel principal d</w:t>
      </w:r>
      <w:r w:rsidR="006031A9" w:rsidRPr="006031A9">
        <w:rPr>
          <w:lang w:val="fr-FR"/>
        </w:rPr>
        <w:t>’</w:t>
      </w:r>
      <w:r w:rsidRPr="006031A9">
        <w:rPr>
          <w:lang w:val="fr-FR"/>
        </w:rPr>
        <w:t>un an au moins (article 47</w:t>
      </w:r>
      <w:r w:rsidRPr="006031A9">
        <w:rPr>
          <w:i/>
          <w:lang w:val="fr-FR"/>
        </w:rPr>
        <w:t>sexies</w:t>
      </w:r>
      <w:r w:rsidRPr="006031A9">
        <w:rPr>
          <w:lang w:val="fr-FR"/>
        </w:rPr>
        <w:t xml:space="preserve"> § 2 du CIC).</w:t>
      </w:r>
    </w:p>
    <w:bookmarkStart w:id="20" w:name="DOSCONF3"/>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44</w:t>
      </w:r>
      <w:r w:rsidRPr="006031A9">
        <w:rPr>
          <w:lang w:val="fr-FR"/>
        </w:rPr>
        <w:fldChar w:fldCharType="end"/>
      </w:r>
      <w:bookmarkEnd w:id="20"/>
      <w:r w:rsidRPr="006031A9">
        <w:rPr>
          <w:lang w:val="fr-FR"/>
        </w:rPr>
        <w:t>.  Les autorisations sont octroyées à durée limitée (un mois pour l</w:t>
      </w:r>
      <w:r w:rsidR="006031A9" w:rsidRPr="006031A9">
        <w:rPr>
          <w:lang w:val="fr-FR"/>
        </w:rPr>
        <w:t>’</w:t>
      </w:r>
      <w:r w:rsidRPr="006031A9">
        <w:rPr>
          <w:lang w:val="fr-FR"/>
        </w:rPr>
        <w:t>observation et trois mois pour l</w:t>
      </w:r>
      <w:r w:rsidR="006031A9" w:rsidRPr="006031A9">
        <w:rPr>
          <w:lang w:val="fr-FR"/>
        </w:rPr>
        <w:t>’</w:t>
      </w:r>
      <w:r w:rsidRPr="006031A9">
        <w:rPr>
          <w:lang w:val="fr-FR"/>
        </w:rPr>
        <w:t>infiltration) et peuvent, à tout moment, être modifiées, complétées ou prolongées (articles 47</w:t>
      </w:r>
      <w:r w:rsidRPr="006031A9">
        <w:rPr>
          <w:i/>
          <w:lang w:val="fr-FR"/>
        </w:rPr>
        <w:t>sexies</w:t>
      </w:r>
      <w:r w:rsidRPr="006031A9">
        <w:rPr>
          <w:lang w:val="fr-FR"/>
        </w:rPr>
        <w:t xml:space="preserve"> §§ 3, 5</w:t>
      </w:r>
      <w:r w:rsidR="0002655A" w:rsidRPr="006031A9">
        <w:rPr>
          <w:vertAlign w:val="superscript"/>
          <w:lang w:val="fr-FR"/>
        </w:rPr>
        <w:t>o</w:t>
      </w:r>
      <w:r w:rsidR="00313C7B" w:rsidRPr="006031A9">
        <w:rPr>
          <w:lang w:val="fr-FR"/>
        </w:rPr>
        <w:t>, et 6, et </w:t>
      </w:r>
      <w:r w:rsidRPr="006031A9">
        <w:rPr>
          <w:lang w:val="fr-FR"/>
        </w:rPr>
        <w:t>47</w:t>
      </w:r>
      <w:r w:rsidRPr="006031A9">
        <w:rPr>
          <w:i/>
          <w:lang w:val="fr-FR"/>
        </w:rPr>
        <w:t>octies</w:t>
      </w:r>
      <w:r w:rsidRPr="006031A9">
        <w:rPr>
          <w:lang w:val="fr-FR"/>
        </w:rPr>
        <w:t xml:space="preserve"> §§ 3, 5</w:t>
      </w:r>
      <w:r w:rsidR="0002655A" w:rsidRPr="006031A9">
        <w:rPr>
          <w:vertAlign w:val="superscript"/>
          <w:lang w:val="fr-FR"/>
        </w:rPr>
        <w:t>o</w:t>
      </w:r>
      <w:r w:rsidRPr="006031A9">
        <w:rPr>
          <w:lang w:val="fr-FR"/>
        </w:rPr>
        <w:t>, et 6 du CIC). Ces décisions donnent lieu à l</w:t>
      </w:r>
      <w:r w:rsidR="006031A9" w:rsidRPr="006031A9">
        <w:rPr>
          <w:lang w:val="fr-FR"/>
        </w:rPr>
        <w:t>’</w:t>
      </w:r>
      <w:r w:rsidRPr="006031A9">
        <w:rPr>
          <w:lang w:val="fr-FR"/>
        </w:rPr>
        <w:t>établissement de trois</w:t>
      </w:r>
      <w:r w:rsidR="0002655A" w:rsidRPr="006031A9">
        <w:rPr>
          <w:lang w:val="fr-FR"/>
        </w:rPr>
        <w:t xml:space="preserve"> </w:t>
      </w:r>
      <w:r w:rsidRPr="006031A9">
        <w:rPr>
          <w:lang w:val="fr-FR"/>
        </w:rPr>
        <w:t>écrits :</w:t>
      </w:r>
    </w:p>
    <w:p w:rsidR="00C85586" w:rsidRPr="006031A9" w:rsidRDefault="00C85586" w:rsidP="006031A9">
      <w:pPr>
        <w:pStyle w:val="ECHRPara"/>
        <w:rPr>
          <w:lang w:val="fr-FR"/>
        </w:rPr>
      </w:pPr>
      <w:r w:rsidRPr="006031A9">
        <w:rPr>
          <w:lang w:val="fr-FR"/>
        </w:rPr>
        <w:t>–  l</w:t>
      </w:r>
      <w:r w:rsidR="006031A9" w:rsidRPr="006031A9">
        <w:rPr>
          <w:lang w:val="fr-FR"/>
        </w:rPr>
        <w:t>’</w:t>
      </w:r>
      <w:r w:rsidRPr="006031A9">
        <w:rPr>
          <w:lang w:val="fr-FR"/>
        </w:rPr>
        <w:t xml:space="preserve">autorisation elle-même qui est versée au dossier confidentiel (voir paragraphe </w:t>
      </w:r>
      <w:r w:rsidRPr="006031A9">
        <w:rPr>
          <w:lang w:val="fr-FR"/>
        </w:rPr>
        <w:fldChar w:fldCharType="begin"/>
      </w:r>
      <w:r w:rsidRPr="006031A9">
        <w:rPr>
          <w:lang w:val="fr-FR"/>
        </w:rPr>
        <w:instrText xml:space="preserve"> REF DOSCONF1 \h  \* MERGEFORMAT </w:instrText>
      </w:r>
      <w:r w:rsidRPr="006031A9">
        <w:rPr>
          <w:lang w:val="fr-FR"/>
        </w:rPr>
      </w:r>
      <w:r w:rsidRPr="006031A9">
        <w:rPr>
          <w:lang w:val="fr-FR"/>
        </w:rPr>
        <w:fldChar w:fldCharType="separate"/>
      </w:r>
      <w:r w:rsidR="006031A9" w:rsidRPr="006031A9">
        <w:rPr>
          <w:noProof/>
          <w:lang w:val="fr-FR"/>
        </w:rPr>
        <w:t>47</w:t>
      </w:r>
      <w:r w:rsidRPr="006031A9">
        <w:rPr>
          <w:lang w:val="fr-FR"/>
        </w:rPr>
        <w:fldChar w:fldCharType="end"/>
      </w:r>
      <w:r w:rsidRPr="006031A9">
        <w:rPr>
          <w:lang w:val="fr-FR"/>
        </w:rPr>
        <w:t>, ci</w:t>
      </w:r>
      <w:r w:rsidRPr="006031A9">
        <w:rPr>
          <w:lang w:val="fr-FR"/>
        </w:rPr>
        <w:noBreakHyphen/>
        <w:t>dessous) (articles 47</w:t>
      </w:r>
      <w:r w:rsidRPr="006031A9">
        <w:rPr>
          <w:i/>
          <w:lang w:val="fr-FR"/>
        </w:rPr>
        <w:t>sexies</w:t>
      </w:r>
      <w:r w:rsidRPr="006031A9">
        <w:rPr>
          <w:lang w:val="fr-FR"/>
        </w:rPr>
        <w:t xml:space="preserve"> § 3, 47</w:t>
      </w:r>
      <w:r w:rsidRPr="006031A9">
        <w:rPr>
          <w:i/>
          <w:lang w:val="fr-FR"/>
        </w:rPr>
        <w:t>septies</w:t>
      </w:r>
      <w:r w:rsidRPr="006031A9">
        <w:rPr>
          <w:lang w:val="fr-FR"/>
        </w:rPr>
        <w:t xml:space="preserve"> § 2, 47</w:t>
      </w:r>
      <w:r w:rsidRPr="006031A9">
        <w:rPr>
          <w:i/>
          <w:lang w:val="fr-FR"/>
        </w:rPr>
        <w:t>octies</w:t>
      </w:r>
      <w:r w:rsidRPr="006031A9">
        <w:rPr>
          <w:lang w:val="fr-FR"/>
        </w:rPr>
        <w:t xml:space="preserve"> §</w:t>
      </w:r>
      <w:r w:rsidR="00313C7B" w:rsidRPr="006031A9">
        <w:rPr>
          <w:lang w:val="fr-FR"/>
        </w:rPr>
        <w:t> </w:t>
      </w:r>
      <w:r w:rsidRPr="006031A9">
        <w:rPr>
          <w:lang w:val="fr-FR"/>
        </w:rPr>
        <w:t>3 et</w:t>
      </w:r>
      <w:r w:rsidR="00313C7B" w:rsidRPr="006031A9">
        <w:rPr>
          <w:lang w:val="fr-FR"/>
        </w:rPr>
        <w:t> </w:t>
      </w:r>
      <w:r w:rsidRPr="006031A9">
        <w:rPr>
          <w:lang w:val="fr-FR"/>
        </w:rPr>
        <w:t>47</w:t>
      </w:r>
      <w:r w:rsidRPr="006031A9">
        <w:rPr>
          <w:i/>
          <w:lang w:val="fr-FR"/>
        </w:rPr>
        <w:t>novies</w:t>
      </w:r>
      <w:r w:rsidRPr="006031A9">
        <w:rPr>
          <w:lang w:val="fr-FR"/>
        </w:rPr>
        <w:t xml:space="preserve"> § 2 du CIC) ;</w:t>
      </w:r>
    </w:p>
    <w:p w:rsidR="00C85586" w:rsidRPr="006031A9" w:rsidRDefault="00C85586" w:rsidP="006031A9">
      <w:pPr>
        <w:pStyle w:val="ECHRPara"/>
        <w:rPr>
          <w:lang w:val="fr-FR"/>
        </w:rPr>
      </w:pPr>
      <w:r w:rsidRPr="006031A9">
        <w:rPr>
          <w:lang w:val="fr-FR"/>
        </w:rPr>
        <w:t>–  un procès-verbal dressé par l</w:t>
      </w:r>
      <w:r w:rsidR="006031A9" w:rsidRPr="006031A9">
        <w:rPr>
          <w:lang w:val="fr-FR"/>
        </w:rPr>
        <w:t>’</w:t>
      </w:r>
      <w:r w:rsidRPr="006031A9">
        <w:rPr>
          <w:lang w:val="fr-FR"/>
        </w:rPr>
        <w:t>officier de police judiciaire en charge qui fait référence à l</w:t>
      </w:r>
      <w:r w:rsidR="006031A9" w:rsidRPr="006031A9">
        <w:rPr>
          <w:lang w:val="fr-FR"/>
        </w:rPr>
        <w:t>’</w:t>
      </w:r>
      <w:r w:rsidRPr="006031A9">
        <w:rPr>
          <w:lang w:val="fr-FR"/>
        </w:rPr>
        <w:t>autorisation</w:t>
      </w:r>
      <w:r w:rsidR="0002655A" w:rsidRPr="006031A9">
        <w:rPr>
          <w:lang w:val="fr-FR"/>
        </w:rPr>
        <w:t xml:space="preserve"> </w:t>
      </w:r>
      <w:r w:rsidRPr="006031A9">
        <w:rPr>
          <w:lang w:val="fr-FR"/>
        </w:rPr>
        <w:t>et qui fait mention d</w:t>
      </w:r>
      <w:r w:rsidR="006031A9" w:rsidRPr="006031A9">
        <w:rPr>
          <w:lang w:val="fr-FR"/>
        </w:rPr>
        <w:t>’</w:t>
      </w:r>
      <w:r w:rsidRPr="006031A9">
        <w:rPr>
          <w:lang w:val="fr-FR"/>
        </w:rPr>
        <w:t>une partie du contenu de celle-ci (état des indices sérieux de l</w:t>
      </w:r>
      <w:r w:rsidR="006031A9" w:rsidRPr="006031A9">
        <w:rPr>
          <w:lang w:val="fr-FR"/>
        </w:rPr>
        <w:t>’</w:t>
      </w:r>
      <w:r w:rsidRPr="006031A9">
        <w:rPr>
          <w:lang w:val="fr-FR"/>
        </w:rPr>
        <w:t>infraction, motifs de la mesure, personnes, choses ou lieux visés et durée) ; ce procès-verbal est versé au dossier « ouvert » de la procédure (articles 47</w:t>
      </w:r>
      <w:r w:rsidRPr="006031A9">
        <w:rPr>
          <w:i/>
          <w:lang w:val="fr-FR"/>
        </w:rPr>
        <w:t>septies</w:t>
      </w:r>
      <w:r w:rsidRPr="006031A9">
        <w:rPr>
          <w:lang w:val="fr-FR"/>
        </w:rPr>
        <w:t xml:space="preserve"> § 2 et 47</w:t>
      </w:r>
      <w:r w:rsidRPr="006031A9">
        <w:rPr>
          <w:i/>
          <w:lang w:val="fr-FR"/>
        </w:rPr>
        <w:t>novies</w:t>
      </w:r>
      <w:r w:rsidRPr="006031A9">
        <w:rPr>
          <w:lang w:val="fr-FR"/>
        </w:rPr>
        <w:t xml:space="preserve"> § 2 du CIC) ;</w:t>
      </w:r>
    </w:p>
    <w:p w:rsidR="00C85586" w:rsidRPr="006031A9" w:rsidRDefault="00C85586" w:rsidP="006031A9">
      <w:pPr>
        <w:pStyle w:val="ECHRPara"/>
        <w:rPr>
          <w:lang w:val="fr-FR"/>
        </w:rPr>
      </w:pPr>
      <w:r w:rsidRPr="006031A9">
        <w:rPr>
          <w:lang w:val="fr-FR"/>
        </w:rPr>
        <w:t>–  la décision écrite par laquelle le magistrat compétent confirme l</w:t>
      </w:r>
      <w:r w:rsidR="006031A9" w:rsidRPr="006031A9">
        <w:rPr>
          <w:lang w:val="fr-FR"/>
        </w:rPr>
        <w:t>’</w:t>
      </w:r>
      <w:r w:rsidRPr="006031A9">
        <w:rPr>
          <w:lang w:val="fr-FR"/>
        </w:rPr>
        <w:t>existence de l</w:t>
      </w:r>
      <w:r w:rsidR="006031A9" w:rsidRPr="006031A9">
        <w:rPr>
          <w:lang w:val="fr-FR"/>
        </w:rPr>
        <w:t>’</w:t>
      </w:r>
      <w:r w:rsidRPr="006031A9">
        <w:rPr>
          <w:lang w:val="fr-FR"/>
        </w:rPr>
        <w:t>autorisation ; cette décision est versée au dossier « ouvert » de la procédure (articles 47</w:t>
      </w:r>
      <w:r w:rsidRPr="006031A9">
        <w:rPr>
          <w:i/>
          <w:lang w:val="fr-FR"/>
        </w:rPr>
        <w:t>septies</w:t>
      </w:r>
      <w:r w:rsidRPr="006031A9">
        <w:rPr>
          <w:lang w:val="fr-FR"/>
        </w:rPr>
        <w:t xml:space="preserve"> § 2 et 47</w:t>
      </w:r>
      <w:r w:rsidRPr="006031A9">
        <w:rPr>
          <w:i/>
          <w:lang w:val="fr-FR"/>
        </w:rPr>
        <w:t>novies</w:t>
      </w:r>
      <w:r w:rsidRPr="006031A9">
        <w:rPr>
          <w:lang w:val="fr-FR"/>
        </w:rPr>
        <w:t xml:space="preserve"> § 2 du CIC).</w:t>
      </w:r>
    </w:p>
    <w:bookmarkStart w:id="21" w:name="DOSCONF4"/>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45</w:t>
      </w:r>
      <w:r w:rsidRPr="006031A9">
        <w:rPr>
          <w:lang w:val="fr-FR"/>
        </w:rPr>
        <w:fldChar w:fldCharType="end"/>
      </w:r>
      <w:bookmarkEnd w:id="21"/>
      <w:r w:rsidRPr="006031A9">
        <w:rPr>
          <w:lang w:val="fr-FR"/>
        </w:rPr>
        <w:t>.  La mise en œuvre des mesures est confiée à un officier de police judiciaire qui rédige deux sortes d</w:t>
      </w:r>
      <w:r w:rsidR="006031A9" w:rsidRPr="006031A9">
        <w:rPr>
          <w:lang w:val="fr-FR"/>
        </w:rPr>
        <w:t>’</w:t>
      </w:r>
      <w:r w:rsidRPr="006031A9">
        <w:rPr>
          <w:lang w:val="fr-FR"/>
        </w:rPr>
        <w:t>écrit :</w:t>
      </w:r>
    </w:p>
    <w:p w:rsidR="00C85586" w:rsidRPr="006031A9" w:rsidRDefault="00C85586" w:rsidP="006031A9">
      <w:pPr>
        <w:pStyle w:val="ECHRPara"/>
        <w:rPr>
          <w:lang w:val="fr-FR"/>
        </w:rPr>
      </w:pPr>
      <w:r w:rsidRPr="006031A9">
        <w:rPr>
          <w:lang w:val="fr-FR"/>
        </w:rPr>
        <w:t>–  des rapports intégraux qu</w:t>
      </w:r>
      <w:r w:rsidR="006031A9" w:rsidRPr="006031A9">
        <w:rPr>
          <w:lang w:val="fr-FR"/>
        </w:rPr>
        <w:t>’</w:t>
      </w:r>
      <w:r w:rsidRPr="006031A9">
        <w:rPr>
          <w:lang w:val="fr-FR"/>
        </w:rPr>
        <w:t>il transmet au procureur du Roi sur chaque phase de l</w:t>
      </w:r>
      <w:r w:rsidR="006031A9" w:rsidRPr="006031A9">
        <w:rPr>
          <w:lang w:val="fr-FR"/>
        </w:rPr>
        <w:t>’</w:t>
      </w:r>
      <w:r w:rsidRPr="006031A9">
        <w:rPr>
          <w:lang w:val="fr-FR"/>
        </w:rPr>
        <w:t xml:space="preserve">exécution des mesures ; ces rapports sont versés au dossier confidentiel (voir paragraphes </w:t>
      </w:r>
      <w:r w:rsidRPr="006031A9">
        <w:rPr>
          <w:lang w:val="fr-FR"/>
        </w:rPr>
        <w:fldChar w:fldCharType="begin"/>
      </w:r>
      <w:r w:rsidRPr="006031A9">
        <w:rPr>
          <w:lang w:val="fr-FR"/>
        </w:rPr>
        <w:instrText xml:space="preserve"> REF DOSCONF1 \h  \* MERGEFORMAT </w:instrText>
      </w:r>
      <w:r w:rsidRPr="006031A9">
        <w:rPr>
          <w:lang w:val="fr-FR"/>
        </w:rPr>
      </w:r>
      <w:r w:rsidRPr="006031A9">
        <w:rPr>
          <w:lang w:val="fr-FR"/>
        </w:rPr>
        <w:fldChar w:fldCharType="separate"/>
      </w:r>
      <w:r w:rsidR="006031A9" w:rsidRPr="006031A9">
        <w:rPr>
          <w:noProof/>
          <w:lang w:val="fr-FR"/>
        </w:rPr>
        <w:t>47</w:t>
      </w:r>
      <w:r w:rsidRPr="006031A9">
        <w:rPr>
          <w:lang w:val="fr-FR"/>
        </w:rPr>
        <w:fldChar w:fldCharType="end"/>
      </w:r>
      <w:r w:rsidRPr="006031A9">
        <w:rPr>
          <w:lang w:val="fr-FR"/>
        </w:rPr>
        <w:t>-</w:t>
      </w:r>
      <w:r w:rsidRPr="006031A9">
        <w:rPr>
          <w:lang w:val="fr-FR"/>
        </w:rPr>
        <w:fldChar w:fldCharType="begin"/>
      </w:r>
      <w:r w:rsidRPr="006031A9">
        <w:rPr>
          <w:lang w:val="fr-FR"/>
        </w:rPr>
        <w:instrText xml:space="preserve"> REF DOSCONF2 \h  \* MERGEFORMAT </w:instrText>
      </w:r>
      <w:r w:rsidRPr="006031A9">
        <w:rPr>
          <w:lang w:val="fr-FR"/>
        </w:rPr>
      </w:r>
      <w:r w:rsidRPr="006031A9">
        <w:rPr>
          <w:lang w:val="fr-FR"/>
        </w:rPr>
        <w:fldChar w:fldCharType="separate"/>
      </w:r>
      <w:r w:rsidR="006031A9" w:rsidRPr="006031A9">
        <w:rPr>
          <w:noProof/>
          <w:sz w:val="23"/>
          <w:szCs w:val="23"/>
          <w:lang w:val="fr-FR"/>
        </w:rPr>
        <w:t>49</w:t>
      </w:r>
      <w:r w:rsidRPr="006031A9">
        <w:rPr>
          <w:lang w:val="fr-FR"/>
        </w:rPr>
        <w:fldChar w:fldCharType="end"/>
      </w:r>
      <w:r w:rsidRPr="006031A9">
        <w:rPr>
          <w:lang w:val="fr-FR"/>
        </w:rPr>
        <w:t>, ci-dessous) (articles 47</w:t>
      </w:r>
      <w:r w:rsidRPr="006031A9">
        <w:rPr>
          <w:i/>
          <w:lang w:val="fr-FR"/>
        </w:rPr>
        <w:t>septies</w:t>
      </w:r>
      <w:r w:rsidR="00313C7B" w:rsidRPr="006031A9">
        <w:rPr>
          <w:lang w:val="fr-FR"/>
        </w:rPr>
        <w:t xml:space="preserve"> § 1 et </w:t>
      </w:r>
      <w:r w:rsidRPr="006031A9">
        <w:rPr>
          <w:lang w:val="fr-FR"/>
        </w:rPr>
        <w:t>47</w:t>
      </w:r>
      <w:r w:rsidRPr="006031A9">
        <w:rPr>
          <w:i/>
          <w:lang w:val="fr-FR"/>
        </w:rPr>
        <w:t>novies</w:t>
      </w:r>
      <w:r w:rsidRPr="006031A9">
        <w:rPr>
          <w:lang w:val="fr-FR"/>
        </w:rPr>
        <w:t xml:space="preserve"> § 1 du CIC) ;</w:t>
      </w:r>
    </w:p>
    <w:p w:rsidR="00C85586" w:rsidRPr="006031A9" w:rsidRDefault="00C85586" w:rsidP="006031A9">
      <w:pPr>
        <w:pStyle w:val="ECHRPara"/>
        <w:rPr>
          <w:lang w:val="fr-FR"/>
        </w:rPr>
      </w:pPr>
      <w:r w:rsidRPr="006031A9">
        <w:rPr>
          <w:lang w:val="fr-FR"/>
        </w:rPr>
        <w:lastRenderedPageBreak/>
        <w:t>–  des procès-verbaux des différentes phases des mesures d</w:t>
      </w:r>
      <w:r w:rsidR="006031A9" w:rsidRPr="006031A9">
        <w:rPr>
          <w:lang w:val="fr-FR"/>
        </w:rPr>
        <w:t>’</w:t>
      </w:r>
      <w:r w:rsidRPr="006031A9">
        <w:rPr>
          <w:lang w:val="fr-FR"/>
        </w:rPr>
        <w:t>où sont écartés les éléments susceptibles de compromettre les moyens techniques et les techniques d</w:t>
      </w:r>
      <w:r w:rsidR="006031A9" w:rsidRPr="006031A9">
        <w:rPr>
          <w:lang w:val="fr-FR"/>
        </w:rPr>
        <w:t>’</w:t>
      </w:r>
      <w:r w:rsidRPr="006031A9">
        <w:rPr>
          <w:lang w:val="fr-FR"/>
        </w:rPr>
        <w:t>enquête policière utilisés ou la garantie de sécurité et de l</w:t>
      </w:r>
      <w:r w:rsidR="006031A9" w:rsidRPr="006031A9">
        <w:rPr>
          <w:lang w:val="fr-FR"/>
        </w:rPr>
        <w:t>’</w:t>
      </w:r>
      <w:r w:rsidRPr="006031A9">
        <w:rPr>
          <w:lang w:val="fr-FR"/>
        </w:rPr>
        <w:t>anonymat des personnes impliquées dans la mesure ; ces procès-verbaux sont versés au dossier répressif, « ouve</w:t>
      </w:r>
      <w:r w:rsidR="00313C7B" w:rsidRPr="006031A9">
        <w:rPr>
          <w:lang w:val="fr-FR"/>
        </w:rPr>
        <w:t>rt », de la procédure (articles </w:t>
      </w:r>
      <w:r w:rsidRPr="006031A9">
        <w:rPr>
          <w:lang w:val="fr-FR"/>
        </w:rPr>
        <w:t>47</w:t>
      </w:r>
      <w:r w:rsidRPr="006031A9">
        <w:rPr>
          <w:i/>
          <w:lang w:val="fr-FR"/>
        </w:rPr>
        <w:t>septies</w:t>
      </w:r>
      <w:r w:rsidR="00313C7B" w:rsidRPr="006031A9">
        <w:rPr>
          <w:lang w:val="fr-FR"/>
        </w:rPr>
        <w:t xml:space="preserve"> § </w:t>
      </w:r>
      <w:r w:rsidRPr="006031A9">
        <w:rPr>
          <w:lang w:val="fr-FR"/>
        </w:rPr>
        <w:t>2 et 47</w:t>
      </w:r>
      <w:r w:rsidRPr="006031A9">
        <w:rPr>
          <w:i/>
          <w:lang w:val="fr-FR"/>
        </w:rPr>
        <w:t>novies</w:t>
      </w:r>
      <w:r w:rsidRPr="006031A9">
        <w:rPr>
          <w:lang w:val="fr-FR"/>
        </w:rPr>
        <w:t xml:space="preserve"> § 2 du CIC).</w:t>
      </w:r>
    </w:p>
    <w:bookmarkStart w:id="22" w:name="PROVOCCIC"/>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46</w:t>
      </w:r>
      <w:r w:rsidRPr="006031A9">
        <w:rPr>
          <w:lang w:val="fr-FR"/>
        </w:rPr>
        <w:fldChar w:fldCharType="end"/>
      </w:r>
      <w:bookmarkEnd w:id="22"/>
      <w:r w:rsidRPr="006031A9">
        <w:rPr>
          <w:lang w:val="fr-FR"/>
        </w:rPr>
        <w:t xml:space="preserve">.  La provocation est interdite. </w:t>
      </w:r>
      <w:r w:rsidRPr="006031A9">
        <w:rPr>
          <w:rFonts w:eastAsiaTheme="minorHAnsi"/>
          <w:lang w:val="fr-FR"/>
        </w:rPr>
        <w:t>Il y a provocation lorsque, dans le chef de l</w:t>
      </w:r>
      <w:r w:rsidR="006031A9" w:rsidRPr="006031A9">
        <w:rPr>
          <w:rFonts w:eastAsiaTheme="minorHAnsi"/>
          <w:lang w:val="fr-FR"/>
        </w:rPr>
        <w:t>’</w:t>
      </w:r>
      <w:r w:rsidRPr="006031A9">
        <w:rPr>
          <w:rFonts w:eastAsiaTheme="minorHAnsi"/>
          <w:lang w:val="fr-FR"/>
        </w:rPr>
        <w:t>auteur, l</w:t>
      </w:r>
      <w:r w:rsidR="006031A9" w:rsidRPr="006031A9">
        <w:rPr>
          <w:rFonts w:eastAsiaTheme="minorHAnsi"/>
          <w:lang w:val="fr-FR"/>
        </w:rPr>
        <w:t>’</w:t>
      </w:r>
      <w:r w:rsidRPr="006031A9">
        <w:rPr>
          <w:rFonts w:eastAsiaTheme="minorHAnsi"/>
          <w:lang w:val="fr-FR"/>
        </w:rPr>
        <w:t>intention délictueuse est directement née ou est renforcée, ou est confirmée alors que l</w:t>
      </w:r>
      <w:r w:rsidR="006031A9" w:rsidRPr="006031A9">
        <w:rPr>
          <w:rFonts w:eastAsiaTheme="minorHAnsi"/>
          <w:lang w:val="fr-FR"/>
        </w:rPr>
        <w:t>’</w:t>
      </w:r>
      <w:r w:rsidRPr="006031A9">
        <w:rPr>
          <w:rFonts w:eastAsiaTheme="minorHAnsi"/>
          <w:lang w:val="fr-FR"/>
        </w:rPr>
        <w:t>auteur voulait y mettre fin, par l</w:t>
      </w:r>
      <w:r w:rsidR="006031A9" w:rsidRPr="006031A9">
        <w:rPr>
          <w:rFonts w:eastAsiaTheme="minorHAnsi"/>
          <w:lang w:val="fr-FR"/>
        </w:rPr>
        <w:t>’</w:t>
      </w:r>
      <w:r w:rsidRPr="006031A9">
        <w:rPr>
          <w:rFonts w:eastAsiaTheme="minorHAnsi"/>
          <w:lang w:val="fr-FR"/>
        </w:rPr>
        <w:t>intervention d</w:t>
      </w:r>
      <w:r w:rsidR="006031A9" w:rsidRPr="006031A9">
        <w:rPr>
          <w:rFonts w:eastAsiaTheme="minorHAnsi"/>
          <w:lang w:val="fr-FR"/>
        </w:rPr>
        <w:t>’</w:t>
      </w:r>
      <w:r w:rsidRPr="006031A9">
        <w:rPr>
          <w:rFonts w:eastAsiaTheme="minorHAnsi"/>
          <w:lang w:val="fr-FR"/>
        </w:rPr>
        <w:t>un fonctionnaire de police ou d</w:t>
      </w:r>
      <w:r w:rsidR="006031A9" w:rsidRPr="006031A9">
        <w:rPr>
          <w:rFonts w:eastAsiaTheme="minorHAnsi"/>
          <w:lang w:val="fr-FR"/>
        </w:rPr>
        <w:t>’</w:t>
      </w:r>
      <w:r w:rsidRPr="006031A9">
        <w:rPr>
          <w:rFonts w:eastAsiaTheme="minorHAnsi"/>
          <w:lang w:val="fr-FR"/>
        </w:rPr>
        <w:t xml:space="preserve">un tiers agissant à la demande expresse de ce fonctionnaire. </w:t>
      </w:r>
      <w:r w:rsidRPr="006031A9">
        <w:rPr>
          <w:lang w:val="fr-FR"/>
        </w:rPr>
        <w:t>Il s</w:t>
      </w:r>
      <w:r w:rsidR="006031A9" w:rsidRPr="006031A9">
        <w:rPr>
          <w:lang w:val="fr-FR"/>
        </w:rPr>
        <w:t>’</w:t>
      </w:r>
      <w:r w:rsidRPr="006031A9">
        <w:rPr>
          <w:lang w:val="fr-FR"/>
        </w:rPr>
        <w:t>agit d</w:t>
      </w:r>
      <w:r w:rsidR="006031A9" w:rsidRPr="006031A9">
        <w:rPr>
          <w:lang w:val="fr-FR"/>
        </w:rPr>
        <w:t>’</w:t>
      </w:r>
      <w:r w:rsidRPr="006031A9">
        <w:rPr>
          <w:lang w:val="fr-FR"/>
        </w:rPr>
        <w:t>une cause d</w:t>
      </w:r>
      <w:r w:rsidR="006031A9" w:rsidRPr="006031A9">
        <w:rPr>
          <w:lang w:val="fr-FR"/>
        </w:rPr>
        <w:t>’</w:t>
      </w:r>
      <w:r w:rsidRPr="006031A9">
        <w:rPr>
          <w:lang w:val="fr-FR"/>
        </w:rPr>
        <w:t>irrecevabilité de l</w:t>
      </w:r>
      <w:r w:rsidR="006031A9" w:rsidRPr="006031A9">
        <w:rPr>
          <w:lang w:val="fr-FR"/>
        </w:rPr>
        <w:t>’</w:t>
      </w:r>
      <w:r w:rsidRPr="006031A9">
        <w:rPr>
          <w:lang w:val="fr-FR"/>
        </w:rPr>
        <w:t>action publique (article 30 du Titre préliminaire du CIC).</w:t>
      </w:r>
    </w:p>
    <w:p w:rsidR="00C85586" w:rsidRPr="006031A9" w:rsidRDefault="00C85586" w:rsidP="006031A9">
      <w:pPr>
        <w:pStyle w:val="ECHRHeading3"/>
        <w:rPr>
          <w:lang w:val="fr-FR"/>
        </w:rPr>
      </w:pPr>
      <w:r w:rsidRPr="006031A9">
        <w:rPr>
          <w:lang w:val="fr-FR"/>
        </w:rPr>
        <w:t>3.  Dossier confidentiel</w:t>
      </w:r>
    </w:p>
    <w:bookmarkStart w:id="23" w:name="DOSCONF1"/>
    <w:p w:rsidR="00C85586" w:rsidRPr="006031A9" w:rsidRDefault="00C85586" w:rsidP="006031A9">
      <w:pPr>
        <w:pStyle w:val="ECHRPara"/>
        <w:rPr>
          <w:rFonts w:ascii="Times New Roman" w:eastAsiaTheme="minorHAnsi" w:hAnsi="Times New Roman" w:cs="Times New Roman"/>
          <w:szCs w:val="24"/>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47</w:t>
      </w:r>
      <w:r w:rsidRPr="006031A9">
        <w:rPr>
          <w:lang w:val="fr-FR"/>
        </w:rPr>
        <w:fldChar w:fldCharType="end"/>
      </w:r>
      <w:bookmarkEnd w:id="23"/>
      <w:r w:rsidRPr="006031A9">
        <w:rPr>
          <w:lang w:val="fr-FR"/>
        </w:rPr>
        <w:t>.  La mise en œuvre d</w:t>
      </w:r>
      <w:r w:rsidR="006031A9" w:rsidRPr="006031A9">
        <w:rPr>
          <w:lang w:val="fr-FR"/>
        </w:rPr>
        <w:t>’</w:t>
      </w:r>
      <w:r w:rsidRPr="006031A9">
        <w:rPr>
          <w:lang w:val="fr-FR"/>
        </w:rPr>
        <w:t>une mesure d</w:t>
      </w:r>
      <w:r w:rsidR="006031A9" w:rsidRPr="006031A9">
        <w:rPr>
          <w:lang w:val="fr-FR"/>
        </w:rPr>
        <w:t>’</w:t>
      </w:r>
      <w:r w:rsidRPr="006031A9">
        <w:rPr>
          <w:lang w:val="fr-FR"/>
        </w:rPr>
        <w:t>observation ou d</w:t>
      </w:r>
      <w:r w:rsidR="006031A9" w:rsidRPr="006031A9">
        <w:rPr>
          <w:lang w:val="fr-FR"/>
        </w:rPr>
        <w:t>’</w:t>
      </w:r>
      <w:r w:rsidRPr="006031A9">
        <w:rPr>
          <w:lang w:val="fr-FR"/>
        </w:rPr>
        <w:t>infiltration implique l</w:t>
      </w:r>
      <w:r w:rsidR="006031A9" w:rsidRPr="006031A9">
        <w:rPr>
          <w:lang w:val="fr-FR"/>
        </w:rPr>
        <w:t>’</w:t>
      </w:r>
      <w:r w:rsidRPr="006031A9">
        <w:rPr>
          <w:lang w:val="fr-FR"/>
        </w:rPr>
        <w:t>ouverture et la tenue d</w:t>
      </w:r>
      <w:r w:rsidR="006031A9" w:rsidRPr="006031A9">
        <w:rPr>
          <w:lang w:val="fr-FR"/>
        </w:rPr>
        <w:t>’</w:t>
      </w:r>
      <w:r w:rsidRPr="006031A9">
        <w:rPr>
          <w:lang w:val="fr-FR"/>
        </w:rPr>
        <w:t xml:space="preserve">un dossier séparé et confidentiel. Celui-ci contient </w:t>
      </w:r>
      <w:r w:rsidRPr="006031A9">
        <w:rPr>
          <w:rFonts w:ascii="Times New Roman" w:eastAsiaTheme="minorHAnsi" w:hAnsi="Times New Roman" w:cs="Times New Roman"/>
          <w:szCs w:val="24"/>
          <w:lang w:val="fr-FR"/>
        </w:rPr>
        <w:t>l</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autorisation de recourir à ces techniques, autorisation qui mentionne les indices qui justifient le recours à la méthode, les motifs pour lesquels elle est indispensable, le nom ou la description des personnes visées, la manière dont la méthode sera exécutée, la période au cours de laquelle elle peut l</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être et le nom et la qualité de l</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officier de police judiciaire qui dirige l</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opération (articles 47</w:t>
      </w:r>
      <w:r w:rsidRPr="006031A9">
        <w:rPr>
          <w:rFonts w:ascii="Times New Roman" w:eastAsiaTheme="minorHAnsi" w:hAnsi="Times New Roman" w:cs="Times New Roman"/>
          <w:i/>
          <w:iCs/>
          <w:szCs w:val="24"/>
          <w:lang w:val="fr-FR"/>
        </w:rPr>
        <w:t>sexies</w:t>
      </w:r>
      <w:r w:rsidRPr="006031A9">
        <w:rPr>
          <w:rFonts w:ascii="Times New Roman" w:eastAsiaTheme="minorHAnsi" w:hAnsi="Times New Roman" w:cs="Times New Roman"/>
          <w:szCs w:val="24"/>
          <w:lang w:val="fr-FR"/>
        </w:rPr>
        <w:t xml:space="preserve"> § 3 et 47</w:t>
      </w:r>
      <w:r w:rsidRPr="006031A9">
        <w:rPr>
          <w:rFonts w:ascii="Times New Roman" w:eastAsiaTheme="minorHAnsi" w:hAnsi="Times New Roman" w:cs="Times New Roman"/>
          <w:i/>
          <w:iCs/>
          <w:szCs w:val="24"/>
          <w:lang w:val="fr-FR"/>
        </w:rPr>
        <w:t>octies</w:t>
      </w:r>
      <w:r w:rsidRPr="006031A9">
        <w:rPr>
          <w:rFonts w:ascii="Times New Roman" w:eastAsiaTheme="minorHAnsi" w:hAnsi="Times New Roman" w:cs="Times New Roman"/>
          <w:szCs w:val="24"/>
          <w:lang w:val="fr-FR"/>
        </w:rPr>
        <w:t xml:space="preserve"> § 3 du CIC).</w:t>
      </w:r>
      <w:r w:rsidRPr="006031A9">
        <w:rPr>
          <w:lang w:val="fr-FR"/>
        </w:rPr>
        <w:t xml:space="preserve"> Il </w:t>
      </w:r>
      <w:r w:rsidRPr="006031A9">
        <w:rPr>
          <w:rFonts w:ascii="Times New Roman" w:eastAsiaTheme="minorHAnsi" w:hAnsi="Times New Roman" w:cs="Times New Roman"/>
          <w:szCs w:val="24"/>
          <w:lang w:val="fr-FR"/>
        </w:rPr>
        <w:t>contient aussi l</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autorisation accordée par le procureur du Roi aux fonctionnaires de police de commettre certaines infractions lors de l</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exécution de la méthode de recherche (articles 47</w:t>
      </w:r>
      <w:r w:rsidRPr="006031A9">
        <w:rPr>
          <w:rFonts w:ascii="Times New Roman" w:eastAsiaTheme="minorHAnsi" w:hAnsi="Times New Roman" w:cs="Times New Roman"/>
          <w:i/>
          <w:iCs/>
          <w:szCs w:val="24"/>
          <w:lang w:val="fr-FR"/>
        </w:rPr>
        <w:t>sexies</w:t>
      </w:r>
      <w:r w:rsidRPr="006031A9">
        <w:rPr>
          <w:rFonts w:ascii="Times New Roman" w:eastAsiaTheme="minorHAnsi" w:hAnsi="Times New Roman" w:cs="Times New Roman"/>
          <w:szCs w:val="24"/>
          <w:lang w:val="fr-FR"/>
        </w:rPr>
        <w:t xml:space="preserve"> § 4 et 47</w:t>
      </w:r>
      <w:r w:rsidRPr="006031A9">
        <w:rPr>
          <w:rFonts w:ascii="Times New Roman" w:eastAsiaTheme="minorHAnsi" w:hAnsi="Times New Roman" w:cs="Times New Roman"/>
          <w:i/>
          <w:iCs/>
          <w:szCs w:val="24"/>
          <w:lang w:val="fr-FR"/>
        </w:rPr>
        <w:t>octies</w:t>
      </w:r>
      <w:r w:rsidRPr="006031A9">
        <w:rPr>
          <w:rFonts w:ascii="Times New Roman" w:eastAsiaTheme="minorHAnsi" w:hAnsi="Times New Roman" w:cs="Times New Roman"/>
          <w:szCs w:val="24"/>
          <w:lang w:val="fr-FR"/>
        </w:rPr>
        <w:t xml:space="preserve"> § 4 du CIC), les décisions de modification, d</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extension ou de prolongation de l</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autorisation (articles 47</w:t>
      </w:r>
      <w:r w:rsidRPr="006031A9">
        <w:rPr>
          <w:rFonts w:ascii="Times New Roman" w:eastAsiaTheme="minorHAnsi" w:hAnsi="Times New Roman" w:cs="Times New Roman"/>
          <w:i/>
          <w:iCs/>
          <w:szCs w:val="24"/>
          <w:lang w:val="fr-FR"/>
        </w:rPr>
        <w:t>septies</w:t>
      </w:r>
      <w:r w:rsidRPr="006031A9">
        <w:rPr>
          <w:rFonts w:ascii="Times New Roman" w:eastAsiaTheme="minorHAnsi" w:hAnsi="Times New Roman" w:cs="Times New Roman"/>
          <w:szCs w:val="24"/>
          <w:lang w:val="fr-FR"/>
        </w:rPr>
        <w:t xml:space="preserve"> § 2 et 47</w:t>
      </w:r>
      <w:r w:rsidRPr="006031A9">
        <w:rPr>
          <w:rFonts w:ascii="Times New Roman" w:eastAsiaTheme="minorHAnsi" w:hAnsi="Times New Roman" w:cs="Times New Roman"/>
          <w:i/>
          <w:iCs/>
          <w:szCs w:val="24"/>
          <w:lang w:val="fr-FR"/>
        </w:rPr>
        <w:t>novies</w:t>
      </w:r>
      <w:r w:rsidRPr="006031A9">
        <w:rPr>
          <w:rFonts w:ascii="Times New Roman" w:eastAsiaTheme="minorHAnsi" w:hAnsi="Times New Roman" w:cs="Times New Roman"/>
          <w:szCs w:val="24"/>
          <w:lang w:val="fr-FR"/>
        </w:rPr>
        <w:t xml:space="preserve"> § 2 du CIC), et les rapports faits par l</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officier de police judiciaire au procureur du Roi sur chaque phase de l</w:t>
      </w:r>
      <w:r w:rsidR="006031A9" w:rsidRPr="006031A9">
        <w:rPr>
          <w:rFonts w:ascii="Times New Roman" w:eastAsiaTheme="minorHAnsi" w:hAnsi="Times New Roman" w:cs="Times New Roman"/>
          <w:szCs w:val="24"/>
          <w:lang w:val="fr-FR"/>
        </w:rPr>
        <w:t>’</w:t>
      </w:r>
      <w:r w:rsidRPr="006031A9">
        <w:rPr>
          <w:rFonts w:ascii="Times New Roman" w:eastAsiaTheme="minorHAnsi" w:hAnsi="Times New Roman" w:cs="Times New Roman"/>
          <w:szCs w:val="24"/>
          <w:lang w:val="fr-FR"/>
        </w:rPr>
        <w:t>exécution de la méthode (articles 47</w:t>
      </w:r>
      <w:r w:rsidRPr="006031A9">
        <w:rPr>
          <w:rFonts w:ascii="Times New Roman" w:eastAsiaTheme="minorHAnsi" w:hAnsi="Times New Roman" w:cs="Times New Roman"/>
          <w:i/>
          <w:iCs/>
          <w:szCs w:val="24"/>
          <w:lang w:val="fr-FR"/>
        </w:rPr>
        <w:t>septies</w:t>
      </w:r>
      <w:r w:rsidRPr="006031A9">
        <w:rPr>
          <w:rFonts w:ascii="Times New Roman" w:eastAsiaTheme="minorHAnsi" w:hAnsi="Times New Roman" w:cs="Times New Roman"/>
          <w:szCs w:val="24"/>
          <w:lang w:val="fr-FR"/>
        </w:rPr>
        <w:t xml:space="preserve"> § 1 et 47</w:t>
      </w:r>
      <w:r w:rsidRPr="006031A9">
        <w:rPr>
          <w:rFonts w:ascii="Times New Roman" w:eastAsiaTheme="minorHAnsi" w:hAnsi="Times New Roman" w:cs="Times New Roman"/>
          <w:i/>
          <w:iCs/>
          <w:szCs w:val="24"/>
          <w:lang w:val="fr-FR"/>
        </w:rPr>
        <w:t>novies</w:t>
      </w:r>
      <w:r w:rsidRPr="006031A9">
        <w:rPr>
          <w:rFonts w:ascii="Times New Roman" w:eastAsiaTheme="minorHAnsi" w:hAnsi="Times New Roman" w:cs="Times New Roman"/>
          <w:szCs w:val="24"/>
          <w:lang w:val="fr-FR"/>
        </w:rPr>
        <w:t xml:space="preserve"> § 1 du CIC).</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48</w:t>
      </w:r>
      <w:r w:rsidRPr="006031A9">
        <w:rPr>
          <w:lang w:val="fr-FR"/>
        </w:rPr>
        <w:fldChar w:fldCharType="end"/>
      </w:r>
      <w:r w:rsidRPr="006031A9">
        <w:rPr>
          <w:lang w:val="fr-FR"/>
        </w:rPr>
        <w:t>.  Le dossier confidentiel est couvert par le secret professionnel. En règle, seul le procureur du Roi a accès au dossier confidentiel. Toutefois, lorsqu</w:t>
      </w:r>
      <w:r w:rsidR="006031A9" w:rsidRPr="006031A9">
        <w:rPr>
          <w:lang w:val="fr-FR"/>
        </w:rPr>
        <w:t>’</w:t>
      </w:r>
      <w:r w:rsidRPr="006031A9">
        <w:rPr>
          <w:lang w:val="fr-FR"/>
        </w:rPr>
        <w:t>une instruction est ouverte, le juge d</w:t>
      </w:r>
      <w:r w:rsidR="006031A9" w:rsidRPr="006031A9">
        <w:rPr>
          <w:lang w:val="fr-FR"/>
        </w:rPr>
        <w:t>’</w:t>
      </w:r>
      <w:r w:rsidRPr="006031A9">
        <w:rPr>
          <w:lang w:val="fr-FR"/>
        </w:rPr>
        <w:t>instruction a le droit de consulter à tout moment le dossier confidentiel mais il ne peut en faire mention dans le cadre de l</w:t>
      </w:r>
      <w:r w:rsidR="006031A9" w:rsidRPr="006031A9">
        <w:rPr>
          <w:lang w:val="fr-FR"/>
        </w:rPr>
        <w:t>’</w:t>
      </w:r>
      <w:r w:rsidRPr="006031A9">
        <w:rPr>
          <w:lang w:val="fr-FR"/>
        </w:rPr>
        <w:t xml:space="preserve">instruction. Il en est de même de la chambre des mises en accusation dans le cadre du contrôle de la régularité des méthodes particulières de recherche (voir paragraphes </w:t>
      </w:r>
      <w:r w:rsidRPr="006031A9">
        <w:rPr>
          <w:lang w:val="fr-FR"/>
        </w:rPr>
        <w:fldChar w:fldCharType="begin"/>
      </w:r>
      <w:r w:rsidRPr="006031A9">
        <w:rPr>
          <w:lang w:val="fr-FR"/>
        </w:rPr>
        <w:instrText xml:space="preserve"> REF CONTROLCHBMIS1 \h  \* MERGEFORMAT </w:instrText>
      </w:r>
      <w:r w:rsidRPr="006031A9">
        <w:rPr>
          <w:lang w:val="fr-FR"/>
        </w:rPr>
      </w:r>
      <w:r w:rsidRPr="006031A9">
        <w:rPr>
          <w:lang w:val="fr-FR"/>
        </w:rPr>
        <w:fldChar w:fldCharType="separate"/>
      </w:r>
      <w:r w:rsidR="006031A9" w:rsidRPr="006031A9">
        <w:rPr>
          <w:noProof/>
          <w:lang w:val="fr-FR"/>
        </w:rPr>
        <w:t>50</w:t>
      </w:r>
      <w:r w:rsidRPr="006031A9">
        <w:rPr>
          <w:lang w:val="fr-FR"/>
        </w:rPr>
        <w:fldChar w:fldCharType="end"/>
      </w:r>
      <w:r w:rsidRPr="006031A9">
        <w:rPr>
          <w:lang w:val="fr-FR"/>
        </w:rPr>
        <w:t>-</w:t>
      </w:r>
      <w:r w:rsidRPr="006031A9">
        <w:rPr>
          <w:lang w:val="fr-FR"/>
        </w:rPr>
        <w:fldChar w:fldCharType="begin"/>
      </w:r>
      <w:r w:rsidRPr="006031A9">
        <w:rPr>
          <w:lang w:val="fr-FR"/>
        </w:rPr>
        <w:instrText xml:space="preserve"> REF CONTROLCHBMIS2 \h  \* MERGEFORMAT </w:instrText>
      </w:r>
      <w:r w:rsidRPr="006031A9">
        <w:rPr>
          <w:lang w:val="fr-FR"/>
        </w:rPr>
      </w:r>
      <w:r w:rsidRPr="006031A9">
        <w:rPr>
          <w:lang w:val="fr-FR"/>
        </w:rPr>
        <w:fldChar w:fldCharType="separate"/>
      </w:r>
      <w:r w:rsidR="006031A9" w:rsidRPr="006031A9">
        <w:rPr>
          <w:noProof/>
          <w:lang w:val="fr-FR"/>
        </w:rPr>
        <w:t>54</w:t>
      </w:r>
      <w:r w:rsidRPr="006031A9">
        <w:rPr>
          <w:lang w:val="fr-FR"/>
        </w:rPr>
        <w:fldChar w:fldCharType="end"/>
      </w:r>
      <w:r w:rsidRPr="006031A9">
        <w:rPr>
          <w:lang w:val="fr-FR"/>
        </w:rPr>
        <w:t>, ci-dessous) (</w:t>
      </w:r>
      <w:r w:rsidRPr="006031A9">
        <w:rPr>
          <w:rFonts w:ascii="Times New Roman" w:eastAsiaTheme="minorHAnsi" w:hAnsi="Times New Roman" w:cs="Times New Roman"/>
          <w:szCs w:val="24"/>
          <w:lang w:val="fr-FR"/>
        </w:rPr>
        <w:t>articles 47</w:t>
      </w:r>
      <w:r w:rsidRPr="006031A9">
        <w:rPr>
          <w:rFonts w:ascii="Times New Roman" w:eastAsiaTheme="minorHAnsi" w:hAnsi="Times New Roman" w:cs="Times New Roman"/>
          <w:i/>
          <w:iCs/>
          <w:szCs w:val="24"/>
          <w:lang w:val="fr-FR"/>
        </w:rPr>
        <w:t>septies</w:t>
      </w:r>
      <w:r w:rsidRPr="006031A9">
        <w:rPr>
          <w:rFonts w:ascii="Times New Roman" w:eastAsiaTheme="minorHAnsi" w:hAnsi="Times New Roman" w:cs="Times New Roman"/>
          <w:szCs w:val="24"/>
          <w:lang w:val="fr-FR"/>
        </w:rPr>
        <w:t xml:space="preserve"> § 1 et 47</w:t>
      </w:r>
      <w:r w:rsidRPr="006031A9">
        <w:rPr>
          <w:rFonts w:ascii="Times New Roman" w:eastAsiaTheme="minorHAnsi" w:hAnsi="Times New Roman" w:cs="Times New Roman"/>
          <w:i/>
          <w:iCs/>
          <w:szCs w:val="24"/>
          <w:lang w:val="fr-FR"/>
        </w:rPr>
        <w:t>novies</w:t>
      </w:r>
      <w:r w:rsidRPr="006031A9">
        <w:rPr>
          <w:rFonts w:ascii="Times New Roman" w:eastAsiaTheme="minorHAnsi" w:hAnsi="Times New Roman" w:cs="Times New Roman"/>
          <w:szCs w:val="24"/>
          <w:lang w:val="fr-FR"/>
        </w:rPr>
        <w:t xml:space="preserve"> § 1 du CIC)</w:t>
      </w:r>
      <w:r w:rsidRPr="006031A9">
        <w:rPr>
          <w:lang w:val="fr-FR"/>
        </w:rPr>
        <w:t>.</w:t>
      </w:r>
    </w:p>
    <w:bookmarkStart w:id="24" w:name="DOCPARL"/>
    <w:bookmarkStart w:id="25" w:name="DOSCONF2"/>
    <w:p w:rsidR="00C85586" w:rsidRPr="006031A9" w:rsidRDefault="00C85586" w:rsidP="006031A9">
      <w:pPr>
        <w:pStyle w:val="ECHRPara"/>
        <w:rPr>
          <w:lang w:val="fr-FR"/>
        </w:rPr>
      </w:pPr>
      <w:r w:rsidRPr="006031A9">
        <w:rPr>
          <w:sz w:val="23"/>
          <w:szCs w:val="23"/>
          <w:lang w:val="fr-FR"/>
        </w:rPr>
        <w:fldChar w:fldCharType="begin"/>
      </w:r>
      <w:r w:rsidRPr="006031A9">
        <w:rPr>
          <w:sz w:val="23"/>
          <w:szCs w:val="23"/>
          <w:lang w:val="fr-FR"/>
        </w:rPr>
        <w:instrText xml:space="preserve"> SEQ level0 \*arabic </w:instrText>
      </w:r>
      <w:r w:rsidRPr="006031A9">
        <w:rPr>
          <w:sz w:val="23"/>
          <w:szCs w:val="23"/>
          <w:lang w:val="fr-FR"/>
        </w:rPr>
        <w:fldChar w:fldCharType="separate"/>
      </w:r>
      <w:r w:rsidR="006031A9" w:rsidRPr="006031A9">
        <w:rPr>
          <w:noProof/>
          <w:sz w:val="23"/>
          <w:szCs w:val="23"/>
          <w:lang w:val="fr-FR"/>
        </w:rPr>
        <w:t>49</w:t>
      </w:r>
      <w:r w:rsidRPr="006031A9">
        <w:rPr>
          <w:sz w:val="23"/>
          <w:szCs w:val="23"/>
          <w:lang w:val="fr-FR"/>
        </w:rPr>
        <w:fldChar w:fldCharType="end"/>
      </w:r>
      <w:bookmarkEnd w:id="24"/>
      <w:bookmarkEnd w:id="25"/>
      <w:r w:rsidRPr="006031A9">
        <w:rPr>
          <w:sz w:val="23"/>
          <w:szCs w:val="23"/>
          <w:lang w:val="fr-FR"/>
        </w:rPr>
        <w:t>.  Il a été souligné dans les travaux préparatoires des dispositions pertinentes du CIC que les données du dossier confidentiel qui n</w:t>
      </w:r>
      <w:r w:rsidR="006031A9" w:rsidRPr="006031A9">
        <w:rPr>
          <w:sz w:val="23"/>
          <w:szCs w:val="23"/>
          <w:lang w:val="fr-FR"/>
        </w:rPr>
        <w:t>’</w:t>
      </w:r>
      <w:r w:rsidRPr="006031A9">
        <w:rPr>
          <w:sz w:val="23"/>
          <w:szCs w:val="23"/>
          <w:lang w:val="fr-FR"/>
        </w:rPr>
        <w:t xml:space="preserve">appartiennent pas au dossier répressif ne peuvent servir de preuve au détriment du prévenu (rapport au nom de la Commission de la Justice, </w:t>
      </w:r>
      <w:r w:rsidRPr="006031A9">
        <w:rPr>
          <w:i/>
          <w:iCs/>
          <w:sz w:val="23"/>
          <w:szCs w:val="23"/>
          <w:lang w:val="fr-FR"/>
        </w:rPr>
        <w:t>Documents parlementaires</w:t>
      </w:r>
      <w:r w:rsidRPr="006031A9">
        <w:rPr>
          <w:sz w:val="23"/>
          <w:szCs w:val="23"/>
          <w:lang w:val="fr-FR"/>
        </w:rPr>
        <w:t>, Chambre, 2005-2006, DOC 51-2055/005, pp. 66-67).</w:t>
      </w:r>
    </w:p>
    <w:p w:rsidR="00C85586" w:rsidRPr="006031A9" w:rsidRDefault="00C85586" w:rsidP="006031A9">
      <w:pPr>
        <w:pStyle w:val="ECHRHeading2"/>
        <w:rPr>
          <w:rFonts w:eastAsiaTheme="minorHAnsi"/>
          <w:lang w:val="fr-FR"/>
        </w:rPr>
      </w:pPr>
      <w:r w:rsidRPr="006031A9">
        <w:rPr>
          <w:rFonts w:eastAsiaTheme="minorHAnsi"/>
          <w:lang w:val="fr-FR"/>
        </w:rPr>
        <w:lastRenderedPageBreak/>
        <w:t>C.  Le contrôle de la chambre des mises en accusation</w:t>
      </w:r>
    </w:p>
    <w:bookmarkStart w:id="26" w:name="CICREGUBOM"/>
    <w:bookmarkStart w:id="27" w:name="CONTROLCHBMIS1"/>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50</w:t>
      </w:r>
      <w:r w:rsidRPr="006031A9">
        <w:rPr>
          <w:lang w:val="fr-FR"/>
        </w:rPr>
        <w:fldChar w:fldCharType="end"/>
      </w:r>
      <w:bookmarkEnd w:id="26"/>
      <w:bookmarkEnd w:id="27"/>
      <w:r w:rsidRPr="006031A9">
        <w:rPr>
          <w:lang w:val="fr-FR"/>
        </w:rPr>
        <w:t>.  L</w:t>
      </w:r>
      <w:r w:rsidR="006031A9" w:rsidRPr="006031A9">
        <w:rPr>
          <w:lang w:val="fr-FR"/>
        </w:rPr>
        <w:t>’</w:t>
      </w:r>
      <w:r w:rsidRPr="006031A9">
        <w:rPr>
          <w:lang w:val="fr-FR"/>
        </w:rPr>
        <w:t>article 235</w:t>
      </w:r>
      <w:r w:rsidRPr="006031A9">
        <w:rPr>
          <w:i/>
          <w:lang w:val="fr-FR"/>
        </w:rPr>
        <w:t xml:space="preserve">ter </w:t>
      </w:r>
      <w:r w:rsidRPr="006031A9">
        <w:rPr>
          <w:lang w:val="fr-FR"/>
        </w:rPr>
        <w:t>§ 1 du CIC confie à une juridiction d</w:t>
      </w:r>
      <w:r w:rsidR="006031A9" w:rsidRPr="006031A9">
        <w:rPr>
          <w:lang w:val="fr-FR"/>
        </w:rPr>
        <w:t>’</w:t>
      </w:r>
      <w:r w:rsidRPr="006031A9">
        <w:rPr>
          <w:lang w:val="fr-FR"/>
        </w:rPr>
        <w:t>instruction, la chambre des mises en accusation de la cour d</w:t>
      </w:r>
      <w:r w:rsidR="006031A9" w:rsidRPr="006031A9">
        <w:rPr>
          <w:lang w:val="fr-FR"/>
        </w:rPr>
        <w:t>’</w:t>
      </w:r>
      <w:r w:rsidRPr="006031A9">
        <w:rPr>
          <w:lang w:val="fr-FR"/>
        </w:rPr>
        <w:t>appel, sur réquisition du ministère public, le soin de contrôler, à la clôture de l</w:t>
      </w:r>
      <w:r w:rsidR="006031A9" w:rsidRPr="006031A9">
        <w:rPr>
          <w:lang w:val="fr-FR"/>
        </w:rPr>
        <w:t>’</w:t>
      </w:r>
      <w:r w:rsidRPr="006031A9">
        <w:rPr>
          <w:lang w:val="fr-FR"/>
        </w:rPr>
        <w:t>information ou à la fin de l</w:t>
      </w:r>
      <w:r w:rsidR="006031A9" w:rsidRPr="006031A9">
        <w:rPr>
          <w:lang w:val="fr-FR"/>
        </w:rPr>
        <w:t>’</w:t>
      </w:r>
      <w:r w:rsidRPr="006031A9">
        <w:rPr>
          <w:lang w:val="fr-FR"/>
        </w:rPr>
        <w:t>instruction par le juge d</w:t>
      </w:r>
      <w:r w:rsidR="006031A9" w:rsidRPr="006031A9">
        <w:rPr>
          <w:lang w:val="fr-FR"/>
        </w:rPr>
        <w:t>’</w:t>
      </w:r>
      <w:r w:rsidRPr="006031A9">
        <w:rPr>
          <w:lang w:val="fr-FR"/>
        </w:rPr>
        <w:t>instruction, la régularité des méthodes d</w:t>
      </w:r>
      <w:r w:rsidR="006031A9" w:rsidRPr="006031A9">
        <w:rPr>
          <w:lang w:val="fr-FR"/>
        </w:rPr>
        <w:t>’</w:t>
      </w:r>
      <w:r w:rsidRPr="006031A9">
        <w:rPr>
          <w:lang w:val="fr-FR"/>
        </w:rPr>
        <w:t>observation et d</w:t>
      </w:r>
      <w:r w:rsidR="006031A9" w:rsidRPr="006031A9">
        <w:rPr>
          <w:lang w:val="fr-FR"/>
        </w:rPr>
        <w:t>’</w:t>
      </w:r>
      <w:r w:rsidRPr="006031A9">
        <w:rPr>
          <w:lang w:val="fr-FR"/>
        </w:rPr>
        <w:t>infiltration mises en œuvre, sur</w:t>
      </w:r>
      <w:r w:rsidR="0002655A" w:rsidRPr="006031A9">
        <w:rPr>
          <w:lang w:val="fr-FR"/>
        </w:rPr>
        <w:t xml:space="preserve"> </w:t>
      </w:r>
      <w:r w:rsidRPr="006031A9">
        <w:rPr>
          <w:lang w:val="fr-FR"/>
        </w:rPr>
        <w:t xml:space="preserve">la base du rapport confidentiel (Cour de cassation, 18 décembre 2007, P.07.1332.N). </w:t>
      </w:r>
      <w:r w:rsidRPr="006031A9">
        <w:rPr>
          <w:rFonts w:cstheme="minorHAnsi"/>
          <w:lang w:val="fr-FR"/>
        </w:rPr>
        <w:t>À</w:t>
      </w:r>
      <w:r w:rsidRPr="006031A9">
        <w:rPr>
          <w:lang w:val="fr-FR"/>
        </w:rPr>
        <w:t xml:space="preserve"> l</w:t>
      </w:r>
      <w:r w:rsidR="006031A9" w:rsidRPr="006031A9">
        <w:rPr>
          <w:lang w:val="fr-FR"/>
        </w:rPr>
        <w:t>’</w:t>
      </w:r>
      <w:r w:rsidRPr="006031A9">
        <w:rPr>
          <w:lang w:val="fr-FR"/>
        </w:rPr>
        <w:t>occasion de ce contrôle, la chambre des mises en accusation peut également vérifier si se trouvent dans le dossier confidentiel des pièces qui doivent faire partie du dossier répressif et qui n</w:t>
      </w:r>
      <w:r w:rsidR="006031A9" w:rsidRPr="006031A9">
        <w:rPr>
          <w:lang w:val="fr-FR"/>
        </w:rPr>
        <w:t>’</w:t>
      </w:r>
      <w:r w:rsidRPr="006031A9">
        <w:rPr>
          <w:lang w:val="fr-FR"/>
        </w:rPr>
        <w:t>y figurent pas (voir Cour de cassation, 25 septembre 2007, P.07.0677.N).</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51</w:t>
      </w:r>
      <w:r w:rsidRPr="006031A9">
        <w:rPr>
          <w:lang w:val="fr-FR"/>
        </w:rPr>
        <w:fldChar w:fldCharType="end"/>
      </w:r>
      <w:r w:rsidRPr="006031A9">
        <w:rPr>
          <w:lang w:val="fr-FR"/>
        </w:rPr>
        <w:t>.  Dans ce cadre, les magistrats de la chambre des mises en accusation ont accès au dossier confidentiel à charge pour le président de celle-ci de prendre les mesures nécessaires pour en assurer la protection (article 235</w:t>
      </w:r>
      <w:r w:rsidRPr="006031A9">
        <w:rPr>
          <w:i/>
          <w:lang w:val="fr-FR"/>
        </w:rPr>
        <w:t xml:space="preserve">ter </w:t>
      </w:r>
      <w:r w:rsidRPr="006031A9">
        <w:rPr>
          <w:lang w:val="fr-FR"/>
        </w:rPr>
        <w:t>§</w:t>
      </w:r>
      <w:r w:rsidR="00313C7B" w:rsidRPr="006031A9">
        <w:rPr>
          <w:lang w:val="fr-FR"/>
        </w:rPr>
        <w:t> </w:t>
      </w:r>
      <w:r w:rsidRPr="006031A9">
        <w:rPr>
          <w:lang w:val="fr-FR"/>
        </w:rPr>
        <w:t>3 du CIC).</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52</w:t>
      </w:r>
      <w:r w:rsidRPr="006031A9">
        <w:rPr>
          <w:lang w:val="fr-FR"/>
        </w:rPr>
        <w:fldChar w:fldCharType="end"/>
      </w:r>
      <w:r w:rsidRPr="006031A9">
        <w:rPr>
          <w:lang w:val="fr-FR"/>
        </w:rPr>
        <w:t>.  La juridiction d</w:t>
      </w:r>
      <w:r w:rsidR="006031A9" w:rsidRPr="006031A9">
        <w:rPr>
          <w:lang w:val="fr-FR"/>
        </w:rPr>
        <w:t>’</w:t>
      </w:r>
      <w:r w:rsidRPr="006031A9">
        <w:rPr>
          <w:lang w:val="fr-FR"/>
        </w:rPr>
        <w:t>instruction doit entendre, de manière séparée, le procureur général, les parties civiles et l</w:t>
      </w:r>
      <w:r w:rsidR="006031A9" w:rsidRPr="006031A9">
        <w:rPr>
          <w:lang w:val="fr-FR"/>
        </w:rPr>
        <w:t>’</w:t>
      </w:r>
      <w:r w:rsidRPr="006031A9">
        <w:rPr>
          <w:lang w:val="fr-FR"/>
        </w:rPr>
        <w:t>inculpé ; elle peut aussi entendre, de façon séparée, le juge d</w:t>
      </w:r>
      <w:r w:rsidR="006031A9" w:rsidRPr="006031A9">
        <w:rPr>
          <w:lang w:val="fr-FR"/>
        </w:rPr>
        <w:t>’</w:t>
      </w:r>
      <w:r w:rsidRPr="006031A9">
        <w:rPr>
          <w:lang w:val="fr-FR"/>
        </w:rPr>
        <w:t>instruction et l</w:t>
      </w:r>
      <w:r w:rsidR="006031A9" w:rsidRPr="006031A9">
        <w:rPr>
          <w:lang w:val="fr-FR"/>
        </w:rPr>
        <w:t>’</w:t>
      </w:r>
      <w:r w:rsidRPr="006031A9">
        <w:rPr>
          <w:lang w:val="fr-FR"/>
        </w:rPr>
        <w:t>officier de police judiciaire impliqués dans le cadre des méthodes particulières de recherche d</w:t>
      </w:r>
      <w:r w:rsidR="006031A9" w:rsidRPr="006031A9">
        <w:rPr>
          <w:lang w:val="fr-FR"/>
        </w:rPr>
        <w:t>’</w:t>
      </w:r>
      <w:r w:rsidRPr="006031A9">
        <w:rPr>
          <w:lang w:val="fr-FR"/>
        </w:rPr>
        <w:t>observation et d</w:t>
      </w:r>
      <w:r w:rsidR="006031A9" w:rsidRPr="006031A9">
        <w:rPr>
          <w:lang w:val="fr-FR"/>
        </w:rPr>
        <w:t>’</w:t>
      </w:r>
      <w:r w:rsidRPr="006031A9">
        <w:rPr>
          <w:lang w:val="fr-FR"/>
        </w:rPr>
        <w:t>infiltration (article 235</w:t>
      </w:r>
      <w:r w:rsidRPr="006031A9">
        <w:rPr>
          <w:i/>
          <w:lang w:val="fr-FR"/>
        </w:rPr>
        <w:t xml:space="preserve">ter </w:t>
      </w:r>
      <w:r w:rsidRPr="006031A9">
        <w:rPr>
          <w:lang w:val="fr-FR"/>
        </w:rPr>
        <w:t>§ 2 du CIC).</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53</w:t>
      </w:r>
      <w:r w:rsidRPr="006031A9">
        <w:rPr>
          <w:lang w:val="fr-FR"/>
        </w:rPr>
        <w:fldChar w:fldCharType="end"/>
      </w:r>
      <w:r w:rsidRPr="006031A9">
        <w:rPr>
          <w:lang w:val="fr-FR"/>
        </w:rPr>
        <w:t>.  L</w:t>
      </w:r>
      <w:r w:rsidR="006031A9" w:rsidRPr="006031A9">
        <w:rPr>
          <w:lang w:val="fr-FR"/>
        </w:rPr>
        <w:t>’</w:t>
      </w:r>
      <w:r w:rsidRPr="006031A9">
        <w:rPr>
          <w:lang w:val="fr-FR"/>
        </w:rPr>
        <w:t>arrêt de la chambre des mises en accusation ne peut pas faire mention du contenu du dossier confidentiel ni du moindre élément susceptible de compromettre les moyens techniques et les techniques d</w:t>
      </w:r>
      <w:r w:rsidR="006031A9" w:rsidRPr="006031A9">
        <w:rPr>
          <w:lang w:val="fr-FR"/>
        </w:rPr>
        <w:t>’</w:t>
      </w:r>
      <w:r w:rsidRPr="006031A9">
        <w:rPr>
          <w:lang w:val="fr-FR"/>
        </w:rPr>
        <w:t>enquête policière utilisés ou la garantie de la sécurité et de l</w:t>
      </w:r>
      <w:r w:rsidR="006031A9" w:rsidRPr="006031A9">
        <w:rPr>
          <w:lang w:val="fr-FR"/>
        </w:rPr>
        <w:t>’</w:t>
      </w:r>
      <w:r w:rsidRPr="006031A9">
        <w:rPr>
          <w:lang w:val="fr-FR"/>
        </w:rPr>
        <w:t>anonymat des fonctionnaires de police chargés de l</w:t>
      </w:r>
      <w:r w:rsidR="006031A9" w:rsidRPr="006031A9">
        <w:rPr>
          <w:lang w:val="fr-FR"/>
        </w:rPr>
        <w:t>’</w:t>
      </w:r>
      <w:r w:rsidRPr="006031A9">
        <w:rPr>
          <w:lang w:val="fr-FR"/>
        </w:rPr>
        <w:t>exécution des mesures (article 235</w:t>
      </w:r>
      <w:r w:rsidRPr="006031A9">
        <w:rPr>
          <w:i/>
          <w:lang w:val="fr-FR"/>
        </w:rPr>
        <w:t xml:space="preserve">ter </w:t>
      </w:r>
      <w:r w:rsidRPr="006031A9">
        <w:rPr>
          <w:lang w:val="fr-FR"/>
        </w:rPr>
        <w:t>§ 4 du CIC).</w:t>
      </w:r>
    </w:p>
    <w:bookmarkStart w:id="28" w:name="CONTROLCHBMIS2"/>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54</w:t>
      </w:r>
      <w:r w:rsidRPr="006031A9">
        <w:rPr>
          <w:lang w:val="fr-FR"/>
        </w:rPr>
        <w:fldChar w:fldCharType="end"/>
      </w:r>
      <w:bookmarkEnd w:id="28"/>
      <w:r w:rsidRPr="006031A9">
        <w:rPr>
          <w:lang w:val="fr-FR"/>
        </w:rPr>
        <w:t>.  Dès que la chambre des mises en accusation a contrôlé la mise en œuvre des méthodes particulières d</w:t>
      </w:r>
      <w:r w:rsidR="006031A9" w:rsidRPr="006031A9">
        <w:rPr>
          <w:lang w:val="fr-FR"/>
        </w:rPr>
        <w:t>’</w:t>
      </w:r>
      <w:r w:rsidRPr="006031A9">
        <w:rPr>
          <w:lang w:val="fr-FR"/>
        </w:rPr>
        <w:t>infiltration et d</w:t>
      </w:r>
      <w:r w:rsidR="006031A9" w:rsidRPr="006031A9">
        <w:rPr>
          <w:lang w:val="fr-FR"/>
        </w:rPr>
        <w:t>’</w:t>
      </w:r>
      <w:r w:rsidRPr="006031A9">
        <w:rPr>
          <w:lang w:val="fr-FR"/>
        </w:rPr>
        <w:t>observation, sa décision lie la juridiction de jugement (Cour de cassation, 3 mars 2009, P.09.0079.N, et Cour de cassation, 28 mai 2014, P.14.0424.F).</w:t>
      </w:r>
    </w:p>
    <w:bookmarkStart w:id="29" w:name="CICREGUBOMEND"/>
    <w:bookmarkStart w:id="30" w:name="CONTROLCHBMIS3"/>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55</w:t>
      </w:r>
      <w:r w:rsidRPr="006031A9">
        <w:rPr>
          <w:lang w:val="fr-FR"/>
        </w:rPr>
        <w:fldChar w:fldCharType="end"/>
      </w:r>
      <w:bookmarkEnd w:id="29"/>
      <w:bookmarkEnd w:id="30"/>
      <w:r w:rsidRPr="006031A9">
        <w:rPr>
          <w:lang w:val="fr-FR"/>
        </w:rPr>
        <w:t>.  L</w:t>
      </w:r>
      <w:r w:rsidR="006031A9" w:rsidRPr="006031A9">
        <w:rPr>
          <w:lang w:val="fr-FR"/>
        </w:rPr>
        <w:t>’</w:t>
      </w:r>
      <w:r w:rsidRPr="006031A9">
        <w:rPr>
          <w:lang w:val="fr-FR"/>
        </w:rPr>
        <w:t>article 235</w:t>
      </w:r>
      <w:r w:rsidRPr="006031A9">
        <w:rPr>
          <w:i/>
          <w:lang w:val="fr-FR"/>
        </w:rPr>
        <w:t>bis</w:t>
      </w:r>
      <w:r w:rsidRPr="006031A9">
        <w:rPr>
          <w:lang w:val="fr-FR"/>
        </w:rPr>
        <w:t xml:space="preserve"> du CIC dispose que, notamment lors du « règlement de la procédure » après une instruction judiciaire, la chambre des mises en accusation contrôle, soit sur la réquisition du ministère public ou à la requête d</w:t>
      </w:r>
      <w:r w:rsidR="006031A9" w:rsidRPr="006031A9">
        <w:rPr>
          <w:lang w:val="fr-FR"/>
        </w:rPr>
        <w:t>’</w:t>
      </w:r>
      <w:r w:rsidRPr="006031A9">
        <w:rPr>
          <w:lang w:val="fr-FR"/>
        </w:rPr>
        <w:t>une des parties, soit d</w:t>
      </w:r>
      <w:r w:rsidR="006031A9" w:rsidRPr="006031A9">
        <w:rPr>
          <w:lang w:val="fr-FR"/>
        </w:rPr>
        <w:t>’</w:t>
      </w:r>
      <w:r w:rsidRPr="006031A9">
        <w:rPr>
          <w:lang w:val="fr-FR"/>
        </w:rPr>
        <w:t>office, la régularité de la procédure qui lui est soumise. Ce contrôle est exercé contradictoirement, sur la base du dossier répressif. Sur ces points il se distingue du contrôle de la mise en œuvre des méthodes particulières de recherche d</w:t>
      </w:r>
      <w:r w:rsidR="006031A9" w:rsidRPr="006031A9">
        <w:rPr>
          <w:lang w:val="fr-FR"/>
        </w:rPr>
        <w:t>’</w:t>
      </w:r>
      <w:r w:rsidRPr="006031A9">
        <w:rPr>
          <w:lang w:val="fr-FR"/>
        </w:rPr>
        <w:t>observation et d</w:t>
      </w:r>
      <w:r w:rsidR="006031A9" w:rsidRPr="006031A9">
        <w:rPr>
          <w:lang w:val="fr-FR"/>
        </w:rPr>
        <w:t>’</w:t>
      </w:r>
      <w:r w:rsidRPr="006031A9">
        <w:rPr>
          <w:lang w:val="fr-FR"/>
        </w:rPr>
        <w:t>infiltration, en application de l</w:t>
      </w:r>
      <w:r w:rsidR="006031A9" w:rsidRPr="006031A9">
        <w:rPr>
          <w:lang w:val="fr-FR"/>
        </w:rPr>
        <w:t>’</w:t>
      </w:r>
      <w:r w:rsidRPr="006031A9">
        <w:rPr>
          <w:lang w:val="fr-FR"/>
        </w:rPr>
        <w:t>article 235</w:t>
      </w:r>
      <w:r w:rsidRPr="006031A9">
        <w:rPr>
          <w:i/>
          <w:lang w:val="fr-FR"/>
        </w:rPr>
        <w:t>ter</w:t>
      </w:r>
      <w:r w:rsidRPr="006031A9">
        <w:rPr>
          <w:lang w:val="fr-FR"/>
        </w:rPr>
        <w:t xml:space="preserve"> du CIC, qui n</w:t>
      </w:r>
      <w:r w:rsidR="006031A9" w:rsidRPr="006031A9">
        <w:rPr>
          <w:lang w:val="fr-FR"/>
        </w:rPr>
        <w:t>’</w:t>
      </w:r>
      <w:r w:rsidRPr="006031A9">
        <w:rPr>
          <w:lang w:val="fr-FR"/>
        </w:rPr>
        <w:t>est pas contradictoire et qui s</w:t>
      </w:r>
      <w:r w:rsidR="006031A9" w:rsidRPr="006031A9">
        <w:rPr>
          <w:lang w:val="fr-FR"/>
        </w:rPr>
        <w:t>’</w:t>
      </w:r>
      <w:r w:rsidRPr="006031A9">
        <w:rPr>
          <w:lang w:val="fr-FR"/>
        </w:rPr>
        <w:t>exerce sur la base du dossier confidentiel. Il se peut que la chambre des mises en accusation décide, à l</w:t>
      </w:r>
      <w:r w:rsidR="006031A9" w:rsidRPr="006031A9">
        <w:rPr>
          <w:lang w:val="fr-FR"/>
        </w:rPr>
        <w:t>’</w:t>
      </w:r>
      <w:r w:rsidRPr="006031A9">
        <w:rPr>
          <w:lang w:val="fr-FR"/>
        </w:rPr>
        <w:t>occasion du contrôle en application de l</w:t>
      </w:r>
      <w:r w:rsidR="006031A9" w:rsidRPr="006031A9">
        <w:rPr>
          <w:lang w:val="fr-FR"/>
        </w:rPr>
        <w:t>’</w:t>
      </w:r>
      <w:r w:rsidRPr="006031A9">
        <w:rPr>
          <w:lang w:val="fr-FR"/>
        </w:rPr>
        <w:t>article 235</w:t>
      </w:r>
      <w:r w:rsidRPr="006031A9">
        <w:rPr>
          <w:i/>
          <w:lang w:val="fr-FR"/>
        </w:rPr>
        <w:t>ter</w:t>
      </w:r>
      <w:r w:rsidRPr="006031A9">
        <w:rPr>
          <w:lang w:val="fr-FR"/>
        </w:rPr>
        <w:t xml:space="preserve"> du CIC, de procéder également à l</w:t>
      </w:r>
      <w:r w:rsidR="006031A9" w:rsidRPr="006031A9">
        <w:rPr>
          <w:lang w:val="fr-FR"/>
        </w:rPr>
        <w:t>’</w:t>
      </w:r>
      <w:r w:rsidRPr="006031A9">
        <w:rPr>
          <w:lang w:val="fr-FR"/>
        </w:rPr>
        <w:t>examen de la régularité de l</w:t>
      </w:r>
      <w:r w:rsidR="006031A9" w:rsidRPr="006031A9">
        <w:rPr>
          <w:lang w:val="fr-FR"/>
        </w:rPr>
        <w:t>’</w:t>
      </w:r>
      <w:r w:rsidRPr="006031A9">
        <w:rPr>
          <w:lang w:val="fr-FR"/>
        </w:rPr>
        <w:t>ensemble des mesures d</w:t>
      </w:r>
      <w:r w:rsidR="006031A9" w:rsidRPr="006031A9">
        <w:rPr>
          <w:lang w:val="fr-FR"/>
        </w:rPr>
        <w:t>’</w:t>
      </w:r>
      <w:r w:rsidRPr="006031A9">
        <w:rPr>
          <w:lang w:val="fr-FR"/>
        </w:rPr>
        <w:t>instruction d</w:t>
      </w:r>
      <w:r w:rsidR="006031A9" w:rsidRPr="006031A9">
        <w:rPr>
          <w:lang w:val="fr-FR"/>
        </w:rPr>
        <w:t>’</w:t>
      </w:r>
      <w:r w:rsidRPr="006031A9">
        <w:rPr>
          <w:lang w:val="fr-FR"/>
        </w:rPr>
        <w:t>observation et d</w:t>
      </w:r>
      <w:r w:rsidR="006031A9" w:rsidRPr="006031A9">
        <w:rPr>
          <w:lang w:val="fr-FR"/>
        </w:rPr>
        <w:t>’</w:t>
      </w:r>
      <w:r w:rsidRPr="006031A9">
        <w:rPr>
          <w:lang w:val="fr-FR"/>
        </w:rPr>
        <w:t>infiltration, en application de l</w:t>
      </w:r>
      <w:r w:rsidR="006031A9" w:rsidRPr="006031A9">
        <w:rPr>
          <w:lang w:val="fr-FR"/>
        </w:rPr>
        <w:t>’</w:t>
      </w:r>
      <w:r w:rsidRPr="006031A9">
        <w:rPr>
          <w:lang w:val="fr-FR"/>
        </w:rPr>
        <w:t>article 235</w:t>
      </w:r>
      <w:r w:rsidRPr="006031A9">
        <w:rPr>
          <w:i/>
          <w:lang w:val="fr-FR"/>
        </w:rPr>
        <w:t>bis</w:t>
      </w:r>
      <w:r w:rsidRPr="006031A9">
        <w:rPr>
          <w:lang w:val="fr-FR"/>
        </w:rPr>
        <w:t xml:space="preserve"> du CIC, Dans un tel cas, qui </w:t>
      </w:r>
      <w:r w:rsidRPr="006031A9">
        <w:rPr>
          <w:lang w:val="fr-FR"/>
        </w:rPr>
        <w:lastRenderedPageBreak/>
        <w:t>s</w:t>
      </w:r>
      <w:r w:rsidR="006031A9" w:rsidRPr="006031A9">
        <w:rPr>
          <w:lang w:val="fr-FR"/>
        </w:rPr>
        <w:t>’</w:t>
      </w:r>
      <w:r w:rsidRPr="006031A9">
        <w:rPr>
          <w:lang w:val="fr-FR"/>
        </w:rPr>
        <w:t>est présenté en l</w:t>
      </w:r>
      <w:r w:rsidR="006031A9" w:rsidRPr="006031A9">
        <w:rPr>
          <w:lang w:val="fr-FR"/>
        </w:rPr>
        <w:t>’</w:t>
      </w:r>
      <w:r w:rsidRPr="006031A9">
        <w:rPr>
          <w:lang w:val="fr-FR"/>
        </w:rPr>
        <w:t>espèce, elle doit respecter le caractère contradictoire de la procédure pour cette dernière partie de son contrôle.</w:t>
      </w:r>
    </w:p>
    <w:p w:rsidR="00C85586" w:rsidRPr="006031A9" w:rsidRDefault="00C85586" w:rsidP="006031A9">
      <w:pPr>
        <w:pStyle w:val="ECHRTitle1"/>
        <w:rPr>
          <w:lang w:val="fr-FR"/>
        </w:rPr>
      </w:pPr>
      <w:r w:rsidRPr="006031A9">
        <w:rPr>
          <w:lang w:val="fr-FR"/>
        </w:rPr>
        <w:t>EN DROIT</w:t>
      </w:r>
    </w:p>
    <w:p w:rsidR="00C85586" w:rsidRPr="006031A9" w:rsidRDefault="00C85586" w:rsidP="006031A9">
      <w:pPr>
        <w:pStyle w:val="ECHRHeading1"/>
        <w:rPr>
          <w:lang w:val="fr-FR"/>
        </w:rPr>
      </w:pPr>
      <w:r w:rsidRPr="006031A9">
        <w:rPr>
          <w:lang w:val="fr-FR"/>
        </w:rPr>
        <w:t>I.  JONCTION DES REQUETES</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56</w:t>
      </w:r>
      <w:r w:rsidRPr="006031A9">
        <w:rPr>
          <w:lang w:val="fr-FR"/>
        </w:rPr>
        <w:fldChar w:fldCharType="end"/>
      </w:r>
      <w:r w:rsidRPr="006031A9">
        <w:rPr>
          <w:lang w:val="fr-FR"/>
        </w:rPr>
        <w:t>.  La Cour constate que les deux requêtes concernent différentes phases de la même procédure pénale. Partant, compte tenu de la similitude des requêtes quant aux faits et aux questions de fond qu</w:t>
      </w:r>
      <w:r w:rsidR="006031A9" w:rsidRPr="006031A9">
        <w:rPr>
          <w:lang w:val="fr-FR"/>
        </w:rPr>
        <w:t>’</w:t>
      </w:r>
      <w:r w:rsidRPr="006031A9">
        <w:rPr>
          <w:lang w:val="fr-FR"/>
        </w:rPr>
        <w:t>elles posent, la Cour décide, en application de l</w:t>
      </w:r>
      <w:r w:rsidR="006031A9" w:rsidRPr="006031A9">
        <w:rPr>
          <w:lang w:val="fr-FR"/>
        </w:rPr>
        <w:t>’</w:t>
      </w:r>
      <w:r w:rsidRPr="006031A9">
        <w:rPr>
          <w:lang w:val="fr-FR"/>
        </w:rPr>
        <w:t>article 42 § 1 de son règlement et dans l</w:t>
      </w:r>
      <w:r w:rsidR="006031A9" w:rsidRPr="006031A9">
        <w:rPr>
          <w:lang w:val="fr-FR"/>
        </w:rPr>
        <w:t>’</w:t>
      </w:r>
      <w:r w:rsidRPr="006031A9">
        <w:rPr>
          <w:lang w:val="fr-FR"/>
        </w:rPr>
        <w:t>intérêt d</w:t>
      </w:r>
      <w:r w:rsidR="006031A9" w:rsidRPr="006031A9">
        <w:rPr>
          <w:lang w:val="fr-FR"/>
        </w:rPr>
        <w:t>’</w:t>
      </w:r>
      <w:r w:rsidRPr="006031A9">
        <w:rPr>
          <w:lang w:val="fr-FR"/>
        </w:rPr>
        <w:t>une bonne administration de la justice, de joindre ces requêtes.</w:t>
      </w:r>
    </w:p>
    <w:p w:rsidR="00C85586" w:rsidRPr="006031A9" w:rsidRDefault="00C85586" w:rsidP="006031A9">
      <w:pPr>
        <w:pStyle w:val="ECHRHeading1"/>
        <w:rPr>
          <w:lang w:val="fr-FR"/>
        </w:rPr>
      </w:pPr>
      <w:r w:rsidRPr="006031A9">
        <w:rPr>
          <w:lang w:val="fr-FR"/>
        </w:rPr>
        <w:t>II.  SUR LA VIOLATION ALLÉGUÉE DE L</w:t>
      </w:r>
      <w:r w:rsidR="006031A9" w:rsidRPr="006031A9">
        <w:rPr>
          <w:lang w:val="fr-FR"/>
        </w:rPr>
        <w:t>’</w:t>
      </w:r>
      <w:r w:rsidRPr="006031A9">
        <w:rPr>
          <w:lang w:val="fr-FR"/>
        </w:rPr>
        <w:t>ARTICLE 6 §§ 1 ET 3 d) DE LA CONVENTION</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57</w:t>
      </w:r>
      <w:r w:rsidRPr="006031A9">
        <w:rPr>
          <w:lang w:val="fr-FR"/>
        </w:rPr>
        <w:fldChar w:fldCharType="end"/>
      </w:r>
      <w:r w:rsidRPr="006031A9">
        <w:rPr>
          <w:lang w:val="fr-FR"/>
        </w:rPr>
        <w:t>.  Le requérant se plaint d</w:t>
      </w:r>
      <w:r w:rsidR="006031A9" w:rsidRPr="006031A9">
        <w:rPr>
          <w:lang w:val="fr-FR"/>
        </w:rPr>
        <w:t>’</w:t>
      </w:r>
      <w:r w:rsidRPr="006031A9">
        <w:rPr>
          <w:lang w:val="fr-FR"/>
        </w:rPr>
        <w:t>un défaut d</w:t>
      </w:r>
      <w:r w:rsidR="006031A9" w:rsidRPr="006031A9">
        <w:rPr>
          <w:lang w:val="fr-FR"/>
        </w:rPr>
        <w:t>’</w:t>
      </w:r>
      <w:r w:rsidRPr="006031A9">
        <w:rPr>
          <w:lang w:val="fr-FR"/>
        </w:rPr>
        <w:t>équité de la procédure au motif qu</w:t>
      </w:r>
      <w:r w:rsidR="006031A9" w:rsidRPr="006031A9">
        <w:rPr>
          <w:lang w:val="fr-FR"/>
        </w:rPr>
        <w:t>’</w:t>
      </w:r>
      <w:r w:rsidRPr="006031A9">
        <w:rPr>
          <w:lang w:val="fr-FR"/>
        </w:rPr>
        <w:t>à aucun moment de la procédure, il n</w:t>
      </w:r>
      <w:r w:rsidR="006031A9" w:rsidRPr="006031A9">
        <w:rPr>
          <w:lang w:val="fr-FR"/>
        </w:rPr>
        <w:t>’</w:t>
      </w:r>
      <w:r w:rsidRPr="006031A9">
        <w:rPr>
          <w:lang w:val="fr-FR"/>
        </w:rPr>
        <w:t>a eu accès au dossier confidentiel et n</w:t>
      </w:r>
      <w:r w:rsidR="006031A9" w:rsidRPr="006031A9">
        <w:rPr>
          <w:lang w:val="fr-FR"/>
        </w:rPr>
        <w:t>’</w:t>
      </w:r>
      <w:r w:rsidRPr="006031A9">
        <w:rPr>
          <w:lang w:val="fr-FR"/>
        </w:rPr>
        <w:t>a pu interroger ou faire interroger les agents infiltrés. Il invoque l</w:t>
      </w:r>
      <w:r w:rsidR="006031A9" w:rsidRPr="006031A9">
        <w:rPr>
          <w:lang w:val="fr-FR"/>
        </w:rPr>
        <w:t>’</w:t>
      </w:r>
      <w:r w:rsidRPr="006031A9">
        <w:rPr>
          <w:lang w:val="fr-FR"/>
        </w:rPr>
        <w:t>article 6 §§ 1 et 3 d) de la Convention qui, dans ses parties pertinentes, est ainsi formulé :</w:t>
      </w:r>
    </w:p>
    <w:p w:rsidR="0002655A" w:rsidRPr="006031A9" w:rsidRDefault="00C85586" w:rsidP="006031A9">
      <w:pPr>
        <w:pStyle w:val="ECHRParaQuote"/>
        <w:rPr>
          <w:lang w:val="fr-FR"/>
        </w:rPr>
      </w:pPr>
      <w:r w:rsidRPr="006031A9">
        <w:rPr>
          <w:lang w:val="fr-FR"/>
        </w:rPr>
        <w:t>« 1.  Toute personne a droit à ce que sa cause soit entendue équitablement (...) par un tribunal (...) qui décidera (...) du bien-fondé de toute accusation en matière pénale dirigée contre elle.</w:t>
      </w:r>
    </w:p>
    <w:p w:rsidR="00C85586" w:rsidRPr="006031A9" w:rsidRDefault="00C85586" w:rsidP="006031A9">
      <w:pPr>
        <w:pStyle w:val="ECHRParaQuote"/>
        <w:rPr>
          <w:lang w:val="fr-FR"/>
        </w:rPr>
      </w:pPr>
      <w:r w:rsidRPr="006031A9">
        <w:rPr>
          <w:lang w:val="fr-FR"/>
        </w:rPr>
        <w:t>(</w:t>
      </w:r>
      <w:r w:rsidR="0002655A" w:rsidRPr="006031A9">
        <w:rPr>
          <w:lang w:val="fr-FR"/>
        </w:rPr>
        <w:t>...</w:t>
      </w:r>
      <w:r w:rsidRPr="006031A9">
        <w:rPr>
          <w:lang w:val="fr-FR"/>
        </w:rPr>
        <w:t>)</w:t>
      </w:r>
    </w:p>
    <w:p w:rsidR="00C85586" w:rsidRPr="006031A9" w:rsidRDefault="00C85586" w:rsidP="006031A9">
      <w:pPr>
        <w:pStyle w:val="ECHRParaQuote"/>
        <w:rPr>
          <w:lang w:val="fr-FR"/>
        </w:rPr>
      </w:pPr>
      <w:r w:rsidRPr="006031A9">
        <w:rPr>
          <w:lang w:val="fr-FR"/>
        </w:rPr>
        <w:t>« 3.  Tout accusé a droit notamment à :</w:t>
      </w:r>
    </w:p>
    <w:p w:rsidR="00C85586" w:rsidRPr="006031A9" w:rsidRDefault="00C85586" w:rsidP="006031A9">
      <w:pPr>
        <w:pStyle w:val="ECHRParaQuote"/>
        <w:rPr>
          <w:lang w:val="fr-FR"/>
        </w:rPr>
      </w:pPr>
      <w:r w:rsidRPr="006031A9">
        <w:rPr>
          <w:lang w:val="fr-FR"/>
        </w:rPr>
        <w:t>(...)</w:t>
      </w:r>
    </w:p>
    <w:p w:rsidR="00C85586" w:rsidRPr="006031A9" w:rsidRDefault="00C85586" w:rsidP="006031A9">
      <w:pPr>
        <w:pStyle w:val="ECHRParaQuote"/>
        <w:rPr>
          <w:lang w:val="fr-FR"/>
        </w:rPr>
      </w:pPr>
      <w:r w:rsidRPr="006031A9">
        <w:rPr>
          <w:lang w:val="fr-FR"/>
        </w:rPr>
        <w:t>d)  interroger ou faire interroger les témoins à charge et obtenir la convocation et l</w:t>
      </w:r>
      <w:r w:rsidR="006031A9" w:rsidRPr="006031A9">
        <w:rPr>
          <w:lang w:val="fr-FR"/>
        </w:rPr>
        <w:t>’</w:t>
      </w:r>
      <w:r w:rsidRPr="006031A9">
        <w:rPr>
          <w:lang w:val="fr-FR"/>
        </w:rPr>
        <w:t>interrogation des témoins à décharge dans les mêmes conditions que les témoins à charge. »</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58</w:t>
      </w:r>
      <w:r w:rsidRPr="006031A9">
        <w:rPr>
          <w:lang w:val="fr-FR"/>
        </w:rPr>
        <w:fldChar w:fldCharType="end"/>
      </w:r>
      <w:r w:rsidRPr="006031A9">
        <w:rPr>
          <w:lang w:val="fr-FR"/>
        </w:rPr>
        <w:t>.  Le Gouvernement s</w:t>
      </w:r>
      <w:r w:rsidR="006031A9" w:rsidRPr="006031A9">
        <w:rPr>
          <w:lang w:val="fr-FR"/>
        </w:rPr>
        <w:t>’</w:t>
      </w:r>
      <w:r w:rsidRPr="006031A9">
        <w:rPr>
          <w:lang w:val="fr-FR"/>
        </w:rPr>
        <w:t>oppose à cette thèse.</w:t>
      </w:r>
    </w:p>
    <w:p w:rsidR="00C85586" w:rsidRPr="006031A9" w:rsidRDefault="00C85586" w:rsidP="006031A9">
      <w:pPr>
        <w:pStyle w:val="ECHRHeading2"/>
        <w:rPr>
          <w:lang w:val="fr-FR"/>
        </w:rPr>
      </w:pPr>
      <w:r w:rsidRPr="006031A9">
        <w:rPr>
          <w:lang w:val="fr-FR"/>
        </w:rPr>
        <w:t>A.  Sur le non-accès au dossier confidentiel</w:t>
      </w:r>
    </w:p>
    <w:p w:rsidR="00C85586" w:rsidRPr="006031A9" w:rsidRDefault="00C85586" w:rsidP="006031A9">
      <w:pPr>
        <w:pStyle w:val="ECHRHeading3"/>
        <w:rPr>
          <w:lang w:val="fr-FR"/>
        </w:rPr>
      </w:pPr>
      <w:r w:rsidRPr="006031A9">
        <w:rPr>
          <w:lang w:val="fr-FR"/>
        </w:rPr>
        <w:t>1.  Sur la recevabilité</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59</w:t>
      </w:r>
      <w:r w:rsidRPr="006031A9">
        <w:rPr>
          <w:lang w:val="fr-FR"/>
        </w:rPr>
        <w:fldChar w:fldCharType="end"/>
      </w:r>
      <w:r w:rsidRPr="006031A9">
        <w:rPr>
          <w:lang w:val="fr-FR"/>
        </w:rPr>
        <w:t>.  La Cour constate que cette partie de la requête n</w:t>
      </w:r>
      <w:r w:rsidR="006031A9" w:rsidRPr="006031A9">
        <w:rPr>
          <w:lang w:val="fr-FR"/>
        </w:rPr>
        <w:t>’</w:t>
      </w:r>
      <w:r w:rsidRPr="006031A9">
        <w:rPr>
          <w:lang w:val="fr-FR"/>
        </w:rPr>
        <w:t>est pas manifestement mal fondée au sens de l</w:t>
      </w:r>
      <w:r w:rsidR="006031A9" w:rsidRPr="006031A9">
        <w:rPr>
          <w:lang w:val="fr-FR"/>
        </w:rPr>
        <w:t>’</w:t>
      </w:r>
      <w:r w:rsidRPr="006031A9">
        <w:rPr>
          <w:lang w:val="fr-FR"/>
        </w:rPr>
        <w:t>article 35 § 3 a) de la Convention et</w:t>
      </w:r>
      <w:r w:rsidR="007A11C8" w:rsidRPr="006031A9">
        <w:rPr>
          <w:lang w:val="fr-FR"/>
        </w:rPr>
        <w:t> </w:t>
      </w:r>
      <w:r w:rsidRPr="006031A9">
        <w:rPr>
          <w:lang w:val="fr-FR"/>
        </w:rPr>
        <w:t>qu</w:t>
      </w:r>
      <w:r w:rsidR="006031A9" w:rsidRPr="006031A9">
        <w:rPr>
          <w:lang w:val="fr-FR"/>
        </w:rPr>
        <w:t>’</w:t>
      </w:r>
      <w:r w:rsidRPr="006031A9">
        <w:rPr>
          <w:lang w:val="fr-FR"/>
        </w:rPr>
        <w:t>elle ne se heurte par ailleurs à aucun autre motif d</w:t>
      </w:r>
      <w:r w:rsidR="006031A9" w:rsidRPr="006031A9">
        <w:rPr>
          <w:lang w:val="fr-FR"/>
        </w:rPr>
        <w:t>’</w:t>
      </w:r>
      <w:r w:rsidRPr="006031A9">
        <w:rPr>
          <w:lang w:val="fr-FR"/>
        </w:rPr>
        <w:t>irrecevabilité. La</w:t>
      </w:r>
      <w:r w:rsidR="007A11C8" w:rsidRPr="006031A9">
        <w:rPr>
          <w:lang w:val="fr-FR"/>
        </w:rPr>
        <w:t> </w:t>
      </w:r>
      <w:r w:rsidRPr="006031A9">
        <w:rPr>
          <w:lang w:val="fr-FR"/>
        </w:rPr>
        <w:t>Cour la déclare dès lors recevable.</w:t>
      </w:r>
    </w:p>
    <w:p w:rsidR="0002655A" w:rsidRPr="006031A9" w:rsidRDefault="00C85586" w:rsidP="006031A9">
      <w:pPr>
        <w:pStyle w:val="ECHRHeading3"/>
        <w:rPr>
          <w:lang w:val="fr-FR"/>
        </w:rPr>
      </w:pPr>
      <w:r w:rsidRPr="006031A9">
        <w:rPr>
          <w:lang w:val="fr-FR"/>
        </w:rPr>
        <w:lastRenderedPageBreak/>
        <w:t>2.  Sur le fond</w:t>
      </w:r>
    </w:p>
    <w:p w:rsidR="00C85586" w:rsidRPr="006031A9" w:rsidRDefault="00C85586" w:rsidP="006031A9">
      <w:pPr>
        <w:pStyle w:val="ECHRHeading4"/>
        <w:rPr>
          <w:lang w:val="fr-FR"/>
        </w:rPr>
      </w:pPr>
      <w:r w:rsidRPr="006031A9">
        <w:rPr>
          <w:lang w:val="fr-FR"/>
        </w:rPr>
        <w:t>a)  Thèses des parties</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60</w:t>
      </w:r>
      <w:r w:rsidRPr="006031A9">
        <w:rPr>
          <w:lang w:val="fr-FR"/>
        </w:rPr>
        <w:fldChar w:fldCharType="end"/>
      </w:r>
      <w:r w:rsidRPr="006031A9">
        <w:rPr>
          <w:lang w:val="fr-FR"/>
        </w:rPr>
        <w:t>.  Le requérant met en cause l</w:t>
      </w:r>
      <w:r w:rsidR="006031A9" w:rsidRPr="006031A9">
        <w:rPr>
          <w:lang w:val="fr-FR"/>
        </w:rPr>
        <w:t>’</w:t>
      </w:r>
      <w:r w:rsidRPr="006031A9">
        <w:rPr>
          <w:lang w:val="fr-FR"/>
        </w:rPr>
        <w:t>existence d</w:t>
      </w:r>
      <w:r w:rsidR="006031A9" w:rsidRPr="006031A9">
        <w:rPr>
          <w:lang w:val="fr-FR"/>
        </w:rPr>
        <w:t>’</w:t>
      </w:r>
      <w:r w:rsidRPr="006031A9">
        <w:rPr>
          <w:lang w:val="fr-FR"/>
        </w:rPr>
        <w:t>un dossier séparé et confidentiel tenu par l</w:t>
      </w:r>
      <w:r w:rsidR="006031A9" w:rsidRPr="006031A9">
        <w:rPr>
          <w:lang w:val="fr-FR"/>
        </w:rPr>
        <w:t>’</w:t>
      </w:r>
      <w:r w:rsidRPr="006031A9">
        <w:rPr>
          <w:lang w:val="fr-FR"/>
        </w:rPr>
        <w:t>accusation et se plaint que n</w:t>
      </w:r>
      <w:r w:rsidR="006031A9" w:rsidRPr="006031A9">
        <w:rPr>
          <w:lang w:val="fr-FR"/>
        </w:rPr>
        <w:t>’</w:t>
      </w:r>
      <w:r w:rsidRPr="006031A9">
        <w:rPr>
          <w:lang w:val="fr-FR"/>
        </w:rPr>
        <w:t>ayant pas eu accès à ce dossier, il a été empêché de vérifier si le recours aux méthodes particulières de recherche d</w:t>
      </w:r>
      <w:r w:rsidR="006031A9" w:rsidRPr="006031A9">
        <w:rPr>
          <w:lang w:val="fr-FR"/>
        </w:rPr>
        <w:t>’</w:t>
      </w:r>
      <w:r w:rsidRPr="006031A9">
        <w:rPr>
          <w:lang w:val="fr-FR"/>
        </w:rPr>
        <w:t>observation et d</w:t>
      </w:r>
      <w:r w:rsidR="006031A9" w:rsidRPr="006031A9">
        <w:rPr>
          <w:lang w:val="fr-FR"/>
        </w:rPr>
        <w:t>’</w:t>
      </w:r>
      <w:r w:rsidRPr="006031A9">
        <w:rPr>
          <w:lang w:val="fr-FR"/>
        </w:rPr>
        <w:t>infiltration l</w:t>
      </w:r>
      <w:r w:rsidR="006031A9" w:rsidRPr="006031A9">
        <w:rPr>
          <w:lang w:val="fr-FR"/>
        </w:rPr>
        <w:t>’</w:t>
      </w:r>
      <w:r w:rsidRPr="006031A9">
        <w:rPr>
          <w:lang w:val="fr-FR"/>
        </w:rPr>
        <w:t>a été dans le respect des principes de subsidiarité et de proportionnalité et si les agents infiltrés n</w:t>
      </w:r>
      <w:r w:rsidR="006031A9" w:rsidRPr="006031A9">
        <w:rPr>
          <w:lang w:val="fr-FR"/>
        </w:rPr>
        <w:t>’</w:t>
      </w:r>
      <w:r w:rsidRPr="006031A9">
        <w:rPr>
          <w:lang w:val="fr-FR"/>
        </w:rPr>
        <w:t>ont pas eu recours à la provocation. Il estime que ni le contrôle effectué par la chambre des mises en accusation, juridiction d</w:t>
      </w:r>
      <w:r w:rsidR="006031A9" w:rsidRPr="006031A9">
        <w:rPr>
          <w:lang w:val="fr-FR"/>
        </w:rPr>
        <w:t>’</w:t>
      </w:r>
      <w:r w:rsidRPr="006031A9">
        <w:rPr>
          <w:lang w:val="fr-FR"/>
        </w:rPr>
        <w:t>instruction, de la régularité de la mise en œuvre des méthodes particulières de recherche, ni le versement au dossier répressif de certaines pièces, n</w:t>
      </w:r>
      <w:r w:rsidR="006031A9" w:rsidRPr="006031A9">
        <w:rPr>
          <w:lang w:val="fr-FR"/>
        </w:rPr>
        <w:t>’</w:t>
      </w:r>
      <w:r w:rsidRPr="006031A9">
        <w:rPr>
          <w:lang w:val="fr-FR"/>
        </w:rPr>
        <w:t>étaient des mesures venant adéquatement compenser ces limitations. En outre, il se plaint que postérieurement à ce contrôle, il n</w:t>
      </w:r>
      <w:r w:rsidR="006031A9" w:rsidRPr="006031A9">
        <w:rPr>
          <w:lang w:val="fr-FR"/>
        </w:rPr>
        <w:t>’</w:t>
      </w:r>
      <w:r w:rsidRPr="006031A9">
        <w:rPr>
          <w:lang w:val="fr-FR"/>
        </w:rPr>
        <w:t>y a plus de possibilité de faire valoir des irrégularités devant les juges du fond, lesquels sont liés par la décision de la chambre des mises en accusation.</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61</w:t>
      </w:r>
      <w:r w:rsidRPr="006031A9">
        <w:rPr>
          <w:lang w:val="fr-FR"/>
        </w:rPr>
        <w:fldChar w:fldCharType="end"/>
      </w:r>
      <w:r w:rsidRPr="006031A9">
        <w:rPr>
          <w:lang w:val="fr-FR"/>
        </w:rPr>
        <w:t>.  Le Gouvernement est d</w:t>
      </w:r>
      <w:r w:rsidR="006031A9" w:rsidRPr="006031A9">
        <w:rPr>
          <w:lang w:val="fr-FR"/>
        </w:rPr>
        <w:t>’</w:t>
      </w:r>
      <w:r w:rsidRPr="006031A9">
        <w:rPr>
          <w:lang w:val="fr-FR"/>
        </w:rPr>
        <w:t>avis que le droit belge assure un équilibre entre les exigences d</w:t>
      </w:r>
      <w:r w:rsidR="006031A9" w:rsidRPr="006031A9">
        <w:rPr>
          <w:lang w:val="fr-FR"/>
        </w:rPr>
        <w:t>’</w:t>
      </w:r>
      <w:r w:rsidRPr="006031A9">
        <w:rPr>
          <w:lang w:val="fr-FR"/>
        </w:rPr>
        <w:t>équité et de sécurité conforme aux exigences de la Convention. Il estime que la limitation des droits de la défense est strictement proportionnée à l</w:t>
      </w:r>
      <w:r w:rsidR="006031A9" w:rsidRPr="006031A9">
        <w:rPr>
          <w:lang w:val="fr-FR"/>
        </w:rPr>
        <w:t>’</w:t>
      </w:r>
      <w:r w:rsidRPr="006031A9">
        <w:rPr>
          <w:lang w:val="fr-FR"/>
        </w:rPr>
        <w:t>importance des objectifs à atteindre, à savoir combattre les différentes formes de criminalité grave et garantir la protection de l</w:t>
      </w:r>
      <w:r w:rsidR="006031A9" w:rsidRPr="006031A9">
        <w:rPr>
          <w:lang w:val="fr-FR"/>
        </w:rPr>
        <w:t>’</w:t>
      </w:r>
      <w:r w:rsidRPr="006031A9">
        <w:rPr>
          <w:lang w:val="fr-FR"/>
        </w:rPr>
        <w:t>identité de l</w:t>
      </w:r>
      <w:r w:rsidR="006031A9" w:rsidRPr="006031A9">
        <w:rPr>
          <w:lang w:val="fr-FR"/>
        </w:rPr>
        <w:t>’</w:t>
      </w:r>
      <w:r w:rsidRPr="006031A9">
        <w:rPr>
          <w:lang w:val="fr-FR"/>
        </w:rPr>
        <w:t>agent infiltré. Cette limitation est suffisamment compensée, selon lui, par les garanties entourant la procédure suivie devant la chambre des mises en accusation.</w:t>
      </w:r>
    </w:p>
    <w:p w:rsidR="00C85586" w:rsidRPr="006031A9" w:rsidRDefault="00C85586" w:rsidP="006031A9">
      <w:pPr>
        <w:pStyle w:val="ECHRHeading4"/>
        <w:rPr>
          <w:lang w:val="fr-FR"/>
        </w:rPr>
      </w:pPr>
      <w:r w:rsidRPr="006031A9">
        <w:rPr>
          <w:lang w:val="fr-FR"/>
        </w:rPr>
        <w:t>b)  Appréciation de la Cour</w:t>
      </w:r>
    </w:p>
    <w:p w:rsidR="00C85586" w:rsidRPr="006031A9" w:rsidRDefault="00C85586" w:rsidP="006031A9">
      <w:pPr>
        <w:pStyle w:val="ECHRHeading5"/>
        <w:rPr>
          <w:lang w:val="fr-FR"/>
        </w:rPr>
      </w:pPr>
      <w:r w:rsidRPr="006031A9">
        <w:rPr>
          <w:lang w:val="fr-FR"/>
        </w:rPr>
        <w:t>i.  Principes généraux pertinents</w:t>
      </w:r>
    </w:p>
    <w:bookmarkStart w:id="31" w:name="LGPApproachoverallfair"/>
    <w:bookmarkStart w:id="32" w:name="JPIBRAHIM"/>
    <w:p w:rsidR="00313C7B" w:rsidRPr="006031A9" w:rsidRDefault="00C85586" w:rsidP="006031A9">
      <w:pPr>
        <w:pStyle w:val="ECHRPara"/>
        <w:rPr>
          <w:snapToGrid w:val="0"/>
          <w:lang w:val="fr-FR"/>
        </w:rPr>
      </w:pPr>
      <w:r w:rsidRPr="006031A9">
        <w:rPr>
          <w:rFonts w:cs="Times New Roman"/>
          <w:lang w:val="fr-FR"/>
        </w:rPr>
        <w:fldChar w:fldCharType="begin"/>
      </w:r>
      <w:r w:rsidRPr="006031A9">
        <w:rPr>
          <w:rFonts w:cs="Times New Roman"/>
          <w:lang w:val="fr-FR"/>
        </w:rPr>
        <w:instrText xml:space="preserve"> SEQ level0 \*arabic </w:instrText>
      </w:r>
      <w:r w:rsidRPr="006031A9">
        <w:rPr>
          <w:rFonts w:cs="Times New Roman"/>
          <w:lang w:val="fr-FR"/>
        </w:rPr>
        <w:fldChar w:fldCharType="separate"/>
      </w:r>
      <w:r w:rsidR="006031A9" w:rsidRPr="006031A9">
        <w:rPr>
          <w:rFonts w:cs="Times New Roman"/>
          <w:noProof/>
          <w:lang w:val="fr-FR"/>
        </w:rPr>
        <w:t>62</w:t>
      </w:r>
      <w:r w:rsidRPr="006031A9">
        <w:rPr>
          <w:rFonts w:cs="Times New Roman"/>
          <w:lang w:val="fr-FR"/>
        </w:rPr>
        <w:fldChar w:fldCharType="end"/>
      </w:r>
      <w:bookmarkEnd w:id="31"/>
      <w:bookmarkEnd w:id="32"/>
      <w:r w:rsidRPr="006031A9">
        <w:rPr>
          <w:rFonts w:cs="Times New Roman"/>
          <w:lang w:val="fr-FR"/>
        </w:rPr>
        <w:t>.  La Cour rappelle que le droit à un procès équitable consacré par l</w:t>
      </w:r>
      <w:r w:rsidR="006031A9" w:rsidRPr="006031A9">
        <w:rPr>
          <w:rFonts w:cs="Times New Roman"/>
          <w:lang w:val="fr-FR"/>
        </w:rPr>
        <w:t>’</w:t>
      </w:r>
      <w:r w:rsidRPr="006031A9">
        <w:rPr>
          <w:rFonts w:cs="Times New Roman"/>
          <w:lang w:val="fr-FR"/>
        </w:rPr>
        <w:t>article 6 § 1 de la Convention ne souffre aucune dérogation ; toutefois, la définition de cette notion ne saurait être soumise à une règle unique et invariable mais elle est au contraire fonction des circonstances propres à chaque affaire. Lorsqu</w:t>
      </w:r>
      <w:r w:rsidR="006031A9" w:rsidRPr="006031A9">
        <w:rPr>
          <w:rFonts w:cs="Times New Roman"/>
          <w:lang w:val="fr-FR"/>
        </w:rPr>
        <w:t>’</w:t>
      </w:r>
      <w:r w:rsidRPr="006031A9">
        <w:rPr>
          <w:rFonts w:cs="Times New Roman"/>
          <w:lang w:val="fr-FR"/>
        </w:rPr>
        <w:t>elle examine un grief tiré de l</w:t>
      </w:r>
      <w:r w:rsidR="006031A9" w:rsidRPr="006031A9">
        <w:rPr>
          <w:rFonts w:cs="Times New Roman"/>
          <w:lang w:val="fr-FR"/>
        </w:rPr>
        <w:t>’</w:t>
      </w:r>
      <w:r w:rsidRPr="006031A9">
        <w:rPr>
          <w:rFonts w:cs="Times New Roman"/>
          <w:lang w:val="fr-FR"/>
        </w:rPr>
        <w:t>article 6 § 1, la Cour doit essentiellement déterminer si la procédure pénale a globalement revêtu un caractère équitable (voir, parmi d</w:t>
      </w:r>
      <w:r w:rsidR="006031A9" w:rsidRPr="006031A9">
        <w:rPr>
          <w:rFonts w:cs="Times New Roman"/>
          <w:lang w:val="fr-FR"/>
        </w:rPr>
        <w:t>’</w:t>
      </w:r>
      <w:r w:rsidRPr="006031A9">
        <w:rPr>
          <w:rFonts w:cs="Times New Roman"/>
          <w:lang w:val="fr-FR"/>
        </w:rPr>
        <w:t xml:space="preserve">autres, </w:t>
      </w:r>
      <w:r w:rsidRPr="006031A9">
        <w:rPr>
          <w:rFonts w:ascii="Times New Roman" w:eastAsiaTheme="minorHAnsi" w:hAnsi="Times New Roman" w:cs="Times New Roman"/>
          <w:i/>
          <w:szCs w:val="24"/>
          <w:lang w:val="fr-FR"/>
        </w:rPr>
        <w:t>Taxquet c. Belgique</w:t>
      </w:r>
      <w:r w:rsidRPr="006031A9">
        <w:rPr>
          <w:rFonts w:ascii="Times New Roman" w:eastAsiaTheme="minorHAnsi" w:hAnsi="Times New Roman" w:cs="Times New Roman"/>
          <w:szCs w:val="24"/>
          <w:lang w:val="fr-FR"/>
        </w:rPr>
        <w:t xml:space="preserve"> [GC], n</w:t>
      </w:r>
      <w:r w:rsidRPr="006031A9">
        <w:rPr>
          <w:rFonts w:ascii="Times New Roman" w:eastAsiaTheme="minorHAnsi" w:hAnsi="Times New Roman" w:cs="Times New Roman"/>
          <w:szCs w:val="24"/>
          <w:vertAlign w:val="superscript"/>
          <w:lang w:val="fr-FR"/>
        </w:rPr>
        <w:t>o</w:t>
      </w:r>
      <w:r w:rsidRPr="006031A9">
        <w:rPr>
          <w:rFonts w:ascii="Times New Roman" w:eastAsiaTheme="minorHAnsi" w:hAnsi="Times New Roman" w:cs="Times New Roman"/>
          <w:szCs w:val="24"/>
          <w:lang w:val="fr-FR"/>
        </w:rPr>
        <w:t xml:space="preserve"> 926/05, § 84, CEDH 2010, </w:t>
      </w:r>
      <w:r w:rsidRPr="006031A9">
        <w:rPr>
          <w:i/>
          <w:lang w:val="fr-FR"/>
        </w:rPr>
        <w:t xml:space="preserve">Schatschaschwili c. Allemagne </w:t>
      </w:r>
      <w:r w:rsidRPr="006031A9">
        <w:rPr>
          <w:lang w:val="fr-FR"/>
        </w:rPr>
        <w:t>[GC], n</w:t>
      </w:r>
      <w:r w:rsidRPr="006031A9">
        <w:rPr>
          <w:vertAlign w:val="superscript"/>
          <w:lang w:val="fr-FR"/>
        </w:rPr>
        <w:t>o</w:t>
      </w:r>
      <w:r w:rsidRPr="006031A9">
        <w:rPr>
          <w:lang w:val="fr-FR"/>
        </w:rPr>
        <w:t xml:space="preserve"> 9154/10, § 101, CEDH 2015, </w:t>
      </w:r>
      <w:r w:rsidRPr="006031A9">
        <w:rPr>
          <w:rFonts w:ascii="Times New Roman" w:eastAsiaTheme="minorHAnsi" w:hAnsi="Times New Roman" w:cs="Times New Roman"/>
          <w:szCs w:val="24"/>
          <w:lang w:val="fr-FR"/>
        </w:rPr>
        <w:t xml:space="preserve">et </w:t>
      </w:r>
      <w:r w:rsidRPr="006031A9">
        <w:rPr>
          <w:i/>
          <w:snapToGrid w:val="0"/>
          <w:lang w:val="fr-FR"/>
        </w:rPr>
        <w:t xml:space="preserve">Ibrahim et autres c. Royaume-Uni </w:t>
      </w:r>
      <w:r w:rsidRPr="006031A9">
        <w:rPr>
          <w:snapToGrid w:val="0"/>
          <w:lang w:val="fr-FR"/>
        </w:rPr>
        <w:t>[GC], n</w:t>
      </w:r>
      <w:r w:rsidRPr="006031A9">
        <w:rPr>
          <w:snapToGrid w:val="0"/>
          <w:vertAlign w:val="superscript"/>
          <w:lang w:val="fr-FR"/>
        </w:rPr>
        <w:t>os</w:t>
      </w:r>
      <w:r w:rsidRPr="006031A9">
        <w:rPr>
          <w:snapToGrid w:val="0"/>
          <w:lang w:val="fr-FR"/>
        </w:rPr>
        <w:t xml:space="preserve"> 50541/08</w:t>
      </w:r>
      <w:r w:rsidR="00313C7B" w:rsidRPr="006031A9">
        <w:rPr>
          <w:snapToGrid w:val="0"/>
          <w:lang w:val="fr-FR"/>
        </w:rPr>
        <w:t xml:space="preserve"> </w:t>
      </w:r>
      <w:r w:rsidR="00313C7B" w:rsidRPr="006031A9">
        <w:rPr>
          <w:lang w:val="fr-FR"/>
        </w:rPr>
        <w:t>et 3 autres</w:t>
      </w:r>
      <w:r w:rsidRPr="006031A9">
        <w:rPr>
          <w:snapToGrid w:val="0"/>
          <w:lang w:val="fr-FR"/>
        </w:rPr>
        <w:t xml:space="preserve">, § 250, </w:t>
      </w:r>
      <w:r w:rsidR="00313C7B" w:rsidRPr="006031A9">
        <w:rPr>
          <w:lang w:val="fr-FR"/>
        </w:rPr>
        <w:t>CEDH</w:t>
      </w:r>
      <w:r w:rsidR="00313C7B" w:rsidRPr="006031A9">
        <w:rPr>
          <w:snapToGrid w:val="0"/>
          <w:lang w:val="fr-FR"/>
        </w:rPr>
        <w:t xml:space="preserve"> 2016</w:t>
      </w:r>
      <w:r w:rsidRPr="006031A9">
        <w:rPr>
          <w:rFonts w:cs="Times New Roman"/>
          <w:lang w:val="fr-FR"/>
        </w:rPr>
        <w:t>).</w:t>
      </w:r>
    </w:p>
    <w:bookmarkStart w:id="33" w:name="LGPApproachcontextpubinterest"/>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63</w:t>
      </w:r>
      <w:r w:rsidRPr="006031A9">
        <w:rPr>
          <w:lang w:val="fr-FR"/>
        </w:rPr>
        <w:fldChar w:fldCharType="end"/>
      </w:r>
      <w:bookmarkEnd w:id="33"/>
      <w:r w:rsidRPr="006031A9">
        <w:rPr>
          <w:lang w:val="fr-FR"/>
        </w:rPr>
        <w:t>.  Les exigences générales d</w:t>
      </w:r>
      <w:r w:rsidR="006031A9" w:rsidRPr="006031A9">
        <w:rPr>
          <w:lang w:val="fr-FR"/>
        </w:rPr>
        <w:t>’</w:t>
      </w:r>
      <w:r w:rsidRPr="006031A9">
        <w:rPr>
          <w:lang w:val="fr-FR"/>
        </w:rPr>
        <w:t>équité posées à l</w:t>
      </w:r>
      <w:r w:rsidR="006031A9" w:rsidRPr="006031A9">
        <w:rPr>
          <w:lang w:val="fr-FR"/>
        </w:rPr>
        <w:t>’</w:t>
      </w:r>
      <w:r w:rsidRPr="006031A9">
        <w:rPr>
          <w:lang w:val="fr-FR"/>
        </w:rPr>
        <w:t>article 6 s</w:t>
      </w:r>
      <w:r w:rsidR="006031A9" w:rsidRPr="006031A9">
        <w:rPr>
          <w:lang w:val="fr-FR"/>
        </w:rPr>
        <w:t>’</w:t>
      </w:r>
      <w:r w:rsidRPr="006031A9">
        <w:rPr>
          <w:lang w:val="fr-FR"/>
        </w:rPr>
        <w:t>appliquent à toutes les procédures pénales, quel que soit le type d</w:t>
      </w:r>
      <w:r w:rsidR="006031A9" w:rsidRPr="006031A9">
        <w:rPr>
          <w:lang w:val="fr-FR"/>
        </w:rPr>
        <w:t>’</w:t>
      </w:r>
      <w:r w:rsidRPr="006031A9">
        <w:rPr>
          <w:lang w:val="fr-FR"/>
        </w:rPr>
        <w:t>infraction concerné. Il est hors de question que les droits tenant à l</w:t>
      </w:r>
      <w:r w:rsidR="006031A9" w:rsidRPr="006031A9">
        <w:rPr>
          <w:lang w:val="fr-FR"/>
        </w:rPr>
        <w:t>’</w:t>
      </w:r>
      <w:r w:rsidRPr="006031A9">
        <w:rPr>
          <w:lang w:val="fr-FR"/>
        </w:rPr>
        <w:t>équité du procès soient atténués pour la seule raison que les personnes concernées sont soupçonnées de faire parti d</w:t>
      </w:r>
      <w:r w:rsidR="006031A9" w:rsidRPr="006031A9">
        <w:rPr>
          <w:lang w:val="fr-FR"/>
        </w:rPr>
        <w:t>’</w:t>
      </w:r>
      <w:r w:rsidRPr="006031A9">
        <w:rPr>
          <w:lang w:val="fr-FR"/>
        </w:rPr>
        <w:t>une organisation criminelle. Il reste que, pour déterminer si la procédure dans son ensemble a été équitable, le poids de l</w:t>
      </w:r>
      <w:r w:rsidR="006031A9" w:rsidRPr="006031A9">
        <w:rPr>
          <w:lang w:val="fr-FR"/>
        </w:rPr>
        <w:t>’</w:t>
      </w:r>
      <w:r w:rsidRPr="006031A9">
        <w:rPr>
          <w:lang w:val="fr-FR"/>
        </w:rPr>
        <w:t xml:space="preserve">intérêt public à la </w:t>
      </w:r>
      <w:r w:rsidRPr="006031A9">
        <w:rPr>
          <w:lang w:val="fr-FR"/>
        </w:rPr>
        <w:lastRenderedPageBreak/>
        <w:t>poursuite de l</w:t>
      </w:r>
      <w:r w:rsidR="006031A9" w:rsidRPr="006031A9">
        <w:rPr>
          <w:lang w:val="fr-FR"/>
        </w:rPr>
        <w:t>’</w:t>
      </w:r>
      <w:r w:rsidRPr="006031A9">
        <w:rPr>
          <w:lang w:val="fr-FR"/>
        </w:rPr>
        <w:t xml:space="preserve">infraction particulière en question et à la sanction de son auteur peut être pris en considération (voir, </w:t>
      </w:r>
      <w:r w:rsidRPr="006031A9">
        <w:rPr>
          <w:i/>
          <w:lang w:val="fr-FR"/>
        </w:rPr>
        <w:t>mutatis mutandis</w:t>
      </w:r>
      <w:r w:rsidRPr="006031A9">
        <w:rPr>
          <w:lang w:val="fr-FR"/>
        </w:rPr>
        <w:t xml:space="preserve">, </w:t>
      </w:r>
      <w:r w:rsidRPr="006031A9">
        <w:rPr>
          <w:i/>
          <w:lang w:val="fr-FR"/>
        </w:rPr>
        <w:t>Jalloh c. Allemagne</w:t>
      </w:r>
      <w:r w:rsidRPr="006031A9">
        <w:rPr>
          <w:lang w:val="fr-FR"/>
        </w:rPr>
        <w:t xml:space="preserve"> [GC], n</w:t>
      </w:r>
      <w:r w:rsidRPr="006031A9">
        <w:rPr>
          <w:vertAlign w:val="superscript"/>
          <w:lang w:val="fr-FR"/>
        </w:rPr>
        <w:t>o</w:t>
      </w:r>
      <w:r w:rsidRPr="006031A9">
        <w:rPr>
          <w:lang w:val="fr-FR"/>
        </w:rPr>
        <w:t xml:space="preserve"> 54810/00, § 97, </w:t>
      </w:r>
      <w:r w:rsidRPr="006031A9">
        <w:rPr>
          <w:szCs w:val="24"/>
          <w:lang w:val="fr-FR"/>
        </w:rPr>
        <w:t>CEDH 2006</w:t>
      </w:r>
      <w:r w:rsidRPr="006031A9">
        <w:rPr>
          <w:szCs w:val="24"/>
          <w:lang w:val="fr-FR"/>
        </w:rPr>
        <w:noBreakHyphen/>
        <w:t xml:space="preserve">IX, et </w:t>
      </w:r>
      <w:r w:rsidRPr="006031A9">
        <w:rPr>
          <w:i/>
          <w:lang w:val="fr-FR"/>
        </w:rPr>
        <w:t>Ibrahim et autres</w:t>
      </w:r>
      <w:r w:rsidRPr="006031A9">
        <w:rPr>
          <w:lang w:val="fr-FR"/>
        </w:rPr>
        <w:t>, précité, § 252</w:t>
      </w:r>
      <w:r w:rsidRPr="006031A9">
        <w:rPr>
          <w:szCs w:val="24"/>
          <w:lang w:val="fr-FR"/>
        </w:rPr>
        <w:t>).</w:t>
      </w:r>
    </w:p>
    <w:p w:rsidR="00C85586" w:rsidRPr="006031A9" w:rsidRDefault="00C85586" w:rsidP="006031A9">
      <w:pPr>
        <w:pStyle w:val="ECHRPara"/>
        <w:rPr>
          <w:rFonts w:cs="Times New Roman"/>
          <w:i/>
          <w:iCs/>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64</w:t>
      </w:r>
      <w:r w:rsidRPr="006031A9">
        <w:rPr>
          <w:lang w:val="fr-FR"/>
        </w:rPr>
        <w:fldChar w:fldCharType="end"/>
      </w:r>
      <w:r w:rsidRPr="006031A9">
        <w:rPr>
          <w:lang w:val="fr-FR"/>
        </w:rPr>
        <w:t>.  La Cour est consciente des difficultés inhérentes au travail d</w:t>
      </w:r>
      <w:r w:rsidR="006031A9" w:rsidRPr="006031A9">
        <w:rPr>
          <w:lang w:val="fr-FR"/>
        </w:rPr>
        <w:t>’</w:t>
      </w:r>
      <w:r w:rsidRPr="006031A9">
        <w:rPr>
          <w:lang w:val="fr-FR"/>
        </w:rPr>
        <w:t>enquête et d</w:t>
      </w:r>
      <w:r w:rsidR="006031A9" w:rsidRPr="006031A9">
        <w:rPr>
          <w:lang w:val="fr-FR"/>
        </w:rPr>
        <w:t>’</w:t>
      </w:r>
      <w:r w:rsidRPr="006031A9">
        <w:rPr>
          <w:lang w:val="fr-FR"/>
        </w:rPr>
        <w:t>investigation de la police, chargée de rechercher et recueillir les éléments de preuve des infractions commises. Pour y parvenir, les enquêteurs doivent recourir de plus en plus souvent, notamment dans le cadre de la lutte contre le crime organisé, aux agents infiltrés, aux informateurs et aux pratiques «</w:t>
      </w:r>
      <w:r w:rsidR="00313C7B" w:rsidRPr="006031A9">
        <w:rPr>
          <w:lang w:val="fr-FR"/>
        </w:rPr>
        <w:t> </w:t>
      </w:r>
      <w:r w:rsidRPr="006031A9">
        <w:rPr>
          <w:lang w:val="fr-FR"/>
        </w:rPr>
        <w:t>sous couverture</w:t>
      </w:r>
      <w:r w:rsidR="00313C7B" w:rsidRPr="006031A9">
        <w:rPr>
          <w:lang w:val="fr-FR"/>
        </w:rPr>
        <w:t> </w:t>
      </w:r>
      <w:r w:rsidRPr="006031A9">
        <w:rPr>
          <w:lang w:val="fr-FR"/>
        </w:rPr>
        <w:t>». La Cour a jugé que le recours à de telles méthodes</w:t>
      </w:r>
      <w:r w:rsidR="00313C7B" w:rsidRPr="006031A9">
        <w:rPr>
          <w:lang w:val="fr-FR"/>
        </w:rPr>
        <w:t> </w:t>
      </w:r>
      <w:r w:rsidRPr="006031A9">
        <w:rPr>
          <w:lang w:val="fr-FR"/>
        </w:rPr>
        <w:t>– et en particulier les techniques d</w:t>
      </w:r>
      <w:r w:rsidR="006031A9" w:rsidRPr="006031A9">
        <w:rPr>
          <w:lang w:val="fr-FR"/>
        </w:rPr>
        <w:t>’</w:t>
      </w:r>
      <w:r w:rsidRPr="006031A9">
        <w:rPr>
          <w:lang w:val="fr-FR"/>
        </w:rPr>
        <w:t>infiltration </w:t>
      </w:r>
      <w:r w:rsidRPr="006031A9">
        <w:rPr>
          <w:rFonts w:cstheme="minorHAnsi"/>
          <w:lang w:val="fr-FR"/>
        </w:rPr>
        <w:t>−</w:t>
      </w:r>
      <w:r w:rsidRPr="006031A9">
        <w:rPr>
          <w:lang w:val="fr-FR"/>
        </w:rPr>
        <w:t> ne saurait en lui-même emporter violation du droit à un procès équitable (</w:t>
      </w:r>
      <w:r w:rsidRPr="006031A9">
        <w:rPr>
          <w:i/>
          <w:lang w:val="fr-FR"/>
        </w:rPr>
        <w:t xml:space="preserve">Ramanauskas c. Lituanie </w:t>
      </w:r>
      <w:r w:rsidRPr="006031A9">
        <w:rPr>
          <w:lang w:val="fr-FR"/>
        </w:rPr>
        <w:t>[GC], n</w:t>
      </w:r>
      <w:r w:rsidRPr="006031A9">
        <w:rPr>
          <w:vertAlign w:val="superscript"/>
          <w:lang w:val="fr-FR"/>
        </w:rPr>
        <w:t>o</w:t>
      </w:r>
      <w:r w:rsidRPr="006031A9">
        <w:rPr>
          <w:lang w:val="fr-FR"/>
        </w:rPr>
        <w:t xml:space="preserve"> 74420/01, §§ 49-51, CEDH 2008). </w:t>
      </w:r>
      <w:r w:rsidRPr="006031A9">
        <w:rPr>
          <w:rFonts w:cs="Times New Roman"/>
          <w:lang w:val="fr-FR"/>
        </w:rPr>
        <w:t>Toutefois, les préoccupations d</w:t>
      </w:r>
      <w:r w:rsidR="006031A9" w:rsidRPr="006031A9">
        <w:rPr>
          <w:rFonts w:cs="Times New Roman"/>
          <w:lang w:val="fr-FR"/>
        </w:rPr>
        <w:t>’</w:t>
      </w:r>
      <w:r w:rsidRPr="006031A9">
        <w:rPr>
          <w:rFonts w:cs="Times New Roman"/>
          <w:lang w:val="fr-FR"/>
        </w:rPr>
        <w:t>intérêt général ne sauraient justifier des mesures vidant de leur substance même les droits de la défense d</w:t>
      </w:r>
      <w:r w:rsidR="006031A9" w:rsidRPr="006031A9">
        <w:rPr>
          <w:rFonts w:cs="Times New Roman"/>
          <w:lang w:val="fr-FR"/>
        </w:rPr>
        <w:t>’</w:t>
      </w:r>
      <w:r w:rsidRPr="006031A9">
        <w:rPr>
          <w:rFonts w:cs="Times New Roman"/>
          <w:lang w:val="fr-FR"/>
        </w:rPr>
        <w:t>un requérant (</w:t>
      </w:r>
      <w:r w:rsidRPr="006031A9">
        <w:rPr>
          <w:rFonts w:cs="Times New Roman"/>
          <w:i/>
          <w:lang w:val="fr-FR"/>
        </w:rPr>
        <w:t>Jalloh</w:t>
      </w:r>
      <w:r w:rsidRPr="006031A9">
        <w:rPr>
          <w:rFonts w:cs="Times New Roman"/>
          <w:lang w:val="fr-FR"/>
        </w:rPr>
        <w:t xml:space="preserve">, précité, § 97, </w:t>
      </w:r>
      <w:r w:rsidRPr="006031A9">
        <w:rPr>
          <w:rFonts w:cs="Times New Roman"/>
          <w:i/>
          <w:lang w:val="fr-FR"/>
        </w:rPr>
        <w:t>Bykov c. Russie</w:t>
      </w:r>
      <w:r w:rsidRPr="006031A9">
        <w:rPr>
          <w:rFonts w:cs="Times New Roman"/>
          <w:lang w:val="fr-FR"/>
        </w:rPr>
        <w:t xml:space="preserve"> [GC], n</w:t>
      </w:r>
      <w:r w:rsidRPr="006031A9">
        <w:rPr>
          <w:rFonts w:cs="Times New Roman"/>
          <w:vertAlign w:val="superscript"/>
          <w:lang w:val="fr-FR"/>
        </w:rPr>
        <w:t>o</w:t>
      </w:r>
      <w:r w:rsidRPr="006031A9">
        <w:rPr>
          <w:rFonts w:cs="Times New Roman"/>
          <w:lang w:val="fr-FR"/>
        </w:rPr>
        <w:t xml:space="preserve"> 4378/02, § 93, 10 mars 2009, </w:t>
      </w:r>
      <w:r w:rsidRPr="006031A9">
        <w:rPr>
          <w:rFonts w:cs="Times New Roman"/>
          <w:i/>
          <w:snapToGrid w:val="0"/>
          <w:lang w:val="fr-FR"/>
        </w:rPr>
        <w:t xml:space="preserve">Aleksandr </w:t>
      </w:r>
      <w:r w:rsidRPr="006031A9">
        <w:rPr>
          <w:rFonts w:cs="Times New Roman"/>
          <w:i/>
          <w:lang w:val="fr-FR"/>
        </w:rPr>
        <w:t>Zaichenko c. Russie</w:t>
      </w:r>
      <w:r w:rsidRPr="006031A9">
        <w:rPr>
          <w:rFonts w:cs="Times New Roman"/>
          <w:lang w:val="fr-FR"/>
        </w:rPr>
        <w:t>, n</w:t>
      </w:r>
      <w:r w:rsidRPr="006031A9">
        <w:rPr>
          <w:rFonts w:cs="Times New Roman"/>
          <w:vertAlign w:val="superscript"/>
          <w:lang w:val="fr-FR"/>
        </w:rPr>
        <w:t>o</w:t>
      </w:r>
      <w:r w:rsidRPr="006031A9">
        <w:rPr>
          <w:rFonts w:cs="Times New Roman"/>
          <w:lang w:val="fr-FR"/>
        </w:rPr>
        <w:t xml:space="preserve"> 39660/02</w:t>
      </w:r>
      <w:r w:rsidRPr="006031A9">
        <w:rPr>
          <w:rFonts w:cs="Times New Roman"/>
          <w:snapToGrid w:val="0"/>
          <w:lang w:val="fr-FR"/>
        </w:rPr>
        <w:t xml:space="preserve">, § 39, 18 février 2010, et </w:t>
      </w:r>
      <w:r w:rsidRPr="006031A9">
        <w:rPr>
          <w:rFonts w:cs="Times New Roman"/>
          <w:i/>
          <w:snapToGrid w:val="0"/>
          <w:lang w:val="fr-FR"/>
        </w:rPr>
        <w:t>Ibrahim et autres</w:t>
      </w:r>
      <w:r w:rsidRPr="006031A9">
        <w:rPr>
          <w:rFonts w:cs="Times New Roman"/>
          <w:snapToGrid w:val="0"/>
          <w:lang w:val="fr-FR"/>
        </w:rPr>
        <w:t>, précité, § 252).</w:t>
      </w:r>
    </w:p>
    <w:bookmarkStart w:id="34" w:name="JPPREUVE"/>
    <w:p w:rsidR="00C85586" w:rsidRPr="006031A9" w:rsidRDefault="00C85586" w:rsidP="006031A9">
      <w:pPr>
        <w:pStyle w:val="ECHRPara"/>
        <w:rPr>
          <w:rFonts w:cs="Times New Roman"/>
          <w:i/>
          <w:iCs/>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65</w:t>
      </w:r>
      <w:r w:rsidRPr="006031A9">
        <w:rPr>
          <w:lang w:val="fr-FR"/>
        </w:rPr>
        <w:fldChar w:fldCharType="end"/>
      </w:r>
      <w:bookmarkEnd w:id="34"/>
      <w:r w:rsidRPr="006031A9">
        <w:rPr>
          <w:lang w:val="fr-FR"/>
        </w:rPr>
        <w:t>.  De plus, il y a lieu de rappeler que la tâche de la Cour, conformément à l</w:t>
      </w:r>
      <w:r w:rsidR="006031A9" w:rsidRPr="006031A9">
        <w:rPr>
          <w:lang w:val="fr-FR"/>
        </w:rPr>
        <w:t>’</w:t>
      </w:r>
      <w:r w:rsidRPr="006031A9">
        <w:rPr>
          <w:lang w:val="fr-FR"/>
        </w:rPr>
        <w:t>article 19 de la Convention, consiste à s</w:t>
      </w:r>
      <w:r w:rsidR="006031A9" w:rsidRPr="006031A9">
        <w:rPr>
          <w:lang w:val="fr-FR"/>
        </w:rPr>
        <w:t>’</w:t>
      </w:r>
      <w:r w:rsidRPr="006031A9">
        <w:rPr>
          <w:lang w:val="fr-FR"/>
        </w:rPr>
        <w:t xml:space="preserve">assurer du respect des engagements pris par les États parties à la Convention. Il ne lui appartient donc pas de se prononcer, par principe, sur la recevabilité des éléments de preuve retenus par les juridictions internes pour établir la culpabilité du requérant (voir, </w:t>
      </w:r>
      <w:r w:rsidRPr="006031A9">
        <w:rPr>
          <w:i/>
          <w:lang w:val="fr-FR"/>
        </w:rPr>
        <w:t>mutatis mutandis</w:t>
      </w:r>
      <w:r w:rsidRPr="006031A9">
        <w:rPr>
          <w:lang w:val="fr-FR"/>
        </w:rPr>
        <w:t xml:space="preserve"> et parmi d</w:t>
      </w:r>
      <w:r w:rsidR="006031A9" w:rsidRPr="006031A9">
        <w:rPr>
          <w:lang w:val="fr-FR"/>
        </w:rPr>
        <w:t>’</w:t>
      </w:r>
      <w:r w:rsidRPr="006031A9">
        <w:rPr>
          <w:lang w:val="fr-FR"/>
        </w:rPr>
        <w:t xml:space="preserve">autres, </w:t>
      </w:r>
      <w:r w:rsidRPr="006031A9">
        <w:rPr>
          <w:i/>
          <w:lang w:val="fr-FR"/>
        </w:rPr>
        <w:t>Allan c. Royaume</w:t>
      </w:r>
      <w:r w:rsidRPr="006031A9">
        <w:rPr>
          <w:i/>
          <w:lang w:val="fr-FR"/>
        </w:rPr>
        <w:noBreakHyphen/>
        <w:t>Uni</w:t>
      </w:r>
      <w:r w:rsidRPr="006031A9">
        <w:rPr>
          <w:lang w:val="fr-FR"/>
        </w:rPr>
        <w:t>, n</w:t>
      </w:r>
      <w:r w:rsidRPr="006031A9">
        <w:rPr>
          <w:vertAlign w:val="superscript"/>
          <w:lang w:val="fr-FR"/>
        </w:rPr>
        <w:t>o</w:t>
      </w:r>
      <w:r w:rsidRPr="006031A9">
        <w:rPr>
          <w:lang w:val="fr-FR"/>
        </w:rPr>
        <w:t xml:space="preserve"> 48539/99, § 42, CEDH 2002</w:t>
      </w:r>
      <w:r w:rsidRPr="006031A9">
        <w:rPr>
          <w:lang w:val="fr-FR"/>
        </w:rPr>
        <w:noBreakHyphen/>
        <w:t xml:space="preserve">IX, </w:t>
      </w:r>
      <w:r w:rsidRPr="006031A9">
        <w:rPr>
          <w:i/>
          <w:lang w:val="fr-FR"/>
        </w:rPr>
        <w:t>Jalloh</w:t>
      </w:r>
      <w:r w:rsidRPr="006031A9">
        <w:rPr>
          <w:lang w:val="fr-FR"/>
        </w:rPr>
        <w:t xml:space="preserve">, précité, § 95, </w:t>
      </w:r>
      <w:r w:rsidRPr="006031A9">
        <w:rPr>
          <w:i/>
          <w:lang w:val="fr-FR"/>
        </w:rPr>
        <w:t>Bykov</w:t>
      </w:r>
      <w:r w:rsidRPr="006031A9">
        <w:rPr>
          <w:lang w:val="fr-FR"/>
        </w:rPr>
        <w:t xml:space="preserve">, précité, § 89, et </w:t>
      </w:r>
      <w:r w:rsidRPr="006031A9">
        <w:rPr>
          <w:i/>
          <w:lang w:val="fr-FR"/>
        </w:rPr>
        <w:t>Ibrahim et autres</w:t>
      </w:r>
      <w:r w:rsidR="00387416" w:rsidRPr="006031A9">
        <w:rPr>
          <w:lang w:val="fr-FR"/>
        </w:rPr>
        <w:t xml:space="preserve">, précité, § 254). </w:t>
      </w:r>
      <w:r w:rsidRPr="006031A9">
        <w:rPr>
          <w:lang w:val="fr-FR"/>
        </w:rPr>
        <w:t xml:space="preserve">Si la Convention garantit en son article 6 le droit à un procès équitable, elle ne réglemente en effet pas la recevabilité des preuves en tant que telles, matière qui relève au premier chef du droit interne et des juridictions nationales </w:t>
      </w:r>
      <w:r w:rsidRPr="006031A9">
        <w:rPr>
          <w:szCs w:val="24"/>
          <w:lang w:val="fr-FR"/>
        </w:rPr>
        <w:t>(</w:t>
      </w:r>
      <w:r w:rsidRPr="006031A9">
        <w:rPr>
          <w:i/>
          <w:lang w:val="fr-FR"/>
        </w:rPr>
        <w:t>Gäfgen c. Allemagne</w:t>
      </w:r>
      <w:r w:rsidRPr="006031A9">
        <w:rPr>
          <w:lang w:val="fr-FR"/>
        </w:rPr>
        <w:t xml:space="preserve"> [GC], n</w:t>
      </w:r>
      <w:r w:rsidRPr="006031A9">
        <w:rPr>
          <w:vertAlign w:val="superscript"/>
          <w:lang w:val="fr-FR"/>
        </w:rPr>
        <w:t>o</w:t>
      </w:r>
      <w:r w:rsidRPr="006031A9">
        <w:rPr>
          <w:lang w:val="fr-FR"/>
        </w:rPr>
        <w:t xml:space="preserve"> 22978/05, §§ 162 et 175, CEDH 2010, </w:t>
      </w:r>
      <w:r w:rsidR="00387416" w:rsidRPr="006031A9">
        <w:rPr>
          <w:i/>
          <w:lang w:val="fr-FR"/>
        </w:rPr>
        <w:t>Al-Khawaja et </w:t>
      </w:r>
      <w:r w:rsidRPr="006031A9">
        <w:rPr>
          <w:i/>
          <w:lang w:val="fr-FR"/>
        </w:rPr>
        <w:t xml:space="preserve">Tahery c. Royaume-Uni </w:t>
      </w:r>
      <w:r w:rsidRPr="006031A9">
        <w:rPr>
          <w:lang w:val="fr-FR"/>
        </w:rPr>
        <w:t>[GC], n</w:t>
      </w:r>
      <w:r w:rsidRPr="006031A9">
        <w:rPr>
          <w:vertAlign w:val="superscript"/>
          <w:lang w:val="fr-FR"/>
        </w:rPr>
        <w:t>os</w:t>
      </w:r>
      <w:r w:rsidRPr="006031A9">
        <w:rPr>
          <w:lang w:val="fr-FR"/>
        </w:rPr>
        <w:t xml:space="preserve"> 26766/05 et 22228/06, § 118, CEDH 2011).</w:t>
      </w:r>
    </w:p>
    <w:bookmarkStart w:id="35" w:name="JPHOLISTIC"/>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66</w:t>
      </w:r>
      <w:r w:rsidRPr="006031A9">
        <w:rPr>
          <w:lang w:val="fr-FR"/>
        </w:rPr>
        <w:fldChar w:fldCharType="end"/>
      </w:r>
      <w:bookmarkEnd w:id="35"/>
      <w:r w:rsidRPr="006031A9">
        <w:rPr>
          <w:lang w:val="fr-FR"/>
        </w:rPr>
        <w:t xml:space="preserve">.  La Cour, quant à elle, doit, pour mener à bien sa tâche, </w:t>
      </w:r>
      <w:r w:rsidRPr="006031A9">
        <w:rPr>
          <w:rFonts w:eastAsiaTheme="minorHAnsi"/>
          <w:lang w:val="fr-FR"/>
        </w:rPr>
        <w:t xml:space="preserve">déterminer si la procédure pénale a globalement revêtu un caractère équitable (voir paragraphe </w:t>
      </w:r>
      <w:r w:rsidRPr="006031A9">
        <w:rPr>
          <w:rFonts w:eastAsiaTheme="minorHAnsi"/>
          <w:lang w:val="fr-FR"/>
        </w:rPr>
        <w:fldChar w:fldCharType="begin"/>
      </w:r>
      <w:r w:rsidRPr="006031A9">
        <w:rPr>
          <w:rFonts w:eastAsiaTheme="minorHAnsi"/>
          <w:lang w:val="fr-FR"/>
        </w:rPr>
        <w:instrText xml:space="preserve"> REF JPIBRAHIM \h  \* MERGEFORMAT </w:instrText>
      </w:r>
      <w:r w:rsidRPr="006031A9">
        <w:rPr>
          <w:rFonts w:eastAsiaTheme="minorHAnsi"/>
          <w:lang w:val="fr-FR"/>
        </w:rPr>
      </w:r>
      <w:r w:rsidRPr="006031A9">
        <w:rPr>
          <w:rFonts w:eastAsiaTheme="minorHAnsi"/>
          <w:lang w:val="fr-FR"/>
        </w:rPr>
        <w:fldChar w:fldCharType="separate"/>
      </w:r>
      <w:r w:rsidR="006031A9" w:rsidRPr="006031A9">
        <w:rPr>
          <w:noProof/>
          <w:lang w:val="fr-FR"/>
        </w:rPr>
        <w:t>62</w:t>
      </w:r>
      <w:r w:rsidRPr="006031A9">
        <w:rPr>
          <w:rFonts w:eastAsiaTheme="minorHAnsi"/>
          <w:lang w:val="fr-FR"/>
        </w:rPr>
        <w:fldChar w:fldCharType="end"/>
      </w:r>
      <w:r w:rsidRPr="006031A9">
        <w:rPr>
          <w:rFonts w:eastAsiaTheme="minorHAnsi"/>
          <w:lang w:val="fr-FR"/>
        </w:rPr>
        <w:t>, ci-dessus)</w:t>
      </w:r>
      <w:r w:rsidRPr="006031A9">
        <w:rPr>
          <w:lang w:val="fr-FR"/>
        </w:rPr>
        <w:t>. Pour ce faire, elle envisage la procédure dans son ensemble, y compris la manière dont les éléments de preuve ont été recueillis, et vérifie le respect non seulement des droits de la défense mais aussi de l</w:t>
      </w:r>
      <w:r w:rsidR="006031A9" w:rsidRPr="006031A9">
        <w:rPr>
          <w:lang w:val="fr-FR"/>
        </w:rPr>
        <w:t>’</w:t>
      </w:r>
      <w:r w:rsidRPr="006031A9">
        <w:rPr>
          <w:lang w:val="fr-FR"/>
        </w:rPr>
        <w:t>intérêt du public et des victimes à ce que les auteurs de l</w:t>
      </w:r>
      <w:r w:rsidR="006031A9" w:rsidRPr="006031A9">
        <w:rPr>
          <w:lang w:val="fr-FR"/>
        </w:rPr>
        <w:t>’</w:t>
      </w:r>
      <w:r w:rsidRPr="006031A9">
        <w:rPr>
          <w:lang w:val="fr-FR"/>
        </w:rPr>
        <w:t>infraction soient dûment poursuivis ainsi que, si nécessaire, des droits des témoins (</w:t>
      </w:r>
      <w:r w:rsidRPr="006031A9">
        <w:rPr>
          <w:i/>
          <w:lang w:val="fr-FR"/>
        </w:rPr>
        <w:t>Al-Khawaja et Tahery</w:t>
      </w:r>
      <w:r w:rsidRPr="006031A9">
        <w:rPr>
          <w:lang w:val="fr-FR"/>
        </w:rPr>
        <w:t xml:space="preserve">, précité, § 118, et </w:t>
      </w:r>
      <w:r w:rsidRPr="006031A9">
        <w:rPr>
          <w:i/>
          <w:lang w:val="fr-FR"/>
        </w:rPr>
        <w:t>Schatschaschwili</w:t>
      </w:r>
      <w:r w:rsidRPr="006031A9">
        <w:rPr>
          <w:lang w:val="fr-FR"/>
        </w:rPr>
        <w:t>, précité, § 101).</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67</w:t>
      </w:r>
      <w:r w:rsidRPr="006031A9">
        <w:rPr>
          <w:lang w:val="fr-FR"/>
        </w:rPr>
        <w:fldChar w:fldCharType="end"/>
      </w:r>
      <w:r w:rsidRPr="006031A9">
        <w:rPr>
          <w:lang w:val="fr-FR"/>
        </w:rPr>
        <w:t>.  Dans ce contexte, la Cour rappelle que tout procès pénal, y compris ses aspects procéduraux, doit revêtir un caractère contradictoire et garantir l</w:t>
      </w:r>
      <w:r w:rsidR="006031A9" w:rsidRPr="006031A9">
        <w:rPr>
          <w:lang w:val="fr-FR"/>
        </w:rPr>
        <w:t>’</w:t>
      </w:r>
      <w:r w:rsidRPr="006031A9">
        <w:rPr>
          <w:lang w:val="fr-FR"/>
        </w:rPr>
        <w:t>égalité des armes entre l</w:t>
      </w:r>
      <w:r w:rsidR="006031A9" w:rsidRPr="006031A9">
        <w:rPr>
          <w:lang w:val="fr-FR"/>
        </w:rPr>
        <w:t>’</w:t>
      </w:r>
      <w:r w:rsidRPr="006031A9">
        <w:rPr>
          <w:lang w:val="fr-FR"/>
        </w:rPr>
        <w:t>accusation et la défense : c</w:t>
      </w:r>
      <w:r w:rsidR="006031A9" w:rsidRPr="006031A9">
        <w:rPr>
          <w:lang w:val="fr-FR"/>
        </w:rPr>
        <w:t>’</w:t>
      </w:r>
      <w:r w:rsidRPr="006031A9">
        <w:rPr>
          <w:lang w:val="fr-FR"/>
        </w:rPr>
        <w:t xml:space="preserve">est là un des aspects </w:t>
      </w:r>
      <w:r w:rsidRPr="006031A9">
        <w:rPr>
          <w:lang w:val="fr-FR"/>
        </w:rPr>
        <w:lastRenderedPageBreak/>
        <w:t>fondamentaux du droit à un procès équitable. En matière pénale, le droit à un procès contradictoire implique, pour l</w:t>
      </w:r>
      <w:r w:rsidR="006031A9" w:rsidRPr="006031A9">
        <w:rPr>
          <w:lang w:val="fr-FR"/>
        </w:rPr>
        <w:t>’</w:t>
      </w:r>
      <w:r w:rsidRPr="006031A9">
        <w:rPr>
          <w:lang w:val="fr-FR"/>
        </w:rPr>
        <w:t>accusation comme pour la défense, la faculté de prendre connaissance des observations ou éléments de preuve produits par l</w:t>
      </w:r>
      <w:r w:rsidR="006031A9" w:rsidRPr="006031A9">
        <w:rPr>
          <w:lang w:val="fr-FR"/>
        </w:rPr>
        <w:t>’</w:t>
      </w:r>
      <w:r w:rsidRPr="006031A9">
        <w:rPr>
          <w:lang w:val="fr-FR"/>
        </w:rPr>
        <w:t>autre partie, ainsi que de les discuter (</w:t>
      </w:r>
      <w:r w:rsidRPr="006031A9">
        <w:rPr>
          <w:i/>
          <w:lang w:val="fr-FR"/>
        </w:rPr>
        <w:t>Jasper c. Royaume-Uni</w:t>
      </w:r>
      <w:r w:rsidRPr="006031A9">
        <w:rPr>
          <w:lang w:val="fr-FR"/>
        </w:rPr>
        <w:t xml:space="preserve"> [GC], n</w:t>
      </w:r>
      <w:r w:rsidRPr="006031A9">
        <w:rPr>
          <w:vertAlign w:val="superscript"/>
          <w:lang w:val="fr-FR"/>
        </w:rPr>
        <w:t>o</w:t>
      </w:r>
      <w:r w:rsidRPr="006031A9">
        <w:rPr>
          <w:lang w:val="fr-FR"/>
        </w:rPr>
        <w:t xml:space="preserve"> 27052/95, § 51, 16 février 2000, </w:t>
      </w:r>
      <w:r w:rsidRPr="006031A9">
        <w:rPr>
          <w:i/>
          <w:lang w:val="fr-FR"/>
        </w:rPr>
        <w:t>Rowe et Davis c. Royaume-Uni</w:t>
      </w:r>
      <w:r w:rsidRPr="006031A9">
        <w:rPr>
          <w:lang w:val="fr-FR"/>
        </w:rPr>
        <w:t xml:space="preserve"> [GC], n</w:t>
      </w:r>
      <w:r w:rsidRPr="006031A9">
        <w:rPr>
          <w:vertAlign w:val="superscript"/>
          <w:lang w:val="fr-FR"/>
        </w:rPr>
        <w:t>o</w:t>
      </w:r>
      <w:r w:rsidRPr="006031A9">
        <w:rPr>
          <w:lang w:val="fr-FR"/>
        </w:rPr>
        <w:t xml:space="preserve"> 28901/95, § 60, CEDH 2000</w:t>
      </w:r>
      <w:r w:rsidRPr="006031A9">
        <w:rPr>
          <w:lang w:val="fr-FR"/>
        </w:rPr>
        <w:noBreakHyphen/>
        <w:t xml:space="preserve">II, </w:t>
      </w:r>
      <w:r w:rsidRPr="006031A9">
        <w:rPr>
          <w:i/>
          <w:lang w:val="fr-FR"/>
        </w:rPr>
        <w:t>Fitt c. Royaume</w:t>
      </w:r>
      <w:r w:rsidRPr="006031A9">
        <w:rPr>
          <w:i/>
          <w:lang w:val="fr-FR"/>
        </w:rPr>
        <w:noBreakHyphen/>
        <w:t>Uni</w:t>
      </w:r>
      <w:r w:rsidRPr="006031A9">
        <w:rPr>
          <w:lang w:val="fr-FR"/>
        </w:rPr>
        <w:t xml:space="preserve"> [GC], n</w:t>
      </w:r>
      <w:r w:rsidRPr="006031A9">
        <w:rPr>
          <w:vertAlign w:val="superscript"/>
          <w:lang w:val="fr-FR"/>
        </w:rPr>
        <w:t>o</w:t>
      </w:r>
      <w:r w:rsidRPr="006031A9">
        <w:rPr>
          <w:lang w:val="fr-FR"/>
        </w:rPr>
        <w:t xml:space="preserve"> 29777/96, § 44, CEDH 2000</w:t>
      </w:r>
      <w:r w:rsidRPr="006031A9">
        <w:rPr>
          <w:lang w:val="fr-FR"/>
        </w:rPr>
        <w:noBreakHyphen/>
        <w:t xml:space="preserve">II, </w:t>
      </w:r>
      <w:r w:rsidRPr="006031A9">
        <w:rPr>
          <w:i/>
          <w:lang w:val="fr-FR"/>
        </w:rPr>
        <w:t xml:space="preserve">Edwards et Lewis c. Royaume-Uni </w:t>
      </w:r>
      <w:r w:rsidRPr="006031A9">
        <w:rPr>
          <w:lang w:val="fr-FR"/>
        </w:rPr>
        <w:t>[GC], n</w:t>
      </w:r>
      <w:r w:rsidRPr="006031A9">
        <w:rPr>
          <w:rFonts w:ascii="Times New (W1)" w:hAnsi="Times New (W1)"/>
          <w:szCs w:val="24"/>
          <w:vertAlign w:val="superscript"/>
          <w:lang w:val="fr-FR"/>
        </w:rPr>
        <w:t>os</w:t>
      </w:r>
      <w:r w:rsidRPr="006031A9">
        <w:rPr>
          <w:lang w:val="fr-FR"/>
        </w:rPr>
        <w:t xml:space="preserve"> 39647/98</w:t>
      </w:r>
      <w:r w:rsidR="00387416" w:rsidRPr="006031A9">
        <w:rPr>
          <w:lang w:val="fr-FR"/>
        </w:rPr>
        <w:t xml:space="preserve"> et 40461/98, §§ 46 et 48, CEDH </w:t>
      </w:r>
      <w:r w:rsidRPr="006031A9">
        <w:rPr>
          <w:lang w:val="fr-FR"/>
        </w:rPr>
        <w:t>2004</w:t>
      </w:r>
      <w:r w:rsidRPr="006031A9">
        <w:rPr>
          <w:lang w:val="fr-FR"/>
        </w:rPr>
        <w:noBreakHyphen/>
        <w:t xml:space="preserve">X, et </w:t>
      </w:r>
      <w:r w:rsidRPr="006031A9">
        <w:rPr>
          <w:i/>
          <w:lang w:val="fr-FR"/>
        </w:rPr>
        <w:t>Öcalan c. Turquie</w:t>
      </w:r>
      <w:r w:rsidRPr="006031A9">
        <w:rPr>
          <w:lang w:val="fr-FR"/>
        </w:rPr>
        <w:t xml:space="preserve"> [GC], n</w:t>
      </w:r>
      <w:r w:rsidRPr="006031A9">
        <w:rPr>
          <w:vertAlign w:val="superscript"/>
          <w:lang w:val="fr-FR"/>
        </w:rPr>
        <w:t>o</w:t>
      </w:r>
      <w:r w:rsidR="00387416" w:rsidRPr="006031A9">
        <w:rPr>
          <w:lang w:val="fr-FR"/>
        </w:rPr>
        <w:t xml:space="preserve"> 46221/99, § 146, CEDH </w:t>
      </w:r>
      <w:r w:rsidRPr="006031A9">
        <w:rPr>
          <w:lang w:val="fr-FR"/>
        </w:rPr>
        <w:t>2005</w:t>
      </w:r>
      <w:r w:rsidRPr="006031A9">
        <w:rPr>
          <w:lang w:val="fr-FR"/>
        </w:rPr>
        <w:noBreakHyphen/>
        <w:t>IV). De surcroît, l</w:t>
      </w:r>
      <w:r w:rsidR="006031A9" w:rsidRPr="006031A9">
        <w:rPr>
          <w:lang w:val="fr-FR"/>
        </w:rPr>
        <w:t>’</w:t>
      </w:r>
      <w:r w:rsidRPr="006031A9">
        <w:rPr>
          <w:lang w:val="fr-FR"/>
        </w:rPr>
        <w:t>article 6 exige que les autorités de poursuite communiquent à la défense toutes les preuves pertinentes en leur possession, à charge comme à décharge (</w:t>
      </w:r>
      <w:r w:rsidRPr="006031A9">
        <w:rPr>
          <w:i/>
          <w:lang w:val="fr-FR"/>
        </w:rPr>
        <w:t>Jasper</w:t>
      </w:r>
      <w:r w:rsidRPr="006031A9">
        <w:rPr>
          <w:lang w:val="fr-FR"/>
        </w:rPr>
        <w:t xml:space="preserve">, </w:t>
      </w:r>
      <w:r w:rsidRPr="006031A9">
        <w:rPr>
          <w:i/>
          <w:lang w:val="fr-FR"/>
        </w:rPr>
        <w:t>Rowe et Davis</w:t>
      </w:r>
      <w:r w:rsidRPr="006031A9">
        <w:rPr>
          <w:lang w:val="fr-FR"/>
        </w:rPr>
        <w:t xml:space="preserve">, </w:t>
      </w:r>
      <w:r w:rsidRPr="006031A9">
        <w:rPr>
          <w:i/>
          <w:lang w:val="fr-FR"/>
        </w:rPr>
        <w:t>Fitt</w:t>
      </w:r>
      <w:r w:rsidRPr="006031A9">
        <w:rPr>
          <w:lang w:val="fr-FR"/>
        </w:rPr>
        <w:t xml:space="preserve">, et </w:t>
      </w:r>
      <w:r w:rsidRPr="006031A9">
        <w:rPr>
          <w:i/>
          <w:lang w:val="fr-FR"/>
        </w:rPr>
        <w:t>Edwards et Lewis</w:t>
      </w:r>
      <w:r w:rsidRPr="006031A9">
        <w:rPr>
          <w:lang w:val="fr-FR"/>
        </w:rPr>
        <w:t>, précités).</w:t>
      </w:r>
    </w:p>
    <w:bookmarkStart w:id="36" w:name="JPNONDIV"/>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68</w:t>
      </w:r>
      <w:r w:rsidRPr="006031A9">
        <w:rPr>
          <w:lang w:val="fr-FR"/>
        </w:rPr>
        <w:fldChar w:fldCharType="end"/>
      </w:r>
      <w:bookmarkEnd w:id="36"/>
      <w:r w:rsidRPr="006031A9">
        <w:rPr>
          <w:lang w:val="fr-FR"/>
        </w:rPr>
        <w:t>.  Cela dit, le droit à une divulgation des preuves pertinentes n</w:t>
      </w:r>
      <w:r w:rsidR="006031A9" w:rsidRPr="006031A9">
        <w:rPr>
          <w:lang w:val="fr-FR"/>
        </w:rPr>
        <w:t>’</w:t>
      </w:r>
      <w:r w:rsidRPr="006031A9">
        <w:rPr>
          <w:lang w:val="fr-FR"/>
        </w:rPr>
        <w:t>est pas absolu. Dans une procédure pénale donnée, il peut y avoir des intérêts concurrents – tels que la sécurité nationale ou la nécessité de protéger des témoins risquant des représailles ou de garder secrètes des méthodes policières de recherche des infractions – qui doivent être mis en balance avec les droits de l</w:t>
      </w:r>
      <w:r w:rsidR="006031A9" w:rsidRPr="006031A9">
        <w:rPr>
          <w:lang w:val="fr-FR"/>
        </w:rPr>
        <w:t>’</w:t>
      </w:r>
      <w:r w:rsidRPr="006031A9">
        <w:rPr>
          <w:lang w:val="fr-FR"/>
        </w:rPr>
        <w:t>accusé. Dans certains cas, il peut être nécessaire de dissimuler certaines preuves à la défense de façon à préserver les droits fondamentaux d</w:t>
      </w:r>
      <w:r w:rsidR="006031A9" w:rsidRPr="006031A9">
        <w:rPr>
          <w:lang w:val="fr-FR"/>
        </w:rPr>
        <w:t>’</w:t>
      </w:r>
      <w:r w:rsidRPr="006031A9">
        <w:rPr>
          <w:lang w:val="fr-FR"/>
        </w:rPr>
        <w:t>un autre individu ou à sauvegarder un intérêt public important. Toutefois, seules sont légitimes au regard de l</w:t>
      </w:r>
      <w:r w:rsidR="006031A9" w:rsidRPr="006031A9">
        <w:rPr>
          <w:lang w:val="fr-FR"/>
        </w:rPr>
        <w:t>’</w:t>
      </w:r>
      <w:r w:rsidRPr="006031A9">
        <w:rPr>
          <w:lang w:val="fr-FR"/>
        </w:rPr>
        <w:t>article 6 § 1 les mesures restreignant les droits de la défense qui sont absolument nécessaires. De plus, si l</w:t>
      </w:r>
      <w:r w:rsidR="006031A9" w:rsidRPr="006031A9">
        <w:rPr>
          <w:lang w:val="fr-FR"/>
        </w:rPr>
        <w:t>’</w:t>
      </w:r>
      <w:r w:rsidRPr="006031A9">
        <w:rPr>
          <w:lang w:val="fr-FR"/>
        </w:rPr>
        <w:t>on veut garantir un procès équitable à l</w:t>
      </w:r>
      <w:r w:rsidR="006031A9" w:rsidRPr="006031A9">
        <w:rPr>
          <w:lang w:val="fr-FR"/>
        </w:rPr>
        <w:t>’</w:t>
      </w:r>
      <w:r w:rsidRPr="006031A9">
        <w:rPr>
          <w:lang w:val="fr-FR"/>
        </w:rPr>
        <w:t>accusé, toutes difficultés causées à la défense par une limitation de ses droits doivent être suffisamment compensées par la procédure suivie devant les autorités judiciaires (</w:t>
      </w:r>
      <w:r w:rsidRPr="006031A9">
        <w:rPr>
          <w:i/>
          <w:lang w:val="fr-FR"/>
        </w:rPr>
        <w:t>Jasper</w:t>
      </w:r>
      <w:r w:rsidRPr="006031A9">
        <w:rPr>
          <w:lang w:val="fr-FR"/>
        </w:rPr>
        <w:t xml:space="preserve">, précité, § 52, </w:t>
      </w:r>
      <w:r w:rsidRPr="006031A9">
        <w:rPr>
          <w:i/>
          <w:lang w:val="fr-FR"/>
        </w:rPr>
        <w:t>Rowe et Davis</w:t>
      </w:r>
      <w:r w:rsidRPr="006031A9">
        <w:rPr>
          <w:lang w:val="fr-FR"/>
        </w:rPr>
        <w:t xml:space="preserve">, précité, § 61, </w:t>
      </w:r>
      <w:r w:rsidRPr="006031A9">
        <w:rPr>
          <w:i/>
          <w:lang w:val="fr-FR"/>
        </w:rPr>
        <w:t>Fitt</w:t>
      </w:r>
      <w:r w:rsidRPr="006031A9">
        <w:rPr>
          <w:lang w:val="fr-FR"/>
        </w:rPr>
        <w:t xml:space="preserve">, précité, § 45, et </w:t>
      </w:r>
      <w:r w:rsidRPr="006031A9">
        <w:rPr>
          <w:i/>
          <w:lang w:val="fr-FR"/>
        </w:rPr>
        <w:t>Edwards et Lewis</w:t>
      </w:r>
      <w:r w:rsidRPr="006031A9">
        <w:rPr>
          <w:lang w:val="fr-FR"/>
        </w:rPr>
        <w:t xml:space="preserve">, précité, §§ 46 et 48 ; voir également </w:t>
      </w:r>
      <w:r w:rsidRPr="006031A9">
        <w:rPr>
          <w:i/>
          <w:lang w:val="fr-FR"/>
        </w:rPr>
        <w:t>Al</w:t>
      </w:r>
      <w:r w:rsidRPr="006031A9">
        <w:rPr>
          <w:i/>
          <w:lang w:val="fr-FR"/>
        </w:rPr>
        <w:noBreakHyphen/>
        <w:t>Khawaja et Tahery</w:t>
      </w:r>
      <w:r w:rsidRPr="006031A9">
        <w:rPr>
          <w:lang w:val="fr-FR"/>
        </w:rPr>
        <w:t>, précité, § 145).</w:t>
      </w:r>
    </w:p>
    <w:p w:rsidR="00C85586" w:rsidRPr="006031A9" w:rsidRDefault="00C85586" w:rsidP="006031A9">
      <w:pPr>
        <w:pStyle w:val="ECHRHeading5"/>
        <w:rPr>
          <w:lang w:val="fr-FR"/>
        </w:rPr>
      </w:pPr>
      <w:r w:rsidRPr="006031A9">
        <w:rPr>
          <w:lang w:val="fr-FR"/>
        </w:rPr>
        <w:t>ii.  Application de ces principes à la présente espèce</w:t>
      </w:r>
    </w:p>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69</w:t>
      </w:r>
      <w:r w:rsidRPr="006031A9">
        <w:rPr>
          <w:lang w:val="fr-FR"/>
        </w:rPr>
        <w:fldChar w:fldCharType="end"/>
      </w:r>
      <w:r w:rsidRPr="006031A9">
        <w:rPr>
          <w:lang w:val="fr-FR"/>
        </w:rPr>
        <w:t>.  La Cour observe que la requête pose la question de savoir si, telles qu</w:t>
      </w:r>
      <w:r w:rsidR="006031A9" w:rsidRPr="006031A9">
        <w:rPr>
          <w:lang w:val="fr-FR"/>
        </w:rPr>
        <w:t>’</w:t>
      </w:r>
      <w:r w:rsidRPr="006031A9">
        <w:rPr>
          <w:lang w:val="fr-FR"/>
        </w:rPr>
        <w:t>elles sont organisées en droit belge, la tenue d</w:t>
      </w:r>
      <w:r w:rsidR="006031A9" w:rsidRPr="006031A9">
        <w:rPr>
          <w:lang w:val="fr-FR"/>
        </w:rPr>
        <w:t>’</w:t>
      </w:r>
      <w:r w:rsidRPr="006031A9">
        <w:rPr>
          <w:lang w:val="fr-FR"/>
        </w:rPr>
        <w:t>un dossier, séparé et confidentiel, consignant les autorisations et rapports de mise en œuvre de méthodes particulières de recherche (observation et infiltration en l</w:t>
      </w:r>
      <w:r w:rsidR="006031A9" w:rsidRPr="006031A9">
        <w:rPr>
          <w:lang w:val="fr-FR"/>
        </w:rPr>
        <w:t>’</w:t>
      </w:r>
      <w:r w:rsidRPr="006031A9">
        <w:rPr>
          <w:lang w:val="fr-FR"/>
        </w:rPr>
        <w:t>espèce) et l</w:t>
      </w:r>
      <w:r w:rsidR="006031A9" w:rsidRPr="006031A9">
        <w:rPr>
          <w:lang w:val="fr-FR"/>
        </w:rPr>
        <w:t>’</w:t>
      </w:r>
      <w:r w:rsidRPr="006031A9">
        <w:rPr>
          <w:lang w:val="fr-FR"/>
        </w:rPr>
        <w:t>impossibilité pour la défense de le consult</w:t>
      </w:r>
      <w:r w:rsidR="00387416" w:rsidRPr="006031A9">
        <w:rPr>
          <w:lang w:val="fr-FR"/>
        </w:rPr>
        <w:t>er tout au long de la procédure </w:t>
      </w:r>
      <w:r w:rsidRPr="006031A9">
        <w:rPr>
          <w:lang w:val="fr-FR"/>
        </w:rPr>
        <w:t>–</w:t>
      </w:r>
      <w:r w:rsidR="00387416" w:rsidRPr="006031A9">
        <w:rPr>
          <w:lang w:val="fr-FR"/>
        </w:rPr>
        <w:t> </w:t>
      </w:r>
      <w:r w:rsidRPr="006031A9">
        <w:rPr>
          <w:lang w:val="fr-FR"/>
        </w:rPr>
        <w:t>pendant l</w:t>
      </w:r>
      <w:r w:rsidR="006031A9" w:rsidRPr="006031A9">
        <w:rPr>
          <w:lang w:val="fr-FR"/>
        </w:rPr>
        <w:t>’</w:t>
      </w:r>
      <w:r w:rsidRPr="006031A9">
        <w:rPr>
          <w:lang w:val="fr-FR"/>
        </w:rPr>
        <w:t>information par le ministère public, l</w:t>
      </w:r>
      <w:r w:rsidR="006031A9" w:rsidRPr="006031A9">
        <w:rPr>
          <w:lang w:val="fr-FR"/>
        </w:rPr>
        <w:t>’</w:t>
      </w:r>
      <w:r w:rsidRPr="006031A9">
        <w:rPr>
          <w:lang w:val="fr-FR"/>
        </w:rPr>
        <w:t>instruction judiciaire et le procès au fond – est compatible avec les exigences de l</w:t>
      </w:r>
      <w:r w:rsidR="006031A9" w:rsidRPr="006031A9">
        <w:rPr>
          <w:lang w:val="fr-FR"/>
        </w:rPr>
        <w:t>’</w:t>
      </w:r>
      <w:r w:rsidRPr="006031A9">
        <w:rPr>
          <w:lang w:val="fr-FR"/>
        </w:rPr>
        <w:t>article 6 § 1 de la Convention et les droits de la défense en particulier.</w:t>
      </w:r>
    </w:p>
    <w:bookmarkStart w:id="37" w:name="TEMOINSCCASS2"/>
    <w:bookmarkStart w:id="38" w:name="COURDOSCONF1"/>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70</w:t>
      </w:r>
      <w:r w:rsidRPr="006031A9">
        <w:rPr>
          <w:lang w:val="fr-FR"/>
        </w:rPr>
        <w:fldChar w:fldCharType="end"/>
      </w:r>
      <w:r w:rsidRPr="006031A9">
        <w:rPr>
          <w:lang w:val="fr-FR"/>
        </w:rPr>
        <w:t>.  Tout d</w:t>
      </w:r>
      <w:r w:rsidR="006031A9" w:rsidRPr="006031A9">
        <w:rPr>
          <w:lang w:val="fr-FR"/>
        </w:rPr>
        <w:t>’</w:t>
      </w:r>
      <w:r w:rsidRPr="006031A9">
        <w:rPr>
          <w:lang w:val="fr-FR"/>
        </w:rPr>
        <w:t>abord, la Cour relève, à l</w:t>
      </w:r>
      <w:r w:rsidR="006031A9" w:rsidRPr="006031A9">
        <w:rPr>
          <w:lang w:val="fr-FR"/>
        </w:rPr>
        <w:t>’</w:t>
      </w:r>
      <w:r w:rsidRPr="006031A9">
        <w:rPr>
          <w:lang w:val="fr-FR"/>
        </w:rPr>
        <w:t>examen des dispositions pertinentes du code d</w:t>
      </w:r>
      <w:r w:rsidR="006031A9" w:rsidRPr="006031A9">
        <w:rPr>
          <w:lang w:val="fr-FR"/>
        </w:rPr>
        <w:t>’</w:t>
      </w:r>
      <w:r w:rsidRPr="006031A9">
        <w:rPr>
          <w:lang w:val="fr-FR"/>
        </w:rPr>
        <w:t xml:space="preserve">instruction criminelle (voir paragraphes </w:t>
      </w:r>
      <w:r w:rsidRPr="006031A9">
        <w:rPr>
          <w:lang w:val="fr-FR"/>
        </w:rPr>
        <w:fldChar w:fldCharType="begin"/>
      </w:r>
      <w:r w:rsidRPr="006031A9">
        <w:rPr>
          <w:lang w:val="fr-FR"/>
        </w:rPr>
        <w:instrText xml:space="preserve"> REF CONTROLCHBMIS1 \h  \* MERGEFORMAT </w:instrText>
      </w:r>
      <w:r w:rsidRPr="006031A9">
        <w:rPr>
          <w:lang w:val="fr-FR"/>
        </w:rPr>
      </w:r>
      <w:r w:rsidRPr="006031A9">
        <w:rPr>
          <w:lang w:val="fr-FR"/>
        </w:rPr>
        <w:fldChar w:fldCharType="separate"/>
      </w:r>
      <w:r w:rsidR="006031A9" w:rsidRPr="006031A9">
        <w:rPr>
          <w:noProof/>
          <w:lang w:val="fr-FR"/>
        </w:rPr>
        <w:t>50</w:t>
      </w:r>
      <w:r w:rsidRPr="006031A9">
        <w:rPr>
          <w:lang w:val="fr-FR"/>
        </w:rPr>
        <w:fldChar w:fldCharType="end"/>
      </w:r>
      <w:r w:rsidRPr="006031A9">
        <w:rPr>
          <w:lang w:val="fr-FR"/>
        </w:rPr>
        <w:t>-</w:t>
      </w:r>
      <w:r w:rsidRPr="006031A9">
        <w:rPr>
          <w:lang w:val="fr-FR"/>
        </w:rPr>
        <w:fldChar w:fldCharType="begin"/>
      </w:r>
      <w:r w:rsidRPr="006031A9">
        <w:rPr>
          <w:lang w:val="fr-FR"/>
        </w:rPr>
        <w:instrText xml:space="preserve"> REF CONTROLCHBMIS3 \h  \* MERGEFORMAT </w:instrText>
      </w:r>
      <w:r w:rsidRPr="006031A9">
        <w:rPr>
          <w:lang w:val="fr-FR"/>
        </w:rPr>
      </w:r>
      <w:r w:rsidRPr="006031A9">
        <w:rPr>
          <w:lang w:val="fr-FR"/>
        </w:rPr>
        <w:fldChar w:fldCharType="separate"/>
      </w:r>
      <w:r w:rsidR="006031A9" w:rsidRPr="006031A9">
        <w:rPr>
          <w:noProof/>
          <w:lang w:val="fr-FR"/>
        </w:rPr>
        <w:t>55</w:t>
      </w:r>
      <w:r w:rsidRPr="006031A9">
        <w:rPr>
          <w:lang w:val="fr-FR"/>
        </w:rPr>
        <w:fldChar w:fldCharType="end"/>
      </w:r>
      <w:r w:rsidRPr="006031A9">
        <w:rPr>
          <w:lang w:val="fr-FR"/>
        </w:rPr>
        <w:t>, ci-dessus) et ainsi que cela a été rappelé par les juridictions internes en l</w:t>
      </w:r>
      <w:r w:rsidR="006031A9" w:rsidRPr="006031A9">
        <w:rPr>
          <w:lang w:val="fr-FR"/>
        </w:rPr>
        <w:t>’</w:t>
      </w:r>
      <w:r w:rsidRPr="006031A9">
        <w:rPr>
          <w:lang w:val="fr-FR"/>
        </w:rPr>
        <w:t xml:space="preserve">espèce (voir paragraphe </w:t>
      </w:r>
      <w:r w:rsidRPr="006031A9">
        <w:rPr>
          <w:lang w:val="fr-FR"/>
        </w:rPr>
        <w:fldChar w:fldCharType="begin"/>
      </w:r>
      <w:r w:rsidRPr="006031A9">
        <w:rPr>
          <w:lang w:val="fr-FR"/>
        </w:rPr>
        <w:instrText xml:space="preserve"> REF TEMOINTPI \h  \* MERGEFORMAT </w:instrText>
      </w:r>
      <w:r w:rsidRPr="006031A9">
        <w:rPr>
          <w:lang w:val="fr-FR"/>
        </w:rPr>
      </w:r>
      <w:r w:rsidRPr="006031A9">
        <w:rPr>
          <w:lang w:val="fr-FR"/>
        </w:rPr>
        <w:fldChar w:fldCharType="separate"/>
      </w:r>
      <w:r w:rsidR="006031A9" w:rsidRPr="006031A9">
        <w:rPr>
          <w:noProof/>
          <w:lang w:val="fr-FR"/>
        </w:rPr>
        <w:t>27</w:t>
      </w:r>
      <w:r w:rsidRPr="006031A9">
        <w:rPr>
          <w:lang w:val="fr-FR"/>
        </w:rPr>
        <w:fldChar w:fldCharType="end"/>
      </w:r>
      <w:r w:rsidRPr="006031A9">
        <w:rPr>
          <w:lang w:val="fr-FR"/>
        </w:rPr>
        <w:t>, ci-dessus), que la raison d</w:t>
      </w:r>
      <w:r w:rsidR="006031A9" w:rsidRPr="006031A9">
        <w:rPr>
          <w:lang w:val="fr-FR"/>
        </w:rPr>
        <w:t>’</w:t>
      </w:r>
      <w:r w:rsidRPr="006031A9">
        <w:rPr>
          <w:lang w:val="fr-FR"/>
        </w:rPr>
        <w:t>être du dossier confidentiel est la nécessité de protéger l</w:t>
      </w:r>
      <w:r w:rsidR="006031A9" w:rsidRPr="006031A9">
        <w:rPr>
          <w:lang w:val="fr-FR"/>
        </w:rPr>
        <w:t>’</w:t>
      </w:r>
      <w:r w:rsidRPr="006031A9">
        <w:rPr>
          <w:lang w:val="fr-FR"/>
        </w:rPr>
        <w:t xml:space="preserve">anonymat et donc la sécurité des agents infiltrés et de </w:t>
      </w:r>
      <w:r w:rsidRPr="006031A9">
        <w:rPr>
          <w:lang w:val="fr-FR"/>
        </w:rPr>
        <w:lastRenderedPageBreak/>
        <w:t xml:space="preserve">garder secrètes les méthodes utilisées. La Cour rappelle que ce motif est conforme à sa jurisprudence (voir paragraphe </w:t>
      </w:r>
      <w:r w:rsidRPr="006031A9">
        <w:rPr>
          <w:lang w:val="fr-FR"/>
        </w:rPr>
        <w:fldChar w:fldCharType="begin"/>
      </w:r>
      <w:r w:rsidRPr="006031A9">
        <w:rPr>
          <w:lang w:val="fr-FR"/>
        </w:rPr>
        <w:instrText xml:space="preserve"> REF JPNONDIV \h  \* MERGEFORMAT </w:instrText>
      </w:r>
      <w:r w:rsidRPr="006031A9">
        <w:rPr>
          <w:lang w:val="fr-FR"/>
        </w:rPr>
      </w:r>
      <w:r w:rsidRPr="006031A9">
        <w:rPr>
          <w:lang w:val="fr-FR"/>
        </w:rPr>
        <w:fldChar w:fldCharType="separate"/>
      </w:r>
      <w:r w:rsidR="006031A9" w:rsidRPr="006031A9">
        <w:rPr>
          <w:noProof/>
          <w:lang w:val="fr-FR"/>
        </w:rPr>
        <w:t>68</w:t>
      </w:r>
      <w:r w:rsidRPr="006031A9">
        <w:rPr>
          <w:lang w:val="fr-FR"/>
        </w:rPr>
        <w:fldChar w:fldCharType="end"/>
      </w:r>
      <w:r w:rsidRPr="006031A9">
        <w:rPr>
          <w:lang w:val="fr-FR"/>
        </w:rPr>
        <w:t>, ci-dessus).</w:t>
      </w:r>
    </w:p>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71</w:t>
      </w:r>
      <w:r w:rsidRPr="006031A9">
        <w:rPr>
          <w:lang w:val="fr-FR"/>
        </w:rPr>
        <w:fldChar w:fldCharType="end"/>
      </w:r>
      <w:r w:rsidRPr="006031A9">
        <w:rPr>
          <w:lang w:val="fr-FR"/>
        </w:rPr>
        <w:t>.  La Cour note ensuite que le législateur belge a limité les éléments qui figurent dans le dossier confidentiel, et qui ne peuvent être consultés par les parties, à ceux qui sont de nature à compromettre l</w:t>
      </w:r>
      <w:r w:rsidR="006031A9" w:rsidRPr="006031A9">
        <w:rPr>
          <w:lang w:val="fr-FR"/>
        </w:rPr>
        <w:t>’</w:t>
      </w:r>
      <w:r w:rsidRPr="006031A9">
        <w:rPr>
          <w:lang w:val="fr-FR"/>
        </w:rPr>
        <w:t>identité et la sécurité des personnes concernées et l</w:t>
      </w:r>
      <w:r w:rsidR="006031A9" w:rsidRPr="006031A9">
        <w:rPr>
          <w:lang w:val="fr-FR"/>
        </w:rPr>
        <w:t>’</w:t>
      </w:r>
      <w:r w:rsidRPr="006031A9">
        <w:rPr>
          <w:lang w:val="fr-FR"/>
        </w:rPr>
        <w:t xml:space="preserve">utilisation même des méthodes particulières de recherche (voir paragraphes </w:t>
      </w:r>
      <w:r w:rsidRPr="006031A9">
        <w:rPr>
          <w:lang w:val="fr-FR"/>
        </w:rPr>
        <w:fldChar w:fldCharType="begin"/>
      </w:r>
      <w:r w:rsidRPr="006031A9">
        <w:rPr>
          <w:lang w:val="fr-FR"/>
        </w:rPr>
        <w:instrText xml:space="preserve"> REF DOSCONF3 \h  \* MERGEFORMAT </w:instrText>
      </w:r>
      <w:r w:rsidRPr="006031A9">
        <w:rPr>
          <w:lang w:val="fr-FR"/>
        </w:rPr>
      </w:r>
      <w:r w:rsidRPr="006031A9">
        <w:rPr>
          <w:lang w:val="fr-FR"/>
        </w:rPr>
        <w:fldChar w:fldCharType="separate"/>
      </w:r>
      <w:r w:rsidR="006031A9" w:rsidRPr="006031A9">
        <w:rPr>
          <w:noProof/>
          <w:lang w:val="fr-FR"/>
        </w:rPr>
        <w:t>44</w:t>
      </w:r>
      <w:r w:rsidRPr="006031A9">
        <w:rPr>
          <w:lang w:val="fr-FR"/>
        </w:rPr>
        <w:fldChar w:fldCharType="end"/>
      </w:r>
      <w:r w:rsidRPr="006031A9">
        <w:rPr>
          <w:lang w:val="fr-FR"/>
        </w:rPr>
        <w:t xml:space="preserve"> et </w:t>
      </w:r>
      <w:r w:rsidRPr="006031A9">
        <w:rPr>
          <w:lang w:val="fr-FR"/>
        </w:rPr>
        <w:fldChar w:fldCharType="begin"/>
      </w:r>
      <w:r w:rsidRPr="006031A9">
        <w:rPr>
          <w:lang w:val="fr-FR"/>
        </w:rPr>
        <w:instrText xml:space="preserve"> REF DOSCONF4 \h  \* MERGEFORMAT </w:instrText>
      </w:r>
      <w:r w:rsidRPr="006031A9">
        <w:rPr>
          <w:lang w:val="fr-FR"/>
        </w:rPr>
      </w:r>
      <w:r w:rsidRPr="006031A9">
        <w:rPr>
          <w:lang w:val="fr-FR"/>
        </w:rPr>
        <w:fldChar w:fldCharType="separate"/>
      </w:r>
      <w:r w:rsidR="006031A9" w:rsidRPr="006031A9">
        <w:rPr>
          <w:noProof/>
          <w:lang w:val="fr-FR"/>
        </w:rPr>
        <w:t>45</w:t>
      </w:r>
      <w:r w:rsidRPr="006031A9">
        <w:rPr>
          <w:lang w:val="fr-FR"/>
        </w:rPr>
        <w:fldChar w:fldCharType="end"/>
      </w:r>
      <w:r w:rsidRPr="006031A9">
        <w:rPr>
          <w:lang w:val="fr-FR"/>
        </w:rPr>
        <w:t>, ci-dessus).</w:t>
      </w:r>
    </w:p>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72</w:t>
      </w:r>
      <w:r w:rsidRPr="006031A9">
        <w:rPr>
          <w:lang w:val="fr-FR"/>
        </w:rPr>
        <w:fldChar w:fldCharType="end"/>
      </w:r>
      <w:r w:rsidRPr="006031A9">
        <w:rPr>
          <w:lang w:val="fr-FR"/>
        </w:rPr>
        <w:t>.  La Cour en déduit que toutes les autres informations doivent figurer dans le dossier répressif. Celui-ci contient en effet des renseignements concernant la mise en œuvre et la nature des méthodes de recherche utilisées, les motifs justifiant cette utilisation et les étapes de leur mise en œuvre, éléments sur la base desquels la défense a</w:t>
      </w:r>
      <w:r w:rsidRPr="006031A9">
        <w:rPr>
          <w:bCs/>
          <w:lang w:val="fr-FR"/>
        </w:rPr>
        <w:t xml:space="preserve"> la possibilité d</w:t>
      </w:r>
      <w:r w:rsidR="006031A9" w:rsidRPr="006031A9">
        <w:rPr>
          <w:bCs/>
          <w:lang w:val="fr-FR"/>
        </w:rPr>
        <w:t>’</w:t>
      </w:r>
      <w:r w:rsidRPr="006031A9">
        <w:rPr>
          <w:lang w:val="fr-FR"/>
        </w:rPr>
        <w:t>invoquer</w:t>
      </w:r>
      <w:r w:rsidRPr="006031A9">
        <w:rPr>
          <w:bCs/>
          <w:lang w:val="fr-FR"/>
        </w:rPr>
        <w:t>, dans le cadre d</w:t>
      </w:r>
      <w:r w:rsidR="006031A9" w:rsidRPr="006031A9">
        <w:rPr>
          <w:bCs/>
          <w:lang w:val="fr-FR"/>
        </w:rPr>
        <w:t>’</w:t>
      </w:r>
      <w:r w:rsidRPr="006031A9">
        <w:rPr>
          <w:bCs/>
          <w:lang w:val="fr-FR"/>
        </w:rPr>
        <w:t xml:space="preserve">une procédure contradictoire, </w:t>
      </w:r>
      <w:r w:rsidRPr="006031A9">
        <w:rPr>
          <w:lang w:val="fr-FR"/>
        </w:rPr>
        <w:t>tous les moyens légaux à l</w:t>
      </w:r>
      <w:r w:rsidR="006031A9" w:rsidRPr="006031A9">
        <w:rPr>
          <w:lang w:val="fr-FR"/>
        </w:rPr>
        <w:t>’</w:t>
      </w:r>
      <w:r w:rsidRPr="006031A9">
        <w:rPr>
          <w:lang w:val="fr-FR"/>
        </w:rPr>
        <w:t>encontre des méthodes de recherche utilisées, y compris, le cas échéant, des moyens relatifs à la provocation.</w:t>
      </w:r>
      <w:r w:rsidRPr="006031A9">
        <w:rPr>
          <w:bCs/>
          <w:lang w:val="fr-FR"/>
        </w:rPr>
        <w:t xml:space="preserve"> </w:t>
      </w:r>
      <w:r w:rsidRPr="006031A9">
        <w:rPr>
          <w:lang w:val="fr-FR"/>
        </w:rPr>
        <w:t>Il s</w:t>
      </w:r>
      <w:r w:rsidR="006031A9" w:rsidRPr="006031A9">
        <w:rPr>
          <w:lang w:val="fr-FR"/>
        </w:rPr>
        <w:t>’</w:t>
      </w:r>
      <w:r w:rsidRPr="006031A9">
        <w:rPr>
          <w:lang w:val="fr-FR"/>
        </w:rPr>
        <w:t>agit là, selon la Cour, de garanties fondamentales</w:t>
      </w:r>
      <w:r w:rsidRPr="006031A9">
        <w:rPr>
          <w:bCs/>
          <w:lang w:val="fr-FR"/>
        </w:rPr>
        <w:t xml:space="preserve"> (voir, </w:t>
      </w:r>
      <w:r w:rsidRPr="006031A9">
        <w:rPr>
          <w:bCs/>
          <w:i/>
          <w:lang w:val="fr-FR"/>
        </w:rPr>
        <w:t>a contrario</w:t>
      </w:r>
      <w:r w:rsidRPr="006031A9">
        <w:rPr>
          <w:bCs/>
          <w:lang w:val="fr-FR"/>
        </w:rPr>
        <w:t xml:space="preserve">, </w:t>
      </w:r>
      <w:r w:rsidRPr="006031A9">
        <w:rPr>
          <w:i/>
          <w:lang w:val="fr-FR"/>
        </w:rPr>
        <w:t>Edwards et Lewis c. Royaume-Uni</w:t>
      </w:r>
      <w:r w:rsidRPr="006031A9">
        <w:rPr>
          <w:lang w:val="fr-FR"/>
        </w:rPr>
        <w:t>, n</w:t>
      </w:r>
      <w:r w:rsidRPr="006031A9">
        <w:rPr>
          <w:vertAlign w:val="superscript"/>
          <w:lang w:val="fr-FR"/>
        </w:rPr>
        <w:t>os</w:t>
      </w:r>
      <w:r w:rsidRPr="006031A9">
        <w:rPr>
          <w:lang w:val="fr-FR"/>
        </w:rPr>
        <w:t xml:space="preserve"> 39647/98 et 40461/98, § 58, 22 juillet 2003, et </w:t>
      </w:r>
      <w:r w:rsidRPr="006031A9">
        <w:rPr>
          <w:i/>
          <w:lang w:val="fr-FR"/>
        </w:rPr>
        <w:t>Leas c. Estonie</w:t>
      </w:r>
      <w:r w:rsidRPr="006031A9">
        <w:rPr>
          <w:lang w:val="fr-FR"/>
        </w:rPr>
        <w:t>, n</w:t>
      </w:r>
      <w:r w:rsidRPr="006031A9">
        <w:rPr>
          <w:vertAlign w:val="superscript"/>
          <w:lang w:val="fr-FR"/>
        </w:rPr>
        <w:t>o</w:t>
      </w:r>
      <w:r w:rsidRPr="006031A9">
        <w:rPr>
          <w:lang w:val="fr-FR"/>
        </w:rPr>
        <w:t> 59577/08, § 88, 6 mars 2012).</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73</w:t>
      </w:r>
      <w:r w:rsidRPr="006031A9">
        <w:rPr>
          <w:lang w:val="fr-FR"/>
        </w:rPr>
        <w:fldChar w:fldCharType="end"/>
      </w:r>
      <w:r w:rsidRPr="006031A9">
        <w:rPr>
          <w:lang w:val="fr-FR"/>
        </w:rPr>
        <w:t>. </w:t>
      </w:r>
      <w:r w:rsidR="00387416" w:rsidRPr="006031A9">
        <w:rPr>
          <w:lang w:val="fr-FR"/>
        </w:rPr>
        <w:t> </w:t>
      </w:r>
      <w:r w:rsidRPr="006031A9">
        <w:rPr>
          <w:lang w:val="fr-FR"/>
        </w:rPr>
        <w:t>Le requérant se plaint que le dossier confidentiel est tenu par le ministère public. Il revient en effet à l</w:t>
      </w:r>
      <w:r w:rsidR="006031A9" w:rsidRPr="006031A9">
        <w:rPr>
          <w:lang w:val="fr-FR"/>
        </w:rPr>
        <w:t>’</w:t>
      </w:r>
      <w:r w:rsidRPr="006031A9">
        <w:rPr>
          <w:lang w:val="fr-FR"/>
        </w:rPr>
        <w:t>officier de police judiciaire chargé de diriger l</w:t>
      </w:r>
      <w:r w:rsidR="006031A9" w:rsidRPr="006031A9">
        <w:rPr>
          <w:lang w:val="fr-FR"/>
        </w:rPr>
        <w:t>’</w:t>
      </w:r>
      <w:r w:rsidRPr="006031A9">
        <w:rPr>
          <w:lang w:val="fr-FR"/>
        </w:rPr>
        <w:t>exécution de l</w:t>
      </w:r>
      <w:r w:rsidR="006031A9" w:rsidRPr="006031A9">
        <w:rPr>
          <w:lang w:val="fr-FR"/>
        </w:rPr>
        <w:t>’</w:t>
      </w:r>
      <w:r w:rsidRPr="006031A9">
        <w:rPr>
          <w:lang w:val="fr-FR"/>
        </w:rPr>
        <w:t>observation ou de l</w:t>
      </w:r>
      <w:r w:rsidR="006031A9" w:rsidRPr="006031A9">
        <w:rPr>
          <w:lang w:val="fr-FR"/>
        </w:rPr>
        <w:t>’</w:t>
      </w:r>
      <w:r w:rsidRPr="006031A9">
        <w:rPr>
          <w:lang w:val="fr-FR"/>
        </w:rPr>
        <w:t xml:space="preserve">infiltration de trier parmi les éléments des rapports confidentiels de la police ceux qui peuvent apparaître dans les procès-verbaux qui sont ensuite versés au dossier répressif (voir paragraphe </w:t>
      </w:r>
      <w:r w:rsidRPr="006031A9">
        <w:rPr>
          <w:lang w:val="fr-FR"/>
        </w:rPr>
        <w:fldChar w:fldCharType="begin"/>
      </w:r>
      <w:r w:rsidRPr="006031A9">
        <w:rPr>
          <w:lang w:val="fr-FR"/>
        </w:rPr>
        <w:instrText xml:space="preserve"> REF DOSCONF3 \h  \* MERGEFORMAT </w:instrText>
      </w:r>
      <w:r w:rsidRPr="006031A9">
        <w:rPr>
          <w:lang w:val="fr-FR"/>
        </w:rPr>
      </w:r>
      <w:r w:rsidRPr="006031A9">
        <w:rPr>
          <w:lang w:val="fr-FR"/>
        </w:rPr>
        <w:fldChar w:fldCharType="separate"/>
      </w:r>
      <w:r w:rsidR="006031A9" w:rsidRPr="006031A9">
        <w:rPr>
          <w:noProof/>
          <w:lang w:val="fr-FR"/>
        </w:rPr>
        <w:t>44</w:t>
      </w:r>
      <w:r w:rsidRPr="006031A9">
        <w:rPr>
          <w:lang w:val="fr-FR"/>
        </w:rPr>
        <w:fldChar w:fldCharType="end"/>
      </w:r>
      <w:r w:rsidRPr="006031A9">
        <w:rPr>
          <w:lang w:val="fr-FR"/>
        </w:rPr>
        <w:t>, ci-dessus).</w:t>
      </w:r>
    </w:p>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74</w:t>
      </w:r>
      <w:r w:rsidRPr="006031A9">
        <w:rPr>
          <w:lang w:val="fr-FR"/>
        </w:rPr>
        <w:fldChar w:fldCharType="end"/>
      </w:r>
      <w:r w:rsidRPr="006031A9">
        <w:rPr>
          <w:lang w:val="fr-FR"/>
        </w:rPr>
        <w:t>.  La Cour rappelle, à cet égard, avoir jugé contraire à l</w:t>
      </w:r>
      <w:r w:rsidR="006031A9" w:rsidRPr="006031A9">
        <w:rPr>
          <w:lang w:val="fr-FR"/>
        </w:rPr>
        <w:t>’</w:t>
      </w:r>
      <w:r w:rsidRPr="006031A9">
        <w:rPr>
          <w:lang w:val="fr-FR"/>
        </w:rPr>
        <w:t>article 6 § 1 de la Convention un système dans lequel l</w:t>
      </w:r>
      <w:r w:rsidR="006031A9" w:rsidRPr="006031A9">
        <w:rPr>
          <w:lang w:val="fr-FR"/>
        </w:rPr>
        <w:t>’</w:t>
      </w:r>
      <w:r w:rsidRPr="006031A9">
        <w:rPr>
          <w:lang w:val="fr-FR"/>
        </w:rPr>
        <w:t>accusation, sans l</w:t>
      </w:r>
      <w:r w:rsidR="006031A9" w:rsidRPr="006031A9">
        <w:rPr>
          <w:lang w:val="fr-FR"/>
        </w:rPr>
        <w:t>’</w:t>
      </w:r>
      <w:r w:rsidRPr="006031A9">
        <w:rPr>
          <w:lang w:val="fr-FR"/>
        </w:rPr>
        <w:t>accord du juge du fond de première instance et à son insu, pouvait décider que certaines preuves pertinentes pour la défense étaient couvertes par une immunité d</w:t>
      </w:r>
      <w:r w:rsidR="006031A9" w:rsidRPr="006031A9">
        <w:rPr>
          <w:lang w:val="fr-FR"/>
        </w:rPr>
        <w:t>’</w:t>
      </w:r>
      <w:r w:rsidRPr="006031A9">
        <w:rPr>
          <w:lang w:val="fr-FR"/>
        </w:rPr>
        <w:t>intérêt public (</w:t>
      </w:r>
      <w:r w:rsidRPr="006031A9">
        <w:rPr>
          <w:i/>
          <w:lang w:val="fr-FR"/>
        </w:rPr>
        <w:t>Rowe et Davis</w:t>
      </w:r>
      <w:r w:rsidRPr="006031A9">
        <w:rPr>
          <w:lang w:val="fr-FR"/>
        </w:rPr>
        <w:t>, précité, §§ 36-37 et 63-67). Elle estime qu</w:t>
      </w:r>
      <w:r w:rsidR="006031A9" w:rsidRPr="006031A9">
        <w:rPr>
          <w:lang w:val="fr-FR"/>
        </w:rPr>
        <w:t>’</w:t>
      </w:r>
      <w:r w:rsidRPr="006031A9">
        <w:rPr>
          <w:lang w:val="fr-FR"/>
        </w:rPr>
        <w:t>à la différence de cette affaire, dans laquelle elle avait considéré que le contrôle judiciaire opéré par la juridiction d</w:t>
      </w:r>
      <w:r w:rsidR="006031A9" w:rsidRPr="006031A9">
        <w:rPr>
          <w:lang w:val="fr-FR"/>
        </w:rPr>
        <w:t>’</w:t>
      </w:r>
      <w:r w:rsidRPr="006031A9">
        <w:rPr>
          <w:lang w:val="fr-FR"/>
        </w:rPr>
        <w:t>appel n</w:t>
      </w:r>
      <w:r w:rsidR="006031A9" w:rsidRPr="006031A9">
        <w:rPr>
          <w:lang w:val="fr-FR"/>
        </w:rPr>
        <w:t>’</w:t>
      </w:r>
      <w:r w:rsidRPr="006031A9">
        <w:rPr>
          <w:lang w:val="fr-FR"/>
        </w:rPr>
        <w:t>avait pas été suffisant pour remédier à la situation (</w:t>
      </w:r>
      <w:r w:rsidR="001B036D" w:rsidRPr="006031A9">
        <w:rPr>
          <w:i/>
          <w:lang w:val="fr-FR"/>
        </w:rPr>
        <w:t>ibidem</w:t>
      </w:r>
      <w:r w:rsidRPr="006031A9">
        <w:rPr>
          <w:lang w:val="fr-FR"/>
        </w:rPr>
        <w:t>), en droit belge, le contrôle judiciaire est effectué par la chambre des mises en accusation de la cour d</w:t>
      </w:r>
      <w:r w:rsidR="006031A9" w:rsidRPr="006031A9">
        <w:rPr>
          <w:lang w:val="fr-FR"/>
        </w:rPr>
        <w:t>’</w:t>
      </w:r>
      <w:r w:rsidRPr="006031A9">
        <w:rPr>
          <w:lang w:val="fr-FR"/>
        </w:rPr>
        <w:t>appel</w:t>
      </w:r>
      <w:bookmarkEnd w:id="37"/>
      <w:bookmarkEnd w:id="38"/>
      <w:r w:rsidRPr="006031A9">
        <w:rPr>
          <w:lang w:val="fr-FR"/>
        </w:rPr>
        <w:t>, lorsqu</w:t>
      </w:r>
      <w:r w:rsidR="006031A9" w:rsidRPr="006031A9">
        <w:rPr>
          <w:lang w:val="fr-FR"/>
        </w:rPr>
        <w:t>’</w:t>
      </w:r>
      <w:r w:rsidRPr="006031A9">
        <w:rPr>
          <w:lang w:val="fr-FR"/>
        </w:rPr>
        <w:t>elle est chargée de contrôler la régularité de la mise en œuvre des méthodes particulières de recherche. Il reste à voir si ce contrôle présente des garanties suffisantes.</w:t>
      </w:r>
    </w:p>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75</w:t>
      </w:r>
      <w:r w:rsidRPr="006031A9">
        <w:rPr>
          <w:lang w:val="fr-FR"/>
        </w:rPr>
        <w:fldChar w:fldCharType="end"/>
      </w:r>
      <w:r w:rsidRPr="006031A9">
        <w:rPr>
          <w:lang w:val="fr-FR"/>
        </w:rPr>
        <w:t>.  La Cour examine, pour commencer, la portée du contrôle exercé sur le dossier confidentiel par la chambre des mises en accusation.</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76</w:t>
      </w:r>
      <w:r w:rsidRPr="006031A9">
        <w:rPr>
          <w:lang w:val="fr-FR"/>
        </w:rPr>
        <w:fldChar w:fldCharType="end"/>
      </w:r>
      <w:r w:rsidRPr="006031A9">
        <w:rPr>
          <w:lang w:val="fr-FR"/>
        </w:rPr>
        <w:t>.  En l</w:t>
      </w:r>
      <w:r w:rsidR="006031A9" w:rsidRPr="006031A9">
        <w:rPr>
          <w:lang w:val="fr-FR"/>
        </w:rPr>
        <w:t>’</w:t>
      </w:r>
      <w:r w:rsidRPr="006031A9">
        <w:rPr>
          <w:lang w:val="fr-FR"/>
        </w:rPr>
        <w:t>espèce, la chambre des mises en accusation de la cour d</w:t>
      </w:r>
      <w:r w:rsidR="006031A9" w:rsidRPr="006031A9">
        <w:rPr>
          <w:lang w:val="fr-FR"/>
        </w:rPr>
        <w:t>’</w:t>
      </w:r>
      <w:r w:rsidRPr="006031A9">
        <w:rPr>
          <w:lang w:val="fr-FR"/>
        </w:rPr>
        <w:t>appel d</w:t>
      </w:r>
      <w:r w:rsidR="006031A9" w:rsidRPr="006031A9">
        <w:rPr>
          <w:lang w:val="fr-FR"/>
        </w:rPr>
        <w:t>’</w:t>
      </w:r>
      <w:r w:rsidRPr="006031A9">
        <w:rPr>
          <w:lang w:val="fr-FR"/>
        </w:rPr>
        <w:t>Anvers, a, après avoir consulté le dossier confidentiel, ordonné par son arrêt du 20 mai 2010 que ce dossier soit complété avec les documents confidentiels relatifs à la recherche proactive, et que certains éléments relatifs à cette recherche soient ajoutés au dossier répressif ouvert. Cette démarche s</w:t>
      </w:r>
      <w:r w:rsidR="006031A9" w:rsidRPr="006031A9">
        <w:rPr>
          <w:lang w:val="fr-FR"/>
        </w:rPr>
        <w:t>’</w:t>
      </w:r>
      <w:r w:rsidRPr="006031A9">
        <w:rPr>
          <w:lang w:val="fr-FR"/>
        </w:rPr>
        <w:t>est soldée notamment par l</w:t>
      </w:r>
      <w:r w:rsidR="006031A9" w:rsidRPr="006031A9">
        <w:rPr>
          <w:lang w:val="fr-FR"/>
        </w:rPr>
        <w:t>’</w:t>
      </w:r>
      <w:r w:rsidRPr="006031A9">
        <w:rPr>
          <w:lang w:val="fr-FR"/>
        </w:rPr>
        <w:t xml:space="preserve">ajout au dossier répressif des </w:t>
      </w:r>
      <w:r w:rsidRPr="006031A9">
        <w:rPr>
          <w:lang w:val="fr-FR"/>
        </w:rPr>
        <w:lastRenderedPageBreak/>
        <w:t>décisions du procureur du Roi du 18 septembre 2008 confirmant l</w:t>
      </w:r>
      <w:r w:rsidR="006031A9" w:rsidRPr="006031A9">
        <w:rPr>
          <w:lang w:val="fr-FR"/>
        </w:rPr>
        <w:t>’</w:t>
      </w:r>
      <w:r w:rsidRPr="006031A9">
        <w:rPr>
          <w:lang w:val="fr-FR"/>
        </w:rPr>
        <w:t>existence d</w:t>
      </w:r>
      <w:r w:rsidR="006031A9" w:rsidRPr="006031A9">
        <w:rPr>
          <w:lang w:val="fr-FR"/>
        </w:rPr>
        <w:t>’</w:t>
      </w:r>
      <w:r w:rsidRPr="006031A9">
        <w:rPr>
          <w:lang w:val="fr-FR"/>
        </w:rPr>
        <w:t>autorisations d</w:t>
      </w:r>
      <w:r w:rsidR="006031A9" w:rsidRPr="006031A9">
        <w:rPr>
          <w:lang w:val="fr-FR"/>
        </w:rPr>
        <w:t>’</w:t>
      </w:r>
      <w:r w:rsidRPr="006031A9">
        <w:rPr>
          <w:lang w:val="fr-FR"/>
        </w:rPr>
        <w:t>observation et d</w:t>
      </w:r>
      <w:r w:rsidR="006031A9" w:rsidRPr="006031A9">
        <w:rPr>
          <w:lang w:val="fr-FR"/>
        </w:rPr>
        <w:t>’</w:t>
      </w:r>
      <w:r w:rsidRPr="006031A9">
        <w:rPr>
          <w:lang w:val="fr-FR"/>
        </w:rPr>
        <w:t>infiltration</w:t>
      </w:r>
      <w:r w:rsidRPr="006031A9" w:rsidDel="00517A30">
        <w:rPr>
          <w:lang w:val="fr-FR"/>
        </w:rPr>
        <w:t xml:space="preserve"> </w:t>
      </w:r>
      <w:r w:rsidRPr="006031A9">
        <w:rPr>
          <w:lang w:val="fr-FR"/>
        </w:rPr>
        <w:t>et du procès-verbal du 25</w:t>
      </w:r>
      <w:r w:rsidR="00387416" w:rsidRPr="006031A9">
        <w:rPr>
          <w:lang w:val="fr-FR"/>
        </w:rPr>
        <w:t> </w:t>
      </w:r>
      <w:r w:rsidRPr="006031A9">
        <w:rPr>
          <w:lang w:val="fr-FR"/>
        </w:rPr>
        <w:t xml:space="preserve">septembre 2008 relatif à ces autorisations (voir paragraphe </w:t>
      </w:r>
      <w:r w:rsidRPr="006031A9">
        <w:rPr>
          <w:lang w:val="fr-FR"/>
        </w:rPr>
        <w:fldChar w:fldCharType="begin"/>
      </w:r>
      <w:r w:rsidRPr="006031A9">
        <w:rPr>
          <w:lang w:val="fr-FR"/>
        </w:rPr>
        <w:instrText xml:space="preserve"> REF AJOUTPV \h  \* MERGEFORMAT </w:instrText>
      </w:r>
      <w:r w:rsidRPr="006031A9">
        <w:rPr>
          <w:lang w:val="fr-FR"/>
        </w:rPr>
      </w:r>
      <w:r w:rsidRPr="006031A9">
        <w:rPr>
          <w:lang w:val="fr-FR"/>
        </w:rPr>
        <w:fldChar w:fldCharType="separate"/>
      </w:r>
      <w:r w:rsidR="006031A9" w:rsidRPr="006031A9">
        <w:rPr>
          <w:noProof/>
          <w:lang w:val="fr-FR"/>
        </w:rPr>
        <w:t>18</w:t>
      </w:r>
      <w:r w:rsidRPr="006031A9">
        <w:rPr>
          <w:lang w:val="fr-FR"/>
        </w:rPr>
        <w:fldChar w:fldCharType="end"/>
      </w:r>
      <w:r w:rsidRPr="006031A9">
        <w:rPr>
          <w:lang w:val="fr-FR"/>
        </w:rPr>
        <w:t>, ci</w:t>
      </w:r>
      <w:r w:rsidR="00387416" w:rsidRPr="006031A9">
        <w:rPr>
          <w:lang w:val="fr-FR"/>
        </w:rPr>
        <w:noBreakHyphen/>
      </w:r>
      <w:r w:rsidRPr="006031A9">
        <w:rPr>
          <w:lang w:val="fr-FR"/>
        </w:rPr>
        <w:t>dessus). Au final, la chambre des mises en accusation a décidé par son arrêt du 24 juin 2010 que, dans le cadre du contrôle sur la base des articles</w:t>
      </w:r>
      <w:r w:rsidR="00387416" w:rsidRPr="006031A9">
        <w:rPr>
          <w:lang w:val="fr-FR"/>
        </w:rPr>
        <w:t> </w:t>
      </w:r>
      <w:r w:rsidRPr="006031A9">
        <w:rPr>
          <w:lang w:val="fr-FR"/>
        </w:rPr>
        <w:t>235</w:t>
      </w:r>
      <w:r w:rsidRPr="006031A9">
        <w:rPr>
          <w:i/>
          <w:lang w:val="fr-FR"/>
        </w:rPr>
        <w:t>bis</w:t>
      </w:r>
      <w:r w:rsidRPr="006031A9">
        <w:rPr>
          <w:lang w:val="fr-FR"/>
        </w:rPr>
        <w:t xml:space="preserve"> et 235</w:t>
      </w:r>
      <w:r w:rsidRPr="006031A9">
        <w:rPr>
          <w:i/>
          <w:lang w:val="fr-FR"/>
        </w:rPr>
        <w:t>ter</w:t>
      </w:r>
      <w:r w:rsidRPr="006031A9">
        <w:rPr>
          <w:lang w:val="fr-FR"/>
        </w:rPr>
        <w:t xml:space="preserve"> du CIC, le dossier répressif était complet et qu</w:t>
      </w:r>
      <w:r w:rsidR="006031A9" w:rsidRPr="006031A9">
        <w:rPr>
          <w:lang w:val="fr-FR"/>
        </w:rPr>
        <w:t>’</w:t>
      </w:r>
      <w:r w:rsidRPr="006031A9">
        <w:rPr>
          <w:lang w:val="fr-FR"/>
        </w:rPr>
        <w:t xml:space="preserve">aucune nullité, irrégularité ou violation de dispositions légales ou conventionnelles ne pouvait être retenue ni davantage que des irrégularités aient été commises dans la mise en œuvre de la recherche proactive ou des méthodes particulières de recherche (voir paragraphe </w:t>
      </w:r>
      <w:r w:rsidRPr="006031A9">
        <w:rPr>
          <w:lang w:val="fr-FR"/>
        </w:rPr>
        <w:fldChar w:fldCharType="begin"/>
      </w:r>
      <w:r w:rsidRPr="006031A9">
        <w:rPr>
          <w:lang w:val="fr-FR"/>
        </w:rPr>
        <w:instrText xml:space="preserve"> REF CHBMIS240110 \h  \* MERGEFORMAT </w:instrText>
      </w:r>
      <w:r w:rsidRPr="006031A9">
        <w:rPr>
          <w:lang w:val="fr-FR"/>
        </w:rPr>
      </w:r>
      <w:r w:rsidRPr="006031A9">
        <w:rPr>
          <w:lang w:val="fr-FR"/>
        </w:rPr>
        <w:fldChar w:fldCharType="separate"/>
      </w:r>
      <w:r w:rsidR="006031A9" w:rsidRPr="006031A9">
        <w:rPr>
          <w:noProof/>
          <w:lang w:val="fr-FR"/>
        </w:rPr>
        <w:t>19</w:t>
      </w:r>
      <w:r w:rsidRPr="006031A9">
        <w:rPr>
          <w:lang w:val="fr-FR"/>
        </w:rPr>
        <w:fldChar w:fldCharType="end"/>
      </w:r>
      <w:r w:rsidRPr="006031A9">
        <w:rPr>
          <w:lang w:val="fr-FR"/>
        </w:rPr>
        <w:t>, ci-dessus).</w:t>
      </w:r>
    </w:p>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77</w:t>
      </w:r>
      <w:r w:rsidRPr="006031A9">
        <w:rPr>
          <w:lang w:val="fr-FR"/>
        </w:rPr>
        <w:fldChar w:fldCharType="end"/>
      </w:r>
      <w:r w:rsidRPr="006031A9">
        <w:rPr>
          <w:lang w:val="fr-FR"/>
        </w:rPr>
        <w:t>.  Le requérant soutient que le contrôle ainsi opéré n</w:t>
      </w:r>
      <w:r w:rsidR="006031A9" w:rsidRPr="006031A9">
        <w:rPr>
          <w:lang w:val="fr-FR"/>
        </w:rPr>
        <w:t>’</w:t>
      </w:r>
      <w:r w:rsidRPr="006031A9">
        <w:rPr>
          <w:lang w:val="fr-FR"/>
        </w:rPr>
        <w:t>a pas permis l</w:t>
      </w:r>
      <w:r w:rsidR="006031A9" w:rsidRPr="006031A9">
        <w:rPr>
          <w:lang w:val="fr-FR"/>
        </w:rPr>
        <w:t>’</w:t>
      </w:r>
      <w:r w:rsidRPr="006031A9">
        <w:rPr>
          <w:lang w:val="fr-FR"/>
        </w:rPr>
        <w:t>appréciation par un juge de la nécessité ou de l</w:t>
      </w:r>
      <w:r w:rsidR="006031A9" w:rsidRPr="006031A9">
        <w:rPr>
          <w:lang w:val="fr-FR"/>
        </w:rPr>
        <w:t>’</w:t>
      </w:r>
      <w:r w:rsidRPr="006031A9">
        <w:rPr>
          <w:lang w:val="fr-FR"/>
        </w:rPr>
        <w:t>opportunité d</w:t>
      </w:r>
      <w:r w:rsidR="006031A9" w:rsidRPr="006031A9">
        <w:rPr>
          <w:lang w:val="fr-FR"/>
        </w:rPr>
        <w:t>’</w:t>
      </w:r>
      <w:r w:rsidRPr="006031A9">
        <w:rPr>
          <w:lang w:val="fr-FR"/>
        </w:rPr>
        <w:t>une divulgation à la défense des informations figurant dans le dossier confidentiel.</w:t>
      </w:r>
    </w:p>
    <w:p w:rsidR="0002655A" w:rsidRPr="006031A9" w:rsidRDefault="00C85586" w:rsidP="006031A9">
      <w:pPr>
        <w:pStyle w:val="ECHRPara"/>
        <w:rPr>
          <w:rFonts w:cs="Times New Roman"/>
          <w:i/>
          <w:iCs/>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78</w:t>
      </w:r>
      <w:r w:rsidRPr="006031A9">
        <w:rPr>
          <w:lang w:val="fr-FR"/>
        </w:rPr>
        <w:fldChar w:fldCharType="end"/>
      </w:r>
      <w:r w:rsidRPr="006031A9">
        <w:rPr>
          <w:lang w:val="fr-FR"/>
        </w:rPr>
        <w:t>.  La Cour constate cependant que la chambre des mises en accusation a estimé en l</w:t>
      </w:r>
      <w:r w:rsidR="006031A9" w:rsidRPr="006031A9">
        <w:rPr>
          <w:lang w:val="fr-FR"/>
        </w:rPr>
        <w:t>’</w:t>
      </w:r>
      <w:r w:rsidRPr="006031A9">
        <w:rPr>
          <w:lang w:val="fr-FR"/>
        </w:rPr>
        <w:t>espèce, dans son arrêt du 24 juin 2010, que le dossier répressif était complet. Elle a donc pu examiner si des éléments figurant dans le dossier confidentiel, plus particulièrement des éléments qui n</w:t>
      </w:r>
      <w:r w:rsidR="006031A9" w:rsidRPr="006031A9">
        <w:rPr>
          <w:lang w:val="fr-FR"/>
        </w:rPr>
        <w:t>’</w:t>
      </w:r>
      <w:r w:rsidRPr="006031A9">
        <w:rPr>
          <w:lang w:val="fr-FR"/>
        </w:rPr>
        <w:t>étaient pas de nature à compromettre les moyens techniques et les techniques d</w:t>
      </w:r>
      <w:r w:rsidR="006031A9" w:rsidRPr="006031A9">
        <w:rPr>
          <w:lang w:val="fr-FR"/>
        </w:rPr>
        <w:t>’</w:t>
      </w:r>
      <w:r w:rsidRPr="006031A9">
        <w:rPr>
          <w:lang w:val="fr-FR"/>
        </w:rPr>
        <w:t>enquête policière utilisées ou la garantie de la sécurité et de l</w:t>
      </w:r>
      <w:r w:rsidR="006031A9" w:rsidRPr="006031A9">
        <w:rPr>
          <w:lang w:val="fr-FR"/>
        </w:rPr>
        <w:t>’</w:t>
      </w:r>
      <w:r w:rsidRPr="006031A9">
        <w:rPr>
          <w:lang w:val="fr-FR"/>
        </w:rPr>
        <w:t>anonymat des fonctionnaires de police chargés de l</w:t>
      </w:r>
      <w:r w:rsidR="006031A9" w:rsidRPr="006031A9">
        <w:rPr>
          <w:lang w:val="fr-FR"/>
        </w:rPr>
        <w:t>’</w:t>
      </w:r>
      <w:r w:rsidRPr="006031A9">
        <w:rPr>
          <w:lang w:val="fr-FR"/>
        </w:rPr>
        <w:t>exécution de l</w:t>
      </w:r>
      <w:r w:rsidR="006031A9" w:rsidRPr="006031A9">
        <w:rPr>
          <w:lang w:val="fr-FR"/>
        </w:rPr>
        <w:t>’</w:t>
      </w:r>
      <w:r w:rsidRPr="006031A9">
        <w:rPr>
          <w:lang w:val="fr-FR"/>
        </w:rPr>
        <w:t>observation ou de l</w:t>
      </w:r>
      <w:r w:rsidR="006031A9" w:rsidRPr="006031A9">
        <w:rPr>
          <w:lang w:val="fr-FR"/>
        </w:rPr>
        <w:t>’</w:t>
      </w:r>
      <w:r w:rsidRPr="006031A9">
        <w:rPr>
          <w:lang w:val="fr-FR"/>
        </w:rPr>
        <w:t>infiltration, ne devaient pas faire partie du dossier répressif, alors qu</w:t>
      </w:r>
      <w:r w:rsidR="006031A9" w:rsidRPr="006031A9">
        <w:rPr>
          <w:lang w:val="fr-FR"/>
        </w:rPr>
        <w:t>’</w:t>
      </w:r>
      <w:r w:rsidRPr="006031A9">
        <w:rPr>
          <w:lang w:val="fr-FR"/>
        </w:rPr>
        <w:t>ils ne s</w:t>
      </w:r>
      <w:r w:rsidR="006031A9" w:rsidRPr="006031A9">
        <w:rPr>
          <w:lang w:val="fr-FR"/>
        </w:rPr>
        <w:t>’</w:t>
      </w:r>
      <w:r w:rsidRPr="006031A9">
        <w:rPr>
          <w:lang w:val="fr-FR"/>
        </w:rPr>
        <w:t>y trouvaient pas. La juridiction d</w:t>
      </w:r>
      <w:r w:rsidR="006031A9" w:rsidRPr="006031A9">
        <w:rPr>
          <w:lang w:val="fr-FR"/>
        </w:rPr>
        <w:t>’</w:t>
      </w:r>
      <w:r w:rsidRPr="006031A9">
        <w:rPr>
          <w:lang w:val="fr-FR"/>
        </w:rPr>
        <w:t xml:space="preserve">instruction </w:t>
      </w:r>
      <w:r w:rsidRPr="006031A9">
        <w:rPr>
          <w:bCs/>
          <w:lang w:val="fr-FR"/>
        </w:rPr>
        <w:t>avait donc à sa disposition tous les éléments pour considérer, de manière indépendante et impartiale, que le</w:t>
      </w:r>
      <w:r w:rsidRPr="006031A9">
        <w:rPr>
          <w:lang w:val="fr-FR"/>
        </w:rPr>
        <w:t xml:space="preserve"> dossier répressif, parmi lesquels devaient figurer le procès-verbal de mise en œuvre et les éléments non-confidentiels de l</w:t>
      </w:r>
      <w:r w:rsidR="006031A9" w:rsidRPr="006031A9">
        <w:rPr>
          <w:lang w:val="fr-FR"/>
        </w:rPr>
        <w:t>’</w:t>
      </w:r>
      <w:r w:rsidRPr="006031A9">
        <w:rPr>
          <w:lang w:val="fr-FR"/>
        </w:rPr>
        <w:t>instruction proactive, correspondait aux éléments du dossier confidentiel</w:t>
      </w:r>
      <w:r w:rsidRPr="006031A9">
        <w:rPr>
          <w:bCs/>
          <w:lang w:val="fr-FR"/>
        </w:rPr>
        <w:t xml:space="preserve"> (voir, </w:t>
      </w:r>
      <w:r w:rsidRPr="006031A9">
        <w:rPr>
          <w:bCs/>
          <w:i/>
          <w:lang w:val="fr-FR"/>
        </w:rPr>
        <w:t>a contrario</w:t>
      </w:r>
      <w:r w:rsidRPr="006031A9">
        <w:rPr>
          <w:bCs/>
          <w:lang w:val="fr-FR"/>
        </w:rPr>
        <w:t xml:space="preserve">, </w:t>
      </w:r>
      <w:r w:rsidRPr="006031A9">
        <w:rPr>
          <w:i/>
          <w:lang w:val="fr-FR"/>
        </w:rPr>
        <w:t>Baltiņš c. Lettonie</w:t>
      </w:r>
      <w:r w:rsidRPr="006031A9">
        <w:rPr>
          <w:lang w:val="fr-FR"/>
        </w:rPr>
        <w:t>, n</w:t>
      </w:r>
      <w:r w:rsidRPr="006031A9">
        <w:rPr>
          <w:vertAlign w:val="superscript"/>
          <w:lang w:val="fr-FR"/>
        </w:rPr>
        <w:t>o</w:t>
      </w:r>
      <w:r w:rsidRPr="006031A9">
        <w:rPr>
          <w:lang w:val="fr-FR"/>
        </w:rPr>
        <w:t xml:space="preserve"> 25282/07, § 63, 8 janvier 2013).</w:t>
      </w:r>
    </w:p>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79</w:t>
      </w:r>
      <w:r w:rsidRPr="006031A9">
        <w:rPr>
          <w:lang w:val="fr-FR"/>
        </w:rPr>
        <w:fldChar w:fldCharType="end"/>
      </w:r>
      <w:r w:rsidRPr="006031A9">
        <w:rPr>
          <w:lang w:val="fr-FR"/>
        </w:rPr>
        <w:t>.  Eu égard à ce qui précède, la Cour estime que le contrôle par la chambre des mises en accusation, juridiction indépendante et impartiale,</w:t>
      </w:r>
      <w:r w:rsidR="0002655A" w:rsidRPr="006031A9">
        <w:rPr>
          <w:lang w:val="fr-FR"/>
        </w:rPr>
        <w:t xml:space="preserve"> </w:t>
      </w:r>
      <w:r w:rsidRPr="006031A9">
        <w:rPr>
          <w:lang w:val="fr-FR"/>
        </w:rPr>
        <w:t>sur l</w:t>
      </w:r>
      <w:r w:rsidR="006031A9" w:rsidRPr="006031A9">
        <w:rPr>
          <w:lang w:val="fr-FR"/>
        </w:rPr>
        <w:t>’</w:t>
      </w:r>
      <w:r w:rsidRPr="006031A9">
        <w:rPr>
          <w:lang w:val="fr-FR"/>
        </w:rPr>
        <w:t>état complet du dossier répressif, et donc indirectement sur la nécessité de tenir les données du dossier confidentiel à l</w:t>
      </w:r>
      <w:r w:rsidR="006031A9" w:rsidRPr="006031A9">
        <w:rPr>
          <w:lang w:val="fr-FR"/>
        </w:rPr>
        <w:t>’</w:t>
      </w:r>
      <w:r w:rsidRPr="006031A9">
        <w:rPr>
          <w:lang w:val="fr-FR"/>
        </w:rPr>
        <w:t xml:space="preserve">écart de la défense, constitue une garantie importante (voir, </w:t>
      </w:r>
      <w:r w:rsidRPr="006031A9">
        <w:rPr>
          <w:i/>
          <w:lang w:val="fr-FR"/>
        </w:rPr>
        <w:t>mutatis mutandis</w:t>
      </w:r>
      <w:r w:rsidRPr="006031A9">
        <w:rPr>
          <w:lang w:val="fr-FR"/>
        </w:rPr>
        <w:t xml:space="preserve">, </w:t>
      </w:r>
      <w:r w:rsidRPr="006031A9">
        <w:rPr>
          <w:i/>
          <w:lang w:val="fr-FR"/>
        </w:rPr>
        <w:t>Jasper</w:t>
      </w:r>
      <w:r w:rsidRPr="006031A9">
        <w:rPr>
          <w:lang w:val="fr-FR"/>
        </w:rPr>
        <w:t xml:space="preserve">, précité, § 56, et </w:t>
      </w:r>
      <w:r w:rsidRPr="006031A9">
        <w:rPr>
          <w:i/>
          <w:lang w:val="fr-FR"/>
        </w:rPr>
        <w:t>Fitt</w:t>
      </w:r>
      <w:r w:rsidRPr="006031A9">
        <w:rPr>
          <w:lang w:val="fr-FR"/>
        </w:rPr>
        <w:t>, précité, § 49).</w:t>
      </w:r>
    </w:p>
    <w:bookmarkStart w:id="39" w:name="PROVOC"/>
    <w:p w:rsidR="00C85586" w:rsidRPr="006031A9" w:rsidRDefault="00C85586" w:rsidP="006031A9">
      <w:pPr>
        <w:pStyle w:val="ECHRPara"/>
        <w:rPr>
          <w:rFonts w:cs="Times New Roman"/>
          <w:i/>
          <w:iCs/>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80</w:t>
      </w:r>
      <w:r w:rsidRPr="006031A9">
        <w:rPr>
          <w:lang w:val="fr-FR"/>
        </w:rPr>
        <w:fldChar w:fldCharType="end"/>
      </w:r>
      <w:bookmarkEnd w:id="39"/>
      <w:r w:rsidRPr="006031A9">
        <w:rPr>
          <w:lang w:val="fr-FR"/>
        </w:rPr>
        <w:t>.  En ce qui concerne ensuite et en particulier l</w:t>
      </w:r>
      <w:r w:rsidR="006031A9" w:rsidRPr="006031A9">
        <w:rPr>
          <w:lang w:val="fr-FR"/>
        </w:rPr>
        <w:t>’</w:t>
      </w:r>
      <w:r w:rsidRPr="006031A9">
        <w:rPr>
          <w:lang w:val="fr-FR"/>
        </w:rPr>
        <w:t>impossibilité alléguée par le requérant de vérifier s</w:t>
      </w:r>
      <w:r w:rsidR="006031A9" w:rsidRPr="006031A9">
        <w:rPr>
          <w:lang w:val="fr-FR"/>
        </w:rPr>
        <w:t>’</w:t>
      </w:r>
      <w:r w:rsidRPr="006031A9">
        <w:rPr>
          <w:lang w:val="fr-FR"/>
        </w:rPr>
        <w:t>il y a eu provocation de la part des agents infiltrés, la Cour rappelle que l</w:t>
      </w:r>
      <w:r w:rsidR="006031A9" w:rsidRPr="006031A9">
        <w:rPr>
          <w:lang w:val="fr-FR"/>
        </w:rPr>
        <w:t>’</w:t>
      </w:r>
      <w:r w:rsidRPr="006031A9">
        <w:rPr>
          <w:lang w:val="fr-FR"/>
        </w:rPr>
        <w:t>article 6 § 1 interdit la provocation policière et que l</w:t>
      </w:r>
      <w:r w:rsidR="006031A9" w:rsidRPr="006031A9">
        <w:rPr>
          <w:lang w:val="fr-FR"/>
        </w:rPr>
        <w:t>’</w:t>
      </w:r>
      <w:r w:rsidRPr="006031A9">
        <w:rPr>
          <w:lang w:val="fr-FR"/>
        </w:rPr>
        <w:t>intérêt public ne saurait justifier l</w:t>
      </w:r>
      <w:r w:rsidR="006031A9" w:rsidRPr="006031A9">
        <w:rPr>
          <w:lang w:val="fr-FR"/>
        </w:rPr>
        <w:t>’</w:t>
      </w:r>
      <w:r w:rsidRPr="006031A9">
        <w:rPr>
          <w:lang w:val="fr-FR"/>
        </w:rPr>
        <w:t>utilisation d</w:t>
      </w:r>
      <w:r w:rsidR="006031A9" w:rsidRPr="006031A9">
        <w:rPr>
          <w:lang w:val="fr-FR"/>
        </w:rPr>
        <w:t>’</w:t>
      </w:r>
      <w:r w:rsidRPr="006031A9">
        <w:rPr>
          <w:lang w:val="fr-FR"/>
        </w:rPr>
        <w:t>éléments recueillis à la suite d</w:t>
      </w:r>
      <w:r w:rsidR="006031A9" w:rsidRPr="006031A9">
        <w:rPr>
          <w:lang w:val="fr-FR"/>
        </w:rPr>
        <w:t>’</w:t>
      </w:r>
      <w:r w:rsidRPr="006031A9">
        <w:rPr>
          <w:lang w:val="fr-FR"/>
        </w:rPr>
        <w:t>une provocation policière. Les principes relatifs à cette question ont été résumés dans l</w:t>
      </w:r>
      <w:r w:rsidR="006031A9" w:rsidRPr="006031A9">
        <w:rPr>
          <w:lang w:val="fr-FR"/>
        </w:rPr>
        <w:t>’</w:t>
      </w:r>
      <w:r w:rsidRPr="006031A9">
        <w:rPr>
          <w:lang w:val="fr-FR"/>
        </w:rPr>
        <w:t xml:space="preserve">arrêt </w:t>
      </w:r>
      <w:r w:rsidRPr="006031A9">
        <w:rPr>
          <w:i/>
          <w:lang w:val="fr-FR"/>
        </w:rPr>
        <w:t>Ramanauskas</w:t>
      </w:r>
      <w:r w:rsidRPr="006031A9">
        <w:rPr>
          <w:lang w:val="fr-FR"/>
        </w:rPr>
        <w:t xml:space="preserve"> précité (§§ 49-61). Les critères que la Cour a énoncés, au fil de sa jurisprudence, pour distinguer entre une provocation portant atteinte à l</w:t>
      </w:r>
      <w:r w:rsidR="006031A9" w:rsidRPr="006031A9">
        <w:rPr>
          <w:lang w:val="fr-FR"/>
        </w:rPr>
        <w:t>’</w:t>
      </w:r>
      <w:r w:rsidRPr="006031A9">
        <w:rPr>
          <w:lang w:val="fr-FR"/>
        </w:rPr>
        <w:t>article 6 § 1 et une mise en œuvre légitime de techniques particulières d</w:t>
      </w:r>
      <w:r w:rsidR="006031A9" w:rsidRPr="006031A9">
        <w:rPr>
          <w:lang w:val="fr-FR"/>
        </w:rPr>
        <w:t>’</w:t>
      </w:r>
      <w:r w:rsidRPr="006031A9">
        <w:rPr>
          <w:lang w:val="fr-FR"/>
        </w:rPr>
        <w:t>investigation sont, quant à eux, résumés dans l</w:t>
      </w:r>
      <w:r w:rsidR="006031A9" w:rsidRPr="006031A9">
        <w:rPr>
          <w:lang w:val="fr-FR"/>
        </w:rPr>
        <w:t>’</w:t>
      </w:r>
      <w:r w:rsidRPr="006031A9">
        <w:rPr>
          <w:lang w:val="fr-FR"/>
        </w:rPr>
        <w:t xml:space="preserve">arrêt </w:t>
      </w:r>
      <w:r w:rsidRPr="006031A9">
        <w:rPr>
          <w:i/>
          <w:lang w:val="fr-FR"/>
        </w:rPr>
        <w:t>Bannikova c. Russie</w:t>
      </w:r>
      <w:r w:rsidRPr="006031A9">
        <w:rPr>
          <w:lang w:val="fr-FR"/>
        </w:rPr>
        <w:t xml:space="preserve"> (n</w:t>
      </w:r>
      <w:r w:rsidRPr="006031A9">
        <w:rPr>
          <w:vertAlign w:val="superscript"/>
          <w:lang w:val="fr-FR"/>
        </w:rPr>
        <w:t>o</w:t>
      </w:r>
      <w:r w:rsidRPr="006031A9">
        <w:rPr>
          <w:lang w:val="fr-FR"/>
        </w:rPr>
        <w:t xml:space="preserve"> 18757/06</w:t>
      </w:r>
      <w:r w:rsidRPr="006031A9">
        <w:rPr>
          <w:snapToGrid w:val="0"/>
          <w:szCs w:val="24"/>
          <w:lang w:val="fr-FR"/>
        </w:rPr>
        <w:t xml:space="preserve">, §§ 37-65, 4 </w:t>
      </w:r>
      <w:r w:rsidRPr="006031A9">
        <w:rPr>
          <w:szCs w:val="24"/>
          <w:lang w:val="fr-FR"/>
        </w:rPr>
        <w:t>novembre</w:t>
      </w:r>
      <w:r w:rsidRPr="006031A9">
        <w:rPr>
          <w:snapToGrid w:val="0"/>
          <w:szCs w:val="24"/>
          <w:lang w:val="fr-FR"/>
        </w:rPr>
        <w:t xml:space="preserve"> 2010).</w:t>
      </w:r>
    </w:p>
    <w:bookmarkStart w:id="40" w:name="PROVOC1"/>
    <w:p w:rsidR="00C85586" w:rsidRPr="006031A9" w:rsidRDefault="00C85586" w:rsidP="006031A9">
      <w:pPr>
        <w:pStyle w:val="ECHRPara"/>
        <w:rPr>
          <w:snapToGrid w:val="0"/>
          <w:szCs w:val="24"/>
          <w:lang w:val="fr-FR"/>
        </w:rPr>
      </w:pPr>
      <w:r w:rsidRPr="006031A9">
        <w:rPr>
          <w:snapToGrid w:val="0"/>
          <w:szCs w:val="24"/>
          <w:lang w:val="fr-FR"/>
        </w:rPr>
        <w:lastRenderedPageBreak/>
        <w:fldChar w:fldCharType="begin"/>
      </w:r>
      <w:r w:rsidRPr="006031A9">
        <w:rPr>
          <w:snapToGrid w:val="0"/>
          <w:szCs w:val="24"/>
          <w:lang w:val="fr-FR"/>
        </w:rPr>
        <w:instrText xml:space="preserve"> SEQ level0 \*arabic </w:instrText>
      </w:r>
      <w:r w:rsidRPr="006031A9">
        <w:rPr>
          <w:snapToGrid w:val="0"/>
          <w:szCs w:val="24"/>
          <w:lang w:val="fr-FR"/>
        </w:rPr>
        <w:fldChar w:fldCharType="separate"/>
      </w:r>
      <w:r w:rsidR="006031A9" w:rsidRPr="006031A9">
        <w:rPr>
          <w:noProof/>
          <w:snapToGrid w:val="0"/>
          <w:szCs w:val="24"/>
          <w:lang w:val="fr-FR"/>
        </w:rPr>
        <w:t>81</w:t>
      </w:r>
      <w:r w:rsidRPr="006031A9">
        <w:rPr>
          <w:snapToGrid w:val="0"/>
          <w:szCs w:val="24"/>
          <w:lang w:val="fr-FR"/>
        </w:rPr>
        <w:fldChar w:fldCharType="end"/>
      </w:r>
      <w:bookmarkEnd w:id="40"/>
      <w:r w:rsidRPr="006031A9">
        <w:rPr>
          <w:snapToGrid w:val="0"/>
          <w:szCs w:val="24"/>
          <w:lang w:val="fr-FR"/>
        </w:rPr>
        <w:t>.  La Cour estime qu</w:t>
      </w:r>
      <w:r w:rsidR="006031A9" w:rsidRPr="006031A9">
        <w:rPr>
          <w:snapToGrid w:val="0"/>
          <w:szCs w:val="24"/>
          <w:lang w:val="fr-FR"/>
        </w:rPr>
        <w:t>’</w:t>
      </w:r>
      <w:r w:rsidRPr="006031A9">
        <w:rPr>
          <w:snapToGrid w:val="0"/>
          <w:szCs w:val="24"/>
          <w:lang w:val="fr-FR"/>
        </w:rPr>
        <w:t>elle n</w:t>
      </w:r>
      <w:r w:rsidR="006031A9" w:rsidRPr="006031A9">
        <w:rPr>
          <w:snapToGrid w:val="0"/>
          <w:szCs w:val="24"/>
          <w:lang w:val="fr-FR"/>
        </w:rPr>
        <w:t>’</w:t>
      </w:r>
      <w:r w:rsidRPr="006031A9">
        <w:rPr>
          <w:snapToGrid w:val="0"/>
          <w:szCs w:val="24"/>
          <w:lang w:val="fr-FR"/>
        </w:rPr>
        <w:t>a pas besoin d</w:t>
      </w:r>
      <w:r w:rsidR="006031A9" w:rsidRPr="006031A9">
        <w:rPr>
          <w:snapToGrid w:val="0"/>
          <w:szCs w:val="24"/>
          <w:lang w:val="fr-FR"/>
        </w:rPr>
        <w:t>’</w:t>
      </w:r>
      <w:r w:rsidRPr="006031A9">
        <w:rPr>
          <w:snapToGrid w:val="0"/>
          <w:szCs w:val="24"/>
          <w:lang w:val="fr-FR"/>
        </w:rPr>
        <w:t>entrer en l</w:t>
      </w:r>
      <w:r w:rsidR="006031A9" w:rsidRPr="006031A9">
        <w:rPr>
          <w:snapToGrid w:val="0"/>
          <w:szCs w:val="24"/>
          <w:lang w:val="fr-FR"/>
        </w:rPr>
        <w:t>’</w:t>
      </w:r>
      <w:r w:rsidRPr="006031A9">
        <w:rPr>
          <w:snapToGrid w:val="0"/>
          <w:szCs w:val="24"/>
          <w:lang w:val="fr-FR"/>
        </w:rPr>
        <w:t>espèce dans l</w:t>
      </w:r>
      <w:r w:rsidR="006031A9" w:rsidRPr="006031A9">
        <w:rPr>
          <w:snapToGrid w:val="0"/>
          <w:szCs w:val="24"/>
          <w:lang w:val="fr-FR"/>
        </w:rPr>
        <w:t>’</w:t>
      </w:r>
      <w:r w:rsidRPr="006031A9">
        <w:rPr>
          <w:snapToGrid w:val="0"/>
          <w:szCs w:val="24"/>
          <w:lang w:val="fr-FR"/>
        </w:rPr>
        <w:t>analyse détaillée de ces critères. Force est en effet de constater que, devant les juridictions internes, le requérant a soulevé la provocation mais n</w:t>
      </w:r>
      <w:r w:rsidR="006031A9" w:rsidRPr="006031A9">
        <w:rPr>
          <w:snapToGrid w:val="0"/>
          <w:szCs w:val="24"/>
          <w:lang w:val="fr-FR"/>
        </w:rPr>
        <w:t>’</w:t>
      </w:r>
      <w:r w:rsidRPr="006031A9">
        <w:rPr>
          <w:snapToGrid w:val="0"/>
          <w:szCs w:val="24"/>
          <w:lang w:val="fr-FR"/>
        </w:rPr>
        <w:t>a aucunement étayé ses allégations au moyens d</w:t>
      </w:r>
      <w:r w:rsidR="006031A9" w:rsidRPr="006031A9">
        <w:rPr>
          <w:snapToGrid w:val="0"/>
          <w:szCs w:val="24"/>
          <w:lang w:val="fr-FR"/>
        </w:rPr>
        <w:t>’</w:t>
      </w:r>
      <w:r w:rsidRPr="006031A9">
        <w:rPr>
          <w:snapToGrid w:val="0"/>
          <w:szCs w:val="24"/>
          <w:lang w:val="fr-FR"/>
        </w:rPr>
        <w:t xml:space="preserve">indices factuels qui auraient permis aux juridictions </w:t>
      </w:r>
      <w:r w:rsidRPr="006031A9">
        <w:rPr>
          <w:lang w:val="fr-FR"/>
        </w:rPr>
        <w:t>de supposer qu</w:t>
      </w:r>
      <w:r w:rsidR="006031A9" w:rsidRPr="006031A9">
        <w:rPr>
          <w:lang w:val="fr-FR"/>
        </w:rPr>
        <w:t>’</w:t>
      </w:r>
      <w:r w:rsidRPr="006031A9">
        <w:rPr>
          <w:lang w:val="fr-FR"/>
        </w:rPr>
        <w:t>il avait été victime d</w:t>
      </w:r>
      <w:r w:rsidR="006031A9" w:rsidRPr="006031A9">
        <w:rPr>
          <w:lang w:val="fr-FR"/>
        </w:rPr>
        <w:t>’</w:t>
      </w:r>
      <w:r w:rsidRPr="006031A9">
        <w:rPr>
          <w:lang w:val="fr-FR"/>
        </w:rPr>
        <w:t>une provocation</w:t>
      </w:r>
      <w:r w:rsidRPr="006031A9">
        <w:rPr>
          <w:snapToGrid w:val="0"/>
          <w:szCs w:val="24"/>
          <w:lang w:val="fr-FR"/>
        </w:rPr>
        <w:t>. Dans ces circonstances, la Cour n</w:t>
      </w:r>
      <w:r w:rsidR="006031A9" w:rsidRPr="006031A9">
        <w:rPr>
          <w:snapToGrid w:val="0"/>
          <w:szCs w:val="24"/>
          <w:lang w:val="fr-FR"/>
        </w:rPr>
        <w:t>’</w:t>
      </w:r>
      <w:r w:rsidRPr="006031A9">
        <w:rPr>
          <w:snapToGrid w:val="0"/>
          <w:szCs w:val="24"/>
          <w:lang w:val="fr-FR"/>
        </w:rPr>
        <w:t xml:space="preserve">est pas convaincue que la situation sous examen relève de la catégorie des affaires de provocation (voir, </w:t>
      </w:r>
      <w:r w:rsidRPr="006031A9">
        <w:rPr>
          <w:i/>
          <w:snapToGrid w:val="0"/>
          <w:szCs w:val="24"/>
          <w:lang w:val="fr-FR"/>
        </w:rPr>
        <w:t>mutatis mutandis</w:t>
      </w:r>
      <w:r w:rsidRPr="006031A9">
        <w:rPr>
          <w:snapToGrid w:val="0"/>
          <w:szCs w:val="24"/>
          <w:lang w:val="fr-FR"/>
        </w:rPr>
        <w:t xml:space="preserve">, </w:t>
      </w:r>
      <w:r w:rsidRPr="006031A9">
        <w:rPr>
          <w:i/>
          <w:snapToGrid w:val="0"/>
          <w:szCs w:val="24"/>
          <w:lang w:val="fr-FR"/>
        </w:rPr>
        <w:t>Trifontsov c. Russie</w:t>
      </w:r>
      <w:r w:rsidRPr="006031A9">
        <w:rPr>
          <w:snapToGrid w:val="0"/>
          <w:szCs w:val="24"/>
          <w:lang w:val="fr-FR"/>
        </w:rPr>
        <w:t xml:space="preserve"> (déc .), n</w:t>
      </w:r>
      <w:r w:rsidR="0002655A" w:rsidRPr="006031A9">
        <w:rPr>
          <w:snapToGrid w:val="0"/>
          <w:szCs w:val="24"/>
          <w:vertAlign w:val="superscript"/>
          <w:lang w:val="fr-FR"/>
        </w:rPr>
        <w:t>o</w:t>
      </w:r>
      <w:r w:rsidR="001B036D" w:rsidRPr="006031A9">
        <w:rPr>
          <w:snapToGrid w:val="0"/>
          <w:szCs w:val="24"/>
          <w:lang w:val="fr-FR"/>
        </w:rPr>
        <w:t xml:space="preserve"> 12025/02, § 32, 9 </w:t>
      </w:r>
      <w:r w:rsidRPr="006031A9">
        <w:rPr>
          <w:snapToGrid w:val="0"/>
          <w:szCs w:val="24"/>
          <w:lang w:val="fr-FR"/>
        </w:rPr>
        <w:t xml:space="preserve">octobre 2012, et </w:t>
      </w:r>
      <w:r w:rsidRPr="006031A9">
        <w:rPr>
          <w:i/>
          <w:snapToGrid w:val="0"/>
          <w:szCs w:val="24"/>
          <w:lang w:val="fr-FR"/>
        </w:rPr>
        <w:t>Lyubchenko c. Ukraine</w:t>
      </w:r>
      <w:r w:rsidRPr="006031A9">
        <w:rPr>
          <w:snapToGrid w:val="0"/>
          <w:szCs w:val="24"/>
          <w:lang w:val="fr-FR"/>
        </w:rPr>
        <w:t xml:space="preserve"> (déc.), n</w:t>
      </w:r>
      <w:r w:rsidR="0002655A" w:rsidRPr="006031A9">
        <w:rPr>
          <w:snapToGrid w:val="0"/>
          <w:szCs w:val="24"/>
          <w:vertAlign w:val="superscript"/>
          <w:lang w:val="fr-FR"/>
        </w:rPr>
        <w:t>o</w:t>
      </w:r>
      <w:r w:rsidRPr="006031A9">
        <w:rPr>
          <w:snapToGrid w:val="0"/>
          <w:szCs w:val="24"/>
          <w:lang w:val="fr-FR"/>
        </w:rPr>
        <w:t xml:space="preserve"> 34640/05, § 33, 31 mai 2016). Du reste, le caractère sommaire du moyen de défense du requérant n</w:t>
      </w:r>
      <w:r w:rsidR="006031A9" w:rsidRPr="006031A9">
        <w:rPr>
          <w:snapToGrid w:val="0"/>
          <w:szCs w:val="24"/>
          <w:lang w:val="fr-FR"/>
        </w:rPr>
        <w:t>’</w:t>
      </w:r>
      <w:r w:rsidRPr="006031A9">
        <w:rPr>
          <w:snapToGrid w:val="0"/>
          <w:szCs w:val="24"/>
          <w:lang w:val="fr-FR"/>
        </w:rPr>
        <w:t>a pas empêché les juridictions d</w:t>
      </w:r>
      <w:r w:rsidR="006031A9" w:rsidRPr="006031A9">
        <w:rPr>
          <w:snapToGrid w:val="0"/>
          <w:szCs w:val="24"/>
          <w:lang w:val="fr-FR"/>
        </w:rPr>
        <w:t>’</w:t>
      </w:r>
      <w:r w:rsidRPr="006031A9">
        <w:rPr>
          <w:snapToGrid w:val="0"/>
          <w:szCs w:val="24"/>
          <w:lang w:val="fr-FR"/>
        </w:rPr>
        <w:t>exercer un contrôle et de procéder à un examen des faits de la cause sous l</w:t>
      </w:r>
      <w:r w:rsidR="006031A9" w:rsidRPr="006031A9">
        <w:rPr>
          <w:snapToGrid w:val="0"/>
          <w:szCs w:val="24"/>
          <w:lang w:val="fr-FR"/>
        </w:rPr>
        <w:t>’</w:t>
      </w:r>
      <w:r w:rsidRPr="006031A9">
        <w:rPr>
          <w:snapToGrid w:val="0"/>
          <w:szCs w:val="24"/>
          <w:lang w:val="fr-FR"/>
        </w:rPr>
        <w:t xml:space="preserve">angle de la provocation </w:t>
      </w:r>
      <w:r w:rsidRPr="006031A9">
        <w:rPr>
          <w:lang w:val="fr-FR"/>
        </w:rPr>
        <w:t>pour rejeter lesdites allégations sur base des éléments du dossier répressif (voir paragraphes</w:t>
      </w:r>
      <w:r w:rsidR="001B036D" w:rsidRPr="006031A9">
        <w:rPr>
          <w:lang w:val="fr-FR"/>
        </w:rPr>
        <w:t> </w:t>
      </w:r>
      <w:r w:rsidRPr="006031A9">
        <w:rPr>
          <w:lang w:val="fr-FR"/>
        </w:rPr>
        <w:fldChar w:fldCharType="begin"/>
      </w:r>
      <w:r w:rsidRPr="006031A9">
        <w:rPr>
          <w:lang w:val="fr-FR"/>
        </w:rPr>
        <w:instrText xml:space="preserve"> REF TPIPROVOC \h  \* MERGEFORMAT </w:instrText>
      </w:r>
      <w:r w:rsidRPr="006031A9">
        <w:rPr>
          <w:lang w:val="fr-FR"/>
        </w:rPr>
      </w:r>
      <w:r w:rsidRPr="006031A9">
        <w:rPr>
          <w:lang w:val="fr-FR"/>
        </w:rPr>
        <w:fldChar w:fldCharType="separate"/>
      </w:r>
      <w:r w:rsidR="006031A9" w:rsidRPr="006031A9">
        <w:rPr>
          <w:noProof/>
          <w:lang w:val="fr-FR"/>
        </w:rPr>
        <w:t>28</w:t>
      </w:r>
      <w:r w:rsidRPr="006031A9">
        <w:rPr>
          <w:lang w:val="fr-FR"/>
        </w:rPr>
        <w:fldChar w:fldCharType="end"/>
      </w:r>
      <w:r w:rsidRPr="006031A9">
        <w:rPr>
          <w:lang w:val="fr-FR"/>
        </w:rPr>
        <w:t xml:space="preserve">, </w:t>
      </w:r>
      <w:r w:rsidRPr="006031A9">
        <w:rPr>
          <w:lang w:val="fr-FR"/>
        </w:rPr>
        <w:fldChar w:fldCharType="begin"/>
      </w:r>
      <w:r w:rsidRPr="006031A9">
        <w:rPr>
          <w:lang w:val="fr-FR"/>
        </w:rPr>
        <w:instrText xml:space="preserve"> REF COURAPPEL \h  \* MERGEFORMAT </w:instrText>
      </w:r>
      <w:r w:rsidRPr="006031A9">
        <w:rPr>
          <w:lang w:val="fr-FR"/>
        </w:rPr>
      </w:r>
      <w:r w:rsidRPr="006031A9">
        <w:rPr>
          <w:lang w:val="fr-FR"/>
        </w:rPr>
        <w:fldChar w:fldCharType="separate"/>
      </w:r>
      <w:r w:rsidR="006031A9" w:rsidRPr="006031A9">
        <w:rPr>
          <w:noProof/>
          <w:lang w:val="fr-FR"/>
        </w:rPr>
        <w:t>29</w:t>
      </w:r>
      <w:r w:rsidRPr="006031A9">
        <w:rPr>
          <w:lang w:val="fr-FR"/>
        </w:rPr>
        <w:fldChar w:fldCharType="end"/>
      </w:r>
      <w:r w:rsidRPr="006031A9">
        <w:rPr>
          <w:lang w:val="fr-FR"/>
        </w:rPr>
        <w:t xml:space="preserve"> et </w:t>
      </w:r>
      <w:r w:rsidRPr="006031A9">
        <w:rPr>
          <w:lang w:val="fr-FR"/>
        </w:rPr>
        <w:fldChar w:fldCharType="begin"/>
      </w:r>
      <w:r w:rsidRPr="006031A9">
        <w:rPr>
          <w:lang w:val="fr-FR"/>
        </w:rPr>
        <w:instrText xml:space="preserve"> REF CASSPROVOC \h  \* MERGEFORMAT </w:instrText>
      </w:r>
      <w:r w:rsidRPr="006031A9">
        <w:rPr>
          <w:lang w:val="fr-FR"/>
        </w:rPr>
      </w:r>
      <w:r w:rsidRPr="006031A9">
        <w:rPr>
          <w:lang w:val="fr-FR"/>
        </w:rPr>
        <w:fldChar w:fldCharType="separate"/>
      </w:r>
      <w:r w:rsidR="006031A9" w:rsidRPr="006031A9">
        <w:rPr>
          <w:noProof/>
          <w:lang w:val="fr-FR"/>
        </w:rPr>
        <w:t>34</w:t>
      </w:r>
      <w:r w:rsidRPr="006031A9">
        <w:rPr>
          <w:lang w:val="fr-FR"/>
        </w:rPr>
        <w:fldChar w:fldCharType="end"/>
      </w:r>
      <w:r w:rsidRPr="006031A9">
        <w:rPr>
          <w:lang w:val="fr-FR"/>
        </w:rPr>
        <w:t>, ci-dessus).</w:t>
      </w:r>
    </w:p>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82</w:t>
      </w:r>
      <w:r w:rsidRPr="006031A9">
        <w:rPr>
          <w:lang w:val="fr-FR"/>
        </w:rPr>
        <w:fldChar w:fldCharType="end"/>
      </w:r>
      <w:r w:rsidRPr="006031A9">
        <w:rPr>
          <w:lang w:val="fr-FR"/>
        </w:rPr>
        <w:t>.  Enfin, et cela est au moins aussi important aux yeux de la Cour, la Cour de cassation a rappelé dans son arrêt du 20 mars 2012 dans l</w:t>
      </w:r>
      <w:r w:rsidR="006031A9" w:rsidRPr="006031A9">
        <w:rPr>
          <w:lang w:val="fr-FR"/>
        </w:rPr>
        <w:t>’</w:t>
      </w:r>
      <w:r w:rsidRPr="006031A9">
        <w:rPr>
          <w:lang w:val="fr-FR"/>
        </w:rPr>
        <w:t xml:space="preserve">affaire du requérant que les pièces du dossier confidentiel ne peuvent être utilisées à titre de preuve au détriment du prévenu (voir paragraphe </w:t>
      </w:r>
      <w:r w:rsidRPr="006031A9">
        <w:rPr>
          <w:lang w:val="fr-FR"/>
        </w:rPr>
        <w:fldChar w:fldCharType="begin"/>
      </w:r>
      <w:r w:rsidRPr="006031A9">
        <w:rPr>
          <w:lang w:val="fr-FR"/>
        </w:rPr>
        <w:instrText xml:space="preserve"> REF CCASS2012 \h  \* MERGEFORMAT </w:instrText>
      </w:r>
      <w:r w:rsidRPr="006031A9">
        <w:rPr>
          <w:lang w:val="fr-FR"/>
        </w:rPr>
      </w:r>
      <w:r w:rsidRPr="006031A9">
        <w:rPr>
          <w:lang w:val="fr-FR"/>
        </w:rPr>
        <w:fldChar w:fldCharType="separate"/>
      </w:r>
      <w:r w:rsidR="006031A9" w:rsidRPr="006031A9">
        <w:rPr>
          <w:noProof/>
          <w:lang w:val="fr-FR"/>
        </w:rPr>
        <w:t>32</w:t>
      </w:r>
      <w:r w:rsidRPr="006031A9">
        <w:rPr>
          <w:lang w:val="fr-FR"/>
        </w:rPr>
        <w:fldChar w:fldCharType="end"/>
      </w:r>
      <w:r w:rsidRPr="006031A9">
        <w:rPr>
          <w:lang w:val="fr-FR"/>
        </w:rPr>
        <w:t>, ci</w:t>
      </w:r>
      <w:r w:rsidR="001B036D" w:rsidRPr="006031A9">
        <w:rPr>
          <w:lang w:val="fr-FR"/>
        </w:rPr>
        <w:t>-</w:t>
      </w:r>
      <w:r w:rsidRPr="006031A9">
        <w:rPr>
          <w:lang w:val="fr-FR"/>
        </w:rPr>
        <w:t>dessus). De fait, en l</w:t>
      </w:r>
      <w:r w:rsidR="006031A9" w:rsidRPr="006031A9">
        <w:rPr>
          <w:lang w:val="fr-FR"/>
        </w:rPr>
        <w:t>’</w:t>
      </w:r>
      <w:r w:rsidRPr="006031A9">
        <w:rPr>
          <w:lang w:val="fr-FR"/>
        </w:rPr>
        <w:t xml:space="preserve">espèce, la chambre des mises en accusation a pu constater, sur base des procès-verbaux versés au dossier répressif, que le 17 septembre 2008 des indices suffisamment concrets des faits mis à charge du requérant étaient réunis pour lancer une recherche proactive ; ce sont alors ces indices qui avaient été traduits dans les conclusions écrites du ministère public, qui faisaient partie du dossier répressif (voir paragraphe </w:t>
      </w:r>
      <w:r w:rsidRPr="006031A9">
        <w:rPr>
          <w:lang w:val="fr-FR"/>
        </w:rPr>
        <w:fldChar w:fldCharType="begin"/>
      </w:r>
      <w:r w:rsidRPr="006031A9">
        <w:rPr>
          <w:lang w:val="fr-FR"/>
        </w:rPr>
        <w:instrText xml:space="preserve"> REF CHBMIS240110 \h  \* MERGEFORMAT </w:instrText>
      </w:r>
      <w:r w:rsidRPr="006031A9">
        <w:rPr>
          <w:lang w:val="fr-FR"/>
        </w:rPr>
      </w:r>
      <w:r w:rsidRPr="006031A9">
        <w:rPr>
          <w:lang w:val="fr-FR"/>
        </w:rPr>
        <w:fldChar w:fldCharType="separate"/>
      </w:r>
      <w:r w:rsidR="006031A9" w:rsidRPr="006031A9">
        <w:rPr>
          <w:noProof/>
          <w:lang w:val="fr-FR"/>
        </w:rPr>
        <w:t>19</w:t>
      </w:r>
      <w:r w:rsidRPr="006031A9">
        <w:rPr>
          <w:lang w:val="fr-FR"/>
        </w:rPr>
        <w:fldChar w:fldCharType="end"/>
      </w:r>
      <w:r w:rsidRPr="006031A9">
        <w:rPr>
          <w:lang w:val="fr-FR"/>
        </w:rPr>
        <w:t>, ci</w:t>
      </w:r>
      <w:r w:rsidR="001B036D" w:rsidRPr="006031A9">
        <w:rPr>
          <w:lang w:val="fr-FR"/>
        </w:rPr>
        <w:t>-</w:t>
      </w:r>
      <w:r w:rsidRPr="006031A9">
        <w:rPr>
          <w:lang w:val="fr-FR"/>
        </w:rPr>
        <w:t>dessus).</w:t>
      </w:r>
    </w:p>
    <w:bookmarkStart w:id="41" w:name="GRIEFEPUISE"/>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83</w:t>
      </w:r>
      <w:r w:rsidRPr="006031A9">
        <w:rPr>
          <w:lang w:val="fr-FR"/>
        </w:rPr>
        <w:fldChar w:fldCharType="end"/>
      </w:r>
      <w:bookmarkEnd w:id="41"/>
      <w:r w:rsidRPr="006031A9">
        <w:rPr>
          <w:lang w:val="fr-FR"/>
        </w:rPr>
        <w:t>.  Eu égard à ce qui précède, la Cour n</w:t>
      </w:r>
      <w:r w:rsidR="006031A9" w:rsidRPr="006031A9">
        <w:rPr>
          <w:lang w:val="fr-FR"/>
        </w:rPr>
        <w:t>’</w:t>
      </w:r>
      <w:r w:rsidRPr="006031A9">
        <w:rPr>
          <w:lang w:val="fr-FR"/>
        </w:rPr>
        <w:t>estime pas utile d</w:t>
      </w:r>
      <w:r w:rsidR="006031A9" w:rsidRPr="006031A9">
        <w:rPr>
          <w:lang w:val="fr-FR"/>
        </w:rPr>
        <w:t>’</w:t>
      </w:r>
      <w:r w:rsidRPr="006031A9">
        <w:rPr>
          <w:lang w:val="fr-FR"/>
        </w:rPr>
        <w:t>examiner plus avant le grief du requérant en ce qu</w:t>
      </w:r>
      <w:r w:rsidR="006031A9" w:rsidRPr="006031A9">
        <w:rPr>
          <w:lang w:val="fr-FR"/>
        </w:rPr>
        <w:t>’</w:t>
      </w:r>
      <w:r w:rsidRPr="006031A9">
        <w:rPr>
          <w:lang w:val="fr-FR"/>
        </w:rPr>
        <w:t>il se plaint qu</w:t>
      </w:r>
      <w:r w:rsidR="006031A9" w:rsidRPr="006031A9">
        <w:rPr>
          <w:lang w:val="fr-FR"/>
        </w:rPr>
        <w:t>’</w:t>
      </w:r>
      <w:r w:rsidRPr="006031A9">
        <w:rPr>
          <w:lang w:val="fr-FR"/>
        </w:rPr>
        <w:t>au cours de l</w:t>
      </w:r>
      <w:r w:rsidR="006031A9" w:rsidRPr="006031A9">
        <w:rPr>
          <w:lang w:val="fr-FR"/>
        </w:rPr>
        <w:t>’</w:t>
      </w:r>
      <w:r w:rsidRPr="006031A9">
        <w:rPr>
          <w:lang w:val="fr-FR"/>
        </w:rPr>
        <w:t>instruction sur le fond, ni lui-même ni les juridictions de jugement n</w:t>
      </w:r>
      <w:r w:rsidR="006031A9" w:rsidRPr="006031A9">
        <w:rPr>
          <w:lang w:val="fr-FR"/>
        </w:rPr>
        <w:t>’</w:t>
      </w:r>
      <w:r w:rsidRPr="006031A9">
        <w:rPr>
          <w:lang w:val="fr-FR"/>
        </w:rPr>
        <w:t>ont pu consulter le dossier confidentiel. Elle estime en effet, avec la Cour de cassation (voir paragraphe </w:t>
      </w:r>
      <w:r w:rsidRPr="006031A9">
        <w:rPr>
          <w:lang w:val="fr-FR"/>
        </w:rPr>
        <w:fldChar w:fldCharType="begin"/>
      </w:r>
      <w:r w:rsidRPr="006031A9">
        <w:rPr>
          <w:lang w:val="fr-FR"/>
        </w:rPr>
        <w:instrText xml:space="preserve"> REF CCASS2012 \h  \* MERGEFORMAT </w:instrText>
      </w:r>
      <w:r w:rsidRPr="006031A9">
        <w:rPr>
          <w:lang w:val="fr-FR"/>
        </w:rPr>
      </w:r>
      <w:r w:rsidRPr="006031A9">
        <w:rPr>
          <w:lang w:val="fr-FR"/>
        </w:rPr>
        <w:fldChar w:fldCharType="separate"/>
      </w:r>
      <w:r w:rsidR="006031A9" w:rsidRPr="006031A9">
        <w:rPr>
          <w:noProof/>
          <w:lang w:val="fr-FR"/>
        </w:rPr>
        <w:t>32</w:t>
      </w:r>
      <w:r w:rsidRPr="006031A9">
        <w:rPr>
          <w:lang w:val="fr-FR"/>
        </w:rPr>
        <w:fldChar w:fldCharType="end"/>
      </w:r>
      <w:r w:rsidRPr="006031A9">
        <w:rPr>
          <w:lang w:val="fr-FR"/>
        </w:rPr>
        <w:t xml:space="preserve">, ci-dessus), que la restriction </w:t>
      </w:r>
      <w:r w:rsidRPr="006031A9">
        <w:rPr>
          <w:i/>
          <w:lang w:val="fr-FR"/>
        </w:rPr>
        <w:t>ab initio</w:t>
      </w:r>
      <w:r w:rsidRPr="006031A9">
        <w:rPr>
          <w:lang w:val="fr-FR"/>
        </w:rPr>
        <w:t xml:space="preserve"> des droits de défense était justifiée et a été suffisamment compensée par la procédure de contrôle effectuée en amont par une juridiction indépendante et impartiale, à savoir la chambre des mises en accusation.</w:t>
      </w:r>
    </w:p>
    <w:bookmarkStart w:id="42" w:name="COURDOSCONF2"/>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84</w:t>
      </w:r>
      <w:r w:rsidRPr="006031A9">
        <w:rPr>
          <w:lang w:val="fr-FR"/>
        </w:rPr>
        <w:fldChar w:fldCharType="end"/>
      </w:r>
      <w:bookmarkEnd w:id="42"/>
      <w:r w:rsidRPr="006031A9">
        <w:rPr>
          <w:lang w:val="fr-FR"/>
        </w:rPr>
        <w:t>.  Partant, il n</w:t>
      </w:r>
      <w:r w:rsidR="006031A9" w:rsidRPr="006031A9">
        <w:rPr>
          <w:lang w:val="fr-FR"/>
        </w:rPr>
        <w:t>’</w:t>
      </w:r>
      <w:r w:rsidRPr="006031A9">
        <w:rPr>
          <w:lang w:val="fr-FR"/>
        </w:rPr>
        <w:t>y a pas eu violation de l</w:t>
      </w:r>
      <w:r w:rsidR="006031A9" w:rsidRPr="006031A9">
        <w:rPr>
          <w:lang w:val="fr-FR"/>
        </w:rPr>
        <w:t>’</w:t>
      </w:r>
      <w:r w:rsidRPr="006031A9">
        <w:rPr>
          <w:lang w:val="fr-FR"/>
        </w:rPr>
        <w:t>article 6 § 1 de la Convention.</w:t>
      </w:r>
    </w:p>
    <w:p w:rsidR="00C85586" w:rsidRPr="006031A9" w:rsidRDefault="00C85586" w:rsidP="006031A9">
      <w:pPr>
        <w:pStyle w:val="ECHRHeading2"/>
        <w:rPr>
          <w:b w:val="0"/>
          <w:lang w:val="fr-FR"/>
        </w:rPr>
      </w:pPr>
      <w:r w:rsidRPr="006031A9">
        <w:rPr>
          <w:lang w:val="fr-FR"/>
        </w:rPr>
        <w:t>B.</w:t>
      </w:r>
      <w:r w:rsidRPr="006031A9">
        <w:rPr>
          <w:b w:val="0"/>
          <w:lang w:val="fr-FR"/>
        </w:rPr>
        <w:t>  </w:t>
      </w:r>
      <w:r w:rsidRPr="006031A9">
        <w:rPr>
          <w:lang w:val="fr-FR"/>
        </w:rPr>
        <w:t>Sur l</w:t>
      </w:r>
      <w:r w:rsidR="006031A9" w:rsidRPr="006031A9">
        <w:rPr>
          <w:lang w:val="fr-FR"/>
        </w:rPr>
        <w:t>’</w:t>
      </w:r>
      <w:r w:rsidRPr="006031A9">
        <w:rPr>
          <w:lang w:val="fr-FR"/>
        </w:rPr>
        <w:t>impossibilité pour le requérant d</w:t>
      </w:r>
      <w:r w:rsidR="006031A9" w:rsidRPr="006031A9">
        <w:rPr>
          <w:lang w:val="fr-FR"/>
        </w:rPr>
        <w:t>’</w:t>
      </w:r>
      <w:r w:rsidRPr="006031A9">
        <w:rPr>
          <w:lang w:val="fr-FR"/>
        </w:rPr>
        <w:t>interroger ou de faire interroger les agents infiltrés</w:t>
      </w:r>
    </w:p>
    <w:p w:rsidR="00C85586" w:rsidRPr="006031A9" w:rsidRDefault="00C85586" w:rsidP="006031A9">
      <w:pPr>
        <w:pStyle w:val="ECHRHeading3"/>
        <w:rPr>
          <w:lang w:val="fr-FR"/>
        </w:rPr>
      </w:pPr>
      <w:r w:rsidRPr="006031A9">
        <w:rPr>
          <w:lang w:val="fr-FR"/>
        </w:rPr>
        <w:t>1.  Sur la recevabilité</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85</w:t>
      </w:r>
      <w:r w:rsidRPr="006031A9">
        <w:rPr>
          <w:noProof/>
          <w:lang w:val="fr-FR"/>
        </w:rPr>
        <w:fldChar w:fldCharType="end"/>
      </w:r>
      <w:r w:rsidRPr="006031A9">
        <w:rPr>
          <w:lang w:val="fr-FR"/>
        </w:rPr>
        <w:t>.  La Cour constate que cette partie de la requête n</w:t>
      </w:r>
      <w:r w:rsidR="006031A9" w:rsidRPr="006031A9">
        <w:rPr>
          <w:lang w:val="fr-FR"/>
        </w:rPr>
        <w:t>’</w:t>
      </w:r>
      <w:r w:rsidRPr="006031A9">
        <w:rPr>
          <w:lang w:val="fr-FR"/>
        </w:rPr>
        <w:t>est pas manifestement mal fondée au sens de l</w:t>
      </w:r>
      <w:r w:rsidR="006031A9" w:rsidRPr="006031A9">
        <w:rPr>
          <w:lang w:val="fr-FR"/>
        </w:rPr>
        <w:t>’</w:t>
      </w:r>
      <w:r w:rsidRPr="006031A9">
        <w:rPr>
          <w:lang w:val="fr-FR"/>
        </w:rPr>
        <w:t>article 35 § 3 a) de la Convention et qu</w:t>
      </w:r>
      <w:r w:rsidR="006031A9" w:rsidRPr="006031A9">
        <w:rPr>
          <w:lang w:val="fr-FR"/>
        </w:rPr>
        <w:t>’</w:t>
      </w:r>
      <w:r w:rsidRPr="006031A9">
        <w:rPr>
          <w:lang w:val="fr-FR"/>
        </w:rPr>
        <w:t>elle ne se heurte par ailleurs à aucun autre motif d</w:t>
      </w:r>
      <w:r w:rsidR="006031A9" w:rsidRPr="006031A9">
        <w:rPr>
          <w:lang w:val="fr-FR"/>
        </w:rPr>
        <w:t>’</w:t>
      </w:r>
      <w:r w:rsidRPr="006031A9">
        <w:rPr>
          <w:lang w:val="fr-FR"/>
        </w:rPr>
        <w:t>irrecevabilité. La Cour la déclare dès lors recevable.</w:t>
      </w:r>
    </w:p>
    <w:p w:rsidR="0002655A" w:rsidRPr="006031A9" w:rsidRDefault="00C85586" w:rsidP="006031A9">
      <w:pPr>
        <w:pStyle w:val="ECHRHeading3"/>
        <w:rPr>
          <w:lang w:val="fr-FR"/>
        </w:rPr>
      </w:pPr>
      <w:r w:rsidRPr="006031A9">
        <w:rPr>
          <w:lang w:val="fr-FR"/>
        </w:rPr>
        <w:lastRenderedPageBreak/>
        <w:t>2.  Sur le fond</w:t>
      </w:r>
    </w:p>
    <w:p w:rsidR="00C85586" w:rsidRPr="006031A9" w:rsidRDefault="00C85586" w:rsidP="006031A9">
      <w:pPr>
        <w:pStyle w:val="ECHRHeading4"/>
        <w:rPr>
          <w:lang w:val="fr-FR"/>
        </w:rPr>
      </w:pPr>
      <w:r w:rsidRPr="006031A9">
        <w:rPr>
          <w:lang w:val="fr-FR"/>
        </w:rPr>
        <w:t>a)  Thèses des parties</w:t>
      </w:r>
    </w:p>
    <w:p w:rsidR="0002655A" w:rsidRPr="006031A9" w:rsidRDefault="00C85586" w:rsidP="006031A9">
      <w:pPr>
        <w:pStyle w:val="ECHRPara"/>
        <w:rPr>
          <w:lang w:val="fr-FR"/>
        </w:rPr>
      </w:pPr>
      <w:r w:rsidRPr="006031A9">
        <w:rPr>
          <w:bCs/>
          <w:lang w:val="fr-FR"/>
        </w:rPr>
        <w:fldChar w:fldCharType="begin"/>
      </w:r>
      <w:r w:rsidRPr="006031A9">
        <w:rPr>
          <w:bCs/>
          <w:lang w:val="fr-FR"/>
        </w:rPr>
        <w:instrText xml:space="preserve"> SEQ level0 \*arabic </w:instrText>
      </w:r>
      <w:r w:rsidRPr="006031A9">
        <w:rPr>
          <w:bCs/>
          <w:lang w:val="fr-FR"/>
        </w:rPr>
        <w:fldChar w:fldCharType="separate"/>
      </w:r>
      <w:r w:rsidR="006031A9" w:rsidRPr="006031A9">
        <w:rPr>
          <w:bCs/>
          <w:noProof/>
          <w:lang w:val="fr-FR"/>
        </w:rPr>
        <w:t>86</w:t>
      </w:r>
      <w:r w:rsidRPr="006031A9">
        <w:rPr>
          <w:bCs/>
          <w:lang w:val="fr-FR"/>
        </w:rPr>
        <w:fldChar w:fldCharType="end"/>
      </w:r>
      <w:r w:rsidRPr="006031A9">
        <w:rPr>
          <w:bCs/>
          <w:lang w:val="fr-FR"/>
        </w:rPr>
        <w:t>.  L</w:t>
      </w:r>
      <w:r w:rsidRPr="006031A9">
        <w:rPr>
          <w:lang w:val="fr-FR"/>
        </w:rPr>
        <w:t>e requérant se plaint que les agents infiltrés n</w:t>
      </w:r>
      <w:r w:rsidR="006031A9" w:rsidRPr="006031A9">
        <w:rPr>
          <w:lang w:val="fr-FR"/>
        </w:rPr>
        <w:t>’</w:t>
      </w:r>
      <w:r w:rsidRPr="006031A9">
        <w:rPr>
          <w:lang w:val="fr-FR"/>
        </w:rPr>
        <w:t>ont jamais été entendus par les juridictions d</w:t>
      </w:r>
      <w:r w:rsidR="006031A9" w:rsidRPr="006031A9">
        <w:rPr>
          <w:lang w:val="fr-FR"/>
        </w:rPr>
        <w:t>’</w:t>
      </w:r>
      <w:r w:rsidRPr="006031A9">
        <w:rPr>
          <w:lang w:val="fr-FR"/>
        </w:rPr>
        <w:t>instruction ou de jugement et qu</w:t>
      </w:r>
      <w:r w:rsidR="006031A9" w:rsidRPr="006031A9">
        <w:rPr>
          <w:lang w:val="fr-FR"/>
        </w:rPr>
        <w:t>’</w:t>
      </w:r>
      <w:r w:rsidRPr="006031A9">
        <w:rPr>
          <w:lang w:val="fr-FR"/>
        </w:rPr>
        <w:t>aucune autre confrontation avec eux n</w:t>
      </w:r>
      <w:r w:rsidR="006031A9" w:rsidRPr="006031A9">
        <w:rPr>
          <w:lang w:val="fr-FR"/>
        </w:rPr>
        <w:t>’</w:t>
      </w:r>
      <w:r w:rsidRPr="006031A9">
        <w:rPr>
          <w:lang w:val="fr-FR"/>
        </w:rPr>
        <w:t>a eu lieu, le mettant dans l</w:t>
      </w:r>
      <w:r w:rsidR="006031A9" w:rsidRPr="006031A9">
        <w:rPr>
          <w:lang w:val="fr-FR"/>
        </w:rPr>
        <w:t>’</w:t>
      </w:r>
      <w:r w:rsidRPr="006031A9">
        <w:rPr>
          <w:lang w:val="fr-FR"/>
        </w:rPr>
        <w:t>impossibilité de vérifier la fiabilité des agents et s</w:t>
      </w:r>
      <w:r w:rsidR="006031A9" w:rsidRPr="006031A9">
        <w:rPr>
          <w:lang w:val="fr-FR"/>
        </w:rPr>
        <w:t>’</w:t>
      </w:r>
      <w:r w:rsidRPr="006031A9">
        <w:rPr>
          <w:lang w:val="fr-FR"/>
        </w:rPr>
        <w:t>il y avait eu, en réalité, provocation de leur part. Il présente ce grief comme une « circonstance aggravante » du premier grief en ce sens que ce refus est venu aggraver les difficultés que rencontrait déjà la défense du fait du non-accès au dossier confidentiel.</w:t>
      </w:r>
    </w:p>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87</w:t>
      </w:r>
      <w:r w:rsidRPr="006031A9">
        <w:rPr>
          <w:noProof/>
          <w:lang w:val="fr-FR"/>
        </w:rPr>
        <w:fldChar w:fldCharType="end"/>
      </w:r>
      <w:r w:rsidRPr="006031A9">
        <w:rPr>
          <w:lang w:val="fr-FR"/>
        </w:rPr>
        <w:t>.  Le Gouvernement fait valoir qu</w:t>
      </w:r>
      <w:r w:rsidR="006031A9" w:rsidRPr="006031A9">
        <w:rPr>
          <w:lang w:val="fr-FR"/>
        </w:rPr>
        <w:t>’</w:t>
      </w:r>
      <w:r w:rsidRPr="006031A9">
        <w:rPr>
          <w:lang w:val="fr-FR"/>
        </w:rPr>
        <w:t>une confrontation directe est exclue pour protéger l</w:t>
      </w:r>
      <w:r w:rsidR="006031A9" w:rsidRPr="006031A9">
        <w:rPr>
          <w:lang w:val="fr-FR"/>
        </w:rPr>
        <w:t>’</w:t>
      </w:r>
      <w:r w:rsidRPr="006031A9">
        <w:rPr>
          <w:lang w:val="fr-FR"/>
        </w:rPr>
        <w:t>identité et la sécurité des officiers de police judiciaire en charge de l</w:t>
      </w:r>
      <w:r w:rsidR="006031A9" w:rsidRPr="006031A9">
        <w:rPr>
          <w:lang w:val="fr-FR"/>
        </w:rPr>
        <w:t>’</w:t>
      </w:r>
      <w:r w:rsidRPr="006031A9">
        <w:rPr>
          <w:lang w:val="fr-FR"/>
        </w:rPr>
        <w:t>enquête. Cette impossibilité est compensée par le contrôle de régularité opéré par la chambre des mises en accusation. Celle-ci a pu, sur la base du dossier confidentiel, contrôler l</w:t>
      </w:r>
      <w:r w:rsidR="006031A9" w:rsidRPr="006031A9">
        <w:rPr>
          <w:lang w:val="fr-FR"/>
        </w:rPr>
        <w:t>’</w:t>
      </w:r>
      <w:r w:rsidRPr="006031A9">
        <w:rPr>
          <w:lang w:val="fr-FR"/>
        </w:rPr>
        <w:t>identité et la fiabilité des agents infiltrés et donc vérifier s</w:t>
      </w:r>
      <w:r w:rsidR="006031A9" w:rsidRPr="006031A9">
        <w:rPr>
          <w:lang w:val="fr-FR"/>
        </w:rPr>
        <w:t>’</w:t>
      </w:r>
      <w:r w:rsidRPr="006031A9">
        <w:rPr>
          <w:lang w:val="fr-FR"/>
        </w:rPr>
        <w:t>il était question ou non de provocation et, dans ce cas, statuer sur la régularité des preuves. Pendant toute la durée de la procédure devant la juridiction d</w:t>
      </w:r>
      <w:r w:rsidR="006031A9" w:rsidRPr="006031A9">
        <w:rPr>
          <w:lang w:val="fr-FR"/>
        </w:rPr>
        <w:t>’</w:t>
      </w:r>
      <w:r w:rsidRPr="006031A9">
        <w:rPr>
          <w:lang w:val="fr-FR"/>
        </w:rPr>
        <w:t>instruction, les inculpés ont eu la possibilité de consulter le dossier ouvert dans lequel doivent se trouver tous les éléments de preuve. À cela s</w:t>
      </w:r>
      <w:r w:rsidR="006031A9" w:rsidRPr="006031A9">
        <w:rPr>
          <w:lang w:val="fr-FR"/>
        </w:rPr>
        <w:t>’</w:t>
      </w:r>
      <w:r w:rsidRPr="006031A9">
        <w:rPr>
          <w:lang w:val="fr-FR"/>
        </w:rPr>
        <w:t>ajoute qu</w:t>
      </w:r>
      <w:r w:rsidR="006031A9" w:rsidRPr="006031A9">
        <w:rPr>
          <w:lang w:val="fr-FR"/>
        </w:rPr>
        <w:t>’</w:t>
      </w:r>
      <w:r w:rsidRPr="006031A9">
        <w:rPr>
          <w:lang w:val="fr-FR"/>
        </w:rPr>
        <w:t>en l</w:t>
      </w:r>
      <w:r w:rsidR="006031A9" w:rsidRPr="006031A9">
        <w:rPr>
          <w:lang w:val="fr-FR"/>
        </w:rPr>
        <w:t>’</w:t>
      </w:r>
      <w:r w:rsidRPr="006031A9">
        <w:rPr>
          <w:lang w:val="fr-FR"/>
        </w:rPr>
        <w:t>espèce, à tous les stades de la procédure, les juridictions internes ont recherché si les droits de la défense et l</w:t>
      </w:r>
      <w:r w:rsidR="006031A9" w:rsidRPr="006031A9">
        <w:rPr>
          <w:lang w:val="fr-FR"/>
        </w:rPr>
        <w:t>’</w:t>
      </w:r>
      <w:r w:rsidRPr="006031A9">
        <w:rPr>
          <w:lang w:val="fr-FR"/>
        </w:rPr>
        <w:t>équité de la procédure étaient respectés conformément aux exigences de l</w:t>
      </w:r>
      <w:r w:rsidR="006031A9" w:rsidRPr="006031A9">
        <w:rPr>
          <w:lang w:val="fr-FR"/>
        </w:rPr>
        <w:t>’</w:t>
      </w:r>
      <w:r w:rsidRPr="006031A9">
        <w:rPr>
          <w:lang w:val="fr-FR"/>
        </w:rPr>
        <w:t>article 6 de la Convention.</w:t>
      </w:r>
    </w:p>
    <w:p w:rsidR="00C85586" w:rsidRPr="006031A9" w:rsidRDefault="00C85586" w:rsidP="006031A9">
      <w:pPr>
        <w:pStyle w:val="ECHRHeading4"/>
        <w:rPr>
          <w:lang w:val="fr-FR"/>
        </w:rPr>
      </w:pPr>
      <w:r w:rsidRPr="006031A9">
        <w:rPr>
          <w:lang w:val="fr-FR"/>
        </w:rPr>
        <w:t>b)  Appréciation de la Cour</w:t>
      </w:r>
    </w:p>
    <w:p w:rsidR="00C85586" w:rsidRPr="006031A9" w:rsidRDefault="00C85586" w:rsidP="006031A9">
      <w:pPr>
        <w:pStyle w:val="ECHRHeading5"/>
        <w:rPr>
          <w:lang w:val="fr-FR"/>
        </w:rPr>
      </w:pPr>
      <w:r w:rsidRPr="006031A9">
        <w:rPr>
          <w:lang w:val="fr-FR"/>
        </w:rPr>
        <w:t>i.  Principes généraux pertinents</w:t>
      </w:r>
    </w:p>
    <w:p w:rsidR="00C85586" w:rsidRPr="006031A9" w:rsidRDefault="00C85586" w:rsidP="006031A9">
      <w:pPr>
        <w:pStyle w:val="ECHRPara"/>
        <w:rPr>
          <w:i/>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88</w:t>
      </w:r>
      <w:r w:rsidRPr="006031A9">
        <w:rPr>
          <w:lang w:val="fr-FR"/>
        </w:rPr>
        <w:fldChar w:fldCharType="end"/>
      </w:r>
      <w:r w:rsidRPr="006031A9">
        <w:rPr>
          <w:lang w:val="fr-FR"/>
        </w:rPr>
        <w:t>.  La Cour rappelle que les exigences du paragraphe 3 d) de l</w:t>
      </w:r>
      <w:r w:rsidR="006031A9" w:rsidRPr="006031A9">
        <w:rPr>
          <w:lang w:val="fr-FR"/>
        </w:rPr>
        <w:t>’</w:t>
      </w:r>
      <w:r w:rsidRPr="006031A9">
        <w:rPr>
          <w:lang w:val="fr-FR"/>
        </w:rPr>
        <w:t>article 6 représentent des aspects particuliers du droit à un procès équitable garanti par le paragraphe 1</w:t>
      </w:r>
      <w:r w:rsidRPr="006031A9">
        <w:rPr>
          <w:vertAlign w:val="superscript"/>
          <w:lang w:val="fr-FR"/>
        </w:rPr>
        <w:t>er</w:t>
      </w:r>
      <w:r w:rsidRPr="006031A9">
        <w:rPr>
          <w:lang w:val="fr-FR"/>
        </w:rPr>
        <w:t xml:space="preserve"> de cette disposition (</w:t>
      </w:r>
      <w:r w:rsidRPr="006031A9">
        <w:rPr>
          <w:i/>
          <w:lang w:val="fr-FR"/>
        </w:rPr>
        <w:t>Al-Khawaja et Tahery</w:t>
      </w:r>
      <w:r w:rsidRPr="006031A9">
        <w:rPr>
          <w:lang w:val="fr-FR"/>
        </w:rPr>
        <w:t>, précité, § 118). Elle examinera donc le grief du requérant sous l</w:t>
      </w:r>
      <w:r w:rsidR="006031A9" w:rsidRPr="006031A9">
        <w:rPr>
          <w:lang w:val="fr-FR"/>
        </w:rPr>
        <w:t>’</w:t>
      </w:r>
      <w:r w:rsidRPr="006031A9">
        <w:rPr>
          <w:lang w:val="fr-FR"/>
        </w:rPr>
        <w:t>angle de ces deux textes combinés (</w:t>
      </w:r>
      <w:r w:rsidRPr="006031A9">
        <w:rPr>
          <w:i/>
          <w:lang w:val="fr-FR"/>
        </w:rPr>
        <w:t>Schatschaschwili</w:t>
      </w:r>
      <w:r w:rsidRPr="006031A9">
        <w:rPr>
          <w:snapToGrid w:val="0"/>
          <w:lang w:val="fr-FR"/>
        </w:rPr>
        <w:t>, précité, § 100</w:t>
      </w:r>
      <w:r w:rsidRPr="006031A9">
        <w:rPr>
          <w:lang w:val="fr-FR"/>
        </w:rPr>
        <w:t>). De plus, lorsqu</w:t>
      </w:r>
      <w:r w:rsidR="006031A9" w:rsidRPr="006031A9">
        <w:rPr>
          <w:lang w:val="fr-FR"/>
        </w:rPr>
        <w:t>’</w:t>
      </w:r>
      <w:r w:rsidRPr="006031A9">
        <w:rPr>
          <w:lang w:val="fr-FR"/>
        </w:rPr>
        <w:t>elle examine un grief tiré de l</w:t>
      </w:r>
      <w:r w:rsidR="006031A9" w:rsidRPr="006031A9">
        <w:rPr>
          <w:lang w:val="fr-FR"/>
        </w:rPr>
        <w:t>’</w:t>
      </w:r>
      <w:r w:rsidRPr="006031A9">
        <w:rPr>
          <w:lang w:val="fr-FR"/>
        </w:rPr>
        <w:t xml:space="preserve">article 6 § 1, la Cour doit essentiellement déterminer si la procédure pénale a revêtu, dans son ensemble, un caractère équitable (voir </w:t>
      </w:r>
      <w:r w:rsidRPr="006031A9">
        <w:rPr>
          <w:rFonts w:ascii="Times New Roman" w:eastAsiaTheme="minorHAnsi" w:hAnsi="Times New Roman" w:cs="Times New Roman"/>
          <w:szCs w:val="24"/>
          <w:lang w:val="fr-FR"/>
        </w:rPr>
        <w:t xml:space="preserve">paragraphe </w:t>
      </w:r>
      <w:r w:rsidRPr="006031A9">
        <w:rPr>
          <w:rFonts w:ascii="Times New Roman" w:eastAsiaTheme="minorHAnsi" w:hAnsi="Times New Roman" w:cs="Times New Roman"/>
          <w:szCs w:val="24"/>
          <w:lang w:val="fr-FR"/>
        </w:rPr>
        <w:fldChar w:fldCharType="begin"/>
      </w:r>
      <w:r w:rsidRPr="006031A9">
        <w:rPr>
          <w:rFonts w:ascii="Times New Roman" w:eastAsiaTheme="minorHAnsi" w:hAnsi="Times New Roman" w:cs="Times New Roman"/>
          <w:szCs w:val="24"/>
          <w:lang w:val="fr-FR"/>
        </w:rPr>
        <w:instrText xml:space="preserve"> REF JPIBRAHIM \h  \* MERGEFORMAT </w:instrText>
      </w:r>
      <w:r w:rsidRPr="006031A9">
        <w:rPr>
          <w:rFonts w:ascii="Times New Roman" w:eastAsiaTheme="minorHAnsi" w:hAnsi="Times New Roman" w:cs="Times New Roman"/>
          <w:szCs w:val="24"/>
          <w:lang w:val="fr-FR"/>
        </w:rPr>
      </w:r>
      <w:r w:rsidRPr="006031A9">
        <w:rPr>
          <w:rFonts w:ascii="Times New Roman" w:eastAsiaTheme="minorHAnsi" w:hAnsi="Times New Roman" w:cs="Times New Roman"/>
          <w:szCs w:val="24"/>
          <w:lang w:val="fr-FR"/>
        </w:rPr>
        <w:fldChar w:fldCharType="separate"/>
      </w:r>
      <w:r w:rsidR="006031A9" w:rsidRPr="006031A9">
        <w:rPr>
          <w:rFonts w:cs="Times New Roman"/>
          <w:noProof/>
          <w:lang w:val="fr-FR"/>
        </w:rPr>
        <w:t>62</w:t>
      </w:r>
      <w:r w:rsidRPr="006031A9">
        <w:rPr>
          <w:rFonts w:ascii="Times New Roman" w:eastAsiaTheme="minorHAnsi" w:hAnsi="Times New Roman" w:cs="Times New Roman"/>
          <w:szCs w:val="24"/>
          <w:lang w:val="fr-FR"/>
        </w:rPr>
        <w:fldChar w:fldCharType="end"/>
      </w:r>
      <w:r w:rsidRPr="006031A9">
        <w:rPr>
          <w:rFonts w:ascii="Times New Roman" w:eastAsiaTheme="minorHAnsi" w:hAnsi="Times New Roman" w:cs="Times New Roman"/>
          <w:szCs w:val="24"/>
          <w:lang w:val="fr-FR"/>
        </w:rPr>
        <w:t>, ci-dessus</w:t>
      </w:r>
      <w:r w:rsidRPr="006031A9">
        <w:rPr>
          <w:lang w:val="fr-FR"/>
        </w:rPr>
        <w:t>). Pour ce faire, elle envisage la procédure dans son ensemble et vérifie le respect non seulement des droits de la défense, mais aussi de l</w:t>
      </w:r>
      <w:r w:rsidR="006031A9" w:rsidRPr="006031A9">
        <w:rPr>
          <w:lang w:val="fr-FR"/>
        </w:rPr>
        <w:t>’</w:t>
      </w:r>
      <w:r w:rsidRPr="006031A9">
        <w:rPr>
          <w:lang w:val="fr-FR"/>
        </w:rPr>
        <w:t>intérêt du public et des victimes à ce que les auteurs de l</w:t>
      </w:r>
      <w:r w:rsidR="006031A9" w:rsidRPr="006031A9">
        <w:rPr>
          <w:lang w:val="fr-FR"/>
        </w:rPr>
        <w:t>’</w:t>
      </w:r>
      <w:r w:rsidRPr="006031A9">
        <w:rPr>
          <w:lang w:val="fr-FR"/>
        </w:rPr>
        <w:t>infraction soient dûment poursuivis et, si nécessaire, des droits des témoins</w:t>
      </w:r>
      <w:r w:rsidRPr="006031A9">
        <w:rPr>
          <w:i/>
          <w:lang w:val="fr-FR"/>
        </w:rPr>
        <w:t xml:space="preserve"> </w:t>
      </w:r>
      <w:r w:rsidRPr="006031A9">
        <w:rPr>
          <w:lang w:val="fr-FR"/>
        </w:rPr>
        <w:t>(</w:t>
      </w:r>
      <w:r w:rsidRPr="006031A9">
        <w:rPr>
          <w:i/>
          <w:lang w:val="fr-FR"/>
        </w:rPr>
        <w:t>ibidem</w:t>
      </w:r>
      <w:r w:rsidRPr="006031A9">
        <w:rPr>
          <w:lang w:val="fr-FR"/>
        </w:rPr>
        <w:t xml:space="preserve">). La Cour rappelle également dans ce contexte que la recevabilité des preuves relève des règles du droit interne et des juridictions nationales et que sa seule tâche consiste à déterminer si la procédure a été équitable (voir paragraphes </w:t>
      </w:r>
      <w:r w:rsidRPr="006031A9">
        <w:rPr>
          <w:lang w:val="fr-FR"/>
        </w:rPr>
        <w:fldChar w:fldCharType="begin"/>
      </w:r>
      <w:r w:rsidRPr="006031A9">
        <w:rPr>
          <w:lang w:val="fr-FR"/>
        </w:rPr>
        <w:instrText xml:space="preserve"> REF JPPREUVE \h  \* MERGEFORMAT </w:instrText>
      </w:r>
      <w:r w:rsidRPr="006031A9">
        <w:rPr>
          <w:lang w:val="fr-FR"/>
        </w:rPr>
      </w:r>
      <w:r w:rsidRPr="006031A9">
        <w:rPr>
          <w:lang w:val="fr-FR"/>
        </w:rPr>
        <w:fldChar w:fldCharType="separate"/>
      </w:r>
      <w:r w:rsidR="006031A9" w:rsidRPr="006031A9">
        <w:rPr>
          <w:noProof/>
          <w:lang w:val="fr-FR"/>
        </w:rPr>
        <w:t>65</w:t>
      </w:r>
      <w:r w:rsidRPr="006031A9">
        <w:rPr>
          <w:lang w:val="fr-FR"/>
        </w:rPr>
        <w:fldChar w:fldCharType="end"/>
      </w:r>
      <w:r w:rsidRPr="006031A9">
        <w:rPr>
          <w:lang w:val="fr-FR"/>
        </w:rPr>
        <w:t>-</w:t>
      </w:r>
      <w:r w:rsidRPr="006031A9">
        <w:rPr>
          <w:lang w:val="fr-FR"/>
        </w:rPr>
        <w:fldChar w:fldCharType="begin"/>
      </w:r>
      <w:r w:rsidRPr="006031A9">
        <w:rPr>
          <w:lang w:val="fr-FR"/>
        </w:rPr>
        <w:instrText xml:space="preserve"> REF JPHOLISTIC \h  \* MERGEFORMAT </w:instrText>
      </w:r>
      <w:r w:rsidRPr="006031A9">
        <w:rPr>
          <w:lang w:val="fr-FR"/>
        </w:rPr>
      </w:r>
      <w:r w:rsidRPr="006031A9">
        <w:rPr>
          <w:lang w:val="fr-FR"/>
        </w:rPr>
        <w:fldChar w:fldCharType="separate"/>
      </w:r>
      <w:r w:rsidR="006031A9" w:rsidRPr="006031A9">
        <w:rPr>
          <w:noProof/>
          <w:lang w:val="fr-FR"/>
        </w:rPr>
        <w:t>66</w:t>
      </w:r>
      <w:r w:rsidRPr="006031A9">
        <w:rPr>
          <w:lang w:val="fr-FR"/>
        </w:rPr>
        <w:fldChar w:fldCharType="end"/>
      </w:r>
      <w:r w:rsidRPr="006031A9">
        <w:rPr>
          <w:lang w:val="fr-FR"/>
        </w:rPr>
        <w:t>, ci-dessus).</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89</w:t>
      </w:r>
      <w:r w:rsidRPr="006031A9">
        <w:rPr>
          <w:lang w:val="fr-FR"/>
        </w:rPr>
        <w:fldChar w:fldCharType="end"/>
      </w:r>
      <w:r w:rsidRPr="006031A9">
        <w:rPr>
          <w:lang w:val="fr-FR"/>
        </w:rPr>
        <w:t>.  Elle rappelle en outre que l</w:t>
      </w:r>
      <w:r w:rsidR="006031A9" w:rsidRPr="006031A9">
        <w:rPr>
          <w:lang w:val="fr-FR"/>
        </w:rPr>
        <w:t>’</w:t>
      </w:r>
      <w:r w:rsidRPr="006031A9">
        <w:rPr>
          <w:lang w:val="fr-FR"/>
        </w:rPr>
        <w:t>article 6 § 3 d) consacre le principe selon lequel, avant qu</w:t>
      </w:r>
      <w:r w:rsidR="006031A9" w:rsidRPr="006031A9">
        <w:rPr>
          <w:lang w:val="fr-FR"/>
        </w:rPr>
        <w:t>’</w:t>
      </w:r>
      <w:r w:rsidRPr="006031A9">
        <w:rPr>
          <w:lang w:val="fr-FR"/>
        </w:rPr>
        <w:t xml:space="preserve">un accusé puisse être déclaré coupable, tous les éléments à </w:t>
      </w:r>
      <w:r w:rsidRPr="006031A9">
        <w:rPr>
          <w:lang w:val="fr-FR"/>
        </w:rPr>
        <w:lastRenderedPageBreak/>
        <w:t>charge doivent en principe avoir été produits devant lui en audience publique, en vue d</w:t>
      </w:r>
      <w:r w:rsidR="006031A9" w:rsidRPr="006031A9">
        <w:rPr>
          <w:lang w:val="fr-FR"/>
        </w:rPr>
        <w:t>’</w:t>
      </w:r>
      <w:r w:rsidRPr="006031A9">
        <w:rPr>
          <w:lang w:val="fr-FR"/>
        </w:rPr>
        <w:t>un débat contradictoire. Ce principe ne va pas sans exceptions, mais on ne peut les accepter que sous réserve des droits de la défense ; en règle générale, ceux</w:t>
      </w:r>
      <w:r w:rsidRPr="006031A9">
        <w:rPr>
          <w:lang w:val="fr-FR"/>
        </w:rPr>
        <w:noBreakHyphen/>
        <w:t>ci commandent de donner à l</w:t>
      </w:r>
      <w:r w:rsidR="006031A9" w:rsidRPr="006031A9">
        <w:rPr>
          <w:lang w:val="fr-FR"/>
        </w:rPr>
        <w:t>’</w:t>
      </w:r>
      <w:r w:rsidRPr="006031A9">
        <w:rPr>
          <w:lang w:val="fr-FR"/>
        </w:rPr>
        <w:t>accusé une possibilité adéquate et suffisante de contester les témoignages à charge et d</w:t>
      </w:r>
      <w:r w:rsidR="006031A9" w:rsidRPr="006031A9">
        <w:rPr>
          <w:lang w:val="fr-FR"/>
        </w:rPr>
        <w:t>’</w:t>
      </w:r>
      <w:r w:rsidRPr="006031A9">
        <w:rPr>
          <w:lang w:val="fr-FR"/>
        </w:rPr>
        <w:t>en interroger les auteurs, soit au moment de leur déposition, soit à un stade ultérieur (</w:t>
      </w:r>
      <w:r w:rsidRPr="006031A9">
        <w:rPr>
          <w:i/>
          <w:lang w:val="fr-FR"/>
        </w:rPr>
        <w:t>Al-Khawaja et Tahery</w:t>
      </w:r>
      <w:r w:rsidRPr="006031A9">
        <w:rPr>
          <w:lang w:val="fr-FR"/>
        </w:rPr>
        <w:t xml:space="preserve">, précité, § 118, et les références citées, et </w:t>
      </w:r>
      <w:r w:rsidRPr="006031A9">
        <w:rPr>
          <w:i/>
          <w:lang w:val="fr-FR"/>
        </w:rPr>
        <w:t>Schatschaschwili</w:t>
      </w:r>
      <w:r w:rsidRPr="006031A9">
        <w:rPr>
          <w:lang w:val="fr-FR"/>
        </w:rPr>
        <w:t>, précité, §§ 103-105).</w:t>
      </w:r>
    </w:p>
    <w:bookmarkStart w:id="43" w:name="PREETAP"/>
    <w:p w:rsidR="00C85586" w:rsidRPr="006031A9" w:rsidRDefault="00C85586" w:rsidP="006031A9">
      <w:pPr>
        <w:pStyle w:val="ECHRPara"/>
        <w:rPr>
          <w:rFonts w:cs="Times New Roman"/>
          <w:i/>
          <w:iCs/>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90</w:t>
      </w:r>
      <w:r w:rsidRPr="006031A9">
        <w:rPr>
          <w:lang w:val="fr-FR"/>
        </w:rPr>
        <w:fldChar w:fldCharType="end"/>
      </w:r>
      <w:bookmarkEnd w:id="43"/>
      <w:r w:rsidR="001B036D" w:rsidRPr="006031A9">
        <w:rPr>
          <w:lang w:val="fr-FR"/>
        </w:rPr>
        <w:t>.  </w:t>
      </w:r>
      <w:r w:rsidRPr="006031A9">
        <w:rPr>
          <w:lang w:val="fr-FR"/>
        </w:rPr>
        <w:t>Toutefois, l</w:t>
      </w:r>
      <w:r w:rsidR="006031A9" w:rsidRPr="006031A9">
        <w:rPr>
          <w:lang w:val="fr-FR"/>
        </w:rPr>
        <w:t>’</w:t>
      </w:r>
      <w:r w:rsidRPr="006031A9">
        <w:rPr>
          <w:lang w:val="fr-FR"/>
        </w:rPr>
        <w:t>article 6 § 3 d) ne reconnaît pas à l</w:t>
      </w:r>
      <w:r w:rsidR="006031A9" w:rsidRPr="006031A9">
        <w:rPr>
          <w:lang w:val="fr-FR"/>
        </w:rPr>
        <w:t>’</w:t>
      </w:r>
      <w:r w:rsidRPr="006031A9">
        <w:rPr>
          <w:lang w:val="fr-FR"/>
        </w:rPr>
        <w:t>accusé un droit absolu d</w:t>
      </w:r>
      <w:r w:rsidR="006031A9" w:rsidRPr="006031A9">
        <w:rPr>
          <w:lang w:val="fr-FR"/>
        </w:rPr>
        <w:t>’</w:t>
      </w:r>
      <w:r w:rsidRPr="006031A9">
        <w:rPr>
          <w:lang w:val="fr-FR"/>
        </w:rPr>
        <w:t>obtenir la comparution de témoins devant un tribunal. Il incombe en principe au juge national de décider de la nécessité ou de l</w:t>
      </w:r>
      <w:r w:rsidR="006031A9" w:rsidRPr="006031A9">
        <w:rPr>
          <w:lang w:val="fr-FR"/>
        </w:rPr>
        <w:t>’</w:t>
      </w:r>
      <w:r w:rsidRPr="006031A9">
        <w:rPr>
          <w:lang w:val="fr-FR"/>
        </w:rPr>
        <w:t>opportunité de citer un témoin (voir, parmi d</w:t>
      </w:r>
      <w:r w:rsidR="006031A9" w:rsidRPr="006031A9">
        <w:rPr>
          <w:lang w:val="fr-FR"/>
        </w:rPr>
        <w:t>’</w:t>
      </w:r>
      <w:r w:rsidRPr="006031A9">
        <w:rPr>
          <w:lang w:val="fr-FR"/>
        </w:rPr>
        <w:t xml:space="preserve">autres, </w:t>
      </w:r>
      <w:r w:rsidRPr="006031A9">
        <w:rPr>
          <w:i/>
          <w:lang w:val="fr-FR"/>
        </w:rPr>
        <w:t>Bricmont c. Belgique</w:t>
      </w:r>
      <w:r w:rsidRPr="006031A9">
        <w:rPr>
          <w:lang w:val="fr-FR"/>
        </w:rPr>
        <w:t>, 7 juillet 1989, § 89, série A n</w:t>
      </w:r>
      <w:r w:rsidRPr="006031A9">
        <w:rPr>
          <w:vertAlign w:val="superscript"/>
          <w:lang w:val="fr-FR"/>
        </w:rPr>
        <w:t>o</w:t>
      </w:r>
      <w:r w:rsidRPr="006031A9">
        <w:rPr>
          <w:lang w:val="fr-FR"/>
        </w:rPr>
        <w:t xml:space="preserve"> 158, </w:t>
      </w:r>
      <w:r w:rsidRPr="006031A9">
        <w:rPr>
          <w:i/>
          <w:lang w:val="fr-FR"/>
        </w:rPr>
        <w:t>S.N. c. Suède</w:t>
      </w:r>
      <w:r w:rsidRPr="006031A9">
        <w:rPr>
          <w:lang w:val="fr-FR"/>
        </w:rPr>
        <w:t>, n</w:t>
      </w:r>
      <w:r w:rsidRPr="006031A9">
        <w:rPr>
          <w:vertAlign w:val="superscript"/>
          <w:lang w:val="fr-FR"/>
        </w:rPr>
        <w:t>o</w:t>
      </w:r>
      <w:r w:rsidRPr="006031A9">
        <w:rPr>
          <w:lang w:val="fr-FR"/>
        </w:rPr>
        <w:t xml:space="preserve"> 34209/96, § 44, CEDH 2002</w:t>
      </w:r>
      <w:r w:rsidRPr="006031A9">
        <w:rPr>
          <w:lang w:val="fr-FR"/>
        </w:rPr>
        <w:noBreakHyphen/>
        <w:t xml:space="preserve">V, et </w:t>
      </w:r>
      <w:r w:rsidRPr="006031A9">
        <w:rPr>
          <w:i/>
          <w:lang w:val="fr-FR"/>
        </w:rPr>
        <w:t>Przydział c. Pologne</w:t>
      </w:r>
      <w:r w:rsidRPr="006031A9">
        <w:rPr>
          <w:lang w:val="fr-FR"/>
        </w:rPr>
        <w:t>, n</w:t>
      </w:r>
      <w:r w:rsidRPr="006031A9">
        <w:rPr>
          <w:vertAlign w:val="superscript"/>
          <w:lang w:val="fr-FR"/>
        </w:rPr>
        <w:t>o</w:t>
      </w:r>
      <w:r w:rsidRPr="006031A9">
        <w:rPr>
          <w:lang w:val="fr-FR"/>
        </w:rPr>
        <w:t xml:space="preserve"> 15487/08, § 46, 24 mai 2016).</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91</w:t>
      </w:r>
      <w:r w:rsidRPr="006031A9">
        <w:rPr>
          <w:lang w:val="fr-FR"/>
        </w:rPr>
        <w:fldChar w:fldCharType="end"/>
      </w:r>
      <w:r w:rsidRPr="006031A9">
        <w:rPr>
          <w:lang w:val="fr-FR"/>
        </w:rPr>
        <w:t xml:space="preserve">.  En outre, dans son arrêt </w:t>
      </w:r>
      <w:r w:rsidRPr="006031A9">
        <w:rPr>
          <w:i/>
          <w:lang w:val="fr-FR"/>
        </w:rPr>
        <w:t>Al-Khawaja et Tahery</w:t>
      </w:r>
      <w:r w:rsidRPr="006031A9">
        <w:rPr>
          <w:lang w:val="fr-FR"/>
        </w:rPr>
        <w:t>, la Cour a conclu que l</w:t>
      </w:r>
      <w:r w:rsidR="006031A9" w:rsidRPr="006031A9">
        <w:rPr>
          <w:lang w:val="fr-FR"/>
        </w:rPr>
        <w:t>’</w:t>
      </w:r>
      <w:r w:rsidRPr="006031A9">
        <w:rPr>
          <w:lang w:val="fr-FR"/>
        </w:rPr>
        <w:t>admission à titre de preuve de la déposition faite avant le procès par un témoin absent de celui-ci et constituant l</w:t>
      </w:r>
      <w:r w:rsidR="006031A9" w:rsidRPr="006031A9">
        <w:rPr>
          <w:lang w:val="fr-FR"/>
        </w:rPr>
        <w:t>’</w:t>
      </w:r>
      <w:r w:rsidRPr="006031A9">
        <w:rPr>
          <w:lang w:val="fr-FR"/>
        </w:rPr>
        <w:t>élément à charge unique ou déterminant n</w:t>
      </w:r>
      <w:r w:rsidR="006031A9" w:rsidRPr="006031A9">
        <w:rPr>
          <w:lang w:val="fr-FR"/>
        </w:rPr>
        <w:t>’</w:t>
      </w:r>
      <w:r w:rsidRPr="006031A9">
        <w:rPr>
          <w:lang w:val="fr-FR"/>
        </w:rPr>
        <w:t>emportait pas automatiquement violation de l</w:t>
      </w:r>
      <w:r w:rsidR="006031A9" w:rsidRPr="006031A9">
        <w:rPr>
          <w:lang w:val="fr-FR"/>
        </w:rPr>
        <w:t>’</w:t>
      </w:r>
      <w:r w:rsidRPr="006031A9">
        <w:rPr>
          <w:lang w:val="fr-FR"/>
        </w:rPr>
        <w:t>article 6 § 1. La Cour a précisé que, eu égard aux risques inhérents aux dépositions de témoins absents, l</w:t>
      </w:r>
      <w:r w:rsidR="006031A9" w:rsidRPr="006031A9">
        <w:rPr>
          <w:lang w:val="fr-FR"/>
        </w:rPr>
        <w:t>’</w:t>
      </w:r>
      <w:r w:rsidRPr="006031A9">
        <w:rPr>
          <w:lang w:val="fr-FR"/>
        </w:rPr>
        <w:t>admission d</w:t>
      </w:r>
      <w:r w:rsidR="006031A9" w:rsidRPr="006031A9">
        <w:rPr>
          <w:lang w:val="fr-FR"/>
        </w:rPr>
        <w:t>’</w:t>
      </w:r>
      <w:r w:rsidRPr="006031A9">
        <w:rPr>
          <w:lang w:val="fr-FR"/>
        </w:rPr>
        <w:t>une preuve de ce type est un facteur très important à prendre en compte dans l</w:t>
      </w:r>
      <w:r w:rsidR="006031A9" w:rsidRPr="006031A9">
        <w:rPr>
          <w:lang w:val="fr-FR"/>
        </w:rPr>
        <w:t>’</w:t>
      </w:r>
      <w:r w:rsidRPr="006031A9">
        <w:rPr>
          <w:lang w:val="fr-FR"/>
        </w:rPr>
        <w:t>appréciation de l</w:t>
      </w:r>
      <w:r w:rsidR="006031A9" w:rsidRPr="006031A9">
        <w:rPr>
          <w:lang w:val="fr-FR"/>
        </w:rPr>
        <w:t>’</w:t>
      </w:r>
      <w:r w:rsidRPr="006031A9">
        <w:rPr>
          <w:lang w:val="fr-FR"/>
        </w:rPr>
        <w:t>équité globale de la procédure (</w:t>
      </w:r>
      <w:r w:rsidRPr="006031A9">
        <w:rPr>
          <w:i/>
          <w:lang w:val="fr-FR"/>
        </w:rPr>
        <w:t>ibidem</w:t>
      </w:r>
      <w:r w:rsidRPr="006031A9">
        <w:rPr>
          <w:lang w:val="fr-FR"/>
        </w:rPr>
        <w:t>, §§ 146-147).</w:t>
      </w:r>
    </w:p>
    <w:bookmarkStart w:id="44" w:name="AlKhawaja"/>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92</w:t>
      </w:r>
      <w:r w:rsidRPr="006031A9">
        <w:rPr>
          <w:lang w:val="fr-FR"/>
        </w:rPr>
        <w:fldChar w:fldCharType="end"/>
      </w:r>
      <w:bookmarkEnd w:id="44"/>
      <w:r w:rsidRPr="006031A9">
        <w:rPr>
          <w:lang w:val="fr-FR"/>
        </w:rPr>
        <w:t>.  Selon les principes dégagés dans l</w:t>
      </w:r>
      <w:r w:rsidR="006031A9" w:rsidRPr="006031A9">
        <w:rPr>
          <w:lang w:val="fr-FR"/>
        </w:rPr>
        <w:t>’</w:t>
      </w:r>
      <w:r w:rsidRPr="006031A9">
        <w:rPr>
          <w:lang w:val="fr-FR"/>
        </w:rPr>
        <w:t xml:space="preserve">arrêt </w:t>
      </w:r>
      <w:r w:rsidRPr="006031A9">
        <w:rPr>
          <w:i/>
          <w:lang w:val="fr-FR"/>
        </w:rPr>
        <w:t>Al-Khawaja et Tahery</w:t>
      </w:r>
      <w:r w:rsidRPr="006031A9">
        <w:rPr>
          <w:lang w:val="fr-FR"/>
        </w:rPr>
        <w:t>, et rappelés dans l</w:t>
      </w:r>
      <w:r w:rsidR="006031A9" w:rsidRPr="006031A9">
        <w:rPr>
          <w:lang w:val="fr-FR"/>
        </w:rPr>
        <w:t>’</w:t>
      </w:r>
      <w:r w:rsidRPr="006031A9">
        <w:rPr>
          <w:lang w:val="fr-FR"/>
        </w:rPr>
        <w:t xml:space="preserve">arrêt </w:t>
      </w:r>
      <w:r w:rsidRPr="006031A9">
        <w:rPr>
          <w:i/>
          <w:lang w:val="fr-FR"/>
        </w:rPr>
        <w:t>Schatschaschwili</w:t>
      </w:r>
      <w:r w:rsidRPr="006031A9">
        <w:rPr>
          <w:lang w:val="fr-FR"/>
        </w:rPr>
        <w:t xml:space="preserve"> (précité, § 107), l</w:t>
      </w:r>
      <w:r w:rsidR="006031A9" w:rsidRPr="006031A9">
        <w:rPr>
          <w:lang w:val="fr-FR"/>
        </w:rPr>
        <w:t>’</w:t>
      </w:r>
      <w:r w:rsidRPr="006031A9">
        <w:rPr>
          <w:lang w:val="fr-FR"/>
        </w:rPr>
        <w:t>examen de la compatibilité avec l</w:t>
      </w:r>
      <w:r w:rsidR="006031A9" w:rsidRPr="006031A9">
        <w:rPr>
          <w:lang w:val="fr-FR"/>
        </w:rPr>
        <w:t>’</w:t>
      </w:r>
      <w:r w:rsidRPr="006031A9">
        <w:rPr>
          <w:lang w:val="fr-FR"/>
        </w:rPr>
        <w:t>article 6 §§ 1 et 3 d) de la Convention d</w:t>
      </w:r>
      <w:r w:rsidR="006031A9" w:rsidRPr="006031A9">
        <w:rPr>
          <w:lang w:val="fr-FR"/>
        </w:rPr>
        <w:t>’</w:t>
      </w:r>
      <w:r w:rsidRPr="006031A9">
        <w:rPr>
          <w:lang w:val="fr-FR"/>
        </w:rPr>
        <w:t>une procédure dans laquelle les déclarations d</w:t>
      </w:r>
      <w:r w:rsidR="006031A9" w:rsidRPr="006031A9">
        <w:rPr>
          <w:lang w:val="fr-FR"/>
        </w:rPr>
        <w:t>’</w:t>
      </w:r>
      <w:r w:rsidRPr="006031A9">
        <w:rPr>
          <w:lang w:val="fr-FR"/>
        </w:rPr>
        <w:t>un témoin qui n</w:t>
      </w:r>
      <w:r w:rsidR="006031A9" w:rsidRPr="006031A9">
        <w:rPr>
          <w:lang w:val="fr-FR"/>
        </w:rPr>
        <w:t>’</w:t>
      </w:r>
      <w:r w:rsidRPr="006031A9">
        <w:rPr>
          <w:lang w:val="fr-FR"/>
        </w:rPr>
        <w:t>a pas comparu et n</w:t>
      </w:r>
      <w:r w:rsidR="006031A9" w:rsidRPr="006031A9">
        <w:rPr>
          <w:lang w:val="fr-FR"/>
        </w:rPr>
        <w:t>’</w:t>
      </w:r>
      <w:r w:rsidRPr="006031A9">
        <w:rPr>
          <w:lang w:val="fr-FR"/>
        </w:rPr>
        <w:t>a pas été interrogé pendant le procès sont utilisées à titre de preuves comporte trois étapes (</w:t>
      </w:r>
      <w:r w:rsidRPr="006031A9">
        <w:rPr>
          <w:i/>
          <w:lang w:val="fr-FR"/>
        </w:rPr>
        <w:t>Al</w:t>
      </w:r>
      <w:r w:rsidRPr="006031A9">
        <w:rPr>
          <w:i/>
          <w:lang w:val="fr-FR"/>
        </w:rPr>
        <w:noBreakHyphen/>
        <w:t>Khawaja et Tahery</w:t>
      </w:r>
      <w:r w:rsidRPr="006031A9">
        <w:rPr>
          <w:lang w:val="fr-FR"/>
        </w:rPr>
        <w:t>, précité, § 152). La Cour doit rechercher :</w:t>
      </w:r>
    </w:p>
    <w:p w:rsidR="00C85586" w:rsidRPr="006031A9" w:rsidRDefault="00C85586" w:rsidP="006031A9">
      <w:pPr>
        <w:pStyle w:val="ECHRPara"/>
        <w:rPr>
          <w:lang w:val="fr-FR"/>
        </w:rPr>
      </w:pPr>
      <w:r w:rsidRPr="006031A9">
        <w:rPr>
          <w:lang w:val="fr-FR"/>
        </w:rPr>
        <w:t>i.  s</w:t>
      </w:r>
      <w:r w:rsidR="006031A9" w:rsidRPr="006031A9">
        <w:rPr>
          <w:lang w:val="fr-FR"/>
        </w:rPr>
        <w:t>’</w:t>
      </w:r>
      <w:r w:rsidRPr="006031A9">
        <w:rPr>
          <w:lang w:val="fr-FR"/>
        </w:rPr>
        <w:t>il existait un motif sérieux justifiant la non-comparution du témoin et, en conséquence, l</w:t>
      </w:r>
      <w:r w:rsidR="006031A9" w:rsidRPr="006031A9">
        <w:rPr>
          <w:lang w:val="fr-FR"/>
        </w:rPr>
        <w:t>’</w:t>
      </w:r>
      <w:r w:rsidRPr="006031A9">
        <w:rPr>
          <w:lang w:val="fr-FR"/>
        </w:rPr>
        <w:t>admission à titre de preuve de sa déposition (</w:t>
      </w:r>
      <w:r w:rsidRPr="006031A9">
        <w:rPr>
          <w:i/>
          <w:lang w:val="fr-FR"/>
        </w:rPr>
        <w:t>ibidem</w:t>
      </w:r>
      <w:r w:rsidRPr="006031A9">
        <w:rPr>
          <w:lang w:val="fr-FR"/>
        </w:rPr>
        <w:t>, §§ 119-125)</w:t>
      </w:r>
      <w:r w:rsidR="001B036D" w:rsidRPr="006031A9">
        <w:rPr>
          <w:lang w:val="fr-FR"/>
        </w:rPr>
        <w:t> </w:t>
      </w:r>
      <w:r w:rsidRPr="006031A9">
        <w:rPr>
          <w:lang w:val="fr-FR"/>
        </w:rPr>
        <w:t>;</w:t>
      </w:r>
    </w:p>
    <w:p w:rsidR="00C85586" w:rsidRPr="006031A9" w:rsidRDefault="00C85586" w:rsidP="006031A9">
      <w:pPr>
        <w:pStyle w:val="ECHRPara"/>
        <w:rPr>
          <w:lang w:val="fr-FR"/>
        </w:rPr>
      </w:pPr>
      <w:r w:rsidRPr="006031A9">
        <w:rPr>
          <w:lang w:val="fr-FR"/>
        </w:rPr>
        <w:t>ii.  si la déposition du témoin absent a constitué le fondement unique ou déterminant de la condamnation (</w:t>
      </w:r>
      <w:r w:rsidRPr="006031A9">
        <w:rPr>
          <w:i/>
          <w:lang w:val="fr-FR"/>
        </w:rPr>
        <w:t>ibidem</w:t>
      </w:r>
      <w:r w:rsidRPr="006031A9">
        <w:rPr>
          <w:lang w:val="fr-FR"/>
        </w:rPr>
        <w:t>, §§ 119 et 126-147)</w:t>
      </w:r>
      <w:r w:rsidR="001B036D" w:rsidRPr="006031A9">
        <w:rPr>
          <w:lang w:val="fr-FR"/>
        </w:rPr>
        <w:t> </w:t>
      </w:r>
      <w:r w:rsidRPr="006031A9">
        <w:rPr>
          <w:lang w:val="fr-FR"/>
        </w:rPr>
        <w:t>; et</w:t>
      </w:r>
    </w:p>
    <w:p w:rsidR="00C85586" w:rsidRPr="006031A9" w:rsidRDefault="00C85586" w:rsidP="006031A9">
      <w:pPr>
        <w:pStyle w:val="ECHRPara"/>
        <w:rPr>
          <w:lang w:val="fr-FR"/>
        </w:rPr>
      </w:pPr>
      <w:r w:rsidRPr="006031A9">
        <w:rPr>
          <w:lang w:val="fr-FR"/>
        </w:rPr>
        <w:t>iii.  s</w:t>
      </w:r>
      <w:r w:rsidR="006031A9" w:rsidRPr="006031A9">
        <w:rPr>
          <w:lang w:val="fr-FR"/>
        </w:rPr>
        <w:t>’</w:t>
      </w:r>
      <w:r w:rsidRPr="006031A9">
        <w:rPr>
          <w:lang w:val="fr-FR"/>
        </w:rPr>
        <w:t>il existait des éléments compensateurs, notamment des garanties procédurales solides, suffisants pour contrebalancer les difficultés causées à la défense en conséquence de l</w:t>
      </w:r>
      <w:r w:rsidR="006031A9" w:rsidRPr="006031A9">
        <w:rPr>
          <w:lang w:val="fr-FR"/>
        </w:rPr>
        <w:t>’</w:t>
      </w:r>
      <w:r w:rsidRPr="006031A9">
        <w:rPr>
          <w:lang w:val="fr-FR"/>
        </w:rPr>
        <w:t>admission d</w:t>
      </w:r>
      <w:r w:rsidR="006031A9" w:rsidRPr="006031A9">
        <w:rPr>
          <w:lang w:val="fr-FR"/>
        </w:rPr>
        <w:t>’</w:t>
      </w:r>
      <w:r w:rsidRPr="006031A9">
        <w:rPr>
          <w:lang w:val="fr-FR"/>
        </w:rPr>
        <w:t>une telle preuve et pour assurer l</w:t>
      </w:r>
      <w:r w:rsidR="006031A9" w:rsidRPr="006031A9">
        <w:rPr>
          <w:lang w:val="fr-FR"/>
        </w:rPr>
        <w:t>’</w:t>
      </w:r>
      <w:r w:rsidRPr="006031A9">
        <w:rPr>
          <w:lang w:val="fr-FR"/>
        </w:rPr>
        <w:t>équité de la procédure dans son ensemble (</w:t>
      </w:r>
      <w:r w:rsidRPr="006031A9">
        <w:rPr>
          <w:i/>
          <w:lang w:val="fr-FR"/>
        </w:rPr>
        <w:t>ibidem</w:t>
      </w:r>
      <w:r w:rsidRPr="006031A9">
        <w:rPr>
          <w:lang w:val="fr-FR"/>
        </w:rPr>
        <w:t>, § 147).</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93</w:t>
      </w:r>
      <w:r w:rsidRPr="006031A9">
        <w:rPr>
          <w:lang w:val="fr-FR"/>
        </w:rPr>
        <w:fldChar w:fldCharType="end"/>
      </w:r>
      <w:r w:rsidRPr="006031A9">
        <w:rPr>
          <w:lang w:val="fr-FR"/>
        </w:rPr>
        <w:t>.  Cependant, l</w:t>
      </w:r>
      <w:r w:rsidR="006031A9" w:rsidRPr="006031A9">
        <w:rPr>
          <w:lang w:val="fr-FR"/>
        </w:rPr>
        <w:t>’</w:t>
      </w:r>
      <w:r w:rsidRPr="006031A9">
        <w:rPr>
          <w:lang w:val="fr-FR"/>
        </w:rPr>
        <w:t>absence de motif sérieux justifiant la non</w:t>
      </w:r>
      <w:r w:rsidRPr="006031A9">
        <w:rPr>
          <w:lang w:val="fr-FR"/>
        </w:rPr>
        <w:noBreakHyphen/>
        <w:t>comparution d</w:t>
      </w:r>
      <w:r w:rsidR="006031A9" w:rsidRPr="006031A9">
        <w:rPr>
          <w:lang w:val="fr-FR"/>
        </w:rPr>
        <w:t>’</w:t>
      </w:r>
      <w:r w:rsidRPr="006031A9">
        <w:rPr>
          <w:lang w:val="fr-FR"/>
        </w:rPr>
        <w:t>un témoin ne peut en soi rendre un procès inéquitable, mais constitue un élément de poids pour apprécier l</w:t>
      </w:r>
      <w:r w:rsidR="006031A9" w:rsidRPr="006031A9">
        <w:rPr>
          <w:lang w:val="fr-FR"/>
        </w:rPr>
        <w:t>’</w:t>
      </w:r>
      <w:r w:rsidRPr="006031A9">
        <w:rPr>
          <w:lang w:val="fr-FR"/>
        </w:rPr>
        <w:t>équité globale d</w:t>
      </w:r>
      <w:r w:rsidR="006031A9" w:rsidRPr="006031A9">
        <w:rPr>
          <w:lang w:val="fr-FR"/>
        </w:rPr>
        <w:t>’</w:t>
      </w:r>
      <w:r w:rsidRPr="006031A9">
        <w:rPr>
          <w:lang w:val="fr-FR"/>
        </w:rPr>
        <w:t>un procès, et est susceptible de faire pencher la balance en faveur d</w:t>
      </w:r>
      <w:r w:rsidR="006031A9" w:rsidRPr="006031A9">
        <w:rPr>
          <w:lang w:val="fr-FR"/>
        </w:rPr>
        <w:t>’</w:t>
      </w:r>
      <w:r w:rsidRPr="006031A9">
        <w:rPr>
          <w:lang w:val="fr-FR"/>
        </w:rPr>
        <w:t>un constat de violation de l</w:t>
      </w:r>
      <w:r w:rsidR="006031A9" w:rsidRPr="006031A9">
        <w:rPr>
          <w:lang w:val="fr-FR"/>
        </w:rPr>
        <w:t>’</w:t>
      </w:r>
      <w:r w:rsidRPr="006031A9">
        <w:rPr>
          <w:lang w:val="fr-FR"/>
        </w:rPr>
        <w:t>article 6 §§ 1 et 3 d) (</w:t>
      </w:r>
      <w:r w:rsidRPr="006031A9">
        <w:rPr>
          <w:i/>
          <w:lang w:val="fr-FR"/>
        </w:rPr>
        <w:t>Schatschaschwili</w:t>
      </w:r>
      <w:r w:rsidRPr="006031A9">
        <w:rPr>
          <w:lang w:val="fr-FR"/>
        </w:rPr>
        <w:t>, précité, § 113).</w:t>
      </w:r>
    </w:p>
    <w:p w:rsidR="00C85586" w:rsidRPr="006031A9" w:rsidRDefault="00C85586" w:rsidP="006031A9">
      <w:pPr>
        <w:pStyle w:val="ECHRPara"/>
        <w:rPr>
          <w:lang w:val="fr-FR"/>
        </w:rPr>
      </w:pPr>
      <w:r w:rsidRPr="006031A9">
        <w:rPr>
          <w:lang w:val="fr-FR"/>
        </w:rPr>
        <w:lastRenderedPageBreak/>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94</w:t>
      </w:r>
      <w:r w:rsidRPr="006031A9">
        <w:rPr>
          <w:lang w:val="fr-FR"/>
        </w:rPr>
        <w:fldChar w:fldCharType="end"/>
      </w:r>
      <w:r w:rsidRPr="006031A9">
        <w:rPr>
          <w:lang w:val="fr-FR"/>
        </w:rPr>
        <w:t>.  La Cour doit aussi vérifier l</w:t>
      </w:r>
      <w:r w:rsidR="006031A9" w:rsidRPr="006031A9">
        <w:rPr>
          <w:lang w:val="fr-FR"/>
        </w:rPr>
        <w:t>’</w:t>
      </w:r>
      <w:r w:rsidRPr="006031A9">
        <w:rPr>
          <w:lang w:val="fr-FR"/>
        </w:rPr>
        <w:t>existence d</w:t>
      </w:r>
      <w:r w:rsidR="006031A9" w:rsidRPr="006031A9">
        <w:rPr>
          <w:lang w:val="fr-FR"/>
        </w:rPr>
        <w:t>’</w:t>
      </w:r>
      <w:r w:rsidRPr="006031A9">
        <w:rPr>
          <w:lang w:val="fr-FR"/>
        </w:rPr>
        <w:t>éléments compensateurs suffisants dans les affaires où, après avoir apprécié l</w:t>
      </w:r>
      <w:r w:rsidR="006031A9" w:rsidRPr="006031A9">
        <w:rPr>
          <w:lang w:val="fr-FR"/>
        </w:rPr>
        <w:t>’</w:t>
      </w:r>
      <w:r w:rsidRPr="006031A9">
        <w:rPr>
          <w:lang w:val="fr-FR"/>
        </w:rPr>
        <w:t>évaluation faite par les tribunaux internes de l</w:t>
      </w:r>
      <w:r w:rsidR="006031A9" w:rsidRPr="006031A9">
        <w:rPr>
          <w:lang w:val="fr-FR"/>
        </w:rPr>
        <w:t>’</w:t>
      </w:r>
      <w:r w:rsidRPr="006031A9">
        <w:rPr>
          <w:lang w:val="fr-FR"/>
        </w:rPr>
        <w:t>importance de pareilles dépositions, elle juge difficile de discerner si ces éléments constituaient la preuve unique ou déterminante mais est néanmoins convaincue qu</w:t>
      </w:r>
      <w:r w:rsidR="006031A9" w:rsidRPr="006031A9">
        <w:rPr>
          <w:lang w:val="fr-FR"/>
        </w:rPr>
        <w:t>’</w:t>
      </w:r>
      <w:r w:rsidRPr="006031A9">
        <w:rPr>
          <w:lang w:val="fr-FR"/>
        </w:rPr>
        <w:t>ils revêtaient un poids certain et que leur admission pouvait avoir causé des difficultés à la défense. La portée des facteurs compensateurs nécessaires pour que le procès soit considéré comme équitable dépendra de l</w:t>
      </w:r>
      <w:r w:rsidR="006031A9" w:rsidRPr="006031A9">
        <w:rPr>
          <w:lang w:val="fr-FR"/>
        </w:rPr>
        <w:t>’</w:t>
      </w:r>
      <w:r w:rsidRPr="006031A9">
        <w:rPr>
          <w:lang w:val="fr-FR"/>
        </w:rPr>
        <w:t>importance que revêtent les déclarations du témoin absent. Plus cette importance est grande, plus les éléments compensateurs devront être solides afin que la procédure dans son ensemble soit considérée comme équitable (</w:t>
      </w:r>
      <w:r w:rsidRPr="006031A9">
        <w:rPr>
          <w:i/>
          <w:lang w:val="fr-FR"/>
        </w:rPr>
        <w:t>ibidem</w:t>
      </w:r>
      <w:r w:rsidRPr="006031A9">
        <w:rPr>
          <w:lang w:val="fr-FR"/>
        </w:rPr>
        <w:t>, § 116).</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95</w:t>
      </w:r>
      <w:r w:rsidRPr="006031A9">
        <w:rPr>
          <w:lang w:val="fr-FR"/>
        </w:rPr>
        <w:fldChar w:fldCharType="end"/>
      </w:r>
      <w:r w:rsidRPr="006031A9">
        <w:rPr>
          <w:lang w:val="fr-FR"/>
        </w:rPr>
        <w:t>.</w:t>
      </w:r>
      <w:r w:rsidRPr="006031A9">
        <w:rPr>
          <w:color w:val="222222"/>
          <w:lang w:val="fr-FR"/>
        </w:rPr>
        <w:t>  </w:t>
      </w:r>
      <w:r w:rsidRPr="006031A9">
        <w:rPr>
          <w:lang w:val="fr-FR"/>
        </w:rPr>
        <w:t>De l</w:t>
      </w:r>
      <w:r w:rsidR="006031A9" w:rsidRPr="006031A9">
        <w:rPr>
          <w:lang w:val="fr-FR"/>
        </w:rPr>
        <w:t>’</w:t>
      </w:r>
      <w:r w:rsidRPr="006031A9">
        <w:rPr>
          <w:lang w:val="fr-FR"/>
        </w:rPr>
        <w:t>avis de la Cour, les mêmes principes sont applicables en l</w:t>
      </w:r>
      <w:r w:rsidR="006031A9" w:rsidRPr="006031A9">
        <w:rPr>
          <w:lang w:val="fr-FR"/>
        </w:rPr>
        <w:t>’</w:t>
      </w:r>
      <w:r w:rsidRPr="006031A9">
        <w:rPr>
          <w:lang w:val="fr-FR"/>
        </w:rPr>
        <w:t>espèce, où les agents infiltrés peuvent être considérés comme des témoins à charge.</w:t>
      </w:r>
    </w:p>
    <w:p w:rsidR="00C85586" w:rsidRPr="006031A9" w:rsidRDefault="00C85586" w:rsidP="006031A9">
      <w:pPr>
        <w:pStyle w:val="ECHRHeading5"/>
        <w:rPr>
          <w:lang w:val="fr-FR"/>
        </w:rPr>
      </w:pPr>
      <w:r w:rsidRPr="006031A9">
        <w:rPr>
          <w:lang w:val="fr-FR"/>
        </w:rPr>
        <w:t>ii.  Application de ces principes à la présente espèce</w:t>
      </w:r>
    </w:p>
    <w:p w:rsidR="0002655A" w:rsidRPr="006031A9" w:rsidRDefault="00C85586" w:rsidP="006031A9">
      <w:pPr>
        <w:pStyle w:val="ECHRHeading6"/>
        <w:rPr>
          <w:lang w:val="fr-FR"/>
        </w:rPr>
      </w:pPr>
      <w:r w:rsidRPr="006031A9">
        <w:rPr>
          <w:lang w:val="fr-FR"/>
        </w:rPr>
        <w:t>α.  Les raisons pour ne pas permettre au requérant d</w:t>
      </w:r>
      <w:r w:rsidR="006031A9" w:rsidRPr="006031A9">
        <w:rPr>
          <w:lang w:val="fr-FR"/>
        </w:rPr>
        <w:t>’</w:t>
      </w:r>
      <w:r w:rsidRPr="006031A9">
        <w:rPr>
          <w:lang w:val="fr-FR"/>
        </w:rPr>
        <w:t>interroger ou de faire interroger les agents infiltrés</w:t>
      </w:r>
    </w:p>
    <w:bookmarkStart w:id="45" w:name="ETAP1"/>
    <w:p w:rsidR="0002655A" w:rsidRPr="006031A9" w:rsidRDefault="00C85586" w:rsidP="006031A9">
      <w:pPr>
        <w:pStyle w:val="ECHRPara"/>
        <w:rPr>
          <w:bCs/>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96</w:t>
      </w:r>
      <w:r w:rsidRPr="006031A9">
        <w:rPr>
          <w:lang w:val="fr-FR"/>
        </w:rPr>
        <w:fldChar w:fldCharType="end"/>
      </w:r>
      <w:bookmarkEnd w:id="45"/>
      <w:r w:rsidRPr="006031A9">
        <w:rPr>
          <w:lang w:val="fr-FR"/>
        </w:rPr>
        <w:t>.  La Cour constate que, malgré les demandes répétées du requérant d</w:t>
      </w:r>
      <w:r w:rsidR="006031A9" w:rsidRPr="006031A9">
        <w:rPr>
          <w:lang w:val="fr-FR"/>
        </w:rPr>
        <w:t>’</w:t>
      </w:r>
      <w:r w:rsidRPr="006031A9">
        <w:rPr>
          <w:lang w:val="fr-FR"/>
        </w:rPr>
        <w:t>être confronté aux fonctionnaires de police qui avaient agi comme agents sous couverture ou qu</w:t>
      </w:r>
      <w:r w:rsidR="006031A9" w:rsidRPr="006031A9">
        <w:rPr>
          <w:lang w:val="fr-FR"/>
        </w:rPr>
        <w:t>’</w:t>
      </w:r>
      <w:r w:rsidRPr="006031A9">
        <w:rPr>
          <w:lang w:val="fr-FR"/>
        </w:rPr>
        <w:t>il soit procédé à leur audition, ni au stade préliminaire de l</w:t>
      </w:r>
      <w:r w:rsidR="006031A9" w:rsidRPr="006031A9">
        <w:rPr>
          <w:lang w:val="fr-FR"/>
        </w:rPr>
        <w:t>’</w:t>
      </w:r>
      <w:r w:rsidRPr="006031A9">
        <w:rPr>
          <w:lang w:val="fr-FR"/>
        </w:rPr>
        <w:t>instruction, ni au cours du procès devant les juridictions du fond, ceux-ci n</w:t>
      </w:r>
      <w:r w:rsidR="006031A9" w:rsidRPr="006031A9">
        <w:rPr>
          <w:lang w:val="fr-FR"/>
        </w:rPr>
        <w:t>’</w:t>
      </w:r>
      <w:r w:rsidRPr="006031A9">
        <w:rPr>
          <w:lang w:val="fr-FR"/>
        </w:rPr>
        <w:t>ont été entendus par les juridictions internes. Par</w:t>
      </w:r>
      <w:r w:rsidRPr="006031A9">
        <w:rPr>
          <w:bCs/>
          <w:lang w:val="fr-FR"/>
        </w:rPr>
        <w:t xml:space="preserve"> son jugement du 16 mars 2011, le tribunal de première instance de Hasselt rejeta la demande de confrontation formulée par le requérant, considérant en premier lieu qu</w:t>
      </w:r>
      <w:r w:rsidR="006031A9" w:rsidRPr="006031A9">
        <w:rPr>
          <w:bCs/>
          <w:lang w:val="fr-FR"/>
        </w:rPr>
        <w:t>’</w:t>
      </w:r>
      <w:r w:rsidRPr="006031A9">
        <w:rPr>
          <w:bCs/>
          <w:lang w:val="fr-FR"/>
        </w:rPr>
        <w:t>eu égard à un nombre de circonstances, il n</w:t>
      </w:r>
      <w:r w:rsidR="006031A9" w:rsidRPr="006031A9">
        <w:rPr>
          <w:bCs/>
          <w:lang w:val="fr-FR"/>
        </w:rPr>
        <w:t>’</w:t>
      </w:r>
      <w:r w:rsidRPr="006031A9">
        <w:rPr>
          <w:bCs/>
          <w:lang w:val="fr-FR"/>
        </w:rPr>
        <w:t>était pas nécessaire pour la recherche de la vérité ni pour l</w:t>
      </w:r>
      <w:r w:rsidR="006031A9" w:rsidRPr="006031A9">
        <w:rPr>
          <w:bCs/>
          <w:lang w:val="fr-FR"/>
        </w:rPr>
        <w:t>’</w:t>
      </w:r>
      <w:r w:rsidRPr="006031A9">
        <w:rPr>
          <w:bCs/>
          <w:lang w:val="fr-FR"/>
        </w:rPr>
        <w:t xml:space="preserve">exercice du droit de la défense ou la garantie du procès équitable que les agents soient entendus (voir paragraphe </w:t>
      </w:r>
      <w:r w:rsidRPr="006031A9">
        <w:rPr>
          <w:bCs/>
          <w:lang w:val="fr-FR"/>
        </w:rPr>
        <w:fldChar w:fldCharType="begin"/>
      </w:r>
      <w:r w:rsidRPr="006031A9">
        <w:rPr>
          <w:bCs/>
          <w:lang w:val="fr-FR"/>
        </w:rPr>
        <w:instrText xml:space="preserve"> REF TEMOINTPI \h  \* MERGEFORMAT </w:instrText>
      </w:r>
      <w:r w:rsidRPr="006031A9">
        <w:rPr>
          <w:bCs/>
          <w:lang w:val="fr-FR"/>
        </w:rPr>
      </w:r>
      <w:r w:rsidRPr="006031A9">
        <w:rPr>
          <w:bCs/>
          <w:lang w:val="fr-FR"/>
        </w:rPr>
        <w:fldChar w:fldCharType="separate"/>
      </w:r>
      <w:r w:rsidR="006031A9" w:rsidRPr="006031A9">
        <w:rPr>
          <w:noProof/>
          <w:lang w:val="fr-FR"/>
        </w:rPr>
        <w:t>27</w:t>
      </w:r>
      <w:r w:rsidRPr="006031A9">
        <w:rPr>
          <w:bCs/>
          <w:lang w:val="fr-FR"/>
        </w:rPr>
        <w:fldChar w:fldCharType="end"/>
      </w:r>
      <w:r w:rsidRPr="006031A9">
        <w:rPr>
          <w:bCs/>
          <w:lang w:val="fr-FR"/>
        </w:rPr>
        <w:t>, ci-dessus).</w:t>
      </w:r>
    </w:p>
    <w:p w:rsidR="00C85586" w:rsidRPr="006031A9" w:rsidRDefault="00C85586" w:rsidP="006031A9">
      <w:pPr>
        <w:pStyle w:val="ECHRPara"/>
        <w:rPr>
          <w:bCs/>
          <w:i/>
          <w:lang w:val="fr-FR"/>
        </w:rPr>
      </w:pPr>
      <w:r w:rsidRPr="006031A9">
        <w:rPr>
          <w:bCs/>
          <w:lang w:val="fr-FR"/>
        </w:rPr>
        <w:fldChar w:fldCharType="begin"/>
      </w:r>
      <w:r w:rsidRPr="006031A9">
        <w:rPr>
          <w:bCs/>
          <w:lang w:val="fr-FR"/>
        </w:rPr>
        <w:instrText xml:space="preserve"> SEQ level0 \*arabic </w:instrText>
      </w:r>
      <w:r w:rsidRPr="006031A9">
        <w:rPr>
          <w:bCs/>
          <w:lang w:val="fr-FR"/>
        </w:rPr>
        <w:fldChar w:fldCharType="separate"/>
      </w:r>
      <w:r w:rsidR="006031A9" w:rsidRPr="006031A9">
        <w:rPr>
          <w:bCs/>
          <w:noProof/>
          <w:lang w:val="fr-FR"/>
        </w:rPr>
        <w:t>97</w:t>
      </w:r>
      <w:r w:rsidRPr="006031A9">
        <w:rPr>
          <w:bCs/>
          <w:lang w:val="fr-FR"/>
        </w:rPr>
        <w:fldChar w:fldCharType="end"/>
      </w:r>
      <w:r w:rsidRPr="006031A9">
        <w:rPr>
          <w:bCs/>
          <w:lang w:val="fr-FR"/>
        </w:rPr>
        <w:t>.  La Cour comprend que les juridictions internes ont estimé que l</w:t>
      </w:r>
      <w:r w:rsidR="006031A9" w:rsidRPr="006031A9">
        <w:rPr>
          <w:bCs/>
          <w:lang w:val="fr-FR"/>
        </w:rPr>
        <w:t>’</w:t>
      </w:r>
      <w:r w:rsidRPr="006031A9">
        <w:rPr>
          <w:bCs/>
          <w:lang w:val="fr-FR"/>
        </w:rPr>
        <w:t>interrogation des agents infiltrés n</w:t>
      </w:r>
      <w:r w:rsidR="006031A9" w:rsidRPr="006031A9">
        <w:rPr>
          <w:bCs/>
          <w:lang w:val="fr-FR"/>
        </w:rPr>
        <w:t>’</w:t>
      </w:r>
      <w:r w:rsidRPr="006031A9">
        <w:rPr>
          <w:bCs/>
          <w:lang w:val="fr-FR"/>
        </w:rPr>
        <w:t>était ni nécessaire ni utile à l</w:t>
      </w:r>
      <w:r w:rsidR="006031A9" w:rsidRPr="006031A9">
        <w:rPr>
          <w:bCs/>
          <w:lang w:val="fr-FR"/>
        </w:rPr>
        <w:t>’</w:t>
      </w:r>
      <w:r w:rsidRPr="006031A9">
        <w:rPr>
          <w:bCs/>
          <w:lang w:val="fr-FR"/>
        </w:rPr>
        <w:t>établissement de la vérité. Ainsi qu</w:t>
      </w:r>
      <w:r w:rsidR="006031A9" w:rsidRPr="006031A9">
        <w:rPr>
          <w:bCs/>
          <w:lang w:val="fr-FR"/>
        </w:rPr>
        <w:t>’</w:t>
      </w:r>
      <w:r w:rsidRPr="006031A9">
        <w:rPr>
          <w:bCs/>
          <w:lang w:val="fr-FR"/>
        </w:rPr>
        <w:t>elle l</w:t>
      </w:r>
      <w:r w:rsidR="006031A9" w:rsidRPr="006031A9">
        <w:rPr>
          <w:bCs/>
          <w:lang w:val="fr-FR"/>
        </w:rPr>
        <w:t>’</w:t>
      </w:r>
      <w:r w:rsidRPr="006031A9">
        <w:rPr>
          <w:bCs/>
          <w:lang w:val="fr-FR"/>
        </w:rPr>
        <w:t>a rappelé ci-dessus (paragraphe</w:t>
      </w:r>
      <w:r w:rsidR="001B036D" w:rsidRPr="006031A9">
        <w:rPr>
          <w:bCs/>
          <w:lang w:val="fr-FR"/>
        </w:rPr>
        <w:t> </w:t>
      </w:r>
      <w:r w:rsidRPr="006031A9">
        <w:rPr>
          <w:bCs/>
          <w:lang w:val="fr-FR"/>
        </w:rPr>
        <w:fldChar w:fldCharType="begin"/>
      </w:r>
      <w:r w:rsidRPr="006031A9">
        <w:rPr>
          <w:bCs/>
          <w:lang w:val="fr-FR"/>
        </w:rPr>
        <w:instrText xml:space="preserve"> REF PREETAP \h  \* MERGEFORMAT </w:instrText>
      </w:r>
      <w:r w:rsidRPr="006031A9">
        <w:rPr>
          <w:bCs/>
          <w:lang w:val="fr-FR"/>
        </w:rPr>
      </w:r>
      <w:r w:rsidRPr="006031A9">
        <w:rPr>
          <w:bCs/>
          <w:lang w:val="fr-FR"/>
        </w:rPr>
        <w:fldChar w:fldCharType="separate"/>
      </w:r>
      <w:r w:rsidR="006031A9" w:rsidRPr="006031A9">
        <w:rPr>
          <w:noProof/>
          <w:lang w:val="fr-FR"/>
        </w:rPr>
        <w:t>90</w:t>
      </w:r>
      <w:r w:rsidRPr="006031A9">
        <w:rPr>
          <w:bCs/>
          <w:lang w:val="fr-FR"/>
        </w:rPr>
        <w:fldChar w:fldCharType="end"/>
      </w:r>
      <w:r w:rsidRPr="006031A9">
        <w:rPr>
          <w:bCs/>
          <w:lang w:val="fr-FR"/>
        </w:rPr>
        <w:t xml:space="preserve">), il </w:t>
      </w:r>
      <w:r w:rsidRPr="006031A9">
        <w:rPr>
          <w:lang w:val="fr-FR"/>
        </w:rPr>
        <w:t>incombe en principe au juge national d</w:t>
      </w:r>
      <w:r w:rsidR="006031A9" w:rsidRPr="006031A9">
        <w:rPr>
          <w:lang w:val="fr-FR"/>
        </w:rPr>
        <w:t>’</w:t>
      </w:r>
      <w:r w:rsidRPr="006031A9">
        <w:rPr>
          <w:lang w:val="fr-FR"/>
        </w:rPr>
        <w:t>apprécier la nécessité ou l</w:t>
      </w:r>
      <w:r w:rsidR="006031A9" w:rsidRPr="006031A9">
        <w:rPr>
          <w:lang w:val="fr-FR"/>
        </w:rPr>
        <w:t>’</w:t>
      </w:r>
      <w:r w:rsidRPr="006031A9">
        <w:rPr>
          <w:lang w:val="fr-FR"/>
        </w:rPr>
        <w:t>opportunité de citer un témoin.</w:t>
      </w:r>
    </w:p>
    <w:p w:rsidR="00C85586" w:rsidRPr="006031A9" w:rsidRDefault="00C85586" w:rsidP="006031A9">
      <w:pPr>
        <w:pStyle w:val="ECHRPara"/>
        <w:rPr>
          <w:bCs/>
          <w:lang w:val="fr-FR"/>
        </w:rPr>
      </w:pPr>
      <w:r w:rsidRPr="006031A9">
        <w:rPr>
          <w:bCs/>
          <w:lang w:val="fr-FR"/>
        </w:rPr>
        <w:fldChar w:fldCharType="begin"/>
      </w:r>
      <w:r w:rsidRPr="006031A9">
        <w:rPr>
          <w:bCs/>
          <w:lang w:val="fr-FR"/>
        </w:rPr>
        <w:instrText xml:space="preserve"> SEQ level0 \*arabic </w:instrText>
      </w:r>
      <w:r w:rsidRPr="006031A9">
        <w:rPr>
          <w:bCs/>
          <w:lang w:val="fr-FR"/>
        </w:rPr>
        <w:fldChar w:fldCharType="separate"/>
      </w:r>
      <w:r w:rsidR="006031A9" w:rsidRPr="006031A9">
        <w:rPr>
          <w:bCs/>
          <w:noProof/>
          <w:lang w:val="fr-FR"/>
        </w:rPr>
        <w:t>98</w:t>
      </w:r>
      <w:r w:rsidRPr="006031A9">
        <w:rPr>
          <w:bCs/>
          <w:lang w:val="fr-FR"/>
        </w:rPr>
        <w:fldChar w:fldCharType="end"/>
      </w:r>
      <w:r w:rsidRPr="006031A9">
        <w:rPr>
          <w:bCs/>
          <w:lang w:val="fr-FR"/>
        </w:rPr>
        <w:t>.  </w:t>
      </w:r>
      <w:r w:rsidRPr="006031A9">
        <w:rPr>
          <w:bCs/>
          <w:szCs w:val="24"/>
          <w:lang w:val="fr-FR"/>
        </w:rPr>
        <w:t>Cela étant dit, la Cour estime qu</w:t>
      </w:r>
      <w:r w:rsidR="006031A9" w:rsidRPr="006031A9">
        <w:rPr>
          <w:bCs/>
          <w:szCs w:val="24"/>
          <w:lang w:val="fr-FR"/>
        </w:rPr>
        <w:t>’</w:t>
      </w:r>
      <w:r w:rsidRPr="006031A9">
        <w:rPr>
          <w:bCs/>
          <w:szCs w:val="24"/>
          <w:lang w:val="fr-FR"/>
        </w:rPr>
        <w:t>en l</w:t>
      </w:r>
      <w:r w:rsidR="006031A9" w:rsidRPr="006031A9">
        <w:rPr>
          <w:bCs/>
          <w:szCs w:val="24"/>
          <w:lang w:val="fr-FR"/>
        </w:rPr>
        <w:t>’</w:t>
      </w:r>
      <w:r w:rsidRPr="006031A9">
        <w:rPr>
          <w:bCs/>
          <w:szCs w:val="24"/>
          <w:lang w:val="fr-FR"/>
        </w:rPr>
        <w:t>espèce, compte tenu du fait que la défense a demandé à plusieurs reprises d</w:t>
      </w:r>
      <w:r w:rsidR="006031A9" w:rsidRPr="006031A9">
        <w:rPr>
          <w:bCs/>
          <w:szCs w:val="24"/>
          <w:lang w:val="fr-FR"/>
        </w:rPr>
        <w:t>’</w:t>
      </w:r>
      <w:r w:rsidRPr="006031A9">
        <w:rPr>
          <w:bCs/>
          <w:szCs w:val="24"/>
          <w:lang w:val="fr-FR"/>
        </w:rPr>
        <w:t xml:space="preserve">entendre les agents infiltrés et que les dépositions de ces derniers ont joué un rôle dans la condamnation du requérant (voir paragraphes </w:t>
      </w:r>
      <w:r w:rsidRPr="006031A9">
        <w:rPr>
          <w:bCs/>
          <w:szCs w:val="24"/>
          <w:lang w:val="fr-FR"/>
        </w:rPr>
        <w:fldChar w:fldCharType="begin"/>
      </w:r>
      <w:r w:rsidRPr="006031A9">
        <w:rPr>
          <w:bCs/>
          <w:szCs w:val="24"/>
          <w:lang w:val="fr-FR"/>
        </w:rPr>
        <w:instrText xml:space="preserve"> REF ETAP2start \h  \* MERGEFORMAT </w:instrText>
      </w:r>
      <w:r w:rsidRPr="006031A9">
        <w:rPr>
          <w:bCs/>
          <w:szCs w:val="24"/>
          <w:lang w:val="fr-FR"/>
        </w:rPr>
      </w:r>
      <w:r w:rsidRPr="006031A9">
        <w:rPr>
          <w:bCs/>
          <w:szCs w:val="24"/>
          <w:lang w:val="fr-FR"/>
        </w:rPr>
        <w:fldChar w:fldCharType="separate"/>
      </w:r>
      <w:r w:rsidR="006031A9" w:rsidRPr="006031A9">
        <w:rPr>
          <w:bCs/>
          <w:noProof/>
          <w:szCs w:val="24"/>
          <w:lang w:val="fr-FR"/>
        </w:rPr>
        <w:t>104</w:t>
      </w:r>
      <w:r w:rsidRPr="006031A9">
        <w:rPr>
          <w:bCs/>
          <w:szCs w:val="24"/>
          <w:lang w:val="fr-FR"/>
        </w:rPr>
        <w:fldChar w:fldCharType="end"/>
      </w:r>
      <w:r w:rsidRPr="006031A9">
        <w:rPr>
          <w:bCs/>
          <w:szCs w:val="24"/>
          <w:lang w:val="fr-FR"/>
        </w:rPr>
        <w:t>-</w:t>
      </w:r>
      <w:r w:rsidRPr="006031A9">
        <w:rPr>
          <w:bCs/>
          <w:szCs w:val="24"/>
          <w:lang w:val="fr-FR"/>
        </w:rPr>
        <w:fldChar w:fldCharType="begin"/>
      </w:r>
      <w:r w:rsidRPr="006031A9">
        <w:rPr>
          <w:bCs/>
          <w:szCs w:val="24"/>
          <w:lang w:val="fr-FR"/>
        </w:rPr>
        <w:instrText xml:space="preserve"> REF ETAP2end \h  \* MERGEFORMAT </w:instrText>
      </w:r>
      <w:r w:rsidRPr="006031A9">
        <w:rPr>
          <w:bCs/>
          <w:szCs w:val="24"/>
          <w:lang w:val="fr-FR"/>
        </w:rPr>
      </w:r>
      <w:r w:rsidRPr="006031A9">
        <w:rPr>
          <w:bCs/>
          <w:szCs w:val="24"/>
          <w:lang w:val="fr-FR"/>
        </w:rPr>
        <w:fldChar w:fldCharType="separate"/>
      </w:r>
      <w:r w:rsidR="006031A9" w:rsidRPr="006031A9">
        <w:rPr>
          <w:noProof/>
          <w:lang w:val="fr-FR"/>
        </w:rPr>
        <w:t>105</w:t>
      </w:r>
      <w:r w:rsidRPr="006031A9">
        <w:rPr>
          <w:bCs/>
          <w:szCs w:val="24"/>
          <w:lang w:val="fr-FR"/>
        </w:rPr>
        <w:fldChar w:fldCharType="end"/>
      </w:r>
      <w:r w:rsidRPr="006031A9">
        <w:rPr>
          <w:bCs/>
          <w:szCs w:val="24"/>
          <w:lang w:val="fr-FR"/>
        </w:rPr>
        <w:t>, ci-dessous), il est difficile de considérer que leur interrogatoire était dépourvu de toute utilité pour ce dernier. Il y a donc lieu d</w:t>
      </w:r>
      <w:r w:rsidR="006031A9" w:rsidRPr="006031A9">
        <w:rPr>
          <w:bCs/>
          <w:szCs w:val="24"/>
          <w:lang w:val="fr-FR"/>
        </w:rPr>
        <w:t>’</w:t>
      </w:r>
      <w:r w:rsidRPr="006031A9">
        <w:rPr>
          <w:bCs/>
          <w:szCs w:val="24"/>
          <w:lang w:val="fr-FR"/>
        </w:rPr>
        <w:t>examiner plus avant le point de savoir si le refus d</w:t>
      </w:r>
      <w:r w:rsidR="006031A9" w:rsidRPr="006031A9">
        <w:rPr>
          <w:bCs/>
          <w:szCs w:val="24"/>
          <w:lang w:val="fr-FR"/>
        </w:rPr>
        <w:t>’</w:t>
      </w:r>
      <w:r w:rsidRPr="006031A9">
        <w:rPr>
          <w:bCs/>
          <w:szCs w:val="24"/>
          <w:lang w:val="fr-FR"/>
        </w:rPr>
        <w:t>entendre les agents infiltrés était compatible avec l</w:t>
      </w:r>
      <w:r w:rsidR="006031A9" w:rsidRPr="006031A9">
        <w:rPr>
          <w:bCs/>
          <w:szCs w:val="24"/>
          <w:lang w:val="fr-FR"/>
        </w:rPr>
        <w:t>’</w:t>
      </w:r>
      <w:r w:rsidRPr="006031A9">
        <w:rPr>
          <w:bCs/>
          <w:szCs w:val="24"/>
          <w:lang w:val="fr-FR"/>
        </w:rPr>
        <w:t xml:space="preserve">article 6 </w:t>
      </w:r>
      <w:r w:rsidRPr="006031A9">
        <w:rPr>
          <w:bCs/>
          <w:lang w:val="fr-FR"/>
        </w:rPr>
        <w:t>§§ 1 et 3 d).</w:t>
      </w:r>
    </w:p>
    <w:p w:rsidR="00C85586" w:rsidRPr="006031A9" w:rsidRDefault="00C85586" w:rsidP="006031A9">
      <w:pPr>
        <w:pStyle w:val="ECHRPara"/>
        <w:rPr>
          <w:bCs/>
          <w:szCs w:val="24"/>
          <w:lang w:val="fr-FR"/>
        </w:rPr>
      </w:pPr>
      <w:r w:rsidRPr="006031A9">
        <w:rPr>
          <w:bCs/>
          <w:lang w:val="fr-FR"/>
        </w:rPr>
        <w:fldChar w:fldCharType="begin"/>
      </w:r>
      <w:r w:rsidRPr="006031A9">
        <w:rPr>
          <w:bCs/>
          <w:lang w:val="fr-FR"/>
        </w:rPr>
        <w:instrText xml:space="preserve"> SEQ level0 \*arabic </w:instrText>
      </w:r>
      <w:r w:rsidRPr="006031A9">
        <w:rPr>
          <w:bCs/>
          <w:lang w:val="fr-FR"/>
        </w:rPr>
        <w:fldChar w:fldCharType="separate"/>
      </w:r>
      <w:r w:rsidR="006031A9" w:rsidRPr="006031A9">
        <w:rPr>
          <w:bCs/>
          <w:noProof/>
          <w:lang w:val="fr-FR"/>
        </w:rPr>
        <w:t>99</w:t>
      </w:r>
      <w:r w:rsidRPr="006031A9">
        <w:rPr>
          <w:bCs/>
          <w:lang w:val="fr-FR"/>
        </w:rPr>
        <w:fldChar w:fldCharType="end"/>
      </w:r>
      <w:r w:rsidRPr="006031A9">
        <w:rPr>
          <w:bCs/>
          <w:lang w:val="fr-FR"/>
        </w:rPr>
        <w:t>.  En ce qui concerne les motifs retenus par les juridictions internes pour justifier leur refus d</w:t>
      </w:r>
      <w:r w:rsidR="006031A9" w:rsidRPr="006031A9">
        <w:rPr>
          <w:bCs/>
          <w:lang w:val="fr-FR"/>
        </w:rPr>
        <w:t>’</w:t>
      </w:r>
      <w:r w:rsidRPr="006031A9">
        <w:rPr>
          <w:bCs/>
          <w:lang w:val="fr-FR"/>
        </w:rPr>
        <w:t xml:space="preserve">interroger les agents infiltrés la Cour relève que le </w:t>
      </w:r>
      <w:r w:rsidRPr="006031A9">
        <w:rPr>
          <w:bCs/>
          <w:szCs w:val="24"/>
          <w:lang w:val="fr-FR"/>
        </w:rPr>
        <w:lastRenderedPageBreak/>
        <w:t xml:space="preserve">tribunal </w:t>
      </w:r>
      <w:r w:rsidRPr="006031A9">
        <w:rPr>
          <w:bCs/>
          <w:lang w:val="fr-FR"/>
        </w:rPr>
        <w:t xml:space="preserve">de première instance, </w:t>
      </w:r>
      <w:r w:rsidRPr="006031A9">
        <w:rPr>
          <w:bCs/>
          <w:szCs w:val="24"/>
          <w:lang w:val="fr-FR"/>
        </w:rPr>
        <w:t>outre le fait qu</w:t>
      </w:r>
      <w:r w:rsidR="006031A9" w:rsidRPr="006031A9">
        <w:rPr>
          <w:bCs/>
          <w:szCs w:val="24"/>
          <w:lang w:val="fr-FR"/>
        </w:rPr>
        <w:t>’</w:t>
      </w:r>
      <w:r w:rsidRPr="006031A9">
        <w:rPr>
          <w:bCs/>
          <w:szCs w:val="24"/>
          <w:lang w:val="fr-FR"/>
        </w:rPr>
        <w:t>il n</w:t>
      </w:r>
      <w:r w:rsidR="006031A9" w:rsidRPr="006031A9">
        <w:rPr>
          <w:bCs/>
          <w:szCs w:val="24"/>
          <w:lang w:val="fr-FR"/>
        </w:rPr>
        <w:t>’</w:t>
      </w:r>
      <w:r w:rsidRPr="006031A9">
        <w:rPr>
          <w:bCs/>
          <w:szCs w:val="24"/>
          <w:lang w:val="fr-FR"/>
        </w:rPr>
        <w:t xml:space="preserve">estima pas nécessaire un tel interrogatoire (voir paragraphe </w:t>
      </w:r>
      <w:r w:rsidRPr="006031A9">
        <w:rPr>
          <w:bCs/>
          <w:szCs w:val="24"/>
          <w:lang w:val="fr-FR"/>
        </w:rPr>
        <w:fldChar w:fldCharType="begin"/>
      </w:r>
      <w:r w:rsidRPr="006031A9">
        <w:rPr>
          <w:bCs/>
          <w:szCs w:val="24"/>
          <w:lang w:val="fr-FR"/>
        </w:rPr>
        <w:instrText xml:space="preserve"> REF ETAP1 \h  \* MERGEFORMAT </w:instrText>
      </w:r>
      <w:r w:rsidRPr="006031A9">
        <w:rPr>
          <w:bCs/>
          <w:szCs w:val="24"/>
          <w:lang w:val="fr-FR"/>
        </w:rPr>
      </w:r>
      <w:r w:rsidRPr="006031A9">
        <w:rPr>
          <w:bCs/>
          <w:szCs w:val="24"/>
          <w:lang w:val="fr-FR"/>
        </w:rPr>
        <w:fldChar w:fldCharType="separate"/>
      </w:r>
      <w:r w:rsidR="006031A9" w:rsidRPr="006031A9">
        <w:rPr>
          <w:noProof/>
          <w:lang w:val="fr-FR"/>
        </w:rPr>
        <w:t>96</w:t>
      </w:r>
      <w:r w:rsidRPr="006031A9">
        <w:rPr>
          <w:bCs/>
          <w:szCs w:val="24"/>
          <w:lang w:val="fr-FR"/>
        </w:rPr>
        <w:fldChar w:fldCharType="end"/>
      </w:r>
      <w:r w:rsidRPr="006031A9">
        <w:rPr>
          <w:bCs/>
          <w:szCs w:val="24"/>
          <w:lang w:val="fr-FR"/>
        </w:rPr>
        <w:t>, ci-dessus), considéra que la sécurité des agents sous couverture et l</w:t>
      </w:r>
      <w:r w:rsidR="006031A9" w:rsidRPr="006031A9">
        <w:rPr>
          <w:bCs/>
          <w:szCs w:val="24"/>
          <w:lang w:val="fr-FR"/>
        </w:rPr>
        <w:t>’</w:t>
      </w:r>
      <w:r w:rsidRPr="006031A9">
        <w:rPr>
          <w:bCs/>
          <w:szCs w:val="24"/>
          <w:lang w:val="fr-FR"/>
        </w:rPr>
        <w:t>importance de l</w:t>
      </w:r>
      <w:r w:rsidR="006031A9" w:rsidRPr="006031A9">
        <w:rPr>
          <w:bCs/>
          <w:szCs w:val="24"/>
          <w:lang w:val="fr-FR"/>
        </w:rPr>
        <w:t>’</w:t>
      </w:r>
      <w:r w:rsidRPr="006031A9">
        <w:rPr>
          <w:bCs/>
          <w:szCs w:val="24"/>
          <w:lang w:val="fr-FR"/>
        </w:rPr>
        <w:t>anonymat dans la perspective de leur déploiement dans d</w:t>
      </w:r>
      <w:r w:rsidR="006031A9" w:rsidRPr="006031A9">
        <w:rPr>
          <w:bCs/>
          <w:szCs w:val="24"/>
          <w:lang w:val="fr-FR"/>
        </w:rPr>
        <w:t>’</w:t>
      </w:r>
      <w:r w:rsidRPr="006031A9">
        <w:rPr>
          <w:bCs/>
          <w:szCs w:val="24"/>
          <w:lang w:val="fr-FR"/>
        </w:rPr>
        <w:t>autres affaires s</w:t>
      </w:r>
      <w:r w:rsidR="006031A9" w:rsidRPr="006031A9">
        <w:rPr>
          <w:bCs/>
          <w:szCs w:val="24"/>
          <w:lang w:val="fr-FR"/>
        </w:rPr>
        <w:t>’</w:t>
      </w:r>
      <w:r w:rsidRPr="006031A9">
        <w:rPr>
          <w:bCs/>
          <w:szCs w:val="24"/>
          <w:lang w:val="fr-FR"/>
        </w:rPr>
        <w:t>opposaient à une confrontation, et ce d</w:t>
      </w:r>
      <w:r w:rsidR="006031A9" w:rsidRPr="006031A9">
        <w:rPr>
          <w:bCs/>
          <w:szCs w:val="24"/>
          <w:lang w:val="fr-FR"/>
        </w:rPr>
        <w:t>’</w:t>
      </w:r>
      <w:r w:rsidRPr="006031A9">
        <w:rPr>
          <w:bCs/>
          <w:szCs w:val="24"/>
          <w:lang w:val="fr-FR"/>
        </w:rPr>
        <w:t>autant plus qu</w:t>
      </w:r>
      <w:r w:rsidR="006031A9" w:rsidRPr="006031A9">
        <w:rPr>
          <w:bCs/>
          <w:szCs w:val="24"/>
          <w:lang w:val="fr-FR"/>
        </w:rPr>
        <w:t>’</w:t>
      </w:r>
      <w:r w:rsidRPr="006031A9">
        <w:rPr>
          <w:bCs/>
          <w:szCs w:val="24"/>
          <w:lang w:val="fr-FR"/>
        </w:rPr>
        <w:t>en l</w:t>
      </w:r>
      <w:r w:rsidR="006031A9" w:rsidRPr="006031A9">
        <w:rPr>
          <w:bCs/>
          <w:szCs w:val="24"/>
          <w:lang w:val="fr-FR"/>
        </w:rPr>
        <w:t>’</w:t>
      </w:r>
      <w:r w:rsidRPr="006031A9">
        <w:rPr>
          <w:bCs/>
          <w:szCs w:val="24"/>
          <w:lang w:val="fr-FR"/>
        </w:rPr>
        <w:t>espèce l</w:t>
      </w:r>
      <w:r w:rsidR="006031A9" w:rsidRPr="006031A9">
        <w:rPr>
          <w:bCs/>
          <w:szCs w:val="24"/>
          <w:lang w:val="fr-FR"/>
        </w:rPr>
        <w:t>’</w:t>
      </w:r>
      <w:r w:rsidRPr="006031A9">
        <w:rPr>
          <w:bCs/>
          <w:szCs w:val="24"/>
          <w:lang w:val="fr-FR"/>
        </w:rPr>
        <w:t>infiltration avait eu lieu pendant plusieurs années et que des liens d</w:t>
      </w:r>
      <w:r w:rsidR="006031A9" w:rsidRPr="006031A9">
        <w:rPr>
          <w:bCs/>
          <w:szCs w:val="24"/>
          <w:lang w:val="fr-FR"/>
        </w:rPr>
        <w:t>’</w:t>
      </w:r>
      <w:r w:rsidRPr="006031A9">
        <w:rPr>
          <w:bCs/>
          <w:szCs w:val="24"/>
          <w:lang w:val="fr-FR"/>
        </w:rPr>
        <w:t>amitié s</w:t>
      </w:r>
      <w:r w:rsidR="006031A9" w:rsidRPr="006031A9">
        <w:rPr>
          <w:bCs/>
          <w:szCs w:val="24"/>
          <w:lang w:val="fr-FR"/>
        </w:rPr>
        <w:t>’</w:t>
      </w:r>
      <w:r w:rsidRPr="006031A9">
        <w:rPr>
          <w:bCs/>
          <w:szCs w:val="24"/>
          <w:lang w:val="fr-FR"/>
        </w:rPr>
        <w:t>étaient tissés entre les agents infiltrés et plusieurs prévenus ainsi que leurs partenaires. Enfin, le tribunal releva qu</w:t>
      </w:r>
      <w:r w:rsidR="006031A9" w:rsidRPr="006031A9">
        <w:rPr>
          <w:bCs/>
          <w:szCs w:val="24"/>
          <w:lang w:val="fr-FR"/>
        </w:rPr>
        <w:t>’</w:t>
      </w:r>
      <w:r w:rsidRPr="006031A9">
        <w:rPr>
          <w:bCs/>
          <w:szCs w:val="24"/>
          <w:lang w:val="fr-FR"/>
        </w:rPr>
        <w:t>il n</w:t>
      </w:r>
      <w:r w:rsidR="006031A9" w:rsidRPr="006031A9">
        <w:rPr>
          <w:bCs/>
          <w:szCs w:val="24"/>
          <w:lang w:val="fr-FR"/>
        </w:rPr>
        <w:t>’</w:t>
      </w:r>
      <w:r w:rsidRPr="006031A9">
        <w:rPr>
          <w:bCs/>
          <w:szCs w:val="24"/>
          <w:lang w:val="fr-FR"/>
        </w:rPr>
        <w:t>apparaissait pas quelles questions spécifiques la défense voulait poser aux agents infiltrés, et qu</w:t>
      </w:r>
      <w:r w:rsidR="006031A9" w:rsidRPr="006031A9">
        <w:rPr>
          <w:bCs/>
          <w:szCs w:val="24"/>
          <w:lang w:val="fr-FR"/>
        </w:rPr>
        <w:t>’</w:t>
      </w:r>
      <w:r w:rsidRPr="006031A9">
        <w:rPr>
          <w:bCs/>
          <w:szCs w:val="24"/>
          <w:lang w:val="fr-FR"/>
        </w:rPr>
        <w:t>en ce qui concerne la seule question mentionnée, elle avait déjà reçu une réponse par d</w:t>
      </w:r>
      <w:r w:rsidR="006031A9" w:rsidRPr="006031A9">
        <w:rPr>
          <w:bCs/>
          <w:szCs w:val="24"/>
          <w:lang w:val="fr-FR"/>
        </w:rPr>
        <w:t>’</w:t>
      </w:r>
      <w:r w:rsidRPr="006031A9">
        <w:rPr>
          <w:bCs/>
          <w:szCs w:val="24"/>
          <w:lang w:val="fr-FR"/>
        </w:rPr>
        <w:t xml:space="preserve">autres éléments du dossier (voir paragraphe </w:t>
      </w:r>
      <w:r w:rsidRPr="006031A9">
        <w:rPr>
          <w:bCs/>
          <w:szCs w:val="24"/>
          <w:lang w:val="fr-FR"/>
        </w:rPr>
        <w:fldChar w:fldCharType="begin"/>
      </w:r>
      <w:r w:rsidRPr="006031A9">
        <w:rPr>
          <w:bCs/>
          <w:szCs w:val="24"/>
          <w:lang w:val="fr-FR"/>
        </w:rPr>
        <w:instrText xml:space="preserve"> REF TEMOINTPI \h  \* MERGEFORMAT </w:instrText>
      </w:r>
      <w:r w:rsidRPr="006031A9">
        <w:rPr>
          <w:bCs/>
          <w:szCs w:val="24"/>
          <w:lang w:val="fr-FR"/>
        </w:rPr>
      </w:r>
      <w:r w:rsidRPr="006031A9">
        <w:rPr>
          <w:bCs/>
          <w:szCs w:val="24"/>
          <w:lang w:val="fr-FR"/>
        </w:rPr>
        <w:fldChar w:fldCharType="separate"/>
      </w:r>
      <w:r w:rsidR="006031A9" w:rsidRPr="006031A9">
        <w:rPr>
          <w:bCs/>
          <w:szCs w:val="24"/>
          <w:lang w:val="fr-FR"/>
        </w:rPr>
        <w:t>27</w:t>
      </w:r>
      <w:r w:rsidRPr="006031A9">
        <w:rPr>
          <w:bCs/>
          <w:szCs w:val="24"/>
          <w:lang w:val="fr-FR"/>
        </w:rPr>
        <w:fldChar w:fldCharType="end"/>
      </w:r>
      <w:r w:rsidRPr="006031A9">
        <w:rPr>
          <w:bCs/>
          <w:szCs w:val="24"/>
          <w:lang w:val="fr-FR"/>
        </w:rPr>
        <w:t>, ci-dessus). Ces motifs furent confirmés par la cour d</w:t>
      </w:r>
      <w:r w:rsidR="006031A9" w:rsidRPr="006031A9">
        <w:rPr>
          <w:bCs/>
          <w:szCs w:val="24"/>
          <w:lang w:val="fr-FR"/>
        </w:rPr>
        <w:t>’</w:t>
      </w:r>
      <w:r w:rsidRPr="006031A9">
        <w:rPr>
          <w:bCs/>
          <w:szCs w:val="24"/>
          <w:lang w:val="fr-FR"/>
        </w:rPr>
        <w:t>appel d</w:t>
      </w:r>
      <w:r w:rsidR="006031A9" w:rsidRPr="006031A9">
        <w:rPr>
          <w:bCs/>
          <w:szCs w:val="24"/>
          <w:lang w:val="fr-FR"/>
        </w:rPr>
        <w:t>’</w:t>
      </w:r>
      <w:r w:rsidRPr="006031A9">
        <w:rPr>
          <w:bCs/>
          <w:szCs w:val="24"/>
          <w:lang w:val="fr-FR"/>
        </w:rPr>
        <w:t xml:space="preserve">Anvers dans son arrêt du 13 octobre 2011, qui </w:t>
      </w:r>
      <w:r w:rsidRPr="006031A9">
        <w:rPr>
          <w:lang w:val="fr-FR"/>
        </w:rPr>
        <w:t>ajouta que la découverte de la vérité et l</w:t>
      </w:r>
      <w:r w:rsidR="006031A9" w:rsidRPr="006031A9">
        <w:rPr>
          <w:lang w:val="fr-FR"/>
        </w:rPr>
        <w:t>’</w:t>
      </w:r>
      <w:r w:rsidRPr="006031A9">
        <w:rPr>
          <w:lang w:val="fr-FR"/>
        </w:rPr>
        <w:t>établissement de la culpabilité résultaient également d</w:t>
      </w:r>
      <w:r w:rsidR="006031A9" w:rsidRPr="006031A9">
        <w:rPr>
          <w:lang w:val="fr-FR"/>
        </w:rPr>
        <w:t>’</w:t>
      </w:r>
      <w:r w:rsidRPr="006031A9">
        <w:rPr>
          <w:lang w:val="fr-FR"/>
        </w:rPr>
        <w:t xml:space="preserve">autres éléments de preuve et </w:t>
      </w:r>
      <w:r w:rsidRPr="006031A9">
        <w:rPr>
          <w:bCs/>
          <w:szCs w:val="24"/>
          <w:lang w:val="fr-FR"/>
        </w:rPr>
        <w:t xml:space="preserve">que la demande de confrontation était plutôt théorique (voir paragraphe </w:t>
      </w:r>
      <w:r w:rsidRPr="006031A9">
        <w:rPr>
          <w:bCs/>
          <w:szCs w:val="24"/>
          <w:lang w:val="fr-FR"/>
        </w:rPr>
        <w:fldChar w:fldCharType="begin"/>
      </w:r>
      <w:r w:rsidRPr="006031A9">
        <w:rPr>
          <w:bCs/>
          <w:szCs w:val="24"/>
          <w:lang w:val="fr-FR"/>
        </w:rPr>
        <w:instrText xml:space="preserve"> REF CAPP131011 \h  \* MERGEFORMAT </w:instrText>
      </w:r>
      <w:r w:rsidRPr="006031A9">
        <w:rPr>
          <w:bCs/>
          <w:szCs w:val="24"/>
          <w:lang w:val="fr-FR"/>
        </w:rPr>
      </w:r>
      <w:r w:rsidRPr="006031A9">
        <w:rPr>
          <w:bCs/>
          <w:szCs w:val="24"/>
          <w:lang w:val="fr-FR"/>
        </w:rPr>
        <w:fldChar w:fldCharType="separate"/>
      </w:r>
      <w:r w:rsidR="006031A9" w:rsidRPr="006031A9">
        <w:rPr>
          <w:noProof/>
          <w:lang w:val="fr-FR"/>
        </w:rPr>
        <w:t>30</w:t>
      </w:r>
      <w:r w:rsidRPr="006031A9">
        <w:rPr>
          <w:bCs/>
          <w:szCs w:val="24"/>
          <w:lang w:val="fr-FR"/>
        </w:rPr>
        <w:fldChar w:fldCharType="end"/>
      </w:r>
      <w:r w:rsidRPr="006031A9">
        <w:rPr>
          <w:bCs/>
          <w:szCs w:val="24"/>
          <w:lang w:val="fr-FR"/>
        </w:rPr>
        <w:t>, ci-dessus).</w:t>
      </w:r>
    </w:p>
    <w:p w:rsidR="00C85586" w:rsidRPr="006031A9" w:rsidRDefault="00C85586" w:rsidP="006031A9">
      <w:pPr>
        <w:pStyle w:val="ECHRPara"/>
        <w:rPr>
          <w:rFonts w:cs="Times New Roman"/>
          <w:i/>
          <w:iCs/>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100</w:t>
      </w:r>
      <w:r w:rsidRPr="006031A9">
        <w:rPr>
          <w:lang w:val="fr-FR"/>
        </w:rPr>
        <w:fldChar w:fldCharType="end"/>
      </w:r>
      <w:r w:rsidRPr="006031A9">
        <w:rPr>
          <w:lang w:val="fr-FR"/>
        </w:rPr>
        <w:t xml:space="preserve">.  La Cour a déjà </w:t>
      </w:r>
      <w:r w:rsidRPr="006031A9">
        <w:rPr>
          <w:bCs/>
          <w:lang w:val="fr-FR"/>
        </w:rPr>
        <w:t>considéré que permettre à des agents infiltrés de la police de fournir des informations de manière anonyme est un outil essentiel dans la poursuite, en particulier, du crime organisé (voir, s</w:t>
      </w:r>
      <w:r w:rsidR="006031A9" w:rsidRPr="006031A9">
        <w:rPr>
          <w:bCs/>
          <w:lang w:val="fr-FR"/>
        </w:rPr>
        <w:t>’</w:t>
      </w:r>
      <w:r w:rsidRPr="006031A9">
        <w:rPr>
          <w:bCs/>
          <w:lang w:val="fr-FR"/>
        </w:rPr>
        <w:t>agissant d</w:t>
      </w:r>
      <w:r w:rsidR="006031A9" w:rsidRPr="006031A9">
        <w:rPr>
          <w:bCs/>
          <w:lang w:val="fr-FR"/>
        </w:rPr>
        <w:t>’</w:t>
      </w:r>
      <w:r w:rsidRPr="006031A9">
        <w:rPr>
          <w:bCs/>
          <w:lang w:val="fr-FR"/>
        </w:rPr>
        <w:t xml:space="preserve">indicateurs de la police, </w:t>
      </w:r>
      <w:r w:rsidRPr="006031A9">
        <w:rPr>
          <w:bCs/>
          <w:i/>
          <w:lang w:val="fr-FR"/>
        </w:rPr>
        <w:t>Donohoe c. Irlande</w:t>
      </w:r>
      <w:r w:rsidRPr="006031A9">
        <w:rPr>
          <w:bCs/>
          <w:lang w:val="fr-FR"/>
        </w:rPr>
        <w:t>, n</w:t>
      </w:r>
      <w:r w:rsidR="0002655A" w:rsidRPr="006031A9">
        <w:rPr>
          <w:bCs/>
          <w:vertAlign w:val="superscript"/>
          <w:lang w:val="fr-FR"/>
        </w:rPr>
        <w:t>o</w:t>
      </w:r>
      <w:r w:rsidRPr="006031A9">
        <w:rPr>
          <w:bCs/>
          <w:lang w:val="fr-FR"/>
        </w:rPr>
        <w:t xml:space="preserve"> 19165/08, § 80, 12</w:t>
      </w:r>
      <w:r w:rsidR="001B036D" w:rsidRPr="006031A9">
        <w:rPr>
          <w:bCs/>
          <w:lang w:val="fr-FR"/>
        </w:rPr>
        <w:t> </w:t>
      </w:r>
      <w:r w:rsidRPr="006031A9">
        <w:rPr>
          <w:bCs/>
          <w:lang w:val="fr-FR"/>
        </w:rPr>
        <w:t xml:space="preserve">décembre 2013). Elle a toutefois également souligné </w:t>
      </w:r>
      <w:r w:rsidRPr="006031A9">
        <w:rPr>
          <w:lang w:val="fr-FR"/>
        </w:rPr>
        <w:t>que la mise en balance des intérêts de la défense et des arguments militant en faveur du maintien de l</w:t>
      </w:r>
      <w:r w:rsidR="006031A9" w:rsidRPr="006031A9">
        <w:rPr>
          <w:lang w:val="fr-FR"/>
        </w:rPr>
        <w:t>’</w:t>
      </w:r>
      <w:r w:rsidRPr="006031A9">
        <w:rPr>
          <w:lang w:val="fr-FR"/>
        </w:rPr>
        <w:t>anonymat des témoins pose des problèmes particuliers si les témoins en question appartiennent aux forces de police de l</w:t>
      </w:r>
      <w:r w:rsidR="006031A9" w:rsidRPr="006031A9">
        <w:rPr>
          <w:lang w:val="fr-FR"/>
        </w:rPr>
        <w:t>’</w:t>
      </w:r>
      <w:r w:rsidRPr="006031A9">
        <w:rPr>
          <w:lang w:val="fr-FR"/>
        </w:rPr>
        <w:t>État. Si les intérêts de ces derniers</w:t>
      </w:r>
      <w:r w:rsidR="001B036D" w:rsidRPr="006031A9">
        <w:rPr>
          <w:lang w:val="fr-FR"/>
        </w:rPr>
        <w:t> – </w:t>
      </w:r>
      <w:r w:rsidRPr="006031A9">
        <w:rPr>
          <w:lang w:val="fr-FR"/>
        </w:rPr>
        <w:t>comme évidemment ceux de leurs</w:t>
      </w:r>
      <w:r w:rsidR="001B036D" w:rsidRPr="006031A9">
        <w:rPr>
          <w:lang w:val="fr-FR"/>
        </w:rPr>
        <w:t xml:space="preserve"> </w:t>
      </w:r>
      <w:r w:rsidRPr="006031A9">
        <w:rPr>
          <w:lang w:val="fr-FR"/>
        </w:rPr>
        <w:t>familles</w:t>
      </w:r>
      <w:r w:rsidR="001B036D" w:rsidRPr="006031A9">
        <w:rPr>
          <w:lang w:val="fr-FR"/>
        </w:rPr>
        <w:t> </w:t>
      </w:r>
      <w:r w:rsidRPr="006031A9">
        <w:rPr>
          <w:lang w:val="fr-FR"/>
        </w:rPr>
        <w:t>–</w:t>
      </w:r>
      <w:r w:rsidR="001B036D" w:rsidRPr="006031A9">
        <w:rPr>
          <w:lang w:val="fr-FR"/>
        </w:rPr>
        <w:t> </w:t>
      </w:r>
      <w:r w:rsidRPr="006031A9">
        <w:rPr>
          <w:lang w:val="fr-FR"/>
        </w:rPr>
        <w:t>méritent</w:t>
      </w:r>
      <w:r w:rsidR="001B036D" w:rsidRPr="006031A9">
        <w:rPr>
          <w:lang w:val="fr-FR"/>
        </w:rPr>
        <w:t xml:space="preserve"> </w:t>
      </w:r>
      <w:r w:rsidRPr="006031A9">
        <w:rPr>
          <w:lang w:val="fr-FR"/>
        </w:rPr>
        <w:t>eux aussi la protection de la Convention, il faut reconnaître que leur situation diffère quelque peu de celle d</w:t>
      </w:r>
      <w:r w:rsidR="006031A9" w:rsidRPr="006031A9">
        <w:rPr>
          <w:lang w:val="fr-FR"/>
        </w:rPr>
        <w:t>’</w:t>
      </w:r>
      <w:r w:rsidRPr="006031A9">
        <w:rPr>
          <w:lang w:val="fr-FR"/>
        </w:rPr>
        <w:t>un témoin désintéressé ou d</w:t>
      </w:r>
      <w:r w:rsidR="006031A9" w:rsidRPr="006031A9">
        <w:rPr>
          <w:lang w:val="fr-FR"/>
        </w:rPr>
        <w:t>’</w:t>
      </w:r>
      <w:r w:rsidRPr="006031A9">
        <w:rPr>
          <w:lang w:val="fr-FR"/>
        </w:rPr>
        <w:t>une victime. Ils ont un devoir général d</w:t>
      </w:r>
      <w:r w:rsidR="006031A9" w:rsidRPr="006031A9">
        <w:rPr>
          <w:lang w:val="fr-FR"/>
        </w:rPr>
        <w:t>’</w:t>
      </w:r>
      <w:r w:rsidRPr="006031A9">
        <w:rPr>
          <w:lang w:val="fr-FR"/>
        </w:rPr>
        <w:t>obéissance envers les autorités exécutives de l</w:t>
      </w:r>
      <w:r w:rsidR="006031A9" w:rsidRPr="006031A9">
        <w:rPr>
          <w:lang w:val="fr-FR"/>
        </w:rPr>
        <w:t>’</w:t>
      </w:r>
      <w:r w:rsidRPr="006031A9">
        <w:rPr>
          <w:lang w:val="fr-FR"/>
        </w:rPr>
        <w:t>État, ainsi d</w:t>
      </w:r>
      <w:r w:rsidR="006031A9" w:rsidRPr="006031A9">
        <w:rPr>
          <w:lang w:val="fr-FR"/>
        </w:rPr>
        <w:t>’</w:t>
      </w:r>
      <w:r w:rsidRPr="006031A9">
        <w:rPr>
          <w:lang w:val="fr-FR"/>
        </w:rPr>
        <w:t>ordinaire des liens avec le ministère public</w:t>
      </w:r>
      <w:r w:rsidR="00FD7757" w:rsidRPr="006031A9">
        <w:rPr>
          <w:lang w:val="fr-FR"/>
        </w:rPr>
        <w:t> </w:t>
      </w:r>
      <w:r w:rsidRPr="006031A9">
        <w:rPr>
          <w:lang w:val="fr-FR"/>
        </w:rPr>
        <w:t xml:space="preserve">; pour ces seules raisons déjà, il ne faut les utiliser comme témoins anonymes que dans des circonstances exceptionnelles (voir </w:t>
      </w:r>
      <w:r w:rsidRPr="006031A9">
        <w:rPr>
          <w:i/>
          <w:lang w:val="fr-FR"/>
        </w:rPr>
        <w:t>V</w:t>
      </w:r>
      <w:r w:rsidRPr="006031A9">
        <w:rPr>
          <w:i/>
          <w:iCs/>
          <w:lang w:val="fr-FR"/>
        </w:rPr>
        <w:t>an Mechelen et autres c. Pays-Bas</w:t>
      </w:r>
      <w:r w:rsidRPr="006031A9">
        <w:rPr>
          <w:lang w:val="fr-FR"/>
        </w:rPr>
        <w:t xml:space="preserve">, 23 avril 1997, § 56, </w:t>
      </w:r>
      <w:r w:rsidRPr="006031A9">
        <w:rPr>
          <w:i/>
          <w:iCs/>
          <w:lang w:val="fr-FR"/>
        </w:rPr>
        <w:t xml:space="preserve">Recueil des arrêts et décisions </w:t>
      </w:r>
      <w:r w:rsidRPr="006031A9">
        <w:rPr>
          <w:lang w:val="fr-FR"/>
        </w:rPr>
        <w:t xml:space="preserve">1997-III, et </w:t>
      </w:r>
      <w:r w:rsidRPr="006031A9">
        <w:rPr>
          <w:i/>
          <w:lang w:val="fr-FR"/>
        </w:rPr>
        <w:t>Bátěk et autres c. République tchèque</w:t>
      </w:r>
      <w:r w:rsidRPr="006031A9">
        <w:rPr>
          <w:lang w:val="fr-FR"/>
        </w:rPr>
        <w:t>, n</w:t>
      </w:r>
      <w:r w:rsidRPr="006031A9">
        <w:rPr>
          <w:vertAlign w:val="superscript"/>
          <w:lang w:val="fr-FR"/>
        </w:rPr>
        <w:t>o</w:t>
      </w:r>
      <w:r w:rsidRPr="006031A9">
        <w:rPr>
          <w:lang w:val="fr-FR"/>
        </w:rPr>
        <w:t xml:space="preserve"> </w:t>
      </w:r>
      <w:r w:rsidRPr="006031A9">
        <w:rPr>
          <w:iCs/>
          <w:lang w:val="fr-FR"/>
        </w:rPr>
        <w:t>54146/09</w:t>
      </w:r>
      <w:r w:rsidRPr="006031A9">
        <w:rPr>
          <w:lang w:val="fr-FR"/>
        </w:rPr>
        <w:t xml:space="preserve">, </w:t>
      </w:r>
      <w:r w:rsidR="00CE5C03" w:rsidRPr="006031A9">
        <w:rPr>
          <w:snapToGrid w:val="0"/>
          <w:lang w:val="fr-FR"/>
        </w:rPr>
        <w:t>§ </w:t>
      </w:r>
      <w:r w:rsidRPr="006031A9">
        <w:rPr>
          <w:snapToGrid w:val="0"/>
          <w:lang w:val="fr-FR"/>
        </w:rPr>
        <w:t>46, 1</w:t>
      </w:r>
      <w:r w:rsidRPr="006031A9">
        <w:rPr>
          <w:lang w:val="fr-FR"/>
        </w:rPr>
        <w:t>2</w:t>
      </w:r>
      <w:r w:rsidRPr="006031A9">
        <w:rPr>
          <w:snapToGrid w:val="0"/>
          <w:lang w:val="fr-FR"/>
        </w:rPr>
        <w:t xml:space="preserve"> </w:t>
      </w:r>
      <w:r w:rsidRPr="006031A9">
        <w:rPr>
          <w:lang w:val="fr-FR"/>
        </w:rPr>
        <w:t>janvier</w:t>
      </w:r>
      <w:r w:rsidRPr="006031A9">
        <w:rPr>
          <w:snapToGrid w:val="0"/>
          <w:lang w:val="fr-FR"/>
        </w:rPr>
        <w:t xml:space="preserve"> 201</w:t>
      </w:r>
      <w:r w:rsidRPr="006031A9">
        <w:rPr>
          <w:lang w:val="fr-FR"/>
        </w:rPr>
        <w:t>7).</w:t>
      </w:r>
    </w:p>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101</w:t>
      </w:r>
      <w:r w:rsidRPr="006031A9">
        <w:rPr>
          <w:lang w:val="fr-FR"/>
        </w:rPr>
        <w:fldChar w:fldCharType="end"/>
      </w:r>
      <w:r w:rsidRPr="006031A9">
        <w:rPr>
          <w:lang w:val="fr-FR"/>
        </w:rPr>
        <w:t>.  La Cour a néanmoins reconnu que, pourvu que les droits de la défense soient respectés, il peut être légitime pour des autorités de police de souhaiter préserver l</w:t>
      </w:r>
      <w:r w:rsidR="006031A9" w:rsidRPr="006031A9">
        <w:rPr>
          <w:lang w:val="fr-FR"/>
        </w:rPr>
        <w:t>’</w:t>
      </w:r>
      <w:r w:rsidRPr="006031A9">
        <w:rPr>
          <w:lang w:val="fr-FR"/>
        </w:rPr>
        <w:t>anonymat d</w:t>
      </w:r>
      <w:r w:rsidR="006031A9" w:rsidRPr="006031A9">
        <w:rPr>
          <w:lang w:val="fr-FR"/>
        </w:rPr>
        <w:t>’</w:t>
      </w:r>
      <w:r w:rsidRPr="006031A9">
        <w:rPr>
          <w:lang w:val="fr-FR"/>
        </w:rPr>
        <w:t>un agent employé à des activités secrètes, afin non seulement d</w:t>
      </w:r>
      <w:r w:rsidR="006031A9" w:rsidRPr="006031A9">
        <w:rPr>
          <w:lang w:val="fr-FR"/>
        </w:rPr>
        <w:t>’</w:t>
      </w:r>
      <w:r w:rsidRPr="006031A9">
        <w:rPr>
          <w:lang w:val="fr-FR"/>
        </w:rPr>
        <w:t>assurer sa protection et celle de sa famille, mais aussi de ne pas compromettre la possibilité de l</w:t>
      </w:r>
      <w:r w:rsidR="006031A9" w:rsidRPr="006031A9">
        <w:rPr>
          <w:lang w:val="fr-FR"/>
        </w:rPr>
        <w:t>’</w:t>
      </w:r>
      <w:r w:rsidRPr="006031A9">
        <w:rPr>
          <w:lang w:val="fr-FR"/>
        </w:rPr>
        <w:t xml:space="preserve">utiliser dans des opérations futures (voir </w:t>
      </w:r>
      <w:r w:rsidRPr="006031A9">
        <w:rPr>
          <w:i/>
          <w:iCs/>
          <w:lang w:val="fr-FR"/>
        </w:rPr>
        <w:t>Lüdi c. Suisse</w:t>
      </w:r>
      <w:r w:rsidRPr="006031A9">
        <w:rPr>
          <w:lang w:val="fr-FR"/>
        </w:rPr>
        <w:t>, 15 juin 1992, § 49, série A n</w:t>
      </w:r>
      <w:r w:rsidR="0002655A" w:rsidRPr="006031A9">
        <w:rPr>
          <w:vertAlign w:val="superscript"/>
          <w:lang w:val="fr-FR"/>
        </w:rPr>
        <w:t>o</w:t>
      </w:r>
      <w:r w:rsidRPr="006031A9">
        <w:rPr>
          <w:lang w:val="fr-FR"/>
        </w:rPr>
        <w:t xml:space="preserve"> 238, </w:t>
      </w:r>
      <w:r w:rsidRPr="006031A9">
        <w:rPr>
          <w:i/>
          <w:iCs/>
          <w:lang w:val="fr-FR"/>
        </w:rPr>
        <w:t>Van Mechelen</w:t>
      </w:r>
      <w:r w:rsidR="00CE5C03" w:rsidRPr="006031A9">
        <w:rPr>
          <w:i/>
          <w:iCs/>
          <w:lang w:val="fr-FR"/>
        </w:rPr>
        <w:t xml:space="preserve"> et autres</w:t>
      </w:r>
      <w:r w:rsidRPr="006031A9">
        <w:rPr>
          <w:lang w:val="fr-FR"/>
        </w:rPr>
        <w:t xml:space="preserve">, précité, § 57, et </w:t>
      </w:r>
      <w:r w:rsidRPr="006031A9">
        <w:rPr>
          <w:i/>
          <w:lang w:val="fr-FR"/>
        </w:rPr>
        <w:t>Bátěk</w:t>
      </w:r>
      <w:r w:rsidR="00CE5C03" w:rsidRPr="006031A9">
        <w:rPr>
          <w:i/>
          <w:lang w:val="fr-FR"/>
        </w:rPr>
        <w:t xml:space="preserve"> et autres</w:t>
      </w:r>
      <w:r w:rsidRPr="006031A9">
        <w:rPr>
          <w:lang w:val="fr-FR"/>
        </w:rPr>
        <w:t>, précité, § 46</w:t>
      </w:r>
      <w:r w:rsidRPr="006031A9">
        <w:rPr>
          <w:bCs/>
          <w:szCs w:val="24"/>
          <w:lang w:val="fr-FR"/>
        </w:rPr>
        <w:t>).</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102</w:t>
      </w:r>
      <w:r w:rsidRPr="006031A9">
        <w:rPr>
          <w:lang w:val="fr-FR"/>
        </w:rPr>
        <w:fldChar w:fldCharType="end"/>
      </w:r>
      <w:r w:rsidRPr="006031A9">
        <w:rPr>
          <w:lang w:val="fr-FR"/>
        </w:rPr>
        <w:t>.  </w:t>
      </w:r>
      <w:r w:rsidRPr="006031A9">
        <w:rPr>
          <w:bCs/>
          <w:lang w:val="fr-FR"/>
        </w:rPr>
        <w:t>Eu égard à ce qui précède, il peut être admis qu</w:t>
      </w:r>
      <w:r w:rsidR="006031A9" w:rsidRPr="006031A9">
        <w:rPr>
          <w:bCs/>
          <w:lang w:val="fr-FR"/>
        </w:rPr>
        <w:t>’</w:t>
      </w:r>
      <w:r w:rsidRPr="006031A9">
        <w:rPr>
          <w:bCs/>
          <w:lang w:val="fr-FR"/>
        </w:rPr>
        <w:t>il y avait en l</w:t>
      </w:r>
      <w:r w:rsidR="006031A9" w:rsidRPr="006031A9">
        <w:rPr>
          <w:bCs/>
          <w:lang w:val="fr-FR"/>
        </w:rPr>
        <w:t>’</w:t>
      </w:r>
      <w:r w:rsidRPr="006031A9">
        <w:rPr>
          <w:bCs/>
          <w:lang w:val="fr-FR"/>
        </w:rPr>
        <w:t>espèce des motifs sérieux, se basant sur des éléments objectifs et concrets, sur lesquels reposaient les refus opposés par les juridictions belges d</w:t>
      </w:r>
      <w:r w:rsidR="006031A9" w:rsidRPr="006031A9">
        <w:rPr>
          <w:bCs/>
          <w:lang w:val="fr-FR"/>
        </w:rPr>
        <w:t>’</w:t>
      </w:r>
      <w:r w:rsidRPr="006031A9">
        <w:rPr>
          <w:bCs/>
          <w:lang w:val="fr-FR"/>
        </w:rPr>
        <w:t>interroger les agents infiltrés.</w:t>
      </w:r>
    </w:p>
    <w:p w:rsidR="00C85586" w:rsidRPr="006031A9" w:rsidRDefault="00C85586" w:rsidP="006031A9">
      <w:pPr>
        <w:pStyle w:val="ECHRHeading6"/>
        <w:rPr>
          <w:lang w:val="fr-FR"/>
        </w:rPr>
      </w:pPr>
      <w:r w:rsidRPr="006031A9">
        <w:rPr>
          <w:lang w:val="fr-FR"/>
        </w:rPr>
        <w:lastRenderedPageBreak/>
        <w:t>β.  L</w:t>
      </w:r>
      <w:r w:rsidR="006031A9" w:rsidRPr="006031A9">
        <w:rPr>
          <w:lang w:val="fr-FR"/>
        </w:rPr>
        <w:t>’</w:t>
      </w:r>
      <w:r w:rsidRPr="006031A9">
        <w:rPr>
          <w:lang w:val="fr-FR"/>
        </w:rPr>
        <w:t>importance des témoignages des agents infiltrés dans la condamnation du requérant</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103</w:t>
      </w:r>
      <w:r w:rsidRPr="006031A9">
        <w:rPr>
          <w:lang w:val="fr-FR"/>
        </w:rPr>
        <w:fldChar w:fldCharType="end"/>
      </w:r>
      <w:r w:rsidRPr="006031A9">
        <w:rPr>
          <w:lang w:val="fr-FR"/>
        </w:rPr>
        <w:t>.  En ce qui concerne la seconde étape du raisonnement énoncé dans l</w:t>
      </w:r>
      <w:r w:rsidR="006031A9" w:rsidRPr="006031A9">
        <w:rPr>
          <w:lang w:val="fr-FR"/>
        </w:rPr>
        <w:t>’</w:t>
      </w:r>
      <w:r w:rsidRPr="006031A9">
        <w:rPr>
          <w:lang w:val="fr-FR"/>
        </w:rPr>
        <w:t xml:space="preserve">arrêt </w:t>
      </w:r>
      <w:r w:rsidRPr="006031A9">
        <w:rPr>
          <w:i/>
          <w:lang w:val="fr-FR"/>
        </w:rPr>
        <w:t>Al-Khawaja et Tahery</w:t>
      </w:r>
      <w:r w:rsidRPr="006031A9">
        <w:rPr>
          <w:lang w:val="fr-FR"/>
        </w:rPr>
        <w:t xml:space="preserve"> (précité, §§ 119 et 126-147) et rappelé dans l</w:t>
      </w:r>
      <w:r w:rsidR="006031A9" w:rsidRPr="006031A9">
        <w:rPr>
          <w:lang w:val="fr-FR"/>
        </w:rPr>
        <w:t>’</w:t>
      </w:r>
      <w:r w:rsidRPr="006031A9">
        <w:rPr>
          <w:lang w:val="fr-FR"/>
        </w:rPr>
        <w:t xml:space="preserve">arrêt </w:t>
      </w:r>
      <w:r w:rsidRPr="006031A9">
        <w:rPr>
          <w:i/>
          <w:lang w:val="fr-FR"/>
        </w:rPr>
        <w:t>Schatschaschwili</w:t>
      </w:r>
      <w:r w:rsidRPr="006031A9">
        <w:rPr>
          <w:lang w:val="fr-FR"/>
        </w:rPr>
        <w:t xml:space="preserve"> (précité, § 107), à savoir la question de déterminer le degré d</w:t>
      </w:r>
      <w:r w:rsidR="006031A9" w:rsidRPr="006031A9">
        <w:rPr>
          <w:lang w:val="fr-FR"/>
        </w:rPr>
        <w:t>’</w:t>
      </w:r>
      <w:r w:rsidRPr="006031A9">
        <w:rPr>
          <w:lang w:val="fr-FR"/>
        </w:rPr>
        <w:t>importance des dépositions des témoins absents et, en particulier, de savoir si ces dépositions ont constitué le fondement unique ou déterminant de la condamnation du requérant, la Cour doit avoir égard avant tout à l</w:t>
      </w:r>
      <w:r w:rsidR="006031A9" w:rsidRPr="006031A9">
        <w:rPr>
          <w:lang w:val="fr-FR"/>
        </w:rPr>
        <w:t>’</w:t>
      </w:r>
      <w:r w:rsidRPr="006031A9">
        <w:rPr>
          <w:lang w:val="fr-FR"/>
        </w:rPr>
        <w:t>appréciation à laquelle se sont livrées les juridictions nationales (</w:t>
      </w:r>
      <w:r w:rsidRPr="006031A9">
        <w:rPr>
          <w:i/>
          <w:lang w:val="fr-FR"/>
        </w:rPr>
        <w:t>Schatschaschwili</w:t>
      </w:r>
      <w:r w:rsidRPr="006031A9">
        <w:rPr>
          <w:lang w:val="fr-FR"/>
        </w:rPr>
        <w:t>, précité, § 141).</w:t>
      </w:r>
    </w:p>
    <w:bookmarkStart w:id="46" w:name="ETAP2start"/>
    <w:p w:rsidR="0002655A" w:rsidRPr="006031A9" w:rsidRDefault="00C85586" w:rsidP="006031A9">
      <w:pPr>
        <w:pStyle w:val="ECHRPara"/>
        <w:rPr>
          <w:lang w:val="fr-FR"/>
        </w:rPr>
      </w:pPr>
      <w:r w:rsidRPr="006031A9">
        <w:rPr>
          <w:bCs/>
          <w:szCs w:val="24"/>
          <w:lang w:val="fr-FR"/>
        </w:rPr>
        <w:fldChar w:fldCharType="begin"/>
      </w:r>
      <w:r w:rsidRPr="006031A9">
        <w:rPr>
          <w:bCs/>
          <w:szCs w:val="24"/>
          <w:lang w:val="fr-FR"/>
        </w:rPr>
        <w:instrText xml:space="preserve"> SEQ level0 \*arabic </w:instrText>
      </w:r>
      <w:r w:rsidRPr="006031A9">
        <w:rPr>
          <w:bCs/>
          <w:szCs w:val="24"/>
          <w:lang w:val="fr-FR"/>
        </w:rPr>
        <w:fldChar w:fldCharType="separate"/>
      </w:r>
      <w:r w:rsidR="006031A9" w:rsidRPr="006031A9">
        <w:rPr>
          <w:bCs/>
          <w:noProof/>
          <w:szCs w:val="24"/>
          <w:lang w:val="fr-FR"/>
        </w:rPr>
        <w:t>104</w:t>
      </w:r>
      <w:r w:rsidRPr="006031A9">
        <w:rPr>
          <w:bCs/>
          <w:szCs w:val="24"/>
          <w:lang w:val="fr-FR"/>
        </w:rPr>
        <w:fldChar w:fldCharType="end"/>
      </w:r>
      <w:bookmarkEnd w:id="46"/>
      <w:r w:rsidRPr="006031A9">
        <w:rPr>
          <w:bCs/>
          <w:szCs w:val="24"/>
          <w:lang w:val="fr-FR"/>
        </w:rPr>
        <w:t>.</w:t>
      </w:r>
      <w:r w:rsidR="00CE5C03" w:rsidRPr="006031A9">
        <w:rPr>
          <w:bCs/>
          <w:szCs w:val="24"/>
          <w:lang w:val="fr-FR"/>
        </w:rPr>
        <w:t> </w:t>
      </w:r>
      <w:r w:rsidRPr="006031A9">
        <w:rPr>
          <w:bCs/>
          <w:szCs w:val="24"/>
          <w:lang w:val="fr-FR"/>
        </w:rPr>
        <w:t> L</w:t>
      </w:r>
      <w:r w:rsidRPr="006031A9">
        <w:rPr>
          <w:lang w:val="fr-FR"/>
        </w:rPr>
        <w:t>a Cour constate que les juridictions nationales se sont appuyées sur les dépositions des agents infiltrés mais que la cour d</w:t>
      </w:r>
      <w:r w:rsidR="006031A9" w:rsidRPr="006031A9">
        <w:rPr>
          <w:lang w:val="fr-FR"/>
        </w:rPr>
        <w:t>’</w:t>
      </w:r>
      <w:r w:rsidRPr="006031A9">
        <w:rPr>
          <w:lang w:val="fr-FR"/>
        </w:rPr>
        <w:t>appel a explicitement déclaré n</w:t>
      </w:r>
      <w:r w:rsidR="006031A9" w:rsidRPr="006031A9">
        <w:rPr>
          <w:lang w:val="fr-FR"/>
        </w:rPr>
        <w:t>’</w:t>
      </w:r>
      <w:r w:rsidRPr="006031A9">
        <w:rPr>
          <w:lang w:val="fr-FR"/>
        </w:rPr>
        <w:t>y attacher qu</w:t>
      </w:r>
      <w:r w:rsidR="006031A9" w:rsidRPr="006031A9">
        <w:rPr>
          <w:lang w:val="fr-FR"/>
        </w:rPr>
        <w:t>’</w:t>
      </w:r>
      <w:r w:rsidRPr="006031A9">
        <w:rPr>
          <w:lang w:val="fr-FR"/>
        </w:rPr>
        <w:t>une valeur probante « relative » (voir paragraphe 30, ci-dessus). Pour établir la vérité et fonder le constat de culpabilité du requérant, les juridictions se sont également basées sur d</w:t>
      </w:r>
      <w:r w:rsidR="006031A9" w:rsidRPr="006031A9">
        <w:rPr>
          <w:lang w:val="fr-FR"/>
        </w:rPr>
        <w:t>’</w:t>
      </w:r>
      <w:r w:rsidRPr="006031A9">
        <w:rPr>
          <w:lang w:val="fr-FR"/>
        </w:rPr>
        <w:t>autres éléments de preuve. La Cour observe que ces autres éléments</w:t>
      </w:r>
      <w:r w:rsidR="00CE5C03" w:rsidRPr="006031A9">
        <w:rPr>
          <w:lang w:val="fr-FR"/>
        </w:rPr>
        <w:t> </w:t>
      </w:r>
      <w:r w:rsidRPr="006031A9">
        <w:rPr>
          <w:lang w:val="fr-FR"/>
        </w:rPr>
        <w:t>–</w:t>
      </w:r>
      <w:r w:rsidR="00CE5C03" w:rsidRPr="006031A9">
        <w:rPr>
          <w:lang w:val="fr-FR"/>
        </w:rPr>
        <w:t> </w:t>
      </w:r>
      <w:r w:rsidRPr="006031A9">
        <w:rPr>
          <w:lang w:val="fr-FR"/>
        </w:rPr>
        <w:t>audition d</w:t>
      </w:r>
      <w:r w:rsidR="006031A9" w:rsidRPr="006031A9">
        <w:rPr>
          <w:lang w:val="fr-FR"/>
        </w:rPr>
        <w:t>’</w:t>
      </w:r>
      <w:r w:rsidRPr="006031A9">
        <w:rPr>
          <w:lang w:val="fr-FR"/>
        </w:rPr>
        <w:t>autres témoins, biens saisis lors de perquisitions et conversations téléphoniques</w:t>
      </w:r>
      <w:r w:rsidR="00CE5C03" w:rsidRPr="006031A9">
        <w:rPr>
          <w:lang w:val="fr-FR"/>
        </w:rPr>
        <w:t> </w:t>
      </w:r>
      <w:r w:rsidRPr="006031A9">
        <w:rPr>
          <w:lang w:val="fr-FR"/>
        </w:rPr>
        <w:t>–</w:t>
      </w:r>
      <w:r w:rsidR="00CE5C03" w:rsidRPr="006031A9">
        <w:rPr>
          <w:lang w:val="fr-FR"/>
        </w:rPr>
        <w:t> </w:t>
      </w:r>
      <w:r w:rsidRPr="006031A9">
        <w:rPr>
          <w:lang w:val="fr-FR"/>
        </w:rPr>
        <w:t>présentaient l</w:t>
      </w:r>
      <w:r w:rsidR="006031A9" w:rsidRPr="006031A9">
        <w:rPr>
          <w:lang w:val="fr-FR"/>
        </w:rPr>
        <w:t>’</w:t>
      </w:r>
      <w:r w:rsidRPr="006031A9">
        <w:rPr>
          <w:lang w:val="fr-FR"/>
        </w:rPr>
        <w:t>intérêt de corroborer les informations recueillies au cours des opérations d</w:t>
      </w:r>
      <w:r w:rsidR="006031A9" w:rsidRPr="006031A9">
        <w:rPr>
          <w:lang w:val="fr-FR"/>
        </w:rPr>
        <w:t>’</w:t>
      </w:r>
      <w:r w:rsidRPr="006031A9">
        <w:rPr>
          <w:lang w:val="fr-FR"/>
        </w:rPr>
        <w:t>infiltration et d</w:t>
      </w:r>
      <w:r w:rsidR="006031A9" w:rsidRPr="006031A9">
        <w:rPr>
          <w:lang w:val="fr-FR"/>
        </w:rPr>
        <w:t>’</w:t>
      </w:r>
      <w:r w:rsidRPr="006031A9">
        <w:rPr>
          <w:lang w:val="fr-FR"/>
        </w:rPr>
        <w:t>observation.</w:t>
      </w:r>
    </w:p>
    <w:bookmarkStart w:id="47" w:name="ETAP2end"/>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105</w:t>
      </w:r>
      <w:r w:rsidRPr="006031A9">
        <w:rPr>
          <w:lang w:val="fr-FR"/>
        </w:rPr>
        <w:fldChar w:fldCharType="end"/>
      </w:r>
      <w:bookmarkEnd w:id="47"/>
      <w:r w:rsidRPr="006031A9">
        <w:rPr>
          <w:lang w:val="fr-FR"/>
        </w:rPr>
        <w:t>.  Il en résulte que si les dépositions des agents infiltrés n</w:t>
      </w:r>
      <w:r w:rsidR="006031A9" w:rsidRPr="006031A9">
        <w:rPr>
          <w:lang w:val="fr-FR"/>
        </w:rPr>
        <w:t>’</w:t>
      </w:r>
      <w:r w:rsidRPr="006031A9">
        <w:rPr>
          <w:lang w:val="fr-FR"/>
        </w:rPr>
        <w:t>ont pas constitué le fondement unique ou déterminant de la condamnation du requérant, la Cour juge difficile de discerner si ces éléments constituaient la preuve unique ou déterminante mais est néanmoins convaincue qu</w:t>
      </w:r>
      <w:r w:rsidR="006031A9" w:rsidRPr="006031A9">
        <w:rPr>
          <w:lang w:val="fr-FR"/>
        </w:rPr>
        <w:t>’</w:t>
      </w:r>
      <w:r w:rsidRPr="006031A9">
        <w:rPr>
          <w:lang w:val="fr-FR"/>
        </w:rPr>
        <w:t>ils revêtaient un poids certain et que leur admission peut avoir causé des difficultés à la défense (</w:t>
      </w:r>
      <w:r w:rsidRPr="006031A9">
        <w:rPr>
          <w:i/>
          <w:lang w:val="fr-FR"/>
        </w:rPr>
        <w:t>Schatschaschwili</w:t>
      </w:r>
      <w:r w:rsidRPr="006031A9">
        <w:rPr>
          <w:lang w:val="fr-FR"/>
        </w:rPr>
        <w:t xml:space="preserve">, précité, § 116, et </w:t>
      </w:r>
      <w:r w:rsidRPr="006031A9">
        <w:rPr>
          <w:i/>
          <w:lang w:val="fr-FR"/>
        </w:rPr>
        <w:t>Bátěk</w:t>
      </w:r>
      <w:r w:rsidR="00CE5C03" w:rsidRPr="006031A9">
        <w:rPr>
          <w:i/>
          <w:lang w:val="fr-FR"/>
        </w:rPr>
        <w:t xml:space="preserve"> et autres</w:t>
      </w:r>
      <w:r w:rsidRPr="006031A9">
        <w:rPr>
          <w:lang w:val="fr-FR"/>
        </w:rPr>
        <w:t>, précité, § 49).</w:t>
      </w:r>
    </w:p>
    <w:p w:rsidR="00C85586" w:rsidRPr="006031A9" w:rsidRDefault="00C85586" w:rsidP="006031A9">
      <w:pPr>
        <w:pStyle w:val="ECHRHeading6"/>
        <w:rPr>
          <w:lang w:val="fr-FR"/>
        </w:rPr>
      </w:pPr>
      <w:r w:rsidRPr="006031A9">
        <w:rPr>
          <w:lang w:val="fr-FR"/>
        </w:rPr>
        <w:t>γ.  Les garanties procédurales pour contrebalancer les difficultés causées à la défense</w:t>
      </w:r>
    </w:p>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106</w:t>
      </w:r>
      <w:r w:rsidRPr="006031A9">
        <w:rPr>
          <w:lang w:val="fr-FR"/>
        </w:rPr>
        <w:fldChar w:fldCharType="end"/>
      </w:r>
      <w:r w:rsidRPr="006031A9">
        <w:rPr>
          <w:lang w:val="fr-FR"/>
        </w:rPr>
        <w:t>.  La Cour se penchera enfin sur une troisième étape, à savoir l</w:t>
      </w:r>
      <w:r w:rsidR="006031A9" w:rsidRPr="006031A9">
        <w:rPr>
          <w:lang w:val="fr-FR"/>
        </w:rPr>
        <w:t>’</w:t>
      </w:r>
      <w:r w:rsidRPr="006031A9">
        <w:rPr>
          <w:lang w:val="fr-FR"/>
        </w:rPr>
        <w:t>existence ou non d</w:t>
      </w:r>
      <w:r w:rsidR="006031A9" w:rsidRPr="006031A9">
        <w:rPr>
          <w:lang w:val="fr-FR"/>
        </w:rPr>
        <w:t>’</w:t>
      </w:r>
      <w:r w:rsidRPr="006031A9">
        <w:rPr>
          <w:lang w:val="fr-FR"/>
        </w:rPr>
        <w:t>éléments compensateurs suffisants pour contrebalancer les difficultés causées à la défense en conséquence de l</w:t>
      </w:r>
      <w:r w:rsidR="006031A9" w:rsidRPr="006031A9">
        <w:rPr>
          <w:lang w:val="fr-FR"/>
        </w:rPr>
        <w:t>’</w:t>
      </w:r>
      <w:r w:rsidRPr="006031A9">
        <w:rPr>
          <w:lang w:val="fr-FR"/>
        </w:rPr>
        <w:t>admission des preuves émanant des agents infiltrés (</w:t>
      </w:r>
      <w:r w:rsidRPr="006031A9">
        <w:rPr>
          <w:i/>
          <w:lang w:val="fr-FR"/>
        </w:rPr>
        <w:t>Schatschaschwili</w:t>
      </w:r>
      <w:r w:rsidRPr="006031A9">
        <w:rPr>
          <w:lang w:val="fr-FR"/>
        </w:rPr>
        <w:t>, précité, § 145).</w:t>
      </w:r>
    </w:p>
    <w:p w:rsidR="00C85586" w:rsidRPr="006031A9" w:rsidRDefault="00C85586" w:rsidP="006031A9">
      <w:pPr>
        <w:pStyle w:val="ECHRPara"/>
        <w:rPr>
          <w:rFonts w:cs="Times New Roman"/>
          <w:i/>
          <w:iCs/>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107</w:t>
      </w:r>
      <w:r w:rsidRPr="006031A9">
        <w:rPr>
          <w:lang w:val="fr-FR"/>
        </w:rPr>
        <w:fldChar w:fldCharType="end"/>
      </w:r>
      <w:r w:rsidRPr="006031A9">
        <w:rPr>
          <w:lang w:val="fr-FR"/>
        </w:rPr>
        <w:t>.  La Cour rappelle premièrement que bien qu</w:t>
      </w:r>
      <w:r w:rsidR="006031A9" w:rsidRPr="006031A9">
        <w:rPr>
          <w:lang w:val="fr-FR"/>
        </w:rPr>
        <w:t>’</w:t>
      </w:r>
      <w:r w:rsidRPr="006031A9">
        <w:rPr>
          <w:lang w:val="fr-FR"/>
        </w:rPr>
        <w:t>elle n</w:t>
      </w:r>
      <w:r w:rsidR="006031A9" w:rsidRPr="006031A9">
        <w:rPr>
          <w:lang w:val="fr-FR"/>
        </w:rPr>
        <w:t>’</w:t>
      </w:r>
      <w:r w:rsidRPr="006031A9">
        <w:rPr>
          <w:lang w:val="fr-FR"/>
        </w:rPr>
        <w:t>ait pas confronté ouvertement les agents infiltrés, la chambre des mises en accusation a pu contrôler leur identité et leur fiabilité par la vérification, sur base du dossier confidentiel et du dossier répressif ouvert, de la régularité de leurs actions.</w:t>
      </w:r>
      <w:r w:rsidR="0002655A" w:rsidRPr="006031A9">
        <w:rPr>
          <w:lang w:val="fr-FR"/>
        </w:rPr>
        <w:t xml:space="preserve"> </w:t>
      </w:r>
      <w:r w:rsidRPr="006031A9">
        <w:rPr>
          <w:lang w:val="fr-FR"/>
        </w:rPr>
        <w:t>Ainsi que la Cour l</w:t>
      </w:r>
      <w:r w:rsidR="006031A9" w:rsidRPr="006031A9">
        <w:rPr>
          <w:lang w:val="fr-FR"/>
        </w:rPr>
        <w:t>’</w:t>
      </w:r>
      <w:r w:rsidRPr="006031A9">
        <w:rPr>
          <w:lang w:val="fr-FR"/>
        </w:rPr>
        <w:t>a indiqué à propos de la tenue du dossier confidentiel (voir paragraphes 72 et 79, ci-dessus), elle estime que le contrôle opéré en amont par la chambre des mises en accusation, juridiction indépendante et impartiale, à l</w:t>
      </w:r>
      <w:r w:rsidR="006031A9" w:rsidRPr="006031A9">
        <w:rPr>
          <w:lang w:val="fr-FR"/>
        </w:rPr>
        <w:t>’</w:t>
      </w:r>
      <w:r w:rsidRPr="006031A9">
        <w:rPr>
          <w:lang w:val="fr-FR"/>
        </w:rPr>
        <w:t>occasion duquel le requérant a</w:t>
      </w:r>
      <w:r w:rsidRPr="006031A9">
        <w:rPr>
          <w:bCs/>
          <w:lang w:val="fr-FR"/>
        </w:rPr>
        <w:t xml:space="preserve"> eu la possibilité d</w:t>
      </w:r>
      <w:r w:rsidR="006031A9" w:rsidRPr="006031A9">
        <w:rPr>
          <w:bCs/>
          <w:lang w:val="fr-FR"/>
        </w:rPr>
        <w:t>’</w:t>
      </w:r>
      <w:r w:rsidRPr="006031A9">
        <w:rPr>
          <w:lang w:val="fr-FR"/>
        </w:rPr>
        <w:t>invoquer</w:t>
      </w:r>
      <w:r w:rsidRPr="006031A9">
        <w:rPr>
          <w:bCs/>
          <w:lang w:val="fr-FR"/>
        </w:rPr>
        <w:t xml:space="preserve"> </w:t>
      </w:r>
      <w:r w:rsidRPr="006031A9">
        <w:rPr>
          <w:lang w:val="fr-FR"/>
        </w:rPr>
        <w:t>tous les moyens légaux à l</w:t>
      </w:r>
      <w:r w:rsidR="006031A9" w:rsidRPr="006031A9">
        <w:rPr>
          <w:lang w:val="fr-FR"/>
        </w:rPr>
        <w:t>’</w:t>
      </w:r>
      <w:r w:rsidRPr="006031A9">
        <w:rPr>
          <w:lang w:val="fr-FR"/>
        </w:rPr>
        <w:t xml:space="preserve">encontre des méthodes de recherche utilisées, y compris ceux relatifs à la provocation, a constitué une garantie procédurale </w:t>
      </w:r>
      <w:r w:rsidRPr="006031A9">
        <w:rPr>
          <w:lang w:val="fr-FR"/>
        </w:rPr>
        <w:lastRenderedPageBreak/>
        <w:t>importante de l</w:t>
      </w:r>
      <w:r w:rsidR="006031A9" w:rsidRPr="006031A9">
        <w:rPr>
          <w:lang w:val="fr-FR"/>
        </w:rPr>
        <w:t>’</w:t>
      </w:r>
      <w:r w:rsidRPr="006031A9">
        <w:rPr>
          <w:lang w:val="fr-FR"/>
        </w:rPr>
        <w:t xml:space="preserve">équité du procès (voir, </w:t>
      </w:r>
      <w:r w:rsidRPr="006031A9">
        <w:rPr>
          <w:i/>
          <w:iCs/>
          <w:lang w:val="fr-FR"/>
        </w:rPr>
        <w:t>a contrario</w:t>
      </w:r>
      <w:r w:rsidRPr="006031A9">
        <w:rPr>
          <w:lang w:val="fr-FR"/>
        </w:rPr>
        <w:t xml:space="preserve">, </w:t>
      </w:r>
      <w:r w:rsidRPr="006031A9">
        <w:rPr>
          <w:i/>
          <w:iCs/>
          <w:lang w:val="fr-FR"/>
        </w:rPr>
        <w:t>Gökbulut c. Turquie,</w:t>
      </w:r>
      <w:r w:rsidRPr="006031A9">
        <w:rPr>
          <w:snapToGrid w:val="0"/>
          <w:lang w:val="fr-FR"/>
        </w:rPr>
        <w:t xml:space="preserve"> </w:t>
      </w:r>
      <w:r w:rsidRPr="006031A9">
        <w:rPr>
          <w:lang w:val="fr-FR"/>
        </w:rPr>
        <w:t>n</w:t>
      </w:r>
      <w:r w:rsidRPr="006031A9">
        <w:rPr>
          <w:vertAlign w:val="superscript"/>
          <w:lang w:val="fr-FR"/>
        </w:rPr>
        <w:t>o</w:t>
      </w:r>
      <w:r w:rsidRPr="006031A9">
        <w:rPr>
          <w:lang w:val="fr-FR"/>
        </w:rPr>
        <w:t> 7459/04</w:t>
      </w:r>
      <w:r w:rsidRPr="006031A9">
        <w:rPr>
          <w:snapToGrid w:val="0"/>
          <w:lang w:val="fr-FR"/>
        </w:rPr>
        <w:t>, § 62, 29 mars 2016</w:t>
      </w:r>
      <w:r w:rsidRPr="006031A9">
        <w:rPr>
          <w:lang w:val="fr-FR"/>
        </w:rPr>
        <w:t>).</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108</w:t>
      </w:r>
      <w:r w:rsidRPr="006031A9">
        <w:rPr>
          <w:lang w:val="fr-FR"/>
        </w:rPr>
        <w:fldChar w:fldCharType="end"/>
      </w:r>
      <w:r w:rsidRPr="006031A9">
        <w:rPr>
          <w:lang w:val="fr-FR"/>
        </w:rPr>
        <w:t>.  De plus, la Cour relève que, devant les juridictions de jugement, le requérant a exposé ses griefs tirés de l</w:t>
      </w:r>
      <w:r w:rsidR="006031A9" w:rsidRPr="006031A9">
        <w:rPr>
          <w:lang w:val="fr-FR"/>
        </w:rPr>
        <w:t>’</w:t>
      </w:r>
      <w:r w:rsidRPr="006031A9">
        <w:rPr>
          <w:lang w:val="fr-FR"/>
        </w:rPr>
        <w:t>article 6 § 1. Dans ce cadre, il a notamment demandé qu</w:t>
      </w:r>
      <w:r w:rsidR="006031A9" w:rsidRPr="006031A9">
        <w:rPr>
          <w:lang w:val="fr-FR"/>
        </w:rPr>
        <w:t>’</w:t>
      </w:r>
      <w:r w:rsidRPr="006031A9">
        <w:rPr>
          <w:lang w:val="fr-FR"/>
        </w:rPr>
        <w:t xml:space="preserve">un des agents infiltrés se fasse interroger sur un point précis. Le tribunal de première instance a examiné cette demande de manière circonstanciée et a considéré que la réponse à la question figurait déjà dans le dossier répressif et pouvait être contredite, sur cette base, par le requérant (voir </w:t>
      </w:r>
      <w:r w:rsidRPr="006031A9">
        <w:rPr>
          <w:bCs/>
          <w:szCs w:val="24"/>
          <w:lang w:val="fr-FR"/>
        </w:rPr>
        <w:t xml:space="preserve">paragraphe </w:t>
      </w:r>
      <w:r w:rsidRPr="006031A9">
        <w:rPr>
          <w:bCs/>
          <w:szCs w:val="24"/>
          <w:lang w:val="fr-FR"/>
        </w:rPr>
        <w:fldChar w:fldCharType="begin"/>
      </w:r>
      <w:r w:rsidRPr="006031A9">
        <w:rPr>
          <w:bCs/>
          <w:szCs w:val="24"/>
          <w:lang w:val="fr-FR"/>
        </w:rPr>
        <w:instrText xml:space="preserve"> REF TEMOINTPI \h  \* MERGEFORMAT </w:instrText>
      </w:r>
      <w:r w:rsidRPr="006031A9">
        <w:rPr>
          <w:bCs/>
          <w:szCs w:val="24"/>
          <w:lang w:val="fr-FR"/>
        </w:rPr>
      </w:r>
      <w:r w:rsidRPr="006031A9">
        <w:rPr>
          <w:bCs/>
          <w:szCs w:val="24"/>
          <w:lang w:val="fr-FR"/>
        </w:rPr>
        <w:fldChar w:fldCharType="separate"/>
      </w:r>
      <w:r w:rsidR="006031A9" w:rsidRPr="006031A9">
        <w:rPr>
          <w:bCs/>
          <w:szCs w:val="24"/>
          <w:lang w:val="fr-FR"/>
        </w:rPr>
        <w:t>27</w:t>
      </w:r>
      <w:r w:rsidRPr="006031A9">
        <w:rPr>
          <w:bCs/>
          <w:szCs w:val="24"/>
          <w:lang w:val="fr-FR"/>
        </w:rPr>
        <w:fldChar w:fldCharType="end"/>
      </w:r>
      <w:r w:rsidRPr="006031A9">
        <w:rPr>
          <w:bCs/>
          <w:szCs w:val="24"/>
          <w:lang w:val="fr-FR"/>
        </w:rPr>
        <w:t>, ci-dessus</w:t>
      </w:r>
      <w:r w:rsidRPr="006031A9">
        <w:rPr>
          <w:lang w:val="fr-FR"/>
        </w:rPr>
        <w:t>). La Cour observe que pas davantage devant les juridictions internes que devant elle, le requérant n</w:t>
      </w:r>
      <w:r w:rsidR="006031A9" w:rsidRPr="006031A9">
        <w:rPr>
          <w:lang w:val="fr-FR"/>
        </w:rPr>
        <w:t>’</w:t>
      </w:r>
      <w:r w:rsidRPr="006031A9">
        <w:rPr>
          <w:lang w:val="fr-FR"/>
        </w:rPr>
        <w:t>a étayé plus avant en quoi l</w:t>
      </w:r>
      <w:r w:rsidR="006031A9" w:rsidRPr="006031A9">
        <w:rPr>
          <w:lang w:val="fr-FR"/>
        </w:rPr>
        <w:t>’</w:t>
      </w:r>
      <w:r w:rsidRPr="006031A9">
        <w:rPr>
          <w:lang w:val="fr-FR"/>
        </w:rPr>
        <w:t>interrogation des agents infiltrés n</w:t>
      </w:r>
      <w:r w:rsidR="006031A9" w:rsidRPr="006031A9">
        <w:rPr>
          <w:lang w:val="fr-FR"/>
        </w:rPr>
        <w:t>’</w:t>
      </w:r>
      <w:r w:rsidRPr="006031A9">
        <w:rPr>
          <w:lang w:val="fr-FR"/>
        </w:rPr>
        <w:t>avait pu être compensée par le contrôle opéré par la chambre des mises en accusation et en quoi le refus d</w:t>
      </w:r>
      <w:r w:rsidR="006031A9" w:rsidRPr="006031A9">
        <w:rPr>
          <w:lang w:val="fr-FR"/>
        </w:rPr>
        <w:t>’</w:t>
      </w:r>
      <w:r w:rsidRPr="006031A9">
        <w:rPr>
          <w:lang w:val="fr-FR"/>
        </w:rPr>
        <w:t>interroger les agents infiltrés portait concrètement atteinte à l</w:t>
      </w:r>
      <w:r w:rsidR="006031A9" w:rsidRPr="006031A9">
        <w:rPr>
          <w:lang w:val="fr-FR"/>
        </w:rPr>
        <w:t>’</w:t>
      </w:r>
      <w:r w:rsidRPr="006031A9">
        <w:rPr>
          <w:lang w:val="fr-FR"/>
        </w:rPr>
        <w:t>équité de la procédure suivie à son endroit.</w:t>
      </w:r>
    </w:p>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109</w:t>
      </w:r>
      <w:r w:rsidRPr="006031A9">
        <w:rPr>
          <w:lang w:val="fr-FR"/>
        </w:rPr>
        <w:fldChar w:fldCharType="end"/>
      </w:r>
      <w:r w:rsidRPr="006031A9">
        <w:rPr>
          <w:lang w:val="fr-FR"/>
        </w:rPr>
        <w:t>.  En ce qui concerne ensuite l</w:t>
      </w:r>
      <w:r w:rsidR="006031A9" w:rsidRPr="006031A9">
        <w:rPr>
          <w:lang w:val="fr-FR"/>
        </w:rPr>
        <w:t>’</w:t>
      </w:r>
      <w:r w:rsidRPr="006031A9">
        <w:rPr>
          <w:lang w:val="fr-FR"/>
        </w:rPr>
        <w:t>attitude des juridictions de jugement envers les dépositions des agents infiltrés, la Cour constate, certes, que rien dans le dossier n</w:t>
      </w:r>
      <w:r w:rsidR="006031A9" w:rsidRPr="006031A9">
        <w:rPr>
          <w:lang w:val="fr-FR"/>
        </w:rPr>
        <w:t>’</w:t>
      </w:r>
      <w:r w:rsidRPr="006031A9">
        <w:rPr>
          <w:lang w:val="fr-FR"/>
        </w:rPr>
        <w:t>établit que ces juridictions se soient penchées avec prudence sur les déclarations des agents sous couverture au motif qu</w:t>
      </w:r>
      <w:r w:rsidR="006031A9" w:rsidRPr="006031A9">
        <w:rPr>
          <w:lang w:val="fr-FR"/>
        </w:rPr>
        <w:t>’</w:t>
      </w:r>
      <w:r w:rsidRPr="006031A9">
        <w:rPr>
          <w:lang w:val="fr-FR"/>
        </w:rPr>
        <w:t>elles n</w:t>
      </w:r>
      <w:r w:rsidR="006031A9" w:rsidRPr="006031A9">
        <w:rPr>
          <w:lang w:val="fr-FR"/>
        </w:rPr>
        <w:t>’</w:t>
      </w:r>
      <w:r w:rsidRPr="006031A9">
        <w:rPr>
          <w:lang w:val="fr-FR"/>
        </w:rPr>
        <w:t>étaient pas vérifiées, ni qu</w:t>
      </w:r>
      <w:r w:rsidR="006031A9" w:rsidRPr="006031A9">
        <w:rPr>
          <w:lang w:val="fr-FR"/>
        </w:rPr>
        <w:t>’</w:t>
      </w:r>
      <w:r w:rsidRPr="006031A9">
        <w:rPr>
          <w:lang w:val="fr-FR"/>
        </w:rPr>
        <w:t>elles y auraient attaché moins d</w:t>
      </w:r>
      <w:r w:rsidR="006031A9" w:rsidRPr="006031A9">
        <w:rPr>
          <w:lang w:val="fr-FR"/>
        </w:rPr>
        <w:t>’</w:t>
      </w:r>
      <w:r w:rsidRPr="006031A9">
        <w:rPr>
          <w:lang w:val="fr-FR"/>
        </w:rPr>
        <w:t>importance en raison de l</w:t>
      </w:r>
      <w:r w:rsidR="006031A9" w:rsidRPr="006031A9">
        <w:rPr>
          <w:lang w:val="fr-FR"/>
        </w:rPr>
        <w:t>’</w:t>
      </w:r>
      <w:r w:rsidRPr="006031A9">
        <w:rPr>
          <w:lang w:val="fr-FR"/>
        </w:rPr>
        <w:t>impossibilité pour le requérant de soumettre les intéressés à un contre-interrogatoire ou du fait qu</w:t>
      </w:r>
      <w:r w:rsidR="006031A9" w:rsidRPr="006031A9">
        <w:rPr>
          <w:lang w:val="fr-FR"/>
        </w:rPr>
        <w:t>’</w:t>
      </w:r>
      <w:r w:rsidRPr="006031A9">
        <w:rPr>
          <w:lang w:val="fr-FR"/>
        </w:rPr>
        <w:t xml:space="preserve">elles ne les avaient ni vus ni entendus (comparer </w:t>
      </w:r>
      <w:r w:rsidRPr="006031A9">
        <w:rPr>
          <w:i/>
          <w:lang w:val="fr-FR"/>
        </w:rPr>
        <w:t>Schatschaschwili</w:t>
      </w:r>
      <w:r w:rsidRPr="006031A9">
        <w:rPr>
          <w:lang w:val="fr-FR"/>
        </w:rPr>
        <w:t xml:space="preserve">, précité, § 126, et </w:t>
      </w:r>
      <w:r w:rsidRPr="006031A9">
        <w:rPr>
          <w:i/>
          <w:lang w:val="fr-FR"/>
        </w:rPr>
        <w:t>Bátěk</w:t>
      </w:r>
      <w:r w:rsidR="00CE5C03" w:rsidRPr="006031A9">
        <w:rPr>
          <w:i/>
          <w:lang w:val="fr-FR"/>
        </w:rPr>
        <w:t xml:space="preserve"> et autres</w:t>
      </w:r>
      <w:r w:rsidRPr="006031A9">
        <w:rPr>
          <w:lang w:val="fr-FR"/>
        </w:rPr>
        <w:t>, précité, § 52).</w:t>
      </w:r>
    </w:p>
    <w:p w:rsidR="0002655A"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110</w:t>
      </w:r>
      <w:r w:rsidRPr="006031A9">
        <w:rPr>
          <w:lang w:val="fr-FR"/>
        </w:rPr>
        <w:fldChar w:fldCharType="end"/>
      </w:r>
      <w:r w:rsidRPr="006031A9">
        <w:rPr>
          <w:lang w:val="fr-FR"/>
        </w:rPr>
        <w:t>.  Cela étant, la Cour observe également, ainsi que l</w:t>
      </w:r>
      <w:r w:rsidR="006031A9" w:rsidRPr="006031A9">
        <w:rPr>
          <w:lang w:val="fr-FR"/>
        </w:rPr>
        <w:t>’</w:t>
      </w:r>
      <w:r w:rsidRPr="006031A9">
        <w:rPr>
          <w:lang w:val="fr-FR"/>
        </w:rPr>
        <w:t>a expliqué le tribunal de première instance, que les rapports dressés par les deux agents et leurs résultats ont pu être comparés, que les prévenus ont pu citer des témoins, et qu</w:t>
      </w:r>
      <w:r w:rsidR="006031A9" w:rsidRPr="006031A9">
        <w:rPr>
          <w:lang w:val="fr-FR"/>
        </w:rPr>
        <w:t>’</w:t>
      </w:r>
      <w:r w:rsidRPr="006031A9">
        <w:rPr>
          <w:lang w:val="fr-FR"/>
        </w:rPr>
        <w:t>à la requête notamment du requérant, des témoins ont été entendus concernant les moyens soulevés par lui à propos des agents sous couverture. De plus, tant le tribunal de première instance que la cour d</w:t>
      </w:r>
      <w:r w:rsidR="006031A9" w:rsidRPr="006031A9">
        <w:rPr>
          <w:lang w:val="fr-FR"/>
        </w:rPr>
        <w:t>’</w:t>
      </w:r>
      <w:r w:rsidRPr="006031A9">
        <w:rPr>
          <w:lang w:val="fr-FR"/>
        </w:rPr>
        <w:t xml:space="preserve">appel ont procédé à un examen rigoureux de tous les éléments de preuve, à savoir les preuves émanant des agents infiltrés et les autres preuves. Le tribunal a encore considéré que le tribunal même et les prévenus ont pu confronter les rapports relatifs aux découvertes desdits agents aux éléments objectifs, notamment les biens découverts lors des perquisitions, la conversation entre un agent infiltré et le requérant, et des contacts téléphoniques entre le requérant et cet agent (voir paragraphes </w:t>
      </w:r>
      <w:r w:rsidRPr="006031A9">
        <w:rPr>
          <w:lang w:val="fr-FR"/>
        </w:rPr>
        <w:fldChar w:fldCharType="begin"/>
      </w:r>
      <w:r w:rsidRPr="006031A9">
        <w:rPr>
          <w:lang w:val="fr-FR"/>
        </w:rPr>
        <w:instrText xml:space="preserve"> REF TEMOINTPI \h  \* MERGEFORMAT </w:instrText>
      </w:r>
      <w:r w:rsidRPr="006031A9">
        <w:rPr>
          <w:lang w:val="fr-FR"/>
        </w:rPr>
      </w:r>
      <w:r w:rsidRPr="006031A9">
        <w:rPr>
          <w:lang w:val="fr-FR"/>
        </w:rPr>
        <w:fldChar w:fldCharType="separate"/>
      </w:r>
      <w:r w:rsidR="006031A9" w:rsidRPr="006031A9">
        <w:rPr>
          <w:noProof/>
          <w:lang w:val="fr-FR"/>
        </w:rPr>
        <w:t>27</w:t>
      </w:r>
      <w:r w:rsidRPr="006031A9">
        <w:rPr>
          <w:lang w:val="fr-FR"/>
        </w:rPr>
        <w:fldChar w:fldCharType="end"/>
      </w:r>
      <w:r w:rsidRPr="006031A9">
        <w:rPr>
          <w:lang w:val="fr-FR"/>
        </w:rPr>
        <w:t xml:space="preserve"> et</w:t>
      </w:r>
      <w:r w:rsidRPr="006031A9">
        <w:rPr>
          <w:bCs/>
          <w:szCs w:val="24"/>
          <w:lang w:val="fr-FR"/>
        </w:rPr>
        <w:t xml:space="preserve"> </w:t>
      </w:r>
      <w:r w:rsidRPr="006031A9">
        <w:rPr>
          <w:bCs/>
          <w:szCs w:val="24"/>
          <w:lang w:val="fr-FR"/>
        </w:rPr>
        <w:fldChar w:fldCharType="begin"/>
      </w:r>
      <w:r w:rsidRPr="006031A9">
        <w:rPr>
          <w:bCs/>
          <w:szCs w:val="24"/>
          <w:lang w:val="fr-FR"/>
        </w:rPr>
        <w:instrText xml:space="preserve"> REF CAPP131011 \h  \* MERGEFORMAT </w:instrText>
      </w:r>
      <w:r w:rsidRPr="006031A9">
        <w:rPr>
          <w:bCs/>
          <w:szCs w:val="24"/>
          <w:lang w:val="fr-FR"/>
        </w:rPr>
      </w:r>
      <w:r w:rsidRPr="006031A9">
        <w:rPr>
          <w:bCs/>
          <w:szCs w:val="24"/>
          <w:lang w:val="fr-FR"/>
        </w:rPr>
        <w:fldChar w:fldCharType="separate"/>
      </w:r>
      <w:r w:rsidR="006031A9" w:rsidRPr="006031A9">
        <w:rPr>
          <w:noProof/>
          <w:lang w:val="fr-FR"/>
        </w:rPr>
        <w:t>30</w:t>
      </w:r>
      <w:r w:rsidRPr="006031A9">
        <w:rPr>
          <w:bCs/>
          <w:szCs w:val="24"/>
          <w:lang w:val="fr-FR"/>
        </w:rPr>
        <w:fldChar w:fldCharType="end"/>
      </w:r>
      <w:r w:rsidRPr="006031A9">
        <w:rPr>
          <w:bCs/>
          <w:szCs w:val="24"/>
          <w:lang w:val="fr-FR"/>
        </w:rPr>
        <w:t>, ci-dessus</w:t>
      </w:r>
      <w:r w:rsidRPr="006031A9">
        <w:rPr>
          <w:lang w:val="fr-FR"/>
        </w:rPr>
        <w:t>).</w:t>
      </w:r>
    </w:p>
    <w:p w:rsidR="00C85586" w:rsidRPr="006031A9" w:rsidRDefault="00C85586" w:rsidP="006031A9">
      <w:pPr>
        <w:pStyle w:val="ECHRPara"/>
        <w:rPr>
          <w:lang w:val="fr-FR"/>
        </w:rPr>
      </w:pPr>
      <w:r w:rsidRPr="006031A9">
        <w:rPr>
          <w:lang w:val="fr-FR"/>
        </w:rPr>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111</w:t>
      </w:r>
      <w:r w:rsidRPr="006031A9">
        <w:rPr>
          <w:lang w:val="fr-FR"/>
        </w:rPr>
        <w:fldChar w:fldCharType="end"/>
      </w:r>
      <w:r w:rsidRPr="006031A9">
        <w:rPr>
          <w:lang w:val="fr-FR"/>
        </w:rPr>
        <w:t>.  Eu égard à ce qui précède, la Cour estime qu</w:t>
      </w:r>
      <w:r w:rsidR="006031A9" w:rsidRPr="006031A9">
        <w:rPr>
          <w:lang w:val="fr-FR"/>
        </w:rPr>
        <w:t>’</w:t>
      </w:r>
      <w:r w:rsidRPr="006031A9">
        <w:rPr>
          <w:lang w:val="fr-FR"/>
        </w:rPr>
        <w:t>en l</w:t>
      </w:r>
      <w:r w:rsidR="006031A9" w:rsidRPr="006031A9">
        <w:rPr>
          <w:lang w:val="fr-FR"/>
        </w:rPr>
        <w:t>’</w:t>
      </w:r>
      <w:r w:rsidRPr="006031A9">
        <w:rPr>
          <w:lang w:val="fr-FR"/>
        </w:rPr>
        <w:t>espèce le requérant a pu contester les éléments recueillis par l</w:t>
      </w:r>
      <w:r w:rsidR="006031A9" w:rsidRPr="006031A9">
        <w:rPr>
          <w:lang w:val="fr-FR"/>
        </w:rPr>
        <w:t>’</w:t>
      </w:r>
      <w:r w:rsidRPr="006031A9">
        <w:rPr>
          <w:lang w:val="fr-FR"/>
        </w:rPr>
        <w:t>intervention des agents infiltrés. Il existait ainsi des garanties procédurales suffisantes pour contrebalancer les difficultés causées à la défense en conséquence de l</w:t>
      </w:r>
      <w:r w:rsidR="006031A9" w:rsidRPr="006031A9">
        <w:rPr>
          <w:lang w:val="fr-FR"/>
        </w:rPr>
        <w:t>’</w:t>
      </w:r>
      <w:r w:rsidRPr="006031A9">
        <w:rPr>
          <w:lang w:val="fr-FR"/>
        </w:rPr>
        <w:t>admission de ces éléments comme preuve, alors que les agents infiltrés n</w:t>
      </w:r>
      <w:r w:rsidR="006031A9" w:rsidRPr="006031A9">
        <w:rPr>
          <w:lang w:val="fr-FR"/>
        </w:rPr>
        <w:t>’</w:t>
      </w:r>
      <w:r w:rsidRPr="006031A9">
        <w:rPr>
          <w:lang w:val="fr-FR"/>
        </w:rPr>
        <w:t>ont pas pu être interrogés par celles-ci, et pour assurer l</w:t>
      </w:r>
      <w:r w:rsidR="006031A9" w:rsidRPr="006031A9">
        <w:rPr>
          <w:lang w:val="fr-FR"/>
        </w:rPr>
        <w:t>’</w:t>
      </w:r>
      <w:r w:rsidRPr="006031A9">
        <w:rPr>
          <w:lang w:val="fr-FR"/>
        </w:rPr>
        <w:t>équité de la procédure dans son ensemble.</w:t>
      </w:r>
    </w:p>
    <w:p w:rsidR="00C85586" w:rsidRPr="006031A9" w:rsidRDefault="00C85586" w:rsidP="006031A9">
      <w:pPr>
        <w:pStyle w:val="ECHRPara"/>
        <w:rPr>
          <w:lang w:val="fr-FR"/>
        </w:rPr>
      </w:pPr>
      <w:r w:rsidRPr="006031A9">
        <w:rPr>
          <w:lang w:val="fr-FR"/>
        </w:rPr>
        <w:lastRenderedPageBreak/>
        <w:fldChar w:fldCharType="begin"/>
      </w:r>
      <w:r w:rsidRPr="006031A9">
        <w:rPr>
          <w:lang w:val="fr-FR"/>
        </w:rPr>
        <w:instrText xml:space="preserve"> SEQ level0 \*arabic </w:instrText>
      </w:r>
      <w:r w:rsidRPr="006031A9">
        <w:rPr>
          <w:lang w:val="fr-FR"/>
        </w:rPr>
        <w:fldChar w:fldCharType="separate"/>
      </w:r>
      <w:r w:rsidR="006031A9" w:rsidRPr="006031A9">
        <w:rPr>
          <w:noProof/>
          <w:lang w:val="fr-FR"/>
        </w:rPr>
        <w:t>112</w:t>
      </w:r>
      <w:r w:rsidRPr="006031A9">
        <w:rPr>
          <w:lang w:val="fr-FR"/>
        </w:rPr>
        <w:fldChar w:fldCharType="end"/>
      </w:r>
      <w:r w:rsidRPr="006031A9">
        <w:rPr>
          <w:lang w:val="fr-FR"/>
        </w:rPr>
        <w:t>.  Partant, il n</w:t>
      </w:r>
      <w:r w:rsidR="006031A9" w:rsidRPr="006031A9">
        <w:rPr>
          <w:lang w:val="fr-FR"/>
        </w:rPr>
        <w:t>’</w:t>
      </w:r>
      <w:r w:rsidRPr="006031A9">
        <w:rPr>
          <w:lang w:val="fr-FR"/>
        </w:rPr>
        <w:t>y a pas eu violation de l</w:t>
      </w:r>
      <w:r w:rsidR="006031A9" w:rsidRPr="006031A9">
        <w:rPr>
          <w:lang w:val="fr-FR"/>
        </w:rPr>
        <w:t>’</w:t>
      </w:r>
      <w:r w:rsidRPr="006031A9">
        <w:rPr>
          <w:lang w:val="fr-FR"/>
        </w:rPr>
        <w:t>article 6 §§ 1 et 3 d) de la Convention.</w:t>
      </w:r>
    </w:p>
    <w:p w:rsidR="0002655A" w:rsidRPr="006031A9" w:rsidRDefault="00C85586" w:rsidP="006031A9">
      <w:pPr>
        <w:pStyle w:val="ECHRTitle1"/>
        <w:rPr>
          <w:lang w:val="fr-FR"/>
        </w:rPr>
      </w:pPr>
      <w:r w:rsidRPr="006031A9">
        <w:rPr>
          <w:lang w:val="fr-FR"/>
        </w:rPr>
        <w:t>PAR CES MOTIFS, LA COUR,</w:t>
      </w:r>
    </w:p>
    <w:p w:rsidR="00C85586" w:rsidRPr="006031A9" w:rsidRDefault="00C85586" w:rsidP="006031A9">
      <w:pPr>
        <w:pStyle w:val="JuList"/>
        <w:rPr>
          <w:lang w:val="fr-FR"/>
        </w:rPr>
      </w:pPr>
      <w:r w:rsidRPr="006031A9">
        <w:rPr>
          <w:lang w:val="fr-FR"/>
        </w:rPr>
        <w:t>1.  </w:t>
      </w:r>
      <w:r w:rsidRPr="006031A9">
        <w:rPr>
          <w:i/>
          <w:lang w:val="fr-FR"/>
        </w:rPr>
        <w:t>Décide</w:t>
      </w:r>
      <w:r w:rsidRPr="006031A9">
        <w:rPr>
          <w:lang w:val="fr-FR"/>
        </w:rPr>
        <w:t>, à l</w:t>
      </w:r>
      <w:r w:rsidR="006031A9" w:rsidRPr="006031A9">
        <w:rPr>
          <w:lang w:val="fr-FR"/>
        </w:rPr>
        <w:t>’</w:t>
      </w:r>
      <w:r w:rsidRPr="006031A9">
        <w:rPr>
          <w:lang w:val="fr-FR"/>
        </w:rPr>
        <w:t>unanimité, de joindre les requêtes ;</w:t>
      </w:r>
    </w:p>
    <w:p w:rsidR="00C85586" w:rsidRPr="006031A9" w:rsidRDefault="00C85586" w:rsidP="006031A9">
      <w:pPr>
        <w:pStyle w:val="JuList"/>
        <w:rPr>
          <w:lang w:val="fr-FR"/>
        </w:rPr>
      </w:pPr>
    </w:p>
    <w:p w:rsidR="00C85586" w:rsidRPr="006031A9" w:rsidRDefault="00C85586" w:rsidP="006031A9">
      <w:pPr>
        <w:pStyle w:val="JuList"/>
        <w:rPr>
          <w:lang w:val="fr-FR"/>
        </w:rPr>
      </w:pPr>
      <w:r w:rsidRPr="006031A9">
        <w:rPr>
          <w:lang w:val="fr-FR"/>
        </w:rPr>
        <w:t>2.  </w:t>
      </w:r>
      <w:r w:rsidRPr="006031A9">
        <w:rPr>
          <w:i/>
          <w:lang w:val="fr-FR"/>
        </w:rPr>
        <w:t>Déclare</w:t>
      </w:r>
      <w:r w:rsidRPr="006031A9">
        <w:rPr>
          <w:lang w:val="fr-FR"/>
        </w:rPr>
        <w:t>, à l</w:t>
      </w:r>
      <w:r w:rsidR="006031A9" w:rsidRPr="006031A9">
        <w:rPr>
          <w:lang w:val="fr-FR"/>
        </w:rPr>
        <w:t>’</w:t>
      </w:r>
      <w:r w:rsidRPr="006031A9">
        <w:rPr>
          <w:lang w:val="fr-FR"/>
        </w:rPr>
        <w:t>unanimité, les requêtes recevables ;</w:t>
      </w:r>
    </w:p>
    <w:p w:rsidR="00C85586" w:rsidRPr="006031A9" w:rsidRDefault="00C85586" w:rsidP="006031A9">
      <w:pPr>
        <w:pStyle w:val="JuList"/>
        <w:rPr>
          <w:lang w:val="fr-FR"/>
        </w:rPr>
      </w:pPr>
    </w:p>
    <w:p w:rsidR="00C85586" w:rsidRPr="006031A9" w:rsidRDefault="00C85586" w:rsidP="006031A9">
      <w:pPr>
        <w:pStyle w:val="JuList"/>
        <w:rPr>
          <w:lang w:val="fr-FR"/>
        </w:rPr>
      </w:pPr>
      <w:r w:rsidRPr="006031A9">
        <w:rPr>
          <w:lang w:val="fr-FR"/>
        </w:rPr>
        <w:t>3.  </w:t>
      </w:r>
      <w:r w:rsidRPr="006031A9">
        <w:rPr>
          <w:i/>
          <w:lang w:val="fr-FR"/>
        </w:rPr>
        <w:t>Dit</w:t>
      </w:r>
      <w:r w:rsidRPr="006031A9">
        <w:rPr>
          <w:lang w:val="fr-FR"/>
        </w:rPr>
        <w:t>, à l</w:t>
      </w:r>
      <w:r w:rsidR="006031A9" w:rsidRPr="006031A9">
        <w:rPr>
          <w:lang w:val="fr-FR"/>
        </w:rPr>
        <w:t>’</w:t>
      </w:r>
      <w:r w:rsidRPr="006031A9">
        <w:rPr>
          <w:lang w:val="fr-FR"/>
        </w:rPr>
        <w:t>unanimité, qu</w:t>
      </w:r>
      <w:r w:rsidR="006031A9" w:rsidRPr="006031A9">
        <w:rPr>
          <w:lang w:val="fr-FR"/>
        </w:rPr>
        <w:t>’</w:t>
      </w:r>
      <w:r w:rsidRPr="006031A9">
        <w:rPr>
          <w:lang w:val="fr-FR"/>
        </w:rPr>
        <w:t>il n</w:t>
      </w:r>
      <w:r w:rsidR="006031A9" w:rsidRPr="006031A9">
        <w:rPr>
          <w:lang w:val="fr-FR"/>
        </w:rPr>
        <w:t>’</w:t>
      </w:r>
      <w:r w:rsidRPr="006031A9">
        <w:rPr>
          <w:lang w:val="fr-FR"/>
        </w:rPr>
        <w:t>y a pas eu violation de l</w:t>
      </w:r>
      <w:r w:rsidR="006031A9" w:rsidRPr="006031A9">
        <w:rPr>
          <w:lang w:val="fr-FR"/>
        </w:rPr>
        <w:t>’</w:t>
      </w:r>
      <w:r w:rsidRPr="006031A9">
        <w:rPr>
          <w:lang w:val="fr-FR"/>
        </w:rPr>
        <w:t>article 6 § 1 de la Convention du fait de l</w:t>
      </w:r>
      <w:r w:rsidR="006031A9" w:rsidRPr="006031A9">
        <w:rPr>
          <w:lang w:val="fr-FR"/>
        </w:rPr>
        <w:t>’</w:t>
      </w:r>
      <w:r w:rsidRPr="006031A9">
        <w:rPr>
          <w:lang w:val="fr-FR"/>
        </w:rPr>
        <w:t>absence d</w:t>
      </w:r>
      <w:r w:rsidR="006031A9" w:rsidRPr="006031A9">
        <w:rPr>
          <w:lang w:val="fr-FR"/>
        </w:rPr>
        <w:t>’</w:t>
      </w:r>
      <w:r w:rsidRPr="006031A9">
        <w:rPr>
          <w:lang w:val="fr-FR"/>
        </w:rPr>
        <w:t>accès au dossier confidentiel ;</w:t>
      </w:r>
    </w:p>
    <w:p w:rsidR="00C85586" w:rsidRPr="006031A9" w:rsidRDefault="00C85586" w:rsidP="006031A9">
      <w:pPr>
        <w:pStyle w:val="JuList"/>
        <w:rPr>
          <w:lang w:val="fr-FR"/>
        </w:rPr>
      </w:pPr>
    </w:p>
    <w:p w:rsidR="00C85586" w:rsidRPr="006031A9" w:rsidRDefault="00C85586" w:rsidP="006031A9">
      <w:pPr>
        <w:pStyle w:val="JuList"/>
        <w:rPr>
          <w:lang w:val="fr-FR"/>
        </w:rPr>
      </w:pPr>
      <w:r w:rsidRPr="006031A9">
        <w:rPr>
          <w:lang w:val="fr-FR"/>
        </w:rPr>
        <w:t>4.  </w:t>
      </w:r>
      <w:r w:rsidRPr="006031A9">
        <w:rPr>
          <w:i/>
          <w:lang w:val="fr-FR"/>
        </w:rPr>
        <w:t>Dit</w:t>
      </w:r>
      <w:r w:rsidRPr="006031A9">
        <w:rPr>
          <w:lang w:val="fr-FR"/>
        </w:rPr>
        <w:t>, par quatre voix contre trois, qu</w:t>
      </w:r>
      <w:r w:rsidR="006031A9" w:rsidRPr="006031A9">
        <w:rPr>
          <w:lang w:val="fr-FR"/>
        </w:rPr>
        <w:t>’</w:t>
      </w:r>
      <w:r w:rsidRPr="006031A9">
        <w:rPr>
          <w:lang w:val="fr-FR"/>
        </w:rPr>
        <w:t>il n</w:t>
      </w:r>
      <w:r w:rsidR="006031A9" w:rsidRPr="006031A9">
        <w:rPr>
          <w:lang w:val="fr-FR"/>
        </w:rPr>
        <w:t>’</w:t>
      </w:r>
      <w:r w:rsidRPr="006031A9">
        <w:rPr>
          <w:lang w:val="fr-FR"/>
        </w:rPr>
        <w:t>y a pas eu violation de l</w:t>
      </w:r>
      <w:r w:rsidR="006031A9" w:rsidRPr="006031A9">
        <w:rPr>
          <w:lang w:val="fr-FR"/>
        </w:rPr>
        <w:t>’</w:t>
      </w:r>
      <w:r w:rsidRPr="006031A9">
        <w:rPr>
          <w:lang w:val="fr-FR"/>
        </w:rPr>
        <w:t>article 6 §§ 1 et 3 d) de la Convention du fait de l</w:t>
      </w:r>
      <w:r w:rsidR="006031A9" w:rsidRPr="006031A9">
        <w:rPr>
          <w:lang w:val="fr-FR"/>
        </w:rPr>
        <w:t>’</w:t>
      </w:r>
      <w:r w:rsidRPr="006031A9">
        <w:rPr>
          <w:lang w:val="fr-FR"/>
        </w:rPr>
        <w:t>impossibilité pour le requérant d</w:t>
      </w:r>
      <w:r w:rsidR="006031A9" w:rsidRPr="006031A9">
        <w:rPr>
          <w:lang w:val="fr-FR"/>
        </w:rPr>
        <w:t>’</w:t>
      </w:r>
      <w:r w:rsidRPr="006031A9">
        <w:rPr>
          <w:lang w:val="fr-FR"/>
        </w:rPr>
        <w:t>interroger ou de faire interroger les agents infiltrés.</w:t>
      </w:r>
    </w:p>
    <w:p w:rsidR="00C85586" w:rsidRPr="006031A9" w:rsidRDefault="00C85586" w:rsidP="006031A9">
      <w:pPr>
        <w:pStyle w:val="JuParaLast"/>
        <w:rPr>
          <w:lang w:val="fr-FR"/>
        </w:rPr>
      </w:pPr>
      <w:r w:rsidRPr="006031A9">
        <w:rPr>
          <w:lang w:val="fr-FR"/>
        </w:rPr>
        <w:t>Fait en français, puis communiqué par écrit le </w:t>
      </w:r>
      <w:r w:rsidR="001325E0" w:rsidRPr="006031A9">
        <w:rPr>
          <w:lang w:val="fr-FR"/>
        </w:rPr>
        <w:t>23</w:t>
      </w:r>
      <w:r w:rsidRPr="006031A9">
        <w:rPr>
          <w:lang w:val="fr-FR"/>
        </w:rPr>
        <w:t xml:space="preserve"> mai 2017, en application de l</w:t>
      </w:r>
      <w:r w:rsidR="006031A9" w:rsidRPr="006031A9">
        <w:rPr>
          <w:lang w:val="fr-FR"/>
        </w:rPr>
        <w:t>’</w:t>
      </w:r>
      <w:r w:rsidRPr="006031A9">
        <w:rPr>
          <w:lang w:val="fr-FR"/>
        </w:rPr>
        <w:t>article 77 §§ 2 et 3 du règlement de la Cour.</w:t>
      </w:r>
    </w:p>
    <w:p w:rsidR="00C85586" w:rsidRPr="006031A9" w:rsidRDefault="00C85586" w:rsidP="006031A9">
      <w:pPr>
        <w:pStyle w:val="JuSigned"/>
        <w:keepNext/>
        <w:keepLines/>
        <w:rPr>
          <w:lang w:val="fr-FR"/>
        </w:rPr>
      </w:pPr>
      <w:r w:rsidRPr="006031A9">
        <w:rPr>
          <w:lang w:val="fr-FR"/>
        </w:rPr>
        <w:tab/>
        <w:t>Hasan Bakırcı</w:t>
      </w:r>
      <w:r w:rsidRPr="006031A9">
        <w:rPr>
          <w:lang w:val="fr-FR"/>
        </w:rPr>
        <w:tab/>
      </w:r>
      <w:r w:rsidRPr="006031A9">
        <w:rPr>
          <w:szCs w:val="24"/>
          <w:lang w:val="fr-FR"/>
        </w:rPr>
        <w:t>Işıl Karakaş</w:t>
      </w:r>
      <w:r w:rsidRPr="006031A9">
        <w:rPr>
          <w:lang w:val="fr-FR"/>
        </w:rPr>
        <w:br/>
      </w:r>
      <w:r w:rsidRPr="006031A9">
        <w:rPr>
          <w:lang w:val="fr-FR"/>
        </w:rPr>
        <w:tab/>
        <w:t>Greffier adjoint</w:t>
      </w:r>
      <w:r w:rsidRPr="006031A9">
        <w:rPr>
          <w:lang w:val="fr-FR"/>
        </w:rPr>
        <w:tab/>
        <w:t>Présidente</w:t>
      </w:r>
    </w:p>
    <w:p w:rsidR="00C85586" w:rsidRPr="006031A9" w:rsidRDefault="00C85586" w:rsidP="006031A9">
      <w:pPr>
        <w:pStyle w:val="JuParaLast"/>
        <w:rPr>
          <w:lang w:val="fr-FR"/>
        </w:rPr>
      </w:pPr>
    </w:p>
    <w:p w:rsidR="00CE5C03" w:rsidRPr="006031A9" w:rsidRDefault="00C85586" w:rsidP="006031A9">
      <w:pPr>
        <w:pStyle w:val="ECHRPara"/>
        <w:rPr>
          <w:lang w:val="fr-FR"/>
        </w:rPr>
      </w:pPr>
      <w:r w:rsidRPr="006031A9">
        <w:rPr>
          <w:lang w:val="fr-FR"/>
        </w:rPr>
        <w:t>Au présent arrêt se trouve joint, conformément aux articles 45 § 2 de la Convention et 74 § 2 du règlement, l</w:t>
      </w:r>
      <w:r w:rsidR="006031A9" w:rsidRPr="006031A9">
        <w:rPr>
          <w:lang w:val="fr-FR"/>
        </w:rPr>
        <w:t>’</w:t>
      </w:r>
      <w:r w:rsidRPr="006031A9">
        <w:rPr>
          <w:lang w:val="fr-FR"/>
        </w:rPr>
        <w:t>exposé de l</w:t>
      </w:r>
      <w:r w:rsidR="006031A9" w:rsidRPr="006031A9">
        <w:rPr>
          <w:lang w:val="fr-FR"/>
        </w:rPr>
        <w:t>’</w:t>
      </w:r>
      <w:r w:rsidRPr="006031A9">
        <w:rPr>
          <w:lang w:val="fr-FR"/>
        </w:rPr>
        <w:t xml:space="preserve">opinion séparée </w:t>
      </w:r>
      <w:r w:rsidR="00CE5C03" w:rsidRPr="006031A9">
        <w:rPr>
          <w:lang w:val="fr-FR"/>
        </w:rPr>
        <w:t>des</w:t>
      </w:r>
      <w:r w:rsidRPr="006031A9">
        <w:rPr>
          <w:lang w:val="fr-FR"/>
        </w:rPr>
        <w:t xml:space="preserve"> jug</w:t>
      </w:r>
      <w:r w:rsidR="00BD1C5D" w:rsidRPr="006031A9">
        <w:rPr>
          <w:lang w:val="fr-FR"/>
        </w:rPr>
        <w:t>es Karakaş, Laffranque et Turković</w:t>
      </w:r>
      <w:r w:rsidRPr="006031A9">
        <w:rPr>
          <w:lang w:val="fr-FR"/>
        </w:rPr>
        <w:t>.</w:t>
      </w:r>
    </w:p>
    <w:p w:rsidR="00CE5C03" w:rsidRPr="006031A9" w:rsidRDefault="00CE5C03" w:rsidP="006031A9">
      <w:pPr>
        <w:pStyle w:val="JuInitialled"/>
        <w:rPr>
          <w:lang w:val="fr-FR"/>
        </w:rPr>
      </w:pPr>
      <w:r w:rsidRPr="006031A9">
        <w:rPr>
          <w:lang w:val="fr-FR"/>
        </w:rPr>
        <w:t>A.</w:t>
      </w:r>
      <w:r w:rsidR="001325E0" w:rsidRPr="006031A9">
        <w:rPr>
          <w:lang w:val="fr-FR"/>
        </w:rPr>
        <w:t>I.</w:t>
      </w:r>
      <w:r w:rsidRPr="006031A9">
        <w:rPr>
          <w:lang w:val="fr-FR"/>
        </w:rPr>
        <w:t>K.</w:t>
      </w:r>
      <w:r w:rsidRPr="006031A9">
        <w:rPr>
          <w:lang w:val="fr-FR"/>
        </w:rPr>
        <w:br/>
        <w:t>H.B.</w:t>
      </w:r>
    </w:p>
    <w:p w:rsidR="00CD3B18" w:rsidRPr="006031A9" w:rsidRDefault="00CD3B18" w:rsidP="006031A9">
      <w:pPr>
        <w:pStyle w:val="JuInitialled"/>
        <w:rPr>
          <w:lang w:val="fr-FR"/>
        </w:rPr>
      </w:pPr>
    </w:p>
    <w:p w:rsidR="00CD3B18" w:rsidRPr="006031A9" w:rsidRDefault="00CD3B18" w:rsidP="006031A9">
      <w:pPr>
        <w:pStyle w:val="JuInitialled"/>
        <w:rPr>
          <w:lang w:val="fr-FR"/>
        </w:rPr>
        <w:sectPr w:rsidR="00CD3B18" w:rsidRPr="006031A9">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noEndnote/>
        </w:sectPr>
      </w:pPr>
    </w:p>
    <w:p w:rsidR="00CD3B18" w:rsidRPr="006031A9" w:rsidRDefault="00CE5C03" w:rsidP="006031A9">
      <w:pPr>
        <w:pStyle w:val="ECHRTitleCentre1"/>
        <w:rPr>
          <w:lang w:val="fr-FR"/>
        </w:rPr>
      </w:pPr>
      <w:r w:rsidRPr="006031A9">
        <w:rPr>
          <w:lang w:val="fr-FR"/>
        </w:rPr>
        <w:lastRenderedPageBreak/>
        <w:t xml:space="preserve">OPINION </w:t>
      </w:r>
      <w:r w:rsidR="00D1200C" w:rsidRPr="006031A9">
        <w:rPr>
          <w:lang w:val="fr-FR"/>
        </w:rPr>
        <w:t xml:space="preserve">PARTIELLEMENT </w:t>
      </w:r>
      <w:r w:rsidRPr="006031A9">
        <w:rPr>
          <w:lang w:val="fr-FR"/>
        </w:rPr>
        <w:t>DISSIDENTE DES JUG</w:t>
      </w:r>
      <w:r w:rsidR="00BD1C5D" w:rsidRPr="006031A9">
        <w:rPr>
          <w:lang w:val="fr-FR"/>
        </w:rPr>
        <w:t>ES KARAKAŞ, LAFFRANQUE ET TURKOVIĆ</w:t>
      </w:r>
    </w:p>
    <w:p w:rsidR="00CD3B18" w:rsidRPr="006031A9" w:rsidRDefault="00D1200C" w:rsidP="006031A9">
      <w:pPr>
        <w:pStyle w:val="OpiPara"/>
        <w:rPr>
          <w:lang w:val="fr-FR"/>
        </w:rPr>
      </w:pPr>
      <w:r w:rsidRPr="006031A9">
        <w:rPr>
          <w:lang w:val="fr-FR"/>
        </w:rPr>
        <w:t>Nous ne sommes pas d</w:t>
      </w:r>
      <w:r w:rsidR="006031A9" w:rsidRPr="006031A9">
        <w:rPr>
          <w:lang w:val="fr-FR"/>
        </w:rPr>
        <w:t>’</w:t>
      </w:r>
      <w:r w:rsidRPr="006031A9">
        <w:rPr>
          <w:lang w:val="fr-FR"/>
        </w:rPr>
        <w:t>accord avec la majorité, qui n</w:t>
      </w:r>
      <w:r w:rsidR="006031A9" w:rsidRPr="006031A9">
        <w:rPr>
          <w:lang w:val="fr-FR"/>
        </w:rPr>
        <w:t>’</w:t>
      </w:r>
      <w:r w:rsidRPr="006031A9">
        <w:rPr>
          <w:lang w:val="fr-FR"/>
        </w:rPr>
        <w:t>a pas constaté de violation de l</w:t>
      </w:r>
      <w:r w:rsidR="006031A9" w:rsidRPr="006031A9">
        <w:rPr>
          <w:lang w:val="fr-FR"/>
        </w:rPr>
        <w:t>’</w:t>
      </w:r>
      <w:r w:rsidRPr="006031A9">
        <w:rPr>
          <w:lang w:val="fr-FR"/>
        </w:rPr>
        <w:t>article 6 §§ 1 et de 3 d) de la Convention du fait de l</w:t>
      </w:r>
      <w:r w:rsidR="006031A9" w:rsidRPr="006031A9">
        <w:rPr>
          <w:lang w:val="fr-FR"/>
        </w:rPr>
        <w:t>’</w:t>
      </w:r>
      <w:r w:rsidRPr="006031A9">
        <w:rPr>
          <w:lang w:val="fr-FR"/>
        </w:rPr>
        <w:t>impossibilité pour le requérant d</w:t>
      </w:r>
      <w:r w:rsidR="006031A9" w:rsidRPr="006031A9">
        <w:rPr>
          <w:lang w:val="fr-FR"/>
        </w:rPr>
        <w:t>’</w:t>
      </w:r>
      <w:r w:rsidRPr="006031A9">
        <w:rPr>
          <w:lang w:val="fr-FR"/>
        </w:rPr>
        <w:t>interroger ou de faire interroger les agents infiltrés.</w:t>
      </w:r>
    </w:p>
    <w:p w:rsidR="00D1200C" w:rsidRPr="006031A9" w:rsidRDefault="00D1200C" w:rsidP="006031A9">
      <w:pPr>
        <w:pStyle w:val="OpiPara"/>
        <w:rPr>
          <w:lang w:val="fr-FR"/>
        </w:rPr>
      </w:pPr>
      <w:r w:rsidRPr="006031A9">
        <w:rPr>
          <w:lang w:val="fr-FR"/>
        </w:rPr>
        <w:t>Tout d</w:t>
      </w:r>
      <w:r w:rsidR="006031A9" w:rsidRPr="006031A9">
        <w:rPr>
          <w:lang w:val="fr-FR"/>
        </w:rPr>
        <w:t>’</w:t>
      </w:r>
      <w:r w:rsidRPr="006031A9">
        <w:rPr>
          <w:lang w:val="fr-FR"/>
        </w:rPr>
        <w:t>abord, il faut noter que l</w:t>
      </w:r>
      <w:r w:rsidR="006031A9" w:rsidRPr="006031A9">
        <w:rPr>
          <w:lang w:val="fr-FR"/>
        </w:rPr>
        <w:t>’</w:t>
      </w:r>
      <w:r w:rsidRPr="006031A9">
        <w:rPr>
          <w:lang w:val="fr-FR"/>
        </w:rPr>
        <w:t>importance des témoignages des agents infiltrés dans la condamnation du requérant a été reconnue par la majorité, qui a admis que ceux-ci revêtaient un poids certain et que leur acceptation pouvait avoir causé des difficultés à la défense (paragraphe 105 de l</w:t>
      </w:r>
      <w:r w:rsidR="006031A9" w:rsidRPr="006031A9">
        <w:rPr>
          <w:lang w:val="fr-FR"/>
        </w:rPr>
        <w:t>’</w:t>
      </w:r>
      <w:r w:rsidRPr="006031A9">
        <w:rPr>
          <w:lang w:val="fr-FR"/>
        </w:rPr>
        <w:t>arrêt).</w:t>
      </w:r>
    </w:p>
    <w:p w:rsidR="00CD3B18" w:rsidRPr="006031A9" w:rsidRDefault="00D1200C" w:rsidP="006031A9">
      <w:pPr>
        <w:pStyle w:val="OpiPara"/>
        <w:rPr>
          <w:lang w:val="fr-FR"/>
        </w:rPr>
      </w:pPr>
      <w:r w:rsidRPr="006031A9">
        <w:rPr>
          <w:lang w:val="fr-FR"/>
        </w:rPr>
        <w:t>Nous acceptons qu</w:t>
      </w:r>
      <w:r w:rsidR="006031A9" w:rsidRPr="006031A9">
        <w:rPr>
          <w:lang w:val="fr-FR"/>
        </w:rPr>
        <w:t>’</w:t>
      </w:r>
      <w:r w:rsidRPr="006031A9">
        <w:rPr>
          <w:lang w:val="fr-FR"/>
        </w:rPr>
        <w:t>il puisse être légitime, pour des autorités de police, de souhaiter préserver l</w:t>
      </w:r>
      <w:r w:rsidR="006031A9" w:rsidRPr="006031A9">
        <w:rPr>
          <w:lang w:val="fr-FR"/>
        </w:rPr>
        <w:t>’</w:t>
      </w:r>
      <w:r w:rsidRPr="006031A9">
        <w:rPr>
          <w:lang w:val="fr-FR"/>
        </w:rPr>
        <w:t>anonymat d</w:t>
      </w:r>
      <w:r w:rsidR="006031A9" w:rsidRPr="006031A9">
        <w:rPr>
          <w:lang w:val="fr-FR"/>
        </w:rPr>
        <w:t>’</w:t>
      </w:r>
      <w:r w:rsidRPr="006031A9">
        <w:rPr>
          <w:lang w:val="fr-FR"/>
        </w:rPr>
        <w:t>un agent employé à des activités secrètes, afin d</w:t>
      </w:r>
      <w:r w:rsidR="006031A9" w:rsidRPr="006031A9">
        <w:rPr>
          <w:lang w:val="fr-FR"/>
        </w:rPr>
        <w:t>’</w:t>
      </w:r>
      <w:r w:rsidRPr="006031A9">
        <w:rPr>
          <w:lang w:val="fr-FR"/>
        </w:rPr>
        <w:t>assurer la protection de ce dernier et celle de sa famille.</w:t>
      </w:r>
    </w:p>
    <w:p w:rsidR="00CD3B18" w:rsidRPr="006031A9" w:rsidRDefault="00D1200C" w:rsidP="006031A9">
      <w:pPr>
        <w:pStyle w:val="OpiPara"/>
        <w:rPr>
          <w:lang w:val="fr-FR"/>
        </w:rPr>
      </w:pPr>
      <w:r w:rsidRPr="006031A9">
        <w:rPr>
          <w:lang w:val="fr-FR"/>
        </w:rPr>
        <w:t xml:space="preserve">Mais, dans ce cas, il fallait vérifier, selon le « critère </w:t>
      </w:r>
      <w:r w:rsidRPr="006031A9">
        <w:rPr>
          <w:i/>
          <w:lang w:val="fr-FR"/>
        </w:rPr>
        <w:t>Schatschaschwili </w:t>
      </w:r>
      <w:r w:rsidRPr="006031A9">
        <w:rPr>
          <w:lang w:val="fr-FR"/>
        </w:rPr>
        <w:t>», s</w:t>
      </w:r>
      <w:r w:rsidR="006031A9" w:rsidRPr="006031A9">
        <w:rPr>
          <w:lang w:val="fr-FR"/>
        </w:rPr>
        <w:t>’</w:t>
      </w:r>
      <w:r w:rsidRPr="006031A9">
        <w:rPr>
          <w:lang w:val="fr-FR"/>
        </w:rPr>
        <w:t>il existait des éléments compensateurs suffisants pour contrebalancer les difficultés causées à la défense (</w:t>
      </w:r>
      <w:r w:rsidRPr="006031A9">
        <w:rPr>
          <w:i/>
          <w:lang w:val="fr-FR"/>
        </w:rPr>
        <w:t>Schatschaschwili c. Allemagne</w:t>
      </w:r>
      <w:r w:rsidRPr="006031A9">
        <w:rPr>
          <w:lang w:val="fr-FR"/>
        </w:rPr>
        <w:t xml:space="preserve"> [GC], n</w:t>
      </w:r>
      <w:r w:rsidR="00CD3B18" w:rsidRPr="006031A9">
        <w:rPr>
          <w:vertAlign w:val="superscript"/>
          <w:lang w:val="fr-FR"/>
        </w:rPr>
        <w:t>o</w:t>
      </w:r>
      <w:r w:rsidRPr="006031A9">
        <w:rPr>
          <w:lang w:val="fr-FR"/>
        </w:rPr>
        <w:t> 9154/10, § 145, CEDH 2015).</w:t>
      </w:r>
    </w:p>
    <w:p w:rsidR="00CD3B18" w:rsidRPr="006031A9" w:rsidRDefault="00D1200C" w:rsidP="006031A9">
      <w:pPr>
        <w:pStyle w:val="OpiPara"/>
        <w:rPr>
          <w:lang w:val="fr-FR"/>
        </w:rPr>
      </w:pPr>
      <w:r w:rsidRPr="006031A9">
        <w:rPr>
          <w:lang w:val="fr-FR"/>
        </w:rPr>
        <w:t>Les éléments suivants ont été identifiés dans l</w:t>
      </w:r>
      <w:r w:rsidR="006031A9" w:rsidRPr="006031A9">
        <w:rPr>
          <w:lang w:val="fr-FR"/>
        </w:rPr>
        <w:t>’</w:t>
      </w:r>
      <w:r w:rsidRPr="006031A9">
        <w:rPr>
          <w:lang w:val="fr-FR"/>
        </w:rPr>
        <w:t xml:space="preserve">affaire </w:t>
      </w:r>
      <w:r w:rsidRPr="006031A9">
        <w:rPr>
          <w:i/>
          <w:lang w:val="fr-FR"/>
        </w:rPr>
        <w:t>Schatschaschwili</w:t>
      </w:r>
      <w:r w:rsidRPr="006031A9">
        <w:rPr>
          <w:lang w:val="fr-FR"/>
        </w:rPr>
        <w:t xml:space="preserve"> comme pertinents à cet égard : la façon dont le tribunal du fond a abordé les preuves non vérifiées, l</w:t>
      </w:r>
      <w:r w:rsidR="006031A9" w:rsidRPr="006031A9">
        <w:rPr>
          <w:lang w:val="fr-FR"/>
        </w:rPr>
        <w:t>’</w:t>
      </w:r>
      <w:r w:rsidRPr="006031A9">
        <w:rPr>
          <w:lang w:val="fr-FR"/>
        </w:rPr>
        <w:t>administration d</w:t>
      </w:r>
      <w:r w:rsidR="006031A9" w:rsidRPr="006031A9">
        <w:rPr>
          <w:lang w:val="fr-FR"/>
        </w:rPr>
        <w:t>’</w:t>
      </w:r>
      <w:r w:rsidRPr="006031A9">
        <w:rPr>
          <w:lang w:val="fr-FR"/>
        </w:rPr>
        <w:t>autres éléments à charge et la valeur probante de ceux-ci, ainsi que les mesures procédurales prises en vue de compenser l</w:t>
      </w:r>
      <w:r w:rsidR="006031A9" w:rsidRPr="006031A9">
        <w:rPr>
          <w:lang w:val="fr-FR"/>
        </w:rPr>
        <w:t>’</w:t>
      </w:r>
      <w:r w:rsidRPr="006031A9">
        <w:rPr>
          <w:lang w:val="fr-FR"/>
        </w:rPr>
        <w:t>impossibilité de contre-interroger directement les témoins au procès (</w:t>
      </w:r>
      <w:r w:rsidRPr="006031A9">
        <w:rPr>
          <w:i/>
          <w:lang w:val="fr-FR"/>
        </w:rPr>
        <w:t>Schatschaschwili</w:t>
      </w:r>
      <w:r w:rsidRPr="006031A9">
        <w:rPr>
          <w:lang w:val="fr-FR"/>
        </w:rPr>
        <w:t>, précité, § 145).</w:t>
      </w:r>
    </w:p>
    <w:p w:rsidR="00CD3B18" w:rsidRPr="006031A9" w:rsidRDefault="00D1200C" w:rsidP="006031A9">
      <w:pPr>
        <w:pStyle w:val="OpiPara"/>
        <w:rPr>
          <w:lang w:val="fr-FR"/>
        </w:rPr>
      </w:pPr>
      <w:r w:rsidRPr="006031A9">
        <w:rPr>
          <w:lang w:val="fr-FR"/>
        </w:rPr>
        <w:t>Si l</w:t>
      </w:r>
      <w:r w:rsidR="006031A9" w:rsidRPr="006031A9">
        <w:rPr>
          <w:lang w:val="fr-FR"/>
        </w:rPr>
        <w:t>’</w:t>
      </w:r>
      <w:r w:rsidRPr="006031A9">
        <w:rPr>
          <w:lang w:val="fr-FR"/>
        </w:rPr>
        <w:t>article 6 § 3 d) de la Convention porte sur le contre-interrogatoire des témoins à charge pendant le procès, la façon dont est conduite l</w:t>
      </w:r>
      <w:r w:rsidR="006031A9" w:rsidRPr="006031A9">
        <w:rPr>
          <w:lang w:val="fr-FR"/>
        </w:rPr>
        <w:t>’</w:t>
      </w:r>
      <w:r w:rsidRPr="006031A9">
        <w:rPr>
          <w:lang w:val="fr-FR"/>
        </w:rPr>
        <w:t>audition de ces témoins au stade de l</w:t>
      </w:r>
      <w:r w:rsidR="006031A9" w:rsidRPr="006031A9">
        <w:rPr>
          <w:lang w:val="fr-FR"/>
        </w:rPr>
        <w:t>’</w:t>
      </w:r>
      <w:r w:rsidRPr="006031A9">
        <w:rPr>
          <w:lang w:val="fr-FR"/>
        </w:rPr>
        <w:t>instruction revêt une importance considérable pour l</w:t>
      </w:r>
      <w:r w:rsidR="006031A9" w:rsidRPr="006031A9">
        <w:rPr>
          <w:lang w:val="fr-FR"/>
        </w:rPr>
        <w:t>’</w:t>
      </w:r>
      <w:r w:rsidRPr="006031A9">
        <w:rPr>
          <w:lang w:val="fr-FR"/>
        </w:rPr>
        <w:t>équité du procès lui-même, qu</w:t>
      </w:r>
      <w:r w:rsidR="006031A9" w:rsidRPr="006031A9">
        <w:rPr>
          <w:lang w:val="fr-FR"/>
        </w:rPr>
        <w:t>’</w:t>
      </w:r>
      <w:r w:rsidRPr="006031A9">
        <w:rPr>
          <w:lang w:val="fr-FR"/>
        </w:rPr>
        <w:t>elle est susceptible de compromettre dans les cas où des témoins essentiels ne peuvent pas être entendus par le tribunal du fond et que leurs dépositions recueillies au stade de l</w:t>
      </w:r>
      <w:r w:rsidR="006031A9" w:rsidRPr="006031A9">
        <w:rPr>
          <w:lang w:val="fr-FR"/>
        </w:rPr>
        <w:t>’</w:t>
      </w:r>
      <w:r w:rsidRPr="006031A9">
        <w:rPr>
          <w:lang w:val="fr-FR"/>
        </w:rPr>
        <w:t>instruction sont donc présentées directement au procès (</w:t>
      </w:r>
      <w:r w:rsidRPr="006031A9">
        <w:rPr>
          <w:i/>
          <w:lang w:val="fr-FR"/>
        </w:rPr>
        <w:t>Schatschaschwili</w:t>
      </w:r>
      <w:r w:rsidRPr="006031A9">
        <w:rPr>
          <w:lang w:val="fr-FR"/>
        </w:rPr>
        <w:t>, précité, § 156).</w:t>
      </w:r>
    </w:p>
    <w:p w:rsidR="00D1200C" w:rsidRPr="006031A9" w:rsidRDefault="00D1200C" w:rsidP="006031A9">
      <w:pPr>
        <w:pStyle w:val="OpiPara"/>
        <w:rPr>
          <w:lang w:val="fr-FR"/>
        </w:rPr>
      </w:pPr>
      <w:r w:rsidRPr="006031A9">
        <w:rPr>
          <w:lang w:val="fr-FR"/>
        </w:rPr>
        <w:t>En l</w:t>
      </w:r>
      <w:r w:rsidR="006031A9" w:rsidRPr="006031A9">
        <w:rPr>
          <w:lang w:val="fr-FR"/>
        </w:rPr>
        <w:t>’</w:t>
      </w:r>
      <w:r w:rsidRPr="006031A9">
        <w:rPr>
          <w:lang w:val="fr-FR"/>
        </w:rPr>
        <w:t>espèce, le requérant et son avocat n</w:t>
      </w:r>
      <w:r w:rsidR="006031A9" w:rsidRPr="006031A9">
        <w:rPr>
          <w:lang w:val="fr-FR"/>
        </w:rPr>
        <w:t>’</w:t>
      </w:r>
      <w:r w:rsidRPr="006031A9">
        <w:rPr>
          <w:lang w:val="fr-FR"/>
        </w:rPr>
        <w:t>ont, à aucun moment de la procédure, eu l</w:t>
      </w:r>
      <w:r w:rsidR="006031A9" w:rsidRPr="006031A9">
        <w:rPr>
          <w:lang w:val="fr-FR"/>
        </w:rPr>
        <w:t>’</w:t>
      </w:r>
      <w:r w:rsidRPr="006031A9">
        <w:rPr>
          <w:lang w:val="fr-FR"/>
        </w:rPr>
        <w:t>occasion d</w:t>
      </w:r>
      <w:r w:rsidR="006031A9" w:rsidRPr="006031A9">
        <w:rPr>
          <w:lang w:val="fr-FR"/>
        </w:rPr>
        <w:t>’</w:t>
      </w:r>
      <w:r w:rsidRPr="006031A9">
        <w:rPr>
          <w:lang w:val="fr-FR"/>
        </w:rPr>
        <w:t>interroger les témoins à charge et de mettre en doute la crédibilité de leurs dépositions. Malgré les demandes répétées du requérant d</w:t>
      </w:r>
      <w:r w:rsidR="006031A9" w:rsidRPr="006031A9">
        <w:rPr>
          <w:lang w:val="fr-FR"/>
        </w:rPr>
        <w:t>’</w:t>
      </w:r>
      <w:r w:rsidRPr="006031A9">
        <w:rPr>
          <w:lang w:val="fr-FR"/>
        </w:rPr>
        <w:t>être confronté aux fonctionnaires de police qui avaient agi comme agents sous couverture ou de les voir être interrogés, ceux-ci n</w:t>
      </w:r>
      <w:r w:rsidR="006031A9" w:rsidRPr="006031A9">
        <w:rPr>
          <w:lang w:val="fr-FR"/>
        </w:rPr>
        <w:t>’</w:t>
      </w:r>
      <w:r w:rsidRPr="006031A9">
        <w:rPr>
          <w:lang w:val="fr-FR"/>
        </w:rPr>
        <w:t>ont été entendus par les juridictions internes ni au stade préliminaire de l</w:t>
      </w:r>
      <w:r w:rsidR="006031A9" w:rsidRPr="006031A9">
        <w:rPr>
          <w:lang w:val="fr-FR"/>
        </w:rPr>
        <w:t>’</w:t>
      </w:r>
      <w:r w:rsidRPr="006031A9">
        <w:rPr>
          <w:lang w:val="fr-FR"/>
        </w:rPr>
        <w:t>instruction ni au cours du procès devant les juridictions du fond.</w:t>
      </w:r>
    </w:p>
    <w:p w:rsidR="00CD3B18" w:rsidRPr="006031A9" w:rsidRDefault="00D1200C" w:rsidP="006031A9">
      <w:pPr>
        <w:pStyle w:val="OpiPara"/>
        <w:rPr>
          <w:lang w:val="fr-FR"/>
        </w:rPr>
      </w:pPr>
      <w:r w:rsidRPr="006031A9">
        <w:rPr>
          <w:lang w:val="fr-FR"/>
        </w:rPr>
        <w:t>D</w:t>
      </w:r>
      <w:r w:rsidR="006031A9" w:rsidRPr="006031A9">
        <w:rPr>
          <w:lang w:val="fr-FR"/>
        </w:rPr>
        <w:t>’</w:t>
      </w:r>
      <w:r w:rsidRPr="006031A9">
        <w:rPr>
          <w:lang w:val="fr-FR"/>
        </w:rPr>
        <w:t>après la majorité, bien que la chambre des mises en accusation n</w:t>
      </w:r>
      <w:r w:rsidR="006031A9" w:rsidRPr="006031A9">
        <w:rPr>
          <w:lang w:val="fr-FR"/>
        </w:rPr>
        <w:t>’</w:t>
      </w:r>
      <w:r w:rsidRPr="006031A9">
        <w:rPr>
          <w:lang w:val="fr-FR"/>
        </w:rPr>
        <w:t>ait pas ouvertement confronté les agents infiltrés, le contrôle de leur identité et de leur fiabilité par la vérification, sur la base du dossier confidentiel et du dossier répressif ouverts, de la régularité de leurs actions a constitué une garantie procédurale.</w:t>
      </w:r>
    </w:p>
    <w:p w:rsidR="00D1200C" w:rsidRPr="006031A9" w:rsidRDefault="00D1200C" w:rsidP="006031A9">
      <w:pPr>
        <w:pStyle w:val="OpiPara"/>
        <w:rPr>
          <w:lang w:val="fr-FR"/>
        </w:rPr>
      </w:pPr>
    </w:p>
    <w:p w:rsidR="00D1200C" w:rsidRPr="006031A9" w:rsidRDefault="00D1200C" w:rsidP="006031A9">
      <w:pPr>
        <w:pStyle w:val="OpiPara"/>
        <w:rPr>
          <w:lang w:val="fr-FR"/>
        </w:rPr>
      </w:pPr>
      <w:r w:rsidRPr="006031A9">
        <w:rPr>
          <w:lang w:val="fr-FR"/>
        </w:rPr>
        <w:lastRenderedPageBreak/>
        <w:t>Pourtant, la majorité a oublié une garantie importante, à savoir la possibilité de poser des questions au témoin indirectement suivant l</w:t>
      </w:r>
      <w:r w:rsidR="006031A9" w:rsidRPr="006031A9">
        <w:rPr>
          <w:lang w:val="fr-FR"/>
        </w:rPr>
        <w:t>’</w:t>
      </w:r>
      <w:r w:rsidRPr="006031A9">
        <w:rPr>
          <w:lang w:val="fr-FR"/>
        </w:rPr>
        <w:t xml:space="preserve">arrêt </w:t>
      </w:r>
      <w:r w:rsidRPr="006031A9">
        <w:rPr>
          <w:i/>
          <w:lang w:val="fr-FR"/>
        </w:rPr>
        <w:t>Schatschaschwili</w:t>
      </w:r>
      <w:r w:rsidRPr="006031A9">
        <w:rPr>
          <w:lang w:val="fr-FR"/>
        </w:rPr>
        <w:t>  (§ 129) : « De plus, dans les cas où un témoin est absent et ne peut être interrogé au procès, la possibilité offerte à la défense de poser ses propres questions au témoin indirectement, au cours du procès, constitue une garantie importante ». On peut considérer la possibilité de poser des questions par écrit (</w:t>
      </w:r>
      <w:r w:rsidRPr="006031A9">
        <w:rPr>
          <w:i/>
          <w:lang w:val="fr-FR"/>
        </w:rPr>
        <w:t>Yevgeniy Ivanov c. Russie</w:t>
      </w:r>
      <w:r w:rsidRPr="006031A9">
        <w:rPr>
          <w:lang w:val="fr-FR"/>
        </w:rPr>
        <w:t>, n</w:t>
      </w:r>
      <w:r w:rsidR="00CD3B18" w:rsidRPr="006031A9">
        <w:rPr>
          <w:vertAlign w:val="superscript"/>
          <w:lang w:val="fr-FR"/>
        </w:rPr>
        <w:t>o</w:t>
      </w:r>
      <w:r w:rsidRPr="006031A9">
        <w:rPr>
          <w:lang w:val="fr-FR"/>
        </w:rPr>
        <w:t xml:space="preserve"> 27100/03, § 49, 25 avril 2013). Cette possibilité n</w:t>
      </w:r>
      <w:r w:rsidR="006031A9" w:rsidRPr="006031A9">
        <w:rPr>
          <w:lang w:val="fr-FR"/>
        </w:rPr>
        <w:t>’</w:t>
      </w:r>
      <w:r w:rsidRPr="006031A9">
        <w:rPr>
          <w:lang w:val="fr-FR"/>
        </w:rPr>
        <w:t>a pas été prévue dans la procédure, et elle n</w:t>
      </w:r>
      <w:r w:rsidR="006031A9" w:rsidRPr="006031A9">
        <w:rPr>
          <w:lang w:val="fr-FR"/>
        </w:rPr>
        <w:t>’</w:t>
      </w:r>
      <w:r w:rsidRPr="006031A9">
        <w:rPr>
          <w:lang w:val="fr-FR"/>
        </w:rPr>
        <w:t>a pas été prise en considération par la majorité.</w:t>
      </w:r>
    </w:p>
    <w:p w:rsidR="00D1200C" w:rsidRPr="006031A9" w:rsidRDefault="00D1200C" w:rsidP="006031A9">
      <w:pPr>
        <w:pStyle w:val="OpiPara"/>
        <w:rPr>
          <w:lang w:val="fr-FR"/>
        </w:rPr>
      </w:pPr>
    </w:p>
    <w:p w:rsidR="00D1200C" w:rsidRPr="006031A9" w:rsidRDefault="00D1200C" w:rsidP="006031A9">
      <w:pPr>
        <w:pStyle w:val="OpiPara"/>
        <w:rPr>
          <w:lang w:val="fr-FR"/>
        </w:rPr>
      </w:pPr>
      <w:r w:rsidRPr="006031A9">
        <w:rPr>
          <w:lang w:val="fr-FR"/>
        </w:rPr>
        <w:t>Il est certain que d</w:t>
      </w:r>
      <w:r w:rsidR="006031A9" w:rsidRPr="006031A9">
        <w:rPr>
          <w:lang w:val="fr-FR"/>
        </w:rPr>
        <w:t>’</w:t>
      </w:r>
      <w:r w:rsidRPr="006031A9">
        <w:rPr>
          <w:lang w:val="fr-FR"/>
        </w:rPr>
        <w:t>autres moyens peuvent également être envisagés pour contrebalancer les difficultés causées à la défense, par exemple l</w:t>
      </w:r>
      <w:r w:rsidR="006031A9" w:rsidRPr="006031A9">
        <w:rPr>
          <w:lang w:val="fr-FR"/>
        </w:rPr>
        <w:t>’</w:t>
      </w:r>
      <w:r w:rsidRPr="006031A9">
        <w:rPr>
          <w:lang w:val="fr-FR"/>
        </w:rPr>
        <w:t>audition des témoins anonymes dans une salle séparée par les juridictions (voir l</w:t>
      </w:r>
      <w:r w:rsidR="006031A9" w:rsidRPr="006031A9">
        <w:rPr>
          <w:lang w:val="fr-FR"/>
        </w:rPr>
        <w:t>’</w:t>
      </w:r>
      <w:r w:rsidRPr="006031A9">
        <w:rPr>
          <w:lang w:val="fr-FR"/>
        </w:rPr>
        <w:t xml:space="preserve">affaire </w:t>
      </w:r>
      <w:r w:rsidRPr="006031A9">
        <w:rPr>
          <w:i/>
          <w:lang w:val="fr-FR"/>
        </w:rPr>
        <w:t>Bátěk et autres c. République tchèque</w:t>
      </w:r>
      <w:r w:rsidRPr="006031A9">
        <w:rPr>
          <w:lang w:val="fr-FR"/>
        </w:rPr>
        <w:t>, n</w:t>
      </w:r>
      <w:r w:rsidR="00CD3B18" w:rsidRPr="006031A9">
        <w:rPr>
          <w:vertAlign w:val="superscript"/>
          <w:lang w:val="fr-FR"/>
        </w:rPr>
        <w:t>o</w:t>
      </w:r>
      <w:r w:rsidRPr="006031A9">
        <w:rPr>
          <w:lang w:val="fr-FR"/>
        </w:rPr>
        <w:t xml:space="preserve"> 54146/09, 12 janvier 2017). Dans l</w:t>
      </w:r>
      <w:r w:rsidR="006031A9" w:rsidRPr="006031A9">
        <w:rPr>
          <w:lang w:val="fr-FR"/>
        </w:rPr>
        <w:t>’</w:t>
      </w:r>
      <w:r w:rsidRPr="006031A9">
        <w:rPr>
          <w:lang w:val="fr-FR"/>
        </w:rPr>
        <w:t xml:space="preserve">affaire </w:t>
      </w:r>
      <w:r w:rsidRPr="006031A9">
        <w:rPr>
          <w:i/>
          <w:lang w:val="fr-FR"/>
        </w:rPr>
        <w:t>Bátěk et autres</w:t>
      </w:r>
      <w:r w:rsidRPr="006031A9">
        <w:rPr>
          <w:lang w:val="fr-FR"/>
        </w:rPr>
        <w:t>,</w:t>
      </w:r>
      <w:r w:rsidRPr="006031A9">
        <w:rPr>
          <w:rFonts w:cstheme="minorHAnsi"/>
          <w:lang w:val="fr-FR"/>
        </w:rPr>
        <w:t xml:space="preserve"> tous les prévenus ainsi que leurs représentants légaux ont pu se confronter au témoin, lui poser des questions directement et faire des commentaires sur son témoignage. Cependant, comme ce témoin était dans une pièce séparée, ils n</w:t>
      </w:r>
      <w:r w:rsidR="006031A9" w:rsidRPr="006031A9">
        <w:rPr>
          <w:rFonts w:cstheme="minorHAnsi"/>
          <w:lang w:val="fr-FR"/>
        </w:rPr>
        <w:t>’</w:t>
      </w:r>
      <w:r w:rsidRPr="006031A9">
        <w:rPr>
          <w:rFonts w:cstheme="minorHAnsi"/>
          <w:lang w:val="fr-FR"/>
        </w:rPr>
        <w:t>ont pas pu se faire leur propre opinion sur son comportement (§ 57).</w:t>
      </w:r>
    </w:p>
    <w:p w:rsidR="00CD3B18" w:rsidRPr="006031A9" w:rsidRDefault="00D1200C" w:rsidP="006031A9">
      <w:pPr>
        <w:pStyle w:val="OpiPara"/>
        <w:rPr>
          <w:lang w:val="fr-FR"/>
        </w:rPr>
      </w:pPr>
      <w:r w:rsidRPr="006031A9">
        <w:rPr>
          <w:lang w:val="fr-FR"/>
        </w:rPr>
        <w:t>Dans cette affaire, comme « (</w:t>
      </w:r>
      <w:r w:rsidR="00CD3B18" w:rsidRPr="006031A9">
        <w:rPr>
          <w:lang w:val="fr-FR"/>
        </w:rPr>
        <w:t>...</w:t>
      </w:r>
      <w:r w:rsidRPr="006031A9">
        <w:rPr>
          <w:lang w:val="fr-FR"/>
        </w:rPr>
        <w:t>) la défense a pu remettre en cause la fiabilité de la preuve de l</w:t>
      </w:r>
      <w:r w:rsidR="006031A9" w:rsidRPr="006031A9">
        <w:rPr>
          <w:lang w:val="fr-FR"/>
        </w:rPr>
        <w:t>’</w:t>
      </w:r>
      <w:r w:rsidRPr="006031A9">
        <w:rPr>
          <w:lang w:val="fr-FR"/>
        </w:rPr>
        <w:t>agent de police infiltré et contredire sa version des faits » (§ 58), les garanties procédurales ont pu contrebalancer certaines difficultés.</w:t>
      </w:r>
    </w:p>
    <w:p w:rsidR="00CD3B18" w:rsidRPr="006031A9" w:rsidRDefault="00D1200C" w:rsidP="006031A9">
      <w:pPr>
        <w:pStyle w:val="OpiPara"/>
        <w:rPr>
          <w:lang w:val="fr-FR"/>
        </w:rPr>
      </w:pPr>
      <w:r w:rsidRPr="006031A9">
        <w:rPr>
          <w:lang w:val="fr-FR"/>
        </w:rPr>
        <w:t>Même si la majorité cite l</w:t>
      </w:r>
      <w:r w:rsidR="006031A9" w:rsidRPr="006031A9">
        <w:rPr>
          <w:lang w:val="fr-FR"/>
        </w:rPr>
        <w:t>’</w:t>
      </w:r>
      <w:r w:rsidRPr="006031A9">
        <w:rPr>
          <w:lang w:val="fr-FR"/>
        </w:rPr>
        <w:t xml:space="preserve">affaire </w:t>
      </w:r>
      <w:r w:rsidRPr="006031A9">
        <w:rPr>
          <w:i/>
          <w:lang w:val="fr-FR"/>
        </w:rPr>
        <w:t>Bátěk et autres</w:t>
      </w:r>
      <w:r w:rsidRPr="006031A9">
        <w:rPr>
          <w:lang w:val="fr-FR"/>
        </w:rPr>
        <w:t>, il est clair que celle-ci est fondamentalement différente de notre cas. En l</w:t>
      </w:r>
      <w:r w:rsidR="006031A9" w:rsidRPr="006031A9">
        <w:rPr>
          <w:lang w:val="fr-FR"/>
        </w:rPr>
        <w:t>’</w:t>
      </w:r>
      <w:r w:rsidRPr="006031A9">
        <w:rPr>
          <w:lang w:val="fr-FR"/>
        </w:rPr>
        <w:t>espèce, la défense n</w:t>
      </w:r>
      <w:r w:rsidR="006031A9" w:rsidRPr="006031A9">
        <w:rPr>
          <w:lang w:val="fr-FR"/>
        </w:rPr>
        <w:t>’</w:t>
      </w:r>
      <w:r w:rsidRPr="006031A9">
        <w:rPr>
          <w:lang w:val="fr-FR"/>
        </w:rPr>
        <w:t>a, à aucun moment de la procédure, eu l</w:t>
      </w:r>
      <w:r w:rsidR="006031A9" w:rsidRPr="006031A9">
        <w:rPr>
          <w:lang w:val="fr-FR"/>
        </w:rPr>
        <w:t>’</w:t>
      </w:r>
      <w:r w:rsidRPr="006031A9">
        <w:rPr>
          <w:lang w:val="fr-FR"/>
        </w:rPr>
        <w:t>occasion d</w:t>
      </w:r>
      <w:r w:rsidR="006031A9" w:rsidRPr="006031A9">
        <w:rPr>
          <w:lang w:val="fr-FR"/>
        </w:rPr>
        <w:t>’</w:t>
      </w:r>
      <w:r w:rsidRPr="006031A9">
        <w:rPr>
          <w:lang w:val="fr-FR"/>
        </w:rPr>
        <w:t>interroger les témoins à charge et de mettre en doute la crédibilité de leurs dépositions.</w:t>
      </w:r>
    </w:p>
    <w:p w:rsidR="00CE5C03" w:rsidRPr="006031A9" w:rsidRDefault="00D1200C" w:rsidP="006031A9">
      <w:pPr>
        <w:pStyle w:val="OpiPara"/>
        <w:rPr>
          <w:lang w:val="fr-FR"/>
        </w:rPr>
      </w:pPr>
      <w:r w:rsidRPr="006031A9">
        <w:rPr>
          <w:lang w:val="fr-FR"/>
        </w:rPr>
        <w:t xml:space="preserve">Dans des cas similaires, la Cour devrait examiner si les autorités nationales ont appliqué des mesures compensatrices suffisantes. </w:t>
      </w:r>
      <w:r w:rsidRPr="006031A9">
        <w:rPr>
          <w:rFonts w:cstheme="minorHAnsi"/>
          <w:lang w:val="fr-FR"/>
        </w:rPr>
        <w:t>À</w:t>
      </w:r>
      <w:r w:rsidRPr="006031A9">
        <w:rPr>
          <w:lang w:val="fr-FR"/>
        </w:rPr>
        <w:t xml:space="preserve"> notre avis, en l</w:t>
      </w:r>
      <w:r w:rsidR="006031A9" w:rsidRPr="006031A9">
        <w:rPr>
          <w:lang w:val="fr-FR"/>
        </w:rPr>
        <w:t>’</w:t>
      </w:r>
      <w:r w:rsidRPr="006031A9">
        <w:rPr>
          <w:lang w:val="fr-FR"/>
        </w:rPr>
        <w:t>espèce, il n</w:t>
      </w:r>
      <w:r w:rsidR="006031A9" w:rsidRPr="006031A9">
        <w:rPr>
          <w:lang w:val="fr-FR"/>
        </w:rPr>
        <w:t>’</w:t>
      </w:r>
      <w:r w:rsidRPr="006031A9">
        <w:rPr>
          <w:lang w:val="fr-FR"/>
        </w:rPr>
        <w:t>existe pas de garanties procédurales pour contrebalancer les difficultés causées à la défense du fait de l</w:t>
      </w:r>
      <w:r w:rsidR="006031A9" w:rsidRPr="006031A9">
        <w:rPr>
          <w:lang w:val="fr-FR"/>
        </w:rPr>
        <w:t>’</w:t>
      </w:r>
      <w:r w:rsidRPr="006031A9">
        <w:rPr>
          <w:lang w:val="fr-FR"/>
        </w:rPr>
        <w:t>impossibilité d</w:t>
      </w:r>
      <w:r w:rsidR="006031A9" w:rsidRPr="006031A9">
        <w:rPr>
          <w:lang w:val="fr-FR"/>
        </w:rPr>
        <w:t>’</w:t>
      </w:r>
      <w:r w:rsidRPr="006031A9">
        <w:rPr>
          <w:lang w:val="fr-FR"/>
        </w:rPr>
        <w:t>interroger les agents infiltrés.</w:t>
      </w:r>
    </w:p>
    <w:p w:rsidR="00CD3B18" w:rsidRPr="006031A9" w:rsidRDefault="00CD3B18" w:rsidP="006031A9">
      <w:pPr>
        <w:pStyle w:val="OpiPara"/>
        <w:rPr>
          <w:lang w:val="fr-FR"/>
        </w:rPr>
      </w:pPr>
    </w:p>
    <w:sectPr w:rsidR="00CD3B18" w:rsidRPr="006031A9" w:rsidSect="00CE5C03">
      <w:headerReference w:type="even" r:id="rId18"/>
      <w:headerReference w:type="default" r:id="rId19"/>
      <w:footnotePr>
        <w:numRestart w:val="eachSect"/>
      </w:footnotePr>
      <w:pgSz w:w="11906" w:h="16838" w:code="9"/>
      <w:pgMar w:top="2274" w:right="2274" w:bottom="2274" w:left="2274" w:header="1701"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17A" w:rsidRPr="00EC69C0" w:rsidRDefault="00A5217A" w:rsidP="002D2C99">
      <w:pPr>
        <w:rPr>
          <w:lang w:val="fr-FR"/>
        </w:rPr>
      </w:pPr>
      <w:r w:rsidRPr="00EC69C0">
        <w:rPr>
          <w:lang w:val="fr-FR"/>
        </w:rPr>
        <w:separator/>
      </w:r>
    </w:p>
  </w:endnote>
  <w:endnote w:type="continuationSeparator" w:id="0">
    <w:p w:rsidR="00A5217A" w:rsidRPr="00EC69C0" w:rsidRDefault="00A5217A" w:rsidP="002D2C99">
      <w:pPr>
        <w:rPr>
          <w:lang w:val="fr-FR"/>
        </w:rPr>
      </w:pPr>
      <w:r w:rsidRPr="00EC69C0">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Times New (W1)">
    <w:altName w:val="Times New Roman"/>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36D" w:rsidRPr="00150BFA" w:rsidRDefault="001B036D" w:rsidP="00C85586">
    <w:pPr>
      <w:jc w:val="center"/>
    </w:pPr>
    <w:r>
      <w:rPr>
        <w:noProof/>
        <w:lang w:val="pl-PL" w:eastAsia="pl-PL"/>
      </w:rPr>
      <w:drawing>
        <wp:inline distT="0" distB="0" distL="0" distR="0" wp14:anchorId="2CE553C2" wp14:editId="74CB05F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B036D" w:rsidRPr="00EC69C0" w:rsidRDefault="001B036D" w:rsidP="00C85586">
    <w:pPr>
      <w:rPr>
        <w:lang w:val="fr-F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36D" w:rsidRDefault="001B036D" w:rsidP="00C8558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36D" w:rsidRDefault="001B036D" w:rsidP="00C8558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17A" w:rsidRPr="00EC69C0" w:rsidRDefault="00A5217A" w:rsidP="002D2C99">
      <w:pPr>
        <w:rPr>
          <w:lang w:val="fr-FR"/>
        </w:rPr>
      </w:pPr>
      <w:r w:rsidRPr="00EC69C0">
        <w:rPr>
          <w:lang w:val="fr-FR"/>
        </w:rPr>
        <w:separator/>
      </w:r>
    </w:p>
  </w:footnote>
  <w:footnote w:type="continuationSeparator" w:id="0">
    <w:p w:rsidR="00A5217A" w:rsidRPr="00EC69C0" w:rsidRDefault="00A5217A" w:rsidP="002D2C99">
      <w:pPr>
        <w:rPr>
          <w:lang w:val="fr-FR"/>
        </w:rPr>
      </w:pPr>
      <w:r w:rsidRPr="00EC69C0">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36D" w:rsidRPr="00A45145" w:rsidRDefault="001B036D" w:rsidP="00C85586">
    <w:pPr>
      <w:jc w:val="center"/>
    </w:pPr>
    <w:r>
      <w:rPr>
        <w:noProof/>
        <w:lang w:val="pl-PL" w:eastAsia="pl-PL"/>
      </w:rPr>
      <w:drawing>
        <wp:inline distT="0" distB="0" distL="0" distR="0" wp14:anchorId="4E48A332" wp14:editId="53A99C7D">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B036D" w:rsidRPr="00EC69C0" w:rsidRDefault="001B036D" w:rsidP="00F5432B">
    <w:pPr>
      <w:jc w:val="cent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36D" w:rsidRPr="00F5432B" w:rsidRDefault="001B036D" w:rsidP="00F5432B">
    <w:pPr>
      <w:pStyle w:val="ECHRHeader"/>
      <w:rPr>
        <w:lang w:val="fr-FR"/>
      </w:rPr>
    </w:pPr>
    <w:r>
      <w:rPr>
        <w:rStyle w:val="Numerstrony"/>
      </w:rPr>
      <w:fldChar w:fldCharType="begin"/>
    </w:r>
    <w:r w:rsidRPr="00334409">
      <w:rPr>
        <w:rStyle w:val="Numerstrony"/>
        <w:lang w:val="fr-FR"/>
      </w:rPr>
      <w:instrText xml:space="preserve"> PAGE </w:instrText>
    </w:r>
    <w:r>
      <w:rPr>
        <w:rStyle w:val="Numerstrony"/>
      </w:rPr>
      <w:fldChar w:fldCharType="separate"/>
    </w:r>
    <w:r w:rsidR="003029C8">
      <w:rPr>
        <w:rStyle w:val="Numerstrony"/>
        <w:noProof/>
        <w:lang w:val="fr-FR"/>
      </w:rPr>
      <w:t>24</w:t>
    </w:r>
    <w:r>
      <w:rPr>
        <w:rStyle w:val="Numerstrony"/>
      </w:rPr>
      <w:fldChar w:fldCharType="end"/>
    </w:r>
    <w:r w:rsidRPr="00334409">
      <w:rPr>
        <w:lang w:val="fr-FR"/>
      </w:rPr>
      <w:tab/>
      <w:t>ARRÊT VAN WESENBEECK c. BELGIQUE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36D" w:rsidRPr="00334409" w:rsidRDefault="001B036D" w:rsidP="00420F04">
    <w:pPr>
      <w:pStyle w:val="ECHRHeader"/>
      <w:rPr>
        <w:lang w:val="fr-FR"/>
      </w:rPr>
    </w:pPr>
    <w:r>
      <w:tab/>
    </w:r>
    <w:r w:rsidRPr="00334409">
      <w:rPr>
        <w:lang w:val="fr-FR"/>
      </w:rPr>
      <w:t>ARRÊT VAN WESENBEECK c. BELGIQUE</w:t>
    </w:r>
    <w:r w:rsidRPr="00334409">
      <w:rPr>
        <w:lang w:val="fr-FR"/>
      </w:rPr>
      <w:tab/>
    </w:r>
    <w:r>
      <w:rPr>
        <w:rStyle w:val="Numerstrony"/>
        <w:lang w:val="en-GB"/>
      </w:rPr>
      <w:fldChar w:fldCharType="begin"/>
    </w:r>
    <w:r w:rsidRPr="00334409">
      <w:rPr>
        <w:rStyle w:val="Numerstrony"/>
        <w:lang w:val="fr-FR"/>
      </w:rPr>
      <w:instrText xml:space="preserve"> PAGE </w:instrText>
    </w:r>
    <w:r>
      <w:rPr>
        <w:rStyle w:val="Numerstrony"/>
        <w:lang w:val="en-GB"/>
      </w:rPr>
      <w:fldChar w:fldCharType="separate"/>
    </w:r>
    <w:r w:rsidR="003029C8">
      <w:rPr>
        <w:rStyle w:val="Numerstrony"/>
        <w:noProof/>
        <w:lang w:val="fr-FR"/>
      </w:rPr>
      <w:t>1</w:t>
    </w:r>
    <w:r>
      <w:rPr>
        <w:rStyle w:val="Numerstrony"/>
        <w:lang w:val="en-GB"/>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C03" w:rsidRPr="00F5432B" w:rsidRDefault="00CE5C03" w:rsidP="00F5432B">
    <w:pPr>
      <w:pStyle w:val="ECHRHeader"/>
      <w:rPr>
        <w:lang w:val="fr-FR"/>
      </w:rPr>
    </w:pPr>
    <w:r>
      <w:rPr>
        <w:rStyle w:val="Numerstrony"/>
      </w:rPr>
      <w:fldChar w:fldCharType="begin"/>
    </w:r>
    <w:r w:rsidRPr="00334409">
      <w:rPr>
        <w:rStyle w:val="Numerstrony"/>
        <w:lang w:val="fr-FR"/>
      </w:rPr>
      <w:instrText xml:space="preserve"> PAGE </w:instrText>
    </w:r>
    <w:r>
      <w:rPr>
        <w:rStyle w:val="Numerstrony"/>
      </w:rPr>
      <w:fldChar w:fldCharType="separate"/>
    </w:r>
    <w:r w:rsidR="003029C8">
      <w:rPr>
        <w:rStyle w:val="Numerstrony"/>
        <w:noProof/>
        <w:lang w:val="fr-FR"/>
      </w:rPr>
      <w:t>26</w:t>
    </w:r>
    <w:r>
      <w:rPr>
        <w:rStyle w:val="Numerstrony"/>
      </w:rPr>
      <w:fldChar w:fldCharType="end"/>
    </w:r>
    <w:r w:rsidRPr="00334409">
      <w:rPr>
        <w:lang w:val="fr-FR"/>
      </w:rPr>
      <w:tab/>
      <w:t xml:space="preserve">ARRÊT VAN WESENBEECK c. </w:t>
    </w:r>
    <w:r>
      <w:rPr>
        <w:lang w:val="fr-FR"/>
      </w:rPr>
      <w:t>BELGIQUE – OPINION S</w:t>
    </w:r>
    <w:r>
      <w:rPr>
        <w:rFonts w:cstheme="minorHAnsi"/>
        <w:lang w:val="fr-FR"/>
      </w:rPr>
      <w:t>É</w:t>
    </w:r>
    <w:r>
      <w:rPr>
        <w:lang w:val="fr-FR"/>
      </w:rPr>
      <w:t>PAR</w:t>
    </w:r>
    <w:r>
      <w:rPr>
        <w:rFonts w:cstheme="minorHAnsi"/>
        <w:lang w:val="fr-FR"/>
      </w:rPr>
      <w:t>É</w:t>
    </w:r>
    <w:r>
      <w:rPr>
        <w:lang w:val="fr-FR"/>
      </w:rPr>
      <w:t>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C03" w:rsidRPr="00334409" w:rsidRDefault="00CE5C03" w:rsidP="00420F04">
    <w:pPr>
      <w:pStyle w:val="ECHRHeader"/>
      <w:rPr>
        <w:lang w:val="fr-FR"/>
      </w:rPr>
    </w:pPr>
    <w:r>
      <w:tab/>
    </w:r>
    <w:r w:rsidRPr="00334409">
      <w:rPr>
        <w:lang w:val="fr-FR"/>
      </w:rPr>
      <w:t xml:space="preserve">ARRÊT VAN WESENBEECK c. </w:t>
    </w:r>
    <w:r>
      <w:rPr>
        <w:lang w:val="fr-FR"/>
      </w:rPr>
      <w:t>BELGIQUE – OPINION SEPAR</w:t>
    </w:r>
    <w:r>
      <w:rPr>
        <w:rFonts w:cstheme="minorHAnsi"/>
        <w:lang w:val="fr-FR"/>
      </w:rPr>
      <w:t>É</w:t>
    </w:r>
    <w:r>
      <w:rPr>
        <w:lang w:val="fr-FR"/>
      </w:rPr>
      <w:t>E</w:t>
    </w:r>
    <w:r w:rsidRPr="00334409">
      <w:rPr>
        <w:lang w:val="fr-FR"/>
      </w:rPr>
      <w:tab/>
    </w:r>
    <w:r>
      <w:rPr>
        <w:rStyle w:val="Numerstrony"/>
        <w:lang w:val="en-GB"/>
      </w:rPr>
      <w:fldChar w:fldCharType="begin"/>
    </w:r>
    <w:r w:rsidRPr="00334409">
      <w:rPr>
        <w:rStyle w:val="Numerstrony"/>
        <w:lang w:val="fr-FR"/>
      </w:rPr>
      <w:instrText xml:space="preserve"> PAGE </w:instrText>
    </w:r>
    <w:r>
      <w:rPr>
        <w:rStyle w:val="Numerstrony"/>
        <w:lang w:val="en-GB"/>
      </w:rPr>
      <w:fldChar w:fldCharType="separate"/>
    </w:r>
    <w:r w:rsidR="003029C8">
      <w:rPr>
        <w:rStyle w:val="Numerstrony"/>
        <w:noProof/>
        <w:lang w:val="fr-FR"/>
      </w:rPr>
      <w:t>27</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A08B0C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3CF25AF4"/>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5B02EDC2"/>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1E60D70"/>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D2AA4F5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99E2214A"/>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0DDCF244"/>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804BE7E"/>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02A84908"/>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88CC5F40"/>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17363396"/>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7"/>
  </w:num>
  <w:num w:numId="2">
    <w:abstractNumId w:val="12"/>
  </w:num>
  <w:num w:numId="3">
    <w:abstractNumId w:val="11"/>
  </w:num>
  <w:num w:numId="4">
    <w:abstractNumId w:val="10"/>
  </w:num>
  <w:num w:numId="5">
    <w:abstractNumId w:val="9"/>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334409"/>
    <w:rsid w:val="000041F8"/>
    <w:rsid w:val="000042A8"/>
    <w:rsid w:val="00004308"/>
    <w:rsid w:val="00005BF0"/>
    <w:rsid w:val="00007154"/>
    <w:rsid w:val="000103AE"/>
    <w:rsid w:val="00011D69"/>
    <w:rsid w:val="00012AD3"/>
    <w:rsid w:val="00015C2D"/>
    <w:rsid w:val="00015F00"/>
    <w:rsid w:val="00022C1D"/>
    <w:rsid w:val="0002655A"/>
    <w:rsid w:val="00034987"/>
    <w:rsid w:val="000602DF"/>
    <w:rsid w:val="00061B05"/>
    <w:rsid w:val="000632D5"/>
    <w:rsid w:val="000644EE"/>
    <w:rsid w:val="000925AD"/>
    <w:rsid w:val="000A24EB"/>
    <w:rsid w:val="000B6923"/>
    <w:rsid w:val="000C5F3C"/>
    <w:rsid w:val="000C6DCC"/>
    <w:rsid w:val="000D47AA"/>
    <w:rsid w:val="000D721F"/>
    <w:rsid w:val="000E069B"/>
    <w:rsid w:val="000E0E82"/>
    <w:rsid w:val="000E1DC5"/>
    <w:rsid w:val="000E223F"/>
    <w:rsid w:val="000E5284"/>
    <w:rsid w:val="000E7D45"/>
    <w:rsid w:val="000F7851"/>
    <w:rsid w:val="00104E23"/>
    <w:rsid w:val="00111B0C"/>
    <w:rsid w:val="00120D6C"/>
    <w:rsid w:val="001257EC"/>
    <w:rsid w:val="00127B42"/>
    <w:rsid w:val="001325E0"/>
    <w:rsid w:val="00133D33"/>
    <w:rsid w:val="00134D64"/>
    <w:rsid w:val="00135A30"/>
    <w:rsid w:val="0013612C"/>
    <w:rsid w:val="00137FF6"/>
    <w:rsid w:val="00141650"/>
    <w:rsid w:val="00162A12"/>
    <w:rsid w:val="00166530"/>
    <w:rsid w:val="001832BD"/>
    <w:rsid w:val="001943B5"/>
    <w:rsid w:val="00195134"/>
    <w:rsid w:val="001A145B"/>
    <w:rsid w:val="001A674C"/>
    <w:rsid w:val="001B036D"/>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258CD"/>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3CF7"/>
    <w:rsid w:val="002948AD"/>
    <w:rsid w:val="002A01CC"/>
    <w:rsid w:val="002A61B1"/>
    <w:rsid w:val="002A663C"/>
    <w:rsid w:val="002B444B"/>
    <w:rsid w:val="002B5887"/>
    <w:rsid w:val="002C0E27"/>
    <w:rsid w:val="002C3040"/>
    <w:rsid w:val="002D022D"/>
    <w:rsid w:val="002D24BB"/>
    <w:rsid w:val="002D2C99"/>
    <w:rsid w:val="002F2AF7"/>
    <w:rsid w:val="002F7E1C"/>
    <w:rsid w:val="00301A75"/>
    <w:rsid w:val="003029C8"/>
    <w:rsid w:val="00302F70"/>
    <w:rsid w:val="0030336F"/>
    <w:rsid w:val="0030375E"/>
    <w:rsid w:val="00312A30"/>
    <w:rsid w:val="00313C7B"/>
    <w:rsid w:val="00320F72"/>
    <w:rsid w:val="0032463E"/>
    <w:rsid w:val="00326224"/>
    <w:rsid w:val="00334409"/>
    <w:rsid w:val="00336456"/>
    <w:rsid w:val="00337EE4"/>
    <w:rsid w:val="00340FFD"/>
    <w:rsid w:val="003506B1"/>
    <w:rsid w:val="00356AC7"/>
    <w:rsid w:val="003609FA"/>
    <w:rsid w:val="003710C8"/>
    <w:rsid w:val="003750BE"/>
    <w:rsid w:val="00387416"/>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0F04"/>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36D5"/>
    <w:rsid w:val="00525208"/>
    <w:rsid w:val="005257A5"/>
    <w:rsid w:val="005264C0"/>
    <w:rsid w:val="00526A8A"/>
    <w:rsid w:val="00531DF2"/>
    <w:rsid w:val="005442EE"/>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031A9"/>
    <w:rsid w:val="00611C80"/>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5590"/>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FF0"/>
    <w:rsid w:val="00764D4E"/>
    <w:rsid w:val="00765A1F"/>
    <w:rsid w:val="00775B6D"/>
    <w:rsid w:val="00776D68"/>
    <w:rsid w:val="007850EE"/>
    <w:rsid w:val="00785B95"/>
    <w:rsid w:val="00790E96"/>
    <w:rsid w:val="00793366"/>
    <w:rsid w:val="007A11C8"/>
    <w:rsid w:val="007A716F"/>
    <w:rsid w:val="007B270A"/>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2A9"/>
    <w:rsid w:val="0088060C"/>
    <w:rsid w:val="00893576"/>
    <w:rsid w:val="00893E73"/>
    <w:rsid w:val="008B02DC"/>
    <w:rsid w:val="008B57CE"/>
    <w:rsid w:val="008C26DE"/>
    <w:rsid w:val="008D2225"/>
    <w:rsid w:val="008D4752"/>
    <w:rsid w:val="008E271C"/>
    <w:rsid w:val="008E418E"/>
    <w:rsid w:val="008E5BC6"/>
    <w:rsid w:val="008E6A25"/>
    <w:rsid w:val="008F5193"/>
    <w:rsid w:val="008F55F5"/>
    <w:rsid w:val="009013A7"/>
    <w:rsid w:val="009017FB"/>
    <w:rsid w:val="009017FC"/>
    <w:rsid w:val="0090506B"/>
    <w:rsid w:val="009050C9"/>
    <w:rsid w:val="009066FC"/>
    <w:rsid w:val="009140A3"/>
    <w:rsid w:val="009144A2"/>
    <w:rsid w:val="0091510C"/>
    <w:rsid w:val="00916F7E"/>
    <w:rsid w:val="009259AC"/>
    <w:rsid w:val="00926F38"/>
    <w:rsid w:val="00934301"/>
    <w:rsid w:val="00936CD1"/>
    <w:rsid w:val="00941747"/>
    <w:rsid w:val="00941EFB"/>
    <w:rsid w:val="00947AFB"/>
    <w:rsid w:val="00951D7D"/>
    <w:rsid w:val="009630C7"/>
    <w:rsid w:val="00972B55"/>
    <w:rsid w:val="009743B7"/>
    <w:rsid w:val="0098228B"/>
    <w:rsid w:val="009828DA"/>
    <w:rsid w:val="00985BAB"/>
    <w:rsid w:val="009B1B5F"/>
    <w:rsid w:val="009B6673"/>
    <w:rsid w:val="009C191B"/>
    <w:rsid w:val="009C2BD6"/>
    <w:rsid w:val="009E1F32"/>
    <w:rsid w:val="009E776C"/>
    <w:rsid w:val="009F65DC"/>
    <w:rsid w:val="00A1726E"/>
    <w:rsid w:val="00A204CF"/>
    <w:rsid w:val="00A23D49"/>
    <w:rsid w:val="00A242AC"/>
    <w:rsid w:val="00A27004"/>
    <w:rsid w:val="00A30C29"/>
    <w:rsid w:val="00A34DD6"/>
    <w:rsid w:val="00A36819"/>
    <w:rsid w:val="00A36989"/>
    <w:rsid w:val="00A43628"/>
    <w:rsid w:val="00A5217A"/>
    <w:rsid w:val="00A54192"/>
    <w:rsid w:val="00A6035E"/>
    <w:rsid w:val="00A6144C"/>
    <w:rsid w:val="00A66617"/>
    <w:rsid w:val="00A671F8"/>
    <w:rsid w:val="00A673A4"/>
    <w:rsid w:val="00A713EB"/>
    <w:rsid w:val="00A724AE"/>
    <w:rsid w:val="00A73329"/>
    <w:rsid w:val="00A82359"/>
    <w:rsid w:val="00A865D2"/>
    <w:rsid w:val="00A94C20"/>
    <w:rsid w:val="00AA227F"/>
    <w:rsid w:val="00AA3BC7"/>
    <w:rsid w:val="00AA754A"/>
    <w:rsid w:val="00AB099E"/>
    <w:rsid w:val="00AB4328"/>
    <w:rsid w:val="00AC3ABA"/>
    <w:rsid w:val="00AD4891"/>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D1C5D"/>
    <w:rsid w:val="00BE14E3"/>
    <w:rsid w:val="00BE3774"/>
    <w:rsid w:val="00BE41E5"/>
    <w:rsid w:val="00BF4109"/>
    <w:rsid w:val="00BF4CC3"/>
    <w:rsid w:val="00C054C7"/>
    <w:rsid w:val="00C057B5"/>
    <w:rsid w:val="00C22687"/>
    <w:rsid w:val="00C25A3E"/>
    <w:rsid w:val="00C32E4D"/>
    <w:rsid w:val="00C333A0"/>
    <w:rsid w:val="00C36408"/>
    <w:rsid w:val="00C36A81"/>
    <w:rsid w:val="00C41226"/>
    <w:rsid w:val="00C41974"/>
    <w:rsid w:val="00C41981"/>
    <w:rsid w:val="00C535F5"/>
    <w:rsid w:val="00C53F4A"/>
    <w:rsid w:val="00C54125"/>
    <w:rsid w:val="00C55B54"/>
    <w:rsid w:val="00C6098E"/>
    <w:rsid w:val="00C6152C"/>
    <w:rsid w:val="00C74810"/>
    <w:rsid w:val="00C85586"/>
    <w:rsid w:val="00C90D68"/>
    <w:rsid w:val="00C939FE"/>
    <w:rsid w:val="00CA4BDA"/>
    <w:rsid w:val="00CB1F66"/>
    <w:rsid w:val="00CB25E5"/>
    <w:rsid w:val="00CB2951"/>
    <w:rsid w:val="00CD282B"/>
    <w:rsid w:val="00CD3B18"/>
    <w:rsid w:val="00CD4C35"/>
    <w:rsid w:val="00CD7369"/>
    <w:rsid w:val="00CE0B0E"/>
    <w:rsid w:val="00CE3831"/>
    <w:rsid w:val="00CE5C03"/>
    <w:rsid w:val="00D00ABB"/>
    <w:rsid w:val="00D02EEC"/>
    <w:rsid w:val="00D03551"/>
    <w:rsid w:val="00D06A63"/>
    <w:rsid w:val="00D07E0E"/>
    <w:rsid w:val="00D11478"/>
    <w:rsid w:val="00D1200C"/>
    <w:rsid w:val="00D15ED0"/>
    <w:rsid w:val="00D20A92"/>
    <w:rsid w:val="00D21B3E"/>
    <w:rsid w:val="00D21FED"/>
    <w:rsid w:val="00D24251"/>
    <w:rsid w:val="00D343E2"/>
    <w:rsid w:val="00D361A2"/>
    <w:rsid w:val="00D44C2E"/>
    <w:rsid w:val="00D45414"/>
    <w:rsid w:val="00D47891"/>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37CB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7BE0"/>
    <w:rsid w:val="00EC315E"/>
    <w:rsid w:val="00EC69C0"/>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5432B"/>
    <w:rsid w:val="00F56A6F"/>
    <w:rsid w:val="00F5709C"/>
    <w:rsid w:val="00F64EF1"/>
    <w:rsid w:val="00F8765F"/>
    <w:rsid w:val="00F90767"/>
    <w:rsid w:val="00FA043A"/>
    <w:rsid w:val="00FA685B"/>
    <w:rsid w:val="00FB0C01"/>
    <w:rsid w:val="00FC18F2"/>
    <w:rsid w:val="00FC39E5"/>
    <w:rsid w:val="00FC3A78"/>
    <w:rsid w:val="00FD1005"/>
    <w:rsid w:val="00FD6C75"/>
    <w:rsid w:val="00FD7757"/>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1200C"/>
    <w:pPr>
      <w:jc w:val="both"/>
    </w:pPr>
    <w:rPr>
      <w:rFonts w:eastAsiaTheme="minorEastAsia"/>
      <w:sz w:val="24"/>
    </w:rPr>
  </w:style>
  <w:style w:type="paragraph" w:styleId="Nagwek1">
    <w:name w:val="heading 1"/>
    <w:basedOn w:val="Normalny"/>
    <w:next w:val="Normalny"/>
    <w:link w:val="Nagwek1Znak"/>
    <w:uiPriority w:val="99"/>
    <w:semiHidden/>
    <w:rsid w:val="00D1200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1200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1200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1200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1200C"/>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1200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1200C"/>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1200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1200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1200C"/>
    <w:rPr>
      <w:rFonts w:ascii="Tahoma" w:hAnsi="Tahoma" w:cs="Tahoma"/>
      <w:sz w:val="16"/>
      <w:szCs w:val="16"/>
    </w:rPr>
  </w:style>
  <w:style w:type="character" w:customStyle="1" w:styleId="TekstdymkaZnak">
    <w:name w:val="Tekst dymka Znak"/>
    <w:basedOn w:val="Domylnaczcionkaakapitu"/>
    <w:link w:val="Tekstdymka"/>
    <w:uiPriority w:val="99"/>
    <w:semiHidden/>
    <w:rsid w:val="00D1200C"/>
    <w:rPr>
      <w:rFonts w:ascii="Tahoma" w:eastAsiaTheme="minorEastAsia" w:hAnsi="Tahoma" w:cs="Tahoma"/>
      <w:sz w:val="16"/>
      <w:szCs w:val="16"/>
    </w:rPr>
  </w:style>
  <w:style w:type="character" w:styleId="Tytuksiki">
    <w:name w:val="Book Title"/>
    <w:uiPriority w:val="99"/>
    <w:semiHidden/>
    <w:qFormat/>
    <w:rsid w:val="00D1200C"/>
    <w:rPr>
      <w:i/>
      <w:iCs/>
      <w:smallCaps/>
      <w:spacing w:val="5"/>
    </w:rPr>
  </w:style>
  <w:style w:type="paragraph" w:customStyle="1" w:styleId="ECHRHeader">
    <w:name w:val="ECHR_Header"/>
    <w:aliases w:val="Ju_Header"/>
    <w:basedOn w:val="Nagwek"/>
    <w:uiPriority w:val="4"/>
    <w:qFormat/>
    <w:rsid w:val="00D1200C"/>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D1200C"/>
  </w:style>
  <w:style w:type="character" w:styleId="Pogrubienie">
    <w:name w:val="Strong"/>
    <w:uiPriority w:val="99"/>
    <w:semiHidden/>
    <w:qFormat/>
    <w:rsid w:val="00D1200C"/>
    <w:rPr>
      <w:b/>
      <w:bCs/>
    </w:rPr>
  </w:style>
  <w:style w:type="paragraph" w:styleId="Bezodstpw">
    <w:name w:val="No Spacing"/>
    <w:basedOn w:val="Normalny"/>
    <w:link w:val="BezodstpwZnak"/>
    <w:semiHidden/>
    <w:qFormat/>
    <w:rsid w:val="00D1200C"/>
    <w:rPr>
      <w:sz w:val="22"/>
    </w:rPr>
  </w:style>
  <w:style w:type="character" w:customStyle="1" w:styleId="BezodstpwZnak">
    <w:name w:val="Bez odstępów Znak"/>
    <w:basedOn w:val="Domylnaczcionkaakapitu"/>
    <w:link w:val="Bezodstpw"/>
    <w:semiHidden/>
    <w:rsid w:val="00D1200C"/>
    <w:rPr>
      <w:rFonts w:eastAsiaTheme="minorEastAsia"/>
    </w:rPr>
  </w:style>
  <w:style w:type="paragraph" w:customStyle="1" w:styleId="ECHRParaQuote">
    <w:name w:val="ECHR_Para_Quote"/>
    <w:aliases w:val="Ju_Quot"/>
    <w:basedOn w:val="Normalny"/>
    <w:uiPriority w:val="14"/>
    <w:qFormat/>
    <w:rsid w:val="00D1200C"/>
    <w:pPr>
      <w:spacing w:before="120" w:after="120"/>
      <w:ind w:left="425" w:firstLine="142"/>
    </w:pPr>
    <w:rPr>
      <w:sz w:val="20"/>
    </w:rPr>
  </w:style>
  <w:style w:type="paragraph" w:customStyle="1" w:styleId="DecList">
    <w:name w:val="Dec_List"/>
    <w:basedOn w:val="Normalny"/>
    <w:uiPriority w:val="9"/>
    <w:semiHidden/>
    <w:qFormat/>
    <w:rsid w:val="00D1200C"/>
    <w:pPr>
      <w:spacing w:before="240"/>
      <w:ind w:left="284"/>
    </w:pPr>
  </w:style>
  <w:style w:type="paragraph" w:customStyle="1" w:styleId="DummyStyle">
    <w:name w:val="Dummy_Style"/>
    <w:basedOn w:val="Normalny"/>
    <w:semiHidden/>
    <w:qFormat/>
    <w:rsid w:val="00D1200C"/>
    <w:rPr>
      <w:color w:val="00B050"/>
    </w:rPr>
  </w:style>
  <w:style w:type="paragraph" w:customStyle="1" w:styleId="JuAppQuestion">
    <w:name w:val="Ju_App_Question"/>
    <w:basedOn w:val="Normalny"/>
    <w:uiPriority w:val="5"/>
    <w:semiHidden/>
    <w:qFormat/>
    <w:rsid w:val="00D1200C"/>
    <w:pPr>
      <w:numPr>
        <w:numId w:val="24"/>
      </w:numPr>
      <w:jc w:val="left"/>
    </w:pPr>
    <w:rPr>
      <w:b/>
    </w:rPr>
  </w:style>
  <w:style w:type="paragraph" w:customStyle="1" w:styleId="JuCourt">
    <w:name w:val="Ju_Court"/>
    <w:basedOn w:val="Normalny"/>
    <w:next w:val="Normalny"/>
    <w:uiPriority w:val="16"/>
    <w:qFormat/>
    <w:rsid w:val="00D1200C"/>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ny"/>
    <w:next w:val="ECHRParaQuote"/>
    <w:uiPriority w:val="27"/>
    <w:qFormat/>
    <w:rsid w:val="00D1200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1200C"/>
    <w:pPr>
      <w:keepNext/>
      <w:keepLines/>
      <w:spacing w:after="240"/>
      <w:jc w:val="center"/>
      <w:outlineLvl w:val="0"/>
    </w:pPr>
    <w:rPr>
      <w:rFonts w:asciiTheme="majorHAnsi" w:hAnsiTheme="majorHAnsi"/>
      <w:sz w:val="28"/>
    </w:rPr>
  </w:style>
  <w:style w:type="paragraph" w:customStyle="1" w:styleId="JuHeaderLandscape">
    <w:name w:val="Ju_Header_Landscape"/>
    <w:basedOn w:val="ECHRHeader"/>
    <w:uiPriority w:val="4"/>
    <w:qFormat/>
    <w:rsid w:val="00D1200C"/>
    <w:pPr>
      <w:tabs>
        <w:tab w:val="clear" w:pos="3686"/>
        <w:tab w:val="clear" w:pos="7371"/>
        <w:tab w:val="center" w:pos="6146"/>
        <w:tab w:val="right" w:pos="12293"/>
      </w:tabs>
    </w:pPr>
  </w:style>
  <w:style w:type="paragraph" w:customStyle="1" w:styleId="ECHRTitle1">
    <w:name w:val="ECHR_Title_1"/>
    <w:aliases w:val="Ju_H_Head"/>
    <w:basedOn w:val="Normalny"/>
    <w:next w:val="ECHRPara"/>
    <w:uiPriority w:val="18"/>
    <w:qFormat/>
    <w:rsid w:val="00D1200C"/>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D1200C"/>
    <w:pPr>
      <w:tabs>
        <w:tab w:val="center" w:pos="6407"/>
      </w:tabs>
      <w:spacing w:before="720"/>
      <w:jc w:val="right"/>
    </w:pPr>
  </w:style>
  <w:style w:type="paragraph" w:customStyle="1" w:styleId="JuSigned">
    <w:name w:val="Ju_Signed"/>
    <w:basedOn w:val="Normalny"/>
    <w:next w:val="JuParaLast"/>
    <w:uiPriority w:val="32"/>
    <w:qFormat/>
    <w:rsid w:val="00D1200C"/>
    <w:pPr>
      <w:tabs>
        <w:tab w:val="center" w:pos="851"/>
        <w:tab w:val="center" w:pos="6407"/>
      </w:tabs>
      <w:spacing w:before="720"/>
      <w:jc w:val="left"/>
    </w:pPr>
  </w:style>
  <w:style w:type="paragraph" w:styleId="Tytu">
    <w:name w:val="Title"/>
    <w:basedOn w:val="Normalny"/>
    <w:next w:val="Normalny"/>
    <w:link w:val="TytuZnak"/>
    <w:uiPriority w:val="99"/>
    <w:semiHidden/>
    <w:qFormat/>
    <w:rsid w:val="00D1200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1200C"/>
    <w:rPr>
      <w:rFonts w:asciiTheme="majorHAnsi" w:eastAsiaTheme="majorEastAsia" w:hAnsiTheme="majorHAnsi" w:cstheme="majorBidi"/>
      <w:spacing w:val="5"/>
      <w:sz w:val="52"/>
      <w:szCs w:val="52"/>
      <w:lang w:bidi="en-US"/>
    </w:rPr>
  </w:style>
  <w:style w:type="character" w:customStyle="1" w:styleId="JuITMark">
    <w:name w:val="Ju_ITMark"/>
    <w:basedOn w:val="Domylnaczcionkaakapitu"/>
    <w:uiPriority w:val="38"/>
    <w:qFormat/>
    <w:rsid w:val="00D1200C"/>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D1200C"/>
    <w:pPr>
      <w:ind w:left="346" w:firstLine="0"/>
    </w:pPr>
  </w:style>
  <w:style w:type="paragraph" w:customStyle="1" w:styleId="JuListi">
    <w:name w:val="Ju_List_i"/>
    <w:basedOn w:val="Normalny"/>
    <w:next w:val="JuLista"/>
    <w:uiPriority w:val="28"/>
    <w:qFormat/>
    <w:rsid w:val="00D1200C"/>
    <w:pPr>
      <w:ind w:left="794"/>
    </w:pPr>
  </w:style>
  <w:style w:type="character" w:customStyle="1" w:styleId="JUNAMES">
    <w:name w:val="JU_NAMES"/>
    <w:uiPriority w:val="17"/>
    <w:qFormat/>
    <w:rsid w:val="00D1200C"/>
    <w:rPr>
      <w:caps w:val="0"/>
      <w:smallCaps/>
    </w:rPr>
  </w:style>
  <w:style w:type="paragraph" w:customStyle="1" w:styleId="JuParaSub">
    <w:name w:val="Ju_Para_Sub"/>
    <w:basedOn w:val="ECHRPara"/>
    <w:uiPriority w:val="13"/>
    <w:qFormat/>
    <w:rsid w:val="00D1200C"/>
    <w:pPr>
      <w:ind w:left="284"/>
    </w:pPr>
  </w:style>
  <w:style w:type="paragraph" w:customStyle="1" w:styleId="ECHRHeading1">
    <w:name w:val="ECHR_Heading_1"/>
    <w:aliases w:val="Ju_H_I_Roman"/>
    <w:basedOn w:val="Nagwek1"/>
    <w:next w:val="ECHRPara"/>
    <w:uiPriority w:val="19"/>
    <w:qFormat/>
    <w:rsid w:val="00D1200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1200C"/>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D1200C"/>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D1200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1200C"/>
    <w:rPr>
      <w:sz w:val="24"/>
    </w:rPr>
  </w:style>
  <w:style w:type="character" w:customStyle="1" w:styleId="Nagwek1Znak">
    <w:name w:val="Nagłówek 1 Znak"/>
    <w:basedOn w:val="Domylnaczcionkaakapitu"/>
    <w:link w:val="Nagwek1"/>
    <w:uiPriority w:val="99"/>
    <w:semiHidden/>
    <w:rsid w:val="00D1200C"/>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D1200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1200C"/>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D1200C"/>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D1200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1200C"/>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D1200C"/>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D1200C"/>
    <w:pPr>
      <w:keepNext/>
      <w:keepLines/>
      <w:spacing w:before="240"/>
      <w:ind w:firstLine="284"/>
    </w:pPr>
  </w:style>
  <w:style w:type="paragraph" w:customStyle="1" w:styleId="JuList">
    <w:name w:val="Ju_List"/>
    <w:basedOn w:val="Normalny"/>
    <w:uiPriority w:val="28"/>
    <w:qFormat/>
    <w:rsid w:val="00D1200C"/>
    <w:pPr>
      <w:ind w:left="340" w:hanging="340"/>
    </w:pPr>
  </w:style>
  <w:style w:type="character" w:customStyle="1" w:styleId="Nagwek4Znak">
    <w:name w:val="Nagłówek 4 Znak"/>
    <w:basedOn w:val="Domylnaczcionkaakapitu"/>
    <w:link w:val="Nagwek4"/>
    <w:uiPriority w:val="99"/>
    <w:semiHidden/>
    <w:rsid w:val="00D1200C"/>
    <w:rPr>
      <w:rFonts w:asciiTheme="majorHAnsi" w:eastAsiaTheme="majorEastAsia" w:hAnsiTheme="majorHAnsi" w:cstheme="majorBidi"/>
      <w:b/>
      <w:bCs/>
      <w:i/>
      <w:iCs/>
      <w:color w:val="777777"/>
      <w:sz w:val="24"/>
    </w:rPr>
  </w:style>
  <w:style w:type="paragraph" w:customStyle="1" w:styleId="JuQuotSub">
    <w:name w:val="Ju_Quot_Sub"/>
    <w:basedOn w:val="ECHRParaQuote"/>
    <w:uiPriority w:val="15"/>
    <w:qFormat/>
    <w:rsid w:val="00D1200C"/>
    <w:pPr>
      <w:ind w:left="567"/>
    </w:pPr>
  </w:style>
  <w:style w:type="character" w:customStyle="1" w:styleId="Nagwek5Znak">
    <w:name w:val="Nagłówek 5 Znak"/>
    <w:basedOn w:val="Domylnaczcionkaakapitu"/>
    <w:link w:val="Nagwek5"/>
    <w:uiPriority w:val="99"/>
    <w:semiHidden/>
    <w:rsid w:val="00D1200C"/>
    <w:rPr>
      <w:rFonts w:asciiTheme="majorHAnsi" w:eastAsiaTheme="majorEastAsia" w:hAnsiTheme="majorHAnsi" w:cstheme="majorBidi"/>
      <w:b/>
      <w:bCs/>
      <w:color w:val="808080"/>
    </w:rPr>
  </w:style>
  <w:style w:type="paragraph" w:customStyle="1" w:styleId="JuTitle">
    <w:name w:val="Ju_Title"/>
    <w:basedOn w:val="Normalny"/>
    <w:next w:val="ECHRPara"/>
    <w:uiPriority w:val="3"/>
    <w:semiHidden/>
    <w:qFormat/>
    <w:rsid w:val="00D1200C"/>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D1200C"/>
    <w:pPr>
      <w:ind w:left="635" w:hanging="357"/>
      <w:outlineLvl w:val="2"/>
    </w:pPr>
  </w:style>
  <w:style w:type="character" w:styleId="Wyrnieniedelikatne">
    <w:name w:val="Subtle Emphasis"/>
    <w:uiPriority w:val="99"/>
    <w:semiHidden/>
    <w:qFormat/>
    <w:rsid w:val="00D1200C"/>
    <w:rPr>
      <w:i/>
      <w:iCs/>
    </w:rPr>
  </w:style>
  <w:style w:type="paragraph" w:customStyle="1" w:styleId="OpiHa">
    <w:name w:val="Opi_H_a"/>
    <w:basedOn w:val="ECHRHeading3"/>
    <w:uiPriority w:val="43"/>
    <w:qFormat/>
    <w:rsid w:val="00D1200C"/>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D1200C"/>
    <w:pPr>
      <w:tabs>
        <w:tab w:val="clear" w:pos="357"/>
      </w:tabs>
      <w:outlineLvl w:val="1"/>
    </w:pPr>
    <w:rPr>
      <w:b/>
    </w:rPr>
  </w:style>
  <w:style w:type="paragraph" w:customStyle="1" w:styleId="OpiHi">
    <w:name w:val="Opi_H_i"/>
    <w:basedOn w:val="ECHRHeading4"/>
    <w:uiPriority w:val="44"/>
    <w:qFormat/>
    <w:rsid w:val="00D1200C"/>
    <w:pPr>
      <w:ind w:left="1037" w:hanging="357"/>
      <w:outlineLvl w:val="4"/>
    </w:pPr>
    <w:rPr>
      <w:b w:val="0"/>
      <w:i/>
    </w:rPr>
  </w:style>
  <w:style w:type="paragraph" w:styleId="Podtytu">
    <w:name w:val="Subtitle"/>
    <w:basedOn w:val="Normalny"/>
    <w:next w:val="Normalny"/>
    <w:link w:val="PodtytuZnak"/>
    <w:uiPriority w:val="99"/>
    <w:semiHidden/>
    <w:qFormat/>
    <w:rsid w:val="00D1200C"/>
    <w:pPr>
      <w:spacing w:after="600"/>
    </w:pPr>
    <w:rPr>
      <w:rFonts w:asciiTheme="majorHAnsi" w:eastAsiaTheme="majorEastAsia" w:hAnsiTheme="majorHAnsi" w:cstheme="majorBidi"/>
      <w:i/>
      <w:iCs/>
      <w:spacing w:val="13"/>
      <w:szCs w:val="24"/>
      <w:lang w:bidi="en-US"/>
    </w:rPr>
  </w:style>
  <w:style w:type="character" w:styleId="Uwydatnienie">
    <w:name w:val="Emphasis"/>
    <w:uiPriority w:val="99"/>
    <w:semiHidden/>
    <w:qFormat/>
    <w:rsid w:val="00D1200C"/>
    <w:rPr>
      <w:b/>
      <w:bCs/>
      <w:i/>
      <w:iCs/>
      <w:spacing w:val="10"/>
      <w:bdr w:val="none" w:sz="0" w:space="0" w:color="auto"/>
      <w:shd w:val="clear" w:color="auto" w:fill="auto"/>
    </w:rPr>
  </w:style>
  <w:style w:type="paragraph" w:styleId="Stopka">
    <w:name w:val="footer"/>
    <w:basedOn w:val="Normalny"/>
    <w:link w:val="StopkaZnak"/>
    <w:uiPriority w:val="57"/>
    <w:semiHidden/>
    <w:rsid w:val="00D1200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1200C"/>
    <w:rPr>
      <w:sz w:val="24"/>
    </w:rPr>
  </w:style>
  <w:style w:type="character" w:styleId="Odwoanieprzypisudolnego">
    <w:name w:val="footnote reference"/>
    <w:basedOn w:val="Domylnaczcionkaakapitu"/>
    <w:uiPriority w:val="99"/>
    <w:semiHidden/>
    <w:rsid w:val="00D1200C"/>
    <w:rPr>
      <w:vertAlign w:val="superscript"/>
    </w:rPr>
  </w:style>
  <w:style w:type="paragraph" w:styleId="Tekstprzypisudolnego">
    <w:name w:val="footnote text"/>
    <w:basedOn w:val="Normalny"/>
    <w:link w:val="TekstprzypisudolnegoZnak"/>
    <w:uiPriority w:val="99"/>
    <w:semiHidden/>
    <w:rsid w:val="00D1200C"/>
    <w:rPr>
      <w:sz w:val="20"/>
      <w:szCs w:val="20"/>
    </w:rPr>
  </w:style>
  <w:style w:type="character" w:customStyle="1" w:styleId="TekstprzypisudolnegoZnak">
    <w:name w:val="Tekst przypisu dolnego Znak"/>
    <w:basedOn w:val="Domylnaczcionkaakapitu"/>
    <w:link w:val="Tekstprzypisudolnego"/>
    <w:uiPriority w:val="99"/>
    <w:semiHidden/>
    <w:rsid w:val="00D1200C"/>
    <w:rPr>
      <w:rFonts w:eastAsiaTheme="minorEastAsia"/>
      <w:sz w:val="20"/>
      <w:szCs w:val="20"/>
    </w:rPr>
  </w:style>
  <w:style w:type="character" w:customStyle="1" w:styleId="Nagwek6Znak">
    <w:name w:val="Nagłówek 6 Znak"/>
    <w:basedOn w:val="Domylnaczcionkaakapitu"/>
    <w:link w:val="Nagwek6"/>
    <w:uiPriority w:val="99"/>
    <w:semiHidden/>
    <w:rsid w:val="00D1200C"/>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1200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1200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1200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1200C"/>
    <w:rPr>
      <w:color w:val="0072BC" w:themeColor="hyperlink"/>
      <w:u w:val="single"/>
    </w:rPr>
  </w:style>
  <w:style w:type="character" w:styleId="Wyrnienieintensywne">
    <w:name w:val="Intense Emphasis"/>
    <w:uiPriority w:val="99"/>
    <w:semiHidden/>
    <w:qFormat/>
    <w:rsid w:val="00D1200C"/>
    <w:rPr>
      <w:b/>
      <w:bCs/>
    </w:rPr>
  </w:style>
  <w:style w:type="paragraph" w:styleId="Cytatintensywny">
    <w:name w:val="Intense Quote"/>
    <w:basedOn w:val="Normalny"/>
    <w:next w:val="Normalny"/>
    <w:link w:val="CytatintensywnyZnak"/>
    <w:uiPriority w:val="99"/>
    <w:semiHidden/>
    <w:qFormat/>
    <w:rsid w:val="00D1200C"/>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1200C"/>
    <w:rPr>
      <w:rFonts w:eastAsiaTheme="minorEastAsia"/>
      <w:b/>
      <w:bCs/>
      <w:i/>
      <w:iCs/>
      <w:lang w:bidi="en-US"/>
    </w:rPr>
  </w:style>
  <w:style w:type="character" w:styleId="Odwoanieintensywne">
    <w:name w:val="Intense Reference"/>
    <w:uiPriority w:val="99"/>
    <w:semiHidden/>
    <w:qFormat/>
    <w:rsid w:val="00D1200C"/>
    <w:rPr>
      <w:smallCaps/>
      <w:spacing w:val="5"/>
      <w:u w:val="single"/>
    </w:rPr>
  </w:style>
  <w:style w:type="paragraph" w:styleId="Akapitzlist">
    <w:name w:val="List Paragraph"/>
    <w:basedOn w:val="Normalny"/>
    <w:uiPriority w:val="99"/>
    <w:semiHidden/>
    <w:qFormat/>
    <w:rsid w:val="00D1200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1200C"/>
    <w:pPr>
      <w:spacing w:before="200"/>
      <w:ind w:left="360" w:right="360"/>
    </w:pPr>
    <w:rPr>
      <w:i/>
      <w:iCs/>
      <w:sz w:val="22"/>
      <w:lang w:bidi="en-US"/>
    </w:rPr>
  </w:style>
  <w:style w:type="character" w:customStyle="1" w:styleId="CytatZnak">
    <w:name w:val="Cytat Znak"/>
    <w:basedOn w:val="Domylnaczcionkaakapitu"/>
    <w:link w:val="Cytat"/>
    <w:uiPriority w:val="99"/>
    <w:semiHidden/>
    <w:rsid w:val="00D1200C"/>
    <w:rPr>
      <w:rFonts w:eastAsiaTheme="minorEastAsia"/>
      <w:i/>
      <w:iCs/>
      <w:lang w:bidi="en-US"/>
    </w:rPr>
  </w:style>
  <w:style w:type="character" w:styleId="Odwoaniedelikatne">
    <w:name w:val="Subtle Reference"/>
    <w:uiPriority w:val="99"/>
    <w:semiHidden/>
    <w:qFormat/>
    <w:rsid w:val="00D1200C"/>
    <w:rPr>
      <w:smallCaps/>
    </w:rPr>
  </w:style>
  <w:style w:type="table" w:styleId="Tabela-Siatka">
    <w:name w:val="Table Grid"/>
    <w:basedOn w:val="Standardowy"/>
    <w:uiPriority w:val="59"/>
    <w:semiHidden/>
    <w:rsid w:val="00D1200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1200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1200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1200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1200C"/>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1200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1200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1200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PodtytuZnak">
    <w:name w:val="Podtytuł Znak"/>
    <w:basedOn w:val="Domylnaczcionkaakapitu"/>
    <w:link w:val="Podtytu"/>
    <w:uiPriority w:val="99"/>
    <w:semiHidden/>
    <w:rsid w:val="00D1200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2D2C99"/>
    <w:pPr>
      <w:numPr>
        <w:numId w:val="2"/>
      </w:numPr>
    </w:pPr>
  </w:style>
  <w:style w:type="numbering" w:styleId="1ai">
    <w:name w:val="Outline List 1"/>
    <w:basedOn w:val="Bezlisty"/>
    <w:uiPriority w:val="99"/>
    <w:semiHidden/>
    <w:unhideWhenUsed/>
    <w:rsid w:val="002D2C99"/>
    <w:pPr>
      <w:numPr>
        <w:numId w:val="3"/>
      </w:numPr>
    </w:pPr>
  </w:style>
  <w:style w:type="paragraph" w:customStyle="1" w:styleId="ECHRPara">
    <w:name w:val="ECHR_Para"/>
    <w:aliases w:val="Ju_Para"/>
    <w:basedOn w:val="Normalny"/>
    <w:link w:val="ECHRParaChar"/>
    <w:uiPriority w:val="12"/>
    <w:qFormat/>
    <w:rsid w:val="00D1200C"/>
    <w:pPr>
      <w:ind w:firstLine="284"/>
    </w:pPr>
  </w:style>
  <w:style w:type="numbering" w:styleId="Artykusekcja">
    <w:name w:val="Outline List 3"/>
    <w:basedOn w:val="Bezlisty"/>
    <w:uiPriority w:val="99"/>
    <w:semiHidden/>
    <w:unhideWhenUsed/>
    <w:rsid w:val="002D2C99"/>
    <w:pPr>
      <w:numPr>
        <w:numId w:val="4"/>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fia">
    <w:name w:val="Bibliography"/>
    <w:basedOn w:val="Normalny"/>
    <w:next w:val="Normalny"/>
    <w:uiPriority w:val="99"/>
    <w:semiHidden/>
    <w:rsid w:val="002D2C99"/>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1200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Tekstblokowy">
    <w:name w:val="Block Text"/>
    <w:basedOn w:val="Normalny"/>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Tekstpodstawowy">
    <w:name w:val="Body Text"/>
    <w:basedOn w:val="Normalny"/>
    <w:link w:val="TekstpodstawowyZnak"/>
    <w:uiPriority w:val="99"/>
    <w:semiHidden/>
    <w:rsid w:val="002D2C99"/>
    <w:pPr>
      <w:spacing w:after="120"/>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Znak">
    <w:name w:val="Tekst podstawowy Znak"/>
    <w:basedOn w:val="Domylnaczcionkaakapitu"/>
    <w:link w:val="Tekstpodstawowy"/>
    <w:uiPriority w:val="99"/>
    <w:semiHidden/>
    <w:rsid w:val="002D2C99"/>
    <w:rPr>
      <w:rFonts w:eastAsiaTheme="minorEastAsia"/>
      <w:sz w:val="24"/>
    </w:rPr>
  </w:style>
  <w:style w:type="paragraph" w:styleId="Tekstpodstawowy2">
    <w:name w:val="Body Text 2"/>
    <w:basedOn w:val="Normalny"/>
    <w:link w:val="Tekstpodstawowy2Znak"/>
    <w:uiPriority w:val="99"/>
    <w:semiHidden/>
    <w:rsid w:val="002D2C99"/>
    <w:pPr>
      <w:spacing w:after="120" w:line="480" w:lineRule="auto"/>
    </w:p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1200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D1200C"/>
    <w:pPr>
      <w:ind w:firstLine="284"/>
    </w:pPr>
    <w:rPr>
      <w:b/>
    </w:rPr>
  </w:style>
  <w:style w:type="character" w:styleId="Numerstrony">
    <w:name w:val="page number"/>
    <w:uiPriority w:val="99"/>
    <w:semiHidden/>
    <w:rsid w:val="002D2C99"/>
    <w:rPr>
      <w:rFonts w:ascii="Times New Roman" w:hAnsi="Times New Roman" w:cs="Times New Roman"/>
      <w:sz w:val="18"/>
    </w:rPr>
  </w:style>
  <w:style w:type="paragraph" w:styleId="Listapunktowana2">
    <w:name w:val="List Bullet 2"/>
    <w:basedOn w:val="Normalny"/>
    <w:uiPriority w:val="99"/>
    <w:semiHidden/>
    <w:rsid w:val="002D2C99"/>
    <w:pPr>
      <w:numPr>
        <w:numId w:val="1"/>
      </w:numPr>
      <w:contextualSpacing/>
    </w:pPr>
  </w:style>
  <w:style w:type="character" w:customStyle="1" w:styleId="Tekstpodstawowy2Znak">
    <w:name w:val="Tekst podstawowy 2 Znak"/>
    <w:basedOn w:val="Domylnaczcionkaakapitu"/>
    <w:link w:val="Tekstpodstawowy2"/>
    <w:uiPriority w:val="99"/>
    <w:semiHidden/>
    <w:rsid w:val="002D2C99"/>
    <w:rPr>
      <w:rFonts w:eastAsiaTheme="minorEastAsia"/>
      <w:sz w:val="24"/>
    </w:rPr>
  </w:style>
  <w:style w:type="paragraph" w:styleId="Tekstpodstawowy3">
    <w:name w:val="Body Text 3"/>
    <w:basedOn w:val="Normalny"/>
    <w:link w:val="Tekstpodstawowy3Znak"/>
    <w:uiPriority w:val="99"/>
    <w:semiHidden/>
    <w:rsid w:val="002D2C99"/>
    <w:pPr>
      <w:spacing w:after="120"/>
    </w:pPr>
    <w:rPr>
      <w:sz w:val="16"/>
      <w:szCs w:val="16"/>
    </w:rPr>
  </w:style>
  <w:style w:type="character" w:customStyle="1" w:styleId="Tekstpodstawowy3Znak">
    <w:name w:val="Tekst podstawowy 3 Znak"/>
    <w:basedOn w:val="Domylnaczcionkaakapitu"/>
    <w:link w:val="Tekstpodstawowy3"/>
    <w:uiPriority w:val="99"/>
    <w:semiHidden/>
    <w:rsid w:val="002D2C99"/>
    <w:rPr>
      <w:rFonts w:eastAsiaTheme="minorEastAsia"/>
      <w:sz w:val="16"/>
      <w:szCs w:val="16"/>
    </w:rPr>
  </w:style>
  <w:style w:type="paragraph" w:styleId="Tekstpodstawowyzwciciem">
    <w:name w:val="Body Text First Indent"/>
    <w:basedOn w:val="Tekstpodstawowy"/>
    <w:link w:val="TekstpodstawowyzwciciemZnak"/>
    <w:uiPriority w:val="99"/>
    <w:semiHidden/>
    <w:rsid w:val="002D2C99"/>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2D2C99"/>
    <w:rPr>
      <w:rFonts w:eastAsiaTheme="minorEastAsia"/>
      <w:sz w:val="24"/>
    </w:rPr>
  </w:style>
  <w:style w:type="paragraph" w:styleId="Tekstpodstawowywcity">
    <w:name w:val="Body Text Indent"/>
    <w:basedOn w:val="Normalny"/>
    <w:link w:val="TekstpodstawowywcityZnak"/>
    <w:uiPriority w:val="99"/>
    <w:semiHidden/>
    <w:rsid w:val="002D2C99"/>
    <w:pPr>
      <w:spacing w:after="120"/>
      <w:ind w:left="283"/>
    </w:pPr>
  </w:style>
  <w:style w:type="character" w:customStyle="1" w:styleId="TekstpodstawowywcityZnak">
    <w:name w:val="Tekst podstawowy wcięty Znak"/>
    <w:basedOn w:val="Domylnaczcionkaakapitu"/>
    <w:link w:val="Tekstpodstawowywcity"/>
    <w:uiPriority w:val="99"/>
    <w:semiHidden/>
    <w:rsid w:val="002D2C99"/>
    <w:rPr>
      <w:rFonts w:eastAsiaTheme="minorEastAsia"/>
      <w:sz w:val="24"/>
    </w:rPr>
  </w:style>
  <w:style w:type="paragraph" w:styleId="Tekstpodstawowyzwciciem2">
    <w:name w:val="Body Text First Indent 2"/>
    <w:basedOn w:val="Tekstpodstawowywcity"/>
    <w:link w:val="Tekstpodstawowyzwciciem2Znak"/>
    <w:uiPriority w:val="99"/>
    <w:semiHidden/>
    <w:rsid w:val="002D2C99"/>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2D2C99"/>
    <w:rPr>
      <w:rFonts w:eastAsiaTheme="minorEastAsia"/>
      <w:sz w:val="24"/>
    </w:rPr>
  </w:style>
  <w:style w:type="paragraph" w:styleId="Tekstpodstawowywcity2">
    <w:name w:val="Body Text Indent 2"/>
    <w:basedOn w:val="Normalny"/>
    <w:link w:val="Tekstpodstawowywcity2Znak"/>
    <w:uiPriority w:val="99"/>
    <w:semiHidden/>
    <w:rsid w:val="002D2C99"/>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D2C99"/>
    <w:rPr>
      <w:rFonts w:eastAsiaTheme="minorEastAsia"/>
      <w:sz w:val="24"/>
    </w:rPr>
  </w:style>
  <w:style w:type="paragraph" w:styleId="Tekstpodstawowywcity3">
    <w:name w:val="Body Text Indent 3"/>
    <w:basedOn w:val="Normalny"/>
    <w:link w:val="Tekstpodstawowywcity3Znak"/>
    <w:uiPriority w:val="99"/>
    <w:semiHidden/>
    <w:rsid w:val="002D2C9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2D2C99"/>
    <w:rPr>
      <w:rFonts w:eastAsiaTheme="minorEastAsia"/>
      <w:sz w:val="16"/>
      <w:szCs w:val="16"/>
    </w:rPr>
  </w:style>
  <w:style w:type="paragraph" w:styleId="Legenda">
    <w:name w:val="caption"/>
    <w:basedOn w:val="Normalny"/>
    <w:next w:val="Normalny"/>
    <w:uiPriority w:val="99"/>
    <w:semiHidden/>
    <w:qFormat/>
    <w:rsid w:val="002D2C99"/>
    <w:pPr>
      <w:spacing w:after="200"/>
    </w:pPr>
    <w:rPr>
      <w:b/>
      <w:bCs/>
      <w:color w:val="0072BC" w:themeColor="accent1"/>
      <w:sz w:val="18"/>
      <w:szCs w:val="18"/>
    </w:rPr>
  </w:style>
  <w:style w:type="paragraph" w:styleId="Zwrotpoegnalny">
    <w:name w:val="Closing"/>
    <w:basedOn w:val="Normalny"/>
    <w:link w:val="ZwrotpoegnalnyZnak"/>
    <w:uiPriority w:val="99"/>
    <w:semiHidden/>
    <w:rsid w:val="002D2C99"/>
    <w:pPr>
      <w:ind w:left="4252"/>
    </w:pPr>
  </w:style>
  <w:style w:type="character" w:customStyle="1" w:styleId="ZwrotpoegnalnyZnak">
    <w:name w:val="Zwrot pożegnalny Znak"/>
    <w:basedOn w:val="Domylnaczcionkaakapitu"/>
    <w:link w:val="Zwrotpoegnalny"/>
    <w:uiPriority w:val="99"/>
    <w:semiHidden/>
    <w:rsid w:val="002D2C99"/>
    <w:rPr>
      <w:rFonts w:eastAsiaTheme="minorEastAsia"/>
      <w:sz w:val="24"/>
    </w:rPr>
  </w:style>
  <w:style w:type="table" w:styleId="Kolorowasiatka">
    <w:name w:val="Colorful Grid"/>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2D2C99"/>
    <w:rPr>
      <w:sz w:val="16"/>
      <w:szCs w:val="16"/>
    </w:rPr>
  </w:style>
  <w:style w:type="paragraph" w:styleId="Tekstkomentarza">
    <w:name w:val="annotation text"/>
    <w:basedOn w:val="Normalny"/>
    <w:link w:val="TekstkomentarzaZnak"/>
    <w:semiHidden/>
    <w:rsid w:val="002D2C99"/>
    <w:rPr>
      <w:sz w:val="20"/>
      <w:szCs w:val="20"/>
    </w:rPr>
  </w:style>
  <w:style w:type="character" w:customStyle="1" w:styleId="TekstkomentarzaZnak">
    <w:name w:val="Tekst komentarza Znak"/>
    <w:basedOn w:val="Domylnaczcionkaakapitu"/>
    <w:link w:val="Tekstkomentarza"/>
    <w:uiPriority w:val="99"/>
    <w:semiHidden/>
    <w:rsid w:val="002D2C99"/>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2D2C99"/>
    <w:rPr>
      <w:b/>
      <w:bCs/>
    </w:rPr>
  </w:style>
  <w:style w:type="character" w:customStyle="1" w:styleId="TematkomentarzaZnak">
    <w:name w:val="Temat komentarza Znak"/>
    <w:basedOn w:val="TekstkomentarzaZnak"/>
    <w:link w:val="Tematkomentarza"/>
    <w:uiPriority w:val="99"/>
    <w:semiHidden/>
    <w:rsid w:val="002D2C99"/>
    <w:rPr>
      <w:rFonts w:eastAsiaTheme="minorEastAsia"/>
      <w:b/>
      <w:bCs/>
      <w:sz w:val="20"/>
      <w:szCs w:val="20"/>
    </w:rPr>
  </w:style>
  <w:style w:type="table" w:styleId="Ciemnalista">
    <w:name w:val="Dark List"/>
    <w:basedOn w:val="Standardowy"/>
    <w:uiPriority w:val="99"/>
    <w:semiHidden/>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2D2C99"/>
  </w:style>
  <w:style w:type="character" w:customStyle="1" w:styleId="DataZnak">
    <w:name w:val="Data Znak"/>
    <w:basedOn w:val="Domylnaczcionkaakapitu"/>
    <w:link w:val="Data"/>
    <w:uiPriority w:val="99"/>
    <w:semiHidden/>
    <w:rsid w:val="002D2C99"/>
    <w:rPr>
      <w:rFonts w:eastAsiaTheme="minorEastAsia"/>
      <w:sz w:val="24"/>
    </w:rPr>
  </w:style>
  <w:style w:type="paragraph" w:styleId="Mapadokumentu">
    <w:name w:val="Document Map"/>
    <w:basedOn w:val="Normalny"/>
    <w:link w:val="MapadokumentuZnak"/>
    <w:uiPriority w:val="99"/>
    <w:semiHidden/>
    <w:rsid w:val="002D2C99"/>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2D2C99"/>
    <w:rPr>
      <w:rFonts w:ascii="Tahoma" w:eastAsiaTheme="minorEastAsia" w:hAnsi="Tahoma" w:cs="Tahoma"/>
      <w:sz w:val="16"/>
      <w:szCs w:val="16"/>
    </w:rPr>
  </w:style>
  <w:style w:type="paragraph" w:styleId="Podpise-mail">
    <w:name w:val="E-mail Signature"/>
    <w:basedOn w:val="Normalny"/>
    <w:link w:val="Podpise-mailZnak"/>
    <w:uiPriority w:val="99"/>
    <w:semiHidden/>
    <w:rsid w:val="002D2C99"/>
  </w:style>
  <w:style w:type="character" w:customStyle="1" w:styleId="Podpise-mailZnak">
    <w:name w:val="Podpis e-mail Znak"/>
    <w:basedOn w:val="Domylnaczcionkaakapitu"/>
    <w:link w:val="Podpise-mail"/>
    <w:uiPriority w:val="99"/>
    <w:semiHidden/>
    <w:rsid w:val="002D2C99"/>
    <w:rPr>
      <w:rFonts w:eastAsiaTheme="minorEastAsia"/>
      <w:sz w:val="24"/>
    </w:rPr>
  </w:style>
  <w:style w:type="character" w:styleId="Odwoanieprzypisukocowego">
    <w:name w:val="endnote reference"/>
    <w:basedOn w:val="Domylnaczcionkaakapitu"/>
    <w:uiPriority w:val="99"/>
    <w:semiHidden/>
    <w:rsid w:val="002D2C99"/>
    <w:rPr>
      <w:vertAlign w:val="superscript"/>
    </w:rPr>
  </w:style>
  <w:style w:type="paragraph" w:styleId="Tekstprzypisukocowego">
    <w:name w:val="endnote text"/>
    <w:basedOn w:val="Normalny"/>
    <w:link w:val="TekstprzypisukocowegoZnak"/>
    <w:uiPriority w:val="99"/>
    <w:semiHidden/>
    <w:rsid w:val="002D2C99"/>
    <w:rPr>
      <w:sz w:val="20"/>
      <w:szCs w:val="20"/>
    </w:rPr>
  </w:style>
  <w:style w:type="character" w:customStyle="1" w:styleId="TekstprzypisukocowegoZnak">
    <w:name w:val="Tekst przypisu końcowego Znak"/>
    <w:basedOn w:val="Domylnaczcionkaakapitu"/>
    <w:link w:val="Tekstprzypisukocowego"/>
    <w:uiPriority w:val="99"/>
    <w:semiHidden/>
    <w:rsid w:val="002D2C99"/>
    <w:rPr>
      <w:rFonts w:eastAsiaTheme="minorEastAsia"/>
      <w:sz w:val="20"/>
      <w:szCs w:val="20"/>
    </w:rPr>
  </w:style>
  <w:style w:type="paragraph" w:styleId="Adresnakopercie">
    <w:name w:val="envelope address"/>
    <w:basedOn w:val="Normalny"/>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2D2C99"/>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2D2C99"/>
    <w:rPr>
      <w:color w:val="7030A0" w:themeColor="followedHyperlink"/>
      <w:u w:val="single"/>
    </w:rPr>
  </w:style>
  <w:style w:type="character" w:styleId="HTML-akronim">
    <w:name w:val="HTML Acronym"/>
    <w:basedOn w:val="Domylnaczcionkaakapitu"/>
    <w:uiPriority w:val="99"/>
    <w:semiHidden/>
    <w:rsid w:val="002D2C99"/>
  </w:style>
  <w:style w:type="paragraph" w:styleId="HTML-adres">
    <w:name w:val="HTML Address"/>
    <w:basedOn w:val="Normalny"/>
    <w:link w:val="HTML-adresZnak"/>
    <w:uiPriority w:val="99"/>
    <w:semiHidden/>
    <w:rsid w:val="002D2C99"/>
    <w:rPr>
      <w:i/>
      <w:iCs/>
    </w:rPr>
  </w:style>
  <w:style w:type="character" w:customStyle="1" w:styleId="HTML-adresZnak">
    <w:name w:val="HTML - adres Znak"/>
    <w:basedOn w:val="Domylnaczcionkaakapitu"/>
    <w:link w:val="HTML-adres"/>
    <w:uiPriority w:val="99"/>
    <w:semiHidden/>
    <w:rsid w:val="002D2C99"/>
    <w:rPr>
      <w:rFonts w:eastAsiaTheme="minorEastAsia"/>
      <w:i/>
      <w:iCs/>
      <w:sz w:val="24"/>
    </w:rPr>
  </w:style>
  <w:style w:type="character" w:styleId="HTML-cytat">
    <w:name w:val="HTML Cite"/>
    <w:basedOn w:val="Domylnaczcionkaakapitu"/>
    <w:uiPriority w:val="99"/>
    <w:semiHidden/>
    <w:rsid w:val="002D2C99"/>
    <w:rPr>
      <w:i/>
      <w:iCs/>
    </w:rPr>
  </w:style>
  <w:style w:type="character" w:styleId="HTML-kod">
    <w:name w:val="HTML Code"/>
    <w:basedOn w:val="Domylnaczcionkaakapitu"/>
    <w:uiPriority w:val="99"/>
    <w:semiHidden/>
    <w:rsid w:val="002D2C99"/>
    <w:rPr>
      <w:rFonts w:ascii="Consolas" w:hAnsi="Consolas" w:cs="Consolas"/>
      <w:sz w:val="20"/>
      <w:szCs w:val="20"/>
    </w:rPr>
  </w:style>
  <w:style w:type="character" w:styleId="HTML-definicja">
    <w:name w:val="HTML Definition"/>
    <w:basedOn w:val="Domylnaczcionkaakapitu"/>
    <w:uiPriority w:val="99"/>
    <w:semiHidden/>
    <w:rsid w:val="002D2C99"/>
    <w:rPr>
      <w:i/>
      <w:iCs/>
    </w:rPr>
  </w:style>
  <w:style w:type="character" w:styleId="HTML-klawiatura">
    <w:name w:val="HTML Keyboard"/>
    <w:basedOn w:val="Domylnaczcionkaakapitu"/>
    <w:uiPriority w:val="99"/>
    <w:semiHidden/>
    <w:rsid w:val="002D2C99"/>
    <w:rPr>
      <w:rFonts w:ascii="Consolas" w:hAnsi="Consolas" w:cs="Consolas"/>
      <w:sz w:val="20"/>
      <w:szCs w:val="20"/>
    </w:rPr>
  </w:style>
  <w:style w:type="paragraph" w:styleId="HTML-wstpniesformatowany">
    <w:name w:val="HTML Preformatted"/>
    <w:basedOn w:val="Normalny"/>
    <w:link w:val="HTML-wstpniesformatowanyZnak"/>
    <w:uiPriority w:val="99"/>
    <w:semiHidden/>
    <w:rsid w:val="002D2C9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2D2C99"/>
    <w:rPr>
      <w:rFonts w:ascii="Consolas" w:eastAsiaTheme="minorEastAsia" w:hAnsi="Consolas" w:cs="Consolas"/>
      <w:sz w:val="20"/>
      <w:szCs w:val="20"/>
    </w:rPr>
  </w:style>
  <w:style w:type="character" w:styleId="HTML-przykad">
    <w:name w:val="HTML Sample"/>
    <w:basedOn w:val="Domylnaczcionkaakapitu"/>
    <w:uiPriority w:val="99"/>
    <w:semiHidden/>
    <w:rsid w:val="002D2C99"/>
    <w:rPr>
      <w:rFonts w:ascii="Consolas" w:hAnsi="Consolas" w:cs="Consolas"/>
      <w:sz w:val="24"/>
      <w:szCs w:val="24"/>
    </w:rPr>
  </w:style>
  <w:style w:type="character" w:styleId="HTML-staaszeroko">
    <w:name w:val="HTML Typewriter"/>
    <w:basedOn w:val="Domylnaczcionkaakapitu"/>
    <w:uiPriority w:val="99"/>
    <w:semiHidden/>
    <w:rsid w:val="002D2C99"/>
    <w:rPr>
      <w:rFonts w:ascii="Consolas" w:hAnsi="Consolas" w:cs="Consolas"/>
      <w:sz w:val="20"/>
      <w:szCs w:val="20"/>
    </w:rPr>
  </w:style>
  <w:style w:type="character" w:styleId="HTML-zmienna">
    <w:name w:val="HTML Variable"/>
    <w:basedOn w:val="Domylnaczcionkaakapitu"/>
    <w:uiPriority w:val="99"/>
    <w:semiHidden/>
    <w:rsid w:val="002D2C99"/>
    <w:rPr>
      <w:i/>
      <w:iCs/>
    </w:rPr>
  </w:style>
  <w:style w:type="paragraph" w:styleId="Indeks1">
    <w:name w:val="index 1"/>
    <w:basedOn w:val="Normalny"/>
    <w:next w:val="Normalny"/>
    <w:autoRedefine/>
    <w:uiPriority w:val="99"/>
    <w:semiHidden/>
    <w:rsid w:val="002D2C99"/>
    <w:pPr>
      <w:ind w:left="240" w:hanging="240"/>
    </w:pPr>
  </w:style>
  <w:style w:type="paragraph" w:styleId="Indeks2">
    <w:name w:val="index 2"/>
    <w:basedOn w:val="Normalny"/>
    <w:next w:val="Normalny"/>
    <w:autoRedefine/>
    <w:uiPriority w:val="99"/>
    <w:semiHidden/>
    <w:rsid w:val="002D2C99"/>
    <w:pPr>
      <w:ind w:left="480" w:hanging="240"/>
    </w:pPr>
  </w:style>
  <w:style w:type="paragraph" w:styleId="Indeks3">
    <w:name w:val="index 3"/>
    <w:basedOn w:val="Normalny"/>
    <w:next w:val="Normalny"/>
    <w:autoRedefine/>
    <w:uiPriority w:val="99"/>
    <w:semiHidden/>
    <w:rsid w:val="002D2C99"/>
    <w:pPr>
      <w:ind w:left="720" w:hanging="240"/>
    </w:pPr>
  </w:style>
  <w:style w:type="paragraph" w:styleId="Indeks4">
    <w:name w:val="index 4"/>
    <w:basedOn w:val="Normalny"/>
    <w:next w:val="Normalny"/>
    <w:autoRedefine/>
    <w:uiPriority w:val="99"/>
    <w:semiHidden/>
    <w:rsid w:val="002D2C99"/>
    <w:pPr>
      <w:ind w:left="960" w:hanging="240"/>
    </w:pPr>
  </w:style>
  <w:style w:type="paragraph" w:styleId="Indeks5">
    <w:name w:val="index 5"/>
    <w:basedOn w:val="Normalny"/>
    <w:next w:val="Normalny"/>
    <w:autoRedefine/>
    <w:uiPriority w:val="99"/>
    <w:semiHidden/>
    <w:rsid w:val="002D2C99"/>
    <w:pPr>
      <w:ind w:left="1200" w:hanging="240"/>
    </w:pPr>
  </w:style>
  <w:style w:type="paragraph" w:styleId="Indeks6">
    <w:name w:val="index 6"/>
    <w:basedOn w:val="Normalny"/>
    <w:next w:val="Normalny"/>
    <w:autoRedefine/>
    <w:uiPriority w:val="99"/>
    <w:semiHidden/>
    <w:rsid w:val="002D2C99"/>
    <w:pPr>
      <w:ind w:left="1440" w:hanging="240"/>
    </w:pPr>
  </w:style>
  <w:style w:type="paragraph" w:styleId="Indeks7">
    <w:name w:val="index 7"/>
    <w:basedOn w:val="Normalny"/>
    <w:next w:val="Normalny"/>
    <w:autoRedefine/>
    <w:uiPriority w:val="99"/>
    <w:semiHidden/>
    <w:rsid w:val="002D2C99"/>
    <w:pPr>
      <w:ind w:left="1680" w:hanging="240"/>
    </w:pPr>
  </w:style>
  <w:style w:type="paragraph" w:styleId="Indeks8">
    <w:name w:val="index 8"/>
    <w:basedOn w:val="Normalny"/>
    <w:next w:val="Normalny"/>
    <w:autoRedefine/>
    <w:uiPriority w:val="99"/>
    <w:semiHidden/>
    <w:rsid w:val="002D2C99"/>
    <w:pPr>
      <w:ind w:left="1920" w:hanging="240"/>
    </w:pPr>
  </w:style>
  <w:style w:type="paragraph" w:styleId="Indeks9">
    <w:name w:val="index 9"/>
    <w:basedOn w:val="Normalny"/>
    <w:next w:val="Normalny"/>
    <w:autoRedefine/>
    <w:uiPriority w:val="99"/>
    <w:semiHidden/>
    <w:rsid w:val="002D2C99"/>
    <w:pPr>
      <w:ind w:left="2160" w:hanging="240"/>
    </w:pPr>
  </w:style>
  <w:style w:type="paragraph" w:styleId="Nagwekindeksu">
    <w:name w:val="index heading"/>
    <w:basedOn w:val="Normalny"/>
    <w:next w:val="Indeks1"/>
    <w:uiPriority w:val="99"/>
    <w:semiHidden/>
    <w:rsid w:val="002D2C99"/>
    <w:rPr>
      <w:rFonts w:asciiTheme="majorHAnsi" w:eastAsiaTheme="majorEastAsia" w:hAnsiTheme="majorHAnsi" w:cstheme="majorBidi"/>
      <w:b/>
      <w:bCs/>
    </w:rPr>
  </w:style>
  <w:style w:type="table" w:styleId="Jasnasiatka">
    <w:name w:val="Light Grid"/>
    <w:basedOn w:val="Standardowy"/>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2D2C99"/>
  </w:style>
  <w:style w:type="paragraph" w:styleId="Lista">
    <w:name w:val="List"/>
    <w:basedOn w:val="Normalny"/>
    <w:uiPriority w:val="99"/>
    <w:semiHidden/>
    <w:rsid w:val="002D2C99"/>
    <w:pPr>
      <w:ind w:left="283" w:hanging="283"/>
      <w:contextualSpacing/>
    </w:pPr>
  </w:style>
  <w:style w:type="paragraph" w:styleId="Lista2">
    <w:name w:val="List 2"/>
    <w:basedOn w:val="Normalny"/>
    <w:uiPriority w:val="99"/>
    <w:semiHidden/>
    <w:rsid w:val="002D2C99"/>
    <w:pPr>
      <w:ind w:left="566" w:hanging="283"/>
      <w:contextualSpacing/>
    </w:pPr>
  </w:style>
  <w:style w:type="paragraph" w:styleId="Lista3">
    <w:name w:val="List 3"/>
    <w:basedOn w:val="Normalny"/>
    <w:uiPriority w:val="99"/>
    <w:semiHidden/>
    <w:rsid w:val="002D2C99"/>
    <w:pPr>
      <w:ind w:left="849" w:hanging="283"/>
      <w:contextualSpacing/>
    </w:pPr>
  </w:style>
  <w:style w:type="paragraph" w:styleId="Lista4">
    <w:name w:val="List 4"/>
    <w:basedOn w:val="Normalny"/>
    <w:uiPriority w:val="99"/>
    <w:semiHidden/>
    <w:rsid w:val="002D2C99"/>
    <w:pPr>
      <w:ind w:left="1132" w:hanging="283"/>
      <w:contextualSpacing/>
    </w:pPr>
  </w:style>
  <w:style w:type="paragraph" w:styleId="Lista5">
    <w:name w:val="List 5"/>
    <w:basedOn w:val="Normalny"/>
    <w:uiPriority w:val="99"/>
    <w:semiHidden/>
    <w:rsid w:val="002D2C99"/>
    <w:pPr>
      <w:ind w:left="1415" w:hanging="283"/>
      <w:contextualSpacing/>
    </w:pPr>
  </w:style>
  <w:style w:type="paragraph" w:styleId="Listapunktowana">
    <w:name w:val="List Bullet"/>
    <w:basedOn w:val="Normalny"/>
    <w:uiPriority w:val="99"/>
    <w:semiHidden/>
    <w:rsid w:val="002D2C99"/>
    <w:pPr>
      <w:numPr>
        <w:numId w:val="5"/>
      </w:numPr>
      <w:contextualSpacing/>
    </w:pPr>
  </w:style>
  <w:style w:type="paragraph" w:styleId="Listapunktowana3">
    <w:name w:val="List Bullet 3"/>
    <w:basedOn w:val="Normalny"/>
    <w:uiPriority w:val="99"/>
    <w:semiHidden/>
    <w:rsid w:val="002D2C99"/>
    <w:pPr>
      <w:numPr>
        <w:numId w:val="6"/>
      </w:numPr>
      <w:contextualSpacing/>
    </w:pPr>
  </w:style>
  <w:style w:type="paragraph" w:styleId="Listapunktowana4">
    <w:name w:val="List Bullet 4"/>
    <w:basedOn w:val="Normalny"/>
    <w:uiPriority w:val="99"/>
    <w:semiHidden/>
    <w:rsid w:val="002D2C99"/>
    <w:pPr>
      <w:numPr>
        <w:numId w:val="7"/>
      </w:numPr>
      <w:contextualSpacing/>
    </w:pPr>
  </w:style>
  <w:style w:type="paragraph" w:styleId="Listapunktowana5">
    <w:name w:val="List Bullet 5"/>
    <w:basedOn w:val="Normalny"/>
    <w:uiPriority w:val="99"/>
    <w:semiHidden/>
    <w:rsid w:val="002D2C99"/>
    <w:pPr>
      <w:numPr>
        <w:numId w:val="8"/>
      </w:numPr>
      <w:contextualSpacing/>
    </w:pPr>
  </w:style>
  <w:style w:type="paragraph" w:styleId="Lista-kontynuacja">
    <w:name w:val="List Continue"/>
    <w:basedOn w:val="Normalny"/>
    <w:uiPriority w:val="99"/>
    <w:semiHidden/>
    <w:rsid w:val="002D2C99"/>
    <w:pPr>
      <w:spacing w:after="120"/>
      <w:ind w:left="283"/>
      <w:contextualSpacing/>
    </w:pPr>
  </w:style>
  <w:style w:type="paragraph" w:styleId="Lista-kontynuacja2">
    <w:name w:val="List Continue 2"/>
    <w:basedOn w:val="Normalny"/>
    <w:uiPriority w:val="99"/>
    <w:semiHidden/>
    <w:rsid w:val="002D2C99"/>
    <w:pPr>
      <w:spacing w:after="120"/>
      <w:ind w:left="566"/>
      <w:contextualSpacing/>
    </w:pPr>
  </w:style>
  <w:style w:type="paragraph" w:styleId="Lista-kontynuacja3">
    <w:name w:val="List Continue 3"/>
    <w:basedOn w:val="Normalny"/>
    <w:uiPriority w:val="99"/>
    <w:semiHidden/>
    <w:rsid w:val="002D2C99"/>
    <w:pPr>
      <w:spacing w:after="120"/>
      <w:ind w:left="849"/>
      <w:contextualSpacing/>
    </w:pPr>
  </w:style>
  <w:style w:type="paragraph" w:styleId="Lista-kontynuacja4">
    <w:name w:val="List Continue 4"/>
    <w:basedOn w:val="Normalny"/>
    <w:uiPriority w:val="99"/>
    <w:semiHidden/>
    <w:rsid w:val="002D2C99"/>
    <w:pPr>
      <w:spacing w:after="120"/>
      <w:ind w:left="1132"/>
      <w:contextualSpacing/>
    </w:pPr>
  </w:style>
  <w:style w:type="paragraph" w:styleId="Lista-kontynuacja5">
    <w:name w:val="List Continue 5"/>
    <w:basedOn w:val="Normalny"/>
    <w:uiPriority w:val="99"/>
    <w:semiHidden/>
    <w:rsid w:val="002D2C99"/>
    <w:pPr>
      <w:spacing w:after="120"/>
      <w:ind w:left="1415"/>
      <w:contextualSpacing/>
    </w:pPr>
  </w:style>
  <w:style w:type="paragraph" w:styleId="Listanumerowana">
    <w:name w:val="List Number"/>
    <w:basedOn w:val="Normalny"/>
    <w:uiPriority w:val="99"/>
    <w:semiHidden/>
    <w:rsid w:val="002D2C99"/>
    <w:pPr>
      <w:numPr>
        <w:numId w:val="9"/>
      </w:numPr>
      <w:contextualSpacing/>
    </w:pPr>
  </w:style>
  <w:style w:type="paragraph" w:styleId="Listanumerowana2">
    <w:name w:val="List Number 2"/>
    <w:basedOn w:val="Normalny"/>
    <w:uiPriority w:val="99"/>
    <w:semiHidden/>
    <w:rsid w:val="002D2C99"/>
    <w:pPr>
      <w:numPr>
        <w:numId w:val="10"/>
      </w:numPr>
      <w:contextualSpacing/>
    </w:pPr>
  </w:style>
  <w:style w:type="paragraph" w:styleId="Listanumerowana3">
    <w:name w:val="List Number 3"/>
    <w:basedOn w:val="Normalny"/>
    <w:uiPriority w:val="99"/>
    <w:semiHidden/>
    <w:rsid w:val="002D2C99"/>
    <w:pPr>
      <w:numPr>
        <w:numId w:val="11"/>
      </w:numPr>
      <w:contextualSpacing/>
    </w:pPr>
  </w:style>
  <w:style w:type="paragraph" w:styleId="Listanumerowana4">
    <w:name w:val="List Number 4"/>
    <w:basedOn w:val="Normalny"/>
    <w:uiPriority w:val="99"/>
    <w:semiHidden/>
    <w:rsid w:val="002D2C99"/>
    <w:pPr>
      <w:numPr>
        <w:numId w:val="12"/>
      </w:numPr>
      <w:contextualSpacing/>
    </w:pPr>
  </w:style>
  <w:style w:type="paragraph" w:styleId="Listanumerowana5">
    <w:name w:val="List Number 5"/>
    <w:basedOn w:val="Normalny"/>
    <w:uiPriority w:val="99"/>
    <w:semiHidden/>
    <w:rsid w:val="002D2C99"/>
    <w:pPr>
      <w:numPr>
        <w:numId w:val="13"/>
      </w:numPr>
      <w:contextualSpacing/>
    </w:pPr>
  </w:style>
  <w:style w:type="paragraph" w:styleId="Tekstmakra">
    <w:name w:val="macro"/>
    <w:link w:val="TekstmakraZnak"/>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2D2C99"/>
    <w:rPr>
      <w:rFonts w:ascii="Consolas" w:eastAsiaTheme="minorEastAsia" w:hAnsi="Consolas" w:cs="Consolas"/>
      <w:sz w:val="20"/>
      <w:szCs w:val="20"/>
    </w:rPr>
  </w:style>
  <w:style w:type="table" w:styleId="redniasiatka1">
    <w:name w:val="Medium Grid 1"/>
    <w:basedOn w:val="Standardowy"/>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2D2C99"/>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2D2C99"/>
    <w:rPr>
      <w:rFonts w:ascii="Times New Roman" w:hAnsi="Times New Roman" w:cs="Times New Roman"/>
      <w:szCs w:val="24"/>
    </w:rPr>
  </w:style>
  <w:style w:type="paragraph" w:styleId="Wcicienormalne">
    <w:name w:val="Normal Indent"/>
    <w:basedOn w:val="Normalny"/>
    <w:uiPriority w:val="99"/>
    <w:semiHidden/>
    <w:rsid w:val="002D2C99"/>
    <w:pPr>
      <w:ind w:left="720"/>
    </w:pPr>
  </w:style>
  <w:style w:type="paragraph" w:styleId="Nagweknotatki">
    <w:name w:val="Note Heading"/>
    <w:basedOn w:val="Normalny"/>
    <w:next w:val="Normalny"/>
    <w:link w:val="NagweknotatkiZnak"/>
    <w:uiPriority w:val="99"/>
    <w:semiHidden/>
    <w:rsid w:val="002D2C99"/>
  </w:style>
  <w:style w:type="character" w:customStyle="1" w:styleId="NagweknotatkiZnak">
    <w:name w:val="Nagłówek notatki Znak"/>
    <w:basedOn w:val="Domylnaczcionkaakapitu"/>
    <w:link w:val="Nagweknotatki"/>
    <w:uiPriority w:val="99"/>
    <w:semiHidden/>
    <w:rsid w:val="002D2C99"/>
    <w:rPr>
      <w:rFonts w:eastAsiaTheme="minorEastAsia"/>
      <w:sz w:val="24"/>
    </w:rPr>
  </w:style>
  <w:style w:type="character" w:styleId="Tekstzastpczy">
    <w:name w:val="Placeholder Text"/>
    <w:basedOn w:val="Domylnaczcionkaakapitu"/>
    <w:uiPriority w:val="99"/>
    <w:semiHidden/>
    <w:rsid w:val="00D1200C"/>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2D2C99"/>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2D2C99"/>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2D2C99"/>
  </w:style>
  <w:style w:type="character" w:customStyle="1" w:styleId="ZwrotgrzecznociowyZnak">
    <w:name w:val="Zwrot grzecznościowy Znak"/>
    <w:basedOn w:val="Domylnaczcionkaakapitu"/>
    <w:link w:val="Zwrotgrzecznociowy"/>
    <w:uiPriority w:val="99"/>
    <w:semiHidden/>
    <w:rsid w:val="002D2C99"/>
    <w:rPr>
      <w:rFonts w:eastAsiaTheme="minorEastAsia"/>
      <w:sz w:val="24"/>
    </w:rPr>
  </w:style>
  <w:style w:type="paragraph" w:styleId="Podpis">
    <w:name w:val="Signature"/>
    <w:basedOn w:val="Normalny"/>
    <w:link w:val="PodpisZnak"/>
    <w:uiPriority w:val="99"/>
    <w:semiHidden/>
    <w:rsid w:val="002D2C99"/>
    <w:pPr>
      <w:ind w:left="4252"/>
    </w:pPr>
  </w:style>
  <w:style w:type="character" w:customStyle="1" w:styleId="PodpisZnak">
    <w:name w:val="Podpis Znak"/>
    <w:basedOn w:val="Domylnaczcionkaakapitu"/>
    <w:link w:val="Podpis"/>
    <w:uiPriority w:val="99"/>
    <w:semiHidden/>
    <w:rsid w:val="002D2C99"/>
    <w:rPr>
      <w:rFonts w:eastAsiaTheme="minorEastAsia"/>
      <w:sz w:val="24"/>
    </w:rPr>
  </w:style>
  <w:style w:type="table" w:styleId="Tabela-Efekty3W1">
    <w:name w:val="Table 3D effects 1"/>
    <w:basedOn w:val="Standardowy"/>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2D2C99"/>
    <w:pPr>
      <w:ind w:left="240" w:hanging="240"/>
    </w:pPr>
  </w:style>
  <w:style w:type="paragraph" w:styleId="Spisilustracji">
    <w:name w:val="table of figures"/>
    <w:basedOn w:val="Normalny"/>
    <w:next w:val="Normalny"/>
    <w:uiPriority w:val="99"/>
    <w:semiHidden/>
    <w:rsid w:val="002D2C99"/>
  </w:style>
  <w:style w:type="table" w:styleId="Tabela-Profesjonalny">
    <w:name w:val="Table Professional"/>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1200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1200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2D2C99"/>
    <w:pPr>
      <w:spacing w:after="100"/>
      <w:ind w:left="1680"/>
    </w:pPr>
  </w:style>
  <w:style w:type="paragraph" w:styleId="Spistreci9">
    <w:name w:val="toc 9"/>
    <w:basedOn w:val="Normalny"/>
    <w:next w:val="Normalny"/>
    <w:autoRedefine/>
    <w:uiPriority w:val="99"/>
    <w:semiHidden/>
    <w:rsid w:val="002D2C99"/>
    <w:pPr>
      <w:spacing w:after="100"/>
      <w:ind w:left="1920"/>
    </w:pPr>
  </w:style>
  <w:style w:type="paragraph" w:customStyle="1" w:styleId="OpiPara">
    <w:name w:val="Opi_Para"/>
    <w:basedOn w:val="ECHRPara"/>
    <w:uiPriority w:val="46"/>
    <w:qFormat/>
    <w:rsid w:val="00D1200C"/>
  </w:style>
  <w:style w:type="paragraph" w:customStyle="1" w:styleId="OpiParaSub">
    <w:name w:val="Opi_Para_Sub"/>
    <w:basedOn w:val="JuParaSub"/>
    <w:uiPriority w:val="47"/>
    <w:qFormat/>
    <w:rsid w:val="00D1200C"/>
  </w:style>
  <w:style w:type="paragraph" w:customStyle="1" w:styleId="ECHRFooter">
    <w:name w:val="ECHR_Footer"/>
    <w:aliases w:val="Footer_ECHR"/>
    <w:basedOn w:val="Stopka"/>
    <w:uiPriority w:val="57"/>
    <w:semiHidden/>
    <w:rsid w:val="00D1200C"/>
    <w:pPr>
      <w:jc w:val="left"/>
    </w:pPr>
    <w:rPr>
      <w:sz w:val="8"/>
    </w:rPr>
  </w:style>
  <w:style w:type="paragraph" w:customStyle="1" w:styleId="ECHRFooterLine">
    <w:name w:val="ECHR_Footer_Line"/>
    <w:aliases w:val="Footer_Line"/>
    <w:basedOn w:val="Normalny"/>
    <w:next w:val="ECHRFooter"/>
    <w:uiPriority w:val="57"/>
    <w:semiHidden/>
    <w:rsid w:val="00D1200C"/>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D1200C"/>
    <w:pPr>
      <w:spacing w:after="240"/>
      <w:jc w:val="center"/>
      <w:outlineLvl w:val="0"/>
    </w:pPr>
    <w:rPr>
      <w:rFonts w:asciiTheme="majorHAnsi" w:hAnsiTheme="majorHAnsi"/>
    </w:rPr>
  </w:style>
  <w:style w:type="paragraph" w:customStyle="1" w:styleId="OpiQuot">
    <w:name w:val="Opi_Quot"/>
    <w:basedOn w:val="ECHRParaQuote"/>
    <w:uiPriority w:val="48"/>
    <w:qFormat/>
    <w:rsid w:val="00D1200C"/>
  </w:style>
  <w:style w:type="paragraph" w:customStyle="1" w:styleId="OpiQuotSub">
    <w:name w:val="Opi_Quot_Sub"/>
    <w:basedOn w:val="JuQuotSub"/>
    <w:uiPriority w:val="49"/>
    <w:qFormat/>
    <w:rsid w:val="00D1200C"/>
  </w:style>
  <w:style w:type="paragraph" w:customStyle="1" w:styleId="OpiTranslation">
    <w:name w:val="Opi_Translation"/>
    <w:basedOn w:val="Normalny"/>
    <w:next w:val="OpiPara"/>
    <w:uiPriority w:val="40"/>
    <w:qFormat/>
    <w:rsid w:val="00D1200C"/>
    <w:pPr>
      <w:jc w:val="center"/>
      <w:outlineLvl w:val="0"/>
    </w:pPr>
    <w:rPr>
      <w:i/>
    </w:rPr>
  </w:style>
  <w:style w:type="character" w:customStyle="1" w:styleId="ECHRParaChar">
    <w:name w:val="ECHR_Para Char"/>
    <w:aliases w:val="Ju_Para Char"/>
    <w:basedOn w:val="Domylnaczcionkaakapitu"/>
    <w:link w:val="ECHRPara"/>
    <w:uiPriority w:val="12"/>
    <w:rsid w:val="00C85586"/>
    <w:rPr>
      <w:rFonts w:eastAsiaTheme="minorEastAsia"/>
      <w:sz w:val="24"/>
    </w:rPr>
  </w:style>
  <w:style w:type="paragraph" w:styleId="Poprawka">
    <w:name w:val="Revision"/>
    <w:hidden/>
    <w:uiPriority w:val="99"/>
    <w:semiHidden/>
    <w:rsid w:val="00C85586"/>
    <w:rPr>
      <w:rFonts w:eastAsiaTheme="minorEastAsia"/>
      <w:sz w:val="24"/>
    </w:rPr>
  </w:style>
  <w:style w:type="paragraph" w:customStyle="1" w:styleId="jupara">
    <w:name w:val="jupara"/>
    <w:basedOn w:val="Normalny"/>
    <w:rsid w:val="006031A9"/>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6031A9"/>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1200C"/>
    <w:pPr>
      <w:jc w:val="both"/>
    </w:pPr>
    <w:rPr>
      <w:rFonts w:eastAsiaTheme="minorEastAsia"/>
      <w:sz w:val="24"/>
    </w:rPr>
  </w:style>
  <w:style w:type="paragraph" w:styleId="Nagwek1">
    <w:name w:val="heading 1"/>
    <w:basedOn w:val="Normalny"/>
    <w:next w:val="Normalny"/>
    <w:link w:val="Nagwek1Znak"/>
    <w:uiPriority w:val="99"/>
    <w:semiHidden/>
    <w:rsid w:val="00D1200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1200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1200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1200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1200C"/>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1200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1200C"/>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1200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1200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1200C"/>
    <w:rPr>
      <w:rFonts w:ascii="Tahoma" w:hAnsi="Tahoma" w:cs="Tahoma"/>
      <w:sz w:val="16"/>
      <w:szCs w:val="16"/>
    </w:rPr>
  </w:style>
  <w:style w:type="character" w:customStyle="1" w:styleId="TekstdymkaZnak">
    <w:name w:val="Tekst dymka Znak"/>
    <w:basedOn w:val="Domylnaczcionkaakapitu"/>
    <w:link w:val="Tekstdymka"/>
    <w:uiPriority w:val="99"/>
    <w:semiHidden/>
    <w:rsid w:val="00D1200C"/>
    <w:rPr>
      <w:rFonts w:ascii="Tahoma" w:eastAsiaTheme="minorEastAsia" w:hAnsi="Tahoma" w:cs="Tahoma"/>
      <w:sz w:val="16"/>
      <w:szCs w:val="16"/>
    </w:rPr>
  </w:style>
  <w:style w:type="character" w:styleId="Tytuksiki">
    <w:name w:val="Book Title"/>
    <w:uiPriority w:val="99"/>
    <w:semiHidden/>
    <w:qFormat/>
    <w:rsid w:val="00D1200C"/>
    <w:rPr>
      <w:i/>
      <w:iCs/>
      <w:smallCaps/>
      <w:spacing w:val="5"/>
    </w:rPr>
  </w:style>
  <w:style w:type="paragraph" w:customStyle="1" w:styleId="ECHRHeader">
    <w:name w:val="ECHR_Header"/>
    <w:aliases w:val="Ju_Header"/>
    <w:basedOn w:val="Nagwek"/>
    <w:uiPriority w:val="4"/>
    <w:qFormat/>
    <w:rsid w:val="00D1200C"/>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D1200C"/>
  </w:style>
  <w:style w:type="character" w:styleId="Pogrubienie">
    <w:name w:val="Strong"/>
    <w:uiPriority w:val="99"/>
    <w:semiHidden/>
    <w:qFormat/>
    <w:rsid w:val="00D1200C"/>
    <w:rPr>
      <w:b/>
      <w:bCs/>
    </w:rPr>
  </w:style>
  <w:style w:type="paragraph" w:styleId="Bezodstpw">
    <w:name w:val="No Spacing"/>
    <w:basedOn w:val="Normalny"/>
    <w:link w:val="BezodstpwZnak"/>
    <w:semiHidden/>
    <w:qFormat/>
    <w:rsid w:val="00D1200C"/>
    <w:rPr>
      <w:sz w:val="22"/>
    </w:rPr>
  </w:style>
  <w:style w:type="character" w:customStyle="1" w:styleId="BezodstpwZnak">
    <w:name w:val="Bez odstępów Znak"/>
    <w:basedOn w:val="Domylnaczcionkaakapitu"/>
    <w:link w:val="Bezodstpw"/>
    <w:semiHidden/>
    <w:rsid w:val="00D1200C"/>
    <w:rPr>
      <w:rFonts w:eastAsiaTheme="minorEastAsia"/>
    </w:rPr>
  </w:style>
  <w:style w:type="paragraph" w:customStyle="1" w:styleId="ECHRParaQuote">
    <w:name w:val="ECHR_Para_Quote"/>
    <w:aliases w:val="Ju_Quot"/>
    <w:basedOn w:val="Normalny"/>
    <w:uiPriority w:val="14"/>
    <w:qFormat/>
    <w:rsid w:val="00D1200C"/>
    <w:pPr>
      <w:spacing w:before="120" w:after="120"/>
      <w:ind w:left="425" w:firstLine="142"/>
    </w:pPr>
    <w:rPr>
      <w:sz w:val="20"/>
    </w:rPr>
  </w:style>
  <w:style w:type="paragraph" w:customStyle="1" w:styleId="DecList">
    <w:name w:val="Dec_List"/>
    <w:basedOn w:val="Normalny"/>
    <w:uiPriority w:val="9"/>
    <w:semiHidden/>
    <w:qFormat/>
    <w:rsid w:val="00D1200C"/>
    <w:pPr>
      <w:spacing w:before="240"/>
      <w:ind w:left="284"/>
    </w:pPr>
  </w:style>
  <w:style w:type="paragraph" w:customStyle="1" w:styleId="DummyStyle">
    <w:name w:val="Dummy_Style"/>
    <w:basedOn w:val="Normalny"/>
    <w:semiHidden/>
    <w:qFormat/>
    <w:rsid w:val="00D1200C"/>
    <w:rPr>
      <w:color w:val="00B050"/>
    </w:rPr>
  </w:style>
  <w:style w:type="paragraph" w:customStyle="1" w:styleId="JuAppQuestion">
    <w:name w:val="Ju_App_Question"/>
    <w:basedOn w:val="Normalny"/>
    <w:uiPriority w:val="5"/>
    <w:semiHidden/>
    <w:qFormat/>
    <w:rsid w:val="00D1200C"/>
    <w:pPr>
      <w:numPr>
        <w:numId w:val="24"/>
      </w:numPr>
      <w:jc w:val="left"/>
    </w:pPr>
    <w:rPr>
      <w:b/>
    </w:rPr>
  </w:style>
  <w:style w:type="paragraph" w:customStyle="1" w:styleId="JuCourt">
    <w:name w:val="Ju_Court"/>
    <w:basedOn w:val="Normalny"/>
    <w:next w:val="Normalny"/>
    <w:uiPriority w:val="16"/>
    <w:qFormat/>
    <w:rsid w:val="00D1200C"/>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ny"/>
    <w:next w:val="ECHRParaQuote"/>
    <w:uiPriority w:val="27"/>
    <w:qFormat/>
    <w:rsid w:val="00D1200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1200C"/>
    <w:pPr>
      <w:keepNext/>
      <w:keepLines/>
      <w:spacing w:after="240"/>
      <w:jc w:val="center"/>
      <w:outlineLvl w:val="0"/>
    </w:pPr>
    <w:rPr>
      <w:rFonts w:asciiTheme="majorHAnsi" w:hAnsiTheme="majorHAnsi"/>
      <w:sz w:val="28"/>
    </w:rPr>
  </w:style>
  <w:style w:type="paragraph" w:customStyle="1" w:styleId="JuHeaderLandscape">
    <w:name w:val="Ju_Header_Landscape"/>
    <w:basedOn w:val="ECHRHeader"/>
    <w:uiPriority w:val="4"/>
    <w:qFormat/>
    <w:rsid w:val="00D1200C"/>
    <w:pPr>
      <w:tabs>
        <w:tab w:val="clear" w:pos="3686"/>
        <w:tab w:val="clear" w:pos="7371"/>
        <w:tab w:val="center" w:pos="6146"/>
        <w:tab w:val="right" w:pos="12293"/>
      </w:tabs>
    </w:pPr>
  </w:style>
  <w:style w:type="paragraph" w:customStyle="1" w:styleId="ECHRTitle1">
    <w:name w:val="ECHR_Title_1"/>
    <w:aliases w:val="Ju_H_Head"/>
    <w:basedOn w:val="Normalny"/>
    <w:next w:val="ECHRPara"/>
    <w:uiPriority w:val="18"/>
    <w:qFormat/>
    <w:rsid w:val="00D1200C"/>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D1200C"/>
    <w:pPr>
      <w:tabs>
        <w:tab w:val="center" w:pos="6407"/>
      </w:tabs>
      <w:spacing w:before="720"/>
      <w:jc w:val="right"/>
    </w:pPr>
  </w:style>
  <w:style w:type="paragraph" w:customStyle="1" w:styleId="JuSigned">
    <w:name w:val="Ju_Signed"/>
    <w:basedOn w:val="Normalny"/>
    <w:next w:val="JuParaLast"/>
    <w:uiPriority w:val="32"/>
    <w:qFormat/>
    <w:rsid w:val="00D1200C"/>
    <w:pPr>
      <w:tabs>
        <w:tab w:val="center" w:pos="851"/>
        <w:tab w:val="center" w:pos="6407"/>
      </w:tabs>
      <w:spacing w:before="720"/>
      <w:jc w:val="left"/>
    </w:pPr>
  </w:style>
  <w:style w:type="paragraph" w:styleId="Tytu">
    <w:name w:val="Title"/>
    <w:basedOn w:val="Normalny"/>
    <w:next w:val="Normalny"/>
    <w:link w:val="TytuZnak"/>
    <w:uiPriority w:val="99"/>
    <w:semiHidden/>
    <w:qFormat/>
    <w:rsid w:val="00D1200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1200C"/>
    <w:rPr>
      <w:rFonts w:asciiTheme="majorHAnsi" w:eastAsiaTheme="majorEastAsia" w:hAnsiTheme="majorHAnsi" w:cstheme="majorBidi"/>
      <w:spacing w:val="5"/>
      <w:sz w:val="52"/>
      <w:szCs w:val="52"/>
      <w:lang w:bidi="en-US"/>
    </w:rPr>
  </w:style>
  <w:style w:type="character" w:customStyle="1" w:styleId="JuITMark">
    <w:name w:val="Ju_ITMark"/>
    <w:basedOn w:val="Domylnaczcionkaakapitu"/>
    <w:uiPriority w:val="38"/>
    <w:qFormat/>
    <w:rsid w:val="00D1200C"/>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D1200C"/>
    <w:pPr>
      <w:ind w:left="346" w:firstLine="0"/>
    </w:pPr>
  </w:style>
  <w:style w:type="paragraph" w:customStyle="1" w:styleId="JuListi">
    <w:name w:val="Ju_List_i"/>
    <w:basedOn w:val="Normalny"/>
    <w:next w:val="JuLista"/>
    <w:uiPriority w:val="28"/>
    <w:qFormat/>
    <w:rsid w:val="00D1200C"/>
    <w:pPr>
      <w:ind w:left="794"/>
    </w:pPr>
  </w:style>
  <w:style w:type="character" w:customStyle="1" w:styleId="JUNAMES">
    <w:name w:val="JU_NAMES"/>
    <w:uiPriority w:val="17"/>
    <w:qFormat/>
    <w:rsid w:val="00D1200C"/>
    <w:rPr>
      <w:caps w:val="0"/>
      <w:smallCaps/>
    </w:rPr>
  </w:style>
  <w:style w:type="paragraph" w:customStyle="1" w:styleId="JuParaSub">
    <w:name w:val="Ju_Para_Sub"/>
    <w:basedOn w:val="ECHRPara"/>
    <w:uiPriority w:val="13"/>
    <w:qFormat/>
    <w:rsid w:val="00D1200C"/>
    <w:pPr>
      <w:ind w:left="284"/>
    </w:pPr>
  </w:style>
  <w:style w:type="paragraph" w:customStyle="1" w:styleId="ECHRHeading1">
    <w:name w:val="ECHR_Heading_1"/>
    <w:aliases w:val="Ju_H_I_Roman"/>
    <w:basedOn w:val="Nagwek1"/>
    <w:next w:val="ECHRPara"/>
    <w:uiPriority w:val="19"/>
    <w:qFormat/>
    <w:rsid w:val="00D1200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1200C"/>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D1200C"/>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D1200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1200C"/>
    <w:rPr>
      <w:sz w:val="24"/>
    </w:rPr>
  </w:style>
  <w:style w:type="character" w:customStyle="1" w:styleId="Nagwek1Znak">
    <w:name w:val="Nagłówek 1 Znak"/>
    <w:basedOn w:val="Domylnaczcionkaakapitu"/>
    <w:link w:val="Nagwek1"/>
    <w:uiPriority w:val="99"/>
    <w:semiHidden/>
    <w:rsid w:val="00D1200C"/>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D1200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1200C"/>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D1200C"/>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D1200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1200C"/>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D1200C"/>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D1200C"/>
    <w:pPr>
      <w:keepNext/>
      <w:keepLines/>
      <w:spacing w:before="240"/>
      <w:ind w:firstLine="284"/>
    </w:pPr>
  </w:style>
  <w:style w:type="paragraph" w:customStyle="1" w:styleId="JuList">
    <w:name w:val="Ju_List"/>
    <w:basedOn w:val="Normalny"/>
    <w:uiPriority w:val="28"/>
    <w:qFormat/>
    <w:rsid w:val="00D1200C"/>
    <w:pPr>
      <w:ind w:left="340" w:hanging="340"/>
    </w:pPr>
  </w:style>
  <w:style w:type="character" w:customStyle="1" w:styleId="Nagwek4Znak">
    <w:name w:val="Nagłówek 4 Znak"/>
    <w:basedOn w:val="Domylnaczcionkaakapitu"/>
    <w:link w:val="Nagwek4"/>
    <w:uiPriority w:val="99"/>
    <w:semiHidden/>
    <w:rsid w:val="00D1200C"/>
    <w:rPr>
      <w:rFonts w:asciiTheme="majorHAnsi" w:eastAsiaTheme="majorEastAsia" w:hAnsiTheme="majorHAnsi" w:cstheme="majorBidi"/>
      <w:b/>
      <w:bCs/>
      <w:i/>
      <w:iCs/>
      <w:color w:val="777777"/>
      <w:sz w:val="24"/>
    </w:rPr>
  </w:style>
  <w:style w:type="paragraph" w:customStyle="1" w:styleId="JuQuotSub">
    <w:name w:val="Ju_Quot_Sub"/>
    <w:basedOn w:val="ECHRParaQuote"/>
    <w:uiPriority w:val="15"/>
    <w:qFormat/>
    <w:rsid w:val="00D1200C"/>
    <w:pPr>
      <w:ind w:left="567"/>
    </w:pPr>
  </w:style>
  <w:style w:type="character" w:customStyle="1" w:styleId="Nagwek5Znak">
    <w:name w:val="Nagłówek 5 Znak"/>
    <w:basedOn w:val="Domylnaczcionkaakapitu"/>
    <w:link w:val="Nagwek5"/>
    <w:uiPriority w:val="99"/>
    <w:semiHidden/>
    <w:rsid w:val="00D1200C"/>
    <w:rPr>
      <w:rFonts w:asciiTheme="majorHAnsi" w:eastAsiaTheme="majorEastAsia" w:hAnsiTheme="majorHAnsi" w:cstheme="majorBidi"/>
      <w:b/>
      <w:bCs/>
      <w:color w:val="808080"/>
    </w:rPr>
  </w:style>
  <w:style w:type="paragraph" w:customStyle="1" w:styleId="JuTitle">
    <w:name w:val="Ju_Title"/>
    <w:basedOn w:val="Normalny"/>
    <w:next w:val="ECHRPara"/>
    <w:uiPriority w:val="3"/>
    <w:semiHidden/>
    <w:qFormat/>
    <w:rsid w:val="00D1200C"/>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D1200C"/>
    <w:pPr>
      <w:ind w:left="635" w:hanging="357"/>
      <w:outlineLvl w:val="2"/>
    </w:pPr>
  </w:style>
  <w:style w:type="character" w:styleId="Wyrnieniedelikatne">
    <w:name w:val="Subtle Emphasis"/>
    <w:uiPriority w:val="99"/>
    <w:semiHidden/>
    <w:qFormat/>
    <w:rsid w:val="00D1200C"/>
    <w:rPr>
      <w:i/>
      <w:iCs/>
    </w:rPr>
  </w:style>
  <w:style w:type="paragraph" w:customStyle="1" w:styleId="OpiHa">
    <w:name w:val="Opi_H_a"/>
    <w:basedOn w:val="ECHRHeading3"/>
    <w:uiPriority w:val="43"/>
    <w:qFormat/>
    <w:rsid w:val="00D1200C"/>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D1200C"/>
    <w:pPr>
      <w:tabs>
        <w:tab w:val="clear" w:pos="357"/>
      </w:tabs>
      <w:outlineLvl w:val="1"/>
    </w:pPr>
    <w:rPr>
      <w:b/>
    </w:rPr>
  </w:style>
  <w:style w:type="paragraph" w:customStyle="1" w:styleId="OpiHi">
    <w:name w:val="Opi_H_i"/>
    <w:basedOn w:val="ECHRHeading4"/>
    <w:uiPriority w:val="44"/>
    <w:qFormat/>
    <w:rsid w:val="00D1200C"/>
    <w:pPr>
      <w:ind w:left="1037" w:hanging="357"/>
      <w:outlineLvl w:val="4"/>
    </w:pPr>
    <w:rPr>
      <w:b w:val="0"/>
      <w:i/>
    </w:rPr>
  </w:style>
  <w:style w:type="paragraph" w:styleId="Podtytu">
    <w:name w:val="Subtitle"/>
    <w:basedOn w:val="Normalny"/>
    <w:next w:val="Normalny"/>
    <w:link w:val="PodtytuZnak"/>
    <w:uiPriority w:val="99"/>
    <w:semiHidden/>
    <w:qFormat/>
    <w:rsid w:val="00D1200C"/>
    <w:pPr>
      <w:spacing w:after="600"/>
    </w:pPr>
    <w:rPr>
      <w:rFonts w:asciiTheme="majorHAnsi" w:eastAsiaTheme="majorEastAsia" w:hAnsiTheme="majorHAnsi" w:cstheme="majorBidi"/>
      <w:i/>
      <w:iCs/>
      <w:spacing w:val="13"/>
      <w:szCs w:val="24"/>
      <w:lang w:bidi="en-US"/>
    </w:rPr>
  </w:style>
  <w:style w:type="character" w:styleId="Uwydatnienie">
    <w:name w:val="Emphasis"/>
    <w:uiPriority w:val="99"/>
    <w:semiHidden/>
    <w:qFormat/>
    <w:rsid w:val="00D1200C"/>
    <w:rPr>
      <w:b/>
      <w:bCs/>
      <w:i/>
      <w:iCs/>
      <w:spacing w:val="10"/>
      <w:bdr w:val="none" w:sz="0" w:space="0" w:color="auto"/>
      <w:shd w:val="clear" w:color="auto" w:fill="auto"/>
    </w:rPr>
  </w:style>
  <w:style w:type="paragraph" w:styleId="Stopka">
    <w:name w:val="footer"/>
    <w:basedOn w:val="Normalny"/>
    <w:link w:val="StopkaZnak"/>
    <w:uiPriority w:val="57"/>
    <w:semiHidden/>
    <w:rsid w:val="00D1200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1200C"/>
    <w:rPr>
      <w:sz w:val="24"/>
    </w:rPr>
  </w:style>
  <w:style w:type="character" w:styleId="Odwoanieprzypisudolnego">
    <w:name w:val="footnote reference"/>
    <w:basedOn w:val="Domylnaczcionkaakapitu"/>
    <w:uiPriority w:val="99"/>
    <w:semiHidden/>
    <w:rsid w:val="00D1200C"/>
    <w:rPr>
      <w:vertAlign w:val="superscript"/>
    </w:rPr>
  </w:style>
  <w:style w:type="paragraph" w:styleId="Tekstprzypisudolnego">
    <w:name w:val="footnote text"/>
    <w:basedOn w:val="Normalny"/>
    <w:link w:val="TekstprzypisudolnegoZnak"/>
    <w:uiPriority w:val="99"/>
    <w:semiHidden/>
    <w:rsid w:val="00D1200C"/>
    <w:rPr>
      <w:sz w:val="20"/>
      <w:szCs w:val="20"/>
    </w:rPr>
  </w:style>
  <w:style w:type="character" w:customStyle="1" w:styleId="TekstprzypisudolnegoZnak">
    <w:name w:val="Tekst przypisu dolnego Znak"/>
    <w:basedOn w:val="Domylnaczcionkaakapitu"/>
    <w:link w:val="Tekstprzypisudolnego"/>
    <w:uiPriority w:val="99"/>
    <w:semiHidden/>
    <w:rsid w:val="00D1200C"/>
    <w:rPr>
      <w:rFonts w:eastAsiaTheme="minorEastAsia"/>
      <w:sz w:val="20"/>
      <w:szCs w:val="20"/>
    </w:rPr>
  </w:style>
  <w:style w:type="character" w:customStyle="1" w:styleId="Nagwek6Znak">
    <w:name w:val="Nagłówek 6 Znak"/>
    <w:basedOn w:val="Domylnaczcionkaakapitu"/>
    <w:link w:val="Nagwek6"/>
    <w:uiPriority w:val="99"/>
    <w:semiHidden/>
    <w:rsid w:val="00D1200C"/>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1200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1200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1200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1200C"/>
    <w:rPr>
      <w:color w:val="0072BC" w:themeColor="hyperlink"/>
      <w:u w:val="single"/>
    </w:rPr>
  </w:style>
  <w:style w:type="character" w:styleId="Wyrnienieintensywne">
    <w:name w:val="Intense Emphasis"/>
    <w:uiPriority w:val="99"/>
    <w:semiHidden/>
    <w:qFormat/>
    <w:rsid w:val="00D1200C"/>
    <w:rPr>
      <w:b/>
      <w:bCs/>
    </w:rPr>
  </w:style>
  <w:style w:type="paragraph" w:styleId="Cytatintensywny">
    <w:name w:val="Intense Quote"/>
    <w:basedOn w:val="Normalny"/>
    <w:next w:val="Normalny"/>
    <w:link w:val="CytatintensywnyZnak"/>
    <w:uiPriority w:val="99"/>
    <w:semiHidden/>
    <w:qFormat/>
    <w:rsid w:val="00D1200C"/>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1200C"/>
    <w:rPr>
      <w:rFonts w:eastAsiaTheme="minorEastAsia"/>
      <w:b/>
      <w:bCs/>
      <w:i/>
      <w:iCs/>
      <w:lang w:bidi="en-US"/>
    </w:rPr>
  </w:style>
  <w:style w:type="character" w:styleId="Odwoanieintensywne">
    <w:name w:val="Intense Reference"/>
    <w:uiPriority w:val="99"/>
    <w:semiHidden/>
    <w:qFormat/>
    <w:rsid w:val="00D1200C"/>
    <w:rPr>
      <w:smallCaps/>
      <w:spacing w:val="5"/>
      <w:u w:val="single"/>
    </w:rPr>
  </w:style>
  <w:style w:type="paragraph" w:styleId="Akapitzlist">
    <w:name w:val="List Paragraph"/>
    <w:basedOn w:val="Normalny"/>
    <w:uiPriority w:val="99"/>
    <w:semiHidden/>
    <w:qFormat/>
    <w:rsid w:val="00D1200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1200C"/>
    <w:pPr>
      <w:spacing w:before="200"/>
      <w:ind w:left="360" w:right="360"/>
    </w:pPr>
    <w:rPr>
      <w:i/>
      <w:iCs/>
      <w:sz w:val="22"/>
      <w:lang w:bidi="en-US"/>
    </w:rPr>
  </w:style>
  <w:style w:type="character" w:customStyle="1" w:styleId="CytatZnak">
    <w:name w:val="Cytat Znak"/>
    <w:basedOn w:val="Domylnaczcionkaakapitu"/>
    <w:link w:val="Cytat"/>
    <w:uiPriority w:val="99"/>
    <w:semiHidden/>
    <w:rsid w:val="00D1200C"/>
    <w:rPr>
      <w:rFonts w:eastAsiaTheme="minorEastAsia"/>
      <w:i/>
      <w:iCs/>
      <w:lang w:bidi="en-US"/>
    </w:rPr>
  </w:style>
  <w:style w:type="character" w:styleId="Odwoaniedelikatne">
    <w:name w:val="Subtle Reference"/>
    <w:uiPriority w:val="99"/>
    <w:semiHidden/>
    <w:qFormat/>
    <w:rsid w:val="00D1200C"/>
    <w:rPr>
      <w:smallCaps/>
    </w:rPr>
  </w:style>
  <w:style w:type="table" w:styleId="Tabela-Siatka">
    <w:name w:val="Table Grid"/>
    <w:basedOn w:val="Standardowy"/>
    <w:uiPriority w:val="59"/>
    <w:semiHidden/>
    <w:rsid w:val="00D1200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1200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1200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1200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1200C"/>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1200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1200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1200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PodtytuZnak">
    <w:name w:val="Podtytuł Znak"/>
    <w:basedOn w:val="Domylnaczcionkaakapitu"/>
    <w:link w:val="Podtytu"/>
    <w:uiPriority w:val="99"/>
    <w:semiHidden/>
    <w:rsid w:val="00D1200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2D2C99"/>
    <w:pPr>
      <w:numPr>
        <w:numId w:val="2"/>
      </w:numPr>
    </w:pPr>
  </w:style>
  <w:style w:type="numbering" w:styleId="1ai">
    <w:name w:val="Outline List 1"/>
    <w:basedOn w:val="Bezlisty"/>
    <w:uiPriority w:val="99"/>
    <w:semiHidden/>
    <w:unhideWhenUsed/>
    <w:rsid w:val="002D2C99"/>
    <w:pPr>
      <w:numPr>
        <w:numId w:val="3"/>
      </w:numPr>
    </w:pPr>
  </w:style>
  <w:style w:type="paragraph" w:customStyle="1" w:styleId="ECHRPara">
    <w:name w:val="ECHR_Para"/>
    <w:aliases w:val="Ju_Para"/>
    <w:basedOn w:val="Normalny"/>
    <w:link w:val="ECHRParaChar"/>
    <w:uiPriority w:val="12"/>
    <w:qFormat/>
    <w:rsid w:val="00D1200C"/>
    <w:pPr>
      <w:ind w:firstLine="284"/>
    </w:pPr>
  </w:style>
  <w:style w:type="numbering" w:styleId="Artykusekcja">
    <w:name w:val="Outline List 3"/>
    <w:basedOn w:val="Bezlisty"/>
    <w:uiPriority w:val="99"/>
    <w:semiHidden/>
    <w:unhideWhenUsed/>
    <w:rsid w:val="002D2C99"/>
    <w:pPr>
      <w:numPr>
        <w:numId w:val="4"/>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fia">
    <w:name w:val="Bibliography"/>
    <w:basedOn w:val="Normalny"/>
    <w:next w:val="Normalny"/>
    <w:uiPriority w:val="99"/>
    <w:semiHidden/>
    <w:rsid w:val="002D2C99"/>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1200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Tekstblokowy">
    <w:name w:val="Block Text"/>
    <w:basedOn w:val="Normalny"/>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Tekstpodstawowy">
    <w:name w:val="Body Text"/>
    <w:basedOn w:val="Normalny"/>
    <w:link w:val="TekstpodstawowyZnak"/>
    <w:uiPriority w:val="99"/>
    <w:semiHidden/>
    <w:rsid w:val="002D2C99"/>
    <w:pPr>
      <w:spacing w:after="120"/>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Znak">
    <w:name w:val="Tekst podstawowy Znak"/>
    <w:basedOn w:val="Domylnaczcionkaakapitu"/>
    <w:link w:val="Tekstpodstawowy"/>
    <w:uiPriority w:val="99"/>
    <w:semiHidden/>
    <w:rsid w:val="002D2C99"/>
    <w:rPr>
      <w:rFonts w:eastAsiaTheme="minorEastAsia"/>
      <w:sz w:val="24"/>
    </w:rPr>
  </w:style>
  <w:style w:type="paragraph" w:styleId="Tekstpodstawowy2">
    <w:name w:val="Body Text 2"/>
    <w:basedOn w:val="Normalny"/>
    <w:link w:val="Tekstpodstawowy2Znak"/>
    <w:uiPriority w:val="99"/>
    <w:semiHidden/>
    <w:rsid w:val="002D2C99"/>
    <w:pPr>
      <w:spacing w:after="120" w:line="480" w:lineRule="auto"/>
    </w:p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1200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D1200C"/>
    <w:pPr>
      <w:ind w:firstLine="284"/>
    </w:pPr>
    <w:rPr>
      <w:b/>
    </w:rPr>
  </w:style>
  <w:style w:type="character" w:styleId="Numerstrony">
    <w:name w:val="page number"/>
    <w:uiPriority w:val="99"/>
    <w:semiHidden/>
    <w:rsid w:val="002D2C99"/>
    <w:rPr>
      <w:rFonts w:ascii="Times New Roman" w:hAnsi="Times New Roman" w:cs="Times New Roman"/>
      <w:sz w:val="18"/>
    </w:rPr>
  </w:style>
  <w:style w:type="paragraph" w:styleId="Listapunktowana2">
    <w:name w:val="List Bullet 2"/>
    <w:basedOn w:val="Normalny"/>
    <w:uiPriority w:val="99"/>
    <w:semiHidden/>
    <w:rsid w:val="002D2C99"/>
    <w:pPr>
      <w:numPr>
        <w:numId w:val="1"/>
      </w:numPr>
      <w:contextualSpacing/>
    </w:pPr>
  </w:style>
  <w:style w:type="character" w:customStyle="1" w:styleId="Tekstpodstawowy2Znak">
    <w:name w:val="Tekst podstawowy 2 Znak"/>
    <w:basedOn w:val="Domylnaczcionkaakapitu"/>
    <w:link w:val="Tekstpodstawowy2"/>
    <w:uiPriority w:val="99"/>
    <w:semiHidden/>
    <w:rsid w:val="002D2C99"/>
    <w:rPr>
      <w:rFonts w:eastAsiaTheme="minorEastAsia"/>
      <w:sz w:val="24"/>
    </w:rPr>
  </w:style>
  <w:style w:type="paragraph" w:styleId="Tekstpodstawowy3">
    <w:name w:val="Body Text 3"/>
    <w:basedOn w:val="Normalny"/>
    <w:link w:val="Tekstpodstawowy3Znak"/>
    <w:uiPriority w:val="99"/>
    <w:semiHidden/>
    <w:rsid w:val="002D2C99"/>
    <w:pPr>
      <w:spacing w:after="120"/>
    </w:pPr>
    <w:rPr>
      <w:sz w:val="16"/>
      <w:szCs w:val="16"/>
    </w:rPr>
  </w:style>
  <w:style w:type="character" w:customStyle="1" w:styleId="Tekstpodstawowy3Znak">
    <w:name w:val="Tekst podstawowy 3 Znak"/>
    <w:basedOn w:val="Domylnaczcionkaakapitu"/>
    <w:link w:val="Tekstpodstawowy3"/>
    <w:uiPriority w:val="99"/>
    <w:semiHidden/>
    <w:rsid w:val="002D2C99"/>
    <w:rPr>
      <w:rFonts w:eastAsiaTheme="minorEastAsia"/>
      <w:sz w:val="16"/>
      <w:szCs w:val="16"/>
    </w:rPr>
  </w:style>
  <w:style w:type="paragraph" w:styleId="Tekstpodstawowyzwciciem">
    <w:name w:val="Body Text First Indent"/>
    <w:basedOn w:val="Tekstpodstawowy"/>
    <w:link w:val="TekstpodstawowyzwciciemZnak"/>
    <w:uiPriority w:val="99"/>
    <w:semiHidden/>
    <w:rsid w:val="002D2C99"/>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2D2C99"/>
    <w:rPr>
      <w:rFonts w:eastAsiaTheme="minorEastAsia"/>
      <w:sz w:val="24"/>
    </w:rPr>
  </w:style>
  <w:style w:type="paragraph" w:styleId="Tekstpodstawowywcity">
    <w:name w:val="Body Text Indent"/>
    <w:basedOn w:val="Normalny"/>
    <w:link w:val="TekstpodstawowywcityZnak"/>
    <w:uiPriority w:val="99"/>
    <w:semiHidden/>
    <w:rsid w:val="002D2C99"/>
    <w:pPr>
      <w:spacing w:after="120"/>
      <w:ind w:left="283"/>
    </w:pPr>
  </w:style>
  <w:style w:type="character" w:customStyle="1" w:styleId="TekstpodstawowywcityZnak">
    <w:name w:val="Tekst podstawowy wcięty Znak"/>
    <w:basedOn w:val="Domylnaczcionkaakapitu"/>
    <w:link w:val="Tekstpodstawowywcity"/>
    <w:uiPriority w:val="99"/>
    <w:semiHidden/>
    <w:rsid w:val="002D2C99"/>
    <w:rPr>
      <w:rFonts w:eastAsiaTheme="minorEastAsia"/>
      <w:sz w:val="24"/>
    </w:rPr>
  </w:style>
  <w:style w:type="paragraph" w:styleId="Tekstpodstawowyzwciciem2">
    <w:name w:val="Body Text First Indent 2"/>
    <w:basedOn w:val="Tekstpodstawowywcity"/>
    <w:link w:val="Tekstpodstawowyzwciciem2Znak"/>
    <w:uiPriority w:val="99"/>
    <w:semiHidden/>
    <w:rsid w:val="002D2C99"/>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2D2C99"/>
    <w:rPr>
      <w:rFonts w:eastAsiaTheme="minorEastAsia"/>
      <w:sz w:val="24"/>
    </w:rPr>
  </w:style>
  <w:style w:type="paragraph" w:styleId="Tekstpodstawowywcity2">
    <w:name w:val="Body Text Indent 2"/>
    <w:basedOn w:val="Normalny"/>
    <w:link w:val="Tekstpodstawowywcity2Znak"/>
    <w:uiPriority w:val="99"/>
    <w:semiHidden/>
    <w:rsid w:val="002D2C99"/>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D2C99"/>
    <w:rPr>
      <w:rFonts w:eastAsiaTheme="minorEastAsia"/>
      <w:sz w:val="24"/>
    </w:rPr>
  </w:style>
  <w:style w:type="paragraph" w:styleId="Tekstpodstawowywcity3">
    <w:name w:val="Body Text Indent 3"/>
    <w:basedOn w:val="Normalny"/>
    <w:link w:val="Tekstpodstawowywcity3Znak"/>
    <w:uiPriority w:val="99"/>
    <w:semiHidden/>
    <w:rsid w:val="002D2C9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2D2C99"/>
    <w:rPr>
      <w:rFonts w:eastAsiaTheme="minorEastAsia"/>
      <w:sz w:val="16"/>
      <w:szCs w:val="16"/>
    </w:rPr>
  </w:style>
  <w:style w:type="paragraph" w:styleId="Legenda">
    <w:name w:val="caption"/>
    <w:basedOn w:val="Normalny"/>
    <w:next w:val="Normalny"/>
    <w:uiPriority w:val="99"/>
    <w:semiHidden/>
    <w:qFormat/>
    <w:rsid w:val="002D2C99"/>
    <w:pPr>
      <w:spacing w:after="200"/>
    </w:pPr>
    <w:rPr>
      <w:b/>
      <w:bCs/>
      <w:color w:val="0072BC" w:themeColor="accent1"/>
      <w:sz w:val="18"/>
      <w:szCs w:val="18"/>
    </w:rPr>
  </w:style>
  <w:style w:type="paragraph" w:styleId="Zwrotpoegnalny">
    <w:name w:val="Closing"/>
    <w:basedOn w:val="Normalny"/>
    <w:link w:val="ZwrotpoegnalnyZnak"/>
    <w:uiPriority w:val="99"/>
    <w:semiHidden/>
    <w:rsid w:val="002D2C99"/>
    <w:pPr>
      <w:ind w:left="4252"/>
    </w:pPr>
  </w:style>
  <w:style w:type="character" w:customStyle="1" w:styleId="ZwrotpoegnalnyZnak">
    <w:name w:val="Zwrot pożegnalny Znak"/>
    <w:basedOn w:val="Domylnaczcionkaakapitu"/>
    <w:link w:val="Zwrotpoegnalny"/>
    <w:uiPriority w:val="99"/>
    <w:semiHidden/>
    <w:rsid w:val="002D2C99"/>
    <w:rPr>
      <w:rFonts w:eastAsiaTheme="minorEastAsia"/>
      <w:sz w:val="24"/>
    </w:rPr>
  </w:style>
  <w:style w:type="table" w:styleId="Kolorowasiatka">
    <w:name w:val="Colorful Grid"/>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2D2C99"/>
    <w:rPr>
      <w:sz w:val="16"/>
      <w:szCs w:val="16"/>
    </w:rPr>
  </w:style>
  <w:style w:type="paragraph" w:styleId="Tekstkomentarza">
    <w:name w:val="annotation text"/>
    <w:basedOn w:val="Normalny"/>
    <w:link w:val="TekstkomentarzaZnak"/>
    <w:semiHidden/>
    <w:rsid w:val="002D2C99"/>
    <w:rPr>
      <w:sz w:val="20"/>
      <w:szCs w:val="20"/>
    </w:rPr>
  </w:style>
  <w:style w:type="character" w:customStyle="1" w:styleId="TekstkomentarzaZnak">
    <w:name w:val="Tekst komentarza Znak"/>
    <w:basedOn w:val="Domylnaczcionkaakapitu"/>
    <w:link w:val="Tekstkomentarza"/>
    <w:uiPriority w:val="99"/>
    <w:semiHidden/>
    <w:rsid w:val="002D2C99"/>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2D2C99"/>
    <w:rPr>
      <w:b/>
      <w:bCs/>
    </w:rPr>
  </w:style>
  <w:style w:type="character" w:customStyle="1" w:styleId="TematkomentarzaZnak">
    <w:name w:val="Temat komentarza Znak"/>
    <w:basedOn w:val="TekstkomentarzaZnak"/>
    <w:link w:val="Tematkomentarza"/>
    <w:uiPriority w:val="99"/>
    <w:semiHidden/>
    <w:rsid w:val="002D2C99"/>
    <w:rPr>
      <w:rFonts w:eastAsiaTheme="minorEastAsia"/>
      <w:b/>
      <w:bCs/>
      <w:sz w:val="20"/>
      <w:szCs w:val="20"/>
    </w:rPr>
  </w:style>
  <w:style w:type="table" w:styleId="Ciemnalista">
    <w:name w:val="Dark List"/>
    <w:basedOn w:val="Standardowy"/>
    <w:uiPriority w:val="99"/>
    <w:semiHidden/>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2D2C99"/>
  </w:style>
  <w:style w:type="character" w:customStyle="1" w:styleId="DataZnak">
    <w:name w:val="Data Znak"/>
    <w:basedOn w:val="Domylnaczcionkaakapitu"/>
    <w:link w:val="Data"/>
    <w:uiPriority w:val="99"/>
    <w:semiHidden/>
    <w:rsid w:val="002D2C99"/>
    <w:rPr>
      <w:rFonts w:eastAsiaTheme="minorEastAsia"/>
      <w:sz w:val="24"/>
    </w:rPr>
  </w:style>
  <w:style w:type="paragraph" w:styleId="Mapadokumentu">
    <w:name w:val="Document Map"/>
    <w:basedOn w:val="Normalny"/>
    <w:link w:val="MapadokumentuZnak"/>
    <w:uiPriority w:val="99"/>
    <w:semiHidden/>
    <w:rsid w:val="002D2C99"/>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2D2C99"/>
    <w:rPr>
      <w:rFonts w:ascii="Tahoma" w:eastAsiaTheme="minorEastAsia" w:hAnsi="Tahoma" w:cs="Tahoma"/>
      <w:sz w:val="16"/>
      <w:szCs w:val="16"/>
    </w:rPr>
  </w:style>
  <w:style w:type="paragraph" w:styleId="Podpise-mail">
    <w:name w:val="E-mail Signature"/>
    <w:basedOn w:val="Normalny"/>
    <w:link w:val="Podpise-mailZnak"/>
    <w:uiPriority w:val="99"/>
    <w:semiHidden/>
    <w:rsid w:val="002D2C99"/>
  </w:style>
  <w:style w:type="character" w:customStyle="1" w:styleId="Podpise-mailZnak">
    <w:name w:val="Podpis e-mail Znak"/>
    <w:basedOn w:val="Domylnaczcionkaakapitu"/>
    <w:link w:val="Podpise-mail"/>
    <w:uiPriority w:val="99"/>
    <w:semiHidden/>
    <w:rsid w:val="002D2C99"/>
    <w:rPr>
      <w:rFonts w:eastAsiaTheme="minorEastAsia"/>
      <w:sz w:val="24"/>
    </w:rPr>
  </w:style>
  <w:style w:type="character" w:styleId="Odwoanieprzypisukocowego">
    <w:name w:val="endnote reference"/>
    <w:basedOn w:val="Domylnaczcionkaakapitu"/>
    <w:uiPriority w:val="99"/>
    <w:semiHidden/>
    <w:rsid w:val="002D2C99"/>
    <w:rPr>
      <w:vertAlign w:val="superscript"/>
    </w:rPr>
  </w:style>
  <w:style w:type="paragraph" w:styleId="Tekstprzypisukocowego">
    <w:name w:val="endnote text"/>
    <w:basedOn w:val="Normalny"/>
    <w:link w:val="TekstprzypisukocowegoZnak"/>
    <w:uiPriority w:val="99"/>
    <w:semiHidden/>
    <w:rsid w:val="002D2C99"/>
    <w:rPr>
      <w:sz w:val="20"/>
      <w:szCs w:val="20"/>
    </w:rPr>
  </w:style>
  <w:style w:type="character" w:customStyle="1" w:styleId="TekstprzypisukocowegoZnak">
    <w:name w:val="Tekst przypisu końcowego Znak"/>
    <w:basedOn w:val="Domylnaczcionkaakapitu"/>
    <w:link w:val="Tekstprzypisukocowego"/>
    <w:uiPriority w:val="99"/>
    <w:semiHidden/>
    <w:rsid w:val="002D2C99"/>
    <w:rPr>
      <w:rFonts w:eastAsiaTheme="minorEastAsia"/>
      <w:sz w:val="20"/>
      <w:szCs w:val="20"/>
    </w:rPr>
  </w:style>
  <w:style w:type="paragraph" w:styleId="Adresnakopercie">
    <w:name w:val="envelope address"/>
    <w:basedOn w:val="Normalny"/>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2D2C99"/>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2D2C99"/>
    <w:rPr>
      <w:color w:val="7030A0" w:themeColor="followedHyperlink"/>
      <w:u w:val="single"/>
    </w:rPr>
  </w:style>
  <w:style w:type="character" w:styleId="HTML-akronim">
    <w:name w:val="HTML Acronym"/>
    <w:basedOn w:val="Domylnaczcionkaakapitu"/>
    <w:uiPriority w:val="99"/>
    <w:semiHidden/>
    <w:rsid w:val="002D2C99"/>
  </w:style>
  <w:style w:type="paragraph" w:styleId="HTML-adres">
    <w:name w:val="HTML Address"/>
    <w:basedOn w:val="Normalny"/>
    <w:link w:val="HTML-adresZnak"/>
    <w:uiPriority w:val="99"/>
    <w:semiHidden/>
    <w:rsid w:val="002D2C99"/>
    <w:rPr>
      <w:i/>
      <w:iCs/>
    </w:rPr>
  </w:style>
  <w:style w:type="character" w:customStyle="1" w:styleId="HTML-adresZnak">
    <w:name w:val="HTML - adres Znak"/>
    <w:basedOn w:val="Domylnaczcionkaakapitu"/>
    <w:link w:val="HTML-adres"/>
    <w:uiPriority w:val="99"/>
    <w:semiHidden/>
    <w:rsid w:val="002D2C99"/>
    <w:rPr>
      <w:rFonts w:eastAsiaTheme="minorEastAsia"/>
      <w:i/>
      <w:iCs/>
      <w:sz w:val="24"/>
    </w:rPr>
  </w:style>
  <w:style w:type="character" w:styleId="HTML-cytat">
    <w:name w:val="HTML Cite"/>
    <w:basedOn w:val="Domylnaczcionkaakapitu"/>
    <w:uiPriority w:val="99"/>
    <w:semiHidden/>
    <w:rsid w:val="002D2C99"/>
    <w:rPr>
      <w:i/>
      <w:iCs/>
    </w:rPr>
  </w:style>
  <w:style w:type="character" w:styleId="HTML-kod">
    <w:name w:val="HTML Code"/>
    <w:basedOn w:val="Domylnaczcionkaakapitu"/>
    <w:uiPriority w:val="99"/>
    <w:semiHidden/>
    <w:rsid w:val="002D2C99"/>
    <w:rPr>
      <w:rFonts w:ascii="Consolas" w:hAnsi="Consolas" w:cs="Consolas"/>
      <w:sz w:val="20"/>
      <w:szCs w:val="20"/>
    </w:rPr>
  </w:style>
  <w:style w:type="character" w:styleId="HTML-definicja">
    <w:name w:val="HTML Definition"/>
    <w:basedOn w:val="Domylnaczcionkaakapitu"/>
    <w:uiPriority w:val="99"/>
    <w:semiHidden/>
    <w:rsid w:val="002D2C99"/>
    <w:rPr>
      <w:i/>
      <w:iCs/>
    </w:rPr>
  </w:style>
  <w:style w:type="character" w:styleId="HTML-klawiatura">
    <w:name w:val="HTML Keyboard"/>
    <w:basedOn w:val="Domylnaczcionkaakapitu"/>
    <w:uiPriority w:val="99"/>
    <w:semiHidden/>
    <w:rsid w:val="002D2C99"/>
    <w:rPr>
      <w:rFonts w:ascii="Consolas" w:hAnsi="Consolas" w:cs="Consolas"/>
      <w:sz w:val="20"/>
      <w:szCs w:val="20"/>
    </w:rPr>
  </w:style>
  <w:style w:type="paragraph" w:styleId="HTML-wstpniesformatowany">
    <w:name w:val="HTML Preformatted"/>
    <w:basedOn w:val="Normalny"/>
    <w:link w:val="HTML-wstpniesformatowanyZnak"/>
    <w:uiPriority w:val="99"/>
    <w:semiHidden/>
    <w:rsid w:val="002D2C9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2D2C99"/>
    <w:rPr>
      <w:rFonts w:ascii="Consolas" w:eastAsiaTheme="minorEastAsia" w:hAnsi="Consolas" w:cs="Consolas"/>
      <w:sz w:val="20"/>
      <w:szCs w:val="20"/>
    </w:rPr>
  </w:style>
  <w:style w:type="character" w:styleId="HTML-przykad">
    <w:name w:val="HTML Sample"/>
    <w:basedOn w:val="Domylnaczcionkaakapitu"/>
    <w:uiPriority w:val="99"/>
    <w:semiHidden/>
    <w:rsid w:val="002D2C99"/>
    <w:rPr>
      <w:rFonts w:ascii="Consolas" w:hAnsi="Consolas" w:cs="Consolas"/>
      <w:sz w:val="24"/>
      <w:szCs w:val="24"/>
    </w:rPr>
  </w:style>
  <w:style w:type="character" w:styleId="HTML-staaszeroko">
    <w:name w:val="HTML Typewriter"/>
    <w:basedOn w:val="Domylnaczcionkaakapitu"/>
    <w:uiPriority w:val="99"/>
    <w:semiHidden/>
    <w:rsid w:val="002D2C99"/>
    <w:rPr>
      <w:rFonts w:ascii="Consolas" w:hAnsi="Consolas" w:cs="Consolas"/>
      <w:sz w:val="20"/>
      <w:szCs w:val="20"/>
    </w:rPr>
  </w:style>
  <w:style w:type="character" w:styleId="HTML-zmienna">
    <w:name w:val="HTML Variable"/>
    <w:basedOn w:val="Domylnaczcionkaakapitu"/>
    <w:uiPriority w:val="99"/>
    <w:semiHidden/>
    <w:rsid w:val="002D2C99"/>
    <w:rPr>
      <w:i/>
      <w:iCs/>
    </w:rPr>
  </w:style>
  <w:style w:type="paragraph" w:styleId="Indeks1">
    <w:name w:val="index 1"/>
    <w:basedOn w:val="Normalny"/>
    <w:next w:val="Normalny"/>
    <w:autoRedefine/>
    <w:uiPriority w:val="99"/>
    <w:semiHidden/>
    <w:rsid w:val="002D2C99"/>
    <w:pPr>
      <w:ind w:left="240" w:hanging="240"/>
    </w:pPr>
  </w:style>
  <w:style w:type="paragraph" w:styleId="Indeks2">
    <w:name w:val="index 2"/>
    <w:basedOn w:val="Normalny"/>
    <w:next w:val="Normalny"/>
    <w:autoRedefine/>
    <w:uiPriority w:val="99"/>
    <w:semiHidden/>
    <w:rsid w:val="002D2C99"/>
    <w:pPr>
      <w:ind w:left="480" w:hanging="240"/>
    </w:pPr>
  </w:style>
  <w:style w:type="paragraph" w:styleId="Indeks3">
    <w:name w:val="index 3"/>
    <w:basedOn w:val="Normalny"/>
    <w:next w:val="Normalny"/>
    <w:autoRedefine/>
    <w:uiPriority w:val="99"/>
    <w:semiHidden/>
    <w:rsid w:val="002D2C99"/>
    <w:pPr>
      <w:ind w:left="720" w:hanging="240"/>
    </w:pPr>
  </w:style>
  <w:style w:type="paragraph" w:styleId="Indeks4">
    <w:name w:val="index 4"/>
    <w:basedOn w:val="Normalny"/>
    <w:next w:val="Normalny"/>
    <w:autoRedefine/>
    <w:uiPriority w:val="99"/>
    <w:semiHidden/>
    <w:rsid w:val="002D2C99"/>
    <w:pPr>
      <w:ind w:left="960" w:hanging="240"/>
    </w:pPr>
  </w:style>
  <w:style w:type="paragraph" w:styleId="Indeks5">
    <w:name w:val="index 5"/>
    <w:basedOn w:val="Normalny"/>
    <w:next w:val="Normalny"/>
    <w:autoRedefine/>
    <w:uiPriority w:val="99"/>
    <w:semiHidden/>
    <w:rsid w:val="002D2C99"/>
    <w:pPr>
      <w:ind w:left="1200" w:hanging="240"/>
    </w:pPr>
  </w:style>
  <w:style w:type="paragraph" w:styleId="Indeks6">
    <w:name w:val="index 6"/>
    <w:basedOn w:val="Normalny"/>
    <w:next w:val="Normalny"/>
    <w:autoRedefine/>
    <w:uiPriority w:val="99"/>
    <w:semiHidden/>
    <w:rsid w:val="002D2C99"/>
    <w:pPr>
      <w:ind w:left="1440" w:hanging="240"/>
    </w:pPr>
  </w:style>
  <w:style w:type="paragraph" w:styleId="Indeks7">
    <w:name w:val="index 7"/>
    <w:basedOn w:val="Normalny"/>
    <w:next w:val="Normalny"/>
    <w:autoRedefine/>
    <w:uiPriority w:val="99"/>
    <w:semiHidden/>
    <w:rsid w:val="002D2C99"/>
    <w:pPr>
      <w:ind w:left="1680" w:hanging="240"/>
    </w:pPr>
  </w:style>
  <w:style w:type="paragraph" w:styleId="Indeks8">
    <w:name w:val="index 8"/>
    <w:basedOn w:val="Normalny"/>
    <w:next w:val="Normalny"/>
    <w:autoRedefine/>
    <w:uiPriority w:val="99"/>
    <w:semiHidden/>
    <w:rsid w:val="002D2C99"/>
    <w:pPr>
      <w:ind w:left="1920" w:hanging="240"/>
    </w:pPr>
  </w:style>
  <w:style w:type="paragraph" w:styleId="Indeks9">
    <w:name w:val="index 9"/>
    <w:basedOn w:val="Normalny"/>
    <w:next w:val="Normalny"/>
    <w:autoRedefine/>
    <w:uiPriority w:val="99"/>
    <w:semiHidden/>
    <w:rsid w:val="002D2C99"/>
    <w:pPr>
      <w:ind w:left="2160" w:hanging="240"/>
    </w:pPr>
  </w:style>
  <w:style w:type="paragraph" w:styleId="Nagwekindeksu">
    <w:name w:val="index heading"/>
    <w:basedOn w:val="Normalny"/>
    <w:next w:val="Indeks1"/>
    <w:uiPriority w:val="99"/>
    <w:semiHidden/>
    <w:rsid w:val="002D2C99"/>
    <w:rPr>
      <w:rFonts w:asciiTheme="majorHAnsi" w:eastAsiaTheme="majorEastAsia" w:hAnsiTheme="majorHAnsi" w:cstheme="majorBidi"/>
      <w:b/>
      <w:bCs/>
    </w:rPr>
  </w:style>
  <w:style w:type="table" w:styleId="Jasnasiatka">
    <w:name w:val="Light Grid"/>
    <w:basedOn w:val="Standardowy"/>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2D2C99"/>
  </w:style>
  <w:style w:type="paragraph" w:styleId="Lista">
    <w:name w:val="List"/>
    <w:basedOn w:val="Normalny"/>
    <w:uiPriority w:val="99"/>
    <w:semiHidden/>
    <w:rsid w:val="002D2C99"/>
    <w:pPr>
      <w:ind w:left="283" w:hanging="283"/>
      <w:contextualSpacing/>
    </w:pPr>
  </w:style>
  <w:style w:type="paragraph" w:styleId="Lista2">
    <w:name w:val="List 2"/>
    <w:basedOn w:val="Normalny"/>
    <w:uiPriority w:val="99"/>
    <w:semiHidden/>
    <w:rsid w:val="002D2C99"/>
    <w:pPr>
      <w:ind w:left="566" w:hanging="283"/>
      <w:contextualSpacing/>
    </w:pPr>
  </w:style>
  <w:style w:type="paragraph" w:styleId="Lista3">
    <w:name w:val="List 3"/>
    <w:basedOn w:val="Normalny"/>
    <w:uiPriority w:val="99"/>
    <w:semiHidden/>
    <w:rsid w:val="002D2C99"/>
    <w:pPr>
      <w:ind w:left="849" w:hanging="283"/>
      <w:contextualSpacing/>
    </w:pPr>
  </w:style>
  <w:style w:type="paragraph" w:styleId="Lista4">
    <w:name w:val="List 4"/>
    <w:basedOn w:val="Normalny"/>
    <w:uiPriority w:val="99"/>
    <w:semiHidden/>
    <w:rsid w:val="002D2C99"/>
    <w:pPr>
      <w:ind w:left="1132" w:hanging="283"/>
      <w:contextualSpacing/>
    </w:pPr>
  </w:style>
  <w:style w:type="paragraph" w:styleId="Lista5">
    <w:name w:val="List 5"/>
    <w:basedOn w:val="Normalny"/>
    <w:uiPriority w:val="99"/>
    <w:semiHidden/>
    <w:rsid w:val="002D2C99"/>
    <w:pPr>
      <w:ind w:left="1415" w:hanging="283"/>
      <w:contextualSpacing/>
    </w:pPr>
  </w:style>
  <w:style w:type="paragraph" w:styleId="Listapunktowana">
    <w:name w:val="List Bullet"/>
    <w:basedOn w:val="Normalny"/>
    <w:uiPriority w:val="99"/>
    <w:semiHidden/>
    <w:rsid w:val="002D2C99"/>
    <w:pPr>
      <w:numPr>
        <w:numId w:val="5"/>
      </w:numPr>
      <w:contextualSpacing/>
    </w:pPr>
  </w:style>
  <w:style w:type="paragraph" w:styleId="Listapunktowana3">
    <w:name w:val="List Bullet 3"/>
    <w:basedOn w:val="Normalny"/>
    <w:uiPriority w:val="99"/>
    <w:semiHidden/>
    <w:rsid w:val="002D2C99"/>
    <w:pPr>
      <w:numPr>
        <w:numId w:val="6"/>
      </w:numPr>
      <w:contextualSpacing/>
    </w:pPr>
  </w:style>
  <w:style w:type="paragraph" w:styleId="Listapunktowana4">
    <w:name w:val="List Bullet 4"/>
    <w:basedOn w:val="Normalny"/>
    <w:uiPriority w:val="99"/>
    <w:semiHidden/>
    <w:rsid w:val="002D2C99"/>
    <w:pPr>
      <w:numPr>
        <w:numId w:val="7"/>
      </w:numPr>
      <w:contextualSpacing/>
    </w:pPr>
  </w:style>
  <w:style w:type="paragraph" w:styleId="Listapunktowana5">
    <w:name w:val="List Bullet 5"/>
    <w:basedOn w:val="Normalny"/>
    <w:uiPriority w:val="99"/>
    <w:semiHidden/>
    <w:rsid w:val="002D2C99"/>
    <w:pPr>
      <w:numPr>
        <w:numId w:val="8"/>
      </w:numPr>
      <w:contextualSpacing/>
    </w:pPr>
  </w:style>
  <w:style w:type="paragraph" w:styleId="Lista-kontynuacja">
    <w:name w:val="List Continue"/>
    <w:basedOn w:val="Normalny"/>
    <w:uiPriority w:val="99"/>
    <w:semiHidden/>
    <w:rsid w:val="002D2C99"/>
    <w:pPr>
      <w:spacing w:after="120"/>
      <w:ind w:left="283"/>
      <w:contextualSpacing/>
    </w:pPr>
  </w:style>
  <w:style w:type="paragraph" w:styleId="Lista-kontynuacja2">
    <w:name w:val="List Continue 2"/>
    <w:basedOn w:val="Normalny"/>
    <w:uiPriority w:val="99"/>
    <w:semiHidden/>
    <w:rsid w:val="002D2C99"/>
    <w:pPr>
      <w:spacing w:after="120"/>
      <w:ind w:left="566"/>
      <w:contextualSpacing/>
    </w:pPr>
  </w:style>
  <w:style w:type="paragraph" w:styleId="Lista-kontynuacja3">
    <w:name w:val="List Continue 3"/>
    <w:basedOn w:val="Normalny"/>
    <w:uiPriority w:val="99"/>
    <w:semiHidden/>
    <w:rsid w:val="002D2C99"/>
    <w:pPr>
      <w:spacing w:after="120"/>
      <w:ind w:left="849"/>
      <w:contextualSpacing/>
    </w:pPr>
  </w:style>
  <w:style w:type="paragraph" w:styleId="Lista-kontynuacja4">
    <w:name w:val="List Continue 4"/>
    <w:basedOn w:val="Normalny"/>
    <w:uiPriority w:val="99"/>
    <w:semiHidden/>
    <w:rsid w:val="002D2C99"/>
    <w:pPr>
      <w:spacing w:after="120"/>
      <w:ind w:left="1132"/>
      <w:contextualSpacing/>
    </w:pPr>
  </w:style>
  <w:style w:type="paragraph" w:styleId="Lista-kontynuacja5">
    <w:name w:val="List Continue 5"/>
    <w:basedOn w:val="Normalny"/>
    <w:uiPriority w:val="99"/>
    <w:semiHidden/>
    <w:rsid w:val="002D2C99"/>
    <w:pPr>
      <w:spacing w:after="120"/>
      <w:ind w:left="1415"/>
      <w:contextualSpacing/>
    </w:pPr>
  </w:style>
  <w:style w:type="paragraph" w:styleId="Listanumerowana">
    <w:name w:val="List Number"/>
    <w:basedOn w:val="Normalny"/>
    <w:uiPriority w:val="99"/>
    <w:semiHidden/>
    <w:rsid w:val="002D2C99"/>
    <w:pPr>
      <w:numPr>
        <w:numId w:val="9"/>
      </w:numPr>
      <w:contextualSpacing/>
    </w:pPr>
  </w:style>
  <w:style w:type="paragraph" w:styleId="Listanumerowana2">
    <w:name w:val="List Number 2"/>
    <w:basedOn w:val="Normalny"/>
    <w:uiPriority w:val="99"/>
    <w:semiHidden/>
    <w:rsid w:val="002D2C99"/>
    <w:pPr>
      <w:numPr>
        <w:numId w:val="10"/>
      </w:numPr>
      <w:contextualSpacing/>
    </w:pPr>
  </w:style>
  <w:style w:type="paragraph" w:styleId="Listanumerowana3">
    <w:name w:val="List Number 3"/>
    <w:basedOn w:val="Normalny"/>
    <w:uiPriority w:val="99"/>
    <w:semiHidden/>
    <w:rsid w:val="002D2C99"/>
    <w:pPr>
      <w:numPr>
        <w:numId w:val="11"/>
      </w:numPr>
      <w:contextualSpacing/>
    </w:pPr>
  </w:style>
  <w:style w:type="paragraph" w:styleId="Listanumerowana4">
    <w:name w:val="List Number 4"/>
    <w:basedOn w:val="Normalny"/>
    <w:uiPriority w:val="99"/>
    <w:semiHidden/>
    <w:rsid w:val="002D2C99"/>
    <w:pPr>
      <w:numPr>
        <w:numId w:val="12"/>
      </w:numPr>
      <w:contextualSpacing/>
    </w:pPr>
  </w:style>
  <w:style w:type="paragraph" w:styleId="Listanumerowana5">
    <w:name w:val="List Number 5"/>
    <w:basedOn w:val="Normalny"/>
    <w:uiPriority w:val="99"/>
    <w:semiHidden/>
    <w:rsid w:val="002D2C99"/>
    <w:pPr>
      <w:numPr>
        <w:numId w:val="13"/>
      </w:numPr>
      <w:contextualSpacing/>
    </w:pPr>
  </w:style>
  <w:style w:type="paragraph" w:styleId="Tekstmakra">
    <w:name w:val="macro"/>
    <w:link w:val="TekstmakraZnak"/>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2D2C99"/>
    <w:rPr>
      <w:rFonts w:ascii="Consolas" w:eastAsiaTheme="minorEastAsia" w:hAnsi="Consolas" w:cs="Consolas"/>
      <w:sz w:val="20"/>
      <w:szCs w:val="20"/>
    </w:rPr>
  </w:style>
  <w:style w:type="table" w:styleId="redniasiatka1">
    <w:name w:val="Medium Grid 1"/>
    <w:basedOn w:val="Standardowy"/>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2D2C99"/>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2D2C99"/>
    <w:rPr>
      <w:rFonts w:ascii="Times New Roman" w:hAnsi="Times New Roman" w:cs="Times New Roman"/>
      <w:szCs w:val="24"/>
    </w:rPr>
  </w:style>
  <w:style w:type="paragraph" w:styleId="Wcicienormalne">
    <w:name w:val="Normal Indent"/>
    <w:basedOn w:val="Normalny"/>
    <w:uiPriority w:val="99"/>
    <w:semiHidden/>
    <w:rsid w:val="002D2C99"/>
    <w:pPr>
      <w:ind w:left="720"/>
    </w:pPr>
  </w:style>
  <w:style w:type="paragraph" w:styleId="Nagweknotatki">
    <w:name w:val="Note Heading"/>
    <w:basedOn w:val="Normalny"/>
    <w:next w:val="Normalny"/>
    <w:link w:val="NagweknotatkiZnak"/>
    <w:uiPriority w:val="99"/>
    <w:semiHidden/>
    <w:rsid w:val="002D2C99"/>
  </w:style>
  <w:style w:type="character" w:customStyle="1" w:styleId="NagweknotatkiZnak">
    <w:name w:val="Nagłówek notatki Znak"/>
    <w:basedOn w:val="Domylnaczcionkaakapitu"/>
    <w:link w:val="Nagweknotatki"/>
    <w:uiPriority w:val="99"/>
    <w:semiHidden/>
    <w:rsid w:val="002D2C99"/>
    <w:rPr>
      <w:rFonts w:eastAsiaTheme="minorEastAsia"/>
      <w:sz w:val="24"/>
    </w:rPr>
  </w:style>
  <w:style w:type="character" w:styleId="Tekstzastpczy">
    <w:name w:val="Placeholder Text"/>
    <w:basedOn w:val="Domylnaczcionkaakapitu"/>
    <w:uiPriority w:val="99"/>
    <w:semiHidden/>
    <w:rsid w:val="00D1200C"/>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2D2C99"/>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2D2C99"/>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2D2C99"/>
  </w:style>
  <w:style w:type="character" w:customStyle="1" w:styleId="ZwrotgrzecznociowyZnak">
    <w:name w:val="Zwrot grzecznościowy Znak"/>
    <w:basedOn w:val="Domylnaczcionkaakapitu"/>
    <w:link w:val="Zwrotgrzecznociowy"/>
    <w:uiPriority w:val="99"/>
    <w:semiHidden/>
    <w:rsid w:val="002D2C99"/>
    <w:rPr>
      <w:rFonts w:eastAsiaTheme="minorEastAsia"/>
      <w:sz w:val="24"/>
    </w:rPr>
  </w:style>
  <w:style w:type="paragraph" w:styleId="Podpis">
    <w:name w:val="Signature"/>
    <w:basedOn w:val="Normalny"/>
    <w:link w:val="PodpisZnak"/>
    <w:uiPriority w:val="99"/>
    <w:semiHidden/>
    <w:rsid w:val="002D2C99"/>
    <w:pPr>
      <w:ind w:left="4252"/>
    </w:pPr>
  </w:style>
  <w:style w:type="character" w:customStyle="1" w:styleId="PodpisZnak">
    <w:name w:val="Podpis Znak"/>
    <w:basedOn w:val="Domylnaczcionkaakapitu"/>
    <w:link w:val="Podpis"/>
    <w:uiPriority w:val="99"/>
    <w:semiHidden/>
    <w:rsid w:val="002D2C99"/>
    <w:rPr>
      <w:rFonts w:eastAsiaTheme="minorEastAsia"/>
      <w:sz w:val="24"/>
    </w:rPr>
  </w:style>
  <w:style w:type="table" w:styleId="Tabela-Efekty3W1">
    <w:name w:val="Table 3D effects 1"/>
    <w:basedOn w:val="Standardowy"/>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2D2C99"/>
    <w:pPr>
      <w:ind w:left="240" w:hanging="240"/>
    </w:pPr>
  </w:style>
  <w:style w:type="paragraph" w:styleId="Spisilustracji">
    <w:name w:val="table of figures"/>
    <w:basedOn w:val="Normalny"/>
    <w:next w:val="Normalny"/>
    <w:uiPriority w:val="99"/>
    <w:semiHidden/>
    <w:rsid w:val="002D2C99"/>
  </w:style>
  <w:style w:type="table" w:styleId="Tabela-Profesjonalny">
    <w:name w:val="Table Professional"/>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1200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1200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2D2C99"/>
    <w:pPr>
      <w:spacing w:after="100"/>
      <w:ind w:left="1680"/>
    </w:pPr>
  </w:style>
  <w:style w:type="paragraph" w:styleId="Spistreci9">
    <w:name w:val="toc 9"/>
    <w:basedOn w:val="Normalny"/>
    <w:next w:val="Normalny"/>
    <w:autoRedefine/>
    <w:uiPriority w:val="99"/>
    <w:semiHidden/>
    <w:rsid w:val="002D2C99"/>
    <w:pPr>
      <w:spacing w:after="100"/>
      <w:ind w:left="1920"/>
    </w:pPr>
  </w:style>
  <w:style w:type="paragraph" w:customStyle="1" w:styleId="OpiPara">
    <w:name w:val="Opi_Para"/>
    <w:basedOn w:val="ECHRPara"/>
    <w:uiPriority w:val="46"/>
    <w:qFormat/>
    <w:rsid w:val="00D1200C"/>
  </w:style>
  <w:style w:type="paragraph" w:customStyle="1" w:styleId="OpiParaSub">
    <w:name w:val="Opi_Para_Sub"/>
    <w:basedOn w:val="JuParaSub"/>
    <w:uiPriority w:val="47"/>
    <w:qFormat/>
    <w:rsid w:val="00D1200C"/>
  </w:style>
  <w:style w:type="paragraph" w:customStyle="1" w:styleId="ECHRFooter">
    <w:name w:val="ECHR_Footer"/>
    <w:aliases w:val="Footer_ECHR"/>
    <w:basedOn w:val="Stopka"/>
    <w:uiPriority w:val="57"/>
    <w:semiHidden/>
    <w:rsid w:val="00D1200C"/>
    <w:pPr>
      <w:jc w:val="left"/>
    </w:pPr>
    <w:rPr>
      <w:sz w:val="8"/>
    </w:rPr>
  </w:style>
  <w:style w:type="paragraph" w:customStyle="1" w:styleId="ECHRFooterLine">
    <w:name w:val="ECHR_Footer_Line"/>
    <w:aliases w:val="Footer_Line"/>
    <w:basedOn w:val="Normalny"/>
    <w:next w:val="ECHRFooter"/>
    <w:uiPriority w:val="57"/>
    <w:semiHidden/>
    <w:rsid w:val="00D1200C"/>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D1200C"/>
    <w:pPr>
      <w:spacing w:after="240"/>
      <w:jc w:val="center"/>
      <w:outlineLvl w:val="0"/>
    </w:pPr>
    <w:rPr>
      <w:rFonts w:asciiTheme="majorHAnsi" w:hAnsiTheme="majorHAnsi"/>
    </w:rPr>
  </w:style>
  <w:style w:type="paragraph" w:customStyle="1" w:styleId="OpiQuot">
    <w:name w:val="Opi_Quot"/>
    <w:basedOn w:val="ECHRParaQuote"/>
    <w:uiPriority w:val="48"/>
    <w:qFormat/>
    <w:rsid w:val="00D1200C"/>
  </w:style>
  <w:style w:type="paragraph" w:customStyle="1" w:styleId="OpiQuotSub">
    <w:name w:val="Opi_Quot_Sub"/>
    <w:basedOn w:val="JuQuotSub"/>
    <w:uiPriority w:val="49"/>
    <w:qFormat/>
    <w:rsid w:val="00D1200C"/>
  </w:style>
  <w:style w:type="paragraph" w:customStyle="1" w:styleId="OpiTranslation">
    <w:name w:val="Opi_Translation"/>
    <w:basedOn w:val="Normalny"/>
    <w:next w:val="OpiPara"/>
    <w:uiPriority w:val="40"/>
    <w:qFormat/>
    <w:rsid w:val="00D1200C"/>
    <w:pPr>
      <w:jc w:val="center"/>
      <w:outlineLvl w:val="0"/>
    </w:pPr>
    <w:rPr>
      <w:i/>
    </w:rPr>
  </w:style>
  <w:style w:type="character" w:customStyle="1" w:styleId="ECHRParaChar">
    <w:name w:val="ECHR_Para Char"/>
    <w:aliases w:val="Ju_Para Char"/>
    <w:basedOn w:val="Domylnaczcionkaakapitu"/>
    <w:link w:val="ECHRPara"/>
    <w:uiPriority w:val="12"/>
    <w:rsid w:val="00C85586"/>
    <w:rPr>
      <w:rFonts w:eastAsiaTheme="minorEastAsia"/>
      <w:sz w:val="24"/>
    </w:rPr>
  </w:style>
  <w:style w:type="paragraph" w:styleId="Poprawka">
    <w:name w:val="Revision"/>
    <w:hidden/>
    <w:uiPriority w:val="99"/>
    <w:semiHidden/>
    <w:rsid w:val="00C85586"/>
    <w:rPr>
      <w:rFonts w:eastAsiaTheme="minorEastAsia"/>
      <w:sz w:val="24"/>
    </w:rPr>
  </w:style>
  <w:style w:type="paragraph" w:customStyle="1" w:styleId="jupara">
    <w:name w:val="jupara"/>
    <w:basedOn w:val="Normalny"/>
    <w:rsid w:val="006031A9"/>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6031A9"/>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05C3B-3FC3-41F7-8913-C4159E05C4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B49D62C-F972-48F7-B673-F2D8323BA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8F079A5-4B76-456D-B069-A36BDCC7C229}">
  <ds:schemaRefs>
    <ds:schemaRef ds:uri="http://schemas.microsoft.com/sharepoint/v3/contenttype/forms"/>
  </ds:schemaRefs>
</ds:datastoreItem>
</file>

<file path=customXml/itemProps4.xml><?xml version="1.0" encoding="utf-8"?>
<ds:datastoreItem xmlns:ds="http://schemas.openxmlformats.org/officeDocument/2006/customXml" ds:itemID="{29CBAE65-8E50-437B-AE71-5E7CF9892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11289</Words>
  <Characters>67738</Characters>
  <Application>Microsoft Office Word</Application>
  <DocSecurity>0</DocSecurity>
  <Lines>564</Lines>
  <Paragraphs>157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78870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2018-10-09T09:59:00Z</dcterms:created>
  <dcterms:modified xsi:type="dcterms:W3CDTF">2018-10-09T09:59:00Z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67496/10</vt:lpwstr>
  </property>
  <property fmtid="{D5CDD505-2E9C-101B-9397-08002B2CF9AE}" pid="4" name="CASEID">
    <vt:lpwstr>681545</vt:lpwstr>
  </property>
  <property fmtid="{D5CDD505-2E9C-101B-9397-08002B2CF9AE}" pid="5" name="ContentTypeId">
    <vt:lpwstr>0x010100558EB02BDB9E204AB350EDD385B68E10</vt:lpwstr>
  </property>
</Properties>
</file>