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811225" w14:textId="77777777" w:rsidR="00312498" w:rsidRPr="00D2795E" w:rsidRDefault="00312498" w:rsidP="00312498">
      <w:pPr>
        <w:pStyle w:val="ClinEditionNumber"/>
        <w:jc w:val="center"/>
      </w:pPr>
      <w:bookmarkStart w:id="0" w:name="_GoBack"/>
      <w:bookmarkEnd w:id="0"/>
      <w:r w:rsidRPr="00D2795E">
        <w:t>EUROPEJSKI TRYBUNAŁ PRAW CZŁOWIEKA</w:t>
      </w:r>
    </w:p>
    <w:p w14:paraId="70C27A36" w14:textId="77777777" w:rsidR="001A3EA5" w:rsidRDefault="00235B26">
      <w:pPr>
        <w:pStyle w:val="ClinEditionNumber"/>
      </w:pPr>
      <w:r>
        <w:t>Nota informacyjna nt. orzecznictwa Trybunału nr 212</w:t>
      </w:r>
    </w:p>
    <w:p w14:paraId="6FD766D2" w14:textId="77777777" w:rsidR="001A3EA5" w:rsidRDefault="00235B26">
      <w:pPr>
        <w:pStyle w:val="ClinEditionMonth"/>
      </w:pPr>
      <w:r>
        <w:t>Listopad 2017 r.</w:t>
      </w:r>
    </w:p>
    <w:p w14:paraId="35907436" w14:textId="77777777" w:rsidR="001A3EA5" w:rsidRDefault="00235B26">
      <w:proofErr w:type="spellStart"/>
      <w:r>
        <w:rPr>
          <w:rStyle w:val="ClinCaseTitle"/>
        </w:rPr>
        <w:t>Dudchenko</w:t>
      </w:r>
      <w:proofErr w:type="spellEnd"/>
      <w:r>
        <w:rPr>
          <w:rStyle w:val="ClinCaseTitle"/>
        </w:rPr>
        <w:t xml:space="preserve"> przeciwko Rosji</w:t>
      </w:r>
      <w:r>
        <w:rPr>
          <w:rStyle w:val="ClinApplicationNumber"/>
        </w:rPr>
        <w:t xml:space="preserve"> - skarga nr 37717/05</w:t>
      </w:r>
    </w:p>
    <w:p w14:paraId="01C70114" w14:textId="664FEA92" w:rsidR="001A3EA5" w:rsidRDefault="00235B26">
      <w:r>
        <w:rPr>
          <w:rStyle w:val="ClinHudocDocumentTitle"/>
        </w:rPr>
        <w:t>Wyrok z 7.11.2017 r.</w:t>
      </w:r>
      <w:r>
        <w:rPr>
          <w:rStyle w:val="ClinSectionName"/>
        </w:rPr>
        <w:t xml:space="preserve"> [</w:t>
      </w:r>
      <w:r w:rsidR="00D31007">
        <w:rPr>
          <w:rStyle w:val="ClinSectionName"/>
        </w:rPr>
        <w:t>Sekcja Trzecia</w:t>
      </w:r>
      <w:r>
        <w:rPr>
          <w:rStyle w:val="ClinSectionName"/>
        </w:rPr>
        <w:t>]</w:t>
      </w:r>
    </w:p>
    <w:p w14:paraId="4A811E5A" w14:textId="77777777" w:rsidR="001A3EA5" w:rsidRDefault="00235B26">
      <w:pPr>
        <w:pStyle w:val="ClinMainKeywordCode"/>
      </w:pPr>
      <w:r>
        <w:t>Art. 8</w:t>
      </w:r>
    </w:p>
    <w:p w14:paraId="5676447A" w14:textId="77777777" w:rsidR="001A3EA5" w:rsidRDefault="00235B26">
      <w:pPr>
        <w:pStyle w:val="ClinChildKeywordCode"/>
      </w:pPr>
      <w:r>
        <w:t>Art. 8 ust. 1</w:t>
      </w:r>
    </w:p>
    <w:p w14:paraId="122DEEBD" w14:textId="77777777" w:rsidR="001A3EA5" w:rsidRDefault="00235B26">
      <w:pPr>
        <w:pStyle w:val="ClinKeyword"/>
      </w:pPr>
      <w:r>
        <w:t>Poszanowanie korespondencji</w:t>
      </w:r>
    </w:p>
    <w:p w14:paraId="072C8A27" w14:textId="77777777" w:rsidR="001A3EA5" w:rsidRDefault="00235B26">
      <w:pPr>
        <w:pStyle w:val="ClinKeyword"/>
      </w:pPr>
      <w:r>
        <w:t>Poszanowanie życia prywatnego</w:t>
      </w:r>
    </w:p>
    <w:p w14:paraId="52BCA434" w14:textId="1A3D91F1" w:rsidR="001A3EA5" w:rsidRDefault="00235B26">
      <w:r>
        <w:rPr>
          <w:rStyle w:val="ClinHeadNote"/>
        </w:rPr>
        <w:t xml:space="preserve">Tajny nadzór bez odpowiednich </w:t>
      </w:r>
      <w:r w:rsidR="00100DEA">
        <w:rPr>
          <w:rStyle w:val="ClinHeadNote"/>
        </w:rPr>
        <w:t>gwarancji prawnych</w:t>
      </w:r>
      <w:r>
        <w:rPr>
          <w:rStyle w:val="ClinHeadNote"/>
        </w:rPr>
        <w:t xml:space="preserve">: </w:t>
      </w:r>
      <w:r>
        <w:rPr>
          <w:rStyle w:val="ClinConclusions"/>
        </w:rPr>
        <w:t>naruszenia</w:t>
      </w:r>
    </w:p>
    <w:p w14:paraId="29F434E9" w14:textId="47147D0D" w:rsidR="001A3EA5" w:rsidRDefault="00235B26">
      <w:pPr>
        <w:pStyle w:val="ClinContent"/>
      </w:pPr>
      <w:r>
        <w:rPr>
          <w:i/>
        </w:rPr>
        <w:t>Fakty</w:t>
      </w:r>
      <w:r>
        <w:t xml:space="preserve"> – Skarżący </w:t>
      </w:r>
      <w:r w:rsidR="00D35CA1">
        <w:t>zarzuca</w:t>
      </w:r>
      <w:r w:rsidR="00D31007">
        <w:t xml:space="preserve"> </w:t>
      </w:r>
      <w:r w:rsidR="00D31007" w:rsidRPr="002A243E">
        <w:t>między innymi</w:t>
      </w:r>
      <w:r>
        <w:t xml:space="preserve">, że </w:t>
      </w:r>
      <w:r w:rsidR="00D31007">
        <w:t>z</w:t>
      </w:r>
      <w:r>
        <w:t xml:space="preserve">astosowano wobec niego </w:t>
      </w:r>
      <w:r w:rsidR="00BF7A74">
        <w:t>tajną inwigilację</w:t>
      </w:r>
      <w:r>
        <w:t>, w tym prze</w:t>
      </w:r>
      <w:r w:rsidR="00BF7A74">
        <w:t>chwytywano połączenia telefoniczne</w:t>
      </w:r>
      <w:r>
        <w:t xml:space="preserve"> ze </w:t>
      </w:r>
      <w:r w:rsidR="00BF7A74">
        <w:t>współsprawcą</w:t>
      </w:r>
      <w:r w:rsidR="002A5750">
        <w:t xml:space="preserve"> </w:t>
      </w:r>
      <w:r>
        <w:t xml:space="preserve">w postępowaniu karnym oraz z </w:t>
      </w:r>
      <w:r w:rsidR="00B35380">
        <w:t>obrońcą</w:t>
      </w:r>
      <w:r>
        <w:t>. Podniósł zarzut naruszenia przysługującego mu prawa do poszanowania życia prywatnego i korespondencji.</w:t>
      </w:r>
    </w:p>
    <w:p w14:paraId="189E9634" w14:textId="77777777" w:rsidR="001A3EA5" w:rsidRDefault="00235B26">
      <w:pPr>
        <w:pStyle w:val="ClinContent"/>
      </w:pPr>
      <w:r>
        <w:rPr>
          <w:i/>
        </w:rPr>
        <w:t>Prawo</w:t>
      </w:r>
      <w:r>
        <w:t xml:space="preserve"> – art. 8</w:t>
      </w:r>
    </w:p>
    <w:p w14:paraId="16F50E47" w14:textId="3CE1EF77" w:rsidR="001A3EA5" w:rsidRDefault="00235B26">
      <w:pPr>
        <w:pStyle w:val="ClinContent"/>
      </w:pPr>
      <w:r>
        <w:t>a)  </w:t>
      </w:r>
      <w:r>
        <w:rPr>
          <w:i/>
        </w:rPr>
        <w:t xml:space="preserve">Rozmowy telefoniczne </w:t>
      </w:r>
      <w:r w:rsidR="002A5750">
        <w:rPr>
          <w:i/>
        </w:rPr>
        <w:t>ze współsprawcą</w:t>
      </w:r>
      <w:r w:rsidR="00BF7A74">
        <w:t xml:space="preserve"> – przechwytywanie połączeń telefonicznych</w:t>
      </w:r>
      <w:r>
        <w:t xml:space="preserve"> skarżącego </w:t>
      </w:r>
      <w:r w:rsidR="002A5750">
        <w:t xml:space="preserve">stanowi </w:t>
      </w:r>
      <w:r>
        <w:t>ingerencj</w:t>
      </w:r>
      <w:r w:rsidR="002A5750">
        <w:t>ę</w:t>
      </w:r>
      <w:r>
        <w:t xml:space="preserve"> w wykonywanie praw przysługujących mu zgodnie z art. 8 Konwencji.</w:t>
      </w:r>
    </w:p>
    <w:p w14:paraId="523174E9" w14:textId="569C4ACA" w:rsidR="001A3EA5" w:rsidRDefault="00235B26">
      <w:pPr>
        <w:pStyle w:val="ClinContent"/>
      </w:pPr>
      <w:r>
        <w:t xml:space="preserve">W </w:t>
      </w:r>
      <w:r w:rsidR="00B35380">
        <w:t>przedmiocie</w:t>
      </w:r>
      <w:r>
        <w:t xml:space="preserve"> </w:t>
      </w:r>
      <w:r w:rsidRPr="00100DEA">
        <w:t>„zgodności z prawem ingerencji”</w:t>
      </w:r>
      <w:r>
        <w:t xml:space="preserve"> w sprawie </w:t>
      </w:r>
      <w:r>
        <w:rPr>
          <w:i/>
        </w:rPr>
        <w:t xml:space="preserve">Roman </w:t>
      </w:r>
      <w:proofErr w:type="spellStart"/>
      <w:r>
        <w:rPr>
          <w:i/>
        </w:rPr>
        <w:t>Zakharov</w:t>
      </w:r>
      <w:proofErr w:type="spellEnd"/>
      <w:r w:rsidR="002A5750">
        <w:rPr>
          <w:i/>
        </w:rPr>
        <w:t xml:space="preserve"> </w:t>
      </w:r>
      <w:r w:rsidR="002A5750">
        <w:t>Trybunał uznał</w:t>
      </w:r>
      <w:r>
        <w:t xml:space="preserve">, że procedury </w:t>
      </w:r>
      <w:r w:rsidR="00FC6207">
        <w:t>udzielania</w:t>
      </w:r>
      <w:r w:rsidR="00D35CA1">
        <w:t xml:space="preserve"> sądowej</w:t>
      </w:r>
      <w:r w:rsidR="00FC6207">
        <w:t xml:space="preserve"> zgody</w:t>
      </w:r>
      <w:r w:rsidR="00D35CA1">
        <w:t>, przewidziane w prawie rosyjskim,</w:t>
      </w:r>
      <w:r w:rsidR="00FC6207">
        <w:t xml:space="preserve"> </w:t>
      </w:r>
      <w:r>
        <w:t xml:space="preserve">nie są w </w:t>
      </w:r>
      <w:r w:rsidR="00BF7A74">
        <w:t>stanie zapewnić, by tajna inwigilacja</w:t>
      </w:r>
      <w:r>
        <w:t xml:space="preserve"> nie był</w:t>
      </w:r>
      <w:r w:rsidR="00BF7A74">
        <w:t>a</w:t>
      </w:r>
      <w:r>
        <w:t xml:space="preserve"> zl</w:t>
      </w:r>
      <w:r w:rsidR="00D35CA1">
        <w:t>ecana</w:t>
      </w:r>
      <w:r w:rsidR="004F45A7">
        <w:t xml:space="preserve"> przypadkowo, nieprawidłowo</w:t>
      </w:r>
      <w:r>
        <w:t xml:space="preserve"> oraz bez właściwej i odpowiedniej analizy. W postępowaniu w </w:t>
      </w:r>
      <w:r w:rsidR="00D35CA1">
        <w:t xml:space="preserve">tamtej </w:t>
      </w:r>
      <w:r>
        <w:t xml:space="preserve">sprawie ustalono między innymi, że </w:t>
      </w:r>
      <w:r w:rsidR="00D35CA1">
        <w:t xml:space="preserve">w swej zwykłej praktyce sądy </w:t>
      </w:r>
      <w:r>
        <w:t xml:space="preserve">rosyjskie nie </w:t>
      </w:r>
      <w:r w:rsidR="002A5750">
        <w:t>ustalają</w:t>
      </w:r>
      <w:r>
        <w:t xml:space="preserve">, czy wystąpiło „uzasadnione podejrzenie” przeciwko danej osobie </w:t>
      </w:r>
      <w:r w:rsidR="002A5750">
        <w:t xml:space="preserve">ani </w:t>
      </w:r>
      <w:r>
        <w:t xml:space="preserve">nie stosują testu „konieczności” </w:t>
      </w:r>
      <w:r w:rsidR="002A5750">
        <w:t xml:space="preserve">czy </w:t>
      </w:r>
      <w:r>
        <w:t>„proporcjonalności”.</w:t>
      </w:r>
    </w:p>
    <w:p w14:paraId="4E5EF48C" w14:textId="52BE6039" w:rsidR="001A3EA5" w:rsidRDefault="00235B26">
      <w:pPr>
        <w:pStyle w:val="ClinContent"/>
      </w:pPr>
      <w:r>
        <w:t>Rząd nie przedstawił żadnych dowodów w</w:t>
      </w:r>
      <w:r w:rsidR="007C27B3">
        <w:t>s</w:t>
      </w:r>
      <w:r>
        <w:t>kaz</w:t>
      </w:r>
      <w:r w:rsidR="007C27B3">
        <w:t>ujących na to</w:t>
      </w:r>
      <w:r>
        <w:t xml:space="preserve">, że </w:t>
      </w:r>
      <w:r w:rsidR="002A5750">
        <w:t xml:space="preserve">w sprawie skarżącego </w:t>
      </w:r>
      <w:r>
        <w:t xml:space="preserve">sądy rosyjskie postąpiły inaczej. </w:t>
      </w:r>
      <w:r w:rsidR="007C27B3">
        <w:t>Nie udowodniono, że sędzia</w:t>
      </w:r>
      <w:r>
        <w:t xml:space="preserve"> faktyczn</w:t>
      </w:r>
      <w:r w:rsidR="007C27B3">
        <w:t>i</w:t>
      </w:r>
      <w:r>
        <w:t xml:space="preserve">e </w:t>
      </w:r>
      <w:r w:rsidR="007C27B3">
        <w:t xml:space="preserve">otrzymał </w:t>
      </w:r>
      <w:r>
        <w:t>jaki</w:t>
      </w:r>
      <w:r w:rsidR="007C27B3">
        <w:t>ekolwiek informacje lub dokumenty</w:t>
      </w:r>
      <w:r>
        <w:t xml:space="preserve"> uzasadniając</w:t>
      </w:r>
      <w:r w:rsidR="007C27B3">
        <w:t>e</w:t>
      </w:r>
      <w:r>
        <w:t xml:space="preserve"> podejrzenia wobec skarżącego. Jedyny przedstawiony sądowi </w:t>
      </w:r>
      <w:r w:rsidR="007C27B3">
        <w:t>argument</w:t>
      </w:r>
      <w:r>
        <w:t xml:space="preserve"> mający uzasadnić stosowanie środków </w:t>
      </w:r>
      <w:r w:rsidR="00B7064E">
        <w:t xml:space="preserve">inwigilacji </w:t>
      </w:r>
      <w:r>
        <w:t>był taki, że „uzyskanie informacji koniecznych do ujawnienia bezprawnych czynów [skarżącego] w drodze jawnego dochodzenia wydaje[-</w:t>
      </w:r>
      <w:proofErr w:type="spellStart"/>
      <w:r>
        <w:t>wało</w:t>
      </w:r>
      <w:proofErr w:type="spellEnd"/>
      <w:r>
        <w:t xml:space="preserve">] się niemożliwe”; zabrakło </w:t>
      </w:r>
      <w:r w:rsidR="007C27B3">
        <w:t>przy tym</w:t>
      </w:r>
      <w:r>
        <w:t xml:space="preserve"> wyjaśnienia, skąd </w:t>
      </w:r>
      <w:r w:rsidR="007C27B3">
        <w:t>ów</w:t>
      </w:r>
      <w:r>
        <w:t xml:space="preserve"> wniosek</w:t>
      </w:r>
      <w:r w:rsidR="002A5750">
        <w:t xml:space="preserve"> wyciągnięto</w:t>
      </w:r>
      <w:r w:rsidR="007C27B3">
        <w:t xml:space="preserve">. Takie ogólnikowe i pozbawione uzasadnienia </w:t>
      </w:r>
      <w:r>
        <w:t xml:space="preserve">twierdzenie było niewystarczające, by </w:t>
      </w:r>
      <w:r w:rsidR="007C27B3">
        <w:t>mogło stanowić podstawę do</w:t>
      </w:r>
      <w:r w:rsidR="00793179">
        <w:t> </w:t>
      </w:r>
      <w:r>
        <w:t>wydani</w:t>
      </w:r>
      <w:r w:rsidR="007C27B3">
        <w:t>a</w:t>
      </w:r>
      <w:r>
        <w:t xml:space="preserve"> </w:t>
      </w:r>
      <w:r w:rsidR="00FC6207">
        <w:t>zgody na</w:t>
      </w:r>
      <w:r>
        <w:t xml:space="preserve"> </w:t>
      </w:r>
      <w:r w:rsidR="00FC6207">
        <w:t xml:space="preserve">prowadzenie </w:t>
      </w:r>
      <w:r>
        <w:t xml:space="preserve">długotrwałej (180-dniowej) tajnej operacji inwigilacyjnej, która wiązała się z poważną ingerencją w prawo </w:t>
      </w:r>
      <w:r w:rsidR="002A5750">
        <w:t xml:space="preserve">skarżącego </w:t>
      </w:r>
      <w:r>
        <w:t>do</w:t>
      </w:r>
      <w:r w:rsidR="00793179">
        <w:t> </w:t>
      </w:r>
      <w:r>
        <w:t>poszanowania życia prywatnego i korespondencji.</w:t>
      </w:r>
    </w:p>
    <w:p w14:paraId="2BD879E6" w14:textId="77777777" w:rsidR="001A3EA5" w:rsidRDefault="00235B26">
      <w:pPr>
        <w:pStyle w:val="ClinContent"/>
      </w:pPr>
      <w:r>
        <w:rPr>
          <w:i/>
        </w:rPr>
        <w:t>Rozstrzygnięcie</w:t>
      </w:r>
      <w:r>
        <w:t>: naruszenie (sześcioma głosami do jednego).</w:t>
      </w:r>
    </w:p>
    <w:p w14:paraId="2AC93AA2" w14:textId="5EC9FBCD" w:rsidR="001A3EA5" w:rsidRDefault="00235B26">
      <w:pPr>
        <w:pStyle w:val="ClinContent"/>
      </w:pPr>
      <w:r>
        <w:lastRenderedPageBreak/>
        <w:t>b)  </w:t>
      </w:r>
      <w:r>
        <w:rPr>
          <w:i/>
        </w:rPr>
        <w:t xml:space="preserve">rozmowy telefoniczne z </w:t>
      </w:r>
      <w:r w:rsidR="002A5750">
        <w:rPr>
          <w:i/>
        </w:rPr>
        <w:t xml:space="preserve">obrońcą </w:t>
      </w:r>
      <w:r w:rsidR="002A5750">
        <w:t xml:space="preserve"> </w:t>
      </w:r>
      <w:r>
        <w:t>– w celu uniknięcia nadużyć władzy w</w:t>
      </w:r>
      <w:r w:rsidR="002A5750">
        <w:t> </w:t>
      </w:r>
      <w:r>
        <w:t xml:space="preserve">przypadkach pozyskiwania za pomocą środków tajnego nadzoru materiałów objętych prawniczą tajemnicą zawodową, w </w:t>
      </w:r>
      <w:r w:rsidR="000E2074">
        <w:t xml:space="preserve">przepisach </w:t>
      </w:r>
      <w:r>
        <w:t xml:space="preserve">należy określić następujące minimalne </w:t>
      </w:r>
      <w:r w:rsidR="00100DEA">
        <w:t>gwarancje</w:t>
      </w:r>
      <w:r w:rsidR="003502A8">
        <w:t>: po</w:t>
      </w:r>
      <w:r w:rsidR="00793179">
        <w:t> </w:t>
      </w:r>
      <w:r w:rsidR="003502A8">
        <w:t>pierwsze</w:t>
      </w:r>
      <w:r w:rsidR="00D35CA1">
        <w:t>,</w:t>
      </w:r>
      <w:r>
        <w:t xml:space="preserve"> </w:t>
      </w:r>
      <w:r w:rsidR="000E2074">
        <w:t xml:space="preserve">w </w:t>
      </w:r>
      <w:r>
        <w:t>ustaw</w:t>
      </w:r>
      <w:r w:rsidR="000E2074">
        <w:t>ie</w:t>
      </w:r>
      <w:r>
        <w:t xml:space="preserve"> </w:t>
      </w:r>
      <w:r w:rsidR="000E2074">
        <w:t>należy s</w:t>
      </w:r>
      <w:r>
        <w:t>precyzować zakres prawniczej tajemnicy zawodowej oraz wskazać, w jaki sposób, na jakich warunkach i kto miałby dokonywać rozróżnienia materiału objętego prawniczą tajemnicą zawodową od materiału nieobjętego taką tajemnicą. Zważywszy na to, że poufne stosunki między prawnikiem a jego klientami należą do szczególnie wrażliwego obszaru bezpośrednio związanego z pr</w:t>
      </w:r>
      <w:r w:rsidR="00B7064E">
        <w:t>awem do</w:t>
      </w:r>
      <w:r w:rsidR="00793179">
        <w:t> </w:t>
      </w:r>
      <w:r w:rsidR="00B7064E">
        <w:t>obrony, niedopuszczalne</w:t>
      </w:r>
      <w:r>
        <w:t xml:space="preserve"> byłoby powierzenie takiego zadania organom wykonawczym</w:t>
      </w:r>
      <w:r w:rsidR="005C70BA">
        <w:t xml:space="preserve"> </w:t>
      </w:r>
      <w:r w:rsidR="00793179">
        <w:t>–</w:t>
      </w:r>
      <w:r>
        <w:t xml:space="preserve"> bez nadzoru ze strony n</w:t>
      </w:r>
      <w:r w:rsidR="003502A8">
        <w:t>iezawisłego sędziego; po drugie</w:t>
      </w:r>
      <w:r w:rsidR="00D35CA1">
        <w:t>,</w:t>
      </w:r>
      <w:r>
        <w:t xml:space="preserve"> przepisy prawa dotyczące </w:t>
      </w:r>
      <w:r w:rsidR="000E2074">
        <w:t>analizowania</w:t>
      </w:r>
      <w:r>
        <w:t>, wykorzystywania i prze</w:t>
      </w:r>
      <w:r w:rsidR="005C70BA">
        <w:t>chowywania uzyskanego materiału,</w:t>
      </w:r>
      <w:r>
        <w:t xml:space="preserve"> wymagane środki ostrożności przy </w:t>
      </w:r>
      <w:r w:rsidR="000E2074">
        <w:t xml:space="preserve">udostępnianiu </w:t>
      </w:r>
      <w:r w:rsidR="005C70BA">
        <w:t>materiału innym podmiotom,</w:t>
      </w:r>
      <w:r>
        <w:t xml:space="preserve"> jak również okoliczności, w </w:t>
      </w:r>
      <w:r w:rsidR="005C70BA">
        <w:t>których</w:t>
      </w:r>
      <w:r>
        <w:t xml:space="preserve"> </w:t>
      </w:r>
      <w:r w:rsidR="005C70BA">
        <w:t>zachodzi dopuszczalność bądź konieczność</w:t>
      </w:r>
      <w:r>
        <w:t xml:space="preserve"> </w:t>
      </w:r>
      <w:r w:rsidR="000E2074">
        <w:t xml:space="preserve">usunięcia </w:t>
      </w:r>
      <w:r w:rsidR="005C70BA">
        <w:t>nagrań lub zniszczenia</w:t>
      </w:r>
      <w:r>
        <w:t xml:space="preserve"> materiał</w:t>
      </w:r>
      <w:r w:rsidR="005C70BA">
        <w:t>u</w:t>
      </w:r>
      <w:r w:rsidR="003502A8">
        <w:t xml:space="preserve"> muszą przewidywać</w:t>
      </w:r>
      <w:r>
        <w:t xml:space="preserve"> dostateczne </w:t>
      </w:r>
      <w:r w:rsidR="00100DEA">
        <w:t>gwarancje</w:t>
      </w:r>
      <w:r>
        <w:t xml:space="preserve"> w celu </w:t>
      </w:r>
      <w:r w:rsidR="00100DEA">
        <w:t>ochrony</w:t>
      </w:r>
      <w:r>
        <w:t xml:space="preserve"> materiału objętego prawniczą tajemnicą zawodową pozys</w:t>
      </w:r>
      <w:r w:rsidR="003502A8">
        <w:t>kanego w drodze tajnej inwigilacji</w:t>
      </w:r>
      <w:r>
        <w:t xml:space="preserve"> W</w:t>
      </w:r>
      <w:r w:rsidR="000E2074">
        <w:t> </w:t>
      </w:r>
      <w:r>
        <w:t>szczególności prawo krajowe powinno dostatecznie jasno i szczegółowo określać: procedury zgłaszania</w:t>
      </w:r>
      <w:r w:rsidR="005C70BA">
        <w:t xml:space="preserve"> do weryfikacji</w:t>
      </w:r>
      <w:r>
        <w:t xml:space="preserve"> organom niezależnego nadzoru przypadków, w k</w:t>
      </w:r>
      <w:r w:rsidR="005C70BA">
        <w:t>tórych materiał objęty prawniczą</w:t>
      </w:r>
      <w:r>
        <w:t xml:space="preserve"> </w:t>
      </w:r>
      <w:r w:rsidR="005C70BA">
        <w:t>tajemnicą</w:t>
      </w:r>
      <w:r>
        <w:t xml:space="preserve"> zawodową został pozyskany w wyniku </w:t>
      </w:r>
      <w:r w:rsidR="0002456E">
        <w:t>tajnej inwigilacji,</w:t>
      </w:r>
      <w:r>
        <w:t xml:space="preserve"> procedury bezpieczne</w:t>
      </w:r>
      <w:r w:rsidR="0002456E">
        <w:t>go niszczenia takiego materiału,</w:t>
      </w:r>
      <w:r>
        <w:t xml:space="preserve"> warunki dopuszczalności jego zachowania i wykorzystania w postępowaniu karnym oraz w czynnościach organów ś</w:t>
      </w:r>
      <w:r w:rsidR="005C70BA">
        <w:t>cigania</w:t>
      </w:r>
      <w:r w:rsidR="000E2074">
        <w:t>,</w:t>
      </w:r>
      <w:r w:rsidR="005C70BA">
        <w:t xml:space="preserve"> a </w:t>
      </w:r>
      <w:r w:rsidR="005C70BA" w:rsidRPr="00100DEA">
        <w:t>także powiązane</w:t>
      </w:r>
      <w:r w:rsidRPr="00100DEA">
        <w:t xml:space="preserve"> procedury bezpiecznego przechowywania, </w:t>
      </w:r>
      <w:r w:rsidR="000E2074" w:rsidRPr="00100DEA">
        <w:t xml:space="preserve">udostępniania </w:t>
      </w:r>
      <w:r w:rsidRPr="00100DEA">
        <w:t xml:space="preserve">oraz niszczenia takiego materiału, </w:t>
      </w:r>
      <w:r w:rsidR="00100DEA" w:rsidRPr="00100DEA">
        <w:t>gdy tylko</w:t>
      </w:r>
      <w:r w:rsidRPr="00100DEA">
        <w:t xml:space="preserve"> nie będzie dłużej potrzebny do celów objętych </w:t>
      </w:r>
      <w:r w:rsidR="00FC6207" w:rsidRPr="00100DEA">
        <w:t>zgodą</w:t>
      </w:r>
      <w:r w:rsidRPr="00100DEA">
        <w:t>.</w:t>
      </w:r>
    </w:p>
    <w:p w14:paraId="04DB16AC" w14:textId="42F95AAA" w:rsidR="001A3EA5" w:rsidRDefault="00235B26">
      <w:pPr>
        <w:pStyle w:val="ClinContent"/>
      </w:pPr>
      <w:r w:rsidRPr="004D3EF5">
        <w:t>Prawo rosyjskie przewiduje ochronę prawniczej tajemnicy zawodowej rozumianej jako</w:t>
      </w:r>
      <w:r>
        <w:t xml:space="preserve"> obejmuj</w:t>
      </w:r>
      <w:r w:rsidRPr="00100DEA">
        <w:t>ąca</w:t>
      </w:r>
      <w:r>
        <w:t xml:space="preserve"> wszelkie informacje dotyczące </w:t>
      </w:r>
      <w:r w:rsidR="000E2074">
        <w:t>zastępstwa procesowego</w:t>
      </w:r>
      <w:r w:rsidR="004D3EF5">
        <w:t xml:space="preserve"> klienta przez adwokata</w:t>
      </w:r>
      <w:r>
        <w:t xml:space="preserve">. Nie </w:t>
      </w:r>
      <w:r w:rsidR="000E2074">
        <w:t xml:space="preserve">przewiduje ono </w:t>
      </w:r>
      <w:r>
        <w:t xml:space="preserve">jednak żadnych konkretnych </w:t>
      </w:r>
      <w:r w:rsidR="00100DEA">
        <w:t>gwarancji</w:t>
      </w:r>
      <w:r>
        <w:t xml:space="preserve"> mających zastosowanie w przypadkach przechwytywania komunikacji z prawnikiem; prawnicy </w:t>
      </w:r>
      <w:r w:rsidR="005C70BA">
        <w:t>są objęci</w:t>
      </w:r>
      <w:r>
        <w:t xml:space="preserve"> tym</w:t>
      </w:r>
      <w:r w:rsidR="005C70BA">
        <w:t>i</w:t>
      </w:r>
      <w:r>
        <w:t xml:space="preserve"> samym</w:t>
      </w:r>
      <w:r w:rsidR="005C70BA">
        <w:t>i</w:t>
      </w:r>
      <w:r>
        <w:t xml:space="preserve"> przepis</w:t>
      </w:r>
      <w:r w:rsidR="005C70BA">
        <w:t>ami</w:t>
      </w:r>
      <w:r>
        <w:t xml:space="preserve"> dotyczącym</w:t>
      </w:r>
      <w:r w:rsidR="005C70BA">
        <w:t>i</w:t>
      </w:r>
      <w:r>
        <w:t xml:space="preserve"> przechwytywania komunikacji, co wszyscy. W sprawie </w:t>
      </w:r>
      <w:r>
        <w:rPr>
          <w:i/>
        </w:rPr>
        <w:t xml:space="preserve">Roman </w:t>
      </w:r>
      <w:proofErr w:type="spellStart"/>
      <w:r>
        <w:rPr>
          <w:i/>
        </w:rPr>
        <w:t>Zakharov</w:t>
      </w:r>
      <w:proofErr w:type="spellEnd"/>
      <w:r w:rsidR="005C70BA">
        <w:t xml:space="preserve"> Trybunał uznał, że owe</w:t>
      </w:r>
      <w:r>
        <w:t xml:space="preserve"> przepisy prawa nie przewidują adekwatnych i skutecznych gwarancji przeciwko arbitralnej ingerencji </w:t>
      </w:r>
      <w:r w:rsidR="004D3EF5">
        <w:t>i ryzyku</w:t>
      </w:r>
      <w:r w:rsidR="00FC6207">
        <w:t xml:space="preserve"> </w:t>
      </w:r>
      <w:r>
        <w:t>wystąpienia nadużyć</w:t>
      </w:r>
      <w:r w:rsidR="004D3EF5">
        <w:t>, a zatem</w:t>
      </w:r>
      <w:r w:rsidR="00DF6873">
        <w:t xml:space="preserve"> </w:t>
      </w:r>
      <w:r>
        <w:t>nie są w</w:t>
      </w:r>
      <w:r w:rsidR="00DF6873">
        <w:t> </w:t>
      </w:r>
      <w:r>
        <w:t>stanie utrzymać „ingerencji” w granicach tego, co</w:t>
      </w:r>
      <w:r w:rsidR="00793179">
        <w:t> </w:t>
      </w:r>
      <w:r>
        <w:t xml:space="preserve">„koniecznie w demokratycznym społeczeństwie”. Co najistotniejsze w przedmiotowej sprawie prawo krajowe nie przewiduje żadnych mających zastosowanie </w:t>
      </w:r>
      <w:r w:rsidR="00100DEA">
        <w:t xml:space="preserve">gwarancji </w:t>
      </w:r>
      <w:r>
        <w:t xml:space="preserve">ani żadnych procedur, których należy </w:t>
      </w:r>
      <w:r w:rsidR="00DF6873">
        <w:t xml:space="preserve">przestrzegać </w:t>
      </w:r>
      <w:r>
        <w:t>w przypadkach</w:t>
      </w:r>
      <w:r w:rsidR="004D3EF5">
        <w:t>,</w:t>
      </w:r>
      <w:r>
        <w:t xml:space="preserve"> gdy po założeniu podsłuchu w telefonie podejrzanego organy przypadkowo przechwycą rozmowy podejrzanego z </w:t>
      </w:r>
      <w:r w:rsidR="00DF6873">
        <w:t>obrońcą</w:t>
      </w:r>
      <w:r>
        <w:t>.</w:t>
      </w:r>
    </w:p>
    <w:p w14:paraId="64017257" w14:textId="77777777" w:rsidR="001A3EA5" w:rsidRDefault="00235B26">
      <w:pPr>
        <w:pStyle w:val="ClinContent"/>
      </w:pPr>
      <w:r>
        <w:rPr>
          <w:i/>
        </w:rPr>
        <w:t>Rozstrzygnięcie</w:t>
      </w:r>
      <w:r>
        <w:t>: naruszenie (sześcioma głosami do jednego).</w:t>
      </w:r>
    </w:p>
    <w:p w14:paraId="268C53BE" w14:textId="7A81DCED" w:rsidR="001A3EA5" w:rsidRDefault="00235B26">
      <w:pPr>
        <w:pStyle w:val="ClinContent"/>
      </w:pPr>
      <w:r>
        <w:t xml:space="preserve">Ponadto Trybunał jednomyślnie stwierdził naruszenie art. 3 w związku z </w:t>
      </w:r>
      <w:r w:rsidR="004D3EF5">
        <w:t xml:space="preserve">warunkami </w:t>
      </w:r>
      <w:r>
        <w:t xml:space="preserve">tymczasowego aresztowania skarżącego oraz </w:t>
      </w:r>
      <w:r w:rsidR="005C70BA">
        <w:t>okolicznościami</w:t>
      </w:r>
      <w:r>
        <w:t xml:space="preserve"> transportu między aresztami śledczymi, a także - sześcioma głosami do jednego - naruszenie art. 5 ust. 3, uznając, że </w:t>
      </w:r>
      <w:r w:rsidR="00DF6873">
        <w:t xml:space="preserve">tymczasowe </w:t>
      </w:r>
      <w:r>
        <w:t>aresztowanie skarżącego było pozbawione dostatecznych podstaw. Wreszcie Trybunał jednomyślnie stwierdził, że nie doszło do naruszenia art. 6 ust. 1 i ust. 3 lit</w:t>
      </w:r>
      <w:r w:rsidR="00DF6873">
        <w:t>.</w:t>
      </w:r>
      <w:r>
        <w:t xml:space="preserve"> c, jako że usunięcie wybranego przez skarżącego </w:t>
      </w:r>
      <w:r w:rsidR="00DF6873">
        <w:t xml:space="preserve">obrońcy </w:t>
      </w:r>
      <w:r>
        <w:t>nie</w:t>
      </w:r>
      <w:r w:rsidR="00793179">
        <w:t> </w:t>
      </w:r>
      <w:r w:rsidR="00DF6873">
        <w:t xml:space="preserve">skutkowało nieodwracalnym </w:t>
      </w:r>
      <w:r>
        <w:t>naruszeni</w:t>
      </w:r>
      <w:r w:rsidR="00DF6873">
        <w:t>em</w:t>
      </w:r>
      <w:r>
        <w:t xml:space="preserve"> prawa </w:t>
      </w:r>
      <w:r w:rsidR="00DF6873">
        <w:t xml:space="preserve">skarżącego </w:t>
      </w:r>
      <w:r>
        <w:t xml:space="preserve">do obrony ani nie wpłynęło na </w:t>
      </w:r>
      <w:r w:rsidR="00DF6873">
        <w:t xml:space="preserve">rzetelność </w:t>
      </w:r>
      <w:r>
        <w:t>postępowania</w:t>
      </w:r>
      <w:r w:rsidR="004D3EF5">
        <w:t xml:space="preserve"> ocenianego jako całość</w:t>
      </w:r>
      <w:r>
        <w:t xml:space="preserve">. </w:t>
      </w:r>
    </w:p>
    <w:p w14:paraId="70755538" w14:textId="1EEC461E" w:rsidR="001A3EA5" w:rsidRDefault="00DF6873">
      <w:pPr>
        <w:pStyle w:val="ClinContent"/>
      </w:pPr>
      <w:r>
        <w:t>Art.</w:t>
      </w:r>
      <w:r w:rsidR="00235B26">
        <w:t xml:space="preserve"> 41: </w:t>
      </w:r>
      <w:r>
        <w:t xml:space="preserve">zasądzenie kwoty </w:t>
      </w:r>
      <w:r w:rsidR="00235B26">
        <w:t xml:space="preserve">14 000 EUR </w:t>
      </w:r>
      <w:r>
        <w:t xml:space="preserve">tytułem </w:t>
      </w:r>
      <w:r w:rsidR="004D3EF5">
        <w:t xml:space="preserve">słusznego </w:t>
      </w:r>
      <w:r>
        <w:t>zadośćuczynienia za</w:t>
      </w:r>
      <w:r w:rsidR="00235B26">
        <w:t xml:space="preserve"> szkod</w:t>
      </w:r>
      <w:r>
        <w:t>ę</w:t>
      </w:r>
      <w:r w:rsidR="00235B26">
        <w:t xml:space="preserve"> niemajątkow</w:t>
      </w:r>
      <w:r>
        <w:t>ą</w:t>
      </w:r>
      <w:r w:rsidR="00235B26">
        <w:t>.</w:t>
      </w:r>
    </w:p>
    <w:p w14:paraId="60534432" w14:textId="3AB9F07B" w:rsidR="001A3EA5" w:rsidRDefault="00235B26">
      <w:pPr>
        <w:pStyle w:val="ClinContent"/>
      </w:pPr>
      <w:r>
        <w:lastRenderedPageBreak/>
        <w:t>(</w:t>
      </w:r>
      <w:r w:rsidR="00DF6873">
        <w:t xml:space="preserve">Zob. </w:t>
      </w:r>
      <w:r>
        <w:rPr>
          <w:i/>
        </w:rPr>
        <w:t xml:space="preserve">Roman </w:t>
      </w:r>
      <w:proofErr w:type="spellStart"/>
      <w:r>
        <w:rPr>
          <w:i/>
        </w:rPr>
        <w:t>Zakharov</w:t>
      </w:r>
      <w:proofErr w:type="spellEnd"/>
      <w:r>
        <w:rPr>
          <w:i/>
        </w:rPr>
        <w:t xml:space="preserve"> p.  Rosji</w:t>
      </w:r>
      <w:r>
        <w:t xml:space="preserve"> [WI], skarga nr 47143/06, 4 grudnia 2015 r., </w:t>
      </w:r>
      <w:hyperlink r:id="rId7" w:history="1">
        <w:r>
          <w:rPr>
            <w:rStyle w:val="Hipercze"/>
          </w:rPr>
          <w:t>Nota informacyjna nt. orzecznictwa nr 191</w:t>
        </w:r>
      </w:hyperlink>
      <w:r w:rsidR="004D3EF5">
        <w:rPr>
          <w:rStyle w:val="Odwoanieprzypisudolnego"/>
          <w:color w:val="0069D6"/>
          <w:u w:val="single"/>
        </w:rPr>
        <w:footnoteReference w:id="2"/>
      </w:r>
      <w:r>
        <w:t xml:space="preserve">; zob. też Zestawienie - </w:t>
      </w:r>
      <w:hyperlink r:id="rId8" w:history="1">
        <w:r>
          <w:rPr>
            <w:rStyle w:val="Hipercze"/>
          </w:rPr>
          <w:t xml:space="preserve">Mass </w:t>
        </w:r>
        <w:proofErr w:type="spellStart"/>
        <w:r>
          <w:rPr>
            <w:rStyle w:val="Hipercze"/>
          </w:rPr>
          <w:t>surveillance</w:t>
        </w:r>
        <w:proofErr w:type="spellEnd"/>
      </w:hyperlink>
      <w:r>
        <w:t xml:space="preserve"> (masowa inwigilacja))</w:t>
      </w:r>
    </w:p>
    <w:p w14:paraId="756C1FEE" w14:textId="77777777" w:rsidR="001A3EA5" w:rsidRDefault="001A3EA5">
      <w:pPr>
        <w:pStyle w:val="ClinContent"/>
      </w:pPr>
    </w:p>
    <w:p w14:paraId="5011F1A2" w14:textId="77777777" w:rsidR="001A3EA5" w:rsidRDefault="001A3EA5">
      <w:pPr>
        <w:pBdr>
          <w:bottom w:val="single" w:sz="8" w:space="1" w:color="auto"/>
        </w:pBdr>
      </w:pPr>
    </w:p>
    <w:p w14:paraId="5B6FBD93" w14:textId="370A0429" w:rsidR="001A3EA5" w:rsidRDefault="00235B26">
      <w:pPr>
        <w:pStyle w:val="ClinFooter"/>
      </w:pPr>
      <w:r>
        <w:t xml:space="preserve">© </w:t>
      </w:r>
      <w:proofErr w:type="spellStart"/>
      <w:r>
        <w:t>Council</w:t>
      </w:r>
      <w:proofErr w:type="spellEnd"/>
      <w:r>
        <w:t xml:space="preserve"> of Europe/</w:t>
      </w:r>
      <w:proofErr w:type="spellStart"/>
      <w:r>
        <w:t>European</w:t>
      </w:r>
      <w:proofErr w:type="spellEnd"/>
      <w:r>
        <w:t xml:space="preserve"> Court of Human </w:t>
      </w:r>
      <w:proofErr w:type="spellStart"/>
      <w:r>
        <w:t>Rights</w:t>
      </w:r>
      <w:proofErr w:type="spellEnd"/>
      <w:r>
        <w:br/>
        <w:t xml:space="preserve">Niniejsze streszczenie </w:t>
      </w:r>
      <w:r w:rsidR="00DF6873">
        <w:t xml:space="preserve">sporządzone </w:t>
      </w:r>
      <w:r>
        <w:t xml:space="preserve">przez </w:t>
      </w:r>
      <w:r w:rsidR="00DF6873">
        <w:t>k</w:t>
      </w:r>
      <w:r>
        <w:t>ancelarię nie wiąże Trybunału.</w:t>
      </w:r>
    </w:p>
    <w:p w14:paraId="68C8958E" w14:textId="77777777" w:rsidR="001A3EA5" w:rsidRDefault="00235B26">
      <w:pPr>
        <w:pStyle w:val="ClinFooter"/>
      </w:pPr>
      <w:r>
        <w:t xml:space="preserve">Link do </w:t>
      </w:r>
      <w:hyperlink r:id="rId9" w:history="1">
        <w:r>
          <w:rPr>
            <w:rStyle w:val="Hipercze"/>
          </w:rPr>
          <w:t>Not informacyjnych nt. orzecznictwa</w:t>
        </w:r>
      </w:hyperlink>
    </w:p>
    <w:sectPr w:rsidR="001A3EA5" w:rsidSect="004A5B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C3E304" w14:textId="77777777" w:rsidR="008F4CC2" w:rsidRDefault="008F4CC2" w:rsidP="00C63262">
      <w:r>
        <w:separator/>
      </w:r>
    </w:p>
  </w:endnote>
  <w:endnote w:type="continuationSeparator" w:id="0">
    <w:p w14:paraId="2F54D4BE" w14:textId="77777777" w:rsidR="008F4CC2" w:rsidRDefault="008F4CC2" w:rsidP="00C63262">
      <w:r>
        <w:continuationSeparator/>
      </w:r>
    </w:p>
  </w:endnote>
  <w:endnote w:type="continuationNotice" w:id="1">
    <w:p w14:paraId="10057EC6" w14:textId="77777777" w:rsidR="008F4CC2" w:rsidRDefault="008F4C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F42C64" w14:textId="77777777" w:rsidR="00D00960" w:rsidRDefault="00D009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C310F" w14:textId="77777777" w:rsidR="00E4079F" w:rsidRDefault="00E407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3BB739" w14:textId="77777777" w:rsidR="0071773F" w:rsidRPr="0071773F" w:rsidRDefault="0071773F" w:rsidP="0071773F"/>
  <w:p w14:paraId="61F0F7F9" w14:textId="77777777" w:rsidR="0071773F" w:rsidRDefault="0071773F" w:rsidP="0071773F">
    <w:pPr>
      <w:pStyle w:val="ECHRFooter"/>
    </w:pPr>
    <w:r>
      <w:tab/>
    </w:r>
    <w:r>
      <w:rPr>
        <w:noProof/>
        <w:lang w:eastAsia="pl-PL"/>
      </w:rPr>
      <w:drawing>
        <wp:inline distT="0" distB="0" distL="0" distR="0" wp14:anchorId="0B2D5728" wp14:editId="65755F36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E6AC5F" w14:textId="77777777" w:rsidR="008F4CC2" w:rsidRDefault="008F4CC2" w:rsidP="00C63262">
      <w:r>
        <w:separator/>
      </w:r>
    </w:p>
  </w:footnote>
  <w:footnote w:type="continuationSeparator" w:id="0">
    <w:p w14:paraId="5A0D6BEA" w14:textId="77777777" w:rsidR="008F4CC2" w:rsidRDefault="008F4CC2" w:rsidP="00C63262">
      <w:r>
        <w:continuationSeparator/>
      </w:r>
    </w:p>
  </w:footnote>
  <w:footnote w:type="continuationNotice" w:id="1">
    <w:p w14:paraId="09BF7CAC" w14:textId="77777777" w:rsidR="008F4CC2" w:rsidRDefault="008F4CC2"/>
  </w:footnote>
  <w:footnote w:id="2">
    <w:p w14:paraId="50AD342C" w14:textId="64216EFA" w:rsidR="004D3EF5" w:rsidRDefault="004D3EF5">
      <w:pPr>
        <w:pStyle w:val="Tekstprzypisudolnego"/>
      </w:pPr>
      <w:r w:rsidRPr="00100DEA">
        <w:rPr>
          <w:rStyle w:val="Odwoanieprzypisudolnego"/>
        </w:rPr>
        <w:footnoteRef/>
      </w:r>
      <w:r w:rsidRPr="00100DEA">
        <w:t xml:space="preserve"> </w:t>
      </w:r>
      <w:r w:rsidR="00100DEA" w:rsidRPr="00100DEA">
        <w:t xml:space="preserve">Tłumaczenie wyroku na język polski jest dostępne na stronie: </w:t>
      </w:r>
      <w:hyperlink r:id="rId1" w:history="1">
        <w:r w:rsidR="00100DEA" w:rsidRPr="00100DEA">
          <w:rPr>
            <w:rStyle w:val="Hipercze"/>
          </w:rPr>
          <w:t>http://hudoc.echr.coe.int/eng?i=001-175341</w:t>
        </w:r>
      </w:hyperlink>
      <w:r w:rsidR="00100DEA" w:rsidRPr="00100DEA">
        <w:t xml:space="preserve">  [przyp. tłum.]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31BEB" w14:textId="77777777" w:rsidR="00D00960" w:rsidRDefault="00D009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29312215"/>
      <w:docPartObj>
        <w:docPartGallery w:val="Page Numbers (Top of Page)"/>
        <w:docPartUnique/>
      </w:docPartObj>
    </w:sdtPr>
    <w:sdtEndPr/>
    <w:sdtContent>
      <w:p w14:paraId="210394A4" w14:textId="77777777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 w:rsidR="00122D71">
          <w:fldChar w:fldCharType="begin"/>
        </w:r>
        <w:r w:rsidRPr="00F921AB">
          <w:instrText xml:space="preserve"> PAGE </w:instrText>
        </w:r>
        <w:r w:rsidR="00122D71">
          <w:fldChar w:fldCharType="separate"/>
        </w:r>
        <w:r w:rsidR="00793179">
          <w:rPr>
            <w:noProof/>
          </w:rPr>
          <w:t>3</w:t>
        </w:r>
        <w:r w:rsidR="00122D71"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565CD2" w14:textId="77777777" w:rsidR="0071773F" w:rsidRDefault="004A5B52" w:rsidP="004A5B52">
    <w:pPr>
      <w:pStyle w:val="Nagwek"/>
    </w:pPr>
    <w:r>
      <w:tab/>
    </w:r>
    <w:r>
      <w:rPr>
        <w:noProof/>
        <w:lang w:eastAsia="pl-PL"/>
      </w:rPr>
      <w:drawing>
        <wp:inline distT="0" distB="0" distL="0" distR="0" wp14:anchorId="72191B82" wp14:editId="48414628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LI0MDQ1MQKyLMwNTZV0lIJTi4sz8/NACgxrAT25dmssAAAA"/>
  </w:docVars>
  <w:rsids>
    <w:rsidRoot w:val="009E3EF0"/>
    <w:rsid w:val="0002456E"/>
    <w:rsid w:val="00037CCC"/>
    <w:rsid w:val="00097888"/>
    <w:rsid w:val="000D1C8D"/>
    <w:rsid w:val="000E2074"/>
    <w:rsid w:val="000F13B5"/>
    <w:rsid w:val="00100DEA"/>
    <w:rsid w:val="00107377"/>
    <w:rsid w:val="00122D71"/>
    <w:rsid w:val="00143602"/>
    <w:rsid w:val="001708B1"/>
    <w:rsid w:val="001769E4"/>
    <w:rsid w:val="00186560"/>
    <w:rsid w:val="001A3EA5"/>
    <w:rsid w:val="00212E83"/>
    <w:rsid w:val="00235B26"/>
    <w:rsid w:val="002966E7"/>
    <w:rsid w:val="002A243E"/>
    <w:rsid w:val="002A5750"/>
    <w:rsid w:val="002E088D"/>
    <w:rsid w:val="0030264F"/>
    <w:rsid w:val="00312498"/>
    <w:rsid w:val="003450B3"/>
    <w:rsid w:val="003502A8"/>
    <w:rsid w:val="00386958"/>
    <w:rsid w:val="003A64A6"/>
    <w:rsid w:val="003D7BB3"/>
    <w:rsid w:val="004442A2"/>
    <w:rsid w:val="0046453F"/>
    <w:rsid w:val="00481784"/>
    <w:rsid w:val="004A5B52"/>
    <w:rsid w:val="004D3EF5"/>
    <w:rsid w:val="004D568D"/>
    <w:rsid w:val="004E1037"/>
    <w:rsid w:val="004F45A7"/>
    <w:rsid w:val="00516FC6"/>
    <w:rsid w:val="0052092D"/>
    <w:rsid w:val="00540D75"/>
    <w:rsid w:val="005514E5"/>
    <w:rsid w:val="005C70BA"/>
    <w:rsid w:val="006028A1"/>
    <w:rsid w:val="0061265A"/>
    <w:rsid w:val="00631A28"/>
    <w:rsid w:val="006A36AD"/>
    <w:rsid w:val="006C1D96"/>
    <w:rsid w:val="0071773F"/>
    <w:rsid w:val="00774515"/>
    <w:rsid w:val="00793179"/>
    <w:rsid w:val="007C27B3"/>
    <w:rsid w:val="00895EF3"/>
    <w:rsid w:val="008C64D5"/>
    <w:rsid w:val="008F4CC2"/>
    <w:rsid w:val="00903D38"/>
    <w:rsid w:val="00935DEC"/>
    <w:rsid w:val="009602D5"/>
    <w:rsid w:val="009B3B2C"/>
    <w:rsid w:val="009E3EF0"/>
    <w:rsid w:val="00A01052"/>
    <w:rsid w:val="00A04D9C"/>
    <w:rsid w:val="00A258BB"/>
    <w:rsid w:val="00A31090"/>
    <w:rsid w:val="00A33541"/>
    <w:rsid w:val="00A45616"/>
    <w:rsid w:val="00AC7726"/>
    <w:rsid w:val="00B205B9"/>
    <w:rsid w:val="00B35380"/>
    <w:rsid w:val="00B7064E"/>
    <w:rsid w:val="00B80CA0"/>
    <w:rsid w:val="00B815EE"/>
    <w:rsid w:val="00B85770"/>
    <w:rsid w:val="00BF1CD9"/>
    <w:rsid w:val="00BF7A74"/>
    <w:rsid w:val="00C04387"/>
    <w:rsid w:val="00C37433"/>
    <w:rsid w:val="00C63262"/>
    <w:rsid w:val="00C72355"/>
    <w:rsid w:val="00C93CFB"/>
    <w:rsid w:val="00CF7BA6"/>
    <w:rsid w:val="00D00960"/>
    <w:rsid w:val="00D31007"/>
    <w:rsid w:val="00D35CA1"/>
    <w:rsid w:val="00D42086"/>
    <w:rsid w:val="00D425B3"/>
    <w:rsid w:val="00DF6873"/>
    <w:rsid w:val="00E4079F"/>
    <w:rsid w:val="00E55491"/>
    <w:rsid w:val="00E83DB6"/>
    <w:rsid w:val="00EA53E7"/>
    <w:rsid w:val="00F508C9"/>
    <w:rsid w:val="00F50CCD"/>
    <w:rsid w:val="00F5247C"/>
    <w:rsid w:val="00FA29ED"/>
    <w:rsid w:val="00FB6140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19592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pl-PL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22D71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22D71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22D71"/>
    <w:rPr>
      <w:rFonts w:ascii="Verdana" w:hAnsi="Verdana"/>
    </w:rPr>
  </w:style>
  <w:style w:type="character" w:styleId="Odwoaniedokomentarza">
    <w:name w:val="annotation reference"/>
    <w:basedOn w:val="Domylnaczcionkaakapitu"/>
    <w:semiHidden/>
    <w:unhideWhenUsed/>
    <w:rsid w:val="00B3538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35380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35380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353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35380"/>
    <w:rPr>
      <w:rFonts w:ascii="Verdana" w:hAnsi="Verdana"/>
      <w:b/>
      <w:bCs/>
    </w:rPr>
  </w:style>
  <w:style w:type="character" w:styleId="UyteHipercze">
    <w:name w:val="FollowedHyperlink"/>
    <w:basedOn w:val="Domylnaczcionkaakapitu"/>
    <w:semiHidden/>
    <w:unhideWhenUsed/>
    <w:rsid w:val="00100DEA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Documents/FS_Mass_surveillance_ENG.pdf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hudoc.echr.coe.int/eng?i=002-10793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chr.coe.int/NoteInformation/en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hudoc.echr.coe.int/eng?i=001-175341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08B1BE-5D26-4C33-88E5-493BE7C92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909</Words>
  <Characters>5459</Characters>
  <Application>Microsoft Office Word</Application>
  <DocSecurity>4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2019-11-29T08:39:00Z</dcterms:created>
  <dcterms:modified xsi:type="dcterms:W3CDTF">2019-11-29T08:39:00Z</dcterms:modified>
</cp:coreProperties>
</file>