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2D769" w14:textId="77777777" w:rsidR="005118E6" w:rsidRDefault="005118E6" w:rsidP="005118E6">
      <w:pPr>
        <w:pStyle w:val="ClinEditionNumber"/>
        <w:jc w:val="center"/>
      </w:pPr>
      <w:bookmarkStart w:id="0" w:name="_GoBack"/>
      <w:bookmarkEnd w:id="0"/>
      <w:r>
        <w:t>EUROPEJSKI TRYBUNAŁ PRAW CZŁOWIEKA</w:t>
      </w:r>
    </w:p>
    <w:p w14:paraId="5CE6C9B4" w14:textId="77777777" w:rsidR="008317F6" w:rsidRDefault="00D46C46">
      <w:pPr>
        <w:pStyle w:val="ClinEditionNumber"/>
      </w:pPr>
      <w:r>
        <w:t>Nota informacyjna nt. orzecznictwa Trybunału nr 206</w:t>
      </w:r>
    </w:p>
    <w:p w14:paraId="1CD4E7E4" w14:textId="77777777" w:rsidR="008317F6" w:rsidRDefault="00D46C46">
      <w:pPr>
        <w:pStyle w:val="ClinEditionMonth"/>
      </w:pPr>
      <w:r>
        <w:t>Kwiecień 2017 r.</w:t>
      </w:r>
    </w:p>
    <w:p w14:paraId="2ED0E614" w14:textId="343684F7" w:rsidR="008317F6" w:rsidRDefault="00D46C46">
      <w:r>
        <w:rPr>
          <w:rStyle w:val="ClinCaseTitle"/>
        </w:rPr>
        <w:t>Matanović przeciwko Chorwacji</w:t>
      </w:r>
      <w:r>
        <w:rPr>
          <w:rStyle w:val="ClinApplicationNumber"/>
        </w:rPr>
        <w:t xml:space="preserve"> </w:t>
      </w:r>
      <w:r w:rsidR="009520BD">
        <w:rPr>
          <w:rStyle w:val="ClinApplicationNumber"/>
        </w:rPr>
        <w:t>–</w:t>
      </w:r>
      <w:r>
        <w:rPr>
          <w:rStyle w:val="ClinApplicationNumber"/>
        </w:rPr>
        <w:t xml:space="preserve"> </w:t>
      </w:r>
      <w:r w:rsidR="009520BD">
        <w:rPr>
          <w:rStyle w:val="ClinApplicationNumber"/>
        </w:rPr>
        <w:t>skarga n</w:t>
      </w:r>
      <w:r w:rsidR="004378A5">
        <w:rPr>
          <w:rStyle w:val="ClinApplicationNumber"/>
        </w:rPr>
        <w:t>r</w:t>
      </w:r>
      <w:r w:rsidR="009520BD">
        <w:rPr>
          <w:rStyle w:val="ClinApplicationNumber"/>
        </w:rPr>
        <w:t xml:space="preserve"> </w:t>
      </w:r>
      <w:r>
        <w:rPr>
          <w:rStyle w:val="ClinApplicationNumber"/>
        </w:rPr>
        <w:t>2742/12</w:t>
      </w:r>
    </w:p>
    <w:p w14:paraId="1F175559" w14:textId="795BCDF7" w:rsidR="008317F6" w:rsidRDefault="00D46C46">
      <w:r>
        <w:rPr>
          <w:rStyle w:val="ClinHudocDocumentTitle"/>
        </w:rPr>
        <w:t>Wyrok z 04.04.2017 r.</w:t>
      </w:r>
      <w:r>
        <w:rPr>
          <w:rStyle w:val="ClinSectionName"/>
        </w:rPr>
        <w:t xml:space="preserve"> [</w:t>
      </w:r>
      <w:r w:rsidR="00100CC0">
        <w:rPr>
          <w:rStyle w:val="ClinSectionName"/>
        </w:rPr>
        <w:t>S</w:t>
      </w:r>
      <w:r>
        <w:rPr>
          <w:rStyle w:val="ClinSectionName"/>
        </w:rPr>
        <w:t xml:space="preserve">ekcja </w:t>
      </w:r>
      <w:r w:rsidR="00100CC0">
        <w:rPr>
          <w:rStyle w:val="ClinSectionName"/>
        </w:rPr>
        <w:t>D</w:t>
      </w:r>
      <w:r>
        <w:rPr>
          <w:rStyle w:val="ClinSectionName"/>
        </w:rPr>
        <w:t>ruga]</w:t>
      </w:r>
    </w:p>
    <w:p w14:paraId="5D320721" w14:textId="77777777" w:rsidR="008317F6" w:rsidRDefault="00D46C46">
      <w:pPr>
        <w:pStyle w:val="ClinMainKeywordCode"/>
      </w:pPr>
      <w:r>
        <w:t>Art. 6</w:t>
      </w:r>
    </w:p>
    <w:p w14:paraId="634867FC" w14:textId="77777777" w:rsidR="008317F6" w:rsidRDefault="00D46C46">
      <w:pPr>
        <w:pStyle w:val="ClinKeyword"/>
      </w:pPr>
      <w:r>
        <w:t>Postępowanie karne</w:t>
      </w:r>
    </w:p>
    <w:p w14:paraId="6BCA1712" w14:textId="77777777" w:rsidR="008317F6" w:rsidRDefault="00D46C46">
      <w:pPr>
        <w:pStyle w:val="ClinChildKeywordCode"/>
      </w:pPr>
      <w:r>
        <w:t>Art. 6 ust. 1</w:t>
      </w:r>
    </w:p>
    <w:p w14:paraId="42E3F64A" w14:textId="77777777" w:rsidR="008317F6" w:rsidRDefault="00D46C46">
      <w:pPr>
        <w:pStyle w:val="ClinKeyword"/>
      </w:pPr>
      <w:r>
        <w:t>Rzetelny proces</w:t>
      </w:r>
      <w:r w:rsidR="00DB44D4">
        <w:t xml:space="preserve"> sądowy</w:t>
      </w:r>
    </w:p>
    <w:p w14:paraId="3E6C4C53" w14:textId="1828B139" w:rsidR="008317F6" w:rsidRDefault="00D46C46" w:rsidP="005118E6">
      <w:pPr>
        <w:jc w:val="both"/>
      </w:pPr>
      <w:r>
        <w:rPr>
          <w:rStyle w:val="ClinHeadNote"/>
        </w:rPr>
        <w:t xml:space="preserve">Brak skutecznej procedury sądowej zmierzającej do </w:t>
      </w:r>
      <w:r w:rsidR="00C6638A">
        <w:rPr>
          <w:rStyle w:val="ClinHeadNote"/>
        </w:rPr>
        <w:t>ustalenia</w:t>
      </w:r>
      <w:r w:rsidR="000B1E7F">
        <w:rPr>
          <w:rStyle w:val="ClinHeadNote"/>
        </w:rPr>
        <w:t>,</w:t>
      </w:r>
      <w:r>
        <w:rPr>
          <w:rStyle w:val="ClinHeadNote"/>
        </w:rPr>
        <w:t xml:space="preserve"> czy materiał dowodowy, którym dysponuje oskarżenie, powi</w:t>
      </w:r>
      <w:r w:rsidR="00DB44D4">
        <w:rPr>
          <w:rStyle w:val="ClinHeadNote"/>
        </w:rPr>
        <w:t>nien</w:t>
      </w:r>
      <w:r>
        <w:rPr>
          <w:rStyle w:val="ClinHeadNote"/>
        </w:rPr>
        <w:t xml:space="preserve"> zostać ujawnion</w:t>
      </w:r>
      <w:r w:rsidR="00DB44D4">
        <w:rPr>
          <w:rStyle w:val="ClinHeadNote"/>
        </w:rPr>
        <w:t>y</w:t>
      </w:r>
      <w:r>
        <w:rPr>
          <w:rStyle w:val="ClinHeadNote"/>
        </w:rPr>
        <w:t xml:space="preserve"> obronie: </w:t>
      </w:r>
      <w:r>
        <w:rPr>
          <w:rStyle w:val="ClinConclusions"/>
        </w:rPr>
        <w:t>naruszenie</w:t>
      </w:r>
    </w:p>
    <w:p w14:paraId="5BB8E504" w14:textId="63C90DBD" w:rsidR="008317F6" w:rsidRDefault="00D46C46">
      <w:pPr>
        <w:pStyle w:val="ClinContent"/>
      </w:pPr>
      <w:r>
        <w:rPr>
          <w:i/>
          <w:iCs/>
        </w:rPr>
        <w:t>Fakty</w:t>
      </w:r>
      <w:r>
        <w:t xml:space="preserve"> – W toku postępowania przygotowawczego w sprawie przestępstwa korupcji podjęto szczególne </w:t>
      </w:r>
      <w:r w:rsidRPr="00A66268">
        <w:t>czynności operacyjno-rozpoznawcze</w:t>
      </w:r>
      <w:r w:rsidR="005118E6" w:rsidRPr="00A66268">
        <w:t xml:space="preserve"> wobec</w:t>
      </w:r>
      <w:r w:rsidR="005118E6">
        <w:t xml:space="preserve"> skarżącego, funkcjonariusza publicznego</w:t>
      </w:r>
      <w:r>
        <w:t>. Po przeprowadzeniu postępowania sądowego przy udziale kilku innych oskarżonych skarżącego uznano za winnego popełnienia różnych przestępstw i skazano na karę jedenastu lat pozbawienia wolności. Obciążające skarżącego dowody obejmowały nagrania rozmów</w:t>
      </w:r>
      <w:r w:rsidR="005118E6">
        <w:t xml:space="preserve"> dokonane</w:t>
      </w:r>
      <w:r>
        <w:t xml:space="preserve"> w ramach szczególnych czynności operacyjno-rozpoznawczych. W trakcie postępowania w sprawie o naruszenie Konwencji skarżący zarzucił między innymi, że odmówiono mu prawa do rzetelnego procesu</w:t>
      </w:r>
      <w:r w:rsidR="003E2703">
        <w:t xml:space="preserve"> sądowego</w:t>
      </w:r>
      <w:r>
        <w:t xml:space="preserve"> (art.</w:t>
      </w:r>
      <w:r w:rsidR="00C6638A">
        <w:t> </w:t>
      </w:r>
      <w:r>
        <w:t>6</w:t>
      </w:r>
      <w:r w:rsidR="00C6638A">
        <w:t> </w:t>
      </w:r>
      <w:r>
        <w:t>ust. 1 Konwencji), bowiem nie udzielono mu dostępu do</w:t>
      </w:r>
      <w:r w:rsidR="00555851">
        <w:t> </w:t>
      </w:r>
      <w:r>
        <w:t>oryginalnych nagrań, a</w:t>
      </w:r>
      <w:r w:rsidR="00DB44D4">
        <w:t> </w:t>
      </w:r>
      <w:r>
        <w:t>niektórych z nich w ogóle nie ujawniono na tej podstawie, że</w:t>
      </w:r>
      <w:r w:rsidR="00555851">
        <w:t> </w:t>
      </w:r>
      <w:r>
        <w:t>nie miały znaczenia dla sprawy skarżącego i dotyczyły życia prywatnego osób trzecich.</w:t>
      </w:r>
    </w:p>
    <w:p w14:paraId="5F36B4A0" w14:textId="77777777" w:rsidR="008317F6" w:rsidRDefault="00D46C46">
      <w:pPr>
        <w:pStyle w:val="ClinContent"/>
      </w:pPr>
      <w:r>
        <w:rPr>
          <w:i/>
          <w:iCs/>
        </w:rPr>
        <w:t>Prawo</w:t>
      </w:r>
      <w:r>
        <w:t xml:space="preserve"> – art. 6 ust. 1 (</w:t>
      </w:r>
      <w:r>
        <w:rPr>
          <w:i/>
          <w:iCs/>
        </w:rPr>
        <w:t>nieujawnianie i wykorzystywanie dowodów uzyskanych w wyniku zastosowania szczególnych środków dochodzeniowo-śledczych</w:t>
      </w:r>
      <w:r>
        <w:t>): Podniesione przez skarżącego zarzuty dotyczyły braku rzetelności procesu związanej z ograniczonym dostępem do trzech głównych kategorii dowodów uzyskanych w wyniku niejawnych czynności operacyjno-rozpoznawczych.</w:t>
      </w:r>
    </w:p>
    <w:p w14:paraId="50BC46B9" w14:textId="4186A96C" w:rsidR="008317F6" w:rsidRDefault="00D46C46">
      <w:pPr>
        <w:pStyle w:val="ClinContent"/>
      </w:pPr>
      <w:r>
        <w:t xml:space="preserve">Pierwsza kategoria dotyczyła nagrań wykonanych w ramach czynności operacyjno-rozpoznawczych, które przedłożono w materiale dowodowym i które stanowiły podstawę wydanego wobec skarżącego wyroku skazującego. Trybunał zauważył, że skarżący miał dostęp do transkrypcji nagrań zleconych przez sędziego śledczego i sąd pierwszej instancji i sporządzonych przez biegłego, którego niezależności i bezstronności w żadnym momencie nie zakwestionowano. Nagrania odtworzono na rozprawie, skarżący miał wystarczającą możliwość porównania transkrypcji z odtworzonym materiałem, a jego zastrzeżenia dotyczące rozbieżności między treścią transkrypcji a nagraniami zostały odpowiednio uwzględnione, zaś w celu wyjaśnienia tych rozbieżności zlecono sporządzenie kolejnych opinii biegłego. Skarżący skorzystał również z możliwości zakwestionowania wiarygodności materiału dowodowego, a sądy krajowe udzieliły </w:t>
      </w:r>
      <w:r>
        <w:lastRenderedPageBreak/>
        <w:t>wyczerpujących odpowiedzi na jego zastrzeżenia. Skarżący nigdy nie kwestionował</w:t>
      </w:r>
      <w:r w:rsidR="00DB44D4">
        <w:t xml:space="preserve"> tego</w:t>
      </w:r>
      <w:r>
        <w:t xml:space="preserve">, że nagrane rozmowy miały miejsce ani autentyczności przedmiotowych nagrań. Trybunał stwierdził zatem brak nierzetelności w związku z nagraniami </w:t>
      </w:r>
      <w:r w:rsidR="005118E6">
        <w:t>należącymi</w:t>
      </w:r>
      <w:r>
        <w:t xml:space="preserve"> do pierwszej kategorii.</w:t>
      </w:r>
    </w:p>
    <w:p w14:paraId="61F216EC" w14:textId="13C3AC9D" w:rsidR="008317F6" w:rsidRDefault="00D46C46">
      <w:pPr>
        <w:pStyle w:val="ClinContent"/>
      </w:pPr>
      <w:r>
        <w:t>Druga kategoria dotyczyła nagrań skarżącego i pozostałych oskarżonych, które nie</w:t>
      </w:r>
      <w:r w:rsidR="00555851">
        <w:t> </w:t>
      </w:r>
      <w:r>
        <w:t xml:space="preserve">stanowiły podstawy wydanego wobec skarżącego wyroku skazującego. W przypadku tej kategorii Trybunał zauważył, że pomimo uzyskania dostępu do wystarczająco szczegółowych sprawozdań z rozmów prowadzonych przez skarżącego z osobami trzecimi, na żadnym etapie postępowania przed sądem krajowym skarżący nie przedstawił żadnego konkretnego argumentu dotyczącego ewentualnego znaczenia tych dowodów. Trybunał nie był zatem w stanie przyjąć, że rzekomy brak dostępu do nagrań należących do tej kategorii sam w sobie uzasadnia stwierdzenie naruszenia prawa skarżącego do rzetelnego procesu. Niemniej jednak, oceniając ogólną rzetelność postępowania, Trybunał </w:t>
      </w:r>
      <w:r w:rsidR="00567571" w:rsidRPr="009637DF">
        <w:t xml:space="preserve">będzie </w:t>
      </w:r>
      <w:r w:rsidRPr="009637DF">
        <w:t>miał</w:t>
      </w:r>
      <w:r>
        <w:t xml:space="preserve"> na uwadze tego rodzaju ograniczenie prawa do</w:t>
      </w:r>
      <w:r w:rsidR="00555851">
        <w:t> </w:t>
      </w:r>
      <w:r>
        <w:t xml:space="preserve">obrony skarżącego. </w:t>
      </w:r>
    </w:p>
    <w:p w14:paraId="1F665545" w14:textId="1EDC34F4" w:rsidR="008317F6" w:rsidRDefault="00D46C46">
      <w:pPr>
        <w:pStyle w:val="ClinContent"/>
      </w:pPr>
      <w:r>
        <w:t>Trzecia kategoria dowodów obejmowała nagrania dotyczące innych osób, wobec których ostatecznie nie wszczęto postępowania karnego i które nie stanowiły podstawy wydanego wobec skarżącego wyroku skazującego. Skarżącemu odmówiono dostępu do</w:t>
      </w:r>
      <w:r w:rsidR="00555851">
        <w:t> </w:t>
      </w:r>
      <w:r>
        <w:t>jakichkolwiek informacji na tej podstawie, że nie przysługiwało mu prawo dostępu do</w:t>
      </w:r>
      <w:r w:rsidR="00555851">
        <w:t> </w:t>
      </w:r>
      <w:r>
        <w:t xml:space="preserve">nagrań, bowiem nie miały one znaczenia dla jego sprawy i dotyczyły życia prywatnego innych osób. </w:t>
      </w:r>
      <w:r w:rsidR="00567571">
        <w:t>Jednakże</w:t>
      </w:r>
      <w:r>
        <w:t xml:space="preserve"> nie wprowadzono żadnej procedury, która pozwoliłaby właściwemu sądowi ocenić, na podstawie </w:t>
      </w:r>
      <w:r w:rsidR="00DB44D4">
        <w:t>wniosku</w:t>
      </w:r>
      <w:r>
        <w:t xml:space="preserve"> skarżącego, związek między nagraniami a sprawą, a</w:t>
      </w:r>
      <w:r w:rsidR="00B95AFA">
        <w:t> </w:t>
      </w:r>
      <w:r>
        <w:t>w</w:t>
      </w:r>
      <w:r w:rsidR="00B95AFA">
        <w:t> </w:t>
      </w:r>
      <w:r>
        <w:t xml:space="preserve">szczególności, czy </w:t>
      </w:r>
      <w:r w:rsidR="00DB44D4">
        <w:t xml:space="preserve">nagrania </w:t>
      </w:r>
      <w:r>
        <w:t>zawierały dane, dzięki którym skarżący mógłby zostać uniewinniony lub które mogłyby skutkować obniżeniem wymiaru orzeczonej wobec skarżącego kary, lub czy miały one znaczenie dla</w:t>
      </w:r>
      <w:r w:rsidR="00555851">
        <w:t> </w:t>
      </w:r>
      <w:r>
        <w:t>dopuszczalności, wiarygodności i</w:t>
      </w:r>
      <w:r w:rsidR="00B95AFA">
        <w:t> </w:t>
      </w:r>
      <w:r>
        <w:t xml:space="preserve">kompletności dowodów przedstawionych w toku postępowania. Ustalenie Sądu Najwyższego, że prokurator był w stanie dobrać materiał dowodowy na potrzeby </w:t>
      </w:r>
      <w:r w:rsidRPr="00567571">
        <w:t xml:space="preserve">postępowania, </w:t>
      </w:r>
      <w:r w:rsidR="00567571" w:rsidRPr="00567571">
        <w:t>pozostawało w sprzeczności z orzecznictwem</w:t>
      </w:r>
      <w:r>
        <w:t xml:space="preserve"> Trybunału, w świetle którego procedura, w</w:t>
      </w:r>
      <w:r w:rsidR="00B95AFA">
        <w:t> </w:t>
      </w:r>
      <w:r>
        <w:t>ramach której organy ścigania same próbują ocenić, co może mieć znaczenie, bez żadnych dalszych gwarancji proce</w:t>
      </w:r>
      <w:r w:rsidR="00C6638A">
        <w:t>sowych</w:t>
      </w:r>
      <w:r>
        <w:t xml:space="preserve"> związanych z prawem do obrony, nie mo</w:t>
      </w:r>
      <w:r w:rsidR="00567571">
        <w:t xml:space="preserve">że </w:t>
      </w:r>
      <w:r>
        <w:t>czynić zadość wymogom wynikającym z</w:t>
      </w:r>
      <w:r w:rsidR="00555851">
        <w:t> </w:t>
      </w:r>
      <w:r>
        <w:t>art.</w:t>
      </w:r>
      <w:r w:rsidR="00555851">
        <w:t> </w:t>
      </w:r>
      <w:r>
        <w:t>6 ust. 1.</w:t>
      </w:r>
    </w:p>
    <w:p w14:paraId="33E2035F" w14:textId="15F19674" w:rsidR="008317F6" w:rsidRDefault="00D46C46">
      <w:pPr>
        <w:pStyle w:val="ClinContent"/>
      </w:pPr>
      <w:r>
        <w:t>Oczywiste było zatem, że z uwagi na uchybienia proce</w:t>
      </w:r>
      <w:r w:rsidR="00C6638A">
        <w:t>sowe</w:t>
      </w:r>
      <w:r>
        <w:t xml:space="preserve"> w zakresie ujawnienia rozpatrywanych dowodów skarżący nie był w stanie sformułować konkretnego argumentu dotyczącego znaczenia tych dowodów, a właściwy sąd nie był w stanie rozpoznać jego wniosku w świetle przysługującemu skarżącemu prawa do skutecznego </w:t>
      </w:r>
      <w:r w:rsidRPr="00A66268">
        <w:t>przygotowania linii obrony. Tym samym skarżącego pozbawiono możliwości przeprowadzenia procedury</w:t>
      </w:r>
      <w:r>
        <w:t>, która pozwoliłaby ustalić, czy dowody, którymi dysponowało oskarżenie</w:t>
      </w:r>
      <w:r w:rsidR="004825D8">
        <w:t xml:space="preserve"> i które</w:t>
      </w:r>
      <w:r>
        <w:t xml:space="preserve"> zostały wyłączone z akt sprawy, mogły wpłynąć na obniżenie wymiaru orzeczonej wobec skarżącego kary czy też </w:t>
      </w:r>
      <w:r w:rsidR="00C6638A">
        <w:t>podać w wątpliwość</w:t>
      </w:r>
      <w:r>
        <w:t xml:space="preserve"> </w:t>
      </w:r>
      <w:r w:rsidR="00567571">
        <w:t>zakres</w:t>
      </w:r>
      <w:r>
        <w:t xml:space="preserve"> </w:t>
      </w:r>
      <w:r w:rsidR="005A648B">
        <w:t>zarzucanych skarżącemu</w:t>
      </w:r>
      <w:r>
        <w:t xml:space="preserve"> czynów zabronionych.</w:t>
      </w:r>
    </w:p>
    <w:p w14:paraId="00A81C0C" w14:textId="77777777" w:rsidR="008317F6" w:rsidRDefault="00D46C46">
      <w:pPr>
        <w:pStyle w:val="ClinContent"/>
      </w:pPr>
      <w:r>
        <w:rPr>
          <w:i/>
          <w:iCs/>
        </w:rPr>
        <w:t>Rozstrzygnięcie:</w:t>
      </w:r>
      <w:r>
        <w:t xml:space="preserve"> naruszenie (jednomyślnie).</w:t>
      </w:r>
    </w:p>
    <w:p w14:paraId="4C48A53E" w14:textId="69E9C3EF" w:rsidR="008317F6" w:rsidRDefault="00D46C46">
      <w:pPr>
        <w:pStyle w:val="ClinContent"/>
      </w:pPr>
      <w:r>
        <w:t>Art. 41: zasądzenie kwoty 1500 EUR tytułem</w:t>
      </w:r>
      <w:r w:rsidR="00C6638A">
        <w:t xml:space="preserve"> </w:t>
      </w:r>
      <w:r w:rsidR="00522D2E">
        <w:t xml:space="preserve">słusznego </w:t>
      </w:r>
      <w:r w:rsidR="00C6638A">
        <w:t>zadośćuczynienia za</w:t>
      </w:r>
      <w:r>
        <w:t xml:space="preserve"> szkod</w:t>
      </w:r>
      <w:r w:rsidR="00C6638A">
        <w:t>ę</w:t>
      </w:r>
      <w:r>
        <w:t xml:space="preserve"> niemajątkow</w:t>
      </w:r>
      <w:r w:rsidR="00C6638A">
        <w:t>ą</w:t>
      </w:r>
      <w:r>
        <w:t xml:space="preserve"> (czter</w:t>
      </w:r>
      <w:r w:rsidR="00E134A8">
        <w:t>ema</w:t>
      </w:r>
      <w:r>
        <w:t xml:space="preserve"> głos</w:t>
      </w:r>
      <w:r w:rsidR="00E134A8">
        <w:t>ami</w:t>
      </w:r>
      <w:r>
        <w:t xml:space="preserve"> do trzech); oddalenie roszczeni</w:t>
      </w:r>
      <w:r w:rsidR="004825D8">
        <w:t>a</w:t>
      </w:r>
      <w:r>
        <w:t xml:space="preserve"> </w:t>
      </w:r>
      <w:r w:rsidR="00C6638A">
        <w:t>o zadośćuczynienie za</w:t>
      </w:r>
      <w:r w:rsidR="00555851">
        <w:t> </w:t>
      </w:r>
      <w:r>
        <w:t>szkod</w:t>
      </w:r>
      <w:r w:rsidR="00C6638A">
        <w:t>ę</w:t>
      </w:r>
      <w:r>
        <w:t xml:space="preserve"> majątkow</w:t>
      </w:r>
      <w:r w:rsidR="00C6638A">
        <w:t>ą</w:t>
      </w:r>
      <w:r>
        <w:t>.</w:t>
      </w:r>
    </w:p>
    <w:p w14:paraId="19F80DCC" w14:textId="290BC31C" w:rsidR="008317F6" w:rsidRDefault="00D46C46">
      <w:pPr>
        <w:pStyle w:val="ClinContent"/>
      </w:pPr>
      <w:r>
        <w:t xml:space="preserve">Trybunał uznał również jednomyślnie, że nie doszło do naruszenia art. 8 Konwencji ani </w:t>
      </w:r>
      <w:r w:rsidR="00C6638A">
        <w:t xml:space="preserve">do naruszenia </w:t>
      </w:r>
      <w:r>
        <w:t xml:space="preserve">art. 6 ust. 1 w </w:t>
      </w:r>
      <w:r w:rsidR="00C6638A">
        <w:t xml:space="preserve">związku z </w:t>
      </w:r>
      <w:r>
        <w:t>podniesion</w:t>
      </w:r>
      <w:r w:rsidR="00C6638A">
        <w:t>ym</w:t>
      </w:r>
      <w:r>
        <w:t xml:space="preserve"> przez skarżącego zarzut</w:t>
      </w:r>
      <w:r w:rsidR="00C6638A">
        <w:t>em</w:t>
      </w:r>
      <w:r>
        <w:t xml:space="preserve"> prowokacji.</w:t>
      </w:r>
    </w:p>
    <w:p w14:paraId="5C361AFB" w14:textId="77777777" w:rsidR="008317F6" w:rsidRDefault="008317F6">
      <w:pPr>
        <w:pBdr>
          <w:bottom w:val="single" w:sz="8" w:space="1" w:color="auto"/>
        </w:pBdr>
      </w:pPr>
    </w:p>
    <w:p w14:paraId="475A1E9A" w14:textId="6E3DB351" w:rsidR="00411BA6" w:rsidRDefault="00411BA6" w:rsidP="00411BA6">
      <w:pPr>
        <w:pStyle w:val="ClinFooter"/>
      </w:pPr>
      <w:r>
        <w:lastRenderedPageBreak/>
        <w:t xml:space="preserve">© Council of Europe/European Court of Human Rights </w:t>
      </w:r>
      <w:r>
        <w:br/>
        <w:t xml:space="preserve">Niniejsze streszczenie sporządzone przez </w:t>
      </w:r>
      <w:r w:rsidR="007C2D1C">
        <w:t xml:space="preserve">Kancelarię </w:t>
      </w:r>
      <w:r>
        <w:t>nie jest wiążące dla Trybunału.</w:t>
      </w:r>
    </w:p>
    <w:p w14:paraId="3B56F336" w14:textId="4905ACD3" w:rsidR="008317F6" w:rsidRDefault="00411BA6" w:rsidP="00411BA6">
      <w:pPr>
        <w:pStyle w:val="ClinFooter"/>
      </w:pPr>
      <w:r>
        <w:t xml:space="preserve">Kliknij tutaj, aby zapoznać się z </w:t>
      </w:r>
      <w:hyperlink r:id="rId6" w:history="1">
        <w:r>
          <w:rPr>
            <w:rStyle w:val="Hipercze"/>
          </w:rPr>
          <w:t>Notami infor</w:t>
        </w:r>
        <w:r w:rsidR="000A025B">
          <w:rPr>
            <w:rStyle w:val="Hipercze"/>
          </w:rPr>
          <w:t>macyjnymi na temat orzecznictwa</w:t>
        </w:r>
        <w:r w:rsidR="003E37B6">
          <w:rPr>
            <w:rStyle w:val="Hipercze"/>
          </w:rPr>
          <w:t>.</w:t>
        </w:r>
        <w:r>
          <w:rPr>
            <w:rStyle w:val="Hipercze"/>
          </w:rPr>
          <w:t xml:space="preserve"> </w:t>
        </w:r>
      </w:hyperlink>
    </w:p>
    <w:sectPr w:rsidR="008317F6" w:rsidSect="004A5B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775490" w14:textId="77777777" w:rsidR="004928AF" w:rsidRDefault="004928AF" w:rsidP="00C63262">
      <w:r>
        <w:separator/>
      </w:r>
    </w:p>
  </w:endnote>
  <w:endnote w:type="continuationSeparator" w:id="0">
    <w:p w14:paraId="753E0A11" w14:textId="77777777" w:rsidR="004928AF" w:rsidRDefault="004928AF" w:rsidP="00C63262">
      <w:r>
        <w:continuationSeparator/>
      </w:r>
    </w:p>
  </w:endnote>
  <w:endnote w:type="continuationNotice" w:id="1">
    <w:p w14:paraId="0B8D9FDC" w14:textId="77777777" w:rsidR="004928AF" w:rsidRDefault="004928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FC418" w14:textId="77777777" w:rsidR="00F33E6C" w:rsidRDefault="00F33E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A74FF" w14:textId="77777777" w:rsidR="00F33E6C" w:rsidRDefault="00F33E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EA082" w14:textId="77777777" w:rsidR="0071773F" w:rsidRPr="0071773F" w:rsidRDefault="0071773F" w:rsidP="0071773F"/>
  <w:p w14:paraId="7540561E" w14:textId="77777777" w:rsidR="0071773F" w:rsidRDefault="0071773F" w:rsidP="0071773F">
    <w:pPr>
      <w:pStyle w:val="ECHRFooter"/>
    </w:pPr>
    <w:r>
      <w:tab/>
    </w:r>
    <w:r>
      <w:rPr>
        <w:noProof/>
        <w:lang w:eastAsia="pl-PL"/>
      </w:rPr>
      <w:drawing>
        <wp:inline distT="0" distB="0" distL="0" distR="0" wp14:anchorId="58E131A9" wp14:editId="523AFE5B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EF3E5" w14:textId="77777777" w:rsidR="004928AF" w:rsidRDefault="004928AF" w:rsidP="00C63262">
      <w:r>
        <w:separator/>
      </w:r>
    </w:p>
  </w:footnote>
  <w:footnote w:type="continuationSeparator" w:id="0">
    <w:p w14:paraId="552756DB" w14:textId="77777777" w:rsidR="004928AF" w:rsidRDefault="004928AF" w:rsidP="00C63262">
      <w:r>
        <w:continuationSeparator/>
      </w:r>
    </w:p>
  </w:footnote>
  <w:footnote w:type="continuationNotice" w:id="1">
    <w:p w14:paraId="54C8C4F5" w14:textId="77777777" w:rsidR="004928AF" w:rsidRDefault="004928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904E1" w14:textId="77777777" w:rsidR="00F33E6C" w:rsidRDefault="00F33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9312215"/>
      <w:docPartObj>
        <w:docPartGallery w:val="Page Numbers (Top of Page)"/>
        <w:docPartUnique/>
      </w:docPartObj>
    </w:sdtPr>
    <w:sdtEndPr/>
    <w:sdtContent>
      <w:p w14:paraId="23D5AD77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fldChar w:fldCharType="begin"/>
        </w:r>
        <w:r w:rsidRPr="00F921AB">
          <w:instrText xml:space="preserve"> PAGE </w:instrText>
        </w:r>
        <w:r>
          <w:fldChar w:fldCharType="separate"/>
        </w:r>
        <w:r w:rsidR="00555851">
          <w:rPr>
            <w:noProof/>
          </w:rPr>
          <w:t>3</w:t>
        </w:r>
        <w: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C0E68" w14:textId="77777777" w:rsidR="0071773F" w:rsidRDefault="004A5B52" w:rsidP="004A5B52">
    <w:pPr>
      <w:pStyle w:val="Nagwek"/>
    </w:pPr>
    <w:r>
      <w:tab/>
    </w:r>
    <w:r>
      <w:rPr>
        <w:noProof/>
        <w:lang w:eastAsia="pl-PL"/>
      </w:rPr>
      <w:drawing>
        <wp:inline distT="0" distB="0" distL="0" distR="0" wp14:anchorId="72CD490F" wp14:editId="4878AF12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F0"/>
    <w:rsid w:val="00034862"/>
    <w:rsid w:val="00037CCC"/>
    <w:rsid w:val="00064604"/>
    <w:rsid w:val="000934FF"/>
    <w:rsid w:val="00097888"/>
    <w:rsid w:val="000A025B"/>
    <w:rsid w:val="000B1E7F"/>
    <w:rsid w:val="000F13B5"/>
    <w:rsid w:val="00100CC0"/>
    <w:rsid w:val="00107377"/>
    <w:rsid w:val="00143602"/>
    <w:rsid w:val="00165DA1"/>
    <w:rsid w:val="001769E4"/>
    <w:rsid w:val="00186560"/>
    <w:rsid w:val="0019562B"/>
    <w:rsid w:val="00212E83"/>
    <w:rsid w:val="002966E7"/>
    <w:rsid w:val="002D4299"/>
    <w:rsid w:val="002E088D"/>
    <w:rsid w:val="0030264F"/>
    <w:rsid w:val="0032157A"/>
    <w:rsid w:val="003450B3"/>
    <w:rsid w:val="00386958"/>
    <w:rsid w:val="003924CE"/>
    <w:rsid w:val="003A64A6"/>
    <w:rsid w:val="003D7BB3"/>
    <w:rsid w:val="003E0F37"/>
    <w:rsid w:val="003E2703"/>
    <w:rsid w:val="003E37B6"/>
    <w:rsid w:val="003F5AF7"/>
    <w:rsid w:val="00411BA6"/>
    <w:rsid w:val="004378A5"/>
    <w:rsid w:val="00461A32"/>
    <w:rsid w:val="0046453F"/>
    <w:rsid w:val="004825D8"/>
    <w:rsid w:val="004928AF"/>
    <w:rsid w:val="004A5B52"/>
    <w:rsid w:val="004D568D"/>
    <w:rsid w:val="004E07CA"/>
    <w:rsid w:val="004E1037"/>
    <w:rsid w:val="00507E61"/>
    <w:rsid w:val="005118E6"/>
    <w:rsid w:val="0052092D"/>
    <w:rsid w:val="00522D2E"/>
    <w:rsid w:val="00540D75"/>
    <w:rsid w:val="005514E5"/>
    <w:rsid w:val="00555851"/>
    <w:rsid w:val="00567571"/>
    <w:rsid w:val="005752E2"/>
    <w:rsid w:val="0059624C"/>
    <w:rsid w:val="005A648B"/>
    <w:rsid w:val="005B3620"/>
    <w:rsid w:val="006028A1"/>
    <w:rsid w:val="00631A28"/>
    <w:rsid w:val="006A36AD"/>
    <w:rsid w:val="006A6767"/>
    <w:rsid w:val="006C1D96"/>
    <w:rsid w:val="0071773F"/>
    <w:rsid w:val="00730AB6"/>
    <w:rsid w:val="0077074E"/>
    <w:rsid w:val="00774515"/>
    <w:rsid w:val="007C2D1C"/>
    <w:rsid w:val="008317F6"/>
    <w:rsid w:val="00895EF3"/>
    <w:rsid w:val="008A026F"/>
    <w:rsid w:val="008B3C2A"/>
    <w:rsid w:val="008C64D5"/>
    <w:rsid w:val="00903D38"/>
    <w:rsid w:val="009520BD"/>
    <w:rsid w:val="009637DF"/>
    <w:rsid w:val="009B3B2C"/>
    <w:rsid w:val="009E3EF0"/>
    <w:rsid w:val="00A01052"/>
    <w:rsid w:val="00A04D9C"/>
    <w:rsid w:val="00A258BB"/>
    <w:rsid w:val="00A33541"/>
    <w:rsid w:val="00A345AD"/>
    <w:rsid w:val="00A45616"/>
    <w:rsid w:val="00A66268"/>
    <w:rsid w:val="00AC7726"/>
    <w:rsid w:val="00B71D27"/>
    <w:rsid w:val="00B80CA0"/>
    <w:rsid w:val="00B85770"/>
    <w:rsid w:val="00B95AFA"/>
    <w:rsid w:val="00BF1CD9"/>
    <w:rsid w:val="00C37433"/>
    <w:rsid w:val="00C63262"/>
    <w:rsid w:val="00C6638A"/>
    <w:rsid w:val="00C70A32"/>
    <w:rsid w:val="00C72355"/>
    <w:rsid w:val="00C93CFB"/>
    <w:rsid w:val="00CC0D9A"/>
    <w:rsid w:val="00CF7BA6"/>
    <w:rsid w:val="00D42086"/>
    <w:rsid w:val="00D425B3"/>
    <w:rsid w:val="00D46C46"/>
    <w:rsid w:val="00DA5311"/>
    <w:rsid w:val="00DB44D4"/>
    <w:rsid w:val="00E134A8"/>
    <w:rsid w:val="00E55491"/>
    <w:rsid w:val="00E83DB6"/>
    <w:rsid w:val="00EA53E7"/>
    <w:rsid w:val="00F26755"/>
    <w:rsid w:val="00F33E6C"/>
    <w:rsid w:val="00F508C9"/>
    <w:rsid w:val="00F50CCD"/>
    <w:rsid w:val="00F5247C"/>
    <w:rsid w:val="00F731A9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F3702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pl-PL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Tekstkomentarza">
    <w:name w:val="annotation text"/>
    <w:link w:val="TekstkomentarzaZnak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731A9"/>
    <w:rPr>
      <w:rFonts w:ascii="Verdana" w:hAnsi="Verdana"/>
      <w:b/>
      <w:bCs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31A9"/>
  </w:style>
  <w:style w:type="character" w:customStyle="1" w:styleId="TematkomentarzaZnak">
    <w:name w:val="Temat komentarza Znak"/>
    <w:basedOn w:val="TekstkomentarzaZnak"/>
    <w:link w:val="Tematkomentarza"/>
    <w:semiHidden/>
    <w:rsid w:val="00F731A9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chr.coe.int/NoteInformation/en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5336</Characters>
  <Application>Microsoft Office Word</Application>
  <DocSecurity>4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2019-11-29T08:39:00Z</dcterms:created>
  <dcterms:modified xsi:type="dcterms:W3CDTF">2019-11-29T08:39:00Z</dcterms:modified>
</cp:coreProperties>
</file>