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760D8C" w14:textId="77777777" w:rsidR="00B42837" w:rsidRDefault="00B42837" w:rsidP="00B42837">
      <w:pPr>
        <w:pStyle w:val="ClinEditionNumber"/>
        <w:jc w:val="center"/>
      </w:pPr>
      <w:bookmarkStart w:id="0" w:name="_GoBack"/>
      <w:bookmarkEnd w:id="0"/>
      <w:r>
        <w:t>EUROPEJSKI TRYBUNAŁ PRAW CZŁOWIEKA</w:t>
      </w:r>
    </w:p>
    <w:p w14:paraId="61C01B25" w14:textId="4A93F99C" w:rsidR="00354DF9" w:rsidRDefault="00636A0A">
      <w:pPr>
        <w:pStyle w:val="ClinEditionNumber"/>
      </w:pPr>
      <w:r>
        <w:t>Nota informacyjna nt. orzecznictwa Trybunału nr 209</w:t>
      </w:r>
    </w:p>
    <w:p w14:paraId="21DE484A" w14:textId="77777777" w:rsidR="00354DF9" w:rsidRDefault="00636A0A">
      <w:pPr>
        <w:pStyle w:val="ClinEditionMonth"/>
      </w:pPr>
      <w:r>
        <w:t>Lipiec 2017 r.</w:t>
      </w:r>
    </w:p>
    <w:p w14:paraId="6787FD4C" w14:textId="77777777" w:rsidR="00354DF9" w:rsidRDefault="00636A0A">
      <w:r>
        <w:rPr>
          <w:rStyle w:val="ClinCaseTitle"/>
        </w:rPr>
        <w:t>Oravec przeciwko Chorwacji</w:t>
      </w:r>
      <w:r>
        <w:rPr>
          <w:rStyle w:val="ClinApplicationNumber"/>
        </w:rPr>
        <w:t xml:space="preserve"> </w:t>
      </w:r>
      <w:r w:rsidR="00523768">
        <w:rPr>
          <w:rStyle w:val="ClinApplicationNumber"/>
        </w:rPr>
        <w:t>–</w:t>
      </w:r>
      <w:r>
        <w:rPr>
          <w:rStyle w:val="ClinApplicationNumber"/>
        </w:rPr>
        <w:t xml:space="preserve"> </w:t>
      </w:r>
      <w:r w:rsidR="00523768">
        <w:rPr>
          <w:rStyle w:val="ClinApplicationNumber"/>
        </w:rPr>
        <w:t xml:space="preserve">skarga nr </w:t>
      </w:r>
      <w:r>
        <w:rPr>
          <w:rStyle w:val="ClinApplicationNumber"/>
        </w:rPr>
        <w:t>51249/11</w:t>
      </w:r>
    </w:p>
    <w:p w14:paraId="670D3236" w14:textId="347DBABC" w:rsidR="00354DF9" w:rsidRDefault="00636A0A">
      <w:r>
        <w:rPr>
          <w:rStyle w:val="ClinHudocDocumentTitle"/>
        </w:rPr>
        <w:t>Wyrok z 11.07.2017 r.</w:t>
      </w:r>
      <w:r>
        <w:rPr>
          <w:rStyle w:val="ClinSectionName"/>
        </w:rPr>
        <w:t xml:space="preserve"> [</w:t>
      </w:r>
      <w:r w:rsidR="006248D1">
        <w:rPr>
          <w:rStyle w:val="ClinSectionName"/>
        </w:rPr>
        <w:t>S</w:t>
      </w:r>
      <w:r>
        <w:rPr>
          <w:rStyle w:val="ClinSectionName"/>
        </w:rPr>
        <w:t xml:space="preserve">ekcja </w:t>
      </w:r>
      <w:r w:rsidR="00B20DB3">
        <w:rPr>
          <w:rStyle w:val="ClinSectionName"/>
        </w:rPr>
        <w:t>Druga</w:t>
      </w:r>
      <w:r>
        <w:rPr>
          <w:rStyle w:val="ClinSectionName"/>
        </w:rPr>
        <w:t>]</w:t>
      </w:r>
    </w:p>
    <w:p w14:paraId="004C2726" w14:textId="77777777" w:rsidR="00354DF9" w:rsidRDefault="00636A0A">
      <w:pPr>
        <w:pStyle w:val="ClinMainKeywordCode"/>
      </w:pPr>
      <w:r>
        <w:t>Art. 5</w:t>
      </w:r>
    </w:p>
    <w:p w14:paraId="04869501" w14:textId="77777777" w:rsidR="00354DF9" w:rsidRDefault="00636A0A">
      <w:pPr>
        <w:pStyle w:val="ClinChildKeywordCode"/>
      </w:pPr>
      <w:r>
        <w:t>Art. 5 ust. 4</w:t>
      </w:r>
    </w:p>
    <w:p w14:paraId="3A0F03AF" w14:textId="228978F5" w:rsidR="00354DF9" w:rsidRDefault="00636A0A">
      <w:pPr>
        <w:pStyle w:val="ClinKeyword"/>
      </w:pPr>
      <w:r>
        <w:t xml:space="preserve">Kontrola legalności </w:t>
      </w:r>
      <w:r w:rsidR="00E373FB">
        <w:t>pozbawienia wolności</w:t>
      </w:r>
    </w:p>
    <w:p w14:paraId="6D0D1AE3" w14:textId="264D6AF6" w:rsidR="00354DF9" w:rsidRDefault="00636A0A" w:rsidP="00B42837">
      <w:pPr>
        <w:jc w:val="both"/>
      </w:pPr>
      <w:r>
        <w:rPr>
          <w:rStyle w:val="ClinHeadNote"/>
        </w:rPr>
        <w:t xml:space="preserve">Niezapewnienie równości broni przy </w:t>
      </w:r>
      <w:r w:rsidR="009851E8">
        <w:rPr>
          <w:rStyle w:val="ClinHeadNote"/>
        </w:rPr>
        <w:t>rozpoznawaniu</w:t>
      </w:r>
      <w:r>
        <w:rPr>
          <w:rStyle w:val="ClinHeadNote"/>
        </w:rPr>
        <w:t xml:space="preserve"> zażalenia prokuratora na postanowienie </w:t>
      </w:r>
      <w:r w:rsidR="009851E8">
        <w:rPr>
          <w:rStyle w:val="ClinHeadNote"/>
        </w:rPr>
        <w:t>w przedmiocie</w:t>
      </w:r>
      <w:r>
        <w:rPr>
          <w:rStyle w:val="ClinHeadNote"/>
        </w:rPr>
        <w:t xml:space="preserve"> uchyleni</w:t>
      </w:r>
      <w:r w:rsidR="009851E8">
        <w:rPr>
          <w:rStyle w:val="ClinHeadNote"/>
        </w:rPr>
        <w:t>a</w:t>
      </w:r>
      <w:r>
        <w:rPr>
          <w:rStyle w:val="ClinHeadNote"/>
        </w:rPr>
        <w:t xml:space="preserve"> zastosowanego wobec skarżącego tymczasowego aresztowania: </w:t>
      </w:r>
      <w:r>
        <w:rPr>
          <w:rStyle w:val="ClinConclusions"/>
        </w:rPr>
        <w:t>art. 5 ust. 4</w:t>
      </w:r>
      <w:r w:rsidR="00B42837">
        <w:rPr>
          <w:rStyle w:val="ClinConclusions"/>
        </w:rPr>
        <w:t xml:space="preserve"> </w:t>
      </w:r>
      <w:r w:rsidR="00B42837" w:rsidRPr="008E4302">
        <w:rPr>
          <w:rStyle w:val="ClinConclusions"/>
        </w:rPr>
        <w:t>ma zastosowanie</w:t>
      </w:r>
      <w:r w:rsidRPr="008E4302">
        <w:rPr>
          <w:rStyle w:val="ClinConclusions"/>
        </w:rPr>
        <w:t>; naruszenie</w:t>
      </w:r>
    </w:p>
    <w:p w14:paraId="2ACD6702" w14:textId="59A65A9F" w:rsidR="00354DF9" w:rsidRDefault="00636A0A">
      <w:pPr>
        <w:pStyle w:val="ClinContent"/>
      </w:pPr>
      <w:r>
        <w:rPr>
          <w:i/>
          <w:iCs/>
        </w:rPr>
        <w:t>Fakty</w:t>
      </w:r>
      <w:r>
        <w:t xml:space="preserve"> – W kwietniu 2011 r. skarżąc</w:t>
      </w:r>
      <w:r w:rsidR="00B42837">
        <w:t>y został zatrzymany i</w:t>
      </w:r>
      <w:r w:rsidR="00275A4C">
        <w:t xml:space="preserve"> aresztowany tymczasowo</w:t>
      </w:r>
      <w:r>
        <w:t xml:space="preserve"> pod zarzutem przemytu narkotyków</w:t>
      </w:r>
      <w:r w:rsidR="009851E8">
        <w:t>, a następnie</w:t>
      </w:r>
      <w:r>
        <w:t xml:space="preserve"> zwolnion</w:t>
      </w:r>
      <w:r w:rsidR="00275A4C">
        <w:t>y</w:t>
      </w:r>
      <w:r>
        <w:t xml:space="preserve"> na podstawie postanowienia sędziego śledczego. Postanowienie to uchylono wskutek wniesionego przez prokuratura zażalenia, zaś 31 maja 2011 r. sędzia ponownie rozpoznał sprawę i utrzymał wcześniejsze postanowienie w mocy. Prokurator wniósł zażalenie, którego nie doręczono skarżącemu ani jego obrońcy. W dniu 10 czerwca 2011 r. sąd w składzie trzyosobowym</w:t>
      </w:r>
      <w:r w:rsidR="009851E8">
        <w:t>, obradując na</w:t>
      </w:r>
      <w:r>
        <w:t xml:space="preserve"> posiedzeni</w:t>
      </w:r>
      <w:r w:rsidR="009851E8">
        <w:t>u</w:t>
      </w:r>
      <w:r>
        <w:t xml:space="preserve"> niejawn</w:t>
      </w:r>
      <w:r w:rsidR="009851E8">
        <w:t>ym pod nieobecność stron,</w:t>
      </w:r>
      <w:r>
        <w:t xml:space="preserve"> uchylił postanowienie sędziego śledczego i wydał postanowienie </w:t>
      </w:r>
      <w:r w:rsidR="009851E8">
        <w:t>w przedmiocie</w:t>
      </w:r>
      <w:r>
        <w:t xml:space="preserve"> zastosowani</w:t>
      </w:r>
      <w:r w:rsidR="009851E8">
        <w:t>a</w:t>
      </w:r>
      <w:r>
        <w:t xml:space="preserve"> wobec skarżącego tymczasowego aresztowania. W dniu 14 czerwca 2011 r. skarżącego ponownie osadzono w areszcie śledczym. Skarżący bezskutecznie odwoł</w:t>
      </w:r>
      <w:r w:rsidR="009851E8">
        <w:t>yw</w:t>
      </w:r>
      <w:r w:rsidR="00B42837">
        <w:t>ał</w:t>
      </w:r>
      <w:r>
        <w:t xml:space="preserve"> się do </w:t>
      </w:r>
      <w:r w:rsidR="00B42837">
        <w:t xml:space="preserve">Sądu </w:t>
      </w:r>
      <w:r w:rsidR="00275A4C">
        <w:t>N</w:t>
      </w:r>
      <w:r>
        <w:t>ajwyższego i</w:t>
      </w:r>
      <w:r w:rsidR="00275A4C">
        <w:t> T</w:t>
      </w:r>
      <w:r>
        <w:t xml:space="preserve">rybunału </w:t>
      </w:r>
      <w:r w:rsidR="00275A4C">
        <w:t>K</w:t>
      </w:r>
      <w:r>
        <w:t>onstytucyjnego.</w:t>
      </w:r>
    </w:p>
    <w:p w14:paraId="24F58AF9" w14:textId="77777777" w:rsidR="00354DF9" w:rsidRDefault="00636A0A">
      <w:pPr>
        <w:pStyle w:val="ClinContent"/>
      </w:pPr>
      <w:r>
        <w:t xml:space="preserve">Przed Trybunałem skarżący zarzucił między innymi, że postępowanie odwoławcze </w:t>
      </w:r>
      <w:r w:rsidR="009851E8">
        <w:t xml:space="preserve">stanowiło </w:t>
      </w:r>
      <w:r>
        <w:t>narusz</w:t>
      </w:r>
      <w:r w:rsidR="009851E8">
        <w:t>enie</w:t>
      </w:r>
      <w:r>
        <w:t xml:space="preserve"> zasad</w:t>
      </w:r>
      <w:r w:rsidR="009851E8">
        <w:t>y</w:t>
      </w:r>
      <w:r>
        <w:t xml:space="preserve"> równości broni </w:t>
      </w:r>
      <w:r w:rsidR="009851E8">
        <w:t>za</w:t>
      </w:r>
      <w:r>
        <w:t>gwarantowan</w:t>
      </w:r>
      <w:r w:rsidR="009851E8">
        <w:t>ej</w:t>
      </w:r>
      <w:r>
        <w:t xml:space="preserve"> </w:t>
      </w:r>
      <w:r w:rsidR="009851E8">
        <w:t xml:space="preserve">w </w:t>
      </w:r>
      <w:r>
        <w:t>art. 5 ust. 4.</w:t>
      </w:r>
    </w:p>
    <w:p w14:paraId="7AE144BA" w14:textId="55F46B44" w:rsidR="00354DF9" w:rsidRDefault="00636A0A">
      <w:pPr>
        <w:pStyle w:val="ClinContent"/>
      </w:pPr>
      <w:r>
        <w:rPr>
          <w:i/>
          <w:iCs/>
        </w:rPr>
        <w:t>Prawo</w:t>
      </w:r>
      <w:r>
        <w:t xml:space="preserve"> – art. 5 ust. 4: Skarżącego zwolniono z aresztu na podstawie postanowienia z 31 maja 2011 r. Postanowienie sędziego śledczego było jednak przedmiotem dalszej kontroli </w:t>
      </w:r>
      <w:r w:rsidR="009851E8">
        <w:t>wskutek wniesionego</w:t>
      </w:r>
      <w:r>
        <w:t xml:space="preserve"> </w:t>
      </w:r>
      <w:r w:rsidR="009851E8">
        <w:t>zażalenia</w:t>
      </w:r>
      <w:r>
        <w:t xml:space="preserve">, a zatem nie było prawomocne. Na postanowienie sędziego śledczego zażalenie wniósł prokurator. Wnosząc o uchylenie tegoż postanowienia, prokurator </w:t>
      </w:r>
      <w:r w:rsidR="009851E8">
        <w:t>żądał</w:t>
      </w:r>
      <w:r>
        <w:t xml:space="preserve">, w postępowaniu </w:t>
      </w:r>
      <w:r w:rsidR="009851E8">
        <w:t>odwoławczym</w:t>
      </w:r>
      <w:r>
        <w:t>, utrzymania w mocy pierwotnego postanowienia o zastosowaniu tymczasowego aresztowania. W razie oddalenia zażalenia prokuratora</w:t>
      </w:r>
      <w:r w:rsidR="0028030A">
        <w:t>,</w:t>
      </w:r>
      <w:r>
        <w:t xml:space="preserve"> postanowienie o zwolnieniu skarżącego stałoby się prawomocne; wskutek uwzględnienia zażalenia skarżącego ponownie osadzono w areszcie śledczym. Zażalenie stanowiło zatem kontynuację postępowania w przedmiocie legalności tymczasowego aresztowania</w:t>
      </w:r>
      <w:r w:rsidR="008E4302">
        <w:t xml:space="preserve"> skarżącego</w:t>
      </w:r>
      <w:r>
        <w:t xml:space="preserve">. W tych okolicznościach wynik postępowania odwoławczego </w:t>
      </w:r>
      <w:r w:rsidR="008E4302" w:rsidRPr="008E4302">
        <w:t xml:space="preserve">był </w:t>
      </w:r>
      <w:r w:rsidR="008E4302">
        <w:t>kluczowym</w:t>
      </w:r>
      <w:r w:rsidR="008E4302" w:rsidRPr="008E4302">
        <w:t xml:space="preserve"> czynnikiem przy podejmowaniu decyzji co do</w:t>
      </w:r>
      <w:r w:rsidR="008E4302">
        <w:t xml:space="preserve"> legalności</w:t>
      </w:r>
      <w:r w:rsidR="008E4302" w:rsidRPr="008E4302">
        <w:t xml:space="preserve"> </w:t>
      </w:r>
      <w:r>
        <w:t>tymczasowego aresztowania</w:t>
      </w:r>
      <w:r w:rsidR="008E4302">
        <w:t xml:space="preserve"> skarżącego</w:t>
      </w:r>
      <w:r>
        <w:t>, niezależnie od tego, czy dokładnie w tym czasie skarżący przebywał w areszcie śledczym</w:t>
      </w:r>
      <w:r w:rsidR="009851E8">
        <w:t xml:space="preserve"> czy też nie</w:t>
      </w:r>
      <w:r>
        <w:t>. Art</w:t>
      </w:r>
      <w:r w:rsidR="00B42837">
        <w:t>.</w:t>
      </w:r>
      <w:r>
        <w:t xml:space="preserve"> 5 ust. 4 miał zatem zastosowanie do postępowania odwoławczego.</w:t>
      </w:r>
    </w:p>
    <w:p w14:paraId="2F167E58" w14:textId="1CC3F8AE" w:rsidR="00354DF9" w:rsidRDefault="00636A0A">
      <w:pPr>
        <w:pStyle w:val="ClinContent"/>
      </w:pPr>
      <w:r>
        <w:t xml:space="preserve">Sąd rozpoznający zażalenie na postanowienie </w:t>
      </w:r>
      <w:r w:rsidR="009851E8">
        <w:t xml:space="preserve">w przedmiocie </w:t>
      </w:r>
      <w:r>
        <w:t>zastosowani</w:t>
      </w:r>
      <w:r w:rsidR="009851E8">
        <w:t>a</w:t>
      </w:r>
      <w:r>
        <w:t xml:space="preserve"> tymczasowego aresztowania musiał zapewnić gwarancje proce</w:t>
      </w:r>
      <w:r w:rsidR="00684060">
        <w:t>dury sądowej</w:t>
      </w:r>
      <w:r>
        <w:t xml:space="preserve">. </w:t>
      </w:r>
      <w:r>
        <w:lastRenderedPageBreak/>
        <w:t>Postępowanie musiało mieć charakter kontradyktoryjny i gwarantować stronom równość broni. Z uwagi na dramatyczny wpływ pozbawienia wolności na podstawowe prawa danej osoby, postępowanie prowadzone na podstawie art. 5 ust. 4 powinno zasadniczo czynić zadość, w naj</w:t>
      </w:r>
      <w:r w:rsidR="009851E8">
        <w:t>szerszym</w:t>
      </w:r>
      <w:r>
        <w:t xml:space="preserve"> możliwym zakresie, w okolicznościach prowadzonego dochodzenia lub śledztwa, podstawowym wymogom rzetelnego procesu, takim jak </w:t>
      </w:r>
      <w:r w:rsidR="009851E8">
        <w:t>zasada kontradyktoryjności</w:t>
      </w:r>
      <w:r>
        <w:t>.</w:t>
      </w:r>
    </w:p>
    <w:p w14:paraId="0CF9C9AB" w14:textId="103DAC47" w:rsidR="00354DF9" w:rsidRDefault="00636A0A">
      <w:pPr>
        <w:pStyle w:val="ClinContent"/>
      </w:pPr>
      <w:r>
        <w:t xml:space="preserve">W swoim zażaleniu na postanowienie sędziego śledczego w przedmiocie zwolnienia skarżącego prokurator przytoczył szereg argumentów </w:t>
      </w:r>
      <w:r w:rsidR="009851E8">
        <w:t xml:space="preserve">przemawiających </w:t>
      </w:r>
      <w:r>
        <w:t xml:space="preserve">za zastosowaniem tymczasowego aresztowania. Zażalenia tego nie doręczono obrońcy, w związku z czym skarżący nie miał możliwości ustosunkowania się do argumentów przytoczonych przez prokuratora. Sąd w składzie trzyosobowym, który w dniu 10 czerwca 2011 r. wydał postanowienie </w:t>
      </w:r>
      <w:r w:rsidR="009851E8">
        <w:t>w przedmiocie</w:t>
      </w:r>
      <w:r>
        <w:t xml:space="preserve"> zastosowani</w:t>
      </w:r>
      <w:r w:rsidR="009851E8">
        <w:t>a</w:t>
      </w:r>
      <w:r>
        <w:t xml:space="preserve"> wobec skarżącego tymczasowego aresztowania, wydał </w:t>
      </w:r>
      <w:r w:rsidR="009851E8">
        <w:t xml:space="preserve">przedmiotowe </w:t>
      </w:r>
      <w:r>
        <w:t>postanowienie na posiedzeniu niejawnym, bez informowania</w:t>
      </w:r>
      <w:r w:rsidR="009851E8">
        <w:t xml:space="preserve">, </w:t>
      </w:r>
      <w:r w:rsidR="00347EC4">
        <w:t xml:space="preserve">nie mówiąc o </w:t>
      </w:r>
      <w:r>
        <w:t>wezwani</w:t>
      </w:r>
      <w:r w:rsidR="00347EC4">
        <w:t>u</w:t>
      </w:r>
      <w:r>
        <w:t>, skarżącego czy jego obrońcy, co pozbawiło ich możliwości przedstawienia argumentów w zakresie tymczasowego aresztowania skarżącego. Skoro obrońca nie miał możliwości przedstawienia sądowi pisemnego lub ustnego stanowiska w ramach tego postępowania, skarżący nie mógł skutecznie skorzystać z prawa do obrony. Tym samym nie poszanowano zasady równości broni.</w:t>
      </w:r>
    </w:p>
    <w:p w14:paraId="65BA5479" w14:textId="77777777" w:rsidR="00354DF9" w:rsidRDefault="00636A0A">
      <w:pPr>
        <w:pStyle w:val="ClinContent"/>
      </w:pPr>
      <w:r>
        <w:rPr>
          <w:i/>
          <w:iCs/>
        </w:rPr>
        <w:t>Rozstrzygnięcie:</w:t>
      </w:r>
      <w:r>
        <w:t xml:space="preserve"> naruszenie (jednomyślnie).</w:t>
      </w:r>
    </w:p>
    <w:p w14:paraId="38479E5E" w14:textId="0D3E12C1" w:rsidR="00354DF9" w:rsidRDefault="00636A0A">
      <w:pPr>
        <w:pStyle w:val="ClinContent"/>
      </w:pPr>
      <w:r>
        <w:t xml:space="preserve">Trybunał stwierdził również dalsze naruszenie art. 5 ust. 4 w związku z orzeczeniem </w:t>
      </w:r>
      <w:r w:rsidR="00703E15">
        <w:t>T</w:t>
      </w:r>
      <w:r>
        <w:t xml:space="preserve">rybunału </w:t>
      </w:r>
      <w:r w:rsidR="00703E15">
        <w:t>K</w:t>
      </w:r>
      <w:r>
        <w:t xml:space="preserve">onstytucyjnego i brak naruszenia art. 5 ust. 1 w związku z brakiem określenia przez skład sędziowski okresu trwania zastosowanego wobec skarżącego tymczasowego aresztowania. </w:t>
      </w:r>
    </w:p>
    <w:p w14:paraId="2E935205" w14:textId="07F5029B" w:rsidR="00354DF9" w:rsidRDefault="00636A0A">
      <w:pPr>
        <w:pStyle w:val="ClinContent"/>
      </w:pPr>
      <w:r>
        <w:t xml:space="preserve">Art. 41: zasądzenie kwoty 500 EUR tytułem </w:t>
      </w:r>
      <w:r w:rsidR="00884E5F">
        <w:t xml:space="preserve">słusznego </w:t>
      </w:r>
      <w:r>
        <w:t>zadośćuczynienia za szkodę niemajątkową.</w:t>
      </w:r>
    </w:p>
    <w:p w14:paraId="64BE436F" w14:textId="77777777" w:rsidR="00354DF9" w:rsidRDefault="00636A0A">
      <w:pPr>
        <w:pStyle w:val="ClinContent"/>
      </w:pPr>
      <w:r>
        <w:t>(</w:t>
      </w:r>
      <w:r w:rsidR="007E4471">
        <w:t>Z</w:t>
      </w:r>
      <w:r>
        <w:t xml:space="preserve">ob. </w:t>
      </w:r>
      <w:r>
        <w:rPr>
          <w:i/>
        </w:rPr>
        <w:t>Fodale przeciwko Włochom</w:t>
      </w:r>
      <w:r>
        <w:t xml:space="preserve">, </w:t>
      </w:r>
      <w:r w:rsidR="00601015">
        <w:t xml:space="preserve">skarga nr </w:t>
      </w:r>
      <w:r>
        <w:t xml:space="preserve">70148/01, 1 czerwca 2006 r., </w:t>
      </w:r>
      <w:hyperlink r:id="rId6" w:history="1">
        <w:r>
          <w:rPr>
            <w:rStyle w:val="Hipercze"/>
          </w:rPr>
          <w:t>Nota informacyjna nr 87</w:t>
        </w:r>
      </w:hyperlink>
      <w:r>
        <w:t>)</w:t>
      </w:r>
    </w:p>
    <w:p w14:paraId="722DED4F" w14:textId="77777777" w:rsidR="00354DF9" w:rsidRDefault="00354DF9">
      <w:pPr>
        <w:pBdr>
          <w:bottom w:val="single" w:sz="8" w:space="1" w:color="auto"/>
        </w:pBdr>
      </w:pPr>
    </w:p>
    <w:p w14:paraId="466BD9E2" w14:textId="2906D6B8" w:rsidR="002A3530" w:rsidRDefault="002A3530" w:rsidP="002A3530">
      <w:pPr>
        <w:pStyle w:val="ClinFooter"/>
      </w:pPr>
      <w:r>
        <w:t xml:space="preserve">© Council of Europe/European Court of Human Rights </w:t>
      </w:r>
      <w:r>
        <w:br/>
        <w:t xml:space="preserve">Niniejsze streszczenie sporządzone przez </w:t>
      </w:r>
      <w:r w:rsidR="00B42837">
        <w:t xml:space="preserve">Kancelarię </w:t>
      </w:r>
      <w:r>
        <w:t>nie jest wiążące dla Trybunału.</w:t>
      </w:r>
    </w:p>
    <w:p w14:paraId="32929BED" w14:textId="77777777" w:rsidR="002A3530" w:rsidRDefault="002A3530" w:rsidP="002A3530">
      <w:pPr>
        <w:pStyle w:val="ClinFooter"/>
      </w:pPr>
      <w:r>
        <w:t xml:space="preserve">Kliknij tutaj, aby zapoznać się z </w:t>
      </w:r>
      <w:hyperlink r:id="rId7" w:history="1">
        <w:r>
          <w:rPr>
            <w:rStyle w:val="Hipercze"/>
          </w:rPr>
          <w:t xml:space="preserve">Notami informacyjnymi na temat orzecznictwa. </w:t>
        </w:r>
      </w:hyperlink>
    </w:p>
    <w:p w14:paraId="0509B6C5" w14:textId="6E15690C" w:rsidR="00354DF9" w:rsidRDefault="00354DF9">
      <w:pPr>
        <w:pStyle w:val="ClinFooter"/>
      </w:pPr>
    </w:p>
    <w:sectPr w:rsidR="00354DF9" w:rsidSect="004A5B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D63472" w14:textId="77777777" w:rsidR="00331245" w:rsidRDefault="00331245" w:rsidP="00C63262">
      <w:r>
        <w:separator/>
      </w:r>
    </w:p>
  </w:endnote>
  <w:endnote w:type="continuationSeparator" w:id="0">
    <w:p w14:paraId="408AA73A" w14:textId="77777777" w:rsidR="00331245" w:rsidRDefault="00331245" w:rsidP="00C63262">
      <w:r>
        <w:continuationSeparator/>
      </w:r>
    </w:p>
  </w:endnote>
  <w:endnote w:type="continuationNotice" w:id="1">
    <w:p w14:paraId="4800194F" w14:textId="77777777" w:rsidR="00331245" w:rsidRDefault="003312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A5ACE0" w14:textId="77777777" w:rsidR="007006AE" w:rsidRDefault="007006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EA6D1" w14:textId="77777777" w:rsidR="007006AE" w:rsidRDefault="007006A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668987" w14:textId="77777777" w:rsidR="0071773F" w:rsidRPr="0071773F" w:rsidRDefault="0071773F" w:rsidP="0071773F"/>
  <w:p w14:paraId="36B6D696" w14:textId="77777777" w:rsidR="0071773F" w:rsidRDefault="0071773F" w:rsidP="0071773F">
    <w:pPr>
      <w:pStyle w:val="ECHRFooter"/>
    </w:pPr>
    <w:r>
      <w:tab/>
    </w:r>
    <w:r>
      <w:rPr>
        <w:noProof/>
        <w:lang w:eastAsia="pl-PL"/>
      </w:rPr>
      <w:drawing>
        <wp:inline distT="0" distB="0" distL="0" distR="0" wp14:anchorId="54AE2359" wp14:editId="378EE885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AFD598" w14:textId="77777777" w:rsidR="00331245" w:rsidRDefault="00331245" w:rsidP="00C63262">
      <w:r>
        <w:separator/>
      </w:r>
    </w:p>
  </w:footnote>
  <w:footnote w:type="continuationSeparator" w:id="0">
    <w:p w14:paraId="7DBCD12F" w14:textId="77777777" w:rsidR="00331245" w:rsidRDefault="00331245" w:rsidP="00C63262">
      <w:r>
        <w:continuationSeparator/>
      </w:r>
    </w:p>
  </w:footnote>
  <w:footnote w:type="continuationNotice" w:id="1">
    <w:p w14:paraId="796C0F17" w14:textId="77777777" w:rsidR="00331245" w:rsidRDefault="003312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DFB7" w14:textId="77777777" w:rsidR="007006AE" w:rsidRDefault="007006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29312215"/>
      <w:docPartObj>
        <w:docPartGallery w:val="Page Numbers (Top of Page)"/>
        <w:docPartUnique/>
      </w:docPartObj>
    </w:sdtPr>
    <w:sdtEndPr/>
    <w:sdtContent>
      <w:p w14:paraId="655DC06F" w14:textId="77777777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fldChar w:fldCharType="begin"/>
        </w:r>
        <w:r w:rsidRPr="00F921AB">
          <w:instrText xml:space="preserve"> PAGE </w:instrText>
        </w:r>
        <w:r>
          <w:fldChar w:fldCharType="separate"/>
        </w:r>
        <w:r w:rsidR="00B20DB3">
          <w:rPr>
            <w:noProof/>
          </w:rPr>
          <w:t>2</w:t>
        </w:r>
        <w: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AB532" w14:textId="77777777" w:rsidR="0071773F" w:rsidRDefault="004A5B52" w:rsidP="004A5B52">
    <w:pPr>
      <w:pStyle w:val="Nagwek"/>
    </w:pPr>
    <w:r>
      <w:tab/>
    </w:r>
    <w:r>
      <w:rPr>
        <w:noProof/>
        <w:lang w:eastAsia="pl-PL"/>
      </w:rPr>
      <w:drawing>
        <wp:inline distT="0" distB="0" distL="0" distR="0" wp14:anchorId="5E204417" wp14:editId="16E119F9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EF0"/>
    <w:rsid w:val="00037CCC"/>
    <w:rsid w:val="00097888"/>
    <w:rsid w:val="000F13B5"/>
    <w:rsid w:val="00107377"/>
    <w:rsid w:val="00112CD7"/>
    <w:rsid w:val="00114920"/>
    <w:rsid w:val="00143602"/>
    <w:rsid w:val="001769E4"/>
    <w:rsid w:val="00186560"/>
    <w:rsid w:val="001915BB"/>
    <w:rsid w:val="00210D39"/>
    <w:rsid w:val="00212E83"/>
    <w:rsid w:val="00215CF8"/>
    <w:rsid w:val="00245031"/>
    <w:rsid w:val="00275A4C"/>
    <w:rsid w:val="0028030A"/>
    <w:rsid w:val="002966E7"/>
    <w:rsid w:val="002A2929"/>
    <w:rsid w:val="002A3530"/>
    <w:rsid w:val="002E088D"/>
    <w:rsid w:val="0030264F"/>
    <w:rsid w:val="00331245"/>
    <w:rsid w:val="00333037"/>
    <w:rsid w:val="003450B3"/>
    <w:rsid w:val="00347EC4"/>
    <w:rsid w:val="00354DF9"/>
    <w:rsid w:val="00386958"/>
    <w:rsid w:val="003A64A6"/>
    <w:rsid w:val="003D7BB3"/>
    <w:rsid w:val="0046453F"/>
    <w:rsid w:val="004A5B52"/>
    <w:rsid w:val="004C7B66"/>
    <w:rsid w:val="004D568D"/>
    <w:rsid w:val="004E1037"/>
    <w:rsid w:val="0052092D"/>
    <w:rsid w:val="0052349F"/>
    <w:rsid w:val="00523768"/>
    <w:rsid w:val="00540D75"/>
    <w:rsid w:val="005514E5"/>
    <w:rsid w:val="00580424"/>
    <w:rsid w:val="00601015"/>
    <w:rsid w:val="006028A1"/>
    <w:rsid w:val="006248D1"/>
    <w:rsid w:val="00631A28"/>
    <w:rsid w:val="00636A0A"/>
    <w:rsid w:val="00684060"/>
    <w:rsid w:val="006A36AD"/>
    <w:rsid w:val="006C1D96"/>
    <w:rsid w:val="007006AE"/>
    <w:rsid w:val="00703E15"/>
    <w:rsid w:val="0071773F"/>
    <w:rsid w:val="0073454C"/>
    <w:rsid w:val="00774515"/>
    <w:rsid w:val="007B7198"/>
    <w:rsid w:val="007C67A8"/>
    <w:rsid w:val="007D6BDC"/>
    <w:rsid w:val="007E4471"/>
    <w:rsid w:val="008357EA"/>
    <w:rsid w:val="00884E5F"/>
    <w:rsid w:val="00894B90"/>
    <w:rsid w:val="00895EF3"/>
    <w:rsid w:val="008C64D5"/>
    <w:rsid w:val="008E4302"/>
    <w:rsid w:val="00903D38"/>
    <w:rsid w:val="00950A60"/>
    <w:rsid w:val="009851E8"/>
    <w:rsid w:val="009B3B2C"/>
    <w:rsid w:val="009E3EF0"/>
    <w:rsid w:val="00A01052"/>
    <w:rsid w:val="00A04D9C"/>
    <w:rsid w:val="00A258BB"/>
    <w:rsid w:val="00A33541"/>
    <w:rsid w:val="00A45616"/>
    <w:rsid w:val="00AC7726"/>
    <w:rsid w:val="00B20DB3"/>
    <w:rsid w:val="00B40474"/>
    <w:rsid w:val="00B42837"/>
    <w:rsid w:val="00B7048F"/>
    <w:rsid w:val="00B7681D"/>
    <w:rsid w:val="00B80CA0"/>
    <w:rsid w:val="00B85770"/>
    <w:rsid w:val="00BF1CD9"/>
    <w:rsid w:val="00C37433"/>
    <w:rsid w:val="00C63262"/>
    <w:rsid w:val="00C72355"/>
    <w:rsid w:val="00C93CFB"/>
    <w:rsid w:val="00CA6FFE"/>
    <w:rsid w:val="00CF7BA6"/>
    <w:rsid w:val="00D42086"/>
    <w:rsid w:val="00D425B3"/>
    <w:rsid w:val="00DB59AF"/>
    <w:rsid w:val="00DE23A7"/>
    <w:rsid w:val="00E13DA8"/>
    <w:rsid w:val="00E373FB"/>
    <w:rsid w:val="00E55491"/>
    <w:rsid w:val="00E83DB6"/>
    <w:rsid w:val="00EA53E7"/>
    <w:rsid w:val="00F508C9"/>
    <w:rsid w:val="00F50CCD"/>
    <w:rsid w:val="00F5247C"/>
    <w:rsid w:val="00F62A45"/>
    <w:rsid w:val="00FA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C7AFC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pl-PL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character" w:styleId="Odwoaniedokomentarza">
    <w:name w:val="annotation reference"/>
    <w:basedOn w:val="Domylnaczcionkaakapitu"/>
    <w:semiHidden/>
    <w:unhideWhenUsed/>
    <w:rsid w:val="00275A4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75A4C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75A4C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75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75A4C"/>
    <w:rPr>
      <w:rFonts w:ascii="Verdana" w:hAnsi="Verdana"/>
      <w:b/>
      <w:bCs/>
    </w:rPr>
  </w:style>
  <w:style w:type="paragraph" w:styleId="Poprawka">
    <w:name w:val="Revision"/>
    <w:hidden/>
    <w:uiPriority w:val="99"/>
    <w:semiHidden/>
    <w:rsid w:val="00E13DA8"/>
    <w:rPr>
      <w:rFonts w:ascii="Verdana" w:hAnsi="Verdana"/>
      <w:szCs w:val="24"/>
    </w:rPr>
  </w:style>
  <w:style w:type="character" w:styleId="UyteHipercze">
    <w:name w:val="FollowedHyperlink"/>
    <w:basedOn w:val="Domylnaczcionkaakapitu"/>
    <w:semiHidden/>
    <w:unhideWhenUsed/>
    <w:rsid w:val="00B42837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58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echr.coe.int/NoteInformation/en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hudoc.echr.coe.int/eng?i=002-3269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4211</Characters>
  <Application>Microsoft Office Word</Application>
  <DocSecurity>4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2019-11-29T08:39:00Z</dcterms:created>
  <dcterms:modified xsi:type="dcterms:W3CDTF">2019-11-29T08:39:00Z</dcterms:modified>
</cp:coreProperties>
</file>