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49899F" w14:textId="5F0A5060" w:rsidR="00014566" w:rsidRPr="003969DB" w:rsidRDefault="005C7FCC" w:rsidP="00E05E5D">
      <w:pPr>
        <w:pStyle w:val="ECHRDecisionBody"/>
        <w:jc w:val="center"/>
      </w:pPr>
      <w:r w:rsidRPr="003969DB">
        <w:t>EUROPEJSKI TRYBUNAŁ PRAW CZŁOWIEKA</w:t>
      </w:r>
    </w:p>
    <w:p w14:paraId="643153BA" w14:textId="77777777" w:rsidR="00E71AAD" w:rsidRPr="003969DB" w:rsidRDefault="00E71AAD" w:rsidP="00E05E5D">
      <w:pPr>
        <w:pStyle w:val="ECHRDecisionBody"/>
        <w:jc w:val="center"/>
      </w:pPr>
    </w:p>
    <w:p w14:paraId="536604E6" w14:textId="77777777" w:rsidR="00E71AAD" w:rsidRPr="003969DB" w:rsidRDefault="00E71AAD" w:rsidP="00E05E5D">
      <w:pPr>
        <w:pStyle w:val="ECHRDecisionBody"/>
        <w:jc w:val="center"/>
      </w:pPr>
    </w:p>
    <w:p w14:paraId="0BD6CED7" w14:textId="77777777" w:rsidR="00014566" w:rsidRPr="00C447AD" w:rsidRDefault="0021107D" w:rsidP="00E05E5D">
      <w:pPr>
        <w:jc w:val="center"/>
      </w:pPr>
      <w:r>
        <w:t>SEKCJA CZWARTA</w:t>
      </w:r>
    </w:p>
    <w:p w14:paraId="4AC9B511" w14:textId="77777777" w:rsidR="00014566" w:rsidRPr="005C7FCC" w:rsidRDefault="00014566" w:rsidP="00014566">
      <w:pPr>
        <w:jc w:val="center"/>
      </w:pPr>
    </w:p>
    <w:p w14:paraId="37343866" w14:textId="77777777" w:rsidR="00E71AAD" w:rsidRPr="005C7FCC" w:rsidRDefault="00E71AAD" w:rsidP="00014566">
      <w:pPr>
        <w:jc w:val="center"/>
      </w:pPr>
    </w:p>
    <w:p w14:paraId="6964781F" w14:textId="77777777" w:rsidR="00E71AAD" w:rsidRPr="005C7FCC" w:rsidRDefault="00E71AAD" w:rsidP="00014566">
      <w:pPr>
        <w:jc w:val="center"/>
      </w:pPr>
    </w:p>
    <w:p w14:paraId="4E6119A6" w14:textId="77777777" w:rsidR="00E71AAD" w:rsidRPr="005C7FCC" w:rsidRDefault="00E71AAD" w:rsidP="00014566">
      <w:pPr>
        <w:jc w:val="center"/>
      </w:pPr>
    </w:p>
    <w:p w14:paraId="7E21CDB7" w14:textId="77777777" w:rsidR="00E71AAD" w:rsidRPr="005C7FCC" w:rsidRDefault="00E71AAD" w:rsidP="00014566">
      <w:pPr>
        <w:jc w:val="center"/>
      </w:pPr>
    </w:p>
    <w:p w14:paraId="71DDF291" w14:textId="77777777" w:rsidR="00E71AAD" w:rsidRPr="005C7FCC" w:rsidRDefault="00E71AAD" w:rsidP="00014566">
      <w:pPr>
        <w:jc w:val="center"/>
      </w:pPr>
    </w:p>
    <w:p w14:paraId="6AAFA613" w14:textId="77777777" w:rsidR="00014566" w:rsidRPr="00C447AD" w:rsidRDefault="00014566" w:rsidP="00014566">
      <w:pPr>
        <w:jc w:val="center"/>
        <w:rPr>
          <w:b/>
        </w:rPr>
      </w:pPr>
      <w:bookmarkStart w:id="0" w:name="To"/>
      <w:r>
        <w:rPr>
          <w:b/>
          <w:bCs/>
        </w:rPr>
        <w:t>SPRAWA MIERZEJEWSKI</w:t>
      </w:r>
      <w:bookmarkEnd w:id="0"/>
      <w:r>
        <w:rPr>
          <w:b/>
          <w:bCs/>
        </w:rPr>
        <w:t xml:space="preserve"> przeciwko POLSCE</w:t>
      </w:r>
    </w:p>
    <w:p w14:paraId="6F831B6A" w14:textId="77777777" w:rsidR="00014566" w:rsidRPr="005C7FCC" w:rsidRDefault="00014566" w:rsidP="00014566">
      <w:pPr>
        <w:jc w:val="center"/>
      </w:pPr>
    </w:p>
    <w:p w14:paraId="13BF9CA9" w14:textId="77777777" w:rsidR="00014566" w:rsidRPr="00C447AD" w:rsidRDefault="00014566" w:rsidP="00014566">
      <w:pPr>
        <w:jc w:val="center"/>
        <w:rPr>
          <w:i/>
        </w:rPr>
      </w:pPr>
      <w:r>
        <w:rPr>
          <w:i/>
        </w:rPr>
        <w:t>(Skarga nr 9916/13)</w:t>
      </w:r>
    </w:p>
    <w:p w14:paraId="38E9A948" w14:textId="77777777" w:rsidR="00014566" w:rsidRPr="005C7FCC" w:rsidRDefault="00014566" w:rsidP="00014566">
      <w:pPr>
        <w:jc w:val="center"/>
      </w:pPr>
    </w:p>
    <w:p w14:paraId="770FF73C" w14:textId="77777777" w:rsidR="00014566" w:rsidRPr="005C7FCC" w:rsidRDefault="00014566" w:rsidP="00014566">
      <w:pPr>
        <w:jc w:val="center"/>
      </w:pPr>
    </w:p>
    <w:p w14:paraId="3A8CAEF6" w14:textId="77777777" w:rsidR="00014566" w:rsidRPr="005C7FCC" w:rsidRDefault="00014566" w:rsidP="00014566">
      <w:pPr>
        <w:jc w:val="center"/>
      </w:pPr>
    </w:p>
    <w:p w14:paraId="4220D814" w14:textId="77777777" w:rsidR="00014566" w:rsidRPr="005C7FCC" w:rsidRDefault="00014566" w:rsidP="00014566">
      <w:pPr>
        <w:jc w:val="center"/>
      </w:pPr>
    </w:p>
    <w:p w14:paraId="010E4066" w14:textId="77777777" w:rsidR="00014566" w:rsidRPr="005C7FCC" w:rsidRDefault="00014566" w:rsidP="00014566">
      <w:pPr>
        <w:jc w:val="center"/>
      </w:pPr>
    </w:p>
    <w:p w14:paraId="1AC94753" w14:textId="77777777" w:rsidR="00014566" w:rsidRPr="005C7FCC" w:rsidRDefault="00014566" w:rsidP="00014566">
      <w:pPr>
        <w:jc w:val="center"/>
      </w:pPr>
    </w:p>
    <w:p w14:paraId="36C1EC75" w14:textId="77777777" w:rsidR="004C57DA" w:rsidRPr="005C7FCC" w:rsidRDefault="004C57DA" w:rsidP="002D671E">
      <w:pPr>
        <w:jc w:val="center"/>
        <w:rPr>
          <w:szCs w:val="24"/>
        </w:rPr>
      </w:pPr>
    </w:p>
    <w:p w14:paraId="48991769" w14:textId="77777777" w:rsidR="002D671E" w:rsidRPr="005C7FCC" w:rsidRDefault="002D671E" w:rsidP="002D671E">
      <w:pPr>
        <w:jc w:val="center"/>
        <w:rPr>
          <w:szCs w:val="24"/>
        </w:rPr>
      </w:pPr>
    </w:p>
    <w:p w14:paraId="342403A4" w14:textId="77777777" w:rsidR="00E05E5D" w:rsidRDefault="00E71AAD" w:rsidP="0056067E">
      <w:pPr>
        <w:jc w:val="center"/>
        <w:rPr>
          <w:szCs w:val="24"/>
        </w:rPr>
      </w:pPr>
      <w:r>
        <w:t>WYROK</w:t>
      </w:r>
    </w:p>
    <w:p w14:paraId="64AC8504" w14:textId="77777777" w:rsidR="0056067E" w:rsidRPr="005C7FCC" w:rsidRDefault="0056067E" w:rsidP="0056067E">
      <w:pPr>
        <w:jc w:val="center"/>
        <w:rPr>
          <w:szCs w:val="24"/>
        </w:rPr>
      </w:pPr>
    </w:p>
    <w:p w14:paraId="4977CD82" w14:textId="77777777" w:rsidR="0056067E" w:rsidRPr="005C7FCC" w:rsidRDefault="0056067E" w:rsidP="0056067E">
      <w:pPr>
        <w:jc w:val="center"/>
        <w:rPr>
          <w:szCs w:val="24"/>
        </w:rPr>
      </w:pPr>
    </w:p>
    <w:p w14:paraId="1413D304" w14:textId="77777777" w:rsidR="0056067E" w:rsidRPr="005C7FCC" w:rsidRDefault="0056067E" w:rsidP="0056067E">
      <w:pPr>
        <w:jc w:val="center"/>
        <w:rPr>
          <w:szCs w:val="24"/>
        </w:rPr>
      </w:pPr>
    </w:p>
    <w:p w14:paraId="5792EB50" w14:textId="77777777" w:rsidR="0056067E" w:rsidRPr="005C7FCC" w:rsidRDefault="0056067E" w:rsidP="0056067E">
      <w:pPr>
        <w:jc w:val="center"/>
        <w:rPr>
          <w:szCs w:val="24"/>
        </w:rPr>
      </w:pPr>
    </w:p>
    <w:p w14:paraId="3A5A3202" w14:textId="77777777" w:rsidR="00E71AAD" w:rsidRDefault="00E71AAD" w:rsidP="00E71AAD">
      <w:pPr>
        <w:jc w:val="center"/>
        <w:rPr>
          <w:szCs w:val="24"/>
        </w:rPr>
      </w:pPr>
      <w:r>
        <w:t>STRASBURG</w:t>
      </w:r>
    </w:p>
    <w:p w14:paraId="313D3751" w14:textId="77777777" w:rsidR="00E71AAD" w:rsidRPr="005C7FCC" w:rsidRDefault="00E71AAD" w:rsidP="00E71AAD">
      <w:pPr>
        <w:jc w:val="center"/>
        <w:rPr>
          <w:szCs w:val="24"/>
        </w:rPr>
      </w:pPr>
    </w:p>
    <w:p w14:paraId="147FE7EF" w14:textId="77777777" w:rsidR="00E71AAD" w:rsidRDefault="00E71AAD" w:rsidP="00E71AAD">
      <w:pPr>
        <w:jc w:val="center"/>
        <w:rPr>
          <w:szCs w:val="24"/>
        </w:rPr>
      </w:pPr>
      <w:r>
        <w:t>4 listopada 2014 r.</w:t>
      </w:r>
    </w:p>
    <w:p w14:paraId="09F17692" w14:textId="77777777" w:rsidR="00E71AAD" w:rsidRPr="005C7FCC" w:rsidRDefault="00E71AAD" w:rsidP="00E71AAD">
      <w:pPr>
        <w:jc w:val="center"/>
        <w:rPr>
          <w:szCs w:val="24"/>
        </w:rPr>
      </w:pPr>
    </w:p>
    <w:p w14:paraId="0F5E821A" w14:textId="77777777" w:rsidR="0056067E" w:rsidRPr="005C7FCC" w:rsidRDefault="0056067E" w:rsidP="00E71AAD">
      <w:pPr>
        <w:jc w:val="center"/>
        <w:rPr>
          <w:szCs w:val="24"/>
        </w:rPr>
      </w:pPr>
    </w:p>
    <w:p w14:paraId="37B1E8BA" w14:textId="77777777" w:rsidR="0056067E" w:rsidRPr="005C7FCC" w:rsidRDefault="0056067E" w:rsidP="00E71AAD">
      <w:pPr>
        <w:jc w:val="center"/>
        <w:rPr>
          <w:szCs w:val="24"/>
        </w:rPr>
      </w:pPr>
    </w:p>
    <w:p w14:paraId="3F39F3C6" w14:textId="77777777" w:rsidR="0056067E" w:rsidRPr="005C7FCC" w:rsidRDefault="0056067E" w:rsidP="00E71AAD">
      <w:pPr>
        <w:jc w:val="center"/>
        <w:rPr>
          <w:szCs w:val="24"/>
        </w:rPr>
      </w:pPr>
    </w:p>
    <w:p w14:paraId="2D49C25B" w14:textId="77777777" w:rsidR="00E71AAD" w:rsidRPr="005C7FCC" w:rsidRDefault="00E71AAD" w:rsidP="00E71AAD">
      <w:pPr>
        <w:jc w:val="center"/>
        <w:rPr>
          <w:szCs w:val="24"/>
        </w:rPr>
      </w:pPr>
    </w:p>
    <w:p w14:paraId="01B1E538" w14:textId="77777777" w:rsidR="00014566" w:rsidRPr="00C447AD" w:rsidRDefault="00E71AAD" w:rsidP="0056067E">
      <w:pPr>
        <w:jc w:val="center"/>
        <w:rPr>
          <w:szCs w:val="24"/>
        </w:rPr>
      </w:pPr>
      <w:r>
        <w:rPr>
          <w:i/>
          <w:sz w:val="22"/>
          <w:szCs w:val="24"/>
        </w:rPr>
        <w:t>Wyrok ten stał się ostateczny, lecz może podlegać korekcie wydawniczej.</w:t>
      </w:r>
    </w:p>
    <w:p w14:paraId="20B345C0" w14:textId="77777777" w:rsidR="00E71AAD" w:rsidRPr="005C7FCC" w:rsidRDefault="00E71AAD" w:rsidP="00D60D87">
      <w:pPr>
        <w:pStyle w:val="JuCase"/>
      </w:pPr>
    </w:p>
    <w:p w14:paraId="18879745" w14:textId="77777777" w:rsidR="00E05E5D" w:rsidRPr="005C7FCC" w:rsidRDefault="00E05E5D" w:rsidP="00E05E5D">
      <w:pPr>
        <w:sectPr w:rsidR="00E05E5D" w:rsidRPr="005C7FCC" w:rsidSect="00E71AAD">
          <w:headerReference w:type="even" r:id="rId11"/>
          <w:headerReference w:type="default" r:id="rId12"/>
          <w:footerReference w:type="even" r:id="rId13"/>
          <w:footerReference w:type="default" r:id="rId14"/>
          <w:headerReference w:type="first" r:id="rId15"/>
          <w:footerReference w:type="first" r:id="rId16"/>
          <w:footnotePr>
            <w:numRestart w:val="eachPage"/>
          </w:footnotePr>
          <w:pgSz w:w="11906" w:h="16838" w:code="9"/>
          <w:pgMar w:top="2274" w:right="2274" w:bottom="2274" w:left="2274" w:header="1701" w:footer="720" w:gutter="0"/>
          <w:pgNumType w:start="1"/>
          <w:cols w:space="720"/>
          <w:titlePg/>
          <w:docGrid w:linePitch="326"/>
        </w:sectPr>
      </w:pPr>
    </w:p>
    <w:p w14:paraId="24C2E53F" w14:textId="77777777" w:rsidR="00014566" w:rsidRPr="00C447AD" w:rsidRDefault="00014566" w:rsidP="00D60D87">
      <w:pPr>
        <w:pStyle w:val="JuCase"/>
        <w:rPr>
          <w:bCs/>
        </w:rPr>
      </w:pPr>
      <w:r>
        <w:lastRenderedPageBreak/>
        <w:t>W sprawie Mierzejewski przeciwko Polsce</w:t>
      </w:r>
    </w:p>
    <w:p w14:paraId="63E157AF" w14:textId="77777777" w:rsidR="00014566" w:rsidRPr="00C447AD" w:rsidRDefault="00014566" w:rsidP="005E2A43">
      <w:pPr>
        <w:pStyle w:val="ECHRPara"/>
      </w:pPr>
      <w:r>
        <w:t>Europejski Trybunał Praw Człowieka (sekcja czwarta), zasiadając jako Komitet w składzie:</w:t>
      </w:r>
    </w:p>
    <w:p w14:paraId="56EDBE72" w14:textId="5E62D477" w:rsidR="00014566" w:rsidRPr="00C447AD" w:rsidRDefault="00E71AAD" w:rsidP="00DF0549">
      <w:pPr>
        <w:pStyle w:val="ECHRDecisionBody"/>
      </w:pPr>
      <w:r>
        <w:tab/>
      </w:r>
      <w:proofErr w:type="spellStart"/>
      <w:r>
        <w:t>Päivi</w:t>
      </w:r>
      <w:proofErr w:type="spellEnd"/>
      <w:r>
        <w:t xml:space="preserve"> </w:t>
      </w:r>
      <w:proofErr w:type="spellStart"/>
      <w:r>
        <w:t>Hirvelä</w:t>
      </w:r>
      <w:proofErr w:type="spellEnd"/>
      <w:r>
        <w:t>,</w:t>
      </w:r>
      <w:r>
        <w:rPr>
          <w:i/>
        </w:rPr>
        <w:t xml:space="preserve"> Przewodnicząca,</w:t>
      </w:r>
      <w:r>
        <w:rPr>
          <w:i/>
        </w:rPr>
        <w:br/>
      </w:r>
      <w:r>
        <w:tab/>
        <w:t xml:space="preserve">George </w:t>
      </w:r>
      <w:proofErr w:type="spellStart"/>
      <w:r>
        <w:t>Nicolaou</w:t>
      </w:r>
      <w:proofErr w:type="spellEnd"/>
      <w:r>
        <w:t>,</w:t>
      </w:r>
      <w:r>
        <w:rPr>
          <w:i/>
        </w:rPr>
        <w:br/>
      </w:r>
      <w:r>
        <w:tab/>
      </w:r>
      <w:proofErr w:type="spellStart"/>
      <w:r>
        <w:t>Faris</w:t>
      </w:r>
      <w:proofErr w:type="spellEnd"/>
      <w:r>
        <w:t xml:space="preserve"> </w:t>
      </w:r>
      <w:proofErr w:type="spellStart"/>
      <w:r>
        <w:t>Vehabović</w:t>
      </w:r>
      <w:proofErr w:type="spellEnd"/>
      <w:r>
        <w:t>,</w:t>
      </w:r>
      <w:r>
        <w:rPr>
          <w:i/>
        </w:rPr>
        <w:t xml:space="preserve"> sędziowie,</w:t>
      </w:r>
      <w:r>
        <w:br/>
        <w:t xml:space="preserve">oraz </w:t>
      </w:r>
      <w:proofErr w:type="spellStart"/>
      <w:r>
        <w:t>Fatoş</w:t>
      </w:r>
      <w:proofErr w:type="spellEnd"/>
      <w:r>
        <w:t xml:space="preserve"> </w:t>
      </w:r>
      <w:proofErr w:type="spellStart"/>
      <w:r>
        <w:t>Aracı</w:t>
      </w:r>
      <w:proofErr w:type="spellEnd"/>
      <w:r>
        <w:t xml:space="preserve">, </w:t>
      </w:r>
      <w:r w:rsidR="005C7FCC">
        <w:rPr>
          <w:i/>
          <w:iCs/>
        </w:rPr>
        <w:t>Z</w:t>
      </w:r>
      <w:r>
        <w:rPr>
          <w:i/>
          <w:iCs/>
        </w:rPr>
        <w:t xml:space="preserve">astępca </w:t>
      </w:r>
      <w:r w:rsidR="005C7FCC">
        <w:rPr>
          <w:i/>
          <w:iCs/>
        </w:rPr>
        <w:t>K</w:t>
      </w:r>
      <w:r>
        <w:rPr>
          <w:i/>
          <w:iCs/>
        </w:rPr>
        <w:t xml:space="preserve">anclerza </w:t>
      </w:r>
      <w:r w:rsidR="005C7FCC">
        <w:rPr>
          <w:i/>
          <w:iCs/>
        </w:rPr>
        <w:t>S</w:t>
      </w:r>
      <w:r>
        <w:rPr>
          <w:i/>
          <w:iCs/>
        </w:rPr>
        <w:t>ekcji</w:t>
      </w:r>
      <w:r>
        <w:rPr>
          <w:i/>
        </w:rPr>
        <w:t>,</w:t>
      </w:r>
    </w:p>
    <w:p w14:paraId="79B00E80" w14:textId="77777777" w:rsidR="00014566" w:rsidRPr="00C447AD" w:rsidRDefault="00014566" w:rsidP="00C621C2">
      <w:pPr>
        <w:pStyle w:val="ECHRPara"/>
      </w:pPr>
      <w:r>
        <w:t>obradując na posiedzeniu niejawnym w dniu 14 października 2014 r.,</w:t>
      </w:r>
    </w:p>
    <w:p w14:paraId="722944B3" w14:textId="77777777" w:rsidR="00014566" w:rsidRPr="00C447AD" w:rsidRDefault="00014566" w:rsidP="00C621C2">
      <w:pPr>
        <w:pStyle w:val="ECHRPara"/>
      </w:pPr>
      <w:r>
        <w:t>wydaje następujący wyrok, który został przyjęty w tym dniu:</w:t>
      </w:r>
    </w:p>
    <w:p w14:paraId="343D7F23" w14:textId="77777777" w:rsidR="00014566" w:rsidRPr="00C447AD" w:rsidRDefault="00014566" w:rsidP="00014566">
      <w:pPr>
        <w:pStyle w:val="ECHRTitle1"/>
      </w:pPr>
      <w:r>
        <w:t>POSTĘPOWANIE</w:t>
      </w:r>
    </w:p>
    <w:p w14:paraId="36434226" w14:textId="4EDD64D9" w:rsidR="0021107D" w:rsidRDefault="00F838BB" w:rsidP="00C621C2">
      <w:pPr>
        <w:pStyle w:val="ECHRPara"/>
      </w:pPr>
      <w:r>
        <w:rPr>
          <w:noProof/>
        </w:rPr>
        <w:fldChar w:fldCharType="begin"/>
      </w:r>
      <w:r>
        <w:rPr>
          <w:noProof/>
        </w:rPr>
        <w:instrText xml:space="preserve"> SEQ level0 \*arabic </w:instrText>
      </w:r>
      <w:r>
        <w:rPr>
          <w:noProof/>
        </w:rPr>
        <w:fldChar w:fldCharType="separate"/>
      </w:r>
      <w:r w:rsidR="005C7FCC">
        <w:rPr>
          <w:noProof/>
        </w:rPr>
        <w:t>1</w:t>
      </w:r>
      <w:r>
        <w:rPr>
          <w:noProof/>
        </w:rPr>
        <w:fldChar w:fldCharType="end"/>
      </w:r>
      <w:r w:rsidR="0021107D">
        <w:t>.  Sprawa wywodzi się ze skargi (nr 9916/13) wniesionej do Trybunału przeciwko Rzeczypospolitej Polskiej na podstawie art. 34 Konwencji o</w:t>
      </w:r>
      <w:r w:rsidR="005C7FCC">
        <w:t> </w:t>
      </w:r>
      <w:r w:rsidR="0021107D">
        <w:t>ochronie praw człowieka i podstawowych wolności („Konwencji”) przez obywatela polskiego Krzysztofa Mierzejewskiego („skarżącego”) w dniu 23</w:t>
      </w:r>
      <w:r w:rsidR="005C7FCC">
        <w:t> </w:t>
      </w:r>
      <w:r w:rsidR="0021107D">
        <w:t>stycznia 2013 r.</w:t>
      </w:r>
    </w:p>
    <w:p w14:paraId="4D4D7CE0" w14:textId="77777777" w:rsidR="00014566" w:rsidRPr="00C447AD" w:rsidRDefault="00F838BB" w:rsidP="00C621C2">
      <w:pPr>
        <w:pStyle w:val="ECHRPara"/>
      </w:pPr>
      <w:r>
        <w:rPr>
          <w:noProof/>
        </w:rPr>
        <w:fldChar w:fldCharType="begin"/>
      </w:r>
      <w:r>
        <w:rPr>
          <w:noProof/>
        </w:rPr>
        <w:instrText xml:space="preserve"> SEQ level0 \*arabic </w:instrText>
      </w:r>
      <w:r>
        <w:rPr>
          <w:noProof/>
        </w:rPr>
        <w:fldChar w:fldCharType="separate"/>
      </w:r>
      <w:r w:rsidR="005C7FCC">
        <w:rPr>
          <w:noProof/>
        </w:rPr>
        <w:t>2</w:t>
      </w:r>
      <w:r>
        <w:rPr>
          <w:noProof/>
        </w:rPr>
        <w:fldChar w:fldCharType="end"/>
      </w:r>
      <w:r w:rsidR="0021107D">
        <w:t>.  Rząd polski („Rząd”) był reprezentowany przez swojego pełnomocnika J. Chrzanowską z Ministerstwa Spraw Zagranicznych.</w:t>
      </w:r>
    </w:p>
    <w:p w14:paraId="30BC8BBF" w14:textId="77777777" w:rsidR="0021107D" w:rsidRDefault="00F838BB" w:rsidP="00C621C2">
      <w:pPr>
        <w:pStyle w:val="ECHRPara"/>
      </w:pPr>
      <w:r>
        <w:rPr>
          <w:noProof/>
        </w:rPr>
        <w:fldChar w:fldCharType="begin"/>
      </w:r>
      <w:r>
        <w:rPr>
          <w:noProof/>
        </w:rPr>
        <w:instrText xml:space="preserve"> SEQ level0 \*arabic </w:instrText>
      </w:r>
      <w:r>
        <w:rPr>
          <w:noProof/>
        </w:rPr>
        <w:fldChar w:fldCharType="separate"/>
      </w:r>
      <w:r w:rsidR="005C7FCC">
        <w:rPr>
          <w:noProof/>
        </w:rPr>
        <w:t>3</w:t>
      </w:r>
      <w:r>
        <w:rPr>
          <w:noProof/>
        </w:rPr>
        <w:fldChar w:fldCharType="end"/>
      </w:r>
      <w:r w:rsidR="0021107D">
        <w:t>.  W dniu 9 grudnia 2013 r. skarga dotycząca przewlekłości tymczasowego aresztowania została zakomunikowana Rządowi, a pozostałą część skargi uznano za niedopuszczalną.</w:t>
      </w:r>
    </w:p>
    <w:p w14:paraId="4C49E737" w14:textId="238B65D2" w:rsidR="003A12F9" w:rsidRPr="00C447AD" w:rsidRDefault="00F838BB" w:rsidP="00C621C2">
      <w:pPr>
        <w:pStyle w:val="ECHRPara"/>
      </w:pPr>
      <w:r>
        <w:rPr>
          <w:noProof/>
        </w:rPr>
        <w:fldChar w:fldCharType="begin"/>
      </w:r>
      <w:r>
        <w:rPr>
          <w:noProof/>
        </w:rPr>
        <w:instrText xml:space="preserve"> SEQ level0 \*arabic </w:instrText>
      </w:r>
      <w:r>
        <w:rPr>
          <w:noProof/>
        </w:rPr>
        <w:fldChar w:fldCharType="separate"/>
      </w:r>
      <w:r w:rsidR="005C7FCC">
        <w:rPr>
          <w:noProof/>
        </w:rPr>
        <w:t>4</w:t>
      </w:r>
      <w:r>
        <w:rPr>
          <w:noProof/>
        </w:rPr>
        <w:fldChar w:fldCharType="end"/>
      </w:r>
      <w:r w:rsidR="003A12F9">
        <w:t xml:space="preserve">.  Rząd sprzeciwił się rozpatrzeniu skargi przez Komitet. Po rozpoznaniu sprzeciwu Rządu Trybunał </w:t>
      </w:r>
      <w:r w:rsidR="003969DB">
        <w:t xml:space="preserve">go </w:t>
      </w:r>
      <w:r w:rsidR="003A12F9">
        <w:t>oddala.</w:t>
      </w:r>
    </w:p>
    <w:p w14:paraId="4A381819" w14:textId="77777777" w:rsidR="00014566" w:rsidRPr="00C447AD" w:rsidRDefault="00014566" w:rsidP="00294C92">
      <w:pPr>
        <w:pStyle w:val="ECHRTitle1"/>
      </w:pPr>
      <w:r>
        <w:t>STAN FAKTYCZNY</w:t>
      </w:r>
    </w:p>
    <w:p w14:paraId="65015F3B" w14:textId="77777777" w:rsidR="00014566" w:rsidRPr="00C447AD" w:rsidRDefault="00014566" w:rsidP="00014566">
      <w:pPr>
        <w:pStyle w:val="ECHRHeading1"/>
      </w:pPr>
      <w:r>
        <w:t>I.  OKOLICZNOŚCI SPRAWY</w:t>
      </w:r>
    </w:p>
    <w:p w14:paraId="00AF46B6" w14:textId="77777777" w:rsidR="00014566" w:rsidRPr="00C447AD" w:rsidRDefault="00F838BB" w:rsidP="0056067E">
      <w:pPr>
        <w:pStyle w:val="ECHRPara"/>
      </w:pPr>
      <w:r>
        <w:rPr>
          <w:noProof/>
        </w:rPr>
        <w:fldChar w:fldCharType="begin"/>
      </w:r>
      <w:r>
        <w:rPr>
          <w:noProof/>
        </w:rPr>
        <w:instrText xml:space="preserve"> SEQ level0 \*arabic </w:instrText>
      </w:r>
      <w:r>
        <w:rPr>
          <w:noProof/>
        </w:rPr>
        <w:fldChar w:fldCharType="separate"/>
      </w:r>
      <w:r w:rsidR="005C7FCC">
        <w:rPr>
          <w:noProof/>
        </w:rPr>
        <w:t>5</w:t>
      </w:r>
      <w:r>
        <w:rPr>
          <w:noProof/>
        </w:rPr>
        <w:fldChar w:fldCharType="end"/>
      </w:r>
      <w:r w:rsidR="001763C7">
        <w:t>.  Skarżący urodził się w 1986 r. i obecnie przebywa w Areszcie Śledczym w Zamościu.</w:t>
      </w:r>
    </w:p>
    <w:p w14:paraId="5F385349" w14:textId="3314ACF3" w:rsidR="00957080" w:rsidRPr="00094CCE" w:rsidRDefault="00654B08" w:rsidP="00957080">
      <w:pPr>
        <w:pStyle w:val="ECHRPara"/>
      </w:pPr>
      <w:r>
        <w:rPr>
          <w:noProof/>
        </w:rPr>
        <w:fldChar w:fldCharType="begin"/>
      </w:r>
      <w:r>
        <w:rPr>
          <w:noProof/>
        </w:rPr>
        <w:instrText xml:space="preserve"> SEQ level0 \*arabic </w:instrText>
      </w:r>
      <w:r>
        <w:rPr>
          <w:noProof/>
        </w:rPr>
        <w:fldChar w:fldCharType="separate"/>
      </w:r>
      <w:r w:rsidR="005C7FCC">
        <w:rPr>
          <w:noProof/>
        </w:rPr>
        <w:t>6</w:t>
      </w:r>
      <w:r>
        <w:rPr>
          <w:noProof/>
        </w:rPr>
        <w:fldChar w:fldCharType="end"/>
      </w:r>
      <w:r w:rsidR="00E73940">
        <w:t xml:space="preserve">.  W dniu 15 października 2010 r. został zatrzymany pod zarzutem popełnienia szeregu przestępstw związanych z obrotem narkotykami </w:t>
      </w:r>
      <w:r w:rsidR="005C7FCC">
        <w:t>i </w:t>
      </w:r>
      <w:r w:rsidR="00E73940">
        <w:t>substancjami psychotropowymi w ramach zorganizowanej grupy przestępczej.</w:t>
      </w:r>
    </w:p>
    <w:p w14:paraId="0EE006F1" w14:textId="348CEC8C" w:rsidR="00E05E5D" w:rsidRDefault="00654B08" w:rsidP="00957080">
      <w:pPr>
        <w:pStyle w:val="ECHRPara"/>
      </w:pPr>
      <w:r>
        <w:rPr>
          <w:noProof/>
        </w:rPr>
        <w:fldChar w:fldCharType="begin"/>
      </w:r>
      <w:r>
        <w:rPr>
          <w:noProof/>
        </w:rPr>
        <w:instrText xml:space="preserve"> SEQ level0 \*arabic </w:instrText>
      </w:r>
      <w:r>
        <w:rPr>
          <w:noProof/>
        </w:rPr>
        <w:fldChar w:fldCharType="separate"/>
      </w:r>
      <w:r w:rsidR="005C7FCC">
        <w:rPr>
          <w:noProof/>
        </w:rPr>
        <w:t>7</w:t>
      </w:r>
      <w:r>
        <w:rPr>
          <w:noProof/>
        </w:rPr>
        <w:fldChar w:fldCharType="end"/>
      </w:r>
      <w:r w:rsidR="00E73940">
        <w:t xml:space="preserve">.  W dniu 17 października 2010 r. Sąd Rejonowy w Rzeszowie zastosował wobec skarżącego środek zapobiegawczy w postaci tymczasowego aresztowania na okres trzech miesięcy. Na poparcie swojego postanowienia sąd ten wskazał na uzasadnione podejrzenie, że skarżący popełnił przedmiotowe przestępstwa, oraz na uzasadnioną obawę, że będzie </w:t>
      </w:r>
      <w:r w:rsidR="00E73940">
        <w:lastRenderedPageBreak/>
        <w:t xml:space="preserve">utrudniał postępowanie, jako że przestępstwa zostały popełnione w ramach zorganizowanej grupy. Sąd nie podzielił stanowiska prokuratora, </w:t>
      </w:r>
      <w:r w:rsidR="005C7FCC">
        <w:t>według którego</w:t>
      </w:r>
      <w:r w:rsidR="00E73940">
        <w:t xml:space="preserve"> istniała uzasadniona obawa ucieczki lub ukrycia się skarżącego. Sąd nie znalazł ku temu uzasadnienia.</w:t>
      </w:r>
    </w:p>
    <w:p w14:paraId="43770E50" w14:textId="0479E503" w:rsidR="00E05E5D" w:rsidRDefault="00654B08" w:rsidP="002A6232">
      <w:pPr>
        <w:pStyle w:val="ECHRPara"/>
      </w:pPr>
      <w:r>
        <w:rPr>
          <w:noProof/>
        </w:rPr>
        <w:fldChar w:fldCharType="begin"/>
      </w:r>
      <w:r>
        <w:rPr>
          <w:noProof/>
        </w:rPr>
        <w:instrText xml:space="preserve"> SEQ level0 \*arabic </w:instrText>
      </w:r>
      <w:r>
        <w:rPr>
          <w:noProof/>
        </w:rPr>
        <w:fldChar w:fldCharType="separate"/>
      </w:r>
      <w:r w:rsidR="005C7FCC">
        <w:rPr>
          <w:noProof/>
        </w:rPr>
        <w:t>8</w:t>
      </w:r>
      <w:r>
        <w:rPr>
          <w:noProof/>
        </w:rPr>
        <w:fldChar w:fldCharType="end"/>
      </w:r>
      <w:r w:rsidR="00E73940">
        <w:t xml:space="preserve">.  W dniach 13 stycznia, 11 </w:t>
      </w:r>
      <w:r w:rsidR="00641AC6">
        <w:t xml:space="preserve">kwietnia </w:t>
      </w:r>
      <w:r w:rsidR="00E73940">
        <w:t>i 11 lipca 2011 r. Sąd Okręgowy w</w:t>
      </w:r>
      <w:r w:rsidR="005C7FCC">
        <w:t> </w:t>
      </w:r>
      <w:r w:rsidR="00E73940">
        <w:t xml:space="preserve">Rzeszowie przedłużył okres </w:t>
      </w:r>
      <w:r w:rsidR="003969DB">
        <w:t>za</w:t>
      </w:r>
      <w:r w:rsidR="00E73940">
        <w:t xml:space="preserve">stosowanego wobec skarżącego tymczasowego aresztowania. W uzasadnieniu tych postanowień sąd przytoczył </w:t>
      </w:r>
      <w:r w:rsidR="005C7FCC">
        <w:t>przesłanki</w:t>
      </w:r>
      <w:r w:rsidR="00E73940">
        <w:t>, na które powoływano się wcześniej. W postanowieniu z</w:t>
      </w:r>
      <w:r w:rsidR="005C7FCC">
        <w:t> </w:t>
      </w:r>
      <w:r w:rsidR="00E73940">
        <w:t>dnia 11 kwietnia 2011 r. sąd wskazał ponadto, że biorąc pod uwagę liczbę zarzucanych skarżącemu przestępstw, prawdopodobieństwo wymierzenia skarżącemu surowej kary w razie uznania go za winnego dodatkowo przemawiało za dalszym stosowaniem środka zapobiegawczego w postaci tymczasowego aresztowania.</w:t>
      </w:r>
    </w:p>
    <w:p w14:paraId="496CE6D5" w14:textId="53534715" w:rsidR="00957080" w:rsidRPr="003D766D" w:rsidRDefault="00654B08" w:rsidP="00957080">
      <w:pPr>
        <w:pStyle w:val="ECHRPara"/>
      </w:pPr>
      <w:r>
        <w:rPr>
          <w:noProof/>
        </w:rPr>
        <w:fldChar w:fldCharType="begin"/>
      </w:r>
      <w:r>
        <w:rPr>
          <w:noProof/>
        </w:rPr>
        <w:instrText xml:space="preserve"> SEQ level0 \*arabic </w:instrText>
      </w:r>
      <w:r>
        <w:rPr>
          <w:noProof/>
        </w:rPr>
        <w:fldChar w:fldCharType="separate"/>
      </w:r>
      <w:r w:rsidR="005C7FCC">
        <w:rPr>
          <w:noProof/>
        </w:rPr>
        <w:t>9</w:t>
      </w:r>
      <w:r>
        <w:rPr>
          <w:noProof/>
        </w:rPr>
        <w:fldChar w:fldCharType="end"/>
      </w:r>
      <w:r w:rsidR="00E73940">
        <w:t xml:space="preserve">.  Następnie w dniu 6 października 2011 r. Sąd Apelacyjny w Rzeszowie przedłużył okres </w:t>
      </w:r>
      <w:r w:rsidR="003969DB">
        <w:t>za</w:t>
      </w:r>
      <w:r w:rsidR="00E73940">
        <w:t>stosowan</w:t>
      </w:r>
      <w:r w:rsidR="005C7FCC">
        <w:t xml:space="preserve">ego </w:t>
      </w:r>
      <w:r w:rsidR="00E73940">
        <w:t>wobec skarżącego tymczasowego aresztowania do dnia 30 listopada 2011 r. W uzasadnieniu swojego postanowienia sąd ten przytoczył te same przesłanki co poprzednio, a</w:t>
      </w:r>
      <w:r w:rsidR="00641AC6">
        <w:t> </w:t>
      </w:r>
      <w:r w:rsidR="00E73940">
        <w:t xml:space="preserve">ponadto wskazał na szczególną zawiłość sprawy skarżącego, co uzasadniało przedłużenie okresu stosowania tymczasowego aresztowania </w:t>
      </w:r>
      <w:r w:rsidR="005C7FCC">
        <w:t>powyżej</w:t>
      </w:r>
      <w:r w:rsidR="00E73940">
        <w:t xml:space="preserve"> ustawow</w:t>
      </w:r>
      <w:r w:rsidR="005C7FCC">
        <w:t xml:space="preserve">ego </w:t>
      </w:r>
      <w:r w:rsidR="00E73940">
        <w:t>okres</w:t>
      </w:r>
      <w:r w:rsidR="005C7FCC">
        <w:t>u</w:t>
      </w:r>
      <w:r w:rsidR="00E73940">
        <w:t xml:space="preserve"> 12 miesięcy.</w:t>
      </w:r>
    </w:p>
    <w:p w14:paraId="71E05610" w14:textId="77777777" w:rsidR="00957080" w:rsidRPr="003D766D" w:rsidRDefault="00654B08" w:rsidP="00957080">
      <w:pPr>
        <w:pStyle w:val="ECHRPara"/>
      </w:pPr>
      <w:r>
        <w:rPr>
          <w:noProof/>
        </w:rPr>
        <w:fldChar w:fldCharType="begin"/>
      </w:r>
      <w:r>
        <w:rPr>
          <w:noProof/>
        </w:rPr>
        <w:instrText xml:space="preserve"> SEQ level0 \*arabic </w:instrText>
      </w:r>
      <w:r>
        <w:rPr>
          <w:noProof/>
        </w:rPr>
        <w:fldChar w:fldCharType="separate"/>
      </w:r>
      <w:r w:rsidR="005C7FCC">
        <w:rPr>
          <w:noProof/>
        </w:rPr>
        <w:t>10</w:t>
      </w:r>
      <w:r>
        <w:rPr>
          <w:noProof/>
        </w:rPr>
        <w:fldChar w:fldCharType="end"/>
      </w:r>
      <w:r w:rsidR="00E73940">
        <w:t>.  W dniu 7 listopada 2011 r. do Sądu Okręgowego w Zamościu wpłynął akt oskarżenia przeciwko skarżącemu oraz kilku innym współoskarżonym.</w:t>
      </w:r>
    </w:p>
    <w:p w14:paraId="4652981A" w14:textId="77777777" w:rsidR="00957080" w:rsidRPr="003D766D" w:rsidRDefault="00654B08" w:rsidP="00957080">
      <w:pPr>
        <w:pStyle w:val="ECHRPara"/>
      </w:pPr>
      <w:r>
        <w:rPr>
          <w:noProof/>
        </w:rPr>
        <w:fldChar w:fldCharType="begin"/>
      </w:r>
      <w:r>
        <w:rPr>
          <w:noProof/>
        </w:rPr>
        <w:instrText xml:space="preserve"> SEQ level0 \*arabic </w:instrText>
      </w:r>
      <w:r>
        <w:rPr>
          <w:noProof/>
        </w:rPr>
        <w:fldChar w:fldCharType="separate"/>
      </w:r>
      <w:r w:rsidR="005C7FCC">
        <w:rPr>
          <w:noProof/>
        </w:rPr>
        <w:t>11</w:t>
      </w:r>
      <w:r>
        <w:rPr>
          <w:noProof/>
        </w:rPr>
        <w:fldChar w:fldCharType="end"/>
      </w:r>
      <w:r w:rsidR="00E73940">
        <w:t>.  W dniu 23 listopada 2011 r. Sąd Okręgowy w Zamościu przedłużył okres stosowania wobec skarżącego tymczasowego aresztowania o kolejne trzy miesiące, tj. do dnia 29 lutego 2012 r. Nie powołano się na żadne nowe przesłanki.</w:t>
      </w:r>
    </w:p>
    <w:p w14:paraId="69A1F3B0" w14:textId="2F965AC7" w:rsidR="00957080" w:rsidRDefault="00654B08" w:rsidP="00957080">
      <w:pPr>
        <w:pStyle w:val="ECHRPara"/>
      </w:pPr>
      <w:r>
        <w:rPr>
          <w:noProof/>
        </w:rPr>
        <w:fldChar w:fldCharType="begin"/>
      </w:r>
      <w:r>
        <w:rPr>
          <w:noProof/>
        </w:rPr>
        <w:instrText xml:space="preserve"> SEQ level0 \*arabic </w:instrText>
      </w:r>
      <w:r>
        <w:rPr>
          <w:noProof/>
        </w:rPr>
        <w:fldChar w:fldCharType="separate"/>
      </w:r>
      <w:r w:rsidR="005C7FCC">
        <w:rPr>
          <w:noProof/>
        </w:rPr>
        <w:t>12</w:t>
      </w:r>
      <w:r>
        <w:rPr>
          <w:noProof/>
        </w:rPr>
        <w:fldChar w:fldCharType="end"/>
      </w:r>
      <w:r w:rsidR="00E73940">
        <w:t xml:space="preserve">.  Okres </w:t>
      </w:r>
      <w:r w:rsidR="003969DB">
        <w:t>za</w:t>
      </w:r>
      <w:r w:rsidR="00E73940">
        <w:t xml:space="preserve">stosowanego wobec skarżącego tymczasowego aresztowania skarżącego został </w:t>
      </w:r>
      <w:r w:rsidR="005C7FCC">
        <w:t>po raz kolejny</w:t>
      </w:r>
      <w:r w:rsidR="00E73940">
        <w:t xml:space="preserve"> przedłużony postanowieniem Sądu Apelacyjnego w Lublinie w dniu 30 maja 2012 r. Sąd Okręgowy wnioskował o przedłużenie tego okresu o trzy miesiące. Sąd uwzględnił wniosek prokuratora tylko częściowo, przedłużając okres tymczasowego aresztowania o dwa kolejne miesiące, tj. do dnia 4 sierpnia 2012 r., i wskazał, że </w:t>
      </w:r>
      <w:r w:rsidR="00567253">
        <w:t xml:space="preserve">okres nie mógł zostać </w:t>
      </w:r>
      <w:r w:rsidR="00E73940">
        <w:t>przedłuż</w:t>
      </w:r>
      <w:r w:rsidR="00567253">
        <w:t>ony</w:t>
      </w:r>
      <w:r w:rsidR="00E73940">
        <w:t xml:space="preserve"> do września z uwagi na to, że sąd pierwszej instancji zaplanował rozprawy tylko do końca czerwca 2012 r. Sąd uznał ponadto, że termin do 4 sierpnia 2012 r. powinien wystarczyć na zakończenie postępowania przed sądem pierwszej instancji.</w:t>
      </w:r>
    </w:p>
    <w:p w14:paraId="050E8367" w14:textId="08074E9A" w:rsidR="00E05E5D" w:rsidRDefault="00654B08" w:rsidP="00957080">
      <w:pPr>
        <w:pStyle w:val="ECHRPara"/>
      </w:pPr>
      <w:r>
        <w:rPr>
          <w:noProof/>
        </w:rPr>
        <w:fldChar w:fldCharType="begin"/>
      </w:r>
      <w:r>
        <w:rPr>
          <w:noProof/>
        </w:rPr>
        <w:instrText xml:space="preserve"> SEQ level0 \*arabic </w:instrText>
      </w:r>
      <w:r>
        <w:rPr>
          <w:noProof/>
        </w:rPr>
        <w:fldChar w:fldCharType="separate"/>
      </w:r>
      <w:r w:rsidR="005C7FCC">
        <w:rPr>
          <w:noProof/>
        </w:rPr>
        <w:t>13</w:t>
      </w:r>
      <w:r>
        <w:rPr>
          <w:noProof/>
        </w:rPr>
        <w:fldChar w:fldCharType="end"/>
      </w:r>
      <w:r w:rsidR="00E73940">
        <w:t xml:space="preserve">.  W dniu 1 sierpnia 2012 r. Sąd Apelacyjny w Lublinie ponownie tylko częściowo uwzględnił wniosek Sądu Okręgowego i przedłużył okres </w:t>
      </w:r>
      <w:r w:rsidR="003969DB">
        <w:t>za</w:t>
      </w:r>
      <w:r w:rsidR="00E73940">
        <w:t>stosowanego wobec skarżącego tymczasowego aresztowania o dwa kolejne miesiące, a nie o trzy miesiące, jak wnioskował Sąd Okręgowy. Sąd</w:t>
      </w:r>
      <w:r w:rsidR="005C7FCC">
        <w:t> </w:t>
      </w:r>
      <w:r w:rsidR="00E73940">
        <w:t xml:space="preserve">ponownie za podstawę przyjął te same przesłanki, przeanalizował przebieg postępowania i uznał, że termin do 4 października 2012 r. powinien wystarczyć na zakończenie postępowania. Sąd uzasadniał także nadzwyczajne przedłużenie okresu tymczasowego aresztowania zawiłością </w:t>
      </w:r>
      <w:r w:rsidR="00E73940">
        <w:lastRenderedPageBreak/>
        <w:t xml:space="preserve">sprawy wynikającą m.in. z charakteru materiału dowodowego; należało </w:t>
      </w:r>
      <w:r w:rsidR="005C7FCC">
        <w:t>przeprowadzić dowody w postaci zeznań</w:t>
      </w:r>
      <w:r w:rsidR="00E73940">
        <w:t xml:space="preserve"> anonimowych świadków, a część materiału dowodowego </w:t>
      </w:r>
      <w:r w:rsidR="005C7FCC">
        <w:t>objęto klauzulą</w:t>
      </w:r>
      <w:r w:rsidR="00E73940">
        <w:t xml:space="preserve"> poufn</w:t>
      </w:r>
      <w:r w:rsidR="005C7FCC">
        <w:t>ości</w:t>
      </w:r>
      <w:r w:rsidR="00E73940">
        <w:t>.</w:t>
      </w:r>
    </w:p>
    <w:p w14:paraId="18D3BF71" w14:textId="2C00FE03" w:rsidR="00815099" w:rsidRDefault="00654B08" w:rsidP="00815099">
      <w:pPr>
        <w:pStyle w:val="ECHRPara"/>
      </w:pPr>
      <w:r>
        <w:rPr>
          <w:noProof/>
        </w:rPr>
        <w:fldChar w:fldCharType="begin"/>
      </w:r>
      <w:r>
        <w:rPr>
          <w:noProof/>
        </w:rPr>
        <w:instrText xml:space="preserve"> SEQ level0 \*arabic </w:instrText>
      </w:r>
      <w:r>
        <w:rPr>
          <w:noProof/>
        </w:rPr>
        <w:fldChar w:fldCharType="separate"/>
      </w:r>
      <w:r w:rsidR="005C7FCC">
        <w:rPr>
          <w:noProof/>
        </w:rPr>
        <w:t>14</w:t>
      </w:r>
      <w:r>
        <w:rPr>
          <w:noProof/>
        </w:rPr>
        <w:fldChar w:fldCharType="end"/>
      </w:r>
      <w:r w:rsidR="00E73940">
        <w:t xml:space="preserve">.  W dniu 27 września 2012 r. Sąd Apelacyjny w Lublinie, przyjmując za podstawę te same przesłanki co poprzednio, przedłużył okres </w:t>
      </w:r>
      <w:r w:rsidR="003969DB">
        <w:t>za</w:t>
      </w:r>
      <w:r w:rsidR="00E73940">
        <w:t xml:space="preserve">stosowanego wobec skarżącego tymczasowego aresztowania do dnia 4 stycznia 2013 r. Sąd wskazał ponadto, że sporą część materiału dowodowego w postępowaniu przed sądem stanowiły rozmowy oskarżonego, które zostały nagrane </w:t>
      </w:r>
      <w:r w:rsidR="00265748">
        <w:t>w sposób tajny</w:t>
      </w:r>
      <w:r w:rsidR="00E73940">
        <w:t xml:space="preserve"> w wyniku przeprowadzenia związanych z nimi </w:t>
      </w:r>
      <w:r w:rsidR="00265748">
        <w:t>tajnych</w:t>
      </w:r>
      <w:r w:rsidR="00E73940">
        <w:t xml:space="preserve"> czynności operacyjno-rozpoznawczych. Oskarżeni i ich obrońcy wnioskowali o odsłuchanie nagrań </w:t>
      </w:r>
      <w:r w:rsidR="00E73940">
        <w:rPr>
          <w:i/>
          <w:iCs/>
        </w:rPr>
        <w:t>in extenso</w:t>
      </w:r>
      <w:r w:rsidR="00E73940">
        <w:t xml:space="preserve"> na rozprawie, co przełożyło się na długość trwania postępowania.</w:t>
      </w:r>
      <w:r w:rsidR="00E73940">
        <w:cr/>
      </w:r>
    </w:p>
    <w:p w14:paraId="0E640E4C" w14:textId="36254CD3" w:rsidR="00410610" w:rsidRDefault="00654B08" w:rsidP="00815099">
      <w:pPr>
        <w:pStyle w:val="ECHRPara"/>
      </w:pPr>
      <w:r>
        <w:rPr>
          <w:noProof/>
        </w:rPr>
        <w:fldChar w:fldCharType="begin"/>
      </w:r>
      <w:r>
        <w:rPr>
          <w:noProof/>
        </w:rPr>
        <w:instrText xml:space="preserve"> SEQ level0 \*arabic </w:instrText>
      </w:r>
      <w:r>
        <w:rPr>
          <w:noProof/>
        </w:rPr>
        <w:fldChar w:fldCharType="separate"/>
      </w:r>
      <w:r w:rsidR="005C7FCC">
        <w:rPr>
          <w:noProof/>
        </w:rPr>
        <w:t>15</w:t>
      </w:r>
      <w:r>
        <w:rPr>
          <w:noProof/>
        </w:rPr>
        <w:fldChar w:fldCharType="end"/>
      </w:r>
      <w:r w:rsidR="00E73940">
        <w:t xml:space="preserve">.  W dniu 28 grudnia 2012 r. Sąd Apelacyjny w Lublinie przedłużył okres </w:t>
      </w:r>
      <w:r w:rsidR="003969DB">
        <w:t>za</w:t>
      </w:r>
      <w:r w:rsidR="00E73940">
        <w:t>stosowanego wobec skarżącego tymczasowego aresztowania do dnia 2</w:t>
      </w:r>
      <w:r w:rsidR="005C7FCC">
        <w:t> </w:t>
      </w:r>
      <w:r w:rsidR="00E73940">
        <w:t>kwietnia 2013 r. Sąd przyjął za podstawę te same przesłanki, co poprzednio, przeanalizował przebieg postępowania i nie stwierdził nadmiernych opóźnień, przy czym wskazał, że okres zastosowanego tymczasowego aresztowania jest już wystarczająco długi oraz że sąd pierwszej instancji powinien zintensyfikować działania w celu zakończenia postępowania do upływu przedłużonego okresu tymczasowego aresztowania.</w:t>
      </w:r>
    </w:p>
    <w:p w14:paraId="2F852E96" w14:textId="7E2D8D61" w:rsidR="00FD0038" w:rsidRDefault="00654B08" w:rsidP="00815099">
      <w:pPr>
        <w:pStyle w:val="ECHRPara"/>
      </w:pPr>
      <w:r>
        <w:rPr>
          <w:noProof/>
        </w:rPr>
        <w:fldChar w:fldCharType="begin"/>
      </w:r>
      <w:r>
        <w:rPr>
          <w:noProof/>
        </w:rPr>
        <w:instrText xml:space="preserve"> SEQ level0 \*arabic </w:instrText>
      </w:r>
      <w:r>
        <w:rPr>
          <w:noProof/>
        </w:rPr>
        <w:fldChar w:fldCharType="separate"/>
      </w:r>
      <w:r w:rsidR="005C7FCC">
        <w:rPr>
          <w:noProof/>
        </w:rPr>
        <w:t>16</w:t>
      </w:r>
      <w:r>
        <w:rPr>
          <w:noProof/>
        </w:rPr>
        <w:fldChar w:fldCharType="end"/>
      </w:r>
      <w:r w:rsidR="00E73940">
        <w:t xml:space="preserve">.  W dniu 27 marca 2013 r. Sąd Apelacyjny w Lublinie ponownie przedłużył okres </w:t>
      </w:r>
      <w:r w:rsidR="003969DB">
        <w:t>za</w:t>
      </w:r>
      <w:r w:rsidR="00E73940">
        <w:t>stosowanego wobec skarżącego tymczasowego aresztowania do dnia 4 lipca 2013 r., uznając, że pomimo regularnego planowania rozpraw przez sąd pierwszej instancji, pewne obiektywne przeszkody nie pozwoliły mu na zakończenie postępowania.</w:t>
      </w:r>
    </w:p>
    <w:p w14:paraId="2358F414" w14:textId="6E741043" w:rsidR="00FD0038" w:rsidRDefault="00654B08" w:rsidP="00957080">
      <w:pPr>
        <w:pStyle w:val="ECHRPara"/>
      </w:pPr>
      <w:r>
        <w:rPr>
          <w:noProof/>
        </w:rPr>
        <w:fldChar w:fldCharType="begin"/>
      </w:r>
      <w:r>
        <w:rPr>
          <w:noProof/>
        </w:rPr>
        <w:instrText xml:space="preserve"> SEQ level0 \*arabic </w:instrText>
      </w:r>
      <w:r>
        <w:rPr>
          <w:noProof/>
        </w:rPr>
        <w:fldChar w:fldCharType="separate"/>
      </w:r>
      <w:r w:rsidR="005C7FCC">
        <w:rPr>
          <w:noProof/>
        </w:rPr>
        <w:t>17</w:t>
      </w:r>
      <w:r>
        <w:rPr>
          <w:noProof/>
        </w:rPr>
        <w:fldChar w:fldCharType="end"/>
      </w:r>
      <w:r w:rsidR="00E73940">
        <w:t xml:space="preserve">.  W dniu 26 czerwca 2013 r. Sąd Apelacyjny w Lublinie ponownie przedłużył okres </w:t>
      </w:r>
      <w:r w:rsidR="003969DB">
        <w:t>za</w:t>
      </w:r>
      <w:r w:rsidR="00E73940">
        <w:t>stosowanego wobec skarżącego tymczasowego aresztowania do dnia 4 października 2013 r.</w:t>
      </w:r>
      <w:r w:rsidR="005C7FCC">
        <w:t xml:space="preserve"> T</w:t>
      </w:r>
      <w:r w:rsidR="00E73940">
        <w:t>o nadzwyczajne przedłużenie było po</w:t>
      </w:r>
      <w:r w:rsidR="009337F7">
        <w:t xml:space="preserve"> raz kolejny </w:t>
      </w:r>
      <w:r w:rsidR="00E73940">
        <w:t>uzasadniane zawiłością sprawy.</w:t>
      </w:r>
    </w:p>
    <w:p w14:paraId="269876F6" w14:textId="36EFB80A" w:rsidR="00E05E5D" w:rsidRDefault="00654B08" w:rsidP="00957080">
      <w:pPr>
        <w:pStyle w:val="ECHRPara"/>
      </w:pPr>
      <w:r>
        <w:rPr>
          <w:noProof/>
        </w:rPr>
        <w:fldChar w:fldCharType="begin"/>
      </w:r>
      <w:r>
        <w:rPr>
          <w:noProof/>
        </w:rPr>
        <w:instrText xml:space="preserve"> SEQ level0 \*arabic </w:instrText>
      </w:r>
      <w:r>
        <w:rPr>
          <w:noProof/>
        </w:rPr>
        <w:fldChar w:fldCharType="separate"/>
      </w:r>
      <w:r w:rsidR="005C7FCC">
        <w:rPr>
          <w:noProof/>
        </w:rPr>
        <w:t>18</w:t>
      </w:r>
      <w:r>
        <w:rPr>
          <w:noProof/>
        </w:rPr>
        <w:fldChar w:fldCharType="end"/>
      </w:r>
      <w:r w:rsidR="00E73940">
        <w:t xml:space="preserve">.  W dniu 2 października 2013 r. Sąd Apelacyjny w Lublinie, przyjmując za podstawę te same przesłanki co poprzednio, ponownie przedłużył okres </w:t>
      </w:r>
      <w:r w:rsidR="003969DB">
        <w:t>za</w:t>
      </w:r>
      <w:r w:rsidR="00E73940">
        <w:t>stosowanego wobec skarżącego tymczasowego aresztowania do dnia 7 grudnia 2013 r.</w:t>
      </w:r>
    </w:p>
    <w:p w14:paraId="42189116" w14:textId="77777777" w:rsidR="00957080" w:rsidRDefault="00654B08" w:rsidP="00D606FC">
      <w:pPr>
        <w:pStyle w:val="ECHRPara"/>
      </w:pPr>
      <w:r>
        <w:rPr>
          <w:noProof/>
        </w:rPr>
        <w:fldChar w:fldCharType="begin"/>
      </w:r>
      <w:r>
        <w:rPr>
          <w:noProof/>
        </w:rPr>
        <w:instrText xml:space="preserve"> SEQ level0 \*arabic </w:instrText>
      </w:r>
      <w:r>
        <w:rPr>
          <w:noProof/>
        </w:rPr>
        <w:fldChar w:fldCharType="separate"/>
      </w:r>
      <w:r w:rsidR="005C7FCC">
        <w:rPr>
          <w:noProof/>
        </w:rPr>
        <w:t>19</w:t>
      </w:r>
      <w:r>
        <w:rPr>
          <w:noProof/>
        </w:rPr>
        <w:fldChar w:fldCharType="end"/>
      </w:r>
      <w:r w:rsidR="00E73940">
        <w:t>.  Skarżący wniósł zażalenie na to postanowienie.</w:t>
      </w:r>
    </w:p>
    <w:p w14:paraId="4382CB0A" w14:textId="452F7FFE" w:rsidR="00957080" w:rsidRDefault="00654B08" w:rsidP="004E4320">
      <w:pPr>
        <w:pStyle w:val="ECHRPara"/>
        <w:rPr>
          <w:rStyle w:val="sb8d990e2"/>
        </w:rPr>
      </w:pPr>
      <w:r>
        <w:rPr>
          <w:noProof/>
        </w:rPr>
        <w:fldChar w:fldCharType="begin"/>
      </w:r>
      <w:r>
        <w:rPr>
          <w:noProof/>
        </w:rPr>
        <w:instrText xml:space="preserve"> SEQ level0 \*arabic </w:instrText>
      </w:r>
      <w:r>
        <w:rPr>
          <w:noProof/>
        </w:rPr>
        <w:fldChar w:fldCharType="separate"/>
      </w:r>
      <w:r w:rsidR="005C7FCC">
        <w:rPr>
          <w:noProof/>
        </w:rPr>
        <w:t>20</w:t>
      </w:r>
      <w:r>
        <w:rPr>
          <w:noProof/>
        </w:rPr>
        <w:fldChar w:fldCharType="end"/>
      </w:r>
      <w:r w:rsidR="00E73940">
        <w:t xml:space="preserve">.  W dniu 5 listopada 2013 r. Sąd Apelacyjny w Lublinie zmienił zaskarżone postanowienie i stwierdził, </w:t>
      </w:r>
      <w:r w:rsidR="00E73940">
        <w:rPr>
          <w:rStyle w:val="sb8d990e2"/>
        </w:rPr>
        <w:t>że skarżący może zostać zwolniony za poręczeniem majątkowym w wysokości 50 000 złotych polskich (PLN) (ok. 12 000 euro (EUR</w:t>
      </w:r>
      <w:r w:rsidR="005260E2">
        <w:rPr>
          <w:rStyle w:val="sb8d990e2"/>
        </w:rPr>
        <w:t>)</w:t>
      </w:r>
      <w:r w:rsidR="00E73940">
        <w:rPr>
          <w:rStyle w:val="sb8d990e2"/>
        </w:rPr>
        <w:t>). Sąd uznał, że ten środek zapobiegawczy pozwoli na zapewnienie prawidłowego toku postępowania, nie podając przy tym szczegółowego uzasadnienia swojego postanowienia. Wskazał jedynie, że</w:t>
      </w:r>
      <w:r w:rsidR="00996D4B">
        <w:rPr>
          <w:rStyle w:val="sb8d990e2"/>
        </w:rPr>
        <w:t> </w:t>
      </w:r>
      <w:r w:rsidR="00E73940">
        <w:rPr>
          <w:rStyle w:val="sb8d990e2"/>
        </w:rPr>
        <w:t xml:space="preserve">poręczenie majątkowe powinno być nie tylko uzależnione od możliwości finansowych zainteresowanej osoby, ale również zapewniać prawidłowy tok </w:t>
      </w:r>
      <w:r w:rsidR="00E73940">
        <w:rPr>
          <w:rStyle w:val="sb8d990e2"/>
        </w:rPr>
        <w:lastRenderedPageBreak/>
        <w:t>postępowania. Powyższe postanowienie zostało wydane wskutek zażalenia, w związku z czym skarżącemu nie służył już żaden inny środek odwoławczy.</w:t>
      </w:r>
    </w:p>
    <w:p w14:paraId="0BB41481" w14:textId="66DE44F2" w:rsidR="00D606FC" w:rsidRDefault="00D606FC" w:rsidP="00957080">
      <w:pPr>
        <w:pStyle w:val="ECHRPara"/>
        <w:rPr>
          <w:rStyle w:val="sb8d990e2"/>
        </w:rPr>
      </w:pPr>
      <w:r>
        <w:rPr>
          <w:rStyle w:val="sb8d990e2"/>
        </w:rPr>
        <w:fldChar w:fldCharType="begin"/>
      </w:r>
      <w:r>
        <w:rPr>
          <w:rStyle w:val="sb8d990e2"/>
        </w:rPr>
        <w:instrText xml:space="preserve"> SEQ level0 \*arabic </w:instrText>
      </w:r>
      <w:r>
        <w:rPr>
          <w:rStyle w:val="sb8d990e2"/>
        </w:rPr>
        <w:fldChar w:fldCharType="separate"/>
      </w:r>
      <w:r w:rsidR="005C7FCC">
        <w:rPr>
          <w:rStyle w:val="sb8d990e2"/>
          <w:noProof/>
        </w:rPr>
        <w:t>21</w:t>
      </w:r>
      <w:r>
        <w:rPr>
          <w:rStyle w:val="sb8d990e2"/>
        </w:rPr>
        <w:fldChar w:fldCharType="end"/>
      </w:r>
      <w:r>
        <w:rPr>
          <w:rStyle w:val="sb8d990e2"/>
        </w:rPr>
        <w:t>.  W dniu 4 grudnia 2013 r.</w:t>
      </w:r>
      <w:r>
        <w:t xml:space="preserve"> Sąd Apelacyjny w Lublinie przedłużył okres </w:t>
      </w:r>
      <w:r w:rsidR="003969DB">
        <w:t>za</w:t>
      </w:r>
      <w:r>
        <w:t>stosowanego wobec skarżącego tymc</w:t>
      </w:r>
      <w:r w:rsidR="00920A9B">
        <w:t>zasowego aresztowania do dnia 7 </w:t>
      </w:r>
      <w:r>
        <w:t>lutego 2014 r.</w:t>
      </w:r>
    </w:p>
    <w:p w14:paraId="1683527C" w14:textId="6D6C15F8" w:rsidR="00C2317C" w:rsidRDefault="00654B08" w:rsidP="00B038C4">
      <w:pPr>
        <w:pStyle w:val="ECHRPara"/>
      </w:pPr>
      <w:r>
        <w:rPr>
          <w:noProof/>
        </w:rPr>
        <w:fldChar w:fldCharType="begin"/>
      </w:r>
      <w:r>
        <w:rPr>
          <w:noProof/>
        </w:rPr>
        <w:instrText xml:space="preserve"> SEQ level0 \*arabic </w:instrText>
      </w:r>
      <w:r>
        <w:rPr>
          <w:noProof/>
        </w:rPr>
        <w:fldChar w:fldCharType="separate"/>
      </w:r>
      <w:r w:rsidR="005C7FCC">
        <w:rPr>
          <w:noProof/>
        </w:rPr>
        <w:t>22</w:t>
      </w:r>
      <w:r>
        <w:rPr>
          <w:noProof/>
        </w:rPr>
        <w:fldChar w:fldCharType="end"/>
      </w:r>
      <w:r w:rsidR="00E73940">
        <w:t xml:space="preserve">.  W dniu 14 stycznia 2014 r. Sąd Okręgowy w Zamościu wydał wyrok skazujący wobec wszystkich sześciu członków grupy. Skarżący został uznany za winnego kierowania zorganizowaną grupą przestępczą zajmującą się przemytem marihuany z Holandii do Polski oraz organizującą </w:t>
      </w:r>
      <w:r w:rsidR="005C7FCC">
        <w:t>obrót</w:t>
      </w:r>
      <w:r w:rsidR="00E73940">
        <w:t xml:space="preserve"> marihuan</w:t>
      </w:r>
      <w:r w:rsidR="005C7FCC">
        <w:t>ą</w:t>
      </w:r>
      <w:r w:rsidR="00E73940">
        <w:t xml:space="preserve"> i tablet</w:t>
      </w:r>
      <w:r w:rsidR="005C7FCC">
        <w:t>kami</w:t>
      </w:r>
      <w:r w:rsidR="00E73940">
        <w:t xml:space="preserve"> </w:t>
      </w:r>
      <w:proofErr w:type="spellStart"/>
      <w:r w:rsidR="00E73940">
        <w:t>ecstasy</w:t>
      </w:r>
      <w:proofErr w:type="spellEnd"/>
      <w:r w:rsidR="00E73940">
        <w:t xml:space="preserve"> na terytorium Polski. Wymierzono mu karę ośmiu lat pozbawienia wolności i karę grzywny.</w:t>
      </w:r>
    </w:p>
    <w:p w14:paraId="47002CAC" w14:textId="50010DE6" w:rsidR="00C2317C" w:rsidRDefault="00654B08" w:rsidP="00C2317C">
      <w:pPr>
        <w:pStyle w:val="ECHRPara"/>
      </w:pPr>
      <w:r>
        <w:rPr>
          <w:noProof/>
        </w:rPr>
        <w:fldChar w:fldCharType="begin"/>
      </w:r>
      <w:r>
        <w:rPr>
          <w:noProof/>
        </w:rPr>
        <w:instrText xml:space="preserve"> SEQ level0 \*arabic </w:instrText>
      </w:r>
      <w:r>
        <w:rPr>
          <w:noProof/>
        </w:rPr>
        <w:fldChar w:fldCharType="separate"/>
      </w:r>
      <w:r w:rsidR="005C7FCC">
        <w:rPr>
          <w:noProof/>
        </w:rPr>
        <w:t>23</w:t>
      </w:r>
      <w:r>
        <w:rPr>
          <w:noProof/>
        </w:rPr>
        <w:fldChar w:fldCharType="end"/>
      </w:r>
      <w:r w:rsidR="00E73940">
        <w:t xml:space="preserve">.  Obecnie przed sądem drugiej instancji prowadzone jest </w:t>
      </w:r>
      <w:r w:rsidR="00E83582">
        <w:t xml:space="preserve">przeciwko </w:t>
      </w:r>
      <w:r w:rsidR="00E73940">
        <w:t>skarżącemu postępowanie karne wskutek wniesionej przez skarżącego apelacji. Skarżący nadal przebywa w areszcie śledczym.</w:t>
      </w:r>
    </w:p>
    <w:p w14:paraId="6CBEA337" w14:textId="04F0EEE0" w:rsidR="00957080" w:rsidRDefault="00654B08" w:rsidP="00957080">
      <w:pPr>
        <w:pStyle w:val="ECHRPara"/>
      </w:pPr>
      <w:r>
        <w:rPr>
          <w:noProof/>
        </w:rPr>
        <w:fldChar w:fldCharType="begin"/>
      </w:r>
      <w:r>
        <w:rPr>
          <w:noProof/>
        </w:rPr>
        <w:instrText xml:space="preserve"> SEQ level0 \*arabic </w:instrText>
      </w:r>
      <w:r>
        <w:rPr>
          <w:noProof/>
        </w:rPr>
        <w:fldChar w:fldCharType="separate"/>
      </w:r>
      <w:r w:rsidR="005C7FCC">
        <w:rPr>
          <w:noProof/>
        </w:rPr>
        <w:t>24</w:t>
      </w:r>
      <w:r>
        <w:rPr>
          <w:noProof/>
        </w:rPr>
        <w:fldChar w:fldCharType="end"/>
      </w:r>
      <w:r w:rsidR="00E73940">
        <w:t>.  Skarżący zaskarżył postanowienie z dnia 17 października 2010 r. w</w:t>
      </w:r>
      <w:r w:rsidR="005C7FCC">
        <w:t> </w:t>
      </w:r>
      <w:r w:rsidR="00E73940">
        <w:t>przedmiocie zastosowania wobec niego tymczasowego aresztowania, a</w:t>
      </w:r>
      <w:r w:rsidR="005C7FCC">
        <w:t> </w:t>
      </w:r>
      <w:r w:rsidR="00E73940">
        <w:t xml:space="preserve">także wszystkie postanowienia w przedmiocie przedłużenia okresu </w:t>
      </w:r>
      <w:r w:rsidR="003969DB">
        <w:t>za</w:t>
      </w:r>
      <w:r w:rsidR="00E73940">
        <w:t>stosowanego wobec niego tymczasowego aresztowania.</w:t>
      </w:r>
    </w:p>
    <w:p w14:paraId="688861ED" w14:textId="40D55C0A" w:rsidR="00957080" w:rsidRDefault="00654B08" w:rsidP="00957080">
      <w:pPr>
        <w:pStyle w:val="ECHRPara"/>
      </w:pPr>
      <w:r>
        <w:rPr>
          <w:noProof/>
        </w:rPr>
        <w:fldChar w:fldCharType="begin"/>
      </w:r>
      <w:r>
        <w:rPr>
          <w:noProof/>
        </w:rPr>
        <w:instrText xml:space="preserve"> SEQ level0 \*arabic </w:instrText>
      </w:r>
      <w:r>
        <w:rPr>
          <w:noProof/>
        </w:rPr>
        <w:fldChar w:fldCharType="separate"/>
      </w:r>
      <w:r w:rsidR="005C7FCC">
        <w:rPr>
          <w:noProof/>
        </w:rPr>
        <w:t>25</w:t>
      </w:r>
      <w:r>
        <w:rPr>
          <w:noProof/>
        </w:rPr>
        <w:fldChar w:fldCharType="end"/>
      </w:r>
      <w:r w:rsidR="00E73940">
        <w:t xml:space="preserve">.  W swoich rozstrzygnięciach dotyczących przedłużenia okresu tymczasowego aresztowania sądy przyjmowały za podstawę pierwotne przesłanki zastosowania wobec skarżącego tymczasowego aresztowania. Sądy podkreślały konieczność ujęcia pozostałych członków grupy przestępczej i uzyskania dodatkowych dowodów obciążających skarżącego. W ocenie sądów, gdyby skarżący został zwolniony, próbowałby utrudniać postępowanie, przekazując istotne informacje o prowadzonym postępowaniu przygotowawczym pozostałym członkom grupy przestępczej i wywierając wpływ na świadków. Sądy doszły do wniosku, że w sprawie skarżącego, która dotyczyła przestępczości zorganizowanej, tymczasowe aresztowanie pozostawało jedynym środkiem </w:t>
      </w:r>
      <w:r w:rsidR="00FA3126">
        <w:t xml:space="preserve">zapobiegawczym </w:t>
      </w:r>
      <w:r w:rsidR="00E73940">
        <w:t>mogącym zapewnić prawidłowy tok postępowania.</w:t>
      </w:r>
    </w:p>
    <w:p w14:paraId="53219F22" w14:textId="77777777" w:rsidR="00531774" w:rsidRPr="00C447AD" w:rsidRDefault="00531774" w:rsidP="00531774">
      <w:pPr>
        <w:pStyle w:val="ECHRHeading1"/>
      </w:pPr>
      <w:r>
        <w:t>II.  WŁAŚCIWE PRAWO KRAJOWE I PRAKTYKA</w:t>
      </w:r>
    </w:p>
    <w:p w14:paraId="4BE2B39E" w14:textId="607252BD" w:rsidR="00167E34" w:rsidRDefault="00654B08" w:rsidP="00876085">
      <w:pPr>
        <w:pStyle w:val="ECHRPara"/>
      </w:pPr>
      <w:r>
        <w:rPr>
          <w:noProof/>
        </w:rPr>
        <w:fldChar w:fldCharType="begin"/>
      </w:r>
      <w:r>
        <w:rPr>
          <w:noProof/>
        </w:rPr>
        <w:instrText xml:space="preserve"> SEQ level0 \*arabic </w:instrText>
      </w:r>
      <w:r>
        <w:rPr>
          <w:noProof/>
        </w:rPr>
        <w:fldChar w:fldCharType="separate"/>
      </w:r>
      <w:r w:rsidR="005C7FCC">
        <w:rPr>
          <w:noProof/>
        </w:rPr>
        <w:t>26</w:t>
      </w:r>
      <w:r>
        <w:rPr>
          <w:noProof/>
        </w:rPr>
        <w:fldChar w:fldCharType="end"/>
      </w:r>
      <w:r w:rsidR="00E73940">
        <w:t>.</w:t>
      </w:r>
      <w:r w:rsidR="00E73940">
        <w:tab/>
      </w:r>
      <w:r w:rsidR="00E73940">
        <w:rPr>
          <w:rStyle w:val="sb8d990e2"/>
        </w:rPr>
        <w:t>Właściwe prawo krajowe i praktyka w zakresie stosowania</w:t>
      </w:r>
      <w:r w:rsidR="00E73940">
        <w:rPr>
          <w:rStyle w:val="se8f51087"/>
        </w:rPr>
        <w:t xml:space="preserve"> tymczasowego aresztowania</w:t>
      </w:r>
      <w:r w:rsidR="00E73940">
        <w:rPr>
          <w:rStyle w:val="sb8d990e2"/>
        </w:rPr>
        <w:t>, przesłanek jego przedłużenia, uchylenia tymczasowego aresztowania oraz zasady stosowania innych</w:t>
      </w:r>
      <w:r w:rsidR="00E73940">
        <w:rPr>
          <w:rStyle w:val="se8f51087"/>
        </w:rPr>
        <w:t xml:space="preserve"> tzw. </w:t>
      </w:r>
      <w:r w:rsidR="00E73940">
        <w:rPr>
          <w:rStyle w:val="sb8d990e2"/>
        </w:rPr>
        <w:t>„środków zapobiegawczych” zostały</w:t>
      </w:r>
      <w:r w:rsidR="00E73940">
        <w:rPr>
          <w:rStyle w:val="s6b621b36"/>
          <w:i/>
        </w:rPr>
        <w:t xml:space="preserve"> </w:t>
      </w:r>
      <w:r w:rsidR="00E73940">
        <w:rPr>
          <w:rStyle w:val="sb8d990e2"/>
        </w:rPr>
        <w:t>ujęte w wyrokach wydanych przez Trybunał w</w:t>
      </w:r>
      <w:r w:rsidR="005C7FCC">
        <w:rPr>
          <w:rStyle w:val="sb8d990e2"/>
        </w:rPr>
        <w:t> </w:t>
      </w:r>
      <w:r w:rsidR="00E73940">
        <w:t xml:space="preserve">sprawach </w:t>
      </w:r>
      <w:r w:rsidR="00E73940">
        <w:rPr>
          <w:rStyle w:val="s6b621b36"/>
          <w:i/>
          <w:iCs/>
        </w:rPr>
        <w:t>Gołek przeciwko Polsce</w:t>
      </w:r>
      <w:r w:rsidR="00E73940">
        <w:t xml:space="preserve"> </w:t>
      </w:r>
      <w:r w:rsidR="00E73940">
        <w:rPr>
          <w:rStyle w:val="sb8d990e2"/>
        </w:rPr>
        <w:t xml:space="preserve">(skarga nr 31330/02, §§ 27-33, </w:t>
      </w:r>
      <w:r w:rsidR="00815DEA">
        <w:rPr>
          <w:rStyle w:val="sb8d990e2"/>
        </w:rPr>
        <w:t xml:space="preserve">z dnia </w:t>
      </w:r>
      <w:r w:rsidR="00E73940">
        <w:rPr>
          <w:rStyle w:val="sb8d990e2"/>
        </w:rPr>
        <w:t>25</w:t>
      </w:r>
      <w:r w:rsidR="005C7FCC">
        <w:rPr>
          <w:rStyle w:val="sb8d990e2"/>
        </w:rPr>
        <w:t> </w:t>
      </w:r>
      <w:r w:rsidR="00E73940">
        <w:rPr>
          <w:rStyle w:val="sb8d990e2"/>
        </w:rPr>
        <w:t>kwietnia 2006 r.) oraz</w:t>
      </w:r>
      <w:r w:rsidR="00E73940">
        <w:rPr>
          <w:rStyle w:val="s6b621b36"/>
          <w:i/>
        </w:rPr>
        <w:t xml:space="preserve"> </w:t>
      </w:r>
      <w:proofErr w:type="spellStart"/>
      <w:r w:rsidR="00E73940">
        <w:rPr>
          <w:rStyle w:val="s6b621b36"/>
          <w:i/>
          <w:iCs/>
        </w:rPr>
        <w:t>Celejewski</w:t>
      </w:r>
      <w:proofErr w:type="spellEnd"/>
      <w:r w:rsidR="00E73940">
        <w:rPr>
          <w:rStyle w:val="s6b621b36"/>
          <w:i/>
          <w:iCs/>
        </w:rPr>
        <w:t xml:space="preserve"> przeciwko Polsce</w:t>
      </w:r>
      <w:r w:rsidR="00E73940">
        <w:rPr>
          <w:rStyle w:val="sb8d990e2"/>
          <w:i/>
          <w:iCs/>
        </w:rPr>
        <w:t xml:space="preserve"> </w:t>
      </w:r>
      <w:r w:rsidR="00E73940">
        <w:rPr>
          <w:rStyle w:val="sb8d990e2"/>
        </w:rPr>
        <w:t>(skarga nr 17584/04, §§</w:t>
      </w:r>
      <w:r w:rsidR="005C7FCC">
        <w:rPr>
          <w:rStyle w:val="sb8d990e2"/>
        </w:rPr>
        <w:t> </w:t>
      </w:r>
      <w:r w:rsidR="00E73940">
        <w:rPr>
          <w:rStyle w:val="sb8d990e2"/>
        </w:rPr>
        <w:t xml:space="preserve">22-23, </w:t>
      </w:r>
      <w:r w:rsidR="00815DEA">
        <w:rPr>
          <w:rStyle w:val="sb8d990e2"/>
        </w:rPr>
        <w:t xml:space="preserve">z dnia </w:t>
      </w:r>
      <w:r w:rsidR="00E73940">
        <w:rPr>
          <w:rStyle w:val="sb8d990e2"/>
        </w:rPr>
        <w:t>4 maja 2006 r.).</w:t>
      </w:r>
    </w:p>
    <w:p w14:paraId="53118D30" w14:textId="77777777" w:rsidR="00014566" w:rsidRPr="00C447AD" w:rsidRDefault="00014566" w:rsidP="00014566">
      <w:pPr>
        <w:pStyle w:val="ECHRTitle1"/>
      </w:pPr>
      <w:r>
        <w:lastRenderedPageBreak/>
        <w:t>PRAWO</w:t>
      </w:r>
    </w:p>
    <w:p w14:paraId="63624DA4" w14:textId="77777777" w:rsidR="00014566" w:rsidRPr="00C447AD" w:rsidRDefault="00014566" w:rsidP="00014566">
      <w:pPr>
        <w:pStyle w:val="ECHRHeading1"/>
      </w:pPr>
      <w:r>
        <w:t>I.  ZARZUCANE NARUSZENIE ART. 5 UST. 3 KONWENCJI</w:t>
      </w:r>
    </w:p>
    <w:p w14:paraId="4D49794C" w14:textId="77777777" w:rsidR="0066470B" w:rsidRDefault="00654B08" w:rsidP="0066470B">
      <w:pPr>
        <w:pStyle w:val="ECHRPara"/>
      </w:pPr>
      <w:r>
        <w:rPr>
          <w:noProof/>
        </w:rPr>
        <w:fldChar w:fldCharType="begin"/>
      </w:r>
      <w:r>
        <w:rPr>
          <w:noProof/>
        </w:rPr>
        <w:instrText xml:space="preserve"> SEQ level0 \*arabic </w:instrText>
      </w:r>
      <w:r>
        <w:rPr>
          <w:noProof/>
        </w:rPr>
        <w:fldChar w:fldCharType="separate"/>
      </w:r>
      <w:r w:rsidR="005C7FCC">
        <w:rPr>
          <w:noProof/>
        </w:rPr>
        <w:t>27</w:t>
      </w:r>
      <w:r>
        <w:rPr>
          <w:noProof/>
        </w:rPr>
        <w:fldChar w:fldCharType="end"/>
      </w:r>
      <w:r w:rsidR="00E73940">
        <w:t>.  Powołując się na art. 5 ust. 3 Konwencji, skarżący sformułował zarzut przewlekłości zastosowanego wobec niego tymczasowego aresztowania oraz brak przytoczenia przez sądy odpowiednich i dostatecznych przesłanek uzasadniających zastosowanie wobec niego tymczasowego aresztowania.</w:t>
      </w:r>
    </w:p>
    <w:p w14:paraId="16BF47F5" w14:textId="77777777" w:rsidR="0066470B" w:rsidRDefault="0066470B" w:rsidP="0066470B">
      <w:pPr>
        <w:pStyle w:val="ECHRPara"/>
      </w:pPr>
      <w:r>
        <w:t>Artykuł 5 ust. 3 Konwencji, w istotnym dla sprawy zakresie, stanowi:</w:t>
      </w:r>
    </w:p>
    <w:p w14:paraId="43383255" w14:textId="77777777" w:rsidR="0066470B" w:rsidRPr="0059276B" w:rsidRDefault="0066470B" w:rsidP="0066470B">
      <w:pPr>
        <w:pStyle w:val="ECHRParaQuote"/>
      </w:pPr>
      <w:r>
        <w:t>„Każdy zatrzymany lub aresztowany zgodnie z postanowieniami ustępu 1 lit. c niniejszego artykułu [...] ma prawo być sądzony w rozsądnym terminie albo zwolniony na czas postępowania. Zwolnienie może zostać uzależnione od udzielenia gwarancji zapewniających stawienie się na rozprawę.”</w:t>
      </w:r>
    </w:p>
    <w:p w14:paraId="5DEFC6C9" w14:textId="77777777" w:rsidR="0066470B" w:rsidRPr="0059276B" w:rsidRDefault="00654B08" w:rsidP="0066470B">
      <w:pPr>
        <w:pStyle w:val="ECHRPara"/>
      </w:pPr>
      <w:r>
        <w:rPr>
          <w:noProof/>
        </w:rPr>
        <w:fldChar w:fldCharType="begin"/>
      </w:r>
      <w:r>
        <w:rPr>
          <w:noProof/>
        </w:rPr>
        <w:instrText xml:space="preserve"> SEQ level0 \*arabic </w:instrText>
      </w:r>
      <w:r>
        <w:rPr>
          <w:noProof/>
        </w:rPr>
        <w:fldChar w:fldCharType="separate"/>
      </w:r>
      <w:r w:rsidR="005C7FCC">
        <w:rPr>
          <w:noProof/>
        </w:rPr>
        <w:t>28</w:t>
      </w:r>
      <w:r>
        <w:rPr>
          <w:noProof/>
        </w:rPr>
        <w:fldChar w:fldCharType="end"/>
      </w:r>
      <w:r w:rsidR="00E73940">
        <w:t>.  Rząd zakwestionował to stanowisko.</w:t>
      </w:r>
    </w:p>
    <w:p w14:paraId="52A9FA0A" w14:textId="77777777" w:rsidR="0066470B" w:rsidRPr="0059276B" w:rsidRDefault="0066470B" w:rsidP="00742890">
      <w:pPr>
        <w:pStyle w:val="ECHRHeading2"/>
        <w:keepNext w:val="0"/>
        <w:keepLines w:val="0"/>
      </w:pPr>
      <w:r>
        <w:t>A.  Dopuszczalność skargi</w:t>
      </w:r>
    </w:p>
    <w:p w14:paraId="5DEA367C" w14:textId="77777777" w:rsidR="0066470B" w:rsidRDefault="0066470B" w:rsidP="00742890">
      <w:pPr>
        <w:pStyle w:val="ECHRPara"/>
        <w:rPr>
          <w:rStyle w:val="sb8d990e2"/>
        </w:rPr>
      </w:pPr>
      <w:r w:rsidRPr="0059276B">
        <w:rPr>
          <w:rStyle w:val="sb8d990e2"/>
        </w:rPr>
        <w:fldChar w:fldCharType="begin"/>
      </w:r>
      <w:r w:rsidRPr="0059276B">
        <w:rPr>
          <w:rStyle w:val="sb8d990e2"/>
        </w:rPr>
        <w:instrText xml:space="preserve"> SEQ level0 \*arabic </w:instrText>
      </w:r>
      <w:r w:rsidRPr="0059276B">
        <w:rPr>
          <w:rStyle w:val="sb8d990e2"/>
        </w:rPr>
        <w:fldChar w:fldCharType="separate"/>
      </w:r>
      <w:r w:rsidR="005C7FCC">
        <w:rPr>
          <w:rStyle w:val="sb8d990e2"/>
          <w:noProof/>
        </w:rPr>
        <w:t>29</w:t>
      </w:r>
      <w:r w:rsidRPr="0059276B">
        <w:rPr>
          <w:rStyle w:val="sb8d990e2"/>
        </w:rPr>
        <w:fldChar w:fldCharType="end"/>
      </w:r>
      <w:r>
        <w:rPr>
          <w:rStyle w:val="sb8d990e2"/>
        </w:rPr>
        <w:t>.  Rząd nie zakwestionował dopuszczalności skargi.</w:t>
      </w:r>
    </w:p>
    <w:p w14:paraId="7D391F9D" w14:textId="77777777" w:rsidR="0066470B" w:rsidRPr="0059276B" w:rsidRDefault="00654B08" w:rsidP="00742890">
      <w:pPr>
        <w:pStyle w:val="ECHRPara"/>
      </w:pPr>
      <w:r>
        <w:rPr>
          <w:noProof/>
        </w:rPr>
        <w:fldChar w:fldCharType="begin"/>
      </w:r>
      <w:r>
        <w:rPr>
          <w:noProof/>
        </w:rPr>
        <w:instrText xml:space="preserve"> SEQ level0 \*arabic </w:instrText>
      </w:r>
      <w:r>
        <w:rPr>
          <w:noProof/>
        </w:rPr>
        <w:fldChar w:fldCharType="separate"/>
      </w:r>
      <w:r w:rsidR="005C7FCC">
        <w:rPr>
          <w:noProof/>
        </w:rPr>
        <w:t>30</w:t>
      </w:r>
      <w:r>
        <w:rPr>
          <w:noProof/>
        </w:rPr>
        <w:fldChar w:fldCharType="end"/>
      </w:r>
      <w:r w:rsidR="00E73940">
        <w:t>.  Trybunał zauważa, że skarga nie jest w sposób oczywisty nieuzasadniona w rozumieniu art. 35 ust. 3 lit. a Konwencji. Trybunał wskazuje ponadto, że nie jest ona pod żadnym innym względem niedopuszczalna. Tym samym należy uznać ją za dopuszczalną.</w:t>
      </w:r>
    </w:p>
    <w:p w14:paraId="137ED1CF" w14:textId="77777777" w:rsidR="0066470B" w:rsidRPr="0059276B" w:rsidRDefault="0066470B" w:rsidP="0066470B">
      <w:pPr>
        <w:pStyle w:val="ECHRHeading2"/>
      </w:pPr>
      <w:r>
        <w:t>B.  Przedmiot skargi</w:t>
      </w:r>
    </w:p>
    <w:p w14:paraId="0343AAC6" w14:textId="77777777" w:rsidR="0066470B" w:rsidRPr="0059276B" w:rsidRDefault="0066470B" w:rsidP="0066470B">
      <w:pPr>
        <w:pStyle w:val="ECHRHeading3"/>
      </w:pPr>
      <w:r>
        <w:t>1.  Rozpatrywany okres</w:t>
      </w:r>
    </w:p>
    <w:p w14:paraId="55FB26B9" w14:textId="644301E0" w:rsidR="0066470B" w:rsidRDefault="00654B08" w:rsidP="00177B37">
      <w:pPr>
        <w:pStyle w:val="ECHRPara"/>
      </w:pPr>
      <w:r>
        <w:rPr>
          <w:noProof/>
        </w:rPr>
        <w:fldChar w:fldCharType="begin"/>
      </w:r>
      <w:r>
        <w:rPr>
          <w:noProof/>
        </w:rPr>
        <w:instrText xml:space="preserve"> SEQ level0 \*arabic </w:instrText>
      </w:r>
      <w:r>
        <w:rPr>
          <w:noProof/>
        </w:rPr>
        <w:fldChar w:fldCharType="separate"/>
      </w:r>
      <w:r w:rsidR="005C7FCC">
        <w:rPr>
          <w:noProof/>
        </w:rPr>
        <w:t>31</w:t>
      </w:r>
      <w:r>
        <w:rPr>
          <w:noProof/>
        </w:rPr>
        <w:fldChar w:fldCharType="end"/>
      </w:r>
      <w:r w:rsidR="00E73940">
        <w:t>.  Skarżący został zatrzymany w dniu 15 października, a w dniu 17</w:t>
      </w:r>
      <w:r w:rsidR="005C7FCC">
        <w:t> </w:t>
      </w:r>
      <w:r w:rsidR="00E73940">
        <w:t>października 2010 r. zastosowano wobec niego tymczasowe aresztowanie.</w:t>
      </w:r>
    </w:p>
    <w:p w14:paraId="1F097B47" w14:textId="0E95C829" w:rsidR="00177B37" w:rsidRPr="00177B37" w:rsidRDefault="00654B08" w:rsidP="004E4320">
      <w:pPr>
        <w:pStyle w:val="ECHRPara"/>
      </w:pPr>
      <w:r>
        <w:rPr>
          <w:noProof/>
        </w:rPr>
        <w:fldChar w:fldCharType="begin"/>
      </w:r>
      <w:r>
        <w:rPr>
          <w:noProof/>
        </w:rPr>
        <w:instrText xml:space="preserve"> SEQ level0 \*arabic </w:instrText>
      </w:r>
      <w:r>
        <w:rPr>
          <w:noProof/>
        </w:rPr>
        <w:fldChar w:fldCharType="separate"/>
      </w:r>
      <w:r w:rsidR="005C7FCC">
        <w:rPr>
          <w:noProof/>
        </w:rPr>
        <w:t>32</w:t>
      </w:r>
      <w:r>
        <w:rPr>
          <w:noProof/>
        </w:rPr>
        <w:fldChar w:fldCharType="end"/>
      </w:r>
      <w:r w:rsidR="00E73940">
        <w:t xml:space="preserve">.  Tymczasowe aresztowanie stosowano wobec skarżącego nieprzerwanie do czasu wydania wobec niego wyroku skazującego przez sąd pierwszej instancji w dniu 14 stycznia 2014 r. </w:t>
      </w:r>
      <w:r w:rsidR="00E73940">
        <w:rPr>
          <w:rFonts w:ascii="Times New Roman" w:hAnsi="Times New Roman"/>
          <w:szCs w:val="24"/>
        </w:rPr>
        <w:t>Od tego dnia skarżący był pozbawiony wolności „w wyniku skazania przez właściwy sąd” w</w:t>
      </w:r>
      <w:r w:rsidR="005C7FCC">
        <w:rPr>
          <w:rFonts w:ascii="Times New Roman" w:hAnsi="Times New Roman"/>
          <w:szCs w:val="24"/>
        </w:rPr>
        <w:t> </w:t>
      </w:r>
      <w:r w:rsidR="00E73940">
        <w:rPr>
          <w:rFonts w:ascii="Times New Roman" w:hAnsi="Times New Roman"/>
          <w:szCs w:val="24"/>
        </w:rPr>
        <w:t xml:space="preserve">rozumieniu art. 5 ust. 1 lit. a, w związku z czym okres pozbawienia wolności skarżącego nie wchodzi w zakres art. 5 ust. 3 (zob. </w:t>
      </w:r>
      <w:r w:rsidR="00E73940">
        <w:rPr>
          <w:rFonts w:ascii="Times New Roman" w:hAnsi="Times New Roman"/>
          <w:i/>
          <w:iCs/>
          <w:szCs w:val="24"/>
        </w:rPr>
        <w:t>Kudła przeciwko Polsce</w:t>
      </w:r>
      <w:r w:rsidR="00E73940">
        <w:rPr>
          <w:rFonts w:ascii="Times New Roman" w:hAnsi="Times New Roman"/>
          <w:szCs w:val="24"/>
        </w:rPr>
        <w:t xml:space="preserve"> [WI], skarga nr 30210/96, § 104).</w:t>
      </w:r>
    </w:p>
    <w:p w14:paraId="49CB04C5" w14:textId="77777777" w:rsidR="00177B37" w:rsidRPr="00177B37" w:rsidRDefault="00177B37" w:rsidP="00177B37">
      <w:pPr>
        <w:pStyle w:val="ECHRPara"/>
        <w:rPr>
          <w:rFonts w:ascii="Times New Roman" w:eastAsia="Times New Roman" w:hAnsi="Times New Roman" w:cs="Times New Roman"/>
          <w:szCs w:val="24"/>
        </w:rPr>
      </w:pPr>
      <w:r>
        <w:rPr>
          <w:rFonts w:ascii="Times New Roman" w:hAnsi="Times New Roman"/>
          <w:szCs w:val="24"/>
        </w:rPr>
        <w:t>Rozpatrywany okres wynosi zatem trzy lata, trzy miesiące i jeden dzień.</w:t>
      </w:r>
    </w:p>
    <w:p w14:paraId="0C82D954" w14:textId="77777777" w:rsidR="0066470B" w:rsidRPr="0059276B" w:rsidRDefault="0066470B" w:rsidP="0066470B">
      <w:pPr>
        <w:pStyle w:val="ECHRHeading3"/>
      </w:pPr>
      <w:r>
        <w:t>2.  Stanowisko stron</w:t>
      </w:r>
    </w:p>
    <w:p w14:paraId="12D8243D" w14:textId="77777777" w:rsidR="0066470B" w:rsidRPr="0059276B" w:rsidRDefault="0066470B" w:rsidP="0066470B">
      <w:pPr>
        <w:pStyle w:val="ECHRHeading4"/>
      </w:pPr>
      <w:r>
        <w:t>a) Skarżący</w:t>
      </w:r>
    </w:p>
    <w:p w14:paraId="08F2FEE5" w14:textId="77777777" w:rsidR="0066470B" w:rsidRPr="0059276B" w:rsidRDefault="00654B08" w:rsidP="0066470B">
      <w:pPr>
        <w:pStyle w:val="ECHRPara"/>
      </w:pPr>
      <w:r>
        <w:rPr>
          <w:noProof/>
        </w:rPr>
        <w:fldChar w:fldCharType="begin"/>
      </w:r>
      <w:r>
        <w:rPr>
          <w:noProof/>
        </w:rPr>
        <w:instrText xml:space="preserve"> SEQ level0 \*arabic </w:instrText>
      </w:r>
      <w:r>
        <w:rPr>
          <w:noProof/>
        </w:rPr>
        <w:fldChar w:fldCharType="separate"/>
      </w:r>
      <w:r w:rsidR="005C7FCC">
        <w:rPr>
          <w:noProof/>
        </w:rPr>
        <w:t>33</w:t>
      </w:r>
      <w:r>
        <w:rPr>
          <w:noProof/>
        </w:rPr>
        <w:fldChar w:fldCharType="end"/>
      </w:r>
      <w:r w:rsidR="00E73940">
        <w:t>.  Skarżący podniósł, że okres trwania zastosowanego wobec niego tymczasowego aresztowania był nadmierny i nieuzasadniony.</w:t>
      </w:r>
    </w:p>
    <w:p w14:paraId="6D295CA6" w14:textId="77777777" w:rsidR="0066470B" w:rsidRPr="0059276B" w:rsidRDefault="0066470B" w:rsidP="0066470B">
      <w:pPr>
        <w:pStyle w:val="ECHRHeading4"/>
      </w:pPr>
      <w:r>
        <w:lastRenderedPageBreak/>
        <w:t>b)  Rząd</w:t>
      </w:r>
    </w:p>
    <w:p w14:paraId="66D434C1" w14:textId="71B13EA5" w:rsidR="0066470B" w:rsidRPr="00177B37" w:rsidRDefault="00654B08" w:rsidP="0066470B">
      <w:pPr>
        <w:pStyle w:val="ECHRPara"/>
        <w:rPr>
          <w:rStyle w:val="sb8d990e2"/>
          <w:i/>
        </w:rPr>
      </w:pPr>
      <w:r>
        <w:rPr>
          <w:noProof/>
        </w:rPr>
        <w:fldChar w:fldCharType="begin"/>
      </w:r>
      <w:r>
        <w:rPr>
          <w:noProof/>
        </w:rPr>
        <w:instrText xml:space="preserve"> SEQ level0 \*arabic </w:instrText>
      </w:r>
      <w:r>
        <w:rPr>
          <w:noProof/>
        </w:rPr>
        <w:fldChar w:fldCharType="separate"/>
      </w:r>
      <w:r w:rsidR="005C7FCC">
        <w:rPr>
          <w:noProof/>
        </w:rPr>
        <w:t>34</w:t>
      </w:r>
      <w:r>
        <w:rPr>
          <w:noProof/>
        </w:rPr>
        <w:fldChar w:fldCharType="end"/>
      </w:r>
      <w:r w:rsidR="00E73940">
        <w:t>.  </w:t>
      </w:r>
      <w:r w:rsidR="00E73940">
        <w:rPr>
          <w:rStyle w:val="sb8d990e2"/>
        </w:rPr>
        <w:t xml:space="preserve">Rząd twierdził, że w niniejszej sprawie spełnione zostały wszystkie kryteria dotyczące zastosowania i przedłużenia okresu tymczasowego aresztowania. </w:t>
      </w:r>
      <w:r w:rsidR="0014107F">
        <w:rPr>
          <w:rStyle w:val="sb8d990e2"/>
        </w:rPr>
        <w:t xml:space="preserve">Zastosowano </w:t>
      </w:r>
      <w:r w:rsidR="00E73940">
        <w:rPr>
          <w:rStyle w:val="sb8d990e2"/>
        </w:rPr>
        <w:t>wobec skarżącego tymczasowe aresztowani</w:t>
      </w:r>
      <w:r w:rsidR="0014107F">
        <w:rPr>
          <w:rStyle w:val="sb8d990e2"/>
        </w:rPr>
        <w:t>e w</w:t>
      </w:r>
      <w:r w:rsidR="008D5F24">
        <w:rPr>
          <w:rStyle w:val="sb8d990e2"/>
        </w:rPr>
        <w:t> </w:t>
      </w:r>
      <w:r w:rsidR="0014107F">
        <w:rPr>
          <w:rStyle w:val="sb8d990e2"/>
        </w:rPr>
        <w:t>wyniku</w:t>
      </w:r>
      <w:r w:rsidR="00E73940">
        <w:rPr>
          <w:rStyle w:val="sb8d990e2"/>
        </w:rPr>
        <w:t xml:space="preserve"> uzasadnion</w:t>
      </w:r>
      <w:r w:rsidR="0014107F">
        <w:rPr>
          <w:rStyle w:val="sb8d990e2"/>
        </w:rPr>
        <w:t>ego</w:t>
      </w:r>
      <w:r w:rsidR="00E73940">
        <w:rPr>
          <w:rStyle w:val="sb8d990e2"/>
        </w:rPr>
        <w:t xml:space="preserve"> podejrzeni</w:t>
      </w:r>
      <w:r w:rsidR="0014107F">
        <w:rPr>
          <w:rStyle w:val="sb8d990e2"/>
        </w:rPr>
        <w:t>a</w:t>
      </w:r>
      <w:r w:rsidR="00E73940">
        <w:rPr>
          <w:rStyle w:val="sb8d990e2"/>
        </w:rPr>
        <w:t xml:space="preserve"> popełnienia przez skarżącego zarzucanych mu przestępstw, ciężarem gatunkowym tych przestępstw oraz surowością przewidywanej kary. W ocenie </w:t>
      </w:r>
      <w:r w:rsidR="0014107F">
        <w:rPr>
          <w:rStyle w:val="sb8d990e2"/>
        </w:rPr>
        <w:t xml:space="preserve">Rządu </w:t>
      </w:r>
      <w:r w:rsidR="00E73940">
        <w:rPr>
          <w:rStyle w:val="sb8d990e2"/>
        </w:rPr>
        <w:t>sprawa była bardzo zawiła z</w:t>
      </w:r>
      <w:r w:rsidR="005C7FCC">
        <w:rPr>
          <w:rStyle w:val="sb8d990e2"/>
        </w:rPr>
        <w:t> </w:t>
      </w:r>
      <w:r w:rsidR="00E73940">
        <w:rPr>
          <w:rStyle w:val="sb8d990e2"/>
        </w:rPr>
        <w:t xml:space="preserve">uwagi na fakt, że dotyczyła zorganizowanej grupy przestępczej działającej nie tylko w Polsce, ale także za granicą, co również przełożyło się na </w:t>
      </w:r>
      <w:r w:rsidR="0014107F">
        <w:rPr>
          <w:rStyle w:val="sb8d990e2"/>
        </w:rPr>
        <w:t xml:space="preserve">czas trwania </w:t>
      </w:r>
      <w:r w:rsidR="00E73940">
        <w:rPr>
          <w:rStyle w:val="sb8d990e2"/>
        </w:rPr>
        <w:t>postępowania, a</w:t>
      </w:r>
      <w:r w:rsidR="0014107F">
        <w:rPr>
          <w:rStyle w:val="sb8d990e2"/>
        </w:rPr>
        <w:t> </w:t>
      </w:r>
      <w:r w:rsidR="00E73940">
        <w:rPr>
          <w:rStyle w:val="sb8d990e2"/>
        </w:rPr>
        <w:t>w</w:t>
      </w:r>
      <w:r w:rsidR="0014107F">
        <w:rPr>
          <w:rStyle w:val="sb8d990e2"/>
        </w:rPr>
        <w:t> </w:t>
      </w:r>
      <w:r w:rsidR="00E73940">
        <w:rPr>
          <w:rStyle w:val="sb8d990e2"/>
        </w:rPr>
        <w:t xml:space="preserve">konsekwencji na </w:t>
      </w:r>
      <w:r w:rsidR="0014107F">
        <w:rPr>
          <w:rStyle w:val="sb8d990e2"/>
        </w:rPr>
        <w:t xml:space="preserve">czas tymczasowego aresztowania </w:t>
      </w:r>
      <w:r w:rsidR="00E73940">
        <w:rPr>
          <w:rStyle w:val="sb8d990e2"/>
        </w:rPr>
        <w:t>zastosowanego wobec skarżącego. Rząd powołał się w</w:t>
      </w:r>
      <w:r w:rsidR="008D5F24">
        <w:rPr>
          <w:rStyle w:val="sb8d990e2"/>
        </w:rPr>
        <w:t> </w:t>
      </w:r>
      <w:r w:rsidR="00E73940">
        <w:rPr>
          <w:rStyle w:val="sb8d990e2"/>
        </w:rPr>
        <w:t>szczególności na sprawę</w:t>
      </w:r>
      <w:r w:rsidR="00E73940">
        <w:t xml:space="preserve"> </w:t>
      </w:r>
      <w:proofErr w:type="spellStart"/>
      <w:r w:rsidR="00E73940">
        <w:rPr>
          <w:i/>
          <w:iCs/>
        </w:rPr>
        <w:t>Rażniak</w:t>
      </w:r>
      <w:proofErr w:type="spellEnd"/>
      <w:r w:rsidR="00E73940">
        <w:rPr>
          <w:i/>
          <w:iCs/>
        </w:rPr>
        <w:t xml:space="preserve"> przeciwko Polsce</w:t>
      </w:r>
      <w:r w:rsidR="00E73940">
        <w:t xml:space="preserve">, skarga nr 6767/03, </w:t>
      </w:r>
      <w:r w:rsidR="0014107F">
        <w:t>z</w:t>
      </w:r>
      <w:r w:rsidR="008D5F24">
        <w:t> </w:t>
      </w:r>
      <w:r w:rsidR="0014107F">
        <w:t xml:space="preserve">dnia </w:t>
      </w:r>
      <w:r w:rsidR="00E73940">
        <w:t>7 października 2008 r., w której uznano, że zastosowane wobec skarżącego tymczasowe aresztowanie, które trwało dwa lata i</w:t>
      </w:r>
      <w:r w:rsidR="0014107F">
        <w:t> </w:t>
      </w:r>
      <w:r w:rsidR="00E73940">
        <w:t>dziewięć miesięcy, nie stanowiło naruszenia art. 5 ust. 3 Konwencji.</w:t>
      </w:r>
    </w:p>
    <w:p w14:paraId="75F8B20B" w14:textId="37BD3115" w:rsidR="0066470B" w:rsidRDefault="0066470B" w:rsidP="0066470B">
      <w:pPr>
        <w:pStyle w:val="ECHRPara"/>
        <w:rPr>
          <w:rStyle w:val="sb8d990e2"/>
        </w:rPr>
      </w:pPr>
      <w:r w:rsidRPr="0059276B">
        <w:rPr>
          <w:rStyle w:val="sb8d990e2"/>
        </w:rPr>
        <w:fldChar w:fldCharType="begin"/>
      </w:r>
      <w:r w:rsidRPr="0059276B">
        <w:rPr>
          <w:rStyle w:val="sb8d990e2"/>
        </w:rPr>
        <w:instrText xml:space="preserve"> SEQ level0 \*arabic </w:instrText>
      </w:r>
      <w:r w:rsidRPr="0059276B">
        <w:rPr>
          <w:rStyle w:val="sb8d990e2"/>
        </w:rPr>
        <w:fldChar w:fldCharType="separate"/>
      </w:r>
      <w:r w:rsidR="005C7FCC">
        <w:rPr>
          <w:rStyle w:val="sb8d990e2"/>
          <w:noProof/>
        </w:rPr>
        <w:t>35</w:t>
      </w:r>
      <w:r w:rsidRPr="0059276B">
        <w:rPr>
          <w:rStyle w:val="sb8d990e2"/>
        </w:rPr>
        <w:fldChar w:fldCharType="end"/>
      </w:r>
      <w:r>
        <w:rPr>
          <w:rStyle w:val="sb8d990e2"/>
        </w:rPr>
        <w:t xml:space="preserve">.  Wreszcie, zdaniem Rządu, władze krajowe wykazały szczególną staranność w sprawie; rozprawy planowano w regularnych odstępach czasu. Zdaniem Rządu skarżący przyczynił się do nadmiernej długości postępowania, w szczególności wnioskując o przeprowadzenie na rozprawie dowodu z obszernych nagrań zeznań </w:t>
      </w:r>
      <w:r w:rsidR="0014107F">
        <w:rPr>
          <w:rStyle w:val="sb8d990e2"/>
        </w:rPr>
        <w:t xml:space="preserve">niektórych </w:t>
      </w:r>
      <w:r>
        <w:rPr>
          <w:rStyle w:val="sb8d990e2"/>
        </w:rPr>
        <w:t xml:space="preserve">świadków </w:t>
      </w:r>
      <w:r>
        <w:rPr>
          <w:rStyle w:val="sb8d990e2"/>
          <w:i/>
          <w:iCs/>
        </w:rPr>
        <w:t>in extenso</w:t>
      </w:r>
      <w:r>
        <w:rPr>
          <w:rStyle w:val="sb8d990e2"/>
        </w:rPr>
        <w:t>.</w:t>
      </w:r>
    </w:p>
    <w:p w14:paraId="60D33958" w14:textId="77777777" w:rsidR="0066470B" w:rsidRPr="0059276B" w:rsidRDefault="0066470B" w:rsidP="0066470B">
      <w:pPr>
        <w:pStyle w:val="ECHRHeading3"/>
      </w:pPr>
      <w:r>
        <w:t>3.  Ocena Trybunału</w:t>
      </w:r>
    </w:p>
    <w:p w14:paraId="224BCDCC" w14:textId="77777777" w:rsidR="0066470B" w:rsidRPr="0059276B" w:rsidRDefault="0066470B" w:rsidP="0066470B">
      <w:pPr>
        <w:pStyle w:val="ECHRHeading4"/>
      </w:pPr>
      <w:r>
        <w:t>a)  Zasady ogólne</w:t>
      </w:r>
    </w:p>
    <w:p w14:paraId="5122C301" w14:textId="7010D741" w:rsidR="0066470B" w:rsidRPr="0059276B" w:rsidRDefault="00654B08" w:rsidP="0066470B">
      <w:pPr>
        <w:pStyle w:val="ECHRPara"/>
      </w:pPr>
      <w:r>
        <w:rPr>
          <w:noProof/>
        </w:rPr>
        <w:fldChar w:fldCharType="begin"/>
      </w:r>
      <w:r>
        <w:rPr>
          <w:noProof/>
        </w:rPr>
        <w:instrText xml:space="preserve"> SEQ level0 \*arabic </w:instrText>
      </w:r>
      <w:r>
        <w:rPr>
          <w:noProof/>
        </w:rPr>
        <w:fldChar w:fldCharType="separate"/>
      </w:r>
      <w:r w:rsidR="005C7FCC">
        <w:rPr>
          <w:noProof/>
        </w:rPr>
        <w:t>36</w:t>
      </w:r>
      <w:r>
        <w:rPr>
          <w:noProof/>
        </w:rPr>
        <w:fldChar w:fldCharType="end"/>
      </w:r>
      <w:r w:rsidR="00E73940">
        <w:t xml:space="preserve">.  Trybunał </w:t>
      </w:r>
      <w:r w:rsidR="0014107F">
        <w:t>przypomina</w:t>
      </w:r>
      <w:r w:rsidR="00E73940">
        <w:t xml:space="preserve">, że zasady ogólne dotyczące prawa do procesu w rozsądnym terminie lub zwolnienia na czas postępowania, zagwarantowanego w art. 5 ust. 3 Konwencji zostały ujęte w szeregu wcześniejszych wyroków (zob. m.in. </w:t>
      </w:r>
      <w:r w:rsidR="00E73940">
        <w:rPr>
          <w:i/>
          <w:iCs/>
        </w:rPr>
        <w:t>Kudła przeciwko Polsce</w:t>
      </w:r>
      <w:r w:rsidR="00E73940">
        <w:t xml:space="preserve"> [WI], </w:t>
      </w:r>
      <w:r w:rsidR="00E73940">
        <w:rPr>
          <w:i/>
          <w:iCs/>
        </w:rPr>
        <w:t>op. cit.</w:t>
      </w:r>
      <w:r w:rsidR="00E73940">
        <w:t xml:space="preserve">, §§ 110 i nast., oraz </w:t>
      </w:r>
      <w:proofErr w:type="spellStart"/>
      <w:r w:rsidR="00E73940">
        <w:rPr>
          <w:i/>
          <w:iCs/>
        </w:rPr>
        <w:t>McKay</w:t>
      </w:r>
      <w:proofErr w:type="spellEnd"/>
      <w:r w:rsidR="00E73940">
        <w:rPr>
          <w:i/>
          <w:iCs/>
        </w:rPr>
        <w:t xml:space="preserve"> przeciwko Zjednoczonemu Królestwu</w:t>
      </w:r>
      <w:r w:rsidR="00E73940">
        <w:t xml:space="preserve"> [WI], skarga nr 543/03, §§ 41-44, ETPCz 2006-..., z dalszymi odniesieniami).</w:t>
      </w:r>
    </w:p>
    <w:p w14:paraId="3D9FEA89" w14:textId="77777777" w:rsidR="0066470B" w:rsidRPr="0059276B" w:rsidRDefault="0066470B" w:rsidP="0066470B">
      <w:pPr>
        <w:pStyle w:val="ECHRHeading4"/>
      </w:pPr>
      <w:r>
        <w:t>b)</w:t>
      </w:r>
      <w:r>
        <w:tab/>
        <w:t>Zastosowanie powyższych zasad w niniejszej sprawie</w:t>
      </w:r>
    </w:p>
    <w:p w14:paraId="3AF55632" w14:textId="2BC7C5F0" w:rsidR="00177B37" w:rsidRDefault="00654B08" w:rsidP="00B038C4">
      <w:pPr>
        <w:pStyle w:val="ECHRPara"/>
        <w:rPr>
          <w:highlight w:val="green"/>
        </w:rPr>
      </w:pPr>
      <w:r>
        <w:rPr>
          <w:noProof/>
        </w:rPr>
        <w:fldChar w:fldCharType="begin"/>
      </w:r>
      <w:r>
        <w:rPr>
          <w:noProof/>
        </w:rPr>
        <w:instrText xml:space="preserve"> SEQ level0 \*arabic </w:instrText>
      </w:r>
      <w:r>
        <w:rPr>
          <w:noProof/>
        </w:rPr>
        <w:fldChar w:fldCharType="separate"/>
      </w:r>
      <w:r w:rsidR="005C7FCC">
        <w:rPr>
          <w:noProof/>
        </w:rPr>
        <w:t>37</w:t>
      </w:r>
      <w:r>
        <w:rPr>
          <w:noProof/>
        </w:rPr>
        <w:fldChar w:fldCharType="end"/>
      </w:r>
      <w:r w:rsidR="00E73940">
        <w:t>.  W swoich postanowieniach w przedmiocie zastosowania tymczasowego aresztowania, wydanych we wszystkich prowadzonych przeciwko skarżącemu postępowaniach, początkowo władze powołały się tylko na dwie przesłanki, a mianowicie na wysokie prawdopodobieństwo popełnienia przez skarżącego przedmiotowych przestępstw oraz na konieczność zapewnienia prawidłowego toku postępowania w związku z</w:t>
      </w:r>
      <w:r w:rsidR="005C7FCC">
        <w:t> </w:t>
      </w:r>
      <w:r w:rsidR="00E73940">
        <w:t>obawą, że skarżący może próbować utrudniać postępowanie poprzez wywieranie presji na świadków. Dopiero w dniu 11 kwietnia 2011 r., tj. około czterech miesięcy po zatrzymaniu, przesłanki rozszerzono o surowość grożącej skarżącemu kary (zob. paragraf 8 powyżej).</w:t>
      </w:r>
    </w:p>
    <w:p w14:paraId="70F8A07E" w14:textId="271D3F80" w:rsidR="00E05E5D" w:rsidRDefault="00F838BB" w:rsidP="00B66C59">
      <w:pPr>
        <w:pStyle w:val="ECHRPara"/>
        <w:rPr>
          <w:highlight w:val="green"/>
        </w:rPr>
      </w:pPr>
      <w:r>
        <w:rPr>
          <w:noProof/>
        </w:rPr>
        <w:fldChar w:fldCharType="begin"/>
      </w:r>
      <w:r>
        <w:rPr>
          <w:noProof/>
        </w:rPr>
        <w:instrText xml:space="preserve"> SEQ level0 \*arabic </w:instrText>
      </w:r>
      <w:r>
        <w:rPr>
          <w:noProof/>
        </w:rPr>
        <w:fldChar w:fldCharType="separate"/>
      </w:r>
      <w:r w:rsidR="005C7FCC">
        <w:rPr>
          <w:noProof/>
        </w:rPr>
        <w:t>38</w:t>
      </w:r>
      <w:r>
        <w:rPr>
          <w:noProof/>
        </w:rPr>
        <w:fldChar w:fldCharType="end"/>
      </w:r>
      <w:r w:rsidR="00177B37">
        <w:t>.  Trybunał zauważa ponadto, że sądy wydające postanowienia w</w:t>
      </w:r>
      <w:r w:rsidR="00276AC4">
        <w:t> </w:t>
      </w:r>
      <w:r w:rsidR="00177B37">
        <w:t xml:space="preserve">przedmiocie przedłużenia okresu stosowanego wobec skarżącego </w:t>
      </w:r>
      <w:r w:rsidR="00177B37">
        <w:lastRenderedPageBreak/>
        <w:t>tymczasowego aresztowania wyraźnie zaprzeczyły istnieniu jakichkolwiek przesłanek, które uzasadniałyby obawę ucieczki lub ukrycia się skarżącego (zob. paragraf 7 powyżej). Po dwunastu miesiącach stosowania tymczasowego aresztowania sądy krajowe były zobowiązane uzasadnić dalsze stosowanie tymczasowego aresztowania jedną z przesłanek wymienionych w odpowiednich przepisach Kodeksu postępowania karnego. Od dnia 6 października 2011 r. sądy dodatkowo powoływały się na dużą zawiłość sprawy. Rzeczywiście sprawa była w pewnym stopniu zawiła; w</w:t>
      </w:r>
      <w:r w:rsidR="005C7FCC">
        <w:t> </w:t>
      </w:r>
      <w:r w:rsidR="00177B37">
        <w:t xml:space="preserve">szczególności Trybunał zdaje sobie sprawę z tego, że dotyczyła ona grupy przestępczej liczącej sześciu członków, </w:t>
      </w:r>
      <w:r w:rsidR="00276AC4">
        <w:t xml:space="preserve">która </w:t>
      </w:r>
      <w:r w:rsidR="00177B37">
        <w:t>działała na terytorium Polski i</w:t>
      </w:r>
      <w:r w:rsidR="005C7FCC">
        <w:t> </w:t>
      </w:r>
      <w:r w:rsidR="00177B37">
        <w:t>za granicą, było wielu świadków, którzy mieli składać zeznania, w tym dwóch anonimowych świadków, których przesłuchanie nie zależało wyłącznie od harmonogram sądu pierwszej instancji. Trybunał zauważa również, że sąd pierwszej instancji przeprowadził dużą liczbę rozpraw, które planowano w regularnych odstępach czasu.</w:t>
      </w:r>
    </w:p>
    <w:p w14:paraId="0D31E3EF" w14:textId="2B76B0AC" w:rsidR="00192EF7" w:rsidRPr="0059276B" w:rsidRDefault="00654B08" w:rsidP="00192EF7">
      <w:pPr>
        <w:pStyle w:val="ECHRPara"/>
      </w:pPr>
      <w:r>
        <w:rPr>
          <w:noProof/>
        </w:rPr>
        <w:fldChar w:fldCharType="begin"/>
      </w:r>
      <w:r>
        <w:rPr>
          <w:noProof/>
        </w:rPr>
        <w:instrText xml:space="preserve"> SEQ level0 \*arabic </w:instrText>
      </w:r>
      <w:r>
        <w:rPr>
          <w:noProof/>
        </w:rPr>
        <w:fldChar w:fldCharType="separate"/>
      </w:r>
      <w:r w:rsidR="005C7FCC">
        <w:rPr>
          <w:noProof/>
        </w:rPr>
        <w:t>39</w:t>
      </w:r>
      <w:r>
        <w:rPr>
          <w:noProof/>
        </w:rPr>
        <w:fldChar w:fldCharType="end"/>
      </w:r>
      <w:r w:rsidR="00E73940">
        <w:t>.  Trybunał przyjmuje, że uzasadnione podejrzenie popełnienia przez skarżącego wyżej wymienionych poważnych przestępstw mogło początkowo uzasadniać zastosowane wobec niego tymczasowe aresztowanie. Ponadto konieczność zabezpieczenia prawidłowego toku postępowania, w</w:t>
      </w:r>
      <w:r w:rsidR="005C7FCC">
        <w:t> </w:t>
      </w:r>
      <w:r w:rsidR="00E73940">
        <w:t>szczególności proces uzyskiwania zeznań świadków, stanowił ważną przesłankę początkowego zastosowania wobec skarżącego tymczasowego aresztowania.</w:t>
      </w:r>
    </w:p>
    <w:p w14:paraId="4E01F980" w14:textId="275C722A" w:rsidR="00192EF7" w:rsidRPr="0059276B" w:rsidRDefault="00654B08" w:rsidP="00192EF7">
      <w:pPr>
        <w:pStyle w:val="ECHRPara"/>
      </w:pPr>
      <w:r>
        <w:rPr>
          <w:noProof/>
        </w:rPr>
        <w:fldChar w:fldCharType="begin"/>
      </w:r>
      <w:r>
        <w:rPr>
          <w:noProof/>
        </w:rPr>
        <w:instrText xml:space="preserve"> SEQ level0 \*arabic </w:instrText>
      </w:r>
      <w:r>
        <w:rPr>
          <w:noProof/>
        </w:rPr>
        <w:fldChar w:fldCharType="separate"/>
      </w:r>
      <w:r w:rsidR="005C7FCC">
        <w:rPr>
          <w:noProof/>
        </w:rPr>
        <w:t>40</w:t>
      </w:r>
      <w:r>
        <w:rPr>
          <w:noProof/>
        </w:rPr>
        <w:fldChar w:fldCharType="end"/>
      </w:r>
      <w:r w:rsidR="00E73940">
        <w:t xml:space="preserve">.  Prawdopodobieństwo wymierzenia skarżącemu surowej kary również stanowiło przesłankę dalszego zastosowania wobec niego tymczasowego aresztowania. Trybunał przypomina jednak, że chociaż surowość grożącej kary stanowi istotny element w ocenie obawy ucieczki lub ponownego popełnienia przestępstwa, waga zarzutów nie może sama w sobie uzasadniać długiego okresu stosowania tymczasowego aresztowania (zob. </w:t>
      </w:r>
      <w:r w:rsidR="00E73940">
        <w:rPr>
          <w:i/>
          <w:iCs/>
        </w:rPr>
        <w:t>Michta przeciwko Polsce</w:t>
      </w:r>
      <w:r w:rsidR="00E73940">
        <w:t xml:space="preserve">, skarga nr 13425/02, § 49, </w:t>
      </w:r>
      <w:r w:rsidR="00276AC4">
        <w:t xml:space="preserve">z dnia </w:t>
      </w:r>
      <w:r w:rsidR="00E73940">
        <w:t>4 maja 2006 r.).</w:t>
      </w:r>
    </w:p>
    <w:p w14:paraId="3CCD8DC0" w14:textId="5BAF3170" w:rsidR="00192EF7" w:rsidRPr="00192EF7" w:rsidRDefault="00654B08" w:rsidP="0056067E">
      <w:pPr>
        <w:pStyle w:val="ECHRPara"/>
      </w:pPr>
      <w:r>
        <w:rPr>
          <w:noProof/>
        </w:rPr>
        <w:fldChar w:fldCharType="begin"/>
      </w:r>
      <w:r>
        <w:rPr>
          <w:noProof/>
        </w:rPr>
        <w:instrText xml:space="preserve"> SEQ level0 \*arabic </w:instrText>
      </w:r>
      <w:r>
        <w:rPr>
          <w:noProof/>
        </w:rPr>
        <w:fldChar w:fldCharType="separate"/>
      </w:r>
      <w:r w:rsidR="005C7FCC">
        <w:rPr>
          <w:noProof/>
        </w:rPr>
        <w:t>41</w:t>
      </w:r>
      <w:r>
        <w:rPr>
          <w:noProof/>
        </w:rPr>
        <w:fldChar w:fldCharType="end"/>
      </w:r>
      <w:r w:rsidR="00E73940">
        <w:t xml:space="preserve">.  Chociaż wszystkie wskazane powyżej czynniki mogą uzasadniać nawet stosunkowo długi okres stosowania tymczasowego aresztowania, </w:t>
      </w:r>
      <w:r w:rsidR="005C7FCC">
        <w:t xml:space="preserve">to </w:t>
      </w:r>
      <w:r w:rsidR="00E73940">
        <w:t>nie</w:t>
      </w:r>
      <w:r w:rsidR="005C7FCC">
        <w:t> </w:t>
      </w:r>
      <w:r w:rsidR="00E73940">
        <w:t>przyznają one sądom krajowym nieograniczonej kompetencji w zakresie przedłużenia przedmiotowego środka. Należy zauważyć, że już w 2012 r. sąd wydający postanowienie w przedmiocie przedłużenia okresu stosowanego wobec skarżącego tymczasowego aresztowania odmówił przedłużenia go na cały wnioskowany okres i uznał, że postępowanie sądowe powinno zostać zakończone do dnia 4 sierpnia i 4 października 2012 r. (zob. paragrafy 12 i</w:t>
      </w:r>
      <w:r w:rsidR="005C7FCC">
        <w:t> </w:t>
      </w:r>
      <w:r w:rsidR="00E73940">
        <w:t>13 powyżej). Trybunał zauważa ponadto, że dopiero w listopadzie 2013 r., czyli ponad trzy lata od dnia zatrzymania skarżącego, Sąd Apelacyjny rozważył możliwość zwolnienia skarżącego za poręczeniem majątkowym. Jednak, biorąc pod uwagę lakoniczność uzasadnienia sądu w tym względzie, nie sposób ocenić, czy wysokość poręczenia majątkowego była odpowiednia (zob. paragraf 20 powyżej).</w:t>
      </w:r>
    </w:p>
    <w:p w14:paraId="34C3C7F5" w14:textId="2819D6E3" w:rsidR="00FF7161" w:rsidRDefault="00654B08" w:rsidP="00FF7161">
      <w:pPr>
        <w:pStyle w:val="ECHRPara"/>
        <w:rPr>
          <w:i/>
        </w:rPr>
      </w:pPr>
      <w:r>
        <w:rPr>
          <w:noProof/>
        </w:rPr>
        <w:lastRenderedPageBreak/>
        <w:fldChar w:fldCharType="begin"/>
      </w:r>
      <w:r>
        <w:rPr>
          <w:noProof/>
        </w:rPr>
        <w:instrText xml:space="preserve"> SEQ level0 \*arabic </w:instrText>
      </w:r>
      <w:r>
        <w:rPr>
          <w:noProof/>
        </w:rPr>
        <w:fldChar w:fldCharType="separate"/>
      </w:r>
      <w:r w:rsidR="005C7FCC">
        <w:rPr>
          <w:noProof/>
        </w:rPr>
        <w:t>42</w:t>
      </w:r>
      <w:r>
        <w:rPr>
          <w:noProof/>
        </w:rPr>
        <w:fldChar w:fldCharType="end"/>
      </w:r>
      <w:r w:rsidR="00E73940">
        <w:t>.  Wreszcie Trybunał przyznaje, że skarżącemu postawiono zarzut popełnienia szeregu przestępstw polegających na kierowaniu zorganizowaną grupą przestępczą, która zajmowała się głównie przemytem marihuany z</w:t>
      </w:r>
      <w:r w:rsidR="005C7FCC">
        <w:t> </w:t>
      </w:r>
      <w:r w:rsidR="00E73940">
        <w:t xml:space="preserve">Holandii do Polski. </w:t>
      </w:r>
      <w:r w:rsidR="007E6237">
        <w:t xml:space="preserve">Tymczasem </w:t>
      </w:r>
      <w:r w:rsidR="00E73940">
        <w:t xml:space="preserve">w przeciwieństwie do sprawy </w:t>
      </w:r>
      <w:proofErr w:type="spellStart"/>
      <w:r w:rsidR="00E73940">
        <w:rPr>
          <w:i/>
          <w:iCs/>
        </w:rPr>
        <w:t>Rażniak</w:t>
      </w:r>
      <w:proofErr w:type="spellEnd"/>
      <w:r w:rsidR="00E73940">
        <w:t xml:space="preserve">, na którą powołał się Rząd, w niniejszej sprawie zorganizowaną grupą nie była </w:t>
      </w:r>
      <w:r w:rsidR="00E73940">
        <w:rPr>
          <w:rStyle w:val="sb8d990e2"/>
        </w:rPr>
        <w:t>grupa przestępcza, której postawiono zarzut dopuszczenia się rozbojów i</w:t>
      </w:r>
      <w:r w:rsidR="00F97716">
        <w:rPr>
          <w:rStyle w:val="sb8d990e2"/>
        </w:rPr>
        <w:t> </w:t>
      </w:r>
      <w:bookmarkStart w:id="1" w:name="_GoBack"/>
      <w:r w:rsidR="00E73940">
        <w:rPr>
          <w:rStyle w:val="sb8d990e2"/>
        </w:rPr>
        <w:t>kradzieży rozbójniczych</w:t>
      </w:r>
      <w:bookmarkEnd w:id="1"/>
      <w:r w:rsidR="00E73940">
        <w:rPr>
          <w:rStyle w:val="sb8d990e2"/>
        </w:rPr>
        <w:t>. Co więcej, w niniejszej sprawie zastosowane wobec skarżącego tymczasowe aresztowanie trwało cztery miesiące dłużej niż tymczasowe aresztowanie zastosowane wobec skarżącego w sprawie, na którą powołał się Rząd.</w:t>
      </w:r>
    </w:p>
    <w:p w14:paraId="55DAC73D" w14:textId="095004BD" w:rsidR="0066470B" w:rsidRPr="0059276B" w:rsidRDefault="00654B08" w:rsidP="0066470B">
      <w:pPr>
        <w:pStyle w:val="ECHRPara"/>
      </w:pPr>
      <w:r>
        <w:rPr>
          <w:noProof/>
        </w:rPr>
        <w:fldChar w:fldCharType="begin"/>
      </w:r>
      <w:r>
        <w:rPr>
          <w:noProof/>
        </w:rPr>
        <w:instrText xml:space="preserve"> SEQ level0 \*arabic </w:instrText>
      </w:r>
      <w:r>
        <w:rPr>
          <w:noProof/>
        </w:rPr>
        <w:fldChar w:fldCharType="separate"/>
      </w:r>
      <w:r w:rsidR="005C7FCC">
        <w:rPr>
          <w:noProof/>
        </w:rPr>
        <w:t>43</w:t>
      </w:r>
      <w:r>
        <w:rPr>
          <w:noProof/>
        </w:rPr>
        <w:fldChar w:fldCharType="end"/>
      </w:r>
      <w:r w:rsidR="00E73940">
        <w:t xml:space="preserve">.  W świetle powyższego, nawet biorąc pod uwagę fakt, że sądy stanęły przed szczególnie trudnym zadaniem polegającym na prowadzeniu postępowania wobec zorganizowanej grupy przestępczej, Trybunał </w:t>
      </w:r>
      <w:r w:rsidR="007E6237">
        <w:t>jest zdania</w:t>
      </w:r>
      <w:r w:rsidR="00E73940">
        <w:t>, że przytoczone przez władze krajowe przesłanki nie mogły uzasadniać łącznego okresu zastosowanego wobec skarżącego tymczasowego aresztowania. W tych okolicznościach nie zachodzi konieczność badania, czy postępowanie prowadzono ze szczególną starannością.</w:t>
      </w:r>
    </w:p>
    <w:p w14:paraId="451A42B5" w14:textId="77777777" w:rsidR="0066470B" w:rsidRPr="0059276B" w:rsidRDefault="00654B08" w:rsidP="0066470B">
      <w:pPr>
        <w:pStyle w:val="ECHRPara"/>
      </w:pPr>
      <w:r>
        <w:rPr>
          <w:noProof/>
        </w:rPr>
        <w:fldChar w:fldCharType="begin"/>
      </w:r>
      <w:r>
        <w:rPr>
          <w:noProof/>
        </w:rPr>
        <w:instrText xml:space="preserve"> SEQ level0 \*arabic </w:instrText>
      </w:r>
      <w:r>
        <w:rPr>
          <w:noProof/>
        </w:rPr>
        <w:fldChar w:fldCharType="separate"/>
      </w:r>
      <w:r w:rsidR="005C7FCC">
        <w:rPr>
          <w:noProof/>
        </w:rPr>
        <w:t>44</w:t>
      </w:r>
      <w:r>
        <w:rPr>
          <w:noProof/>
        </w:rPr>
        <w:fldChar w:fldCharType="end"/>
      </w:r>
      <w:r w:rsidR="00E73940">
        <w:t>.  W związku z powyższym doszło do naruszenia art. 5 ust. 3 Konwencji.</w:t>
      </w:r>
    </w:p>
    <w:p w14:paraId="1B7DE18A" w14:textId="77777777" w:rsidR="00014566" w:rsidRPr="00C447AD" w:rsidRDefault="00CA6541" w:rsidP="00D26E84">
      <w:pPr>
        <w:pStyle w:val="ECHRHeading1"/>
      </w:pPr>
      <w:r>
        <w:t>II.  ZASTOSOWANIE ART. 41 KONWENCJI</w:t>
      </w:r>
    </w:p>
    <w:p w14:paraId="47421F0F" w14:textId="77777777" w:rsidR="00014566" w:rsidRPr="00C447AD" w:rsidRDefault="00F838BB" w:rsidP="00D26E84">
      <w:pPr>
        <w:pStyle w:val="ECHRPara"/>
        <w:keepNext/>
        <w:keepLines/>
      </w:pPr>
      <w:r>
        <w:rPr>
          <w:noProof/>
        </w:rPr>
        <w:fldChar w:fldCharType="begin"/>
      </w:r>
      <w:r>
        <w:rPr>
          <w:noProof/>
        </w:rPr>
        <w:instrText xml:space="preserve"> SEQ level0 \*arabic </w:instrText>
      </w:r>
      <w:r>
        <w:rPr>
          <w:noProof/>
        </w:rPr>
        <w:fldChar w:fldCharType="separate"/>
      </w:r>
      <w:r w:rsidR="005C7FCC">
        <w:rPr>
          <w:noProof/>
        </w:rPr>
        <w:t>45</w:t>
      </w:r>
      <w:r>
        <w:rPr>
          <w:noProof/>
        </w:rPr>
        <w:fldChar w:fldCharType="end"/>
      </w:r>
      <w:r w:rsidR="0021107D">
        <w:t>.  Artykuł 41 Konwencji stanowi:</w:t>
      </w:r>
    </w:p>
    <w:p w14:paraId="4EAE5791" w14:textId="77777777" w:rsidR="00014566" w:rsidRPr="00C447AD" w:rsidRDefault="00014566" w:rsidP="00D26E84">
      <w:pPr>
        <w:pStyle w:val="ECHRParaQuote"/>
        <w:keepNext/>
        <w:keepLines/>
      </w:pPr>
      <w:r>
        <w:t>„Jeżeli Trybunał stwierdzi, że nastąpiło naruszenie Konwencji lub jej Protokołów, oraz jeżeli prawo wewnętrzne zainteresowanej Wysokiej Układającej się Strony pozwala tylko na częściowe usunięcie konsekwencji tego naruszenia, Trybunał orzeka, gdy zachodzi potrzeba, o przyznaniu słusznego zadośćuczynienia pokrzywdzonej stronie”.</w:t>
      </w:r>
    </w:p>
    <w:p w14:paraId="11623CB5" w14:textId="77777777" w:rsidR="00014566" w:rsidRPr="00C447AD" w:rsidRDefault="00014566" w:rsidP="00014566">
      <w:pPr>
        <w:pStyle w:val="ECHRHeading2"/>
        <w:keepLines w:val="0"/>
        <w:outlineLvl w:val="0"/>
      </w:pPr>
      <w:r>
        <w:t>A.  Szkoda</w:t>
      </w:r>
    </w:p>
    <w:p w14:paraId="00BF95DE" w14:textId="232C944E" w:rsidR="00014566" w:rsidRPr="00C447AD" w:rsidRDefault="00F838BB" w:rsidP="00B66C59">
      <w:pPr>
        <w:pStyle w:val="ECHRPara"/>
      </w:pPr>
      <w:r>
        <w:rPr>
          <w:noProof/>
        </w:rPr>
        <w:fldChar w:fldCharType="begin"/>
      </w:r>
      <w:r>
        <w:rPr>
          <w:noProof/>
        </w:rPr>
        <w:instrText xml:space="preserve"> SEQ level0 \*arabic </w:instrText>
      </w:r>
      <w:r>
        <w:rPr>
          <w:noProof/>
        </w:rPr>
        <w:fldChar w:fldCharType="separate"/>
      </w:r>
      <w:r w:rsidR="005C7FCC">
        <w:rPr>
          <w:noProof/>
        </w:rPr>
        <w:t>46</w:t>
      </w:r>
      <w:r>
        <w:rPr>
          <w:noProof/>
        </w:rPr>
        <w:fldChar w:fldCharType="end"/>
      </w:r>
      <w:r w:rsidR="0021107D">
        <w:t>.  Skarżący domagał się kwoty 20 000 EUR tytułem zadośćuczynienia za szkodę niemajątkową.</w:t>
      </w:r>
    </w:p>
    <w:p w14:paraId="50E51C45" w14:textId="77777777" w:rsidR="00014566" w:rsidRPr="00C447AD" w:rsidRDefault="00F838BB" w:rsidP="00C621C2">
      <w:pPr>
        <w:pStyle w:val="ECHRPara"/>
      </w:pPr>
      <w:r>
        <w:rPr>
          <w:noProof/>
        </w:rPr>
        <w:fldChar w:fldCharType="begin"/>
      </w:r>
      <w:r>
        <w:rPr>
          <w:noProof/>
        </w:rPr>
        <w:instrText xml:space="preserve"> SEQ level0 \*arabic </w:instrText>
      </w:r>
      <w:r>
        <w:rPr>
          <w:noProof/>
        </w:rPr>
        <w:fldChar w:fldCharType="separate"/>
      </w:r>
      <w:r w:rsidR="005C7FCC">
        <w:rPr>
          <w:noProof/>
        </w:rPr>
        <w:t>47</w:t>
      </w:r>
      <w:r>
        <w:rPr>
          <w:noProof/>
        </w:rPr>
        <w:fldChar w:fldCharType="end"/>
      </w:r>
      <w:r w:rsidR="0021107D">
        <w:t>.  Rząd uznał żądanie skarżącego za wygórowane i bezzasadne.</w:t>
      </w:r>
    </w:p>
    <w:p w14:paraId="007A6CDF" w14:textId="4530D116" w:rsidR="00014566" w:rsidRPr="00C447AD" w:rsidRDefault="00F838BB" w:rsidP="00C621C2">
      <w:pPr>
        <w:pStyle w:val="ECHRPara"/>
      </w:pPr>
      <w:r>
        <w:rPr>
          <w:noProof/>
        </w:rPr>
        <w:fldChar w:fldCharType="begin"/>
      </w:r>
      <w:r>
        <w:rPr>
          <w:noProof/>
        </w:rPr>
        <w:instrText xml:space="preserve"> SEQ level0 \*arabic </w:instrText>
      </w:r>
      <w:r>
        <w:rPr>
          <w:noProof/>
        </w:rPr>
        <w:fldChar w:fldCharType="separate"/>
      </w:r>
      <w:r w:rsidR="005C7FCC">
        <w:rPr>
          <w:noProof/>
        </w:rPr>
        <w:t>48</w:t>
      </w:r>
      <w:r>
        <w:rPr>
          <w:noProof/>
        </w:rPr>
        <w:fldChar w:fldCharType="end"/>
      </w:r>
      <w:r w:rsidR="0021107D">
        <w:t>.  Trybunał uznaje, że skarżący poniósł szkodę niemajątkową, która nie zostanie w wystarczający sposób naprawiona przez samo stwierdzenie naruszenia Konwencji</w:t>
      </w:r>
      <w:r w:rsidR="0021107D">
        <w:rPr>
          <w:color w:val="000000"/>
          <w:szCs w:val="24"/>
        </w:rPr>
        <w:t>. Biorąc pod uwagę okoliczności sprawy oraz dokonując oceny na zasadzie słuszności, Trybunał przyznaje skarżącemu kwotę 2500 EUR</w:t>
      </w:r>
      <w:r w:rsidR="005C7FCC">
        <w:rPr>
          <w:color w:val="000000"/>
          <w:szCs w:val="24"/>
        </w:rPr>
        <w:t xml:space="preserve"> </w:t>
      </w:r>
      <w:r w:rsidR="0021107D">
        <w:t>z tego tytułu.</w:t>
      </w:r>
    </w:p>
    <w:p w14:paraId="73AF51DE" w14:textId="77777777" w:rsidR="00014566" w:rsidRPr="00C447AD" w:rsidRDefault="00014566" w:rsidP="00014566">
      <w:pPr>
        <w:pStyle w:val="ECHRHeading2"/>
        <w:outlineLvl w:val="0"/>
      </w:pPr>
      <w:r>
        <w:t>B.  Koszty i wydatki</w:t>
      </w:r>
    </w:p>
    <w:p w14:paraId="27E4ADF5" w14:textId="77777777" w:rsidR="00014566" w:rsidRPr="00C447AD" w:rsidRDefault="00F838BB" w:rsidP="00EF5EF4">
      <w:pPr>
        <w:pStyle w:val="ECHRPara"/>
      </w:pPr>
      <w:r>
        <w:rPr>
          <w:noProof/>
        </w:rPr>
        <w:fldChar w:fldCharType="begin"/>
      </w:r>
      <w:r>
        <w:rPr>
          <w:noProof/>
        </w:rPr>
        <w:instrText xml:space="preserve"> SEQ level0 \*arabic </w:instrText>
      </w:r>
      <w:r>
        <w:rPr>
          <w:noProof/>
        </w:rPr>
        <w:fldChar w:fldCharType="separate"/>
      </w:r>
      <w:r w:rsidR="005C7FCC">
        <w:rPr>
          <w:noProof/>
        </w:rPr>
        <w:t>49</w:t>
      </w:r>
      <w:r>
        <w:rPr>
          <w:noProof/>
        </w:rPr>
        <w:fldChar w:fldCharType="end"/>
      </w:r>
      <w:r w:rsidR="0021107D">
        <w:t>.  Skarżący nie domagał się zwrotu kosztów i wydatków.</w:t>
      </w:r>
    </w:p>
    <w:p w14:paraId="0AF25C36" w14:textId="77777777" w:rsidR="00014566" w:rsidRPr="00C447AD" w:rsidRDefault="00014566" w:rsidP="00014566">
      <w:pPr>
        <w:pStyle w:val="ECHRHeading2"/>
        <w:outlineLvl w:val="0"/>
      </w:pPr>
      <w:r>
        <w:lastRenderedPageBreak/>
        <w:t>C.  Odsetki za zwłokę</w:t>
      </w:r>
    </w:p>
    <w:p w14:paraId="0EC82CAE" w14:textId="77777777" w:rsidR="00014566" w:rsidRPr="00C447AD" w:rsidRDefault="00F838BB" w:rsidP="00C621C2">
      <w:pPr>
        <w:pStyle w:val="ECHRPara"/>
      </w:pPr>
      <w:r>
        <w:rPr>
          <w:noProof/>
        </w:rPr>
        <w:fldChar w:fldCharType="begin"/>
      </w:r>
      <w:r>
        <w:rPr>
          <w:noProof/>
        </w:rPr>
        <w:instrText xml:space="preserve"> SEQ level0 \*arabic </w:instrText>
      </w:r>
      <w:r>
        <w:rPr>
          <w:noProof/>
        </w:rPr>
        <w:fldChar w:fldCharType="separate"/>
      </w:r>
      <w:r w:rsidR="005C7FCC">
        <w:rPr>
          <w:noProof/>
        </w:rPr>
        <w:t>50</w:t>
      </w:r>
      <w:r>
        <w:rPr>
          <w:noProof/>
        </w:rPr>
        <w:fldChar w:fldCharType="end"/>
      </w:r>
      <w:r w:rsidR="00EF5EF4">
        <w:t>.  Trybunał za słuszne uznaje wyznaczenie wysokości odsetek za zwłokę na podstawie marginalnej stopy procentowej Europejskiego Banku Centralnego powiększonej o trzy punkty procentowe.</w:t>
      </w:r>
    </w:p>
    <w:p w14:paraId="3066D75E" w14:textId="77777777" w:rsidR="00014566" w:rsidRPr="00C447AD" w:rsidRDefault="00014566" w:rsidP="00014566">
      <w:pPr>
        <w:pStyle w:val="ECHRTitle1"/>
      </w:pPr>
      <w:r>
        <w:t>Z POWYŻSZYCH WZGLĘDÓW TRYBUNAŁ JEDNOGŁOŚNIE</w:t>
      </w:r>
    </w:p>
    <w:p w14:paraId="746107EA" w14:textId="77777777" w:rsidR="00014566" w:rsidRPr="00C447AD" w:rsidRDefault="00014566" w:rsidP="00B66C59">
      <w:pPr>
        <w:pStyle w:val="JuList"/>
      </w:pPr>
      <w:r>
        <w:t>1.  </w:t>
      </w:r>
      <w:r>
        <w:rPr>
          <w:i/>
          <w:iCs/>
        </w:rPr>
        <w:t>uznaje</w:t>
      </w:r>
      <w:r>
        <w:t xml:space="preserve"> skargę dotyczącą przewlekłości tymczasowego aresztowania na podstawie art. 5 ust. 3 Konwencji za dopuszczalną;</w:t>
      </w:r>
    </w:p>
    <w:p w14:paraId="497982E2" w14:textId="77777777" w:rsidR="00014566" w:rsidRPr="005C7FCC" w:rsidRDefault="00014566" w:rsidP="00C621C2">
      <w:pPr>
        <w:pStyle w:val="JuList"/>
      </w:pPr>
    </w:p>
    <w:p w14:paraId="559F0113" w14:textId="77777777" w:rsidR="00014566" w:rsidRPr="00C447AD" w:rsidRDefault="004069B6" w:rsidP="00C621C2">
      <w:pPr>
        <w:pStyle w:val="JuList"/>
      </w:pPr>
      <w:r>
        <w:t>2.  </w:t>
      </w:r>
      <w:r>
        <w:rPr>
          <w:i/>
          <w:iCs/>
        </w:rPr>
        <w:t>stwierdza</w:t>
      </w:r>
      <w:r>
        <w:t>, że doszło do naruszenia art. 5 ust. 3 Konwencji;</w:t>
      </w:r>
    </w:p>
    <w:p w14:paraId="4FF92219" w14:textId="77777777" w:rsidR="00014566" w:rsidRPr="005C7FCC" w:rsidRDefault="00014566" w:rsidP="00C621C2">
      <w:pPr>
        <w:pStyle w:val="JuList"/>
      </w:pPr>
    </w:p>
    <w:p w14:paraId="239DFE03" w14:textId="77777777" w:rsidR="0021107D" w:rsidRDefault="004069B6" w:rsidP="00B66C59">
      <w:pPr>
        <w:pStyle w:val="JuList"/>
        <w:keepNext/>
        <w:keepLines/>
      </w:pPr>
      <w:r>
        <w:t>3.  </w:t>
      </w:r>
      <w:r>
        <w:rPr>
          <w:i/>
          <w:iCs/>
        </w:rPr>
        <w:t>stwierdza</w:t>
      </w:r>
    </w:p>
    <w:p w14:paraId="7F268643" w14:textId="77777777" w:rsidR="00593DE2" w:rsidRDefault="00014566" w:rsidP="0056067E">
      <w:pPr>
        <w:pStyle w:val="JuLista"/>
        <w:keepNext/>
        <w:keepLines/>
        <w:rPr>
          <w:rStyle w:val="sb8d990e2"/>
        </w:rPr>
      </w:pPr>
      <w:r>
        <w:t>a)  </w:t>
      </w:r>
      <w:r>
        <w:rPr>
          <w:rStyle w:val="sb8d990e2"/>
        </w:rPr>
        <w:t>że pozwane państwo winno, w terminie trzech miesięcy, uiścić na rzecz skarżącego kwotę 2500 EUR (dwa tysiące pięćset euro) tytułem zadośćuczynienia za szkodę niemajątkową plus wszelkie należne podatki, przeliczoną na walutę pozwanego państwa według kursu obowiązującego w dniu płatności;</w:t>
      </w:r>
    </w:p>
    <w:p w14:paraId="03F9BBFE" w14:textId="25BC97EF" w:rsidR="00014566" w:rsidRPr="00C447AD" w:rsidRDefault="00014566" w:rsidP="00014566">
      <w:pPr>
        <w:pStyle w:val="JuLista"/>
      </w:pPr>
      <w:r>
        <w:t>b)  że od upływu wyżej wskazanego terminu trzech miesięcy aż do momentu uregulowania należności, należne będą odsetki zwykłe od określonej powyżej kwoty, naliczone według stopy równej marginalnej stopie procentowej Europejskiego Banku Centralnego obowiązującej w</w:t>
      </w:r>
      <w:r w:rsidR="00265748">
        <w:t> </w:t>
      </w:r>
      <w:r>
        <w:t>tym okresie, powiększonej o trzy punkty procentowe;</w:t>
      </w:r>
    </w:p>
    <w:p w14:paraId="1EADB84C" w14:textId="77777777" w:rsidR="00014566" w:rsidRPr="005C7FCC" w:rsidRDefault="00014566" w:rsidP="00C621C2">
      <w:pPr>
        <w:pStyle w:val="JuList"/>
      </w:pPr>
    </w:p>
    <w:p w14:paraId="0983F7DB" w14:textId="77777777" w:rsidR="00014566" w:rsidRPr="00C447AD" w:rsidRDefault="004069B6" w:rsidP="00C621C2">
      <w:pPr>
        <w:pStyle w:val="JuList"/>
      </w:pPr>
      <w:r>
        <w:t>4.  </w:t>
      </w:r>
      <w:r>
        <w:rPr>
          <w:i/>
        </w:rPr>
        <w:t xml:space="preserve">oddala </w:t>
      </w:r>
      <w:r>
        <w:t>pozostałą część roszczenia skarżącego dotyczącego słusznego zadośćuczynienia.</w:t>
      </w:r>
    </w:p>
    <w:p w14:paraId="26C84189" w14:textId="368FEB1E" w:rsidR="00014566" w:rsidRPr="00C447AD" w:rsidRDefault="00014566" w:rsidP="00014566">
      <w:pPr>
        <w:pStyle w:val="JuParaLast"/>
      </w:pPr>
      <w:r>
        <w:t>Sporządzono w języku angielskim i obwieszczono pisemnie dnia 4</w:t>
      </w:r>
      <w:r w:rsidR="00265748">
        <w:t> </w:t>
      </w:r>
      <w:r>
        <w:t>listopada 2014 r., zgodnie z Regułą 77 §§ 2 i 3 Regulaminu Trybunału.</w:t>
      </w:r>
    </w:p>
    <w:p w14:paraId="6B86E85A" w14:textId="77777777" w:rsidR="00014566" w:rsidRPr="00C447AD" w:rsidRDefault="00014566" w:rsidP="00C621C2">
      <w:pPr>
        <w:pStyle w:val="JuSigned"/>
      </w:pPr>
      <w:r>
        <w:tab/>
      </w:r>
      <w:proofErr w:type="spellStart"/>
      <w:r>
        <w:t>Fatoş</w:t>
      </w:r>
      <w:proofErr w:type="spellEnd"/>
      <w:r>
        <w:t xml:space="preserve"> </w:t>
      </w:r>
      <w:proofErr w:type="spellStart"/>
      <w:r>
        <w:t>Aracı</w:t>
      </w:r>
      <w:proofErr w:type="spellEnd"/>
      <w:r>
        <w:tab/>
      </w:r>
      <w:proofErr w:type="spellStart"/>
      <w:r>
        <w:t>Päivi</w:t>
      </w:r>
      <w:proofErr w:type="spellEnd"/>
      <w:r>
        <w:t xml:space="preserve"> </w:t>
      </w:r>
      <w:proofErr w:type="spellStart"/>
      <w:r>
        <w:t>Hirvelä</w:t>
      </w:r>
      <w:proofErr w:type="spellEnd"/>
      <w:r>
        <w:br/>
      </w:r>
      <w:r>
        <w:tab/>
        <w:t>Zastępca Kanclerza</w:t>
      </w:r>
      <w:r>
        <w:tab/>
        <w:t>Przewodniczący</w:t>
      </w:r>
    </w:p>
    <w:p w14:paraId="318CBEC1" w14:textId="77777777" w:rsidR="004D15F3" w:rsidRPr="005C7FCC" w:rsidRDefault="004D15F3" w:rsidP="00436307"/>
    <w:sectPr w:rsidR="004D15F3" w:rsidRPr="005C7FCC" w:rsidSect="00E71AAD">
      <w:headerReference w:type="even" r:id="rId17"/>
      <w:headerReference w:type="default" r:id="rId18"/>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BB5F64" w14:textId="77777777" w:rsidR="0010774A" w:rsidRDefault="0010774A" w:rsidP="00014566">
      <w:r>
        <w:separator/>
      </w:r>
    </w:p>
  </w:endnote>
  <w:endnote w:type="continuationSeparator" w:id="0">
    <w:p w14:paraId="66E9DBA7" w14:textId="77777777" w:rsidR="0010774A" w:rsidRDefault="0010774A"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AB108" w14:textId="77777777" w:rsidR="00E71AAD" w:rsidRDefault="00E71AA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20AC14" w14:textId="77777777" w:rsidR="00E71AAD" w:rsidRDefault="00E71AA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CF9EB0" w14:textId="77777777" w:rsidR="00E71AAD" w:rsidRPr="00150BFA" w:rsidRDefault="00E71AAD" w:rsidP="0020718E">
    <w:pPr>
      <w:jc w:val="center"/>
    </w:pPr>
    <w:r>
      <w:rPr>
        <w:noProof/>
        <w:lang w:eastAsia="pl-PL"/>
      </w:rPr>
      <w:drawing>
        <wp:inline distT="0" distB="0" distL="0" distR="0" wp14:anchorId="06093DE6" wp14:editId="2B9846B2">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B07BB0D" w14:textId="77777777" w:rsidR="00E71AAD" w:rsidRDefault="00E71A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E5BA98" w14:textId="77777777" w:rsidR="0010774A" w:rsidRDefault="0010774A" w:rsidP="00014566">
      <w:r>
        <w:separator/>
      </w:r>
    </w:p>
  </w:footnote>
  <w:footnote w:type="continuationSeparator" w:id="0">
    <w:p w14:paraId="60BD78F8" w14:textId="77777777" w:rsidR="0010774A" w:rsidRDefault="0010774A" w:rsidP="000145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1D827C" w14:textId="77777777" w:rsidR="00E71AAD" w:rsidRDefault="00E71A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E27B5" w14:textId="77777777" w:rsidR="007F3F4A" w:rsidRPr="00E71AAD" w:rsidRDefault="007F3F4A" w:rsidP="00E71AAD">
    <w:pPr>
      <w:pStyle w:val="Nagwek"/>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F318CB" w14:textId="77777777" w:rsidR="00E71AAD" w:rsidRPr="00A45145" w:rsidRDefault="00E71AAD" w:rsidP="00A45145">
    <w:pPr>
      <w:jc w:val="center"/>
    </w:pPr>
    <w:r>
      <w:rPr>
        <w:noProof/>
        <w:lang w:eastAsia="pl-PL"/>
      </w:rPr>
      <w:drawing>
        <wp:inline distT="0" distB="0" distL="0" distR="0" wp14:anchorId="08A891BE" wp14:editId="45EBE6F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D0AF605" w14:textId="77777777" w:rsidR="007F3F4A" w:rsidRDefault="007F3F4A">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5E7B53" w14:textId="77777777" w:rsidR="00E71AAD" w:rsidRPr="00FF2306" w:rsidRDefault="00E71AAD"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891357">
      <w:rPr>
        <w:rStyle w:val="Numerstrony"/>
        <w:noProof/>
        <w:szCs w:val="18"/>
      </w:rPr>
      <w:t>10</w:t>
    </w:r>
    <w:r>
      <w:rPr>
        <w:rStyle w:val="Numerstrony"/>
        <w:szCs w:val="18"/>
      </w:rPr>
      <w:fldChar w:fldCharType="end"/>
    </w:r>
    <w:r>
      <w:tab/>
      <w:t>WYROK W SPRAWIE MIERZEJEWSKI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E90B7A" w14:textId="77777777" w:rsidR="00E71AAD" w:rsidRPr="00D60D87" w:rsidRDefault="00E71AAD" w:rsidP="00D60D87">
    <w:pPr>
      <w:pStyle w:val="ECHRHeader"/>
    </w:pPr>
    <w:r>
      <w:tab/>
      <w:t>WYROK W SPRAWIE MIERZEJEWSKI przeciwko POLSCE</w:t>
    </w:r>
    <w:r>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891357">
      <w:rPr>
        <w:rStyle w:val="Numerstrony"/>
        <w:noProof/>
        <w:szCs w:val="18"/>
      </w:rPr>
      <w:t>9</w:t>
    </w:r>
    <w:r>
      <w:rPr>
        <w:rStyle w:val="Numerstrony"/>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AF7039A"/>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92F51A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15:restartNumberingAfterBreak="0">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7737461D"/>
    <w:multiLevelType w:val="multilevel"/>
    <w:tmpl w:val="040C0023"/>
    <w:styleLink w:val="Artykusekcja"/>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lvlText w:val="%5)"/>
      <w:lvlJc w:val="left"/>
      <w:pPr>
        <w:ind w:left="1008" w:hanging="432"/>
      </w:pPr>
    </w:lvl>
    <w:lvl w:ilvl="5">
      <w:start w:val="1"/>
      <w:numFmt w:val="lowerLetter"/>
      <w:pStyle w:val="Nagwek6"/>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1"/>
  </w:num>
  <w:num w:numId="6">
    <w:abstractNumId w:val="13"/>
  </w:num>
  <w:num w:numId="7">
    <w:abstractNumId w:val="11"/>
  </w:num>
  <w:num w:numId="8">
    <w:abstractNumId w:val="14"/>
  </w:num>
  <w:num w:numId="9">
    <w:abstractNumId w:val="10"/>
  </w:num>
  <w:num w:numId="10">
    <w:abstractNumId w:val="9"/>
  </w:num>
  <w:num w:numId="11">
    <w:abstractNumId w:val="16"/>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21107D"/>
    <w:rsid w:val="000041F8"/>
    <w:rsid w:val="000042A8"/>
    <w:rsid w:val="00004308"/>
    <w:rsid w:val="00005BF0"/>
    <w:rsid w:val="00007154"/>
    <w:rsid w:val="000103AE"/>
    <w:rsid w:val="00011D69"/>
    <w:rsid w:val="00012AD3"/>
    <w:rsid w:val="00014566"/>
    <w:rsid w:val="00015C2D"/>
    <w:rsid w:val="00015F00"/>
    <w:rsid w:val="00022C1D"/>
    <w:rsid w:val="00026D80"/>
    <w:rsid w:val="00034987"/>
    <w:rsid w:val="000602DF"/>
    <w:rsid w:val="00061B05"/>
    <w:rsid w:val="00062D5D"/>
    <w:rsid w:val="000632D5"/>
    <w:rsid w:val="000644EE"/>
    <w:rsid w:val="000677D4"/>
    <w:rsid w:val="000925AD"/>
    <w:rsid w:val="00097A35"/>
    <w:rsid w:val="000A24EB"/>
    <w:rsid w:val="000B6923"/>
    <w:rsid w:val="000C033C"/>
    <w:rsid w:val="000C5F3C"/>
    <w:rsid w:val="000C6DCC"/>
    <w:rsid w:val="000D47AA"/>
    <w:rsid w:val="000D721F"/>
    <w:rsid w:val="000E069B"/>
    <w:rsid w:val="000E0E82"/>
    <w:rsid w:val="000E1DC5"/>
    <w:rsid w:val="000E223F"/>
    <w:rsid w:val="000E7D45"/>
    <w:rsid w:val="000F7851"/>
    <w:rsid w:val="00104E23"/>
    <w:rsid w:val="0010774A"/>
    <w:rsid w:val="00111B0C"/>
    <w:rsid w:val="00120D6C"/>
    <w:rsid w:val="001257EC"/>
    <w:rsid w:val="00133D33"/>
    <w:rsid w:val="00134D64"/>
    <w:rsid w:val="00135A30"/>
    <w:rsid w:val="0013612C"/>
    <w:rsid w:val="00137FF6"/>
    <w:rsid w:val="0014107F"/>
    <w:rsid w:val="00141650"/>
    <w:rsid w:val="00162A12"/>
    <w:rsid w:val="00166530"/>
    <w:rsid w:val="00167E34"/>
    <w:rsid w:val="001763C7"/>
    <w:rsid w:val="00177B37"/>
    <w:rsid w:val="00180B95"/>
    <w:rsid w:val="001832BD"/>
    <w:rsid w:val="00183643"/>
    <w:rsid w:val="00192EF7"/>
    <w:rsid w:val="001943B5"/>
    <w:rsid w:val="00195134"/>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07D"/>
    <w:rsid w:val="002115FC"/>
    <w:rsid w:val="0021423C"/>
    <w:rsid w:val="00230D00"/>
    <w:rsid w:val="00231DF7"/>
    <w:rsid w:val="00231FD1"/>
    <w:rsid w:val="002339E0"/>
    <w:rsid w:val="00233CF8"/>
    <w:rsid w:val="0023575D"/>
    <w:rsid w:val="00237148"/>
    <w:rsid w:val="0024222D"/>
    <w:rsid w:val="00244B0E"/>
    <w:rsid w:val="00244F6C"/>
    <w:rsid w:val="002532C5"/>
    <w:rsid w:val="00255349"/>
    <w:rsid w:val="00260C03"/>
    <w:rsid w:val="0026540E"/>
    <w:rsid w:val="00265748"/>
    <w:rsid w:val="00275123"/>
    <w:rsid w:val="00276AC4"/>
    <w:rsid w:val="00282240"/>
    <w:rsid w:val="0028572A"/>
    <w:rsid w:val="002948AD"/>
    <w:rsid w:val="00294C92"/>
    <w:rsid w:val="002957F9"/>
    <w:rsid w:val="002A01CC"/>
    <w:rsid w:val="002A3CA8"/>
    <w:rsid w:val="002A61B1"/>
    <w:rsid w:val="002A6232"/>
    <w:rsid w:val="002A663C"/>
    <w:rsid w:val="002B444B"/>
    <w:rsid w:val="002B5887"/>
    <w:rsid w:val="002B5D8B"/>
    <w:rsid w:val="002C0692"/>
    <w:rsid w:val="002C0E27"/>
    <w:rsid w:val="002C3040"/>
    <w:rsid w:val="002D022D"/>
    <w:rsid w:val="002D24BB"/>
    <w:rsid w:val="002D671E"/>
    <w:rsid w:val="002D7B8F"/>
    <w:rsid w:val="002F2AF7"/>
    <w:rsid w:val="002F336A"/>
    <w:rsid w:val="002F7E1C"/>
    <w:rsid w:val="00301A75"/>
    <w:rsid w:val="00302F70"/>
    <w:rsid w:val="0030336F"/>
    <w:rsid w:val="0030375E"/>
    <w:rsid w:val="00312A30"/>
    <w:rsid w:val="00320F72"/>
    <w:rsid w:val="0032463E"/>
    <w:rsid w:val="00326224"/>
    <w:rsid w:val="00327C29"/>
    <w:rsid w:val="0033005B"/>
    <w:rsid w:val="00337EE4"/>
    <w:rsid w:val="00340FFD"/>
    <w:rsid w:val="003506B1"/>
    <w:rsid w:val="00356AC7"/>
    <w:rsid w:val="003609FA"/>
    <w:rsid w:val="003710C8"/>
    <w:rsid w:val="003750BE"/>
    <w:rsid w:val="00387B9D"/>
    <w:rsid w:val="0039364F"/>
    <w:rsid w:val="00396686"/>
    <w:rsid w:val="003969DB"/>
    <w:rsid w:val="0039778E"/>
    <w:rsid w:val="003A12F9"/>
    <w:rsid w:val="003A235D"/>
    <w:rsid w:val="003B4941"/>
    <w:rsid w:val="003C0049"/>
    <w:rsid w:val="003C5714"/>
    <w:rsid w:val="003C6B9F"/>
    <w:rsid w:val="003C6E2A"/>
    <w:rsid w:val="003D0299"/>
    <w:rsid w:val="003E6D80"/>
    <w:rsid w:val="003F05FA"/>
    <w:rsid w:val="003F21C6"/>
    <w:rsid w:val="003F244A"/>
    <w:rsid w:val="003F30B8"/>
    <w:rsid w:val="003F4C45"/>
    <w:rsid w:val="003F5F7B"/>
    <w:rsid w:val="003F7D64"/>
    <w:rsid w:val="004069B6"/>
    <w:rsid w:val="00410610"/>
    <w:rsid w:val="00411C22"/>
    <w:rsid w:val="00414300"/>
    <w:rsid w:val="00425C67"/>
    <w:rsid w:val="00427E7A"/>
    <w:rsid w:val="00436307"/>
    <w:rsid w:val="00436C49"/>
    <w:rsid w:val="00445366"/>
    <w:rsid w:val="00447F5B"/>
    <w:rsid w:val="00461DB0"/>
    <w:rsid w:val="00463926"/>
    <w:rsid w:val="004646E0"/>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C57DA"/>
    <w:rsid w:val="004D15F3"/>
    <w:rsid w:val="004D5311"/>
    <w:rsid w:val="004D5DCC"/>
    <w:rsid w:val="004E4320"/>
    <w:rsid w:val="004F10AF"/>
    <w:rsid w:val="004F11A4"/>
    <w:rsid w:val="004F2389"/>
    <w:rsid w:val="004F304D"/>
    <w:rsid w:val="004F61BE"/>
    <w:rsid w:val="004F66B1"/>
    <w:rsid w:val="004F753F"/>
    <w:rsid w:val="00505F10"/>
    <w:rsid w:val="00511C07"/>
    <w:rsid w:val="005173A6"/>
    <w:rsid w:val="00520BAA"/>
    <w:rsid w:val="00525208"/>
    <w:rsid w:val="005257A5"/>
    <w:rsid w:val="005260E2"/>
    <w:rsid w:val="005264C0"/>
    <w:rsid w:val="00526A8A"/>
    <w:rsid w:val="00531774"/>
    <w:rsid w:val="00531DF2"/>
    <w:rsid w:val="005442EE"/>
    <w:rsid w:val="00547353"/>
    <w:rsid w:val="005474E7"/>
    <w:rsid w:val="005512A3"/>
    <w:rsid w:val="005578CE"/>
    <w:rsid w:val="0056067E"/>
    <w:rsid w:val="00562781"/>
    <w:rsid w:val="00563E83"/>
    <w:rsid w:val="00567253"/>
    <w:rsid w:val="0057271C"/>
    <w:rsid w:val="00572845"/>
    <w:rsid w:val="00592772"/>
    <w:rsid w:val="00593DE2"/>
    <w:rsid w:val="0059574A"/>
    <w:rsid w:val="005A1B9B"/>
    <w:rsid w:val="005A6751"/>
    <w:rsid w:val="005A7AF1"/>
    <w:rsid w:val="005B092E"/>
    <w:rsid w:val="005B152C"/>
    <w:rsid w:val="005B1EE0"/>
    <w:rsid w:val="005B2B24"/>
    <w:rsid w:val="005B4425"/>
    <w:rsid w:val="005B4B94"/>
    <w:rsid w:val="005C3EE8"/>
    <w:rsid w:val="005C7FCC"/>
    <w:rsid w:val="005D34F9"/>
    <w:rsid w:val="005D4190"/>
    <w:rsid w:val="005D67A3"/>
    <w:rsid w:val="005E2988"/>
    <w:rsid w:val="005E2A43"/>
    <w:rsid w:val="005E3085"/>
    <w:rsid w:val="005F51E1"/>
    <w:rsid w:val="00611C80"/>
    <w:rsid w:val="00620692"/>
    <w:rsid w:val="006242CA"/>
    <w:rsid w:val="00627507"/>
    <w:rsid w:val="00633717"/>
    <w:rsid w:val="006344E1"/>
    <w:rsid w:val="00641AC6"/>
    <w:rsid w:val="0064238B"/>
    <w:rsid w:val="00650911"/>
    <w:rsid w:val="006545C4"/>
    <w:rsid w:val="00654B08"/>
    <w:rsid w:val="00661971"/>
    <w:rsid w:val="00661CE8"/>
    <w:rsid w:val="006623D9"/>
    <w:rsid w:val="0066470B"/>
    <w:rsid w:val="0066550C"/>
    <w:rsid w:val="006716F2"/>
    <w:rsid w:val="00680B77"/>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715127"/>
    <w:rsid w:val="00715E8E"/>
    <w:rsid w:val="00723580"/>
    <w:rsid w:val="00723755"/>
    <w:rsid w:val="0073136C"/>
    <w:rsid w:val="00731F0F"/>
    <w:rsid w:val="00733250"/>
    <w:rsid w:val="00741404"/>
    <w:rsid w:val="00742890"/>
    <w:rsid w:val="007449E5"/>
    <w:rsid w:val="00746C5A"/>
    <w:rsid w:val="00747FF0"/>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D4832"/>
    <w:rsid w:val="007E1FC7"/>
    <w:rsid w:val="007E21B2"/>
    <w:rsid w:val="007E2C4E"/>
    <w:rsid w:val="007E6237"/>
    <w:rsid w:val="007F1905"/>
    <w:rsid w:val="007F3F4A"/>
    <w:rsid w:val="00801300"/>
    <w:rsid w:val="00802C64"/>
    <w:rsid w:val="00805E52"/>
    <w:rsid w:val="008061D0"/>
    <w:rsid w:val="00810B38"/>
    <w:rsid w:val="00815099"/>
    <w:rsid w:val="00815DEA"/>
    <w:rsid w:val="008204C7"/>
    <w:rsid w:val="00820992"/>
    <w:rsid w:val="00823602"/>
    <w:rsid w:val="008255F5"/>
    <w:rsid w:val="0083014E"/>
    <w:rsid w:val="0083214A"/>
    <w:rsid w:val="00834220"/>
    <w:rsid w:val="00836EF3"/>
    <w:rsid w:val="00845723"/>
    <w:rsid w:val="00851EF9"/>
    <w:rsid w:val="008577FD"/>
    <w:rsid w:val="00860B03"/>
    <w:rsid w:val="0086497A"/>
    <w:rsid w:val="008713A1"/>
    <w:rsid w:val="008754AB"/>
    <w:rsid w:val="00876085"/>
    <w:rsid w:val="0088060C"/>
    <w:rsid w:val="00882825"/>
    <w:rsid w:val="00891357"/>
    <w:rsid w:val="00893576"/>
    <w:rsid w:val="00893E73"/>
    <w:rsid w:val="00896326"/>
    <w:rsid w:val="008A283B"/>
    <w:rsid w:val="008A43C4"/>
    <w:rsid w:val="008B02DC"/>
    <w:rsid w:val="008B57CE"/>
    <w:rsid w:val="008C26DE"/>
    <w:rsid w:val="008D2225"/>
    <w:rsid w:val="008D4752"/>
    <w:rsid w:val="008D5F24"/>
    <w:rsid w:val="008E271C"/>
    <w:rsid w:val="008E418E"/>
    <w:rsid w:val="008E5BC6"/>
    <w:rsid w:val="008E6A25"/>
    <w:rsid w:val="008F5193"/>
    <w:rsid w:val="009013A7"/>
    <w:rsid w:val="009017FB"/>
    <w:rsid w:val="009017FC"/>
    <w:rsid w:val="0090506B"/>
    <w:rsid w:val="009050C9"/>
    <w:rsid w:val="009066FC"/>
    <w:rsid w:val="009140A3"/>
    <w:rsid w:val="009144A2"/>
    <w:rsid w:val="0091510C"/>
    <w:rsid w:val="00920A9B"/>
    <w:rsid w:val="009259AC"/>
    <w:rsid w:val="00926F38"/>
    <w:rsid w:val="009337F7"/>
    <w:rsid w:val="00934301"/>
    <w:rsid w:val="00936CD1"/>
    <w:rsid w:val="00940437"/>
    <w:rsid w:val="00941747"/>
    <w:rsid w:val="00941EFB"/>
    <w:rsid w:val="00947AFB"/>
    <w:rsid w:val="00951D7D"/>
    <w:rsid w:val="00957080"/>
    <w:rsid w:val="009630C7"/>
    <w:rsid w:val="00972B55"/>
    <w:rsid w:val="009743B7"/>
    <w:rsid w:val="0098228B"/>
    <w:rsid w:val="009828DA"/>
    <w:rsid w:val="00985BAB"/>
    <w:rsid w:val="00996D4B"/>
    <w:rsid w:val="009B1B5F"/>
    <w:rsid w:val="009B20A7"/>
    <w:rsid w:val="009B2EC2"/>
    <w:rsid w:val="009B6673"/>
    <w:rsid w:val="009C191B"/>
    <w:rsid w:val="009C2BD6"/>
    <w:rsid w:val="009E12AD"/>
    <w:rsid w:val="009E1F32"/>
    <w:rsid w:val="009E2FBA"/>
    <w:rsid w:val="009E5829"/>
    <w:rsid w:val="009E776C"/>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4C20"/>
    <w:rsid w:val="00AA227F"/>
    <w:rsid w:val="00AA3BC7"/>
    <w:rsid w:val="00AA754A"/>
    <w:rsid w:val="00AB099E"/>
    <w:rsid w:val="00AB4328"/>
    <w:rsid w:val="00AD26BA"/>
    <w:rsid w:val="00AD3D41"/>
    <w:rsid w:val="00AE0A2E"/>
    <w:rsid w:val="00AE354C"/>
    <w:rsid w:val="00AF4B07"/>
    <w:rsid w:val="00AF6186"/>
    <w:rsid w:val="00AF7A3A"/>
    <w:rsid w:val="00B01BD5"/>
    <w:rsid w:val="00B038C4"/>
    <w:rsid w:val="00B160DB"/>
    <w:rsid w:val="00B20836"/>
    <w:rsid w:val="00B235BB"/>
    <w:rsid w:val="00B27A44"/>
    <w:rsid w:val="00B30BBF"/>
    <w:rsid w:val="00B33C03"/>
    <w:rsid w:val="00B44E56"/>
    <w:rsid w:val="00B46543"/>
    <w:rsid w:val="00B47D33"/>
    <w:rsid w:val="00B52BE0"/>
    <w:rsid w:val="00B54133"/>
    <w:rsid w:val="00B66C59"/>
    <w:rsid w:val="00B701ED"/>
    <w:rsid w:val="00B8086C"/>
    <w:rsid w:val="00B84100"/>
    <w:rsid w:val="00B861B4"/>
    <w:rsid w:val="00B86DFE"/>
    <w:rsid w:val="00B90990"/>
    <w:rsid w:val="00B922FF"/>
    <w:rsid w:val="00B9281E"/>
    <w:rsid w:val="00B93925"/>
    <w:rsid w:val="00B95187"/>
    <w:rsid w:val="00BA2D55"/>
    <w:rsid w:val="00BA7005"/>
    <w:rsid w:val="00BA71B1"/>
    <w:rsid w:val="00BB0637"/>
    <w:rsid w:val="00BB345F"/>
    <w:rsid w:val="00BB68EA"/>
    <w:rsid w:val="00BC1C27"/>
    <w:rsid w:val="00BC3477"/>
    <w:rsid w:val="00BC6BBF"/>
    <w:rsid w:val="00BD1572"/>
    <w:rsid w:val="00BE14E3"/>
    <w:rsid w:val="00BE3774"/>
    <w:rsid w:val="00BE41E5"/>
    <w:rsid w:val="00BF4109"/>
    <w:rsid w:val="00BF4CC3"/>
    <w:rsid w:val="00C054C7"/>
    <w:rsid w:val="00C057B5"/>
    <w:rsid w:val="00C22687"/>
    <w:rsid w:val="00C2317C"/>
    <w:rsid w:val="00C32E4D"/>
    <w:rsid w:val="00C333A0"/>
    <w:rsid w:val="00C36A81"/>
    <w:rsid w:val="00C41974"/>
    <w:rsid w:val="00C447AD"/>
    <w:rsid w:val="00C53F4A"/>
    <w:rsid w:val="00C54125"/>
    <w:rsid w:val="00C55B54"/>
    <w:rsid w:val="00C6098E"/>
    <w:rsid w:val="00C6152C"/>
    <w:rsid w:val="00C621C2"/>
    <w:rsid w:val="00C74810"/>
    <w:rsid w:val="00C90D68"/>
    <w:rsid w:val="00C939FE"/>
    <w:rsid w:val="00CA4BDA"/>
    <w:rsid w:val="00CA6541"/>
    <w:rsid w:val="00CB1F66"/>
    <w:rsid w:val="00CB2951"/>
    <w:rsid w:val="00CD282B"/>
    <w:rsid w:val="00CD4C35"/>
    <w:rsid w:val="00CD7369"/>
    <w:rsid w:val="00CE0B0E"/>
    <w:rsid w:val="00CE3831"/>
    <w:rsid w:val="00D00ABB"/>
    <w:rsid w:val="00D02EEC"/>
    <w:rsid w:val="00D03551"/>
    <w:rsid w:val="00D06A63"/>
    <w:rsid w:val="00D07E0E"/>
    <w:rsid w:val="00D11478"/>
    <w:rsid w:val="00D15ED0"/>
    <w:rsid w:val="00D21B3E"/>
    <w:rsid w:val="00D21FED"/>
    <w:rsid w:val="00D24251"/>
    <w:rsid w:val="00D26E84"/>
    <w:rsid w:val="00D343E2"/>
    <w:rsid w:val="00D361A2"/>
    <w:rsid w:val="00D411BE"/>
    <w:rsid w:val="00D44C2E"/>
    <w:rsid w:val="00D45414"/>
    <w:rsid w:val="00D566BD"/>
    <w:rsid w:val="00D57A4D"/>
    <w:rsid w:val="00D606FC"/>
    <w:rsid w:val="00D60AA7"/>
    <w:rsid w:val="00D60D87"/>
    <w:rsid w:val="00D6435F"/>
    <w:rsid w:val="00D75E28"/>
    <w:rsid w:val="00D772C2"/>
    <w:rsid w:val="00D8008E"/>
    <w:rsid w:val="00D82C45"/>
    <w:rsid w:val="00D908A8"/>
    <w:rsid w:val="00D977B6"/>
    <w:rsid w:val="00DA4A31"/>
    <w:rsid w:val="00DA7B04"/>
    <w:rsid w:val="00DB36C2"/>
    <w:rsid w:val="00DC169B"/>
    <w:rsid w:val="00DC2AB9"/>
    <w:rsid w:val="00DC63F0"/>
    <w:rsid w:val="00DD6EE5"/>
    <w:rsid w:val="00DE386C"/>
    <w:rsid w:val="00DE4D35"/>
    <w:rsid w:val="00DF0549"/>
    <w:rsid w:val="00DF098B"/>
    <w:rsid w:val="00DF11C4"/>
    <w:rsid w:val="00DF210C"/>
    <w:rsid w:val="00DF4B6A"/>
    <w:rsid w:val="00E02C09"/>
    <w:rsid w:val="00E04D59"/>
    <w:rsid w:val="00E05E5D"/>
    <w:rsid w:val="00E07DA1"/>
    <w:rsid w:val="00E123CB"/>
    <w:rsid w:val="00E141E2"/>
    <w:rsid w:val="00E20E13"/>
    <w:rsid w:val="00E21DBC"/>
    <w:rsid w:val="00E275D7"/>
    <w:rsid w:val="00E27DBE"/>
    <w:rsid w:val="00E32AB1"/>
    <w:rsid w:val="00E36C71"/>
    <w:rsid w:val="00E40404"/>
    <w:rsid w:val="00E4555F"/>
    <w:rsid w:val="00E459C6"/>
    <w:rsid w:val="00E47589"/>
    <w:rsid w:val="00E64915"/>
    <w:rsid w:val="00E661D4"/>
    <w:rsid w:val="00E70091"/>
    <w:rsid w:val="00E71AAD"/>
    <w:rsid w:val="00E720F5"/>
    <w:rsid w:val="00E73940"/>
    <w:rsid w:val="00E76D47"/>
    <w:rsid w:val="00E83582"/>
    <w:rsid w:val="00E849F7"/>
    <w:rsid w:val="00E90302"/>
    <w:rsid w:val="00E97396"/>
    <w:rsid w:val="00EA0B2E"/>
    <w:rsid w:val="00EA185E"/>
    <w:rsid w:val="00EA592A"/>
    <w:rsid w:val="00EB14E4"/>
    <w:rsid w:val="00EB32A5"/>
    <w:rsid w:val="00EB34ED"/>
    <w:rsid w:val="00EB7BE0"/>
    <w:rsid w:val="00EC315E"/>
    <w:rsid w:val="00ED077C"/>
    <w:rsid w:val="00ED1190"/>
    <w:rsid w:val="00ED6544"/>
    <w:rsid w:val="00EE0277"/>
    <w:rsid w:val="00EE1DA9"/>
    <w:rsid w:val="00EE3E00"/>
    <w:rsid w:val="00EE5DD2"/>
    <w:rsid w:val="00EF41F1"/>
    <w:rsid w:val="00EF4F08"/>
    <w:rsid w:val="00EF5EF4"/>
    <w:rsid w:val="00F00A79"/>
    <w:rsid w:val="00F00E86"/>
    <w:rsid w:val="00F07C1E"/>
    <w:rsid w:val="00F105DB"/>
    <w:rsid w:val="00F132BC"/>
    <w:rsid w:val="00F13D80"/>
    <w:rsid w:val="00F16AAA"/>
    <w:rsid w:val="00F21161"/>
    <w:rsid w:val="00F218EF"/>
    <w:rsid w:val="00F21BC7"/>
    <w:rsid w:val="00F266A2"/>
    <w:rsid w:val="00F32269"/>
    <w:rsid w:val="00F56A6F"/>
    <w:rsid w:val="00F5709C"/>
    <w:rsid w:val="00F64EF1"/>
    <w:rsid w:val="00F838BB"/>
    <w:rsid w:val="00F858B7"/>
    <w:rsid w:val="00F8765F"/>
    <w:rsid w:val="00F90767"/>
    <w:rsid w:val="00F97716"/>
    <w:rsid w:val="00FA3126"/>
    <w:rsid w:val="00FA685B"/>
    <w:rsid w:val="00FB0C01"/>
    <w:rsid w:val="00FC18F2"/>
    <w:rsid w:val="00FC39E5"/>
    <w:rsid w:val="00FC3A78"/>
    <w:rsid w:val="00FD0038"/>
    <w:rsid w:val="00FD1005"/>
    <w:rsid w:val="00FD3180"/>
    <w:rsid w:val="00FD6C75"/>
    <w:rsid w:val="00FE71B3"/>
    <w:rsid w:val="00FF42C5"/>
    <w:rsid w:val="00FF716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7AC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5">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semiHidden/>
    <w:rsid w:val="005E2A43"/>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1456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1456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1456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1456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014566"/>
    <w:rPr>
      <w:i/>
      <w:iCs/>
      <w:smallCaps/>
      <w:spacing w:val="5"/>
    </w:rPr>
  </w:style>
  <w:style w:type="paragraph" w:customStyle="1" w:styleId="ECHRHeader">
    <w:name w:val="ECHR_Header"/>
    <w:aliases w:val="Ju_Header"/>
    <w:basedOn w:val="Nagwek"/>
    <w:uiPriority w:val="4"/>
    <w:qFormat/>
    <w:rsid w:val="00014566"/>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Normalny"/>
    <w:uiPriority w:val="46"/>
    <w:qFormat/>
    <w:rsid w:val="00C621C2"/>
    <w:pPr>
      <w:ind w:firstLine="284"/>
    </w:pPr>
  </w:style>
  <w:style w:type="character" w:styleId="Pogrubienie">
    <w:name w:val="Strong"/>
    <w:uiPriority w:val="99"/>
    <w:semiHidden/>
    <w:qFormat/>
    <w:rsid w:val="00014566"/>
    <w:rPr>
      <w:b/>
      <w:bCs/>
    </w:rPr>
  </w:style>
  <w:style w:type="paragraph" w:styleId="Bezodstpw">
    <w:name w:val="No Spacing"/>
    <w:basedOn w:val="Normalny"/>
    <w:link w:val="BezodstpwZnak"/>
    <w:semiHidden/>
    <w:qFormat/>
    <w:rsid w:val="00014566"/>
    <w:rPr>
      <w:sz w:val="22"/>
    </w:rPr>
  </w:style>
  <w:style w:type="character" w:customStyle="1" w:styleId="BezodstpwZnak">
    <w:name w:val="Bez odstępów Znak"/>
    <w:basedOn w:val="Domylnaczcionkaakapitu"/>
    <w:link w:val="Bezodstpw"/>
    <w:semiHidden/>
    <w:rsid w:val="00014566"/>
    <w:rPr>
      <w:rFonts w:eastAsiaTheme="minorEastAsia"/>
    </w:rPr>
  </w:style>
  <w:style w:type="paragraph" w:customStyle="1" w:styleId="JuParaSub">
    <w:name w:val="Ju_Para_Sub"/>
    <w:basedOn w:val="Normalny"/>
    <w:uiPriority w:val="13"/>
    <w:qFormat/>
    <w:rsid w:val="00C621C2"/>
    <w:pPr>
      <w:ind w:left="284" w:firstLine="284"/>
    </w:pPr>
  </w:style>
  <w:style w:type="paragraph" w:customStyle="1" w:styleId="OpiParaSub">
    <w:name w:val="Opi_Para_Sub"/>
    <w:basedOn w:val="JuParaSub"/>
    <w:uiPriority w:val="47"/>
    <w:qFormat/>
    <w:rsid w:val="00014566"/>
  </w:style>
  <w:style w:type="paragraph" w:customStyle="1" w:styleId="OpiQuot">
    <w:name w:val="Opi_Quot"/>
    <w:basedOn w:val="ECHRParaQuote"/>
    <w:uiPriority w:val="48"/>
    <w:qFormat/>
    <w:rsid w:val="00014566"/>
  </w:style>
  <w:style w:type="paragraph" w:customStyle="1" w:styleId="OpiQuotSub">
    <w:name w:val="Opi_Quot_Sub"/>
    <w:basedOn w:val="JuQuotSub"/>
    <w:uiPriority w:val="49"/>
    <w:qFormat/>
    <w:rsid w:val="00014566"/>
  </w:style>
  <w:style w:type="paragraph" w:customStyle="1" w:styleId="ECHRTitleCentre3">
    <w:name w:val="ECHR_Title_Centre_3"/>
    <w:aliases w:val="Ju_H_Article"/>
    <w:basedOn w:val="Normalny"/>
    <w:next w:val="ECHRParaQuote"/>
    <w:uiPriority w:val="27"/>
    <w:qFormat/>
    <w:rsid w:val="0001456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1456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14566"/>
    <w:pPr>
      <w:ind w:left="567"/>
    </w:pPr>
  </w:style>
  <w:style w:type="paragraph" w:customStyle="1" w:styleId="JuInitialled">
    <w:name w:val="Ju_Initialled"/>
    <w:basedOn w:val="Normalny"/>
    <w:uiPriority w:val="31"/>
    <w:qFormat/>
    <w:rsid w:val="00014566"/>
    <w:pPr>
      <w:tabs>
        <w:tab w:val="center" w:pos="6407"/>
      </w:tabs>
      <w:spacing w:before="720"/>
      <w:jc w:val="right"/>
    </w:pPr>
  </w:style>
  <w:style w:type="paragraph" w:customStyle="1" w:styleId="OpiHA">
    <w:name w:val="Opi_H_A"/>
    <w:basedOn w:val="ECHRHeading1"/>
    <w:next w:val="OpiPara"/>
    <w:uiPriority w:val="41"/>
    <w:qFormat/>
    <w:rsid w:val="00014566"/>
    <w:pPr>
      <w:outlineLvl w:val="1"/>
    </w:pPr>
    <w:rPr>
      <w:bCs w:val="0"/>
    </w:rPr>
  </w:style>
  <w:style w:type="character" w:customStyle="1" w:styleId="JUNAMES">
    <w:name w:val="JU_NAMES"/>
    <w:uiPriority w:val="17"/>
    <w:qFormat/>
    <w:rsid w:val="00014566"/>
    <w:rPr>
      <w:caps w:val="0"/>
      <w:smallCaps/>
    </w:rPr>
  </w:style>
  <w:style w:type="paragraph" w:customStyle="1" w:styleId="OpiTranslation">
    <w:name w:val="Opi_Translation"/>
    <w:basedOn w:val="Normalny"/>
    <w:next w:val="OpiPara"/>
    <w:uiPriority w:val="40"/>
    <w:qFormat/>
    <w:rsid w:val="00014566"/>
    <w:pPr>
      <w:jc w:val="center"/>
      <w:outlineLvl w:val="0"/>
    </w:pPr>
    <w:rPr>
      <w:i/>
    </w:rPr>
  </w:style>
  <w:style w:type="paragraph" w:styleId="Tytu">
    <w:name w:val="Title"/>
    <w:basedOn w:val="Normalny"/>
    <w:next w:val="Normalny"/>
    <w:link w:val="TytuZnak"/>
    <w:uiPriority w:val="99"/>
    <w:semiHidden/>
    <w:qFormat/>
    <w:rsid w:val="0001456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1456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Normalny"/>
    <w:link w:val="JuH1Char"/>
    <w:qFormat/>
    <w:rsid w:val="00014566"/>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Normalny"/>
    <w:qFormat/>
    <w:rsid w:val="00014566"/>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Normalny"/>
    <w:uiPriority w:val="23"/>
    <w:qFormat/>
    <w:rsid w:val="0001456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Normalny"/>
    <w:uiPriority w:val="24"/>
    <w:qFormat/>
    <w:rsid w:val="00014566"/>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Normalny"/>
    <w:uiPriority w:val="25"/>
    <w:qFormat/>
    <w:rsid w:val="00014566"/>
    <w:pPr>
      <w:keepNext/>
      <w:keepLines/>
      <w:spacing w:before="240" w:after="120"/>
      <w:ind w:left="1236"/>
    </w:pPr>
    <w:rPr>
      <w:sz w:val="20"/>
    </w:rPr>
  </w:style>
  <w:style w:type="paragraph" w:customStyle="1" w:styleId="OpiH1">
    <w:name w:val="Opi_H_1"/>
    <w:basedOn w:val="ECHRHeading2"/>
    <w:uiPriority w:val="42"/>
    <w:qFormat/>
    <w:rsid w:val="00014566"/>
    <w:pPr>
      <w:ind w:left="635" w:hanging="357"/>
      <w:outlineLvl w:val="2"/>
    </w:pPr>
  </w:style>
  <w:style w:type="paragraph" w:customStyle="1" w:styleId="OpiHa0">
    <w:name w:val="Opi_H_a"/>
    <w:basedOn w:val="ECHRHeading3"/>
    <w:uiPriority w:val="43"/>
    <w:qFormat/>
    <w:rsid w:val="00014566"/>
    <w:pPr>
      <w:ind w:left="833" w:hanging="357"/>
      <w:outlineLvl w:val="3"/>
    </w:pPr>
    <w:rPr>
      <w:b/>
      <w:i w:val="0"/>
      <w:sz w:val="20"/>
    </w:rPr>
  </w:style>
  <w:style w:type="paragraph" w:customStyle="1" w:styleId="OpiHi">
    <w:name w:val="Opi_H_i"/>
    <w:basedOn w:val="ECHRHeading4"/>
    <w:uiPriority w:val="44"/>
    <w:qFormat/>
    <w:rsid w:val="00014566"/>
    <w:pPr>
      <w:ind w:left="1037" w:hanging="357"/>
      <w:outlineLvl w:val="4"/>
    </w:pPr>
    <w:rPr>
      <w:b w:val="0"/>
      <w:i/>
    </w:rPr>
  </w:style>
  <w:style w:type="paragraph" w:styleId="Nagwek">
    <w:name w:val="header"/>
    <w:basedOn w:val="Normalny"/>
    <w:link w:val="NagwekZnak"/>
    <w:uiPriority w:val="57"/>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Normalny"/>
    <w:uiPriority w:val="19"/>
    <w:qFormat/>
    <w:rsid w:val="00014566"/>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Normalny"/>
    <w:link w:val="JuHAChar"/>
    <w:qFormat/>
    <w:rsid w:val="00014566"/>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014566"/>
    <w:rPr>
      <w:color w:val="00B050"/>
    </w:rPr>
  </w:style>
  <w:style w:type="paragraph" w:customStyle="1" w:styleId="JuCase">
    <w:name w:val="Ju_Case"/>
    <w:basedOn w:val="Normalny"/>
    <w:next w:val="Normalny"/>
    <w:uiPriority w:val="10"/>
    <w:rsid w:val="00D60D87"/>
    <w:pPr>
      <w:ind w:firstLine="284"/>
    </w:pPr>
    <w:rPr>
      <w:b/>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9"/>
    <w:semiHidden/>
    <w:rsid w:val="00014566"/>
    <w:rPr>
      <w:rFonts w:asciiTheme="majorHAnsi" w:eastAsiaTheme="majorEastAsia" w:hAnsiTheme="majorHAnsi" w:cstheme="majorBidi"/>
      <w:b/>
      <w:bCs/>
      <w:color w:val="808080"/>
    </w:rPr>
  </w:style>
  <w:style w:type="character" w:styleId="Wyrnieniedelikatne">
    <w:name w:val="Subtle Emphasis"/>
    <w:uiPriority w:val="99"/>
    <w:semiHidden/>
    <w:qFormat/>
    <w:rsid w:val="00014566"/>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Normalny"/>
    <w:uiPriority w:val="18"/>
    <w:qFormat/>
    <w:rsid w:val="00014566"/>
    <w:pPr>
      <w:keepNext/>
      <w:keepLines/>
      <w:spacing w:before="720" w:after="240"/>
      <w:outlineLvl w:val="0"/>
    </w:pPr>
    <w:rPr>
      <w:rFonts w:asciiTheme="majorHAnsi" w:hAnsiTheme="majorHAnsi"/>
      <w:sz w:val="28"/>
    </w:rPr>
  </w:style>
  <w:style w:type="character" w:styleId="Uwydatnienie">
    <w:name w:val="Emphasis"/>
    <w:uiPriority w:val="99"/>
    <w:semiHidden/>
    <w:qFormat/>
    <w:rsid w:val="00014566"/>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01456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1456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1456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014566"/>
    <w:rPr>
      <w:b/>
      <w:bCs/>
    </w:rPr>
  </w:style>
  <w:style w:type="paragraph" w:styleId="Cytatintensywny">
    <w:name w:val="Intense Quote"/>
    <w:basedOn w:val="Normalny"/>
    <w:next w:val="Normalny"/>
    <w:link w:val="CytatintensywnyZnak"/>
    <w:uiPriority w:val="99"/>
    <w:semiHidden/>
    <w:qFormat/>
    <w:rsid w:val="0001456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14566"/>
    <w:rPr>
      <w:rFonts w:eastAsiaTheme="minorEastAsia"/>
      <w:b/>
      <w:bCs/>
      <w:i/>
      <w:iCs/>
      <w:lang w:bidi="en-US"/>
    </w:rPr>
  </w:style>
  <w:style w:type="character" w:styleId="Odwoanieintensywne">
    <w:name w:val="Intense Reference"/>
    <w:uiPriority w:val="99"/>
    <w:semiHidden/>
    <w:qFormat/>
    <w:rsid w:val="00014566"/>
    <w:rPr>
      <w:smallCaps/>
      <w:spacing w:val="5"/>
      <w:u w:val="single"/>
    </w:rPr>
  </w:style>
  <w:style w:type="paragraph" w:styleId="Akapitzlist">
    <w:name w:val="List Paragraph"/>
    <w:basedOn w:val="Normalny"/>
    <w:uiPriority w:val="99"/>
    <w:semiHidden/>
    <w:qFormat/>
    <w:rsid w:val="0001456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14566"/>
    <w:pPr>
      <w:spacing w:before="200"/>
      <w:ind w:left="360" w:right="360"/>
    </w:pPr>
    <w:rPr>
      <w:i/>
      <w:iCs/>
      <w:sz w:val="22"/>
      <w:lang w:bidi="en-US"/>
    </w:rPr>
  </w:style>
  <w:style w:type="character" w:customStyle="1" w:styleId="CytatZnak">
    <w:name w:val="Cytat Znak"/>
    <w:basedOn w:val="Domylnaczcionkaakapitu"/>
    <w:link w:val="Cytat"/>
    <w:uiPriority w:val="99"/>
    <w:semiHidden/>
    <w:rsid w:val="00014566"/>
    <w:rPr>
      <w:rFonts w:eastAsiaTheme="minorEastAsia"/>
      <w:i/>
      <w:iCs/>
      <w:lang w:bidi="en-US"/>
    </w:rPr>
  </w:style>
  <w:style w:type="character" w:styleId="Odwoaniedelikatne">
    <w:name w:val="Subtle Reference"/>
    <w:uiPriority w:val="99"/>
    <w:semiHidden/>
    <w:qFormat/>
    <w:rsid w:val="00014566"/>
    <w:rPr>
      <w:smallCaps/>
    </w:rPr>
  </w:style>
  <w:style w:type="table" w:styleId="Tabela-Siatka">
    <w:name w:val="Table Grid"/>
    <w:basedOn w:val="Standardowy"/>
    <w:uiPriority w:val="59"/>
    <w:semiHidden/>
    <w:rsid w:val="0094174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014566"/>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qFormat/>
    <w:rsid w:val="00014566"/>
    <w:pPr>
      <w:spacing w:before="120" w:after="120"/>
      <w:ind w:left="425" w:firstLine="142"/>
    </w:pPr>
    <w:rPr>
      <w:sz w:val="20"/>
    </w:rPr>
  </w:style>
  <w:style w:type="paragraph" w:customStyle="1" w:styleId="ECHRPara">
    <w:name w:val="ECHR_Para"/>
    <w:aliases w:val="Ju_Para,Left,First line:  0 cm"/>
    <w:basedOn w:val="Normalny"/>
    <w:link w:val="JuParaChar"/>
    <w:uiPriority w:val="12"/>
    <w:qFormat/>
    <w:rsid w:val="00C621C2"/>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F054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621C2"/>
    <w:pPr>
      <w:ind w:left="340" w:hanging="340"/>
    </w:pPr>
  </w:style>
  <w:style w:type="paragraph" w:customStyle="1" w:styleId="JuSigned">
    <w:name w:val="Ju_Signed"/>
    <w:basedOn w:val="Normalny"/>
    <w:next w:val="JuParaLast"/>
    <w:uiPriority w:val="32"/>
    <w:qFormat/>
    <w:rsid w:val="00C621C2"/>
    <w:pPr>
      <w:tabs>
        <w:tab w:val="center" w:pos="851"/>
        <w:tab w:val="center" w:pos="6407"/>
      </w:tabs>
      <w:spacing w:before="720"/>
      <w:jc w:val="left"/>
    </w:pPr>
  </w:style>
  <w:style w:type="paragraph" w:customStyle="1" w:styleId="JuParaLast">
    <w:name w:val="Ju_Para_Last"/>
    <w:basedOn w:val="Normalny"/>
    <w:next w:val="Normalny"/>
    <w:uiPriority w:val="30"/>
    <w:qFormat/>
    <w:rsid w:val="00014566"/>
    <w:pPr>
      <w:keepNext/>
      <w:keepLines/>
      <w:spacing w:before="240"/>
      <w:ind w:firstLine="284"/>
    </w:pPr>
  </w:style>
  <w:style w:type="paragraph" w:customStyle="1" w:styleId="JuCourt">
    <w:name w:val="Ju_Court"/>
    <w:basedOn w:val="Normalny"/>
    <w:next w:val="Normalny"/>
    <w:uiPriority w:val="16"/>
    <w:qFormat/>
    <w:rsid w:val="0001456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Normalny"/>
    <w:uiPriority w:val="28"/>
    <w:qFormat/>
    <w:rsid w:val="00C621C2"/>
    <w:pPr>
      <w:ind w:left="346"/>
    </w:pPr>
  </w:style>
  <w:style w:type="paragraph" w:customStyle="1" w:styleId="JuListi">
    <w:name w:val="Ju_List_i"/>
    <w:basedOn w:val="Normalny"/>
    <w:next w:val="JuLista"/>
    <w:uiPriority w:val="28"/>
    <w:qFormat/>
    <w:rsid w:val="00014566"/>
    <w:pPr>
      <w:ind w:left="794"/>
    </w:pPr>
  </w:style>
  <w:style w:type="character" w:styleId="Odwoaniedokomentarza">
    <w:name w:val="annotation reference"/>
    <w:uiPriority w:val="99"/>
    <w:semiHidden/>
    <w:unhideWhenUsed/>
    <w:rPr>
      <w:sz w:val="16"/>
      <w:szCs w:val="16"/>
    </w:rPr>
  </w:style>
  <w:style w:type="paragraph" w:styleId="Tekstkomentarza">
    <w:name w:val="annotation text"/>
    <w:link w:val="TekstkomentarzaZnak"/>
    <w:uiPriority w:val="99"/>
    <w:semiHidden/>
    <w:unhideWhenUsed/>
    <w:rPr>
      <w:sz w:val="20"/>
      <w:szCs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8"/>
      </w:numPr>
    </w:pPr>
  </w:style>
  <w:style w:type="character" w:customStyle="1" w:styleId="JuITMark">
    <w:name w:val="Ju_ITMark"/>
    <w:basedOn w:val="Domylnaczcionkaakapitu"/>
    <w:uiPriority w:val="38"/>
    <w:qFormat/>
    <w:rsid w:val="00014566"/>
    <w:rPr>
      <w:vanish w:val="0"/>
      <w:color w:val="auto"/>
      <w:sz w:val="14"/>
    </w:rPr>
  </w:style>
  <w:style w:type="paragraph" w:styleId="Podtytu">
    <w:name w:val="Subtitle"/>
    <w:basedOn w:val="Normalny"/>
    <w:next w:val="Normalny"/>
    <w:link w:val="PodtytuZnak"/>
    <w:uiPriority w:val="99"/>
    <w:semiHidden/>
    <w:qFormat/>
    <w:rsid w:val="0001456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1456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9"/>
      </w:numPr>
    </w:pPr>
  </w:style>
  <w:style w:type="numbering" w:styleId="1ai">
    <w:name w:val="Outline List 1"/>
    <w:basedOn w:val="Bezlisty"/>
    <w:uiPriority w:val="99"/>
    <w:semiHidden/>
    <w:rsid w:val="00014566"/>
    <w:pPr>
      <w:numPr>
        <w:numId w:val="10"/>
      </w:numPr>
    </w:pPr>
  </w:style>
  <w:style w:type="numbering" w:styleId="Artykusekcja">
    <w:name w:val="Outline List 3"/>
    <w:basedOn w:val="Bezlisty"/>
    <w:uiPriority w:val="99"/>
    <w:semiHidden/>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2"/>
      </w:numPr>
      <w:contextualSpacing/>
    </w:pPr>
  </w:style>
  <w:style w:type="paragraph" w:styleId="Listapunktowana3">
    <w:name w:val="List Bullet 3"/>
    <w:basedOn w:val="Normalny"/>
    <w:uiPriority w:val="99"/>
    <w:semiHidden/>
    <w:rsid w:val="00014566"/>
    <w:pPr>
      <w:numPr>
        <w:numId w:val="13"/>
      </w:numPr>
      <w:contextualSpacing/>
    </w:pPr>
  </w:style>
  <w:style w:type="paragraph" w:styleId="Listapunktowana4">
    <w:name w:val="List Bullet 4"/>
    <w:basedOn w:val="Normalny"/>
    <w:uiPriority w:val="99"/>
    <w:semiHidden/>
    <w:rsid w:val="00014566"/>
    <w:pPr>
      <w:numPr>
        <w:numId w:val="14"/>
      </w:numPr>
      <w:contextualSpacing/>
    </w:pPr>
  </w:style>
  <w:style w:type="paragraph" w:styleId="Listapunktowana5">
    <w:name w:val="List Bullet 5"/>
    <w:basedOn w:val="Normalny"/>
    <w:uiPriority w:val="99"/>
    <w:semiHidden/>
    <w:rsid w:val="00014566"/>
    <w:pPr>
      <w:numPr>
        <w:numId w:val="15"/>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6"/>
      </w:numPr>
      <w:contextualSpacing/>
    </w:pPr>
  </w:style>
  <w:style w:type="paragraph" w:styleId="Listanumerowana2">
    <w:name w:val="List Number 2"/>
    <w:basedOn w:val="Normalny"/>
    <w:uiPriority w:val="99"/>
    <w:semiHidden/>
    <w:rsid w:val="00014566"/>
    <w:pPr>
      <w:numPr>
        <w:numId w:val="17"/>
      </w:numPr>
      <w:contextualSpacing/>
    </w:pPr>
  </w:style>
  <w:style w:type="paragraph" w:styleId="Listanumerowana3">
    <w:name w:val="List Number 3"/>
    <w:basedOn w:val="Normalny"/>
    <w:uiPriority w:val="99"/>
    <w:semiHidden/>
    <w:rsid w:val="00014566"/>
    <w:pPr>
      <w:numPr>
        <w:numId w:val="18"/>
      </w:numPr>
      <w:contextualSpacing/>
    </w:pPr>
  </w:style>
  <w:style w:type="paragraph" w:styleId="Listanumerowana4">
    <w:name w:val="List Number 4"/>
    <w:basedOn w:val="Normalny"/>
    <w:uiPriority w:val="99"/>
    <w:semiHidden/>
    <w:rsid w:val="00014566"/>
    <w:pPr>
      <w:numPr>
        <w:numId w:val="19"/>
      </w:numPr>
      <w:contextualSpacing/>
    </w:pPr>
  </w:style>
  <w:style w:type="paragraph" w:styleId="Listanumerowana5">
    <w:name w:val="List Number 5"/>
    <w:basedOn w:val="Normalny"/>
    <w:uiPriority w:val="99"/>
    <w:semiHidden/>
    <w:rsid w:val="00014566"/>
    <w:pPr>
      <w:numPr>
        <w:numId w:val="20"/>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ParaChar">
    <w:name w:val="Ju_Para Char"/>
    <w:link w:val="ECHRPara"/>
    <w:uiPriority w:val="12"/>
    <w:rsid w:val="00957080"/>
    <w:rPr>
      <w:rFonts w:eastAsiaTheme="minorEastAsia"/>
      <w:sz w:val="24"/>
    </w:rPr>
  </w:style>
  <w:style w:type="character" w:customStyle="1" w:styleId="sb8d990e2">
    <w:name w:val="sb8d990e2"/>
    <w:basedOn w:val="Domylnaczcionkaakapitu"/>
    <w:rsid w:val="00957080"/>
  </w:style>
  <w:style w:type="character" w:customStyle="1" w:styleId="JuHAChar">
    <w:name w:val="Ju_H_A Char"/>
    <w:link w:val="ECHRHeading2"/>
    <w:rsid w:val="0066470B"/>
    <w:rPr>
      <w:rFonts w:asciiTheme="majorHAnsi" w:eastAsiaTheme="majorEastAsia" w:hAnsiTheme="majorHAnsi" w:cstheme="majorBidi"/>
      <w:b/>
      <w:bCs/>
      <w:sz w:val="24"/>
      <w:szCs w:val="26"/>
    </w:rPr>
  </w:style>
  <w:style w:type="character" w:customStyle="1" w:styleId="JuH1Char">
    <w:name w:val="Ju_H_1. Char"/>
    <w:link w:val="ECHRHeading3"/>
    <w:rsid w:val="0066470B"/>
    <w:rPr>
      <w:rFonts w:asciiTheme="majorHAnsi" w:eastAsiaTheme="majorEastAsia" w:hAnsiTheme="majorHAnsi" w:cstheme="majorBidi"/>
      <w:bCs/>
      <w:i/>
      <w:sz w:val="24"/>
    </w:rPr>
  </w:style>
  <w:style w:type="character" w:customStyle="1" w:styleId="JuQuotChar">
    <w:name w:val="Ju_Quot Char"/>
    <w:link w:val="ECHRParaQuote"/>
    <w:rsid w:val="0066470B"/>
    <w:rPr>
      <w:rFonts w:eastAsiaTheme="minorEastAsia"/>
      <w:sz w:val="20"/>
    </w:rPr>
  </w:style>
  <w:style w:type="character" w:customStyle="1" w:styleId="JuParaCar">
    <w:name w:val="Ju_Para Car"/>
    <w:uiPriority w:val="12"/>
    <w:rsid w:val="00177B37"/>
    <w:rPr>
      <w:rFonts w:eastAsiaTheme="minorEastAsia"/>
      <w:sz w:val="24"/>
    </w:rPr>
  </w:style>
  <w:style w:type="character" w:customStyle="1" w:styleId="s6b621b36">
    <w:name w:val="s6b621b36"/>
    <w:rsid w:val="00167E34"/>
  </w:style>
  <w:style w:type="character" w:customStyle="1" w:styleId="se8f51087">
    <w:name w:val="se8f51087"/>
    <w:basedOn w:val="Domylnaczcionkaakapitu"/>
    <w:rsid w:val="00167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6371064">
      <w:bodyDiv w:val="1"/>
      <w:marLeft w:val="0"/>
      <w:marRight w:val="0"/>
      <w:marTop w:val="0"/>
      <w:marBottom w:val="0"/>
      <w:divBdr>
        <w:top w:val="none" w:sz="0" w:space="0" w:color="auto"/>
        <w:left w:val="none" w:sz="0" w:space="0" w:color="auto"/>
        <w:bottom w:val="none" w:sz="0" w:space="0" w:color="auto"/>
        <w:right w:val="none" w:sz="0" w:space="0" w:color="auto"/>
      </w:divBdr>
      <w:divsChild>
        <w:div w:id="1576161597">
          <w:marLeft w:val="0"/>
          <w:marRight w:val="0"/>
          <w:marTop w:val="0"/>
          <w:marBottom w:val="0"/>
          <w:divBdr>
            <w:top w:val="none" w:sz="0" w:space="0" w:color="auto"/>
            <w:left w:val="none" w:sz="0" w:space="0" w:color="auto"/>
            <w:bottom w:val="none" w:sz="0" w:space="0" w:color="auto"/>
            <w:right w:val="none" w:sz="0" w:space="0" w:color="auto"/>
          </w:divBdr>
          <w:divsChild>
            <w:div w:id="2072189172">
              <w:marLeft w:val="0"/>
              <w:marRight w:val="0"/>
              <w:marTop w:val="0"/>
              <w:marBottom w:val="0"/>
              <w:divBdr>
                <w:top w:val="none" w:sz="0" w:space="0" w:color="auto"/>
                <w:left w:val="none" w:sz="0" w:space="0" w:color="auto"/>
                <w:bottom w:val="none" w:sz="0" w:space="0" w:color="auto"/>
                <w:right w:val="none" w:sz="0" w:space="0" w:color="auto"/>
              </w:divBdr>
              <w:divsChild>
                <w:div w:id="306783675">
                  <w:marLeft w:val="0"/>
                  <w:marRight w:val="0"/>
                  <w:marTop w:val="0"/>
                  <w:marBottom w:val="0"/>
                  <w:divBdr>
                    <w:top w:val="none" w:sz="0" w:space="0" w:color="auto"/>
                    <w:left w:val="none" w:sz="0" w:space="0" w:color="auto"/>
                    <w:bottom w:val="none" w:sz="0" w:space="0" w:color="auto"/>
                    <w:right w:val="none" w:sz="0" w:space="0" w:color="auto"/>
                  </w:divBdr>
                  <w:divsChild>
                    <w:div w:id="1059746551">
                      <w:marLeft w:val="0"/>
                      <w:marRight w:val="0"/>
                      <w:marTop w:val="0"/>
                      <w:marBottom w:val="0"/>
                      <w:divBdr>
                        <w:top w:val="none" w:sz="0" w:space="0" w:color="auto"/>
                        <w:left w:val="none" w:sz="0" w:space="0" w:color="auto"/>
                        <w:bottom w:val="none" w:sz="0" w:space="0" w:color="auto"/>
                        <w:right w:val="none" w:sz="0" w:space="0" w:color="auto"/>
                      </w:divBdr>
                      <w:divsChild>
                        <w:div w:id="1524394887">
                          <w:marLeft w:val="0"/>
                          <w:marRight w:val="0"/>
                          <w:marTop w:val="0"/>
                          <w:marBottom w:val="0"/>
                          <w:divBdr>
                            <w:top w:val="none" w:sz="0" w:space="0" w:color="auto"/>
                            <w:left w:val="none" w:sz="0" w:space="0" w:color="auto"/>
                            <w:bottom w:val="none" w:sz="0" w:space="0" w:color="auto"/>
                            <w:right w:val="none" w:sz="0" w:space="0" w:color="auto"/>
                          </w:divBdr>
                          <w:divsChild>
                            <w:div w:id="139103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4E2C32-6788-410B-AA17-5A349EAED3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85545C4-BF89-4780-93E8-671069D69093}">
  <ds:schemaRefs>
    <ds:schemaRef ds:uri="http://schemas.microsoft.com/sharepoint/v3/contenttype/forms"/>
  </ds:schemaRefs>
</ds:datastoreItem>
</file>

<file path=customXml/itemProps3.xml><?xml version="1.0" encoding="utf-8"?>
<ds:datastoreItem xmlns:ds="http://schemas.openxmlformats.org/officeDocument/2006/customXml" ds:itemID="{98332575-B6CB-460B-BDB1-05AFB750C2D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426C7AF-E79D-427C-8F10-CAA24E081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3145</Words>
  <Characters>18871</Characters>
  <Application>Microsoft Office Word</Application>
  <DocSecurity>0</DocSecurity>
  <Lines>157</Lines>
  <Paragraphs>43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21973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2019-09-24T09:31:00Z</dcterms:created>
  <dcterms:modified xsi:type="dcterms:W3CDTF">2019-09-26T07:43:00Z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