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F5DF6" w14:textId="0B89C168" w:rsidR="00D2591B" w:rsidRPr="00543B3A" w:rsidRDefault="00D2591B" w:rsidP="001B590D">
      <w:pPr>
        <w:spacing w:before="100" w:beforeAutospacing="1" w:after="120"/>
        <w:jc w:val="both"/>
        <w:rPr>
          <w:sz w:val="20"/>
          <w:lang w:val="en-GB"/>
        </w:rPr>
      </w:pPr>
      <w:bookmarkStart w:id="0" w:name="_GoBack"/>
      <w:bookmarkEnd w:id="0"/>
      <w:r w:rsidRPr="00543B3A">
        <w:rPr>
          <w:sz w:val="20"/>
          <w:lang w:val="en-GB"/>
        </w:rPr>
        <w:t xml:space="preserve">© Ministerstwo Sprawiedliwości, </w:t>
      </w:r>
      <w:hyperlink r:id="rId7" w:history="1">
        <w:r w:rsidR="00024F8B" w:rsidRPr="00543B3A">
          <w:rPr>
            <w:rStyle w:val="Hipercze"/>
            <w:sz w:val="20"/>
            <w:lang w:val="en-GB"/>
          </w:rPr>
          <w:t>www.gov.pl/sprawiedliwosc</w:t>
        </w:r>
      </w:hyperlink>
      <w:r w:rsidRPr="00543B3A">
        <w:rPr>
          <w:sz w:val="20"/>
          <w:lang w:val="en-GB"/>
        </w:rPr>
        <w:t xml:space="preserve"> [Translation already published on the official website of the Polish Ministry of Justice]</w:t>
      </w:r>
    </w:p>
    <w:p w14:paraId="4ED46A8D" w14:textId="77777777" w:rsidR="00D2591B" w:rsidRPr="00543B3A" w:rsidRDefault="00D2591B" w:rsidP="001B590D">
      <w:pPr>
        <w:spacing w:after="100" w:afterAutospacing="1"/>
        <w:jc w:val="both"/>
        <w:rPr>
          <w:sz w:val="20"/>
          <w:lang w:val="en-GB"/>
        </w:rPr>
      </w:pPr>
      <w:r w:rsidRPr="00543B3A">
        <w:rPr>
          <w:sz w:val="20"/>
          <w:lang w:val="en-GB"/>
        </w:rPr>
        <w:t>Permission to re-publish this translation has been granted by the Polish Ministry of Justice for the sole purpose of its inclusion in the Court’s database HUDOC</w:t>
      </w:r>
    </w:p>
    <w:p w14:paraId="4608884D" w14:textId="134A5E68" w:rsidR="00D2591B" w:rsidRPr="00D47FBC" w:rsidRDefault="00D2591B" w:rsidP="001B590D">
      <w:pPr>
        <w:spacing w:before="100" w:beforeAutospacing="1" w:after="120"/>
        <w:jc w:val="both"/>
        <w:rPr>
          <w:sz w:val="20"/>
        </w:rPr>
      </w:pPr>
      <w:r w:rsidRPr="00D47FBC">
        <w:rPr>
          <w:sz w:val="20"/>
        </w:rPr>
        <w:t xml:space="preserve">© Ministerstwo Sprawiedliwości, </w:t>
      </w:r>
      <w:hyperlink r:id="rId8" w:history="1">
        <w:r w:rsidR="003154AB" w:rsidRPr="00D47FBC">
          <w:rPr>
            <w:rStyle w:val="Hipercze"/>
            <w:sz w:val="20"/>
          </w:rPr>
          <w:t>www.gov.pl/sprawiedliwosc</w:t>
        </w:r>
      </w:hyperlink>
      <w:r w:rsidRPr="00D47FBC">
        <w:rPr>
          <w:sz w:val="20"/>
        </w:rPr>
        <w:t xml:space="preserve"> [Tłumaczenie zostało już opublikowane na oficjalnej stronie Ministerstwa Sprawiedliwości]</w:t>
      </w:r>
    </w:p>
    <w:p w14:paraId="5061CD16" w14:textId="77777777" w:rsidR="00D2591B" w:rsidRPr="00D47FBC" w:rsidRDefault="00D2591B" w:rsidP="001B590D">
      <w:pPr>
        <w:jc w:val="both"/>
        <w:rPr>
          <w:sz w:val="20"/>
        </w:rPr>
      </w:pPr>
      <w:r w:rsidRPr="00D47FBC">
        <w:rPr>
          <w:sz w:val="20"/>
        </w:rPr>
        <w:t xml:space="preserve">Zezwolenie na publikację tego tłumaczenia zostało udzielone przez Ministerstwo Sprawiedliwości wyłącznie w celu zamieszczenia w bazie Trybunału HUDOC </w:t>
      </w:r>
    </w:p>
    <w:p w14:paraId="53059A09" w14:textId="77777777" w:rsidR="00D2591B" w:rsidRPr="00D47FBC" w:rsidRDefault="00D2591B" w:rsidP="00485F6D">
      <w:pPr>
        <w:jc w:val="center"/>
      </w:pPr>
    </w:p>
    <w:p w14:paraId="2C1AFD45" w14:textId="164EFD7D" w:rsidR="00D420F3" w:rsidRPr="00D47FBC" w:rsidRDefault="00050E1A" w:rsidP="00485F6D">
      <w:pPr>
        <w:jc w:val="center"/>
      </w:pPr>
      <w:r w:rsidRPr="00D47FBC">
        <w:t>EUROPEJSKI TRYBUNAŁ PRAW CZŁOWIEKA</w:t>
      </w:r>
    </w:p>
    <w:p w14:paraId="22731423" w14:textId="77777777" w:rsidR="00F42FA3" w:rsidRPr="00D47FBC" w:rsidRDefault="00F42FA3" w:rsidP="00485F6D">
      <w:pPr>
        <w:jc w:val="center"/>
      </w:pPr>
    </w:p>
    <w:p w14:paraId="33D854EA" w14:textId="77777777" w:rsidR="00F42FA3" w:rsidRPr="00D47FBC" w:rsidRDefault="00F42FA3" w:rsidP="00485F6D">
      <w:pPr>
        <w:jc w:val="center"/>
      </w:pPr>
    </w:p>
    <w:p w14:paraId="0D3E5274" w14:textId="77777777" w:rsidR="00D420F3" w:rsidRPr="00D47FBC" w:rsidRDefault="00D92F97" w:rsidP="00485F6D">
      <w:pPr>
        <w:jc w:val="center"/>
      </w:pPr>
      <w:r w:rsidRPr="00D47FBC">
        <w:t>SEKCJA PIERWSZA</w:t>
      </w:r>
    </w:p>
    <w:p w14:paraId="2AEDDD85" w14:textId="77777777" w:rsidR="00D420F3" w:rsidRPr="00D47FBC" w:rsidRDefault="00D420F3" w:rsidP="00485F6D">
      <w:pPr>
        <w:jc w:val="center"/>
      </w:pPr>
    </w:p>
    <w:p w14:paraId="7F72CD2E" w14:textId="77777777" w:rsidR="00F42FA3" w:rsidRPr="00D47FBC" w:rsidRDefault="00F42FA3" w:rsidP="00485F6D">
      <w:pPr>
        <w:jc w:val="center"/>
      </w:pPr>
    </w:p>
    <w:p w14:paraId="72365598" w14:textId="5A76830A" w:rsidR="00D420F3" w:rsidRPr="00D47FBC" w:rsidRDefault="0077175D" w:rsidP="00485F6D">
      <w:pPr>
        <w:jc w:val="center"/>
        <w:rPr>
          <w:b/>
        </w:rPr>
      </w:pPr>
      <w:bookmarkStart w:id="1" w:name="To"/>
      <w:r w:rsidRPr="00D47FBC">
        <w:rPr>
          <w:b/>
          <w:bCs/>
        </w:rPr>
        <w:t>SPRAWA KANCIAŁ</w:t>
      </w:r>
      <w:bookmarkEnd w:id="1"/>
      <w:r w:rsidRPr="00D47FBC">
        <w:rPr>
          <w:b/>
          <w:bCs/>
        </w:rPr>
        <w:t xml:space="preserve"> </w:t>
      </w:r>
      <w:r w:rsidR="00743647" w:rsidRPr="00D47FBC">
        <w:rPr>
          <w:b/>
          <w:bCs/>
        </w:rPr>
        <w:t xml:space="preserve">PRZECIWKO </w:t>
      </w:r>
      <w:r w:rsidRPr="00D47FBC">
        <w:rPr>
          <w:b/>
          <w:bCs/>
        </w:rPr>
        <w:t>POLSCE</w:t>
      </w:r>
    </w:p>
    <w:p w14:paraId="297E9A09" w14:textId="77777777" w:rsidR="00D420F3" w:rsidRPr="00D47FBC" w:rsidRDefault="00D420F3" w:rsidP="00485F6D">
      <w:pPr>
        <w:jc w:val="center"/>
      </w:pPr>
    </w:p>
    <w:p w14:paraId="78E821CF" w14:textId="77777777" w:rsidR="00D420F3" w:rsidRPr="00D47FBC" w:rsidRDefault="0077175D" w:rsidP="00485F6D">
      <w:pPr>
        <w:jc w:val="center"/>
        <w:rPr>
          <w:i/>
        </w:rPr>
      </w:pPr>
      <w:r w:rsidRPr="00D47FBC">
        <w:rPr>
          <w:i/>
        </w:rPr>
        <w:t>(Skarga nr 37023/13)</w:t>
      </w:r>
    </w:p>
    <w:p w14:paraId="64AFCC0A" w14:textId="77777777" w:rsidR="00D420F3" w:rsidRPr="00D47FBC" w:rsidRDefault="00D420F3" w:rsidP="00485F6D">
      <w:pPr>
        <w:jc w:val="center"/>
      </w:pPr>
    </w:p>
    <w:p w14:paraId="0E65962F" w14:textId="77777777" w:rsidR="00D47FBC" w:rsidRPr="00D47FBC" w:rsidRDefault="00D47FBC" w:rsidP="00485F6D">
      <w:pPr>
        <w:jc w:val="center"/>
      </w:pPr>
    </w:p>
    <w:p w14:paraId="15BF03BA" w14:textId="77777777" w:rsidR="0053040B" w:rsidRPr="00D47FBC" w:rsidRDefault="0053040B" w:rsidP="00485F6D">
      <w:pPr>
        <w:jc w:val="center"/>
      </w:pPr>
    </w:p>
    <w:p w14:paraId="5BFEB61C" w14:textId="77777777" w:rsidR="0053040B" w:rsidRPr="00D47FBC" w:rsidRDefault="0053040B" w:rsidP="00485F6D">
      <w:pPr>
        <w:jc w:val="center"/>
      </w:pPr>
    </w:p>
    <w:p w14:paraId="559D2B35" w14:textId="77777777" w:rsidR="00D420F3" w:rsidRPr="00D47FBC" w:rsidRDefault="00F42FA3" w:rsidP="00485F6D">
      <w:pPr>
        <w:jc w:val="center"/>
        <w:rPr>
          <w:szCs w:val="24"/>
        </w:rPr>
      </w:pPr>
      <w:r w:rsidRPr="00D47FBC">
        <w:t>WYROK</w:t>
      </w:r>
    </w:p>
    <w:p w14:paraId="098F84B2" w14:textId="77777777" w:rsidR="00CB20C3" w:rsidRPr="00D47FBC" w:rsidRDefault="00CB20C3" w:rsidP="00485F6D">
      <w:pPr>
        <w:jc w:val="center"/>
      </w:pPr>
    </w:p>
    <w:p w14:paraId="61E25E7A" w14:textId="77777777" w:rsidR="00B20B5E" w:rsidRPr="00D47FBC" w:rsidRDefault="00B20B5E" w:rsidP="00485F6D">
      <w:pPr>
        <w:jc w:val="center"/>
      </w:pPr>
    </w:p>
    <w:p w14:paraId="3578460D" w14:textId="77777777" w:rsidR="00F42FA3" w:rsidRPr="00D47FBC" w:rsidRDefault="00F42FA3" w:rsidP="00485F6D">
      <w:pPr>
        <w:jc w:val="center"/>
      </w:pPr>
    </w:p>
    <w:p w14:paraId="62243C49" w14:textId="77777777" w:rsidR="00F42FA3" w:rsidRPr="00D47FBC" w:rsidRDefault="00F42FA3" w:rsidP="00485F6D">
      <w:pPr>
        <w:jc w:val="center"/>
      </w:pPr>
      <w:r w:rsidRPr="00D47FBC">
        <w:t>STRASBURG</w:t>
      </w:r>
    </w:p>
    <w:p w14:paraId="23299503" w14:textId="77777777" w:rsidR="00F42FA3" w:rsidRPr="00D47FBC" w:rsidRDefault="00F42FA3" w:rsidP="00485F6D">
      <w:pPr>
        <w:jc w:val="center"/>
      </w:pPr>
    </w:p>
    <w:p w14:paraId="0D465B6D" w14:textId="77777777" w:rsidR="00F42FA3" w:rsidRPr="00D47FBC" w:rsidRDefault="00F42FA3" w:rsidP="00485F6D">
      <w:pPr>
        <w:jc w:val="center"/>
      </w:pPr>
      <w:r w:rsidRPr="00D47FBC">
        <w:t>23 maja 2019 r.</w:t>
      </w:r>
    </w:p>
    <w:p w14:paraId="38E6EED8" w14:textId="77777777" w:rsidR="00D47FBC" w:rsidRPr="00D47FBC" w:rsidRDefault="00D47FBC" w:rsidP="00485F6D">
      <w:pPr>
        <w:jc w:val="center"/>
      </w:pPr>
    </w:p>
    <w:p w14:paraId="6A3F4803" w14:textId="77777777" w:rsidR="00D47FBC" w:rsidRPr="00D47FBC" w:rsidRDefault="00D47FBC" w:rsidP="00D47FBC">
      <w:pPr>
        <w:pStyle w:val="jucase0"/>
        <w:ind w:firstLine="0"/>
        <w:jc w:val="center"/>
        <w:rPr>
          <w:color w:val="FF0000"/>
          <w:sz w:val="28"/>
          <w:szCs w:val="28"/>
          <w:u w:val="single"/>
          <w:lang w:val="pl-PL"/>
        </w:rPr>
      </w:pPr>
    </w:p>
    <w:p w14:paraId="45414BB6" w14:textId="5CD3801E" w:rsidR="00D47FBC" w:rsidRPr="00D47FBC" w:rsidRDefault="00D47FBC" w:rsidP="00D47FBC">
      <w:pPr>
        <w:pStyle w:val="jucase0"/>
        <w:ind w:firstLine="0"/>
        <w:jc w:val="center"/>
        <w:rPr>
          <w:color w:val="FF0000"/>
          <w:sz w:val="28"/>
          <w:szCs w:val="28"/>
          <w:u w:val="single"/>
          <w:lang w:val="pl-PL"/>
        </w:rPr>
      </w:pPr>
      <w:r w:rsidRPr="00D47FBC">
        <w:rPr>
          <w:color w:val="FF0000"/>
          <w:sz w:val="28"/>
          <w:szCs w:val="28"/>
          <w:u w:val="single"/>
          <w:lang w:val="pl-PL"/>
        </w:rPr>
        <w:t>OSTATECZNY</w:t>
      </w:r>
    </w:p>
    <w:p w14:paraId="75026B64" w14:textId="77777777" w:rsidR="00D47FBC" w:rsidRPr="00D47FBC" w:rsidRDefault="00D47FBC" w:rsidP="00D47FBC">
      <w:pPr>
        <w:pStyle w:val="jucase0"/>
        <w:ind w:firstLine="0"/>
        <w:jc w:val="center"/>
        <w:rPr>
          <w:color w:val="FF0000"/>
          <w:sz w:val="28"/>
          <w:szCs w:val="28"/>
          <w:u w:val="single"/>
          <w:lang w:val="pl-PL"/>
        </w:rPr>
      </w:pPr>
    </w:p>
    <w:p w14:paraId="78DED934" w14:textId="77777777" w:rsidR="00D47FBC" w:rsidRPr="00D47FBC" w:rsidRDefault="00D47FBC" w:rsidP="00D47FBC">
      <w:pPr>
        <w:pStyle w:val="jupara0"/>
        <w:ind w:firstLine="0"/>
        <w:jc w:val="center"/>
        <w:rPr>
          <w:color w:val="FF0000"/>
          <w:sz w:val="28"/>
          <w:szCs w:val="28"/>
          <w:lang w:val="pl-PL"/>
        </w:rPr>
      </w:pPr>
      <w:r w:rsidRPr="00D47FBC">
        <w:rPr>
          <w:color w:val="FF0000"/>
          <w:sz w:val="28"/>
          <w:szCs w:val="28"/>
          <w:lang w:val="pl-PL"/>
        </w:rPr>
        <w:t>23/08/2019</w:t>
      </w:r>
    </w:p>
    <w:p w14:paraId="05EB67C0" w14:textId="77777777" w:rsidR="0053040B" w:rsidRPr="00D47FBC" w:rsidRDefault="0053040B" w:rsidP="00485F6D">
      <w:pPr>
        <w:jc w:val="center"/>
      </w:pPr>
    </w:p>
    <w:p w14:paraId="6C9F03DC" w14:textId="63D99AEF" w:rsidR="00F42FA3" w:rsidRPr="00D47FBC" w:rsidRDefault="00F42FA3" w:rsidP="00D47FBC">
      <w:pPr>
        <w:jc w:val="center"/>
        <w:rPr>
          <w:i/>
          <w:sz w:val="22"/>
        </w:rPr>
      </w:pPr>
      <w:r w:rsidRPr="00D47FBC">
        <w:rPr>
          <w:i/>
          <w:sz w:val="22"/>
        </w:rPr>
        <w:t>Wyrok ten sta</w:t>
      </w:r>
      <w:r w:rsidR="00D47FBC" w:rsidRPr="00D47FBC">
        <w:rPr>
          <w:i/>
          <w:sz w:val="22"/>
        </w:rPr>
        <w:t>ł</w:t>
      </w:r>
      <w:r w:rsidRPr="00D47FBC">
        <w:rPr>
          <w:i/>
          <w:sz w:val="22"/>
        </w:rPr>
        <w:t xml:space="preserve"> się ostateczny na zasadach określonych w art. 44 ust. 2 Konwencji. Wyrok może podlegać korekcie wydawniczej.</w:t>
      </w:r>
    </w:p>
    <w:p w14:paraId="2B63F474" w14:textId="77777777" w:rsidR="00B40AE8" w:rsidRPr="00D47FBC" w:rsidRDefault="00B40AE8" w:rsidP="00485F6D">
      <w:pPr>
        <w:pStyle w:val="JuPara"/>
        <w:sectPr w:rsidR="00B40AE8" w:rsidRPr="00D47FBC" w:rsidSect="00F42FA3">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14:paraId="34A5BE6A" w14:textId="77777777" w:rsidR="00D420F3" w:rsidRPr="00D47FBC" w:rsidRDefault="0077175D" w:rsidP="00485F6D">
      <w:pPr>
        <w:pStyle w:val="JuCase"/>
        <w:rPr>
          <w:bCs/>
        </w:rPr>
      </w:pPr>
      <w:r w:rsidRPr="00D47FBC">
        <w:lastRenderedPageBreak/>
        <w:t xml:space="preserve">W sprawie </w:t>
      </w:r>
      <w:proofErr w:type="spellStart"/>
      <w:r w:rsidRPr="00D47FBC">
        <w:t>Kanciał</w:t>
      </w:r>
      <w:proofErr w:type="spellEnd"/>
      <w:r w:rsidRPr="00D47FBC">
        <w:t xml:space="preserve"> przeciwko Polsce</w:t>
      </w:r>
    </w:p>
    <w:p w14:paraId="5586ABCB" w14:textId="77777777" w:rsidR="00D420F3" w:rsidRPr="00D47FBC" w:rsidRDefault="0077175D" w:rsidP="00485F6D">
      <w:pPr>
        <w:pStyle w:val="JuPara"/>
      </w:pPr>
      <w:r w:rsidRPr="00D47FBC">
        <w:t>Europejski Trybunał Praw Człowieka (sekcja pierwsza), zasiadając jako Izba w składzie:</w:t>
      </w:r>
    </w:p>
    <w:p w14:paraId="2A7968EF" w14:textId="77777777" w:rsidR="00D420F3" w:rsidRPr="00D47FBC" w:rsidRDefault="00F42FA3" w:rsidP="00485F6D">
      <w:pPr>
        <w:pStyle w:val="JuJudges"/>
      </w:pPr>
      <w:r w:rsidRPr="00D47FBC">
        <w:tab/>
      </w:r>
      <w:proofErr w:type="spellStart"/>
      <w:r w:rsidRPr="00D47FBC">
        <w:t>Linos-Alexandre</w:t>
      </w:r>
      <w:proofErr w:type="spellEnd"/>
      <w:r w:rsidRPr="00D47FBC">
        <w:t xml:space="preserve"> </w:t>
      </w:r>
      <w:proofErr w:type="spellStart"/>
      <w:r w:rsidRPr="00D47FBC">
        <w:t>Sicilianos</w:t>
      </w:r>
      <w:proofErr w:type="spellEnd"/>
      <w:r w:rsidRPr="00D47FBC">
        <w:t>,</w:t>
      </w:r>
      <w:r w:rsidRPr="00D47FBC">
        <w:rPr>
          <w:i/>
        </w:rPr>
        <w:t xml:space="preserve"> Przewodniczący,</w:t>
      </w:r>
      <w:r w:rsidRPr="00D47FBC">
        <w:rPr>
          <w:i/>
        </w:rPr>
        <w:br/>
      </w:r>
      <w:r w:rsidRPr="00D47FBC">
        <w:tab/>
      </w:r>
      <w:proofErr w:type="spellStart"/>
      <w:r w:rsidRPr="00D47FBC">
        <w:t>Ksenija</w:t>
      </w:r>
      <w:proofErr w:type="spellEnd"/>
      <w:r w:rsidRPr="00D47FBC">
        <w:t xml:space="preserve"> </w:t>
      </w:r>
      <w:proofErr w:type="spellStart"/>
      <w:r w:rsidRPr="00D47FBC">
        <w:t>Turković</w:t>
      </w:r>
      <w:proofErr w:type="spellEnd"/>
      <w:r w:rsidRPr="00D47FBC">
        <w:t>,</w:t>
      </w:r>
      <w:r w:rsidRPr="00D47FBC">
        <w:rPr>
          <w:i/>
        </w:rPr>
        <w:br/>
      </w:r>
      <w:r w:rsidRPr="00D47FBC">
        <w:tab/>
      </w:r>
      <w:proofErr w:type="spellStart"/>
      <w:r w:rsidRPr="00D47FBC">
        <w:t>Aleš</w:t>
      </w:r>
      <w:proofErr w:type="spellEnd"/>
      <w:r w:rsidRPr="00D47FBC">
        <w:t xml:space="preserve"> </w:t>
      </w:r>
      <w:proofErr w:type="spellStart"/>
      <w:r w:rsidRPr="00D47FBC">
        <w:t>Pejchal</w:t>
      </w:r>
      <w:proofErr w:type="spellEnd"/>
      <w:r w:rsidRPr="00D47FBC">
        <w:t>,</w:t>
      </w:r>
      <w:r w:rsidRPr="00D47FBC">
        <w:rPr>
          <w:i/>
        </w:rPr>
        <w:br/>
      </w:r>
      <w:r w:rsidRPr="00D47FBC">
        <w:tab/>
        <w:t xml:space="preserve">Krzysztof </w:t>
      </w:r>
      <w:proofErr w:type="spellStart"/>
      <w:r w:rsidRPr="00D47FBC">
        <w:t>Wojtyczek</w:t>
      </w:r>
      <w:proofErr w:type="spellEnd"/>
      <w:r w:rsidRPr="00D47FBC">
        <w:t>,</w:t>
      </w:r>
      <w:r w:rsidRPr="00D47FBC">
        <w:rPr>
          <w:i/>
        </w:rPr>
        <w:br/>
      </w:r>
      <w:r w:rsidRPr="00D47FBC">
        <w:tab/>
      </w:r>
      <w:proofErr w:type="spellStart"/>
      <w:r w:rsidRPr="00D47FBC">
        <w:t>Armen</w:t>
      </w:r>
      <w:proofErr w:type="spellEnd"/>
      <w:r w:rsidRPr="00D47FBC">
        <w:t xml:space="preserve"> </w:t>
      </w:r>
      <w:proofErr w:type="spellStart"/>
      <w:r w:rsidRPr="00D47FBC">
        <w:t>Harutyunyan</w:t>
      </w:r>
      <w:proofErr w:type="spellEnd"/>
      <w:r w:rsidRPr="00D47FBC">
        <w:t>,</w:t>
      </w:r>
      <w:r w:rsidRPr="00D47FBC">
        <w:rPr>
          <w:i/>
        </w:rPr>
        <w:br/>
      </w:r>
      <w:r w:rsidRPr="00D47FBC">
        <w:tab/>
        <w:t xml:space="preserve">Tim </w:t>
      </w:r>
      <w:proofErr w:type="spellStart"/>
      <w:r w:rsidRPr="00D47FBC">
        <w:t>Eicke</w:t>
      </w:r>
      <w:proofErr w:type="spellEnd"/>
      <w:r w:rsidRPr="00D47FBC">
        <w:t>,</w:t>
      </w:r>
      <w:r w:rsidRPr="00D47FBC">
        <w:rPr>
          <w:i/>
        </w:rPr>
        <w:br/>
      </w:r>
      <w:r w:rsidRPr="00D47FBC">
        <w:tab/>
      </w:r>
      <w:proofErr w:type="spellStart"/>
      <w:r w:rsidRPr="00D47FBC">
        <w:t>Jovan</w:t>
      </w:r>
      <w:proofErr w:type="spellEnd"/>
      <w:r w:rsidRPr="00D47FBC">
        <w:t xml:space="preserve"> </w:t>
      </w:r>
      <w:proofErr w:type="spellStart"/>
      <w:r w:rsidRPr="00D47FBC">
        <w:t>Ilievski</w:t>
      </w:r>
      <w:proofErr w:type="spellEnd"/>
      <w:r w:rsidRPr="00D47FBC">
        <w:t xml:space="preserve">, </w:t>
      </w:r>
      <w:r w:rsidRPr="00D47FBC">
        <w:rPr>
          <w:i/>
        </w:rPr>
        <w:t>sędziowie,</w:t>
      </w:r>
      <w:r w:rsidRPr="00D47FBC">
        <w:rPr>
          <w:i/>
        </w:rPr>
        <w:br/>
      </w:r>
      <w:r w:rsidRPr="00D47FBC">
        <w:t xml:space="preserve">oraz Abel Campos, </w:t>
      </w:r>
      <w:r w:rsidRPr="00D47FBC">
        <w:rPr>
          <w:i/>
        </w:rPr>
        <w:t>Kanclerz Sekcji,</w:t>
      </w:r>
    </w:p>
    <w:p w14:paraId="0EBB58AB" w14:textId="77777777" w:rsidR="00D420F3" w:rsidRPr="00D47FBC" w:rsidRDefault="0077175D" w:rsidP="00485F6D">
      <w:pPr>
        <w:pStyle w:val="JuPara"/>
      </w:pPr>
      <w:r w:rsidRPr="00D47FBC">
        <w:t>obradując na posiedzeniu niejawnym w dniu 23 kwietnia 2019 r.,</w:t>
      </w:r>
    </w:p>
    <w:p w14:paraId="4445424E" w14:textId="77777777" w:rsidR="00D420F3" w:rsidRPr="00D47FBC" w:rsidRDefault="0077175D" w:rsidP="00485F6D">
      <w:pPr>
        <w:pStyle w:val="JuPara"/>
      </w:pPr>
      <w:r w:rsidRPr="00D47FBC">
        <w:t>wydaje następujący wyrok, który został przyjęty w tym dniu:</w:t>
      </w:r>
    </w:p>
    <w:p w14:paraId="300D8E4B" w14:textId="77777777" w:rsidR="00D420F3" w:rsidRPr="00D47FBC" w:rsidRDefault="0077175D" w:rsidP="00485F6D">
      <w:pPr>
        <w:pStyle w:val="JuHHead"/>
      </w:pPr>
      <w:r w:rsidRPr="00D47FBC">
        <w:t>POSTĘPOWANIE</w:t>
      </w:r>
    </w:p>
    <w:p w14:paraId="13189290" w14:textId="59C306EE" w:rsidR="00F42FA3" w:rsidRPr="00D47FBC" w:rsidRDefault="0042798A" w:rsidP="00485F6D">
      <w:pPr>
        <w:pStyle w:val="JuPara"/>
      </w:pPr>
      <w:r>
        <w:t>1</w:t>
      </w:r>
      <w:r w:rsidR="00D92F97" w:rsidRPr="00D47FBC">
        <w:t>.</w:t>
      </w:r>
      <w:r w:rsidR="007C0D3E">
        <w:t xml:space="preserve"> </w:t>
      </w:r>
      <w:r w:rsidR="00D92F97" w:rsidRPr="00D47FBC">
        <w:t xml:space="preserve">Sprawa wywodzi się ze skargi (nr 37023/13) przeciwko Rzeczypospolitej Polskiej, wniesionej do Trybunału na podstawie art. 34 Konwencji o ochronie praw człowieka i podstawowych wolności („Konwencja”) przez obywatela polskiego </w:t>
      </w:r>
      <w:r w:rsidR="00FB30CA">
        <w:t xml:space="preserve">Pana </w:t>
      </w:r>
      <w:r w:rsidR="00D92F97" w:rsidRPr="00D47FBC">
        <w:t xml:space="preserve">Macieja </w:t>
      </w:r>
      <w:proofErr w:type="spellStart"/>
      <w:r w:rsidR="00D92F97" w:rsidRPr="00D47FBC">
        <w:t>Kanciała</w:t>
      </w:r>
      <w:proofErr w:type="spellEnd"/>
      <w:r w:rsidR="00D92F97" w:rsidRPr="00D47FBC">
        <w:t xml:space="preserve"> („skarżący”) w</w:t>
      </w:r>
      <w:r w:rsidR="00C60FCD" w:rsidRPr="00D47FBC">
        <w:t> </w:t>
      </w:r>
      <w:r w:rsidR="00D92F97" w:rsidRPr="00D47FBC">
        <w:t>dniu 28 maja 2013 r.</w:t>
      </w:r>
    </w:p>
    <w:p w14:paraId="30BB6472" w14:textId="1F81DE46" w:rsidR="00712E11" w:rsidRPr="00D47FBC" w:rsidRDefault="0042798A" w:rsidP="00485F6D">
      <w:pPr>
        <w:pStyle w:val="JuPara"/>
      </w:pPr>
      <w:r>
        <w:t>2</w:t>
      </w:r>
      <w:r w:rsidR="00D92F97" w:rsidRPr="00D47FBC">
        <w:t>.</w:t>
      </w:r>
      <w:r w:rsidR="007C0D3E">
        <w:t xml:space="preserve"> </w:t>
      </w:r>
      <w:r w:rsidR="00D92F97" w:rsidRPr="00D47FBC">
        <w:t xml:space="preserve">Skarżącego reprezentował </w:t>
      </w:r>
      <w:r w:rsidR="00FB30CA">
        <w:t xml:space="preserve">Pan </w:t>
      </w:r>
      <w:r w:rsidR="00D92F97" w:rsidRPr="00D47FBC">
        <w:t xml:space="preserve">L. </w:t>
      </w:r>
      <w:proofErr w:type="spellStart"/>
      <w:r w:rsidR="00D92F97" w:rsidRPr="00D47FBC">
        <w:t>Daca</w:t>
      </w:r>
      <w:proofErr w:type="spellEnd"/>
      <w:r w:rsidR="00D92F97" w:rsidRPr="00D47FBC">
        <w:t>, adwokat praktykujący w</w:t>
      </w:r>
      <w:r w:rsidR="00C60FCD" w:rsidRPr="00D47FBC">
        <w:t> </w:t>
      </w:r>
      <w:r w:rsidR="00D92F97" w:rsidRPr="00D47FBC">
        <w:t xml:space="preserve">Gdańsku. Rząd polski („Rząd”) był reprezentowany przez </w:t>
      </w:r>
      <w:r w:rsidR="0077458E" w:rsidRPr="00D47FBC">
        <w:t xml:space="preserve">swoją </w:t>
      </w:r>
      <w:r w:rsidR="00D92F97" w:rsidRPr="00D47FBC">
        <w:t xml:space="preserve">pełnomocnik </w:t>
      </w:r>
      <w:r w:rsidR="00FB30CA">
        <w:t xml:space="preserve">Panią </w:t>
      </w:r>
      <w:r w:rsidR="00D92F97" w:rsidRPr="00D47FBC">
        <w:t xml:space="preserve">J. Chrzanowską, a następnie przez </w:t>
      </w:r>
      <w:r w:rsidR="00FB30CA">
        <w:t xml:space="preserve">Pana </w:t>
      </w:r>
      <w:r w:rsidR="00D92F97" w:rsidRPr="00D47FBC">
        <w:t>J. Sobczaka z</w:t>
      </w:r>
      <w:r w:rsidR="00C60FCD" w:rsidRPr="00D47FBC">
        <w:t> </w:t>
      </w:r>
      <w:r w:rsidR="00D92F97" w:rsidRPr="00D47FBC">
        <w:t>Ministerstwa Spraw Zagranicznych.</w:t>
      </w:r>
    </w:p>
    <w:p w14:paraId="200943DB" w14:textId="200FCE99" w:rsidR="00F42FA3" w:rsidRPr="00D47FBC" w:rsidRDefault="0042798A" w:rsidP="00485F6D">
      <w:pPr>
        <w:pStyle w:val="JuPara"/>
      </w:pPr>
      <w:r>
        <w:t>3</w:t>
      </w:r>
      <w:r w:rsidR="00CB28EC" w:rsidRPr="00D47FBC">
        <w:t>.</w:t>
      </w:r>
      <w:r w:rsidR="007C0D3E">
        <w:t xml:space="preserve"> </w:t>
      </w:r>
      <w:r w:rsidR="00CB28EC" w:rsidRPr="00D47FBC">
        <w:t xml:space="preserve">Skarżący zarzucił, że był źle traktowany przez funkcjonariuszy policji i że w jego sprawie władze nie przeprowadziły skutecznego </w:t>
      </w:r>
      <w:r w:rsidR="00E4301C">
        <w:t>śledztwa</w:t>
      </w:r>
      <w:r w:rsidR="00CB28EC" w:rsidRPr="00D47FBC">
        <w:t>, co</w:t>
      </w:r>
      <w:r w:rsidR="003766C2">
        <w:t> </w:t>
      </w:r>
      <w:r w:rsidR="00CB28EC" w:rsidRPr="00D47FBC">
        <w:t>stanowiło naruszenie art. 3 Konwencji.</w:t>
      </w:r>
    </w:p>
    <w:p w14:paraId="1E7CE541" w14:textId="4A87CA92" w:rsidR="00F42FA3" w:rsidRPr="00D47FBC" w:rsidRDefault="0042798A" w:rsidP="00485F6D">
      <w:pPr>
        <w:pStyle w:val="JuPara"/>
      </w:pPr>
      <w:r>
        <w:t>4</w:t>
      </w:r>
      <w:r w:rsidR="00D92F97" w:rsidRPr="00D47FBC">
        <w:t>.</w:t>
      </w:r>
      <w:r w:rsidR="007C0D3E">
        <w:t xml:space="preserve"> </w:t>
      </w:r>
      <w:r w:rsidR="00D92F97" w:rsidRPr="00D47FBC">
        <w:t>W dniu 13 czerwca 2016 r. skargę zakomunikowano Rządowi.</w:t>
      </w:r>
    </w:p>
    <w:p w14:paraId="3873A709" w14:textId="77777777" w:rsidR="00D420F3" w:rsidRPr="00D47FBC" w:rsidRDefault="0077175D" w:rsidP="00485F6D">
      <w:pPr>
        <w:pStyle w:val="JuHHead"/>
      </w:pPr>
      <w:r w:rsidRPr="00D47FBC">
        <w:t>FAKTY</w:t>
      </w:r>
    </w:p>
    <w:p w14:paraId="47DBD57E" w14:textId="77777777" w:rsidR="00D420F3" w:rsidRPr="00D47FBC" w:rsidRDefault="0077175D" w:rsidP="00485F6D">
      <w:pPr>
        <w:pStyle w:val="JuHIRoman"/>
      </w:pPr>
      <w:r w:rsidRPr="00D47FBC">
        <w:t>OKOLICZNOŚCI SPRAWY</w:t>
      </w:r>
    </w:p>
    <w:p w14:paraId="579A18B7" w14:textId="176D0954" w:rsidR="00D420F3" w:rsidRPr="00D47FBC" w:rsidRDefault="0042798A" w:rsidP="00485F6D">
      <w:pPr>
        <w:pStyle w:val="JuPara"/>
      </w:pPr>
      <w:r>
        <w:t>5</w:t>
      </w:r>
      <w:r w:rsidR="00D92F97" w:rsidRPr="00D47FBC">
        <w:t>.</w:t>
      </w:r>
      <w:r w:rsidR="007C0D3E">
        <w:t xml:space="preserve"> </w:t>
      </w:r>
      <w:r w:rsidR="00D92F97" w:rsidRPr="00D47FBC">
        <w:t>Skarżący urodził się w 1985 r. i mieszka w Gdańsku.</w:t>
      </w:r>
    </w:p>
    <w:p w14:paraId="4DB30B6E" w14:textId="77777777" w:rsidR="00F42FA3" w:rsidRPr="00D47FBC" w:rsidRDefault="00FE6236" w:rsidP="00485F6D">
      <w:pPr>
        <w:pStyle w:val="JuHA"/>
      </w:pPr>
      <w:r w:rsidRPr="00FB30CA">
        <w:t>Postępowanie przygotowawcze</w:t>
      </w:r>
      <w:r w:rsidRPr="00D47FBC">
        <w:t xml:space="preserve"> </w:t>
      </w:r>
      <w:r w:rsidR="008631E2" w:rsidRPr="00D47FBC">
        <w:t>prowadzone wobec</w:t>
      </w:r>
      <w:r w:rsidRPr="00D47FBC">
        <w:t xml:space="preserve"> skarżącego </w:t>
      </w:r>
    </w:p>
    <w:p w14:paraId="68CA6AD4" w14:textId="528754C5" w:rsidR="00F42FA3" w:rsidRPr="00D47FBC" w:rsidRDefault="0042798A" w:rsidP="00485F6D">
      <w:pPr>
        <w:pStyle w:val="JuPara"/>
      </w:pPr>
      <w:r>
        <w:t>6</w:t>
      </w:r>
      <w:r w:rsidR="00CB28EC" w:rsidRPr="00D47FBC">
        <w:t>.</w:t>
      </w:r>
      <w:r w:rsidR="007C0D3E">
        <w:t xml:space="preserve"> </w:t>
      </w:r>
      <w:r w:rsidR="00CB28EC" w:rsidRPr="00D47FBC">
        <w:t xml:space="preserve">W dniu 9 czerwca 2011 r. Prokuratura Apelacyjna w Gdańsku wszczęła postępowanie przygotowawcze (sygn. akt </w:t>
      </w:r>
      <w:proofErr w:type="spellStart"/>
      <w:r w:rsidR="00CB28EC" w:rsidRPr="00D47FBC">
        <w:t>Ap</w:t>
      </w:r>
      <w:proofErr w:type="spellEnd"/>
      <w:r w:rsidR="00CB28EC" w:rsidRPr="00D47FBC">
        <w:t xml:space="preserve"> V Ds 27/11) w</w:t>
      </w:r>
      <w:r w:rsidR="00C60FCD" w:rsidRPr="00D47FBC">
        <w:t> </w:t>
      </w:r>
      <w:r w:rsidR="00CB28EC" w:rsidRPr="00D47FBC">
        <w:t xml:space="preserve">sprawie porwania J.R., które miało miejsce </w:t>
      </w:r>
      <w:r w:rsidR="005D7B3A" w:rsidRPr="00D47FBC">
        <w:t>dzień wcześniej</w:t>
      </w:r>
      <w:r w:rsidR="00CB28EC" w:rsidRPr="00D47FBC">
        <w:t>. Sprawę przekazano do delegatury Centralnego Biura Śledczego Policji („CB</w:t>
      </w:r>
      <w:r w:rsidR="00050E1A" w:rsidRPr="00D47FBC">
        <w:t>Ś</w:t>
      </w:r>
      <w:r w:rsidR="00CB28EC" w:rsidRPr="00D47FBC">
        <w:t xml:space="preserve">”) </w:t>
      </w:r>
      <w:r w:rsidR="00CB28EC" w:rsidRPr="00D47FBC">
        <w:lastRenderedPageBreak/>
        <w:t>w</w:t>
      </w:r>
      <w:r w:rsidR="00C60FCD" w:rsidRPr="00D47FBC">
        <w:t> </w:t>
      </w:r>
      <w:r w:rsidR="00CB28EC" w:rsidRPr="00D47FBC">
        <w:t>Gdańsku. CB</w:t>
      </w:r>
      <w:r w:rsidR="00050E1A" w:rsidRPr="00D47FBC">
        <w:t>Ś</w:t>
      </w:r>
      <w:r w:rsidR="00CB28EC" w:rsidRPr="00D47FBC">
        <w:t xml:space="preserve"> jest jednostką policji odpowiedzialną za zapobieganie i</w:t>
      </w:r>
      <w:r w:rsidR="00C60FCD" w:rsidRPr="00D47FBC">
        <w:t> </w:t>
      </w:r>
      <w:r w:rsidR="00CB28EC" w:rsidRPr="00D47FBC">
        <w:t>zwalczanie przestępczości zorganizowanej.</w:t>
      </w:r>
    </w:p>
    <w:p w14:paraId="38712820" w14:textId="238CADB7" w:rsidR="00F42FA3" w:rsidRPr="00D47FBC" w:rsidRDefault="0042798A" w:rsidP="00485F6D">
      <w:pPr>
        <w:pStyle w:val="JuPara"/>
      </w:pPr>
      <w:r>
        <w:t>7</w:t>
      </w:r>
      <w:r w:rsidR="00684C7A" w:rsidRPr="00D47FBC">
        <w:t>.</w:t>
      </w:r>
      <w:r w:rsidR="007C0D3E">
        <w:t xml:space="preserve"> </w:t>
      </w:r>
      <w:r w:rsidR="00684C7A" w:rsidRPr="00D47FBC">
        <w:t xml:space="preserve">Porywacze zażądali od męża J.R. okupu w wysokości 1 000 000 euro (EUR). Część okupu </w:t>
      </w:r>
      <w:r w:rsidR="005D7B3A" w:rsidRPr="00D47FBC">
        <w:t>zapłacono</w:t>
      </w:r>
      <w:r w:rsidR="00684C7A" w:rsidRPr="00D47FBC">
        <w:t xml:space="preserve"> w dniu 15 czerwca 2011 r. P</w:t>
      </w:r>
      <w:r w:rsidR="0077458E" w:rsidRPr="00D47FBC">
        <w:t>okrzywdzoną p</w:t>
      </w:r>
      <w:r w:rsidR="00684C7A" w:rsidRPr="00D47FBC">
        <w:t>rawdopodobnie uwolniono w dniu 16 czerwca 2011 r.</w:t>
      </w:r>
    </w:p>
    <w:p w14:paraId="681D16AF" w14:textId="495CF4B4" w:rsidR="00F42FA3" w:rsidRPr="00D47FBC" w:rsidRDefault="0042798A" w:rsidP="00485F6D">
      <w:pPr>
        <w:pStyle w:val="JuPara"/>
      </w:pPr>
      <w:r>
        <w:t>8</w:t>
      </w:r>
      <w:r w:rsidR="00050E1A" w:rsidRPr="00D47FBC">
        <w:t>.</w:t>
      </w:r>
      <w:r w:rsidR="007C0D3E">
        <w:t xml:space="preserve"> </w:t>
      </w:r>
      <w:r w:rsidR="00050E1A" w:rsidRPr="00D47FBC">
        <w:t>CBŚ</w:t>
      </w:r>
      <w:r w:rsidR="00116752" w:rsidRPr="00D47FBC">
        <w:t xml:space="preserve"> i prokurator uzyskali dowody </w:t>
      </w:r>
      <w:r w:rsidR="005D7B3A" w:rsidRPr="00D47FBC">
        <w:t>w postaci</w:t>
      </w:r>
      <w:r w:rsidR="00116752" w:rsidRPr="00D47FBC">
        <w:t xml:space="preserve"> rozmów telefonicznych skarżącego i jego połączeń z siecią telefonii komórkowej. Na </w:t>
      </w:r>
      <w:r w:rsidR="005D7B3A" w:rsidRPr="00D47FBC">
        <w:t>ich</w:t>
      </w:r>
      <w:r w:rsidR="00116752" w:rsidRPr="00D47FBC">
        <w:t xml:space="preserve"> podstawie policja wytypowała kilku potencjalnych podejrzanych spośród przyjaciół rodziny J.R. i pracowników rodzinnej firmy</w:t>
      </w:r>
      <w:r w:rsidR="0077458E" w:rsidRPr="00D47FBC">
        <w:t>, w tym skarżącego</w:t>
      </w:r>
      <w:r w:rsidR="00116752" w:rsidRPr="00D47FBC">
        <w:t>. W dniu 16</w:t>
      </w:r>
      <w:r w:rsidR="003766C2">
        <w:t> </w:t>
      </w:r>
      <w:r w:rsidR="00116752" w:rsidRPr="00D47FBC">
        <w:t>czerwca 2011 r. prokurator zarządził zatrzymanie skarżącego i innych podejrzanych w związku z podejrzeniem udziału w</w:t>
      </w:r>
      <w:r w:rsidR="00C60FCD" w:rsidRPr="00D47FBC">
        <w:t> </w:t>
      </w:r>
      <w:r w:rsidR="00116752" w:rsidRPr="00D47FBC">
        <w:t>porwaniu. Skarżącego</w:t>
      </w:r>
      <w:r w:rsidR="003766C2">
        <w:t> </w:t>
      </w:r>
      <w:r w:rsidR="00116752" w:rsidRPr="00D47FBC">
        <w:t>zatrzymano w dniu 16 czerwca i zwolniono w dniu 18 czerwca 2011 r. (zob. paragrafy 11 i 17 poniżej).</w:t>
      </w:r>
    </w:p>
    <w:p w14:paraId="3EFC2738" w14:textId="2AAB0554" w:rsidR="00F42FA3" w:rsidRPr="00D47FBC" w:rsidRDefault="0042798A" w:rsidP="00485F6D">
      <w:pPr>
        <w:pStyle w:val="JuPara"/>
      </w:pPr>
      <w:r>
        <w:t>9</w:t>
      </w:r>
      <w:r w:rsidR="00D31BC5" w:rsidRPr="00D47FBC">
        <w:t>.</w:t>
      </w:r>
      <w:r w:rsidR="007C0D3E">
        <w:t xml:space="preserve"> </w:t>
      </w:r>
      <w:r w:rsidR="005D7B3A" w:rsidRPr="00D47FBC">
        <w:t>Do zatrzymania</w:t>
      </w:r>
      <w:r w:rsidR="00D31BC5" w:rsidRPr="00D47FBC">
        <w:t xml:space="preserve"> faktycznych porywaczy </w:t>
      </w:r>
      <w:r w:rsidR="005D7B3A" w:rsidRPr="00D47FBC">
        <w:t>przez policję doszło na</w:t>
      </w:r>
      <w:r w:rsidR="003766C2">
        <w:t> </w:t>
      </w:r>
      <w:r w:rsidR="005D7B3A" w:rsidRPr="00D47FBC">
        <w:t xml:space="preserve">późniejszym etapie </w:t>
      </w:r>
      <w:r w:rsidR="00D31BC5" w:rsidRPr="00D47FBC">
        <w:t>postępowani</w:t>
      </w:r>
      <w:r w:rsidR="005D7B3A" w:rsidRPr="00D47FBC">
        <w:t>a</w:t>
      </w:r>
      <w:r w:rsidR="00D31BC5" w:rsidRPr="00D47FBC">
        <w:t>.</w:t>
      </w:r>
    </w:p>
    <w:p w14:paraId="6A795B8B" w14:textId="349D3803" w:rsidR="00CB28EC" w:rsidRPr="00D47FBC" w:rsidRDefault="0042798A" w:rsidP="00485F6D">
      <w:pPr>
        <w:pStyle w:val="JuPara"/>
      </w:pPr>
      <w:r>
        <w:t>10</w:t>
      </w:r>
      <w:r w:rsidR="005F3D51" w:rsidRPr="00D47FBC">
        <w:t>.</w:t>
      </w:r>
      <w:r w:rsidR="007C0D3E">
        <w:t xml:space="preserve"> </w:t>
      </w:r>
      <w:r w:rsidR="005F3D51" w:rsidRPr="00D47FBC">
        <w:t xml:space="preserve">W dniu 20 kwietnia 2012 r. prokurator umorzył prowadzone wobec skarżącego i innych podejrzanych postępowanie przygotowawcze, stwierdzając, że nie popełnili oni zarzucanego im przestępstwa. Prokurator </w:t>
      </w:r>
      <w:r w:rsidR="005D7B3A" w:rsidRPr="00D47FBC">
        <w:t>wskazał</w:t>
      </w:r>
      <w:r w:rsidR="005F3D51" w:rsidRPr="00D47FBC">
        <w:t>, że zgromadzone na dzień 16 czerwca 2011 r. dowody uzasadniały decyzję o zatrzymaniu skarżącego i innych podejrzanych.</w:t>
      </w:r>
    </w:p>
    <w:p w14:paraId="4CB9D948" w14:textId="0E7A9CB1" w:rsidR="00CB28EC" w:rsidRPr="00D47FBC" w:rsidRDefault="00CB28EC" w:rsidP="00485F6D">
      <w:pPr>
        <w:pStyle w:val="JuHA"/>
      </w:pPr>
      <w:r w:rsidRPr="00D47FBC">
        <w:t>Zatrzymanie skarżącego i</w:t>
      </w:r>
      <w:r w:rsidR="00E51530">
        <w:t xml:space="preserve"> śledztwo</w:t>
      </w:r>
      <w:r w:rsidRPr="00D47FBC">
        <w:t xml:space="preserve"> w sprawie nadużycia uprawnień przez policjantów</w:t>
      </w:r>
    </w:p>
    <w:p w14:paraId="10D18DAE" w14:textId="113441C5" w:rsidR="00F42FA3" w:rsidRPr="00D47FBC" w:rsidRDefault="0042798A" w:rsidP="00485F6D">
      <w:pPr>
        <w:pStyle w:val="JuPara"/>
      </w:pPr>
      <w:r>
        <w:t>11</w:t>
      </w:r>
      <w:r w:rsidR="00087C70" w:rsidRPr="00D47FBC">
        <w:t>.</w:t>
      </w:r>
      <w:r w:rsidR="007C0D3E">
        <w:t xml:space="preserve"> </w:t>
      </w:r>
      <w:r w:rsidR="00087C70" w:rsidRPr="00D47FBC">
        <w:t>Skarżącego zatrzymano w mieszkaniu jego znajomych w Tczewie w</w:t>
      </w:r>
      <w:r w:rsidR="00C60FCD" w:rsidRPr="00D47FBC">
        <w:t> </w:t>
      </w:r>
      <w:r w:rsidR="00087C70" w:rsidRPr="00D47FBC">
        <w:t xml:space="preserve">dniu 16 czerwca 2011 r. o godz. </w:t>
      </w:r>
      <w:r w:rsidR="00AA258D" w:rsidRPr="00D47FBC">
        <w:t>19</w:t>
      </w:r>
      <w:r w:rsidR="00087C70" w:rsidRPr="00D47FBC">
        <w:t>.40 w związku z podejrzeniem udziału w porwaniu. Zatrzymania dokonał oddział antyterrorystyczny w</w:t>
      </w:r>
      <w:r w:rsidR="00C60FCD" w:rsidRPr="00D47FBC">
        <w:t> </w:t>
      </w:r>
      <w:r w:rsidR="00087C70" w:rsidRPr="00D47FBC">
        <w:t>obecności funkcjonariuszy CB</w:t>
      </w:r>
      <w:r w:rsidR="00F670AC" w:rsidRPr="00D47FBC">
        <w:t>Ś</w:t>
      </w:r>
      <w:r w:rsidR="00087C70" w:rsidRPr="00D47FBC">
        <w:t>. Skarżącego zabrano do siedziby CB</w:t>
      </w:r>
      <w:r w:rsidR="00F670AC" w:rsidRPr="00D47FBC">
        <w:t>Ś</w:t>
      </w:r>
      <w:r w:rsidR="00087C70" w:rsidRPr="00D47FBC">
        <w:t xml:space="preserve"> w</w:t>
      </w:r>
      <w:r w:rsidR="00C60FCD" w:rsidRPr="00D47FBC">
        <w:t> </w:t>
      </w:r>
      <w:r w:rsidR="00087C70" w:rsidRPr="00D47FBC">
        <w:t>Gdańsku.</w:t>
      </w:r>
    </w:p>
    <w:p w14:paraId="5234FC9D" w14:textId="56742C69" w:rsidR="00F42FA3" w:rsidRPr="00D47FBC" w:rsidRDefault="0042798A" w:rsidP="00485F6D">
      <w:pPr>
        <w:pStyle w:val="JuPara"/>
      </w:pPr>
      <w:r>
        <w:t>12</w:t>
      </w:r>
      <w:r w:rsidR="00C04D53" w:rsidRPr="00D47FBC">
        <w:t>.</w:t>
      </w:r>
      <w:r w:rsidR="007C0D3E">
        <w:t xml:space="preserve"> </w:t>
      </w:r>
      <w:r w:rsidR="00C04D53" w:rsidRPr="00D47FBC">
        <w:t>Z protokołu z dnia 16 czerwca 2011 r. wynika, że przy przyjęciu do</w:t>
      </w:r>
      <w:r w:rsidR="003766C2">
        <w:t> </w:t>
      </w:r>
      <w:r w:rsidR="00F670AC" w:rsidRPr="00D47FBC">
        <w:t>policyjnej izby zatrzymań</w:t>
      </w:r>
      <w:r w:rsidR="00C04D53" w:rsidRPr="00D47FBC">
        <w:t xml:space="preserve"> w Gdyni skarżący miał następujące obrażenia: siniaki na lewym policzku i otarcia na rękach i plecach.</w:t>
      </w:r>
    </w:p>
    <w:p w14:paraId="55CBF9E9" w14:textId="3089F280" w:rsidR="00F42FA3" w:rsidRPr="00D47FBC" w:rsidRDefault="0042798A" w:rsidP="00485F6D">
      <w:pPr>
        <w:pStyle w:val="JuPara"/>
      </w:pPr>
      <w:r>
        <w:t>13</w:t>
      </w:r>
      <w:r w:rsidR="00C04D53" w:rsidRPr="00D47FBC">
        <w:t>.</w:t>
      </w:r>
      <w:r w:rsidR="007C0D3E">
        <w:t xml:space="preserve"> </w:t>
      </w:r>
      <w:r w:rsidR="00C04D53" w:rsidRPr="00D47FBC">
        <w:t>Następnego dnia prokurator przedstawił skarżącemu zarzut porwania i go przesłuchał. Skarżący i pozostali podejrzani zaprzeczyli, jakoby brali udział w porwaniu. Testy DNA nie potwierdziły udziału skarżącego i</w:t>
      </w:r>
      <w:r w:rsidR="00C60FCD" w:rsidRPr="00D47FBC">
        <w:t> </w:t>
      </w:r>
      <w:r w:rsidR="00C04D53" w:rsidRPr="00D47FBC">
        <w:t>pozostałych podejrzanych w porwaniu.</w:t>
      </w:r>
    </w:p>
    <w:p w14:paraId="0D3F488C" w14:textId="35289058" w:rsidR="00F42FA3" w:rsidRPr="00D47FBC" w:rsidRDefault="0042798A" w:rsidP="00485F6D">
      <w:pPr>
        <w:pStyle w:val="JuPara"/>
      </w:pPr>
      <w:r>
        <w:t>14</w:t>
      </w:r>
      <w:r w:rsidR="00711F97" w:rsidRPr="00D47FBC">
        <w:t>.</w:t>
      </w:r>
      <w:r w:rsidR="007C0D3E">
        <w:t xml:space="preserve"> </w:t>
      </w:r>
      <w:r w:rsidR="00711F97" w:rsidRPr="00D47FBC">
        <w:t>Z protokołu zatrzymania wynika, że skarżący nie zwrócił się o</w:t>
      </w:r>
      <w:r w:rsidR="00C60FCD" w:rsidRPr="00D47FBC">
        <w:t> </w:t>
      </w:r>
      <w:r w:rsidR="00711F97" w:rsidRPr="00D47FBC">
        <w:t>przeprow</w:t>
      </w:r>
      <w:r w:rsidR="00F670AC" w:rsidRPr="00D47FBC">
        <w:t>adzenie badania lekarskiego. CBŚ</w:t>
      </w:r>
      <w:r w:rsidR="00711F97" w:rsidRPr="00D47FBC">
        <w:t xml:space="preserve"> zleciło jednak przeprowadzenie badania lekarskiego skarżącego w szpitalu.</w:t>
      </w:r>
    </w:p>
    <w:p w14:paraId="4FCEE1B9" w14:textId="6EBE9BC7" w:rsidR="00F42FA3" w:rsidRPr="00D47FBC" w:rsidRDefault="0042798A" w:rsidP="00485F6D">
      <w:pPr>
        <w:pStyle w:val="JuPara"/>
      </w:pPr>
      <w:r>
        <w:t>15</w:t>
      </w:r>
      <w:r w:rsidR="00E86053" w:rsidRPr="00D47FBC">
        <w:t>.</w:t>
      </w:r>
      <w:r w:rsidR="007C0D3E">
        <w:t xml:space="preserve"> </w:t>
      </w:r>
      <w:r w:rsidR="00E86053" w:rsidRPr="00D47FBC">
        <w:t>Z zaświadczenia lekarskiego wystawionego przez Wojewódzki Szpital Specjalistyczny w Gdańsku w dniu 17 czerwca 2011 r. wynika, że</w:t>
      </w:r>
      <w:r w:rsidR="00C60FCD" w:rsidRPr="00D47FBC">
        <w:t> </w:t>
      </w:r>
      <w:r w:rsidR="00E86053" w:rsidRPr="00D47FBC">
        <w:t xml:space="preserve">skarżący twierdził, że podczas zatrzymania doznał obrażeń głowy, twarzy i prawej ręki. W badaniu rentgenowskim nie ujawniono żadnych złamań. W zaświadczeniu stwierdzono, że ogólny stan skarżącego był dobry i że mógł wziąć udział w postępowaniu przygotowawczym. </w:t>
      </w:r>
      <w:r w:rsidR="00E86053" w:rsidRPr="00D47FBC">
        <w:lastRenderedPageBreak/>
        <w:t>W</w:t>
      </w:r>
      <w:r w:rsidR="00C60FCD" w:rsidRPr="00D47FBC">
        <w:t> </w:t>
      </w:r>
      <w:r w:rsidR="00E86053" w:rsidRPr="00D47FBC">
        <w:t>zaświadczeniu stwierdzono ponadto, że skarżący cierpiał na tkliwość okolicy skroniowej lewej, obrzęk lewej części twarzy z podbiegnięciami krwawymi oraz tkliwość prawej ręki i nadgarstka. Ostatecznie zdiagnozowano stłuczenie twarzy i prawego nadgarstka.</w:t>
      </w:r>
    </w:p>
    <w:p w14:paraId="4EB65F42" w14:textId="215C0BA7" w:rsidR="00F42FA3" w:rsidRPr="00D47FBC" w:rsidRDefault="0042798A" w:rsidP="00485F6D">
      <w:pPr>
        <w:pStyle w:val="JuPara"/>
      </w:pPr>
      <w:r>
        <w:t>16</w:t>
      </w:r>
      <w:r w:rsidR="00843D4D" w:rsidRPr="00D47FBC">
        <w:t>.</w:t>
      </w:r>
      <w:r w:rsidR="007C0D3E">
        <w:t xml:space="preserve"> </w:t>
      </w:r>
      <w:r w:rsidR="00843D4D" w:rsidRPr="00D47FBC">
        <w:t>W dniu 17 czerwca 2011 r. skarżącego przebadano również w</w:t>
      </w:r>
      <w:r w:rsidR="00C60FCD" w:rsidRPr="00D47FBC">
        <w:t> </w:t>
      </w:r>
      <w:r w:rsidR="00843D4D" w:rsidRPr="00D47FBC">
        <w:t>ośrodku zdrowia Ministerstwa Spraw Wewnętrznych i Administracji w</w:t>
      </w:r>
      <w:r w:rsidR="00C60FCD" w:rsidRPr="00D47FBC">
        <w:t> </w:t>
      </w:r>
      <w:r w:rsidR="00843D4D" w:rsidRPr="00D47FBC">
        <w:t>Gdańsku. Skarżył się na ból w lewej części twarzy i w prawym nadgarstku. Badanie wykazało silny obrzęk w okolicy oczodołu lewego i</w:t>
      </w:r>
      <w:r w:rsidR="00C60FCD" w:rsidRPr="00D47FBC">
        <w:t> </w:t>
      </w:r>
      <w:r w:rsidR="00843D4D" w:rsidRPr="00D47FBC">
        <w:t>niewielki obrzęk nadgarstka prawego.</w:t>
      </w:r>
    </w:p>
    <w:p w14:paraId="457133C7" w14:textId="6BC3B23D" w:rsidR="00F42FA3" w:rsidRPr="00D47FBC" w:rsidRDefault="0042798A" w:rsidP="00485F6D">
      <w:pPr>
        <w:pStyle w:val="JuPara"/>
      </w:pPr>
      <w:r>
        <w:t>17</w:t>
      </w:r>
      <w:r w:rsidR="00D21E17" w:rsidRPr="00D47FBC">
        <w:t>.</w:t>
      </w:r>
      <w:r w:rsidR="007C0D3E">
        <w:t xml:space="preserve"> </w:t>
      </w:r>
      <w:r w:rsidR="00D21E17" w:rsidRPr="00D47FBC">
        <w:t>Skarżącego zwolniono w dniu 18 czerwca 2011 r. o godz. 10.00.</w:t>
      </w:r>
    </w:p>
    <w:p w14:paraId="22DC3A1A" w14:textId="211B711F" w:rsidR="00CB28EC" w:rsidRPr="00D47FBC" w:rsidRDefault="0042798A" w:rsidP="00485F6D">
      <w:pPr>
        <w:pStyle w:val="JuPara"/>
      </w:pPr>
      <w:r>
        <w:t>18</w:t>
      </w:r>
      <w:r w:rsidR="006234A3" w:rsidRPr="00D47FBC">
        <w:t>.</w:t>
      </w:r>
      <w:r w:rsidR="007C0D3E">
        <w:t xml:space="preserve"> </w:t>
      </w:r>
      <w:r w:rsidR="006234A3" w:rsidRPr="00D47FBC">
        <w:t xml:space="preserve">W dniu 27 czerwca 2011 r. skarżący złożył przeciwko policjantom zawiadomienie o popełnieniu przestępstwa w związku z zatrzymaniem. Twierdził, że podczas zatrzymania, a następnie </w:t>
      </w:r>
      <w:r w:rsidR="0077458E" w:rsidRPr="00D47FBC">
        <w:t xml:space="preserve">przebywania </w:t>
      </w:r>
      <w:r w:rsidR="006234A3" w:rsidRPr="00D47FBC">
        <w:t>w</w:t>
      </w:r>
      <w:r w:rsidR="00C60FCD" w:rsidRPr="00D47FBC">
        <w:t> </w:t>
      </w:r>
      <w:r w:rsidR="006234A3" w:rsidRPr="00D47FBC">
        <w:t>pomieszczeniu dla osób zatrzymanych, był przedmiotem złego traktowania. Skarżący załączył kopię raportu z badania lekarskiego z</w:t>
      </w:r>
      <w:r w:rsidR="00C60FCD" w:rsidRPr="00D47FBC">
        <w:t> </w:t>
      </w:r>
      <w:r w:rsidR="006234A3" w:rsidRPr="00D47FBC">
        <w:t>17</w:t>
      </w:r>
      <w:r w:rsidR="00C60FCD" w:rsidRPr="00D47FBC">
        <w:t> </w:t>
      </w:r>
      <w:r w:rsidR="006234A3" w:rsidRPr="00D47FBC">
        <w:t>czerwca 2011 r. wraz ze zdjęciami, na których widniały jego obrażenia.</w:t>
      </w:r>
    </w:p>
    <w:p w14:paraId="75ADC4FE" w14:textId="17A9455B" w:rsidR="00CB28EC" w:rsidRPr="00D47FBC" w:rsidRDefault="0042798A" w:rsidP="00485F6D">
      <w:pPr>
        <w:pStyle w:val="JuPara"/>
      </w:pPr>
      <w:r>
        <w:t>19</w:t>
      </w:r>
      <w:r w:rsidR="004234DB" w:rsidRPr="00D47FBC">
        <w:t>.</w:t>
      </w:r>
      <w:r w:rsidR="007C0D3E">
        <w:t xml:space="preserve"> </w:t>
      </w:r>
      <w:r w:rsidR="004234DB" w:rsidRPr="00D47FBC">
        <w:t>Zawiadomienie skarżącego przekazano do Prokuratury Okręgowej w</w:t>
      </w:r>
      <w:r w:rsidR="00C60FCD" w:rsidRPr="00D47FBC">
        <w:t> </w:t>
      </w:r>
      <w:r w:rsidR="004234DB" w:rsidRPr="00D47FBC">
        <w:t>Bydgoszczy.</w:t>
      </w:r>
      <w:r w:rsidR="00F670AC" w:rsidRPr="00D47FBC">
        <w:t xml:space="preserve"> </w:t>
      </w:r>
      <w:r w:rsidR="004234DB" w:rsidRPr="00D47FBC">
        <w:t>W</w:t>
      </w:r>
      <w:r w:rsidR="00F670AC" w:rsidRPr="00D47FBC">
        <w:t xml:space="preserve"> </w:t>
      </w:r>
      <w:r w:rsidR="004234DB" w:rsidRPr="00D47FBC">
        <w:t>dniu 27 lipca 2011 r. Prokurator Okręgowy w</w:t>
      </w:r>
      <w:r w:rsidR="00C60FCD" w:rsidRPr="00D47FBC">
        <w:t> </w:t>
      </w:r>
      <w:r w:rsidR="004234DB" w:rsidRPr="00D47FBC">
        <w:t>Bydgoszczy wszczął postępowanie przygotowawcze w sprawie zarzutu nadużycia uprawnień przez funkcjonariuszy policji na podstawie art. 231 Kodeksu karnego.</w:t>
      </w:r>
    </w:p>
    <w:p w14:paraId="266B4467" w14:textId="4996CCC2" w:rsidR="00F42FA3" w:rsidRPr="00D47FBC" w:rsidRDefault="0042798A" w:rsidP="00485F6D">
      <w:pPr>
        <w:pStyle w:val="JuPara"/>
      </w:pPr>
      <w:r>
        <w:t>20</w:t>
      </w:r>
      <w:r w:rsidR="004234DB" w:rsidRPr="00D47FBC">
        <w:t>.</w:t>
      </w:r>
      <w:r w:rsidR="007C0D3E">
        <w:t xml:space="preserve"> </w:t>
      </w:r>
      <w:r w:rsidR="004234DB" w:rsidRPr="00D47FBC">
        <w:t>Tego samego dnia skarżący został przesłuchany przez prokuratora. Skarżący złożył zeznanie o następującej treści: w dniu 16 czerwca 2011 r. on i jego dziewczyna odwiedzili swoich znajomych Ł.W. i D.W. w</w:t>
      </w:r>
      <w:r w:rsidR="003766C2">
        <w:t> </w:t>
      </w:r>
      <w:r w:rsidR="004234DB" w:rsidRPr="00D47FBC">
        <w:t>ich</w:t>
      </w:r>
      <w:r w:rsidR="003766C2">
        <w:t> </w:t>
      </w:r>
      <w:r w:rsidR="004234DB" w:rsidRPr="00D47FBC">
        <w:t>mieszkaniu. W mieszkaniu była również siostra D.W. Między godz.</w:t>
      </w:r>
      <w:r w:rsidR="003766C2">
        <w:t> </w:t>
      </w:r>
      <w:r w:rsidR="004234DB" w:rsidRPr="00D47FBC">
        <w:t>6.00 a</w:t>
      </w:r>
      <w:r w:rsidR="00C60FCD" w:rsidRPr="00D47FBC">
        <w:t> </w:t>
      </w:r>
      <w:r w:rsidR="00F670AC" w:rsidRPr="00D47FBC">
        <w:t>7</w:t>
      </w:r>
      <w:r w:rsidR="004234DB" w:rsidRPr="00D47FBC">
        <w:t xml:space="preserve">.00 </w:t>
      </w:r>
      <w:r w:rsidR="00F670AC" w:rsidRPr="00D47FBC">
        <w:t xml:space="preserve">po południu </w:t>
      </w:r>
      <w:r w:rsidR="004234DB" w:rsidRPr="00D47FBC">
        <w:t>skarżący usłyszał wybuchy, a chwilę później do mieszkania wdarła się grupa uzbrojonych i zamaskowanych funkcjonariuszy policji. Skarżący i</w:t>
      </w:r>
      <w:r w:rsidR="00C60FCD" w:rsidRPr="00D47FBC">
        <w:t> </w:t>
      </w:r>
      <w:r w:rsidR="004234DB" w:rsidRPr="00D47FBC">
        <w:t>pozostali podporządkowali się wydanemu przez policjantów poleceniu położenia się na podłogę. Skarżący widział, jak jeden z policjantów uderzył Ł.W. w twarz karabinem i jak Ł.W. krwawił. Drugi policjant kopnął skarżącego w twarz. Skarżący został również uderzony w głowę, plecy i</w:t>
      </w:r>
      <w:r w:rsidR="00C60FCD" w:rsidRPr="00D47FBC">
        <w:t> </w:t>
      </w:r>
      <w:r w:rsidR="004234DB" w:rsidRPr="00D47FBC">
        <w:t>nogi, po czym jeden z funkcjonariuszy założył mu kajdanki. Skarżący twierdził, że następnie został porażony paralizatorem elektrycznym w plecy, pośladki, genitalia i uszy. Jeden z</w:t>
      </w:r>
      <w:r w:rsidR="003766C2">
        <w:t> </w:t>
      </w:r>
      <w:r w:rsidR="004234DB" w:rsidRPr="00D47FBC">
        <w:t>policjantów przycisnął twarz skarżącego do kałuży krwi Ł.W. na</w:t>
      </w:r>
      <w:r w:rsidR="003766C2">
        <w:t> </w:t>
      </w:r>
      <w:r w:rsidR="004234DB" w:rsidRPr="00D47FBC">
        <w:t>podłodze. W drodze do radiowozu skarżącego duszono. W radiowozie nadal rażono skarżącego paralizatorem elektrycznym w plecy, dopóki nie</w:t>
      </w:r>
      <w:r w:rsidR="003766C2">
        <w:t> </w:t>
      </w:r>
      <w:r w:rsidR="004234DB" w:rsidRPr="00D47FBC">
        <w:t>zaczął się dusić. Skarżącego zabrano na posterunek policji, gdzie kazano mu klęczeć pod ścianą przez pół godziny. Policja chciała wiedzieć, gdzie są pieniądze i z kim skarżący współpracował przy porwaniu kobiety. Skarżącego zmuszono do podpisania dokumentu, z</w:t>
      </w:r>
      <w:r w:rsidR="00C60FCD" w:rsidRPr="00D47FBC">
        <w:t> </w:t>
      </w:r>
      <w:r w:rsidR="004234DB" w:rsidRPr="00D47FBC">
        <w:t xml:space="preserve">którego treścią nie mógł się zapoznać. Następnie zabrano go do </w:t>
      </w:r>
      <w:r w:rsidR="00F076EB">
        <w:t xml:space="preserve">policyjnej izby </w:t>
      </w:r>
      <w:r w:rsidR="00F076EB" w:rsidRPr="00F076EB">
        <w:t>zatrzymań</w:t>
      </w:r>
      <w:r w:rsidR="004234DB" w:rsidRPr="00D47FBC">
        <w:t xml:space="preserve"> w Gdyni. Po zwolnieniu skarżący udał się do szpitala w</w:t>
      </w:r>
      <w:r w:rsidR="003766C2">
        <w:t> </w:t>
      </w:r>
      <w:r w:rsidR="004234DB" w:rsidRPr="00D47FBC">
        <w:t>Gdańsku na badania lekarskie. Odbył również wizytę u chirurga, neurologa i psychologa.</w:t>
      </w:r>
    </w:p>
    <w:p w14:paraId="7C2BEE45" w14:textId="1FBCE745" w:rsidR="00F42FA3" w:rsidRPr="00D47FBC" w:rsidRDefault="0042798A" w:rsidP="00485F6D">
      <w:pPr>
        <w:pStyle w:val="JuPara"/>
      </w:pPr>
      <w:r>
        <w:lastRenderedPageBreak/>
        <w:t>21</w:t>
      </w:r>
      <w:r w:rsidR="005E2AFB" w:rsidRPr="00D47FBC">
        <w:t>.</w:t>
      </w:r>
      <w:r w:rsidR="007C0D3E">
        <w:t xml:space="preserve"> </w:t>
      </w:r>
      <w:r w:rsidR="005E2AFB" w:rsidRPr="00D47FBC">
        <w:t>Skarżący twierdził, że wskutek zatrzymania miał stłuczenia głowy i</w:t>
      </w:r>
      <w:r w:rsidR="00C60FCD" w:rsidRPr="00D47FBC">
        <w:t> </w:t>
      </w:r>
      <w:r w:rsidR="005E2AFB" w:rsidRPr="00D47FBC">
        <w:t>pleców oraz skręcone kciuki, a także poparzenia na plecach spowodowane użyciem paralizatora elektrycznego.</w:t>
      </w:r>
    </w:p>
    <w:p w14:paraId="3C60B884" w14:textId="1A907362" w:rsidR="00F42FA3" w:rsidRPr="00D47FBC" w:rsidRDefault="0042798A" w:rsidP="00485F6D">
      <w:pPr>
        <w:pStyle w:val="JuPara"/>
      </w:pPr>
      <w:r w:rsidRPr="00583126">
        <w:t>22</w:t>
      </w:r>
      <w:r w:rsidR="0053596D" w:rsidRPr="00583126">
        <w:t>.</w:t>
      </w:r>
      <w:r w:rsidR="007C0D3E" w:rsidRPr="00583126">
        <w:t xml:space="preserve"> </w:t>
      </w:r>
      <w:r w:rsidR="0053596D" w:rsidRPr="00583126">
        <w:t>Prokurator wskazał, że wskutek błędu technicznego nie można było</w:t>
      </w:r>
      <w:r w:rsidR="0053596D" w:rsidRPr="00D47FBC">
        <w:t xml:space="preserve"> zapoznać się z zapisem nagrania z monitoringu z dnia 17 czerwca 2011 r. znajdującego się w Prokuraturze Apelacyjnej w Gdańsku, gdzie skarżący był przesłuchiwany.</w:t>
      </w:r>
    </w:p>
    <w:p w14:paraId="659365B6" w14:textId="55338E56" w:rsidR="00CB28EC" w:rsidRPr="00D47FBC" w:rsidRDefault="0042798A" w:rsidP="00485F6D">
      <w:pPr>
        <w:pStyle w:val="JuPara"/>
      </w:pPr>
      <w:r>
        <w:t>23</w:t>
      </w:r>
      <w:r w:rsidR="001A1344" w:rsidRPr="00D47FBC">
        <w:t>.</w:t>
      </w:r>
      <w:r w:rsidR="007C0D3E">
        <w:t xml:space="preserve"> </w:t>
      </w:r>
      <w:r w:rsidR="001A1344" w:rsidRPr="00D47FBC">
        <w:t>Prokurator ustalił, że w dniu 9 czerwca 2011 r. Prokuratura Apelacyjna w Gdańsku wszczęła postępowanie przygotowawcze w sprawie porwania J.R. i żądania okupu. W dniu 16 czerwca 2011 r., mając na</w:t>
      </w:r>
      <w:r w:rsidR="003766C2">
        <w:t> </w:t>
      </w:r>
      <w:r w:rsidR="001A1344" w:rsidRPr="00D47FBC">
        <w:t>uwadze zgromadzony materiał dowodowy, prokurator prokuratury apelacyjnej zarządził zatrzymanie kilku podejrzanych, w tym skarżącego i</w:t>
      </w:r>
      <w:r w:rsidR="00C60FCD" w:rsidRPr="00D47FBC">
        <w:t> </w:t>
      </w:r>
      <w:r w:rsidR="001A1344" w:rsidRPr="00D47FBC">
        <w:t>jego dziewczyny.</w:t>
      </w:r>
    </w:p>
    <w:p w14:paraId="62B1D513" w14:textId="30295760" w:rsidR="00CB28EC" w:rsidRPr="00D47FBC" w:rsidRDefault="0042798A" w:rsidP="00485F6D">
      <w:pPr>
        <w:pStyle w:val="JuPara"/>
      </w:pPr>
      <w:r>
        <w:t>24</w:t>
      </w:r>
      <w:r w:rsidR="0053596D" w:rsidRPr="00D47FBC">
        <w:t>.</w:t>
      </w:r>
      <w:r w:rsidR="007C0D3E">
        <w:t xml:space="preserve"> </w:t>
      </w:r>
      <w:r w:rsidR="0053596D" w:rsidRPr="00D47FBC">
        <w:t>Prokurator przesłuchał inne osoby, które zostały zatrzymane wraz</w:t>
      </w:r>
      <w:r w:rsidR="003766C2">
        <w:t> </w:t>
      </w:r>
      <w:r w:rsidR="0053596D" w:rsidRPr="00D47FBC">
        <w:t>ze</w:t>
      </w:r>
      <w:r w:rsidR="003766C2">
        <w:t> </w:t>
      </w:r>
      <w:r w:rsidR="0053596D" w:rsidRPr="00D47FBC">
        <w:t>skarżącym. Dziewczyna skarżącego zeznała, że funkcjonariusze policji odziani w kominiarki i kamizelki kuloodporne wyważyli drzwi mieszkania. Jeden z funkcjonariuszy założył jej kajdanki. Dziewczyna skarżącego słyszała krzyki skarżącego i widziała krew na podłodze w</w:t>
      </w:r>
      <w:r w:rsidR="003766C2">
        <w:t> </w:t>
      </w:r>
      <w:r w:rsidR="0053596D" w:rsidRPr="00D47FBC">
        <w:t>mieszkaniu. Zabrano ją na posterunek policji, gdzie grożono jej użyciem paralizatora elektrycznego. Po zwolnieniu widziała skarżącego z opuchniętą twarzą i</w:t>
      </w:r>
      <w:r w:rsidR="00C60FCD" w:rsidRPr="00D47FBC">
        <w:t> </w:t>
      </w:r>
      <w:r w:rsidR="0053596D" w:rsidRPr="00D47FBC">
        <w:t>podbitym okiem; jego plecy pokryte były niewielkimi strupami spowodowanymi użyciem paralizatora.</w:t>
      </w:r>
    </w:p>
    <w:p w14:paraId="5B483190" w14:textId="3BA8900B" w:rsidR="00F42FA3" w:rsidRPr="00D47FBC" w:rsidRDefault="0042798A" w:rsidP="00485F6D">
      <w:pPr>
        <w:pStyle w:val="JuPara"/>
      </w:pPr>
      <w:r>
        <w:t>25</w:t>
      </w:r>
      <w:r w:rsidR="00122EB0" w:rsidRPr="00D47FBC">
        <w:t>.</w:t>
      </w:r>
      <w:r w:rsidR="007C0D3E">
        <w:t xml:space="preserve"> </w:t>
      </w:r>
      <w:r w:rsidR="00122EB0" w:rsidRPr="00D47FBC">
        <w:t>Ł.W. zeznał m.in., że policjanci wyważyli drzwi i wrzucili do</w:t>
      </w:r>
      <w:r w:rsidR="003766C2">
        <w:t> </w:t>
      </w:r>
      <w:r w:rsidR="00122EB0" w:rsidRPr="00D47FBC">
        <w:t>mieszkania granat hukowy, po czym wydali wszystkim polecenie położenia się na podłodze. Ł.W. zeznał, że skarżący został kopnięty i</w:t>
      </w:r>
      <w:r w:rsidR="003766C2">
        <w:t> </w:t>
      </w:r>
      <w:r w:rsidR="00122EB0" w:rsidRPr="00D47FBC">
        <w:t>uderzony przez trzech policjantów, a także porażony paralizatorem.</w:t>
      </w:r>
    </w:p>
    <w:p w14:paraId="7BA23E38" w14:textId="4FF6F649" w:rsidR="00F42FA3" w:rsidRPr="00D47FBC" w:rsidRDefault="0042798A" w:rsidP="00485F6D">
      <w:pPr>
        <w:pStyle w:val="JuPara"/>
      </w:pPr>
      <w:r>
        <w:t>26</w:t>
      </w:r>
      <w:r w:rsidR="00122EB0" w:rsidRPr="00D47FBC">
        <w:t>.</w:t>
      </w:r>
      <w:r w:rsidR="007C0D3E">
        <w:t xml:space="preserve"> </w:t>
      </w:r>
      <w:r w:rsidR="00122EB0" w:rsidRPr="00D47FBC">
        <w:t>D.W. zeznała, że jeden z policjantów uderzył jej męża Ł.W. w twarz karabinem, co potwierdził</w:t>
      </w:r>
      <w:r w:rsidR="0077458E" w:rsidRPr="00D47FBC">
        <w:t>a</w:t>
      </w:r>
      <w:r w:rsidR="00122EB0" w:rsidRPr="00D47FBC">
        <w:t xml:space="preserve"> </w:t>
      </w:r>
      <w:r w:rsidR="0077458E" w:rsidRPr="00D47FBC">
        <w:t>Z</w:t>
      </w:r>
      <w:r w:rsidR="00122EB0" w:rsidRPr="00D47FBC">
        <w:t>.</w:t>
      </w:r>
      <w:r w:rsidR="0077458E" w:rsidRPr="00D47FBC">
        <w:t>M</w:t>
      </w:r>
      <w:r w:rsidR="00122EB0" w:rsidRPr="00D47FBC">
        <w:t>. Ł.W., D.W. i Z.M. zostali zatrzymani w</w:t>
      </w:r>
      <w:r w:rsidR="003766C2">
        <w:t> </w:t>
      </w:r>
      <w:r w:rsidR="00122EB0" w:rsidRPr="00D47FBC">
        <w:t>związku z podejrzeniem posiadania środków odurzających. Nie</w:t>
      </w:r>
      <w:r w:rsidR="003766C2">
        <w:t> </w:t>
      </w:r>
      <w:r w:rsidR="00122EB0" w:rsidRPr="00D47FBC">
        <w:t>przedstawiono im zarzutu udziału w porwaniu.</w:t>
      </w:r>
    </w:p>
    <w:p w14:paraId="1A39F38A" w14:textId="2090CAFC" w:rsidR="00053FF5" w:rsidRPr="00D47FBC" w:rsidRDefault="0042798A" w:rsidP="00485F6D">
      <w:pPr>
        <w:pStyle w:val="JuPara"/>
      </w:pPr>
      <w:r>
        <w:t>27</w:t>
      </w:r>
      <w:r w:rsidR="00122EB0" w:rsidRPr="00D47FBC">
        <w:t>.</w:t>
      </w:r>
      <w:r w:rsidR="007C0D3E">
        <w:t xml:space="preserve"> </w:t>
      </w:r>
      <w:r w:rsidR="00122EB0" w:rsidRPr="00D47FBC">
        <w:t xml:space="preserve">Prokurator zlecił sporządzenie opinii z zakresu medycyny sądowej. </w:t>
      </w:r>
      <w:r w:rsidR="00F670AC" w:rsidRPr="00D47FBC">
        <w:t>Zlecił biegłemu</w:t>
      </w:r>
      <w:r w:rsidR="00122EB0" w:rsidRPr="00D47FBC">
        <w:t xml:space="preserve"> z zakresu medycyny sądowej </w:t>
      </w:r>
      <w:r w:rsidR="00F670AC" w:rsidRPr="00D47FBC">
        <w:t>ustalenie</w:t>
      </w:r>
      <w:r w:rsidR="00122EB0" w:rsidRPr="00D47FBC">
        <w:t xml:space="preserve"> m.in. </w:t>
      </w:r>
      <w:r w:rsidR="00F670AC" w:rsidRPr="00D47FBC">
        <w:t xml:space="preserve">jakich </w:t>
      </w:r>
      <w:r w:rsidR="00122EB0" w:rsidRPr="00D47FBC">
        <w:t xml:space="preserve">obrażeń doznał </w:t>
      </w:r>
      <w:r w:rsidR="00F670AC" w:rsidRPr="00D47FBC">
        <w:t xml:space="preserve">skarżący </w:t>
      </w:r>
      <w:r w:rsidR="00122EB0" w:rsidRPr="00D47FBC">
        <w:t>w związku z zatrzymaniem. Biegły z zakresu medycyny sądowej miał dostęp do odpowiednich części akt sprawy prokuratury i</w:t>
      </w:r>
      <w:r w:rsidR="003766C2">
        <w:t> </w:t>
      </w:r>
      <w:r w:rsidR="00122EB0" w:rsidRPr="00D47FBC">
        <w:t>dokumentacji medycznej.</w:t>
      </w:r>
    </w:p>
    <w:p w14:paraId="3C40BF16" w14:textId="29F9C908" w:rsidR="00F42FA3" w:rsidRPr="00D47FBC" w:rsidRDefault="0042798A" w:rsidP="00485F6D">
      <w:pPr>
        <w:pStyle w:val="JuPara"/>
      </w:pPr>
      <w:r>
        <w:t>28</w:t>
      </w:r>
      <w:r w:rsidR="00897E0A" w:rsidRPr="00D47FBC">
        <w:t>.</w:t>
      </w:r>
      <w:r w:rsidR="007C0D3E">
        <w:t xml:space="preserve"> </w:t>
      </w:r>
      <w:r w:rsidR="00E02745" w:rsidRPr="00D47FBC">
        <w:t>Opinia</w:t>
      </w:r>
      <w:r w:rsidR="00897E0A" w:rsidRPr="00D47FBC">
        <w:t xml:space="preserve"> została sporządzona w dniu 26 czerwca 2012 r. Na podstawie dokumentacji medycznej, w tym prot</w:t>
      </w:r>
      <w:r w:rsidR="00E02745" w:rsidRPr="00D47FBC">
        <w:t>okołu z dnia 16 czerwca 2011 r.</w:t>
      </w:r>
      <w:r w:rsidR="00897E0A" w:rsidRPr="00D47FBC">
        <w:t xml:space="preserve"> oraz</w:t>
      </w:r>
      <w:r w:rsidR="003766C2">
        <w:t> </w:t>
      </w:r>
      <w:r w:rsidR="00897E0A" w:rsidRPr="00D47FBC">
        <w:t xml:space="preserve">zaświadczeń z dnia 17 czerwca 2011 r., w </w:t>
      </w:r>
      <w:r w:rsidR="00E02745" w:rsidRPr="00D47FBC">
        <w:t>opinii</w:t>
      </w:r>
      <w:r w:rsidR="00897E0A" w:rsidRPr="00D47FBC">
        <w:t xml:space="preserve"> wskazano, że</w:t>
      </w:r>
      <w:r w:rsidR="003766C2">
        <w:t> </w:t>
      </w:r>
      <w:r w:rsidR="00897E0A" w:rsidRPr="00D47FBC">
        <w:t>skarżący cierpiał na tkliwość okolicy skroniowej lewej, obrzęk lewej części twarzy z podbiegnięciami krwawymi, tkliwość nadgarstka prawego oraz otarcia na rękach i plecach. Ponadto na podstawie zdjęć ustalono, że</w:t>
      </w:r>
      <w:r w:rsidR="00C60FCD" w:rsidRPr="00D47FBC">
        <w:t> </w:t>
      </w:r>
      <w:r w:rsidR="00897E0A" w:rsidRPr="00D47FBC">
        <w:t>skarżący miał również podbiegnięcia krwawe na lewym ramieniu, w</w:t>
      </w:r>
      <w:r w:rsidR="00C60FCD" w:rsidRPr="00D47FBC">
        <w:t> </w:t>
      </w:r>
      <w:r w:rsidR="00897E0A" w:rsidRPr="00D47FBC">
        <w:t xml:space="preserve">bocznej części tułowia oraz w okolicy </w:t>
      </w:r>
      <w:proofErr w:type="spellStart"/>
      <w:r w:rsidR="00897E0A" w:rsidRPr="00D47FBC">
        <w:t>podpępkowej</w:t>
      </w:r>
      <w:proofErr w:type="spellEnd"/>
      <w:r w:rsidR="00897E0A" w:rsidRPr="00D47FBC">
        <w:t>, a także otarcia na</w:t>
      </w:r>
      <w:r w:rsidR="003766C2">
        <w:t> </w:t>
      </w:r>
      <w:r w:rsidR="00897E0A" w:rsidRPr="00D47FBC">
        <w:t>kolanach.</w:t>
      </w:r>
    </w:p>
    <w:p w14:paraId="1AEF938C" w14:textId="5628D0C1" w:rsidR="00F42FA3" w:rsidRPr="00D47FBC" w:rsidRDefault="0042798A" w:rsidP="00485F6D">
      <w:pPr>
        <w:pStyle w:val="JuPara"/>
        <w:rPr>
          <w:b/>
        </w:rPr>
      </w:pPr>
      <w:r>
        <w:lastRenderedPageBreak/>
        <w:t>29</w:t>
      </w:r>
      <w:r w:rsidR="00BA5A77" w:rsidRPr="00D47FBC">
        <w:t>.</w:t>
      </w:r>
      <w:r w:rsidR="007C0D3E">
        <w:t xml:space="preserve"> </w:t>
      </w:r>
      <w:r w:rsidR="00BA5A77" w:rsidRPr="00D47FBC">
        <w:t>Biegły z zakresu medycyny sądowej stwierdził, że podbiegnięcia krwawe mogły powstać w wyniku uderzenia tępym przedmiotem lub</w:t>
      </w:r>
      <w:r w:rsidR="003766C2">
        <w:t> </w:t>
      </w:r>
      <w:r w:rsidR="00BA5A77" w:rsidRPr="00D47FBC">
        <w:t>upadk</w:t>
      </w:r>
      <w:r w:rsidR="00E02745" w:rsidRPr="00D47FBC">
        <w:t>u</w:t>
      </w:r>
      <w:r w:rsidR="00BA5A77" w:rsidRPr="00D47FBC">
        <w:t xml:space="preserve"> na taki przedmiot. W przypadku skarżącego podbiegnięcia krwawe na twarzy i tułowiu mogły powstać w wyniku kopnięcia, chociaż</w:t>
      </w:r>
      <w:r w:rsidR="003766C2">
        <w:t> </w:t>
      </w:r>
      <w:r w:rsidR="00BA5A77" w:rsidRPr="00D47FBC">
        <w:t>kopnięcia butami wojskowymi spowodowałyby raczej otarcia lub</w:t>
      </w:r>
      <w:r w:rsidR="003766C2">
        <w:t> </w:t>
      </w:r>
      <w:r w:rsidR="00BA5A77" w:rsidRPr="00D47FBC">
        <w:t>rany miażdżone. Podbiegnięcia krwawe na lewym ramieniu skarżącego mogły powstać w wyniku zastosowania chwytu obezwładniającego podczas</w:t>
      </w:r>
      <w:r w:rsidR="003766C2">
        <w:t> </w:t>
      </w:r>
      <w:r w:rsidR="00BA5A77" w:rsidRPr="00D47FBC">
        <w:t>przemieszczania skarżącego. Otarcia na nadgarstkach mogły powstać w</w:t>
      </w:r>
      <w:r w:rsidR="00C60FCD" w:rsidRPr="00D47FBC">
        <w:t> </w:t>
      </w:r>
      <w:r w:rsidR="00BA5A77" w:rsidRPr="00D47FBC">
        <w:t>wyniku zastosowania kajdanek. Ponadto biegły stwierdził, że</w:t>
      </w:r>
      <w:r w:rsidR="003766C2">
        <w:t> </w:t>
      </w:r>
      <w:r w:rsidR="00BA5A77" w:rsidRPr="00D47FBC">
        <w:t>kanciaste otarcia na plecach skarżącego mogły powstać w wyniku użycia paralizatora elektrycznego.</w:t>
      </w:r>
    </w:p>
    <w:p w14:paraId="73FC328E" w14:textId="24C6FCD9" w:rsidR="00CB28EC" w:rsidRPr="00D47FBC" w:rsidRDefault="0042798A" w:rsidP="00485F6D">
      <w:pPr>
        <w:pStyle w:val="JuPara"/>
      </w:pPr>
      <w:r>
        <w:t>30</w:t>
      </w:r>
      <w:r w:rsidR="00C97C07" w:rsidRPr="00D47FBC">
        <w:t>.</w:t>
      </w:r>
      <w:r w:rsidR="007C0D3E">
        <w:t xml:space="preserve"> </w:t>
      </w:r>
      <w:r w:rsidR="00C97C07" w:rsidRPr="00D47FBC">
        <w:t xml:space="preserve">W </w:t>
      </w:r>
      <w:r w:rsidR="00E02745" w:rsidRPr="00D47FBC">
        <w:t>opinii</w:t>
      </w:r>
      <w:r w:rsidR="00C97C07" w:rsidRPr="00D47FBC">
        <w:t xml:space="preserve"> stwierdzono, że obrażenia skarżącego spowodowały u</w:t>
      </w:r>
      <w:r w:rsidR="00C60FCD" w:rsidRPr="00D47FBC">
        <w:t> </w:t>
      </w:r>
      <w:r w:rsidR="00C97C07" w:rsidRPr="00D47FBC">
        <w:t>skarżącego rozstrój zdrowia na okres nieprzekraczający siedmiu dni.</w:t>
      </w:r>
    </w:p>
    <w:p w14:paraId="2D2C637A" w14:textId="00AA3382" w:rsidR="00F42FA3" w:rsidRPr="00D47FBC" w:rsidRDefault="0042798A" w:rsidP="00485F6D">
      <w:pPr>
        <w:pStyle w:val="JuPara"/>
      </w:pPr>
      <w:r>
        <w:t>31</w:t>
      </w:r>
      <w:r w:rsidR="00CA7F5E" w:rsidRPr="00D47FBC">
        <w:t>.</w:t>
      </w:r>
      <w:r w:rsidR="007C0D3E">
        <w:t xml:space="preserve"> </w:t>
      </w:r>
      <w:r w:rsidR="00CA7F5E" w:rsidRPr="00D47FBC">
        <w:t>Prokurator przesłuchał również funkcjonariuszy policji. Ustalił, że</w:t>
      </w:r>
      <w:r w:rsidR="00C60FCD" w:rsidRPr="00D47FBC">
        <w:t> </w:t>
      </w:r>
      <w:r w:rsidR="00E02745" w:rsidRPr="00D47FBC">
        <w:t>zatrzymania dokonał</w:t>
      </w:r>
      <w:r w:rsidR="00CA7F5E" w:rsidRPr="00D47FBC">
        <w:t xml:space="preserve"> wyspecjalizowany oddział antyterrorystyczny składający się z ośmiu funkcjonariuszy. Na zewnątrz mieszkania towarzyszyło im siedmiu policjantów z gdańskiej delegatury CB</w:t>
      </w:r>
      <w:r w:rsidR="00E02745" w:rsidRPr="00D47FBC">
        <w:t>Ś</w:t>
      </w:r>
      <w:r w:rsidR="00CA7F5E" w:rsidRPr="00D47FBC">
        <w:t>. Policja</w:t>
      </w:r>
      <w:r w:rsidR="003766C2">
        <w:t> </w:t>
      </w:r>
      <w:r w:rsidR="00CA7F5E" w:rsidRPr="00D47FBC">
        <w:t>uznała skorzystanie z pomocy wyspecjalizowanego oddziału za</w:t>
      </w:r>
      <w:r w:rsidR="003766C2">
        <w:t> </w:t>
      </w:r>
      <w:r w:rsidR="00CA7F5E" w:rsidRPr="00D47FBC">
        <w:t>konieczne, bowiem podejrzani byli zamieszani w porwanie, stosowali brutalne metody działania i istniała obawa, że dysponują niebezpiecznymi narzędziami. Funkcjonariusze oddziału antyterrorystycznego wyposażeni byli w</w:t>
      </w:r>
      <w:r w:rsidR="00C60FCD" w:rsidRPr="00D47FBC">
        <w:t> </w:t>
      </w:r>
      <w:r w:rsidR="00CA7F5E" w:rsidRPr="00D47FBC">
        <w:t>karabiny, kaski i kamizelki kuloodporne i nosili kominiarki. Oddział</w:t>
      </w:r>
      <w:r w:rsidR="003766C2">
        <w:t> </w:t>
      </w:r>
      <w:r w:rsidR="00CA7F5E" w:rsidRPr="00D47FBC">
        <w:t>wyważył drzwi i użył granatu hukowego.</w:t>
      </w:r>
    </w:p>
    <w:p w14:paraId="1AF11CC2" w14:textId="7734D4B7" w:rsidR="00F42FA3" w:rsidRPr="00D47FBC" w:rsidRDefault="0042798A" w:rsidP="00485F6D">
      <w:pPr>
        <w:pStyle w:val="JuPara"/>
      </w:pPr>
      <w:r w:rsidRPr="000D116C">
        <w:t>32</w:t>
      </w:r>
      <w:r w:rsidR="00B93E95" w:rsidRPr="000D116C">
        <w:t>.</w:t>
      </w:r>
      <w:r w:rsidR="007C0D3E" w:rsidRPr="000D116C">
        <w:t xml:space="preserve"> </w:t>
      </w:r>
      <w:r w:rsidR="00B93E95" w:rsidRPr="000D116C">
        <w:t>Skarżący został</w:t>
      </w:r>
      <w:r w:rsidR="00B93E95" w:rsidRPr="00D47FBC">
        <w:t xml:space="preserve"> zatrzymany przez funkcjonariusza R. Z jego zeznań oraz z zeznań pozostałych funkcjonariuszy wynika, że skarżący leżał na</w:t>
      </w:r>
      <w:r w:rsidR="003766C2">
        <w:t> </w:t>
      </w:r>
      <w:r w:rsidR="00B93E95" w:rsidRPr="00D47FBC">
        <w:t>podłodze z rękoma schowanymi pod ciałem. Funkcjonariusz R. siedział na skarżącym. Wydał skarżącemu polecenie podniesienia rąk, aby mógł założyć mu kajdanki, jednak skarżący odmówił i próbował obalić funkcjonariusza. Biorąc pod uwagę ryzyko, że skarżący mógł mieć przy</w:t>
      </w:r>
      <w:r w:rsidR="003766C2">
        <w:t> </w:t>
      </w:r>
      <w:r w:rsidR="00B93E95" w:rsidRPr="00D47FBC">
        <w:t>sobie broń palną i widząc, że skarżący odmawia założenia kajdanek, funkcjonariusz R. zdecydował się porazić skarżącego paralizatorem elektrycznym w plecy, a w tym samym czasie drugi funkcjonariusz usiłował założyć mu kajdanki. Funkcjonariusz R. zeznał, że nie pamięta, ile razy użył broni, ale uczynił to wobec stawianego przez skarżącego oporu. Wymierzył broń w plecy skarżącego. Funkcjonariusz R. zeznał, że przy każdym użyciu broni doszło do kilkusekundowego porażenia prądem. Skarżący mógł zostać porażony w różne partie pleców. Następnie dokonano zatrzymania skarżącego.</w:t>
      </w:r>
    </w:p>
    <w:p w14:paraId="2EE9055C" w14:textId="3A745289" w:rsidR="00CB28EC" w:rsidRPr="00D47FBC" w:rsidRDefault="0042798A" w:rsidP="00485F6D">
      <w:pPr>
        <w:pStyle w:val="JuPara"/>
      </w:pPr>
      <w:r>
        <w:t>33</w:t>
      </w:r>
      <w:r w:rsidR="007C54DF" w:rsidRPr="00D47FBC">
        <w:t>.</w:t>
      </w:r>
      <w:r w:rsidR="007C0D3E">
        <w:t xml:space="preserve"> </w:t>
      </w:r>
      <w:r w:rsidR="007C54DF" w:rsidRPr="00D47FBC">
        <w:t>Funkcjonariusze oddziału specjalnego zeznali, że nie użyli żadnej innej siły.</w:t>
      </w:r>
    </w:p>
    <w:p w14:paraId="3C7F6DD1" w14:textId="5CB4466C" w:rsidR="00CB28EC" w:rsidRPr="00D47FBC" w:rsidRDefault="0042798A" w:rsidP="00485F6D">
      <w:pPr>
        <w:pStyle w:val="JuPara"/>
      </w:pPr>
      <w:r>
        <w:t>34</w:t>
      </w:r>
      <w:r w:rsidR="003911ED" w:rsidRPr="00D47FBC">
        <w:t>.</w:t>
      </w:r>
      <w:r w:rsidR="007C0D3E">
        <w:t xml:space="preserve"> </w:t>
      </w:r>
      <w:r w:rsidR="003911ED" w:rsidRPr="00D47FBC">
        <w:t>W dniu 26 lipca 2012 r. Prokurator Okręgowy umorzył postępowanie przygotowawcze w sprawie zarzutu nadużycia uprawnień przez</w:t>
      </w:r>
      <w:r w:rsidR="003766C2">
        <w:t> </w:t>
      </w:r>
      <w:r w:rsidR="003911ED" w:rsidRPr="00D47FBC">
        <w:t>funkcjonariuszy policji z powodu braku dostatecznych dowodów uzasadniających popełnienie przestępstwa.</w:t>
      </w:r>
    </w:p>
    <w:p w14:paraId="7FA4CB21" w14:textId="6207E498" w:rsidR="00B72A73" w:rsidRPr="00D47FBC" w:rsidRDefault="0042798A" w:rsidP="00485F6D">
      <w:pPr>
        <w:pStyle w:val="JuPara"/>
      </w:pPr>
      <w:r>
        <w:lastRenderedPageBreak/>
        <w:t>35</w:t>
      </w:r>
      <w:r w:rsidR="00DE1F61" w:rsidRPr="00D47FBC">
        <w:t>.</w:t>
      </w:r>
      <w:r w:rsidR="007C0D3E">
        <w:t xml:space="preserve"> </w:t>
      </w:r>
      <w:r w:rsidR="00DE1F61" w:rsidRPr="00D47FBC">
        <w:t>Prokurator uznał, że funkcjonariusze oddziału specjalnego szczegółowo wyjaśnili, co stało się podczas zatrzymania oraz sposób zastosowania środków przymusu bezpośredniego. Funkcjonariusze zeznali, że stosowali wyłącznie środki podyktowane sytuacją. Zaprzeczyli, jakoby uderzyli, kopali czy uderzyli karabinem któregokolwiek z zatrzymanych. W</w:t>
      </w:r>
      <w:r w:rsidR="00C60FCD" w:rsidRPr="00D47FBC">
        <w:t> </w:t>
      </w:r>
      <w:r w:rsidR="00DE1F61" w:rsidRPr="00D47FBC">
        <w:t>odniesieniu do paralizatora elektrycznego prokurator stwierdził:</w:t>
      </w:r>
    </w:p>
    <w:p w14:paraId="7011B9E1" w14:textId="1E02C5E6" w:rsidR="00F42FA3" w:rsidRPr="00D47FBC" w:rsidRDefault="00B72A73" w:rsidP="00485F6D">
      <w:pPr>
        <w:pStyle w:val="JuQuot"/>
      </w:pPr>
      <w:r w:rsidRPr="00D47FBC">
        <w:t>„Broń elektrowstrząsową zastosowano zgodnie z procedurą i tylko w stosunku do</w:t>
      </w:r>
      <w:r w:rsidR="003766C2">
        <w:t> </w:t>
      </w:r>
      <w:r w:rsidRPr="00D47FBC">
        <w:t xml:space="preserve">[skarżącego], w okolicznościach opisanych przez dokonującego zatrzymania funkcjonariusza policji z powodu niepodporządkowania się </w:t>
      </w:r>
      <w:r w:rsidR="00E02745" w:rsidRPr="00D47FBC">
        <w:t>poleceniom</w:t>
      </w:r>
      <w:r w:rsidRPr="00D47FBC">
        <w:t>”.</w:t>
      </w:r>
    </w:p>
    <w:p w14:paraId="7314E78B" w14:textId="2BD94AAE" w:rsidR="00F42FA3" w:rsidRPr="00D47FBC" w:rsidRDefault="0042798A" w:rsidP="00485F6D">
      <w:pPr>
        <w:pStyle w:val="JuPara"/>
      </w:pPr>
      <w:r>
        <w:t>36</w:t>
      </w:r>
      <w:r w:rsidR="00897E0A" w:rsidRPr="00D47FBC">
        <w:t>.</w:t>
      </w:r>
      <w:r w:rsidR="007C0D3E">
        <w:t xml:space="preserve"> </w:t>
      </w:r>
      <w:r w:rsidR="00897E0A" w:rsidRPr="00D47FBC">
        <w:t>Prokurator wskazał, że do zatrzymania pięciu osób (dwóch mężczyzn i trzech kobiet) doszło w mieszkaniu, w rzeczywistości w jednym pomieszczeniu (w którym znajdowały się cztery osoby) o bardzo niewielkiej kubaturze. W pomieszczeniu tym znajdowało się co najmniej osiem osób (czterech zatrzymanych i co najmniej czterech funkcjonariuszy). W związku z użyciem granatu hukowego w mieszkaniu nie sposób było wykluczyć możliwości doznania niezamierzonych obrażeń przez zatrzymanych.</w:t>
      </w:r>
    </w:p>
    <w:p w14:paraId="0403B49D" w14:textId="4A28CABD" w:rsidR="00CB28EC" w:rsidRPr="00D47FBC" w:rsidRDefault="0042798A" w:rsidP="00485F6D">
      <w:pPr>
        <w:pStyle w:val="JuPara"/>
      </w:pPr>
      <w:r>
        <w:t>37</w:t>
      </w:r>
      <w:r w:rsidR="003911ED" w:rsidRPr="00D47FBC">
        <w:t>.</w:t>
      </w:r>
      <w:r w:rsidR="007C0D3E">
        <w:t xml:space="preserve"> </w:t>
      </w:r>
      <w:r w:rsidR="003911ED" w:rsidRPr="00D47FBC">
        <w:t>Prokurator wskazał, że skarżący nie zgłosił do protokołu zatrzymania żadnych zastrzeżeń co do sposobu jego zatrzymania pomimo drastycznych działań, jakie mieli podejmować funkcjonariusze policji. Ponadto w dniu 11</w:t>
      </w:r>
      <w:r w:rsidR="003766C2">
        <w:t> </w:t>
      </w:r>
      <w:r w:rsidR="003911ED" w:rsidRPr="00D47FBC">
        <w:t>października 2011 r. Sąd Rejonowy Gdańsk</w:t>
      </w:r>
      <w:r w:rsidR="003911ED" w:rsidRPr="00D47FBC">
        <w:noBreakHyphen/>
        <w:t>Południe oddalił zażalenie skarżącego na wydane przez prokuratora dnia 16 czerwca 2011 r. postanowienie w przedmiocie zatrzymania skarżącego. Sąd uznał, że</w:t>
      </w:r>
      <w:r w:rsidR="003766C2">
        <w:t> </w:t>
      </w:r>
      <w:r w:rsidR="003911ED" w:rsidRPr="00D47FBC">
        <w:t>w</w:t>
      </w:r>
      <w:r w:rsidR="003766C2">
        <w:t> </w:t>
      </w:r>
      <w:r w:rsidR="003911ED" w:rsidRPr="00D47FBC">
        <w:t>świetle zgromadzonego w tym czasie materiału dowodowego zatrzymanie było uzasadnione i zostało przeprowadzone zgodnie z prawem.</w:t>
      </w:r>
    </w:p>
    <w:p w14:paraId="1D349AEB" w14:textId="20AC0E5C" w:rsidR="00CB28EC" w:rsidRPr="00D47FBC" w:rsidRDefault="0042798A" w:rsidP="00485F6D">
      <w:pPr>
        <w:pStyle w:val="JuPara"/>
      </w:pPr>
      <w:r>
        <w:t>38</w:t>
      </w:r>
      <w:r w:rsidR="00897E0A" w:rsidRPr="00D47FBC">
        <w:t>.</w:t>
      </w:r>
      <w:r w:rsidR="007C0D3E">
        <w:t xml:space="preserve"> </w:t>
      </w:r>
      <w:r w:rsidR="00897E0A" w:rsidRPr="00D47FBC">
        <w:t xml:space="preserve">W </w:t>
      </w:r>
      <w:r w:rsidR="00422153">
        <w:t>konkluzji</w:t>
      </w:r>
      <w:r w:rsidR="00897E0A" w:rsidRPr="00D47FBC">
        <w:t xml:space="preserve"> prokurator przyjął, że skarżący doznał obrażeń opisanych w obdukcji. Niemniej jednak, po przeanalizowaniu całokształtu zgromadzonego w sprawie materiału dowodowego, prokurator nie mógł jednoznacznie stwierdzić, że obrażenia powstały w wyniku czynności funkcjonariuszy. Prokurator wskazał, że czynności zatrzymania dokonano szybko i że czynności funkcjonariuszy miały na celu sprawne i skuteczne zatrzymanie podejrzanych. Funkcjonariusze policji przedstawili spójną wersję wydarzeń. Chociaż nie sposób całkowicie wykluczyć wersji wydarzeń przedstawionej przez skarżącego prokurator, mając na uwadze zasadę </w:t>
      </w:r>
      <w:r w:rsidR="00897E0A" w:rsidRPr="00D47FBC">
        <w:rPr>
          <w:i/>
          <w:iCs/>
        </w:rPr>
        <w:t xml:space="preserve">in dubio pro </w:t>
      </w:r>
      <w:proofErr w:type="spellStart"/>
      <w:r w:rsidR="00897E0A" w:rsidRPr="00D47FBC">
        <w:rPr>
          <w:i/>
          <w:iCs/>
        </w:rPr>
        <w:t>reo</w:t>
      </w:r>
      <w:proofErr w:type="spellEnd"/>
      <w:r w:rsidR="00897E0A" w:rsidRPr="00D47FBC">
        <w:t>, postanowił umorzyć postępowanie przygotowawcze z powodu braku dostatecznych dowodów uzasadniających podejrzenie popełnienia zarzucanego przestępstwa.</w:t>
      </w:r>
    </w:p>
    <w:p w14:paraId="0627DF79" w14:textId="02136E30" w:rsidR="00F42FA3" w:rsidRPr="00D47FBC" w:rsidRDefault="0042798A" w:rsidP="00485F6D">
      <w:pPr>
        <w:pStyle w:val="JuPara"/>
      </w:pPr>
      <w:r>
        <w:t>39</w:t>
      </w:r>
      <w:r w:rsidR="00AA0813" w:rsidRPr="00D47FBC">
        <w:t>.</w:t>
      </w:r>
      <w:r w:rsidR="007C0D3E">
        <w:t xml:space="preserve"> </w:t>
      </w:r>
      <w:r w:rsidR="00AA0813" w:rsidRPr="00D47FBC">
        <w:t>Skarżący wniósł zażalenie na postanowienie prokuratora. Zarzucił, że</w:t>
      </w:r>
      <w:r w:rsidR="003766C2">
        <w:t> </w:t>
      </w:r>
      <w:r w:rsidR="00AA0813" w:rsidRPr="00D47FBC">
        <w:t>dokonana przez prokuratora ocena materiału dowodowego była jednostronna i miała na celu oczyszczenie funkcjonariuszy policji z</w:t>
      </w:r>
      <w:r w:rsidR="00C60FCD" w:rsidRPr="00D47FBC">
        <w:t> </w:t>
      </w:r>
      <w:r w:rsidR="00AA0813" w:rsidRPr="00D47FBC">
        <w:t>zarzutów.</w:t>
      </w:r>
    </w:p>
    <w:p w14:paraId="42B4DDFA" w14:textId="6F910200" w:rsidR="00CB28EC" w:rsidRPr="00D47FBC" w:rsidRDefault="0042798A" w:rsidP="00485F6D">
      <w:pPr>
        <w:pStyle w:val="JuPara"/>
      </w:pPr>
      <w:r>
        <w:t>40</w:t>
      </w:r>
      <w:r w:rsidR="00AA0813" w:rsidRPr="00D47FBC">
        <w:t>.</w:t>
      </w:r>
      <w:r w:rsidR="007C0D3E">
        <w:t xml:space="preserve"> </w:t>
      </w:r>
      <w:r w:rsidR="00AA0813" w:rsidRPr="00D47FBC">
        <w:t xml:space="preserve">Skarżący podniósł, że okoliczność doznania przez niego licznych obrażeń podczas zatrzymania nie budziła żadnych wątpliwości, co zresztą znalazło potwierdzenie w obdukcji. Odniesione przez skarżącego obrażenia </w:t>
      </w:r>
      <w:r w:rsidR="00AA0813" w:rsidRPr="00D47FBC">
        <w:lastRenderedPageBreak/>
        <w:t>nie mogły być wynikiem niczego innego niż złe traktowanie podczas zatrzymania, w szczególności porażenia paralizatorem elektrycznym, uderzeń karabinem i kopnięć. Skarżący podkreślił również, że wszyscy zatrzymani konsekwentnie opisywali brutalne zachowanie funkcjonariuszy policji. Wszyscy zatrzymani potwierdzili, że żaden z nich nie stawiał oporu i że wszyscy podporządkowali się poleceniom policjantów.</w:t>
      </w:r>
    </w:p>
    <w:p w14:paraId="2FB4A26D" w14:textId="002285A9" w:rsidR="00F42FA3" w:rsidRPr="00D47FBC" w:rsidRDefault="0042798A" w:rsidP="00485F6D">
      <w:pPr>
        <w:pStyle w:val="JuPara"/>
      </w:pPr>
      <w:r>
        <w:t>41</w:t>
      </w:r>
      <w:r w:rsidR="00AA0813" w:rsidRPr="00D47FBC">
        <w:t>.</w:t>
      </w:r>
      <w:r w:rsidR="007C0D3E">
        <w:t xml:space="preserve"> </w:t>
      </w:r>
      <w:r w:rsidR="00AA0813" w:rsidRPr="00D47FBC">
        <w:t>W dniu 18 marca 2013 r. Sąd Rejonowy Gdańsk-Północ utrzymał postanowienie prokuratora w mocy. Uznał, że prokurator dokonał prawidłowej oceny zgromadzonego w sprawie materiału dowodowego i</w:t>
      </w:r>
      <w:r w:rsidR="00C60FCD" w:rsidRPr="00D47FBC">
        <w:t> </w:t>
      </w:r>
      <w:r w:rsidR="00AA0813" w:rsidRPr="00D47FBC">
        <w:t>wyciągnął odpowiednie wnioski. Wskazał na brak konieczności uzupełnienia materiału dowodowego. Sąd uznał, że w świetle zgromadzonego materiału dowodowego nie można jednoznacznie stwierdzić, że doszło do popełnienia zarzucanego przestępstwa polegającego na nadużyciu uprawnień.</w:t>
      </w:r>
    </w:p>
    <w:p w14:paraId="3FC80AF0" w14:textId="70DA246A" w:rsidR="00F42FA3" w:rsidRPr="00D47FBC" w:rsidRDefault="0042798A" w:rsidP="00485F6D">
      <w:pPr>
        <w:pStyle w:val="JuPara"/>
      </w:pPr>
      <w:r>
        <w:t>42</w:t>
      </w:r>
      <w:r w:rsidR="005A18E3" w:rsidRPr="00D47FBC">
        <w:t>.</w:t>
      </w:r>
      <w:r w:rsidR="007C0D3E">
        <w:t xml:space="preserve"> </w:t>
      </w:r>
      <w:r w:rsidR="005A18E3" w:rsidRPr="00D47FBC">
        <w:t>Sąd wskazał, że przypadki i sposoby użycia przez policjantów środków przymusu bezpośredniego zostały uregulowane w rozporządzeniu Rady Ministrów z dnia 17 września 1990 r. w sprawie określenia przypadków oraz warunków i sposobów użycia przez policjantów środków przymusu bezpośredniego. Funkcjonariusze policji mogli stosować te środki z zachowaniem zasad określonych w art. 16 ust. 1 i 2 ustawy z dnia 6</w:t>
      </w:r>
      <w:r w:rsidR="00C60FCD" w:rsidRPr="00D47FBC">
        <w:t> </w:t>
      </w:r>
      <w:r w:rsidR="005A18E3" w:rsidRPr="00D47FBC">
        <w:t>kwietnia 1990 r. o Policji.</w:t>
      </w:r>
    </w:p>
    <w:p w14:paraId="78585CC5" w14:textId="3E5AC056" w:rsidR="00F42FA3" w:rsidRPr="00D47FBC" w:rsidRDefault="0042798A" w:rsidP="00485F6D">
      <w:pPr>
        <w:pStyle w:val="JuPara"/>
      </w:pPr>
      <w:r>
        <w:t>43</w:t>
      </w:r>
      <w:r w:rsidR="005D3488" w:rsidRPr="00D47FBC">
        <w:t>.</w:t>
      </w:r>
      <w:r w:rsidR="007C0D3E">
        <w:t xml:space="preserve"> </w:t>
      </w:r>
      <w:r w:rsidR="005D3488" w:rsidRPr="00D47FBC">
        <w:t>Sąd zwrócił uwagę na fakt, że Sąd Rejonowy Gdańsk-Południe oddalił wniesione przez skarżącego zażalenie na postanowienie w</w:t>
      </w:r>
      <w:r w:rsidR="00C60FCD" w:rsidRPr="00D47FBC">
        <w:t> </w:t>
      </w:r>
      <w:r w:rsidR="005D3488" w:rsidRPr="00D47FBC">
        <w:t>przedmiocie zatrzymania. Sąd ten uznał, że czynność zatrzymania przeprowadzono zgodnie z prawem.</w:t>
      </w:r>
    </w:p>
    <w:p w14:paraId="70EBEB9F" w14:textId="7C610A50" w:rsidR="00F42FA3" w:rsidRPr="00D47FBC" w:rsidRDefault="0042798A" w:rsidP="00485F6D">
      <w:pPr>
        <w:pStyle w:val="JuPara"/>
      </w:pPr>
      <w:r>
        <w:t>44</w:t>
      </w:r>
      <w:r w:rsidR="00784244" w:rsidRPr="00D47FBC">
        <w:t>.</w:t>
      </w:r>
      <w:r w:rsidR="007C0D3E">
        <w:t xml:space="preserve"> </w:t>
      </w:r>
      <w:r w:rsidR="00784244" w:rsidRPr="00D47FBC">
        <w:t>Sąd wskazał, że charakter działań podjętych przez funkcjonariuszy podyktowany był zachowaniem zatrzymanych i faktem, że zatrzymanie dotyczyło porwania. Funkcjonariusze działali z zaskoczenia, a sytuacja rozwijała się w błyskawicznym tempie. Celem funkcjonariuszy było szybkie i skuteczne przeprowadzenie czynności zatrzymania. Tym samym sposób przeprowadzenia czynności zatrzymania był niewątpliwie podyktowany koniecznością jego skutecznego dokonania.</w:t>
      </w:r>
    </w:p>
    <w:p w14:paraId="25BB2EEB" w14:textId="0660C472" w:rsidR="00F42FA3" w:rsidRPr="00D47FBC" w:rsidRDefault="0042798A" w:rsidP="00485F6D">
      <w:pPr>
        <w:pStyle w:val="JuPara"/>
      </w:pPr>
      <w:r>
        <w:t>45</w:t>
      </w:r>
      <w:r w:rsidR="005A18E3" w:rsidRPr="00D47FBC">
        <w:t>.</w:t>
      </w:r>
      <w:r w:rsidR="007C0D3E">
        <w:t xml:space="preserve"> </w:t>
      </w:r>
      <w:r w:rsidR="005A18E3" w:rsidRPr="00D47FBC">
        <w:t>Sąd zauważył istnienie dwóch sprzecznych wersji w</w:t>
      </w:r>
      <w:r w:rsidR="00583126">
        <w:t>ydarzeń. W</w:t>
      </w:r>
      <w:r w:rsidR="003766C2">
        <w:t> </w:t>
      </w:r>
      <w:r w:rsidR="00583126">
        <w:t>tym</w:t>
      </w:r>
      <w:r w:rsidR="003766C2">
        <w:t> </w:t>
      </w:r>
      <w:r w:rsidR="00583126">
        <w:t>zakresie uznał</w:t>
      </w:r>
      <w:r w:rsidR="005A18E3" w:rsidRPr="00D47FBC">
        <w:t>, że te sprzeczne wersje nie pozwalają na</w:t>
      </w:r>
      <w:r w:rsidR="003766C2">
        <w:t> </w:t>
      </w:r>
      <w:r w:rsidR="005A18E3" w:rsidRPr="00D47FBC">
        <w:t>jednoznaczne ustalenie istotnych okoliczności faktycznych. Na</w:t>
      </w:r>
      <w:r w:rsidR="003766C2">
        <w:t> </w:t>
      </w:r>
      <w:r w:rsidR="005A18E3" w:rsidRPr="00D47FBC">
        <w:t>takie</w:t>
      </w:r>
      <w:r w:rsidR="003766C2">
        <w:t> </w:t>
      </w:r>
      <w:r w:rsidR="005A18E3" w:rsidRPr="00D47FBC">
        <w:t>ustalenie nie pozwoliły również inne zgromadzone w sprawie dowody, w szczególności w postaci dokumentacji medycznej.</w:t>
      </w:r>
    </w:p>
    <w:p w14:paraId="1903C677" w14:textId="10A639C3" w:rsidR="00F42FA3" w:rsidRPr="00D47FBC" w:rsidRDefault="0042798A" w:rsidP="00485F6D">
      <w:pPr>
        <w:pStyle w:val="JuPara"/>
      </w:pPr>
      <w:r>
        <w:t>46</w:t>
      </w:r>
      <w:r w:rsidR="002F508A" w:rsidRPr="00D47FBC">
        <w:t>.</w:t>
      </w:r>
      <w:r w:rsidR="007C0D3E">
        <w:t xml:space="preserve"> </w:t>
      </w:r>
      <w:r w:rsidR="002F508A" w:rsidRPr="00D47FBC">
        <w:t>W związku z powyższym nie można uznać, że działania funkcjonariuszy policji wypełniały znamiona przestępstwa. Z akt sprawy nie wynika jednoznacznie, że skarżący (i pozostali podejrzani) mogli, jak</w:t>
      </w:r>
      <w:r w:rsidR="003766C2">
        <w:t> </w:t>
      </w:r>
      <w:r w:rsidR="002F508A" w:rsidRPr="00D47FBC">
        <w:t>twierdzili, odnieść obrażenia podczas zatrzymania. Dowody w postaci dokumentacji medycznej nie rozwiały istotnych wątpliwości. Sąd wskazał również, że skarżący i pozostali podejrzani nie zakwestionowali działań funkcjonariuszy policji w protokole zatrzymania ani podczas przesłuchania.</w:t>
      </w:r>
    </w:p>
    <w:p w14:paraId="40E17595" w14:textId="77777777" w:rsidR="00CB28EC" w:rsidRPr="00D47FBC" w:rsidRDefault="00015850" w:rsidP="00485F6D">
      <w:pPr>
        <w:pStyle w:val="JuHIRoman"/>
      </w:pPr>
      <w:r w:rsidRPr="00D47FBC">
        <w:lastRenderedPageBreak/>
        <w:t>WŁAŚCIWE PRAWO KRAJOWE I PRAKTYKA</w:t>
      </w:r>
    </w:p>
    <w:p w14:paraId="2468B15E" w14:textId="77777777" w:rsidR="00F42FA3" w:rsidRPr="00D47FBC" w:rsidRDefault="004C6DBF" w:rsidP="00485F6D">
      <w:pPr>
        <w:pStyle w:val="JuHA"/>
      </w:pPr>
      <w:r w:rsidRPr="00D47FBC">
        <w:t>Użycie siły przez policję</w:t>
      </w:r>
    </w:p>
    <w:p w14:paraId="5F692DA0" w14:textId="77777777" w:rsidR="00F42FA3" w:rsidRPr="00D47FBC" w:rsidRDefault="00B65A23" w:rsidP="00485F6D">
      <w:pPr>
        <w:pStyle w:val="JuH1"/>
      </w:pPr>
      <w:r w:rsidRPr="00D47FBC">
        <w:t>Ustawa o Policji</w:t>
      </w:r>
    </w:p>
    <w:p w14:paraId="61084218" w14:textId="0278032C" w:rsidR="005F0F12" w:rsidRPr="00D47FBC" w:rsidRDefault="0042798A" w:rsidP="00485F6D">
      <w:pPr>
        <w:pStyle w:val="JuPara"/>
      </w:pPr>
      <w:r>
        <w:t>47</w:t>
      </w:r>
      <w:r w:rsidR="00944CF7" w:rsidRPr="00D47FBC">
        <w:t>.</w:t>
      </w:r>
      <w:r w:rsidR="007C0D3E">
        <w:t xml:space="preserve"> </w:t>
      </w:r>
      <w:r w:rsidR="00944CF7" w:rsidRPr="00D47FBC">
        <w:t>Art</w:t>
      </w:r>
      <w:r w:rsidR="00CB40D4" w:rsidRPr="00D47FBC">
        <w:t>.</w:t>
      </w:r>
      <w:r w:rsidR="00944CF7" w:rsidRPr="00D47FBC">
        <w:t xml:space="preserve"> 16 ustawy z dnia 6 kwietnia 1990 r. o Policji, w brzmieniu obowiązującym w okresie mającym znaczenie dla sprawy, w odpowiednim zakresie stanowił:</w:t>
      </w:r>
    </w:p>
    <w:p w14:paraId="14DC6CEF" w14:textId="77777777" w:rsidR="00A35160" w:rsidRPr="00D47FBC" w:rsidRDefault="00C76787" w:rsidP="00485F6D">
      <w:pPr>
        <w:pStyle w:val="JuQuot"/>
      </w:pPr>
      <w:r w:rsidRPr="00D47FBC">
        <w:t>„1. W razie niepodporządkowania się wydanym na podstawie prawa poleceniom organów Policji lub jej funkcjonariuszy, policjanci mogą stosować następujące środki przymusu bezpośredniego:</w:t>
      </w:r>
    </w:p>
    <w:p w14:paraId="674BDAF9" w14:textId="77777777" w:rsidR="00A35160" w:rsidRPr="00D47FBC" w:rsidRDefault="00A35160" w:rsidP="00485F6D">
      <w:pPr>
        <w:pStyle w:val="JuPara"/>
      </w:pPr>
      <w:r w:rsidRPr="00D47FBC">
        <w:t>1)</w:t>
      </w:r>
      <w:r w:rsidRPr="00D47FBC">
        <w:tab/>
        <w:t>fizyczne, techniczne i chemiczne środki służące do obezwładniania bądź konwojowania osób oraz do zatrzymywania pojazdów;</w:t>
      </w:r>
    </w:p>
    <w:p w14:paraId="641C6D9A" w14:textId="5D668D27" w:rsidR="00A35160" w:rsidRPr="00D47FBC" w:rsidRDefault="00A35160" w:rsidP="00485F6D">
      <w:pPr>
        <w:pStyle w:val="JuPara"/>
      </w:pPr>
      <w:r w:rsidRPr="00D47FBC">
        <w:t>2)</w:t>
      </w:r>
      <w:r w:rsidR="007C0D3E">
        <w:t xml:space="preserve"> </w:t>
      </w:r>
      <w:r w:rsidRPr="00D47FBC">
        <w:t>pałki służbowe;</w:t>
      </w:r>
    </w:p>
    <w:p w14:paraId="31A5A368" w14:textId="753DA4C4" w:rsidR="00A35160" w:rsidRPr="00D47FBC" w:rsidRDefault="00A35160" w:rsidP="00485F6D">
      <w:pPr>
        <w:pStyle w:val="JuPara"/>
      </w:pPr>
      <w:r w:rsidRPr="00D47FBC">
        <w:t>3)</w:t>
      </w:r>
      <w:r w:rsidR="007C0D3E">
        <w:t xml:space="preserve"> </w:t>
      </w:r>
      <w:r w:rsidRPr="00D47FBC">
        <w:t>wodne środki obezwładniające;</w:t>
      </w:r>
    </w:p>
    <w:p w14:paraId="3A7AAD4A" w14:textId="2FB88715" w:rsidR="00A35160" w:rsidRPr="00D47FBC" w:rsidRDefault="00A35160" w:rsidP="00485F6D">
      <w:pPr>
        <w:pStyle w:val="JuPara"/>
      </w:pPr>
      <w:r w:rsidRPr="00D47FBC">
        <w:t>4)</w:t>
      </w:r>
      <w:r w:rsidR="007C0D3E">
        <w:t xml:space="preserve"> </w:t>
      </w:r>
      <w:r w:rsidRPr="00D47FBC">
        <w:t>psy i konie służbowe;</w:t>
      </w:r>
    </w:p>
    <w:p w14:paraId="0F56C7ED" w14:textId="3B8F1831" w:rsidR="00A35160" w:rsidRPr="00D47FBC" w:rsidRDefault="00A35160" w:rsidP="00485F6D">
      <w:pPr>
        <w:pStyle w:val="JuPara"/>
      </w:pPr>
      <w:r w:rsidRPr="00D47FBC">
        <w:t>5)</w:t>
      </w:r>
      <w:r w:rsidR="007C0D3E">
        <w:t xml:space="preserve"> </w:t>
      </w:r>
      <w:r w:rsidRPr="00D47FBC">
        <w:t>pociski niepenetracyjne, miotane z broni palnej.</w:t>
      </w:r>
    </w:p>
    <w:p w14:paraId="0F4092FC" w14:textId="473B2A83" w:rsidR="00A35160" w:rsidRPr="00D47FBC" w:rsidRDefault="00A35160" w:rsidP="00485F6D">
      <w:pPr>
        <w:pStyle w:val="JuQuot"/>
      </w:pPr>
      <w:r w:rsidRPr="00D47FBC">
        <w:t>2.</w:t>
      </w:r>
      <w:r w:rsidR="007C0D3E">
        <w:t xml:space="preserve"> </w:t>
      </w:r>
      <w:r w:rsidRPr="00D47FBC">
        <w:t>Policjanci mogą stosować jedynie środki przymusu bezpośredniego odpowiadające potrzebom wynikającym z istniejącej sytuacji i niezbędne do</w:t>
      </w:r>
      <w:r w:rsidR="003766C2">
        <w:t> </w:t>
      </w:r>
      <w:r w:rsidRPr="00D47FBC">
        <w:t>osiągnięcia podporządkowania się wydanym poleceniom”.</w:t>
      </w:r>
    </w:p>
    <w:p w14:paraId="3B5396C1" w14:textId="383D86AC" w:rsidR="00F42FA3" w:rsidRPr="00D47FBC" w:rsidRDefault="00B65A23" w:rsidP="00485F6D">
      <w:pPr>
        <w:pStyle w:val="JuH1"/>
      </w:pPr>
      <w:r w:rsidRPr="00D47FBC">
        <w:t>Rozporządzenie w sprawie określenia przypadków oraz</w:t>
      </w:r>
      <w:r w:rsidR="003766C2">
        <w:t> </w:t>
      </w:r>
      <w:r w:rsidRPr="00D47FBC">
        <w:t>warunków i sposobów użycia przez policjantów środków przymusu bezpośredniego</w:t>
      </w:r>
    </w:p>
    <w:p w14:paraId="10CB2F5A" w14:textId="16AB4F6C" w:rsidR="00F42FA3" w:rsidRPr="00D47FBC" w:rsidRDefault="0042798A" w:rsidP="00485F6D">
      <w:pPr>
        <w:pStyle w:val="JuPara"/>
      </w:pPr>
      <w:r>
        <w:t>48</w:t>
      </w:r>
      <w:r w:rsidR="00A35160" w:rsidRPr="00D47FBC">
        <w:t>.</w:t>
      </w:r>
      <w:r w:rsidR="007C0D3E">
        <w:t xml:space="preserve"> </w:t>
      </w:r>
      <w:r w:rsidR="00A35160" w:rsidRPr="00D47FBC">
        <w:t>Rozporządzenie Rady Ministrów z dnia 17 września 1990 r. w</w:t>
      </w:r>
      <w:r w:rsidR="00C60FCD" w:rsidRPr="00D47FBC">
        <w:t> </w:t>
      </w:r>
      <w:r w:rsidR="00A35160" w:rsidRPr="00D47FBC">
        <w:t>sprawie określenia przypadków oraz warunków i sposobów użycia przez</w:t>
      </w:r>
      <w:r w:rsidR="003766C2">
        <w:t> </w:t>
      </w:r>
      <w:r w:rsidR="00A35160" w:rsidRPr="00D47FBC">
        <w:t>policjantów środków przymusu bezpośredniego zostało wydane na</w:t>
      </w:r>
      <w:r w:rsidR="003766C2">
        <w:t> </w:t>
      </w:r>
      <w:r w:rsidR="00A35160" w:rsidRPr="00D47FBC">
        <w:t>podstawie art. 16 ust. 4 ustawy o Policji. Ten akt prawny obowiązywał w</w:t>
      </w:r>
      <w:r w:rsidR="00C60FCD" w:rsidRPr="00D47FBC">
        <w:t> </w:t>
      </w:r>
      <w:r w:rsidR="00A35160" w:rsidRPr="00D47FBC">
        <w:t>okresie mającym znaczenie dla sprawy.</w:t>
      </w:r>
    </w:p>
    <w:p w14:paraId="5DE43CE0" w14:textId="7708C1A3" w:rsidR="00F42FA3" w:rsidRPr="00D47FBC" w:rsidRDefault="0042798A" w:rsidP="00485F6D">
      <w:pPr>
        <w:pStyle w:val="JuPara"/>
      </w:pPr>
      <w:r>
        <w:t>49</w:t>
      </w:r>
      <w:r w:rsidR="00944CF7" w:rsidRPr="00D47FBC">
        <w:t>.</w:t>
      </w:r>
      <w:r w:rsidR="007C0D3E">
        <w:t xml:space="preserve"> </w:t>
      </w:r>
      <w:r w:rsidR="00944CF7" w:rsidRPr="00D47FBC">
        <w:t>Przepis § 1</w:t>
      </w:r>
      <w:r w:rsidR="00645102" w:rsidRPr="00D47FBC">
        <w:t xml:space="preserve"> ust. </w:t>
      </w:r>
      <w:r w:rsidR="00944CF7" w:rsidRPr="00D47FBC">
        <w:t>1 rozporządzenia przewidywał, że policjant może stosować środki przymusu bezpośredniego z zachowaniem zasad określonych w art. 16 ust. 1 i 2 ustawy o Policji. Środki przymusu bezpośredniego mogły być stosowane po uprzednim bezskutecznym wezwaniu osoby do zachowania się zgodnego z prawem oraz uprzedzeniu o</w:t>
      </w:r>
      <w:r w:rsidR="00C60FCD" w:rsidRPr="00D47FBC">
        <w:t> </w:t>
      </w:r>
      <w:r w:rsidR="00944CF7" w:rsidRPr="00D47FBC">
        <w:t>użyciu środk</w:t>
      </w:r>
      <w:r w:rsidR="00645102" w:rsidRPr="00D47FBC">
        <w:t xml:space="preserve">ów przymusu bezpośredniego (§ 1 ust. </w:t>
      </w:r>
      <w:r w:rsidR="00944CF7" w:rsidRPr="00D47FBC">
        <w:t>2). Policjant mógł odstąpić od wzywania osoby do zachowania się zgodnego z prawem oraz</w:t>
      </w:r>
      <w:r w:rsidR="003766C2">
        <w:t> </w:t>
      </w:r>
      <w:r w:rsidR="00944CF7" w:rsidRPr="00D47FBC">
        <w:t>od</w:t>
      </w:r>
      <w:r w:rsidR="003766C2">
        <w:t> </w:t>
      </w:r>
      <w:r w:rsidR="00944CF7" w:rsidRPr="00D47FBC">
        <w:t>uprzedzenia o użyciu środków przymusu bezpośredniego, jeżeli</w:t>
      </w:r>
      <w:r w:rsidR="003766C2">
        <w:t> </w:t>
      </w:r>
      <w:r w:rsidR="00944CF7" w:rsidRPr="00D47FBC">
        <w:t>zwłoka groziłaby niebezpieczeństwem dla życia lub zdrowia ludzkiego, a także mienia (§ 1</w:t>
      </w:r>
      <w:r w:rsidR="00645102" w:rsidRPr="00D47FBC">
        <w:t xml:space="preserve"> ust. </w:t>
      </w:r>
      <w:r w:rsidR="00944CF7" w:rsidRPr="00D47FBC">
        <w:t>3). Rozporządzenie stanowi, że policjant powinien stosować środki przymusu bezpośredniego w taki sposób, aby</w:t>
      </w:r>
      <w:r w:rsidR="003766C2">
        <w:t> </w:t>
      </w:r>
      <w:r w:rsidR="00944CF7" w:rsidRPr="00D47FBC">
        <w:t xml:space="preserve">powodować możliwie najmniejszą dolegliwość dla osoby, wobec której zastosowano środki przymusu bezpośredniego, oraz powinien odstąpić </w:t>
      </w:r>
      <w:r w:rsidR="00944CF7" w:rsidRPr="00D47FBC">
        <w:lastRenderedPageBreak/>
        <w:t>od</w:t>
      </w:r>
      <w:r w:rsidR="003766C2">
        <w:t> </w:t>
      </w:r>
      <w:r w:rsidR="00944CF7" w:rsidRPr="00D47FBC">
        <w:t>ich stosowania, gdy osoba, wobec której użyto tych środków, podporządkowała się wydanym poleceniom (§ 2</w:t>
      </w:r>
      <w:r w:rsidR="00645102" w:rsidRPr="00D47FBC">
        <w:t xml:space="preserve"> ust.</w:t>
      </w:r>
      <w:r w:rsidR="00944CF7" w:rsidRPr="00D47FBC">
        <w:t>1</w:t>
      </w:r>
      <w:r w:rsidR="00645102" w:rsidRPr="00D47FBC">
        <w:t xml:space="preserve"> pkt </w:t>
      </w:r>
      <w:r w:rsidR="00944CF7" w:rsidRPr="00D47FBC">
        <w:t>2).</w:t>
      </w:r>
    </w:p>
    <w:p w14:paraId="18004B86" w14:textId="42F35956" w:rsidR="005A034E" w:rsidRPr="00D47FBC" w:rsidRDefault="0042798A" w:rsidP="00485F6D">
      <w:pPr>
        <w:pStyle w:val="JuPara"/>
      </w:pPr>
      <w:r>
        <w:t>50</w:t>
      </w:r>
      <w:r w:rsidR="00944CF7" w:rsidRPr="00D47FBC">
        <w:t>.</w:t>
      </w:r>
      <w:r w:rsidR="007C0D3E">
        <w:t xml:space="preserve"> </w:t>
      </w:r>
      <w:r w:rsidR="00944CF7" w:rsidRPr="00D47FBC">
        <w:t xml:space="preserve">Przepis § 5 rozporządzenia stanowi, że siłę fizyczną </w:t>
      </w:r>
      <w:r w:rsidR="00F0506C">
        <w:t xml:space="preserve">można stosować </w:t>
      </w:r>
      <w:r w:rsidR="00944CF7" w:rsidRPr="00D47FBC">
        <w:t>w</w:t>
      </w:r>
      <w:r w:rsidR="00C60FCD" w:rsidRPr="00D47FBC">
        <w:t> </w:t>
      </w:r>
      <w:r w:rsidR="00944CF7" w:rsidRPr="00D47FBC">
        <w:t>celu obezwładnienia osoby, odparcia czynnej napaści albo zmuszenia do</w:t>
      </w:r>
      <w:r w:rsidR="003766C2">
        <w:t> </w:t>
      </w:r>
      <w:r w:rsidR="00944CF7" w:rsidRPr="00D47FBC">
        <w:t>wykonania polecenia. Używając siły fizycznej, nie wolno zadawać uderzeń, chyba że policjant działa w obronie koniecznej albo w celu odparcia zamachu na życie, zdrowie ludzkie lub mienie.</w:t>
      </w:r>
    </w:p>
    <w:p w14:paraId="5E5E079A" w14:textId="6357E2AA" w:rsidR="00F42FA3" w:rsidRPr="00D47FBC" w:rsidRDefault="0042798A" w:rsidP="00485F6D">
      <w:pPr>
        <w:pStyle w:val="JuPara"/>
      </w:pPr>
      <w:r>
        <w:t>51</w:t>
      </w:r>
      <w:r w:rsidR="00935A28" w:rsidRPr="00D47FBC">
        <w:t>.</w:t>
      </w:r>
      <w:r w:rsidR="007C0D3E">
        <w:t xml:space="preserve"> </w:t>
      </w:r>
      <w:r w:rsidR="00935A28" w:rsidRPr="00D47FBC">
        <w:t>Przepis § 8 rozporządzenia reguluje stosowanie paralizatorów elektrycznych. Tego rodzaju środek stosuje się wobec osób, które swoim zachowaniem stwarzają niebezpieczeństwo dla życia lub zd</w:t>
      </w:r>
      <w:r w:rsidR="00645102" w:rsidRPr="00D47FBC">
        <w:t>rowia ludzkiego, a także mienia</w:t>
      </w:r>
      <w:r w:rsidR="00935A28" w:rsidRPr="00D47FBC">
        <w:t xml:space="preserve"> oraz jeżeli zastosowanie innych środków przymusu bezpośredniego jest niemożliwe albo okazało się bezskuteczne. Paralizator elektryczny można stosować w szczególności w następujących sytuacjach: w celu obezwładnienia osoby niepodporządkowującej się wezwaniu do</w:t>
      </w:r>
      <w:r w:rsidR="003766C2">
        <w:t> </w:t>
      </w:r>
      <w:r w:rsidR="00935A28" w:rsidRPr="00D47FBC">
        <w:t>natychmiastowego porzucenia niebezpiecznego narzędzia; odparcia czynnej napaści lub pokonania czynnego oporu; zatrzymania osoby podejrzanej o</w:t>
      </w:r>
      <w:r w:rsidR="00C60FCD" w:rsidRPr="00D47FBC">
        <w:t> </w:t>
      </w:r>
      <w:r w:rsidR="00935A28" w:rsidRPr="00D47FBC">
        <w:t>popełnienie przestępstwa albo udaremnienia ucieczki osoby zatrzymanej (§</w:t>
      </w:r>
      <w:r w:rsidR="00C60FCD" w:rsidRPr="00D47FBC">
        <w:t> </w:t>
      </w:r>
      <w:r w:rsidR="00645102" w:rsidRPr="00D47FBC">
        <w:t xml:space="preserve">8 ust. </w:t>
      </w:r>
      <w:r w:rsidR="00935A28" w:rsidRPr="00D47FBC">
        <w:t>3). Przy stosowaniu paralizatora elektrycznego należy zachować ostrożność, uwzględniając jego właściwości mogące stanowić zagrożenie dla życia i zdrowia ludzkiego.</w:t>
      </w:r>
    </w:p>
    <w:p w14:paraId="58569A6D" w14:textId="77777777" w:rsidR="00F42FA3" w:rsidRPr="00D47FBC" w:rsidRDefault="0064432F" w:rsidP="00485F6D">
      <w:pPr>
        <w:pStyle w:val="JuHA"/>
      </w:pPr>
      <w:r w:rsidRPr="00D47FBC">
        <w:t>Rzecznik Praw Obywatelskich</w:t>
      </w:r>
    </w:p>
    <w:p w14:paraId="0D6F2EA1" w14:textId="2C4729B3" w:rsidR="00F42FA3" w:rsidRPr="00D47FBC" w:rsidRDefault="0042798A" w:rsidP="00485F6D">
      <w:pPr>
        <w:pStyle w:val="JuPara"/>
      </w:pPr>
      <w:r>
        <w:t>52</w:t>
      </w:r>
      <w:r w:rsidR="0064432F" w:rsidRPr="00D47FBC">
        <w:t>.</w:t>
      </w:r>
      <w:r w:rsidR="007C0D3E">
        <w:t xml:space="preserve"> </w:t>
      </w:r>
      <w:r w:rsidR="0064432F" w:rsidRPr="00D47FBC">
        <w:t>W piśmie skierowanym do Komendanta Głównego Policji z dnia 28</w:t>
      </w:r>
      <w:r w:rsidR="00C60FCD" w:rsidRPr="00D47FBC">
        <w:t> </w:t>
      </w:r>
      <w:r w:rsidR="0064432F" w:rsidRPr="00D47FBC">
        <w:t>czerwca 2017 r. Rzecznik Praw Obywatelskich wyraził swoje zaniepokojenie stosowaniem paralizatorów elektrycznych przez Policję. Zalecił zobowiązanie policjantów do przedstawiania szczegółowej notatki po każdorazowym użyciu tej broni. Kwestię stosowani</w:t>
      </w:r>
      <w:r w:rsidR="00645102" w:rsidRPr="00D47FBC">
        <w:t>a</w:t>
      </w:r>
      <w:r w:rsidR="0064432F" w:rsidRPr="00D47FBC">
        <w:t xml:space="preserve"> paralizatorów elektrycznych przez policję Rzecznik poruszył również w swoim sprawozdaniu rocznym za 2017 r.</w:t>
      </w:r>
    </w:p>
    <w:p w14:paraId="7D5C8098" w14:textId="77777777" w:rsidR="00F42FA3" w:rsidRPr="00D47FBC" w:rsidRDefault="0064432F" w:rsidP="00485F6D">
      <w:pPr>
        <w:pStyle w:val="JuHIRoman"/>
      </w:pPr>
      <w:r w:rsidRPr="00D47FBC">
        <w:t>MATERIAŁY RADY EUROPY</w:t>
      </w:r>
    </w:p>
    <w:p w14:paraId="60BE4A91" w14:textId="3C55B096" w:rsidR="00A914A5" w:rsidRPr="00D47FBC" w:rsidRDefault="0042798A" w:rsidP="00485F6D">
      <w:pPr>
        <w:pStyle w:val="JuPara"/>
        <w:rPr>
          <w:vertAlign w:val="superscript"/>
        </w:rPr>
      </w:pPr>
      <w:r>
        <w:t>53</w:t>
      </w:r>
      <w:r w:rsidR="00A914A5" w:rsidRPr="00D47FBC">
        <w:t>.</w:t>
      </w:r>
      <w:r w:rsidR="007C0D3E">
        <w:t xml:space="preserve"> </w:t>
      </w:r>
      <w:r w:rsidR="00A914A5" w:rsidRPr="00D47FBC">
        <w:t xml:space="preserve">W 20. sprawozdaniu ogólnym z działalności </w:t>
      </w:r>
      <w:r w:rsidR="00645102" w:rsidRPr="00D47FBC">
        <w:t>K</w:t>
      </w:r>
      <w:r w:rsidR="00A914A5" w:rsidRPr="00D47FBC">
        <w:t>omitetu ds.</w:t>
      </w:r>
      <w:r w:rsidR="00C60FCD" w:rsidRPr="00D47FBC">
        <w:t> </w:t>
      </w:r>
      <w:r w:rsidR="00A914A5" w:rsidRPr="00D47FBC">
        <w:t>zapobiegania torturom (CPT) z dnia 26 października 2010 r. stwierdzono m.in.:</w:t>
      </w:r>
    </w:p>
    <w:p w14:paraId="7F3F868C" w14:textId="2B1C43CB" w:rsidR="00A914A5" w:rsidRPr="00D47FBC" w:rsidRDefault="00A914A5" w:rsidP="00485F6D">
      <w:pPr>
        <w:pStyle w:val="JuQuot"/>
      </w:pPr>
      <w:r w:rsidRPr="00D47FBC">
        <w:t>„72.</w:t>
      </w:r>
      <w:r w:rsidR="007C0D3E">
        <w:t xml:space="preserve"> </w:t>
      </w:r>
      <w:r w:rsidRPr="00D47FBC">
        <w:t>Paralizatory elektryczne są coraz częściej stosowane przy przeprowadzaniu czynności zatrzymania, a przykłady ich niewłaściwego użycia w tym zakresie (np.</w:t>
      </w:r>
      <w:r w:rsidR="00C60FCD" w:rsidRPr="00D47FBC">
        <w:t> </w:t>
      </w:r>
      <w:r w:rsidRPr="00D47FBC">
        <w:t>wielokrotne porażanie osób leżących na ziemi) zostały szeroko nagłośnione. Bez</w:t>
      </w:r>
      <w:r w:rsidR="003766C2">
        <w:t> </w:t>
      </w:r>
      <w:r w:rsidRPr="00D47FBC">
        <w:t>wątpienia należy ściśle obwarować stosowanie paralizatora elektrycznego w</w:t>
      </w:r>
      <w:r w:rsidR="003766C2">
        <w:t> </w:t>
      </w:r>
      <w:r w:rsidRPr="00D47FBC">
        <w:t xml:space="preserve">takich sytuacjach. </w:t>
      </w:r>
      <w:r w:rsidR="00347A25">
        <w:t>W</w:t>
      </w:r>
      <w:r w:rsidRPr="00D47FBC">
        <w:t>ytyczne</w:t>
      </w:r>
      <w:r w:rsidR="00FD77DC">
        <w:t xml:space="preserve">, </w:t>
      </w:r>
      <w:r w:rsidR="00347A25">
        <w:t>stwierdzone przez CPT w niektórych krajach</w:t>
      </w:r>
      <w:r w:rsidRPr="00D47FBC">
        <w:t xml:space="preserve">, </w:t>
      </w:r>
      <w:r w:rsidR="00FD77DC">
        <w:t>przewidujące możliwość stosowania tej broni</w:t>
      </w:r>
      <w:r w:rsidRPr="00D47FBC">
        <w:t>, gdy funkcjonariusze organów ścigania odpierają napaść lub groźbę przemocy tego stopnia, że musieliby użyć siły, aby chronić siebie lub innych, są tak szerokie, że sprzyjają niewspółmiernej reakcji. Gdyby</w:t>
      </w:r>
      <w:r w:rsidR="003766C2">
        <w:t> </w:t>
      </w:r>
      <w:r w:rsidRPr="00D47FBC">
        <w:t xml:space="preserve">paralizator elektryczny stopniowo stał się bronią pierwszego wyboru w obliczu </w:t>
      </w:r>
      <w:r w:rsidRPr="00D47FBC">
        <w:lastRenderedPageBreak/>
        <w:t>karygodnej postawy podczas zatrzymania, mogłoby to mieć znaczny negatywny wpływ na sposób postrzegania funkcjonariuszy organów ścigania przez obywateli.</w:t>
      </w:r>
    </w:p>
    <w:p w14:paraId="43199BF3" w14:textId="77777777" w:rsidR="00A914A5" w:rsidRPr="00D47FBC" w:rsidRDefault="00A914A5" w:rsidP="00485F6D">
      <w:pPr>
        <w:pStyle w:val="JuQuot"/>
      </w:pPr>
      <w:r w:rsidRPr="00D47FBC">
        <w:t>[...]</w:t>
      </w:r>
    </w:p>
    <w:p w14:paraId="4880931E" w14:textId="31B494AE" w:rsidR="00F42FA3" w:rsidRPr="00D47FBC" w:rsidRDefault="0099495F" w:rsidP="00485F6D">
      <w:pPr>
        <w:pStyle w:val="JuQuot"/>
        <w:rPr>
          <w:bCs/>
        </w:rPr>
      </w:pPr>
      <w:r w:rsidRPr="00D47FBC">
        <w:t>77.</w:t>
      </w:r>
      <w:r w:rsidR="007C0D3E">
        <w:t xml:space="preserve"> </w:t>
      </w:r>
      <w:r w:rsidRPr="00D47FBC">
        <w:t>Paralizatory elektryczne powinny być wyposażone w urządzenia (m.in. chip pamięci)</w:t>
      </w:r>
      <w:r w:rsidR="00645102" w:rsidRPr="00D47FBC">
        <w:t xml:space="preserve"> </w:t>
      </w:r>
      <w:r w:rsidRPr="00D47FBC">
        <w:t>przeznaczone do rejestrowania różnego rodzaju informacji i</w:t>
      </w:r>
      <w:r w:rsidR="00C60FCD" w:rsidRPr="00D47FBC">
        <w:t> </w:t>
      </w:r>
      <w:r w:rsidRPr="00D47FBC">
        <w:t>przeprowadzania kontroli użycia broni (takich jak dokładny czas użycia; liczba, czas</w:t>
      </w:r>
      <w:r w:rsidR="003766C2">
        <w:t> </w:t>
      </w:r>
      <w:r w:rsidRPr="00D47FBC">
        <w:t xml:space="preserve">trwania i intensywność porażenia elektrycznego, </w:t>
      </w:r>
      <w:r w:rsidR="00A469A5" w:rsidRPr="00D47FBC">
        <w:t>itp.</w:t>
      </w:r>
      <w:r w:rsidRPr="00D47FBC">
        <w:t>). Informacje przechowywane na tych chipach powinny być systematycznie odczytywane przez</w:t>
      </w:r>
      <w:r w:rsidR="003766C2">
        <w:t> </w:t>
      </w:r>
      <w:r w:rsidRPr="00D47FBC">
        <w:t>właściwe organy w odpowiednich odstępach czasu (co najmniej raz na trzy miesiące). Ponadto broń powinna być wyposażona we wbudowany celownik laserowy i</w:t>
      </w:r>
      <w:r w:rsidR="00C60FCD" w:rsidRPr="00D47FBC">
        <w:t> </w:t>
      </w:r>
      <w:r w:rsidRPr="00D47FBC">
        <w:t>urządzenia rejestrujące obraz, umożliwiające bezpieczne celowanie i rejestrowanie okoliczności towarzyszących użyciu broni.</w:t>
      </w:r>
    </w:p>
    <w:p w14:paraId="0798B793" w14:textId="77777777" w:rsidR="0099495F" w:rsidRPr="00D47FBC" w:rsidRDefault="00F42FA3" w:rsidP="00485F6D">
      <w:pPr>
        <w:pStyle w:val="JuQuot"/>
      </w:pPr>
      <w:r w:rsidRPr="00D47FBC">
        <w:t>[...]</w:t>
      </w:r>
    </w:p>
    <w:p w14:paraId="08C7356F" w14:textId="0EB42E3C" w:rsidR="00A914A5" w:rsidRPr="00D47FBC" w:rsidRDefault="00A914A5" w:rsidP="00485F6D">
      <w:pPr>
        <w:pStyle w:val="JuQuot"/>
      </w:pPr>
      <w:r w:rsidRPr="00D47FBC">
        <w:t>78.</w:t>
      </w:r>
      <w:r w:rsidR="007C0D3E">
        <w:t xml:space="preserve"> </w:t>
      </w:r>
      <w:r w:rsidRPr="00D47FBC">
        <w:t>Paralizatory elektryczne wydawane funkcjonariuszom organów ścigania zazwyczaj mają różne tryby stosowania, w szczególności tryb „strzelający” i tryb „zbliżeniowy” (paraliżujący). W trybie „strzelającym” paralizator wystrzeliwuje pociski, które wczepiają się w ciało osoby w niewielkich odstępach, po</w:t>
      </w:r>
      <w:r w:rsidR="003766C2">
        <w:t> </w:t>
      </w:r>
      <w:r w:rsidRPr="00D47FBC">
        <w:t>czym</w:t>
      </w:r>
      <w:r w:rsidR="003766C2">
        <w:t> </w:t>
      </w:r>
      <w:r w:rsidRPr="00D47FBC">
        <w:t>następuje porażenie prądem. W zdecydowanej większości przypadków porażenie to powoduje ogólny skurcz mięśni skutkujący przejściowym paraliżem, wskutek czego porażona osoba upada na ziemię. Natomiast w przypadku trybu „zbliżeniowego” elektrody znajdujące się na końcu paralizatora wytwarzają łuk</w:t>
      </w:r>
      <w:r w:rsidR="003766C2">
        <w:t> </w:t>
      </w:r>
      <w:r w:rsidRPr="00D47FBC">
        <w:t>elektryczny, a przy zetknięciu się z osobą elektrody powodują bardzo intensywny, zlokalizowany ból, z</w:t>
      </w:r>
      <w:r w:rsidR="00C60FCD" w:rsidRPr="00D47FBC">
        <w:t> </w:t>
      </w:r>
      <w:r w:rsidRPr="00D47FBC">
        <w:t>możliwością poparzenia skóry. CPT ma poważne zastrzeżenia co</w:t>
      </w:r>
      <w:r w:rsidR="003766C2">
        <w:t> </w:t>
      </w:r>
      <w:r w:rsidRPr="00D47FBC">
        <w:t>do tego ostatniego sposobu używania broni. Wyszkoleni funkcjonariusze organów ścigania będą wszakże dysponować szeregiem innych technik kontroli w sytuacji, gdy</w:t>
      </w:r>
      <w:r w:rsidR="003766C2">
        <w:t> </w:t>
      </w:r>
      <w:r w:rsidRPr="00D47FBC">
        <w:t xml:space="preserve">znajdą się w zasięgu </w:t>
      </w:r>
      <w:r w:rsidR="00645102" w:rsidRPr="00D47FBC">
        <w:t>dotyku</w:t>
      </w:r>
      <w:r w:rsidRPr="00D47FBC">
        <w:t xml:space="preserve"> osoby, którą należy poddać kontroli.</w:t>
      </w:r>
    </w:p>
    <w:p w14:paraId="5D598B2F" w14:textId="77777777" w:rsidR="0099495F" w:rsidRPr="00D47FBC" w:rsidRDefault="00F42FA3" w:rsidP="00485F6D">
      <w:pPr>
        <w:pStyle w:val="JuQuot"/>
      </w:pPr>
      <w:r w:rsidRPr="00D47FBC">
        <w:t>[...]</w:t>
      </w:r>
    </w:p>
    <w:p w14:paraId="4F3D7C30" w14:textId="76618E45" w:rsidR="0099495F" w:rsidRPr="00D47FBC" w:rsidRDefault="00825E73" w:rsidP="00485F6D">
      <w:pPr>
        <w:pStyle w:val="JuQuot"/>
      </w:pPr>
      <w:bookmarkStart w:id="2" w:name="_Toc397417875"/>
      <w:bookmarkStart w:id="3" w:name="_Toc398906562"/>
      <w:bookmarkStart w:id="4" w:name="_Toc398906606"/>
      <w:bookmarkStart w:id="5" w:name="_Toc412038413"/>
      <w:r w:rsidRPr="00825E73">
        <w:t>P</w:t>
      </w:r>
      <w:r w:rsidR="00347A25">
        <w:t>ostępowanie</w:t>
      </w:r>
      <w:r w:rsidRPr="00825E73">
        <w:t xml:space="preserve"> </w:t>
      </w:r>
      <w:r w:rsidR="00347A25">
        <w:t>następcze</w:t>
      </w:r>
      <w:bookmarkEnd w:id="2"/>
      <w:bookmarkEnd w:id="3"/>
      <w:bookmarkEnd w:id="4"/>
      <w:bookmarkEnd w:id="5"/>
    </w:p>
    <w:p w14:paraId="04D22FC8" w14:textId="179BF0DE" w:rsidR="0099495F" w:rsidRPr="00D47FBC" w:rsidRDefault="0099495F" w:rsidP="00485F6D">
      <w:pPr>
        <w:pStyle w:val="JuQuot"/>
        <w:rPr>
          <w:bCs/>
        </w:rPr>
      </w:pPr>
      <w:r w:rsidRPr="00D47FBC">
        <w:t>82.</w:t>
      </w:r>
      <w:r w:rsidR="007C0D3E">
        <w:t xml:space="preserve"> </w:t>
      </w:r>
      <w:r w:rsidRPr="00D47FBC">
        <w:t xml:space="preserve">Po każdym użyciu paralizatora elektrycznego funkcjonariusz organów ścigania, który użył broni, powinien być skierowany na tzw. </w:t>
      </w:r>
      <w:r w:rsidR="00825E73">
        <w:t>odprawę</w:t>
      </w:r>
      <w:r w:rsidRPr="00D47FBC">
        <w:rPr>
          <w:i/>
        </w:rPr>
        <w:t>.</w:t>
      </w:r>
      <w:r w:rsidRPr="00D47FBC">
        <w:t xml:space="preserve"> Ponadto incydent powinien być przedmiotem szczegółowego raportu sporządzonego dla organu wyższego szczebla. W raporcie należy wskazać dokładne okoliczności uzasadniające użycie broni, sposób użycia broni, a także zawrzeć wszelkie inne istotne informacje (obecność świadków, możliwość użycia innej broni, pomoc medyczna udzielona porażonej osobie itp.). W raporcie należy uwzględnić informacje techniczne zapisane na chipie pamięci oraz nagrania obrazujące użycie paralizatora elektrycznego.</w:t>
      </w:r>
    </w:p>
    <w:p w14:paraId="0E7FC62E" w14:textId="54743B9B" w:rsidR="0099495F" w:rsidRPr="00D47FBC" w:rsidRDefault="0099495F" w:rsidP="00485F6D">
      <w:pPr>
        <w:pStyle w:val="JuQuot"/>
        <w:rPr>
          <w:bCs/>
        </w:rPr>
      </w:pPr>
      <w:r w:rsidRPr="00D47FBC">
        <w:t>83.</w:t>
      </w:r>
      <w:r w:rsidR="007C0D3E">
        <w:t xml:space="preserve"> </w:t>
      </w:r>
      <w:r w:rsidRPr="00D47FBC">
        <w:t>Tej procedurze wewnętrznej powinien towarzyszyć zewnętrzny element monitorowania. Może on polegać na systematycznym informowaniu, w regularnych odstępach czasu, niezależn</w:t>
      </w:r>
      <w:r w:rsidR="00825E73">
        <w:t>ego</w:t>
      </w:r>
      <w:r w:rsidRPr="00D47FBC">
        <w:t xml:space="preserve"> organ</w:t>
      </w:r>
      <w:r w:rsidR="00825E73">
        <w:t>u odpowiedzialnego</w:t>
      </w:r>
      <w:r w:rsidRPr="00D47FBC">
        <w:t xml:space="preserve"> za nadzór nad organami ścigania o</w:t>
      </w:r>
      <w:r w:rsidR="00C60FCD" w:rsidRPr="00D47FBC">
        <w:t> </w:t>
      </w:r>
      <w:r w:rsidRPr="00D47FBC">
        <w:t>każdym przypadku użycia paralizatora elektrycznego.</w:t>
      </w:r>
    </w:p>
    <w:p w14:paraId="56E280DE" w14:textId="62B8CE0C" w:rsidR="0099495F" w:rsidRPr="00D47FBC" w:rsidRDefault="0099495F" w:rsidP="00485F6D">
      <w:pPr>
        <w:pStyle w:val="JuQuot"/>
        <w:rPr>
          <w:bCs/>
        </w:rPr>
      </w:pPr>
      <w:r w:rsidRPr="00D47FBC">
        <w:t>84.</w:t>
      </w:r>
      <w:r w:rsidR="007C0D3E">
        <w:t xml:space="preserve"> </w:t>
      </w:r>
      <w:r w:rsidRPr="00D47FBC">
        <w:t>Ilekroć okaże się, że użycie paralizatora elektrycznego mogło być niezgodne z</w:t>
      </w:r>
      <w:r w:rsidR="00C60FCD" w:rsidRPr="00D47FBC">
        <w:t> </w:t>
      </w:r>
      <w:r w:rsidRPr="00D47FBC">
        <w:t>odpowiednimi przepisami ustawowymi lub wykonawczymi, należy wszcząć odpowiednie postępowanie (dyscyplinarne lub karne)”</w:t>
      </w:r>
      <w:r w:rsidR="0077458E" w:rsidRPr="00D47FBC">
        <w:t>.</w:t>
      </w:r>
    </w:p>
    <w:p w14:paraId="4A769A4B" w14:textId="760B3991" w:rsidR="00F42FA3" w:rsidRPr="00D47FBC" w:rsidRDefault="0042798A" w:rsidP="00485F6D">
      <w:pPr>
        <w:pStyle w:val="JuPara"/>
      </w:pPr>
      <w:r>
        <w:t>54</w:t>
      </w:r>
      <w:r w:rsidR="00944CF7" w:rsidRPr="00D47FBC">
        <w:t>.</w:t>
      </w:r>
      <w:r w:rsidR="007C0D3E">
        <w:t xml:space="preserve"> </w:t>
      </w:r>
      <w:r w:rsidR="00944CF7" w:rsidRPr="00D47FBC">
        <w:t>W raporcie CPT z wizyty w Polsce przeprowadzonej w dniach 11–22 maja 2017 r. stwierdzono m.in.:</w:t>
      </w:r>
    </w:p>
    <w:p w14:paraId="4309FA53" w14:textId="27AC78F2" w:rsidR="00F42FA3" w:rsidRPr="00D47FBC" w:rsidRDefault="005C1B61" w:rsidP="00485F6D">
      <w:pPr>
        <w:pStyle w:val="JuQuot"/>
      </w:pPr>
      <w:r w:rsidRPr="00D47FBC">
        <w:t xml:space="preserve">„22. [...] Komitet zaleca również zwrócenie szczególnej uwagi na przypominanie wszystkim policjantom o zasadach dotyczących właściwego postępowania w zakresie </w:t>
      </w:r>
      <w:r w:rsidRPr="00D47FBC">
        <w:lastRenderedPageBreak/>
        <w:t>używania paralizatorów elektrycznych (</w:t>
      </w:r>
      <w:proofErr w:type="spellStart"/>
      <w:r w:rsidRPr="00D47FBC">
        <w:t>taserów</w:t>
      </w:r>
      <w:proofErr w:type="spellEnd"/>
      <w:r w:rsidRPr="00D47FBC">
        <w:t xml:space="preserve">) oraz </w:t>
      </w:r>
      <w:r w:rsidR="00097964">
        <w:t xml:space="preserve"> egzekwowanie</w:t>
      </w:r>
      <w:r w:rsidRPr="00D47FBC">
        <w:t xml:space="preserve"> tych zasad. W</w:t>
      </w:r>
      <w:r w:rsidR="00C60FCD" w:rsidRPr="00D47FBC">
        <w:t> </w:t>
      </w:r>
      <w:r w:rsidRPr="00D47FBC">
        <w:t>tym względzie należy uzmysłowić wszystkim funkcjonariuszom policji, że</w:t>
      </w:r>
      <w:r w:rsidR="00C60FCD" w:rsidRPr="00D47FBC">
        <w:t> </w:t>
      </w:r>
      <w:r w:rsidRPr="00D47FBC">
        <w:t>paralizatory elektryczne mogą być używane wyłącznie wtedy, gdy występuje rzeczywiste i bezpośrednie zagrożenie życia lub ryzyko poważnych obrażeń. Niedopuszczalne jest użycie takiej broni wyłącznie w celu zmuszenia osoby do</w:t>
      </w:r>
      <w:r w:rsidR="003766C2">
        <w:t> </w:t>
      </w:r>
      <w:r w:rsidRPr="00D47FBC">
        <w:t>podporządkowania się wydanemu poleceniu.</w:t>
      </w:r>
    </w:p>
    <w:p w14:paraId="70D51C23" w14:textId="429601E0" w:rsidR="005C1B61" w:rsidRPr="00D47FBC" w:rsidRDefault="005C1B61" w:rsidP="00485F6D">
      <w:pPr>
        <w:pStyle w:val="JuQuot"/>
      </w:pPr>
      <w:r w:rsidRPr="00D47FBC">
        <w:t>Zdaniem CPT używanie paralizatorów elektrycznych powinno być regulowane zasadami konieczności, pomocniczości, proporcjonalności, wcześniejszego ostrzegania (o ile to możliwe) oraz ostrożności. Co więcej, użycie takiej broni powinno być dopuszczalne wyłącznie wtedy, gdy łagodniejsze środki przymusu (negocjacje i perswazja, ręczne techniki kontroli itp.) okazały się bezskuteczne lub</w:t>
      </w:r>
      <w:r w:rsidR="003766C2">
        <w:t> </w:t>
      </w:r>
      <w:r w:rsidRPr="00D47FBC">
        <w:t>ich</w:t>
      </w:r>
      <w:r w:rsidR="003766C2">
        <w:t> </w:t>
      </w:r>
      <w:r w:rsidRPr="00D47FBC">
        <w:t>zastosowanie jest niemożliwe oraz jeżeli jest jedyną możliwą alternatywą dla</w:t>
      </w:r>
      <w:r w:rsidR="003766C2">
        <w:t> </w:t>
      </w:r>
      <w:r w:rsidRPr="00D47FBC">
        <w:t>zastosowania metody stwarzającej większe ryzyko obrażeń czy śmierci (np. broni palnej)”</w:t>
      </w:r>
      <w:r w:rsidR="0077458E" w:rsidRPr="00D47FBC">
        <w:t>.</w:t>
      </w:r>
    </w:p>
    <w:p w14:paraId="3AA570B0" w14:textId="77777777" w:rsidR="00D420F3" w:rsidRPr="00E4301C" w:rsidRDefault="004D69B4" w:rsidP="00485F6D">
      <w:pPr>
        <w:pStyle w:val="JuHHead"/>
      </w:pPr>
      <w:r w:rsidRPr="00E4301C">
        <w:t>PRAWO</w:t>
      </w:r>
    </w:p>
    <w:p w14:paraId="77E0E115" w14:textId="1EA8ACC4" w:rsidR="00D420F3" w:rsidRPr="00D47FBC" w:rsidRDefault="0042798A" w:rsidP="00485F6D">
      <w:pPr>
        <w:pStyle w:val="JuHIRoman"/>
      </w:pPr>
      <w:r>
        <w:t>ZARZUC</w:t>
      </w:r>
      <w:r w:rsidR="0077175D" w:rsidRPr="00D47FBC">
        <w:t>ANE NARUSZENIE ART. 3 KONWENCJI</w:t>
      </w:r>
    </w:p>
    <w:p w14:paraId="0927D7F8" w14:textId="1E6C63FD" w:rsidR="00D420F3" w:rsidRPr="00D47FBC" w:rsidRDefault="0042798A" w:rsidP="00485F6D">
      <w:pPr>
        <w:pStyle w:val="JuPara"/>
      </w:pPr>
      <w:r>
        <w:t>55</w:t>
      </w:r>
      <w:r w:rsidR="00D92F97" w:rsidRPr="00D47FBC">
        <w:t>.</w:t>
      </w:r>
      <w:r w:rsidR="007C0D3E">
        <w:t xml:space="preserve"> </w:t>
      </w:r>
      <w:r w:rsidR="00D92F97" w:rsidRPr="00D47FBC">
        <w:t xml:space="preserve">Skarżący skarżył się na złe traktowanie podczas zatrzymania i brak przeprowadzenia skutecznego </w:t>
      </w:r>
      <w:r w:rsidR="00E4301C">
        <w:t>śledztwa</w:t>
      </w:r>
      <w:r w:rsidR="00D92F97" w:rsidRPr="00D47FBC">
        <w:t xml:space="preserve"> w tym zakresie. Skarżący powołał się na art. 3 Konwencji, który stanowi:</w:t>
      </w:r>
    </w:p>
    <w:p w14:paraId="589509F4" w14:textId="77777777" w:rsidR="006045D9" w:rsidRPr="00D47FBC" w:rsidRDefault="006045D9" w:rsidP="00485F6D">
      <w:pPr>
        <w:pStyle w:val="JuQuot"/>
      </w:pPr>
      <w:r w:rsidRPr="00D47FBC">
        <w:t>„Nikt nie może być poddany torturom ani nieludzkiemu lub poniżającemu traktowaniu albo karaniu”.</w:t>
      </w:r>
    </w:p>
    <w:p w14:paraId="68ABACB5" w14:textId="77777777" w:rsidR="00D420F3" w:rsidRPr="00D47FBC" w:rsidRDefault="0077175D" w:rsidP="00485F6D">
      <w:pPr>
        <w:pStyle w:val="JuHA"/>
      </w:pPr>
      <w:r w:rsidRPr="00D47FBC">
        <w:t>Dopuszczalność</w:t>
      </w:r>
    </w:p>
    <w:p w14:paraId="1D0D7825" w14:textId="4584858F" w:rsidR="00D420F3" w:rsidRPr="00D47FBC" w:rsidRDefault="0042798A" w:rsidP="00485F6D">
      <w:pPr>
        <w:pStyle w:val="JuPara"/>
      </w:pPr>
      <w:r>
        <w:t>56</w:t>
      </w:r>
      <w:r w:rsidR="009D04E6" w:rsidRPr="00D47FBC">
        <w:t>.</w:t>
      </w:r>
      <w:r w:rsidR="007C0D3E">
        <w:t xml:space="preserve"> </w:t>
      </w:r>
      <w:r w:rsidR="009D04E6" w:rsidRPr="00D47FBC">
        <w:t>Trybunał wskazuje, że skarga nie jest w sposób oczywisty nieuzasadniona w rozumieniu art. 35 ust. 3 lit. a Konwencji. Trybunał wskazuje ponadto, że nie jest ona pod żadnym innym względem niedopuszczalna. Należy ją zatem uznać za dopuszczalną.</w:t>
      </w:r>
    </w:p>
    <w:p w14:paraId="28C6D57F" w14:textId="77777777" w:rsidR="00D420F3" w:rsidRPr="00D47FBC" w:rsidRDefault="0077175D" w:rsidP="00485F6D">
      <w:pPr>
        <w:pStyle w:val="JuHA"/>
      </w:pPr>
      <w:r w:rsidRPr="00D47FBC">
        <w:t>Przedmiot skargi</w:t>
      </w:r>
    </w:p>
    <w:p w14:paraId="6EF9297F" w14:textId="77777777" w:rsidR="00F42FA3" w:rsidRPr="00D47FBC" w:rsidRDefault="00611036" w:rsidP="00485F6D">
      <w:pPr>
        <w:pStyle w:val="JuH1"/>
      </w:pPr>
      <w:r w:rsidRPr="00D47FBC">
        <w:t>Aspekt materialny art. 3</w:t>
      </w:r>
    </w:p>
    <w:p w14:paraId="67B9EE76" w14:textId="77777777" w:rsidR="00F42FA3" w:rsidRPr="00D47FBC" w:rsidRDefault="000540FD" w:rsidP="00485F6D">
      <w:pPr>
        <w:pStyle w:val="JuHa0"/>
      </w:pPr>
      <w:r w:rsidRPr="00D47FBC">
        <w:t>Stanowisko skarżącego</w:t>
      </w:r>
    </w:p>
    <w:p w14:paraId="62FE127C" w14:textId="330D3311" w:rsidR="00F42FA3" w:rsidRPr="00D47FBC" w:rsidRDefault="0042798A" w:rsidP="00485F6D">
      <w:pPr>
        <w:pStyle w:val="JuPara"/>
      </w:pPr>
      <w:r>
        <w:t>57</w:t>
      </w:r>
      <w:r w:rsidR="00D92F97" w:rsidRPr="00D47FBC">
        <w:t>.</w:t>
      </w:r>
      <w:r w:rsidR="007C0D3E">
        <w:t xml:space="preserve"> </w:t>
      </w:r>
      <w:r w:rsidR="00D92F97" w:rsidRPr="00D47FBC">
        <w:t>Skarżący twierdził, że władze postanowiły dokonać jego zatrzymania przy pomocy wyspecjalizowanego oddziału policji w braku podstaw dostatecznie uzasadniających przypuszczenie, że popełnił zarzucane przestępstwo. Co więcej, nie było podstaw, by przypuszczać, że</w:t>
      </w:r>
      <w:r w:rsidR="00C60FCD" w:rsidRPr="00D47FBC">
        <w:t> </w:t>
      </w:r>
      <w:r w:rsidR="00D92F97" w:rsidRPr="00D47FBC">
        <w:t>skarżący był osobą niebezpieczną.</w:t>
      </w:r>
    </w:p>
    <w:p w14:paraId="48181549" w14:textId="15E25143" w:rsidR="00D420F3" w:rsidRPr="00D47FBC" w:rsidRDefault="0042798A" w:rsidP="00485F6D">
      <w:pPr>
        <w:pStyle w:val="JuPara"/>
      </w:pPr>
      <w:r>
        <w:t>58</w:t>
      </w:r>
      <w:r w:rsidR="006045D9" w:rsidRPr="00D47FBC">
        <w:t>.</w:t>
      </w:r>
      <w:r w:rsidR="007C0D3E">
        <w:t xml:space="preserve"> </w:t>
      </w:r>
      <w:r w:rsidR="006045D9" w:rsidRPr="00D47FBC">
        <w:t>Podczas zatrzymania policja użyła nieproporcjonalnej siły, mimo</w:t>
      </w:r>
      <w:r w:rsidR="003766C2">
        <w:t> </w:t>
      </w:r>
      <w:r w:rsidR="006045D9" w:rsidRPr="00D47FBC">
        <w:t>że</w:t>
      </w:r>
      <w:r w:rsidR="00C60FCD" w:rsidRPr="00D47FBC">
        <w:t> </w:t>
      </w:r>
      <w:r w:rsidR="006045D9" w:rsidRPr="00D47FBC">
        <w:t xml:space="preserve">skarżący nie stawiał oporu i podporządkował się wydawanym poleceniom. Skarżący twierdził, że podczas zatrzymania policjanci uderzali go w twarz, głowę, plecy i nogi, kopali go w twarz, razili go prądem </w:t>
      </w:r>
      <w:r w:rsidR="006045D9" w:rsidRPr="00D47FBC">
        <w:lastRenderedPageBreak/>
        <w:t>w</w:t>
      </w:r>
      <w:r w:rsidR="00C60FCD" w:rsidRPr="00D47FBC">
        <w:t> </w:t>
      </w:r>
      <w:r w:rsidR="006045D9" w:rsidRPr="00D47FBC">
        <w:t>różne części ciała za pomocą paralizatora elektrycznego, zmusili go do</w:t>
      </w:r>
      <w:r w:rsidR="003766C2">
        <w:t> </w:t>
      </w:r>
      <w:r w:rsidR="006045D9" w:rsidRPr="00D47FBC">
        <w:t>wypicia krwi z podłogi oraz dusili okręconą wokół szyi koszulką. Czynności te przyczyniły się do powstania licznych obrażeń ciała, a także do intensywnego cierpienia fizycznego i psychicznego.</w:t>
      </w:r>
    </w:p>
    <w:p w14:paraId="5EF55D1F" w14:textId="08BBA5EB" w:rsidR="00F42FA3" w:rsidRPr="00D47FBC" w:rsidRDefault="0042798A" w:rsidP="00485F6D">
      <w:pPr>
        <w:pStyle w:val="JuPara"/>
      </w:pPr>
      <w:r>
        <w:t>59</w:t>
      </w:r>
      <w:r w:rsidR="00AB7C97" w:rsidRPr="00D47FBC">
        <w:t>.</w:t>
      </w:r>
      <w:r w:rsidR="007C0D3E">
        <w:t xml:space="preserve"> </w:t>
      </w:r>
      <w:r w:rsidR="00AB7C97" w:rsidRPr="00D47FBC">
        <w:t>Skarżący wskazał, że położył się na podłogę w pozycji, która mogła sugerować, że miał ręce schowane pod ciałem. W tamtej chwili, zamiast wielokrotnie razić skarżącego paralizatorem, funkcjonariusz mógł bez trudu chwycić ręce skarżącego i założyć mu kajdanki.</w:t>
      </w:r>
    </w:p>
    <w:p w14:paraId="060252AB" w14:textId="15911B5D" w:rsidR="00F42FA3" w:rsidRPr="00D47FBC" w:rsidRDefault="0042798A" w:rsidP="00485F6D">
      <w:pPr>
        <w:pStyle w:val="JuPara"/>
      </w:pPr>
      <w:r>
        <w:t>60</w:t>
      </w:r>
      <w:r w:rsidR="002B3EC6" w:rsidRPr="00D47FBC">
        <w:t>.</w:t>
      </w:r>
      <w:r w:rsidR="007C0D3E">
        <w:t xml:space="preserve"> </w:t>
      </w:r>
      <w:r w:rsidR="002B3EC6" w:rsidRPr="00D47FBC">
        <w:t>Skarżący doznał licznych obrażeń, które znalazły potwierdzenie w</w:t>
      </w:r>
      <w:r w:rsidR="00C60FCD" w:rsidRPr="00D47FBC">
        <w:t> </w:t>
      </w:r>
      <w:r w:rsidR="002B3EC6" w:rsidRPr="00D47FBC">
        <w:t>obdukcji, zdjęciach dokumentujących stan fizyczny skarżącego oraz</w:t>
      </w:r>
      <w:r w:rsidR="003766C2">
        <w:t> </w:t>
      </w:r>
      <w:r w:rsidR="002B3EC6" w:rsidRPr="00D47FBC">
        <w:t>w</w:t>
      </w:r>
      <w:r w:rsidR="00C60FCD" w:rsidRPr="00D47FBC">
        <w:t> </w:t>
      </w:r>
      <w:r w:rsidR="002B3EC6" w:rsidRPr="00D47FBC">
        <w:t>wyjaśnieniach innych osób, które zatrzymano wraz ze skarżącym. Rząd nie przedstawił przekonującego wyjaśnienia okoliczności ani</w:t>
      </w:r>
      <w:r w:rsidR="003766C2">
        <w:t> </w:t>
      </w:r>
      <w:r w:rsidR="002B3EC6" w:rsidRPr="00D47FBC">
        <w:t>przyczyn powstałych obrażeń. Charakter obrażeń wyraźnie wskazywał, że powstały one wskutek użycia paralizatora elektrycznego, tępego narzędzia w postaci rękojeści karabinu i wojskowych butów. Wyżej</w:t>
      </w:r>
      <w:r w:rsidR="003766C2">
        <w:t> </w:t>
      </w:r>
      <w:r w:rsidR="002B3EC6" w:rsidRPr="00D47FBC">
        <w:t>wymienione obrażenia nie wynikały ani nie mogły wynikać z</w:t>
      </w:r>
      <w:r w:rsidR="003766C2">
        <w:t> </w:t>
      </w:r>
      <w:r w:rsidR="002B3EC6" w:rsidRPr="00D47FBC">
        <w:t>okoliczności innych niż zatrzymanie skarżącego. Rząd nie przedstawił żadnych dowodów świadczących o tym, że skarżący zachowywał się brutalnie, mógł być uzbrojony czy stawiał opór.</w:t>
      </w:r>
    </w:p>
    <w:p w14:paraId="222A2CE2" w14:textId="2F918D95" w:rsidR="00F42FA3" w:rsidRPr="00D47FBC" w:rsidRDefault="0042798A" w:rsidP="00485F6D">
      <w:pPr>
        <w:pStyle w:val="JuPara"/>
      </w:pPr>
      <w:r>
        <w:t>61</w:t>
      </w:r>
      <w:r w:rsidR="00185F84" w:rsidRPr="00D47FBC">
        <w:t>.</w:t>
      </w:r>
      <w:r w:rsidR="007C0D3E">
        <w:t xml:space="preserve"> </w:t>
      </w:r>
      <w:r w:rsidR="00185F84" w:rsidRPr="00D47FBC">
        <w:t xml:space="preserve">Wszyscy zatrzymani twierdzili, że policjanci zachowywali się brutalnie. Zatrzymani nie stawiali oporu i podporządkowywali się </w:t>
      </w:r>
      <w:r w:rsidR="00543B3A">
        <w:t>wydawanym im podczas zatrzymania poleceniom</w:t>
      </w:r>
      <w:r w:rsidR="00185F84" w:rsidRPr="00D47FBC">
        <w:t>. Tym samym nie</w:t>
      </w:r>
      <w:r w:rsidR="003766C2">
        <w:t> </w:t>
      </w:r>
      <w:r w:rsidR="00185F84" w:rsidRPr="00D47FBC">
        <w:t>zachodziła konieczność zastosowania paralizatora elektrycznego czy</w:t>
      </w:r>
      <w:r w:rsidR="003766C2">
        <w:t> </w:t>
      </w:r>
      <w:r w:rsidR="00185F84" w:rsidRPr="00D47FBC">
        <w:t>innych środków przymusu bezpośredniego. Co więcej, liczna grupa policjantów wdzierających się do mieszkania i używając granatów hukowych była dla wszystkich zatrzymanych całkowitym zaskoczeniem, co</w:t>
      </w:r>
      <w:r w:rsidR="003766C2">
        <w:t> </w:t>
      </w:r>
      <w:r w:rsidR="00185F84" w:rsidRPr="00D47FBC">
        <w:t>wyeliminowało wszelki opór z ich strony.</w:t>
      </w:r>
    </w:p>
    <w:p w14:paraId="4708ADDF" w14:textId="30055568" w:rsidR="00F42FA3" w:rsidRPr="00D47FBC" w:rsidRDefault="0042798A" w:rsidP="00485F6D">
      <w:pPr>
        <w:pStyle w:val="JuPara"/>
      </w:pPr>
      <w:r>
        <w:t>62</w:t>
      </w:r>
      <w:r w:rsidR="001D086B" w:rsidRPr="00D47FBC">
        <w:t>.</w:t>
      </w:r>
      <w:r w:rsidR="007C0D3E">
        <w:t xml:space="preserve"> </w:t>
      </w:r>
      <w:r w:rsidR="001D086B" w:rsidRPr="00D47FBC">
        <w:t>Skarżący nie wniósł zażalenia na zachowanie funkcjonariuszy podczas czynności zatrzymania z powodu doznanego szoku. Chciał tylko jak najszybciej opuścić prokuraturę, ponieważ grożono mu dalszym stosowaniem przemocy.</w:t>
      </w:r>
    </w:p>
    <w:p w14:paraId="330320B3" w14:textId="77777777" w:rsidR="00F42FA3" w:rsidRPr="00D47FBC" w:rsidRDefault="000540FD" w:rsidP="00485F6D">
      <w:pPr>
        <w:pStyle w:val="JuHa0"/>
      </w:pPr>
      <w:r w:rsidRPr="00D47FBC">
        <w:t>Stanowisko Rządu</w:t>
      </w:r>
    </w:p>
    <w:p w14:paraId="1A0A40F5" w14:textId="39E9CC32" w:rsidR="00F42FA3" w:rsidRPr="00D47FBC" w:rsidRDefault="0042798A" w:rsidP="00485F6D">
      <w:pPr>
        <w:pStyle w:val="JuPara"/>
      </w:pPr>
      <w:r>
        <w:t>63</w:t>
      </w:r>
      <w:r w:rsidR="00634035" w:rsidRPr="00D47FBC">
        <w:t>.</w:t>
      </w:r>
      <w:r w:rsidR="007C0D3E">
        <w:t xml:space="preserve"> </w:t>
      </w:r>
      <w:r w:rsidR="00634035" w:rsidRPr="00D47FBC">
        <w:t>Rząd twierdził, że skarżący nie został poddany nieludzkiemu ani</w:t>
      </w:r>
      <w:r w:rsidR="003766C2">
        <w:t> </w:t>
      </w:r>
      <w:r w:rsidR="00634035" w:rsidRPr="00D47FBC">
        <w:t>poniżającemu traktowaniu. W szczególności użycie siły przez funkcjonariuszy było odpowiednie i proporcjonalne w okolicznościach sprawy.</w:t>
      </w:r>
    </w:p>
    <w:p w14:paraId="166AA6E3" w14:textId="759C088F" w:rsidR="00F42FA3" w:rsidRPr="00D47FBC" w:rsidRDefault="0042798A" w:rsidP="00485F6D">
      <w:pPr>
        <w:pStyle w:val="JuPara"/>
      </w:pPr>
      <w:r>
        <w:t>64</w:t>
      </w:r>
      <w:r w:rsidR="007E200C" w:rsidRPr="00D47FBC">
        <w:t>.</w:t>
      </w:r>
      <w:r w:rsidR="007C0D3E">
        <w:t xml:space="preserve"> </w:t>
      </w:r>
      <w:r w:rsidR="007E200C" w:rsidRPr="00D47FBC">
        <w:t>Skarżącego zatrzymano w związku z podejrzeniem popełnienia lub</w:t>
      </w:r>
      <w:r w:rsidR="003766C2">
        <w:t> </w:t>
      </w:r>
      <w:r w:rsidR="007E200C" w:rsidRPr="00D47FBC">
        <w:t xml:space="preserve">udziału w popełnieniu zbrodni. Skarżący </w:t>
      </w:r>
      <w:r w:rsidR="00543B3A">
        <w:t>był zatrzymany przez</w:t>
      </w:r>
      <w:r w:rsidR="003766C2">
        <w:t> </w:t>
      </w:r>
      <w:r w:rsidR="007E200C" w:rsidRPr="00D47FBC">
        <w:t>niespełna dwa dni (od godz. 19.40 w dniu 16 czerwca 2011 r. do</w:t>
      </w:r>
      <w:r w:rsidR="003766C2">
        <w:t> </w:t>
      </w:r>
      <w:r w:rsidR="007E200C" w:rsidRPr="00D47FBC">
        <w:t>godz. 10.00 w dniu 18 czerwca 2011 r.). Skarżącego zatrzymano w</w:t>
      </w:r>
      <w:r w:rsidR="003766C2">
        <w:t> </w:t>
      </w:r>
      <w:r w:rsidR="007E200C" w:rsidRPr="00D47FBC">
        <w:t xml:space="preserve">mieszkaniu znajomych. Funkcjonariusze wydali skarżącemu polecenie położenia się na podłodze, aby ułatwić założenie kajdanek i zabezpieczyć się przed użyciem broni, w posiadaniu której mógł być skarżący i pozostali. </w:t>
      </w:r>
      <w:r w:rsidR="007E200C" w:rsidRPr="00D47FBC">
        <w:lastRenderedPageBreak/>
        <w:t>Zastosowanie innych środków w stosunku do skarżącego spowodowane było jego odmową podporządkowania się poleceniom. Funkcjonariusze wymierzyli paralizator elektryczny w plecy skarżącego. Zdaniem Rządu ten</w:t>
      </w:r>
      <w:r w:rsidR="003766C2">
        <w:t> </w:t>
      </w:r>
      <w:r w:rsidR="007E200C" w:rsidRPr="00D47FBC">
        <w:t>sposób użycia paralizatora miał słabszy wpływ i nie wywołał żadnych negatywnych skutków medycznych. Podjęte przez funkcjonariuszy działania były zgodne z rozporządzeniem w sprawie określenia przypadków oraz warunków i sposobów użycia przez policjantów środków przymusu bezpośredniego. Rząd twierdził, że zastosowanie środków przymusu bezpośredniego w celu zatrzymania skarżącego było bezwzględnie konieczne ze względu na zachowanie skarżącego.</w:t>
      </w:r>
    </w:p>
    <w:p w14:paraId="14910891" w14:textId="3864F088" w:rsidR="00F42FA3" w:rsidRPr="00D47FBC" w:rsidRDefault="0042798A" w:rsidP="00485F6D">
      <w:pPr>
        <w:pStyle w:val="JuPara"/>
      </w:pPr>
      <w:r>
        <w:t>65</w:t>
      </w:r>
      <w:r w:rsidR="002D3BDE" w:rsidRPr="00D47FBC">
        <w:t>.</w:t>
      </w:r>
      <w:r w:rsidR="007C0D3E">
        <w:t xml:space="preserve"> </w:t>
      </w:r>
      <w:r w:rsidR="002D3BDE" w:rsidRPr="00D47FBC">
        <w:t>W odniesieniu do stanu fizycznego i psychicznego skarżącego Rząd podkreślił, że podczas przesłuchania skarżący nie skarżył się na żadne obrażenia i potwierdził, że czuje się dobrze. Skarżący wniósł zażalenie na</w:t>
      </w:r>
      <w:r w:rsidR="003766C2">
        <w:t> </w:t>
      </w:r>
      <w:r w:rsidR="002D3BDE" w:rsidRPr="00D47FBC">
        <w:t>działania funkcjonariuszy w związku z jego zatrzymaniem dopiero po</w:t>
      </w:r>
      <w:r w:rsidR="003766C2">
        <w:t> </w:t>
      </w:r>
      <w:r w:rsidR="002D3BDE" w:rsidRPr="00D47FBC">
        <w:t>zwolnieniu. Tym samym nie można dać wiary jego twierdzeniom. Czynności funkcjonariuszy nie miały na celu zadania skarżącemu obrażeń czy fizycznego i psychicznego cierpienia. Celem podejmowanych przez funkcjonariuszy czynności, w szczególności założeni</w:t>
      </w:r>
      <w:r w:rsidR="00543B3A">
        <w:t>a</w:t>
      </w:r>
      <w:r w:rsidR="002D3BDE" w:rsidRPr="00D47FBC">
        <w:t xml:space="preserve"> kajdanek, </w:t>
      </w:r>
      <w:r w:rsidR="00CB6181" w:rsidRPr="00D47FBC">
        <w:t>obezwładnieni</w:t>
      </w:r>
      <w:r w:rsidR="00543B3A">
        <w:t>a</w:t>
      </w:r>
      <w:r w:rsidR="00CB6181" w:rsidRPr="00D47FBC">
        <w:t xml:space="preserve"> </w:t>
      </w:r>
      <w:r w:rsidR="002D3BDE" w:rsidRPr="00D47FBC">
        <w:t>na podłodze i zastosowani</w:t>
      </w:r>
      <w:r w:rsidR="00543B3A">
        <w:t>a</w:t>
      </w:r>
      <w:r w:rsidR="002D3BDE" w:rsidRPr="00D47FBC">
        <w:t xml:space="preserve"> paralizatora elektrycznego, było</w:t>
      </w:r>
      <w:r w:rsidR="003766C2">
        <w:t> </w:t>
      </w:r>
      <w:r w:rsidR="002D3BDE" w:rsidRPr="00D47FBC">
        <w:t>jedynie sprawne zatrzymanie skarżącego.</w:t>
      </w:r>
    </w:p>
    <w:p w14:paraId="1B025BB3" w14:textId="40E546DC" w:rsidR="00F42FA3" w:rsidRPr="00D47FBC" w:rsidRDefault="0042798A" w:rsidP="00485F6D">
      <w:pPr>
        <w:pStyle w:val="JuPara"/>
      </w:pPr>
      <w:r>
        <w:t>66</w:t>
      </w:r>
      <w:r w:rsidR="000A74A1" w:rsidRPr="00D47FBC">
        <w:t>.</w:t>
      </w:r>
      <w:r w:rsidR="007C0D3E">
        <w:t xml:space="preserve"> </w:t>
      </w:r>
      <w:r w:rsidR="000A74A1" w:rsidRPr="00D47FBC">
        <w:t>Rząd wskazał, że z ustaleń poczynionych w toku postępowania przygotowawczego wynika brak wiarygodnych dowodów świadczących o</w:t>
      </w:r>
      <w:r w:rsidR="00C60FCD" w:rsidRPr="00D47FBC">
        <w:t> </w:t>
      </w:r>
      <w:r w:rsidR="000A74A1" w:rsidRPr="00D47FBC">
        <w:t>niewłaściwym potraktowaniu skarżącego przez funkcjonariuszy. W jego ocenie działania funkcjonariuszy były uzasadnione okolicznościami sprawy. Zarzuty dotyczące złego traktowania i doznanych obrażeń nie zostały poparte odpowiednimi dowodami. Ponadto rzekome obrażenia skarżącego nie osiągnęły dostatecznego poziomu dotkliwości w rozumieniu art. 3.</w:t>
      </w:r>
    </w:p>
    <w:p w14:paraId="44849E45" w14:textId="77777777" w:rsidR="00F42FA3" w:rsidRPr="00D47FBC" w:rsidRDefault="00634035" w:rsidP="00485F6D">
      <w:pPr>
        <w:pStyle w:val="JuHa0"/>
      </w:pPr>
      <w:r w:rsidRPr="00D47FBC">
        <w:t>Ocena Trybunału</w:t>
      </w:r>
    </w:p>
    <w:p w14:paraId="2EB89868" w14:textId="77777777" w:rsidR="00F42FA3" w:rsidRPr="00D47FBC" w:rsidRDefault="00634035" w:rsidP="00485F6D">
      <w:pPr>
        <w:pStyle w:val="JuHi"/>
      </w:pPr>
      <w:r w:rsidRPr="00D47FBC">
        <w:t>Zasady ogólne</w:t>
      </w:r>
    </w:p>
    <w:p w14:paraId="7ABB915D" w14:textId="3CC8B385" w:rsidR="00F42FA3" w:rsidRPr="00D47FBC" w:rsidRDefault="0042798A" w:rsidP="00485F6D">
      <w:pPr>
        <w:pStyle w:val="JuPara"/>
      </w:pPr>
      <w:r>
        <w:t>67</w:t>
      </w:r>
      <w:r w:rsidR="00634035" w:rsidRPr="00D47FBC">
        <w:t>.</w:t>
      </w:r>
      <w:r w:rsidR="007C0D3E">
        <w:t xml:space="preserve"> </w:t>
      </w:r>
      <w:r w:rsidR="00634035" w:rsidRPr="00D47FBC">
        <w:t>Ogólne zasady dotyczące wynikającego z art. 3 Konwencji obowiązku Wysokich Układających się Stron, aby nie poddawać osób podlegających ich jurysdykcji nieludzkiemu lub poniżającemu traktowaniu lub torturom w kontaktach z policjantami, zostały szczegółowo opisane w</w:t>
      </w:r>
      <w:r w:rsidR="003766C2">
        <w:t> </w:t>
      </w:r>
      <w:r w:rsidR="00634035" w:rsidRPr="00D47FBC">
        <w:t xml:space="preserve">paragrafach 81-90 wyroku Trybunału w sprawie </w:t>
      </w:r>
      <w:r w:rsidR="00634035" w:rsidRPr="00D47FBC">
        <w:rPr>
          <w:i/>
          <w:iCs/>
        </w:rPr>
        <w:t>Bouyid przeciwko Belgii</w:t>
      </w:r>
      <w:r w:rsidR="00634035" w:rsidRPr="00D47FBC">
        <w:t xml:space="preserve"> ([WI], skarga nr 23380/09, 28 września 2015 r.).</w:t>
      </w:r>
    </w:p>
    <w:p w14:paraId="08C496D9" w14:textId="77777777" w:rsidR="00F42FA3" w:rsidRPr="00D47FBC" w:rsidRDefault="00634035" w:rsidP="00485F6D">
      <w:pPr>
        <w:pStyle w:val="JuHi"/>
      </w:pPr>
      <w:r w:rsidRPr="00D47FBC">
        <w:t>Zastosowanie w niniejszej sprawie</w:t>
      </w:r>
    </w:p>
    <w:p w14:paraId="78DBB242" w14:textId="7BF99893" w:rsidR="00F42FA3" w:rsidRPr="00D47FBC" w:rsidRDefault="0042798A" w:rsidP="00485F6D">
      <w:pPr>
        <w:pStyle w:val="JuPara"/>
        <w:tabs>
          <w:tab w:val="left" w:pos="6643"/>
        </w:tabs>
      </w:pPr>
      <w:r>
        <w:t>68</w:t>
      </w:r>
      <w:r w:rsidR="00C616AD" w:rsidRPr="00D47FBC">
        <w:t>.</w:t>
      </w:r>
      <w:r w:rsidR="007C0D3E">
        <w:t xml:space="preserve"> </w:t>
      </w:r>
      <w:r w:rsidR="00C616AD" w:rsidRPr="00D47FBC">
        <w:t>Skarżącego zatrzymano w dniu 16 czerwca 2011 r. o godz. 19.40. W</w:t>
      </w:r>
      <w:r w:rsidR="00C60FCD" w:rsidRPr="00D47FBC">
        <w:t> </w:t>
      </w:r>
      <w:r w:rsidR="00C616AD" w:rsidRPr="00D47FBC">
        <w:t>protokole z dnia 16 czerwca 2011 r. sporządzonym w związku z</w:t>
      </w:r>
      <w:r w:rsidR="00C60FCD" w:rsidRPr="00D47FBC">
        <w:t> </w:t>
      </w:r>
      <w:r w:rsidR="00C616AD" w:rsidRPr="00D47FBC">
        <w:t>przyjęciem skarżącego do</w:t>
      </w:r>
      <w:r w:rsidR="00F076EB">
        <w:t xml:space="preserve"> policyjnej izby </w:t>
      </w:r>
      <w:r w:rsidR="00F076EB" w:rsidRPr="00F076EB">
        <w:t>zatrzymań</w:t>
      </w:r>
      <w:r w:rsidR="00C616AD" w:rsidRPr="00D47FBC">
        <w:t xml:space="preserve"> w</w:t>
      </w:r>
      <w:r w:rsidR="00C60FCD" w:rsidRPr="00D47FBC">
        <w:t> </w:t>
      </w:r>
      <w:r w:rsidR="00C616AD" w:rsidRPr="00D47FBC">
        <w:t xml:space="preserve">Gdyni, funkcjonariusz M.G. wskazał, że skarżący miał następujące obrażenia: </w:t>
      </w:r>
      <w:r w:rsidR="00C616AD" w:rsidRPr="00D47FBC">
        <w:lastRenderedPageBreak/>
        <w:t>siniaki na lewym policzku i otarcia na rękach i plecach (zob. paragraf 12 powyżej).</w:t>
      </w:r>
    </w:p>
    <w:p w14:paraId="1F528D5B" w14:textId="17ED989A" w:rsidR="00F42FA3" w:rsidRPr="00D47FBC" w:rsidRDefault="0042798A" w:rsidP="00485F6D">
      <w:pPr>
        <w:pStyle w:val="JuPara"/>
        <w:tabs>
          <w:tab w:val="left" w:pos="6643"/>
        </w:tabs>
      </w:pPr>
      <w:r>
        <w:t>69</w:t>
      </w:r>
      <w:r w:rsidR="002E4000" w:rsidRPr="00D47FBC">
        <w:t>.</w:t>
      </w:r>
      <w:r w:rsidR="007C0D3E">
        <w:t xml:space="preserve"> </w:t>
      </w:r>
      <w:r w:rsidR="002E4000" w:rsidRPr="00D47FBC">
        <w:t>W dniu 17 czerwca 2011 r., przebywając w pomieszczeniu dla osób zatrzymanych, skarżący został zabrany na badania lekarskie do dwóch zakładów opieki zdrowotnej w Gdańsku, gdzie skarżył się na obrażenia odniesione podczas zatrzymania. Z wystawionego przez szpital zaświadczenia z dnia 17 czerwca 2011 r. wynikało, że skarżący cierpiał między innymi na obrzęk lewej części twarzy z podbiegnięciami krwawymi oraz tkliwość prawej ręki i nadgarstka (zob. paragraf 15 powyżej). W</w:t>
      </w:r>
      <w:r w:rsidR="00C60FCD" w:rsidRPr="00D47FBC">
        <w:t> </w:t>
      </w:r>
      <w:r w:rsidR="002E4000" w:rsidRPr="00D47FBC">
        <w:t>zaświadczeniu z tego samego dnia wystawionym przez placówkę zdrowia Ministerstwa Spraw Wewnętrznych i Administracji stwierdzono silny obrzęk w okolicy oczodołu lewego skarżącego (zob. paragraf 16 powyżej).</w:t>
      </w:r>
    </w:p>
    <w:p w14:paraId="3D05ADCE" w14:textId="60C9AB26" w:rsidR="00F42FA3" w:rsidRPr="00D47FBC" w:rsidRDefault="0042798A" w:rsidP="00485F6D">
      <w:pPr>
        <w:pStyle w:val="JuPara"/>
        <w:tabs>
          <w:tab w:val="left" w:pos="6643"/>
        </w:tabs>
      </w:pPr>
      <w:r>
        <w:t>70</w:t>
      </w:r>
      <w:r w:rsidR="002E4000" w:rsidRPr="00D47FBC">
        <w:t>.</w:t>
      </w:r>
      <w:r w:rsidR="007C0D3E">
        <w:t xml:space="preserve"> </w:t>
      </w:r>
      <w:r w:rsidR="002E4000" w:rsidRPr="00D47FBC">
        <w:t>Obdukcja z dnia 26 czerwca 2012 r. potwierdziła obrażenia odniesione w związku z zatrzymaniem skarżącego. Ponadto stwierdzono podbiegnięcie krwawe na lewym ramieniu i w okolicy bocznej tułowia skarżącego (zob. paragraf 28 powyżej). W obdukcji stwierdzono ponadto, że otarcia na nadgarstkach skarżącego mogły być spowodowane zastosowaniem kajdanek.</w:t>
      </w:r>
    </w:p>
    <w:p w14:paraId="1DE99832" w14:textId="70AD2D34" w:rsidR="00F42FA3" w:rsidRPr="00D47FBC" w:rsidRDefault="0042798A" w:rsidP="00485F6D">
      <w:pPr>
        <w:pStyle w:val="JuPara"/>
        <w:tabs>
          <w:tab w:val="left" w:pos="6643"/>
        </w:tabs>
      </w:pPr>
      <w:r>
        <w:t>71</w:t>
      </w:r>
      <w:r w:rsidR="006702B4" w:rsidRPr="00D47FBC">
        <w:t>.</w:t>
      </w:r>
      <w:r w:rsidR="007C0D3E">
        <w:t xml:space="preserve"> </w:t>
      </w:r>
      <w:r w:rsidR="006702B4" w:rsidRPr="00D47FBC">
        <w:t>W swoim postanowieniu w przedmiocie umorzenia prokurator przyjął, że skarżący odniósł obrażenia opisane w obdukcji (zob. paragraf 38 powyżej). Rząd twierdził, że przyczyny obrażeń skarżącego nie były poparte odpowiednimi dowodami. Nie przedstawił przy tym żadnych wyjaśnień, aby obalić domniemanie, że przedmiotowe obrażenia powstały w czasie, gdy skarżący pozostawał pod kontrolą funkcjonariuszy. Mając</w:t>
      </w:r>
      <w:r w:rsidR="003766C2">
        <w:t> </w:t>
      </w:r>
      <w:r w:rsidR="006702B4" w:rsidRPr="00D47FBC">
        <w:t>na</w:t>
      </w:r>
      <w:r w:rsidR="003766C2">
        <w:t> </w:t>
      </w:r>
      <w:r w:rsidR="006702B4" w:rsidRPr="00D47FBC">
        <w:t>względzie zaświadczenia lekarskie wydane w czasie pozbawienia wolności skarżącego i wnioski zawarte w obdukcji, Trybunał uznaje, że</w:t>
      </w:r>
      <w:r w:rsidR="003766C2">
        <w:t> </w:t>
      </w:r>
      <w:r w:rsidR="006702B4" w:rsidRPr="00D47FBC">
        <w:t>doznanie przez skarżącego obrażeń podczas zatrzymania nie budzi żadnych wątpliwości.</w:t>
      </w:r>
    </w:p>
    <w:p w14:paraId="25808045" w14:textId="0D4B42AC" w:rsidR="00823544" w:rsidRPr="00D47FBC" w:rsidRDefault="0042798A" w:rsidP="00485F6D">
      <w:pPr>
        <w:pStyle w:val="JuPara"/>
      </w:pPr>
      <w:r>
        <w:t>72</w:t>
      </w:r>
      <w:r w:rsidR="005F6AA3" w:rsidRPr="00D47FBC">
        <w:t>.</w:t>
      </w:r>
      <w:r w:rsidR="007C0D3E">
        <w:t xml:space="preserve"> </w:t>
      </w:r>
      <w:r w:rsidR="005F6AA3" w:rsidRPr="00D47FBC">
        <w:t>Trybunał powtarza, że uciekanie się w stosunku do osoby pozbawionej wolności lub, mówiąc ogólniej, mającej styczność z</w:t>
      </w:r>
      <w:r w:rsidR="00C60FCD" w:rsidRPr="00D47FBC">
        <w:t> </w:t>
      </w:r>
      <w:r w:rsidR="005F6AA3" w:rsidRPr="00D47FBC">
        <w:t>funkcjonariuszami organów ścigania, do użycia siły fizycznej, która</w:t>
      </w:r>
      <w:r w:rsidR="003766C2">
        <w:t> </w:t>
      </w:r>
      <w:r w:rsidR="005F6AA3" w:rsidRPr="00D47FBC">
        <w:t>nie</w:t>
      </w:r>
      <w:r w:rsidR="003766C2">
        <w:t> </w:t>
      </w:r>
      <w:r w:rsidR="00543B3A">
        <w:t xml:space="preserve">była </w:t>
      </w:r>
      <w:r w:rsidR="005F6AA3" w:rsidRPr="00D47FBC">
        <w:t xml:space="preserve">bezwzględnie </w:t>
      </w:r>
      <w:r w:rsidR="00543B3A">
        <w:t>konieczna z powodu zachowania</w:t>
      </w:r>
      <w:r w:rsidR="005F6AA3" w:rsidRPr="00D47FBC">
        <w:t xml:space="preserve"> tej osoby, umniejsza godnoś</w:t>
      </w:r>
      <w:r w:rsidR="0077458E" w:rsidRPr="00D47FBC">
        <w:t>ci</w:t>
      </w:r>
      <w:r w:rsidR="005F6AA3" w:rsidRPr="00D47FBC">
        <w:t xml:space="preserve"> ludzk</w:t>
      </w:r>
      <w:r w:rsidR="0077458E" w:rsidRPr="00D47FBC">
        <w:t>iej</w:t>
      </w:r>
      <w:r w:rsidR="005F6AA3" w:rsidRPr="00D47FBC">
        <w:t xml:space="preserve"> i zasadniczo stanowi naruszenie prawa wynikającego z</w:t>
      </w:r>
      <w:r w:rsidR="00C60FCD" w:rsidRPr="00D47FBC">
        <w:t> </w:t>
      </w:r>
      <w:r w:rsidR="005F6AA3" w:rsidRPr="00D47FBC">
        <w:t xml:space="preserve">art. 3 (zob. m.in. </w:t>
      </w:r>
      <w:proofErr w:type="spellStart"/>
      <w:r w:rsidR="005F6AA3" w:rsidRPr="00D47FBC">
        <w:rPr>
          <w:i/>
          <w:iCs/>
        </w:rPr>
        <w:t>Ribitsch</w:t>
      </w:r>
      <w:proofErr w:type="spellEnd"/>
      <w:r w:rsidR="005F6AA3" w:rsidRPr="00D47FBC">
        <w:rPr>
          <w:i/>
          <w:iCs/>
        </w:rPr>
        <w:t xml:space="preserve"> przeciwko Austrii</w:t>
      </w:r>
      <w:r w:rsidR="005F6AA3" w:rsidRPr="00D47FBC">
        <w:t>, 4 grudnia 1995</w:t>
      </w:r>
      <w:r w:rsidR="003766C2">
        <w:t> </w:t>
      </w:r>
      <w:r w:rsidR="005F6AA3" w:rsidRPr="00D47FBC">
        <w:t xml:space="preserve">r., § 38, seria A nr 336; </w:t>
      </w:r>
      <w:r w:rsidR="005F6AA3" w:rsidRPr="00D47FBC">
        <w:rPr>
          <w:i/>
          <w:iCs/>
        </w:rPr>
        <w:t>El-</w:t>
      </w:r>
      <w:proofErr w:type="spellStart"/>
      <w:r w:rsidR="005F6AA3" w:rsidRPr="00D47FBC">
        <w:rPr>
          <w:i/>
          <w:iCs/>
        </w:rPr>
        <w:t>Masri</w:t>
      </w:r>
      <w:proofErr w:type="spellEnd"/>
      <w:r w:rsidR="005F6AA3" w:rsidRPr="00D47FBC">
        <w:rPr>
          <w:i/>
          <w:iCs/>
        </w:rPr>
        <w:t xml:space="preserve"> przeciwko byłej Jugosłowiańskiej Republice Macedonii</w:t>
      </w:r>
      <w:r w:rsidR="005F6AA3" w:rsidRPr="00D47FBC">
        <w:t xml:space="preserve"> [WI], skarga nr 39630/09, § 207, </w:t>
      </w:r>
      <w:r w:rsidR="005F6AA3" w:rsidRPr="00D47FBC">
        <w:rPr>
          <w:snapToGrid w:val="0"/>
        </w:rPr>
        <w:t>ETPCz 2012</w:t>
      </w:r>
      <w:r w:rsidR="005F6AA3" w:rsidRPr="00D47FBC">
        <w:t>, oraz</w:t>
      </w:r>
      <w:r w:rsidR="003766C2">
        <w:t> </w:t>
      </w:r>
      <w:r w:rsidR="005F6AA3" w:rsidRPr="00D47FBC">
        <w:rPr>
          <w:i/>
          <w:iCs/>
        </w:rPr>
        <w:t>Bouyid</w:t>
      </w:r>
      <w:r w:rsidR="005F6AA3" w:rsidRPr="00D47FBC">
        <w:t xml:space="preserve">, </w:t>
      </w:r>
      <w:r w:rsidR="005F6AA3" w:rsidRPr="00D47FBC">
        <w:rPr>
          <w:i/>
          <w:iCs/>
        </w:rPr>
        <w:t>op. cit.</w:t>
      </w:r>
      <w:r w:rsidR="005F6AA3" w:rsidRPr="00D47FBC">
        <w:t>, § 88).</w:t>
      </w:r>
    </w:p>
    <w:p w14:paraId="4DC5A331" w14:textId="51AD3831" w:rsidR="000E42C1" w:rsidRPr="00D47FBC" w:rsidRDefault="0042798A" w:rsidP="00485F6D">
      <w:pPr>
        <w:pStyle w:val="JuPara"/>
      </w:pPr>
      <w:r>
        <w:t>73</w:t>
      </w:r>
      <w:r w:rsidR="00823544" w:rsidRPr="00D47FBC">
        <w:t>.</w:t>
      </w:r>
      <w:r w:rsidR="007C0D3E">
        <w:t xml:space="preserve"> </w:t>
      </w:r>
      <w:r w:rsidR="00823544" w:rsidRPr="00D47FBC">
        <w:t>Użycie siły przez policję, w szczególności w ramach wykonywania czynności zatrzymania, nie zawsze jest sprzeczne z art. 3 Konwencji. Jednak zgodnie z utrwalonym orzecznictwem taka siła nie jest sprzeczna z</w:t>
      </w:r>
      <w:r w:rsidR="00C60FCD" w:rsidRPr="00D47FBC">
        <w:t> </w:t>
      </w:r>
      <w:r w:rsidR="00823544" w:rsidRPr="00D47FBC">
        <w:t>tym artykułem tylko wtedy, gdy jest niezbędna i nie jest nadmierna (zob.</w:t>
      </w:r>
      <w:r w:rsidR="003766C2">
        <w:t> </w:t>
      </w:r>
      <w:r w:rsidR="00823544" w:rsidRPr="00D47FBC">
        <w:t xml:space="preserve">m.in. </w:t>
      </w:r>
      <w:r w:rsidR="00823544" w:rsidRPr="00D47FBC">
        <w:rPr>
          <w:i/>
          <w:iCs/>
        </w:rPr>
        <w:t xml:space="preserve">Ivan </w:t>
      </w:r>
      <w:proofErr w:type="spellStart"/>
      <w:r w:rsidR="00823544" w:rsidRPr="00D47FBC">
        <w:rPr>
          <w:i/>
          <w:iCs/>
        </w:rPr>
        <w:t>Vasilev</w:t>
      </w:r>
      <w:proofErr w:type="spellEnd"/>
      <w:r w:rsidR="00823544" w:rsidRPr="00D47FBC">
        <w:rPr>
          <w:i/>
          <w:iCs/>
        </w:rPr>
        <w:t xml:space="preserve"> przeciwko Bułgarii</w:t>
      </w:r>
      <w:r w:rsidR="00823544" w:rsidRPr="00D47FBC">
        <w:t>, skarga nr 48130/99, § 63, 12</w:t>
      </w:r>
      <w:r w:rsidR="003766C2">
        <w:t> </w:t>
      </w:r>
      <w:r w:rsidR="003E35BE" w:rsidRPr="00D47FBC">
        <w:t>kwietnia 2007 r.</w:t>
      </w:r>
      <w:r w:rsidR="00823544" w:rsidRPr="00D47FBC">
        <w:t xml:space="preserve"> oraz </w:t>
      </w:r>
      <w:r w:rsidR="00823544" w:rsidRPr="00D47FBC">
        <w:rPr>
          <w:i/>
          <w:iCs/>
        </w:rPr>
        <w:t>Lewandowski i Lewandowska przeciwko Polsce</w:t>
      </w:r>
      <w:r w:rsidR="00823544" w:rsidRPr="00D47FBC">
        <w:t xml:space="preserve">, </w:t>
      </w:r>
      <w:r w:rsidR="00823544" w:rsidRPr="00D47FBC">
        <w:lastRenderedPageBreak/>
        <w:t>skarga nr 15562/02, § 59, 13 stycznia 2009 r.). W przypadku doznania obrażeń z rąk policji ciężar wykazania, że siła była konieczna, spoczywa na</w:t>
      </w:r>
      <w:r w:rsidR="003766C2">
        <w:t> </w:t>
      </w:r>
      <w:r w:rsidR="00D47FBC" w:rsidRPr="00D47FBC">
        <w:t xml:space="preserve">Rządzie </w:t>
      </w:r>
      <w:r w:rsidR="00823544" w:rsidRPr="00D47FBC">
        <w:t xml:space="preserve">(zob. m.in. </w:t>
      </w:r>
      <w:proofErr w:type="spellStart"/>
      <w:r w:rsidR="00823544" w:rsidRPr="00D47FBC">
        <w:rPr>
          <w:i/>
          <w:iCs/>
        </w:rPr>
        <w:t>Rehbock</w:t>
      </w:r>
      <w:proofErr w:type="spellEnd"/>
      <w:r w:rsidR="00823544" w:rsidRPr="00D47FBC">
        <w:rPr>
          <w:i/>
          <w:iCs/>
        </w:rPr>
        <w:t xml:space="preserve"> przeciwko Słowenii</w:t>
      </w:r>
      <w:r w:rsidR="00823544" w:rsidRPr="00D47FBC">
        <w:t>, skarga nr 29462/95, §</w:t>
      </w:r>
      <w:r w:rsidR="003766C2">
        <w:t> </w:t>
      </w:r>
      <w:r w:rsidR="00823544" w:rsidRPr="00D47FBC">
        <w:t xml:space="preserve">72 </w:t>
      </w:r>
      <w:r w:rsidR="00823544" w:rsidRPr="00D47FBC">
        <w:rPr>
          <w:i/>
          <w:iCs/>
        </w:rPr>
        <w:t>in fine</w:t>
      </w:r>
      <w:r w:rsidR="003E35BE" w:rsidRPr="00D47FBC">
        <w:t xml:space="preserve">, </w:t>
      </w:r>
      <w:proofErr w:type="spellStart"/>
      <w:r w:rsidR="003E35BE" w:rsidRPr="00D47FBC">
        <w:t>ECTPCz</w:t>
      </w:r>
      <w:proofErr w:type="spellEnd"/>
      <w:r w:rsidR="003E35BE" w:rsidRPr="00D47FBC">
        <w:t xml:space="preserve"> 2000</w:t>
      </w:r>
      <w:r w:rsidR="003E35BE" w:rsidRPr="00D47FBC">
        <w:noBreakHyphen/>
        <w:t>XII,</w:t>
      </w:r>
      <w:r w:rsidR="00823544" w:rsidRPr="00D47FBC">
        <w:t xml:space="preserve"> </w:t>
      </w:r>
      <w:proofErr w:type="spellStart"/>
      <w:r w:rsidR="00823544" w:rsidRPr="00D47FBC">
        <w:rPr>
          <w:i/>
          <w:iCs/>
        </w:rPr>
        <w:t>Altay</w:t>
      </w:r>
      <w:proofErr w:type="spellEnd"/>
      <w:r w:rsidR="00823544" w:rsidRPr="00D47FBC">
        <w:rPr>
          <w:i/>
          <w:iCs/>
        </w:rPr>
        <w:t xml:space="preserve"> przeciwko Turcji</w:t>
      </w:r>
      <w:r w:rsidR="00823544" w:rsidRPr="00D47FBC">
        <w:t xml:space="preserve">, skarga nr </w:t>
      </w:r>
      <w:r w:rsidR="003E35BE" w:rsidRPr="00D47FBC">
        <w:t>22279/93, § 54, 22 maja 2001 r.</w:t>
      </w:r>
      <w:r w:rsidR="00823544" w:rsidRPr="00D47FBC">
        <w:t xml:space="preserve"> oraz </w:t>
      </w:r>
      <w:r w:rsidR="00823544" w:rsidRPr="00D47FBC">
        <w:rPr>
          <w:i/>
          <w:iCs/>
        </w:rPr>
        <w:t xml:space="preserve">Boris </w:t>
      </w:r>
      <w:proofErr w:type="spellStart"/>
      <w:r w:rsidR="00823544" w:rsidRPr="00D47FBC">
        <w:rPr>
          <w:i/>
          <w:iCs/>
        </w:rPr>
        <w:t>Kostadinov</w:t>
      </w:r>
      <w:proofErr w:type="spellEnd"/>
      <w:r w:rsidR="00823544" w:rsidRPr="00D47FBC">
        <w:rPr>
          <w:i/>
          <w:iCs/>
        </w:rPr>
        <w:t xml:space="preserve"> przeciwko Bułgarii</w:t>
      </w:r>
      <w:r w:rsidR="00823544" w:rsidRPr="00D47FBC">
        <w:t>, skarga nr</w:t>
      </w:r>
      <w:r w:rsidR="00C60FCD" w:rsidRPr="00D47FBC">
        <w:t> </w:t>
      </w:r>
      <w:r w:rsidR="00823544" w:rsidRPr="00D47FBC">
        <w:t xml:space="preserve">61701/11, </w:t>
      </w:r>
      <w:r w:rsidR="00823544" w:rsidRPr="00D47FBC">
        <w:rPr>
          <w:snapToGrid w:val="0"/>
        </w:rPr>
        <w:t>§ 53, 21 stycznia 2016 r.</w:t>
      </w:r>
      <w:r w:rsidR="00823544" w:rsidRPr="00D47FBC">
        <w:t xml:space="preserve">). Trybunał przywiązuje szczególną wagę do rodzaju doznanych obrażeń i okoliczności, w jakich użyto siły (zob. </w:t>
      </w:r>
      <w:r w:rsidR="00823544" w:rsidRPr="00D47FBC">
        <w:rPr>
          <w:i/>
          <w:iCs/>
        </w:rPr>
        <w:t>RL i M.-JD przeciwko Francji</w:t>
      </w:r>
      <w:r w:rsidR="00823544" w:rsidRPr="00D47FBC">
        <w:t xml:space="preserve">, skarga nr </w:t>
      </w:r>
      <w:r w:rsidR="003E35BE" w:rsidRPr="00D47FBC">
        <w:t>44568/98, § 68, 19 maja 2004 r.</w:t>
      </w:r>
      <w:r w:rsidR="00823544" w:rsidRPr="00D47FBC">
        <w:t xml:space="preserve"> oraz </w:t>
      </w:r>
      <w:proofErr w:type="spellStart"/>
      <w:r w:rsidR="00823544" w:rsidRPr="00D47FBC">
        <w:rPr>
          <w:i/>
          <w:iCs/>
        </w:rPr>
        <w:t>Tzekov</w:t>
      </w:r>
      <w:proofErr w:type="spellEnd"/>
      <w:r w:rsidR="00823544" w:rsidRPr="00D47FBC">
        <w:rPr>
          <w:i/>
          <w:iCs/>
        </w:rPr>
        <w:t xml:space="preserve"> przeciwko Bułgarii</w:t>
      </w:r>
      <w:r w:rsidR="00823544" w:rsidRPr="00D47FBC">
        <w:t>, skarga nr 45500/99, § 57, 23 lutego 2006 r.).</w:t>
      </w:r>
    </w:p>
    <w:p w14:paraId="32127D9F" w14:textId="25236376" w:rsidR="00F42FA3" w:rsidRPr="00D47FBC" w:rsidRDefault="0042798A" w:rsidP="00485F6D">
      <w:pPr>
        <w:pStyle w:val="JuPara"/>
      </w:pPr>
      <w:r>
        <w:t>74</w:t>
      </w:r>
      <w:r w:rsidR="0090708F" w:rsidRPr="00D47FBC">
        <w:t>.</w:t>
      </w:r>
      <w:r w:rsidR="007C0D3E">
        <w:t xml:space="preserve"> </w:t>
      </w:r>
      <w:r w:rsidR="0090708F" w:rsidRPr="00D47FBC">
        <w:t>Trybunał przypomina, że nawet w najtrudniejszych okolicznościach, takich jak walka z terroryzmem i przestępczością zorganizowaną, art. 3 bezwzględnie zakazuje stosowania tortur i nieludzkiego lub poniżającego traktowania albo karania, niezależnie od zachowania danej osoby (zob.</w:t>
      </w:r>
      <w:r w:rsidR="003766C2">
        <w:t> </w:t>
      </w:r>
      <w:r w:rsidR="0090708F" w:rsidRPr="00D47FBC">
        <w:t xml:space="preserve">m.in. </w:t>
      </w:r>
      <w:proofErr w:type="spellStart"/>
      <w:r w:rsidR="0090708F" w:rsidRPr="00D47FBC">
        <w:rPr>
          <w:i/>
          <w:iCs/>
        </w:rPr>
        <w:t>Gäfgen</w:t>
      </w:r>
      <w:proofErr w:type="spellEnd"/>
      <w:r w:rsidR="0090708F" w:rsidRPr="00D47FBC">
        <w:rPr>
          <w:i/>
          <w:iCs/>
        </w:rPr>
        <w:t xml:space="preserve"> przeciwko Niemcom</w:t>
      </w:r>
      <w:r w:rsidR="0090708F" w:rsidRPr="00D47FBC">
        <w:t xml:space="preserve"> [WI], skarga nr 22978/</w:t>
      </w:r>
      <w:r w:rsidR="003E35BE" w:rsidRPr="00D47FBC">
        <w:t>05, § 87, ETPCz 2010</w:t>
      </w:r>
      <w:r w:rsidR="0090708F" w:rsidRPr="00D47FBC">
        <w:t xml:space="preserve"> oraz </w:t>
      </w:r>
      <w:r w:rsidR="0090708F" w:rsidRPr="00D47FBC">
        <w:rPr>
          <w:i/>
          <w:iCs/>
        </w:rPr>
        <w:t>El</w:t>
      </w:r>
      <w:r w:rsidR="0090708F" w:rsidRPr="00D47FBC">
        <w:rPr>
          <w:i/>
          <w:iCs/>
        </w:rPr>
        <w:noBreakHyphen/>
      </w:r>
      <w:proofErr w:type="spellStart"/>
      <w:r w:rsidR="0090708F" w:rsidRPr="00D47FBC">
        <w:rPr>
          <w:i/>
          <w:iCs/>
        </w:rPr>
        <w:t>Masri</w:t>
      </w:r>
      <w:proofErr w:type="spellEnd"/>
      <w:r w:rsidR="0090708F" w:rsidRPr="00D47FBC">
        <w:t xml:space="preserve">, </w:t>
      </w:r>
      <w:r w:rsidR="0090708F" w:rsidRPr="00D47FBC">
        <w:rPr>
          <w:i/>
          <w:iCs/>
        </w:rPr>
        <w:t>op. cit.</w:t>
      </w:r>
      <w:r w:rsidR="0090708F" w:rsidRPr="00D47FBC">
        <w:t>, § 195). Ponadto osoby rzeczywiście pozbawione wolności, a szerzej wszystkie osoby pozostające pod kontrolą policji lub podobnego organu, znajdują się w</w:t>
      </w:r>
      <w:r w:rsidR="00A77AE8">
        <w:t xml:space="preserve">e wrażliwym </w:t>
      </w:r>
      <w:r w:rsidR="0090708F" w:rsidRPr="00D47FBC">
        <w:t>położeniu. W</w:t>
      </w:r>
      <w:r w:rsidR="003766C2">
        <w:t> </w:t>
      </w:r>
      <w:r w:rsidR="0090708F" w:rsidRPr="00D47FBC">
        <w:t xml:space="preserve">związku z powyższym władze mają obowiązek je chronić (zob. </w:t>
      </w:r>
      <w:r w:rsidR="0090708F" w:rsidRPr="00D47FBC">
        <w:rPr>
          <w:i/>
          <w:iCs/>
        </w:rPr>
        <w:t>Bouyid</w:t>
      </w:r>
      <w:r w:rsidR="0090708F" w:rsidRPr="00D47FBC">
        <w:t xml:space="preserve">, § 107, </w:t>
      </w:r>
      <w:r w:rsidR="0090708F" w:rsidRPr="00D47FBC">
        <w:rPr>
          <w:i/>
          <w:iCs/>
        </w:rPr>
        <w:t>op. cit.</w:t>
      </w:r>
      <w:r w:rsidR="0090708F" w:rsidRPr="00D47FBC">
        <w:t>).</w:t>
      </w:r>
    </w:p>
    <w:p w14:paraId="0A6A090B" w14:textId="21F903D1" w:rsidR="00F42FA3" w:rsidRPr="00D47FBC" w:rsidRDefault="0042798A" w:rsidP="00485F6D">
      <w:pPr>
        <w:pStyle w:val="JuPara"/>
      </w:pPr>
      <w:r>
        <w:t>75</w:t>
      </w:r>
      <w:r w:rsidR="00CB16A4" w:rsidRPr="00D47FBC">
        <w:t>.</w:t>
      </w:r>
      <w:r w:rsidR="007C0D3E">
        <w:t xml:space="preserve"> </w:t>
      </w:r>
      <w:r w:rsidR="00CB16A4" w:rsidRPr="00D47FBC">
        <w:t xml:space="preserve">Zdaniem Trybunału konieczne jest rozróżnienie dwóch etapów </w:t>
      </w:r>
      <w:r w:rsidR="00CB6181">
        <w:t>czynności</w:t>
      </w:r>
      <w:r w:rsidR="00A77AE8">
        <w:t xml:space="preserve"> </w:t>
      </w:r>
      <w:r w:rsidR="00CB16A4" w:rsidRPr="00D47FBC">
        <w:t>policyjnej. Pierwszy etap trwał do momentu ujęcia skarżącego i</w:t>
      </w:r>
      <w:r w:rsidR="003766C2">
        <w:t> </w:t>
      </w:r>
      <w:r w:rsidR="00CB16A4" w:rsidRPr="00D47FBC">
        <w:t xml:space="preserve">założenia mu kajdanek, tj. znalezienia się pod faktyczną kontrolą funkcjonariuszy policji. Drugi etap dotyczył okresu po </w:t>
      </w:r>
      <w:r w:rsidR="0077458E" w:rsidRPr="00D47FBC">
        <w:t xml:space="preserve">obezwładnieniu </w:t>
      </w:r>
      <w:r w:rsidR="00CB16A4" w:rsidRPr="00D47FBC">
        <w:t>skarżącego.</w:t>
      </w:r>
    </w:p>
    <w:p w14:paraId="20E99B07" w14:textId="0A15478F" w:rsidR="00F42FA3" w:rsidRPr="00D47FBC" w:rsidRDefault="0042798A" w:rsidP="00485F6D">
      <w:pPr>
        <w:pStyle w:val="JuPara"/>
      </w:pPr>
      <w:r>
        <w:t>76</w:t>
      </w:r>
      <w:r w:rsidR="004467F8" w:rsidRPr="00D47FBC">
        <w:t>.</w:t>
      </w:r>
      <w:r w:rsidR="007C0D3E">
        <w:t xml:space="preserve"> </w:t>
      </w:r>
      <w:r w:rsidR="004467F8" w:rsidRPr="00D47FBC">
        <w:t>W odniesieniu do pierwszego etapu Trybunał zauważa, że</w:t>
      </w:r>
      <w:r w:rsidR="00C60FCD" w:rsidRPr="00D47FBC">
        <w:t> </w:t>
      </w:r>
      <w:r w:rsidR="004467F8" w:rsidRPr="00D47FBC">
        <w:t>prokurator wskazał, że funkcjonariusz R. użył paralizatora elektrycznego, ponieważ</w:t>
      </w:r>
      <w:r w:rsidR="003766C2">
        <w:t> </w:t>
      </w:r>
      <w:r w:rsidR="004467F8" w:rsidRPr="00D47FBC">
        <w:t xml:space="preserve">skarżący, leżąc na podłodze, trzymał ręce pod ciałem, odmówił założenia kajdanek i </w:t>
      </w:r>
      <w:r w:rsidR="004467F8" w:rsidRPr="00FF092E">
        <w:t xml:space="preserve">usiłował </w:t>
      </w:r>
      <w:r w:rsidR="00A77AE8" w:rsidRPr="00FF092E">
        <w:t>zrzucić</w:t>
      </w:r>
      <w:r w:rsidR="004467F8" w:rsidRPr="00FF092E">
        <w:t xml:space="preserve"> funkcjonariusza</w:t>
      </w:r>
      <w:r w:rsidR="004467F8" w:rsidRPr="00D47FBC">
        <w:t>. Wygląda na to, że</w:t>
      </w:r>
      <w:r w:rsidR="003766C2">
        <w:t> </w:t>
      </w:r>
      <w:r w:rsidR="004467F8" w:rsidRPr="00D47FBC">
        <w:t>prokurator przyznał, że wobec skarżącego nie zastosowano innych środków przymusu bezpośredniego (zob. paragrafy 32–33 i 35 powyżej). Rząd twierdził, że zastosowanie środków przymusu bezpośredniego spowodowane było niepodporządkowanie się przez skarżącego poleceniom policjantów (zob. paragraf 64 powyżej). Skarżący twierdził natomiast, że</w:t>
      </w:r>
      <w:r w:rsidR="003766C2">
        <w:t> </w:t>
      </w:r>
      <w:r w:rsidR="004467F8" w:rsidRPr="00D47FBC">
        <w:t>wykonywał polecenia, a mimo to był uderzany i</w:t>
      </w:r>
      <w:r w:rsidR="00C60FCD" w:rsidRPr="00D47FBC">
        <w:t> </w:t>
      </w:r>
      <w:r w:rsidR="004467F8" w:rsidRPr="00D47FBC">
        <w:t>kopany przez</w:t>
      </w:r>
      <w:r w:rsidR="003766C2">
        <w:t> </w:t>
      </w:r>
      <w:r w:rsidR="004467F8" w:rsidRPr="00D47FBC">
        <w:t>funkcjonariuszy (zob. paragrafy 20 i 58 powyżej). Uwzględniając sprzeczne wyjaśnienia/zeznania, a także uchybienia stwierdzone w</w:t>
      </w:r>
      <w:r w:rsidR="003766C2">
        <w:t> </w:t>
      </w:r>
      <w:r w:rsidR="004467F8" w:rsidRPr="00D47FBC">
        <w:t>postępowaniu przygotowawczym (zob. paragrafy 90–94 poniżej), Trybunał nie jest w stanie ustalić, czy użycie siły przez policjantów na</w:t>
      </w:r>
      <w:r w:rsidR="003766C2">
        <w:t> </w:t>
      </w:r>
      <w:r w:rsidR="004467F8" w:rsidRPr="00D47FBC">
        <w:t xml:space="preserve">pierwszym etapie </w:t>
      </w:r>
      <w:r w:rsidR="00CB6181" w:rsidRPr="00D47FBC">
        <w:t xml:space="preserve">czynności </w:t>
      </w:r>
      <w:r w:rsidR="004467F8" w:rsidRPr="00D47FBC">
        <w:t xml:space="preserve">było nadmierne (zob., </w:t>
      </w:r>
      <w:r w:rsidR="004467F8" w:rsidRPr="00D47FBC">
        <w:rPr>
          <w:i/>
          <w:iCs/>
        </w:rPr>
        <w:t>mutatis mutandis</w:t>
      </w:r>
      <w:r w:rsidR="004467F8" w:rsidRPr="00D47FBC">
        <w:t xml:space="preserve">, </w:t>
      </w:r>
      <w:proofErr w:type="spellStart"/>
      <w:r w:rsidR="004467F8" w:rsidRPr="00D47FBC">
        <w:rPr>
          <w:rStyle w:val="JuCaseChar"/>
          <w:b w:val="0"/>
          <w:i/>
          <w:iCs/>
        </w:rPr>
        <w:t>Karbowniczek</w:t>
      </w:r>
      <w:proofErr w:type="spellEnd"/>
      <w:r w:rsidR="004467F8" w:rsidRPr="00D47FBC">
        <w:rPr>
          <w:rStyle w:val="JuCaseChar"/>
          <w:b w:val="0"/>
          <w:i/>
          <w:iCs/>
        </w:rPr>
        <w:t xml:space="preserve"> przeciwko Polsce</w:t>
      </w:r>
      <w:r w:rsidR="004467F8" w:rsidRPr="00D47FBC">
        <w:t>, skarga nr 22339/08, §</w:t>
      </w:r>
      <w:r w:rsidR="00743647" w:rsidRPr="00D47FBC">
        <w:t> </w:t>
      </w:r>
      <w:r w:rsidR="004467F8" w:rsidRPr="00D47FBC">
        <w:t>58, 27 września 2011 r.). W jego ocenie nie ma potrzeby dalszego badania tej sprawy, ponieważ w każdym razie dochodzi do naruszenia art. 3 Konwencji z</w:t>
      </w:r>
      <w:r w:rsidR="003766C2">
        <w:t> </w:t>
      </w:r>
      <w:r w:rsidR="004467F8" w:rsidRPr="00D47FBC">
        <w:t>przyczyn wskazanych poniżej.</w:t>
      </w:r>
    </w:p>
    <w:p w14:paraId="3CED1F94" w14:textId="14A12068" w:rsidR="00F42FA3" w:rsidRPr="00D47FBC" w:rsidRDefault="0042798A" w:rsidP="00485F6D">
      <w:pPr>
        <w:pStyle w:val="JuPara"/>
      </w:pPr>
      <w:r>
        <w:lastRenderedPageBreak/>
        <w:t>77</w:t>
      </w:r>
      <w:r w:rsidR="00F16AC9" w:rsidRPr="00D47FBC">
        <w:t>.</w:t>
      </w:r>
      <w:r w:rsidR="007C0D3E">
        <w:t xml:space="preserve"> </w:t>
      </w:r>
      <w:r w:rsidR="00F16AC9" w:rsidRPr="00D47FBC">
        <w:t xml:space="preserve">Trybunał musi </w:t>
      </w:r>
      <w:r w:rsidR="00A77AE8">
        <w:t>w istocie</w:t>
      </w:r>
      <w:r w:rsidR="00F16AC9" w:rsidRPr="00D47FBC">
        <w:t xml:space="preserve"> ocenić użycie siły w okresie następującym po </w:t>
      </w:r>
      <w:r w:rsidR="0077458E" w:rsidRPr="00D47FBC">
        <w:t xml:space="preserve">obezwładnieniu </w:t>
      </w:r>
      <w:r w:rsidR="00F16AC9" w:rsidRPr="00D47FBC">
        <w:t>skarżącego. Ustalono już, że skarżący miał podbiegnięcia krwawe i obrzęk lewej części twarzy, a także podbiegnięcia krwawe na lewym ramieniu i bocznej części tułowia. Biegły z zakresu medycyny sądowej wskazał, że podbiegnięcia krwawe na twarzy i</w:t>
      </w:r>
      <w:r w:rsidR="00C60FCD" w:rsidRPr="00D47FBC">
        <w:t> </w:t>
      </w:r>
      <w:r w:rsidR="00F16AC9" w:rsidRPr="00D47FBC">
        <w:t>tułowiu mogły wynikać z kopnięć. Ustalenia te wydają się być zbieżne ze złożoną przez skarżącego relacją z przebiegu jego zatrzymania. Na podstawie dostępnego materiału Trybunał nie jest w stanie dokładnie określić, w</w:t>
      </w:r>
      <w:r w:rsidR="003766C2">
        <w:t> </w:t>
      </w:r>
      <w:r w:rsidR="00F16AC9" w:rsidRPr="00D47FBC">
        <w:t>jaki</w:t>
      </w:r>
      <w:r w:rsidR="003766C2">
        <w:t> </w:t>
      </w:r>
      <w:r w:rsidR="00F16AC9" w:rsidRPr="00D47FBC">
        <w:t>sposób doszło do zadania przedmiotowych obrażeń na twarzy, lewym ramieniu i w bocznej części tułowia skarżącego. Zauważa, że</w:t>
      </w:r>
      <w:r w:rsidR="003766C2">
        <w:t> </w:t>
      </w:r>
      <w:r w:rsidR="00F16AC9" w:rsidRPr="00D47FBC">
        <w:t>prokurator nie wyjaśnił pochodzenia tych obrażeń, lecz stwierdził, że</w:t>
      </w:r>
      <w:r w:rsidR="003766C2">
        <w:t> </w:t>
      </w:r>
      <w:r w:rsidR="00F16AC9" w:rsidRPr="00D47FBC">
        <w:t>nie</w:t>
      </w:r>
      <w:r w:rsidR="003766C2">
        <w:t> </w:t>
      </w:r>
      <w:r w:rsidR="00F16AC9" w:rsidRPr="00D47FBC">
        <w:t xml:space="preserve">może przypisać ich działaniom policjantów. Jednocześnie prokurator zasugerował, że obrażenia były skutkiem ubocznym </w:t>
      </w:r>
      <w:r w:rsidR="00CB6181">
        <w:t>czynności</w:t>
      </w:r>
      <w:r w:rsidR="00A77AE8">
        <w:t xml:space="preserve"> </w:t>
      </w:r>
      <w:r w:rsidR="00F16AC9" w:rsidRPr="00D47FBC">
        <w:t>policyjnej, która wymagała sprawnego przeprowadzenia. Trybunał nie może zgodzić się z tym stwierdzeniem. Stwierdza, że ani prokurator ani Rząd nie</w:t>
      </w:r>
      <w:r w:rsidR="003766C2">
        <w:t> </w:t>
      </w:r>
      <w:r w:rsidR="00F16AC9" w:rsidRPr="00D47FBC">
        <w:t>przedstawili dowodów na to, że w okresie następującym po</w:t>
      </w:r>
      <w:r w:rsidR="003766C2">
        <w:t> </w:t>
      </w:r>
      <w:r w:rsidR="00CB6181" w:rsidRPr="00D47FBC">
        <w:t xml:space="preserve">obezwładnieniu </w:t>
      </w:r>
      <w:r w:rsidR="00F16AC9" w:rsidRPr="00D47FBC">
        <w:t xml:space="preserve">skarżącego jego zachowanie mogło uzasadniać użycie wobec niego siły, co spowodowało powstanie obrażeń. Tym samym Rząd nie wykazał, że użycie przez policjantów siły na tym etapie </w:t>
      </w:r>
      <w:r w:rsidR="00CB6181" w:rsidRPr="00D47FBC">
        <w:t xml:space="preserve">czynności </w:t>
      </w:r>
      <w:r w:rsidR="00F16AC9" w:rsidRPr="00D47FBC">
        <w:t>policyjnej było bezwzględnie konieczne.</w:t>
      </w:r>
    </w:p>
    <w:p w14:paraId="6FE147E8" w14:textId="310A1B7B" w:rsidR="00242687" w:rsidRPr="00D47FBC" w:rsidRDefault="0042798A" w:rsidP="00A469A5">
      <w:pPr>
        <w:pStyle w:val="JuPara"/>
      </w:pPr>
      <w:r>
        <w:t>78</w:t>
      </w:r>
      <w:r w:rsidR="00D67E7D" w:rsidRPr="00D47FBC">
        <w:t>.</w:t>
      </w:r>
      <w:r w:rsidR="007C0D3E">
        <w:t xml:space="preserve"> </w:t>
      </w:r>
      <w:r w:rsidR="00D67E7D" w:rsidRPr="00D47FBC">
        <w:t xml:space="preserve">Skarżący skarżył się również na wielokrotne stosowanie paralizatora elektrycznego i bicie po tym, jak został </w:t>
      </w:r>
      <w:r w:rsidR="00CB6181" w:rsidRPr="00D47FBC">
        <w:t xml:space="preserve">obezwładniony </w:t>
      </w:r>
      <w:r w:rsidR="00D67E7D" w:rsidRPr="00D47FBC">
        <w:t>w</w:t>
      </w:r>
      <w:r w:rsidR="00C60FCD" w:rsidRPr="00D47FBC">
        <w:t> </w:t>
      </w:r>
      <w:r w:rsidR="00D67E7D" w:rsidRPr="00D47FBC">
        <w:t>mieszkaniu i</w:t>
      </w:r>
      <w:r w:rsidR="003766C2">
        <w:t> </w:t>
      </w:r>
      <w:r w:rsidR="00D67E7D" w:rsidRPr="00D47FBC">
        <w:t>w</w:t>
      </w:r>
      <w:r w:rsidR="003766C2">
        <w:t> </w:t>
      </w:r>
      <w:r w:rsidR="00D67E7D" w:rsidRPr="00D47FBC">
        <w:t>drodze na komisariat policji (zob. paragraf 20 powyżej). W związku z</w:t>
      </w:r>
      <w:r w:rsidR="003766C2">
        <w:t> </w:t>
      </w:r>
      <w:r w:rsidR="00D67E7D" w:rsidRPr="00D47FBC">
        <w:t>powyższym Trybunał zauważa, że pozostaje niejasne, ile razy funkcjonariusze użyli paralizatora, lecz z zeznań dokonującego zatrzymania funkcjonariusza R. wynika, że użył go więcej niż raz (zob. paragraf 32 powyżej). Poza ogólnym stwierdzeniem, że broni użyto zgodnie z</w:t>
      </w:r>
      <w:r w:rsidR="00C60FCD" w:rsidRPr="00D47FBC">
        <w:t> </w:t>
      </w:r>
      <w:r w:rsidR="00D67E7D" w:rsidRPr="00D47FBC">
        <w:t>procedurą, postępowanie przygotowawcze nie przyczyniło się do</w:t>
      </w:r>
      <w:r w:rsidR="003766C2">
        <w:t> </w:t>
      </w:r>
      <w:r w:rsidR="00D67E7D" w:rsidRPr="00D47FBC">
        <w:t>wyjaśnienia tej istotnej okoliczności. Skarżący twierdził, że</w:t>
      </w:r>
      <w:r w:rsidR="003766C2">
        <w:t> </w:t>
      </w:r>
      <w:r w:rsidR="00D67E7D" w:rsidRPr="00D47FBC">
        <w:t>funkcjonariusze wielokrotnie razili go paralizatorem w różne części ciała. To twierdzenie o</w:t>
      </w:r>
      <w:r w:rsidR="007D5E66" w:rsidRPr="00D47FBC">
        <w:t> </w:t>
      </w:r>
      <w:r w:rsidR="00D67E7D" w:rsidRPr="00D47FBC">
        <w:t>wielokrotnym stosowaniu paralizatora wydaje się znajdować potwierdzenie w obdukcji, w której stwierdzono, że kanciaste otarcia na plecach skarżącego mogły powstać w wyniku użycia tego rodzaju broni. Sposób użycia paralizatora i ślady pozostawione na plecach skarżącego świadczą o użyciu paralizatora w trybie „zbliżeniowym” (paraliżującym). CPT zauważył, że ten sposób użycia powoduje bardzo intensywny, zlokalizowany ból, z możliwością oparzeń skóry (zob. paragraf 53 powyżej)</w:t>
      </w:r>
      <w:r w:rsidR="00A469A5" w:rsidRPr="00D47FBC">
        <w:t>.</w:t>
      </w:r>
    </w:p>
    <w:p w14:paraId="309072A3" w14:textId="369EDAC2" w:rsidR="003B384E" w:rsidRPr="00D47FBC" w:rsidRDefault="0042798A" w:rsidP="003B384E">
      <w:pPr>
        <w:ind w:firstLine="284"/>
        <w:jc w:val="both"/>
      </w:pPr>
      <w:r>
        <w:t>79</w:t>
      </w:r>
      <w:r w:rsidR="003B384E" w:rsidRPr="00D47FBC">
        <w:t>.</w:t>
      </w:r>
      <w:r w:rsidR="007C0D3E">
        <w:t xml:space="preserve"> </w:t>
      </w:r>
      <w:r w:rsidR="003B384E" w:rsidRPr="00D47FBC">
        <w:t>W tym względzie Trybunał zauważa ponadto, że art. 16 ustawy o</w:t>
      </w:r>
      <w:r w:rsidR="007D5E66" w:rsidRPr="00D47FBC">
        <w:t> </w:t>
      </w:r>
      <w:r w:rsidR="003B384E" w:rsidRPr="00D47FBC">
        <w:t>Policji, w obowiązującym wówczas brzmieniu, pozwalał jedynie na</w:t>
      </w:r>
      <w:r w:rsidR="003766C2">
        <w:t> </w:t>
      </w:r>
      <w:r w:rsidR="003B384E" w:rsidRPr="00D47FBC">
        <w:t>użycie siły niezbędnej do zapewnienia podporządkowania się poleceniom. Ponadto odpowiednie rozporządzenie przewidywało możliwość użycia siły przez policjanta wyłącznie po uprzedzeniu, chyba</w:t>
      </w:r>
      <w:r w:rsidR="003766C2">
        <w:t> </w:t>
      </w:r>
      <w:r w:rsidR="003B384E" w:rsidRPr="00D47FBC">
        <w:t>że</w:t>
      </w:r>
      <w:r w:rsidR="003766C2">
        <w:t> </w:t>
      </w:r>
      <w:r w:rsidR="003B384E" w:rsidRPr="00D47FBC">
        <w:t xml:space="preserve">zwłoka groziłaby niebezpieczeństwem dla życia, zdrowia </w:t>
      </w:r>
      <w:r w:rsidR="003B384E" w:rsidRPr="00D47FBC">
        <w:lastRenderedPageBreak/>
        <w:t>lub</w:t>
      </w:r>
      <w:r w:rsidR="003766C2">
        <w:t> </w:t>
      </w:r>
      <w:r w:rsidR="003B384E" w:rsidRPr="00D47FBC">
        <w:t>mienia (§ 1</w:t>
      </w:r>
      <w:r w:rsidR="003E35BE" w:rsidRPr="00D47FBC">
        <w:t xml:space="preserve"> ust. </w:t>
      </w:r>
      <w:r w:rsidR="003B384E" w:rsidRPr="00D47FBC">
        <w:t>2 i § 1</w:t>
      </w:r>
      <w:r w:rsidR="003E35BE" w:rsidRPr="00D47FBC">
        <w:t xml:space="preserve"> ust.</w:t>
      </w:r>
      <w:r w:rsidR="00B301F5">
        <w:t xml:space="preserve"> </w:t>
      </w:r>
      <w:r w:rsidR="003B384E" w:rsidRPr="00D47FBC">
        <w:t>3). Przepisy § 8 rozporządzenia przewidywał również możliwość zastosowania paralizatora, jeżeli zastosowanie innych środków przymusu bezpośredniego było niemożliwe albo okazało się bezskuteczne (zob. paragrafy 49–51 powyżej).</w:t>
      </w:r>
    </w:p>
    <w:p w14:paraId="308AABA9" w14:textId="41E2392B" w:rsidR="003B384E" w:rsidRPr="00D47FBC" w:rsidRDefault="0042798A" w:rsidP="003B384E">
      <w:pPr>
        <w:ind w:firstLine="284"/>
        <w:jc w:val="both"/>
      </w:pPr>
      <w:r>
        <w:t>80</w:t>
      </w:r>
      <w:r w:rsidR="003B384E" w:rsidRPr="00D47FBC">
        <w:t>.</w:t>
      </w:r>
      <w:r w:rsidR="007C0D3E">
        <w:t xml:space="preserve"> </w:t>
      </w:r>
      <w:r w:rsidR="003B384E" w:rsidRPr="00D47FBC">
        <w:t xml:space="preserve">Mając na uwadze powyższe, Trybunał stwierdza, że nie wykazano, </w:t>
      </w:r>
      <w:r w:rsidR="00FF092E">
        <w:t>by</w:t>
      </w:r>
      <w:r w:rsidR="00B301F5">
        <w:t xml:space="preserve"> </w:t>
      </w:r>
      <w:r w:rsidR="003B384E" w:rsidRPr="00D47FBC">
        <w:t xml:space="preserve">użycie siły przez policję w okresie następującym po </w:t>
      </w:r>
      <w:r w:rsidR="00CB6181" w:rsidRPr="00D47FBC">
        <w:t xml:space="preserve">obezwładnieniu </w:t>
      </w:r>
      <w:r w:rsidR="003B384E" w:rsidRPr="00D47FBC">
        <w:t xml:space="preserve">skarżącego </w:t>
      </w:r>
      <w:r w:rsidR="003B384E" w:rsidRPr="00FF092E">
        <w:t xml:space="preserve">było niezbędne ze względu na zachowanie skarżącego, </w:t>
      </w:r>
      <w:r w:rsidR="0095428D" w:rsidRPr="00FF092E">
        <w:t xml:space="preserve">i </w:t>
      </w:r>
      <w:r w:rsidR="003B384E" w:rsidRPr="00FF092E">
        <w:t>tym</w:t>
      </w:r>
      <w:r w:rsidR="003766C2" w:rsidRPr="00FF092E">
        <w:t> </w:t>
      </w:r>
      <w:r w:rsidR="003B384E" w:rsidRPr="00FF092E">
        <w:t xml:space="preserve">samym </w:t>
      </w:r>
      <w:r w:rsidR="00DA0820" w:rsidRPr="008D7E52">
        <w:t>[</w:t>
      </w:r>
      <w:r w:rsidR="00B301F5" w:rsidRPr="008D7E52">
        <w:t>było</w:t>
      </w:r>
      <w:r w:rsidR="00C85C3B">
        <w:t xml:space="preserve"> ono</w:t>
      </w:r>
      <w:r w:rsidR="00DA0820" w:rsidRPr="008D7E52">
        <w:t>]</w:t>
      </w:r>
      <w:r w:rsidR="005B4164" w:rsidRPr="008D7E52">
        <w:t xml:space="preserve"> </w:t>
      </w:r>
      <w:r w:rsidR="003B384E" w:rsidRPr="008D7E52">
        <w:t>nadmierne</w:t>
      </w:r>
      <w:r w:rsidR="003B384E" w:rsidRPr="00FF092E">
        <w:t>.</w:t>
      </w:r>
      <w:r w:rsidR="003B384E" w:rsidRPr="00D47FBC">
        <w:t xml:space="preserve"> Ponadto wydawało się niezgodne z</w:t>
      </w:r>
      <w:r w:rsidR="007D5E66" w:rsidRPr="00D47FBC">
        <w:t> </w:t>
      </w:r>
      <w:r w:rsidR="003B384E" w:rsidRPr="00D47FBC">
        <w:t>polskim prawem, które wymagało, by użycie siły było ograniczone do</w:t>
      </w:r>
      <w:r w:rsidR="007D5E66" w:rsidRPr="00D47FBC">
        <w:t> </w:t>
      </w:r>
      <w:r w:rsidR="003B384E" w:rsidRPr="00D47FBC">
        <w:t>osiągnięcia podporządkowania się poleceniom policjantów.</w:t>
      </w:r>
    </w:p>
    <w:p w14:paraId="52E84112" w14:textId="3A40C891" w:rsidR="003B384E" w:rsidRPr="00D47FBC" w:rsidRDefault="0042798A" w:rsidP="003B384E">
      <w:pPr>
        <w:ind w:firstLine="284"/>
        <w:jc w:val="both"/>
      </w:pPr>
      <w:r>
        <w:t>81</w:t>
      </w:r>
      <w:r w:rsidR="003B384E" w:rsidRPr="00D47FBC">
        <w:t>.</w:t>
      </w:r>
      <w:r w:rsidR="007C0D3E">
        <w:t xml:space="preserve"> </w:t>
      </w:r>
      <w:r w:rsidR="003B384E" w:rsidRPr="00D47FBC">
        <w:t>Biorąc pod uwagę charakter obrażeń skarżącego oraz związane z</w:t>
      </w:r>
      <w:r w:rsidR="007D5E66" w:rsidRPr="00D47FBC">
        <w:t> </w:t>
      </w:r>
      <w:r w:rsidR="003B384E" w:rsidRPr="00D47FBC">
        <w:t>nimi cierpienie fizyczne i psychiczne, Trybunał stwierdza, że</w:t>
      </w:r>
      <w:r w:rsidR="007D5E66" w:rsidRPr="00D47FBC">
        <w:t> </w:t>
      </w:r>
      <w:r w:rsidR="003B384E" w:rsidRPr="00D47FBC">
        <w:t xml:space="preserve">przedmiotowe traktowanie w okresie następującym po </w:t>
      </w:r>
      <w:r w:rsidR="00CB6181" w:rsidRPr="00D47FBC">
        <w:t xml:space="preserve">obezwładnieniu </w:t>
      </w:r>
      <w:r w:rsidR="003B384E" w:rsidRPr="00D47FBC">
        <w:t>skarżącego stanowiło nieludzkie i poniżające traktowanie.</w:t>
      </w:r>
    </w:p>
    <w:p w14:paraId="33151EBD" w14:textId="5FD19546" w:rsidR="003B384E" w:rsidRPr="00D47FBC" w:rsidRDefault="0042798A" w:rsidP="003B384E">
      <w:pPr>
        <w:ind w:firstLine="284"/>
        <w:jc w:val="both"/>
      </w:pPr>
      <w:r>
        <w:t>82</w:t>
      </w:r>
      <w:r w:rsidR="003B384E" w:rsidRPr="00D47FBC">
        <w:t>.</w:t>
      </w:r>
      <w:r w:rsidR="007C0D3E">
        <w:t xml:space="preserve"> </w:t>
      </w:r>
      <w:r w:rsidR="003B384E" w:rsidRPr="00D47FBC">
        <w:t>W związku z powyższym doszło do naruszenia art. </w:t>
      </w:r>
      <w:r w:rsidR="003E35BE" w:rsidRPr="00D47FBC">
        <w:t>3</w:t>
      </w:r>
      <w:r w:rsidR="003B384E" w:rsidRPr="00D47FBC">
        <w:t xml:space="preserve"> Konwencji w</w:t>
      </w:r>
      <w:r w:rsidR="007D5E66" w:rsidRPr="00D47FBC">
        <w:t> </w:t>
      </w:r>
      <w:r w:rsidR="003B384E" w:rsidRPr="00D47FBC">
        <w:t>jego aspekcie materialnym.</w:t>
      </w:r>
    </w:p>
    <w:p w14:paraId="4C491246" w14:textId="77777777" w:rsidR="003B384E" w:rsidRPr="00D47FBC" w:rsidRDefault="003B384E" w:rsidP="003B384E">
      <w:pPr>
        <w:keepNext/>
        <w:keepLines/>
        <w:numPr>
          <w:ilvl w:val="3"/>
          <w:numId w:val="1"/>
        </w:numPr>
        <w:spacing w:before="100" w:beforeAutospacing="1" w:after="120"/>
        <w:jc w:val="both"/>
        <w:outlineLvl w:val="3"/>
        <w:rPr>
          <w:i/>
        </w:rPr>
      </w:pPr>
      <w:r w:rsidRPr="00D47FBC">
        <w:rPr>
          <w:i/>
        </w:rPr>
        <w:t>Aspekt proceduralny art. 3</w:t>
      </w:r>
    </w:p>
    <w:p w14:paraId="2A4EEA90" w14:textId="77777777" w:rsidR="003B384E" w:rsidRPr="00D47FBC" w:rsidRDefault="003B384E" w:rsidP="003B384E">
      <w:pPr>
        <w:keepNext/>
        <w:keepLines/>
        <w:numPr>
          <w:ilvl w:val="4"/>
          <w:numId w:val="1"/>
        </w:numPr>
        <w:spacing w:before="100" w:beforeAutospacing="1" w:after="120"/>
        <w:jc w:val="both"/>
        <w:outlineLvl w:val="4"/>
        <w:rPr>
          <w:b/>
          <w:sz w:val="20"/>
        </w:rPr>
      </w:pPr>
      <w:r w:rsidRPr="00D47FBC">
        <w:rPr>
          <w:b/>
          <w:sz w:val="20"/>
        </w:rPr>
        <w:t>Stanowisko skarżącego</w:t>
      </w:r>
    </w:p>
    <w:p w14:paraId="308955B4" w14:textId="0AF6A1A6" w:rsidR="003B384E" w:rsidRPr="00D47FBC" w:rsidRDefault="0042798A" w:rsidP="003B384E">
      <w:pPr>
        <w:ind w:firstLine="284"/>
        <w:jc w:val="both"/>
      </w:pPr>
      <w:r>
        <w:t>83</w:t>
      </w:r>
      <w:r w:rsidR="003B384E" w:rsidRPr="00D47FBC">
        <w:t>.</w:t>
      </w:r>
      <w:r w:rsidR="007C0D3E">
        <w:t xml:space="preserve"> </w:t>
      </w:r>
      <w:r w:rsidR="003B384E" w:rsidRPr="00D47FBC">
        <w:t>Skarżący twierdził, że postępowanie przygotowawcze w niniejszej sprawie było pobieżne. Podstawą odmowy uznania, że skarżący padł ofiarą złego traktowania, były wyłącznie zeznania funkcjonariuszy policji. Wszyscy funkcjonariusze zeznawali na własną korzyść i usiłowali uniknąć odpowiedzialności. Do ich zeznań należy podchodzić ze szczególną ostrożnością; nie było podstaw do dania im większej wiary niż zeznaniom skarżącego i innych zatrzymanych.</w:t>
      </w:r>
    </w:p>
    <w:p w14:paraId="1FA9A77E" w14:textId="77777777" w:rsidR="003B384E" w:rsidRPr="00D47FBC" w:rsidRDefault="003B384E" w:rsidP="003B384E">
      <w:pPr>
        <w:keepNext/>
        <w:keepLines/>
        <w:numPr>
          <w:ilvl w:val="4"/>
          <w:numId w:val="1"/>
        </w:numPr>
        <w:spacing w:before="100" w:beforeAutospacing="1" w:after="120"/>
        <w:jc w:val="both"/>
        <w:outlineLvl w:val="4"/>
        <w:rPr>
          <w:b/>
          <w:sz w:val="20"/>
        </w:rPr>
      </w:pPr>
      <w:r w:rsidRPr="00D47FBC">
        <w:rPr>
          <w:b/>
          <w:sz w:val="20"/>
        </w:rPr>
        <w:t>Stanowisko Rządu</w:t>
      </w:r>
    </w:p>
    <w:p w14:paraId="4A8B6317" w14:textId="7EB02489" w:rsidR="003B384E" w:rsidRPr="00D47FBC" w:rsidRDefault="0042798A" w:rsidP="003B384E">
      <w:pPr>
        <w:ind w:firstLine="284"/>
        <w:jc w:val="both"/>
      </w:pPr>
      <w:r>
        <w:t>84</w:t>
      </w:r>
      <w:r w:rsidR="003B384E" w:rsidRPr="00D47FBC">
        <w:t>.</w:t>
      </w:r>
      <w:r w:rsidR="007C0D3E">
        <w:t xml:space="preserve"> </w:t>
      </w:r>
      <w:r w:rsidR="003B384E" w:rsidRPr="00D47FBC">
        <w:t>Rząd stwierdził, że w dniu 27 czerwca 2011 r. skarżący złożył zawiado</w:t>
      </w:r>
      <w:r w:rsidR="003E35BE" w:rsidRPr="00D47FBC">
        <w:t>mienie przeciwko funkcjonariuszom</w:t>
      </w:r>
      <w:r w:rsidR="003B384E" w:rsidRPr="00D47FBC">
        <w:t xml:space="preserve"> </w:t>
      </w:r>
      <w:r w:rsidR="003E35BE" w:rsidRPr="00D47FBC">
        <w:t>P</w:t>
      </w:r>
      <w:r w:rsidR="003B384E" w:rsidRPr="00D47FBC">
        <w:t>olicji, a postępowanie wszczęto jeszcze tego samego dnia. Formalne postępowanie po</w:t>
      </w:r>
      <w:r w:rsidR="003766C2">
        <w:t> </w:t>
      </w:r>
      <w:r w:rsidR="003B384E" w:rsidRPr="00D47FBC">
        <w:t xml:space="preserve">przeprowadzeniu czynności wyjaśniających wszczęto w dniu 27 lipca 2011 r. </w:t>
      </w:r>
      <w:r w:rsidR="00B301F5">
        <w:t xml:space="preserve">Śledztwo </w:t>
      </w:r>
      <w:r w:rsidR="003B384E" w:rsidRPr="00D47FBC">
        <w:t>przekazano Prokuraturze Okręgowej w B</w:t>
      </w:r>
      <w:r w:rsidR="00B301F5">
        <w:t>ydgoszczy w</w:t>
      </w:r>
      <w:r w:rsidR="003766C2">
        <w:t> </w:t>
      </w:r>
      <w:r w:rsidR="00B301F5">
        <w:t>celu zapewnienia jego</w:t>
      </w:r>
      <w:r w:rsidR="003B384E" w:rsidRPr="00D47FBC">
        <w:t xml:space="preserve"> </w:t>
      </w:r>
      <w:r w:rsidR="003E35BE" w:rsidRPr="00D47FBC">
        <w:t>niezależnego</w:t>
      </w:r>
      <w:r w:rsidR="003B384E" w:rsidRPr="00D47FBC">
        <w:t xml:space="preserve"> charakteru.</w:t>
      </w:r>
    </w:p>
    <w:p w14:paraId="60654CC9" w14:textId="4E619B9B" w:rsidR="003B384E" w:rsidRPr="00D47FBC" w:rsidRDefault="0042798A" w:rsidP="003B384E">
      <w:pPr>
        <w:ind w:firstLine="284"/>
        <w:jc w:val="both"/>
      </w:pPr>
      <w:r>
        <w:t>85</w:t>
      </w:r>
      <w:r w:rsidR="003B384E" w:rsidRPr="00D47FBC">
        <w:t>.</w:t>
      </w:r>
      <w:r w:rsidR="007C0D3E">
        <w:t xml:space="preserve"> </w:t>
      </w:r>
      <w:r w:rsidR="003B384E" w:rsidRPr="00D47FBC">
        <w:t>Prokurator otrzymał cały niezbędny materiał dowodowy w sprawie, w szczególności zeznania funkcjonariuszy policji i obdukcję dotyczącą obrażeń skarżącego. Prokurator szczegółowo zapoznał się z całym materiałem dowodowym i wyczerpująco uzasadnił swoją decyzję. Po</w:t>
      </w:r>
      <w:r w:rsidR="003766C2">
        <w:t> </w:t>
      </w:r>
      <w:r w:rsidR="003B384E" w:rsidRPr="00D47FBC">
        <w:t>przesłuchaniu wszystkich świadków i uwzględnieniu obdukcji prokurator stwierdził, że skarżący odniósł opisane w niej obrażenia. Niemniej jednak, mając na uwadze całokształt materiału dowodowego, prokurator nie mógł jednoznacznie stwierdzić, że obrażenia powstały w</w:t>
      </w:r>
      <w:r w:rsidR="003766C2">
        <w:t> </w:t>
      </w:r>
      <w:r w:rsidR="003B384E" w:rsidRPr="00D47FBC">
        <w:t xml:space="preserve">wyniku podjętych przez funkcjonariuszy </w:t>
      </w:r>
      <w:r w:rsidR="003E35BE" w:rsidRPr="00D47FBC">
        <w:t>działań</w:t>
      </w:r>
      <w:r w:rsidR="003B384E" w:rsidRPr="00D47FBC">
        <w:t>.</w:t>
      </w:r>
    </w:p>
    <w:p w14:paraId="293F9649" w14:textId="0F6E6F0B" w:rsidR="003B384E" w:rsidRPr="00D47FBC" w:rsidRDefault="0042798A" w:rsidP="003B384E">
      <w:pPr>
        <w:ind w:firstLine="284"/>
        <w:jc w:val="both"/>
      </w:pPr>
      <w:r>
        <w:lastRenderedPageBreak/>
        <w:t>86</w:t>
      </w:r>
      <w:r w:rsidR="003B384E" w:rsidRPr="00D47FBC">
        <w:t>.</w:t>
      </w:r>
      <w:r w:rsidR="007C0D3E">
        <w:t xml:space="preserve"> </w:t>
      </w:r>
      <w:r w:rsidR="003B384E" w:rsidRPr="00D47FBC">
        <w:t>Ponadto zarzuty skarżącego zostały poddane należytej ocenie przez Sąd Rejonowy w postanowieniu z dnia 18 marca 2013 r. Sąd zgodził się z</w:t>
      </w:r>
      <w:r w:rsidR="007D5E66" w:rsidRPr="00D47FBC">
        <w:t> </w:t>
      </w:r>
      <w:r w:rsidR="003B384E" w:rsidRPr="00D47FBC">
        <w:t>ustaleniami prokuratora i uznał zarzuty skarżącego za bezzasadne. Ogółem postępowanie przygotowawcze w sprawie zarzutów złego traktowania zostało przeprowadzone w sposób dokładny i skuteczny, stosownie do wymogów art. 3.</w:t>
      </w:r>
    </w:p>
    <w:p w14:paraId="07752B24" w14:textId="77777777" w:rsidR="003B384E" w:rsidRPr="00D47FBC" w:rsidRDefault="003B384E" w:rsidP="003B384E">
      <w:pPr>
        <w:keepNext/>
        <w:keepLines/>
        <w:numPr>
          <w:ilvl w:val="4"/>
          <w:numId w:val="1"/>
        </w:numPr>
        <w:spacing w:before="100" w:beforeAutospacing="1" w:after="120"/>
        <w:jc w:val="both"/>
        <w:outlineLvl w:val="4"/>
        <w:rPr>
          <w:b/>
          <w:sz w:val="20"/>
        </w:rPr>
      </w:pPr>
      <w:r w:rsidRPr="00D47FBC">
        <w:rPr>
          <w:b/>
          <w:sz w:val="20"/>
        </w:rPr>
        <w:t>Ocena Trybunału</w:t>
      </w:r>
    </w:p>
    <w:p w14:paraId="3504B588" w14:textId="77777777" w:rsidR="003B384E" w:rsidRPr="00D47FBC" w:rsidRDefault="003B384E" w:rsidP="003B384E">
      <w:pPr>
        <w:keepNext/>
        <w:keepLines/>
        <w:numPr>
          <w:ilvl w:val="5"/>
          <w:numId w:val="1"/>
        </w:numPr>
        <w:spacing w:before="100" w:beforeAutospacing="1" w:after="120"/>
        <w:jc w:val="both"/>
        <w:outlineLvl w:val="5"/>
        <w:rPr>
          <w:i/>
          <w:sz w:val="20"/>
        </w:rPr>
      </w:pPr>
      <w:r w:rsidRPr="00D47FBC">
        <w:rPr>
          <w:i/>
          <w:sz w:val="20"/>
        </w:rPr>
        <w:t>Zasady ogólne</w:t>
      </w:r>
    </w:p>
    <w:p w14:paraId="10B4F7C1" w14:textId="07980B1B" w:rsidR="003B384E" w:rsidRPr="00D47FBC" w:rsidRDefault="0042798A" w:rsidP="003B384E">
      <w:pPr>
        <w:ind w:firstLine="284"/>
        <w:jc w:val="both"/>
      </w:pPr>
      <w:r>
        <w:t>87</w:t>
      </w:r>
      <w:r w:rsidR="003B384E" w:rsidRPr="00D47FBC">
        <w:t>.</w:t>
      </w:r>
      <w:r w:rsidR="007C0D3E">
        <w:t xml:space="preserve"> </w:t>
      </w:r>
      <w:r w:rsidR="003B384E" w:rsidRPr="00D47FBC">
        <w:t xml:space="preserve">Ogólne zasady dotyczące </w:t>
      </w:r>
      <w:r w:rsidR="00416B10" w:rsidRPr="00D47FBC">
        <w:t xml:space="preserve">wynikającego z art. 3 Konwencji </w:t>
      </w:r>
      <w:r w:rsidR="003B384E" w:rsidRPr="00D47FBC">
        <w:t xml:space="preserve">proceduralnego obowiązku Wysokich Układających się Stron </w:t>
      </w:r>
      <w:r w:rsidR="00A032D4" w:rsidRPr="00D47FBC">
        <w:t>przeprowadzenia dochodzenia</w:t>
      </w:r>
      <w:r w:rsidR="003B384E" w:rsidRPr="00D47FBC">
        <w:t xml:space="preserve"> w sprawie złego traktowania przez </w:t>
      </w:r>
      <w:r w:rsidR="00A032D4" w:rsidRPr="00D47FBC">
        <w:t>funkcjonariuszy państwowych</w:t>
      </w:r>
      <w:r w:rsidR="003B384E" w:rsidRPr="00D47FBC">
        <w:t xml:space="preserve"> zostały również szczegółowo przedstawione w</w:t>
      </w:r>
      <w:r w:rsidR="007D5E66" w:rsidRPr="00D47FBC">
        <w:t> </w:t>
      </w:r>
      <w:r w:rsidR="003B384E" w:rsidRPr="00D47FBC">
        <w:t xml:space="preserve">paragrafach 115-23 wyroku Trybunału w sprawie </w:t>
      </w:r>
      <w:r w:rsidR="003B384E" w:rsidRPr="00D47FBC">
        <w:rPr>
          <w:i/>
          <w:iCs/>
        </w:rPr>
        <w:t>Bouyid</w:t>
      </w:r>
      <w:r w:rsidR="003B384E" w:rsidRPr="00D47FBC">
        <w:t xml:space="preserve"> (</w:t>
      </w:r>
      <w:r w:rsidR="003B384E" w:rsidRPr="00D47FBC">
        <w:rPr>
          <w:i/>
          <w:iCs/>
        </w:rPr>
        <w:t>op. cit.</w:t>
      </w:r>
      <w:r w:rsidR="003B384E" w:rsidRPr="00D47FBC">
        <w:t>).</w:t>
      </w:r>
    </w:p>
    <w:p w14:paraId="09915652" w14:textId="77777777" w:rsidR="003B384E" w:rsidRPr="00D47FBC" w:rsidRDefault="003B384E" w:rsidP="003B384E">
      <w:pPr>
        <w:keepNext/>
        <w:keepLines/>
        <w:numPr>
          <w:ilvl w:val="5"/>
          <w:numId w:val="1"/>
        </w:numPr>
        <w:spacing w:before="100" w:beforeAutospacing="1" w:after="120"/>
        <w:jc w:val="both"/>
        <w:outlineLvl w:val="5"/>
        <w:rPr>
          <w:i/>
          <w:sz w:val="20"/>
        </w:rPr>
      </w:pPr>
      <w:r w:rsidRPr="00D47FBC">
        <w:rPr>
          <w:i/>
          <w:sz w:val="20"/>
        </w:rPr>
        <w:t>Zastosowanie w niniejszej sprawie</w:t>
      </w:r>
    </w:p>
    <w:p w14:paraId="27A94BE7" w14:textId="498E829F" w:rsidR="003B384E" w:rsidRPr="00D47FBC" w:rsidRDefault="0042798A" w:rsidP="003B384E">
      <w:pPr>
        <w:ind w:firstLine="284"/>
        <w:jc w:val="both"/>
        <w:rPr>
          <w:snapToGrid w:val="0"/>
        </w:rPr>
      </w:pPr>
      <w:r>
        <w:t>88</w:t>
      </w:r>
      <w:r w:rsidR="003B384E" w:rsidRPr="00D47FBC">
        <w:t>.</w:t>
      </w:r>
      <w:r w:rsidR="007C0D3E">
        <w:t xml:space="preserve"> </w:t>
      </w:r>
      <w:r w:rsidR="003B384E" w:rsidRPr="00D47FBC">
        <w:rPr>
          <w:snapToGrid w:val="0"/>
        </w:rPr>
        <w:t xml:space="preserve">Przedstawiony </w:t>
      </w:r>
      <w:r w:rsidR="00416B10" w:rsidRPr="00D47FBC">
        <w:rPr>
          <w:snapToGrid w:val="0"/>
        </w:rPr>
        <w:t xml:space="preserve">przez skarżącego </w:t>
      </w:r>
      <w:r w:rsidR="003B384E" w:rsidRPr="00D47FBC">
        <w:rPr>
          <w:snapToGrid w:val="0"/>
        </w:rPr>
        <w:t xml:space="preserve">w zawiadomieniu złożonym </w:t>
      </w:r>
      <w:r w:rsidR="00416B10" w:rsidRPr="00D47FBC">
        <w:rPr>
          <w:snapToGrid w:val="0"/>
        </w:rPr>
        <w:t>organom</w:t>
      </w:r>
      <w:r w:rsidR="003B384E" w:rsidRPr="00D47FBC">
        <w:rPr>
          <w:snapToGrid w:val="0"/>
        </w:rPr>
        <w:t xml:space="preserve"> ścigania zarzut poddania </w:t>
      </w:r>
      <w:r w:rsidR="00416B10" w:rsidRPr="00D47FBC">
        <w:rPr>
          <w:snapToGrid w:val="0"/>
        </w:rPr>
        <w:t>go</w:t>
      </w:r>
      <w:r w:rsidR="003B384E" w:rsidRPr="00D47FBC">
        <w:rPr>
          <w:snapToGrid w:val="0"/>
        </w:rPr>
        <w:t xml:space="preserve"> przez policjantów złemu traktowaniu podczas zatrzymania </w:t>
      </w:r>
      <w:r w:rsidR="00416B10" w:rsidRPr="00D47FBC">
        <w:rPr>
          <w:snapToGrid w:val="0"/>
        </w:rPr>
        <w:t xml:space="preserve">był </w:t>
      </w:r>
      <w:r w:rsidR="00E4301C">
        <w:rPr>
          <w:snapToGrid w:val="0"/>
        </w:rPr>
        <w:t xml:space="preserve">uprawdopodobniony </w:t>
      </w:r>
      <w:r w:rsidR="00E4301C" w:rsidRPr="00FF092E">
        <w:rPr>
          <w:snapToGrid w:val="0"/>
        </w:rPr>
        <w:t>(</w:t>
      </w:r>
      <w:proofErr w:type="spellStart"/>
      <w:r w:rsidR="00E4301C" w:rsidRPr="00FF092E">
        <w:rPr>
          <w:i/>
          <w:snapToGrid w:val="0"/>
        </w:rPr>
        <w:t>arguable</w:t>
      </w:r>
      <w:proofErr w:type="spellEnd"/>
      <w:r w:rsidR="00E4301C" w:rsidRPr="00FF092E">
        <w:rPr>
          <w:i/>
          <w:snapToGrid w:val="0"/>
        </w:rPr>
        <w:t>)</w:t>
      </w:r>
      <w:r w:rsidR="003B384E" w:rsidRPr="00FF092E">
        <w:rPr>
          <w:snapToGrid w:val="0"/>
        </w:rPr>
        <w:t>. Zawiadomienie</w:t>
      </w:r>
      <w:r w:rsidR="003B384E" w:rsidRPr="00D47FBC">
        <w:rPr>
          <w:snapToGrid w:val="0"/>
        </w:rPr>
        <w:t xml:space="preserve"> zostało złożone wkrótce po wydarzeniach i poparte dowodami medycznymi i zdjęciami, na których widniały rozległe siniaki na twarzy i innych częściach ciała, jak również oparzenia na plecach (zob. paragraf 18 powyżej). Władze były zatem zobowiązane do przeprowadzenia skutecznego postępowania przygotowawczego w sprawie zarzutu złego traktowania skarżącego.</w:t>
      </w:r>
    </w:p>
    <w:p w14:paraId="24D194AB" w14:textId="5CC69ED7" w:rsidR="003B384E" w:rsidRPr="00D47FBC" w:rsidRDefault="0042798A" w:rsidP="003B384E">
      <w:pPr>
        <w:ind w:firstLine="284"/>
        <w:jc w:val="both"/>
      </w:pPr>
      <w:r>
        <w:t>89</w:t>
      </w:r>
      <w:r w:rsidR="003B384E" w:rsidRPr="00D47FBC">
        <w:t>.</w:t>
      </w:r>
      <w:r w:rsidR="007C0D3E">
        <w:t xml:space="preserve"> </w:t>
      </w:r>
      <w:r w:rsidR="003B384E" w:rsidRPr="00D47FBC">
        <w:t xml:space="preserve">Trybunał przypomina, że obowiązek prowadzenia skutecznego postępowania przygotowawczego nie jest obowiązkiem osiągnięcia rezultatów, ale środków, które należy zastosować. Wszelkie </w:t>
      </w:r>
      <w:r w:rsidR="00416B10" w:rsidRPr="00D47FBC">
        <w:t>niedostatki</w:t>
      </w:r>
      <w:r w:rsidR="003B384E" w:rsidRPr="00D47FBC">
        <w:t xml:space="preserve"> postępowania</w:t>
      </w:r>
      <w:r w:rsidR="00416B10" w:rsidRPr="00D47FBC">
        <w:t>,</w:t>
      </w:r>
      <w:r w:rsidR="003B384E" w:rsidRPr="00D47FBC">
        <w:t xml:space="preserve"> które ograniczają możliwość ustalenia przyczyny obrażeń lub</w:t>
      </w:r>
      <w:r w:rsidR="003766C2">
        <w:t> </w:t>
      </w:r>
      <w:r w:rsidR="003B384E" w:rsidRPr="00D47FBC">
        <w:t xml:space="preserve">tożsamości osób odpowiedzialnych, mogą jednak zwiększać ryzyko niedochowania wymaganego standardu skuteczności (zob. </w:t>
      </w:r>
      <w:r w:rsidR="003B384E" w:rsidRPr="00D47FBC">
        <w:rPr>
          <w:i/>
          <w:iCs/>
        </w:rPr>
        <w:t>Bouyid</w:t>
      </w:r>
      <w:r w:rsidR="003B384E" w:rsidRPr="00D47FBC">
        <w:t xml:space="preserve">, </w:t>
      </w:r>
      <w:r w:rsidR="003B384E" w:rsidRPr="00D47FBC">
        <w:rPr>
          <w:i/>
          <w:iCs/>
        </w:rPr>
        <w:t>op. cit.</w:t>
      </w:r>
      <w:r w:rsidR="003B384E" w:rsidRPr="00D47FBC">
        <w:t>, § 120).</w:t>
      </w:r>
    </w:p>
    <w:p w14:paraId="17411CFF" w14:textId="0C4E9B4F" w:rsidR="003B384E" w:rsidRPr="00D47FBC" w:rsidRDefault="0042798A" w:rsidP="003B384E">
      <w:pPr>
        <w:ind w:firstLine="284"/>
        <w:jc w:val="both"/>
      </w:pPr>
      <w:r>
        <w:t>90</w:t>
      </w:r>
      <w:r w:rsidR="003B384E" w:rsidRPr="00D47FBC">
        <w:t>.</w:t>
      </w:r>
      <w:r w:rsidR="007C0D3E">
        <w:t xml:space="preserve"> </w:t>
      </w:r>
      <w:r w:rsidR="003B384E" w:rsidRPr="00D47FBC">
        <w:t>Trybunał zauważa, że postępowanie przygotowawcze nie przyniosło odpowiedzi na szereg istotnych pytań, które pojawiły się w sprawie, a</w:t>
      </w:r>
      <w:r w:rsidR="007D5E66" w:rsidRPr="00D47FBC">
        <w:t> </w:t>
      </w:r>
      <w:r w:rsidR="003B384E" w:rsidRPr="00D47FBC">
        <w:t>mianowicie, w jaki dokładnie sposób funkcjonariusze użyli siły wobec skarżącego, czy jej użycie było proporcjonalne i jakie było źródło stwierdzonych obrażeń. Są to istotne uchybienia w zakresie prowadzenia postępowania przygotowawczego w sprawie zarzutu złego traktowania przez policjantów, biorąc pod uwagę odniesione przez skarżącego obrażenia.</w:t>
      </w:r>
    </w:p>
    <w:p w14:paraId="380210F1" w14:textId="4E186592" w:rsidR="003B384E" w:rsidRPr="00D47FBC" w:rsidRDefault="0042798A" w:rsidP="003B384E">
      <w:pPr>
        <w:ind w:firstLine="284"/>
        <w:jc w:val="both"/>
      </w:pPr>
      <w:r>
        <w:t>91</w:t>
      </w:r>
      <w:r w:rsidR="003B384E" w:rsidRPr="00D47FBC">
        <w:t>.</w:t>
      </w:r>
      <w:r w:rsidR="007C0D3E">
        <w:t xml:space="preserve"> </w:t>
      </w:r>
      <w:r w:rsidR="003B384E" w:rsidRPr="00D47FBC">
        <w:t>W odniesieniu do użycia paralizatora elektrycznego w postępowaniu przygotowawczym ustalono, że użycie paralizatora w stosunku do</w:t>
      </w:r>
      <w:r w:rsidR="003766C2">
        <w:t> </w:t>
      </w:r>
      <w:r w:rsidR="003B384E" w:rsidRPr="00D47FBC">
        <w:t xml:space="preserve">skarżącego nastąpiło w celu zmuszenia go do podporządkowania się </w:t>
      </w:r>
      <w:r w:rsidR="003B384E" w:rsidRPr="00D47FBC">
        <w:lastRenderedPageBreak/>
        <w:t>poleceniu (zob. paragraf 35 powyżej). Jednak</w:t>
      </w:r>
      <w:r w:rsidR="00F32FE3" w:rsidRPr="00D47FBC">
        <w:t>że</w:t>
      </w:r>
      <w:r w:rsidR="003B384E" w:rsidRPr="00D47FBC">
        <w:t xml:space="preserve"> dla Trybunału analiza użycia paralizatora elektrycznego </w:t>
      </w:r>
      <w:r w:rsidR="00F32FE3" w:rsidRPr="00D47FBC">
        <w:t>jest</w:t>
      </w:r>
      <w:r w:rsidR="003B384E" w:rsidRPr="00D47FBC">
        <w:t xml:space="preserve"> nie</w:t>
      </w:r>
      <w:r w:rsidR="00B301F5">
        <w:t>odpowiednia</w:t>
      </w:r>
      <w:r w:rsidR="003B384E" w:rsidRPr="00D47FBC">
        <w:t>. W</w:t>
      </w:r>
      <w:r w:rsidR="007D5E66" w:rsidRPr="00D47FBC">
        <w:t> </w:t>
      </w:r>
      <w:r w:rsidR="003B384E" w:rsidRPr="00D47FBC">
        <w:t xml:space="preserve">postępowaniu przygotowawczym nie ustalono istotnych okoliczności faktycznych sprawy. W szczególności prokurator nie </w:t>
      </w:r>
      <w:r w:rsidR="00C60FCD" w:rsidRPr="00D47FBC">
        <w:rPr>
          <w:u w:color="000000"/>
          <w:bdr w:val="nil"/>
        </w:rPr>
        <w:t>ustosunkował się do zarzutów skarżącego</w:t>
      </w:r>
      <w:r w:rsidR="00F32FE3" w:rsidRPr="00D47FBC">
        <w:rPr>
          <w:u w:color="000000"/>
          <w:bdr w:val="nil"/>
        </w:rPr>
        <w:t>,</w:t>
      </w:r>
      <w:r w:rsidR="00C60FCD" w:rsidRPr="00D47FBC">
        <w:rPr>
          <w:u w:color="000000"/>
          <w:bdr w:val="nil"/>
        </w:rPr>
        <w:t xml:space="preserve"> dotyczących wielokrotnego użycia paralizatora elektrycznego już</w:t>
      </w:r>
      <w:r w:rsidR="003766C2">
        <w:rPr>
          <w:u w:color="000000"/>
          <w:bdr w:val="nil"/>
        </w:rPr>
        <w:t> </w:t>
      </w:r>
      <w:r w:rsidR="00C60FCD" w:rsidRPr="00D47FBC">
        <w:rPr>
          <w:u w:color="000000"/>
          <w:bdr w:val="nil"/>
        </w:rPr>
        <w:t>po</w:t>
      </w:r>
      <w:r w:rsidR="003766C2">
        <w:rPr>
          <w:u w:color="000000"/>
          <w:bdr w:val="nil"/>
        </w:rPr>
        <w:t> </w:t>
      </w:r>
      <w:r w:rsidR="00C60FCD" w:rsidRPr="00D47FBC">
        <w:rPr>
          <w:u w:color="000000"/>
          <w:bdr w:val="nil"/>
        </w:rPr>
        <w:t>obezwładnieniu skarżącego na ziemi i w drodze na komisariat policji.</w:t>
      </w:r>
      <w:r w:rsidR="003B384E" w:rsidRPr="00D47FBC">
        <w:t xml:space="preserve"> Prokurator nie ustosun</w:t>
      </w:r>
      <w:r w:rsidR="00F32FE3" w:rsidRPr="00D47FBC">
        <w:t xml:space="preserve">kował się również do zarzutów </w:t>
      </w:r>
      <w:r w:rsidR="003B384E" w:rsidRPr="00D47FBC">
        <w:t xml:space="preserve">bicia podczas przewożenia skarżącego, a następnie w </w:t>
      </w:r>
      <w:r w:rsidR="00B301F5" w:rsidRPr="00F076EB">
        <w:t>trakcie zatrzymania policyjnego</w:t>
      </w:r>
      <w:r w:rsidR="003B384E" w:rsidRPr="00D47FBC">
        <w:t>.</w:t>
      </w:r>
    </w:p>
    <w:p w14:paraId="4250D121" w14:textId="4FE66877" w:rsidR="003B384E" w:rsidRPr="00D47FBC" w:rsidRDefault="0042798A" w:rsidP="003B384E">
      <w:pPr>
        <w:ind w:firstLine="284"/>
        <w:jc w:val="both"/>
      </w:pPr>
      <w:r>
        <w:t>92</w:t>
      </w:r>
      <w:r w:rsidR="003B384E" w:rsidRPr="00D47FBC">
        <w:t>.</w:t>
      </w:r>
      <w:r w:rsidR="007C0D3E">
        <w:t xml:space="preserve"> </w:t>
      </w:r>
      <w:r w:rsidR="003B384E" w:rsidRPr="00D47FBC">
        <w:t>Ponadto nie przeprowadzono odpowiedniej analizy zgodności zastosowania paralizatora z prawem. Prokurator stwierdził, że paralizatora użyto „zgodnie z procedurą”, bez wgłębiania się w szczegóły. Z kolei Sąd Rejonowy ogólnie odniósł się do art. 16 ust. 1 i 2 ustawy o Policji oraz</w:t>
      </w:r>
      <w:r w:rsidR="003766C2">
        <w:t> </w:t>
      </w:r>
      <w:r w:rsidR="003B384E" w:rsidRPr="00D47FBC">
        <w:t>rozporządzenia w sprawie określenia przypadków oraz warunków i</w:t>
      </w:r>
      <w:r w:rsidR="003766C2">
        <w:t> </w:t>
      </w:r>
      <w:r w:rsidR="003B384E" w:rsidRPr="00D47FBC">
        <w:t>sposobów użycia przez policjantów środków przymusu bezpośredniego. Władze nie przeanalizowały jednak, czy przestrzegano przepisów regulujących zastosowanie paralizatora elektrycznego, w szczególności przepisu § 8 rozporządzenia.</w:t>
      </w:r>
    </w:p>
    <w:p w14:paraId="3173C830" w14:textId="6770B487" w:rsidR="003B384E" w:rsidRPr="00D47FBC" w:rsidRDefault="0042798A" w:rsidP="003B384E">
      <w:pPr>
        <w:ind w:firstLine="284"/>
        <w:jc w:val="both"/>
      </w:pPr>
      <w:r>
        <w:t>93</w:t>
      </w:r>
      <w:r w:rsidR="003B384E" w:rsidRPr="00D47FBC">
        <w:t>.</w:t>
      </w:r>
      <w:r w:rsidR="007C0D3E">
        <w:t xml:space="preserve"> </w:t>
      </w:r>
      <w:r w:rsidR="003B384E" w:rsidRPr="00D47FBC">
        <w:t>W ocenie Trybunału konieczność stosowania paralizatora elektrycznego przez policję podczas zatrzymania należy badać w</w:t>
      </w:r>
      <w:r w:rsidR="007D5E66" w:rsidRPr="00D47FBC">
        <w:t> </w:t>
      </w:r>
      <w:r w:rsidR="003B384E" w:rsidRPr="00D47FBC">
        <w:t>rygorystyczny sposób, ponieważ wiadomo, że wyładowania elektrowstrząsowe generowane w trybie zbliżeniowym p</w:t>
      </w:r>
      <w:r w:rsidR="00E4301C">
        <w:t>owodują intensywny ból i czasowe obezwładnienie</w:t>
      </w:r>
      <w:r w:rsidR="003B384E" w:rsidRPr="00D47FBC">
        <w:t xml:space="preserve"> (zob. </w:t>
      </w:r>
      <w:proofErr w:type="spellStart"/>
      <w:r w:rsidR="003B384E" w:rsidRPr="00D47FBC">
        <w:rPr>
          <w:i/>
          <w:iCs/>
        </w:rPr>
        <w:t>Anzhelo</w:t>
      </w:r>
      <w:proofErr w:type="spellEnd"/>
      <w:r w:rsidR="003B384E" w:rsidRPr="00D47FBC">
        <w:rPr>
          <w:i/>
          <w:iCs/>
        </w:rPr>
        <w:t xml:space="preserve"> </w:t>
      </w:r>
      <w:proofErr w:type="spellStart"/>
      <w:r w:rsidR="003B384E" w:rsidRPr="00D47FBC">
        <w:rPr>
          <w:i/>
          <w:iCs/>
        </w:rPr>
        <w:t>Georgiev</w:t>
      </w:r>
      <w:proofErr w:type="spellEnd"/>
      <w:r w:rsidR="003B384E" w:rsidRPr="00D47FBC">
        <w:rPr>
          <w:i/>
          <w:iCs/>
        </w:rPr>
        <w:t xml:space="preserve"> i</w:t>
      </w:r>
      <w:r w:rsidR="007D5E66" w:rsidRPr="00D47FBC">
        <w:rPr>
          <w:i/>
          <w:iCs/>
        </w:rPr>
        <w:t> </w:t>
      </w:r>
      <w:r w:rsidR="003B384E" w:rsidRPr="00D47FBC">
        <w:rPr>
          <w:i/>
          <w:iCs/>
        </w:rPr>
        <w:t>Inni przeciwko Bułgarii</w:t>
      </w:r>
      <w:r w:rsidR="003B384E" w:rsidRPr="00D47FBC">
        <w:t xml:space="preserve">, skarga nr 51284/09, </w:t>
      </w:r>
      <w:r w:rsidR="003B384E" w:rsidRPr="00D47FBC">
        <w:rPr>
          <w:snapToGrid w:val="0"/>
        </w:rPr>
        <w:t>§ 75, 30 września 2014 r.</w:t>
      </w:r>
      <w:r w:rsidR="003B384E" w:rsidRPr="00D47FBC">
        <w:t>).</w:t>
      </w:r>
    </w:p>
    <w:p w14:paraId="41D3B42D" w14:textId="1766E2F8" w:rsidR="003B384E" w:rsidRPr="00D47FBC" w:rsidRDefault="0042798A" w:rsidP="003B384E">
      <w:pPr>
        <w:ind w:firstLine="284"/>
        <w:jc w:val="both"/>
      </w:pPr>
      <w:r>
        <w:t>94</w:t>
      </w:r>
      <w:r w:rsidR="003B384E" w:rsidRPr="00D47FBC">
        <w:t>.</w:t>
      </w:r>
      <w:r w:rsidR="007C0D3E">
        <w:t xml:space="preserve"> </w:t>
      </w:r>
      <w:r w:rsidR="003B384E" w:rsidRPr="00D47FBC">
        <w:t xml:space="preserve">Władze powinny w każdym przypadku </w:t>
      </w:r>
      <w:r w:rsidR="006C6CF4">
        <w:t xml:space="preserve"> podjąć poważną próbę ustalenia</w:t>
      </w:r>
      <w:r w:rsidR="003B384E" w:rsidRPr="00D47FBC">
        <w:t>, jaki był przebieg wydarzeń i nie powinny pochopnie czy</w:t>
      </w:r>
      <w:r w:rsidR="003766C2">
        <w:t> </w:t>
      </w:r>
      <w:r w:rsidR="003B384E" w:rsidRPr="00D47FBC">
        <w:t xml:space="preserve">bezzasadnie zamykać postępowania przygotowawczego (zob. </w:t>
      </w:r>
      <w:r w:rsidR="003B384E" w:rsidRPr="00D47FBC">
        <w:rPr>
          <w:i/>
          <w:iCs/>
        </w:rPr>
        <w:t>Bouyid</w:t>
      </w:r>
      <w:r w:rsidR="003B384E" w:rsidRPr="00D47FBC">
        <w:t xml:space="preserve">, </w:t>
      </w:r>
      <w:r w:rsidR="003B384E" w:rsidRPr="00D47FBC">
        <w:rPr>
          <w:i/>
          <w:iCs/>
        </w:rPr>
        <w:t>op. cit.</w:t>
      </w:r>
      <w:r w:rsidR="003B384E" w:rsidRPr="00D47FBC">
        <w:t>, § 123). Tymczasem w niniejszej sprawie władze bezkrytycznie dały wiarę ośmiu zeznaniom funkcjonariuszy policji, członkom wyspecjalizowanego oddziału antyterrorystycznego, pomijając fakt, że</w:t>
      </w:r>
      <w:r w:rsidR="003766C2">
        <w:t> </w:t>
      </w:r>
      <w:r w:rsidR="003B384E" w:rsidRPr="00D47FBC">
        <w:t>bez</w:t>
      </w:r>
      <w:r w:rsidR="003766C2">
        <w:t> </w:t>
      </w:r>
      <w:r w:rsidR="003B384E" w:rsidRPr="00D47FBC">
        <w:t xml:space="preserve">wątpienia byli oni zainteresowani wynikiem sprawy oraz zmniejszeniem zakresu ich odpowiedzialności (zob. </w:t>
      </w:r>
      <w:r w:rsidR="003B384E" w:rsidRPr="00D47FBC">
        <w:rPr>
          <w:i/>
          <w:iCs/>
        </w:rPr>
        <w:t>Lewandowski i</w:t>
      </w:r>
      <w:r w:rsidR="007D5E66" w:rsidRPr="00D47FBC">
        <w:rPr>
          <w:i/>
          <w:iCs/>
        </w:rPr>
        <w:t> </w:t>
      </w:r>
      <w:r w:rsidR="003B384E" w:rsidRPr="00D47FBC">
        <w:rPr>
          <w:i/>
          <w:iCs/>
        </w:rPr>
        <w:t>Lewandowska</w:t>
      </w:r>
      <w:r w:rsidR="003B384E" w:rsidRPr="00D47FBC">
        <w:t xml:space="preserve">, </w:t>
      </w:r>
      <w:r w:rsidR="003B384E" w:rsidRPr="00D47FBC">
        <w:rPr>
          <w:i/>
          <w:iCs/>
        </w:rPr>
        <w:t>op. cit.</w:t>
      </w:r>
      <w:r w:rsidR="003B384E" w:rsidRPr="00D47FBC">
        <w:t xml:space="preserve">, § 73). </w:t>
      </w:r>
      <w:r w:rsidR="006C6CF4">
        <w:t>P</w:t>
      </w:r>
      <w:r w:rsidR="003B384E" w:rsidRPr="00D47FBC">
        <w:t xml:space="preserve">rzedstawioną przez skarżącego wersję wydarzeń, popartą zaświadczeniami lekarskimi, która była ponadto zbieżna z zeznaniami czterech innych zatrzymanych wraz ze skarżącym, uznano </w:t>
      </w:r>
      <w:r w:rsidR="006C6CF4">
        <w:t>w</w:t>
      </w:r>
      <w:r w:rsidR="003766C2">
        <w:t> </w:t>
      </w:r>
      <w:r w:rsidR="006C6CF4" w:rsidRPr="00D47FBC">
        <w:t xml:space="preserve">postępowaniu przygotowawczym </w:t>
      </w:r>
      <w:r w:rsidR="003B384E" w:rsidRPr="00D47FBC">
        <w:t>za znacznie mniej wiarygodną. Ponadto</w:t>
      </w:r>
      <w:r w:rsidR="003766C2">
        <w:t> </w:t>
      </w:r>
      <w:r w:rsidR="003B384E" w:rsidRPr="00D47FBC">
        <w:t>prokurator nie wziął pod uwagę faktu, że przed wydaniem przez</w:t>
      </w:r>
      <w:r w:rsidR="003766C2">
        <w:t> </w:t>
      </w:r>
      <w:r w:rsidR="003B384E" w:rsidRPr="00D47FBC">
        <w:t xml:space="preserve">niego postanowienia skarżący i </w:t>
      </w:r>
      <w:r w:rsidR="006C6CF4">
        <w:t>jego rzekomi wspólnicy zostali oczyszczeni</w:t>
      </w:r>
      <w:r w:rsidR="003B384E" w:rsidRPr="00D47FBC">
        <w:t xml:space="preserve"> z</w:t>
      </w:r>
      <w:r w:rsidR="006C6CF4">
        <w:t>e wszelkich</w:t>
      </w:r>
      <w:r w:rsidR="003B384E" w:rsidRPr="00D47FBC">
        <w:t xml:space="preserve"> zarzutów</w:t>
      </w:r>
      <w:r w:rsidR="006C6CF4">
        <w:t xml:space="preserve"> udziału w porwaniu</w:t>
      </w:r>
      <w:r w:rsidR="003B384E" w:rsidRPr="00D47FBC">
        <w:t>.</w:t>
      </w:r>
    </w:p>
    <w:p w14:paraId="71B3FAE9" w14:textId="126D82ED" w:rsidR="003B384E" w:rsidRPr="00D47FBC" w:rsidRDefault="0042798A" w:rsidP="003B384E">
      <w:pPr>
        <w:ind w:firstLine="284"/>
        <w:jc w:val="both"/>
      </w:pPr>
      <w:r>
        <w:t>95</w:t>
      </w:r>
      <w:r w:rsidR="003B384E" w:rsidRPr="00D47FBC">
        <w:t>.</w:t>
      </w:r>
      <w:r w:rsidR="007C0D3E">
        <w:t xml:space="preserve"> </w:t>
      </w:r>
      <w:r w:rsidR="003B384E" w:rsidRPr="00D47FBC">
        <w:t xml:space="preserve">Mając na uwadze powyższe, Trybunał stwierdza, że przeprowadzone w niniejszej sprawie </w:t>
      </w:r>
      <w:r w:rsidR="0070760A">
        <w:t xml:space="preserve">śledztwo </w:t>
      </w:r>
      <w:r w:rsidR="003B384E" w:rsidRPr="00D47FBC">
        <w:t>nie spełniało wymaganego standardu skuteczności.</w:t>
      </w:r>
    </w:p>
    <w:p w14:paraId="20ADB14F" w14:textId="72AC073C" w:rsidR="003B384E" w:rsidRPr="00D47FBC" w:rsidRDefault="0042798A" w:rsidP="003B384E">
      <w:pPr>
        <w:ind w:firstLine="284"/>
        <w:jc w:val="both"/>
      </w:pPr>
      <w:r>
        <w:t>96</w:t>
      </w:r>
      <w:r w:rsidR="003B384E" w:rsidRPr="00D47FBC">
        <w:t>.</w:t>
      </w:r>
      <w:r w:rsidR="007C0D3E">
        <w:t xml:space="preserve"> </w:t>
      </w:r>
      <w:r w:rsidR="003B384E" w:rsidRPr="00D47FBC">
        <w:t>Z powyższego wynika, że doszło do naruszenia art. 3 Konwencji w</w:t>
      </w:r>
      <w:r w:rsidR="007D5E66" w:rsidRPr="00D47FBC">
        <w:t> </w:t>
      </w:r>
      <w:r w:rsidR="003B384E" w:rsidRPr="00D47FBC">
        <w:t>jego aspekcie proceduralnym.</w:t>
      </w:r>
    </w:p>
    <w:p w14:paraId="4277F67F" w14:textId="77777777" w:rsidR="003B384E" w:rsidRPr="00D47FBC" w:rsidRDefault="003B384E" w:rsidP="003B384E">
      <w:pPr>
        <w:keepNext/>
        <w:keepLines/>
        <w:numPr>
          <w:ilvl w:val="1"/>
          <w:numId w:val="1"/>
        </w:numPr>
        <w:spacing w:before="100" w:beforeAutospacing="1" w:after="240"/>
        <w:jc w:val="both"/>
        <w:outlineLvl w:val="1"/>
        <w:rPr>
          <w:caps/>
        </w:rPr>
      </w:pPr>
      <w:r w:rsidRPr="00D47FBC">
        <w:rPr>
          <w:caps/>
        </w:rPr>
        <w:lastRenderedPageBreak/>
        <w:t>ZASTOSOWANIE ART. 41 KONWENCJI</w:t>
      </w:r>
    </w:p>
    <w:p w14:paraId="0F3834F7" w14:textId="78B879A5" w:rsidR="003B384E" w:rsidRPr="00D47FBC" w:rsidRDefault="0042798A" w:rsidP="003B384E">
      <w:pPr>
        <w:ind w:firstLine="284"/>
        <w:jc w:val="both"/>
      </w:pPr>
      <w:r>
        <w:t>97</w:t>
      </w:r>
      <w:r w:rsidR="003B384E" w:rsidRPr="00D47FBC">
        <w:t>.</w:t>
      </w:r>
      <w:r w:rsidR="007C0D3E">
        <w:t xml:space="preserve"> </w:t>
      </w:r>
      <w:r w:rsidR="003B384E" w:rsidRPr="00D47FBC">
        <w:t>Art</w:t>
      </w:r>
      <w:r w:rsidR="00CB40D4" w:rsidRPr="00D47FBC">
        <w:t>.</w:t>
      </w:r>
      <w:r w:rsidR="003B384E" w:rsidRPr="00D47FBC">
        <w:t xml:space="preserve"> 41 Konwencji stanowi:</w:t>
      </w:r>
    </w:p>
    <w:p w14:paraId="7A549E80" w14:textId="7E6DCE35" w:rsidR="003B384E" w:rsidRPr="00D47FBC" w:rsidRDefault="003B384E" w:rsidP="003B384E">
      <w:pPr>
        <w:keepNext/>
        <w:keepLines/>
        <w:spacing w:before="120" w:after="120"/>
        <w:ind w:left="425" w:firstLine="142"/>
        <w:jc w:val="both"/>
        <w:rPr>
          <w:sz w:val="20"/>
        </w:rPr>
      </w:pPr>
      <w:r w:rsidRPr="00D47FBC">
        <w:rPr>
          <w:sz w:val="20"/>
        </w:rPr>
        <w:t>„Je</w:t>
      </w:r>
      <w:r w:rsidR="00CB40D4" w:rsidRPr="00D47FBC">
        <w:rPr>
          <w:sz w:val="20"/>
        </w:rPr>
        <w:t>ś</w:t>
      </w:r>
      <w:r w:rsidRPr="00D47FBC">
        <w:rPr>
          <w:sz w:val="20"/>
        </w:rPr>
        <w:t>li Trybunał stwierdzi, że nastąpiło naruszenie Konwencji lub jej protokołów, oraz je</w:t>
      </w:r>
      <w:r w:rsidR="00CB40D4" w:rsidRPr="00D47FBC">
        <w:rPr>
          <w:sz w:val="20"/>
        </w:rPr>
        <w:t>ś</w:t>
      </w:r>
      <w:r w:rsidRPr="00D47FBC">
        <w:rPr>
          <w:sz w:val="20"/>
        </w:rPr>
        <w:t xml:space="preserve">li prawo wewnętrzne zainteresowanej Wysokiej Układającej się Strony pozwala tylko na częściowe usunięcie konsekwencji tego naruszenia, Trybunał orzeka, gdy zachodzi potrzeba, </w:t>
      </w:r>
      <w:r w:rsidR="00CB40D4" w:rsidRPr="00D47FBC">
        <w:rPr>
          <w:sz w:val="20"/>
        </w:rPr>
        <w:t xml:space="preserve">słuszne zadośćuczynienie </w:t>
      </w:r>
      <w:r w:rsidRPr="00D47FBC">
        <w:rPr>
          <w:sz w:val="20"/>
        </w:rPr>
        <w:t>pokrzywdzonej stronie”.</w:t>
      </w:r>
    </w:p>
    <w:p w14:paraId="1B518C3D" w14:textId="77777777" w:rsidR="003B384E" w:rsidRPr="00D47FBC" w:rsidRDefault="003B384E" w:rsidP="003B384E">
      <w:pPr>
        <w:keepNext/>
        <w:keepLines/>
        <w:numPr>
          <w:ilvl w:val="2"/>
          <w:numId w:val="1"/>
        </w:numPr>
        <w:spacing w:before="100" w:beforeAutospacing="1" w:after="240"/>
        <w:jc w:val="both"/>
        <w:outlineLvl w:val="2"/>
        <w:rPr>
          <w:b/>
        </w:rPr>
      </w:pPr>
      <w:r w:rsidRPr="00D47FBC">
        <w:rPr>
          <w:b/>
        </w:rPr>
        <w:t>Szkoda</w:t>
      </w:r>
    </w:p>
    <w:p w14:paraId="227DBDD4" w14:textId="14C125C5" w:rsidR="003B384E" w:rsidRPr="00D47FBC" w:rsidRDefault="0042798A" w:rsidP="003B384E">
      <w:pPr>
        <w:ind w:firstLine="284"/>
        <w:jc w:val="both"/>
      </w:pPr>
      <w:r>
        <w:t>98</w:t>
      </w:r>
      <w:r w:rsidR="003B384E" w:rsidRPr="00D47FBC">
        <w:t>.</w:t>
      </w:r>
      <w:r w:rsidR="007C0D3E">
        <w:t xml:space="preserve"> </w:t>
      </w:r>
      <w:r w:rsidR="003B384E" w:rsidRPr="00D47FBC">
        <w:t>Skarżący domagał się kwoty 60 000 euro (EUR) tytułem słusznego zadośćuczynienia, nie precyzując charakteru szkody. Wskazał na</w:t>
      </w:r>
      <w:r w:rsidR="003766C2">
        <w:t> </w:t>
      </w:r>
      <w:r w:rsidR="003B384E" w:rsidRPr="00D47FBC">
        <w:t>dotkliwość cierpienia fizycznego i psychicznego, którego doświadczył.</w:t>
      </w:r>
    </w:p>
    <w:p w14:paraId="4CE8344C" w14:textId="4044B1F7" w:rsidR="003B384E" w:rsidRPr="00D47FBC" w:rsidRDefault="0042798A" w:rsidP="003B384E">
      <w:pPr>
        <w:ind w:firstLine="284"/>
        <w:jc w:val="both"/>
      </w:pPr>
      <w:r>
        <w:t>99</w:t>
      </w:r>
      <w:r w:rsidR="003B384E" w:rsidRPr="00D47FBC">
        <w:t>.</w:t>
      </w:r>
      <w:r w:rsidR="007C0D3E">
        <w:t xml:space="preserve"> </w:t>
      </w:r>
      <w:r w:rsidR="003B384E" w:rsidRPr="00D47FBC">
        <w:t xml:space="preserve">Rząd twierdził, że w okolicznościach sprawy żądanie było rażąco wygórowane i powinno zostać odrzucone. </w:t>
      </w:r>
      <w:r w:rsidR="00CB6181" w:rsidRPr="00D47FBC">
        <w:t>Tytułem ewentualnym</w:t>
      </w:r>
      <w:r w:rsidR="003B384E" w:rsidRPr="00D47FBC">
        <w:t xml:space="preserve"> Rząd zwróci</w:t>
      </w:r>
      <w:r w:rsidR="00CB6181" w:rsidRPr="00D47FBC">
        <w:t>ł</w:t>
      </w:r>
      <w:r w:rsidR="003B384E" w:rsidRPr="00D47FBC">
        <w:t xml:space="preserve"> się do Trybunału o ocenę kwestii odszkodowania w świetle jego orzecznictwa dotyczącego podobnych spraw, z należytym uwzględnieniem krajowej sytuacji gospodarczej.</w:t>
      </w:r>
    </w:p>
    <w:p w14:paraId="032B2FFD" w14:textId="1EB85411" w:rsidR="003B384E" w:rsidRPr="00D47FBC" w:rsidRDefault="0042798A" w:rsidP="003B384E">
      <w:pPr>
        <w:ind w:firstLine="284"/>
        <w:jc w:val="both"/>
      </w:pPr>
      <w:r>
        <w:t>100</w:t>
      </w:r>
      <w:r w:rsidR="003B384E" w:rsidRPr="00D47FBC">
        <w:t>.</w:t>
      </w:r>
      <w:r w:rsidR="007C0D3E">
        <w:t xml:space="preserve"> </w:t>
      </w:r>
      <w:r w:rsidR="003B384E" w:rsidRPr="00D47FBC">
        <w:t>Trybunał stwierdził, że w sprawie skarżącego doszło do naruszenia art. 3 zarówno w jego aspekcie materialnym jak i proceduralnym. Biorąc pod uwagę okoliczności sprawy oraz dokonując oceny na zasadzie słuszności, Trybunał przyznaje skarżącemu kwotę 25 000 EUR tytułem zadośćuczynienia za szkodę niemajątkową.</w:t>
      </w:r>
    </w:p>
    <w:p w14:paraId="2ADCB15D" w14:textId="77777777" w:rsidR="003B384E" w:rsidRPr="00D47FBC" w:rsidRDefault="003B384E" w:rsidP="003B384E">
      <w:pPr>
        <w:keepNext/>
        <w:keepLines/>
        <w:numPr>
          <w:ilvl w:val="2"/>
          <w:numId w:val="1"/>
        </w:numPr>
        <w:spacing w:before="100" w:beforeAutospacing="1" w:after="240"/>
        <w:jc w:val="both"/>
        <w:outlineLvl w:val="2"/>
        <w:rPr>
          <w:b/>
        </w:rPr>
      </w:pPr>
      <w:r w:rsidRPr="00D47FBC">
        <w:rPr>
          <w:b/>
        </w:rPr>
        <w:t>Koszty i wydatki</w:t>
      </w:r>
    </w:p>
    <w:p w14:paraId="6F8CF5F5" w14:textId="165FB178" w:rsidR="003B384E" w:rsidRPr="00D47FBC" w:rsidRDefault="0042798A" w:rsidP="003B384E">
      <w:pPr>
        <w:ind w:firstLine="284"/>
        <w:jc w:val="both"/>
      </w:pPr>
      <w:r>
        <w:t>101</w:t>
      </w:r>
      <w:r w:rsidR="003B384E" w:rsidRPr="00D47FBC">
        <w:t>.</w:t>
      </w:r>
      <w:r w:rsidR="007C0D3E">
        <w:t xml:space="preserve"> </w:t>
      </w:r>
      <w:r w:rsidR="003B384E" w:rsidRPr="00D47FBC">
        <w:t>Skarżący domagał się kwoty w nieokreślonej wysokości tytułem zwrotu kosztów i wydatków poniesionych przed sądami krajowymi i przed Trybunałem.</w:t>
      </w:r>
    </w:p>
    <w:p w14:paraId="0DC49930" w14:textId="49FDE4B3" w:rsidR="003B384E" w:rsidRPr="00D47FBC" w:rsidRDefault="0042798A" w:rsidP="003B384E">
      <w:pPr>
        <w:ind w:firstLine="284"/>
        <w:jc w:val="both"/>
      </w:pPr>
      <w:r>
        <w:t>102</w:t>
      </w:r>
      <w:r w:rsidR="003B384E" w:rsidRPr="00D47FBC">
        <w:t>.</w:t>
      </w:r>
      <w:r w:rsidR="007C0D3E">
        <w:t xml:space="preserve"> </w:t>
      </w:r>
      <w:r w:rsidR="003B384E" w:rsidRPr="00D47FBC">
        <w:t>Rząd twierdził, że skarżący nie określił żądanej kwoty. Twierdził również, że skarżący nie wykazał zasadności objętych żądaniem kosztów, a</w:t>
      </w:r>
      <w:r w:rsidR="007D5E66" w:rsidRPr="00D47FBC">
        <w:t> </w:t>
      </w:r>
      <w:r w:rsidR="003B384E" w:rsidRPr="00D47FBC">
        <w:t>tym samym nie uczynił zadość wymogom Reguł</w:t>
      </w:r>
      <w:r w:rsidR="00CB6181" w:rsidRPr="00D47FBC">
        <w:t>y</w:t>
      </w:r>
      <w:r w:rsidR="003B384E" w:rsidRPr="00D47FBC">
        <w:t xml:space="preserve"> 60 §§ 1-2 Regulaminu Trybunału.</w:t>
      </w:r>
    </w:p>
    <w:p w14:paraId="4A35908B" w14:textId="0443F9DF" w:rsidR="003B384E" w:rsidRPr="00D47FBC" w:rsidRDefault="0042798A" w:rsidP="003B384E">
      <w:pPr>
        <w:ind w:firstLine="284"/>
        <w:jc w:val="both"/>
      </w:pPr>
      <w:r>
        <w:t>103</w:t>
      </w:r>
      <w:r w:rsidR="003B384E" w:rsidRPr="00D47FBC">
        <w:t>.</w:t>
      </w:r>
      <w:r w:rsidR="007C0D3E">
        <w:t xml:space="preserve"> </w:t>
      </w:r>
      <w:r w:rsidR="003B384E" w:rsidRPr="00D47FBC">
        <w:t>Zgodnie z orzecznictwem Trybunału skarżącemu przysługuje prawo do zwrotu poniesionych kosztów i wydatków, jeżeli wykaże, że były one rzeczywiście i koniecznie poniesione oraz że są uzasadnione co</w:t>
      </w:r>
      <w:r w:rsidR="003766C2">
        <w:t> </w:t>
      </w:r>
      <w:r w:rsidR="003B384E" w:rsidRPr="00D47FBC">
        <w:t>do</w:t>
      </w:r>
      <w:r w:rsidR="003766C2">
        <w:t> </w:t>
      </w:r>
      <w:r w:rsidR="003B384E" w:rsidRPr="00D47FBC">
        <w:t>wysokości. Trybunał wskazuje, że skarżący nie określił kwoty swojego żądania. Nie przedstawił on również żadnych dokumentów świadczących o</w:t>
      </w:r>
      <w:r w:rsidR="007D5E66" w:rsidRPr="00D47FBC">
        <w:t> </w:t>
      </w:r>
      <w:r w:rsidR="003B384E" w:rsidRPr="00D47FBC">
        <w:t>tym, że rzeczywiście poniósł koszty zastępstwa procesowego w</w:t>
      </w:r>
      <w:r w:rsidR="007D5E66" w:rsidRPr="00D47FBC">
        <w:t> </w:t>
      </w:r>
      <w:r w:rsidR="003B384E" w:rsidRPr="00D47FBC">
        <w:t>postępowaniu przed sądami krajowymi lub w Strasburgu. W tych okolicznościach i mając na uwadze treść Reguły 60 §§ 2 i 3 Regulaminu, Trybunał odrzuca żądanie zwrotu kosztów i wydatków.</w:t>
      </w:r>
    </w:p>
    <w:p w14:paraId="03F6F0A1" w14:textId="77777777" w:rsidR="003B384E" w:rsidRPr="00D47FBC" w:rsidRDefault="003B384E" w:rsidP="003B384E">
      <w:pPr>
        <w:keepNext/>
        <w:keepLines/>
        <w:numPr>
          <w:ilvl w:val="2"/>
          <w:numId w:val="1"/>
        </w:numPr>
        <w:spacing w:before="100" w:beforeAutospacing="1" w:after="240"/>
        <w:jc w:val="both"/>
        <w:outlineLvl w:val="2"/>
        <w:rPr>
          <w:b/>
        </w:rPr>
      </w:pPr>
      <w:r w:rsidRPr="00D47FBC">
        <w:rPr>
          <w:b/>
        </w:rPr>
        <w:lastRenderedPageBreak/>
        <w:t>Odsetki za zwłokę</w:t>
      </w:r>
    </w:p>
    <w:p w14:paraId="3379F295" w14:textId="24931C8C" w:rsidR="003B384E" w:rsidRPr="00D47FBC" w:rsidRDefault="0042798A" w:rsidP="003B384E">
      <w:pPr>
        <w:ind w:firstLine="284"/>
        <w:jc w:val="both"/>
      </w:pPr>
      <w:r>
        <w:t>104</w:t>
      </w:r>
      <w:r w:rsidR="003B384E" w:rsidRPr="00D47FBC">
        <w:t>.</w:t>
      </w:r>
      <w:r w:rsidR="007C0D3E">
        <w:t xml:space="preserve"> </w:t>
      </w:r>
      <w:r w:rsidR="003B384E" w:rsidRPr="00D47FBC">
        <w:t>Trybunał za słuszne uznaje wyznaczenie wysokości odsetek za</w:t>
      </w:r>
      <w:r w:rsidR="007D5E66" w:rsidRPr="00D47FBC">
        <w:t> </w:t>
      </w:r>
      <w:r w:rsidR="003B384E" w:rsidRPr="00D47FBC">
        <w:t>zwłokę na podstawie marginalnej stopy procentowej Europejskiego Banku Centralnego powiększonej o trzy punkty procentowe.</w:t>
      </w:r>
    </w:p>
    <w:p w14:paraId="685C0A67" w14:textId="77777777" w:rsidR="003B384E" w:rsidRPr="00D47FBC" w:rsidRDefault="003B384E" w:rsidP="003B384E">
      <w:pPr>
        <w:keepNext/>
        <w:keepLines/>
        <w:numPr>
          <w:ilvl w:val="0"/>
          <w:numId w:val="1"/>
        </w:numPr>
        <w:spacing w:before="100" w:beforeAutospacing="1" w:after="240"/>
        <w:jc w:val="both"/>
        <w:outlineLvl w:val="0"/>
        <w:rPr>
          <w:caps/>
          <w:sz w:val="28"/>
        </w:rPr>
      </w:pPr>
      <w:r w:rsidRPr="00D47FBC">
        <w:rPr>
          <w:caps/>
          <w:sz w:val="28"/>
        </w:rPr>
        <w:t>Z POWYŻSZYCH WZGLĘDÓW TRYBUNAŁ JEDNOGŁOŚNIE</w:t>
      </w:r>
    </w:p>
    <w:p w14:paraId="2E080E2D" w14:textId="77777777" w:rsidR="003B384E" w:rsidRPr="00D47FBC" w:rsidRDefault="003B384E" w:rsidP="003B384E">
      <w:pPr>
        <w:numPr>
          <w:ilvl w:val="0"/>
          <w:numId w:val="2"/>
        </w:numPr>
        <w:spacing w:before="280" w:after="60"/>
        <w:jc w:val="both"/>
        <w:rPr>
          <w:rFonts w:eastAsiaTheme="minorHAnsi"/>
        </w:rPr>
      </w:pPr>
      <w:r w:rsidRPr="00D47FBC">
        <w:rPr>
          <w:rFonts w:eastAsiaTheme="minorHAnsi"/>
          <w:i/>
          <w:iCs/>
        </w:rPr>
        <w:t>uznaje</w:t>
      </w:r>
      <w:r w:rsidRPr="00D47FBC">
        <w:rPr>
          <w:rFonts w:eastAsiaTheme="minorHAnsi"/>
        </w:rPr>
        <w:t xml:space="preserve"> skargę za dopuszczalną;</w:t>
      </w:r>
    </w:p>
    <w:p w14:paraId="06149863" w14:textId="77777777" w:rsidR="003B384E" w:rsidRPr="00D47FBC" w:rsidRDefault="003B384E" w:rsidP="003B384E">
      <w:pPr>
        <w:numPr>
          <w:ilvl w:val="0"/>
          <w:numId w:val="2"/>
        </w:numPr>
        <w:spacing w:before="280" w:after="60"/>
        <w:jc w:val="both"/>
        <w:rPr>
          <w:rFonts w:eastAsiaTheme="minorHAnsi"/>
        </w:rPr>
      </w:pPr>
      <w:r w:rsidRPr="00D47FBC">
        <w:rPr>
          <w:rFonts w:eastAsiaTheme="minorHAnsi"/>
          <w:i/>
          <w:iCs/>
        </w:rPr>
        <w:t>uznaje</w:t>
      </w:r>
      <w:r w:rsidRPr="00D47FBC">
        <w:rPr>
          <w:rFonts w:eastAsiaTheme="minorHAnsi"/>
        </w:rPr>
        <w:t>, że doszło do naruszenia art. 3 Konwencji w jego aspekcie materialnym;</w:t>
      </w:r>
    </w:p>
    <w:p w14:paraId="5F26BEBE" w14:textId="77777777" w:rsidR="003B384E" w:rsidRPr="00D47FBC" w:rsidRDefault="003B384E" w:rsidP="003B384E">
      <w:pPr>
        <w:numPr>
          <w:ilvl w:val="0"/>
          <w:numId w:val="2"/>
        </w:numPr>
        <w:spacing w:before="280" w:after="60"/>
        <w:jc w:val="both"/>
        <w:rPr>
          <w:rFonts w:eastAsiaTheme="minorHAnsi"/>
        </w:rPr>
      </w:pPr>
      <w:r w:rsidRPr="00D47FBC">
        <w:rPr>
          <w:rFonts w:eastAsiaTheme="minorHAnsi"/>
          <w:i/>
          <w:iCs/>
        </w:rPr>
        <w:t>uznaje</w:t>
      </w:r>
      <w:r w:rsidRPr="00D47FBC">
        <w:rPr>
          <w:rFonts w:eastAsiaTheme="minorHAnsi"/>
        </w:rPr>
        <w:t>, że doszło do naruszenia art. 3 Konwencji w jego aspekcie proceduralnym;</w:t>
      </w:r>
    </w:p>
    <w:p w14:paraId="6C706260" w14:textId="77777777" w:rsidR="003B384E" w:rsidRPr="00D47FBC" w:rsidRDefault="003B384E" w:rsidP="003B384E">
      <w:pPr>
        <w:numPr>
          <w:ilvl w:val="0"/>
          <w:numId w:val="2"/>
        </w:numPr>
        <w:spacing w:before="280" w:after="60"/>
        <w:jc w:val="both"/>
        <w:rPr>
          <w:rFonts w:eastAsiaTheme="minorHAnsi"/>
          <w:i/>
          <w:iCs/>
        </w:rPr>
      </w:pPr>
      <w:r w:rsidRPr="00D47FBC">
        <w:rPr>
          <w:rFonts w:eastAsiaTheme="minorHAnsi"/>
          <w:i/>
          <w:iCs/>
        </w:rPr>
        <w:t>uznaje</w:t>
      </w:r>
    </w:p>
    <w:p w14:paraId="2E7AF789" w14:textId="09C0333D" w:rsidR="003B384E" w:rsidRPr="00D47FBC" w:rsidRDefault="003B384E" w:rsidP="003B384E">
      <w:pPr>
        <w:numPr>
          <w:ilvl w:val="1"/>
          <w:numId w:val="2"/>
        </w:numPr>
        <w:jc w:val="both"/>
      </w:pPr>
      <w:r w:rsidRPr="00D47FBC">
        <w:t>że pozwane państwo winno, w terminie trzech miesięcy od daty, w</w:t>
      </w:r>
      <w:r w:rsidR="007D5E66" w:rsidRPr="00D47FBC">
        <w:t> </w:t>
      </w:r>
      <w:r w:rsidRPr="00D47FBC">
        <w:t>której niniejszy wyrok stanie się ostateczny zgodnie z</w:t>
      </w:r>
      <w:r w:rsidR="007D5E66" w:rsidRPr="00D47FBC">
        <w:t> </w:t>
      </w:r>
      <w:r w:rsidRPr="00D47FBC">
        <w:t>art. 44 ust. 2 Konwencji, uiścić na rzecz skarżącego kwotę 25 000 EUR (dwadzieścia pięć tysięcy euro) plus wszelkie należne podatki, tytułem zadośćuczynienia za szkodę niemajątkową, przeliczoną na</w:t>
      </w:r>
      <w:r w:rsidR="003766C2">
        <w:t> </w:t>
      </w:r>
      <w:r w:rsidRPr="00D47FBC">
        <w:t>walutę pozwanego państwa według kursu obowiązującego w dniu płatności;</w:t>
      </w:r>
    </w:p>
    <w:p w14:paraId="3E770395" w14:textId="2FBF8792" w:rsidR="003B384E" w:rsidRPr="00D47FBC" w:rsidRDefault="003B384E" w:rsidP="003B384E">
      <w:pPr>
        <w:numPr>
          <w:ilvl w:val="1"/>
          <w:numId w:val="2"/>
        </w:numPr>
        <w:jc w:val="both"/>
      </w:pPr>
      <w:r w:rsidRPr="00D47FBC">
        <w:t>że od upływu wyżej wskazanego terminu trzech miesięcy aż</w:t>
      </w:r>
      <w:r w:rsidR="003766C2">
        <w:t> </w:t>
      </w:r>
      <w:r w:rsidRPr="00D47FBC">
        <w:t>do</w:t>
      </w:r>
      <w:r w:rsidR="003766C2">
        <w:t> </w:t>
      </w:r>
      <w:r w:rsidRPr="00D47FBC">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76D14989" w14:textId="77777777" w:rsidR="003B384E" w:rsidRPr="00D47FBC" w:rsidRDefault="003B384E" w:rsidP="003B384E">
      <w:pPr>
        <w:numPr>
          <w:ilvl w:val="0"/>
          <w:numId w:val="2"/>
        </w:numPr>
        <w:spacing w:before="280" w:after="60"/>
        <w:jc w:val="both"/>
        <w:rPr>
          <w:rFonts w:eastAsiaTheme="minorHAnsi"/>
        </w:rPr>
      </w:pPr>
      <w:r w:rsidRPr="00D47FBC">
        <w:rPr>
          <w:rFonts w:eastAsiaTheme="minorHAnsi"/>
          <w:i/>
        </w:rPr>
        <w:t xml:space="preserve">oddala </w:t>
      </w:r>
      <w:r w:rsidRPr="00D47FBC">
        <w:rPr>
          <w:rFonts w:eastAsiaTheme="minorHAnsi"/>
        </w:rPr>
        <w:t>pozostałą część roszczenia skarżącego dotyczącego słusznego zadośćuczynienia.</w:t>
      </w:r>
    </w:p>
    <w:p w14:paraId="55FF07E0" w14:textId="77777777" w:rsidR="003B384E" w:rsidRPr="00D47FBC" w:rsidRDefault="003B384E" w:rsidP="003B384E">
      <w:pPr>
        <w:keepNext/>
        <w:keepLines/>
        <w:spacing w:before="240" w:after="240"/>
        <w:ind w:firstLine="284"/>
        <w:jc w:val="both"/>
        <w:rPr>
          <w:rFonts w:eastAsiaTheme="minorHAnsi"/>
        </w:rPr>
      </w:pPr>
      <w:r w:rsidRPr="00D47FBC">
        <w:rPr>
          <w:rFonts w:eastAsiaTheme="minorHAnsi"/>
        </w:rPr>
        <w:t>Sporządzono w języku angielskim i obwieszczono pisemnie dnia 23 maja 2019 r. zgodnie z Regułą 77 §§ 2 i 3 Regulaminu Trybunału.</w:t>
      </w:r>
    </w:p>
    <w:p w14:paraId="33DE0700" w14:textId="77777777" w:rsidR="003B384E" w:rsidRPr="00543B3A" w:rsidRDefault="003B384E" w:rsidP="003B384E">
      <w:pPr>
        <w:tabs>
          <w:tab w:val="center" w:pos="851"/>
          <w:tab w:val="center" w:pos="6407"/>
        </w:tabs>
        <w:spacing w:before="720"/>
        <w:rPr>
          <w:lang w:val="fr-FR"/>
        </w:rPr>
      </w:pPr>
      <w:r w:rsidRPr="00D47FBC">
        <w:tab/>
      </w:r>
      <w:r w:rsidRPr="00543B3A">
        <w:rPr>
          <w:lang w:val="fr-FR"/>
        </w:rPr>
        <w:t>Abel Campos</w:t>
      </w:r>
      <w:r w:rsidRPr="00543B3A">
        <w:rPr>
          <w:lang w:val="fr-FR"/>
        </w:rPr>
        <w:tab/>
        <w:t>Linos-Alexandre Sicilianos</w:t>
      </w:r>
      <w:r w:rsidRPr="00543B3A">
        <w:rPr>
          <w:lang w:val="fr-FR"/>
        </w:rPr>
        <w:br/>
      </w:r>
      <w:r w:rsidRPr="00543B3A">
        <w:rPr>
          <w:lang w:val="fr-FR"/>
        </w:rPr>
        <w:tab/>
        <w:t>Kanclerz</w:t>
      </w:r>
      <w:r w:rsidRPr="00543B3A">
        <w:rPr>
          <w:lang w:val="fr-FR"/>
        </w:rPr>
        <w:tab/>
        <w:t>Przewodniczący</w:t>
      </w:r>
    </w:p>
    <w:p w14:paraId="67BF50AE" w14:textId="3ABAEB1F" w:rsidR="003B384E" w:rsidRPr="00D47FBC" w:rsidRDefault="003B384E" w:rsidP="003B384E">
      <w:pPr>
        <w:keepNext/>
        <w:keepLines/>
        <w:spacing w:before="240" w:after="240"/>
        <w:ind w:firstLine="284"/>
        <w:jc w:val="both"/>
        <w:rPr>
          <w:rFonts w:eastAsiaTheme="minorHAnsi"/>
        </w:rPr>
      </w:pPr>
      <w:r w:rsidRPr="00D47FBC">
        <w:rPr>
          <w:rFonts w:eastAsiaTheme="minorHAnsi"/>
        </w:rPr>
        <w:lastRenderedPageBreak/>
        <w:t xml:space="preserve">Zgodnie z art. 45 ust. 2 Konwencji i Regułą 74 § 2 Regulaminu Trybunału do niniejszego wyroku załączono zgodną opinię </w:t>
      </w:r>
      <w:r w:rsidR="006C6CF4">
        <w:rPr>
          <w:rFonts w:eastAsiaTheme="minorHAnsi"/>
        </w:rPr>
        <w:t xml:space="preserve">odrębną </w:t>
      </w:r>
      <w:r w:rsidRPr="00D47FBC">
        <w:rPr>
          <w:rFonts w:eastAsiaTheme="minorHAnsi"/>
        </w:rPr>
        <w:t xml:space="preserve">sędziów </w:t>
      </w:r>
      <w:proofErr w:type="spellStart"/>
      <w:r w:rsidRPr="00D47FBC">
        <w:rPr>
          <w:rFonts w:eastAsiaTheme="minorHAnsi"/>
        </w:rPr>
        <w:t>Turkovi</w:t>
      </w:r>
      <w:r w:rsidR="006C6CF4" w:rsidRPr="00C37325">
        <w:t>ć</w:t>
      </w:r>
      <w:proofErr w:type="spellEnd"/>
      <w:r w:rsidRPr="00D47FBC">
        <w:rPr>
          <w:rFonts w:eastAsiaTheme="minorHAnsi"/>
        </w:rPr>
        <w:t xml:space="preserve"> i </w:t>
      </w:r>
      <w:proofErr w:type="spellStart"/>
      <w:r w:rsidRPr="00D47FBC">
        <w:rPr>
          <w:rFonts w:eastAsiaTheme="minorHAnsi"/>
        </w:rPr>
        <w:t>Eicke’a</w:t>
      </w:r>
      <w:proofErr w:type="spellEnd"/>
      <w:r w:rsidRPr="00D47FBC">
        <w:rPr>
          <w:rFonts w:eastAsiaTheme="minorHAnsi"/>
        </w:rPr>
        <w:t>.</w:t>
      </w:r>
    </w:p>
    <w:p w14:paraId="31872091" w14:textId="77777777" w:rsidR="003B384E" w:rsidRPr="00D47FBC" w:rsidRDefault="003B384E" w:rsidP="003B384E">
      <w:pPr>
        <w:tabs>
          <w:tab w:val="center" w:pos="6407"/>
        </w:tabs>
        <w:spacing w:before="720"/>
        <w:jc w:val="right"/>
      </w:pPr>
      <w:r w:rsidRPr="00D47FBC">
        <w:t>L.-A. S.</w:t>
      </w:r>
      <w:r w:rsidRPr="00D47FBC">
        <w:br/>
        <w:t>A.C.</w:t>
      </w:r>
    </w:p>
    <w:p w14:paraId="27F93019" w14:textId="77777777" w:rsidR="003B384E" w:rsidRPr="00D47FBC" w:rsidRDefault="003B384E" w:rsidP="003B384E">
      <w:pPr>
        <w:keepNext/>
        <w:keepLines/>
        <w:spacing w:before="240" w:after="240"/>
        <w:ind w:firstLine="284"/>
        <w:jc w:val="both"/>
        <w:rPr>
          <w:rFonts w:eastAsiaTheme="minorHAnsi"/>
        </w:rPr>
        <w:sectPr w:rsidR="003B384E" w:rsidRPr="00D47FBC" w:rsidSect="00F42FA3">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14:paraId="1DB6E542" w14:textId="173BD557" w:rsidR="003B384E" w:rsidRPr="00D47FBC" w:rsidRDefault="003B384E" w:rsidP="003B384E">
      <w:pPr>
        <w:keepNext/>
        <w:keepLines/>
        <w:spacing w:after="240"/>
        <w:jc w:val="center"/>
        <w:outlineLvl w:val="0"/>
        <w:rPr>
          <w:rFonts w:asciiTheme="majorHAnsi" w:hAnsiTheme="majorHAnsi"/>
          <w:sz w:val="28"/>
        </w:rPr>
      </w:pPr>
      <w:r w:rsidRPr="00D47FBC">
        <w:rPr>
          <w:rFonts w:asciiTheme="majorHAnsi" w:hAnsiTheme="majorHAnsi"/>
          <w:sz w:val="28"/>
        </w:rPr>
        <w:lastRenderedPageBreak/>
        <w:t xml:space="preserve">ZGODNA OPINIA </w:t>
      </w:r>
      <w:r w:rsidR="00F9653F">
        <w:rPr>
          <w:rFonts w:asciiTheme="majorHAnsi" w:hAnsiTheme="majorHAnsi"/>
          <w:sz w:val="28"/>
        </w:rPr>
        <w:t xml:space="preserve">ODRĘBNA </w:t>
      </w:r>
      <w:r w:rsidR="00F9653F">
        <w:rPr>
          <w:rFonts w:asciiTheme="majorHAnsi" w:hAnsiTheme="majorHAnsi"/>
          <w:sz w:val="28"/>
        </w:rPr>
        <w:br/>
      </w:r>
      <w:r w:rsidRPr="00D47FBC">
        <w:rPr>
          <w:rFonts w:asciiTheme="majorHAnsi" w:hAnsiTheme="majorHAnsi"/>
          <w:sz w:val="28"/>
        </w:rPr>
        <w:t>SĘDZIÓW</w:t>
      </w:r>
      <w:r w:rsidR="00F9653F">
        <w:rPr>
          <w:rFonts w:asciiTheme="majorHAnsi" w:hAnsiTheme="majorHAnsi"/>
          <w:sz w:val="28"/>
        </w:rPr>
        <w:t xml:space="preserve"> </w:t>
      </w:r>
      <w:r w:rsidRPr="00D47FBC">
        <w:rPr>
          <w:rFonts w:asciiTheme="majorHAnsi" w:hAnsiTheme="majorHAnsi"/>
          <w:caps/>
          <w:sz w:val="28"/>
        </w:rPr>
        <w:t>Turković</w:t>
      </w:r>
      <w:r w:rsidRPr="00D47FBC">
        <w:rPr>
          <w:rFonts w:asciiTheme="majorHAnsi" w:hAnsiTheme="majorHAnsi"/>
          <w:sz w:val="28"/>
        </w:rPr>
        <w:t xml:space="preserve"> I EICKE’A</w:t>
      </w:r>
    </w:p>
    <w:p w14:paraId="0C85D4F8" w14:textId="77777777" w:rsidR="003B384E" w:rsidRPr="00D47FBC" w:rsidRDefault="003B384E" w:rsidP="003B384E">
      <w:pPr>
        <w:ind w:firstLine="284"/>
        <w:jc w:val="both"/>
        <w:rPr>
          <w:i/>
          <w:u w:val="single"/>
        </w:rPr>
      </w:pPr>
      <w:r w:rsidRPr="00D47FBC">
        <w:rPr>
          <w:i/>
          <w:u w:val="single"/>
        </w:rPr>
        <w:t>Wprowadzenie</w:t>
      </w:r>
    </w:p>
    <w:p w14:paraId="0547E638" w14:textId="77777777" w:rsidR="003B384E" w:rsidRPr="00D47FBC" w:rsidRDefault="003B384E" w:rsidP="003B384E">
      <w:pPr>
        <w:ind w:firstLine="284"/>
        <w:jc w:val="both"/>
        <w:rPr>
          <w:rFonts w:eastAsia="Arial Unicode MS"/>
          <w:u w:color="000000"/>
          <w:bdr w:val="nil"/>
          <w:lang w:eastAsia="en-GB"/>
        </w:rPr>
      </w:pPr>
    </w:p>
    <w:p w14:paraId="3257A7B2" w14:textId="77821FE7" w:rsidR="003B384E" w:rsidRPr="00D47FBC" w:rsidRDefault="00B05A8B" w:rsidP="003B384E">
      <w:pPr>
        <w:ind w:firstLine="284"/>
        <w:jc w:val="both"/>
        <w:rPr>
          <w:rFonts w:eastAsia="Arial Unicode MS"/>
          <w:u w:color="000000"/>
          <w:bdr w:val="nil"/>
        </w:rPr>
      </w:pPr>
      <w:r>
        <w:rPr>
          <w:rFonts w:eastAsia="Arial Unicode MS"/>
          <w:u w:color="000000"/>
          <w:bdr w:val="nil"/>
        </w:rPr>
        <w:t>1</w:t>
      </w:r>
      <w:r w:rsidR="003B384E" w:rsidRPr="00D47FBC">
        <w:rPr>
          <w:u w:color="000000"/>
          <w:bdr w:val="nil"/>
        </w:rPr>
        <w:t>.</w:t>
      </w:r>
      <w:r w:rsidR="007C0D3E">
        <w:rPr>
          <w:u w:color="000000"/>
          <w:bdr w:val="nil"/>
        </w:rPr>
        <w:t xml:space="preserve"> </w:t>
      </w:r>
      <w:r w:rsidR="003B384E" w:rsidRPr="00D47FBC">
        <w:rPr>
          <w:u w:color="000000"/>
          <w:bdr w:val="nil"/>
        </w:rPr>
        <w:t>Wprawdzie podzielamy stanowisko, że w niniejszej sprawie doszło do</w:t>
      </w:r>
      <w:r w:rsidR="00955755">
        <w:rPr>
          <w:u w:color="000000"/>
          <w:bdr w:val="nil"/>
        </w:rPr>
        <w:t> </w:t>
      </w:r>
      <w:r w:rsidR="003B384E" w:rsidRPr="00D47FBC">
        <w:rPr>
          <w:u w:color="000000"/>
          <w:bdr w:val="nil"/>
        </w:rPr>
        <w:t>naruszenia art. 3 Konwencji zarówno w aspekcie proceduralnym jak</w:t>
      </w:r>
      <w:r w:rsidR="00955755">
        <w:rPr>
          <w:u w:color="000000"/>
          <w:bdr w:val="nil"/>
        </w:rPr>
        <w:t> </w:t>
      </w:r>
      <w:r w:rsidR="003B384E" w:rsidRPr="00D47FBC">
        <w:rPr>
          <w:u w:color="000000"/>
          <w:bdr w:val="nil"/>
        </w:rPr>
        <w:t>i</w:t>
      </w:r>
      <w:r w:rsidR="007D5E66" w:rsidRPr="00D47FBC">
        <w:rPr>
          <w:u w:color="000000"/>
          <w:bdr w:val="nil"/>
        </w:rPr>
        <w:t> </w:t>
      </w:r>
      <w:r w:rsidR="003B384E" w:rsidRPr="00D47FBC">
        <w:rPr>
          <w:u w:color="000000"/>
          <w:bdr w:val="nil"/>
        </w:rPr>
        <w:t xml:space="preserve">materialnym, jednak w odniesieniu do naruszenia w aspekcie materialnym zasadniczo nie zgadzamy ani ze stwierdzeniem większości zawartym w § 75 </w:t>
      </w:r>
      <w:r w:rsidR="00743647" w:rsidRPr="00D47FBC">
        <w:rPr>
          <w:u w:color="000000"/>
          <w:bdr w:val="nil"/>
        </w:rPr>
        <w:t>dotyczącym</w:t>
      </w:r>
      <w:r w:rsidR="00CB6181" w:rsidRPr="00D47FBC">
        <w:rPr>
          <w:u w:color="000000"/>
          <w:bdr w:val="nil"/>
        </w:rPr>
        <w:t xml:space="preserve"> </w:t>
      </w:r>
      <w:r w:rsidR="003B384E" w:rsidRPr="00D47FBC">
        <w:rPr>
          <w:u w:color="000000"/>
          <w:bdr w:val="nil"/>
        </w:rPr>
        <w:t>„rozróżnieni</w:t>
      </w:r>
      <w:r w:rsidR="00CB6181" w:rsidRPr="00D47FBC">
        <w:rPr>
          <w:u w:color="000000"/>
          <w:bdr w:val="nil"/>
        </w:rPr>
        <w:t>[</w:t>
      </w:r>
      <w:r w:rsidR="00743647" w:rsidRPr="00D47FBC">
        <w:rPr>
          <w:u w:color="000000"/>
          <w:bdr w:val="nil"/>
        </w:rPr>
        <w:t>a</w:t>
      </w:r>
      <w:r w:rsidR="00CB6181" w:rsidRPr="00D47FBC">
        <w:rPr>
          <w:u w:color="000000"/>
          <w:bdr w:val="nil"/>
        </w:rPr>
        <w:t>]</w:t>
      </w:r>
      <w:r w:rsidR="003B384E" w:rsidRPr="00D47FBC">
        <w:rPr>
          <w:u w:color="000000"/>
          <w:bdr w:val="nil"/>
        </w:rPr>
        <w:t xml:space="preserve"> dwóch etapów czynności policyjnej”, ani z wyciągniętym wnioskiem, a raczej niewyciągnięciem wniosku w</w:t>
      </w:r>
      <w:r w:rsidR="007D5E66" w:rsidRPr="00D47FBC">
        <w:rPr>
          <w:u w:color="000000"/>
          <w:bdr w:val="nil"/>
        </w:rPr>
        <w:t> </w:t>
      </w:r>
      <w:r w:rsidR="003B384E" w:rsidRPr="00D47FBC">
        <w:rPr>
          <w:u w:color="000000"/>
          <w:bdr w:val="nil"/>
        </w:rPr>
        <w:t>odniesieniu do pytania, czy postępowanie organów na</w:t>
      </w:r>
      <w:r w:rsidR="00955755">
        <w:rPr>
          <w:u w:color="000000"/>
          <w:bdr w:val="nil"/>
        </w:rPr>
        <w:t> </w:t>
      </w:r>
      <w:r w:rsidR="003B384E" w:rsidRPr="00D47FBC">
        <w:rPr>
          <w:u w:color="000000"/>
          <w:bdr w:val="nil"/>
        </w:rPr>
        <w:t>„pierwszym etapie” (również) stanowiło naruszenie art. 3 w aspekcie materialnym.</w:t>
      </w:r>
    </w:p>
    <w:p w14:paraId="67C917BA" w14:textId="0A9DC9AB" w:rsidR="003B384E" w:rsidRPr="00D47FBC" w:rsidRDefault="00B05A8B" w:rsidP="003B384E">
      <w:pPr>
        <w:ind w:firstLine="284"/>
        <w:jc w:val="both"/>
        <w:rPr>
          <w:rFonts w:eastAsia="Arial Unicode MS"/>
          <w:u w:color="000000"/>
          <w:bdr w:val="nil"/>
        </w:rPr>
      </w:pPr>
      <w:r>
        <w:rPr>
          <w:rFonts w:eastAsia="Arial Unicode MS"/>
          <w:u w:color="000000"/>
          <w:bdr w:val="nil"/>
        </w:rPr>
        <w:t>2</w:t>
      </w:r>
      <w:r w:rsidR="003B384E" w:rsidRPr="00D47FBC">
        <w:rPr>
          <w:u w:color="000000"/>
          <w:bdr w:val="nil"/>
        </w:rPr>
        <w:t>.</w:t>
      </w:r>
      <w:r w:rsidR="007C0D3E">
        <w:rPr>
          <w:u w:color="000000"/>
          <w:bdr w:val="nil"/>
        </w:rPr>
        <w:t xml:space="preserve"> </w:t>
      </w:r>
      <w:r w:rsidR="003B384E" w:rsidRPr="00D47FBC">
        <w:rPr>
          <w:u w:color="000000"/>
          <w:bdr w:val="nil"/>
        </w:rPr>
        <w:t xml:space="preserve">Zanim uzasadnimy nasze odmienne stanowisko, chcemy podkreślić znaczenie pracy wykonanej przez Komitet ds. Zapobiegania Torturom (CPT) w odniesieniu do stosowania paralizatorów elektrycznych w ramach wykonywania czynności organów ścigania, a w szczególności podczas dokonywania czynności zatrzymania (zob. §§ 53 i 54). To dopiero drugi raz, kiedy Trybunał miał okazję zająć się kwestią stosowania paralizatorów elektrycznych (pierwszy raz miał miejsce w sprawie </w:t>
      </w:r>
      <w:proofErr w:type="spellStart"/>
      <w:r w:rsidR="003B384E" w:rsidRPr="00D47FBC">
        <w:rPr>
          <w:i/>
          <w:iCs/>
          <w:u w:color="000000"/>
          <w:bdr w:val="nil"/>
        </w:rPr>
        <w:t>Anzhelo</w:t>
      </w:r>
      <w:proofErr w:type="spellEnd"/>
      <w:r w:rsidR="003B384E" w:rsidRPr="00D47FBC">
        <w:rPr>
          <w:i/>
          <w:iCs/>
          <w:u w:color="000000"/>
          <w:bdr w:val="nil"/>
        </w:rPr>
        <w:t xml:space="preserve"> </w:t>
      </w:r>
      <w:proofErr w:type="spellStart"/>
      <w:r w:rsidR="003B384E" w:rsidRPr="00D47FBC">
        <w:rPr>
          <w:i/>
          <w:iCs/>
          <w:u w:color="000000"/>
          <w:bdr w:val="nil"/>
        </w:rPr>
        <w:t>Georgiev</w:t>
      </w:r>
      <w:proofErr w:type="spellEnd"/>
      <w:r w:rsidR="003B384E" w:rsidRPr="00D47FBC">
        <w:rPr>
          <w:i/>
          <w:iCs/>
          <w:u w:color="000000"/>
          <w:bdr w:val="nil"/>
        </w:rPr>
        <w:t xml:space="preserve"> i</w:t>
      </w:r>
      <w:r w:rsidR="007D5E66" w:rsidRPr="00D47FBC">
        <w:rPr>
          <w:i/>
          <w:iCs/>
          <w:u w:color="000000"/>
          <w:bdr w:val="nil"/>
        </w:rPr>
        <w:t> </w:t>
      </w:r>
      <w:r w:rsidR="003B384E" w:rsidRPr="00D47FBC">
        <w:rPr>
          <w:i/>
          <w:iCs/>
          <w:u w:color="000000"/>
          <w:bdr w:val="nil"/>
        </w:rPr>
        <w:t>Inni przeciwko Bułgarii</w:t>
      </w:r>
      <w:r w:rsidR="003B384E" w:rsidRPr="00D47FBC">
        <w:rPr>
          <w:u w:color="000000"/>
          <w:bdr w:val="nil"/>
        </w:rPr>
        <w:t>, skarga nr 51284/09, 30 września 2014 r.). W</w:t>
      </w:r>
      <w:r w:rsidR="00955755">
        <w:rPr>
          <w:u w:color="000000"/>
          <w:bdr w:val="nil"/>
        </w:rPr>
        <w:t> </w:t>
      </w:r>
      <w:r w:rsidR="003B384E" w:rsidRPr="00D47FBC">
        <w:rPr>
          <w:u w:color="000000"/>
          <w:bdr w:val="nil"/>
        </w:rPr>
        <w:t>niniejszym wyroku odpowiednio podkreślono i podzielono wnioski CPT dotyczące ich stosowania, określone w 20. sprawozdaniu ogólnym z dnia 26</w:t>
      </w:r>
      <w:r w:rsidR="00955755">
        <w:rPr>
          <w:u w:color="000000"/>
          <w:bdr w:val="nil"/>
        </w:rPr>
        <w:t> </w:t>
      </w:r>
      <w:r w:rsidR="003B384E" w:rsidRPr="00D47FBC">
        <w:rPr>
          <w:u w:color="000000"/>
          <w:bdr w:val="nil"/>
        </w:rPr>
        <w:t xml:space="preserve">października 2010 r. w kontekście art. 3 </w:t>
      </w:r>
      <w:r w:rsidR="003548B2" w:rsidRPr="00D47FBC">
        <w:rPr>
          <w:u w:color="000000"/>
          <w:bdr w:val="nil"/>
        </w:rPr>
        <w:t>Konwencji</w:t>
      </w:r>
      <w:r w:rsidR="003B384E" w:rsidRPr="00D47FBC">
        <w:rPr>
          <w:u w:color="000000"/>
          <w:bdr w:val="nil"/>
        </w:rPr>
        <w:t>.</w:t>
      </w:r>
    </w:p>
    <w:p w14:paraId="28A02006" w14:textId="2F9DB504" w:rsidR="003B384E" w:rsidRPr="00D47FBC" w:rsidRDefault="00B05A8B" w:rsidP="003B384E">
      <w:pPr>
        <w:ind w:firstLine="284"/>
        <w:jc w:val="both"/>
        <w:rPr>
          <w:rFonts w:eastAsia="Arial Unicode MS"/>
          <w:u w:color="000000"/>
          <w:bdr w:val="nil"/>
        </w:rPr>
      </w:pPr>
      <w:r>
        <w:rPr>
          <w:rFonts w:eastAsia="Arial Unicode MS"/>
          <w:u w:color="000000"/>
          <w:bdr w:val="nil"/>
        </w:rPr>
        <w:t>3</w:t>
      </w:r>
      <w:r w:rsidR="003B384E" w:rsidRPr="00D47FBC">
        <w:rPr>
          <w:u w:color="000000"/>
          <w:bdr w:val="nil"/>
        </w:rPr>
        <w:t>.</w:t>
      </w:r>
      <w:r w:rsidR="007C0D3E">
        <w:rPr>
          <w:u w:color="000000"/>
          <w:bdr w:val="nil"/>
        </w:rPr>
        <w:t xml:space="preserve"> </w:t>
      </w:r>
      <w:r w:rsidR="003B384E" w:rsidRPr="00D47FBC">
        <w:rPr>
          <w:u w:color="000000"/>
          <w:bdr w:val="nil"/>
        </w:rPr>
        <w:t>Mając na uwadze przedstawione Trybunałowi dowody i wnioski CPT oraz w świetle spójnego orzecznictwa Trybunału, z</w:t>
      </w:r>
      <w:r w:rsidR="003548B2">
        <w:rPr>
          <w:u w:color="000000"/>
          <w:bdr w:val="nil"/>
        </w:rPr>
        <w:t xml:space="preserve"> przytoczonych poniżej względów</w:t>
      </w:r>
      <w:r w:rsidR="003B384E" w:rsidRPr="00D47FBC">
        <w:rPr>
          <w:u w:color="000000"/>
          <w:bdr w:val="nil"/>
        </w:rPr>
        <w:t xml:space="preserve"> wydaje nam się jasne, że w niniejszej sprawie Trybunał nie miał innego wyjścia, jak stwierdzić, że do naruszenia art. 3 w aspekcie materialnym doszło w</w:t>
      </w:r>
      <w:r w:rsidR="003548B2">
        <w:rPr>
          <w:u w:color="000000"/>
          <w:bdr w:val="nil"/>
        </w:rPr>
        <w:t xml:space="preserve"> odniesieniu do całej </w:t>
      </w:r>
      <w:r w:rsidR="00CB6181">
        <w:rPr>
          <w:u w:color="000000"/>
          <w:bdr w:val="nil"/>
        </w:rPr>
        <w:t>czynności</w:t>
      </w:r>
      <w:r w:rsidR="003548B2">
        <w:rPr>
          <w:u w:color="000000"/>
          <w:bdr w:val="nil"/>
        </w:rPr>
        <w:t xml:space="preserve"> </w:t>
      </w:r>
      <w:r w:rsidR="003B384E" w:rsidRPr="00D47FBC">
        <w:rPr>
          <w:u w:color="000000"/>
          <w:bdr w:val="nil"/>
        </w:rPr>
        <w:t xml:space="preserve">albo – gdyby przyjąć </w:t>
      </w:r>
      <w:r w:rsidR="0095428D">
        <w:rPr>
          <w:u w:color="000000"/>
          <w:bdr w:val="nil"/>
        </w:rPr>
        <w:t>rozróżnienie</w:t>
      </w:r>
      <w:r w:rsidR="0095428D" w:rsidRPr="003B384E">
        <w:rPr>
          <w:u w:color="000000"/>
          <w:bdr w:val="nil"/>
        </w:rPr>
        <w:t xml:space="preserve"> </w:t>
      </w:r>
      <w:r w:rsidR="002A1BA7">
        <w:rPr>
          <w:u w:color="000000"/>
          <w:bdr w:val="nil"/>
        </w:rPr>
        <w:t xml:space="preserve">dokonane przez większość </w:t>
      </w:r>
      <w:r w:rsidR="003B384E" w:rsidRPr="00D47FBC">
        <w:rPr>
          <w:u w:color="000000"/>
          <w:bdr w:val="nil"/>
        </w:rPr>
        <w:t xml:space="preserve">– że </w:t>
      </w:r>
      <w:r w:rsidR="00DA0820" w:rsidRPr="00D47FBC">
        <w:rPr>
          <w:u w:color="000000"/>
          <w:bdr w:val="nil"/>
        </w:rPr>
        <w:t xml:space="preserve">do wyraźnego naruszenia art. 3 doszło </w:t>
      </w:r>
      <w:r w:rsidR="003B384E" w:rsidRPr="00D47FBC">
        <w:rPr>
          <w:u w:color="000000"/>
          <w:bdr w:val="nil"/>
        </w:rPr>
        <w:t>na „pierwszym etapie” zatrzymania</w:t>
      </w:r>
      <w:r w:rsidR="003548B2">
        <w:rPr>
          <w:u w:color="000000"/>
          <w:bdr w:val="nil"/>
        </w:rPr>
        <w:t>, a</w:t>
      </w:r>
      <w:r w:rsidR="003B384E" w:rsidRPr="00D47FBC">
        <w:rPr>
          <w:u w:color="000000"/>
          <w:bdr w:val="nil"/>
        </w:rPr>
        <w:t xml:space="preserve"> stwierdzona niemożność ustalenia</w:t>
      </w:r>
      <w:r w:rsidR="00DA0820" w:rsidRPr="00DA0820">
        <w:rPr>
          <w:u w:color="000000"/>
          <w:bdr w:val="nil"/>
        </w:rPr>
        <w:t xml:space="preserve"> </w:t>
      </w:r>
      <w:r w:rsidR="00DA0820" w:rsidRPr="00D47FBC">
        <w:rPr>
          <w:u w:color="000000"/>
          <w:bdr w:val="nil"/>
        </w:rPr>
        <w:t>przez większość</w:t>
      </w:r>
      <w:r w:rsidR="003B384E" w:rsidRPr="00D47FBC">
        <w:rPr>
          <w:u w:color="000000"/>
          <w:bdr w:val="nil"/>
        </w:rPr>
        <w:t>, czy użycie siły na tym „pierwszym etapie” było nadmierne, jest niezgodn</w:t>
      </w:r>
      <w:r w:rsidR="003548B2">
        <w:rPr>
          <w:u w:color="000000"/>
          <w:bdr w:val="nil"/>
        </w:rPr>
        <w:t>a</w:t>
      </w:r>
      <w:r w:rsidR="003B384E" w:rsidRPr="00D47FBC">
        <w:rPr>
          <w:u w:color="000000"/>
          <w:bdr w:val="nil"/>
        </w:rPr>
        <w:t xml:space="preserve"> z utrwalonym orzecznictwem Trybunału i</w:t>
      </w:r>
      <w:r w:rsidR="00955755">
        <w:rPr>
          <w:u w:color="000000"/>
          <w:bdr w:val="nil"/>
        </w:rPr>
        <w:t> </w:t>
      </w:r>
      <w:r w:rsidR="002A1BA7">
        <w:rPr>
          <w:u w:color="000000"/>
          <w:bdr w:val="nil"/>
        </w:rPr>
        <w:t>w</w:t>
      </w:r>
      <w:r w:rsidR="00955755">
        <w:rPr>
          <w:u w:color="000000"/>
          <w:bdr w:val="nil"/>
        </w:rPr>
        <w:t> </w:t>
      </w:r>
      <w:r w:rsidR="002A1BA7">
        <w:rPr>
          <w:u w:color="000000"/>
          <w:bdr w:val="nil"/>
        </w:rPr>
        <w:t xml:space="preserve">istocie </w:t>
      </w:r>
      <w:r w:rsidR="003B384E" w:rsidRPr="00D47FBC">
        <w:rPr>
          <w:u w:color="000000"/>
          <w:bdr w:val="nil"/>
        </w:rPr>
        <w:t xml:space="preserve">stanowi niczym nieuzasadnione odwrócenie ciężaru dowodu wbrew podstawowym wartościom społeczeństwa </w:t>
      </w:r>
      <w:r w:rsidR="003548B2" w:rsidRPr="00D47FBC">
        <w:rPr>
          <w:u w:color="000000"/>
          <w:bdr w:val="nil"/>
        </w:rPr>
        <w:t xml:space="preserve">demokratycznego </w:t>
      </w:r>
      <w:r w:rsidR="003B384E" w:rsidRPr="00D47FBC">
        <w:rPr>
          <w:u w:color="000000"/>
          <w:bdr w:val="nil"/>
        </w:rPr>
        <w:t>określonym w</w:t>
      </w:r>
      <w:r w:rsidR="007D5E66" w:rsidRPr="00D47FBC">
        <w:rPr>
          <w:u w:color="000000"/>
          <w:bdr w:val="nil"/>
        </w:rPr>
        <w:t> </w:t>
      </w:r>
      <w:r w:rsidR="003B384E" w:rsidRPr="00D47FBC">
        <w:rPr>
          <w:u w:color="000000"/>
          <w:bdr w:val="nil"/>
        </w:rPr>
        <w:t>art. 3.</w:t>
      </w:r>
    </w:p>
    <w:p w14:paraId="21F95DC6" w14:textId="77777777" w:rsidR="003B384E" w:rsidRPr="00D47FBC" w:rsidRDefault="003B384E" w:rsidP="003B384E">
      <w:pPr>
        <w:ind w:firstLine="284"/>
        <w:jc w:val="both"/>
        <w:rPr>
          <w:rFonts w:eastAsia="Arial Unicode MS"/>
          <w:u w:color="000000"/>
          <w:bdr w:val="nil"/>
          <w:lang w:eastAsia="en-GB"/>
        </w:rPr>
      </w:pPr>
    </w:p>
    <w:p w14:paraId="768F355D" w14:textId="77777777" w:rsidR="003B384E" w:rsidRPr="00D47FBC" w:rsidRDefault="003B384E" w:rsidP="003B384E">
      <w:pPr>
        <w:ind w:firstLine="284"/>
        <w:jc w:val="both"/>
        <w:rPr>
          <w:rFonts w:eastAsia="Arial Unicode MS"/>
          <w:i/>
          <w:u w:val="single"/>
          <w:bdr w:val="nil"/>
        </w:rPr>
      </w:pPr>
      <w:r w:rsidRPr="00D47FBC">
        <w:rPr>
          <w:i/>
          <w:u w:val="single"/>
          <w:bdr w:val="nil"/>
        </w:rPr>
        <w:t>Dwa etapy</w:t>
      </w:r>
    </w:p>
    <w:p w14:paraId="6EFF3914" w14:textId="77777777" w:rsidR="003B384E" w:rsidRPr="00D47FBC" w:rsidRDefault="003B384E" w:rsidP="003B384E">
      <w:pPr>
        <w:ind w:firstLine="284"/>
        <w:jc w:val="both"/>
        <w:rPr>
          <w:rFonts w:eastAsia="Arial Unicode MS"/>
          <w:u w:color="000000"/>
          <w:bdr w:val="nil"/>
          <w:lang w:eastAsia="en-GB"/>
        </w:rPr>
      </w:pPr>
    </w:p>
    <w:p w14:paraId="503D9DB0" w14:textId="463F83EF" w:rsidR="003B384E" w:rsidRPr="00D47FBC" w:rsidRDefault="00B05A8B" w:rsidP="003B384E">
      <w:pPr>
        <w:ind w:firstLine="284"/>
        <w:jc w:val="both"/>
        <w:rPr>
          <w:rFonts w:eastAsia="Arial Unicode MS"/>
          <w:u w:color="000000"/>
          <w:bdr w:val="nil"/>
        </w:rPr>
      </w:pPr>
      <w:r>
        <w:rPr>
          <w:rFonts w:eastAsia="Arial Unicode MS"/>
          <w:u w:color="000000"/>
          <w:bdr w:val="nil"/>
        </w:rPr>
        <w:t>4</w:t>
      </w:r>
      <w:r w:rsidR="003B384E" w:rsidRPr="00D47FBC">
        <w:rPr>
          <w:u w:color="000000"/>
          <w:bdr w:val="nil"/>
        </w:rPr>
        <w:t>.</w:t>
      </w:r>
      <w:r w:rsidR="007C0D3E">
        <w:rPr>
          <w:u w:color="000000"/>
          <w:bdr w:val="nil"/>
        </w:rPr>
        <w:t xml:space="preserve"> </w:t>
      </w:r>
      <w:r w:rsidR="003B384E" w:rsidRPr="00D47FBC">
        <w:rPr>
          <w:u w:color="000000"/>
          <w:bdr w:val="nil"/>
        </w:rPr>
        <w:t xml:space="preserve">W § 75 większość twierdzi, że „konieczne” jest rozróżnienie dwóch etapów danej </w:t>
      </w:r>
      <w:r w:rsidR="003B384E" w:rsidRPr="003B384E">
        <w:rPr>
          <w:u w:color="000000"/>
          <w:bdr w:val="nil"/>
        </w:rPr>
        <w:t>czynności</w:t>
      </w:r>
      <w:r w:rsidR="002A1BA7">
        <w:rPr>
          <w:u w:color="000000"/>
          <w:bdr w:val="nil"/>
        </w:rPr>
        <w:t xml:space="preserve"> </w:t>
      </w:r>
      <w:r w:rsidR="003B384E" w:rsidRPr="00D47FBC">
        <w:rPr>
          <w:u w:color="000000"/>
          <w:bdr w:val="nil"/>
        </w:rPr>
        <w:t>policyjnej, nie uzasadniając przy tym, dlaczego jest to</w:t>
      </w:r>
      <w:r w:rsidR="00955755">
        <w:rPr>
          <w:u w:color="000000"/>
          <w:bdr w:val="nil"/>
        </w:rPr>
        <w:t> </w:t>
      </w:r>
      <w:r w:rsidR="003B384E" w:rsidRPr="00D47FBC">
        <w:rPr>
          <w:u w:color="000000"/>
          <w:bdr w:val="nil"/>
        </w:rPr>
        <w:t xml:space="preserve">„konieczne”. Takiego rozróżnienia nie wymaga ani nawet nie sugeruje orzecznictwo Trybunału. Również w wyroku ani w uwagach stron </w:t>
      </w:r>
      <w:r w:rsidR="003B384E" w:rsidRPr="00D47FBC">
        <w:rPr>
          <w:u w:color="000000"/>
          <w:bdr w:val="nil"/>
        </w:rPr>
        <w:lastRenderedPageBreak/>
        <w:t>nie</w:t>
      </w:r>
      <w:r w:rsidR="00955755">
        <w:rPr>
          <w:u w:color="000000"/>
          <w:bdr w:val="nil"/>
        </w:rPr>
        <w:t> </w:t>
      </w:r>
      <w:r w:rsidR="003B384E" w:rsidRPr="00D47FBC">
        <w:rPr>
          <w:u w:color="000000"/>
          <w:bdr w:val="nil"/>
        </w:rPr>
        <w:t>ma</w:t>
      </w:r>
      <w:r w:rsidR="00955755">
        <w:rPr>
          <w:u w:color="000000"/>
          <w:bdr w:val="nil"/>
        </w:rPr>
        <w:t> </w:t>
      </w:r>
      <w:r w:rsidR="003B384E" w:rsidRPr="00D47FBC">
        <w:rPr>
          <w:u w:color="000000"/>
          <w:bdr w:val="nil"/>
        </w:rPr>
        <w:t>żadnej sugestii, że sam skarżący starał się odróżnić dwa „etapy” czynności zatrzymania.</w:t>
      </w:r>
    </w:p>
    <w:p w14:paraId="66D758A7" w14:textId="7BED1C37" w:rsidR="003B384E" w:rsidRPr="00D47FBC" w:rsidRDefault="00B05A8B" w:rsidP="003B384E">
      <w:pPr>
        <w:ind w:firstLine="284"/>
        <w:jc w:val="both"/>
        <w:rPr>
          <w:rFonts w:eastAsia="Arial Unicode MS"/>
          <w:u w:color="000000"/>
          <w:bdr w:val="nil"/>
        </w:rPr>
      </w:pPr>
      <w:r>
        <w:rPr>
          <w:rFonts w:eastAsia="Arial Unicode MS"/>
          <w:u w:color="000000"/>
          <w:bdr w:val="nil"/>
        </w:rPr>
        <w:t>5</w:t>
      </w:r>
      <w:r w:rsidR="003B384E" w:rsidRPr="00D47FBC">
        <w:rPr>
          <w:u w:color="000000"/>
          <w:bdr w:val="nil"/>
        </w:rPr>
        <w:t>.</w:t>
      </w:r>
      <w:r w:rsidR="007C0D3E">
        <w:rPr>
          <w:u w:color="000000"/>
          <w:bdr w:val="nil"/>
        </w:rPr>
        <w:t xml:space="preserve"> </w:t>
      </w:r>
      <w:r w:rsidR="003B384E" w:rsidRPr="00D47FBC">
        <w:rPr>
          <w:u w:color="000000"/>
          <w:bdr w:val="nil"/>
        </w:rPr>
        <w:t xml:space="preserve">Istotne aspekty skargi skarżącego przed tutejszym Trybunałem podsumowano w § 55 jako „złe traktowanie podczas zatrzymania skarżącego”. O tym, że skarga była w rzeczywistości jedną skargą dotyczącą całej </w:t>
      </w:r>
      <w:r w:rsidR="003B384E" w:rsidRPr="003B384E">
        <w:rPr>
          <w:u w:color="000000"/>
          <w:bdr w:val="nil"/>
        </w:rPr>
        <w:t>czynności</w:t>
      </w:r>
      <w:r w:rsidR="003B384E" w:rsidRPr="00D47FBC">
        <w:rPr>
          <w:u w:color="000000"/>
          <w:bdr w:val="nil"/>
        </w:rPr>
        <w:t xml:space="preserve"> zatrzymania, dodatkowo świadczą twierdzenia skarżącego przytoczone w §§ 58 i 61:</w:t>
      </w:r>
    </w:p>
    <w:p w14:paraId="6E70F833" w14:textId="52605414" w:rsidR="003B384E" w:rsidRPr="00D47FBC" w:rsidRDefault="003B384E" w:rsidP="003B384E">
      <w:pPr>
        <w:spacing w:before="120" w:after="120"/>
        <w:ind w:left="425" w:firstLine="142"/>
        <w:jc w:val="both"/>
        <w:rPr>
          <w:rFonts w:eastAsia="Arial Unicode MS"/>
          <w:sz w:val="20"/>
          <w:u w:color="000000"/>
          <w:bdr w:val="nil"/>
        </w:rPr>
      </w:pPr>
      <w:r w:rsidRPr="00D47FBC">
        <w:rPr>
          <w:sz w:val="20"/>
          <w:u w:color="000000"/>
          <w:bdr w:val="nil"/>
        </w:rPr>
        <w:t>„Podczas zatrzymania policja użyła nieproporcjonalnej siły, mimo że skarżący nie</w:t>
      </w:r>
      <w:r w:rsidR="00955755">
        <w:rPr>
          <w:sz w:val="20"/>
          <w:u w:color="000000"/>
          <w:bdr w:val="nil"/>
        </w:rPr>
        <w:t> </w:t>
      </w:r>
      <w:r w:rsidRPr="00D47FBC">
        <w:rPr>
          <w:sz w:val="20"/>
          <w:u w:color="000000"/>
          <w:bdr w:val="nil"/>
        </w:rPr>
        <w:t>stawiał oporu i podporządkował się wydanym poleceniom. Skarżący twierdził, że</w:t>
      </w:r>
      <w:r w:rsidR="00955755">
        <w:rPr>
          <w:sz w:val="20"/>
          <w:u w:color="000000"/>
          <w:bdr w:val="nil"/>
        </w:rPr>
        <w:t> </w:t>
      </w:r>
      <w:r w:rsidRPr="00D47FBC">
        <w:rPr>
          <w:sz w:val="20"/>
          <w:u w:color="000000"/>
          <w:bdr w:val="nil"/>
        </w:rPr>
        <w:t>podczas zatrzymania policjanci uderzali go w twarz, głowę, plecy i nogi, kopali go w twarz, razili go prądem w różne części ciała za pomocą paralizatora elektrycznego, zmusili go do wypicia krwi z podłogi oraz dusili okręconą wokół szyi koszulką. [...]</w:t>
      </w:r>
    </w:p>
    <w:p w14:paraId="7EEEAE31" w14:textId="77777777" w:rsidR="003B384E" w:rsidRPr="00D47FBC" w:rsidRDefault="003B384E" w:rsidP="003B384E">
      <w:pPr>
        <w:spacing w:before="120" w:after="120"/>
        <w:ind w:left="425" w:firstLine="142"/>
        <w:jc w:val="both"/>
        <w:rPr>
          <w:rFonts w:eastAsia="Arial Unicode MS"/>
          <w:sz w:val="20"/>
          <w:u w:color="000000"/>
          <w:bdr w:val="nil"/>
        </w:rPr>
      </w:pPr>
      <w:r w:rsidRPr="00D47FBC">
        <w:rPr>
          <w:sz w:val="20"/>
          <w:u w:color="000000"/>
          <w:bdr w:val="nil"/>
        </w:rPr>
        <w:t>[...]</w:t>
      </w:r>
    </w:p>
    <w:p w14:paraId="259D7CC6" w14:textId="616E0098" w:rsidR="003B384E" w:rsidRPr="00D47FBC" w:rsidRDefault="003B384E" w:rsidP="003B384E">
      <w:pPr>
        <w:spacing w:before="120" w:after="120"/>
        <w:ind w:left="425" w:firstLine="142"/>
        <w:jc w:val="both"/>
        <w:rPr>
          <w:rFonts w:eastAsia="Arial Unicode MS"/>
          <w:sz w:val="20"/>
          <w:u w:color="000000"/>
          <w:bdr w:val="nil"/>
        </w:rPr>
      </w:pPr>
      <w:r w:rsidRPr="00D47FBC">
        <w:rPr>
          <w:sz w:val="20"/>
          <w:u w:color="000000"/>
          <w:bdr w:val="nil"/>
        </w:rPr>
        <w:t xml:space="preserve">Wszyscy zatrzymani twierdzili, że policjanci zachowywali się brutalnie. Zatrzymani nie stawiali oporu i podporządkowywali się </w:t>
      </w:r>
      <w:r w:rsidR="00F32FE3" w:rsidRPr="00D47FBC">
        <w:rPr>
          <w:sz w:val="20"/>
          <w:u w:color="000000"/>
          <w:bdr w:val="nil"/>
        </w:rPr>
        <w:t>wydawanym</w:t>
      </w:r>
      <w:r w:rsidRPr="00D47FBC">
        <w:rPr>
          <w:sz w:val="20"/>
          <w:u w:color="000000"/>
          <w:bdr w:val="nil"/>
        </w:rPr>
        <w:t xml:space="preserve"> im podczas zatrzymania polece</w:t>
      </w:r>
      <w:r w:rsidR="00F32FE3" w:rsidRPr="00D47FBC">
        <w:rPr>
          <w:sz w:val="20"/>
          <w:u w:color="000000"/>
          <w:bdr w:val="nil"/>
        </w:rPr>
        <w:t>niom</w:t>
      </w:r>
      <w:r w:rsidRPr="00D47FBC">
        <w:rPr>
          <w:sz w:val="20"/>
          <w:u w:color="000000"/>
          <w:bdr w:val="nil"/>
        </w:rPr>
        <w:t>. Tym samym nie zachodziła konieczność zastosowania paralizatora elektrycznego czy innych środków przymusu bezpośredniego. Co więcej, liczna grupa policjantów wdzierających się do mieszkania i używających granatów hukowych była dla wszystkich zatrzymanych całkowitym zaskoczeniem, co wyeliminowało wszelki opór z ich strony”.</w:t>
      </w:r>
    </w:p>
    <w:p w14:paraId="25C86BDB" w14:textId="42D99908" w:rsidR="003B384E" w:rsidRPr="00D47FBC" w:rsidRDefault="00B05A8B" w:rsidP="003B384E">
      <w:pPr>
        <w:spacing w:before="120" w:after="120"/>
        <w:ind w:left="425" w:firstLine="142"/>
        <w:jc w:val="both"/>
        <w:rPr>
          <w:rFonts w:eastAsia="Arial Unicode MS"/>
          <w:sz w:val="20"/>
          <w:u w:color="000000"/>
          <w:bdr w:val="nil"/>
        </w:rPr>
      </w:pPr>
      <w:r>
        <w:rPr>
          <w:rFonts w:eastAsia="Arial Unicode MS"/>
          <w:sz w:val="20"/>
          <w:u w:color="000000"/>
          <w:bdr w:val="nil"/>
        </w:rPr>
        <w:t>6</w:t>
      </w:r>
      <w:r w:rsidR="003B384E" w:rsidRPr="00D47FBC">
        <w:rPr>
          <w:sz w:val="20"/>
          <w:u w:color="000000"/>
          <w:bdr w:val="nil"/>
        </w:rPr>
        <w:t>.</w:t>
      </w:r>
      <w:r w:rsidR="007C0D3E">
        <w:rPr>
          <w:sz w:val="20"/>
          <w:u w:color="000000"/>
          <w:bdr w:val="nil"/>
        </w:rPr>
        <w:t xml:space="preserve"> </w:t>
      </w:r>
      <w:r w:rsidR="003B384E" w:rsidRPr="00D47FBC">
        <w:rPr>
          <w:sz w:val="20"/>
          <w:u w:color="000000"/>
          <w:bdr w:val="nil"/>
        </w:rPr>
        <w:t xml:space="preserve">W świetle powyższego nie dostrzegamy powodu, a już z pewnością „konieczności”, tworzenia czegoś, co wydaje się nam sztucznym rozróżnieniem między dwoma „etapami” </w:t>
      </w:r>
      <w:r w:rsidR="003B384E" w:rsidRPr="003B384E">
        <w:rPr>
          <w:sz w:val="20"/>
          <w:u w:color="000000"/>
          <w:bdr w:val="nil"/>
        </w:rPr>
        <w:t>czynności</w:t>
      </w:r>
      <w:r w:rsidR="002A1BA7">
        <w:rPr>
          <w:sz w:val="20"/>
          <w:u w:color="000000"/>
          <w:bdr w:val="nil"/>
        </w:rPr>
        <w:t xml:space="preserve"> </w:t>
      </w:r>
      <w:r w:rsidR="003B384E" w:rsidRPr="00D47FBC">
        <w:rPr>
          <w:sz w:val="20"/>
          <w:u w:color="000000"/>
          <w:bdr w:val="nil"/>
        </w:rPr>
        <w:t xml:space="preserve">zatrzymania, zamiast potraktowania całej </w:t>
      </w:r>
      <w:r w:rsidR="003B384E" w:rsidRPr="003B384E">
        <w:rPr>
          <w:sz w:val="20"/>
          <w:u w:color="000000"/>
          <w:bdr w:val="nil"/>
        </w:rPr>
        <w:t>czynności</w:t>
      </w:r>
      <w:r w:rsidR="002A1BA7">
        <w:rPr>
          <w:sz w:val="20"/>
          <w:u w:color="000000"/>
          <w:bdr w:val="nil"/>
        </w:rPr>
        <w:t xml:space="preserve"> </w:t>
      </w:r>
      <w:r w:rsidR="003B384E" w:rsidRPr="00D47FBC">
        <w:rPr>
          <w:sz w:val="20"/>
          <w:u w:color="000000"/>
          <w:bdr w:val="nil"/>
        </w:rPr>
        <w:t>(tj. obu jej „etapów”) jako jednej czynności będącej przedmiotem jednej skargi.</w:t>
      </w:r>
    </w:p>
    <w:p w14:paraId="14DE85AE" w14:textId="77777777" w:rsidR="003B384E" w:rsidRPr="00D47FBC" w:rsidRDefault="003B384E" w:rsidP="003B384E">
      <w:pPr>
        <w:ind w:firstLine="284"/>
        <w:jc w:val="both"/>
        <w:rPr>
          <w:rFonts w:eastAsia="Arial Unicode MS"/>
          <w:u w:color="000000"/>
          <w:bdr w:val="nil"/>
          <w:lang w:eastAsia="en-GB"/>
        </w:rPr>
      </w:pPr>
    </w:p>
    <w:p w14:paraId="37BB24E0" w14:textId="77777777" w:rsidR="003B384E" w:rsidRPr="00D47FBC" w:rsidRDefault="003B384E" w:rsidP="003B384E">
      <w:pPr>
        <w:ind w:firstLine="284"/>
        <w:jc w:val="both"/>
        <w:rPr>
          <w:rFonts w:eastAsia="Arial Unicode MS"/>
          <w:i/>
          <w:u w:val="single"/>
          <w:bdr w:val="nil"/>
        </w:rPr>
      </w:pPr>
      <w:r w:rsidRPr="00D47FBC">
        <w:rPr>
          <w:i/>
          <w:u w:val="single"/>
          <w:bdr w:val="nil"/>
        </w:rPr>
        <w:t>„Pierwszy etap”</w:t>
      </w:r>
    </w:p>
    <w:p w14:paraId="218275DA" w14:textId="77777777" w:rsidR="003B384E" w:rsidRPr="00D47FBC" w:rsidRDefault="003B384E" w:rsidP="003B384E">
      <w:pPr>
        <w:ind w:firstLine="284"/>
        <w:jc w:val="both"/>
        <w:rPr>
          <w:rFonts w:eastAsia="Arial Unicode MS"/>
          <w:i/>
          <w:iCs/>
          <w:u w:val="single" w:color="000000"/>
          <w:bdr w:val="nil"/>
          <w:lang w:eastAsia="en-GB"/>
        </w:rPr>
      </w:pPr>
    </w:p>
    <w:p w14:paraId="24EFE2D2" w14:textId="23B5E44E" w:rsidR="003B384E" w:rsidRPr="00D47FBC" w:rsidRDefault="00B05A8B" w:rsidP="003B384E">
      <w:pPr>
        <w:ind w:firstLine="284"/>
        <w:jc w:val="both"/>
        <w:rPr>
          <w:rFonts w:eastAsia="Arial Unicode MS"/>
          <w:u w:color="000000"/>
          <w:bdr w:val="nil"/>
        </w:rPr>
      </w:pPr>
      <w:r>
        <w:rPr>
          <w:rFonts w:eastAsia="Arial Unicode MS"/>
          <w:u w:color="000000"/>
          <w:bdr w:val="nil"/>
        </w:rPr>
        <w:t>7</w:t>
      </w:r>
      <w:r w:rsidR="003B384E" w:rsidRPr="00D47FBC">
        <w:rPr>
          <w:u w:color="000000"/>
          <w:bdr w:val="nil"/>
        </w:rPr>
        <w:t>.</w:t>
      </w:r>
      <w:r w:rsidR="007C0D3E">
        <w:rPr>
          <w:u w:color="000000"/>
          <w:bdr w:val="nil"/>
        </w:rPr>
        <w:t xml:space="preserve"> </w:t>
      </w:r>
      <w:r w:rsidR="003B384E" w:rsidRPr="00D47FBC">
        <w:rPr>
          <w:u w:color="000000"/>
          <w:bdr w:val="nil"/>
        </w:rPr>
        <w:t>Przyjmując na potrzeby niniejszej opinii wprowadzone przez</w:t>
      </w:r>
      <w:r w:rsidR="00955755">
        <w:rPr>
          <w:u w:color="000000"/>
          <w:bdr w:val="nil"/>
        </w:rPr>
        <w:t> </w:t>
      </w:r>
      <w:r w:rsidR="003B384E" w:rsidRPr="00D47FBC">
        <w:rPr>
          <w:u w:color="000000"/>
          <w:bdr w:val="nil"/>
        </w:rPr>
        <w:t xml:space="preserve">większość rozróżnienie, </w:t>
      </w:r>
      <w:r w:rsidR="00874FB5">
        <w:rPr>
          <w:u w:color="000000"/>
          <w:bdr w:val="nil"/>
        </w:rPr>
        <w:t xml:space="preserve">w świetle dowodów </w:t>
      </w:r>
      <w:r w:rsidR="003B384E" w:rsidRPr="00D47FBC">
        <w:rPr>
          <w:u w:color="000000"/>
          <w:bdr w:val="nil"/>
        </w:rPr>
        <w:t>w odniesieniu do początkowych/wczesnych etapów zatrzymania („pierwszy etap”)</w:t>
      </w:r>
      <w:r w:rsidR="002A1BA7">
        <w:rPr>
          <w:u w:color="000000"/>
          <w:bdr w:val="nil"/>
        </w:rPr>
        <w:t xml:space="preserve"> </w:t>
      </w:r>
      <w:r w:rsidR="002A1BA7" w:rsidRPr="00D47FBC">
        <w:rPr>
          <w:u w:color="000000"/>
          <w:bdr w:val="nil"/>
        </w:rPr>
        <w:t>jasne jest</w:t>
      </w:r>
      <w:r w:rsidR="003B384E" w:rsidRPr="00D47FBC">
        <w:rPr>
          <w:u w:color="000000"/>
          <w:bdr w:val="nil"/>
        </w:rPr>
        <w:t>, że</w:t>
      </w:r>
      <w:r w:rsidR="00955755">
        <w:rPr>
          <w:u w:color="000000"/>
          <w:bdr w:val="nil"/>
        </w:rPr>
        <w:t> </w:t>
      </w:r>
      <w:r w:rsidR="003B384E" w:rsidRPr="00D47FBC">
        <w:rPr>
          <w:u w:color="000000"/>
          <w:bdr w:val="nil"/>
        </w:rPr>
        <w:t>w</w:t>
      </w:r>
      <w:r w:rsidR="00955755">
        <w:rPr>
          <w:u w:color="000000"/>
          <w:bdr w:val="nil"/>
        </w:rPr>
        <w:t> </w:t>
      </w:r>
      <w:r w:rsidR="003B384E" w:rsidRPr="00D47FBC">
        <w:rPr>
          <w:u w:color="000000"/>
          <w:bdr w:val="nil"/>
        </w:rPr>
        <w:t>niniejszej sprawie czynności policyjnej dokonano w ramach postępowania przygotowawczego prowadzonego w sprawie najcięższego przestępstwa, a mianowicie porwania. Tym samym wydaje się również (chociaż nie ma to absolutnie żadnego znaczenia dla oceny na gruncie art.</w:t>
      </w:r>
      <w:r w:rsidR="007D5E66" w:rsidRPr="00D47FBC">
        <w:rPr>
          <w:u w:color="000000"/>
          <w:bdr w:val="nil"/>
        </w:rPr>
        <w:t> </w:t>
      </w:r>
      <w:r w:rsidR="003B384E" w:rsidRPr="00D47FBC">
        <w:rPr>
          <w:u w:color="000000"/>
          <w:bdr w:val="nil"/>
        </w:rPr>
        <w:t>3), że zatrzymanie miało miejsce „po fakcie”, tj. po zapłaceniu części okupu i uwolnieniu pokrzywdzonej, a zatem – w przeciwieństwie do</w:t>
      </w:r>
      <w:r w:rsidR="00955755">
        <w:rPr>
          <w:u w:color="000000"/>
          <w:bdr w:val="nil"/>
        </w:rPr>
        <w:t> </w:t>
      </w:r>
      <w:r w:rsidR="003B384E" w:rsidRPr="00D47FBC">
        <w:rPr>
          <w:u w:color="000000"/>
          <w:bdr w:val="nil"/>
        </w:rPr>
        <w:t xml:space="preserve">wyjaśnień, które </w:t>
      </w:r>
      <w:r w:rsidR="002A1BA7">
        <w:rPr>
          <w:u w:color="000000"/>
          <w:bdr w:val="nil"/>
        </w:rPr>
        <w:t xml:space="preserve">próbowano podnosić </w:t>
      </w:r>
      <w:r w:rsidR="003B384E" w:rsidRPr="00D47FBC">
        <w:rPr>
          <w:u w:color="000000"/>
          <w:bdr w:val="nil"/>
        </w:rPr>
        <w:t xml:space="preserve">w sprawie </w:t>
      </w:r>
      <w:proofErr w:type="spellStart"/>
      <w:r w:rsidR="003B384E" w:rsidRPr="00D47FBC">
        <w:rPr>
          <w:i/>
          <w:iCs/>
          <w:u w:color="000000"/>
          <w:bdr w:val="nil"/>
        </w:rPr>
        <w:t>Gäfgen</w:t>
      </w:r>
      <w:proofErr w:type="spellEnd"/>
      <w:r w:rsidR="003B384E" w:rsidRPr="00D47FBC">
        <w:rPr>
          <w:i/>
          <w:iCs/>
          <w:u w:color="000000"/>
          <w:bdr w:val="nil"/>
        </w:rPr>
        <w:t xml:space="preserve"> przeciwko Niemcom</w:t>
      </w:r>
      <w:r w:rsidR="003B384E" w:rsidRPr="00D47FBC">
        <w:rPr>
          <w:u w:color="000000"/>
          <w:bdr w:val="nil"/>
        </w:rPr>
        <w:t xml:space="preserve"> [WI], skarga nr 22978/05, ETPCz 2010 – brak było jakiejkolwiek intencji ratowania życia czy zapobieżenia pogorszeniu się sytuacji pokrzywdzonej.</w:t>
      </w:r>
    </w:p>
    <w:p w14:paraId="21DD55BA" w14:textId="194B409A" w:rsidR="003B384E" w:rsidRPr="00D47FBC" w:rsidRDefault="00B05A8B" w:rsidP="003B384E">
      <w:pPr>
        <w:ind w:firstLine="284"/>
        <w:jc w:val="both"/>
        <w:rPr>
          <w:rFonts w:eastAsia="Arial Unicode MS"/>
          <w:u w:color="000000"/>
          <w:bdr w:val="nil"/>
        </w:rPr>
      </w:pPr>
      <w:r>
        <w:rPr>
          <w:rFonts w:eastAsia="Arial Unicode MS"/>
          <w:u w:color="000000"/>
          <w:bdr w:val="nil"/>
        </w:rPr>
        <w:t>8</w:t>
      </w:r>
      <w:r w:rsidR="003B384E" w:rsidRPr="00D47FBC">
        <w:rPr>
          <w:u w:color="000000"/>
          <w:bdr w:val="nil"/>
        </w:rPr>
        <w:t>.</w:t>
      </w:r>
      <w:r w:rsidR="007C0D3E">
        <w:rPr>
          <w:u w:color="000000"/>
          <w:bdr w:val="nil"/>
        </w:rPr>
        <w:t xml:space="preserve"> </w:t>
      </w:r>
      <w:r w:rsidR="003B384E" w:rsidRPr="00D47FBC">
        <w:rPr>
          <w:u w:color="000000"/>
          <w:bdr w:val="nil"/>
        </w:rPr>
        <w:t xml:space="preserve">Oceniając </w:t>
      </w:r>
      <w:r w:rsidR="00722D98" w:rsidRPr="00D47FBC">
        <w:rPr>
          <w:u w:color="000000"/>
          <w:bdr w:val="nil"/>
        </w:rPr>
        <w:t>zarzuty</w:t>
      </w:r>
      <w:r w:rsidR="003B384E" w:rsidRPr="00D47FBC">
        <w:rPr>
          <w:u w:color="000000"/>
          <w:bdr w:val="nil"/>
        </w:rPr>
        <w:t xml:space="preserve"> skarżącego na gruncie art. 3</w:t>
      </w:r>
      <w:r w:rsidR="00BA0719">
        <w:rPr>
          <w:u w:color="000000"/>
          <w:bdr w:val="nil"/>
        </w:rPr>
        <w:t>,</w:t>
      </w:r>
      <w:r w:rsidR="003B384E" w:rsidRPr="00D47FBC">
        <w:rPr>
          <w:u w:color="000000"/>
          <w:bdr w:val="nil"/>
        </w:rPr>
        <w:t xml:space="preserve"> należy zauważyć, że</w:t>
      </w:r>
      <w:r w:rsidR="007D5E66" w:rsidRPr="00D47FBC">
        <w:rPr>
          <w:u w:color="000000"/>
          <w:bdr w:val="nil"/>
        </w:rPr>
        <w:t> </w:t>
      </w:r>
      <w:r w:rsidR="003B384E" w:rsidRPr="00D47FBC">
        <w:rPr>
          <w:u w:color="000000"/>
          <w:bdr w:val="nil"/>
        </w:rPr>
        <w:t>w</w:t>
      </w:r>
      <w:r w:rsidR="007D5E66" w:rsidRPr="00D47FBC">
        <w:rPr>
          <w:u w:color="000000"/>
          <w:bdr w:val="nil"/>
        </w:rPr>
        <w:t> </w:t>
      </w:r>
      <w:r w:rsidR="003B384E" w:rsidRPr="00D47FBC">
        <w:rPr>
          <w:u w:color="000000"/>
          <w:bdr w:val="nil"/>
        </w:rPr>
        <w:t>treści § 71 oraz przez odniesienie do całej czynności zatrzymania i</w:t>
      </w:r>
      <w:r w:rsidR="007D5E66" w:rsidRPr="00D47FBC">
        <w:rPr>
          <w:u w:color="000000"/>
          <w:bdr w:val="nil"/>
        </w:rPr>
        <w:t> </w:t>
      </w:r>
      <w:r w:rsidR="003B384E" w:rsidRPr="00D47FBC">
        <w:rPr>
          <w:u w:color="000000"/>
          <w:bdr w:val="nil"/>
        </w:rPr>
        <w:t xml:space="preserve">przed rozróżnieniem dwóch „etapów” tej czynności, w wyroku </w:t>
      </w:r>
      <w:r w:rsidR="00722D98" w:rsidRPr="00D47FBC">
        <w:rPr>
          <w:u w:color="000000"/>
          <w:bdr w:val="nil"/>
        </w:rPr>
        <w:t>wyjaśniono, że „[m]</w:t>
      </w:r>
      <w:proofErr w:type="spellStart"/>
      <w:r w:rsidR="00722D98" w:rsidRPr="00D47FBC">
        <w:rPr>
          <w:u w:color="000000"/>
          <w:bdr w:val="nil"/>
        </w:rPr>
        <w:t>ają</w:t>
      </w:r>
      <w:r w:rsidR="003B384E" w:rsidRPr="00D47FBC">
        <w:rPr>
          <w:u w:color="000000"/>
          <w:bdr w:val="nil"/>
        </w:rPr>
        <w:t>c</w:t>
      </w:r>
      <w:proofErr w:type="spellEnd"/>
      <w:r w:rsidR="003B384E" w:rsidRPr="00D47FBC">
        <w:rPr>
          <w:u w:color="000000"/>
          <w:bdr w:val="nil"/>
        </w:rPr>
        <w:t xml:space="preserve"> na względzie zaświadczenia lekarskie wydane </w:t>
      </w:r>
      <w:r w:rsidR="003B384E" w:rsidRPr="00D47FBC">
        <w:rPr>
          <w:u w:color="000000"/>
          <w:bdr w:val="nil"/>
        </w:rPr>
        <w:lastRenderedPageBreak/>
        <w:t>w</w:t>
      </w:r>
      <w:r w:rsidR="007D5E66" w:rsidRPr="00D47FBC">
        <w:rPr>
          <w:u w:color="000000"/>
          <w:bdr w:val="nil"/>
        </w:rPr>
        <w:t> </w:t>
      </w:r>
      <w:r w:rsidR="003B384E" w:rsidRPr="00D47FBC">
        <w:rPr>
          <w:u w:color="000000"/>
          <w:bdr w:val="nil"/>
        </w:rPr>
        <w:t xml:space="preserve">czasie pozbawienia wolności skarżącego i </w:t>
      </w:r>
      <w:r w:rsidR="00722D98" w:rsidRPr="00D47FBC">
        <w:rPr>
          <w:u w:color="000000"/>
          <w:bdr w:val="nil"/>
        </w:rPr>
        <w:t>opinię biegłych</w:t>
      </w:r>
      <w:r w:rsidR="003B384E" w:rsidRPr="00D47FBC">
        <w:rPr>
          <w:u w:color="000000"/>
          <w:bdr w:val="nil"/>
        </w:rPr>
        <w:t>, [...] doznanie przez skarżącego obrażeń podczas zatrzymania nie budzi żadnych wątpliwości”.</w:t>
      </w:r>
    </w:p>
    <w:p w14:paraId="432E8654" w14:textId="7309AB3D" w:rsidR="003B384E" w:rsidRPr="00D47FBC" w:rsidRDefault="00B05A8B" w:rsidP="003B384E">
      <w:pPr>
        <w:ind w:firstLine="284"/>
        <w:jc w:val="both"/>
        <w:rPr>
          <w:rFonts w:eastAsia="Arial Unicode MS"/>
          <w:u w:color="000000"/>
          <w:bdr w:val="nil"/>
        </w:rPr>
      </w:pPr>
      <w:r>
        <w:rPr>
          <w:rFonts w:eastAsia="Arial Unicode MS"/>
          <w:u w:color="000000"/>
          <w:bdr w:val="nil"/>
        </w:rPr>
        <w:t>9</w:t>
      </w:r>
      <w:r w:rsidR="003B384E" w:rsidRPr="00D47FBC">
        <w:rPr>
          <w:u w:color="000000"/>
          <w:bdr w:val="nil"/>
        </w:rPr>
        <w:t>.</w:t>
      </w:r>
      <w:r w:rsidR="007C0D3E">
        <w:rPr>
          <w:u w:color="000000"/>
          <w:bdr w:val="nil"/>
        </w:rPr>
        <w:t xml:space="preserve"> </w:t>
      </w:r>
      <w:r w:rsidR="003B384E" w:rsidRPr="00D47FBC">
        <w:rPr>
          <w:u w:color="000000"/>
          <w:bdr w:val="nil"/>
        </w:rPr>
        <w:t>Wskazane w wyroku dowody związane z „pierwszym etapem” dodatkowo świadczą o tym, że:</w:t>
      </w:r>
    </w:p>
    <w:p w14:paraId="6AE42279" w14:textId="54FB46F5" w:rsidR="003B384E" w:rsidRPr="00D47FBC" w:rsidRDefault="003B384E" w:rsidP="003B384E">
      <w:pPr>
        <w:ind w:firstLine="284"/>
        <w:jc w:val="both"/>
        <w:rPr>
          <w:rFonts w:eastAsia="Arial Unicode MS"/>
          <w:u w:color="000000"/>
          <w:bdr w:val="nil"/>
        </w:rPr>
      </w:pPr>
      <w:r w:rsidRPr="00D47FBC">
        <w:rPr>
          <w:u w:color="000000"/>
          <w:bdr w:val="nil"/>
        </w:rPr>
        <w:t>a)</w:t>
      </w:r>
      <w:r w:rsidRPr="00D47FBC">
        <w:rPr>
          <w:u w:color="000000"/>
          <w:bdr w:val="nil"/>
        </w:rPr>
        <w:tab/>
        <w:t xml:space="preserve">chociaż zatrzymanie miało miejsce w mieszkaniu, w którym przebywało kilka osób, spośród pięciu osób znajdujących się w mieszkaniu tylko dwie osoby (skarżący i jego dziewczyna) były poszukiwane i zostały zatrzymane w związku z porwaniem, pozostałe trzy osoby zatrzymano </w:t>
      </w:r>
      <w:r w:rsidR="00BA0719" w:rsidRPr="00D47FBC">
        <w:rPr>
          <w:u w:color="000000"/>
          <w:bdr w:val="nil"/>
        </w:rPr>
        <w:t xml:space="preserve">zaś </w:t>
      </w:r>
      <w:r w:rsidRPr="00D47FBC">
        <w:rPr>
          <w:u w:color="000000"/>
          <w:bdr w:val="nil"/>
        </w:rPr>
        <w:t>w związku z podejrzeniem posiadania środków odurzających (§ 26);</w:t>
      </w:r>
    </w:p>
    <w:p w14:paraId="4D0B739E" w14:textId="26AB868C" w:rsidR="003B384E" w:rsidRPr="00D47FBC" w:rsidRDefault="003B384E" w:rsidP="003B384E">
      <w:pPr>
        <w:ind w:firstLine="284"/>
        <w:jc w:val="both"/>
        <w:rPr>
          <w:rFonts w:eastAsia="Arial Unicode MS"/>
          <w:u w:color="000000"/>
          <w:bdr w:val="nil"/>
        </w:rPr>
      </w:pPr>
      <w:r w:rsidRPr="00D47FBC">
        <w:rPr>
          <w:u w:color="000000"/>
          <w:bdr w:val="nil"/>
        </w:rPr>
        <w:t>b)</w:t>
      </w:r>
      <w:r w:rsidRPr="00D47FBC">
        <w:rPr>
          <w:u w:color="000000"/>
          <w:bdr w:val="nil"/>
        </w:rPr>
        <w:tab/>
        <w:t>czynność zatrzymania prz</w:t>
      </w:r>
      <w:r w:rsidR="00722D98" w:rsidRPr="00D47FBC">
        <w:rPr>
          <w:u w:color="000000"/>
          <w:bdr w:val="nil"/>
        </w:rPr>
        <w:t>eprowadziło 15 funkcjonariuszy P</w:t>
      </w:r>
      <w:r w:rsidRPr="00D47FBC">
        <w:rPr>
          <w:u w:color="000000"/>
          <w:bdr w:val="nil"/>
        </w:rPr>
        <w:t>olicji, w</w:t>
      </w:r>
      <w:r w:rsidR="007D5E66" w:rsidRPr="00D47FBC">
        <w:rPr>
          <w:u w:color="000000"/>
          <w:bdr w:val="nil"/>
        </w:rPr>
        <w:t> </w:t>
      </w:r>
      <w:r w:rsidRPr="00D47FBC">
        <w:rPr>
          <w:u w:color="000000"/>
          <w:bdr w:val="nil"/>
        </w:rPr>
        <w:t xml:space="preserve">tym 8 funkcjonariuszy z wyspecjalizowanego oddziału antyterrorystycznego, którzy „wyposażeni </w:t>
      </w:r>
      <w:r w:rsidR="00CB6181" w:rsidRPr="00D47FBC">
        <w:rPr>
          <w:u w:color="000000"/>
          <w:bdr w:val="nil"/>
        </w:rPr>
        <w:t xml:space="preserve">byli </w:t>
      </w:r>
      <w:r w:rsidRPr="00D47FBC">
        <w:rPr>
          <w:u w:color="000000"/>
          <w:bdr w:val="nil"/>
        </w:rPr>
        <w:t>w karabiny, kaski i</w:t>
      </w:r>
      <w:r w:rsidR="007D5E66" w:rsidRPr="00D47FBC">
        <w:rPr>
          <w:u w:color="000000"/>
          <w:bdr w:val="nil"/>
        </w:rPr>
        <w:t> </w:t>
      </w:r>
      <w:r w:rsidRPr="00D47FBC">
        <w:rPr>
          <w:u w:color="000000"/>
          <w:bdr w:val="nil"/>
        </w:rPr>
        <w:t>kamizelki kuloodporne</w:t>
      </w:r>
      <w:r w:rsidR="00CB6181" w:rsidRPr="00D47FBC">
        <w:rPr>
          <w:u w:color="000000"/>
          <w:bdr w:val="nil"/>
        </w:rPr>
        <w:t xml:space="preserve"> i nosili</w:t>
      </w:r>
      <w:r w:rsidRPr="00D47FBC">
        <w:rPr>
          <w:u w:color="000000"/>
          <w:bdr w:val="nil"/>
        </w:rPr>
        <w:t xml:space="preserve"> kominiarki</w:t>
      </w:r>
      <w:r w:rsidR="00CB6181" w:rsidRPr="00D47FBC">
        <w:rPr>
          <w:u w:color="000000"/>
          <w:bdr w:val="nil"/>
        </w:rPr>
        <w:t>”</w:t>
      </w:r>
      <w:r w:rsidRPr="00D47FBC">
        <w:rPr>
          <w:u w:color="000000"/>
          <w:bdr w:val="nil"/>
        </w:rPr>
        <w:t xml:space="preserve"> i którzy użyli granatu hukowego (§ 31) w celu wtargnięcia do mieszkania;</w:t>
      </w:r>
    </w:p>
    <w:p w14:paraId="4B5F5162" w14:textId="088B2734" w:rsidR="003B384E" w:rsidRPr="00D47FBC" w:rsidRDefault="003B384E" w:rsidP="003B384E">
      <w:pPr>
        <w:ind w:firstLine="284"/>
        <w:jc w:val="both"/>
        <w:rPr>
          <w:rFonts w:eastAsia="Arial Unicode MS"/>
          <w:u w:color="000000"/>
          <w:bdr w:val="nil"/>
        </w:rPr>
      </w:pPr>
      <w:r w:rsidRPr="00D47FBC">
        <w:rPr>
          <w:u w:color="000000"/>
          <w:bdr w:val="nil"/>
        </w:rPr>
        <w:t>c)</w:t>
      </w:r>
      <w:r w:rsidRPr="00D47FBC">
        <w:rPr>
          <w:u w:color="000000"/>
          <w:bdr w:val="nil"/>
        </w:rPr>
        <w:tab/>
        <w:t>(jak potwierdził sam funkcjonariusz policji i ustalił prokurator) w</w:t>
      </w:r>
      <w:r w:rsidR="007D5E66" w:rsidRPr="00D47FBC">
        <w:rPr>
          <w:u w:color="000000"/>
          <w:bdr w:val="nil"/>
        </w:rPr>
        <w:t> </w:t>
      </w:r>
      <w:r w:rsidRPr="00D47FBC">
        <w:rPr>
          <w:u w:color="000000"/>
          <w:bdr w:val="nil"/>
        </w:rPr>
        <w:t>chwili pierwszego zastosowania wobec skarżącego paralizatora elektrycznego skarżący „leżał na podłodze z rękoma pod sobą”, a jeden z</w:t>
      </w:r>
      <w:r w:rsidR="007D5E66" w:rsidRPr="00D47FBC">
        <w:rPr>
          <w:u w:color="000000"/>
          <w:bdr w:val="nil"/>
        </w:rPr>
        <w:t> </w:t>
      </w:r>
      <w:r w:rsidRPr="00D47FBC">
        <w:rPr>
          <w:u w:color="000000"/>
          <w:bdr w:val="nil"/>
        </w:rPr>
        <w:t>funkcjonariuszy „siedział na skarżącym”. Tymczasem, jak wynika z</w:t>
      </w:r>
      <w:r w:rsidR="007D5E66" w:rsidRPr="00D47FBC">
        <w:rPr>
          <w:u w:color="000000"/>
          <w:bdr w:val="nil"/>
        </w:rPr>
        <w:t> </w:t>
      </w:r>
      <w:r w:rsidRPr="00D47FBC">
        <w:rPr>
          <w:u w:color="000000"/>
          <w:bdr w:val="nil"/>
        </w:rPr>
        <w:t>zeznań tego samego funkcjonariusz</w:t>
      </w:r>
      <w:r w:rsidR="00CB6181" w:rsidRPr="00D47FBC">
        <w:rPr>
          <w:u w:color="000000"/>
          <w:bdr w:val="nil"/>
        </w:rPr>
        <w:t>a</w:t>
      </w:r>
      <w:r w:rsidRPr="00D47FBC">
        <w:rPr>
          <w:u w:color="000000"/>
          <w:bdr w:val="nil"/>
        </w:rPr>
        <w:t>, postanowił on zastosować wobec skarżącego paralizator elektryczny „biorąc pod uwagę ryzyko, że [skarżący] mógł mieć broń palną i widząc, że [skarżący] odmówił założenia kajdanek” (§ 32); oraz</w:t>
      </w:r>
    </w:p>
    <w:p w14:paraId="22C20667" w14:textId="46DE1253" w:rsidR="003B384E" w:rsidRPr="00D47FBC" w:rsidRDefault="003B384E" w:rsidP="003B384E">
      <w:pPr>
        <w:ind w:firstLine="284"/>
        <w:jc w:val="both"/>
        <w:rPr>
          <w:rFonts w:eastAsia="Arial Unicode MS"/>
          <w:u w:color="000000"/>
          <w:bdr w:val="nil"/>
        </w:rPr>
      </w:pPr>
      <w:r w:rsidRPr="00D47FBC">
        <w:rPr>
          <w:u w:color="000000"/>
          <w:bdr w:val="nil"/>
        </w:rPr>
        <w:t>d)</w:t>
      </w:r>
      <w:r w:rsidRPr="00D47FBC">
        <w:rPr>
          <w:u w:color="000000"/>
          <w:bdr w:val="nil"/>
        </w:rPr>
        <w:tab/>
        <w:t>(jak potwierdziła jedna z pozostałych osób przebywających w</w:t>
      </w:r>
      <w:r w:rsidR="007D5E66" w:rsidRPr="00D47FBC">
        <w:rPr>
          <w:u w:color="000000"/>
          <w:bdr w:val="nil"/>
        </w:rPr>
        <w:t> </w:t>
      </w:r>
      <w:r w:rsidRPr="00D47FBC">
        <w:rPr>
          <w:u w:color="000000"/>
          <w:bdr w:val="nil"/>
        </w:rPr>
        <w:t xml:space="preserve">mieszkaniu) po tym, jak policjanci wydali wszystkim polecenie położenia się na podłodze, skarżący „został kopnięty i uderzony przez trzech policjantów, </w:t>
      </w:r>
      <w:r w:rsidR="00BA0719">
        <w:rPr>
          <w:u w:color="000000"/>
          <w:bdr w:val="nil"/>
        </w:rPr>
        <w:t>i</w:t>
      </w:r>
      <w:r w:rsidRPr="00D47FBC">
        <w:rPr>
          <w:u w:color="000000"/>
          <w:bdr w:val="nil"/>
        </w:rPr>
        <w:t xml:space="preserve"> [...] porażony paralizatorem” (§ 25).</w:t>
      </w:r>
    </w:p>
    <w:p w14:paraId="087C632E" w14:textId="0F7500FC" w:rsidR="003B384E" w:rsidRPr="00D47FBC" w:rsidRDefault="00B05A8B" w:rsidP="003B384E">
      <w:pPr>
        <w:ind w:firstLine="284"/>
        <w:jc w:val="both"/>
        <w:rPr>
          <w:rFonts w:eastAsia="Arial Unicode MS"/>
          <w:u w:color="000000"/>
          <w:bdr w:val="nil"/>
        </w:rPr>
      </w:pPr>
      <w:r>
        <w:rPr>
          <w:rFonts w:eastAsia="Arial Unicode MS"/>
          <w:u w:color="000000"/>
          <w:bdr w:val="nil"/>
        </w:rPr>
        <w:t>10</w:t>
      </w:r>
      <w:r w:rsidR="003B384E" w:rsidRPr="00D47FBC">
        <w:rPr>
          <w:u w:color="000000"/>
          <w:bdr w:val="nil"/>
        </w:rPr>
        <w:t>.</w:t>
      </w:r>
      <w:r w:rsidR="007C0D3E">
        <w:rPr>
          <w:u w:color="000000"/>
          <w:bdr w:val="nil"/>
        </w:rPr>
        <w:t xml:space="preserve"> </w:t>
      </w:r>
      <w:r w:rsidR="003B384E" w:rsidRPr="00D47FBC">
        <w:rPr>
          <w:u w:color="000000"/>
          <w:bdr w:val="nil"/>
        </w:rPr>
        <w:t xml:space="preserve">Ogólne zasady leżące u podstaw </w:t>
      </w:r>
      <w:r w:rsidR="00BA0719">
        <w:rPr>
          <w:u w:color="000000"/>
          <w:bdr w:val="nil"/>
        </w:rPr>
        <w:t>podejścia</w:t>
      </w:r>
      <w:r w:rsidR="00722D98" w:rsidRPr="00D47FBC">
        <w:rPr>
          <w:u w:color="000000"/>
          <w:bdr w:val="nil"/>
        </w:rPr>
        <w:t xml:space="preserve"> </w:t>
      </w:r>
      <w:r w:rsidR="003B384E" w:rsidRPr="00D47FBC">
        <w:rPr>
          <w:u w:color="000000"/>
          <w:bdr w:val="nil"/>
        </w:rPr>
        <w:t>Trybunał</w:t>
      </w:r>
      <w:r w:rsidR="00722D98" w:rsidRPr="00D47FBC">
        <w:rPr>
          <w:u w:color="000000"/>
          <w:bdr w:val="nil"/>
        </w:rPr>
        <w:t>u</w:t>
      </w:r>
      <w:r w:rsidR="003B384E" w:rsidRPr="00D47FBC">
        <w:rPr>
          <w:u w:color="000000"/>
          <w:bdr w:val="nil"/>
        </w:rPr>
        <w:t xml:space="preserve"> </w:t>
      </w:r>
      <w:r w:rsidR="00722D98" w:rsidRPr="00D47FBC">
        <w:rPr>
          <w:u w:color="000000"/>
          <w:bdr w:val="nil"/>
        </w:rPr>
        <w:t>do</w:t>
      </w:r>
      <w:r w:rsidR="003B384E" w:rsidRPr="00D47FBC">
        <w:rPr>
          <w:u w:color="000000"/>
          <w:bdr w:val="nil"/>
        </w:rPr>
        <w:t xml:space="preserve"> zarzutu traktowania sprzecznego z wymogami określonymi w art. 3 </w:t>
      </w:r>
      <w:r w:rsidR="00722D98" w:rsidRPr="00D47FBC">
        <w:rPr>
          <w:u w:color="000000"/>
          <w:bdr w:val="nil"/>
        </w:rPr>
        <w:t>osoby, która</w:t>
      </w:r>
      <w:r w:rsidR="00955755">
        <w:rPr>
          <w:u w:color="000000"/>
          <w:bdr w:val="nil"/>
        </w:rPr>
        <w:t> </w:t>
      </w:r>
      <w:r w:rsidR="00722D98" w:rsidRPr="00D47FBC">
        <w:rPr>
          <w:u w:color="000000"/>
          <w:bdr w:val="nil"/>
        </w:rPr>
        <w:t>znajduje się</w:t>
      </w:r>
      <w:r w:rsidR="003B384E" w:rsidRPr="00D47FBC">
        <w:rPr>
          <w:u w:color="000000"/>
          <w:bdr w:val="nil"/>
        </w:rPr>
        <w:t xml:space="preserve"> pod całkowitą lub znaczną kontrolą policji</w:t>
      </w:r>
      <w:r w:rsidR="00BA0719">
        <w:rPr>
          <w:u w:color="000000"/>
          <w:bdr w:val="nil"/>
        </w:rPr>
        <w:t>,</w:t>
      </w:r>
      <w:r w:rsidR="003B384E" w:rsidRPr="00D47FBC">
        <w:rPr>
          <w:u w:color="000000"/>
          <w:bdr w:val="nil"/>
        </w:rPr>
        <w:t xml:space="preserve"> są </w:t>
      </w:r>
      <w:r w:rsidR="00722D98" w:rsidRPr="00D47FBC">
        <w:rPr>
          <w:u w:color="000000"/>
          <w:bdr w:val="nil"/>
        </w:rPr>
        <w:t>dobrze znane</w:t>
      </w:r>
      <w:r w:rsidR="003B384E" w:rsidRPr="00D47FBC">
        <w:rPr>
          <w:u w:color="000000"/>
          <w:bdr w:val="nil"/>
        </w:rPr>
        <w:t>, a wyrok prawidłowo ogranicza się (§</w:t>
      </w:r>
      <w:r w:rsidR="007D5E66" w:rsidRPr="00D47FBC">
        <w:rPr>
          <w:u w:color="000000"/>
          <w:bdr w:val="nil"/>
        </w:rPr>
        <w:t> </w:t>
      </w:r>
      <w:r w:rsidR="003B384E" w:rsidRPr="00D47FBC">
        <w:rPr>
          <w:u w:color="000000"/>
          <w:bdr w:val="nil"/>
        </w:rPr>
        <w:t>67) do odesłania do</w:t>
      </w:r>
      <w:r w:rsidR="00955755">
        <w:rPr>
          <w:u w:color="000000"/>
          <w:bdr w:val="nil"/>
        </w:rPr>
        <w:t> </w:t>
      </w:r>
      <w:r w:rsidR="003B384E" w:rsidRPr="00D47FBC">
        <w:rPr>
          <w:u w:color="000000"/>
          <w:bdr w:val="nil"/>
        </w:rPr>
        <w:t xml:space="preserve">odpowiednich paragrafów zawartych w niedawno wydanym wyroku Trybunału w sprawie </w:t>
      </w:r>
      <w:r w:rsidR="003B384E" w:rsidRPr="00D47FBC">
        <w:rPr>
          <w:i/>
          <w:iCs/>
          <w:u w:color="000000"/>
          <w:bdr w:val="nil"/>
        </w:rPr>
        <w:t>Bouyid przeciwko Belgii</w:t>
      </w:r>
      <w:r w:rsidR="003B384E" w:rsidRPr="00D47FBC">
        <w:rPr>
          <w:u w:color="000000"/>
          <w:bdr w:val="nil"/>
        </w:rPr>
        <w:t xml:space="preserve"> [WI], skarga nr 23380/09, 28</w:t>
      </w:r>
      <w:r w:rsidR="00955755">
        <w:rPr>
          <w:u w:color="000000"/>
          <w:bdr w:val="nil"/>
        </w:rPr>
        <w:t> </w:t>
      </w:r>
      <w:r w:rsidR="003B384E" w:rsidRPr="00D47FBC">
        <w:rPr>
          <w:u w:color="000000"/>
          <w:bdr w:val="nil"/>
        </w:rPr>
        <w:t>września 2015 r.</w:t>
      </w:r>
    </w:p>
    <w:p w14:paraId="26F5934F" w14:textId="6BB65D21" w:rsidR="003B384E" w:rsidRPr="00D47FBC" w:rsidRDefault="00B05A8B" w:rsidP="003B384E">
      <w:pPr>
        <w:ind w:firstLine="284"/>
        <w:jc w:val="both"/>
        <w:rPr>
          <w:rFonts w:eastAsia="Arial Unicode MS"/>
          <w:u w:color="000000"/>
          <w:bdr w:val="nil"/>
        </w:rPr>
      </w:pPr>
      <w:r>
        <w:rPr>
          <w:rFonts w:eastAsia="Arial Unicode MS"/>
          <w:u w:color="000000"/>
          <w:bdr w:val="nil"/>
        </w:rPr>
        <w:t>11</w:t>
      </w:r>
      <w:r w:rsidR="003B384E" w:rsidRPr="00D47FBC">
        <w:rPr>
          <w:u w:color="000000"/>
          <w:bdr w:val="nil"/>
        </w:rPr>
        <w:t>.</w:t>
      </w:r>
      <w:r w:rsidR="007C0D3E">
        <w:rPr>
          <w:u w:color="000000"/>
          <w:bdr w:val="nil"/>
        </w:rPr>
        <w:t xml:space="preserve"> </w:t>
      </w:r>
      <w:r w:rsidR="003B384E" w:rsidRPr="00D47FBC">
        <w:rPr>
          <w:u w:color="000000"/>
          <w:bdr w:val="nil"/>
        </w:rPr>
        <w:t>Jednak w świetle stwierdzenia większości, zgodnie z którym „[u]</w:t>
      </w:r>
      <w:proofErr w:type="spellStart"/>
      <w:r w:rsidR="003B384E" w:rsidRPr="00D47FBC">
        <w:rPr>
          <w:u w:color="000000"/>
          <w:bdr w:val="nil"/>
        </w:rPr>
        <w:t>względniając</w:t>
      </w:r>
      <w:proofErr w:type="spellEnd"/>
      <w:r w:rsidR="003B384E" w:rsidRPr="00D47FBC">
        <w:rPr>
          <w:u w:color="000000"/>
          <w:bdr w:val="nil"/>
        </w:rPr>
        <w:t xml:space="preserve"> sprzeczne wyjaśnienia/zeznania, a także uchybienia stwierdzone w postępowaniu przygotowawczym (...), Trybunał nie jest w</w:t>
      </w:r>
      <w:r w:rsidR="007D5E66" w:rsidRPr="00D47FBC">
        <w:rPr>
          <w:u w:color="000000"/>
          <w:bdr w:val="nil"/>
        </w:rPr>
        <w:t> </w:t>
      </w:r>
      <w:r w:rsidR="003B384E" w:rsidRPr="00D47FBC">
        <w:rPr>
          <w:u w:color="000000"/>
          <w:bdr w:val="nil"/>
        </w:rPr>
        <w:t xml:space="preserve">stanie ustalić, czy użycie siły przez policjantów na pierwszym etapie </w:t>
      </w:r>
      <w:r w:rsidR="00CB6181" w:rsidRPr="00D47FBC">
        <w:rPr>
          <w:u w:color="000000"/>
          <w:bdr w:val="nil"/>
        </w:rPr>
        <w:t xml:space="preserve">czynności </w:t>
      </w:r>
      <w:r w:rsidR="003B384E" w:rsidRPr="00D47FBC">
        <w:rPr>
          <w:u w:color="000000"/>
          <w:bdr w:val="nil"/>
        </w:rPr>
        <w:t xml:space="preserve">było nadmierne” (§ 76), warto wskazać, jakie są – moim zdaniem – kluczowe elementy </w:t>
      </w:r>
      <w:r w:rsidR="00BA0719">
        <w:rPr>
          <w:u w:color="000000"/>
          <w:bdr w:val="nil"/>
        </w:rPr>
        <w:t>podejścia</w:t>
      </w:r>
      <w:r w:rsidR="003B384E" w:rsidRPr="00D47FBC">
        <w:rPr>
          <w:u w:color="000000"/>
          <w:bdr w:val="nil"/>
        </w:rPr>
        <w:t xml:space="preserve"> Trybunału w przedmiocie oceny dowodów w takich przypadkach:</w:t>
      </w:r>
    </w:p>
    <w:p w14:paraId="36210EFF" w14:textId="4A43695B" w:rsidR="003B384E" w:rsidRPr="00D47FBC" w:rsidRDefault="003B384E" w:rsidP="003B384E">
      <w:pPr>
        <w:ind w:firstLine="284"/>
        <w:jc w:val="both"/>
        <w:rPr>
          <w:rFonts w:eastAsia="Times New Roman" w:cs="Times New Roman"/>
          <w:color w:val="000000"/>
          <w:bdr w:val="nil"/>
        </w:rPr>
      </w:pPr>
      <w:r w:rsidRPr="00D47FBC">
        <w:rPr>
          <w:bdr w:val="nil"/>
        </w:rPr>
        <w:t xml:space="preserve">„Zarzuty dotyczące złego traktowania sprzecznego z art. 3 muszą być poparte odpowiednimi dowodami. Przy ocenie tych dowodów Trybunał przyjmuje standard dowodowy </w:t>
      </w:r>
      <w:r w:rsidR="007064E1" w:rsidRPr="00D47FBC">
        <w:rPr>
          <w:rFonts w:cstheme="minorHAnsi"/>
          <w:bdr w:val="nil"/>
        </w:rPr>
        <w:t>„</w:t>
      </w:r>
      <w:r w:rsidRPr="00D47FBC">
        <w:rPr>
          <w:bdr w:val="nil"/>
        </w:rPr>
        <w:t>ponad uzasadnioną wątpliwość</w:t>
      </w:r>
      <w:r w:rsidR="007064E1" w:rsidRPr="00D47FBC">
        <w:rPr>
          <w:bdr w:val="nil"/>
        </w:rPr>
        <w:t>”</w:t>
      </w:r>
      <w:r w:rsidRPr="00D47FBC">
        <w:rPr>
          <w:bdr w:val="nil"/>
        </w:rPr>
        <w:t xml:space="preserve">, przy czym </w:t>
      </w:r>
      <w:r w:rsidRPr="00D47FBC">
        <w:rPr>
          <w:bdr w:val="nil"/>
        </w:rPr>
        <w:lastRenderedPageBreak/>
        <w:t>dodaje, że taki dowód może wynikać ze współistnienia wystarczająco mocnych, jasnych i zbieżnych wniosków lub podobnych niewzruszalnych domniemań faktycznych (…).</w:t>
      </w:r>
    </w:p>
    <w:p w14:paraId="2D49298D" w14:textId="32DDD16C" w:rsidR="003B384E" w:rsidRPr="00D47FBC" w:rsidRDefault="003B384E" w:rsidP="003B384E">
      <w:pPr>
        <w:ind w:firstLine="284"/>
        <w:jc w:val="both"/>
        <w:rPr>
          <w:rFonts w:eastAsia="Times New Roman" w:cs="Times New Roman"/>
          <w:bdr w:val="nil"/>
        </w:rPr>
      </w:pPr>
      <w:r w:rsidRPr="00D47FBC">
        <w:rPr>
          <w:bdr w:val="nil"/>
        </w:rPr>
        <w:t xml:space="preserve">W tej ostatniej kwestii Trybunał wyjaśnił, że </w:t>
      </w:r>
      <w:r w:rsidRPr="00D47FBC">
        <w:rPr>
          <w:u w:val="single"/>
          <w:bdr w:val="nil"/>
        </w:rPr>
        <w:t>w przypadku gdy o danych zdarzeniach</w:t>
      </w:r>
      <w:r w:rsidR="007064E1" w:rsidRPr="00D47FBC">
        <w:rPr>
          <w:u w:val="single"/>
          <w:bdr w:val="nil"/>
        </w:rPr>
        <w:t xml:space="preserve"> </w:t>
      </w:r>
      <w:r w:rsidRPr="00D47FBC">
        <w:rPr>
          <w:u w:val="single"/>
          <w:bdr w:val="nil"/>
        </w:rPr>
        <w:t>wiedzę</w:t>
      </w:r>
      <w:r w:rsidR="007064E1" w:rsidRPr="00D47FBC">
        <w:rPr>
          <w:u w:val="single"/>
          <w:bdr w:val="nil"/>
        </w:rPr>
        <w:t xml:space="preserve">, w całości lub w znacznej części, </w:t>
      </w:r>
      <w:r w:rsidRPr="00D47FBC">
        <w:rPr>
          <w:u w:val="single"/>
          <w:bdr w:val="nil"/>
        </w:rPr>
        <w:t xml:space="preserve">posiadają wyłącznie władze, tak jak to ma miejsce w przypadku osób pozbawionych wolności, </w:t>
      </w:r>
      <w:r w:rsidR="00BA0719" w:rsidRPr="00D47FBC">
        <w:rPr>
          <w:u w:val="single"/>
          <w:bdr w:val="nil"/>
        </w:rPr>
        <w:t xml:space="preserve">istnieje silne domniemanie faktyczne </w:t>
      </w:r>
      <w:r w:rsidRPr="00D47FBC">
        <w:rPr>
          <w:u w:val="single"/>
          <w:bdr w:val="nil"/>
        </w:rPr>
        <w:t>w</w:t>
      </w:r>
      <w:r w:rsidR="007D5E66" w:rsidRPr="00D47FBC">
        <w:rPr>
          <w:u w:val="single"/>
          <w:bdr w:val="nil"/>
        </w:rPr>
        <w:t> </w:t>
      </w:r>
      <w:r w:rsidRPr="00D47FBC">
        <w:rPr>
          <w:u w:val="single"/>
          <w:bdr w:val="nil"/>
        </w:rPr>
        <w:t>odniesieniu do obrażeń powstałych w okresie pozbawienia wolności</w:t>
      </w:r>
      <w:r w:rsidRPr="00D47FBC">
        <w:rPr>
          <w:bdr w:val="nil"/>
        </w:rPr>
        <w:t>.</w:t>
      </w:r>
      <w:r w:rsidRPr="00D47FBC">
        <w:rPr>
          <w:u w:val="single"/>
          <w:bdr w:val="nil"/>
        </w:rPr>
        <w:t xml:space="preserve"> W takiej sytuacji to na </w:t>
      </w:r>
      <w:r w:rsidR="00D47FBC" w:rsidRPr="00D47FBC">
        <w:rPr>
          <w:u w:val="single"/>
          <w:bdr w:val="nil"/>
        </w:rPr>
        <w:t xml:space="preserve">Rządzie </w:t>
      </w:r>
      <w:r w:rsidRPr="00D47FBC">
        <w:rPr>
          <w:u w:val="single"/>
          <w:bdr w:val="nil"/>
        </w:rPr>
        <w:t>spoczywa</w:t>
      </w:r>
      <w:r w:rsidR="00955755">
        <w:rPr>
          <w:u w:val="single"/>
          <w:bdr w:val="nil"/>
        </w:rPr>
        <w:t> </w:t>
      </w:r>
      <w:r w:rsidRPr="00D47FBC">
        <w:rPr>
          <w:u w:val="single"/>
          <w:bdr w:val="nil"/>
        </w:rPr>
        <w:t>ciężar przedstawienia zadowalającego i przekonującego wyjaśnienia w</w:t>
      </w:r>
      <w:r w:rsidR="00955755">
        <w:rPr>
          <w:u w:val="single"/>
          <w:bdr w:val="nil"/>
        </w:rPr>
        <w:t> </w:t>
      </w:r>
      <w:r w:rsidRPr="00D47FBC">
        <w:rPr>
          <w:u w:val="single"/>
          <w:bdr w:val="nil"/>
        </w:rPr>
        <w:t xml:space="preserve">postaci dowodów </w:t>
      </w:r>
      <w:r w:rsidR="007064E1" w:rsidRPr="00D47FBC">
        <w:rPr>
          <w:u w:val="single"/>
          <w:bdr w:val="nil"/>
        </w:rPr>
        <w:t xml:space="preserve">pozwalających </w:t>
      </w:r>
      <w:r w:rsidRPr="00D47FBC">
        <w:rPr>
          <w:u w:val="single"/>
          <w:bdr w:val="nil"/>
        </w:rPr>
        <w:t xml:space="preserve">na </w:t>
      </w:r>
      <w:r w:rsidR="007064E1" w:rsidRPr="00D47FBC">
        <w:rPr>
          <w:u w:val="single"/>
          <w:bdr w:val="nil"/>
        </w:rPr>
        <w:t xml:space="preserve">ustalenie </w:t>
      </w:r>
      <w:r w:rsidRPr="00D47FBC">
        <w:rPr>
          <w:u w:val="single"/>
          <w:bdr w:val="nil"/>
        </w:rPr>
        <w:t xml:space="preserve">okoliczności, które rodzą wątpliwości co do </w:t>
      </w:r>
      <w:r w:rsidR="007064E1" w:rsidRPr="00D47FBC">
        <w:rPr>
          <w:u w:val="single"/>
          <w:bdr w:val="nil"/>
        </w:rPr>
        <w:t>przebiegu</w:t>
      </w:r>
      <w:r w:rsidRPr="00D47FBC">
        <w:rPr>
          <w:u w:val="single"/>
          <w:bdr w:val="nil"/>
        </w:rPr>
        <w:t xml:space="preserve"> wydarzeń przedstawione</w:t>
      </w:r>
      <w:r w:rsidR="007064E1" w:rsidRPr="00D47FBC">
        <w:rPr>
          <w:u w:val="single"/>
          <w:bdr w:val="nil"/>
        </w:rPr>
        <w:t>go</w:t>
      </w:r>
      <w:r w:rsidRPr="00D47FBC">
        <w:rPr>
          <w:bdr w:val="nil"/>
        </w:rPr>
        <w:t xml:space="preserve"> przez</w:t>
      </w:r>
      <w:r w:rsidR="00955755">
        <w:rPr>
          <w:bdr w:val="nil"/>
        </w:rPr>
        <w:t> </w:t>
      </w:r>
      <w:r w:rsidRPr="00D47FBC">
        <w:rPr>
          <w:bdr w:val="nil"/>
        </w:rPr>
        <w:t>pokrzywdzonego (...). W</w:t>
      </w:r>
      <w:r w:rsidR="007D5E66" w:rsidRPr="00D47FBC">
        <w:rPr>
          <w:bdr w:val="nil"/>
        </w:rPr>
        <w:t> </w:t>
      </w:r>
      <w:r w:rsidRPr="00D47FBC">
        <w:rPr>
          <w:bdr w:val="nil"/>
        </w:rPr>
        <w:t>braku takiego wyjaśnienia Trybunał może</w:t>
      </w:r>
      <w:r w:rsidR="00955755">
        <w:rPr>
          <w:bdr w:val="nil"/>
        </w:rPr>
        <w:t> </w:t>
      </w:r>
      <w:r w:rsidRPr="00D47FBC">
        <w:rPr>
          <w:bdr w:val="nil"/>
        </w:rPr>
        <w:t xml:space="preserve">wyciągnąć wnioski, które mogą być niekorzystne dla </w:t>
      </w:r>
      <w:r w:rsidR="00D47FBC" w:rsidRPr="00D47FBC">
        <w:rPr>
          <w:bdr w:val="nil"/>
        </w:rPr>
        <w:t xml:space="preserve">Rządu </w:t>
      </w:r>
      <w:r w:rsidRPr="00D47FBC">
        <w:rPr>
          <w:bdr w:val="nil"/>
        </w:rPr>
        <w:t>(...). Jest</w:t>
      </w:r>
      <w:r w:rsidR="00955755">
        <w:rPr>
          <w:bdr w:val="nil"/>
        </w:rPr>
        <w:t> </w:t>
      </w:r>
      <w:r w:rsidRPr="00D47FBC">
        <w:rPr>
          <w:bdr w:val="nil"/>
        </w:rPr>
        <w:t xml:space="preserve">to podyktowane tym, że osoby </w:t>
      </w:r>
      <w:r w:rsidR="00D22B19" w:rsidRPr="00D47FBC">
        <w:rPr>
          <w:bdr w:val="nil"/>
        </w:rPr>
        <w:t xml:space="preserve">pozbawione wolności </w:t>
      </w:r>
      <w:r w:rsidRPr="00D47FBC">
        <w:rPr>
          <w:bdr w:val="nil"/>
        </w:rPr>
        <w:t>znajdują się</w:t>
      </w:r>
      <w:r w:rsidR="00955755">
        <w:rPr>
          <w:bdr w:val="nil"/>
        </w:rPr>
        <w:t> </w:t>
      </w:r>
      <w:r w:rsidRPr="00D47FBC">
        <w:rPr>
          <w:bdr w:val="nil"/>
        </w:rPr>
        <w:t>w</w:t>
      </w:r>
      <w:r w:rsidR="006E64AC">
        <w:rPr>
          <w:bdr w:val="nil"/>
        </w:rPr>
        <w:t>e</w:t>
      </w:r>
      <w:r w:rsidR="00955755">
        <w:rPr>
          <w:bdr w:val="nil"/>
        </w:rPr>
        <w:t> </w:t>
      </w:r>
      <w:r w:rsidR="006E64AC">
        <w:rPr>
          <w:bdr w:val="nil"/>
        </w:rPr>
        <w:t>wrażliwej</w:t>
      </w:r>
      <w:r w:rsidRPr="00D47FBC">
        <w:rPr>
          <w:bdr w:val="nil"/>
        </w:rPr>
        <w:t xml:space="preserve"> sytuacji, a władze mają obowiązek je chronić (zob.,</w:t>
      </w:r>
      <w:r w:rsidR="00955755">
        <w:rPr>
          <w:bdr w:val="nil"/>
        </w:rPr>
        <w:t> </w:t>
      </w:r>
      <w:r w:rsidRPr="00D47FBC">
        <w:rPr>
          <w:bdr w:val="nil"/>
        </w:rPr>
        <w:t>między</w:t>
      </w:r>
      <w:r w:rsidR="00955755">
        <w:rPr>
          <w:bdr w:val="nil"/>
        </w:rPr>
        <w:t> </w:t>
      </w:r>
      <w:r w:rsidRPr="00D47FBC">
        <w:rPr>
          <w:bdr w:val="nil"/>
        </w:rPr>
        <w:t xml:space="preserve">innymi, Salman, </w:t>
      </w:r>
      <w:r w:rsidRPr="00D47FBC">
        <w:rPr>
          <w:i/>
          <w:iCs/>
          <w:bdr w:val="nil"/>
        </w:rPr>
        <w:t>op. cit.</w:t>
      </w:r>
      <w:r w:rsidRPr="00D47FBC">
        <w:rPr>
          <w:bdr w:val="nil"/>
        </w:rPr>
        <w:t>, § 99). (Bouyid w §§ 82-83, podkreślenie własne).</w:t>
      </w:r>
    </w:p>
    <w:p w14:paraId="6ACBC2B0" w14:textId="73909377" w:rsidR="003B384E" w:rsidRPr="00D47FBC" w:rsidRDefault="003B384E" w:rsidP="003B384E">
      <w:pPr>
        <w:ind w:firstLine="284"/>
        <w:jc w:val="both"/>
        <w:rPr>
          <w:rFonts w:eastAsia="Times New Roman" w:cs="Times New Roman"/>
          <w:color w:val="000000"/>
          <w:bdr w:val="nil"/>
        </w:rPr>
      </w:pPr>
      <w:r w:rsidRPr="00D47FBC">
        <w:rPr>
          <w:bdr w:val="nil"/>
        </w:rPr>
        <w:t>Trybunał wskazuje, że art. 3 nie zabrania użycia siły w pewnych ściśle określonych okolicznościach. Jednak użycie siły jest możliwe tylko wtedy, gdy jest to niezbędne i nie jest nadmierne (...). W przypadku gdy osoba ma</w:t>
      </w:r>
      <w:r w:rsidR="00955755">
        <w:rPr>
          <w:bdr w:val="nil"/>
        </w:rPr>
        <w:t> </w:t>
      </w:r>
      <w:r w:rsidRPr="00D47FBC">
        <w:rPr>
          <w:bdr w:val="nil"/>
        </w:rPr>
        <w:t xml:space="preserve">do czynienia z policją lub innymi funkcjonariuszami publicznymi, </w:t>
      </w:r>
      <w:r w:rsidRPr="00D47FBC">
        <w:rPr>
          <w:u w:val="single"/>
          <w:bdr w:val="nil"/>
        </w:rPr>
        <w:t xml:space="preserve">użycie siły fizycznej, która nie była podyktowana zachowaniem tej osoby, </w:t>
      </w:r>
      <w:r w:rsidR="007064E1" w:rsidRPr="00D47FBC">
        <w:rPr>
          <w:u w:val="single"/>
          <w:bdr w:val="nil"/>
        </w:rPr>
        <w:t>uwłacza</w:t>
      </w:r>
      <w:r w:rsidRPr="00D47FBC">
        <w:rPr>
          <w:u w:val="single"/>
          <w:bdr w:val="nil"/>
        </w:rPr>
        <w:t xml:space="preserve"> godnoś</w:t>
      </w:r>
      <w:r w:rsidR="000739C9" w:rsidRPr="00D47FBC">
        <w:rPr>
          <w:u w:val="single"/>
          <w:bdr w:val="nil"/>
        </w:rPr>
        <w:t>ci</w:t>
      </w:r>
      <w:r w:rsidR="007064E1" w:rsidRPr="00D47FBC">
        <w:rPr>
          <w:u w:val="single"/>
          <w:bdr w:val="nil"/>
        </w:rPr>
        <w:t xml:space="preserve"> człowieka i co do zasady stanowi</w:t>
      </w:r>
      <w:r w:rsidRPr="00D47FBC">
        <w:rPr>
          <w:u w:val="single"/>
          <w:bdr w:val="nil"/>
        </w:rPr>
        <w:t xml:space="preserve"> naruszenie art. 3</w:t>
      </w:r>
      <w:r w:rsidRPr="00D47FBC">
        <w:rPr>
          <w:bdr w:val="nil"/>
        </w:rPr>
        <w:t xml:space="preserve"> Konwencji (...). Tak rygorystyczne podejście do </w:t>
      </w:r>
      <w:r w:rsidR="007064E1" w:rsidRPr="00D47FBC">
        <w:rPr>
          <w:bdr w:val="nil"/>
        </w:rPr>
        <w:t xml:space="preserve">zasady </w:t>
      </w:r>
      <w:r w:rsidRPr="00D47FBC">
        <w:rPr>
          <w:bdr w:val="nil"/>
        </w:rPr>
        <w:t>proporcjonalności zostało przyjęte przez Trybunał także w odniesieniu do sytuacji, w których jednostka znajdowała się już pod pełną kontrolą policji (...). Szczególną wagę Trybunał przywiązuje również do rodzaju doznanych obrażeń i</w:t>
      </w:r>
      <w:r w:rsidR="00955755">
        <w:rPr>
          <w:bdr w:val="nil"/>
        </w:rPr>
        <w:t> </w:t>
      </w:r>
      <w:r w:rsidRPr="00D47FBC">
        <w:rPr>
          <w:bdr w:val="nil"/>
        </w:rPr>
        <w:t>okoliczności, w jakich użyto siły (...).</w:t>
      </w:r>
    </w:p>
    <w:p w14:paraId="25F8CA2F" w14:textId="02B7EF8F" w:rsidR="003B384E" w:rsidRPr="00D47FBC" w:rsidRDefault="003B384E" w:rsidP="003B384E">
      <w:pPr>
        <w:ind w:firstLine="284"/>
        <w:jc w:val="both"/>
        <w:rPr>
          <w:rFonts w:eastAsia="Times New Roman" w:cs="Times New Roman"/>
          <w:bdr w:val="nil"/>
        </w:rPr>
      </w:pPr>
      <w:r w:rsidRPr="00D47FBC">
        <w:rPr>
          <w:u w:val="single"/>
          <w:bdr w:val="nil"/>
        </w:rPr>
        <w:t xml:space="preserve">W przypadku doznania obrażeń z rąk policji ciężar wykazania, że użycie siły było konieczne, spoczywa na </w:t>
      </w:r>
      <w:r w:rsidR="00D47FBC" w:rsidRPr="00D47FBC">
        <w:rPr>
          <w:u w:val="single"/>
          <w:bdr w:val="nil"/>
        </w:rPr>
        <w:t>Rządzie</w:t>
      </w:r>
      <w:r w:rsidR="00D47FBC" w:rsidRPr="00D47FBC">
        <w:rPr>
          <w:bdr w:val="nil"/>
        </w:rPr>
        <w:t xml:space="preserve"> </w:t>
      </w:r>
      <w:r w:rsidRPr="00D47FBC">
        <w:rPr>
          <w:bdr w:val="nil"/>
        </w:rPr>
        <w:t>(...). (</w:t>
      </w:r>
      <w:proofErr w:type="spellStart"/>
      <w:r w:rsidRPr="00D47FBC">
        <w:rPr>
          <w:bdr w:val="nil"/>
        </w:rPr>
        <w:t>Anzhelo</w:t>
      </w:r>
      <w:proofErr w:type="spellEnd"/>
      <w:r w:rsidRPr="00D47FBC">
        <w:rPr>
          <w:bdr w:val="nil"/>
        </w:rPr>
        <w:t xml:space="preserve"> </w:t>
      </w:r>
      <w:proofErr w:type="spellStart"/>
      <w:r w:rsidRPr="00D47FBC">
        <w:rPr>
          <w:bdr w:val="nil"/>
        </w:rPr>
        <w:t>Georgiev</w:t>
      </w:r>
      <w:proofErr w:type="spellEnd"/>
      <w:r w:rsidRPr="00D47FBC">
        <w:rPr>
          <w:bdr w:val="nil"/>
        </w:rPr>
        <w:t xml:space="preserve">, §§ 66 - 67, podkreślenie </w:t>
      </w:r>
      <w:r w:rsidR="000739C9" w:rsidRPr="00D47FBC">
        <w:rPr>
          <w:bdr w:val="nil"/>
        </w:rPr>
        <w:t>dodano</w:t>
      </w:r>
      <w:r w:rsidRPr="00D47FBC">
        <w:rPr>
          <w:bdr w:val="nil"/>
        </w:rPr>
        <w:t>)”.</w:t>
      </w:r>
    </w:p>
    <w:p w14:paraId="54712472" w14:textId="462FCC4E" w:rsidR="003B384E" w:rsidRPr="00D47FBC" w:rsidRDefault="00B05A8B" w:rsidP="003B384E">
      <w:pPr>
        <w:ind w:firstLine="284"/>
        <w:jc w:val="both"/>
        <w:rPr>
          <w:rFonts w:eastAsia="Arial Unicode MS"/>
          <w:u w:color="000000"/>
          <w:bdr w:val="nil"/>
        </w:rPr>
      </w:pPr>
      <w:r>
        <w:rPr>
          <w:rFonts w:eastAsia="Arial Unicode MS"/>
          <w:u w:color="000000"/>
          <w:bdr w:val="nil"/>
        </w:rPr>
        <w:t>12</w:t>
      </w:r>
      <w:r w:rsidR="003B384E" w:rsidRPr="00D47FBC">
        <w:rPr>
          <w:u w:color="000000"/>
          <w:bdr w:val="nil"/>
        </w:rPr>
        <w:t>.</w:t>
      </w:r>
      <w:r w:rsidR="007C0D3E">
        <w:rPr>
          <w:u w:color="000000"/>
          <w:bdr w:val="nil"/>
        </w:rPr>
        <w:t xml:space="preserve"> </w:t>
      </w:r>
      <w:r w:rsidR="003B384E" w:rsidRPr="00D47FBC">
        <w:rPr>
          <w:u w:color="000000"/>
          <w:bdr w:val="nil"/>
        </w:rPr>
        <w:t>Przenosząc powyższe zasady na grunt podsumowanych powyżej okoliczności niniejszej sprawy, należy pamiętać:</w:t>
      </w:r>
    </w:p>
    <w:p w14:paraId="42E48B30" w14:textId="332F2068" w:rsidR="00EC1578" w:rsidRPr="00D47FBC" w:rsidRDefault="003B384E" w:rsidP="003B384E">
      <w:pPr>
        <w:ind w:firstLine="284"/>
        <w:jc w:val="both"/>
        <w:rPr>
          <w:rFonts w:eastAsia="Arial Unicode MS"/>
          <w:u w:color="000000"/>
          <w:bdr w:val="nil"/>
        </w:rPr>
      </w:pPr>
      <w:r w:rsidRPr="00D47FBC">
        <w:rPr>
          <w:u w:color="000000"/>
          <w:bdr w:val="nil"/>
        </w:rPr>
        <w:t>a)</w:t>
      </w:r>
      <w:r w:rsidRPr="00D47FBC">
        <w:rPr>
          <w:u w:color="000000"/>
          <w:bdr w:val="nil"/>
        </w:rPr>
        <w:tab/>
        <w:t>o przytoczonym w § 70 sprawozdania z 2010 r. stanowisk</w:t>
      </w:r>
      <w:r w:rsidR="007064E1" w:rsidRPr="00D47FBC">
        <w:rPr>
          <w:u w:color="000000"/>
          <w:bdr w:val="nil"/>
        </w:rPr>
        <w:t>u</w:t>
      </w:r>
      <w:r w:rsidRPr="00D47FBC">
        <w:rPr>
          <w:u w:color="000000"/>
          <w:bdr w:val="nil"/>
        </w:rPr>
        <w:t xml:space="preserve"> CPT (które, chociaż nie zostało przytoczone w wyroku, zostało powtórzone przez CPT w § 22 sprawozdania z wizyty w Polsce w 2017 r., § 54 wyroku), zgodnie z którym „paralizatory elektryczne mogą być używane wyłącznie wtedy, gdy występuje rzeczywiste i bezpośrednie zagrożenie życia lub</w:t>
      </w:r>
      <w:r w:rsidR="00955755">
        <w:rPr>
          <w:u w:color="000000"/>
          <w:bdr w:val="nil"/>
        </w:rPr>
        <w:t> </w:t>
      </w:r>
      <w:r w:rsidRPr="00D47FBC">
        <w:rPr>
          <w:u w:color="000000"/>
          <w:bdr w:val="nil"/>
        </w:rPr>
        <w:t>ryzyko poważnych obrażeń. Niedopuszczalne jest użycie takiej broni wyłącznie w celu zmuszenia osoby do podporządkowania się wydanemu poleceniu. Co więcej, użycie takiej broni powinno być dopuszczalne wyłącznie wtedy, gdy łagodniejsze środki przymusu (negocjacje i</w:t>
      </w:r>
      <w:r w:rsidR="007D5E66" w:rsidRPr="00D47FBC">
        <w:rPr>
          <w:u w:color="000000"/>
          <w:bdr w:val="nil"/>
        </w:rPr>
        <w:t> </w:t>
      </w:r>
      <w:r w:rsidRPr="00D47FBC">
        <w:rPr>
          <w:u w:color="000000"/>
          <w:bdr w:val="nil"/>
        </w:rPr>
        <w:t xml:space="preserve">perswazja, ręczne techniki kontroli itp.) okazały się bezskuteczne </w:t>
      </w:r>
      <w:r w:rsidR="00EC1578" w:rsidRPr="00D47FBC">
        <w:t>lub</w:t>
      </w:r>
      <w:r w:rsidR="00EC1578">
        <w:t> </w:t>
      </w:r>
      <w:r w:rsidR="00EC1578" w:rsidRPr="00D47FBC">
        <w:t>ich</w:t>
      </w:r>
      <w:r w:rsidR="00EC1578">
        <w:t> </w:t>
      </w:r>
      <w:r w:rsidR="00EC1578" w:rsidRPr="00D47FBC">
        <w:t xml:space="preserve">zastosowanie jest niemożliwe oraz jeżeli jest jedyną możliwą </w:t>
      </w:r>
      <w:r w:rsidR="00EC1578" w:rsidRPr="00D47FBC">
        <w:lastRenderedPageBreak/>
        <w:t>alternatywą dla</w:t>
      </w:r>
      <w:r w:rsidR="00EC1578">
        <w:t> </w:t>
      </w:r>
      <w:r w:rsidR="00EC1578" w:rsidRPr="00D47FBC">
        <w:t>zastosowania metody stwarzającej większe ryzyko obrażeń czy śmierci (np. broni palnej</w:t>
      </w:r>
      <w:r w:rsidR="00B33803">
        <w:rPr>
          <w:u w:color="000000"/>
          <w:bdr w:val="nil"/>
        </w:rPr>
        <w:t>)</w:t>
      </w:r>
      <w:r w:rsidR="007064E1" w:rsidRPr="00D47FBC">
        <w:rPr>
          <w:u w:color="000000"/>
          <w:bdr w:val="nil"/>
        </w:rPr>
        <w:t>”</w:t>
      </w:r>
      <w:r w:rsidR="00EC1578">
        <w:t xml:space="preserve"> oraz</w:t>
      </w:r>
    </w:p>
    <w:p w14:paraId="182FB6E6" w14:textId="7DF19FA9" w:rsidR="003B384E" w:rsidRPr="00D47FBC" w:rsidRDefault="003B384E" w:rsidP="003B384E">
      <w:pPr>
        <w:ind w:firstLine="284"/>
        <w:jc w:val="both"/>
        <w:rPr>
          <w:rFonts w:eastAsia="Arial Unicode MS"/>
          <w:u w:color="000000"/>
          <w:bdr w:val="nil"/>
        </w:rPr>
      </w:pPr>
      <w:r w:rsidRPr="00D47FBC">
        <w:rPr>
          <w:u w:color="000000"/>
          <w:bdr w:val="nil"/>
        </w:rPr>
        <w:t>b)</w:t>
      </w:r>
      <w:r w:rsidRPr="00D47FBC">
        <w:rPr>
          <w:u w:color="000000"/>
          <w:bdr w:val="nil"/>
        </w:rPr>
        <w:tab/>
        <w:t>o tym, że w § 72 tego</w:t>
      </w:r>
      <w:r w:rsidR="007064E1" w:rsidRPr="00D47FBC">
        <w:rPr>
          <w:u w:color="000000"/>
          <w:bdr w:val="nil"/>
        </w:rPr>
        <w:t xml:space="preserve"> sprawozdania (§ 53 wyroku) CPT</w:t>
      </w:r>
      <w:r w:rsidRPr="00D47FBC">
        <w:rPr>
          <w:u w:color="000000"/>
          <w:bdr w:val="nil"/>
        </w:rPr>
        <w:t xml:space="preserve"> jako przykład „niewłaściwego uży</w:t>
      </w:r>
      <w:r w:rsidR="007064E1" w:rsidRPr="00D47FBC">
        <w:rPr>
          <w:u w:color="000000"/>
          <w:bdr w:val="nil"/>
        </w:rPr>
        <w:t>cia” paralizatora elektrycznego</w:t>
      </w:r>
      <w:r w:rsidRPr="00D47FBC">
        <w:rPr>
          <w:u w:color="000000"/>
          <w:bdr w:val="nil"/>
        </w:rPr>
        <w:t xml:space="preserve"> wskazuje „wielokrotne porażanie leżących na ziemi osób”.</w:t>
      </w:r>
    </w:p>
    <w:p w14:paraId="798850E5" w14:textId="040F60EB" w:rsidR="003B384E" w:rsidRPr="00D47FBC" w:rsidRDefault="00B05A8B" w:rsidP="003B384E">
      <w:pPr>
        <w:ind w:firstLine="284"/>
        <w:jc w:val="both"/>
        <w:rPr>
          <w:rFonts w:eastAsia="Arial Unicode MS"/>
          <w:u w:color="000000"/>
          <w:bdr w:val="nil"/>
        </w:rPr>
      </w:pPr>
      <w:r>
        <w:rPr>
          <w:rFonts w:eastAsia="Arial Unicode MS"/>
          <w:u w:color="000000"/>
          <w:bdr w:val="nil"/>
        </w:rPr>
        <w:t>13</w:t>
      </w:r>
      <w:r w:rsidR="003B384E" w:rsidRPr="00D47FBC">
        <w:rPr>
          <w:u w:color="000000"/>
          <w:bdr w:val="nil"/>
        </w:rPr>
        <w:t>.</w:t>
      </w:r>
      <w:r w:rsidR="007C0D3E">
        <w:rPr>
          <w:u w:color="000000"/>
          <w:bdr w:val="nil"/>
        </w:rPr>
        <w:t xml:space="preserve"> </w:t>
      </w:r>
      <w:r w:rsidR="003B384E" w:rsidRPr="00D47FBC">
        <w:rPr>
          <w:u w:color="000000"/>
          <w:bdr w:val="nil"/>
        </w:rPr>
        <w:t>W świetle dowodów przedstawionych przed Trybunałem, w</w:t>
      </w:r>
      <w:r w:rsidR="00955755">
        <w:rPr>
          <w:u w:color="000000"/>
          <w:bdr w:val="nil"/>
        </w:rPr>
        <w:t> </w:t>
      </w:r>
      <w:r w:rsidR="003B384E" w:rsidRPr="00D47FBC">
        <w:rPr>
          <w:u w:color="000000"/>
          <w:bdr w:val="nil"/>
        </w:rPr>
        <w:t>tym</w:t>
      </w:r>
      <w:r w:rsidR="00955755">
        <w:rPr>
          <w:u w:color="000000"/>
          <w:bdr w:val="nil"/>
        </w:rPr>
        <w:t> </w:t>
      </w:r>
      <w:r w:rsidR="003B384E" w:rsidRPr="00D47FBC">
        <w:rPr>
          <w:u w:color="000000"/>
          <w:bdr w:val="nil"/>
        </w:rPr>
        <w:t>zeznań złożonyc</w:t>
      </w:r>
      <w:r w:rsidR="00436819" w:rsidRPr="00D47FBC">
        <w:rPr>
          <w:u w:color="000000"/>
          <w:bdr w:val="nil"/>
        </w:rPr>
        <w:t>h przez danego funkcjonariusza Policji</w:t>
      </w:r>
      <w:r w:rsidR="00D22B19">
        <w:rPr>
          <w:u w:color="000000"/>
          <w:bdr w:val="nil"/>
        </w:rPr>
        <w:t>,</w:t>
      </w:r>
      <w:r w:rsidR="003B384E" w:rsidRPr="00D47FBC">
        <w:rPr>
          <w:u w:color="000000"/>
          <w:bdr w:val="nil"/>
        </w:rPr>
        <w:t xml:space="preserve"> oraz</w:t>
      </w:r>
      <w:r w:rsidR="00955755">
        <w:rPr>
          <w:u w:color="000000"/>
          <w:bdr w:val="nil"/>
        </w:rPr>
        <w:t> </w:t>
      </w:r>
      <w:r w:rsidR="003B384E" w:rsidRPr="00D47FBC">
        <w:rPr>
          <w:u w:color="000000"/>
          <w:bdr w:val="nil"/>
        </w:rPr>
        <w:t>uwzględniając udzielone przez CPT wskazówki, jest oczywiste, że</w:t>
      </w:r>
      <w:r w:rsidR="00955755">
        <w:rPr>
          <w:u w:color="000000"/>
          <w:bdr w:val="nil"/>
        </w:rPr>
        <w:t> </w:t>
      </w:r>
      <w:r w:rsidR="00436819" w:rsidRPr="00D47FBC">
        <w:rPr>
          <w:u w:color="000000"/>
          <w:bdr w:val="nil"/>
        </w:rPr>
        <w:t>brak</w:t>
      </w:r>
      <w:r w:rsidR="003B384E" w:rsidRPr="00D47FBC">
        <w:rPr>
          <w:u w:color="000000"/>
          <w:bdr w:val="nil"/>
        </w:rPr>
        <w:t xml:space="preserve"> „satysfakcjonującego i przekonującego wyjaśnienia” ze strony Rządu pozwanego państwa, </w:t>
      </w:r>
      <w:r w:rsidR="00436819" w:rsidRPr="00D47FBC">
        <w:rPr>
          <w:u w:color="000000"/>
          <w:bdr w:val="nil"/>
        </w:rPr>
        <w:t>oznacza</w:t>
      </w:r>
      <w:r w:rsidR="003B384E" w:rsidRPr="00D47FBC">
        <w:rPr>
          <w:u w:color="000000"/>
          <w:bdr w:val="nil"/>
        </w:rPr>
        <w:t xml:space="preserve"> „silne domniemania faktyczne” prowadzące do nieuchronnego wniosku, że użyta siła była nadmierna i</w:t>
      </w:r>
      <w:r w:rsidR="00955755">
        <w:rPr>
          <w:u w:color="000000"/>
          <w:bdr w:val="nil"/>
        </w:rPr>
        <w:t> </w:t>
      </w:r>
      <w:r w:rsidR="003B384E" w:rsidRPr="00D47FBC">
        <w:rPr>
          <w:u w:color="000000"/>
          <w:bdr w:val="nil"/>
        </w:rPr>
        <w:t>że</w:t>
      </w:r>
      <w:r w:rsidR="00955755">
        <w:rPr>
          <w:u w:color="000000"/>
          <w:bdr w:val="nil"/>
        </w:rPr>
        <w:t> </w:t>
      </w:r>
      <w:r w:rsidR="003B384E" w:rsidRPr="00D47FBC">
        <w:rPr>
          <w:u w:color="000000"/>
          <w:bdr w:val="nil"/>
        </w:rPr>
        <w:t>stanowiła naruszenie art. 3 Konwencji w aspekcie materialnym.</w:t>
      </w:r>
    </w:p>
    <w:p w14:paraId="7D945BFF" w14:textId="4007B23D" w:rsidR="003B384E" w:rsidRPr="00D47FBC" w:rsidRDefault="00B05A8B" w:rsidP="003B384E">
      <w:pPr>
        <w:ind w:firstLine="284"/>
        <w:jc w:val="both"/>
        <w:rPr>
          <w:rFonts w:eastAsia="Arial Unicode MS"/>
          <w:u w:color="000000"/>
          <w:bdr w:val="nil"/>
        </w:rPr>
      </w:pPr>
      <w:r>
        <w:rPr>
          <w:rFonts w:eastAsia="Arial Unicode MS"/>
          <w:u w:color="000000"/>
          <w:bdr w:val="nil"/>
        </w:rPr>
        <w:t>14</w:t>
      </w:r>
      <w:r w:rsidR="003B384E" w:rsidRPr="00D47FBC">
        <w:rPr>
          <w:u w:color="000000"/>
          <w:bdr w:val="nil"/>
        </w:rPr>
        <w:t>.</w:t>
      </w:r>
      <w:r w:rsidR="007C0D3E">
        <w:rPr>
          <w:u w:color="000000"/>
          <w:bdr w:val="nil"/>
        </w:rPr>
        <w:t xml:space="preserve"> </w:t>
      </w:r>
      <w:r w:rsidR="003B384E" w:rsidRPr="00D47FBC">
        <w:rPr>
          <w:u w:color="000000"/>
          <w:bdr w:val="nil"/>
        </w:rPr>
        <w:t>Tymczasem Rząd pozwanego państwa ani władze krajowe nie</w:t>
      </w:r>
      <w:r w:rsidR="00955755">
        <w:rPr>
          <w:u w:color="000000"/>
          <w:bdr w:val="nil"/>
        </w:rPr>
        <w:t> </w:t>
      </w:r>
      <w:r w:rsidR="003B384E" w:rsidRPr="00D47FBC">
        <w:rPr>
          <w:u w:color="000000"/>
          <w:bdr w:val="nil"/>
        </w:rPr>
        <w:t>przedstawiły takiego „satysfakcjonującego i przekonującego wyjaśnienia”. Wręcz przeciwnie, zgodnie z treścią § 76 wyroku, Rząd</w:t>
      </w:r>
      <w:r w:rsidR="00955755">
        <w:rPr>
          <w:u w:color="000000"/>
          <w:bdr w:val="nil"/>
        </w:rPr>
        <w:t> </w:t>
      </w:r>
      <w:r w:rsidR="003B384E" w:rsidRPr="00D47FBC">
        <w:rPr>
          <w:u w:color="000000"/>
          <w:bdr w:val="nil"/>
        </w:rPr>
        <w:t>zasadniczo próbował usprawiedliwiać użycie paralizatora elektrycznego wobec osoby leżącej na ziemi z rękoma pod ciałem „odmową wykonania przez skarżącego wydanych przez policjantów poleceń”. Jak</w:t>
      </w:r>
      <w:r w:rsidR="00955755">
        <w:rPr>
          <w:u w:color="000000"/>
          <w:bdr w:val="nil"/>
        </w:rPr>
        <w:t> </w:t>
      </w:r>
      <w:r w:rsidR="003B384E" w:rsidRPr="00D47FBC">
        <w:rPr>
          <w:u w:color="000000"/>
          <w:bdr w:val="nil"/>
        </w:rPr>
        <w:t>jasno wynika z</w:t>
      </w:r>
      <w:r w:rsidR="007D5E66" w:rsidRPr="00D47FBC">
        <w:rPr>
          <w:u w:color="000000"/>
          <w:bdr w:val="nil"/>
        </w:rPr>
        <w:t> </w:t>
      </w:r>
      <w:r w:rsidR="00436819" w:rsidRPr="00D47FBC">
        <w:rPr>
          <w:u w:color="000000"/>
          <w:bdr w:val="nil"/>
        </w:rPr>
        <w:t>wniosków CPT</w:t>
      </w:r>
      <w:r w:rsidR="003B384E" w:rsidRPr="00D47FBC">
        <w:rPr>
          <w:u w:color="000000"/>
          <w:bdr w:val="nil"/>
        </w:rPr>
        <w:t xml:space="preserve"> takie wyjaśnienie z założenia nie może być wystarczające, a wielokrotne użycie paralizatora elektrycznego wobec leżącej na ziemi osoby stanowi niewłaściwe użycie takiej broni. Nie</w:t>
      </w:r>
      <w:r w:rsidR="00955755">
        <w:rPr>
          <w:u w:color="000000"/>
          <w:bdr w:val="nil"/>
        </w:rPr>
        <w:t> </w:t>
      </w:r>
      <w:r w:rsidR="003B384E" w:rsidRPr="00D47FBC">
        <w:rPr>
          <w:u w:color="000000"/>
          <w:bdr w:val="nil"/>
        </w:rPr>
        <w:t>przedstawiono jednak dalszych wyjaśnień ani nie próbowano uzasadniać użycia paralizatora elektrycznego. Jak wynika z treści §§ 90</w:t>
      </w:r>
      <w:r w:rsidR="003B384E" w:rsidRPr="00D47FBC">
        <w:rPr>
          <w:u w:color="000000"/>
          <w:bdr w:val="nil"/>
        </w:rPr>
        <w:noBreakHyphen/>
        <w:t>95 wyroku</w:t>
      </w:r>
      <w:r w:rsidR="00D22B19">
        <w:rPr>
          <w:u w:color="000000"/>
          <w:bdr w:val="nil"/>
        </w:rPr>
        <w:t>,</w:t>
      </w:r>
      <w:r w:rsidR="003B384E" w:rsidRPr="00D47FBC">
        <w:rPr>
          <w:u w:color="000000"/>
          <w:bdr w:val="nil"/>
        </w:rPr>
        <w:t xml:space="preserve"> krajowe postępowanie przygotowawcze, a tym samym Rząd pozwanego państwa przed Trybunałem, „nie udzielił</w:t>
      </w:r>
      <w:r w:rsidR="00D22B19">
        <w:rPr>
          <w:u w:color="000000"/>
          <w:bdr w:val="nil"/>
        </w:rPr>
        <w:t>o</w:t>
      </w:r>
      <w:r w:rsidR="003B384E" w:rsidRPr="00D47FBC">
        <w:rPr>
          <w:u w:color="000000"/>
          <w:bdr w:val="nil"/>
        </w:rPr>
        <w:t xml:space="preserve"> odpowiedzi na wiele kluczowych pytań, które pojawiły się w sprawie, a mianowicie, w</w:t>
      </w:r>
      <w:r w:rsidR="00955755">
        <w:rPr>
          <w:u w:color="000000"/>
          <w:bdr w:val="nil"/>
        </w:rPr>
        <w:t> </w:t>
      </w:r>
      <w:r w:rsidR="003B384E" w:rsidRPr="00D47FBC">
        <w:rPr>
          <w:u w:color="000000"/>
          <w:bdr w:val="nil"/>
        </w:rPr>
        <w:t>jaki</w:t>
      </w:r>
      <w:r w:rsidR="00955755">
        <w:rPr>
          <w:u w:color="000000"/>
          <w:bdr w:val="nil"/>
        </w:rPr>
        <w:t> </w:t>
      </w:r>
      <w:r w:rsidR="003B384E" w:rsidRPr="00D47FBC">
        <w:rPr>
          <w:u w:color="000000"/>
          <w:bdr w:val="nil"/>
        </w:rPr>
        <w:t>dokładnie sposób funkcjonariusze użyli siły wobec skarżącego, czy</w:t>
      </w:r>
      <w:r w:rsidR="00955755">
        <w:rPr>
          <w:u w:color="000000"/>
          <w:bdr w:val="nil"/>
        </w:rPr>
        <w:t> </w:t>
      </w:r>
      <w:r w:rsidR="003B384E" w:rsidRPr="00D47FBC">
        <w:rPr>
          <w:u w:color="000000"/>
          <w:bdr w:val="nil"/>
        </w:rPr>
        <w:t xml:space="preserve">jej użycie było proporcjonalne i jakie było źródło stwierdzonych obrażeń” ani „nie </w:t>
      </w:r>
      <w:proofErr w:type="spellStart"/>
      <w:r w:rsidR="003B384E" w:rsidRPr="00D47FBC">
        <w:rPr>
          <w:u w:color="000000"/>
          <w:bdr w:val="nil"/>
        </w:rPr>
        <w:t>ustosunkowa</w:t>
      </w:r>
      <w:proofErr w:type="spellEnd"/>
      <w:r w:rsidR="00C60FCD" w:rsidRPr="00D47FBC">
        <w:rPr>
          <w:u w:color="000000"/>
          <w:bdr w:val="nil"/>
        </w:rPr>
        <w:t>[</w:t>
      </w:r>
      <w:r w:rsidR="003B384E" w:rsidRPr="00D47FBC">
        <w:rPr>
          <w:u w:color="000000"/>
          <w:bdr w:val="nil"/>
        </w:rPr>
        <w:t>no</w:t>
      </w:r>
      <w:r w:rsidR="00C60FCD" w:rsidRPr="00D47FBC">
        <w:rPr>
          <w:u w:color="000000"/>
          <w:bdr w:val="nil"/>
        </w:rPr>
        <w:t>]</w:t>
      </w:r>
      <w:r w:rsidR="003B384E" w:rsidRPr="00D47FBC">
        <w:rPr>
          <w:u w:color="000000"/>
          <w:bdr w:val="nil"/>
        </w:rPr>
        <w:t xml:space="preserve"> się do zarzutów skarżącego dotyczących wielokrotnego użycia paralizatora elektrycznego już po obezwładnieniu skarżącego na ziemi”.</w:t>
      </w:r>
    </w:p>
    <w:p w14:paraId="3F9A3AC0" w14:textId="6DB03071" w:rsidR="003B384E" w:rsidRPr="00D47FBC" w:rsidRDefault="00B05A8B" w:rsidP="003B384E">
      <w:pPr>
        <w:ind w:firstLine="284"/>
        <w:jc w:val="both"/>
        <w:rPr>
          <w:rFonts w:eastAsia="Arial Unicode MS"/>
          <w:u w:color="000000"/>
          <w:bdr w:val="nil"/>
        </w:rPr>
      </w:pPr>
      <w:r>
        <w:rPr>
          <w:rFonts w:eastAsia="Arial Unicode MS"/>
          <w:u w:color="000000"/>
          <w:bdr w:val="nil"/>
        </w:rPr>
        <w:t>15</w:t>
      </w:r>
      <w:r w:rsidR="003B384E" w:rsidRPr="00D47FBC">
        <w:rPr>
          <w:u w:color="000000"/>
          <w:bdr w:val="nil"/>
        </w:rPr>
        <w:t>.</w:t>
      </w:r>
      <w:r w:rsidR="007C0D3E">
        <w:rPr>
          <w:u w:color="000000"/>
          <w:bdr w:val="nil"/>
        </w:rPr>
        <w:t xml:space="preserve"> </w:t>
      </w:r>
      <w:r w:rsidR="003B384E" w:rsidRPr="00D47FBC">
        <w:rPr>
          <w:u w:color="000000"/>
          <w:bdr w:val="nil"/>
        </w:rPr>
        <w:t>W konsekwencji wydaje nam się, że Trybunał mógł</w:t>
      </w:r>
      <w:r w:rsidR="00D22B19" w:rsidRPr="00D22B19">
        <w:rPr>
          <w:u w:color="000000"/>
          <w:bdr w:val="nil"/>
        </w:rPr>
        <w:t xml:space="preserve"> </w:t>
      </w:r>
      <w:r w:rsidR="00D22B19" w:rsidRPr="00D47FBC">
        <w:rPr>
          <w:u w:color="000000"/>
          <w:bdr w:val="nil"/>
        </w:rPr>
        <w:t>jedynie stwierdzić</w:t>
      </w:r>
      <w:r w:rsidR="003B384E" w:rsidRPr="00D47FBC">
        <w:rPr>
          <w:u w:color="000000"/>
          <w:bdr w:val="nil"/>
        </w:rPr>
        <w:t xml:space="preserve">, podobnie jak w sprawie </w:t>
      </w:r>
      <w:proofErr w:type="spellStart"/>
      <w:r w:rsidR="003B384E" w:rsidRPr="00D47FBC">
        <w:rPr>
          <w:i/>
          <w:iCs/>
          <w:u w:color="000000"/>
          <w:bdr w:val="nil"/>
        </w:rPr>
        <w:t>Anzhelo</w:t>
      </w:r>
      <w:proofErr w:type="spellEnd"/>
      <w:r w:rsidR="003B384E" w:rsidRPr="00D47FBC">
        <w:rPr>
          <w:i/>
          <w:iCs/>
          <w:u w:color="000000"/>
          <w:bdr w:val="nil"/>
        </w:rPr>
        <w:t xml:space="preserve"> </w:t>
      </w:r>
      <w:proofErr w:type="spellStart"/>
      <w:r w:rsidR="003B384E" w:rsidRPr="00D47FBC">
        <w:rPr>
          <w:i/>
          <w:iCs/>
          <w:u w:color="000000"/>
          <w:bdr w:val="nil"/>
        </w:rPr>
        <w:t>Georgiev</w:t>
      </w:r>
      <w:proofErr w:type="spellEnd"/>
      <w:r w:rsidR="003B384E" w:rsidRPr="00D47FBC">
        <w:rPr>
          <w:u w:color="000000"/>
          <w:bdr w:val="nil"/>
        </w:rPr>
        <w:t>, § 78, że</w:t>
      </w:r>
      <w:r w:rsidR="007D5E66" w:rsidRPr="00D47FBC">
        <w:rPr>
          <w:u w:color="000000"/>
          <w:bdr w:val="nil"/>
        </w:rPr>
        <w:t> </w:t>
      </w:r>
      <w:r w:rsidR="003B384E" w:rsidRPr="00D47FBC">
        <w:rPr>
          <w:u w:color="000000"/>
          <w:bdr w:val="nil"/>
        </w:rPr>
        <w:t>władze nie</w:t>
      </w:r>
      <w:r w:rsidR="00955755">
        <w:rPr>
          <w:u w:color="000000"/>
          <w:bdr w:val="nil"/>
        </w:rPr>
        <w:t> </w:t>
      </w:r>
      <w:r w:rsidR="003B384E" w:rsidRPr="00D47FBC">
        <w:rPr>
          <w:u w:color="000000"/>
          <w:bdr w:val="nil"/>
        </w:rPr>
        <w:t xml:space="preserve">sprostały w </w:t>
      </w:r>
      <w:r w:rsidR="005866D7" w:rsidRPr="00D47FBC">
        <w:rPr>
          <w:u w:color="000000"/>
          <w:bdr w:val="nil"/>
        </w:rPr>
        <w:t xml:space="preserve">sposób </w:t>
      </w:r>
      <w:r w:rsidR="003B384E" w:rsidRPr="00D47FBC">
        <w:rPr>
          <w:u w:color="000000"/>
          <w:bdr w:val="nil"/>
        </w:rPr>
        <w:t>zadowalający ciężarowi wykazania, że</w:t>
      </w:r>
      <w:r w:rsidR="007D5E66" w:rsidRPr="00D47FBC">
        <w:rPr>
          <w:u w:color="000000"/>
          <w:bdr w:val="nil"/>
        </w:rPr>
        <w:t> </w:t>
      </w:r>
      <w:r w:rsidR="003B384E" w:rsidRPr="00D47FBC">
        <w:rPr>
          <w:u w:color="000000"/>
          <w:bdr w:val="nil"/>
        </w:rPr>
        <w:t>przedstawiona przez skarżącego wersja zdarzeń nie zasługuje na wiarę</w:t>
      </w:r>
      <w:r w:rsidR="00436819" w:rsidRPr="00D47FBC">
        <w:rPr>
          <w:u w:color="000000"/>
          <w:bdr w:val="nil"/>
        </w:rPr>
        <w:t>,</w:t>
      </w:r>
      <w:r w:rsidR="003B384E" w:rsidRPr="00D47FBC">
        <w:rPr>
          <w:u w:color="000000"/>
          <w:bdr w:val="nil"/>
        </w:rPr>
        <w:t xml:space="preserve"> ani nie przytoczyły przekonujących argumentów uzasadniających stopień użycia siły wobec skarżącego, a co za tym idzie wyrazić przekonanie, że</w:t>
      </w:r>
      <w:r w:rsidR="00955755">
        <w:rPr>
          <w:u w:color="000000"/>
          <w:bdr w:val="nil"/>
        </w:rPr>
        <w:t> </w:t>
      </w:r>
      <w:r w:rsidR="003B384E" w:rsidRPr="00D47FBC">
        <w:rPr>
          <w:u w:color="000000"/>
          <w:bdr w:val="nil"/>
        </w:rPr>
        <w:t>na</w:t>
      </w:r>
      <w:r w:rsidR="00955755">
        <w:rPr>
          <w:u w:color="000000"/>
          <w:bdr w:val="nil"/>
        </w:rPr>
        <w:t> </w:t>
      </w:r>
      <w:r w:rsidR="003B384E" w:rsidRPr="00D47FBC">
        <w:rPr>
          <w:u w:color="000000"/>
          <w:bdr w:val="nil"/>
        </w:rPr>
        <w:t>„pierwszym etapie” czynności policyjnej, która miała miejsce w dniu 11 czerwca 2011 r., policja poddała skarżącego traktowaniu sprzecznemu z</w:t>
      </w:r>
      <w:r w:rsidR="007D5E66" w:rsidRPr="00D47FBC">
        <w:rPr>
          <w:u w:color="000000"/>
          <w:bdr w:val="nil"/>
        </w:rPr>
        <w:t> </w:t>
      </w:r>
      <w:r w:rsidR="003B384E" w:rsidRPr="00D47FBC">
        <w:rPr>
          <w:u w:color="000000"/>
          <w:bdr w:val="nil"/>
        </w:rPr>
        <w:t>art. 3 Konwencji.</w:t>
      </w:r>
    </w:p>
    <w:p w14:paraId="1ACCADFF" w14:textId="1F48AB2E" w:rsidR="003B384E" w:rsidRPr="00D47FBC" w:rsidRDefault="00B05A8B" w:rsidP="003B384E">
      <w:pPr>
        <w:ind w:firstLine="284"/>
        <w:jc w:val="both"/>
        <w:rPr>
          <w:rFonts w:eastAsia="Arial Unicode MS"/>
          <w:u w:color="000000"/>
          <w:bdr w:val="nil"/>
        </w:rPr>
      </w:pPr>
      <w:r>
        <w:rPr>
          <w:rFonts w:eastAsia="Arial Unicode MS"/>
          <w:u w:color="000000"/>
          <w:bdr w:val="nil"/>
        </w:rPr>
        <w:t>16</w:t>
      </w:r>
      <w:r w:rsidR="003B384E" w:rsidRPr="00D47FBC">
        <w:rPr>
          <w:u w:color="000000"/>
          <w:bdr w:val="nil"/>
        </w:rPr>
        <w:t>.</w:t>
      </w:r>
      <w:r w:rsidR="007C0D3E">
        <w:rPr>
          <w:u w:color="000000"/>
          <w:bdr w:val="nil"/>
        </w:rPr>
        <w:t xml:space="preserve"> </w:t>
      </w:r>
      <w:r w:rsidR="003B384E" w:rsidRPr="00D47FBC">
        <w:rPr>
          <w:u w:color="000000"/>
          <w:bdr w:val="nil"/>
        </w:rPr>
        <w:t>Stwierdzenie przez większość „braku możliwości” rozstrzygnięcia tej</w:t>
      </w:r>
      <w:r w:rsidR="00955755">
        <w:rPr>
          <w:u w:color="000000"/>
          <w:bdr w:val="nil"/>
        </w:rPr>
        <w:t> </w:t>
      </w:r>
      <w:r w:rsidR="003B384E" w:rsidRPr="00D47FBC">
        <w:rPr>
          <w:u w:color="000000"/>
          <w:bdr w:val="nil"/>
        </w:rPr>
        <w:t xml:space="preserve">kwestii i odmowa wyciągnięcia ostatecznego wniosku co do </w:t>
      </w:r>
      <w:r w:rsidR="004F31F5" w:rsidRPr="00D47FBC">
        <w:rPr>
          <w:u w:color="000000"/>
          <w:bdr w:val="nil"/>
        </w:rPr>
        <w:t>traktowania</w:t>
      </w:r>
      <w:r w:rsidR="003B384E" w:rsidRPr="00D47FBC">
        <w:rPr>
          <w:u w:color="000000"/>
          <w:bdr w:val="nil"/>
        </w:rPr>
        <w:t xml:space="preserve"> na „pierwszym etapie” zatrzymania, </w:t>
      </w:r>
      <w:r w:rsidR="004F31F5" w:rsidRPr="00D47FBC">
        <w:rPr>
          <w:u w:color="000000"/>
          <w:bdr w:val="nil"/>
        </w:rPr>
        <w:t>która to kwestia wymagała odpowiedzi</w:t>
      </w:r>
      <w:r w:rsidR="003B384E" w:rsidRPr="00D47FBC">
        <w:rPr>
          <w:u w:color="000000"/>
          <w:bdr w:val="nil"/>
        </w:rPr>
        <w:t xml:space="preserve"> tylko dlatego, że większość zdecydowała się rozróżnić poszczególne </w:t>
      </w:r>
      <w:r w:rsidR="003B384E" w:rsidRPr="00D47FBC">
        <w:rPr>
          <w:u w:color="000000"/>
          <w:bdr w:val="nil"/>
        </w:rPr>
        <w:lastRenderedPageBreak/>
        <w:t xml:space="preserve">„etapy” zatrzymania, </w:t>
      </w:r>
      <w:r w:rsidR="004F31F5" w:rsidRPr="00D47FBC">
        <w:rPr>
          <w:u w:color="000000"/>
          <w:bdr w:val="nil"/>
        </w:rPr>
        <w:t>jest</w:t>
      </w:r>
      <w:r w:rsidR="003B384E" w:rsidRPr="00D47FBC">
        <w:rPr>
          <w:u w:color="000000"/>
          <w:bdr w:val="nil"/>
        </w:rPr>
        <w:t xml:space="preserve"> nie tylko niezgodne z przyjętym przez Trybunał stanowiskiem na gruncie art. 3 w sprawach takich jak rozpatrywana sprawa, lecz stanowi nieuzasadnione odwrócenie ciężaru dowodu w zakresie uzasadnienia użycia siły wobec osoby znajdującej się pod kontrolą lub</w:t>
      </w:r>
      <w:r w:rsidR="00955755">
        <w:rPr>
          <w:u w:color="000000"/>
          <w:bdr w:val="nil"/>
        </w:rPr>
        <w:t> </w:t>
      </w:r>
      <w:r w:rsidR="003B384E" w:rsidRPr="00D47FBC">
        <w:rPr>
          <w:u w:color="000000"/>
          <w:bdr w:val="nil"/>
        </w:rPr>
        <w:t>w</w:t>
      </w:r>
      <w:r w:rsidR="00955755">
        <w:rPr>
          <w:u w:color="000000"/>
          <w:bdr w:val="nil"/>
        </w:rPr>
        <w:t> </w:t>
      </w:r>
      <w:r w:rsidR="003B384E" w:rsidRPr="00D47FBC">
        <w:rPr>
          <w:u w:color="000000"/>
          <w:bdr w:val="nil"/>
        </w:rPr>
        <w:t xml:space="preserve">dyspozycji władz, wbrew podstawowym wartościom społeczeństwa </w:t>
      </w:r>
      <w:r w:rsidR="00500999" w:rsidRPr="00D47FBC">
        <w:rPr>
          <w:u w:color="000000"/>
          <w:bdr w:val="nil"/>
        </w:rPr>
        <w:t xml:space="preserve">demokratycznego </w:t>
      </w:r>
      <w:r w:rsidR="003B384E" w:rsidRPr="00D47FBC">
        <w:rPr>
          <w:u w:color="000000"/>
          <w:bdr w:val="nil"/>
        </w:rPr>
        <w:t>określony</w:t>
      </w:r>
      <w:r w:rsidR="008E5FF7" w:rsidRPr="00D47FBC">
        <w:rPr>
          <w:u w:color="000000"/>
          <w:bdr w:val="nil"/>
        </w:rPr>
        <w:t>m</w:t>
      </w:r>
      <w:r w:rsidR="003B384E" w:rsidRPr="00D47FBC">
        <w:rPr>
          <w:u w:color="000000"/>
          <w:bdr w:val="nil"/>
        </w:rPr>
        <w:t xml:space="preserve"> w art. 3.</w:t>
      </w:r>
    </w:p>
    <w:sectPr w:rsidR="003B384E" w:rsidRPr="00D47FBC" w:rsidSect="00B12DD1">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33432" w14:textId="77777777" w:rsidR="00D43382" w:rsidRDefault="00D43382">
      <w:r>
        <w:separator/>
      </w:r>
    </w:p>
  </w:endnote>
  <w:endnote w:type="continuationSeparator" w:id="0">
    <w:p w14:paraId="2BD8E965" w14:textId="77777777" w:rsidR="00D43382" w:rsidRDefault="00D43382">
      <w:r>
        <w:continuationSeparator/>
      </w:r>
    </w:p>
  </w:endnote>
  <w:endnote w:type="continuationNotice" w:id="1">
    <w:p w14:paraId="0338B965" w14:textId="77777777" w:rsidR="00D43382" w:rsidRDefault="00D433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EBA8B" w14:textId="77777777" w:rsidR="00DA0820" w:rsidRDefault="00DA082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C81D9" w14:textId="77777777" w:rsidR="00DA0820" w:rsidRDefault="00DA082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8F864" w14:textId="77777777" w:rsidR="00DA0820" w:rsidRPr="00150BFA" w:rsidRDefault="00DA0820" w:rsidP="002E3DE2">
    <w:pPr>
      <w:jc w:val="center"/>
    </w:pPr>
    <w:r>
      <w:rPr>
        <w:noProof/>
        <w:lang w:eastAsia="pl-PL"/>
      </w:rPr>
      <w:drawing>
        <wp:inline distT="0" distB="0" distL="0" distR="0" wp14:anchorId="4D640AE2" wp14:editId="1202658F">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3EDF15B" w14:textId="77777777" w:rsidR="00DA0820" w:rsidRDefault="00DA08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560ED" w14:textId="77777777" w:rsidR="00D43382" w:rsidRPr="003152BA" w:rsidRDefault="00D43382" w:rsidP="00D420F3">
      <w:r w:rsidRPr="003152BA">
        <w:separator/>
      </w:r>
    </w:p>
  </w:footnote>
  <w:footnote w:type="continuationSeparator" w:id="0">
    <w:p w14:paraId="56E71B4D" w14:textId="77777777" w:rsidR="00D43382" w:rsidRPr="003152BA" w:rsidRDefault="00D43382" w:rsidP="00D420F3">
      <w:r w:rsidRPr="003152BA">
        <w:continuationSeparator/>
      </w:r>
    </w:p>
  </w:footnote>
  <w:footnote w:type="continuationNotice" w:id="1">
    <w:p w14:paraId="1023297E" w14:textId="77777777" w:rsidR="00D43382" w:rsidRDefault="00D433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A9E3B" w14:textId="77777777" w:rsidR="00DA0820" w:rsidRDefault="00DA08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A4014" w14:textId="77777777" w:rsidR="00DA0820" w:rsidRPr="00F42FA3" w:rsidRDefault="00DA0820" w:rsidP="00F42FA3">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21F37" w14:textId="77777777" w:rsidR="00DA0820" w:rsidRPr="00A45145" w:rsidRDefault="00DA0820" w:rsidP="002E3DE2">
    <w:pPr>
      <w:jc w:val="center"/>
    </w:pPr>
    <w:r>
      <w:rPr>
        <w:noProof/>
        <w:lang w:eastAsia="pl-PL"/>
      </w:rPr>
      <w:drawing>
        <wp:inline distT="0" distB="0" distL="0" distR="0" wp14:anchorId="2DBDB41F" wp14:editId="61B3E4F9">
          <wp:extent cx="2962275" cy="1219200"/>
          <wp:effectExtent l="0" t="0" r="9525" b="0"/>
          <wp:docPr id="13" name="Picture 1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2342CD1" w14:textId="77777777" w:rsidR="00DA0820" w:rsidRDefault="00DA0820">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E700D" w14:textId="66512457" w:rsidR="00DA0820" w:rsidRPr="003152BA" w:rsidRDefault="00DA0820" w:rsidP="00D420F3">
    <w:pPr>
      <w:pStyle w:val="Ju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C85C3B">
      <w:rPr>
        <w:rStyle w:val="Numerstrony"/>
        <w:noProof/>
        <w:szCs w:val="18"/>
      </w:rPr>
      <w:t>16</w:t>
    </w:r>
    <w:r>
      <w:rPr>
        <w:rStyle w:val="Numerstrony"/>
        <w:szCs w:val="18"/>
      </w:rPr>
      <w:fldChar w:fldCharType="end"/>
    </w:r>
    <w:r>
      <w:tab/>
      <w:t>WYROK W SPRAWIE KANCIAŁ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4A5E2" w14:textId="67C51C73" w:rsidR="00DA0820" w:rsidRPr="003152BA" w:rsidRDefault="00DA0820" w:rsidP="00D420F3">
    <w:pPr>
      <w:pStyle w:val="JuHeader"/>
    </w:pPr>
    <w:r>
      <w:tab/>
      <w:t>WYROK W SPRAWIE KANCIAŁ PRZECIWKO POLSCE</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C85C3B">
      <w:rPr>
        <w:rStyle w:val="Numerstrony"/>
        <w:noProof/>
        <w:szCs w:val="18"/>
      </w:rPr>
      <w:t>17</w:t>
    </w:r>
    <w:r>
      <w:rPr>
        <w:rStyle w:val="Numerstrony"/>
        <w:szCs w:val="1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7FF8F" w14:textId="0FE15D91" w:rsidR="00DA0820" w:rsidRPr="003152BA" w:rsidRDefault="00DA0820" w:rsidP="00B12DD1">
    <w:pPr>
      <w:pStyle w:val="Ju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C85C3B">
      <w:rPr>
        <w:rStyle w:val="Numerstrony"/>
        <w:noProof/>
        <w:szCs w:val="18"/>
      </w:rPr>
      <w:t>28</w:t>
    </w:r>
    <w:r>
      <w:rPr>
        <w:rStyle w:val="Numerstrony"/>
        <w:szCs w:val="18"/>
      </w:rPr>
      <w:fldChar w:fldCharType="end"/>
    </w:r>
    <w:r>
      <w:tab/>
      <w:t>WYROK W SPRAWIE KANCIAŁ PRZECIWKO POLSCE – OPINIA ODRĘBNA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9256A" w14:textId="77777777" w:rsidR="00DA0820" w:rsidRPr="003152BA" w:rsidRDefault="00DA0820" w:rsidP="00B12DD1">
    <w:pPr>
      <w:pStyle w:val="JuHeader"/>
      <w:tabs>
        <w:tab w:val="clear" w:pos="3686"/>
        <w:tab w:val="clear" w:pos="7371"/>
        <w:tab w:val="center" w:pos="3685"/>
        <w:tab w:val="right" w:pos="7370"/>
      </w:tabs>
    </w:pPr>
    <w:r>
      <w:tab/>
      <w:t>WYROK W SPRAWIE KANCIAŁ PRZECIWKO POLSCE – OPINIA ODRĘBNA</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C85C3B">
      <w:rPr>
        <w:rStyle w:val="Numerstrony"/>
        <w:noProof/>
        <w:szCs w:val="18"/>
      </w:rPr>
      <w:t>27</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720" w:firstLine="0"/>
      </w:pPr>
      <w:rPr>
        <w:rFonts w:hint="default"/>
      </w:rPr>
    </w:lvl>
    <w:lvl w:ilvl="1">
      <w:start w:val="1"/>
      <w:numFmt w:val="upperRoman"/>
      <w:pStyle w:val="JuHIRoman"/>
      <w:suff w:val="space"/>
      <w:lvlText w:val="%2."/>
      <w:lvlJc w:val="left"/>
      <w:pPr>
        <w:ind w:left="1077" w:hanging="357"/>
      </w:pPr>
      <w:rPr>
        <w:rFonts w:hint="default"/>
        <w:sz w:val="24"/>
      </w:rPr>
    </w:lvl>
    <w:lvl w:ilvl="2">
      <w:start w:val="1"/>
      <w:numFmt w:val="upperLetter"/>
      <w:pStyle w:val="JuHA"/>
      <w:lvlText w:val="%3."/>
      <w:lvlJc w:val="left"/>
      <w:pPr>
        <w:ind w:left="1304" w:hanging="352"/>
      </w:pPr>
      <w:rPr>
        <w:rFonts w:hint="default"/>
      </w:rPr>
    </w:lvl>
    <w:lvl w:ilvl="3">
      <w:start w:val="1"/>
      <w:numFmt w:val="decimal"/>
      <w:pStyle w:val="JuH1"/>
      <w:lvlText w:val="%4."/>
      <w:lvlJc w:val="left"/>
      <w:pPr>
        <w:ind w:left="1451" w:hanging="300"/>
      </w:pPr>
      <w:rPr>
        <w:rFonts w:hint="default"/>
      </w:rPr>
    </w:lvl>
    <w:lvl w:ilvl="4">
      <w:start w:val="1"/>
      <w:numFmt w:val="lowerLetter"/>
      <w:pStyle w:val="JuHa0"/>
      <w:lvlText w:val="(%5)"/>
      <w:lvlJc w:val="left"/>
      <w:pPr>
        <w:ind w:left="1695" w:hanging="340"/>
      </w:pPr>
      <w:rPr>
        <w:rFonts w:hint="default"/>
      </w:rPr>
    </w:lvl>
    <w:lvl w:ilvl="5">
      <w:start w:val="1"/>
      <w:numFmt w:val="lowerRoman"/>
      <w:pStyle w:val="JuHi"/>
      <w:suff w:val="space"/>
      <w:lvlText w:val="(%6)"/>
      <w:lvlJc w:val="left"/>
      <w:pPr>
        <w:ind w:left="1911" w:hanging="358"/>
      </w:pPr>
      <w:rPr>
        <w:rFonts w:hint="default"/>
      </w:rPr>
    </w:lvl>
    <w:lvl w:ilvl="6">
      <w:start w:val="1"/>
      <w:numFmt w:val="lowerLetter"/>
      <w:pStyle w:val="JuHalpha"/>
      <w:lvlText w:val="(%7)"/>
      <w:lvlJc w:val="left"/>
      <w:pPr>
        <w:ind w:left="2092" w:hanging="334"/>
      </w:pPr>
      <w:rPr>
        <w:rFonts w:ascii="Symbol" w:hAnsi="Symbol" w:hint="default"/>
        <w:sz w:val="20"/>
      </w:rPr>
    </w:lvl>
    <w:lvl w:ilvl="7">
      <w:start w:val="1"/>
      <w:numFmt w:val="bullet"/>
      <w:pStyle w:val="JuH"/>
      <w:lvlText w:val="‒"/>
      <w:lvlJc w:val="left"/>
      <w:pPr>
        <w:ind w:left="2024" w:hanging="68"/>
      </w:pPr>
      <w:rPr>
        <w:rFonts w:ascii="Calibri" w:hAnsi="Calibri" w:hint="default"/>
        <w:color w:val="auto"/>
      </w:rPr>
    </w:lvl>
    <w:lvl w:ilvl="8">
      <w:start w:val="1"/>
      <w:numFmt w:val="none"/>
      <w:lvlText w:val="%9"/>
      <w:lvlJc w:val="right"/>
      <w:pPr>
        <w:ind w:left="8033" w:hanging="180"/>
      </w:pPr>
      <w:rPr>
        <w:rFonts w:hint="default"/>
      </w:rPr>
    </w:lvl>
  </w:abstractNum>
  <w:abstractNum w:abstractNumId="17"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0"/>
  </w:docVars>
  <w:rsids>
    <w:rsidRoot w:val="00D92F97"/>
    <w:rsid w:val="000006D5"/>
    <w:rsid w:val="00004662"/>
    <w:rsid w:val="000070B4"/>
    <w:rsid w:val="000101DF"/>
    <w:rsid w:val="00011414"/>
    <w:rsid w:val="000135AA"/>
    <w:rsid w:val="00014BCF"/>
    <w:rsid w:val="00015850"/>
    <w:rsid w:val="000160E9"/>
    <w:rsid w:val="0001610D"/>
    <w:rsid w:val="000210E5"/>
    <w:rsid w:val="000225B7"/>
    <w:rsid w:val="0002483E"/>
    <w:rsid w:val="00024941"/>
    <w:rsid w:val="00024F8B"/>
    <w:rsid w:val="000306C6"/>
    <w:rsid w:val="000349E1"/>
    <w:rsid w:val="00034FCE"/>
    <w:rsid w:val="00036600"/>
    <w:rsid w:val="000415ED"/>
    <w:rsid w:val="00041E1E"/>
    <w:rsid w:val="00043AB5"/>
    <w:rsid w:val="00046667"/>
    <w:rsid w:val="00046842"/>
    <w:rsid w:val="00047FDF"/>
    <w:rsid w:val="0005072A"/>
    <w:rsid w:val="00050E1A"/>
    <w:rsid w:val="00053FF5"/>
    <w:rsid w:val="000540FD"/>
    <w:rsid w:val="00055B07"/>
    <w:rsid w:val="00057A98"/>
    <w:rsid w:val="00061289"/>
    <w:rsid w:val="00061AC9"/>
    <w:rsid w:val="000628BC"/>
    <w:rsid w:val="00066E4E"/>
    <w:rsid w:val="0007087D"/>
    <w:rsid w:val="00070E74"/>
    <w:rsid w:val="00071476"/>
    <w:rsid w:val="000739C9"/>
    <w:rsid w:val="00075E83"/>
    <w:rsid w:val="000774B0"/>
    <w:rsid w:val="00077B5D"/>
    <w:rsid w:val="00080672"/>
    <w:rsid w:val="00080BC3"/>
    <w:rsid w:val="000832E1"/>
    <w:rsid w:val="000875E9"/>
    <w:rsid w:val="00087C70"/>
    <w:rsid w:val="00090DEB"/>
    <w:rsid w:val="0009666D"/>
    <w:rsid w:val="00097964"/>
    <w:rsid w:val="000A089B"/>
    <w:rsid w:val="000A1D9B"/>
    <w:rsid w:val="000A22DE"/>
    <w:rsid w:val="000A74A1"/>
    <w:rsid w:val="000A7843"/>
    <w:rsid w:val="000B5D74"/>
    <w:rsid w:val="000B623B"/>
    <w:rsid w:val="000C034D"/>
    <w:rsid w:val="000C1BA6"/>
    <w:rsid w:val="000C4D86"/>
    <w:rsid w:val="000C65B9"/>
    <w:rsid w:val="000C6AC0"/>
    <w:rsid w:val="000D116C"/>
    <w:rsid w:val="000D2AE6"/>
    <w:rsid w:val="000D3BB7"/>
    <w:rsid w:val="000D4731"/>
    <w:rsid w:val="000D48B8"/>
    <w:rsid w:val="000E2377"/>
    <w:rsid w:val="000E2AD1"/>
    <w:rsid w:val="000E37D0"/>
    <w:rsid w:val="000E42C1"/>
    <w:rsid w:val="000E4BD1"/>
    <w:rsid w:val="000E4C7E"/>
    <w:rsid w:val="000E6FAB"/>
    <w:rsid w:val="000E7133"/>
    <w:rsid w:val="000F0A72"/>
    <w:rsid w:val="000F2B05"/>
    <w:rsid w:val="000F48BB"/>
    <w:rsid w:val="000F4A7C"/>
    <w:rsid w:val="00101B80"/>
    <w:rsid w:val="0010346B"/>
    <w:rsid w:val="00104009"/>
    <w:rsid w:val="001071D9"/>
    <w:rsid w:val="0011059C"/>
    <w:rsid w:val="00112E6D"/>
    <w:rsid w:val="0011606C"/>
    <w:rsid w:val="00116752"/>
    <w:rsid w:val="00121A45"/>
    <w:rsid w:val="00122A94"/>
    <w:rsid w:val="00122EB0"/>
    <w:rsid w:val="00123570"/>
    <w:rsid w:val="001238DE"/>
    <w:rsid w:val="0012503B"/>
    <w:rsid w:val="00130E46"/>
    <w:rsid w:val="0013181B"/>
    <w:rsid w:val="001347B0"/>
    <w:rsid w:val="00136A80"/>
    <w:rsid w:val="00137686"/>
    <w:rsid w:val="00137B2F"/>
    <w:rsid w:val="00137D7B"/>
    <w:rsid w:val="00137F13"/>
    <w:rsid w:val="001415BF"/>
    <w:rsid w:val="00141D89"/>
    <w:rsid w:val="00143723"/>
    <w:rsid w:val="00144756"/>
    <w:rsid w:val="00144EE8"/>
    <w:rsid w:val="00144F1F"/>
    <w:rsid w:val="00145A52"/>
    <w:rsid w:val="00146748"/>
    <w:rsid w:val="00146A17"/>
    <w:rsid w:val="00151F4F"/>
    <w:rsid w:val="00152B0A"/>
    <w:rsid w:val="001538D6"/>
    <w:rsid w:val="001559C9"/>
    <w:rsid w:val="00155B81"/>
    <w:rsid w:val="00155F33"/>
    <w:rsid w:val="00156918"/>
    <w:rsid w:val="001572E5"/>
    <w:rsid w:val="00160B85"/>
    <w:rsid w:val="00161525"/>
    <w:rsid w:val="00163CA8"/>
    <w:rsid w:val="00166030"/>
    <w:rsid w:val="00172113"/>
    <w:rsid w:val="00180FA6"/>
    <w:rsid w:val="00181022"/>
    <w:rsid w:val="00183582"/>
    <w:rsid w:val="00183AED"/>
    <w:rsid w:val="00184335"/>
    <w:rsid w:val="00185F84"/>
    <w:rsid w:val="00186130"/>
    <w:rsid w:val="00190559"/>
    <w:rsid w:val="00190617"/>
    <w:rsid w:val="001913F3"/>
    <w:rsid w:val="001926DD"/>
    <w:rsid w:val="00193757"/>
    <w:rsid w:val="00196706"/>
    <w:rsid w:val="00197028"/>
    <w:rsid w:val="0019708C"/>
    <w:rsid w:val="00197FB9"/>
    <w:rsid w:val="001A0F18"/>
    <w:rsid w:val="001A1344"/>
    <w:rsid w:val="001A21AB"/>
    <w:rsid w:val="001A265F"/>
    <w:rsid w:val="001A3877"/>
    <w:rsid w:val="001A4EBF"/>
    <w:rsid w:val="001A5ED2"/>
    <w:rsid w:val="001A654D"/>
    <w:rsid w:val="001A6D20"/>
    <w:rsid w:val="001B0602"/>
    <w:rsid w:val="001B3140"/>
    <w:rsid w:val="001B4B7F"/>
    <w:rsid w:val="001B590D"/>
    <w:rsid w:val="001B6FC1"/>
    <w:rsid w:val="001B7702"/>
    <w:rsid w:val="001C0F11"/>
    <w:rsid w:val="001C2532"/>
    <w:rsid w:val="001C353F"/>
    <w:rsid w:val="001C35D3"/>
    <w:rsid w:val="001C70D7"/>
    <w:rsid w:val="001D086B"/>
    <w:rsid w:val="001D1388"/>
    <w:rsid w:val="001D20C5"/>
    <w:rsid w:val="001D2419"/>
    <w:rsid w:val="001D4B13"/>
    <w:rsid w:val="001D5751"/>
    <w:rsid w:val="001E20DF"/>
    <w:rsid w:val="001E4B38"/>
    <w:rsid w:val="001E4FCB"/>
    <w:rsid w:val="001E625A"/>
    <w:rsid w:val="001E78C3"/>
    <w:rsid w:val="001E7EB5"/>
    <w:rsid w:val="001F0305"/>
    <w:rsid w:val="001F27FB"/>
    <w:rsid w:val="001F28E8"/>
    <w:rsid w:val="001F3263"/>
    <w:rsid w:val="00201000"/>
    <w:rsid w:val="0020334D"/>
    <w:rsid w:val="00206590"/>
    <w:rsid w:val="00210E6F"/>
    <w:rsid w:val="00211863"/>
    <w:rsid w:val="00212421"/>
    <w:rsid w:val="00213F8F"/>
    <w:rsid w:val="00214B78"/>
    <w:rsid w:val="00215AA9"/>
    <w:rsid w:val="00216B02"/>
    <w:rsid w:val="002170C5"/>
    <w:rsid w:val="00222361"/>
    <w:rsid w:val="00222BFF"/>
    <w:rsid w:val="002248F7"/>
    <w:rsid w:val="0022702B"/>
    <w:rsid w:val="002270F4"/>
    <w:rsid w:val="0023039A"/>
    <w:rsid w:val="0023076F"/>
    <w:rsid w:val="00234868"/>
    <w:rsid w:val="0024247E"/>
    <w:rsid w:val="00242687"/>
    <w:rsid w:val="0024490F"/>
    <w:rsid w:val="00244D5A"/>
    <w:rsid w:val="00247658"/>
    <w:rsid w:val="0025082C"/>
    <w:rsid w:val="00251ECA"/>
    <w:rsid w:val="0025375A"/>
    <w:rsid w:val="00254B89"/>
    <w:rsid w:val="00256760"/>
    <w:rsid w:val="00261004"/>
    <w:rsid w:val="00265A94"/>
    <w:rsid w:val="00267DBA"/>
    <w:rsid w:val="00270876"/>
    <w:rsid w:val="00271C6A"/>
    <w:rsid w:val="002737BA"/>
    <w:rsid w:val="00274A7B"/>
    <w:rsid w:val="00274F66"/>
    <w:rsid w:val="00275991"/>
    <w:rsid w:val="00277411"/>
    <w:rsid w:val="002776E2"/>
    <w:rsid w:val="00280684"/>
    <w:rsid w:val="0028151F"/>
    <w:rsid w:val="00281B69"/>
    <w:rsid w:val="002842EC"/>
    <w:rsid w:val="00290F21"/>
    <w:rsid w:val="00295BBA"/>
    <w:rsid w:val="002A1BA7"/>
    <w:rsid w:val="002A202C"/>
    <w:rsid w:val="002A3343"/>
    <w:rsid w:val="002A47CB"/>
    <w:rsid w:val="002A5D00"/>
    <w:rsid w:val="002A686A"/>
    <w:rsid w:val="002A7DEB"/>
    <w:rsid w:val="002B048C"/>
    <w:rsid w:val="002B3EC6"/>
    <w:rsid w:val="002B62ED"/>
    <w:rsid w:val="002B66B9"/>
    <w:rsid w:val="002C0864"/>
    <w:rsid w:val="002C1C93"/>
    <w:rsid w:val="002C1DF1"/>
    <w:rsid w:val="002C3C33"/>
    <w:rsid w:val="002C6577"/>
    <w:rsid w:val="002D3BDE"/>
    <w:rsid w:val="002D4E8F"/>
    <w:rsid w:val="002D5FEE"/>
    <w:rsid w:val="002E3DE2"/>
    <w:rsid w:val="002E4000"/>
    <w:rsid w:val="002E404B"/>
    <w:rsid w:val="002E5993"/>
    <w:rsid w:val="002E665C"/>
    <w:rsid w:val="002E7BB5"/>
    <w:rsid w:val="002F0EF4"/>
    <w:rsid w:val="002F2500"/>
    <w:rsid w:val="002F49EA"/>
    <w:rsid w:val="002F508A"/>
    <w:rsid w:val="002F5E91"/>
    <w:rsid w:val="002F7DBB"/>
    <w:rsid w:val="00304A1F"/>
    <w:rsid w:val="0030762A"/>
    <w:rsid w:val="003154AB"/>
    <w:rsid w:val="003157C5"/>
    <w:rsid w:val="00315AE4"/>
    <w:rsid w:val="00323F0A"/>
    <w:rsid w:val="00325BB8"/>
    <w:rsid w:val="00326970"/>
    <w:rsid w:val="00330C49"/>
    <w:rsid w:val="00332BDB"/>
    <w:rsid w:val="0033337F"/>
    <w:rsid w:val="0033614D"/>
    <w:rsid w:val="0033616F"/>
    <w:rsid w:val="0033673B"/>
    <w:rsid w:val="00341B5B"/>
    <w:rsid w:val="0034325F"/>
    <w:rsid w:val="00344274"/>
    <w:rsid w:val="00344FBD"/>
    <w:rsid w:val="00346C00"/>
    <w:rsid w:val="00347A25"/>
    <w:rsid w:val="003506CE"/>
    <w:rsid w:val="0035081E"/>
    <w:rsid w:val="0035102D"/>
    <w:rsid w:val="00353BC7"/>
    <w:rsid w:val="00353FBB"/>
    <w:rsid w:val="003548B2"/>
    <w:rsid w:val="00355D42"/>
    <w:rsid w:val="00357EB3"/>
    <w:rsid w:val="00360C84"/>
    <w:rsid w:val="00361AB4"/>
    <w:rsid w:val="00363269"/>
    <w:rsid w:val="00367C1E"/>
    <w:rsid w:val="00371D5F"/>
    <w:rsid w:val="003726A0"/>
    <w:rsid w:val="003731D9"/>
    <w:rsid w:val="00373405"/>
    <w:rsid w:val="003766C2"/>
    <w:rsid w:val="00380DFB"/>
    <w:rsid w:val="00386326"/>
    <w:rsid w:val="00390C1A"/>
    <w:rsid w:val="003911ED"/>
    <w:rsid w:val="003955EA"/>
    <w:rsid w:val="00395921"/>
    <w:rsid w:val="00396C63"/>
    <w:rsid w:val="003A2A95"/>
    <w:rsid w:val="003A39E7"/>
    <w:rsid w:val="003A4375"/>
    <w:rsid w:val="003A726D"/>
    <w:rsid w:val="003B1E45"/>
    <w:rsid w:val="003B31E2"/>
    <w:rsid w:val="003B384E"/>
    <w:rsid w:val="003B44C4"/>
    <w:rsid w:val="003B4758"/>
    <w:rsid w:val="003B5486"/>
    <w:rsid w:val="003C21A7"/>
    <w:rsid w:val="003C258B"/>
    <w:rsid w:val="003C3D92"/>
    <w:rsid w:val="003C4822"/>
    <w:rsid w:val="003D1C4C"/>
    <w:rsid w:val="003D3EF9"/>
    <w:rsid w:val="003D4EAA"/>
    <w:rsid w:val="003E11A7"/>
    <w:rsid w:val="003E24F3"/>
    <w:rsid w:val="003E29E2"/>
    <w:rsid w:val="003E2A0D"/>
    <w:rsid w:val="003E35BE"/>
    <w:rsid w:val="003E3C74"/>
    <w:rsid w:val="003E43D5"/>
    <w:rsid w:val="003F224F"/>
    <w:rsid w:val="003F2717"/>
    <w:rsid w:val="003F27EC"/>
    <w:rsid w:val="003F32AD"/>
    <w:rsid w:val="003F47E2"/>
    <w:rsid w:val="003F68BD"/>
    <w:rsid w:val="00400248"/>
    <w:rsid w:val="004008CA"/>
    <w:rsid w:val="00403AF7"/>
    <w:rsid w:val="00403EE9"/>
    <w:rsid w:val="00405016"/>
    <w:rsid w:val="0040515C"/>
    <w:rsid w:val="004114A5"/>
    <w:rsid w:val="004118DC"/>
    <w:rsid w:val="004137E4"/>
    <w:rsid w:val="00416B10"/>
    <w:rsid w:val="00417ABD"/>
    <w:rsid w:val="00422153"/>
    <w:rsid w:val="004234DB"/>
    <w:rsid w:val="0042709B"/>
    <w:rsid w:val="00427120"/>
    <w:rsid w:val="0042798A"/>
    <w:rsid w:val="00432A78"/>
    <w:rsid w:val="00436819"/>
    <w:rsid w:val="0044234A"/>
    <w:rsid w:val="004439A9"/>
    <w:rsid w:val="004467F8"/>
    <w:rsid w:val="00452951"/>
    <w:rsid w:val="004531F6"/>
    <w:rsid w:val="00456531"/>
    <w:rsid w:val="004604FE"/>
    <w:rsid w:val="00465FD9"/>
    <w:rsid w:val="00470D34"/>
    <w:rsid w:val="00473C66"/>
    <w:rsid w:val="00475874"/>
    <w:rsid w:val="004774C4"/>
    <w:rsid w:val="00480EFC"/>
    <w:rsid w:val="00482296"/>
    <w:rsid w:val="00483F68"/>
    <w:rsid w:val="004840D2"/>
    <w:rsid w:val="00485F6D"/>
    <w:rsid w:val="004861A4"/>
    <w:rsid w:val="00486258"/>
    <w:rsid w:val="00486736"/>
    <w:rsid w:val="00493CEF"/>
    <w:rsid w:val="0049503F"/>
    <w:rsid w:val="004952F9"/>
    <w:rsid w:val="0049610B"/>
    <w:rsid w:val="004A2FAE"/>
    <w:rsid w:val="004B0281"/>
    <w:rsid w:val="004B392D"/>
    <w:rsid w:val="004B5AB7"/>
    <w:rsid w:val="004B62B5"/>
    <w:rsid w:val="004C3003"/>
    <w:rsid w:val="004C50C2"/>
    <w:rsid w:val="004C6DBF"/>
    <w:rsid w:val="004D2C40"/>
    <w:rsid w:val="004D6577"/>
    <w:rsid w:val="004D683E"/>
    <w:rsid w:val="004D69B4"/>
    <w:rsid w:val="004D6EB2"/>
    <w:rsid w:val="004E2D19"/>
    <w:rsid w:val="004E58AE"/>
    <w:rsid w:val="004E58C7"/>
    <w:rsid w:val="004E678D"/>
    <w:rsid w:val="004E6AC4"/>
    <w:rsid w:val="004E7ABE"/>
    <w:rsid w:val="004F31F5"/>
    <w:rsid w:val="004F3771"/>
    <w:rsid w:val="004F4835"/>
    <w:rsid w:val="004F4B1A"/>
    <w:rsid w:val="004F6AA1"/>
    <w:rsid w:val="0050055A"/>
    <w:rsid w:val="00500999"/>
    <w:rsid w:val="005010B6"/>
    <w:rsid w:val="00501C4B"/>
    <w:rsid w:val="00502195"/>
    <w:rsid w:val="0050391E"/>
    <w:rsid w:val="00510B2E"/>
    <w:rsid w:val="00511E69"/>
    <w:rsid w:val="00514437"/>
    <w:rsid w:val="00515F2A"/>
    <w:rsid w:val="0051737F"/>
    <w:rsid w:val="00517E6F"/>
    <w:rsid w:val="00520D0E"/>
    <w:rsid w:val="005228AE"/>
    <w:rsid w:val="0052494D"/>
    <w:rsid w:val="00524EED"/>
    <w:rsid w:val="0052721C"/>
    <w:rsid w:val="00530191"/>
    <w:rsid w:val="0053040B"/>
    <w:rsid w:val="0053076A"/>
    <w:rsid w:val="0053096E"/>
    <w:rsid w:val="005310F7"/>
    <w:rsid w:val="00535543"/>
    <w:rsid w:val="005358EA"/>
    <w:rsid w:val="0053596D"/>
    <w:rsid w:val="00542C92"/>
    <w:rsid w:val="005435CE"/>
    <w:rsid w:val="00543B3A"/>
    <w:rsid w:val="00545C66"/>
    <w:rsid w:val="005478A2"/>
    <w:rsid w:val="00555E70"/>
    <w:rsid w:val="0056068E"/>
    <w:rsid w:val="00560C83"/>
    <w:rsid w:val="005624E0"/>
    <w:rsid w:val="00564182"/>
    <w:rsid w:val="005644A9"/>
    <w:rsid w:val="005710C0"/>
    <w:rsid w:val="00571932"/>
    <w:rsid w:val="00573842"/>
    <w:rsid w:val="00581BED"/>
    <w:rsid w:val="00583126"/>
    <w:rsid w:val="00584DC9"/>
    <w:rsid w:val="0058535A"/>
    <w:rsid w:val="005866D7"/>
    <w:rsid w:val="00590779"/>
    <w:rsid w:val="00593B95"/>
    <w:rsid w:val="0059515C"/>
    <w:rsid w:val="0059789E"/>
    <w:rsid w:val="005A034E"/>
    <w:rsid w:val="005A18E3"/>
    <w:rsid w:val="005A7138"/>
    <w:rsid w:val="005B3B1B"/>
    <w:rsid w:val="005B4164"/>
    <w:rsid w:val="005B4B95"/>
    <w:rsid w:val="005B6031"/>
    <w:rsid w:val="005C0FA7"/>
    <w:rsid w:val="005C12DF"/>
    <w:rsid w:val="005C1B61"/>
    <w:rsid w:val="005C1D4C"/>
    <w:rsid w:val="005C43BF"/>
    <w:rsid w:val="005C494C"/>
    <w:rsid w:val="005C4DC4"/>
    <w:rsid w:val="005C52F0"/>
    <w:rsid w:val="005C54D1"/>
    <w:rsid w:val="005C6937"/>
    <w:rsid w:val="005C6C38"/>
    <w:rsid w:val="005C6EEB"/>
    <w:rsid w:val="005D00F1"/>
    <w:rsid w:val="005D19A2"/>
    <w:rsid w:val="005D2393"/>
    <w:rsid w:val="005D3073"/>
    <w:rsid w:val="005D337A"/>
    <w:rsid w:val="005D3488"/>
    <w:rsid w:val="005D4B62"/>
    <w:rsid w:val="005D61C6"/>
    <w:rsid w:val="005D7B3A"/>
    <w:rsid w:val="005E04D8"/>
    <w:rsid w:val="005E1E51"/>
    <w:rsid w:val="005E2A2C"/>
    <w:rsid w:val="005E2AFB"/>
    <w:rsid w:val="005E2CF1"/>
    <w:rsid w:val="005E41D7"/>
    <w:rsid w:val="005E4CF7"/>
    <w:rsid w:val="005E7339"/>
    <w:rsid w:val="005F0A7B"/>
    <w:rsid w:val="005F0F12"/>
    <w:rsid w:val="005F23AF"/>
    <w:rsid w:val="005F3341"/>
    <w:rsid w:val="005F3D51"/>
    <w:rsid w:val="005F6AA3"/>
    <w:rsid w:val="00600F94"/>
    <w:rsid w:val="006037B1"/>
    <w:rsid w:val="006045D9"/>
    <w:rsid w:val="006053CB"/>
    <w:rsid w:val="0061075F"/>
    <w:rsid w:val="00611036"/>
    <w:rsid w:val="00611D5A"/>
    <w:rsid w:val="00615270"/>
    <w:rsid w:val="0061639C"/>
    <w:rsid w:val="0061642F"/>
    <w:rsid w:val="00616569"/>
    <w:rsid w:val="006234A3"/>
    <w:rsid w:val="006258D7"/>
    <w:rsid w:val="00625CBE"/>
    <w:rsid w:val="00630F58"/>
    <w:rsid w:val="0063326B"/>
    <w:rsid w:val="00634035"/>
    <w:rsid w:val="006346EB"/>
    <w:rsid w:val="00636293"/>
    <w:rsid w:val="0064073E"/>
    <w:rsid w:val="00640D6B"/>
    <w:rsid w:val="006416DF"/>
    <w:rsid w:val="0064432F"/>
    <w:rsid w:val="00644AEF"/>
    <w:rsid w:val="00645102"/>
    <w:rsid w:val="00645768"/>
    <w:rsid w:val="006556A0"/>
    <w:rsid w:val="00664D0D"/>
    <w:rsid w:val="00666976"/>
    <w:rsid w:val="006702B4"/>
    <w:rsid w:val="006716E8"/>
    <w:rsid w:val="0067639B"/>
    <w:rsid w:val="00677878"/>
    <w:rsid w:val="00681E34"/>
    <w:rsid w:val="00682AA0"/>
    <w:rsid w:val="00682F3B"/>
    <w:rsid w:val="006832E7"/>
    <w:rsid w:val="00684C7A"/>
    <w:rsid w:val="00685DF2"/>
    <w:rsid w:val="00687AF0"/>
    <w:rsid w:val="00690A3F"/>
    <w:rsid w:val="006914A3"/>
    <w:rsid w:val="006919B4"/>
    <w:rsid w:val="0069354E"/>
    <w:rsid w:val="006950DF"/>
    <w:rsid w:val="006A10CB"/>
    <w:rsid w:val="006B03FC"/>
    <w:rsid w:val="006B0F86"/>
    <w:rsid w:val="006B15B3"/>
    <w:rsid w:val="006B1DC2"/>
    <w:rsid w:val="006B312E"/>
    <w:rsid w:val="006B7668"/>
    <w:rsid w:val="006C2448"/>
    <w:rsid w:val="006C2DA1"/>
    <w:rsid w:val="006C6CF4"/>
    <w:rsid w:val="006D0A73"/>
    <w:rsid w:val="006D29AE"/>
    <w:rsid w:val="006D6AA3"/>
    <w:rsid w:val="006D78FD"/>
    <w:rsid w:val="006E2089"/>
    <w:rsid w:val="006E4FC2"/>
    <w:rsid w:val="006E64AC"/>
    <w:rsid w:val="006F126E"/>
    <w:rsid w:val="006F2B33"/>
    <w:rsid w:val="006F4BDC"/>
    <w:rsid w:val="006F60E5"/>
    <w:rsid w:val="006F615E"/>
    <w:rsid w:val="00700F6B"/>
    <w:rsid w:val="00703253"/>
    <w:rsid w:val="007040D8"/>
    <w:rsid w:val="00704D3E"/>
    <w:rsid w:val="007059E6"/>
    <w:rsid w:val="007064E1"/>
    <w:rsid w:val="0070760A"/>
    <w:rsid w:val="007103C2"/>
    <w:rsid w:val="00711C57"/>
    <w:rsid w:val="00711F97"/>
    <w:rsid w:val="00712E11"/>
    <w:rsid w:val="00713730"/>
    <w:rsid w:val="00715703"/>
    <w:rsid w:val="00715A5C"/>
    <w:rsid w:val="00720C6B"/>
    <w:rsid w:val="00721186"/>
    <w:rsid w:val="007214E6"/>
    <w:rsid w:val="00722D98"/>
    <w:rsid w:val="0072441E"/>
    <w:rsid w:val="00724DB5"/>
    <w:rsid w:val="00727B01"/>
    <w:rsid w:val="00731AA4"/>
    <w:rsid w:val="00737B1D"/>
    <w:rsid w:val="00741F78"/>
    <w:rsid w:val="007423EE"/>
    <w:rsid w:val="00742F47"/>
    <w:rsid w:val="00743647"/>
    <w:rsid w:val="00746672"/>
    <w:rsid w:val="00747641"/>
    <w:rsid w:val="00750A44"/>
    <w:rsid w:val="00751661"/>
    <w:rsid w:val="00751AC9"/>
    <w:rsid w:val="00756CEA"/>
    <w:rsid w:val="00760F56"/>
    <w:rsid w:val="007622BB"/>
    <w:rsid w:val="00763932"/>
    <w:rsid w:val="00766E3B"/>
    <w:rsid w:val="0077175D"/>
    <w:rsid w:val="00773E92"/>
    <w:rsid w:val="0077458E"/>
    <w:rsid w:val="0077572C"/>
    <w:rsid w:val="00775E47"/>
    <w:rsid w:val="007771F6"/>
    <w:rsid w:val="00781274"/>
    <w:rsid w:val="00782419"/>
    <w:rsid w:val="0078378C"/>
    <w:rsid w:val="00784244"/>
    <w:rsid w:val="00785A5B"/>
    <w:rsid w:val="00791A1E"/>
    <w:rsid w:val="0079709B"/>
    <w:rsid w:val="00797A93"/>
    <w:rsid w:val="00797B3F"/>
    <w:rsid w:val="007A0A06"/>
    <w:rsid w:val="007A29E0"/>
    <w:rsid w:val="007A2AEC"/>
    <w:rsid w:val="007A38BF"/>
    <w:rsid w:val="007A3C95"/>
    <w:rsid w:val="007A45DF"/>
    <w:rsid w:val="007A469D"/>
    <w:rsid w:val="007A7922"/>
    <w:rsid w:val="007B1C61"/>
    <w:rsid w:val="007B260D"/>
    <w:rsid w:val="007B43A6"/>
    <w:rsid w:val="007B5528"/>
    <w:rsid w:val="007B7007"/>
    <w:rsid w:val="007C0CB5"/>
    <w:rsid w:val="007C0D3E"/>
    <w:rsid w:val="007C3ED1"/>
    <w:rsid w:val="007C54DF"/>
    <w:rsid w:val="007D067B"/>
    <w:rsid w:val="007D514A"/>
    <w:rsid w:val="007D5E66"/>
    <w:rsid w:val="007D63F9"/>
    <w:rsid w:val="007E16F8"/>
    <w:rsid w:val="007E200C"/>
    <w:rsid w:val="007E41E4"/>
    <w:rsid w:val="007E6DE3"/>
    <w:rsid w:val="007F1460"/>
    <w:rsid w:val="00801CC6"/>
    <w:rsid w:val="00803179"/>
    <w:rsid w:val="0080431D"/>
    <w:rsid w:val="008065F0"/>
    <w:rsid w:val="00806EDF"/>
    <w:rsid w:val="0081092B"/>
    <w:rsid w:val="00810C10"/>
    <w:rsid w:val="008124B5"/>
    <w:rsid w:val="0081384E"/>
    <w:rsid w:val="00815412"/>
    <w:rsid w:val="00815428"/>
    <w:rsid w:val="00817EBE"/>
    <w:rsid w:val="00820A05"/>
    <w:rsid w:val="008229DD"/>
    <w:rsid w:val="00823544"/>
    <w:rsid w:val="00825E73"/>
    <w:rsid w:val="00830EE9"/>
    <w:rsid w:val="008344A6"/>
    <w:rsid w:val="00837D41"/>
    <w:rsid w:val="0084030E"/>
    <w:rsid w:val="00843D4D"/>
    <w:rsid w:val="00844F6C"/>
    <w:rsid w:val="00851D60"/>
    <w:rsid w:val="00852612"/>
    <w:rsid w:val="008528D5"/>
    <w:rsid w:val="00852C53"/>
    <w:rsid w:val="00854E00"/>
    <w:rsid w:val="0085642C"/>
    <w:rsid w:val="0085772C"/>
    <w:rsid w:val="008605B4"/>
    <w:rsid w:val="008616B5"/>
    <w:rsid w:val="0086316F"/>
    <w:rsid w:val="008631E2"/>
    <w:rsid w:val="00863867"/>
    <w:rsid w:val="00866AB9"/>
    <w:rsid w:val="008722F2"/>
    <w:rsid w:val="008724C4"/>
    <w:rsid w:val="00872B89"/>
    <w:rsid w:val="00874FB5"/>
    <w:rsid w:val="00886F87"/>
    <w:rsid w:val="00887325"/>
    <w:rsid w:val="008901A7"/>
    <w:rsid w:val="008907B1"/>
    <w:rsid w:val="008931BE"/>
    <w:rsid w:val="00897E0A"/>
    <w:rsid w:val="008A03A1"/>
    <w:rsid w:val="008A17B0"/>
    <w:rsid w:val="008A47A5"/>
    <w:rsid w:val="008A4B13"/>
    <w:rsid w:val="008A4E0F"/>
    <w:rsid w:val="008B1415"/>
    <w:rsid w:val="008B15B8"/>
    <w:rsid w:val="008B2775"/>
    <w:rsid w:val="008B7656"/>
    <w:rsid w:val="008C222F"/>
    <w:rsid w:val="008C324C"/>
    <w:rsid w:val="008C3492"/>
    <w:rsid w:val="008C3AF9"/>
    <w:rsid w:val="008C42D8"/>
    <w:rsid w:val="008C6AD0"/>
    <w:rsid w:val="008C7DFA"/>
    <w:rsid w:val="008D12F6"/>
    <w:rsid w:val="008D2157"/>
    <w:rsid w:val="008D2A10"/>
    <w:rsid w:val="008D35D4"/>
    <w:rsid w:val="008D3D45"/>
    <w:rsid w:val="008D5113"/>
    <w:rsid w:val="008D5DD7"/>
    <w:rsid w:val="008D7E52"/>
    <w:rsid w:val="008E5FF7"/>
    <w:rsid w:val="008E71AE"/>
    <w:rsid w:val="008F2BF2"/>
    <w:rsid w:val="008F2D00"/>
    <w:rsid w:val="008F4221"/>
    <w:rsid w:val="008F5D4F"/>
    <w:rsid w:val="008F6B7F"/>
    <w:rsid w:val="008F719E"/>
    <w:rsid w:val="009012B5"/>
    <w:rsid w:val="00903C74"/>
    <w:rsid w:val="0090572C"/>
    <w:rsid w:val="0090590A"/>
    <w:rsid w:val="0090708F"/>
    <w:rsid w:val="00907D18"/>
    <w:rsid w:val="00910059"/>
    <w:rsid w:val="009100A6"/>
    <w:rsid w:val="00910EDC"/>
    <w:rsid w:val="0091143F"/>
    <w:rsid w:val="009130B1"/>
    <w:rsid w:val="009131F1"/>
    <w:rsid w:val="00913A59"/>
    <w:rsid w:val="00915F2A"/>
    <w:rsid w:val="009201FA"/>
    <w:rsid w:val="0092020A"/>
    <w:rsid w:val="00922C8D"/>
    <w:rsid w:val="00924224"/>
    <w:rsid w:val="00925419"/>
    <w:rsid w:val="00925618"/>
    <w:rsid w:val="00932446"/>
    <w:rsid w:val="00932898"/>
    <w:rsid w:val="009354EF"/>
    <w:rsid w:val="00935A28"/>
    <w:rsid w:val="00943017"/>
    <w:rsid w:val="00944CF7"/>
    <w:rsid w:val="00946764"/>
    <w:rsid w:val="009470EB"/>
    <w:rsid w:val="00953A95"/>
    <w:rsid w:val="0095428D"/>
    <w:rsid w:val="00955032"/>
    <w:rsid w:val="00955755"/>
    <w:rsid w:val="00957251"/>
    <w:rsid w:val="00960C8D"/>
    <w:rsid w:val="00964DD2"/>
    <w:rsid w:val="00965B7A"/>
    <w:rsid w:val="00965C56"/>
    <w:rsid w:val="009731E2"/>
    <w:rsid w:val="00977A85"/>
    <w:rsid w:val="00980008"/>
    <w:rsid w:val="00981122"/>
    <w:rsid w:val="00982FFF"/>
    <w:rsid w:val="0098306E"/>
    <w:rsid w:val="0098394E"/>
    <w:rsid w:val="009860C7"/>
    <w:rsid w:val="009866F8"/>
    <w:rsid w:val="00992C7F"/>
    <w:rsid w:val="00992E82"/>
    <w:rsid w:val="0099325C"/>
    <w:rsid w:val="0099495F"/>
    <w:rsid w:val="009A02B6"/>
    <w:rsid w:val="009A0DFB"/>
    <w:rsid w:val="009A7CB4"/>
    <w:rsid w:val="009B02EF"/>
    <w:rsid w:val="009B21FE"/>
    <w:rsid w:val="009B3859"/>
    <w:rsid w:val="009B7A9F"/>
    <w:rsid w:val="009C0773"/>
    <w:rsid w:val="009C1879"/>
    <w:rsid w:val="009C32CF"/>
    <w:rsid w:val="009C3D70"/>
    <w:rsid w:val="009C6C07"/>
    <w:rsid w:val="009C7263"/>
    <w:rsid w:val="009C7389"/>
    <w:rsid w:val="009D0277"/>
    <w:rsid w:val="009D040C"/>
    <w:rsid w:val="009D04E6"/>
    <w:rsid w:val="009D0DF7"/>
    <w:rsid w:val="009E0017"/>
    <w:rsid w:val="009E1CF9"/>
    <w:rsid w:val="009E41D9"/>
    <w:rsid w:val="009E7761"/>
    <w:rsid w:val="009F130C"/>
    <w:rsid w:val="009F5119"/>
    <w:rsid w:val="009F6AA7"/>
    <w:rsid w:val="00A0037D"/>
    <w:rsid w:val="00A02700"/>
    <w:rsid w:val="00A032D4"/>
    <w:rsid w:val="00A033E4"/>
    <w:rsid w:val="00A062F4"/>
    <w:rsid w:val="00A121EA"/>
    <w:rsid w:val="00A137D6"/>
    <w:rsid w:val="00A165AA"/>
    <w:rsid w:val="00A21B28"/>
    <w:rsid w:val="00A22170"/>
    <w:rsid w:val="00A22A2D"/>
    <w:rsid w:val="00A24A0E"/>
    <w:rsid w:val="00A27003"/>
    <w:rsid w:val="00A334A4"/>
    <w:rsid w:val="00A35160"/>
    <w:rsid w:val="00A3704E"/>
    <w:rsid w:val="00A42652"/>
    <w:rsid w:val="00A43018"/>
    <w:rsid w:val="00A437FC"/>
    <w:rsid w:val="00A45FC4"/>
    <w:rsid w:val="00A463DA"/>
    <w:rsid w:val="00A469A5"/>
    <w:rsid w:val="00A50A3F"/>
    <w:rsid w:val="00A511DC"/>
    <w:rsid w:val="00A51919"/>
    <w:rsid w:val="00A5375D"/>
    <w:rsid w:val="00A5455E"/>
    <w:rsid w:val="00A54AB0"/>
    <w:rsid w:val="00A55215"/>
    <w:rsid w:val="00A577F2"/>
    <w:rsid w:val="00A6162B"/>
    <w:rsid w:val="00A61D08"/>
    <w:rsid w:val="00A628A1"/>
    <w:rsid w:val="00A63F20"/>
    <w:rsid w:val="00A658F4"/>
    <w:rsid w:val="00A67AEC"/>
    <w:rsid w:val="00A70300"/>
    <w:rsid w:val="00A708E6"/>
    <w:rsid w:val="00A72845"/>
    <w:rsid w:val="00A74FC9"/>
    <w:rsid w:val="00A77930"/>
    <w:rsid w:val="00A77AE8"/>
    <w:rsid w:val="00A839A4"/>
    <w:rsid w:val="00A864FB"/>
    <w:rsid w:val="00A868D9"/>
    <w:rsid w:val="00A87B10"/>
    <w:rsid w:val="00A90D4A"/>
    <w:rsid w:val="00A914A5"/>
    <w:rsid w:val="00A91910"/>
    <w:rsid w:val="00A9215D"/>
    <w:rsid w:val="00A92BD3"/>
    <w:rsid w:val="00A94EA0"/>
    <w:rsid w:val="00A9558B"/>
    <w:rsid w:val="00AA0813"/>
    <w:rsid w:val="00AA13B7"/>
    <w:rsid w:val="00AA258D"/>
    <w:rsid w:val="00AA65F0"/>
    <w:rsid w:val="00AA7B5B"/>
    <w:rsid w:val="00AB73F1"/>
    <w:rsid w:val="00AB7C97"/>
    <w:rsid w:val="00AC0EA5"/>
    <w:rsid w:val="00AC3CD9"/>
    <w:rsid w:val="00AC4949"/>
    <w:rsid w:val="00AC6F74"/>
    <w:rsid w:val="00AD0574"/>
    <w:rsid w:val="00AD192F"/>
    <w:rsid w:val="00AD2371"/>
    <w:rsid w:val="00AD2467"/>
    <w:rsid w:val="00AD37FA"/>
    <w:rsid w:val="00AD5568"/>
    <w:rsid w:val="00AD583C"/>
    <w:rsid w:val="00AE158D"/>
    <w:rsid w:val="00AE387F"/>
    <w:rsid w:val="00AE3F8D"/>
    <w:rsid w:val="00AE4B5E"/>
    <w:rsid w:val="00AE55E8"/>
    <w:rsid w:val="00AE5AB5"/>
    <w:rsid w:val="00AF09F4"/>
    <w:rsid w:val="00AF1631"/>
    <w:rsid w:val="00AF4B15"/>
    <w:rsid w:val="00AF67EF"/>
    <w:rsid w:val="00AF7E0B"/>
    <w:rsid w:val="00B012AD"/>
    <w:rsid w:val="00B016ED"/>
    <w:rsid w:val="00B0262A"/>
    <w:rsid w:val="00B04AB1"/>
    <w:rsid w:val="00B04EEC"/>
    <w:rsid w:val="00B05A8B"/>
    <w:rsid w:val="00B06624"/>
    <w:rsid w:val="00B12DD1"/>
    <w:rsid w:val="00B15958"/>
    <w:rsid w:val="00B16374"/>
    <w:rsid w:val="00B204E2"/>
    <w:rsid w:val="00B20B5E"/>
    <w:rsid w:val="00B21BD3"/>
    <w:rsid w:val="00B22646"/>
    <w:rsid w:val="00B23CA9"/>
    <w:rsid w:val="00B2486D"/>
    <w:rsid w:val="00B260D2"/>
    <w:rsid w:val="00B268A6"/>
    <w:rsid w:val="00B271E3"/>
    <w:rsid w:val="00B301F5"/>
    <w:rsid w:val="00B31375"/>
    <w:rsid w:val="00B33803"/>
    <w:rsid w:val="00B3426E"/>
    <w:rsid w:val="00B343F1"/>
    <w:rsid w:val="00B353D4"/>
    <w:rsid w:val="00B354F0"/>
    <w:rsid w:val="00B37E24"/>
    <w:rsid w:val="00B40AE8"/>
    <w:rsid w:val="00B42552"/>
    <w:rsid w:val="00B42BB5"/>
    <w:rsid w:val="00B5065A"/>
    <w:rsid w:val="00B53F5A"/>
    <w:rsid w:val="00B61B9F"/>
    <w:rsid w:val="00B62AEB"/>
    <w:rsid w:val="00B65A23"/>
    <w:rsid w:val="00B71018"/>
    <w:rsid w:val="00B72A73"/>
    <w:rsid w:val="00B74E64"/>
    <w:rsid w:val="00B7529A"/>
    <w:rsid w:val="00B848F7"/>
    <w:rsid w:val="00B93D8C"/>
    <w:rsid w:val="00B93E95"/>
    <w:rsid w:val="00B95AD2"/>
    <w:rsid w:val="00B97EDC"/>
    <w:rsid w:val="00BA0719"/>
    <w:rsid w:val="00BA0DD1"/>
    <w:rsid w:val="00BA432E"/>
    <w:rsid w:val="00BA56DF"/>
    <w:rsid w:val="00BA5A77"/>
    <w:rsid w:val="00BA7AFA"/>
    <w:rsid w:val="00BB4986"/>
    <w:rsid w:val="00BB4FDD"/>
    <w:rsid w:val="00BB7EA0"/>
    <w:rsid w:val="00BD6BB1"/>
    <w:rsid w:val="00BD790C"/>
    <w:rsid w:val="00BD7AAE"/>
    <w:rsid w:val="00BE185F"/>
    <w:rsid w:val="00BE32EE"/>
    <w:rsid w:val="00BE3ED5"/>
    <w:rsid w:val="00BF11CB"/>
    <w:rsid w:val="00BF12A8"/>
    <w:rsid w:val="00BF7DE5"/>
    <w:rsid w:val="00C02899"/>
    <w:rsid w:val="00C02D93"/>
    <w:rsid w:val="00C0315C"/>
    <w:rsid w:val="00C035CE"/>
    <w:rsid w:val="00C038AD"/>
    <w:rsid w:val="00C03C2A"/>
    <w:rsid w:val="00C03E31"/>
    <w:rsid w:val="00C04D53"/>
    <w:rsid w:val="00C0504A"/>
    <w:rsid w:val="00C0636B"/>
    <w:rsid w:val="00C06400"/>
    <w:rsid w:val="00C10D99"/>
    <w:rsid w:val="00C120EC"/>
    <w:rsid w:val="00C16B04"/>
    <w:rsid w:val="00C22E79"/>
    <w:rsid w:val="00C23BA9"/>
    <w:rsid w:val="00C25A84"/>
    <w:rsid w:val="00C3081D"/>
    <w:rsid w:val="00C329C4"/>
    <w:rsid w:val="00C37333"/>
    <w:rsid w:val="00C4066F"/>
    <w:rsid w:val="00C425B4"/>
    <w:rsid w:val="00C4482C"/>
    <w:rsid w:val="00C467F1"/>
    <w:rsid w:val="00C50AE4"/>
    <w:rsid w:val="00C52595"/>
    <w:rsid w:val="00C537E6"/>
    <w:rsid w:val="00C56EC2"/>
    <w:rsid w:val="00C606FE"/>
    <w:rsid w:val="00C60749"/>
    <w:rsid w:val="00C60FCD"/>
    <w:rsid w:val="00C616AD"/>
    <w:rsid w:val="00C65604"/>
    <w:rsid w:val="00C66467"/>
    <w:rsid w:val="00C705AE"/>
    <w:rsid w:val="00C70C8F"/>
    <w:rsid w:val="00C70D46"/>
    <w:rsid w:val="00C76787"/>
    <w:rsid w:val="00C773EF"/>
    <w:rsid w:val="00C815B6"/>
    <w:rsid w:val="00C85C3B"/>
    <w:rsid w:val="00C85FA3"/>
    <w:rsid w:val="00C87501"/>
    <w:rsid w:val="00C87B15"/>
    <w:rsid w:val="00C976F0"/>
    <w:rsid w:val="00C97C07"/>
    <w:rsid w:val="00CA18E7"/>
    <w:rsid w:val="00CA37A2"/>
    <w:rsid w:val="00CA7F5E"/>
    <w:rsid w:val="00CB16A4"/>
    <w:rsid w:val="00CB1BBE"/>
    <w:rsid w:val="00CB1E86"/>
    <w:rsid w:val="00CB20C3"/>
    <w:rsid w:val="00CB28EC"/>
    <w:rsid w:val="00CB2D77"/>
    <w:rsid w:val="00CB40D4"/>
    <w:rsid w:val="00CB6034"/>
    <w:rsid w:val="00CB6181"/>
    <w:rsid w:val="00CC0D31"/>
    <w:rsid w:val="00CC2BF4"/>
    <w:rsid w:val="00CC2C7A"/>
    <w:rsid w:val="00CC3DE3"/>
    <w:rsid w:val="00CC44DE"/>
    <w:rsid w:val="00CC62FF"/>
    <w:rsid w:val="00CC631E"/>
    <w:rsid w:val="00CC778F"/>
    <w:rsid w:val="00CD2356"/>
    <w:rsid w:val="00CD3B0A"/>
    <w:rsid w:val="00CD41D0"/>
    <w:rsid w:val="00CD4978"/>
    <w:rsid w:val="00CE358D"/>
    <w:rsid w:val="00CE6D3D"/>
    <w:rsid w:val="00CF4A91"/>
    <w:rsid w:val="00D0112E"/>
    <w:rsid w:val="00D018AA"/>
    <w:rsid w:val="00D01B12"/>
    <w:rsid w:val="00D02BE0"/>
    <w:rsid w:val="00D07A02"/>
    <w:rsid w:val="00D11AA3"/>
    <w:rsid w:val="00D2016F"/>
    <w:rsid w:val="00D21694"/>
    <w:rsid w:val="00D21E17"/>
    <w:rsid w:val="00D22B19"/>
    <w:rsid w:val="00D232FB"/>
    <w:rsid w:val="00D2591B"/>
    <w:rsid w:val="00D31BC5"/>
    <w:rsid w:val="00D335BD"/>
    <w:rsid w:val="00D35227"/>
    <w:rsid w:val="00D420F3"/>
    <w:rsid w:val="00D42DFD"/>
    <w:rsid w:val="00D43382"/>
    <w:rsid w:val="00D47FBC"/>
    <w:rsid w:val="00D54706"/>
    <w:rsid w:val="00D62714"/>
    <w:rsid w:val="00D6292F"/>
    <w:rsid w:val="00D633BE"/>
    <w:rsid w:val="00D63A53"/>
    <w:rsid w:val="00D6731A"/>
    <w:rsid w:val="00D67E7D"/>
    <w:rsid w:val="00D70B5C"/>
    <w:rsid w:val="00D728A1"/>
    <w:rsid w:val="00D76ABD"/>
    <w:rsid w:val="00D80D6F"/>
    <w:rsid w:val="00D82EBB"/>
    <w:rsid w:val="00D8644A"/>
    <w:rsid w:val="00D87D03"/>
    <w:rsid w:val="00D90ABE"/>
    <w:rsid w:val="00D90BD0"/>
    <w:rsid w:val="00D910AF"/>
    <w:rsid w:val="00D9213F"/>
    <w:rsid w:val="00D92F97"/>
    <w:rsid w:val="00D947E9"/>
    <w:rsid w:val="00D97D4A"/>
    <w:rsid w:val="00DA0820"/>
    <w:rsid w:val="00DB2A32"/>
    <w:rsid w:val="00DC1E43"/>
    <w:rsid w:val="00DC6197"/>
    <w:rsid w:val="00DD084D"/>
    <w:rsid w:val="00DD0DE9"/>
    <w:rsid w:val="00DD3268"/>
    <w:rsid w:val="00DE059A"/>
    <w:rsid w:val="00DE10FC"/>
    <w:rsid w:val="00DE12C3"/>
    <w:rsid w:val="00DE1F61"/>
    <w:rsid w:val="00DE4E5A"/>
    <w:rsid w:val="00DE5DBC"/>
    <w:rsid w:val="00DE6C44"/>
    <w:rsid w:val="00DF20C5"/>
    <w:rsid w:val="00DF408A"/>
    <w:rsid w:val="00DF42AD"/>
    <w:rsid w:val="00E01654"/>
    <w:rsid w:val="00E02219"/>
    <w:rsid w:val="00E02745"/>
    <w:rsid w:val="00E04D95"/>
    <w:rsid w:val="00E11646"/>
    <w:rsid w:val="00E143A2"/>
    <w:rsid w:val="00E15B5E"/>
    <w:rsid w:val="00E1665E"/>
    <w:rsid w:val="00E20D7B"/>
    <w:rsid w:val="00E22DA3"/>
    <w:rsid w:val="00E24B73"/>
    <w:rsid w:val="00E2512B"/>
    <w:rsid w:val="00E269CC"/>
    <w:rsid w:val="00E26E50"/>
    <w:rsid w:val="00E30332"/>
    <w:rsid w:val="00E3142E"/>
    <w:rsid w:val="00E32154"/>
    <w:rsid w:val="00E322CB"/>
    <w:rsid w:val="00E33509"/>
    <w:rsid w:val="00E3354B"/>
    <w:rsid w:val="00E37422"/>
    <w:rsid w:val="00E40787"/>
    <w:rsid w:val="00E4301C"/>
    <w:rsid w:val="00E44D2C"/>
    <w:rsid w:val="00E47826"/>
    <w:rsid w:val="00E504A1"/>
    <w:rsid w:val="00E51530"/>
    <w:rsid w:val="00E551EA"/>
    <w:rsid w:val="00E62F80"/>
    <w:rsid w:val="00E657E3"/>
    <w:rsid w:val="00E6607F"/>
    <w:rsid w:val="00E74568"/>
    <w:rsid w:val="00E74AFB"/>
    <w:rsid w:val="00E82E53"/>
    <w:rsid w:val="00E84485"/>
    <w:rsid w:val="00E85B79"/>
    <w:rsid w:val="00E85DD5"/>
    <w:rsid w:val="00E86053"/>
    <w:rsid w:val="00E87134"/>
    <w:rsid w:val="00E87969"/>
    <w:rsid w:val="00E90D86"/>
    <w:rsid w:val="00E92BA8"/>
    <w:rsid w:val="00E95591"/>
    <w:rsid w:val="00E967CC"/>
    <w:rsid w:val="00EA016C"/>
    <w:rsid w:val="00EA138F"/>
    <w:rsid w:val="00EA1CB4"/>
    <w:rsid w:val="00EA3BD4"/>
    <w:rsid w:val="00EA468A"/>
    <w:rsid w:val="00EA7BB2"/>
    <w:rsid w:val="00EA7BC5"/>
    <w:rsid w:val="00EB0C82"/>
    <w:rsid w:val="00EB2F31"/>
    <w:rsid w:val="00EB4461"/>
    <w:rsid w:val="00EB53A8"/>
    <w:rsid w:val="00EB60FB"/>
    <w:rsid w:val="00EB7827"/>
    <w:rsid w:val="00EB7FD1"/>
    <w:rsid w:val="00EC1053"/>
    <w:rsid w:val="00EC1578"/>
    <w:rsid w:val="00ED0DD7"/>
    <w:rsid w:val="00ED184A"/>
    <w:rsid w:val="00ED2BC8"/>
    <w:rsid w:val="00ED741F"/>
    <w:rsid w:val="00ED7D54"/>
    <w:rsid w:val="00ED7F06"/>
    <w:rsid w:val="00EE0354"/>
    <w:rsid w:val="00EE0492"/>
    <w:rsid w:val="00EE185B"/>
    <w:rsid w:val="00EE26FF"/>
    <w:rsid w:val="00EE2901"/>
    <w:rsid w:val="00EE2B13"/>
    <w:rsid w:val="00EE485C"/>
    <w:rsid w:val="00EE5AFD"/>
    <w:rsid w:val="00EF04BE"/>
    <w:rsid w:val="00EF1239"/>
    <w:rsid w:val="00EF12A6"/>
    <w:rsid w:val="00EF22E3"/>
    <w:rsid w:val="00EF6706"/>
    <w:rsid w:val="00F00865"/>
    <w:rsid w:val="00F0506C"/>
    <w:rsid w:val="00F076EB"/>
    <w:rsid w:val="00F07B94"/>
    <w:rsid w:val="00F10C0A"/>
    <w:rsid w:val="00F1151C"/>
    <w:rsid w:val="00F11D8F"/>
    <w:rsid w:val="00F12678"/>
    <w:rsid w:val="00F149FF"/>
    <w:rsid w:val="00F1526A"/>
    <w:rsid w:val="00F169BB"/>
    <w:rsid w:val="00F16AC9"/>
    <w:rsid w:val="00F21383"/>
    <w:rsid w:val="00F22412"/>
    <w:rsid w:val="00F22D99"/>
    <w:rsid w:val="00F263D1"/>
    <w:rsid w:val="00F301B0"/>
    <w:rsid w:val="00F313A2"/>
    <w:rsid w:val="00F31AA8"/>
    <w:rsid w:val="00F32940"/>
    <w:rsid w:val="00F32FE3"/>
    <w:rsid w:val="00F34E9A"/>
    <w:rsid w:val="00F37142"/>
    <w:rsid w:val="00F40319"/>
    <w:rsid w:val="00F418AA"/>
    <w:rsid w:val="00F42856"/>
    <w:rsid w:val="00F42FA3"/>
    <w:rsid w:val="00F43AA7"/>
    <w:rsid w:val="00F44713"/>
    <w:rsid w:val="00F473DD"/>
    <w:rsid w:val="00F475B7"/>
    <w:rsid w:val="00F50ECF"/>
    <w:rsid w:val="00F52ED6"/>
    <w:rsid w:val="00F5750F"/>
    <w:rsid w:val="00F576A3"/>
    <w:rsid w:val="00F62D54"/>
    <w:rsid w:val="00F65A82"/>
    <w:rsid w:val="00F67001"/>
    <w:rsid w:val="00F670AC"/>
    <w:rsid w:val="00F6762D"/>
    <w:rsid w:val="00F70ED8"/>
    <w:rsid w:val="00F73023"/>
    <w:rsid w:val="00F75666"/>
    <w:rsid w:val="00F8161B"/>
    <w:rsid w:val="00F83473"/>
    <w:rsid w:val="00F8689D"/>
    <w:rsid w:val="00F906FC"/>
    <w:rsid w:val="00F91F7D"/>
    <w:rsid w:val="00F94FD6"/>
    <w:rsid w:val="00F952D6"/>
    <w:rsid w:val="00F963E2"/>
    <w:rsid w:val="00F9653F"/>
    <w:rsid w:val="00F96BB4"/>
    <w:rsid w:val="00F973C6"/>
    <w:rsid w:val="00FA032E"/>
    <w:rsid w:val="00FA4623"/>
    <w:rsid w:val="00FA4F8F"/>
    <w:rsid w:val="00FA5302"/>
    <w:rsid w:val="00FA693E"/>
    <w:rsid w:val="00FB2C82"/>
    <w:rsid w:val="00FB30CA"/>
    <w:rsid w:val="00FB377E"/>
    <w:rsid w:val="00FB45DB"/>
    <w:rsid w:val="00FC5548"/>
    <w:rsid w:val="00FD02DD"/>
    <w:rsid w:val="00FD25ED"/>
    <w:rsid w:val="00FD2A82"/>
    <w:rsid w:val="00FD5A37"/>
    <w:rsid w:val="00FD6EC0"/>
    <w:rsid w:val="00FD77DC"/>
    <w:rsid w:val="00FE19BB"/>
    <w:rsid w:val="00FE1C4F"/>
    <w:rsid w:val="00FE4ABE"/>
    <w:rsid w:val="00FE6236"/>
    <w:rsid w:val="00FF092E"/>
    <w:rsid w:val="00FF1916"/>
    <w:rsid w:val="00FF52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B1DC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5">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emiHidden/>
    <w:rsid w:val="00B40AE8"/>
    <w:rPr>
      <w:rFonts w:eastAsiaTheme="minorEastAsia"/>
      <w:sz w:val="24"/>
    </w:rPr>
  </w:style>
  <w:style w:type="paragraph" w:styleId="Nagwek1">
    <w:name w:val="heading 1"/>
    <w:basedOn w:val="Normalny"/>
    <w:next w:val="Normalny"/>
    <w:link w:val="Nagwek1Znak"/>
    <w:uiPriority w:val="99"/>
    <w:semiHidden/>
    <w:rsid w:val="00B40AE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40AE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40AE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40AE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40AE8"/>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B40AE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40AE8"/>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B40AE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40AE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40AE8"/>
    <w:rPr>
      <w:rFonts w:ascii="Tahoma" w:hAnsi="Tahoma" w:cs="Tahoma"/>
      <w:sz w:val="16"/>
      <w:szCs w:val="16"/>
    </w:rPr>
  </w:style>
  <w:style w:type="character" w:customStyle="1" w:styleId="TekstdymkaZnak">
    <w:name w:val="Tekst dymka Znak"/>
    <w:basedOn w:val="Domylnaczcionkaakapitu"/>
    <w:link w:val="Tekstdymka"/>
    <w:uiPriority w:val="99"/>
    <w:semiHidden/>
    <w:rsid w:val="00B40AE8"/>
    <w:rPr>
      <w:rFonts w:ascii="Tahoma" w:eastAsiaTheme="minorEastAsia" w:hAnsi="Tahoma" w:cs="Tahoma"/>
      <w:sz w:val="16"/>
      <w:szCs w:val="16"/>
      <w:lang w:val="pl-PL"/>
    </w:rPr>
  </w:style>
  <w:style w:type="character" w:styleId="Tytuksiki">
    <w:name w:val="Book Title"/>
    <w:uiPriority w:val="99"/>
    <w:semiHidden/>
    <w:qFormat/>
    <w:rsid w:val="00B40AE8"/>
    <w:rPr>
      <w:i/>
      <w:iCs/>
      <w:smallCaps/>
      <w:spacing w:val="5"/>
    </w:rPr>
  </w:style>
  <w:style w:type="paragraph" w:customStyle="1" w:styleId="JuHeader">
    <w:name w:val="Ju_Header"/>
    <w:aliases w:val="_Header"/>
    <w:basedOn w:val="Nagwek"/>
    <w:uiPriority w:val="29"/>
    <w:qFormat/>
    <w:rsid w:val="00B40AE8"/>
    <w:pPr>
      <w:tabs>
        <w:tab w:val="clear" w:pos="4536"/>
        <w:tab w:val="clear" w:pos="9072"/>
        <w:tab w:val="center" w:pos="3686"/>
        <w:tab w:val="right" w:pos="7371"/>
      </w:tabs>
    </w:pPr>
    <w:rPr>
      <w:sz w:val="18"/>
    </w:rPr>
  </w:style>
  <w:style w:type="paragraph" w:customStyle="1" w:styleId="ECHRFooter">
    <w:name w:val="ECHR_Footer"/>
    <w:aliases w:val="Footer_ECHR"/>
    <w:basedOn w:val="Stopka"/>
    <w:uiPriority w:val="57"/>
    <w:semiHidden/>
    <w:rsid w:val="00071476"/>
    <w:rPr>
      <w:sz w:val="8"/>
    </w:rPr>
  </w:style>
  <w:style w:type="character" w:styleId="Pogrubienie">
    <w:name w:val="Strong"/>
    <w:uiPriority w:val="99"/>
    <w:semiHidden/>
    <w:qFormat/>
    <w:rsid w:val="00B40AE8"/>
    <w:rPr>
      <w:b/>
      <w:bCs/>
    </w:rPr>
  </w:style>
  <w:style w:type="paragraph" w:styleId="Bezodstpw">
    <w:name w:val="No Spacing"/>
    <w:basedOn w:val="Normalny"/>
    <w:link w:val="BezodstpwZnak"/>
    <w:semiHidden/>
    <w:qFormat/>
    <w:rsid w:val="00B40AE8"/>
  </w:style>
  <w:style w:type="character" w:customStyle="1" w:styleId="BezodstpwZnak">
    <w:name w:val="Bez odstępów Znak"/>
    <w:basedOn w:val="Domylnaczcionkaakapitu"/>
    <w:link w:val="Bezodstpw"/>
    <w:semiHidden/>
    <w:rsid w:val="00B40AE8"/>
    <w:rPr>
      <w:rFonts w:eastAsiaTheme="minorEastAsia"/>
      <w:sz w:val="24"/>
      <w:lang w:val="pl-PL"/>
    </w:rPr>
  </w:style>
  <w:style w:type="paragraph" w:customStyle="1" w:styleId="FooterLine">
    <w:name w:val="_Footer_Line"/>
    <w:aliases w:val="Footer_Line"/>
    <w:basedOn w:val="Normalny"/>
    <w:next w:val="Footer"/>
    <w:uiPriority w:val="57"/>
    <w:semiHidden/>
    <w:rsid w:val="00B40AE8"/>
    <w:pPr>
      <w:pBdr>
        <w:top w:val="single" w:sz="6" w:space="1" w:color="5F5F5F"/>
      </w:pBdr>
      <w:tabs>
        <w:tab w:val="center" w:pos="4536"/>
        <w:tab w:val="right" w:pos="9696"/>
      </w:tabs>
      <w:ind w:left="-680" w:right="-680"/>
    </w:pPr>
    <w:rPr>
      <w:color w:val="5F5F5F"/>
    </w:rPr>
  </w:style>
  <w:style w:type="paragraph" w:customStyle="1" w:styleId="DecHTitle">
    <w:name w:val="Dec_H_Title"/>
    <w:aliases w:val="_Title_1"/>
    <w:basedOn w:val="JuPara"/>
    <w:next w:val="JuPara"/>
    <w:uiPriority w:val="35"/>
    <w:qFormat/>
    <w:rsid w:val="00B40AE8"/>
    <w:pPr>
      <w:keepNext/>
      <w:keepLines/>
      <w:spacing w:after="240"/>
      <w:ind w:firstLine="0"/>
      <w:jc w:val="center"/>
      <w:outlineLvl w:val="0"/>
    </w:pPr>
    <w:rPr>
      <w:rFonts w:asciiTheme="majorHAnsi" w:hAnsiTheme="majorHAnsi"/>
      <w:sz w:val="28"/>
    </w:rPr>
  </w:style>
  <w:style w:type="paragraph" w:customStyle="1" w:styleId="DecList">
    <w:name w:val="Dec_List"/>
    <w:aliases w:val="_List"/>
    <w:basedOn w:val="Normalny"/>
    <w:uiPriority w:val="22"/>
    <w:rsid w:val="00B40AE8"/>
    <w:pPr>
      <w:spacing w:before="280" w:after="60"/>
      <w:ind w:left="340"/>
    </w:pPr>
    <w:rPr>
      <w:rFonts w:eastAsiaTheme="minorHAnsi"/>
    </w:rPr>
  </w:style>
  <w:style w:type="paragraph" w:customStyle="1" w:styleId="NormalJustified">
    <w:name w:val="Normal_Justified"/>
    <w:basedOn w:val="Normalny"/>
    <w:semiHidden/>
    <w:rsid w:val="00B40AE8"/>
    <w:pPr>
      <w:jc w:val="both"/>
    </w:pPr>
  </w:style>
  <w:style w:type="paragraph" w:customStyle="1" w:styleId="JuHArticle">
    <w:name w:val="Ju_H_Article"/>
    <w:aliases w:val="_Title_Quote"/>
    <w:basedOn w:val="Normalny"/>
    <w:next w:val="JuQuot"/>
    <w:uiPriority w:val="20"/>
    <w:qFormat/>
    <w:rsid w:val="00B40AE8"/>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B40AE8"/>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B40AE8"/>
    <w:pPr>
      <w:numPr>
        <w:numId w:val="6"/>
      </w:numPr>
    </w:pPr>
  </w:style>
  <w:style w:type="paragraph" w:customStyle="1" w:styleId="JuCourt">
    <w:name w:val="Ju_Court"/>
    <w:basedOn w:val="Normalny"/>
    <w:next w:val="Normalny"/>
    <w:uiPriority w:val="31"/>
    <w:qFormat/>
    <w:rsid w:val="00B40AE8"/>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B40AE8"/>
    <w:pPr>
      <w:tabs>
        <w:tab w:val="center" w:pos="6407"/>
      </w:tabs>
      <w:spacing w:before="720"/>
      <w:jc w:val="right"/>
    </w:pPr>
  </w:style>
  <w:style w:type="paragraph" w:customStyle="1" w:styleId="DecHCase">
    <w:name w:val="Dec_H_Case"/>
    <w:aliases w:val="_Title_3"/>
    <w:basedOn w:val="JuPara"/>
    <w:next w:val="JuPara"/>
    <w:uiPriority w:val="35"/>
    <w:qFormat/>
    <w:rsid w:val="00B40AE8"/>
    <w:pPr>
      <w:keepNext/>
      <w:keepLines/>
      <w:spacing w:after="280"/>
      <w:ind w:firstLine="0"/>
      <w:jc w:val="center"/>
    </w:pPr>
    <w:rPr>
      <w:rFonts w:asciiTheme="majorHAnsi" w:hAnsiTheme="majorHAnsi"/>
    </w:rPr>
  </w:style>
  <w:style w:type="paragraph" w:customStyle="1" w:styleId="JuListi">
    <w:name w:val="Ju_List_i"/>
    <w:aliases w:val="_List_3"/>
    <w:basedOn w:val="NormalJustified"/>
    <w:uiPriority w:val="23"/>
    <w:rsid w:val="00B40AE8"/>
    <w:pPr>
      <w:numPr>
        <w:ilvl w:val="2"/>
        <w:numId w:val="2"/>
      </w:numPr>
    </w:pPr>
  </w:style>
  <w:style w:type="paragraph" w:styleId="Tytu">
    <w:name w:val="Title"/>
    <w:basedOn w:val="Normalny"/>
    <w:next w:val="Normalny"/>
    <w:link w:val="TytuZnak"/>
    <w:uiPriority w:val="99"/>
    <w:semiHidden/>
    <w:qFormat/>
    <w:rsid w:val="00B40AE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40AE8"/>
    <w:rPr>
      <w:rFonts w:asciiTheme="majorHAnsi" w:eastAsiaTheme="majorEastAsia" w:hAnsiTheme="majorHAnsi" w:cstheme="majorBidi"/>
      <w:spacing w:val="5"/>
      <w:sz w:val="52"/>
      <w:szCs w:val="52"/>
      <w:lang w:val="pl-PL" w:bidi="en-US"/>
    </w:rPr>
  </w:style>
  <w:style w:type="paragraph" w:customStyle="1" w:styleId="JuH1">
    <w:name w:val="Ju_H_1."/>
    <w:aliases w:val="_Head_4"/>
    <w:basedOn w:val="Normalny"/>
    <w:next w:val="JuPara"/>
    <w:uiPriority w:val="19"/>
    <w:rsid w:val="00B40AE8"/>
    <w:pPr>
      <w:keepNext/>
      <w:keepLines/>
      <w:numPr>
        <w:ilvl w:val="3"/>
        <w:numId w:val="1"/>
      </w:numPr>
      <w:spacing w:before="100" w:beforeAutospacing="1" w:after="120"/>
      <w:jc w:val="both"/>
      <w:outlineLvl w:val="3"/>
    </w:pPr>
    <w:rPr>
      <w:i/>
    </w:rPr>
  </w:style>
  <w:style w:type="paragraph" w:customStyle="1" w:styleId="JuHa0">
    <w:name w:val="Ju_H_a"/>
    <w:aliases w:val="_Head_5"/>
    <w:basedOn w:val="Normalny"/>
    <w:next w:val="JuPara"/>
    <w:uiPriority w:val="19"/>
    <w:rsid w:val="00B40AE8"/>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B40AE8"/>
    <w:pPr>
      <w:keepNext/>
      <w:keepLines/>
      <w:numPr>
        <w:ilvl w:val="5"/>
        <w:numId w:val="1"/>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B40AE8"/>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B40AE8"/>
    <w:pPr>
      <w:keepNext/>
      <w:keepLines/>
      <w:numPr>
        <w:ilvl w:val="7"/>
        <w:numId w:val="1"/>
      </w:numPr>
      <w:spacing w:before="100" w:beforeAutospacing="1" w:after="120"/>
      <w:outlineLvl w:val="7"/>
    </w:pPr>
    <w:rPr>
      <w:i/>
      <w:sz w:val="20"/>
    </w:rPr>
  </w:style>
  <w:style w:type="character" w:customStyle="1" w:styleId="JUNAMES">
    <w:name w:val="JU_NAMES"/>
    <w:uiPriority w:val="34"/>
    <w:qFormat/>
    <w:rsid w:val="00B40AE8"/>
    <w:rPr>
      <w:caps w:val="0"/>
      <w:smallCaps/>
    </w:rPr>
  </w:style>
  <w:style w:type="numbering" w:customStyle="1" w:styleId="ECHRA1StyleList">
    <w:name w:val="ECHR_A1_Style_List"/>
    <w:basedOn w:val="Bezlisty"/>
    <w:uiPriority w:val="99"/>
    <w:rsid w:val="00B40AE8"/>
    <w:pPr>
      <w:numPr>
        <w:numId w:val="7"/>
      </w:numPr>
    </w:pPr>
  </w:style>
  <w:style w:type="numbering" w:customStyle="1" w:styleId="ECHRA1StyleNumberedList">
    <w:name w:val="ECHR_A1_Style_Numbered_List"/>
    <w:basedOn w:val="Bezlisty"/>
    <w:rsid w:val="00B40AE8"/>
    <w:pPr>
      <w:numPr>
        <w:numId w:val="8"/>
      </w:numPr>
    </w:pPr>
  </w:style>
  <w:style w:type="paragraph" w:styleId="Nagwek">
    <w:name w:val="header"/>
    <w:basedOn w:val="Normalny"/>
    <w:link w:val="NagwekZnak"/>
    <w:uiPriority w:val="57"/>
    <w:semiHidden/>
    <w:rsid w:val="00B40AE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40AE8"/>
    <w:rPr>
      <w:sz w:val="24"/>
      <w:lang w:val="pl-PL"/>
    </w:rPr>
  </w:style>
  <w:style w:type="character" w:customStyle="1" w:styleId="Nagwek1Znak">
    <w:name w:val="Nagłówek 1 Znak"/>
    <w:basedOn w:val="Domylnaczcionkaakapitu"/>
    <w:link w:val="Nagwek1"/>
    <w:uiPriority w:val="99"/>
    <w:semiHidden/>
    <w:rsid w:val="00B40AE8"/>
    <w:rPr>
      <w:rFonts w:asciiTheme="majorHAnsi" w:eastAsiaTheme="majorEastAsia" w:hAnsiTheme="majorHAnsi" w:cstheme="majorBidi"/>
      <w:b/>
      <w:bCs/>
      <w:color w:val="333333"/>
      <w:sz w:val="28"/>
      <w:szCs w:val="28"/>
      <w:lang w:val="pl-PL"/>
    </w:rPr>
  </w:style>
  <w:style w:type="paragraph" w:customStyle="1" w:styleId="JuHIRoman">
    <w:name w:val="Ju_H_I_Roman"/>
    <w:aliases w:val="_Head_2"/>
    <w:basedOn w:val="Normalny"/>
    <w:next w:val="JuPara"/>
    <w:uiPriority w:val="19"/>
    <w:qFormat/>
    <w:rsid w:val="00B40AE8"/>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link w:val="JuHAChar"/>
    <w:uiPriority w:val="19"/>
    <w:qFormat/>
    <w:rsid w:val="00B40AE8"/>
    <w:pPr>
      <w:keepNext/>
      <w:keepLines/>
      <w:numPr>
        <w:ilvl w:val="2"/>
        <w:numId w:val="1"/>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B40AE8"/>
    <w:rPr>
      <w:rFonts w:asciiTheme="majorHAnsi" w:eastAsiaTheme="majorEastAsia" w:hAnsiTheme="majorHAnsi" w:cstheme="majorBidi"/>
      <w:b/>
      <w:bCs/>
      <w:color w:val="4D4D4D"/>
      <w:sz w:val="26"/>
      <w:szCs w:val="26"/>
      <w:lang w:val="pl-PL"/>
    </w:rPr>
  </w:style>
  <w:style w:type="paragraph" w:customStyle="1" w:styleId="JuTitle">
    <w:name w:val="Ju_Title"/>
    <w:aliases w:val="_Title_2"/>
    <w:basedOn w:val="Normalny"/>
    <w:next w:val="JuPara"/>
    <w:uiPriority w:val="35"/>
    <w:qFormat/>
    <w:rsid w:val="00B40AE8"/>
    <w:pPr>
      <w:keepNext/>
      <w:keepLines/>
      <w:spacing w:before="1320" w:after="280"/>
      <w:contextualSpacing/>
      <w:jc w:val="center"/>
    </w:pPr>
    <w:rPr>
      <w:rFonts w:eastAsiaTheme="minorHAnsi"/>
      <w:b/>
    </w:rPr>
  </w:style>
  <w:style w:type="paragraph" w:customStyle="1" w:styleId="JuCase">
    <w:name w:val="Ju_Case"/>
    <w:basedOn w:val="Normalny"/>
    <w:next w:val="JuPara"/>
    <w:link w:val="JuCaseChar"/>
    <w:uiPriority w:val="31"/>
    <w:rsid w:val="00B40AE8"/>
    <w:pPr>
      <w:ind w:firstLine="284"/>
    </w:pPr>
    <w:rPr>
      <w:b/>
    </w:rPr>
  </w:style>
  <w:style w:type="character" w:customStyle="1" w:styleId="Nagwek3Znak">
    <w:name w:val="Nagłówek 3 Znak"/>
    <w:basedOn w:val="Domylnaczcionkaakapitu"/>
    <w:link w:val="Nagwek3"/>
    <w:uiPriority w:val="99"/>
    <w:semiHidden/>
    <w:rsid w:val="00B40AE8"/>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B40AE8"/>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B40AE8"/>
    <w:rPr>
      <w:rFonts w:asciiTheme="majorHAnsi" w:eastAsiaTheme="majorEastAsia" w:hAnsiTheme="majorHAnsi" w:cstheme="majorBidi"/>
      <w:b/>
      <w:bCs/>
      <w:color w:val="808080"/>
      <w:sz w:val="24"/>
      <w:lang w:val="pl-PL"/>
    </w:rPr>
  </w:style>
  <w:style w:type="character" w:styleId="Wyrnieniedelikatne">
    <w:name w:val="Subtle Emphasis"/>
    <w:uiPriority w:val="99"/>
    <w:semiHidden/>
    <w:qFormat/>
    <w:rsid w:val="00B40AE8"/>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B40AE8"/>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9"/>
    <w:qFormat/>
    <w:rsid w:val="00B40AE8"/>
    <w:pPr>
      <w:keepNext/>
      <w:keepLines/>
      <w:numPr>
        <w:numId w:val="1"/>
      </w:numPr>
      <w:spacing w:before="100" w:beforeAutospacing="1" w:after="240"/>
      <w:jc w:val="both"/>
      <w:outlineLvl w:val="0"/>
    </w:pPr>
    <w:rPr>
      <w:caps/>
      <w:sz w:val="28"/>
    </w:rPr>
  </w:style>
  <w:style w:type="character" w:styleId="Uwydatnienie">
    <w:name w:val="Emphasis"/>
    <w:uiPriority w:val="99"/>
    <w:semiHidden/>
    <w:qFormat/>
    <w:rsid w:val="00B40AE8"/>
    <w:rPr>
      <w:b/>
      <w:bCs/>
      <w:i/>
      <w:iCs/>
      <w:spacing w:val="10"/>
      <w:bdr w:val="none" w:sz="0" w:space="0" w:color="auto"/>
      <w:shd w:val="clear" w:color="auto" w:fill="auto"/>
    </w:rPr>
  </w:style>
  <w:style w:type="paragraph" w:styleId="Stopka">
    <w:name w:val="footer"/>
    <w:basedOn w:val="Normalny"/>
    <w:link w:val="StopkaZnak"/>
    <w:uiPriority w:val="57"/>
    <w:semiHidden/>
    <w:rsid w:val="00B40AE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40AE8"/>
    <w:rPr>
      <w:sz w:val="24"/>
      <w:lang w:val="pl-PL"/>
    </w:rPr>
  </w:style>
  <w:style w:type="character" w:styleId="Odwoanieprzypisudolnego">
    <w:name w:val="footnote reference"/>
    <w:basedOn w:val="Domylnaczcionkaakapitu"/>
    <w:uiPriority w:val="99"/>
    <w:semiHidden/>
    <w:rsid w:val="00B40AE8"/>
    <w:rPr>
      <w:vertAlign w:val="superscript"/>
    </w:rPr>
  </w:style>
  <w:style w:type="paragraph" w:styleId="Tekstprzypisudolnego">
    <w:name w:val="footnote text"/>
    <w:basedOn w:val="Normalny"/>
    <w:link w:val="TekstprzypisudolnegoZnak"/>
    <w:uiPriority w:val="99"/>
    <w:semiHidden/>
    <w:rsid w:val="00B40AE8"/>
    <w:rPr>
      <w:sz w:val="20"/>
      <w:szCs w:val="20"/>
    </w:rPr>
  </w:style>
  <w:style w:type="character" w:customStyle="1" w:styleId="TekstprzypisudolnegoZnak">
    <w:name w:val="Tekst przypisu dolnego Znak"/>
    <w:basedOn w:val="Domylnaczcionkaakapitu"/>
    <w:link w:val="Tekstprzypisudolnego"/>
    <w:uiPriority w:val="99"/>
    <w:semiHidden/>
    <w:rsid w:val="00B40AE8"/>
    <w:rPr>
      <w:rFonts w:eastAsiaTheme="minorEastAsia"/>
      <w:sz w:val="20"/>
      <w:szCs w:val="20"/>
      <w:lang w:val="pl-PL"/>
    </w:rPr>
  </w:style>
  <w:style w:type="character" w:customStyle="1" w:styleId="Nagwek6Znak">
    <w:name w:val="Nagłówek 6 Znak"/>
    <w:basedOn w:val="Domylnaczcionkaakapitu"/>
    <w:link w:val="Nagwek6"/>
    <w:uiPriority w:val="99"/>
    <w:semiHidden/>
    <w:rsid w:val="00B40AE8"/>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B40AE8"/>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B40AE8"/>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B40AE8"/>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B40AE8"/>
    <w:rPr>
      <w:color w:val="0072BC" w:themeColor="hyperlink"/>
      <w:u w:val="single"/>
    </w:rPr>
  </w:style>
  <w:style w:type="character" w:styleId="Wyrnienieintensywne">
    <w:name w:val="Intense Emphasis"/>
    <w:uiPriority w:val="99"/>
    <w:semiHidden/>
    <w:qFormat/>
    <w:rsid w:val="00B40AE8"/>
    <w:rPr>
      <w:b/>
      <w:bCs/>
    </w:rPr>
  </w:style>
  <w:style w:type="paragraph" w:styleId="Cytatintensywny">
    <w:name w:val="Intense Quote"/>
    <w:basedOn w:val="Normalny"/>
    <w:next w:val="Normalny"/>
    <w:link w:val="CytatintensywnyZnak"/>
    <w:uiPriority w:val="99"/>
    <w:semiHidden/>
    <w:qFormat/>
    <w:rsid w:val="00B40AE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B40AE8"/>
    <w:rPr>
      <w:rFonts w:eastAsiaTheme="minorEastAsia"/>
      <w:b/>
      <w:bCs/>
      <w:i/>
      <w:iCs/>
      <w:sz w:val="24"/>
      <w:lang w:val="pl-PL" w:bidi="en-US"/>
    </w:rPr>
  </w:style>
  <w:style w:type="character" w:styleId="Odwoanieintensywne">
    <w:name w:val="Intense Reference"/>
    <w:uiPriority w:val="99"/>
    <w:semiHidden/>
    <w:qFormat/>
    <w:rsid w:val="00B40AE8"/>
    <w:rPr>
      <w:smallCaps/>
      <w:spacing w:val="5"/>
      <w:u w:val="single"/>
    </w:rPr>
  </w:style>
  <w:style w:type="paragraph" w:styleId="Akapitzlist">
    <w:name w:val="List Paragraph"/>
    <w:basedOn w:val="Normalny"/>
    <w:uiPriority w:val="99"/>
    <w:semiHidden/>
    <w:qFormat/>
    <w:rsid w:val="00B40AE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40AE8"/>
    <w:pPr>
      <w:spacing w:before="200"/>
      <w:ind w:left="360" w:right="360"/>
    </w:pPr>
    <w:rPr>
      <w:i/>
      <w:iCs/>
      <w:lang w:bidi="en-US"/>
    </w:rPr>
  </w:style>
  <w:style w:type="character" w:customStyle="1" w:styleId="CytatZnak">
    <w:name w:val="Cytat Znak"/>
    <w:basedOn w:val="Domylnaczcionkaakapitu"/>
    <w:link w:val="Cytat"/>
    <w:uiPriority w:val="99"/>
    <w:semiHidden/>
    <w:rsid w:val="00B40AE8"/>
    <w:rPr>
      <w:rFonts w:eastAsiaTheme="minorEastAsia"/>
      <w:i/>
      <w:iCs/>
      <w:sz w:val="24"/>
      <w:lang w:val="pl-PL" w:bidi="en-US"/>
    </w:rPr>
  </w:style>
  <w:style w:type="character" w:styleId="Odwoaniedelikatne">
    <w:name w:val="Subtle Reference"/>
    <w:uiPriority w:val="99"/>
    <w:semiHidden/>
    <w:qFormat/>
    <w:rsid w:val="00B40AE8"/>
    <w:rPr>
      <w:smallCaps/>
    </w:rPr>
  </w:style>
  <w:style w:type="table" w:styleId="Tabela-Siatka">
    <w:name w:val="Table Grid"/>
    <w:basedOn w:val="Standardowy"/>
    <w:uiPriority w:val="59"/>
    <w:semiHidden/>
    <w:rsid w:val="00B40AE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40AE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40AE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40AE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40AE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40AE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40AE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B40AE8"/>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B40AE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B40AE8"/>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40AE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link w:val="JuQuotChar"/>
    <w:uiPriority w:val="21"/>
    <w:qFormat/>
    <w:rsid w:val="00B40AE8"/>
    <w:pPr>
      <w:spacing w:before="120" w:after="120"/>
      <w:ind w:left="425" w:firstLine="142"/>
    </w:pPr>
    <w:rPr>
      <w:sz w:val="20"/>
    </w:rPr>
  </w:style>
  <w:style w:type="paragraph" w:customStyle="1" w:styleId="JuPara">
    <w:name w:val="Ju_Para"/>
    <w:aliases w:val="_Para"/>
    <w:basedOn w:val="NormalJustified"/>
    <w:link w:val="ECHRParaChar"/>
    <w:uiPriority w:val="8"/>
    <w:qFormat/>
    <w:rsid w:val="00B40AE8"/>
    <w:pPr>
      <w:ind w:firstLine="284"/>
    </w:pPr>
  </w:style>
  <w:style w:type="table" w:customStyle="1" w:styleId="ECHRTableSimpleBox">
    <w:name w:val="ECHR_Table_Simple_Box"/>
    <w:basedOn w:val="Standardowy"/>
    <w:uiPriority w:val="99"/>
    <w:rsid w:val="00B40AE8"/>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B40AE8"/>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B40AE8"/>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7147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B40AE8"/>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ny"/>
    <w:uiPriority w:val="31"/>
    <w:qFormat/>
    <w:rsid w:val="00B40AE8"/>
    <w:pPr>
      <w:tabs>
        <w:tab w:val="left" w:pos="567"/>
        <w:tab w:val="left" w:pos="1134"/>
      </w:tabs>
    </w:pPr>
  </w:style>
  <w:style w:type="table" w:customStyle="1" w:styleId="ECHRHeaderTableReduced">
    <w:name w:val="ECHR_Header_Table_Reduced"/>
    <w:basedOn w:val="Standardowy"/>
    <w:uiPriority w:val="99"/>
    <w:rsid w:val="00B40AE8"/>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B40AE8"/>
    <w:pPr>
      <w:numPr>
        <w:numId w:val="2"/>
      </w:numPr>
      <w:spacing w:before="280" w:after="60"/>
    </w:pPr>
    <w:rPr>
      <w:rFonts w:eastAsiaTheme="minorHAnsi"/>
    </w:rPr>
  </w:style>
  <w:style w:type="paragraph" w:customStyle="1" w:styleId="JuSigned">
    <w:name w:val="Ju_Signed"/>
    <w:aliases w:val="_Signature"/>
    <w:basedOn w:val="Normalny"/>
    <w:next w:val="JuPara"/>
    <w:uiPriority w:val="30"/>
    <w:qFormat/>
    <w:rsid w:val="00B40AE8"/>
    <w:pPr>
      <w:tabs>
        <w:tab w:val="center" w:pos="851"/>
        <w:tab w:val="center" w:pos="6407"/>
      </w:tabs>
      <w:spacing w:before="720"/>
    </w:pPr>
  </w:style>
  <w:style w:type="paragraph" w:customStyle="1" w:styleId="JuParaLast">
    <w:name w:val="Ju_Para_Last"/>
    <w:aliases w:val="_Para_Spaced"/>
    <w:basedOn w:val="NormalJustified"/>
    <w:uiPriority w:val="9"/>
    <w:qFormat/>
    <w:rsid w:val="00B40AE8"/>
    <w:pPr>
      <w:keepNext/>
      <w:keepLines/>
      <w:spacing w:before="240" w:after="240"/>
      <w:ind w:firstLine="284"/>
    </w:pPr>
    <w:rPr>
      <w:rFonts w:eastAsiaTheme="minorHAnsi"/>
    </w:rPr>
  </w:style>
  <w:style w:type="table" w:customStyle="1" w:styleId="ECHRTable2019">
    <w:name w:val="ECHR_Table_2019"/>
    <w:basedOn w:val="Standardowy"/>
    <w:uiPriority w:val="99"/>
    <w:rsid w:val="00B40AE8"/>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styleId="Numerstrony">
    <w:name w:val="page number"/>
    <w:uiPriority w:val="99"/>
    <w:semiHidden/>
    <w:rsid w:val="00B40AE8"/>
    <w:rPr>
      <w:sz w:val="18"/>
    </w:rPr>
  </w:style>
  <w:style w:type="paragraph" w:customStyle="1" w:styleId="JuLista">
    <w:name w:val="Ju_List_a"/>
    <w:aliases w:val="_List_2"/>
    <w:basedOn w:val="NormalJustified"/>
    <w:uiPriority w:val="23"/>
    <w:rsid w:val="00B40AE8"/>
    <w:pPr>
      <w:numPr>
        <w:ilvl w:val="1"/>
        <w:numId w:val="2"/>
      </w:numPr>
    </w:pPr>
  </w:style>
  <w:style w:type="paragraph" w:customStyle="1" w:styleId="Footer">
    <w:name w:val="_Footer"/>
    <w:aliases w:val="Footer_"/>
    <w:basedOn w:val="Stopka"/>
    <w:uiPriority w:val="57"/>
    <w:semiHidden/>
    <w:rsid w:val="00B40AE8"/>
    <w:rPr>
      <w:sz w:val="8"/>
    </w:rPr>
  </w:style>
  <w:style w:type="character" w:styleId="Odwoaniedokomentarza">
    <w:name w:val="annotation reference"/>
    <w:basedOn w:val="Domylnaczcionkaakapitu"/>
    <w:uiPriority w:val="99"/>
    <w:semiHidden/>
    <w:rsid w:val="00B40AE8"/>
    <w:rPr>
      <w:sz w:val="16"/>
      <w:szCs w:val="16"/>
    </w:rPr>
  </w:style>
  <w:style w:type="paragraph" w:styleId="Tekstkomentarza">
    <w:name w:val="annotation text"/>
    <w:basedOn w:val="Normalny"/>
    <w:link w:val="TekstkomentarzaZnak"/>
    <w:semiHidden/>
    <w:rsid w:val="00B40AE8"/>
    <w:rPr>
      <w:sz w:val="20"/>
      <w:szCs w:val="20"/>
    </w:rPr>
  </w:style>
  <w:style w:type="character" w:customStyle="1" w:styleId="TekstkomentarzaZnak">
    <w:name w:val="Tekst komentarza Znak"/>
    <w:basedOn w:val="Domylnaczcionkaakapitu"/>
    <w:link w:val="Tekstkomentarza"/>
    <w:semiHidden/>
    <w:rsid w:val="00B40AE8"/>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B40AE8"/>
    <w:rPr>
      <w:b/>
      <w:bCs/>
    </w:rPr>
  </w:style>
  <w:style w:type="character" w:customStyle="1" w:styleId="TematkomentarzaZnak">
    <w:name w:val="Temat komentarza Znak"/>
    <w:basedOn w:val="TekstkomentarzaZnak"/>
    <w:link w:val="Tematkomentarza"/>
    <w:uiPriority w:val="99"/>
    <w:semiHidden/>
    <w:rsid w:val="00B40AE8"/>
    <w:rPr>
      <w:rFonts w:eastAsiaTheme="minorEastAsia"/>
      <w:b/>
      <w:bCs/>
      <w:sz w:val="20"/>
      <w:szCs w:val="20"/>
      <w:lang w:val="pl-PL"/>
    </w:rPr>
  </w:style>
  <w:style w:type="character" w:styleId="Odwoanieprzypisukocowego">
    <w:name w:val="endnote reference"/>
    <w:basedOn w:val="Domylnaczcionkaakapitu"/>
    <w:uiPriority w:val="99"/>
    <w:semiHidden/>
    <w:rsid w:val="00B40AE8"/>
    <w:rPr>
      <w:vertAlign w:val="superscript"/>
    </w:rPr>
  </w:style>
  <w:style w:type="paragraph" w:styleId="Tekstprzypisukocowego">
    <w:name w:val="endnote text"/>
    <w:basedOn w:val="Normalny"/>
    <w:link w:val="TekstprzypisukocowegoZnak"/>
    <w:uiPriority w:val="99"/>
    <w:semiHidden/>
    <w:rsid w:val="00B40AE8"/>
    <w:rPr>
      <w:sz w:val="20"/>
      <w:szCs w:val="20"/>
    </w:rPr>
  </w:style>
  <w:style w:type="character" w:customStyle="1" w:styleId="TekstprzypisukocowegoZnak">
    <w:name w:val="Tekst przypisu końcowego Znak"/>
    <w:basedOn w:val="Domylnaczcionkaakapitu"/>
    <w:link w:val="Tekstprzypisukocowego"/>
    <w:uiPriority w:val="99"/>
    <w:semiHidden/>
    <w:rsid w:val="00B40AE8"/>
    <w:rPr>
      <w:rFonts w:eastAsiaTheme="minorEastAsia"/>
      <w:sz w:val="20"/>
      <w:szCs w:val="20"/>
      <w:lang w:val="pl-PL"/>
    </w:rPr>
  </w:style>
  <w:style w:type="character" w:styleId="UyteHipercze">
    <w:name w:val="FollowedHyperlink"/>
    <w:basedOn w:val="Domylnaczcionkaakapitu"/>
    <w:uiPriority w:val="99"/>
    <w:semiHidden/>
    <w:rsid w:val="00B40AE8"/>
    <w:rPr>
      <w:color w:val="7030A0" w:themeColor="followedHyperlink"/>
      <w:u w:val="single"/>
    </w:rPr>
  </w:style>
  <w:style w:type="paragraph" w:styleId="Mapadokumentu">
    <w:name w:val="Document Map"/>
    <w:basedOn w:val="Normalny"/>
    <w:link w:val="MapadokumentuZnak"/>
    <w:uiPriority w:val="99"/>
    <w:semiHidden/>
    <w:rsid w:val="00B40AE8"/>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B40AE8"/>
    <w:rPr>
      <w:rFonts w:ascii="Tahoma" w:eastAsiaTheme="minorEastAsia" w:hAnsi="Tahoma" w:cs="Tahoma"/>
      <w:sz w:val="16"/>
      <w:szCs w:val="16"/>
      <w:lang w:val="pl-PL"/>
    </w:rPr>
  </w:style>
  <w:style w:type="paragraph" w:styleId="Listapunktowana">
    <w:name w:val="List Bullet"/>
    <w:basedOn w:val="Normalny"/>
    <w:uiPriority w:val="99"/>
    <w:semiHidden/>
    <w:rsid w:val="00B40AE8"/>
    <w:pPr>
      <w:numPr>
        <w:numId w:val="9"/>
      </w:numPr>
    </w:pPr>
  </w:style>
  <w:style w:type="character" w:customStyle="1" w:styleId="JuITMark">
    <w:name w:val="Ju_ITMark"/>
    <w:basedOn w:val="Domylnaczcionkaakapitu"/>
    <w:uiPriority w:val="38"/>
    <w:qFormat/>
    <w:rsid w:val="00B40AE8"/>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B40AE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40AE8"/>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B40AE8"/>
    <w:pPr>
      <w:numPr>
        <w:numId w:val="3"/>
      </w:numPr>
    </w:pPr>
  </w:style>
  <w:style w:type="numbering" w:styleId="1ai">
    <w:name w:val="Outline List 1"/>
    <w:basedOn w:val="Bezlisty"/>
    <w:uiPriority w:val="99"/>
    <w:semiHidden/>
    <w:unhideWhenUsed/>
    <w:rsid w:val="00B40AE8"/>
    <w:pPr>
      <w:numPr>
        <w:numId w:val="4"/>
      </w:numPr>
    </w:pPr>
  </w:style>
  <w:style w:type="numbering" w:styleId="Artykusekcja">
    <w:name w:val="Outline List 3"/>
    <w:basedOn w:val="Bezlisty"/>
    <w:uiPriority w:val="99"/>
    <w:semiHidden/>
    <w:unhideWhenUsed/>
    <w:rsid w:val="00B40AE8"/>
    <w:pPr>
      <w:numPr>
        <w:numId w:val="5"/>
      </w:numPr>
    </w:pPr>
  </w:style>
  <w:style w:type="paragraph" w:styleId="Bibliografia">
    <w:name w:val="Bibliography"/>
    <w:basedOn w:val="Normalny"/>
    <w:next w:val="Normalny"/>
    <w:uiPriority w:val="99"/>
    <w:semiHidden/>
    <w:rsid w:val="00B40AE8"/>
  </w:style>
  <w:style w:type="paragraph" w:styleId="Tekstblokowy">
    <w:name w:val="Block Text"/>
    <w:basedOn w:val="Normalny"/>
    <w:uiPriority w:val="99"/>
    <w:semiHidden/>
    <w:rsid w:val="00B40AE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B40AE8"/>
    <w:pPr>
      <w:spacing w:after="120"/>
    </w:pPr>
  </w:style>
  <w:style w:type="character" w:customStyle="1" w:styleId="TekstpodstawowyZnak">
    <w:name w:val="Tekst podstawowy Znak"/>
    <w:basedOn w:val="Domylnaczcionkaakapitu"/>
    <w:link w:val="Tekstpodstawowy"/>
    <w:uiPriority w:val="99"/>
    <w:semiHidden/>
    <w:rsid w:val="00B40AE8"/>
    <w:rPr>
      <w:rFonts w:eastAsiaTheme="minorEastAsia"/>
      <w:sz w:val="24"/>
      <w:lang w:val="pl-PL"/>
    </w:rPr>
  </w:style>
  <w:style w:type="paragraph" w:styleId="Tekstpodstawowy2">
    <w:name w:val="Body Text 2"/>
    <w:basedOn w:val="Normalny"/>
    <w:link w:val="Tekstpodstawowy2Znak"/>
    <w:uiPriority w:val="99"/>
    <w:semiHidden/>
    <w:rsid w:val="00B40AE8"/>
    <w:pPr>
      <w:spacing w:after="120" w:line="480" w:lineRule="auto"/>
    </w:pPr>
  </w:style>
  <w:style w:type="character" w:customStyle="1" w:styleId="Tekstpodstawowy2Znak">
    <w:name w:val="Tekst podstawowy 2 Znak"/>
    <w:basedOn w:val="Domylnaczcionkaakapitu"/>
    <w:link w:val="Tekstpodstawowy2"/>
    <w:uiPriority w:val="99"/>
    <w:semiHidden/>
    <w:rsid w:val="00B40AE8"/>
    <w:rPr>
      <w:rFonts w:eastAsiaTheme="minorEastAsia"/>
      <w:sz w:val="24"/>
      <w:lang w:val="pl-PL"/>
    </w:rPr>
  </w:style>
  <w:style w:type="paragraph" w:styleId="Tekstpodstawowy3">
    <w:name w:val="Body Text 3"/>
    <w:basedOn w:val="Normalny"/>
    <w:link w:val="Tekstpodstawowy3Znak"/>
    <w:uiPriority w:val="99"/>
    <w:semiHidden/>
    <w:rsid w:val="00B40AE8"/>
    <w:pPr>
      <w:spacing w:after="120"/>
    </w:pPr>
    <w:rPr>
      <w:sz w:val="16"/>
      <w:szCs w:val="16"/>
    </w:rPr>
  </w:style>
  <w:style w:type="character" w:customStyle="1" w:styleId="Tekstpodstawowy3Znak">
    <w:name w:val="Tekst podstawowy 3 Znak"/>
    <w:basedOn w:val="Domylnaczcionkaakapitu"/>
    <w:link w:val="Tekstpodstawowy3"/>
    <w:uiPriority w:val="99"/>
    <w:semiHidden/>
    <w:rsid w:val="00B40AE8"/>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B40AE8"/>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B40AE8"/>
    <w:rPr>
      <w:rFonts w:eastAsiaTheme="minorEastAsia"/>
      <w:sz w:val="24"/>
      <w:lang w:val="pl-PL"/>
    </w:rPr>
  </w:style>
  <w:style w:type="paragraph" w:styleId="Tekstpodstawowywcity">
    <w:name w:val="Body Text Indent"/>
    <w:basedOn w:val="Normalny"/>
    <w:link w:val="TekstpodstawowywcityZnak"/>
    <w:uiPriority w:val="99"/>
    <w:semiHidden/>
    <w:rsid w:val="00B40AE8"/>
    <w:pPr>
      <w:spacing w:after="120"/>
      <w:ind w:left="283"/>
    </w:pPr>
  </w:style>
  <w:style w:type="character" w:customStyle="1" w:styleId="TekstpodstawowywcityZnak">
    <w:name w:val="Tekst podstawowy wcięty Znak"/>
    <w:basedOn w:val="Domylnaczcionkaakapitu"/>
    <w:link w:val="Tekstpodstawowywcity"/>
    <w:uiPriority w:val="99"/>
    <w:semiHidden/>
    <w:rsid w:val="00B40AE8"/>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B40AE8"/>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B40AE8"/>
    <w:rPr>
      <w:rFonts w:eastAsiaTheme="minorEastAsia"/>
      <w:sz w:val="24"/>
      <w:lang w:val="pl-PL"/>
    </w:rPr>
  </w:style>
  <w:style w:type="paragraph" w:styleId="Tekstpodstawowywcity2">
    <w:name w:val="Body Text Indent 2"/>
    <w:basedOn w:val="Normalny"/>
    <w:link w:val="Tekstpodstawowywcity2Znak"/>
    <w:uiPriority w:val="99"/>
    <w:semiHidden/>
    <w:rsid w:val="00B40AE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B40AE8"/>
    <w:rPr>
      <w:rFonts w:eastAsiaTheme="minorEastAsia"/>
      <w:sz w:val="24"/>
      <w:lang w:val="pl-PL"/>
    </w:rPr>
  </w:style>
  <w:style w:type="paragraph" w:styleId="Tekstpodstawowywcity3">
    <w:name w:val="Body Text Indent 3"/>
    <w:basedOn w:val="Normalny"/>
    <w:link w:val="Tekstpodstawowywcity3Znak"/>
    <w:uiPriority w:val="99"/>
    <w:semiHidden/>
    <w:rsid w:val="00B40AE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40AE8"/>
    <w:rPr>
      <w:rFonts w:eastAsiaTheme="minorEastAsia"/>
      <w:sz w:val="16"/>
      <w:szCs w:val="16"/>
      <w:lang w:val="pl-PL"/>
    </w:rPr>
  </w:style>
  <w:style w:type="paragraph" w:styleId="Legenda">
    <w:name w:val="caption"/>
    <w:basedOn w:val="Normalny"/>
    <w:next w:val="Normalny"/>
    <w:uiPriority w:val="99"/>
    <w:semiHidden/>
    <w:qFormat/>
    <w:rsid w:val="00B40AE8"/>
    <w:pPr>
      <w:spacing w:after="200"/>
    </w:pPr>
    <w:rPr>
      <w:b/>
      <w:bCs/>
      <w:color w:val="0072BC" w:themeColor="accent1"/>
      <w:sz w:val="18"/>
      <w:szCs w:val="18"/>
    </w:rPr>
  </w:style>
  <w:style w:type="paragraph" w:styleId="Zwrotpoegnalny">
    <w:name w:val="Closing"/>
    <w:basedOn w:val="Normalny"/>
    <w:link w:val="ZwrotpoegnalnyZnak"/>
    <w:uiPriority w:val="99"/>
    <w:semiHidden/>
    <w:rsid w:val="00B40AE8"/>
    <w:pPr>
      <w:ind w:left="4252"/>
    </w:pPr>
  </w:style>
  <w:style w:type="character" w:customStyle="1" w:styleId="ZwrotpoegnalnyZnak">
    <w:name w:val="Zwrot pożegnalny Znak"/>
    <w:basedOn w:val="Domylnaczcionkaakapitu"/>
    <w:link w:val="Zwrotpoegnalny"/>
    <w:uiPriority w:val="99"/>
    <w:semiHidden/>
    <w:rsid w:val="00B40AE8"/>
    <w:rPr>
      <w:rFonts w:eastAsiaTheme="minorEastAsia"/>
      <w:sz w:val="24"/>
      <w:lang w:val="pl-PL"/>
    </w:rPr>
  </w:style>
  <w:style w:type="table" w:styleId="Kolorowasiatka">
    <w:name w:val="Colorful Grid"/>
    <w:basedOn w:val="Standardowy"/>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B40AE8"/>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B40AE8"/>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B40AE8"/>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B40AE8"/>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B40AE8"/>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B40AE8"/>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B40AE8"/>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B40AE8"/>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B40AE8"/>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B40AE8"/>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B40AE8"/>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B40AE8"/>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B40AE8"/>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B40AE8"/>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B40AE8"/>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B40AE8"/>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B40AE8"/>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B40AE8"/>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B40AE8"/>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B40AE8"/>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B40AE8"/>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B40AE8"/>
  </w:style>
  <w:style w:type="character" w:customStyle="1" w:styleId="DataZnak">
    <w:name w:val="Data Znak"/>
    <w:basedOn w:val="Domylnaczcionkaakapitu"/>
    <w:link w:val="Data"/>
    <w:uiPriority w:val="99"/>
    <w:semiHidden/>
    <w:rsid w:val="00B40AE8"/>
    <w:rPr>
      <w:rFonts w:eastAsiaTheme="minorEastAsia"/>
      <w:sz w:val="24"/>
      <w:lang w:val="pl-PL"/>
    </w:rPr>
  </w:style>
  <w:style w:type="paragraph" w:styleId="Podpise-mail">
    <w:name w:val="E-mail Signature"/>
    <w:basedOn w:val="Normalny"/>
    <w:link w:val="Podpise-mailZnak"/>
    <w:uiPriority w:val="99"/>
    <w:semiHidden/>
    <w:rsid w:val="00B40AE8"/>
  </w:style>
  <w:style w:type="character" w:customStyle="1" w:styleId="Podpise-mailZnak">
    <w:name w:val="Podpis e-mail Znak"/>
    <w:basedOn w:val="Domylnaczcionkaakapitu"/>
    <w:link w:val="Podpise-mail"/>
    <w:uiPriority w:val="99"/>
    <w:semiHidden/>
    <w:rsid w:val="00B40AE8"/>
    <w:rPr>
      <w:rFonts w:eastAsiaTheme="minorEastAsia"/>
      <w:sz w:val="24"/>
      <w:lang w:val="pl-PL"/>
    </w:rPr>
  </w:style>
  <w:style w:type="paragraph" w:styleId="Adresnakopercie">
    <w:name w:val="envelope address"/>
    <w:basedOn w:val="Normalny"/>
    <w:uiPriority w:val="99"/>
    <w:semiHidden/>
    <w:rsid w:val="00B40AE8"/>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B40AE8"/>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B40AE8"/>
  </w:style>
  <w:style w:type="paragraph" w:styleId="HTML-adres">
    <w:name w:val="HTML Address"/>
    <w:basedOn w:val="Normalny"/>
    <w:link w:val="HTML-adresZnak"/>
    <w:uiPriority w:val="99"/>
    <w:semiHidden/>
    <w:rsid w:val="00B40AE8"/>
    <w:rPr>
      <w:i/>
      <w:iCs/>
    </w:rPr>
  </w:style>
  <w:style w:type="character" w:customStyle="1" w:styleId="HTML-adresZnak">
    <w:name w:val="HTML - adres Znak"/>
    <w:basedOn w:val="Domylnaczcionkaakapitu"/>
    <w:link w:val="HTML-adres"/>
    <w:uiPriority w:val="99"/>
    <w:semiHidden/>
    <w:rsid w:val="00B40AE8"/>
    <w:rPr>
      <w:rFonts w:eastAsiaTheme="minorEastAsia"/>
      <w:i/>
      <w:iCs/>
      <w:sz w:val="24"/>
      <w:lang w:val="pl-PL"/>
    </w:rPr>
  </w:style>
  <w:style w:type="character" w:styleId="HTML-cytat">
    <w:name w:val="HTML Cite"/>
    <w:basedOn w:val="Domylnaczcionkaakapitu"/>
    <w:uiPriority w:val="99"/>
    <w:semiHidden/>
    <w:rsid w:val="00B40AE8"/>
    <w:rPr>
      <w:i/>
      <w:iCs/>
    </w:rPr>
  </w:style>
  <w:style w:type="character" w:styleId="HTML-kod">
    <w:name w:val="HTML Code"/>
    <w:basedOn w:val="Domylnaczcionkaakapitu"/>
    <w:uiPriority w:val="99"/>
    <w:semiHidden/>
    <w:rsid w:val="00B40AE8"/>
    <w:rPr>
      <w:rFonts w:ascii="Consolas" w:hAnsi="Consolas" w:cs="Consolas"/>
      <w:sz w:val="20"/>
      <w:szCs w:val="20"/>
    </w:rPr>
  </w:style>
  <w:style w:type="character" w:styleId="HTML-definicja">
    <w:name w:val="HTML Definition"/>
    <w:basedOn w:val="Domylnaczcionkaakapitu"/>
    <w:uiPriority w:val="99"/>
    <w:semiHidden/>
    <w:rsid w:val="00B40AE8"/>
    <w:rPr>
      <w:i/>
      <w:iCs/>
    </w:rPr>
  </w:style>
  <w:style w:type="character" w:styleId="HTML-klawiatura">
    <w:name w:val="HTML Keyboard"/>
    <w:basedOn w:val="Domylnaczcionkaakapitu"/>
    <w:uiPriority w:val="99"/>
    <w:semiHidden/>
    <w:rsid w:val="00B40AE8"/>
    <w:rPr>
      <w:rFonts w:ascii="Consolas" w:hAnsi="Consolas" w:cs="Consolas"/>
      <w:sz w:val="20"/>
      <w:szCs w:val="20"/>
    </w:rPr>
  </w:style>
  <w:style w:type="paragraph" w:styleId="HTML-wstpniesformatowany">
    <w:name w:val="HTML Preformatted"/>
    <w:basedOn w:val="Normalny"/>
    <w:link w:val="HTML-wstpniesformatowanyZnak"/>
    <w:uiPriority w:val="99"/>
    <w:semiHidden/>
    <w:rsid w:val="00B40AE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B40AE8"/>
    <w:rPr>
      <w:rFonts w:ascii="Consolas" w:eastAsiaTheme="minorEastAsia" w:hAnsi="Consolas" w:cs="Consolas"/>
      <w:sz w:val="20"/>
      <w:szCs w:val="20"/>
      <w:lang w:val="pl-PL"/>
    </w:rPr>
  </w:style>
  <w:style w:type="character" w:styleId="HTML-przykad">
    <w:name w:val="HTML Sample"/>
    <w:basedOn w:val="Domylnaczcionkaakapitu"/>
    <w:uiPriority w:val="99"/>
    <w:semiHidden/>
    <w:rsid w:val="00B40AE8"/>
    <w:rPr>
      <w:rFonts w:ascii="Consolas" w:hAnsi="Consolas" w:cs="Consolas"/>
      <w:sz w:val="24"/>
      <w:szCs w:val="24"/>
    </w:rPr>
  </w:style>
  <w:style w:type="character" w:styleId="HTML-staaszeroko">
    <w:name w:val="HTML Typewriter"/>
    <w:basedOn w:val="Domylnaczcionkaakapitu"/>
    <w:uiPriority w:val="99"/>
    <w:semiHidden/>
    <w:rsid w:val="00B40AE8"/>
    <w:rPr>
      <w:rFonts w:ascii="Consolas" w:hAnsi="Consolas" w:cs="Consolas"/>
      <w:sz w:val="20"/>
      <w:szCs w:val="20"/>
    </w:rPr>
  </w:style>
  <w:style w:type="character" w:styleId="HTML-zmienna">
    <w:name w:val="HTML Variable"/>
    <w:basedOn w:val="Domylnaczcionkaakapitu"/>
    <w:uiPriority w:val="99"/>
    <w:semiHidden/>
    <w:rsid w:val="00B40AE8"/>
    <w:rPr>
      <w:i/>
      <w:iCs/>
    </w:rPr>
  </w:style>
  <w:style w:type="paragraph" w:styleId="Indeks1">
    <w:name w:val="index 1"/>
    <w:basedOn w:val="Normalny"/>
    <w:next w:val="Normalny"/>
    <w:autoRedefine/>
    <w:uiPriority w:val="99"/>
    <w:semiHidden/>
    <w:rsid w:val="00B40AE8"/>
    <w:pPr>
      <w:ind w:left="240" w:hanging="240"/>
    </w:pPr>
  </w:style>
  <w:style w:type="paragraph" w:styleId="Indeks2">
    <w:name w:val="index 2"/>
    <w:basedOn w:val="Normalny"/>
    <w:next w:val="Normalny"/>
    <w:autoRedefine/>
    <w:uiPriority w:val="99"/>
    <w:semiHidden/>
    <w:rsid w:val="00B40AE8"/>
    <w:pPr>
      <w:ind w:left="480" w:hanging="240"/>
    </w:pPr>
  </w:style>
  <w:style w:type="paragraph" w:styleId="Indeks3">
    <w:name w:val="index 3"/>
    <w:basedOn w:val="Normalny"/>
    <w:next w:val="Normalny"/>
    <w:autoRedefine/>
    <w:uiPriority w:val="99"/>
    <w:semiHidden/>
    <w:rsid w:val="00B40AE8"/>
    <w:pPr>
      <w:ind w:left="720" w:hanging="240"/>
    </w:pPr>
  </w:style>
  <w:style w:type="paragraph" w:styleId="Indeks4">
    <w:name w:val="index 4"/>
    <w:basedOn w:val="Normalny"/>
    <w:next w:val="Normalny"/>
    <w:autoRedefine/>
    <w:uiPriority w:val="99"/>
    <w:semiHidden/>
    <w:rsid w:val="00B40AE8"/>
    <w:pPr>
      <w:ind w:left="960" w:hanging="240"/>
    </w:pPr>
  </w:style>
  <w:style w:type="paragraph" w:styleId="Indeks5">
    <w:name w:val="index 5"/>
    <w:basedOn w:val="Normalny"/>
    <w:next w:val="Normalny"/>
    <w:autoRedefine/>
    <w:uiPriority w:val="99"/>
    <w:semiHidden/>
    <w:rsid w:val="00B40AE8"/>
    <w:pPr>
      <w:ind w:left="1200" w:hanging="240"/>
    </w:pPr>
  </w:style>
  <w:style w:type="paragraph" w:styleId="Indeks6">
    <w:name w:val="index 6"/>
    <w:basedOn w:val="Normalny"/>
    <w:next w:val="Normalny"/>
    <w:autoRedefine/>
    <w:uiPriority w:val="99"/>
    <w:semiHidden/>
    <w:rsid w:val="00B40AE8"/>
    <w:pPr>
      <w:ind w:left="1440" w:hanging="240"/>
    </w:pPr>
  </w:style>
  <w:style w:type="paragraph" w:styleId="Indeks7">
    <w:name w:val="index 7"/>
    <w:basedOn w:val="Normalny"/>
    <w:next w:val="Normalny"/>
    <w:autoRedefine/>
    <w:uiPriority w:val="99"/>
    <w:semiHidden/>
    <w:rsid w:val="00B40AE8"/>
    <w:pPr>
      <w:ind w:left="1680" w:hanging="240"/>
    </w:pPr>
  </w:style>
  <w:style w:type="paragraph" w:styleId="Indeks8">
    <w:name w:val="index 8"/>
    <w:basedOn w:val="Normalny"/>
    <w:next w:val="Normalny"/>
    <w:autoRedefine/>
    <w:uiPriority w:val="99"/>
    <w:semiHidden/>
    <w:rsid w:val="00B40AE8"/>
    <w:pPr>
      <w:ind w:left="1920" w:hanging="240"/>
    </w:pPr>
  </w:style>
  <w:style w:type="paragraph" w:styleId="Indeks9">
    <w:name w:val="index 9"/>
    <w:basedOn w:val="Normalny"/>
    <w:next w:val="Normalny"/>
    <w:autoRedefine/>
    <w:uiPriority w:val="99"/>
    <w:semiHidden/>
    <w:rsid w:val="00B40AE8"/>
    <w:pPr>
      <w:ind w:left="2160" w:hanging="240"/>
    </w:pPr>
  </w:style>
  <w:style w:type="paragraph" w:styleId="Nagwekindeksu">
    <w:name w:val="index heading"/>
    <w:basedOn w:val="Normalny"/>
    <w:next w:val="Indeks1"/>
    <w:uiPriority w:val="99"/>
    <w:semiHidden/>
    <w:rsid w:val="00B40AE8"/>
    <w:rPr>
      <w:rFonts w:asciiTheme="majorHAnsi" w:eastAsiaTheme="majorEastAsia" w:hAnsiTheme="majorHAnsi" w:cstheme="majorBidi"/>
      <w:b/>
      <w:bCs/>
    </w:rPr>
  </w:style>
  <w:style w:type="table" w:styleId="Jasnasiatka">
    <w:name w:val="Light Grid"/>
    <w:basedOn w:val="Standardowy"/>
    <w:uiPriority w:val="62"/>
    <w:semiHidden/>
    <w:rsid w:val="00B40AE8"/>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B40AE8"/>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B40AE8"/>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B40AE8"/>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B40AE8"/>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B40AE8"/>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B40AE8"/>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B40AE8"/>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B40AE8"/>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B40AE8"/>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B40AE8"/>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B40AE8"/>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B40AE8"/>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B40AE8"/>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B40AE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B40AE8"/>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B40AE8"/>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B40AE8"/>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B40AE8"/>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B40AE8"/>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B40AE8"/>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B40AE8"/>
  </w:style>
  <w:style w:type="paragraph" w:styleId="Lista">
    <w:name w:val="List"/>
    <w:basedOn w:val="Normalny"/>
    <w:uiPriority w:val="99"/>
    <w:semiHidden/>
    <w:rsid w:val="00B40AE8"/>
    <w:pPr>
      <w:ind w:left="283" w:hanging="283"/>
      <w:contextualSpacing/>
    </w:pPr>
  </w:style>
  <w:style w:type="paragraph" w:styleId="Lista2">
    <w:name w:val="List 2"/>
    <w:basedOn w:val="Normalny"/>
    <w:uiPriority w:val="99"/>
    <w:semiHidden/>
    <w:rsid w:val="00B40AE8"/>
    <w:pPr>
      <w:ind w:left="566" w:hanging="283"/>
      <w:contextualSpacing/>
    </w:pPr>
  </w:style>
  <w:style w:type="paragraph" w:styleId="Lista3">
    <w:name w:val="List 3"/>
    <w:basedOn w:val="Normalny"/>
    <w:uiPriority w:val="99"/>
    <w:semiHidden/>
    <w:rsid w:val="00B40AE8"/>
    <w:pPr>
      <w:ind w:left="849" w:hanging="283"/>
      <w:contextualSpacing/>
    </w:pPr>
  </w:style>
  <w:style w:type="paragraph" w:styleId="Lista4">
    <w:name w:val="List 4"/>
    <w:basedOn w:val="Normalny"/>
    <w:uiPriority w:val="99"/>
    <w:semiHidden/>
    <w:rsid w:val="00B40AE8"/>
    <w:pPr>
      <w:ind w:left="1132" w:hanging="283"/>
      <w:contextualSpacing/>
    </w:pPr>
  </w:style>
  <w:style w:type="paragraph" w:styleId="Lista5">
    <w:name w:val="List 5"/>
    <w:basedOn w:val="Normalny"/>
    <w:uiPriority w:val="99"/>
    <w:semiHidden/>
    <w:rsid w:val="00B40AE8"/>
    <w:pPr>
      <w:ind w:left="1415" w:hanging="283"/>
      <w:contextualSpacing/>
    </w:pPr>
  </w:style>
  <w:style w:type="paragraph" w:styleId="Listapunktowana2">
    <w:name w:val="List Bullet 2"/>
    <w:basedOn w:val="Normalny"/>
    <w:uiPriority w:val="99"/>
    <w:semiHidden/>
    <w:rsid w:val="00B40AE8"/>
    <w:pPr>
      <w:numPr>
        <w:numId w:val="10"/>
      </w:numPr>
      <w:contextualSpacing/>
    </w:pPr>
  </w:style>
  <w:style w:type="paragraph" w:styleId="Listapunktowana3">
    <w:name w:val="List Bullet 3"/>
    <w:basedOn w:val="Normalny"/>
    <w:uiPriority w:val="99"/>
    <w:semiHidden/>
    <w:rsid w:val="00B40AE8"/>
    <w:pPr>
      <w:numPr>
        <w:numId w:val="11"/>
      </w:numPr>
      <w:contextualSpacing/>
    </w:pPr>
  </w:style>
  <w:style w:type="paragraph" w:styleId="Listapunktowana4">
    <w:name w:val="List Bullet 4"/>
    <w:basedOn w:val="Normalny"/>
    <w:uiPriority w:val="99"/>
    <w:semiHidden/>
    <w:rsid w:val="00B40AE8"/>
    <w:pPr>
      <w:numPr>
        <w:numId w:val="12"/>
      </w:numPr>
      <w:contextualSpacing/>
    </w:pPr>
  </w:style>
  <w:style w:type="paragraph" w:styleId="Listapunktowana5">
    <w:name w:val="List Bullet 5"/>
    <w:basedOn w:val="Normalny"/>
    <w:uiPriority w:val="99"/>
    <w:semiHidden/>
    <w:rsid w:val="00B40AE8"/>
    <w:pPr>
      <w:numPr>
        <w:numId w:val="13"/>
      </w:numPr>
      <w:contextualSpacing/>
    </w:pPr>
  </w:style>
  <w:style w:type="paragraph" w:styleId="Lista-kontynuacja">
    <w:name w:val="List Continue"/>
    <w:basedOn w:val="Normalny"/>
    <w:uiPriority w:val="99"/>
    <w:semiHidden/>
    <w:rsid w:val="00B40AE8"/>
    <w:pPr>
      <w:spacing w:after="120"/>
      <w:ind w:left="283"/>
      <w:contextualSpacing/>
    </w:pPr>
  </w:style>
  <w:style w:type="paragraph" w:styleId="Lista-kontynuacja2">
    <w:name w:val="List Continue 2"/>
    <w:basedOn w:val="Normalny"/>
    <w:uiPriority w:val="99"/>
    <w:semiHidden/>
    <w:rsid w:val="00B40AE8"/>
    <w:pPr>
      <w:spacing w:after="120"/>
      <w:ind w:left="566"/>
      <w:contextualSpacing/>
    </w:pPr>
  </w:style>
  <w:style w:type="paragraph" w:styleId="Lista-kontynuacja3">
    <w:name w:val="List Continue 3"/>
    <w:basedOn w:val="Normalny"/>
    <w:uiPriority w:val="99"/>
    <w:semiHidden/>
    <w:rsid w:val="00B40AE8"/>
    <w:pPr>
      <w:spacing w:after="120"/>
      <w:ind w:left="849"/>
      <w:contextualSpacing/>
    </w:pPr>
  </w:style>
  <w:style w:type="paragraph" w:styleId="Lista-kontynuacja4">
    <w:name w:val="List Continue 4"/>
    <w:basedOn w:val="Normalny"/>
    <w:uiPriority w:val="99"/>
    <w:semiHidden/>
    <w:rsid w:val="00B40AE8"/>
    <w:pPr>
      <w:spacing w:after="120"/>
      <w:ind w:left="1132"/>
      <w:contextualSpacing/>
    </w:pPr>
  </w:style>
  <w:style w:type="paragraph" w:styleId="Lista-kontynuacja5">
    <w:name w:val="List Continue 5"/>
    <w:basedOn w:val="Normalny"/>
    <w:uiPriority w:val="99"/>
    <w:semiHidden/>
    <w:rsid w:val="00B40AE8"/>
    <w:pPr>
      <w:spacing w:after="120"/>
      <w:ind w:left="1415"/>
      <w:contextualSpacing/>
    </w:pPr>
  </w:style>
  <w:style w:type="paragraph" w:styleId="Listanumerowana">
    <w:name w:val="List Number"/>
    <w:basedOn w:val="Normalny"/>
    <w:uiPriority w:val="99"/>
    <w:semiHidden/>
    <w:rsid w:val="00B40AE8"/>
    <w:pPr>
      <w:numPr>
        <w:numId w:val="14"/>
      </w:numPr>
      <w:contextualSpacing/>
    </w:pPr>
  </w:style>
  <w:style w:type="paragraph" w:styleId="Listanumerowana2">
    <w:name w:val="List Number 2"/>
    <w:basedOn w:val="Normalny"/>
    <w:uiPriority w:val="99"/>
    <w:semiHidden/>
    <w:rsid w:val="00B40AE8"/>
    <w:pPr>
      <w:numPr>
        <w:numId w:val="15"/>
      </w:numPr>
      <w:contextualSpacing/>
    </w:pPr>
  </w:style>
  <w:style w:type="paragraph" w:styleId="Listanumerowana3">
    <w:name w:val="List Number 3"/>
    <w:basedOn w:val="Normalny"/>
    <w:uiPriority w:val="99"/>
    <w:semiHidden/>
    <w:rsid w:val="00B40AE8"/>
    <w:pPr>
      <w:numPr>
        <w:numId w:val="16"/>
      </w:numPr>
      <w:contextualSpacing/>
    </w:pPr>
  </w:style>
  <w:style w:type="paragraph" w:styleId="Listanumerowana4">
    <w:name w:val="List Number 4"/>
    <w:basedOn w:val="Normalny"/>
    <w:uiPriority w:val="99"/>
    <w:semiHidden/>
    <w:rsid w:val="00B40AE8"/>
    <w:pPr>
      <w:numPr>
        <w:numId w:val="17"/>
      </w:numPr>
      <w:contextualSpacing/>
    </w:pPr>
  </w:style>
  <w:style w:type="paragraph" w:styleId="Listanumerowana5">
    <w:name w:val="List Number 5"/>
    <w:basedOn w:val="Normalny"/>
    <w:uiPriority w:val="99"/>
    <w:semiHidden/>
    <w:rsid w:val="00B40AE8"/>
    <w:pPr>
      <w:numPr>
        <w:numId w:val="18"/>
      </w:numPr>
      <w:contextualSpacing/>
    </w:pPr>
  </w:style>
  <w:style w:type="paragraph" w:styleId="Tekstmakra">
    <w:name w:val="macro"/>
    <w:link w:val="TekstmakraZnak"/>
    <w:uiPriority w:val="99"/>
    <w:semiHidden/>
    <w:rsid w:val="00B40AE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B40AE8"/>
    <w:rPr>
      <w:rFonts w:ascii="Consolas" w:eastAsiaTheme="minorEastAsia" w:hAnsi="Consolas" w:cs="Consolas"/>
      <w:sz w:val="20"/>
      <w:szCs w:val="20"/>
    </w:rPr>
  </w:style>
  <w:style w:type="table" w:styleId="redniasiatka1">
    <w:name w:val="Medium Grid 1"/>
    <w:basedOn w:val="Standardowy"/>
    <w:uiPriority w:val="67"/>
    <w:semiHidden/>
    <w:rsid w:val="00B40AE8"/>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B40AE8"/>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B40AE8"/>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B40AE8"/>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B40AE8"/>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B40AE8"/>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B40AE8"/>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B40AE8"/>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B40AE8"/>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B40AE8"/>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B40AE8"/>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B40AE8"/>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B40AE8"/>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B40AE8"/>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B40AE8"/>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B40AE8"/>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B40AE8"/>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B40AE8"/>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B40AE8"/>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B40AE8"/>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B40AE8"/>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B40AE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B40AE8"/>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B40AE8"/>
    <w:rPr>
      <w:rFonts w:ascii="Times New Roman" w:hAnsi="Times New Roman" w:cs="Times New Roman"/>
      <w:szCs w:val="24"/>
    </w:rPr>
  </w:style>
  <w:style w:type="paragraph" w:styleId="Wcicienormalne">
    <w:name w:val="Normal Indent"/>
    <w:basedOn w:val="Normalny"/>
    <w:uiPriority w:val="99"/>
    <w:semiHidden/>
    <w:rsid w:val="00B40AE8"/>
    <w:pPr>
      <w:ind w:left="720"/>
    </w:pPr>
  </w:style>
  <w:style w:type="character" w:styleId="Tekstzastpczy">
    <w:name w:val="Placeholder Text"/>
    <w:basedOn w:val="Domylnaczcionkaakapitu"/>
    <w:uiPriority w:val="99"/>
    <w:semiHidden/>
    <w:rsid w:val="00B40AE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B40AE8"/>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B40AE8"/>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B40AE8"/>
  </w:style>
  <w:style w:type="character" w:customStyle="1" w:styleId="ZwrotgrzecznociowyZnak">
    <w:name w:val="Zwrot grzecznościowy Znak"/>
    <w:basedOn w:val="Domylnaczcionkaakapitu"/>
    <w:link w:val="Zwrotgrzecznociowy"/>
    <w:uiPriority w:val="99"/>
    <w:semiHidden/>
    <w:rsid w:val="00B40AE8"/>
    <w:rPr>
      <w:rFonts w:eastAsiaTheme="minorEastAsia"/>
      <w:sz w:val="24"/>
      <w:lang w:val="pl-PL"/>
    </w:rPr>
  </w:style>
  <w:style w:type="paragraph" w:styleId="Podpis">
    <w:name w:val="Signature"/>
    <w:basedOn w:val="Normalny"/>
    <w:link w:val="PodpisZnak"/>
    <w:uiPriority w:val="99"/>
    <w:semiHidden/>
    <w:rsid w:val="00B40AE8"/>
    <w:pPr>
      <w:ind w:left="4252"/>
    </w:pPr>
  </w:style>
  <w:style w:type="character" w:customStyle="1" w:styleId="PodpisZnak">
    <w:name w:val="Podpis Znak"/>
    <w:basedOn w:val="Domylnaczcionkaakapitu"/>
    <w:link w:val="Podpis"/>
    <w:uiPriority w:val="99"/>
    <w:semiHidden/>
    <w:rsid w:val="00B40AE8"/>
    <w:rPr>
      <w:rFonts w:eastAsiaTheme="minorEastAsia"/>
      <w:sz w:val="24"/>
      <w:lang w:val="pl-PL"/>
    </w:rPr>
  </w:style>
  <w:style w:type="table" w:styleId="Tabela-Efekty3D1">
    <w:name w:val="Table 3D effects 1"/>
    <w:basedOn w:val="Standardowy"/>
    <w:uiPriority w:val="99"/>
    <w:semiHidden/>
    <w:unhideWhenUsed/>
    <w:rsid w:val="00B40AE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B40AE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B40AE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B40AE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B40AE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B40AE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B40AE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B40AE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B40AE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B40AE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B40AE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B40AE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B40AE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B40AE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B40AE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B40AE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B40AE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B40AE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B40AE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B40AE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B40AE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B40AE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B40AE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B40AE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B40AE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B40AE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B40AE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B40AE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B40AE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B40AE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B40AE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B40AE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B40AE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B40AE8"/>
    <w:pPr>
      <w:ind w:left="240" w:hanging="240"/>
    </w:pPr>
  </w:style>
  <w:style w:type="paragraph" w:styleId="Spisilustracji">
    <w:name w:val="table of figures"/>
    <w:basedOn w:val="Normalny"/>
    <w:next w:val="Normalny"/>
    <w:uiPriority w:val="99"/>
    <w:semiHidden/>
    <w:rsid w:val="00B40AE8"/>
  </w:style>
  <w:style w:type="table" w:styleId="Tabela-Profesjonalny">
    <w:name w:val="Table Professional"/>
    <w:basedOn w:val="Standardowy"/>
    <w:uiPriority w:val="99"/>
    <w:semiHidden/>
    <w:unhideWhenUsed/>
    <w:rsid w:val="00B40AE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B40AE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B40AE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B40AE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B40AE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B40AE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B40AE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B40AE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B40AE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B40AE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40AE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40AE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B40AE8"/>
    <w:pPr>
      <w:spacing w:after="100"/>
      <w:ind w:left="1680"/>
    </w:pPr>
  </w:style>
  <w:style w:type="paragraph" w:styleId="Spistreci9">
    <w:name w:val="toc 9"/>
    <w:basedOn w:val="Normalny"/>
    <w:next w:val="Normalny"/>
    <w:autoRedefine/>
    <w:uiPriority w:val="99"/>
    <w:semiHidden/>
    <w:rsid w:val="00B40AE8"/>
    <w:pPr>
      <w:spacing w:after="100"/>
      <w:ind w:left="1920"/>
    </w:pPr>
  </w:style>
  <w:style w:type="paragraph" w:styleId="Nagweknotatki">
    <w:name w:val="Note Heading"/>
    <w:basedOn w:val="Normalny"/>
    <w:next w:val="Normalny"/>
    <w:link w:val="NagweknotatkiZnak"/>
    <w:uiPriority w:val="99"/>
    <w:semiHidden/>
    <w:rsid w:val="00B40AE8"/>
  </w:style>
  <w:style w:type="character" w:customStyle="1" w:styleId="NagweknotatkiZnak">
    <w:name w:val="Nagłówek notatki Znak"/>
    <w:basedOn w:val="Domylnaczcionkaakapitu"/>
    <w:link w:val="Nagweknotatki"/>
    <w:uiPriority w:val="99"/>
    <w:semiHidden/>
    <w:rsid w:val="00B40AE8"/>
    <w:rPr>
      <w:rFonts w:eastAsiaTheme="minorEastAsia"/>
      <w:sz w:val="24"/>
      <w:lang w:val="pl-PL"/>
    </w:rPr>
  </w:style>
  <w:style w:type="paragraph" w:customStyle="1" w:styleId="JuHeaderLandscape">
    <w:name w:val="Ju_Header_Landscape"/>
    <w:aliases w:val="_Header_Landscape"/>
    <w:basedOn w:val="JuHeader"/>
    <w:uiPriority w:val="30"/>
    <w:qFormat/>
    <w:rsid w:val="00B40AE8"/>
    <w:pPr>
      <w:tabs>
        <w:tab w:val="clear" w:pos="3686"/>
        <w:tab w:val="clear" w:pos="7371"/>
        <w:tab w:val="center" w:pos="6146"/>
        <w:tab w:val="right" w:pos="12293"/>
      </w:tabs>
    </w:pPr>
  </w:style>
  <w:style w:type="character" w:customStyle="1" w:styleId="ECHRParaChar">
    <w:name w:val="ECHR_Para Char"/>
    <w:aliases w:val="Ju_Para Char"/>
    <w:link w:val="JuPara"/>
    <w:uiPriority w:val="8"/>
    <w:rsid w:val="00CB28EC"/>
    <w:rPr>
      <w:rFonts w:eastAsiaTheme="minorEastAsia"/>
      <w:sz w:val="24"/>
      <w:lang w:val="pl-PL"/>
    </w:rPr>
  </w:style>
  <w:style w:type="character" w:customStyle="1" w:styleId="JuQuotChar">
    <w:name w:val="Ju_Quot Char"/>
    <w:basedOn w:val="Domylnaczcionkaakapitu"/>
    <w:link w:val="JuQuot"/>
    <w:uiPriority w:val="21"/>
    <w:rsid w:val="00380DFB"/>
    <w:rPr>
      <w:rFonts w:eastAsiaTheme="minorEastAsia"/>
      <w:sz w:val="20"/>
      <w:lang w:val="pl-PL"/>
    </w:rPr>
  </w:style>
  <w:style w:type="character" w:customStyle="1" w:styleId="JuHAChar">
    <w:name w:val="Ju_H_A Char"/>
    <w:basedOn w:val="Domylnaczcionkaakapitu"/>
    <w:link w:val="JuHA"/>
    <w:uiPriority w:val="19"/>
    <w:rsid w:val="00A914A5"/>
    <w:rPr>
      <w:rFonts w:eastAsiaTheme="minorEastAsia"/>
      <w:b/>
      <w:sz w:val="24"/>
      <w:lang w:val="pl-PL"/>
    </w:rPr>
  </w:style>
  <w:style w:type="paragraph" w:styleId="Poprawka">
    <w:name w:val="Revision"/>
    <w:hidden/>
    <w:uiPriority w:val="99"/>
    <w:semiHidden/>
    <w:rsid w:val="00DE6C44"/>
    <w:rPr>
      <w:rFonts w:eastAsiaTheme="minorEastAsia"/>
      <w:sz w:val="24"/>
    </w:rPr>
  </w:style>
  <w:style w:type="character" w:customStyle="1" w:styleId="JuCaseChar">
    <w:name w:val="Ju_Case Char"/>
    <w:basedOn w:val="ECHRParaChar"/>
    <w:link w:val="JuCase"/>
    <w:uiPriority w:val="31"/>
    <w:rsid w:val="009A0DFB"/>
    <w:rPr>
      <w:rFonts w:eastAsiaTheme="minorEastAsia"/>
      <w:b/>
      <w:sz w:val="24"/>
      <w:lang w:val="pl-PL"/>
    </w:rPr>
  </w:style>
  <w:style w:type="paragraph" w:customStyle="1" w:styleId="jupara0">
    <w:name w:val="jupara"/>
    <w:basedOn w:val="Normalny"/>
    <w:rsid w:val="00D47FBC"/>
    <w:pPr>
      <w:ind w:firstLine="284"/>
      <w:jc w:val="both"/>
    </w:pPr>
    <w:rPr>
      <w:rFonts w:ascii="Times New Roman" w:eastAsia="Times New Roman" w:hAnsi="Times New Roman" w:cs="Times New Roman"/>
      <w:szCs w:val="24"/>
      <w:lang w:val="en-GB" w:eastAsia="en-GB"/>
    </w:rPr>
  </w:style>
  <w:style w:type="paragraph" w:customStyle="1" w:styleId="jucase0">
    <w:name w:val="jucase"/>
    <w:basedOn w:val="Normalny"/>
    <w:rsid w:val="00D47FBC"/>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39084">
      <w:bodyDiv w:val="1"/>
      <w:marLeft w:val="0"/>
      <w:marRight w:val="0"/>
      <w:marTop w:val="0"/>
      <w:marBottom w:val="0"/>
      <w:divBdr>
        <w:top w:val="none" w:sz="0" w:space="0" w:color="auto"/>
        <w:left w:val="none" w:sz="0" w:space="0" w:color="auto"/>
        <w:bottom w:val="none" w:sz="0" w:space="0" w:color="auto"/>
        <w:right w:val="none" w:sz="0" w:space="0" w:color="auto"/>
      </w:divBdr>
      <w:divsChild>
        <w:div w:id="500700528">
          <w:marLeft w:val="0"/>
          <w:marRight w:val="0"/>
          <w:marTop w:val="0"/>
          <w:marBottom w:val="0"/>
          <w:divBdr>
            <w:top w:val="none" w:sz="0" w:space="0" w:color="auto"/>
            <w:left w:val="none" w:sz="0" w:space="0" w:color="auto"/>
            <w:bottom w:val="none" w:sz="0" w:space="0" w:color="auto"/>
            <w:right w:val="none" w:sz="0" w:space="0" w:color="auto"/>
          </w:divBdr>
          <w:divsChild>
            <w:div w:id="222328070">
              <w:marLeft w:val="0"/>
              <w:marRight w:val="0"/>
              <w:marTop w:val="0"/>
              <w:marBottom w:val="0"/>
              <w:divBdr>
                <w:top w:val="none" w:sz="0" w:space="0" w:color="auto"/>
                <w:left w:val="none" w:sz="0" w:space="0" w:color="auto"/>
                <w:bottom w:val="none" w:sz="0" w:space="0" w:color="auto"/>
                <w:right w:val="none" w:sz="0" w:space="0" w:color="auto"/>
              </w:divBdr>
              <w:divsChild>
                <w:div w:id="613637947">
                  <w:marLeft w:val="0"/>
                  <w:marRight w:val="0"/>
                  <w:marTop w:val="0"/>
                  <w:marBottom w:val="0"/>
                  <w:divBdr>
                    <w:top w:val="none" w:sz="0" w:space="0" w:color="auto"/>
                    <w:left w:val="none" w:sz="0" w:space="0" w:color="auto"/>
                    <w:bottom w:val="none" w:sz="0" w:space="0" w:color="auto"/>
                    <w:right w:val="none" w:sz="0" w:space="0" w:color="auto"/>
                  </w:divBdr>
                  <w:divsChild>
                    <w:div w:id="1808276283">
                      <w:marLeft w:val="0"/>
                      <w:marRight w:val="0"/>
                      <w:marTop w:val="0"/>
                      <w:marBottom w:val="0"/>
                      <w:divBdr>
                        <w:top w:val="none" w:sz="0" w:space="0" w:color="auto"/>
                        <w:left w:val="none" w:sz="0" w:space="0" w:color="auto"/>
                        <w:bottom w:val="none" w:sz="0" w:space="0" w:color="auto"/>
                        <w:right w:val="none" w:sz="0" w:space="0" w:color="auto"/>
                      </w:divBdr>
                      <w:divsChild>
                        <w:div w:id="1176578978">
                          <w:marLeft w:val="0"/>
                          <w:marRight w:val="0"/>
                          <w:marTop w:val="0"/>
                          <w:marBottom w:val="0"/>
                          <w:divBdr>
                            <w:top w:val="none" w:sz="0" w:space="0" w:color="auto"/>
                            <w:left w:val="none" w:sz="0" w:space="0" w:color="auto"/>
                            <w:bottom w:val="none" w:sz="0" w:space="0" w:color="auto"/>
                            <w:right w:val="none" w:sz="0" w:space="0" w:color="auto"/>
                          </w:divBdr>
                          <w:divsChild>
                            <w:div w:id="178888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70251">
      <w:bodyDiv w:val="1"/>
      <w:marLeft w:val="0"/>
      <w:marRight w:val="0"/>
      <w:marTop w:val="0"/>
      <w:marBottom w:val="0"/>
      <w:divBdr>
        <w:top w:val="none" w:sz="0" w:space="0" w:color="auto"/>
        <w:left w:val="none" w:sz="0" w:space="0" w:color="auto"/>
        <w:bottom w:val="none" w:sz="0" w:space="0" w:color="auto"/>
        <w:right w:val="none" w:sz="0" w:space="0" w:color="auto"/>
      </w:divBdr>
    </w:div>
    <w:div w:id="417795283">
      <w:bodyDiv w:val="1"/>
      <w:marLeft w:val="0"/>
      <w:marRight w:val="0"/>
      <w:marTop w:val="0"/>
      <w:marBottom w:val="0"/>
      <w:divBdr>
        <w:top w:val="none" w:sz="0" w:space="0" w:color="auto"/>
        <w:left w:val="none" w:sz="0" w:space="0" w:color="auto"/>
        <w:bottom w:val="none" w:sz="0" w:space="0" w:color="auto"/>
        <w:right w:val="none" w:sz="0" w:space="0" w:color="auto"/>
      </w:divBdr>
    </w:div>
    <w:div w:id="501824215">
      <w:bodyDiv w:val="1"/>
      <w:marLeft w:val="0"/>
      <w:marRight w:val="0"/>
      <w:marTop w:val="0"/>
      <w:marBottom w:val="0"/>
      <w:divBdr>
        <w:top w:val="none" w:sz="0" w:space="0" w:color="auto"/>
        <w:left w:val="none" w:sz="0" w:space="0" w:color="auto"/>
        <w:bottom w:val="none" w:sz="0" w:space="0" w:color="auto"/>
        <w:right w:val="none" w:sz="0" w:space="0" w:color="auto"/>
      </w:divBdr>
    </w:div>
    <w:div w:id="74943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sprawiedliwosc" TargetMode="Externa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yperlink" Target="http://www.gov.pl/sprawiedliwosc" TargetMode="Externa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9748</Words>
  <Characters>58488</Characters>
  <Application>Microsoft Office Word</Application>
  <DocSecurity>4</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2019-09-17T09:18:00Z</dcterms:created>
  <dcterms:modified xsi:type="dcterms:W3CDTF">2019-09-17T09:18:00Z</dcterms:modified>
</cp:coreProperties>
</file>