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D8B6C" w14:textId="77777777" w:rsidR="00C260F4" w:rsidRPr="00024F8B" w:rsidRDefault="00C260F4" w:rsidP="00C260F4">
      <w:pPr>
        <w:spacing w:before="100" w:beforeAutospacing="1" w:after="120"/>
        <w:rPr>
          <w:sz w:val="20"/>
          <w:lang w:val="en-GB"/>
        </w:rPr>
      </w:pPr>
      <w:bookmarkStart w:id="0" w:name="_GoBack"/>
      <w:bookmarkEnd w:id="0"/>
      <w:r w:rsidRPr="00024F8B">
        <w:rPr>
          <w:sz w:val="20"/>
          <w:lang w:val="en-GB"/>
        </w:rPr>
        <w:t xml:space="preserve">© Ministerstwo Sprawiedliwości, </w:t>
      </w:r>
      <w:hyperlink r:id="rId8" w:history="1">
        <w:r w:rsidRPr="00024F8B">
          <w:rPr>
            <w:rStyle w:val="Hipercze"/>
            <w:sz w:val="20"/>
            <w:lang w:val="en-GB"/>
          </w:rPr>
          <w:t>www.gov.pl/sprawiedliwosc</w:t>
        </w:r>
      </w:hyperlink>
      <w:r w:rsidRPr="00024F8B">
        <w:rPr>
          <w:sz w:val="20"/>
          <w:lang w:val="en-GB"/>
        </w:rPr>
        <w:t xml:space="preserve"> [Translation already published on the official website of the Polish Ministry of Justice]</w:t>
      </w:r>
    </w:p>
    <w:p w14:paraId="1EEA793D" w14:textId="77777777" w:rsidR="00C260F4" w:rsidRPr="00024F8B" w:rsidRDefault="00C260F4" w:rsidP="00C260F4">
      <w:pPr>
        <w:spacing w:after="100" w:afterAutospacing="1"/>
        <w:rPr>
          <w:sz w:val="20"/>
          <w:lang w:val="en-GB"/>
        </w:rPr>
      </w:pPr>
      <w:r w:rsidRPr="00024F8B">
        <w:rPr>
          <w:sz w:val="20"/>
          <w:lang w:val="en-GB"/>
        </w:rPr>
        <w:t>Permission to re-publish this translation has been granted by the Polish Ministry of Justice for the sole purpose of its inclusion in the Court’s database HUDOC</w:t>
      </w:r>
    </w:p>
    <w:p w14:paraId="2439EC2F" w14:textId="77777777" w:rsidR="00C260F4" w:rsidRDefault="00C260F4" w:rsidP="00C260F4">
      <w:pPr>
        <w:spacing w:before="100" w:beforeAutospacing="1" w:after="120"/>
        <w:rPr>
          <w:sz w:val="20"/>
        </w:rPr>
      </w:pPr>
      <w:r>
        <w:rPr>
          <w:sz w:val="20"/>
        </w:rPr>
        <w:t xml:space="preserve">© Ministerstwo Sprawiedliwości, </w:t>
      </w:r>
      <w:hyperlink r:id="rId9" w:history="1">
        <w:r w:rsidRPr="006F4966">
          <w:rPr>
            <w:rStyle w:val="Hipercze"/>
            <w:sz w:val="20"/>
          </w:rPr>
          <w:t>www.gov.pl/sprawiedliwosc</w:t>
        </w:r>
      </w:hyperlink>
      <w:r>
        <w:rPr>
          <w:sz w:val="20"/>
        </w:rPr>
        <w:t xml:space="preserve"> [Tłumaczenie zostało już opublikowane na oficjalnej stronie Ministerstwa Sprawiedliwości]</w:t>
      </w:r>
    </w:p>
    <w:p w14:paraId="5D268470" w14:textId="77777777" w:rsidR="00C260F4" w:rsidRDefault="00C260F4" w:rsidP="00C260F4">
      <w:pPr>
        <w:rPr>
          <w:sz w:val="20"/>
        </w:rPr>
      </w:pPr>
      <w:r>
        <w:rPr>
          <w:sz w:val="20"/>
        </w:rPr>
        <w:t xml:space="preserve">Zezwolenie na publikację tego tłumaczenia zostało udzielone przez Ministerstwo Sprawiedliwości wyłącznie w celu zamieszczenia w bazie Trybunału HUDOC </w:t>
      </w:r>
    </w:p>
    <w:p w14:paraId="29B3B3D3" w14:textId="77777777" w:rsidR="00C260F4" w:rsidRDefault="00C260F4" w:rsidP="00C260F4">
      <w:pPr>
        <w:jc w:val="center"/>
      </w:pPr>
    </w:p>
    <w:p w14:paraId="6E067825" w14:textId="77777777" w:rsidR="00C260F4" w:rsidRPr="00B65293" w:rsidRDefault="00C260F4" w:rsidP="00C260F4">
      <w:pPr>
        <w:jc w:val="center"/>
      </w:pPr>
      <w:r>
        <w:t>EUROPEJSKI TRYBUNAŁ PRAW CZŁOWIEKA</w:t>
      </w:r>
    </w:p>
    <w:p w14:paraId="5933A162" w14:textId="77777777" w:rsidR="008C3397" w:rsidRPr="009816D7" w:rsidRDefault="008C3397" w:rsidP="009816D7">
      <w:pPr>
        <w:jc w:val="center"/>
        <w:rPr>
          <w:rFonts w:ascii="Times New Roman" w:hAnsi="Times New Roman" w:cs="Times New Roman"/>
        </w:rPr>
      </w:pPr>
    </w:p>
    <w:p w14:paraId="2CC30F22" w14:textId="77777777" w:rsidR="0098410D" w:rsidRPr="009816D7" w:rsidRDefault="0098410D" w:rsidP="009816D7">
      <w:pPr>
        <w:jc w:val="center"/>
      </w:pPr>
    </w:p>
    <w:p w14:paraId="52285FB8" w14:textId="77777777" w:rsidR="0098410D" w:rsidRPr="009816D7" w:rsidRDefault="00CD31A5" w:rsidP="009816D7">
      <w:pPr>
        <w:tabs>
          <w:tab w:val="left" w:pos="5529"/>
        </w:tabs>
        <w:jc w:val="center"/>
      </w:pPr>
      <w:r>
        <w:t>SEKCJA PIERWSZA</w:t>
      </w:r>
    </w:p>
    <w:p w14:paraId="71ED03E9" w14:textId="77777777" w:rsidR="00E95C1E" w:rsidRPr="009816D7" w:rsidRDefault="00E95C1E" w:rsidP="009816D7">
      <w:pPr>
        <w:jc w:val="center"/>
      </w:pPr>
    </w:p>
    <w:p w14:paraId="2CBBFB54" w14:textId="77777777" w:rsidR="00BF118F" w:rsidRPr="009816D7" w:rsidRDefault="00BF118F" w:rsidP="009816D7">
      <w:pPr>
        <w:jc w:val="center"/>
      </w:pPr>
    </w:p>
    <w:p w14:paraId="42A59EC1" w14:textId="77777777" w:rsidR="00327844" w:rsidRPr="009816D7" w:rsidRDefault="00327844" w:rsidP="009816D7">
      <w:pPr>
        <w:jc w:val="center"/>
      </w:pPr>
    </w:p>
    <w:p w14:paraId="66C838C3" w14:textId="77777777" w:rsidR="008C3397" w:rsidRPr="009816D7" w:rsidRDefault="008C3397" w:rsidP="009816D7">
      <w:pPr>
        <w:jc w:val="center"/>
      </w:pPr>
    </w:p>
    <w:p w14:paraId="2A368B33" w14:textId="77777777" w:rsidR="00BF118F" w:rsidRPr="009816D7" w:rsidRDefault="00BF118F" w:rsidP="009816D7">
      <w:pPr>
        <w:jc w:val="center"/>
      </w:pPr>
    </w:p>
    <w:p w14:paraId="0986EEC2" w14:textId="77777777" w:rsidR="0098410D" w:rsidRPr="009816D7" w:rsidRDefault="0098410D" w:rsidP="009816D7">
      <w:pPr>
        <w:jc w:val="center"/>
      </w:pPr>
    </w:p>
    <w:p w14:paraId="18824A0B" w14:textId="61A70127" w:rsidR="008E6217" w:rsidRPr="009816D7" w:rsidRDefault="008E6217" w:rsidP="009816D7">
      <w:pPr>
        <w:jc w:val="center"/>
        <w:rPr>
          <w:b/>
        </w:rPr>
      </w:pPr>
      <w:bookmarkStart w:id="1" w:name="To"/>
      <w:r>
        <w:rPr>
          <w:b/>
        </w:rPr>
        <w:t xml:space="preserve">SPRAWA </w:t>
      </w:r>
      <w:bookmarkEnd w:id="1"/>
      <w:r w:rsidR="00804C93">
        <w:rPr>
          <w:b/>
        </w:rPr>
        <w:t>JARMUŻ PRZECIWKO</w:t>
      </w:r>
      <w:r>
        <w:rPr>
          <w:b/>
        </w:rPr>
        <w:t xml:space="preserve"> POLSCE</w:t>
      </w:r>
    </w:p>
    <w:p w14:paraId="595F38FF" w14:textId="77777777" w:rsidR="00170027" w:rsidRPr="009816D7" w:rsidRDefault="00170027" w:rsidP="009816D7">
      <w:pPr>
        <w:jc w:val="center"/>
        <w:rPr>
          <w:b/>
        </w:rPr>
      </w:pPr>
    </w:p>
    <w:p w14:paraId="351A86E6" w14:textId="77777777" w:rsidR="00D74888" w:rsidRPr="009816D7" w:rsidRDefault="008E6217" w:rsidP="009816D7">
      <w:pPr>
        <w:jc w:val="center"/>
        <w:rPr>
          <w:i/>
        </w:rPr>
      </w:pPr>
      <w:r>
        <w:rPr>
          <w:i/>
        </w:rPr>
        <w:t>(Skarga nr 63696/12)</w:t>
      </w:r>
    </w:p>
    <w:p w14:paraId="55B5ED7C" w14:textId="77777777" w:rsidR="0098410D" w:rsidRPr="009816D7" w:rsidRDefault="0098410D" w:rsidP="009816D7">
      <w:pPr>
        <w:jc w:val="center"/>
        <w:rPr>
          <w:i/>
        </w:rPr>
      </w:pPr>
    </w:p>
    <w:p w14:paraId="3F649646" w14:textId="77777777" w:rsidR="0098410D" w:rsidRPr="009816D7" w:rsidRDefault="0098410D" w:rsidP="009816D7">
      <w:pPr>
        <w:jc w:val="center"/>
      </w:pPr>
    </w:p>
    <w:p w14:paraId="422ECE3A" w14:textId="77777777" w:rsidR="008C3397" w:rsidRPr="009816D7" w:rsidRDefault="008C3397" w:rsidP="009816D7">
      <w:pPr>
        <w:jc w:val="center"/>
      </w:pPr>
    </w:p>
    <w:p w14:paraId="18AA6F60" w14:textId="77777777" w:rsidR="008C3397" w:rsidRPr="009816D7" w:rsidRDefault="008C3397" w:rsidP="009816D7">
      <w:pPr>
        <w:jc w:val="center"/>
      </w:pPr>
    </w:p>
    <w:p w14:paraId="5D7F635B" w14:textId="77777777" w:rsidR="0098410D" w:rsidRPr="009816D7" w:rsidRDefault="0098410D" w:rsidP="009816D7">
      <w:pPr>
        <w:jc w:val="center"/>
      </w:pPr>
    </w:p>
    <w:p w14:paraId="7B137DB6" w14:textId="77777777" w:rsidR="0098410D" w:rsidRPr="009816D7" w:rsidRDefault="0098410D" w:rsidP="009816D7">
      <w:pPr>
        <w:jc w:val="center"/>
      </w:pPr>
    </w:p>
    <w:p w14:paraId="35CA9F49" w14:textId="77777777" w:rsidR="0098410D" w:rsidRPr="009816D7" w:rsidRDefault="0098410D" w:rsidP="009816D7">
      <w:pPr>
        <w:jc w:val="center"/>
        <w:outlineLvl w:val="0"/>
      </w:pPr>
      <w:r>
        <w:t>WYROK</w:t>
      </w:r>
    </w:p>
    <w:p w14:paraId="394D8A36" w14:textId="77777777" w:rsidR="0098410D" w:rsidRPr="009816D7" w:rsidRDefault="0098410D" w:rsidP="009816D7">
      <w:pPr>
        <w:jc w:val="center"/>
      </w:pPr>
    </w:p>
    <w:p w14:paraId="6EBC1986" w14:textId="77777777" w:rsidR="008C3397" w:rsidRPr="009816D7" w:rsidRDefault="008C3397" w:rsidP="009816D7">
      <w:pPr>
        <w:jc w:val="center"/>
      </w:pPr>
    </w:p>
    <w:p w14:paraId="412C16B3" w14:textId="77777777" w:rsidR="008C3397" w:rsidRPr="009816D7" w:rsidRDefault="008C3397" w:rsidP="009816D7">
      <w:pPr>
        <w:jc w:val="center"/>
      </w:pPr>
    </w:p>
    <w:p w14:paraId="536FB5F4" w14:textId="77777777" w:rsidR="0098410D" w:rsidRPr="009816D7" w:rsidRDefault="0098410D" w:rsidP="009816D7">
      <w:pPr>
        <w:jc w:val="center"/>
        <w:rPr>
          <w:i/>
        </w:rPr>
      </w:pPr>
    </w:p>
    <w:p w14:paraId="7FA4452D" w14:textId="77777777" w:rsidR="0098410D" w:rsidRPr="009816D7" w:rsidRDefault="0098410D" w:rsidP="009816D7">
      <w:pPr>
        <w:jc w:val="center"/>
        <w:outlineLvl w:val="0"/>
      </w:pPr>
      <w:r>
        <w:t>STRASBURG</w:t>
      </w:r>
    </w:p>
    <w:p w14:paraId="5BFED2FF" w14:textId="77777777" w:rsidR="0098410D" w:rsidRPr="009816D7" w:rsidRDefault="0098410D" w:rsidP="009816D7">
      <w:pPr>
        <w:jc w:val="center"/>
      </w:pPr>
    </w:p>
    <w:p w14:paraId="59F16005" w14:textId="77777777" w:rsidR="0098410D" w:rsidRPr="009816D7" w:rsidRDefault="00CD31A5" w:rsidP="009816D7">
      <w:pPr>
        <w:jc w:val="center"/>
      </w:pPr>
      <w:r>
        <w:rPr>
          <w:rFonts w:ascii="Times New Roman" w:hAnsi="Times New Roman"/>
        </w:rPr>
        <w:t>13 czerwca 2019 r.</w:t>
      </w:r>
    </w:p>
    <w:p w14:paraId="67814492" w14:textId="77777777" w:rsidR="0098410D" w:rsidRPr="009816D7" w:rsidRDefault="0098410D" w:rsidP="009816D7">
      <w:pPr>
        <w:jc w:val="center"/>
      </w:pPr>
    </w:p>
    <w:p w14:paraId="65307EFC" w14:textId="77777777" w:rsidR="0098410D" w:rsidRPr="009816D7" w:rsidRDefault="0098410D" w:rsidP="009816D7">
      <w:pPr>
        <w:jc w:val="center"/>
      </w:pPr>
    </w:p>
    <w:p w14:paraId="46B9A707" w14:textId="1E098881" w:rsidR="0098410D" w:rsidRPr="009816D7" w:rsidRDefault="0098410D" w:rsidP="00C260F4">
      <w:pPr>
        <w:jc w:val="center"/>
        <w:sectPr w:rsidR="0098410D" w:rsidRPr="009816D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  <w:r>
        <w:rPr>
          <w:i/>
          <w:sz w:val="22"/>
        </w:rPr>
        <w:t>Wyrok ten jest ostateczny</w:t>
      </w:r>
      <w:r w:rsidR="00D77C46">
        <w:rPr>
          <w:i/>
          <w:sz w:val="22"/>
        </w:rPr>
        <w:t>,</w:t>
      </w:r>
      <w:r>
        <w:rPr>
          <w:i/>
          <w:sz w:val="22"/>
        </w:rPr>
        <w:t xml:space="preserve"> ale może podlegać korekcie wydawniczej.</w:t>
      </w:r>
    </w:p>
    <w:p w14:paraId="5B498997" w14:textId="77777777" w:rsidR="0098410D" w:rsidRPr="009816D7" w:rsidRDefault="0098410D" w:rsidP="009816D7">
      <w:pPr>
        <w:pStyle w:val="JuCase"/>
      </w:pPr>
      <w:r>
        <w:lastRenderedPageBreak/>
        <w:t>W sprawie Jarmuż przeciwko Polsce,</w:t>
      </w:r>
    </w:p>
    <w:p w14:paraId="2F303BBA" w14:textId="4D54F0D6" w:rsidR="009F4C8F" w:rsidRPr="009816D7" w:rsidRDefault="009F4C8F" w:rsidP="009816D7">
      <w:pPr>
        <w:pStyle w:val="ECHRPara"/>
      </w:pPr>
      <w:r>
        <w:t xml:space="preserve">Europejski Trybunał Praw Człowieka (Sekcja Pierwsza), zasiadając jako </w:t>
      </w:r>
      <w:r w:rsidR="00C260F4">
        <w:t xml:space="preserve">Komitet </w:t>
      </w:r>
      <w:r>
        <w:t>w składzie:</w:t>
      </w:r>
    </w:p>
    <w:p w14:paraId="68700830" w14:textId="67811E84" w:rsidR="009F4C8F" w:rsidRPr="009816D7" w:rsidRDefault="00225D9C" w:rsidP="009816D7">
      <w:pPr>
        <w:pStyle w:val="ECHRDecisionBody"/>
      </w:pPr>
      <w:r>
        <w:tab/>
      </w:r>
      <w:proofErr w:type="spellStart"/>
      <w:r>
        <w:t>Pere</w:t>
      </w:r>
      <w:proofErr w:type="spellEnd"/>
      <w:r>
        <w:t xml:space="preserve"> Pastor </w:t>
      </w:r>
      <w:proofErr w:type="spellStart"/>
      <w:r>
        <w:t>Vilanova</w:t>
      </w:r>
      <w:proofErr w:type="spellEnd"/>
      <w:r>
        <w:t>,</w:t>
      </w:r>
      <w:r>
        <w:rPr>
          <w:i/>
        </w:rPr>
        <w:t xml:space="preserve"> Przewodniczący</w:t>
      </w:r>
      <w:r>
        <w:rPr>
          <w:i/>
        </w:rPr>
        <w:br/>
      </w:r>
      <w:r>
        <w:tab/>
        <w:t xml:space="preserve">Krzysztof </w:t>
      </w:r>
      <w:proofErr w:type="spellStart"/>
      <w:r>
        <w:t>Wojtyczek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Pauliine</w:t>
      </w:r>
      <w:proofErr w:type="spellEnd"/>
      <w:r>
        <w:t xml:space="preserve"> </w:t>
      </w:r>
      <w:proofErr w:type="spellStart"/>
      <w:r>
        <w:t>Koskelo</w:t>
      </w:r>
      <w:proofErr w:type="spellEnd"/>
      <w:r>
        <w:t>,</w:t>
      </w:r>
      <w:r>
        <w:rPr>
          <w:i/>
        </w:rPr>
        <w:t xml:space="preserve"> </w:t>
      </w:r>
      <w:r w:rsidR="00D77C46">
        <w:rPr>
          <w:i/>
          <w:iCs/>
        </w:rPr>
        <w:t>s</w:t>
      </w:r>
      <w:r>
        <w:rPr>
          <w:i/>
          <w:iCs/>
        </w:rPr>
        <w:t>ędziowie,</w:t>
      </w:r>
      <w:r>
        <w:br/>
      </w:r>
      <w:r w:rsidR="00D77C46">
        <w:t xml:space="preserve">oraz </w:t>
      </w:r>
      <w:r>
        <w:t xml:space="preserve">Renata </w:t>
      </w:r>
      <w:proofErr w:type="spellStart"/>
      <w:r>
        <w:t>Degener</w:t>
      </w:r>
      <w:proofErr w:type="spellEnd"/>
      <w:r>
        <w:t xml:space="preserve">, </w:t>
      </w:r>
      <w:r w:rsidR="00D77C46">
        <w:rPr>
          <w:i/>
        </w:rPr>
        <w:t>z</w:t>
      </w:r>
      <w:r>
        <w:rPr>
          <w:i/>
        </w:rPr>
        <w:t>astępca Kanclerza</w:t>
      </w:r>
      <w:r>
        <w:rPr>
          <w:i/>
          <w:iCs/>
        </w:rPr>
        <w:t xml:space="preserve"> Sekcj</w:t>
      </w:r>
      <w:r w:rsidR="004A5E37">
        <w:rPr>
          <w:i/>
          <w:iCs/>
        </w:rPr>
        <w:t>i</w:t>
      </w:r>
      <w:r>
        <w:rPr>
          <w:i/>
        </w:rPr>
        <w:t>,</w:t>
      </w:r>
    </w:p>
    <w:p w14:paraId="2CF70D6E" w14:textId="44B59E25" w:rsidR="009F4C8F" w:rsidRPr="009816D7" w:rsidRDefault="009F4C8F" w:rsidP="009816D7">
      <w:pPr>
        <w:pStyle w:val="ECHRPara"/>
      </w:pPr>
      <w:r>
        <w:t xml:space="preserve">obradując </w:t>
      </w:r>
      <w:r w:rsidR="008C7031">
        <w:t xml:space="preserve">21 maja 2019 r. </w:t>
      </w:r>
      <w:r>
        <w:t>na posiedzeniu niejawnym ,</w:t>
      </w:r>
    </w:p>
    <w:p w14:paraId="1CCAEF55" w14:textId="77777777" w:rsidR="009F4C8F" w:rsidRPr="009816D7" w:rsidRDefault="009F4C8F" w:rsidP="009816D7">
      <w:pPr>
        <w:pStyle w:val="ECHRPara"/>
      </w:pPr>
      <w:r>
        <w:t>wydaje następujący wyrok, który został przyjęty w tym dniu:</w:t>
      </w:r>
    </w:p>
    <w:p w14:paraId="304C5676" w14:textId="77777777" w:rsidR="00CD31A5" w:rsidRPr="009816D7" w:rsidRDefault="00CD31A5" w:rsidP="009816D7">
      <w:pPr>
        <w:pStyle w:val="ECHRTitle1"/>
      </w:pPr>
      <w:r>
        <w:t>POSTĘPOWANIE</w:t>
      </w:r>
    </w:p>
    <w:p w14:paraId="7B9DCAC0" w14:textId="18F8499A" w:rsidR="00CD31A5" w:rsidRPr="009816D7" w:rsidRDefault="00CD31A5" w:rsidP="009816D7">
      <w:pPr>
        <w:pStyle w:val="ECHRPara"/>
      </w:pPr>
      <w:r>
        <w:t>1.</w:t>
      </w:r>
      <w:r w:rsidR="00C80AF6">
        <w:t xml:space="preserve"> </w:t>
      </w:r>
      <w:r>
        <w:t xml:space="preserve">Sprawa wywodzi się ze skargi (nr 63696/12) przeciwko Polsce wniesionej do Trybunału 19 września 2012 r. na podstawie art. 34 Konwencji o ochronie praw człowieka i podstawowych wolności („Konwencji”) przez obywatela Polski p. Michała </w:t>
      </w:r>
      <w:proofErr w:type="spellStart"/>
      <w:r>
        <w:t>Jarmuża</w:t>
      </w:r>
      <w:proofErr w:type="spellEnd"/>
      <w:r>
        <w:t xml:space="preserve"> („skarżącego”).</w:t>
      </w:r>
    </w:p>
    <w:p w14:paraId="6F781871" w14:textId="0AF5F6EE" w:rsidR="00CD31A5" w:rsidRPr="009816D7" w:rsidRDefault="00CD31A5" w:rsidP="009816D7">
      <w:pPr>
        <w:pStyle w:val="ECHRPara"/>
      </w:pPr>
      <w:r>
        <w:t>2.</w:t>
      </w:r>
      <w:r w:rsidR="00C80AF6">
        <w:t xml:space="preserve"> </w:t>
      </w:r>
      <w:r>
        <w:t xml:space="preserve">Rząd Polski („Rząd”) reprezentowany </w:t>
      </w:r>
      <w:r w:rsidR="000B3C99">
        <w:t xml:space="preserve">był </w:t>
      </w:r>
      <w:r>
        <w:t>przez swojego pełnomocnika p. J. Chrzanowską</w:t>
      </w:r>
      <w:r w:rsidR="00DB7557">
        <w:t>, a następnie przez p. J. Sobczaka</w:t>
      </w:r>
      <w:r>
        <w:t xml:space="preserve"> z</w:t>
      </w:r>
      <w:r w:rsidR="00D26CA8">
        <w:t> </w:t>
      </w:r>
      <w:r>
        <w:t>Ministerstwa Spraw Zagranicznych.</w:t>
      </w:r>
    </w:p>
    <w:p w14:paraId="6D4E8815" w14:textId="6D9BA50C" w:rsidR="00CD31A5" w:rsidRPr="009816D7" w:rsidRDefault="00CD31A5" w:rsidP="009816D7">
      <w:pPr>
        <w:pStyle w:val="ECHRPara"/>
      </w:pPr>
      <w:r>
        <w:t>3.</w:t>
      </w:r>
      <w:r w:rsidR="00C80AF6">
        <w:t xml:space="preserve"> </w:t>
      </w:r>
      <w:r>
        <w:t>W dniu 7 lipca 2015 r. skarga została zakomunikowana Rządowi.</w:t>
      </w:r>
    </w:p>
    <w:p w14:paraId="78C77028" w14:textId="77777777" w:rsidR="00CD31A5" w:rsidRPr="009816D7" w:rsidRDefault="00CD31A5" w:rsidP="009816D7">
      <w:pPr>
        <w:pStyle w:val="ECHRTitle1"/>
      </w:pPr>
      <w:r>
        <w:t>FAKTY</w:t>
      </w:r>
    </w:p>
    <w:p w14:paraId="1626A957" w14:textId="77777777" w:rsidR="00CD31A5" w:rsidRPr="009816D7" w:rsidRDefault="00CD31A5" w:rsidP="009816D7">
      <w:pPr>
        <w:pStyle w:val="ECHRHeading1"/>
      </w:pPr>
      <w:r>
        <w:t>I. OKOLICZNOŚCI SPRAWY</w:t>
      </w:r>
    </w:p>
    <w:p w14:paraId="643B3D5A" w14:textId="644163E2" w:rsidR="00CD31A5" w:rsidRPr="009816D7" w:rsidRDefault="00CD31A5" w:rsidP="009816D7">
      <w:pPr>
        <w:pStyle w:val="ECHRPara"/>
      </w:pPr>
      <w:r>
        <w:t>4.</w:t>
      </w:r>
      <w:r w:rsidR="00C80AF6">
        <w:t xml:space="preserve"> </w:t>
      </w:r>
      <w:r>
        <w:t xml:space="preserve">Skarżący urodził się w 1966 r. i </w:t>
      </w:r>
      <w:r w:rsidR="00D77C46">
        <w:t xml:space="preserve">przebywa w </w:t>
      </w:r>
      <w:r w:rsidR="001C233B" w:rsidRPr="00157772">
        <w:t>a</w:t>
      </w:r>
      <w:r w:rsidR="00D77C46" w:rsidRPr="00157772">
        <w:t xml:space="preserve">reszcie </w:t>
      </w:r>
      <w:r w:rsidR="001C233B" w:rsidRPr="00157772">
        <w:t>ś</w:t>
      </w:r>
      <w:r w:rsidR="00D77C46" w:rsidRPr="00157772">
        <w:t>ledczym</w:t>
      </w:r>
      <w:r w:rsidR="00D77C46">
        <w:t xml:space="preserve"> </w:t>
      </w:r>
      <w:r>
        <w:t>we</w:t>
      </w:r>
      <w:r w:rsidR="00D26CA8">
        <w:t> </w:t>
      </w:r>
      <w:r>
        <w:t>Włocławku.</w:t>
      </w:r>
    </w:p>
    <w:p w14:paraId="4FADA23A" w14:textId="77777777" w:rsidR="00CD31A5" w:rsidRPr="009816D7" w:rsidRDefault="00CD31A5" w:rsidP="009816D7">
      <w:pPr>
        <w:pStyle w:val="ECHRHeading2"/>
      </w:pPr>
      <w:r>
        <w:t>A. Pierwsze postępowanie</w:t>
      </w:r>
    </w:p>
    <w:p w14:paraId="53356090" w14:textId="2BCBA26B" w:rsidR="00CD31A5" w:rsidRPr="009816D7" w:rsidRDefault="00CD31A5" w:rsidP="009816D7">
      <w:pPr>
        <w:pStyle w:val="ECHRPara"/>
      </w:pPr>
      <w:r>
        <w:t>5.</w:t>
      </w:r>
      <w:r w:rsidR="00C80AF6">
        <w:t xml:space="preserve"> </w:t>
      </w:r>
      <w:r>
        <w:t xml:space="preserve">Od 29 września 2005 r. </w:t>
      </w:r>
      <w:r w:rsidR="00B5418C">
        <w:t xml:space="preserve">przeciwko skarżącemu </w:t>
      </w:r>
      <w:r w:rsidR="00475563">
        <w:t>prowadzone jest</w:t>
      </w:r>
      <w:r>
        <w:t xml:space="preserve"> postępowanie karne</w:t>
      </w:r>
      <w:r w:rsidR="00B5418C">
        <w:t xml:space="preserve"> w </w:t>
      </w:r>
      <w:r w:rsidR="00475563">
        <w:t>przedmiocie</w:t>
      </w:r>
      <w:r>
        <w:t xml:space="preserve"> zarzut</w:t>
      </w:r>
      <w:r w:rsidR="00475563">
        <w:t>ów</w:t>
      </w:r>
      <w:r>
        <w:t xml:space="preserve"> </w:t>
      </w:r>
      <w:r w:rsidR="00475563">
        <w:t>dotyczących kierowania</w:t>
      </w:r>
      <w:r>
        <w:t xml:space="preserve"> </w:t>
      </w:r>
      <w:r w:rsidR="00475563">
        <w:t>zorganizowan</w:t>
      </w:r>
      <w:r w:rsidR="00943D21">
        <w:t>ą</w:t>
      </w:r>
      <w:r w:rsidR="00475563">
        <w:t xml:space="preserve"> grup</w:t>
      </w:r>
      <w:r w:rsidR="00943D21">
        <w:t>ą</w:t>
      </w:r>
      <w:r w:rsidR="00475563">
        <w:t xml:space="preserve"> przestępcz</w:t>
      </w:r>
      <w:r w:rsidR="00943D21">
        <w:t>ą</w:t>
      </w:r>
      <w:r>
        <w:t>, napaści i wymuszeń (</w:t>
      </w:r>
      <w:r w:rsidR="00475563">
        <w:t xml:space="preserve">sygn. akt </w:t>
      </w:r>
      <w:r>
        <w:t>IV K 59/09, Sąd Okręgowy w Łodzi).</w:t>
      </w:r>
    </w:p>
    <w:p w14:paraId="41C657D1" w14:textId="77777777" w:rsidR="00CD31A5" w:rsidRPr="009816D7" w:rsidRDefault="00CD31A5" w:rsidP="009816D7">
      <w:pPr>
        <w:pStyle w:val="ECHRHeading2"/>
      </w:pPr>
      <w:r>
        <w:t>B. Drugie postępowanie</w:t>
      </w:r>
    </w:p>
    <w:p w14:paraId="7123CF27" w14:textId="5A59FF9E" w:rsidR="00CD31A5" w:rsidRPr="009816D7" w:rsidRDefault="00CD31A5" w:rsidP="009816D7">
      <w:pPr>
        <w:pStyle w:val="ECHRHeading3"/>
      </w:pPr>
      <w:r>
        <w:t>1.</w:t>
      </w:r>
      <w:r w:rsidR="00C80AF6">
        <w:t xml:space="preserve"> </w:t>
      </w:r>
      <w:r>
        <w:t>Postępowanie karne</w:t>
      </w:r>
    </w:p>
    <w:p w14:paraId="05CF1065" w14:textId="2CA09237" w:rsidR="00CD31A5" w:rsidRPr="009816D7" w:rsidRDefault="00CD31A5" w:rsidP="009816D7">
      <w:pPr>
        <w:pStyle w:val="ECHRPara"/>
      </w:pPr>
      <w:bookmarkStart w:id="2" w:name="charge"/>
      <w:r>
        <w:t>6</w:t>
      </w:r>
      <w:bookmarkEnd w:id="2"/>
      <w:r>
        <w:t>.</w:t>
      </w:r>
      <w:r w:rsidR="00C80AF6">
        <w:t xml:space="preserve"> </w:t>
      </w:r>
      <w:r w:rsidR="00DB7557">
        <w:t>Dnia</w:t>
      </w:r>
      <w:r>
        <w:t xml:space="preserve"> 1 </w:t>
      </w:r>
      <w:r w:rsidR="00475563">
        <w:t xml:space="preserve">października </w:t>
      </w:r>
      <w:r>
        <w:t>20</w:t>
      </w:r>
      <w:r w:rsidR="00475563">
        <w:t>0</w:t>
      </w:r>
      <w:r>
        <w:t>9 r. skarżąc</w:t>
      </w:r>
      <w:r w:rsidR="00475563">
        <w:t>ego</w:t>
      </w:r>
      <w:r>
        <w:t xml:space="preserve"> zatrzyman</w:t>
      </w:r>
      <w:r w:rsidR="00475563">
        <w:t>o</w:t>
      </w:r>
      <w:r>
        <w:t xml:space="preserve"> i </w:t>
      </w:r>
      <w:r w:rsidR="00475563">
        <w:t xml:space="preserve">zastosowano wobec niego </w:t>
      </w:r>
      <w:r>
        <w:t>tymczasow</w:t>
      </w:r>
      <w:r w:rsidR="00475563">
        <w:t>e</w:t>
      </w:r>
      <w:r>
        <w:t xml:space="preserve"> </w:t>
      </w:r>
      <w:r w:rsidR="00475563">
        <w:t>aresztowanie</w:t>
      </w:r>
      <w:r>
        <w:t>.</w:t>
      </w:r>
    </w:p>
    <w:p w14:paraId="73B4A4AA" w14:textId="4A61446E" w:rsidR="00CD31A5" w:rsidRPr="009816D7" w:rsidRDefault="00CD31A5" w:rsidP="009816D7">
      <w:pPr>
        <w:pStyle w:val="ECHRPara"/>
      </w:pPr>
      <w:bookmarkStart w:id="3" w:name="indicted"/>
      <w:r>
        <w:lastRenderedPageBreak/>
        <w:t>7</w:t>
      </w:r>
      <w:bookmarkEnd w:id="3"/>
      <w:r>
        <w:t>.</w:t>
      </w:r>
      <w:r w:rsidR="00C80AF6">
        <w:t xml:space="preserve"> </w:t>
      </w:r>
      <w:r w:rsidR="00DB7557">
        <w:t>Dnia</w:t>
      </w:r>
      <w:r>
        <w:t xml:space="preserve"> 2 marca 2010 r. </w:t>
      </w:r>
      <w:r w:rsidR="00475563">
        <w:t>przeciwko</w:t>
      </w:r>
      <w:r>
        <w:t xml:space="preserve"> </w:t>
      </w:r>
      <w:r w:rsidR="00475563">
        <w:t xml:space="preserve">skarżącemu do Sądu Okręgowego </w:t>
      </w:r>
      <w:r>
        <w:t>w</w:t>
      </w:r>
      <w:r w:rsidR="00D26CA8">
        <w:t> </w:t>
      </w:r>
      <w:r>
        <w:t>Łodzi</w:t>
      </w:r>
      <w:r w:rsidR="00475563">
        <w:t xml:space="preserve"> wniesiono akt oskarżenia</w:t>
      </w:r>
      <w:r>
        <w:t xml:space="preserve">. Akt oskarżenia </w:t>
      </w:r>
      <w:r w:rsidR="00475563">
        <w:t>wniesiono przeciwko</w:t>
      </w:r>
      <w:r>
        <w:t xml:space="preserve"> skarżącemu oraz dwudziestu</w:t>
      </w:r>
      <w:r w:rsidR="007B5266">
        <w:t xml:space="preserve"> </w:t>
      </w:r>
      <w:r>
        <w:t>dw</w:t>
      </w:r>
      <w:r w:rsidR="0029590F">
        <w:t>ó</w:t>
      </w:r>
      <w:r>
        <w:t xml:space="preserve">m współoskarżonym, którym łącznie </w:t>
      </w:r>
      <w:r w:rsidR="00475563">
        <w:t xml:space="preserve">postawiono </w:t>
      </w:r>
      <w:r>
        <w:t xml:space="preserve">ponad 900 zarzutów. Skarżącemu postawiono trzydzieści osiem zarzutów </w:t>
      </w:r>
      <w:r w:rsidR="00006287">
        <w:t>dotyczących</w:t>
      </w:r>
      <w:r>
        <w:t xml:space="preserve"> licznych przestępstw związanych z kradzieżą samochodów, handlem narkotykami, napadami i włamaniami, </w:t>
      </w:r>
      <w:r w:rsidR="007C50F2">
        <w:t xml:space="preserve">popełnionych </w:t>
      </w:r>
      <w:r>
        <w:t xml:space="preserve">w </w:t>
      </w:r>
      <w:r w:rsidR="007C50F2">
        <w:t xml:space="preserve">warunkach zorganizowanej grupy </w:t>
      </w:r>
      <w:r>
        <w:t>przestępcze</w:t>
      </w:r>
      <w:r w:rsidR="007C50F2">
        <w:t>j</w:t>
      </w:r>
      <w:r>
        <w:t xml:space="preserve">. </w:t>
      </w:r>
    </w:p>
    <w:p w14:paraId="741E13E0" w14:textId="1772D63F" w:rsidR="00CD31A5" w:rsidRPr="009816D7" w:rsidRDefault="00CD31A5" w:rsidP="009816D7">
      <w:pPr>
        <w:pStyle w:val="ECHRPara"/>
      </w:pPr>
      <w:bookmarkStart w:id="4" w:name="trial"/>
      <w:r>
        <w:t>8</w:t>
      </w:r>
      <w:bookmarkEnd w:id="4"/>
      <w:r w:rsidRPr="009F4C5C">
        <w:t>.</w:t>
      </w:r>
      <w:r w:rsidR="00C80AF6">
        <w:t xml:space="preserve"> </w:t>
      </w:r>
      <w:r w:rsidRPr="009F4C5C">
        <w:t xml:space="preserve">Na posiedzeniu 23 listopada 2010 r. sąd </w:t>
      </w:r>
      <w:r w:rsidR="00C63BFE" w:rsidRPr="00F82479">
        <w:t>I instancji</w:t>
      </w:r>
      <w:r w:rsidRPr="00F82479">
        <w:t xml:space="preserve"> postanowił </w:t>
      </w:r>
      <w:r w:rsidR="007C50F2" w:rsidRPr="00F82479">
        <w:t xml:space="preserve">wyłączyć </w:t>
      </w:r>
      <w:r w:rsidRPr="009F4C5C">
        <w:t xml:space="preserve">część sprawy </w:t>
      </w:r>
      <w:r w:rsidR="007C50F2" w:rsidRPr="009F4C5C">
        <w:t xml:space="preserve">z prowadzonego </w:t>
      </w:r>
      <w:r w:rsidRPr="009F4C5C">
        <w:t>przeciwko skarżącemu</w:t>
      </w:r>
      <w:r w:rsidR="007C50F2" w:rsidRPr="009F4C5C">
        <w:t xml:space="preserve"> postępowania</w:t>
      </w:r>
      <w:r w:rsidRPr="009F4C5C">
        <w:t xml:space="preserve">, </w:t>
      </w:r>
      <w:r w:rsidR="00F82479">
        <w:t xml:space="preserve">w celu </w:t>
      </w:r>
      <w:r w:rsidR="007C50F2" w:rsidRPr="009F4C5C">
        <w:t>rozpoznan</w:t>
      </w:r>
      <w:r w:rsidR="00F82479">
        <w:t>i</w:t>
      </w:r>
      <w:r w:rsidR="007C50F2" w:rsidRPr="009F4C5C">
        <w:t>a</w:t>
      </w:r>
      <w:r w:rsidR="00F82479">
        <w:t xml:space="preserve"> jej</w:t>
      </w:r>
      <w:r w:rsidR="007C50F2" w:rsidRPr="009F4C5C">
        <w:t xml:space="preserve"> </w:t>
      </w:r>
      <w:r w:rsidRPr="009F4C5C">
        <w:t xml:space="preserve">w </w:t>
      </w:r>
      <w:r w:rsidR="007C50F2" w:rsidRPr="009F4C5C">
        <w:t xml:space="preserve">odrębnym </w:t>
      </w:r>
      <w:r w:rsidRPr="009F4C5C">
        <w:t>proces</w:t>
      </w:r>
      <w:r w:rsidR="007C50F2" w:rsidRPr="009F4C5C">
        <w:t>ie</w:t>
      </w:r>
      <w:r w:rsidR="00F82479">
        <w:t xml:space="preserve"> razem z innymi </w:t>
      </w:r>
      <w:r w:rsidRPr="00F82479">
        <w:t xml:space="preserve">postawionymi mu zarzutami. </w:t>
      </w:r>
      <w:r>
        <w:t>W konsekwencji p</w:t>
      </w:r>
      <w:r w:rsidR="007C50F2">
        <w:t xml:space="preserve">rowadzone </w:t>
      </w:r>
      <w:r>
        <w:t xml:space="preserve">przeciwko skarżącemu </w:t>
      </w:r>
      <w:r w:rsidR="007C50F2">
        <w:t xml:space="preserve">postępowanie </w:t>
      </w:r>
      <w:r>
        <w:t xml:space="preserve">miało zostać </w:t>
      </w:r>
      <w:r w:rsidR="007C50F2">
        <w:t xml:space="preserve">przekazane </w:t>
      </w:r>
      <w:r>
        <w:t xml:space="preserve">do innego wydziału Sądu Okręgowego w Łodzi. </w:t>
      </w:r>
      <w:r w:rsidR="007C50F2">
        <w:t>Postanowienie w przedmiocie</w:t>
      </w:r>
      <w:r>
        <w:t xml:space="preserve"> właściwości sądu uchylon</w:t>
      </w:r>
      <w:r w:rsidR="007C50F2">
        <w:t>o</w:t>
      </w:r>
      <w:r>
        <w:t xml:space="preserve"> 14 grudnia 2010 r. </w:t>
      </w:r>
      <w:r w:rsidR="00DB7557">
        <w:t>Dnia</w:t>
      </w:r>
      <w:r>
        <w:t xml:space="preserve"> 28 grudnia 2010 r. sąd </w:t>
      </w:r>
      <w:r w:rsidR="00C63BFE">
        <w:t>I instancji</w:t>
      </w:r>
      <w:r>
        <w:t xml:space="preserve"> przedłużył </w:t>
      </w:r>
      <w:r w:rsidR="007C50F2">
        <w:t xml:space="preserve">zastosowane </w:t>
      </w:r>
      <w:r>
        <w:t xml:space="preserve">wobec </w:t>
      </w:r>
      <w:r w:rsidR="007C50F2">
        <w:t xml:space="preserve">skarżącego </w:t>
      </w:r>
      <w:r>
        <w:t>tymczasowe aresztowani</w:t>
      </w:r>
      <w:r w:rsidR="007C50F2">
        <w:t>e</w:t>
      </w:r>
      <w:r>
        <w:t xml:space="preserve">. </w:t>
      </w:r>
      <w:r w:rsidR="00DB7557">
        <w:t>Dnia</w:t>
      </w:r>
      <w:r w:rsidR="00D26CA8">
        <w:t> </w:t>
      </w:r>
      <w:r>
        <w:t xml:space="preserve">4 lutego 2011 r. postępowanie </w:t>
      </w:r>
      <w:r w:rsidR="007C50F2">
        <w:t xml:space="preserve">uległo </w:t>
      </w:r>
      <w:r>
        <w:t>zawiesz</w:t>
      </w:r>
      <w:r w:rsidR="007C50F2">
        <w:t>eniu</w:t>
      </w:r>
      <w:r>
        <w:t xml:space="preserve"> </w:t>
      </w:r>
      <w:r w:rsidR="00585BDA">
        <w:t>do czasu zakończenia innego postępowania</w:t>
      </w:r>
      <w:r>
        <w:t xml:space="preserve">, </w:t>
      </w:r>
      <w:r w:rsidR="00585BDA">
        <w:t>lecz postanowienie to</w:t>
      </w:r>
      <w:r>
        <w:t xml:space="preserve"> </w:t>
      </w:r>
      <w:r w:rsidR="001C68B4">
        <w:t>uchylon</w:t>
      </w:r>
      <w:r w:rsidR="00585BDA">
        <w:t>o</w:t>
      </w:r>
      <w:r>
        <w:t xml:space="preserve"> </w:t>
      </w:r>
      <w:r w:rsidR="00142904" w:rsidRPr="00000819">
        <w:t>16</w:t>
      </w:r>
      <w:r w:rsidR="00D26CA8">
        <w:t> </w:t>
      </w:r>
      <w:r w:rsidR="00142904" w:rsidRPr="00000819">
        <w:t xml:space="preserve">marca 2011 r. </w:t>
      </w:r>
      <w:r w:rsidR="00585BDA">
        <w:t xml:space="preserve">wskutek wniesienia </w:t>
      </w:r>
      <w:r w:rsidR="00585BDA" w:rsidRPr="00142904">
        <w:t>zażalenia</w:t>
      </w:r>
      <w:r w:rsidR="00142904">
        <w:t>.</w:t>
      </w:r>
      <w:r w:rsidR="00585BDA" w:rsidRPr="00142904">
        <w:t xml:space="preserve"> </w:t>
      </w:r>
      <w:r w:rsidRPr="00142904">
        <w:t>W</w:t>
      </w:r>
      <w:r>
        <w:t xml:space="preserve"> marcu 2011 r. spraw</w:t>
      </w:r>
      <w:r w:rsidR="00585BDA">
        <w:t>ę</w:t>
      </w:r>
      <w:r>
        <w:t xml:space="preserve"> przekazan</w:t>
      </w:r>
      <w:r w:rsidR="00943D21">
        <w:t>o</w:t>
      </w:r>
      <w:r>
        <w:t xml:space="preserve"> do właściwego wydziału sądu, a następnie prezes sądu </w:t>
      </w:r>
      <w:r w:rsidR="00585BDA">
        <w:t xml:space="preserve">wyznaczył pierwszy termin </w:t>
      </w:r>
      <w:r w:rsidR="00943D21">
        <w:t xml:space="preserve">rozprawy </w:t>
      </w:r>
      <w:r>
        <w:t xml:space="preserve">na 14 września 2011 r. i podjął inne </w:t>
      </w:r>
      <w:r w:rsidR="00585BDA">
        <w:t xml:space="preserve">czynności organizacyjne </w:t>
      </w:r>
      <w:r>
        <w:t xml:space="preserve">(jak ustalenie miejsca </w:t>
      </w:r>
      <w:r w:rsidR="00585BDA">
        <w:t xml:space="preserve">pobytu około </w:t>
      </w:r>
      <w:r>
        <w:t>dwunastu świadków).</w:t>
      </w:r>
    </w:p>
    <w:p w14:paraId="40ED7DF9" w14:textId="1A5D50A7" w:rsidR="00CD31A5" w:rsidRPr="009816D7" w:rsidRDefault="00CD31A5" w:rsidP="00B016BB">
      <w:pPr>
        <w:pStyle w:val="ECHRPara"/>
        <w:ind w:firstLine="0"/>
      </w:pPr>
      <w:r w:rsidRPr="00142904">
        <w:t xml:space="preserve">W </w:t>
      </w:r>
      <w:r w:rsidR="00585BDA" w:rsidRPr="00142904">
        <w:t xml:space="preserve">toku </w:t>
      </w:r>
      <w:r w:rsidRPr="00142904">
        <w:t xml:space="preserve">postępowania </w:t>
      </w:r>
      <w:r>
        <w:t>skarżący złożył wiele wniosków</w:t>
      </w:r>
      <w:r w:rsidR="00C80AF6">
        <w:t xml:space="preserve"> </w:t>
      </w:r>
      <w:r w:rsidR="00142904">
        <w:t>proceduralnych</w:t>
      </w:r>
      <w:r>
        <w:t xml:space="preserve">, które zostały </w:t>
      </w:r>
      <w:r w:rsidR="00B8743C">
        <w:t xml:space="preserve">rozpoznane </w:t>
      </w:r>
      <w:r>
        <w:t xml:space="preserve">przez sąd </w:t>
      </w:r>
      <w:r w:rsidR="00C63BFE">
        <w:t>I instancji</w:t>
      </w:r>
      <w:r>
        <w:t xml:space="preserve">. W szczególności zwrócił się o odroczenie rozprawy, dopuszczenie nowych dowodów oraz </w:t>
      </w:r>
      <w:r w:rsidR="00B8743C">
        <w:t>wniósł o</w:t>
      </w:r>
      <w:r w:rsidR="00D26CA8">
        <w:t> </w:t>
      </w:r>
      <w:r w:rsidR="00B8743C">
        <w:t>wyłączenie</w:t>
      </w:r>
      <w:r>
        <w:t xml:space="preserve"> sędziego i prokuratora.</w:t>
      </w:r>
    </w:p>
    <w:p w14:paraId="72068E33" w14:textId="7ECD69A1" w:rsidR="00CD31A5" w:rsidRPr="009816D7" w:rsidRDefault="00CD31A5" w:rsidP="009816D7">
      <w:pPr>
        <w:pStyle w:val="ECHRPara"/>
      </w:pPr>
      <w:bookmarkStart w:id="5" w:name="judgmnt"/>
      <w:r w:rsidRPr="00C80AF6">
        <w:t>9</w:t>
      </w:r>
      <w:bookmarkEnd w:id="5"/>
      <w:r w:rsidRPr="00C80AF6">
        <w:t>.</w:t>
      </w:r>
      <w:r w:rsidR="00C80AF6" w:rsidRPr="00C80AF6">
        <w:t xml:space="preserve"> </w:t>
      </w:r>
      <w:r w:rsidRPr="00C80AF6">
        <w:t>Sąd Okręgowy w Łodzi przeprowadził łącznie około dwudziestu</w:t>
      </w:r>
      <w:r w:rsidRPr="009749AC">
        <w:t xml:space="preserve"> czterech rozpraw</w:t>
      </w:r>
      <w:r>
        <w:t xml:space="preserve"> i 13 maja 2013 r. skazał skarżącego na </w:t>
      </w:r>
      <w:r w:rsidR="00B8743C">
        <w:t xml:space="preserve">karę </w:t>
      </w:r>
      <w:r>
        <w:t>dziewię</w:t>
      </w:r>
      <w:r w:rsidR="00B8743C">
        <w:t>ciu</w:t>
      </w:r>
      <w:r>
        <w:t xml:space="preserve"> lat pozbawienia wolności.</w:t>
      </w:r>
    </w:p>
    <w:p w14:paraId="008A2514" w14:textId="050B61AE" w:rsidR="00CD31A5" w:rsidRPr="009816D7" w:rsidRDefault="00CD31A5" w:rsidP="009816D7">
      <w:pPr>
        <w:pStyle w:val="ECHRPara"/>
      </w:pPr>
      <w:r>
        <w:t>10.</w:t>
      </w:r>
      <w:r w:rsidR="00C80AF6">
        <w:t xml:space="preserve"> </w:t>
      </w:r>
      <w:r>
        <w:t xml:space="preserve">Skarżący wniósł </w:t>
      </w:r>
      <w:r w:rsidR="00B8743C">
        <w:t>apelację</w:t>
      </w:r>
      <w:r>
        <w:t xml:space="preserve"> od wyroku. </w:t>
      </w:r>
    </w:p>
    <w:p w14:paraId="4EBD2F21" w14:textId="72560953" w:rsidR="00CD31A5" w:rsidRPr="009816D7" w:rsidRDefault="00CD31A5" w:rsidP="009816D7">
      <w:pPr>
        <w:pStyle w:val="ECHRPara"/>
      </w:pPr>
      <w:bookmarkStart w:id="6" w:name="hearingsappealate"/>
      <w:r>
        <w:t>11</w:t>
      </w:r>
      <w:bookmarkEnd w:id="6"/>
      <w:r>
        <w:t>.</w:t>
      </w:r>
      <w:r w:rsidR="00C80AF6">
        <w:t xml:space="preserve"> </w:t>
      </w:r>
      <w:r>
        <w:t xml:space="preserve">Rozprawa </w:t>
      </w:r>
      <w:r w:rsidR="00B8743C">
        <w:t>apelacyjna</w:t>
      </w:r>
      <w:r>
        <w:t xml:space="preserve"> </w:t>
      </w:r>
      <w:r w:rsidR="00B8743C">
        <w:t xml:space="preserve">wyznaczona </w:t>
      </w:r>
      <w:r>
        <w:t xml:space="preserve">na 15 kwietnia 2014 r. została odwołana z powodu nieobecności </w:t>
      </w:r>
      <w:r w:rsidR="00B8743C">
        <w:t xml:space="preserve">obrońcy </w:t>
      </w:r>
      <w:r>
        <w:t>skarżącego.</w:t>
      </w:r>
    </w:p>
    <w:p w14:paraId="4AC5EE0A" w14:textId="3C1E8ABD" w:rsidR="00CD31A5" w:rsidRPr="009816D7" w:rsidRDefault="00CD31A5" w:rsidP="009816D7">
      <w:pPr>
        <w:pStyle w:val="ECHRPara"/>
      </w:pPr>
      <w:r>
        <w:t>12.</w:t>
      </w:r>
      <w:r w:rsidR="00C80AF6">
        <w:t xml:space="preserve"> </w:t>
      </w:r>
      <w:r w:rsidR="00DB7557">
        <w:t>Dnia</w:t>
      </w:r>
      <w:r>
        <w:t xml:space="preserve"> 12 czerwca 2014 r. Sąd Apelacyjny w Łodzi uwzględnił apelację skarżącego w części i </w:t>
      </w:r>
      <w:r w:rsidR="00B8743C">
        <w:t xml:space="preserve">obniżył wymiar orzeczonej wobec niego kary </w:t>
      </w:r>
      <w:r>
        <w:t xml:space="preserve">do ośmiu lat pozbawienia wolności. Skarżący </w:t>
      </w:r>
      <w:r w:rsidR="00B8743C">
        <w:t xml:space="preserve">wniósł </w:t>
      </w:r>
      <w:r w:rsidR="00804C93">
        <w:t>kasację</w:t>
      </w:r>
      <w:r>
        <w:t>.</w:t>
      </w:r>
    </w:p>
    <w:p w14:paraId="2649CDE6" w14:textId="4AA77F9D" w:rsidR="00CD31A5" w:rsidRPr="009816D7" w:rsidRDefault="00CD31A5" w:rsidP="009816D7">
      <w:pPr>
        <w:pStyle w:val="ECHRPara"/>
      </w:pPr>
      <w:r>
        <w:t>13.</w:t>
      </w:r>
      <w:r w:rsidR="00C80AF6">
        <w:t xml:space="preserve"> </w:t>
      </w:r>
      <w:r w:rsidR="00DB7557">
        <w:t>Dnia</w:t>
      </w:r>
      <w:r>
        <w:t xml:space="preserve"> 17 grudnia 2014 r</w:t>
      </w:r>
      <w:r w:rsidR="00804C93">
        <w:t>. Sąd Najwyższy oddalił kasację</w:t>
      </w:r>
      <w:r>
        <w:t>.</w:t>
      </w:r>
    </w:p>
    <w:p w14:paraId="786CC957" w14:textId="63F3C52B" w:rsidR="00CD31A5" w:rsidRPr="009816D7" w:rsidRDefault="00CD31A5" w:rsidP="009816D7">
      <w:pPr>
        <w:pStyle w:val="ECHRHeading3"/>
      </w:pPr>
      <w:r>
        <w:t>2.</w:t>
      </w:r>
      <w:r w:rsidR="00C80AF6">
        <w:t xml:space="preserve"> </w:t>
      </w:r>
      <w:r>
        <w:t xml:space="preserve">Postępowanie na </w:t>
      </w:r>
      <w:r w:rsidR="00B8743C">
        <w:t xml:space="preserve">gruncie </w:t>
      </w:r>
      <w:r>
        <w:t>ustawy z 2004 r.</w:t>
      </w:r>
    </w:p>
    <w:p w14:paraId="0075182E" w14:textId="5B320288" w:rsidR="00CD31A5" w:rsidRPr="009816D7" w:rsidRDefault="00CD31A5" w:rsidP="009816D7">
      <w:pPr>
        <w:pStyle w:val="ECHRPara"/>
        <w:rPr>
          <w:iCs/>
        </w:rPr>
      </w:pPr>
      <w:r>
        <w:t>14.</w:t>
      </w:r>
      <w:r w:rsidR="00C80AF6">
        <w:t xml:space="preserve"> </w:t>
      </w:r>
      <w:r>
        <w:t xml:space="preserve">Skarżący </w:t>
      </w:r>
      <w:r w:rsidR="00B8743C">
        <w:t xml:space="preserve">wniósł </w:t>
      </w:r>
      <w:r>
        <w:t>dwie skargi na mocy ustawy z dnia 17 czerwca 2004</w:t>
      </w:r>
      <w:r w:rsidR="00D26CA8">
        <w:t> </w:t>
      </w:r>
      <w:r>
        <w:t xml:space="preserve">r. </w:t>
      </w:r>
      <w:r w:rsidR="00B8743C" w:rsidRPr="003063D7">
        <w:t>o skardze na naruszenie prawa strony do rozpoznania sprawy w postępowaniu przygotowawczym prowadzonym lub nadzorowanym przez prokuratora i postępowaniu sądowym bez nieuzasadnionej zwłoki</w:t>
      </w:r>
      <w:r w:rsidR="00B8743C">
        <w:rPr>
          <w:i/>
          <w:iCs/>
        </w:rPr>
        <w:t xml:space="preserve"> </w:t>
      </w:r>
      <w:r>
        <w:t>(„ustawa z 2004 r.”).</w:t>
      </w:r>
    </w:p>
    <w:p w14:paraId="272D3CB5" w14:textId="24B17573" w:rsidR="00CD31A5" w:rsidRPr="009816D7" w:rsidRDefault="00CD31A5" w:rsidP="009816D7">
      <w:pPr>
        <w:pStyle w:val="ECHRPara"/>
        <w:rPr>
          <w:iCs/>
        </w:rPr>
      </w:pPr>
      <w:r>
        <w:lastRenderedPageBreak/>
        <w:t>15.</w:t>
      </w:r>
      <w:r w:rsidR="00C80AF6">
        <w:t xml:space="preserve"> </w:t>
      </w:r>
      <w:r w:rsidR="00DB7557">
        <w:t>Dnia</w:t>
      </w:r>
      <w:r>
        <w:t xml:space="preserve"> 7 września 2011 r. Sąd Apelacyjny w Łodzi oddalił pierwszą skargę. Sąd, </w:t>
      </w:r>
      <w:r w:rsidR="00B8743C">
        <w:t>przytaczając</w:t>
      </w:r>
      <w:r>
        <w:t xml:space="preserve"> </w:t>
      </w:r>
      <w:r w:rsidR="00B8743C">
        <w:t xml:space="preserve">zasady </w:t>
      </w:r>
      <w:r>
        <w:t>Konwencji</w:t>
      </w:r>
      <w:r w:rsidR="00C80AF6">
        <w:t>,</w:t>
      </w:r>
      <w:r>
        <w:t xml:space="preserve"> orzekł, że biorąc pod uwagę złożoność sprawy</w:t>
      </w:r>
      <w:r w:rsidR="00C80AF6">
        <w:t>,</w:t>
      </w:r>
      <w:r>
        <w:t xml:space="preserve"> czas trwania postępowania nie był nadmierny. W</w:t>
      </w:r>
      <w:r w:rsidR="00D26CA8">
        <w:t> </w:t>
      </w:r>
      <w:r>
        <w:t xml:space="preserve">omawianym okresie sąd </w:t>
      </w:r>
      <w:r w:rsidR="00C63BFE">
        <w:t>I instancji</w:t>
      </w:r>
      <w:r>
        <w:t xml:space="preserve"> </w:t>
      </w:r>
      <w:r w:rsidR="00C63BFE">
        <w:t xml:space="preserve">rzetelnie </w:t>
      </w:r>
      <w:r>
        <w:t>przygotowywał się do</w:t>
      </w:r>
      <w:r w:rsidR="00D26CA8">
        <w:t> </w:t>
      </w:r>
      <w:r>
        <w:t>procesu, np. zapewniając obecność dużej liczby świadków, któr</w:t>
      </w:r>
      <w:r w:rsidR="00B8743C">
        <w:t>ych</w:t>
      </w:r>
      <w:r w:rsidR="00D26CA8">
        <w:t> </w:t>
      </w:r>
      <w:r>
        <w:t>wezwan</w:t>
      </w:r>
      <w:r w:rsidR="00B8743C">
        <w:t>o</w:t>
      </w:r>
      <w:r>
        <w:t xml:space="preserve"> z różnych </w:t>
      </w:r>
      <w:r w:rsidR="00B8743C">
        <w:t>jednostek penitencjarnych</w:t>
      </w:r>
      <w:r>
        <w:t>.</w:t>
      </w:r>
    </w:p>
    <w:p w14:paraId="0D7EB4BD" w14:textId="540C0778" w:rsidR="00CD31A5" w:rsidRPr="009816D7" w:rsidRDefault="00CD31A5" w:rsidP="009816D7">
      <w:pPr>
        <w:pStyle w:val="ECHRPara"/>
      </w:pPr>
      <w:r>
        <w:t>16.</w:t>
      </w:r>
      <w:r w:rsidR="00C80AF6">
        <w:t xml:space="preserve"> </w:t>
      </w:r>
      <w:r w:rsidR="00DB7557">
        <w:t>Dnia</w:t>
      </w:r>
      <w:r>
        <w:t xml:space="preserve"> 28 listopada 2012 r. Sąd Apelacyjny w Łodzi oddalił drugą skargę skarżącego. Sąd </w:t>
      </w:r>
      <w:r w:rsidR="00B8743C">
        <w:t xml:space="preserve">przeanalizował </w:t>
      </w:r>
      <w:r>
        <w:t xml:space="preserve">przebieg postępowania i </w:t>
      </w:r>
      <w:r w:rsidR="00B8743C">
        <w:t>stwierdził</w:t>
      </w:r>
      <w:r>
        <w:t xml:space="preserve">, że </w:t>
      </w:r>
      <w:r w:rsidR="00194D69">
        <w:t>sądy nie dopuściły się żadnej zwłoki</w:t>
      </w:r>
      <w:r>
        <w:t xml:space="preserve">. </w:t>
      </w:r>
      <w:r w:rsidR="00194D69">
        <w:t>Wskazał</w:t>
      </w:r>
      <w:r>
        <w:t xml:space="preserve">, że sąd </w:t>
      </w:r>
      <w:r w:rsidR="00C63BFE">
        <w:t xml:space="preserve">I instancji </w:t>
      </w:r>
      <w:r>
        <w:t xml:space="preserve">podjął </w:t>
      </w:r>
      <w:r w:rsidR="009749AC" w:rsidRPr="00C373EA">
        <w:t>wiele proceduralnych decyzji</w:t>
      </w:r>
      <w:r w:rsidRPr="00C373EA">
        <w:t>,</w:t>
      </w:r>
      <w:r>
        <w:t xml:space="preserve"> o które wnioskowały strony, w tym skarżący.</w:t>
      </w:r>
    </w:p>
    <w:p w14:paraId="50E8727D" w14:textId="20B6720F" w:rsidR="00CD31A5" w:rsidRPr="009816D7" w:rsidRDefault="00CD31A5" w:rsidP="009816D7">
      <w:pPr>
        <w:pStyle w:val="ECHRHeading1"/>
      </w:pPr>
      <w:r>
        <w:t>II.</w:t>
      </w:r>
      <w:r w:rsidR="00C80AF6">
        <w:t xml:space="preserve"> </w:t>
      </w:r>
      <w:r>
        <w:t>WŁAŚCIWE PRAWO KRAJOWE I PRAKTYKA</w:t>
      </w:r>
    </w:p>
    <w:p w14:paraId="007D13F9" w14:textId="52435345" w:rsidR="00CD31A5" w:rsidRPr="009816D7" w:rsidRDefault="00CD31A5" w:rsidP="009816D7">
      <w:pPr>
        <w:pStyle w:val="ECHRPara"/>
      </w:pPr>
      <w:r>
        <w:t>17.</w:t>
      </w:r>
      <w:r w:rsidR="00C80AF6">
        <w:t xml:space="preserve"> </w:t>
      </w:r>
      <w:r>
        <w:t>Szczegółowy opis właściwego prawa krajowego i praktyki w</w:t>
      </w:r>
      <w:r w:rsidR="00D26CA8">
        <w:t> </w:t>
      </w:r>
      <w:r>
        <w:t xml:space="preserve">zakresie środków odwoławczych z tytułu przewlekłości postępowań sądowych </w:t>
      </w:r>
      <w:r w:rsidR="00194D69" w:rsidRPr="009816D7">
        <w:t>–</w:t>
      </w:r>
      <w:r>
        <w:t xml:space="preserve"> w szczególności obowiązujących przepisów ustawy z 2004 r. </w:t>
      </w:r>
      <w:r w:rsidR="00194D69" w:rsidRPr="009816D7">
        <w:t>–</w:t>
      </w:r>
      <w:r>
        <w:t xml:space="preserve"> znajduje się w orzeczeniach Trybunału w sprawach </w:t>
      </w:r>
      <w:r w:rsidRPr="00DB7557">
        <w:rPr>
          <w:i/>
          <w:iCs/>
        </w:rPr>
        <w:t>Charzyński przeciwko Polsce</w:t>
      </w:r>
      <w:r>
        <w:t xml:space="preserve"> ((dec.), nr 15212/03, §§ 12-23, ETPCz 2005-V) i </w:t>
      </w:r>
      <w:r w:rsidRPr="00DB7557">
        <w:rPr>
          <w:i/>
          <w:iCs/>
        </w:rPr>
        <w:t xml:space="preserve">Ratajczyk przeciwko Polsce </w:t>
      </w:r>
      <w:r>
        <w:t xml:space="preserve">((dec.), nr 11215/02, ETPCz 2005-VIII) oraz w wyrokach </w:t>
      </w:r>
      <w:r w:rsidR="00194D69">
        <w:t xml:space="preserve">Trybunału </w:t>
      </w:r>
      <w:r>
        <w:t xml:space="preserve">w sprawach </w:t>
      </w:r>
      <w:proofErr w:type="spellStart"/>
      <w:r w:rsidRPr="00DB7557">
        <w:rPr>
          <w:i/>
          <w:iCs/>
        </w:rPr>
        <w:t>Krasuski</w:t>
      </w:r>
      <w:proofErr w:type="spellEnd"/>
      <w:r w:rsidRPr="00DB7557">
        <w:rPr>
          <w:i/>
          <w:iCs/>
        </w:rPr>
        <w:t xml:space="preserve"> przeciwko Polsce</w:t>
      </w:r>
      <w:r>
        <w:t xml:space="preserve"> (nr 61444/00, §§ 34-46, ETPCz 2005-V (fragmenty)) i </w:t>
      </w:r>
      <w:r w:rsidRPr="00DB7557">
        <w:rPr>
          <w:i/>
          <w:iCs/>
        </w:rPr>
        <w:t>Rutkowski i Inni przeciwko Polsce</w:t>
      </w:r>
      <w:r>
        <w:t xml:space="preserve"> (nr</w:t>
      </w:r>
      <w:r w:rsidR="00D26CA8">
        <w:t> </w:t>
      </w:r>
      <w:r>
        <w:t xml:space="preserve">72287/10 i </w:t>
      </w:r>
      <w:r w:rsidR="00B0307F">
        <w:t>dw</w:t>
      </w:r>
      <w:r w:rsidR="00D62E2D">
        <w:t>ie</w:t>
      </w:r>
      <w:r>
        <w:t xml:space="preserve"> inne, §§ 75-107, 7 lipca 2015 r.).</w:t>
      </w:r>
    </w:p>
    <w:p w14:paraId="5973D820" w14:textId="77777777" w:rsidR="00CD31A5" w:rsidRPr="009816D7" w:rsidRDefault="00CD31A5" w:rsidP="009816D7">
      <w:pPr>
        <w:pStyle w:val="ECHRTitle1"/>
      </w:pPr>
      <w:r>
        <w:t>PRAWO</w:t>
      </w:r>
    </w:p>
    <w:p w14:paraId="4C3724F5" w14:textId="2198FBF7" w:rsidR="00CD31A5" w:rsidRPr="009816D7" w:rsidRDefault="00CD31A5" w:rsidP="009816D7">
      <w:pPr>
        <w:pStyle w:val="ECHRHeading1"/>
      </w:pPr>
      <w:r>
        <w:t xml:space="preserve">I. </w:t>
      </w:r>
      <w:r w:rsidR="00C80AF6">
        <w:t>ZARZUC</w:t>
      </w:r>
      <w:r w:rsidR="00194D69">
        <w:t xml:space="preserve">ANE </w:t>
      </w:r>
      <w:r>
        <w:t>NARUSZENI</w:t>
      </w:r>
      <w:r w:rsidR="00194D69">
        <w:t>E</w:t>
      </w:r>
      <w:r>
        <w:t xml:space="preserve"> </w:t>
      </w:r>
      <w:r w:rsidR="00194D69">
        <w:t xml:space="preserve">ART. </w:t>
      </w:r>
      <w:r>
        <w:t>6 I 13 KONWENCJI</w:t>
      </w:r>
    </w:p>
    <w:p w14:paraId="7A91AE6E" w14:textId="570A19C0" w:rsidR="00CD31A5" w:rsidRPr="009816D7" w:rsidRDefault="00CD31A5" w:rsidP="009816D7">
      <w:pPr>
        <w:pStyle w:val="ECHRPara"/>
      </w:pPr>
      <w:r>
        <w:t>18.</w:t>
      </w:r>
      <w:r w:rsidR="00C80AF6">
        <w:t xml:space="preserve"> </w:t>
      </w:r>
      <w:r>
        <w:t xml:space="preserve">Skarżący zarzuca przewlekłość postępowania w jego sprawach oraz, </w:t>
      </w:r>
      <w:r w:rsidR="007C17F0">
        <w:t>na podstawie</w:t>
      </w:r>
      <w:r>
        <w:t xml:space="preserve"> art. 13 Konwencji, brak skutecznego środka odwoławczego </w:t>
      </w:r>
      <w:r w:rsidR="007C17F0">
        <w:t>na</w:t>
      </w:r>
      <w:r w:rsidR="00D26CA8">
        <w:t> </w:t>
      </w:r>
      <w:r>
        <w:t>przewlekłoś</w:t>
      </w:r>
      <w:r w:rsidR="007C17F0">
        <w:t>ć</w:t>
      </w:r>
      <w:r>
        <w:t xml:space="preserve"> postępowania. Powołał się na art. 6 ust. 1 i art. 13 Konwencji, które w </w:t>
      </w:r>
      <w:r w:rsidR="00194D69">
        <w:t>odnośnym zakresie stanowią</w:t>
      </w:r>
      <w:r>
        <w:t>:</w:t>
      </w:r>
    </w:p>
    <w:p w14:paraId="41DDB396" w14:textId="013AAC0F" w:rsidR="00CD31A5" w:rsidRPr="009816D7" w:rsidRDefault="00CD31A5" w:rsidP="009816D7">
      <w:pPr>
        <w:pStyle w:val="ECHRTitleCentre3"/>
      </w:pPr>
      <w:r>
        <w:t>Art</w:t>
      </w:r>
      <w:r w:rsidR="0071115C">
        <w:t>.</w:t>
      </w:r>
      <w:r>
        <w:t xml:space="preserve"> 6</w:t>
      </w:r>
    </w:p>
    <w:p w14:paraId="48D064CF" w14:textId="06E75901" w:rsidR="00C80AF6" w:rsidRPr="009816D7" w:rsidRDefault="00C80AF6" w:rsidP="009816D7">
      <w:pPr>
        <w:pStyle w:val="ECHRParaQuote"/>
      </w:pPr>
      <w:r>
        <w:t>„Każdy ma prawo do [...] rozpatrzenia jego sprawy w rozsądnym terminie przez [...] sąd [...] przy rozstrzyganiu […] o zasadności każdego oskarżenia w wytoczonej przeciwko niemu sprawie karnej [...]”.</w:t>
      </w:r>
    </w:p>
    <w:p w14:paraId="28040D84" w14:textId="421BDCD8" w:rsidR="00CD31A5" w:rsidRPr="009816D7" w:rsidRDefault="00CD31A5" w:rsidP="009816D7">
      <w:pPr>
        <w:pStyle w:val="ECHRTitleCentre3"/>
      </w:pPr>
      <w:r>
        <w:t>Art</w:t>
      </w:r>
      <w:r w:rsidR="0071115C">
        <w:t>.</w:t>
      </w:r>
      <w:r>
        <w:t xml:space="preserve"> 13</w:t>
      </w:r>
    </w:p>
    <w:p w14:paraId="3E874E34" w14:textId="77777777" w:rsidR="00CD31A5" w:rsidRPr="009816D7" w:rsidRDefault="00CD31A5" w:rsidP="009816D7">
      <w:pPr>
        <w:pStyle w:val="ECHRParaQuote"/>
      </w:pPr>
      <w:r>
        <w:t>„Każdy, kogo prawa i wolności zawarte w niniejszej Konwencji zostały naruszone, ma prawo do skutecznego środka odwoławczego do właściwego organu państwowego także wówczas, gdy naruszenia dokonały osoby wykonujące swoje funkcje urzędowe”.</w:t>
      </w:r>
    </w:p>
    <w:p w14:paraId="67D00524" w14:textId="77777777" w:rsidR="00CD31A5" w:rsidRPr="009816D7" w:rsidRDefault="00CD31A5" w:rsidP="009816D7">
      <w:pPr>
        <w:pStyle w:val="ECHRHeading2"/>
      </w:pPr>
      <w:r>
        <w:lastRenderedPageBreak/>
        <w:t>A. Pierwsze postępowanie</w:t>
      </w:r>
    </w:p>
    <w:p w14:paraId="326237A1" w14:textId="1C664AE1" w:rsidR="00CD31A5" w:rsidRPr="009816D7" w:rsidRDefault="00CD31A5" w:rsidP="009816D7">
      <w:pPr>
        <w:pStyle w:val="ECHRPara"/>
      </w:pPr>
      <w:r>
        <w:t>19.</w:t>
      </w:r>
      <w:r w:rsidR="00C80AF6">
        <w:t xml:space="preserve"> </w:t>
      </w:r>
      <w:r>
        <w:t>Pismem z 13 lipca 2017 r. Rząd poinformował Trybunał</w:t>
      </w:r>
      <w:r w:rsidRPr="007C17F0">
        <w:t>, że</w:t>
      </w:r>
      <w:r w:rsidR="00D26CA8">
        <w:t> </w:t>
      </w:r>
      <w:r w:rsidR="007C17F0">
        <w:t>proponuje</w:t>
      </w:r>
      <w:r w:rsidRPr="007C17F0">
        <w:t xml:space="preserve"> złożenie deklaracji </w:t>
      </w:r>
      <w:r w:rsidR="004F1B6E" w:rsidRPr="007C17F0">
        <w:t xml:space="preserve">jednostronnej </w:t>
      </w:r>
      <w:r w:rsidRPr="007C17F0">
        <w:t>w celu częściowego</w:t>
      </w:r>
      <w:r>
        <w:t xml:space="preserve"> rozwiązania kwestii podniesionych w skardze. Rząd uznał naruszenie art. 6 ust. 1 ze względu na przewlekłość pierwszego postępowania karnego </w:t>
      </w:r>
      <w:r w:rsidR="00194D69">
        <w:t xml:space="preserve">prowadzonego </w:t>
      </w:r>
      <w:r>
        <w:t>przeciwko skarżącemu oraz naruszenie art. 13 ze względu na</w:t>
      </w:r>
      <w:r w:rsidR="00D26CA8">
        <w:t> </w:t>
      </w:r>
      <w:r>
        <w:t xml:space="preserve">brak </w:t>
      </w:r>
      <w:r w:rsidR="00194D69">
        <w:t xml:space="preserve">skutecznego </w:t>
      </w:r>
      <w:r>
        <w:t>środka odwoławczego za</w:t>
      </w:r>
      <w:r w:rsidR="004F1B6E">
        <w:t>pewniającego</w:t>
      </w:r>
      <w:r>
        <w:t xml:space="preserve"> wystarczającą rekompensatę za narus</w:t>
      </w:r>
      <w:r w:rsidR="004F1B6E">
        <w:t>zenie art. 6 ust. 1. Zaoferował</w:t>
      </w:r>
      <w:r>
        <w:t xml:space="preserve"> skarżącemu zapłatę kwoty 9180 </w:t>
      </w:r>
      <w:r w:rsidR="00194D69">
        <w:t>PLN</w:t>
      </w:r>
      <w:r>
        <w:t xml:space="preserve">. </w:t>
      </w:r>
      <w:r w:rsidR="00194D69">
        <w:t>Ponadto R</w:t>
      </w:r>
      <w:r>
        <w:t xml:space="preserve">ząd zobowiązał się do przyjęcia szeregu środków </w:t>
      </w:r>
      <w:r w:rsidR="004F1B6E">
        <w:t xml:space="preserve">generalnych </w:t>
      </w:r>
      <w:r>
        <w:t xml:space="preserve">w stosunku do innych osób, które padły ofiarą podobnych naruszeń lub </w:t>
      </w:r>
      <w:r w:rsidR="00194D69">
        <w:t xml:space="preserve">które </w:t>
      </w:r>
      <w:r>
        <w:t>mogą zostać dotknięte podobnymi naruszeniami w przyszłości. Kwota, o której mowa powyżej, ma pokryć wszelkie szkody majątkowe i niemajątkowe, jak również koszty i wydatki, i</w:t>
      </w:r>
      <w:r w:rsidR="00D26CA8">
        <w:t> </w:t>
      </w:r>
      <w:r>
        <w:t xml:space="preserve">ma zostać </w:t>
      </w:r>
      <w:r w:rsidR="00194D69">
        <w:t xml:space="preserve">wypłacona </w:t>
      </w:r>
      <w:r>
        <w:t xml:space="preserve">bez </w:t>
      </w:r>
      <w:r w:rsidR="00194D69">
        <w:t xml:space="preserve">naliczania ewentualnych </w:t>
      </w:r>
      <w:r>
        <w:t xml:space="preserve">podatków. </w:t>
      </w:r>
      <w:r w:rsidR="00B0307F">
        <w:t>Kwota ta</w:t>
      </w:r>
      <w:r w:rsidR="00D26CA8">
        <w:t> </w:t>
      </w:r>
      <w:r w:rsidR="00B0307F">
        <w:t xml:space="preserve">będzie </w:t>
      </w:r>
      <w:r>
        <w:t>płatna w terminie trzech miesięcy od daty zawiadomienia o</w:t>
      </w:r>
      <w:r w:rsidR="00D26CA8">
        <w:t> </w:t>
      </w:r>
      <w:r>
        <w:t>decyzji podjętej przez Trybunał zgodnie z art. 37 ust. 1 Konwencji. W</w:t>
      </w:r>
      <w:r w:rsidR="00D26CA8">
        <w:t> </w:t>
      </w:r>
      <w:r>
        <w:t>przypadku nieuregulowania należności w terminie trzech miesięcy Rząd zobowiązał się do zapłaty odsetek zwykłych, naliczanych od momentu upływu tego terminu do chwili rozliczenia, według stopy równej marginalnej stopie procentowej Europejskiego Banku Centralnego obowiązującego w tym okresie, powiększonej o trzy punkty procentowe. Ponadto Rząd złożył deklarację w sprawie środków</w:t>
      </w:r>
      <w:r w:rsidR="004F1B6E">
        <w:t xml:space="preserve"> generalnych</w:t>
      </w:r>
      <w:r>
        <w:t xml:space="preserve">, które należy przyjąć w ramach implementacji wyroku </w:t>
      </w:r>
      <w:r w:rsidR="004F1B6E">
        <w:t xml:space="preserve">pilotażowego w sprawie </w:t>
      </w:r>
      <w:r w:rsidRPr="00DB7557">
        <w:rPr>
          <w:i/>
          <w:iCs/>
        </w:rPr>
        <w:t>Rutkowski i Inni przeciwko Polsce</w:t>
      </w:r>
      <w:r>
        <w:t xml:space="preserve"> (nr 72287/10 i </w:t>
      </w:r>
      <w:r w:rsidR="00DB7557">
        <w:t>dw</w:t>
      </w:r>
      <w:r w:rsidR="00D62E2D">
        <w:t>ie</w:t>
      </w:r>
      <w:r>
        <w:t xml:space="preserve"> inn</w:t>
      </w:r>
      <w:r w:rsidR="004F1B6E">
        <w:t>e</w:t>
      </w:r>
      <w:r>
        <w:t xml:space="preserve">, 7 lipca 2015 r. </w:t>
      </w:r>
      <w:r w:rsidR="00DB7557">
        <w:t>–</w:t>
      </w:r>
      <w:r>
        <w:t xml:space="preserve"> </w:t>
      </w:r>
      <w:r w:rsidR="00DB7557">
        <w:t>zob.</w:t>
      </w:r>
      <w:r>
        <w:t xml:space="preserve"> </w:t>
      </w:r>
      <w:r w:rsidRPr="00DB7557">
        <w:rPr>
          <w:i/>
          <w:iCs/>
        </w:rPr>
        <w:t>Załuska i Rogalska przeciwko Polsce</w:t>
      </w:r>
      <w:r>
        <w:t xml:space="preserve"> (dec.), nr 53491/10 i 72286/10, §§ 23-25, 20 czerwca 2017 r.). </w:t>
      </w:r>
      <w:r w:rsidR="007C17F0">
        <w:t xml:space="preserve">Następnie </w:t>
      </w:r>
      <w:r>
        <w:t>zwróci</w:t>
      </w:r>
      <w:r w:rsidR="004F1B6E">
        <w:t>ł</w:t>
      </w:r>
      <w:r>
        <w:t xml:space="preserve"> się do Trybunału o</w:t>
      </w:r>
      <w:r w:rsidR="00D26CA8">
        <w:t> </w:t>
      </w:r>
      <w:r w:rsidR="004F1B6E">
        <w:t>s</w:t>
      </w:r>
      <w:r>
        <w:t>kreślenie tej części skargi zgodnie z art. 37 Konwencji.</w:t>
      </w:r>
    </w:p>
    <w:p w14:paraId="7CFCF77F" w14:textId="34F6D7D6" w:rsidR="00CD31A5" w:rsidRPr="009816D7" w:rsidRDefault="00CD31A5" w:rsidP="009816D7">
      <w:pPr>
        <w:pStyle w:val="ECHRPara"/>
      </w:pPr>
      <w:r>
        <w:t>20.</w:t>
      </w:r>
      <w:r w:rsidR="00C80AF6">
        <w:t xml:space="preserve"> </w:t>
      </w:r>
      <w:r w:rsidR="00DB7557">
        <w:t>Dnia</w:t>
      </w:r>
      <w:r>
        <w:t xml:space="preserve"> 27 lutego 2018 r. skarżący wskazał, że nie jest zadowolony z</w:t>
      </w:r>
      <w:r w:rsidR="00D26CA8">
        <w:t> </w:t>
      </w:r>
      <w:r>
        <w:t>warunków deklaracji</w:t>
      </w:r>
      <w:r w:rsidR="004F1B6E" w:rsidRPr="004F1B6E">
        <w:t xml:space="preserve"> </w:t>
      </w:r>
      <w:r w:rsidR="004F1B6E">
        <w:t>jednostronnej</w:t>
      </w:r>
      <w:r>
        <w:t>.</w:t>
      </w:r>
    </w:p>
    <w:p w14:paraId="0FAFC571" w14:textId="3E08AF76" w:rsidR="00CD31A5" w:rsidRPr="009816D7" w:rsidRDefault="00CD31A5" w:rsidP="009816D7">
      <w:pPr>
        <w:pStyle w:val="ECHRPara"/>
        <w:rPr>
          <w:szCs w:val="24"/>
        </w:rPr>
      </w:pPr>
      <w:r>
        <w:t>21.</w:t>
      </w:r>
      <w:r w:rsidR="00C80AF6">
        <w:t xml:space="preserve"> </w:t>
      </w:r>
      <w:r>
        <w:t xml:space="preserve">Trybunał powtarza, że art. 37 </w:t>
      </w:r>
      <w:r w:rsidR="00C52C48">
        <w:t>K</w:t>
      </w:r>
      <w:r>
        <w:t xml:space="preserve">onwencji stanowi, że </w:t>
      </w:r>
      <w:r w:rsidR="007C17F0">
        <w:t xml:space="preserve">może </w:t>
      </w:r>
      <w:r>
        <w:t>na</w:t>
      </w:r>
      <w:r w:rsidR="00D26CA8">
        <w:t> </w:t>
      </w:r>
      <w:r>
        <w:t xml:space="preserve">każdym etapie postępowania podjąć decyzję o </w:t>
      </w:r>
      <w:r w:rsidR="007C17F0">
        <w:t>s</w:t>
      </w:r>
      <w:r>
        <w:t xml:space="preserve">kreśleniu skargi z listy spraw, </w:t>
      </w:r>
      <w:r w:rsidR="004F1B6E">
        <w:t xml:space="preserve">jeśli </w:t>
      </w:r>
      <w:r>
        <w:t>okoliczności prowadzą do jednego z wniosków określonych w</w:t>
      </w:r>
      <w:r w:rsidR="00D26CA8">
        <w:t> </w:t>
      </w:r>
      <w:r>
        <w:t xml:space="preserve">art. 37 ust. 1 lit. a, b lub c. W szczególności art. 37 ust. 1 lit. c umożliwia Trybunałowi </w:t>
      </w:r>
      <w:r w:rsidR="004F1B6E">
        <w:t>s</w:t>
      </w:r>
      <w:r>
        <w:t>kreślenie s</w:t>
      </w:r>
      <w:r w:rsidR="004F1B6E">
        <w:t>kargi</w:t>
      </w:r>
      <w:r>
        <w:t xml:space="preserve"> z listy, jeżeli</w:t>
      </w:r>
    </w:p>
    <w:p w14:paraId="65362EBB" w14:textId="77777777" w:rsidR="00CD31A5" w:rsidRPr="009816D7" w:rsidRDefault="00CD31A5" w:rsidP="009816D7">
      <w:pPr>
        <w:pStyle w:val="ECHRParaQuote"/>
      </w:pPr>
      <w:r>
        <w:t>„z jakiejkolwiek innej przyczyny ustalonej przez Trybunał nie jest uzasadnione dalsze rozpatrywanie skargi”.</w:t>
      </w:r>
    </w:p>
    <w:p w14:paraId="6AAB9BFD" w14:textId="4A8D0C57" w:rsidR="00CD31A5" w:rsidRPr="009816D7" w:rsidRDefault="00CD31A5" w:rsidP="009816D7">
      <w:pPr>
        <w:pStyle w:val="ECHRPara"/>
        <w:rPr>
          <w:szCs w:val="24"/>
        </w:rPr>
      </w:pPr>
      <w:r>
        <w:t>22.</w:t>
      </w:r>
      <w:r w:rsidR="00C80AF6">
        <w:t xml:space="preserve"> </w:t>
      </w:r>
      <w:r w:rsidR="00B0307F">
        <w:t>Trybunał p</w:t>
      </w:r>
      <w:r>
        <w:t xml:space="preserve">owtarza również, że w pewnych okolicznościach może </w:t>
      </w:r>
      <w:r w:rsidR="004F1B6E">
        <w:t>s</w:t>
      </w:r>
      <w:r>
        <w:t xml:space="preserve">kreślić skargę zgodnie z art. 37 ust. 1 lit. c na podstawie deklaracji </w:t>
      </w:r>
      <w:r w:rsidR="004F1B6E">
        <w:t xml:space="preserve">jednostronnej </w:t>
      </w:r>
      <w:r>
        <w:t xml:space="preserve">pozwanego Rządu, nawet </w:t>
      </w:r>
      <w:r w:rsidR="00B0307F">
        <w:t xml:space="preserve">jeżeli </w:t>
      </w:r>
      <w:r>
        <w:t>skarżący wyraż</w:t>
      </w:r>
      <w:r w:rsidR="00DB7557">
        <w:t>a</w:t>
      </w:r>
      <w:r>
        <w:t xml:space="preserve">ją </w:t>
      </w:r>
      <w:r w:rsidR="005879C2">
        <w:t xml:space="preserve">wolę </w:t>
      </w:r>
      <w:r>
        <w:t>dalszego prowadzenia sprawy.</w:t>
      </w:r>
    </w:p>
    <w:p w14:paraId="548C33DE" w14:textId="2A9695E5" w:rsidR="00CD31A5" w:rsidRPr="009816D7" w:rsidRDefault="00CD31A5" w:rsidP="009816D7">
      <w:pPr>
        <w:pStyle w:val="ECHRPara"/>
        <w:rPr>
          <w:szCs w:val="24"/>
        </w:rPr>
      </w:pPr>
      <w:r>
        <w:t>23.</w:t>
      </w:r>
      <w:r w:rsidR="00C80AF6">
        <w:t xml:space="preserve"> </w:t>
      </w:r>
      <w:r>
        <w:t xml:space="preserve">W tym celu Trybunał </w:t>
      </w:r>
      <w:r w:rsidR="00B0307F">
        <w:t xml:space="preserve">przeanalizował treść </w:t>
      </w:r>
      <w:r>
        <w:t>deklaracj</w:t>
      </w:r>
      <w:r w:rsidR="00B0307F">
        <w:t>i</w:t>
      </w:r>
      <w:r>
        <w:t xml:space="preserve"> w świetle zasad wynikających z jego orzecznictwa, a w szczególności z wyroku</w:t>
      </w:r>
      <w:r w:rsidR="00DB7557">
        <w:t xml:space="preserve"> </w:t>
      </w:r>
      <w:proofErr w:type="spellStart"/>
      <w:r w:rsidR="00DB7557" w:rsidRPr="00DB7557">
        <w:rPr>
          <w:i/>
          <w:iCs/>
        </w:rPr>
        <w:t>Tahsin</w:t>
      </w:r>
      <w:proofErr w:type="spellEnd"/>
      <w:r w:rsidR="00DB7557" w:rsidRPr="00DB7557">
        <w:rPr>
          <w:i/>
          <w:iCs/>
        </w:rPr>
        <w:t xml:space="preserve"> </w:t>
      </w:r>
      <w:proofErr w:type="spellStart"/>
      <w:r w:rsidR="00DB7557" w:rsidRPr="00DB7557">
        <w:rPr>
          <w:i/>
          <w:iCs/>
        </w:rPr>
        <w:t>Acar</w:t>
      </w:r>
      <w:proofErr w:type="spellEnd"/>
      <w:r w:rsidR="00DB7557" w:rsidRPr="00DB7557">
        <w:rPr>
          <w:i/>
          <w:iCs/>
        </w:rPr>
        <w:t xml:space="preserve"> </w:t>
      </w:r>
      <w:r>
        <w:t xml:space="preserve">(zob. </w:t>
      </w:r>
      <w:proofErr w:type="spellStart"/>
      <w:r w:rsidRPr="00DB7557">
        <w:rPr>
          <w:i/>
          <w:iCs/>
        </w:rPr>
        <w:t>Tahsin</w:t>
      </w:r>
      <w:proofErr w:type="spellEnd"/>
      <w:r w:rsidRPr="00DB7557">
        <w:rPr>
          <w:i/>
          <w:iCs/>
        </w:rPr>
        <w:t xml:space="preserve"> </w:t>
      </w:r>
      <w:proofErr w:type="spellStart"/>
      <w:r w:rsidRPr="00DB7557">
        <w:rPr>
          <w:i/>
          <w:iCs/>
        </w:rPr>
        <w:t>Acar</w:t>
      </w:r>
      <w:proofErr w:type="spellEnd"/>
      <w:r w:rsidRPr="00DB7557">
        <w:rPr>
          <w:i/>
          <w:iCs/>
        </w:rPr>
        <w:t xml:space="preserve"> przeciwko Turcji</w:t>
      </w:r>
      <w:r>
        <w:t xml:space="preserve"> (</w:t>
      </w:r>
      <w:r w:rsidR="00B0307F">
        <w:t xml:space="preserve">zagadnienie </w:t>
      </w:r>
      <w:r>
        <w:t>wstępne) [</w:t>
      </w:r>
      <w:r w:rsidR="00B0307F">
        <w:t>WI</w:t>
      </w:r>
      <w:r>
        <w:t xml:space="preserve">], </w:t>
      </w:r>
      <w:r>
        <w:lastRenderedPageBreak/>
        <w:t>nr</w:t>
      </w:r>
      <w:r w:rsidR="00D26CA8">
        <w:t> </w:t>
      </w:r>
      <w:r>
        <w:t xml:space="preserve">26307/95, §§ 75-77, ETPCz 2003-VI; </w:t>
      </w:r>
      <w:r w:rsidRPr="00DB7557">
        <w:rPr>
          <w:i/>
          <w:iCs/>
        </w:rPr>
        <w:t>WAZA Sp. z o.o. przeciwko Polsce</w:t>
      </w:r>
      <w:r>
        <w:t xml:space="preserve"> (dec.), nr 11602/02, 26 czerwca 2007 r.; oraz </w:t>
      </w:r>
      <w:proofErr w:type="spellStart"/>
      <w:r w:rsidRPr="00DB7557">
        <w:rPr>
          <w:i/>
          <w:iCs/>
        </w:rPr>
        <w:t>Sulwińska</w:t>
      </w:r>
      <w:proofErr w:type="spellEnd"/>
      <w:r w:rsidRPr="00DB7557">
        <w:rPr>
          <w:i/>
          <w:iCs/>
        </w:rPr>
        <w:t xml:space="preserve"> przeciwko Polsce</w:t>
      </w:r>
      <w:r>
        <w:t xml:space="preserve"> (</w:t>
      </w:r>
      <w:proofErr w:type="spellStart"/>
      <w:r>
        <w:t>dec</w:t>
      </w:r>
      <w:proofErr w:type="spellEnd"/>
      <w:r>
        <w:t>.), nr 28953/03, 18 września 2007 r.).</w:t>
      </w:r>
    </w:p>
    <w:p w14:paraId="21AEA843" w14:textId="41C62C7A" w:rsidR="00CD31A5" w:rsidRPr="009816D7" w:rsidRDefault="00CD31A5" w:rsidP="009816D7">
      <w:pPr>
        <w:pStyle w:val="ECHRPara"/>
        <w:rPr>
          <w:szCs w:val="24"/>
        </w:rPr>
      </w:pPr>
      <w:r>
        <w:t>24.</w:t>
      </w:r>
      <w:r w:rsidR="00C80AF6">
        <w:t xml:space="preserve"> </w:t>
      </w:r>
      <w:r>
        <w:t xml:space="preserve">Wnioski, do jakich doszedł </w:t>
      </w:r>
      <w:r w:rsidR="00B0307F">
        <w:t xml:space="preserve">Trybunał </w:t>
      </w:r>
      <w:r>
        <w:t xml:space="preserve">w </w:t>
      </w:r>
      <w:r w:rsidR="00B0307F">
        <w:t>przedmiocie</w:t>
      </w:r>
      <w:r>
        <w:t xml:space="preserve"> </w:t>
      </w:r>
      <w:r w:rsidR="00B0307F">
        <w:t xml:space="preserve">twierdzeń </w:t>
      </w:r>
      <w:r>
        <w:t>i</w:t>
      </w:r>
      <w:r w:rsidR="00D26CA8">
        <w:t> </w:t>
      </w:r>
      <w:r w:rsidR="00B0307F">
        <w:t xml:space="preserve">zobowiązań </w:t>
      </w:r>
      <w:r>
        <w:t>zawartych w deklaracjach Rządu w pierwszej grupie 400 spraw przedłożonych w p</w:t>
      </w:r>
      <w:r w:rsidR="004F1B6E">
        <w:t>r</w:t>
      </w:r>
      <w:r>
        <w:t>o</w:t>
      </w:r>
      <w:r w:rsidR="004F1B6E">
        <w:t>cedurze wyroku pilotażowego</w:t>
      </w:r>
      <w:r>
        <w:t xml:space="preserve">, </w:t>
      </w:r>
      <w:r w:rsidR="00B0307F">
        <w:t>zachowują aktualność również w</w:t>
      </w:r>
      <w:r>
        <w:t xml:space="preserve"> niniejszej spraw</w:t>
      </w:r>
      <w:r w:rsidR="00B0307F">
        <w:t>ie</w:t>
      </w:r>
      <w:r>
        <w:t xml:space="preserve"> (zob. </w:t>
      </w:r>
      <w:r w:rsidRPr="00C17761">
        <w:rPr>
          <w:i/>
          <w:iCs/>
        </w:rPr>
        <w:t>Załuska i Rogalska</w:t>
      </w:r>
      <w:r>
        <w:t xml:space="preserve">, </w:t>
      </w:r>
      <w:r w:rsidR="00B0307F" w:rsidRPr="00021634">
        <w:rPr>
          <w:i/>
          <w:iCs/>
        </w:rPr>
        <w:t>op. cit.</w:t>
      </w:r>
      <w:r>
        <w:t>, §§ 51-53).</w:t>
      </w:r>
    </w:p>
    <w:p w14:paraId="4479D94C" w14:textId="5BE6B16E" w:rsidR="00CD31A5" w:rsidRPr="009816D7" w:rsidRDefault="00CD31A5" w:rsidP="009816D7">
      <w:pPr>
        <w:pStyle w:val="ECHRPara"/>
        <w:rPr>
          <w:szCs w:val="24"/>
        </w:rPr>
      </w:pPr>
      <w:r>
        <w:t>25.</w:t>
      </w:r>
      <w:r w:rsidR="00C80AF6">
        <w:t xml:space="preserve"> </w:t>
      </w:r>
      <w:r>
        <w:t xml:space="preserve">Biorąc pod uwagę charakter </w:t>
      </w:r>
      <w:r w:rsidR="00B0307F">
        <w:t xml:space="preserve">twierdzeń </w:t>
      </w:r>
      <w:r>
        <w:t xml:space="preserve">zawartych w deklaracjach Rządu, jak również proponowaną kwotę odszkodowania </w:t>
      </w:r>
      <w:r w:rsidR="00B0307F" w:rsidRPr="009816D7">
        <w:rPr>
          <w:szCs w:val="24"/>
        </w:rPr>
        <w:t>–</w:t>
      </w:r>
      <w:r>
        <w:t xml:space="preserve"> </w:t>
      </w:r>
      <w:r w:rsidR="00B0307F">
        <w:t>która odpowiada</w:t>
      </w:r>
      <w:r>
        <w:t xml:space="preserve"> </w:t>
      </w:r>
      <w:r w:rsidR="00B0307F">
        <w:t xml:space="preserve">kwotom </w:t>
      </w:r>
      <w:r>
        <w:t xml:space="preserve">przyznanym w podobnych sprawach </w:t>
      </w:r>
      <w:r w:rsidR="00B0307F" w:rsidRPr="009816D7">
        <w:rPr>
          <w:szCs w:val="24"/>
        </w:rPr>
        <w:t>–</w:t>
      </w:r>
      <w:r>
        <w:t xml:space="preserve"> Trybunał uważa, że </w:t>
      </w:r>
      <w:r w:rsidR="00D949EA">
        <w:t xml:space="preserve">nie jest uzasadnione </w:t>
      </w:r>
      <w:r>
        <w:t>dalsze rozpatrywanie skargi dotyczącej pierwszego postępowania (art. 37 ust. 1 lit. c).</w:t>
      </w:r>
    </w:p>
    <w:p w14:paraId="119212FA" w14:textId="5ACAE4D8" w:rsidR="00CD31A5" w:rsidRPr="009816D7" w:rsidRDefault="00CD31A5" w:rsidP="009816D7">
      <w:pPr>
        <w:pStyle w:val="ECHRPara"/>
        <w:rPr>
          <w:szCs w:val="24"/>
        </w:rPr>
      </w:pPr>
      <w:r>
        <w:t>26.</w:t>
      </w:r>
      <w:r w:rsidR="00C80AF6">
        <w:t xml:space="preserve"> </w:t>
      </w:r>
      <w:r>
        <w:t xml:space="preserve">Ponadto w świetle powyższych rozważań, a w szczególności biorąc pod uwagę jasne i obszerne orzecznictwo w </w:t>
      </w:r>
      <w:r w:rsidR="00D949EA">
        <w:t>przedmiotowym obszarze</w:t>
      </w:r>
      <w:r>
        <w:t>, Trybunał jest przekonany, że poszanowanie praw człowieka określonych w</w:t>
      </w:r>
      <w:r w:rsidR="00D26CA8">
        <w:t> </w:t>
      </w:r>
      <w:r>
        <w:t xml:space="preserve">Konwencji i w protokołach </w:t>
      </w:r>
      <w:r w:rsidR="005F32B7">
        <w:t xml:space="preserve">do niej </w:t>
      </w:r>
      <w:r>
        <w:t>nie wymaga od niego dalszego rozpatrywania tej skargi (art. 37 ust. 1).</w:t>
      </w:r>
    </w:p>
    <w:p w14:paraId="2BEEB68C" w14:textId="5FADCD6C" w:rsidR="00CD31A5" w:rsidRPr="009816D7" w:rsidRDefault="00CD31A5" w:rsidP="009816D7">
      <w:pPr>
        <w:pStyle w:val="ECHRPara"/>
        <w:rPr>
          <w:szCs w:val="24"/>
        </w:rPr>
      </w:pPr>
      <w:r>
        <w:t>27.</w:t>
      </w:r>
      <w:r w:rsidR="00C80AF6">
        <w:t xml:space="preserve"> </w:t>
      </w:r>
      <w:r w:rsidR="005F32B7">
        <w:t xml:space="preserve">Wreszcie </w:t>
      </w:r>
      <w:r>
        <w:t>Trybunał podkreśla, że w przypadku nieprzestrzegania przez Rząd warunków deklaracji</w:t>
      </w:r>
      <w:r w:rsidR="00D949EA" w:rsidRPr="00D949EA">
        <w:t xml:space="preserve"> </w:t>
      </w:r>
      <w:r w:rsidR="00D949EA">
        <w:t>jednostronnej</w:t>
      </w:r>
      <w:r>
        <w:t xml:space="preserve">, skarga może zostać </w:t>
      </w:r>
      <w:r w:rsidR="005F32B7">
        <w:t xml:space="preserve">ponownie wpisana </w:t>
      </w:r>
      <w:r>
        <w:t>na listę zgodnie z art. 37 ust. 2 Konwencji (zob.</w:t>
      </w:r>
      <w:r w:rsidR="00D26CA8">
        <w:t> </w:t>
      </w:r>
      <w:proofErr w:type="spellStart"/>
      <w:r w:rsidRPr="00C17761">
        <w:rPr>
          <w:i/>
          <w:iCs/>
        </w:rPr>
        <w:t>Josipović</w:t>
      </w:r>
      <w:proofErr w:type="spellEnd"/>
      <w:r w:rsidRPr="00C17761">
        <w:rPr>
          <w:i/>
          <w:iCs/>
        </w:rPr>
        <w:t xml:space="preserve"> przeciwko Serbii </w:t>
      </w:r>
      <w:r>
        <w:t>(</w:t>
      </w:r>
      <w:proofErr w:type="spellStart"/>
      <w:r>
        <w:t>dec</w:t>
      </w:r>
      <w:proofErr w:type="spellEnd"/>
      <w:r>
        <w:t>.), nr 18369/07, 4 marca 2008 r.).</w:t>
      </w:r>
    </w:p>
    <w:p w14:paraId="7FDDD566" w14:textId="2040B4BA" w:rsidR="00CD31A5" w:rsidRPr="009816D7" w:rsidRDefault="00CD31A5" w:rsidP="009816D7">
      <w:pPr>
        <w:pStyle w:val="ECHRPara"/>
      </w:pPr>
      <w:r>
        <w:t>28.</w:t>
      </w:r>
      <w:r w:rsidR="00C80AF6">
        <w:t xml:space="preserve"> </w:t>
      </w:r>
      <w:r>
        <w:t xml:space="preserve">W związku z powyższym należy </w:t>
      </w:r>
      <w:r w:rsidR="00D949EA">
        <w:t>s</w:t>
      </w:r>
      <w:r>
        <w:t>kreślić tę część skargi z listy.</w:t>
      </w:r>
    </w:p>
    <w:p w14:paraId="7C50A143" w14:textId="77777777" w:rsidR="00CD31A5" w:rsidRPr="009816D7" w:rsidRDefault="00CD31A5" w:rsidP="009816D7">
      <w:pPr>
        <w:pStyle w:val="ECHRHeading2"/>
      </w:pPr>
      <w:r>
        <w:t>B. Drugie postępowanie</w:t>
      </w:r>
    </w:p>
    <w:p w14:paraId="3C47873E" w14:textId="6777CCA5" w:rsidR="00CD31A5" w:rsidRPr="009816D7" w:rsidRDefault="00CD31A5" w:rsidP="009816D7">
      <w:pPr>
        <w:pStyle w:val="ECHRHeading3"/>
      </w:pPr>
      <w:r>
        <w:t>1.</w:t>
      </w:r>
      <w:r w:rsidR="00C80AF6">
        <w:t xml:space="preserve"> </w:t>
      </w:r>
      <w:r>
        <w:t>Art</w:t>
      </w:r>
      <w:r w:rsidR="0071115C">
        <w:t>.</w:t>
      </w:r>
      <w:r>
        <w:t xml:space="preserve"> 6 ust. 1 Konwencji</w:t>
      </w:r>
    </w:p>
    <w:p w14:paraId="1F1C31C3" w14:textId="711C8690" w:rsidR="00CD31A5" w:rsidRPr="009816D7" w:rsidRDefault="00CD31A5" w:rsidP="009816D7">
      <w:pPr>
        <w:pStyle w:val="ECHRHeading4"/>
      </w:pPr>
      <w:r>
        <w:t>a) Dopuszczalność</w:t>
      </w:r>
    </w:p>
    <w:p w14:paraId="17ADD052" w14:textId="29AC42F3" w:rsidR="00CD31A5" w:rsidRPr="009816D7" w:rsidRDefault="00CD31A5" w:rsidP="009816D7">
      <w:pPr>
        <w:pStyle w:val="ECHRPara"/>
      </w:pPr>
      <w:r>
        <w:t>29.</w:t>
      </w:r>
      <w:r w:rsidR="00C80AF6">
        <w:t xml:space="preserve"> </w:t>
      </w:r>
      <w:r>
        <w:t>Trybunał zauważa, że skarga ta nie jest w sposób oczywisty nieuzasadniona w rozumieniu art. 35 ust. 3 lit. a Konwencji. Ponadto</w:t>
      </w:r>
      <w:r w:rsidR="00D26CA8">
        <w:t> </w:t>
      </w:r>
      <w:r>
        <w:t>Trybunał zauważa, że nie jest ona niedopuszczalna na żadnym innym gruncie. Należy ją zatem uznać za dopuszczalną.</w:t>
      </w:r>
    </w:p>
    <w:p w14:paraId="021DA266" w14:textId="6E63401D" w:rsidR="00CD31A5" w:rsidRPr="009816D7" w:rsidRDefault="00CD31A5" w:rsidP="009816D7">
      <w:pPr>
        <w:pStyle w:val="ECHRHeading4"/>
      </w:pPr>
      <w:r>
        <w:t>b) Przedmiot sprawy</w:t>
      </w:r>
    </w:p>
    <w:p w14:paraId="45EBD6E8" w14:textId="1AF5BA8C" w:rsidR="00CD31A5" w:rsidRPr="009816D7" w:rsidRDefault="00CD31A5" w:rsidP="009816D7">
      <w:pPr>
        <w:pStyle w:val="ECHRPara"/>
      </w:pPr>
      <w:r>
        <w:t>30.</w:t>
      </w:r>
      <w:r w:rsidR="00C80AF6">
        <w:t xml:space="preserve"> </w:t>
      </w:r>
      <w:r>
        <w:t xml:space="preserve">Zasadniczo skarżący zarzucił, że </w:t>
      </w:r>
      <w:r w:rsidRPr="00C15A14">
        <w:t xml:space="preserve">czas trwania drugiego postępowania karnego był </w:t>
      </w:r>
      <w:r w:rsidR="00C15A14">
        <w:t>nierozsądny</w:t>
      </w:r>
      <w:r w:rsidRPr="00C15A14">
        <w:t xml:space="preserve">. </w:t>
      </w:r>
      <w:r>
        <w:t xml:space="preserve">Twierdził, że nie przyczynił się do wydłużenia postępowania, ponieważ miał prawo do </w:t>
      </w:r>
      <w:r w:rsidR="005F32B7">
        <w:t>s</w:t>
      </w:r>
      <w:r>
        <w:t xml:space="preserve">korzystania z </w:t>
      </w:r>
      <w:r w:rsidR="005F32B7">
        <w:t xml:space="preserve">przysługujących mu </w:t>
      </w:r>
      <w:r>
        <w:t>uprawnień procesowych.</w:t>
      </w:r>
    </w:p>
    <w:p w14:paraId="03A05070" w14:textId="6F5F12B0" w:rsidR="00CD31A5" w:rsidRPr="009816D7" w:rsidRDefault="00CD31A5" w:rsidP="009816D7">
      <w:pPr>
        <w:pStyle w:val="ECHRPara"/>
      </w:pPr>
      <w:bookmarkStart w:id="7" w:name="gov_obs"/>
      <w:r>
        <w:t>31</w:t>
      </w:r>
      <w:bookmarkEnd w:id="7"/>
      <w:r>
        <w:t>.</w:t>
      </w:r>
      <w:r w:rsidR="00C80AF6">
        <w:t xml:space="preserve"> </w:t>
      </w:r>
      <w:r>
        <w:t xml:space="preserve">Rząd zakwestionował ten zarzut i uznał, że nie doszło do naruszenia Konwencji. Rząd stwierdził, że postępowanie było szczególnie złożone, ponieważ dotyczyło </w:t>
      </w:r>
      <w:r w:rsidR="005F32B7">
        <w:t xml:space="preserve">dwudziestu trzech </w:t>
      </w:r>
      <w:r>
        <w:t xml:space="preserve">oskarżonych, którym postawiono łącznie około 900 zarzutów. </w:t>
      </w:r>
      <w:r w:rsidR="00C15A14">
        <w:t>Pom</w:t>
      </w:r>
      <w:r>
        <w:t xml:space="preserve">imo że </w:t>
      </w:r>
      <w:r w:rsidR="005F32B7">
        <w:t xml:space="preserve">na </w:t>
      </w:r>
      <w:r>
        <w:t>później</w:t>
      </w:r>
      <w:r w:rsidR="005F32B7">
        <w:t>szym etapie</w:t>
      </w:r>
      <w:r w:rsidR="00475586">
        <w:t xml:space="preserve"> </w:t>
      </w:r>
      <w:r>
        <w:t xml:space="preserve">sąd </w:t>
      </w:r>
      <w:r w:rsidR="00C63BFE">
        <w:t>I</w:t>
      </w:r>
      <w:r w:rsidR="00D26CA8">
        <w:t> </w:t>
      </w:r>
      <w:r w:rsidR="00C63BFE">
        <w:t>instancji</w:t>
      </w:r>
      <w:r>
        <w:t xml:space="preserve"> </w:t>
      </w:r>
      <w:r w:rsidR="00C15A14" w:rsidRPr="00C15A14">
        <w:t>wyłączył sprawę skarżącego do odrębnego rozpoznania</w:t>
      </w:r>
      <w:r w:rsidR="00C15A14">
        <w:t xml:space="preserve"> w celu </w:t>
      </w:r>
      <w:r w:rsidR="00C15A14">
        <w:lastRenderedPageBreak/>
        <w:t>usprawnienia postępowania</w:t>
      </w:r>
      <w:r w:rsidR="005F32B7" w:rsidRPr="00C15A14">
        <w:t xml:space="preserve">, </w:t>
      </w:r>
      <w:r>
        <w:t xml:space="preserve">pozostała </w:t>
      </w:r>
      <w:r w:rsidR="005F32B7">
        <w:t xml:space="preserve">ona </w:t>
      </w:r>
      <w:r w:rsidR="00BE10C3">
        <w:t xml:space="preserve">jednak </w:t>
      </w:r>
      <w:r>
        <w:t>złożona z uwagi na dużą liczbę postawionych skarżącemu</w:t>
      </w:r>
      <w:r w:rsidR="005F32B7">
        <w:t xml:space="preserve"> zarzutów</w:t>
      </w:r>
      <w:r>
        <w:t xml:space="preserve">. Sądy </w:t>
      </w:r>
      <w:r w:rsidR="005F32B7">
        <w:t xml:space="preserve">rozpoznające </w:t>
      </w:r>
      <w:r>
        <w:t xml:space="preserve">sprawę </w:t>
      </w:r>
      <w:r w:rsidR="00C63BFE">
        <w:t>działały rzetelnie</w:t>
      </w:r>
      <w:r>
        <w:t xml:space="preserve"> i nie było znaczących okresów bezczynności ze strony władz krajowych. Na początkowym etapie sąd krajowy podjął wiele </w:t>
      </w:r>
      <w:r w:rsidR="005F32B7">
        <w:t xml:space="preserve">czynności </w:t>
      </w:r>
      <w:r>
        <w:t xml:space="preserve">proceduralnych, w szczególności w 2010 r. </w:t>
      </w:r>
      <w:r w:rsidR="005F32B7">
        <w:t>postanowił</w:t>
      </w:r>
      <w:r>
        <w:t xml:space="preserve">, że inny sąd powinien być właściwy do </w:t>
      </w:r>
      <w:r w:rsidR="005F32B7">
        <w:t xml:space="preserve">rozpoznania </w:t>
      </w:r>
      <w:r>
        <w:t xml:space="preserve">sprawy, a w 2011 r. zawiesił postępowanie. Ponadto, </w:t>
      </w:r>
      <w:r w:rsidR="005F32B7">
        <w:t>chociaż</w:t>
      </w:r>
      <w:r>
        <w:t xml:space="preserve"> Rząd przyznał, że skarżący nie przyczynił się </w:t>
      </w:r>
      <w:r w:rsidR="005F32B7">
        <w:t xml:space="preserve">znacząco </w:t>
      </w:r>
      <w:r>
        <w:t xml:space="preserve">do </w:t>
      </w:r>
      <w:r w:rsidR="005F32B7">
        <w:t xml:space="preserve">ogólnego </w:t>
      </w:r>
      <w:r>
        <w:t xml:space="preserve">czasu trwania postępowania, to jednak złożył wiele nieuzasadnionych wniosków proceduralnych. Niektóre rozprawy </w:t>
      </w:r>
      <w:r w:rsidR="005F32B7">
        <w:t xml:space="preserve">były </w:t>
      </w:r>
      <w:r>
        <w:t>odr</w:t>
      </w:r>
      <w:r w:rsidR="005F32B7">
        <w:t>a</w:t>
      </w:r>
      <w:r>
        <w:t>cz</w:t>
      </w:r>
      <w:r w:rsidR="005F32B7">
        <w:t>a</w:t>
      </w:r>
      <w:r>
        <w:t xml:space="preserve">ne z powodu nieobecności skarżącego lub jego </w:t>
      </w:r>
      <w:r w:rsidR="005F32B7">
        <w:t>obrońcy</w:t>
      </w:r>
      <w:r>
        <w:t>.</w:t>
      </w:r>
    </w:p>
    <w:p w14:paraId="383A8E1D" w14:textId="5E16BFDC" w:rsidR="00CD31A5" w:rsidRPr="009816D7" w:rsidRDefault="00CD31A5" w:rsidP="009816D7">
      <w:pPr>
        <w:pStyle w:val="ECHRPara"/>
      </w:pPr>
      <w:r>
        <w:t>32.</w:t>
      </w:r>
      <w:r w:rsidR="00C80AF6">
        <w:t xml:space="preserve"> </w:t>
      </w:r>
      <w:r>
        <w:t xml:space="preserve">Trybunał przypomina, </w:t>
      </w:r>
      <w:r w:rsidRPr="00C15A14">
        <w:t xml:space="preserve">że </w:t>
      </w:r>
      <w:r w:rsidR="00517F5F">
        <w:t xml:space="preserve">racjonalność </w:t>
      </w:r>
      <w:r w:rsidRPr="00C15A14">
        <w:t>czasu trwania postępowania</w:t>
      </w:r>
      <w:r>
        <w:t xml:space="preserve"> należy oceniać w świetle okoliczności sprawy i w odniesieniu do</w:t>
      </w:r>
      <w:r w:rsidR="00D26CA8">
        <w:t> </w:t>
      </w:r>
      <w:r>
        <w:t xml:space="preserve">następujących kryteriów: złożoności sprawy, </w:t>
      </w:r>
      <w:r w:rsidR="005F32B7">
        <w:t xml:space="preserve">zachowania </w:t>
      </w:r>
      <w:r>
        <w:t>skarżącego i</w:t>
      </w:r>
      <w:r w:rsidR="00D26CA8">
        <w:t> </w:t>
      </w:r>
      <w:r>
        <w:t xml:space="preserve">postępowania właściwych organów (zob. m.in. </w:t>
      </w:r>
      <w:proofErr w:type="spellStart"/>
      <w:r w:rsidRPr="00C17761">
        <w:rPr>
          <w:i/>
          <w:iCs/>
        </w:rPr>
        <w:t>Pélissier</w:t>
      </w:r>
      <w:proofErr w:type="spellEnd"/>
      <w:r w:rsidRPr="00C17761">
        <w:rPr>
          <w:i/>
          <w:iCs/>
        </w:rPr>
        <w:t xml:space="preserve"> i Sassi przeciwko Francji </w:t>
      </w:r>
      <w:r>
        <w:t>[</w:t>
      </w:r>
      <w:r w:rsidR="005F32B7">
        <w:t>WI</w:t>
      </w:r>
      <w:r>
        <w:t xml:space="preserve">], nr 25444/94, § 67, ETPCz 1999-II i </w:t>
      </w:r>
      <w:r w:rsidRPr="00C17761">
        <w:rPr>
          <w:i/>
          <w:iCs/>
        </w:rPr>
        <w:t>Kuśmierek przeciwko Polsce</w:t>
      </w:r>
      <w:r>
        <w:t>, nr 10675/02, § 62, 21 września 2004 r.).</w:t>
      </w:r>
    </w:p>
    <w:p w14:paraId="396AB591" w14:textId="2FF3D3AE" w:rsidR="00CD31A5" w:rsidRPr="009816D7" w:rsidRDefault="00CD31A5" w:rsidP="009816D7">
      <w:pPr>
        <w:pStyle w:val="ECHRPara"/>
      </w:pPr>
      <w:r>
        <w:t>33.</w:t>
      </w:r>
      <w:r w:rsidR="00C80AF6">
        <w:t xml:space="preserve"> </w:t>
      </w:r>
      <w:r>
        <w:t>Trybunał zauważa przede wszystkim, że okres, który należy brać pod uwagę</w:t>
      </w:r>
      <w:r w:rsidR="00BE10C3">
        <w:t>,</w:t>
      </w:r>
      <w:r>
        <w:t xml:space="preserve"> rozpoczął się 1 października 2009 r. i zakończył 17 grudnia 2014 r. Postępowanie </w:t>
      </w:r>
      <w:r w:rsidR="005F32B7">
        <w:t xml:space="preserve">w trzech instancjach </w:t>
      </w:r>
      <w:r>
        <w:t>trwało zatem pięć lat i dwa miesiące.</w:t>
      </w:r>
    </w:p>
    <w:p w14:paraId="4DC45D02" w14:textId="317CB3DB" w:rsidR="00CD31A5" w:rsidRPr="009816D7" w:rsidRDefault="00CD31A5" w:rsidP="009816D7">
      <w:pPr>
        <w:pStyle w:val="ECHRPara"/>
      </w:pPr>
      <w:r>
        <w:t>34.</w:t>
      </w:r>
      <w:r w:rsidR="00C80AF6">
        <w:t xml:space="preserve"> </w:t>
      </w:r>
      <w:r>
        <w:t xml:space="preserve">Biorąc pod uwagę charakter sprawy, Trybunał </w:t>
      </w:r>
      <w:r w:rsidR="00C2606E">
        <w:t>podziela zdanie</w:t>
      </w:r>
      <w:r>
        <w:t xml:space="preserve"> Rządu, że była </w:t>
      </w:r>
      <w:r w:rsidR="00C2606E">
        <w:t xml:space="preserve">ona </w:t>
      </w:r>
      <w:r>
        <w:t xml:space="preserve">złożona i że sądy krajowe </w:t>
      </w:r>
      <w:r w:rsidR="00C2606E">
        <w:t>oceniały obszerny materiał dowodowy</w:t>
      </w:r>
      <w:r>
        <w:t xml:space="preserve"> (zob. pkt 31 powyżej). </w:t>
      </w:r>
      <w:r w:rsidR="00C2606E">
        <w:t>Przedstawione</w:t>
      </w:r>
      <w:r>
        <w:t xml:space="preserve"> skarżącemu </w:t>
      </w:r>
      <w:r w:rsidR="00C2606E">
        <w:t xml:space="preserve">zarzuty </w:t>
      </w:r>
      <w:r>
        <w:t xml:space="preserve">były bardzo poważne i obejmowały zarzuty działania w </w:t>
      </w:r>
      <w:r w:rsidR="00C2606E">
        <w:t xml:space="preserve">warunkach zorganizowanej grupy przestępczej </w:t>
      </w:r>
      <w:r>
        <w:t>(zob. pkt 6 powyżej).</w:t>
      </w:r>
    </w:p>
    <w:p w14:paraId="0130EDB2" w14:textId="60DCB233" w:rsidR="00CD31A5" w:rsidRPr="009816D7" w:rsidRDefault="00CD31A5" w:rsidP="009816D7">
      <w:pPr>
        <w:pStyle w:val="ECHRPara"/>
      </w:pPr>
      <w:r>
        <w:t>35.</w:t>
      </w:r>
      <w:r w:rsidR="00C80AF6">
        <w:t xml:space="preserve"> </w:t>
      </w:r>
      <w:r>
        <w:t xml:space="preserve">W odniesieniu do zachowania skarżącego </w:t>
      </w:r>
      <w:r w:rsidR="00BE10C3">
        <w:t xml:space="preserve">Trybunał </w:t>
      </w:r>
      <w:r>
        <w:t>zauważa, że</w:t>
      </w:r>
      <w:r w:rsidR="00D26CA8">
        <w:t> </w:t>
      </w:r>
      <w:r>
        <w:t>Rząd zgodził się, że skarżący nie przyczynił się znacząco do</w:t>
      </w:r>
      <w:r w:rsidR="00D26CA8">
        <w:t> </w:t>
      </w:r>
      <w:r>
        <w:t>przedłużenia postępowania (zob. pkt 31 powyżej).</w:t>
      </w:r>
    </w:p>
    <w:p w14:paraId="4D1B8295" w14:textId="4A9E6588" w:rsidR="00CD31A5" w:rsidRPr="009816D7" w:rsidRDefault="00CD31A5" w:rsidP="009816D7">
      <w:pPr>
        <w:pStyle w:val="ECHRPara"/>
      </w:pPr>
      <w:r>
        <w:t>36.</w:t>
      </w:r>
      <w:r w:rsidR="00C80AF6">
        <w:t xml:space="preserve"> </w:t>
      </w:r>
      <w:r>
        <w:t>Jeśli chodzi o postępowanie władz, Trybunał zauważ</w:t>
      </w:r>
      <w:r w:rsidR="00BE10C3">
        <w:t>a</w:t>
      </w:r>
      <w:r w:rsidR="00021634">
        <w:t xml:space="preserve"> w</w:t>
      </w:r>
      <w:r w:rsidR="00C2606E">
        <w:t xml:space="preserve"> pierwszej kolejności</w:t>
      </w:r>
      <w:r>
        <w:t xml:space="preserve">, że akt oskarżenia </w:t>
      </w:r>
      <w:r w:rsidR="00C2606E">
        <w:t>wniesiono do</w:t>
      </w:r>
      <w:r>
        <w:t xml:space="preserve"> </w:t>
      </w:r>
      <w:r w:rsidR="00C2606E" w:rsidRPr="00517F5F">
        <w:t>Sądu Okręgowego</w:t>
      </w:r>
      <w:r w:rsidR="00C2606E" w:rsidRPr="00F72E50">
        <w:t xml:space="preserve"> </w:t>
      </w:r>
      <w:r>
        <w:t>2 marca 2010</w:t>
      </w:r>
      <w:r w:rsidR="00D26CA8">
        <w:t> </w:t>
      </w:r>
      <w:r>
        <w:t xml:space="preserve">r., a </w:t>
      </w:r>
      <w:r w:rsidRPr="00517F5F">
        <w:t>pierwsz</w:t>
      </w:r>
      <w:r w:rsidR="00F72E50">
        <w:t>y termin</w:t>
      </w:r>
      <w:r w:rsidRPr="00517F5F">
        <w:t xml:space="preserve"> rozpraw</w:t>
      </w:r>
      <w:r w:rsidR="00F72E50">
        <w:t>y</w:t>
      </w:r>
      <w:r w:rsidRPr="00517F5F">
        <w:t xml:space="preserve"> w sprawie odbył się </w:t>
      </w:r>
      <w:r w:rsidRPr="00F72E50">
        <w:t>14 września 2011</w:t>
      </w:r>
      <w:r w:rsidR="00D26CA8">
        <w:t> </w:t>
      </w:r>
      <w:r w:rsidRPr="00F72E50">
        <w:t>r.</w:t>
      </w:r>
      <w:r>
        <w:t xml:space="preserve"> Trybunał odnotowuje, że okres ten </w:t>
      </w:r>
      <w:r w:rsidR="00F72E50">
        <w:t>wyniósł</w:t>
      </w:r>
      <w:r>
        <w:t xml:space="preserve"> osiemnaście miesięcy, co znacznie przyczyniło się do ogólnego czasu trwania postępowania. </w:t>
      </w:r>
      <w:r w:rsidR="00C2606E">
        <w:t>Co</w:t>
      </w:r>
      <w:r w:rsidR="00D26CA8">
        <w:t> </w:t>
      </w:r>
      <w:r w:rsidR="00C2606E">
        <w:t>do</w:t>
      </w:r>
      <w:r w:rsidR="00D26CA8">
        <w:t> </w:t>
      </w:r>
      <w:r>
        <w:t>starannoś</w:t>
      </w:r>
      <w:r w:rsidR="00C2606E">
        <w:t>ci</w:t>
      </w:r>
      <w:r>
        <w:t xml:space="preserve"> władz w powyższym okresie, </w:t>
      </w:r>
      <w:r w:rsidR="00061E4A">
        <w:t xml:space="preserve">argumenty </w:t>
      </w:r>
      <w:r>
        <w:t>Rządu, że</w:t>
      </w:r>
      <w:r w:rsidR="00D26CA8">
        <w:t> </w:t>
      </w:r>
      <w:r w:rsidR="00061E4A">
        <w:t xml:space="preserve">przekazanie </w:t>
      </w:r>
      <w:r>
        <w:t>sprawy do innego sądu lub zawieszenie postępowania było konieczne</w:t>
      </w:r>
      <w:r w:rsidR="00061E4A">
        <w:t>, nie prze</w:t>
      </w:r>
      <w:r w:rsidR="00BE10C3">
        <w:t>konują</w:t>
      </w:r>
      <w:r w:rsidR="00061E4A">
        <w:t xml:space="preserve"> Trybunału</w:t>
      </w:r>
      <w:r>
        <w:t xml:space="preserve">. Te decyzje władz krajowych były </w:t>
      </w:r>
      <w:r w:rsidR="00061E4A">
        <w:t xml:space="preserve">obarczone błędami </w:t>
      </w:r>
      <w:r>
        <w:t xml:space="preserve">i zostały </w:t>
      </w:r>
      <w:r w:rsidR="00061E4A">
        <w:t>uchylone wskutek zażalenia</w:t>
      </w:r>
      <w:r>
        <w:t xml:space="preserve"> (zob. pkt 8 powyżej). Trybunał uzna</w:t>
      </w:r>
      <w:r w:rsidR="00BE10C3">
        <w:t>je</w:t>
      </w:r>
      <w:r>
        <w:t>, że przez okres ponad osiemnastu miesięcy władze krajowe koncentrowały się na środkach technicznych i</w:t>
      </w:r>
      <w:r w:rsidR="00D26CA8">
        <w:t> </w:t>
      </w:r>
      <w:r>
        <w:t xml:space="preserve">administracyjnych, a nie na </w:t>
      </w:r>
      <w:r w:rsidR="00061E4A">
        <w:t>merytorycznym rozpoznaniu</w:t>
      </w:r>
      <w:r>
        <w:t xml:space="preserve"> sprawy karnej </w:t>
      </w:r>
      <w:r w:rsidR="00061E4A">
        <w:t xml:space="preserve">prowadzonej </w:t>
      </w:r>
      <w:r>
        <w:t xml:space="preserve">przeciwko skarżącemu. </w:t>
      </w:r>
      <w:r w:rsidR="00061E4A">
        <w:t xml:space="preserve">Rząd nie przedstawił dostatecznych dowodów przemawiających za koniecznością </w:t>
      </w:r>
      <w:r>
        <w:t xml:space="preserve">tych środków, które opóźniły </w:t>
      </w:r>
      <w:r w:rsidR="00061E4A">
        <w:t xml:space="preserve">rozpoznanie </w:t>
      </w:r>
      <w:r>
        <w:t>sprawy.</w:t>
      </w:r>
    </w:p>
    <w:p w14:paraId="336D5B75" w14:textId="7CE85888" w:rsidR="00CD31A5" w:rsidRPr="009816D7" w:rsidRDefault="00CD31A5" w:rsidP="009816D7">
      <w:pPr>
        <w:pStyle w:val="ECHRPara"/>
      </w:pPr>
      <w:r>
        <w:t>37.</w:t>
      </w:r>
      <w:r w:rsidR="00C80AF6">
        <w:t xml:space="preserve"> </w:t>
      </w:r>
      <w:r>
        <w:t xml:space="preserve">Trybunał </w:t>
      </w:r>
      <w:r w:rsidR="00061E4A">
        <w:t xml:space="preserve">dostrzega </w:t>
      </w:r>
      <w:r>
        <w:t xml:space="preserve">późniejsze wysiłki podejmowane przez sądy </w:t>
      </w:r>
      <w:r w:rsidR="00F72E50">
        <w:t>pierwszej</w:t>
      </w:r>
      <w:r w:rsidR="00061E4A">
        <w:t xml:space="preserve"> instancji</w:t>
      </w:r>
      <w:r>
        <w:t xml:space="preserve"> i </w:t>
      </w:r>
      <w:r w:rsidR="00F72E50">
        <w:t>odwoławczy</w:t>
      </w:r>
      <w:r>
        <w:t xml:space="preserve"> </w:t>
      </w:r>
      <w:r w:rsidR="00061E4A">
        <w:t>mające na</w:t>
      </w:r>
      <w:r>
        <w:t xml:space="preserve"> celu zakończeni</w:t>
      </w:r>
      <w:r w:rsidR="00061E4A">
        <w:t>e</w:t>
      </w:r>
      <w:r>
        <w:t xml:space="preserve"> </w:t>
      </w:r>
      <w:r w:rsidR="00061E4A">
        <w:lastRenderedPageBreak/>
        <w:t xml:space="preserve">prowadzonego </w:t>
      </w:r>
      <w:r>
        <w:t xml:space="preserve">przeciwko skarżącemu </w:t>
      </w:r>
      <w:r w:rsidR="00061E4A">
        <w:t xml:space="preserve">postepowania </w:t>
      </w:r>
      <w:r>
        <w:t xml:space="preserve">(zob. pkt 9 i 11 powyżej). Jednak ta ostateczna </w:t>
      </w:r>
      <w:r w:rsidR="00061E4A">
        <w:t xml:space="preserve">kumulacja czynności </w:t>
      </w:r>
      <w:r>
        <w:t xml:space="preserve">sądu </w:t>
      </w:r>
      <w:r w:rsidR="00B372EF">
        <w:t>nie</w:t>
      </w:r>
      <w:r w:rsidR="00C80AF6">
        <w:t xml:space="preserve"> </w:t>
      </w:r>
      <w:r w:rsidR="00061E4A" w:rsidRPr="00F72E50">
        <w:t>rekompens</w:t>
      </w:r>
      <w:r w:rsidR="00F72E50">
        <w:t>uje</w:t>
      </w:r>
      <w:r>
        <w:t xml:space="preserve"> wcześniejszych opóźnień (</w:t>
      </w:r>
      <w:r w:rsidRPr="00C17761">
        <w:rPr>
          <w:i/>
          <w:iCs/>
        </w:rPr>
        <w:t>zob. Rutkowski i Inni</w:t>
      </w:r>
      <w:r>
        <w:t xml:space="preserve">, </w:t>
      </w:r>
      <w:r w:rsidR="00061E4A" w:rsidRPr="00021634">
        <w:rPr>
          <w:i/>
          <w:iCs/>
        </w:rPr>
        <w:t>op. cit.</w:t>
      </w:r>
      <w:r>
        <w:t xml:space="preserve">, </w:t>
      </w:r>
      <w:r w:rsidR="00C17761" w:rsidRPr="009816D7">
        <w:t>§</w:t>
      </w:r>
      <w:r>
        <w:t xml:space="preserve"> 139).</w:t>
      </w:r>
    </w:p>
    <w:p w14:paraId="055A67D5" w14:textId="06A240EC" w:rsidR="00CD31A5" w:rsidRPr="009816D7" w:rsidRDefault="00CD31A5" w:rsidP="009816D7">
      <w:pPr>
        <w:pStyle w:val="ECHRPara"/>
      </w:pPr>
      <w:r>
        <w:t>38.</w:t>
      </w:r>
      <w:r w:rsidR="00C80AF6">
        <w:t xml:space="preserve"> </w:t>
      </w:r>
      <w:r>
        <w:t xml:space="preserve">W związku z </w:t>
      </w:r>
      <w:r w:rsidR="00061E4A">
        <w:t>powyższym</w:t>
      </w:r>
      <w:r>
        <w:t xml:space="preserve">, uwzględniając w szczególności opóźnienia </w:t>
      </w:r>
      <w:r w:rsidR="00061E4A">
        <w:t xml:space="preserve">zaistniałe </w:t>
      </w:r>
      <w:r>
        <w:t>na początkowym etapie postępowania, Trybunał uważa, że</w:t>
      </w:r>
      <w:r w:rsidR="00D26CA8">
        <w:t> </w:t>
      </w:r>
      <w:r>
        <w:t>w</w:t>
      </w:r>
      <w:r w:rsidR="00D26CA8">
        <w:t> </w:t>
      </w:r>
      <w:r>
        <w:t>niniejszej sprawie doszło do naruszenia art. 6 ust. 1 Konwencji ze</w:t>
      </w:r>
      <w:r w:rsidR="00D26CA8">
        <w:t> </w:t>
      </w:r>
      <w:r>
        <w:t xml:space="preserve">względu na </w:t>
      </w:r>
      <w:r w:rsidR="00061E4A">
        <w:t xml:space="preserve">nieuzasadniony </w:t>
      </w:r>
      <w:r>
        <w:t>czas trwania drugiego postępowania.</w:t>
      </w:r>
    </w:p>
    <w:p w14:paraId="784DFF10" w14:textId="5C6D11F1" w:rsidR="00CD31A5" w:rsidRPr="009816D7" w:rsidRDefault="00CD31A5" w:rsidP="009816D7">
      <w:pPr>
        <w:pStyle w:val="ECHRHeading3"/>
      </w:pPr>
      <w:r>
        <w:t>2.</w:t>
      </w:r>
      <w:r w:rsidR="00C80AF6">
        <w:t xml:space="preserve"> </w:t>
      </w:r>
      <w:r>
        <w:t>Art</w:t>
      </w:r>
      <w:r w:rsidR="0071115C">
        <w:t>.</w:t>
      </w:r>
      <w:r>
        <w:t xml:space="preserve"> 13 Konwencji</w:t>
      </w:r>
    </w:p>
    <w:p w14:paraId="633EFADA" w14:textId="08BE8AFC" w:rsidR="00CD31A5" w:rsidRPr="009816D7" w:rsidRDefault="00CD31A5" w:rsidP="009816D7">
      <w:pPr>
        <w:pStyle w:val="ECHRPara"/>
      </w:pPr>
      <w:r>
        <w:t>39.</w:t>
      </w:r>
      <w:r w:rsidR="00C80AF6">
        <w:t xml:space="preserve"> </w:t>
      </w:r>
      <w:r>
        <w:t xml:space="preserve">Skarżący twierdził ponadto, że nie dysponował skutecznym krajowym środkiem odwoławczym </w:t>
      </w:r>
      <w:r w:rsidR="002C6F23">
        <w:t>z tytułu</w:t>
      </w:r>
      <w:r>
        <w:t xml:space="preserve"> przewlekłości drugiego postępowania w jego sprawie.</w:t>
      </w:r>
    </w:p>
    <w:p w14:paraId="022A68B9" w14:textId="78C5D5A4" w:rsidR="00CD31A5" w:rsidRPr="009816D7" w:rsidRDefault="00CD31A5" w:rsidP="009816D7">
      <w:pPr>
        <w:pStyle w:val="ECHRPara"/>
      </w:pPr>
      <w:r>
        <w:t>40.</w:t>
      </w:r>
      <w:r w:rsidR="00C80AF6">
        <w:t xml:space="preserve"> </w:t>
      </w:r>
      <w:r>
        <w:t>Rząd zakwestionował zarzut naruszenia tego postanowienia Konwencji.</w:t>
      </w:r>
    </w:p>
    <w:p w14:paraId="3000276C" w14:textId="325B70CC" w:rsidR="00CD31A5" w:rsidRPr="009816D7" w:rsidRDefault="00CD31A5" w:rsidP="009816D7">
      <w:pPr>
        <w:pStyle w:val="ECHRPara"/>
      </w:pPr>
      <w:r>
        <w:t>41.</w:t>
      </w:r>
      <w:r w:rsidR="00C80AF6">
        <w:t xml:space="preserve"> </w:t>
      </w:r>
      <w:r>
        <w:t>Trybunał przypom</w:t>
      </w:r>
      <w:r w:rsidR="00BE10C3">
        <w:t>ina</w:t>
      </w:r>
      <w:r>
        <w:t xml:space="preserve">, że art. 13 gwarantuje skuteczny środek odwoławczy przed organem krajowym w przypadku </w:t>
      </w:r>
      <w:r w:rsidR="00BE10C3">
        <w:t>zarzucanego</w:t>
      </w:r>
      <w:r>
        <w:t xml:space="preserve"> naruszenia wymogu, o którym mowa w art. 6 ust. 1, dotyczącego rozpoznania sprawy w rozsądnym terminie. </w:t>
      </w:r>
      <w:r w:rsidR="009350B8">
        <w:t xml:space="preserve">Jednakże </w:t>
      </w:r>
      <w:r>
        <w:t>„skutecznoś</w:t>
      </w:r>
      <w:r w:rsidR="009350B8">
        <w:t>ć</w:t>
      </w:r>
      <w:r>
        <w:t xml:space="preserve">” „środka odwoławczego” w rozumieniu tego </w:t>
      </w:r>
      <w:r w:rsidR="002C6F23">
        <w:t xml:space="preserve">postanowienia </w:t>
      </w:r>
      <w:r>
        <w:t xml:space="preserve">nie </w:t>
      </w:r>
      <w:r w:rsidR="009350B8">
        <w:t>zależy od</w:t>
      </w:r>
      <w:r>
        <w:t xml:space="preserve"> pewnoś</w:t>
      </w:r>
      <w:r w:rsidR="009350B8">
        <w:t>ci</w:t>
      </w:r>
      <w:r>
        <w:t xml:space="preserve"> korzystnego dla skarżącego</w:t>
      </w:r>
      <w:r w:rsidR="002C6F23">
        <w:t xml:space="preserve"> wyniku</w:t>
      </w:r>
      <w:r>
        <w:t xml:space="preserve"> (zob. sprawa </w:t>
      </w:r>
      <w:r w:rsidRPr="00BE10C3">
        <w:rPr>
          <w:i/>
        </w:rPr>
        <w:t>Kudła przeciwko Polsce</w:t>
      </w:r>
      <w:r>
        <w:t xml:space="preserve"> [</w:t>
      </w:r>
      <w:r w:rsidR="002C6F23">
        <w:t>WI</w:t>
      </w:r>
      <w:r>
        <w:t>], nr 30210/96, §§ 154 i nast., E</w:t>
      </w:r>
      <w:r w:rsidR="00C17761">
        <w:t>TPCz</w:t>
      </w:r>
      <w:r>
        <w:t xml:space="preserve"> 2000-XI).</w:t>
      </w:r>
    </w:p>
    <w:p w14:paraId="10F52624" w14:textId="74627BF5" w:rsidR="00CD31A5" w:rsidRPr="009816D7" w:rsidRDefault="00CD31A5" w:rsidP="009816D7">
      <w:pPr>
        <w:pStyle w:val="ECHRPara"/>
      </w:pPr>
      <w:r>
        <w:t>42.</w:t>
      </w:r>
      <w:r w:rsidR="00C80AF6">
        <w:t xml:space="preserve"> </w:t>
      </w:r>
      <w:r>
        <w:t xml:space="preserve">Chociaż zasada </w:t>
      </w:r>
      <w:r w:rsidR="00BE10C3">
        <w:t>subsydiarnośc</w:t>
      </w:r>
      <w:r>
        <w:t xml:space="preserve">i leżąca u podstaw systemu Konwencji wymaga od </w:t>
      </w:r>
      <w:r w:rsidR="0071115C">
        <w:t>Układających</w:t>
      </w:r>
      <w:r>
        <w:t xml:space="preserve"> się </w:t>
      </w:r>
      <w:r w:rsidR="0071115C">
        <w:t xml:space="preserve">Państw </w:t>
      </w:r>
      <w:r>
        <w:t xml:space="preserve">wprowadzenia mechanizmu rozpatrywania skarg dotyczących przewlekłości postępowań w ramach krajowego systemu prawnego, przyznaje się im </w:t>
      </w:r>
      <w:r w:rsidR="002C6F23" w:rsidRPr="009816D7">
        <w:t>–</w:t>
      </w:r>
      <w:r>
        <w:t xml:space="preserve"> z zastrzeżeniem zgodności z wymogami </w:t>
      </w:r>
      <w:r w:rsidR="002C6F23">
        <w:t>K</w:t>
      </w:r>
      <w:r>
        <w:t xml:space="preserve">onwencji </w:t>
      </w:r>
      <w:r w:rsidR="002C6F23" w:rsidRPr="009816D7">
        <w:t>–</w:t>
      </w:r>
      <w:r>
        <w:t xml:space="preserve"> pewną swobodę decydowania o sposobie, w</w:t>
      </w:r>
      <w:r w:rsidR="00D26CA8">
        <w:t> </w:t>
      </w:r>
      <w:r>
        <w:t>jaki</w:t>
      </w:r>
      <w:r w:rsidR="00D26CA8">
        <w:t> </w:t>
      </w:r>
      <w:r>
        <w:t xml:space="preserve">udzielają one </w:t>
      </w:r>
      <w:r w:rsidR="00BE10C3">
        <w:t>jednostkom</w:t>
      </w:r>
      <w:r>
        <w:t xml:space="preserve"> </w:t>
      </w:r>
      <w:r w:rsidR="009350B8">
        <w:t>wsparcia</w:t>
      </w:r>
      <w:r>
        <w:t xml:space="preserve"> wymagane</w:t>
      </w:r>
      <w:r w:rsidR="009350B8">
        <w:t>go</w:t>
      </w:r>
      <w:r>
        <w:t xml:space="preserve"> na mocy art. 13, </w:t>
      </w:r>
      <w:r w:rsidR="002C6F23">
        <w:t>tym samym wypełniają</w:t>
      </w:r>
      <w:r w:rsidR="002F6F33">
        <w:t>c</w:t>
      </w:r>
      <w:r w:rsidR="002C6F23">
        <w:t xml:space="preserve"> swoje</w:t>
      </w:r>
      <w:r>
        <w:t xml:space="preserve"> </w:t>
      </w:r>
      <w:r w:rsidR="002C6F23">
        <w:t xml:space="preserve">obowiązki </w:t>
      </w:r>
      <w:r>
        <w:t>wynikając</w:t>
      </w:r>
      <w:r w:rsidR="002C6F23">
        <w:t>e</w:t>
      </w:r>
      <w:r>
        <w:t xml:space="preserve"> z Konwencji na mocy tego postanowienia.</w:t>
      </w:r>
    </w:p>
    <w:p w14:paraId="27C4FDA2" w14:textId="3C220849" w:rsidR="00CD31A5" w:rsidRPr="009816D7" w:rsidRDefault="00CD31A5" w:rsidP="00C17761">
      <w:pPr>
        <w:pStyle w:val="ECHRPara"/>
      </w:pPr>
      <w:r>
        <w:t>43.</w:t>
      </w:r>
      <w:r w:rsidR="00C80AF6">
        <w:t xml:space="preserve"> </w:t>
      </w:r>
      <w:r>
        <w:t>Trybunał przypom</w:t>
      </w:r>
      <w:r w:rsidR="002F6F33">
        <w:t>i</w:t>
      </w:r>
      <w:r>
        <w:t>na ponadto, że słowo „środek odwoławczy” w</w:t>
      </w:r>
      <w:r w:rsidR="00D26CA8">
        <w:t> </w:t>
      </w:r>
      <w:r>
        <w:t>rozumieniu art. 13 nie oznacza środka odwoławczego, któr</w:t>
      </w:r>
      <w:r w:rsidR="002C6F23">
        <w:t>ego wniesienie</w:t>
      </w:r>
      <w:r>
        <w:t xml:space="preserve"> </w:t>
      </w:r>
      <w:r w:rsidR="002C6F23">
        <w:t xml:space="preserve">ma </w:t>
      </w:r>
      <w:r>
        <w:t xml:space="preserve">zakończyć się powodzeniem, </w:t>
      </w:r>
      <w:r w:rsidR="002C6F23">
        <w:t xml:space="preserve">lecz </w:t>
      </w:r>
      <w:r>
        <w:t xml:space="preserve">po prostu dostępny środek odwoławczy przed organem właściwym do rozpatrzenia </w:t>
      </w:r>
      <w:r w:rsidR="002C6F23">
        <w:t xml:space="preserve">przedmiotu </w:t>
      </w:r>
      <w:r>
        <w:t xml:space="preserve">skargi (zob. np. </w:t>
      </w:r>
      <w:proofErr w:type="spellStart"/>
      <w:r w:rsidRPr="00C17761">
        <w:rPr>
          <w:i/>
          <w:iCs/>
        </w:rPr>
        <w:t>Šidlová</w:t>
      </w:r>
      <w:proofErr w:type="spellEnd"/>
      <w:r w:rsidRPr="00C17761">
        <w:rPr>
          <w:i/>
          <w:iCs/>
        </w:rPr>
        <w:t xml:space="preserve"> przeciwko S</w:t>
      </w:r>
      <w:r w:rsidR="00C17761">
        <w:rPr>
          <w:i/>
          <w:iCs/>
        </w:rPr>
        <w:t>ł</w:t>
      </w:r>
      <w:r w:rsidRPr="00C17761">
        <w:rPr>
          <w:i/>
          <w:iCs/>
        </w:rPr>
        <w:t>owacji</w:t>
      </w:r>
      <w:r>
        <w:t>, n</w:t>
      </w:r>
      <w:r w:rsidR="002C6F23">
        <w:t>r</w:t>
      </w:r>
      <w:r>
        <w:t> 50224/99, § 77, 26 września 2006</w:t>
      </w:r>
      <w:r w:rsidR="00D26CA8">
        <w:t> </w:t>
      </w:r>
      <w:r>
        <w:t xml:space="preserve">r.; </w:t>
      </w:r>
      <w:r w:rsidRPr="00C17761">
        <w:rPr>
          <w:i/>
          <w:iCs/>
        </w:rPr>
        <w:t xml:space="preserve">Figiel przeciwko Polsce </w:t>
      </w:r>
      <w:r>
        <w:t>(nr 2), n</w:t>
      </w:r>
      <w:r w:rsidR="002C6F23">
        <w:t>r</w:t>
      </w:r>
      <w:r>
        <w:t> 38206/05, § 33, 16 września 2008</w:t>
      </w:r>
      <w:r w:rsidR="00D26CA8">
        <w:t> </w:t>
      </w:r>
      <w:r>
        <w:t xml:space="preserve">r.; oraz </w:t>
      </w:r>
      <w:r w:rsidRPr="00C17761">
        <w:rPr>
          <w:i/>
          <w:iCs/>
        </w:rPr>
        <w:t>Baszczyński przeciwko Polsce</w:t>
      </w:r>
      <w:r>
        <w:t xml:space="preserve"> (dec.), nr 77103/13, § 51, 12</w:t>
      </w:r>
      <w:r w:rsidR="00D26CA8">
        <w:t> </w:t>
      </w:r>
      <w:r>
        <w:t>grudnia 2017 r.).</w:t>
      </w:r>
    </w:p>
    <w:p w14:paraId="4B42FF6D" w14:textId="47643BBA" w:rsidR="00CD31A5" w:rsidRPr="009816D7" w:rsidRDefault="00CD31A5" w:rsidP="009816D7">
      <w:pPr>
        <w:pStyle w:val="ECHRPara"/>
      </w:pPr>
      <w:r>
        <w:t>44.</w:t>
      </w:r>
      <w:r w:rsidR="00C80AF6">
        <w:t xml:space="preserve"> </w:t>
      </w:r>
      <w:r>
        <w:t xml:space="preserve">Uwzględniając swoje ustalenia w </w:t>
      </w:r>
      <w:r w:rsidR="002C6F23">
        <w:t>zakresie</w:t>
      </w:r>
      <w:r>
        <w:t xml:space="preserve"> art. 6 ust. 1 Konwencji oraz fakt, że skarżący miał możliwość wniesienia skargi na podstawie ustawy z 2004 r. i kilkakrotnie skorzystał z tej możliwości, Trybunał stwierdza, że ta część </w:t>
      </w:r>
      <w:r w:rsidR="002F6F33">
        <w:t>skargi</w:t>
      </w:r>
      <w:r>
        <w:t xml:space="preserve"> jest w sposób oczywisty</w:t>
      </w:r>
      <w:r w:rsidR="002C6F23">
        <w:t xml:space="preserve"> </w:t>
      </w:r>
      <w:r>
        <w:t>nieuzasadniona i</w:t>
      </w:r>
      <w:r w:rsidR="00D26CA8">
        <w:t> </w:t>
      </w:r>
      <w:r w:rsidR="002C6F23">
        <w:t>podlega</w:t>
      </w:r>
      <w:r>
        <w:t xml:space="preserve"> </w:t>
      </w:r>
      <w:r w:rsidR="002C6F23">
        <w:t xml:space="preserve">odrzuceniu </w:t>
      </w:r>
      <w:r>
        <w:t xml:space="preserve">zgodnie z art. 35 </w:t>
      </w:r>
      <w:r w:rsidR="002C6F23">
        <w:t xml:space="preserve">ust. </w:t>
      </w:r>
      <w:r>
        <w:t>3 i 4 Konwencji.</w:t>
      </w:r>
    </w:p>
    <w:p w14:paraId="644DCEB0" w14:textId="5C484F97" w:rsidR="00CD31A5" w:rsidRPr="009816D7" w:rsidRDefault="00CD31A5" w:rsidP="009816D7">
      <w:pPr>
        <w:pStyle w:val="ECHRHeading1"/>
      </w:pPr>
      <w:r>
        <w:lastRenderedPageBreak/>
        <w:t>III.</w:t>
      </w:r>
      <w:r w:rsidR="00C80AF6">
        <w:t xml:space="preserve"> </w:t>
      </w:r>
      <w:r>
        <w:t xml:space="preserve">ZASTOSOWANIE </w:t>
      </w:r>
      <w:r w:rsidR="002C6F23">
        <w:t xml:space="preserve">ART. </w:t>
      </w:r>
      <w:r>
        <w:t>41 KONWENCJI</w:t>
      </w:r>
    </w:p>
    <w:p w14:paraId="17FF2AD4" w14:textId="0564DEA3" w:rsidR="00CD31A5" w:rsidRPr="009816D7" w:rsidRDefault="00CD31A5" w:rsidP="009816D7">
      <w:pPr>
        <w:pStyle w:val="ECHRPara"/>
      </w:pPr>
      <w:r>
        <w:t>45.</w:t>
      </w:r>
      <w:r w:rsidR="00C80AF6">
        <w:t xml:space="preserve"> </w:t>
      </w:r>
      <w:r>
        <w:t>Art</w:t>
      </w:r>
      <w:r w:rsidR="0071115C">
        <w:t xml:space="preserve">. </w:t>
      </w:r>
      <w:r>
        <w:t>41 Konwencji stanowi:</w:t>
      </w:r>
    </w:p>
    <w:p w14:paraId="331AC847" w14:textId="2872DFD4" w:rsidR="00CD31A5" w:rsidRPr="009816D7" w:rsidRDefault="00CD31A5" w:rsidP="009816D7">
      <w:pPr>
        <w:pStyle w:val="ECHRParaQuote"/>
        <w:keepNext/>
        <w:keepLines/>
      </w:pPr>
      <w:r>
        <w:t>„</w:t>
      </w:r>
      <w:r w:rsidR="00C63BFE">
        <w:t>Je</w:t>
      </w:r>
      <w:r w:rsidR="002F6F33">
        <w:t>śl</w:t>
      </w:r>
      <w:r w:rsidR="00C63BFE">
        <w:t xml:space="preserve">i </w:t>
      </w:r>
      <w:r>
        <w:t xml:space="preserve">Trybunał stwierdzi, że nastąpiło naruszenie Konwencji lub jej Protokołów, oraz </w:t>
      </w:r>
      <w:r w:rsidR="00C63BFE">
        <w:t>je</w:t>
      </w:r>
      <w:r w:rsidR="002F6F33">
        <w:t>ś</w:t>
      </w:r>
      <w:r w:rsidR="00C63BFE">
        <w:t xml:space="preserve">li </w:t>
      </w:r>
      <w:r>
        <w:t>prawo wewnętrzne zainteresowanej Wysokiej Układającej się Strony pozwala tylko na częściowe usunięcie konsekwencji tego naruszenia, Trybunał orzeka, gdy zachodzi potrzeba, słuszne zadośćuczynieni</w:t>
      </w:r>
      <w:r w:rsidR="002F6F33">
        <w:t>e</w:t>
      </w:r>
      <w:r>
        <w:t xml:space="preserve"> pokrzywdzonej stronie”.</w:t>
      </w:r>
    </w:p>
    <w:p w14:paraId="25822DA7" w14:textId="1565CF61" w:rsidR="00CD31A5" w:rsidRPr="009816D7" w:rsidRDefault="00CD31A5" w:rsidP="009816D7">
      <w:pPr>
        <w:pStyle w:val="ECHRPara"/>
      </w:pPr>
      <w:r>
        <w:t>46.</w:t>
      </w:r>
      <w:r w:rsidR="00C80AF6">
        <w:t xml:space="preserve"> </w:t>
      </w:r>
      <w:r>
        <w:t>Skarżący nie wysunął roszcze</w:t>
      </w:r>
      <w:r w:rsidR="009E2ECF">
        <w:t>nia o zadośćuczynienie</w:t>
      </w:r>
      <w:r w:rsidR="002F6F33">
        <w:t>. Trybunał uznaje</w:t>
      </w:r>
      <w:r w:rsidR="00C63BFE">
        <w:t xml:space="preserve"> zatem</w:t>
      </w:r>
      <w:r>
        <w:t>, że nie ma podstaw do przyznania mu jakiejkolwiek kwoty z</w:t>
      </w:r>
      <w:r w:rsidR="00D26CA8">
        <w:t> </w:t>
      </w:r>
      <w:r>
        <w:t>tego tytułu.</w:t>
      </w:r>
    </w:p>
    <w:p w14:paraId="0E1E1BB0" w14:textId="77777777" w:rsidR="00CD31A5" w:rsidRPr="009816D7" w:rsidRDefault="00CD31A5" w:rsidP="009816D7">
      <w:pPr>
        <w:pStyle w:val="ECHRTitle1"/>
      </w:pPr>
      <w:r>
        <w:t>Z TYCH PRZYCZYN TRYBUNAŁ JEDNOGŁOŚNIE</w:t>
      </w:r>
    </w:p>
    <w:p w14:paraId="3418F55F" w14:textId="51851503" w:rsidR="00CD31A5" w:rsidRPr="009816D7" w:rsidRDefault="00CD31A5" w:rsidP="009816D7">
      <w:pPr>
        <w:pStyle w:val="JuList"/>
      </w:pPr>
      <w:r>
        <w:t>1.</w:t>
      </w:r>
      <w:r w:rsidR="00C80AF6">
        <w:t xml:space="preserve"> </w:t>
      </w:r>
      <w:r w:rsidRPr="00CE3064">
        <w:rPr>
          <w:i/>
          <w:iCs/>
        </w:rPr>
        <w:t>Przyjmuje do wiadomości</w:t>
      </w:r>
      <w:r>
        <w:t xml:space="preserve"> warunki deklaracji pozwanego Rządu </w:t>
      </w:r>
      <w:r w:rsidR="00C63BFE">
        <w:t xml:space="preserve">złożonej </w:t>
      </w:r>
      <w:r>
        <w:t xml:space="preserve">na mocy art. 6 ust. 1 i art. 13 Konwencji w odniesieniu do pierwszego postępowania oraz warunków </w:t>
      </w:r>
      <w:r w:rsidR="00C63BFE">
        <w:t>wywiązania się z</w:t>
      </w:r>
      <w:r>
        <w:t xml:space="preserve"> </w:t>
      </w:r>
      <w:r w:rsidR="00C63BFE">
        <w:t>obowiązków</w:t>
      </w:r>
      <w:r>
        <w:t>, o</w:t>
      </w:r>
      <w:r w:rsidR="00D26CA8">
        <w:t> </w:t>
      </w:r>
      <w:r>
        <w:t>których</w:t>
      </w:r>
      <w:r w:rsidR="00D26CA8">
        <w:t> </w:t>
      </w:r>
      <w:r>
        <w:t>mowa w t</w:t>
      </w:r>
      <w:r w:rsidR="002F6F33">
        <w:t>ej</w:t>
      </w:r>
      <w:r w:rsidR="00C63BFE">
        <w:t>że</w:t>
      </w:r>
      <w:r w:rsidR="002F6F33">
        <w:t xml:space="preserve"> deklaracji</w:t>
      </w:r>
      <w:r>
        <w:t>;</w:t>
      </w:r>
    </w:p>
    <w:p w14:paraId="3C8A0D76" w14:textId="77777777" w:rsidR="00CD31A5" w:rsidRPr="009816D7" w:rsidRDefault="00CD31A5" w:rsidP="009816D7">
      <w:pPr>
        <w:pStyle w:val="JuList"/>
      </w:pPr>
    </w:p>
    <w:p w14:paraId="17333A71" w14:textId="56EF4240" w:rsidR="00CD31A5" w:rsidRPr="009816D7" w:rsidRDefault="00CD31A5" w:rsidP="009816D7">
      <w:pPr>
        <w:pStyle w:val="JuList"/>
      </w:pPr>
      <w:r>
        <w:t>2.</w:t>
      </w:r>
      <w:r w:rsidR="00C80AF6">
        <w:rPr>
          <w:i/>
        </w:rPr>
        <w:t xml:space="preserve"> </w:t>
      </w:r>
      <w:r w:rsidRPr="006C6BD1">
        <w:rPr>
          <w:i/>
          <w:iCs/>
        </w:rPr>
        <w:t>Postanawia</w:t>
      </w:r>
      <w:r>
        <w:t xml:space="preserve"> </w:t>
      </w:r>
      <w:r w:rsidR="002F6F33">
        <w:t>s</w:t>
      </w:r>
      <w:r>
        <w:t xml:space="preserve">kreślić </w:t>
      </w:r>
      <w:r w:rsidR="00C63BFE">
        <w:t xml:space="preserve">z listy spraw </w:t>
      </w:r>
      <w:r>
        <w:t>część skargi w odniesieniu do</w:t>
      </w:r>
      <w:r w:rsidR="00D26CA8">
        <w:t> </w:t>
      </w:r>
      <w:r>
        <w:t>pierwszego postępowania zgodnie z art. 37 ust. 1 lit. c Konwencji;</w:t>
      </w:r>
    </w:p>
    <w:p w14:paraId="2355BAF9" w14:textId="77777777" w:rsidR="00CD31A5" w:rsidRPr="009816D7" w:rsidRDefault="00CD31A5" w:rsidP="009816D7">
      <w:pPr>
        <w:pStyle w:val="JuList"/>
      </w:pPr>
    </w:p>
    <w:p w14:paraId="2AF2A598" w14:textId="6C528EDA" w:rsidR="00CD31A5" w:rsidRPr="009816D7" w:rsidRDefault="00CD31A5" w:rsidP="009816D7">
      <w:pPr>
        <w:pStyle w:val="JuList"/>
      </w:pPr>
      <w:r>
        <w:t>3.</w:t>
      </w:r>
      <w:r w:rsidR="00C80AF6">
        <w:rPr>
          <w:i/>
        </w:rPr>
        <w:t xml:space="preserve"> </w:t>
      </w:r>
      <w:r w:rsidRPr="006C6BD1">
        <w:rPr>
          <w:i/>
          <w:iCs/>
        </w:rPr>
        <w:t>Uznaje</w:t>
      </w:r>
      <w:r>
        <w:t xml:space="preserve"> skargę za dopuszczalną w części dotyczącej nieuzasadnionego czasu trwania drugiego postępowania, a pozostałą część skargi za</w:t>
      </w:r>
      <w:r w:rsidR="00D26CA8">
        <w:t> </w:t>
      </w:r>
      <w:r>
        <w:t>niedopuszczalną;</w:t>
      </w:r>
    </w:p>
    <w:p w14:paraId="39C78878" w14:textId="77777777" w:rsidR="00CD31A5" w:rsidRPr="009816D7" w:rsidRDefault="00CD31A5" w:rsidP="009816D7">
      <w:pPr>
        <w:pStyle w:val="JuList"/>
        <w:ind w:left="0" w:firstLine="0"/>
      </w:pPr>
    </w:p>
    <w:p w14:paraId="36CB2BAD" w14:textId="02D38334" w:rsidR="004D0EC7" w:rsidRPr="009816D7" w:rsidRDefault="00CD31A5" w:rsidP="009816D7">
      <w:pPr>
        <w:pStyle w:val="JuList"/>
      </w:pPr>
      <w:r>
        <w:t>4.</w:t>
      </w:r>
      <w:r w:rsidR="00C80AF6">
        <w:t xml:space="preserve"> </w:t>
      </w:r>
      <w:r>
        <w:t>Stwierdza, że doszło do naruszenia art. 6 ust. 1 Konwencji w odniesieniu do drugiego postępowania.</w:t>
      </w:r>
    </w:p>
    <w:p w14:paraId="2B575BA6" w14:textId="074B52A8" w:rsidR="008E3A08" w:rsidRPr="009816D7" w:rsidRDefault="007E2C8C" w:rsidP="009816D7">
      <w:pPr>
        <w:pStyle w:val="JuParaLast"/>
      </w:pPr>
      <w:r>
        <w:t>Sporządzono w języku angielskim i obwieszczono pisemnie 13 czerwca 2019 r., zgodnie z Regułą 77 §§ 2 i 3 Regulaminu Trybunału.</w:t>
      </w:r>
    </w:p>
    <w:p w14:paraId="5163B3F0" w14:textId="690FA369" w:rsidR="001C055B" w:rsidRPr="009816D7" w:rsidRDefault="002F6F33" w:rsidP="009816D7">
      <w:pPr>
        <w:pStyle w:val="JuSigned"/>
      </w:pPr>
      <w:r>
        <w:t xml:space="preserve">  </w:t>
      </w:r>
      <w:r w:rsidR="00327844">
        <w:tab/>
        <w:t xml:space="preserve">Renata </w:t>
      </w:r>
      <w:proofErr w:type="spellStart"/>
      <w:r w:rsidR="00327844">
        <w:t>Degener</w:t>
      </w:r>
      <w:proofErr w:type="spellEnd"/>
      <w:r w:rsidR="00327844">
        <w:t xml:space="preserve"> </w:t>
      </w:r>
      <w:r w:rsidR="00327844">
        <w:tab/>
      </w:r>
      <w:proofErr w:type="spellStart"/>
      <w:r w:rsidR="00327844">
        <w:t>Pere</w:t>
      </w:r>
      <w:proofErr w:type="spellEnd"/>
      <w:r w:rsidR="00327844">
        <w:t xml:space="preserve"> Pastor </w:t>
      </w:r>
      <w:proofErr w:type="spellStart"/>
      <w:r w:rsidR="00327844">
        <w:t>Vilanova</w:t>
      </w:r>
      <w:proofErr w:type="spellEnd"/>
      <w:r w:rsidR="00327844">
        <w:br/>
      </w:r>
      <w:r w:rsidR="00327844">
        <w:tab/>
        <w:t>Zastępca Kanclerz</w:t>
      </w:r>
      <w:r w:rsidR="007E40DD">
        <w:t>a</w:t>
      </w:r>
      <w:r w:rsidR="00327844">
        <w:tab/>
        <w:t>Przewodniczący</w:t>
      </w:r>
    </w:p>
    <w:sectPr w:rsidR="001C055B" w:rsidRPr="009816D7" w:rsidSect="000B7195">
      <w:headerReference w:type="even" r:id="rId16"/>
      <w:headerReference w:type="default" r:id="rId17"/>
      <w:footerReference w:type="even" r:id="rId18"/>
      <w:footerReference w:type="default" r:id="rId19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F9D15" w14:textId="77777777" w:rsidR="00EE4C94" w:rsidRPr="00085457" w:rsidRDefault="00EE4C94" w:rsidP="0098410D">
      <w:r w:rsidRPr="00085457">
        <w:separator/>
      </w:r>
    </w:p>
  </w:endnote>
  <w:endnote w:type="continuationSeparator" w:id="0">
    <w:p w14:paraId="1C6BBD8C" w14:textId="77777777" w:rsidR="00EE4C94" w:rsidRPr="00085457" w:rsidRDefault="00EE4C94" w:rsidP="0098410D">
      <w:r w:rsidRPr="0008545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F37E4D" w14:textId="77777777" w:rsidR="00707065" w:rsidRDefault="007070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2F374" w14:textId="77777777" w:rsidR="00061E4A" w:rsidRPr="00150BFA" w:rsidRDefault="00061E4A" w:rsidP="00061E4A">
    <w:pPr>
      <w:jc w:val="center"/>
    </w:pPr>
    <w:r>
      <w:rPr>
        <w:noProof/>
        <w:lang w:eastAsia="pl-PL"/>
      </w:rPr>
      <w:drawing>
        <wp:inline distT="0" distB="0" distL="0" distR="0" wp14:anchorId="3DAFBC29" wp14:editId="19D2348F">
          <wp:extent cx="771525" cy="619125"/>
          <wp:effectExtent l="0" t="0" r="9525" b="9525"/>
          <wp:docPr id="28" name="Picture 28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327F4E" w14:textId="77777777" w:rsidR="00061E4A" w:rsidRPr="00085457" w:rsidRDefault="00061E4A" w:rsidP="00061E4A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D049FB" w14:textId="77777777" w:rsidR="00707065" w:rsidRDefault="0070706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65C20" w14:textId="77777777" w:rsidR="00061E4A" w:rsidRDefault="00061E4A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C671A" w14:textId="77777777" w:rsidR="00061E4A" w:rsidRPr="000B7195" w:rsidRDefault="00061E4A" w:rsidP="00061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6BDFD" w14:textId="77777777" w:rsidR="00EE4C94" w:rsidRPr="00085457" w:rsidRDefault="00EE4C94" w:rsidP="0098410D">
      <w:r w:rsidRPr="00085457">
        <w:separator/>
      </w:r>
    </w:p>
  </w:footnote>
  <w:footnote w:type="continuationSeparator" w:id="0">
    <w:p w14:paraId="0CD0CE15" w14:textId="77777777" w:rsidR="00EE4C94" w:rsidRPr="00085457" w:rsidRDefault="00EE4C94" w:rsidP="0098410D">
      <w:r w:rsidRPr="0008545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B29F05" w14:textId="77777777" w:rsidR="00707065" w:rsidRDefault="007070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FC7F" w14:textId="77777777" w:rsidR="00061E4A" w:rsidRPr="00A45145" w:rsidRDefault="00061E4A" w:rsidP="00061E4A">
    <w:pPr>
      <w:jc w:val="center"/>
    </w:pPr>
    <w:r>
      <w:rPr>
        <w:noProof/>
        <w:lang w:eastAsia="pl-PL"/>
      </w:rPr>
      <w:drawing>
        <wp:inline distT="0" distB="0" distL="0" distR="0" wp14:anchorId="43C5BB61" wp14:editId="13B263EA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EF7EE8" w14:textId="77777777" w:rsidR="00061E4A" w:rsidRPr="00085457" w:rsidRDefault="00061E4A" w:rsidP="00061E4A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B6E4E" w14:textId="77777777" w:rsidR="00061E4A" w:rsidRPr="00A45145" w:rsidRDefault="00061E4A" w:rsidP="00061E4A">
    <w:pPr>
      <w:jc w:val="center"/>
    </w:pPr>
    <w:r>
      <w:rPr>
        <w:noProof/>
        <w:lang w:eastAsia="pl-PL"/>
      </w:rPr>
      <w:drawing>
        <wp:inline distT="0" distB="0" distL="0" distR="0" wp14:anchorId="30370640" wp14:editId="49F796D9">
          <wp:extent cx="2962275" cy="1219200"/>
          <wp:effectExtent l="0" t="0" r="9525" b="0"/>
          <wp:docPr id="26" name="Picture 26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C38891" w14:textId="77777777" w:rsidR="00061E4A" w:rsidRPr="00085457" w:rsidRDefault="00061E4A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7EA422" w14:textId="45A0DA5D" w:rsidR="00061E4A" w:rsidRPr="004D0EC7" w:rsidRDefault="00061E4A" w:rsidP="004D0EC7">
    <w:pPr>
      <w:pStyle w:val="ECHR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62E2D">
      <w:rPr>
        <w:rStyle w:val="Numerstrony"/>
        <w:noProof/>
      </w:rPr>
      <w:t>6</w:t>
    </w:r>
    <w:r>
      <w:rPr>
        <w:rStyle w:val="Numerstrony"/>
      </w:rPr>
      <w:fldChar w:fldCharType="end"/>
    </w:r>
    <w:r>
      <w:tab/>
    </w:r>
    <w:r w:rsidR="0071115C">
      <w:t xml:space="preserve">WYROK W SPRAWIE </w:t>
    </w:r>
    <w:r w:rsidR="00804C93">
      <w:t>JARMUŻ PRZECIWKO</w:t>
    </w:r>
    <w:r>
      <w:t xml:space="preserve"> POLSCE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C6EB1" w14:textId="594D8152" w:rsidR="00061E4A" w:rsidRPr="00882CD5" w:rsidRDefault="00804C93" w:rsidP="00882CD5">
    <w:pPr>
      <w:pStyle w:val="ECHRHeader"/>
    </w:pPr>
    <w:r>
      <w:tab/>
    </w:r>
    <w:r w:rsidR="0071115C">
      <w:t xml:space="preserve">WYROK W SPRAWIE </w:t>
    </w:r>
    <w:r>
      <w:t>JARMUŻ PRZECIWKO</w:t>
    </w:r>
    <w:r w:rsidR="00061E4A">
      <w:t xml:space="preserve"> POLSCE </w:t>
    </w:r>
    <w:r w:rsidR="00061E4A">
      <w:tab/>
    </w:r>
    <w:r w:rsidR="00061E4A">
      <w:rPr>
        <w:rStyle w:val="Numerstrony"/>
      </w:rPr>
      <w:fldChar w:fldCharType="begin"/>
    </w:r>
    <w:r w:rsidR="00061E4A">
      <w:rPr>
        <w:rStyle w:val="Numerstrony"/>
      </w:rPr>
      <w:instrText xml:space="preserve"> PAGE </w:instrText>
    </w:r>
    <w:r w:rsidR="00061E4A">
      <w:rPr>
        <w:rStyle w:val="Numerstrony"/>
      </w:rPr>
      <w:fldChar w:fldCharType="separate"/>
    </w:r>
    <w:r w:rsidR="00D62E2D">
      <w:rPr>
        <w:rStyle w:val="Numerstrony"/>
        <w:noProof/>
      </w:rPr>
      <w:t>5</w:t>
    </w:r>
    <w:r w:rsidR="00061E4A"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641157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7C970851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9"/>
  </w:num>
  <w:num w:numId="6">
    <w:abstractNumId w:val="16"/>
  </w:num>
  <w:num w:numId="7">
    <w:abstractNumId w:val="9"/>
  </w:num>
  <w:num w:numId="8">
    <w:abstractNumId w:val="6"/>
  </w:num>
  <w:num w:numId="9">
    <w:abstractNumId w:val="14"/>
  </w:num>
  <w:num w:numId="10">
    <w:abstractNumId w:val="13"/>
  </w:num>
  <w:num w:numId="11">
    <w:abstractNumId w:val="11"/>
  </w:num>
  <w:num w:numId="12">
    <w:abstractNumId w:val="10"/>
  </w:num>
  <w:num w:numId="13">
    <w:abstractNumId w:val="7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5"/>
  </w:num>
  <w:num w:numId="22">
    <w:abstractNumId w:val="15"/>
  </w:num>
  <w:num w:numId="23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EMM" w:val="0"/>
    <w:docVar w:name="NBEMMDOC" w:val="0"/>
  </w:docVars>
  <w:rsids>
    <w:rsidRoot w:val="00CD31A5"/>
    <w:rsid w:val="000041F8"/>
    <w:rsid w:val="00004279"/>
    <w:rsid w:val="000042A8"/>
    <w:rsid w:val="00004308"/>
    <w:rsid w:val="00005BF0"/>
    <w:rsid w:val="00006287"/>
    <w:rsid w:val="00007154"/>
    <w:rsid w:val="000103AE"/>
    <w:rsid w:val="00011D69"/>
    <w:rsid w:val="00012AD3"/>
    <w:rsid w:val="00015C2D"/>
    <w:rsid w:val="00015F00"/>
    <w:rsid w:val="00021634"/>
    <w:rsid w:val="00022C1D"/>
    <w:rsid w:val="00033F73"/>
    <w:rsid w:val="00034987"/>
    <w:rsid w:val="00041560"/>
    <w:rsid w:val="000602DF"/>
    <w:rsid w:val="00060C55"/>
    <w:rsid w:val="00061B05"/>
    <w:rsid w:val="00061E4A"/>
    <w:rsid w:val="000632D5"/>
    <w:rsid w:val="000644EE"/>
    <w:rsid w:val="00085457"/>
    <w:rsid w:val="000925AD"/>
    <w:rsid w:val="00096FE1"/>
    <w:rsid w:val="00097A62"/>
    <w:rsid w:val="000A24EB"/>
    <w:rsid w:val="000B3C99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DC5"/>
    <w:rsid w:val="000E223F"/>
    <w:rsid w:val="000E359F"/>
    <w:rsid w:val="000E46B8"/>
    <w:rsid w:val="000E7D45"/>
    <w:rsid w:val="000F22A1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42904"/>
    <w:rsid w:val="001561B6"/>
    <w:rsid w:val="00157772"/>
    <w:rsid w:val="00162833"/>
    <w:rsid w:val="00162A12"/>
    <w:rsid w:val="00166530"/>
    <w:rsid w:val="00170027"/>
    <w:rsid w:val="001832BD"/>
    <w:rsid w:val="001943B5"/>
    <w:rsid w:val="00194D69"/>
    <w:rsid w:val="00195134"/>
    <w:rsid w:val="001A145B"/>
    <w:rsid w:val="001A674C"/>
    <w:rsid w:val="001A67A2"/>
    <w:rsid w:val="001B3B24"/>
    <w:rsid w:val="001C055B"/>
    <w:rsid w:val="001C0F98"/>
    <w:rsid w:val="001C233B"/>
    <w:rsid w:val="001C2A42"/>
    <w:rsid w:val="001C68B4"/>
    <w:rsid w:val="001D025E"/>
    <w:rsid w:val="001D5628"/>
    <w:rsid w:val="001D63ED"/>
    <w:rsid w:val="001D7348"/>
    <w:rsid w:val="001E035B"/>
    <w:rsid w:val="001E0961"/>
    <w:rsid w:val="001E3EAE"/>
    <w:rsid w:val="001E6857"/>
    <w:rsid w:val="001E6B18"/>
    <w:rsid w:val="001E6F32"/>
    <w:rsid w:val="001F2145"/>
    <w:rsid w:val="001F6262"/>
    <w:rsid w:val="001F67B0"/>
    <w:rsid w:val="001F7B3D"/>
    <w:rsid w:val="0020335A"/>
    <w:rsid w:val="002052BC"/>
    <w:rsid w:val="00205F9F"/>
    <w:rsid w:val="00210338"/>
    <w:rsid w:val="002115FC"/>
    <w:rsid w:val="0021423C"/>
    <w:rsid w:val="00225D9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540E"/>
    <w:rsid w:val="00272FF9"/>
    <w:rsid w:val="00275123"/>
    <w:rsid w:val="002815BF"/>
    <w:rsid w:val="00282240"/>
    <w:rsid w:val="00287AD5"/>
    <w:rsid w:val="002934D0"/>
    <w:rsid w:val="002948AD"/>
    <w:rsid w:val="0029590F"/>
    <w:rsid w:val="00297759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6F23"/>
    <w:rsid w:val="002C7826"/>
    <w:rsid w:val="002D022D"/>
    <w:rsid w:val="002D24BB"/>
    <w:rsid w:val="002D2FA7"/>
    <w:rsid w:val="002D47BA"/>
    <w:rsid w:val="002D77B9"/>
    <w:rsid w:val="002E46DA"/>
    <w:rsid w:val="002F2AF7"/>
    <w:rsid w:val="002F69C4"/>
    <w:rsid w:val="002F6F33"/>
    <w:rsid w:val="002F7D9E"/>
    <w:rsid w:val="002F7E1C"/>
    <w:rsid w:val="00301A75"/>
    <w:rsid w:val="00302F70"/>
    <w:rsid w:val="0030336F"/>
    <w:rsid w:val="0030375E"/>
    <w:rsid w:val="003063D7"/>
    <w:rsid w:val="00312A30"/>
    <w:rsid w:val="00320F72"/>
    <w:rsid w:val="0032463E"/>
    <w:rsid w:val="00326224"/>
    <w:rsid w:val="00327844"/>
    <w:rsid w:val="00337EE4"/>
    <w:rsid w:val="00340FFD"/>
    <w:rsid w:val="00345C41"/>
    <w:rsid w:val="003506B1"/>
    <w:rsid w:val="00355877"/>
    <w:rsid w:val="00356AC7"/>
    <w:rsid w:val="003609FA"/>
    <w:rsid w:val="003710C8"/>
    <w:rsid w:val="003750BE"/>
    <w:rsid w:val="00385F3D"/>
    <w:rsid w:val="00387B9D"/>
    <w:rsid w:val="00390294"/>
    <w:rsid w:val="0039364F"/>
    <w:rsid w:val="00396686"/>
    <w:rsid w:val="0039778E"/>
    <w:rsid w:val="003A61AC"/>
    <w:rsid w:val="003B4941"/>
    <w:rsid w:val="003B65BB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4C45"/>
    <w:rsid w:val="003F556D"/>
    <w:rsid w:val="003F5F7B"/>
    <w:rsid w:val="003F7D64"/>
    <w:rsid w:val="00414300"/>
    <w:rsid w:val="00414F27"/>
    <w:rsid w:val="00420703"/>
    <w:rsid w:val="00425C67"/>
    <w:rsid w:val="00427E7A"/>
    <w:rsid w:val="004355AC"/>
    <w:rsid w:val="00436C49"/>
    <w:rsid w:val="004372F5"/>
    <w:rsid w:val="00443D98"/>
    <w:rsid w:val="00445366"/>
    <w:rsid w:val="00447F5B"/>
    <w:rsid w:val="00461DB0"/>
    <w:rsid w:val="00463926"/>
    <w:rsid w:val="00464C9A"/>
    <w:rsid w:val="00474F3D"/>
    <w:rsid w:val="00475563"/>
    <w:rsid w:val="00475586"/>
    <w:rsid w:val="00477E3A"/>
    <w:rsid w:val="00483E5F"/>
    <w:rsid w:val="00485FF9"/>
    <w:rsid w:val="004907F0"/>
    <w:rsid w:val="0049140B"/>
    <w:rsid w:val="004923A5"/>
    <w:rsid w:val="0049310E"/>
    <w:rsid w:val="00496BFB"/>
    <w:rsid w:val="004A15C7"/>
    <w:rsid w:val="004A397C"/>
    <w:rsid w:val="004A5E37"/>
    <w:rsid w:val="004B013B"/>
    <w:rsid w:val="004B112B"/>
    <w:rsid w:val="004B444E"/>
    <w:rsid w:val="004C01E4"/>
    <w:rsid w:val="004C086C"/>
    <w:rsid w:val="004C1F56"/>
    <w:rsid w:val="004C27BC"/>
    <w:rsid w:val="004C7ACE"/>
    <w:rsid w:val="004D0EC7"/>
    <w:rsid w:val="004D15F3"/>
    <w:rsid w:val="004D4EF1"/>
    <w:rsid w:val="004D5311"/>
    <w:rsid w:val="004D5DCC"/>
    <w:rsid w:val="004D7E45"/>
    <w:rsid w:val="004F10AF"/>
    <w:rsid w:val="004F11A4"/>
    <w:rsid w:val="004F16E8"/>
    <w:rsid w:val="004F1B6E"/>
    <w:rsid w:val="004F2389"/>
    <w:rsid w:val="004F304D"/>
    <w:rsid w:val="004F61BE"/>
    <w:rsid w:val="004F66B1"/>
    <w:rsid w:val="005061E8"/>
    <w:rsid w:val="00511C07"/>
    <w:rsid w:val="005125CB"/>
    <w:rsid w:val="005173A6"/>
    <w:rsid w:val="00517F5F"/>
    <w:rsid w:val="00520354"/>
    <w:rsid w:val="00520BAA"/>
    <w:rsid w:val="005217D8"/>
    <w:rsid w:val="00525208"/>
    <w:rsid w:val="005257A5"/>
    <w:rsid w:val="005264C0"/>
    <w:rsid w:val="00526A8A"/>
    <w:rsid w:val="00530FE6"/>
    <w:rsid w:val="00531DF2"/>
    <w:rsid w:val="00537476"/>
    <w:rsid w:val="005442EE"/>
    <w:rsid w:val="00545DA6"/>
    <w:rsid w:val="00547353"/>
    <w:rsid w:val="005474E7"/>
    <w:rsid w:val="005512A3"/>
    <w:rsid w:val="00557798"/>
    <w:rsid w:val="005578CE"/>
    <w:rsid w:val="00562781"/>
    <w:rsid w:val="00562B6C"/>
    <w:rsid w:val="0057271C"/>
    <w:rsid w:val="00572845"/>
    <w:rsid w:val="00573A7F"/>
    <w:rsid w:val="005775E8"/>
    <w:rsid w:val="00585BDA"/>
    <w:rsid w:val="005879A2"/>
    <w:rsid w:val="005879C2"/>
    <w:rsid w:val="00592772"/>
    <w:rsid w:val="0059574A"/>
    <w:rsid w:val="005A1B9B"/>
    <w:rsid w:val="005A2E79"/>
    <w:rsid w:val="005A6751"/>
    <w:rsid w:val="005B092E"/>
    <w:rsid w:val="005B152C"/>
    <w:rsid w:val="005B1EE0"/>
    <w:rsid w:val="005B2B24"/>
    <w:rsid w:val="005B4425"/>
    <w:rsid w:val="005B4B94"/>
    <w:rsid w:val="005C3EE8"/>
    <w:rsid w:val="005D34F9"/>
    <w:rsid w:val="005D4190"/>
    <w:rsid w:val="005D67A3"/>
    <w:rsid w:val="005E2988"/>
    <w:rsid w:val="005E3085"/>
    <w:rsid w:val="005E35D7"/>
    <w:rsid w:val="005F32B7"/>
    <w:rsid w:val="005F51E1"/>
    <w:rsid w:val="00611C80"/>
    <w:rsid w:val="00620692"/>
    <w:rsid w:val="006242CA"/>
    <w:rsid w:val="00627507"/>
    <w:rsid w:val="00633717"/>
    <w:rsid w:val="006344E1"/>
    <w:rsid w:val="00643524"/>
    <w:rsid w:val="0064393B"/>
    <w:rsid w:val="006545C4"/>
    <w:rsid w:val="00661971"/>
    <w:rsid w:val="00661CE8"/>
    <w:rsid w:val="006623D9"/>
    <w:rsid w:val="006642A5"/>
    <w:rsid w:val="0066550C"/>
    <w:rsid w:val="00665BD2"/>
    <w:rsid w:val="006716F2"/>
    <w:rsid w:val="00682BF2"/>
    <w:rsid w:val="0068573E"/>
    <w:rsid w:val="006859CE"/>
    <w:rsid w:val="00691270"/>
    <w:rsid w:val="00694BA8"/>
    <w:rsid w:val="006A037C"/>
    <w:rsid w:val="006A36F4"/>
    <w:rsid w:val="006A406F"/>
    <w:rsid w:val="006A5D3A"/>
    <w:rsid w:val="006C23D4"/>
    <w:rsid w:val="006C6BD1"/>
    <w:rsid w:val="006C7BB0"/>
    <w:rsid w:val="006D3237"/>
    <w:rsid w:val="006E2E37"/>
    <w:rsid w:val="006E3CF1"/>
    <w:rsid w:val="006E7E80"/>
    <w:rsid w:val="006F48CA"/>
    <w:rsid w:val="006F64DD"/>
    <w:rsid w:val="006F712D"/>
    <w:rsid w:val="00707065"/>
    <w:rsid w:val="0071115C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3366"/>
    <w:rsid w:val="00797A09"/>
    <w:rsid w:val="007A0C1E"/>
    <w:rsid w:val="007A716F"/>
    <w:rsid w:val="007B270A"/>
    <w:rsid w:val="007B4182"/>
    <w:rsid w:val="007B5266"/>
    <w:rsid w:val="007C0695"/>
    <w:rsid w:val="007C17F0"/>
    <w:rsid w:val="007C419A"/>
    <w:rsid w:val="007C4CC8"/>
    <w:rsid w:val="007C50F2"/>
    <w:rsid w:val="007C5426"/>
    <w:rsid w:val="007C5798"/>
    <w:rsid w:val="007D1ECD"/>
    <w:rsid w:val="007D4832"/>
    <w:rsid w:val="007E21B2"/>
    <w:rsid w:val="007E2C4E"/>
    <w:rsid w:val="007E2C8C"/>
    <w:rsid w:val="007E40DD"/>
    <w:rsid w:val="007E51BA"/>
    <w:rsid w:val="007F1905"/>
    <w:rsid w:val="00802C64"/>
    <w:rsid w:val="00804C93"/>
    <w:rsid w:val="00805E52"/>
    <w:rsid w:val="008061D0"/>
    <w:rsid w:val="00810B38"/>
    <w:rsid w:val="008204C7"/>
    <w:rsid w:val="00820992"/>
    <w:rsid w:val="00823602"/>
    <w:rsid w:val="008255F5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A32D7"/>
    <w:rsid w:val="008B02DC"/>
    <w:rsid w:val="008B57CE"/>
    <w:rsid w:val="008C06AD"/>
    <w:rsid w:val="008C26DE"/>
    <w:rsid w:val="008C3397"/>
    <w:rsid w:val="008C7031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16C6"/>
    <w:rsid w:val="009140A3"/>
    <w:rsid w:val="009144A2"/>
    <w:rsid w:val="0091510C"/>
    <w:rsid w:val="009259AC"/>
    <w:rsid w:val="00926F38"/>
    <w:rsid w:val="00927BEB"/>
    <w:rsid w:val="00934301"/>
    <w:rsid w:val="009350B8"/>
    <w:rsid w:val="00936CD1"/>
    <w:rsid w:val="00941747"/>
    <w:rsid w:val="00941EFB"/>
    <w:rsid w:val="00943D21"/>
    <w:rsid w:val="00947AFB"/>
    <w:rsid w:val="00951AA3"/>
    <w:rsid w:val="00951D7D"/>
    <w:rsid w:val="00956D0C"/>
    <w:rsid w:val="009630C7"/>
    <w:rsid w:val="00972B55"/>
    <w:rsid w:val="009743B7"/>
    <w:rsid w:val="009749AC"/>
    <w:rsid w:val="009816D7"/>
    <w:rsid w:val="0098228B"/>
    <w:rsid w:val="009828DA"/>
    <w:rsid w:val="0098410D"/>
    <w:rsid w:val="00985BAB"/>
    <w:rsid w:val="00986B3C"/>
    <w:rsid w:val="009B1B5F"/>
    <w:rsid w:val="009B6673"/>
    <w:rsid w:val="009C191B"/>
    <w:rsid w:val="009C2BD6"/>
    <w:rsid w:val="009E1F32"/>
    <w:rsid w:val="009E2CC2"/>
    <w:rsid w:val="009E2ECF"/>
    <w:rsid w:val="009E776C"/>
    <w:rsid w:val="009F4C5C"/>
    <w:rsid w:val="009F4C8F"/>
    <w:rsid w:val="00A05588"/>
    <w:rsid w:val="00A1726E"/>
    <w:rsid w:val="00A204CF"/>
    <w:rsid w:val="00A21D2B"/>
    <w:rsid w:val="00A23D49"/>
    <w:rsid w:val="00A27004"/>
    <w:rsid w:val="00A308CE"/>
    <w:rsid w:val="00A30C29"/>
    <w:rsid w:val="00A34DD6"/>
    <w:rsid w:val="00A36819"/>
    <w:rsid w:val="00A36989"/>
    <w:rsid w:val="00A43628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0BCD"/>
    <w:rsid w:val="00A94C20"/>
    <w:rsid w:val="00AA1B09"/>
    <w:rsid w:val="00AA227F"/>
    <w:rsid w:val="00AA39BB"/>
    <w:rsid w:val="00AA3BC7"/>
    <w:rsid w:val="00AA754A"/>
    <w:rsid w:val="00AB099E"/>
    <w:rsid w:val="00AB4328"/>
    <w:rsid w:val="00AE0A2E"/>
    <w:rsid w:val="00AE1A72"/>
    <w:rsid w:val="00AE354C"/>
    <w:rsid w:val="00AF4B07"/>
    <w:rsid w:val="00AF6186"/>
    <w:rsid w:val="00AF7A3A"/>
    <w:rsid w:val="00B016BB"/>
    <w:rsid w:val="00B0307F"/>
    <w:rsid w:val="00B07F52"/>
    <w:rsid w:val="00B160DB"/>
    <w:rsid w:val="00B20836"/>
    <w:rsid w:val="00B235BB"/>
    <w:rsid w:val="00B27A44"/>
    <w:rsid w:val="00B30BBF"/>
    <w:rsid w:val="00B33C03"/>
    <w:rsid w:val="00B372EF"/>
    <w:rsid w:val="00B4421F"/>
    <w:rsid w:val="00B44E56"/>
    <w:rsid w:val="00B45917"/>
    <w:rsid w:val="00B46543"/>
    <w:rsid w:val="00B47D33"/>
    <w:rsid w:val="00B52BE0"/>
    <w:rsid w:val="00B54133"/>
    <w:rsid w:val="00B5418C"/>
    <w:rsid w:val="00B701ED"/>
    <w:rsid w:val="00B748F7"/>
    <w:rsid w:val="00B8086C"/>
    <w:rsid w:val="00B81C58"/>
    <w:rsid w:val="00B861B4"/>
    <w:rsid w:val="00B86DFE"/>
    <w:rsid w:val="00B8743C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6BBF"/>
    <w:rsid w:val="00BD1572"/>
    <w:rsid w:val="00BE10C3"/>
    <w:rsid w:val="00BE14E3"/>
    <w:rsid w:val="00BE3774"/>
    <w:rsid w:val="00BE41E5"/>
    <w:rsid w:val="00BE5033"/>
    <w:rsid w:val="00BF118F"/>
    <w:rsid w:val="00BF4109"/>
    <w:rsid w:val="00BF4CC3"/>
    <w:rsid w:val="00C054C7"/>
    <w:rsid w:val="00C057B5"/>
    <w:rsid w:val="00C115C3"/>
    <w:rsid w:val="00C15547"/>
    <w:rsid w:val="00C15A14"/>
    <w:rsid w:val="00C17761"/>
    <w:rsid w:val="00C22687"/>
    <w:rsid w:val="00C2606E"/>
    <w:rsid w:val="00C260F4"/>
    <w:rsid w:val="00C321D8"/>
    <w:rsid w:val="00C32E4D"/>
    <w:rsid w:val="00C333A0"/>
    <w:rsid w:val="00C36A81"/>
    <w:rsid w:val="00C373EA"/>
    <w:rsid w:val="00C41974"/>
    <w:rsid w:val="00C44A2C"/>
    <w:rsid w:val="00C477F7"/>
    <w:rsid w:val="00C509A6"/>
    <w:rsid w:val="00C52C48"/>
    <w:rsid w:val="00C53F4A"/>
    <w:rsid w:val="00C54125"/>
    <w:rsid w:val="00C55B54"/>
    <w:rsid w:val="00C6098E"/>
    <w:rsid w:val="00C6152C"/>
    <w:rsid w:val="00C63BFE"/>
    <w:rsid w:val="00C74810"/>
    <w:rsid w:val="00C80AF6"/>
    <w:rsid w:val="00C90D68"/>
    <w:rsid w:val="00C939FE"/>
    <w:rsid w:val="00CA1014"/>
    <w:rsid w:val="00CA4BDA"/>
    <w:rsid w:val="00CB0F8E"/>
    <w:rsid w:val="00CB13E3"/>
    <w:rsid w:val="00CB1F66"/>
    <w:rsid w:val="00CB2951"/>
    <w:rsid w:val="00CB4277"/>
    <w:rsid w:val="00CC5067"/>
    <w:rsid w:val="00CD11D3"/>
    <w:rsid w:val="00CD282B"/>
    <w:rsid w:val="00CD31A5"/>
    <w:rsid w:val="00CD4C35"/>
    <w:rsid w:val="00CD7369"/>
    <w:rsid w:val="00CE0B0E"/>
    <w:rsid w:val="00CE3064"/>
    <w:rsid w:val="00CE3831"/>
    <w:rsid w:val="00CF2397"/>
    <w:rsid w:val="00D00ABB"/>
    <w:rsid w:val="00D02EEC"/>
    <w:rsid w:val="00D03551"/>
    <w:rsid w:val="00D06A63"/>
    <w:rsid w:val="00D07E0E"/>
    <w:rsid w:val="00D11478"/>
    <w:rsid w:val="00D15ED0"/>
    <w:rsid w:val="00D164BF"/>
    <w:rsid w:val="00D20C48"/>
    <w:rsid w:val="00D21B3E"/>
    <w:rsid w:val="00D21FED"/>
    <w:rsid w:val="00D23048"/>
    <w:rsid w:val="00D24251"/>
    <w:rsid w:val="00D26CA8"/>
    <w:rsid w:val="00D26E72"/>
    <w:rsid w:val="00D325F4"/>
    <w:rsid w:val="00D343E2"/>
    <w:rsid w:val="00D361A2"/>
    <w:rsid w:val="00D44C2E"/>
    <w:rsid w:val="00D45414"/>
    <w:rsid w:val="00D50A0A"/>
    <w:rsid w:val="00D566BD"/>
    <w:rsid w:val="00D57A4D"/>
    <w:rsid w:val="00D60AA7"/>
    <w:rsid w:val="00D62E2D"/>
    <w:rsid w:val="00D6435F"/>
    <w:rsid w:val="00D70641"/>
    <w:rsid w:val="00D74888"/>
    <w:rsid w:val="00D75E28"/>
    <w:rsid w:val="00D772C2"/>
    <w:rsid w:val="00D77C46"/>
    <w:rsid w:val="00D8008E"/>
    <w:rsid w:val="00D82C45"/>
    <w:rsid w:val="00D908A8"/>
    <w:rsid w:val="00D949EA"/>
    <w:rsid w:val="00D977B6"/>
    <w:rsid w:val="00DA1223"/>
    <w:rsid w:val="00DA4A31"/>
    <w:rsid w:val="00DA7B04"/>
    <w:rsid w:val="00DB24C4"/>
    <w:rsid w:val="00DB36C2"/>
    <w:rsid w:val="00DB748D"/>
    <w:rsid w:val="00DB7557"/>
    <w:rsid w:val="00DC169B"/>
    <w:rsid w:val="00DC2AB9"/>
    <w:rsid w:val="00DC63F0"/>
    <w:rsid w:val="00DD37EA"/>
    <w:rsid w:val="00DD6EE5"/>
    <w:rsid w:val="00DE386C"/>
    <w:rsid w:val="00DE4D35"/>
    <w:rsid w:val="00DF098B"/>
    <w:rsid w:val="00DF11C4"/>
    <w:rsid w:val="00DF210C"/>
    <w:rsid w:val="00DF4B6A"/>
    <w:rsid w:val="00E02C09"/>
    <w:rsid w:val="00E04D59"/>
    <w:rsid w:val="00E06C44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63EC7"/>
    <w:rsid w:val="00E64915"/>
    <w:rsid w:val="00E64D3A"/>
    <w:rsid w:val="00E661D4"/>
    <w:rsid w:val="00E67D0E"/>
    <w:rsid w:val="00E70091"/>
    <w:rsid w:val="00E70D2E"/>
    <w:rsid w:val="00E720F5"/>
    <w:rsid w:val="00E76D47"/>
    <w:rsid w:val="00E827BC"/>
    <w:rsid w:val="00E849F7"/>
    <w:rsid w:val="00E90302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6544"/>
    <w:rsid w:val="00EE0277"/>
    <w:rsid w:val="00EE2899"/>
    <w:rsid w:val="00EE3E00"/>
    <w:rsid w:val="00EE4C94"/>
    <w:rsid w:val="00EE5DD2"/>
    <w:rsid w:val="00EF3DB4"/>
    <w:rsid w:val="00F00A79"/>
    <w:rsid w:val="00F00E86"/>
    <w:rsid w:val="00F07C1E"/>
    <w:rsid w:val="00F105DB"/>
    <w:rsid w:val="00F132BC"/>
    <w:rsid w:val="00F13D80"/>
    <w:rsid w:val="00F15B4D"/>
    <w:rsid w:val="00F16AAA"/>
    <w:rsid w:val="00F1709C"/>
    <w:rsid w:val="00F21161"/>
    <w:rsid w:val="00F218EF"/>
    <w:rsid w:val="00F21BC7"/>
    <w:rsid w:val="00F266A2"/>
    <w:rsid w:val="00F32269"/>
    <w:rsid w:val="00F35B7A"/>
    <w:rsid w:val="00F56A6F"/>
    <w:rsid w:val="00F5709C"/>
    <w:rsid w:val="00F64EF1"/>
    <w:rsid w:val="00F72E50"/>
    <w:rsid w:val="00F7349B"/>
    <w:rsid w:val="00F82479"/>
    <w:rsid w:val="00F8765F"/>
    <w:rsid w:val="00F90767"/>
    <w:rsid w:val="00F9425B"/>
    <w:rsid w:val="00FA1637"/>
    <w:rsid w:val="00FA2914"/>
    <w:rsid w:val="00FA41F0"/>
    <w:rsid w:val="00FA685B"/>
    <w:rsid w:val="00FB0C01"/>
    <w:rsid w:val="00FB5934"/>
    <w:rsid w:val="00FC18F2"/>
    <w:rsid w:val="00FC2A17"/>
    <w:rsid w:val="00FC38CF"/>
    <w:rsid w:val="00FC39E5"/>
    <w:rsid w:val="00FC3A78"/>
    <w:rsid w:val="00FC5F8A"/>
    <w:rsid w:val="00FD1005"/>
    <w:rsid w:val="00FD6C75"/>
    <w:rsid w:val="00FD7972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C9BF0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semiHidden/>
    <w:rsid w:val="004C7ACE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4C7AC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4C7ACE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4C7AC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4C7AC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4C7AC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4C7AC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4C7ACE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4C7ACE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4C7AC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4C7A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ACE"/>
    <w:rPr>
      <w:rFonts w:ascii="Tahoma" w:eastAsiaTheme="minorEastAsia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4C7ACE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4C7ACE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DummyStyle">
    <w:name w:val="Dummy_Style"/>
    <w:basedOn w:val="Normalny"/>
    <w:semiHidden/>
    <w:qFormat/>
    <w:rsid w:val="004C7ACE"/>
    <w:rPr>
      <w:color w:val="00B050"/>
    </w:rPr>
  </w:style>
  <w:style w:type="character" w:styleId="Pogrubienie">
    <w:name w:val="Strong"/>
    <w:uiPriority w:val="99"/>
    <w:semiHidden/>
    <w:qFormat/>
    <w:rsid w:val="004C7ACE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4C7ACE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4C7ACE"/>
    <w:rPr>
      <w:rFonts w:eastAsiaTheme="minorEastAsia"/>
    </w:rPr>
  </w:style>
  <w:style w:type="paragraph" w:customStyle="1" w:styleId="ECHRParaQuote">
    <w:name w:val="ECHR_Para_Quote"/>
    <w:aliases w:val="Ju_Quot,_Quote"/>
    <w:basedOn w:val="Normalny"/>
    <w:uiPriority w:val="21"/>
    <w:qFormat/>
    <w:rsid w:val="004C7ACE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4C7ACE"/>
    <w:pPr>
      <w:ind w:left="284"/>
    </w:pPr>
  </w:style>
  <w:style w:type="paragraph" w:customStyle="1" w:styleId="OpiH1">
    <w:name w:val="Opi_H_1"/>
    <w:basedOn w:val="ECHRHeading2"/>
    <w:uiPriority w:val="42"/>
    <w:qFormat/>
    <w:rsid w:val="004C7ACE"/>
    <w:pPr>
      <w:ind w:left="635" w:hanging="357"/>
      <w:outlineLvl w:val="2"/>
    </w:pPr>
  </w:style>
  <w:style w:type="paragraph" w:customStyle="1" w:styleId="OpiHa">
    <w:name w:val="Opi_H_a"/>
    <w:basedOn w:val="ECHRHeading3"/>
    <w:uiPriority w:val="43"/>
    <w:qFormat/>
    <w:rsid w:val="004C7ACE"/>
    <w:pPr>
      <w:ind w:left="833" w:hanging="357"/>
      <w:outlineLvl w:val="3"/>
    </w:pPr>
    <w:rPr>
      <w:b/>
      <w:i w:val="0"/>
      <w:sz w:val="20"/>
    </w:rPr>
  </w:style>
  <w:style w:type="paragraph" w:customStyle="1" w:styleId="OpiHA0">
    <w:name w:val="Opi_H_A"/>
    <w:basedOn w:val="ECHRHeading1"/>
    <w:next w:val="OpiPara"/>
    <w:uiPriority w:val="41"/>
    <w:qFormat/>
    <w:rsid w:val="004C7ACE"/>
    <w:pPr>
      <w:tabs>
        <w:tab w:val="clear" w:pos="357"/>
      </w:tabs>
      <w:outlineLvl w:val="1"/>
    </w:pPr>
    <w:rPr>
      <w:b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4C7ACE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4C7ACE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4C7ACE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4C7ACE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Initialled">
    <w:name w:val="Ju_Initialled"/>
    <w:basedOn w:val="Normalny"/>
    <w:uiPriority w:val="31"/>
    <w:qFormat/>
    <w:rsid w:val="004C7ACE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basedOn w:val="Normalny"/>
    <w:next w:val="JuParaLast"/>
    <w:uiPriority w:val="32"/>
    <w:qFormat/>
    <w:rsid w:val="004C7ACE"/>
    <w:pPr>
      <w:tabs>
        <w:tab w:val="center" w:pos="851"/>
        <w:tab w:val="center" w:pos="6407"/>
      </w:tabs>
      <w:spacing w:before="720"/>
      <w:jc w:val="lef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4C7AC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4C7ACE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OpiHi">
    <w:name w:val="Opi_H_i"/>
    <w:basedOn w:val="ECHRHeading4"/>
    <w:uiPriority w:val="44"/>
    <w:qFormat/>
    <w:rsid w:val="004C7ACE"/>
    <w:pPr>
      <w:ind w:left="1037" w:hanging="357"/>
      <w:outlineLvl w:val="4"/>
    </w:pPr>
    <w:rPr>
      <w:b w:val="0"/>
      <w:i/>
    </w:rPr>
  </w:style>
  <w:style w:type="character" w:customStyle="1" w:styleId="JUNAMES">
    <w:name w:val="JU_NAMES"/>
    <w:uiPriority w:val="17"/>
    <w:qFormat/>
    <w:rsid w:val="004C7ACE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4C7ACE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OpiPara">
    <w:name w:val="Opi_Para"/>
    <w:basedOn w:val="ECHRPara"/>
    <w:uiPriority w:val="46"/>
    <w:qFormat/>
    <w:rsid w:val="004C7ACE"/>
  </w:style>
  <w:style w:type="paragraph" w:customStyle="1" w:styleId="JuCourt">
    <w:name w:val="Ju_Court"/>
    <w:basedOn w:val="Normalny"/>
    <w:next w:val="Normalny"/>
    <w:uiPriority w:val="16"/>
    <w:qFormat/>
    <w:rsid w:val="004C7ACE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4C7ACE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4C7ACE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4C7ACE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Nagwek">
    <w:name w:val="header"/>
    <w:basedOn w:val="Normalny"/>
    <w:link w:val="NagwekZnak"/>
    <w:uiPriority w:val="57"/>
    <w:semiHidden/>
    <w:rsid w:val="004C7ACE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4C7ACE"/>
    <w:rPr>
      <w:sz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4C7ACE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4C7ACE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4C7ACE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4C7ACE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4C7ACE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4C7ACE"/>
    <w:pPr>
      <w:keepNext/>
      <w:keepLines/>
      <w:spacing w:before="240" w:after="120"/>
      <w:ind w:left="1236"/>
    </w:pPr>
    <w:rPr>
      <w:sz w:val="20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4C7ACE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paragraph" w:customStyle="1" w:styleId="JuParaLast">
    <w:name w:val="Ju_Para_Last"/>
    <w:basedOn w:val="Normalny"/>
    <w:next w:val="ECHRPara"/>
    <w:uiPriority w:val="30"/>
    <w:qFormat/>
    <w:rsid w:val="004C7ACE"/>
    <w:pPr>
      <w:keepNext/>
      <w:keepLines/>
      <w:spacing w:before="240"/>
      <w:ind w:firstLine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4C7ACE"/>
    <w:pPr>
      <w:tabs>
        <w:tab w:val="left" w:pos="567"/>
        <w:tab w:val="left" w:pos="1134"/>
      </w:tabs>
      <w:jc w:val="left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4C7ACE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paragraph" w:customStyle="1" w:styleId="JuList">
    <w:name w:val="Ju_List"/>
    <w:basedOn w:val="Normalny"/>
    <w:uiPriority w:val="28"/>
    <w:qFormat/>
    <w:rsid w:val="004C7ACE"/>
    <w:pPr>
      <w:ind w:left="340" w:hanging="340"/>
    </w:p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4C7ACE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JuLista">
    <w:name w:val="Ju_List_a"/>
    <w:basedOn w:val="JuList"/>
    <w:uiPriority w:val="28"/>
    <w:qFormat/>
    <w:rsid w:val="004C7ACE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4C7ACE"/>
    <w:pPr>
      <w:ind w:left="794"/>
    </w:pPr>
  </w:style>
  <w:style w:type="character" w:styleId="Wyrnieniedelikatne">
    <w:name w:val="Subtle Emphasis"/>
    <w:uiPriority w:val="99"/>
    <w:semiHidden/>
    <w:qFormat/>
    <w:rsid w:val="004C7ACE"/>
    <w:rPr>
      <w:i/>
      <w:iCs/>
    </w:rPr>
  </w:style>
  <w:style w:type="paragraph" w:customStyle="1" w:styleId="OpiParaSub">
    <w:name w:val="Opi_Para_Sub"/>
    <w:basedOn w:val="JuParaSub"/>
    <w:uiPriority w:val="47"/>
    <w:qFormat/>
    <w:rsid w:val="004C7ACE"/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OpiQuot">
    <w:name w:val="Opi_Quot"/>
    <w:basedOn w:val="ECHRParaQuote"/>
    <w:uiPriority w:val="48"/>
    <w:qFormat/>
    <w:rsid w:val="004C7ACE"/>
  </w:style>
  <w:style w:type="paragraph" w:customStyle="1" w:styleId="OpiQuotSub">
    <w:name w:val="Opi_Quot_Sub"/>
    <w:basedOn w:val="JuQuotSub"/>
    <w:uiPriority w:val="49"/>
    <w:qFormat/>
    <w:rsid w:val="004C7ACE"/>
  </w:style>
  <w:style w:type="paragraph" w:customStyle="1" w:styleId="OpiTranslation">
    <w:name w:val="Opi_Translation"/>
    <w:basedOn w:val="Normalny"/>
    <w:next w:val="OpiPara"/>
    <w:uiPriority w:val="40"/>
    <w:qFormat/>
    <w:rsid w:val="004C7ACE"/>
    <w:pPr>
      <w:jc w:val="center"/>
      <w:outlineLvl w:val="0"/>
    </w:pPr>
    <w:rPr>
      <w:i/>
    </w:rPr>
  </w:style>
  <w:style w:type="character" w:styleId="Uwydatnienie">
    <w:name w:val="Emphasis"/>
    <w:uiPriority w:val="99"/>
    <w:semiHidden/>
    <w:qFormat/>
    <w:rsid w:val="004C7AC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4C7ACE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4C7ACE"/>
    <w:rPr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4C7AC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C7AC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C7ACE"/>
    <w:rPr>
      <w:rFonts w:eastAsiaTheme="minorEastAsia"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4C7ACE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4C7ACE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4C7ACE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4C7ACE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4C7ACE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4C7ACE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4C7ACE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4C7ACE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4C7ACE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4C7ACE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4C7ACE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4C7ACE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4C7ACE"/>
    <w:rPr>
      <w:smallCaps/>
    </w:rPr>
  </w:style>
  <w:style w:type="table" w:styleId="Tabela-Siatka">
    <w:name w:val="Table Grid"/>
    <w:basedOn w:val="Standardowy"/>
    <w:uiPriority w:val="59"/>
    <w:semiHidden/>
    <w:rsid w:val="004C7ACE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4C7ACE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4C7ACE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4C7ACE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4C7ACE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4C7ACE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4C7ACE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572845"/>
    <w:rPr>
      <w:rFonts w:eastAsiaTheme="minorEastAsia"/>
      <w:sz w:val="20"/>
      <w:lang w:eastAsia="en-GB"/>
    </w:rPr>
    <w:tblPr>
      <w:tblInd w:w="-964" w:type="dxa"/>
      <w:tblCellMar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3609FA"/>
    <w:rPr>
      <w:rFonts w:eastAsiaTheme="minorEastAsia"/>
      <w:lang w:eastAsia="en-GB"/>
    </w:rPr>
    <w:tblPr>
      <w:tblInd w:w="113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4C7ACE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4C7ACE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4C7ACE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unhideWhenUsed/>
    <w:rsid w:val="0098410D"/>
    <w:pPr>
      <w:numPr>
        <w:numId w:val="10"/>
      </w:numPr>
    </w:p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4C7ACE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98410D"/>
    <w:pPr>
      <w:numPr>
        <w:numId w:val="11"/>
      </w:numPr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98410D"/>
    <w:pPr>
      <w:numPr>
        <w:numId w:val="12"/>
      </w:numPr>
    </w:p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4C7ACE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9"/>
    <w:semiHidden/>
    <w:rsid w:val="0098410D"/>
  </w:style>
  <w:style w:type="paragraph" w:styleId="Tekstblokowy">
    <w:name w:val="Block Text"/>
    <w:basedOn w:val="Normalny"/>
    <w:uiPriority w:val="99"/>
    <w:semiHidden/>
    <w:rsid w:val="0098410D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9"/>
    <w:semiHidden/>
    <w:rsid w:val="009841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410D"/>
    <w:rPr>
      <w:rFonts w:eastAsiaTheme="minorEastAsia"/>
      <w:sz w:val="24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9"/>
    <w:semiHidden/>
    <w:rsid w:val="0098410D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ny"/>
    <w:next w:val="ECHRPara"/>
    <w:uiPriority w:val="10"/>
    <w:rsid w:val="004C7ACE"/>
    <w:pPr>
      <w:ind w:firstLine="284"/>
    </w:pPr>
    <w:rPr>
      <w:b/>
    </w:rPr>
  </w:style>
  <w:style w:type="character" w:styleId="Numerstrony">
    <w:name w:val="page number"/>
    <w:uiPriority w:val="99"/>
    <w:semiHidden/>
    <w:rsid w:val="0098410D"/>
    <w:rPr>
      <w:sz w:val="18"/>
    </w:rPr>
  </w:style>
  <w:style w:type="paragraph" w:styleId="Listapunktowana">
    <w:name w:val="List Bullet"/>
    <w:basedOn w:val="Normalny"/>
    <w:uiPriority w:val="99"/>
    <w:semiHidden/>
    <w:rsid w:val="0098410D"/>
    <w:pPr>
      <w:numPr>
        <w:numId w:val="9"/>
      </w:numPr>
    </w:pPr>
  </w:style>
  <w:style w:type="paragraph" w:styleId="Listapunktowana3">
    <w:name w:val="List Bullet 3"/>
    <w:basedOn w:val="Normalny"/>
    <w:uiPriority w:val="99"/>
    <w:semiHidden/>
    <w:rsid w:val="0098410D"/>
    <w:pPr>
      <w:numPr>
        <w:numId w:val="8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410D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98410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8410D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98410D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98410D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8410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8410D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98410D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98410D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98410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8410D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8410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8410D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98410D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98410D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98410D"/>
    <w:rPr>
      <w:rFonts w:eastAsiaTheme="minorEastAsia"/>
      <w:sz w:val="24"/>
    </w:rPr>
  </w:style>
  <w:style w:type="table" w:styleId="Kolorowasiatka">
    <w:name w:val="Colorful Grid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9"/>
    <w:semiHidden/>
    <w:rsid w:val="009841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841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410D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841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410D"/>
    <w:rPr>
      <w:rFonts w:eastAsiaTheme="minorEastAsia"/>
      <w:b/>
      <w:bCs/>
      <w:sz w:val="20"/>
      <w:szCs w:val="20"/>
    </w:rPr>
  </w:style>
  <w:style w:type="table" w:styleId="Ciemnalista">
    <w:name w:val="Dark List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98410D"/>
  </w:style>
  <w:style w:type="character" w:customStyle="1" w:styleId="DataZnak">
    <w:name w:val="Data Znak"/>
    <w:basedOn w:val="Domylnaczcionkaakapitu"/>
    <w:link w:val="Data"/>
    <w:uiPriority w:val="99"/>
    <w:semiHidden/>
    <w:rsid w:val="0098410D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98410D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98410D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98410D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98410D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rsid w:val="004C7A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C7AC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7ACE"/>
    <w:rPr>
      <w:rFonts w:eastAsiaTheme="minorEastAsia"/>
      <w:sz w:val="20"/>
      <w:szCs w:val="20"/>
      <w:lang w:val="pl-PL"/>
    </w:rPr>
  </w:style>
  <w:style w:type="paragraph" w:styleId="Adresnakopercie">
    <w:name w:val="envelope address"/>
    <w:basedOn w:val="Normalny"/>
    <w:uiPriority w:val="99"/>
    <w:semiHidden/>
    <w:rsid w:val="0098410D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98410D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98410D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9"/>
    <w:semiHidden/>
    <w:rsid w:val="0098410D"/>
  </w:style>
  <w:style w:type="paragraph" w:styleId="HTML-adres">
    <w:name w:val="HTML Address"/>
    <w:basedOn w:val="Normalny"/>
    <w:link w:val="HTML-adresZnak"/>
    <w:uiPriority w:val="99"/>
    <w:semiHidden/>
    <w:rsid w:val="0098410D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98410D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98410D"/>
    <w:rPr>
      <w:i/>
      <w:iCs/>
    </w:rPr>
  </w:style>
  <w:style w:type="character" w:styleId="HTML-kod">
    <w:name w:val="HTML Code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98410D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8410D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98410D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98410D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98410D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98410D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98410D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98410D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98410D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98410D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98410D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98410D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98410D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98410D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98410D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98410D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98410D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98410D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98410D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98410D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98410D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98410D"/>
  </w:style>
  <w:style w:type="paragraph" w:styleId="Lista">
    <w:name w:val="List"/>
    <w:basedOn w:val="Normalny"/>
    <w:uiPriority w:val="99"/>
    <w:semiHidden/>
    <w:rsid w:val="0098410D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98410D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98410D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98410D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98410D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98410D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98410D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98410D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98410D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98410D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98410D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98410D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98410D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98410D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98410D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98410D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98410D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98410D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98410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98410D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98410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98410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98410D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98410D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98410D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98410D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4C7ACE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98410D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8410D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98410D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98410D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98410D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98410D"/>
    <w:rPr>
      <w:rFonts w:eastAsiaTheme="minorEastAsia"/>
      <w:sz w:val="24"/>
    </w:rPr>
  </w:style>
  <w:style w:type="table" w:styleId="Tabela-Efekty3D1">
    <w:name w:val="Table 3D effects 1"/>
    <w:basedOn w:val="Standardowy"/>
    <w:uiPriority w:val="99"/>
    <w:semiHidden/>
    <w:unhideWhenUsed/>
    <w:rsid w:val="0098410D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98410D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98410D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98410D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98410D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98410D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98410D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98410D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98410D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98410D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98410D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98410D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98410D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98410D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98410D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98410D"/>
  </w:style>
  <w:style w:type="table" w:styleId="Tabela-Profesjonalny">
    <w:name w:val="Table Professional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98410D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98410D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98410D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98410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4C7ACE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4C7ACE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98410D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8410D"/>
    <w:pPr>
      <w:spacing w:after="100"/>
      <w:ind w:left="1920"/>
    </w:pPr>
  </w:style>
  <w:style w:type="paragraph" w:customStyle="1" w:styleId="DecHTitle">
    <w:name w:val="Dec_H_Title"/>
    <w:basedOn w:val="ECHRTitleCentre1"/>
    <w:uiPriority w:val="7"/>
    <w:semiHidden/>
    <w:qFormat/>
    <w:rsid w:val="004C7ACE"/>
  </w:style>
  <w:style w:type="paragraph" w:customStyle="1" w:styleId="DecList">
    <w:name w:val="Dec_List"/>
    <w:basedOn w:val="Normalny"/>
    <w:uiPriority w:val="9"/>
    <w:semiHidden/>
    <w:qFormat/>
    <w:rsid w:val="004C7ACE"/>
    <w:pPr>
      <w:spacing w:before="240"/>
      <w:ind w:left="284"/>
    </w:pPr>
  </w:style>
  <w:style w:type="paragraph" w:customStyle="1" w:styleId="ECHRFooter">
    <w:name w:val="ECHR_Footer"/>
    <w:aliases w:val="Footer_ECHR"/>
    <w:basedOn w:val="Stopka"/>
    <w:uiPriority w:val="57"/>
    <w:semiHidden/>
    <w:rsid w:val="004C7ACE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4C7ACE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qFormat/>
    <w:rsid w:val="004C7ACE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AppQuestion">
    <w:name w:val="Ju_App_Question"/>
    <w:basedOn w:val="Normalny"/>
    <w:uiPriority w:val="5"/>
    <w:semiHidden/>
    <w:qFormat/>
    <w:rsid w:val="004C7ACE"/>
    <w:pPr>
      <w:numPr>
        <w:numId w:val="23"/>
      </w:numPr>
      <w:jc w:val="left"/>
    </w:pPr>
    <w:rPr>
      <w:b/>
    </w:rPr>
  </w:style>
  <w:style w:type="paragraph" w:customStyle="1" w:styleId="JuHeaderLandscape">
    <w:name w:val="Ju_Header_Landscape"/>
    <w:basedOn w:val="ECHRHeader"/>
    <w:uiPriority w:val="4"/>
    <w:qFormat/>
    <w:rsid w:val="004C7ACE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JuTitle">
    <w:name w:val="Ju_Title"/>
    <w:basedOn w:val="Normalny"/>
    <w:next w:val="ECHRPara"/>
    <w:uiPriority w:val="3"/>
    <w:qFormat/>
    <w:rsid w:val="004C7ACE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customStyle="1" w:styleId="ECHRParaChar">
    <w:name w:val="ECHR_Para Char"/>
    <w:aliases w:val="Ju_Para Char"/>
    <w:link w:val="ECHRPara"/>
    <w:uiPriority w:val="12"/>
    <w:rsid w:val="00CD31A5"/>
    <w:rPr>
      <w:rFonts w:eastAsiaTheme="minorEastAsia"/>
      <w:sz w:val="24"/>
      <w:lang w:val="pl-PL"/>
    </w:rPr>
  </w:style>
  <w:style w:type="paragraph" w:styleId="Poprawka">
    <w:name w:val="Revision"/>
    <w:hidden/>
    <w:uiPriority w:val="99"/>
    <w:semiHidden/>
    <w:rsid w:val="001A67A2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sprawiedliwosc" TargetMode="Externa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://www.gov.pl/sprawiedliwosc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702AD-E5DA-4C36-AB84-03B7927C7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2680</Words>
  <Characters>16081</Characters>
  <Application>Microsoft Office Word</Application>
  <DocSecurity>4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2019-09-17T09:17:00Z</dcterms:created>
  <dcterms:modified xsi:type="dcterms:W3CDTF">2019-09-17T09:17:00Z</dcterms:modified>
  <cp:category/>
</cp:coreProperties>
</file>