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34E67" w14:textId="77777777" w:rsidR="00375B58" w:rsidRPr="00375B58" w:rsidRDefault="00375B58" w:rsidP="00375B58">
      <w:pPr>
        <w:spacing w:before="100" w:beforeAutospacing="1" w:after="120"/>
        <w:jc w:val="both"/>
        <w:rPr>
          <w:sz w:val="20"/>
          <w:lang w:val="en-GB"/>
        </w:rPr>
      </w:pPr>
      <w:bookmarkStart w:id="0" w:name="_GoBack"/>
      <w:bookmarkEnd w:id="0"/>
      <w:r w:rsidRPr="00375B58">
        <w:rPr>
          <w:sz w:val="20"/>
          <w:lang w:val="en-GB"/>
        </w:rPr>
        <w:t xml:space="preserve">© Ministerstwo Sprawiedliwości, </w:t>
      </w:r>
      <w:hyperlink r:id="rId8" w:history="1">
        <w:r w:rsidRPr="00375B58">
          <w:rPr>
            <w:rStyle w:val="Hipercze"/>
            <w:sz w:val="20"/>
            <w:lang w:val="en-GB"/>
          </w:rPr>
          <w:t>www.gov.pl/sprawiedliwosc</w:t>
        </w:r>
      </w:hyperlink>
      <w:r w:rsidRPr="00375B58">
        <w:rPr>
          <w:sz w:val="20"/>
          <w:lang w:val="en-GB"/>
        </w:rPr>
        <w:t xml:space="preserve"> [Translation already published on the official website of the Polish Ministry of Justice]</w:t>
      </w:r>
    </w:p>
    <w:p w14:paraId="7993810F" w14:textId="77777777" w:rsidR="00375B58" w:rsidRPr="00375B58" w:rsidRDefault="00375B58" w:rsidP="00375B58">
      <w:pPr>
        <w:spacing w:after="100" w:afterAutospacing="1"/>
        <w:jc w:val="both"/>
        <w:rPr>
          <w:sz w:val="20"/>
          <w:lang w:val="en-GB"/>
        </w:rPr>
      </w:pPr>
      <w:r w:rsidRPr="00375B58">
        <w:rPr>
          <w:sz w:val="20"/>
          <w:lang w:val="en-GB"/>
        </w:rPr>
        <w:t>Permission to re-publish this translation has been granted by the Polish Ministry of Justice for the sole purpose of its inclusion in the Court’s database HUDOC</w:t>
      </w:r>
    </w:p>
    <w:p w14:paraId="2ACB0CC5" w14:textId="77777777" w:rsidR="00375B58" w:rsidRDefault="00375B58" w:rsidP="00375B58">
      <w:pPr>
        <w:spacing w:before="100" w:beforeAutospacing="1" w:after="120"/>
        <w:jc w:val="both"/>
        <w:rPr>
          <w:sz w:val="20"/>
        </w:rPr>
      </w:pPr>
      <w:r>
        <w:rPr>
          <w:sz w:val="20"/>
        </w:rPr>
        <w:t xml:space="preserve">© Ministerstwo Sprawiedliwości, </w:t>
      </w:r>
      <w:hyperlink r:id="rId9" w:history="1">
        <w:r w:rsidRPr="00DE13D1">
          <w:rPr>
            <w:rStyle w:val="Hipercze"/>
            <w:sz w:val="20"/>
          </w:rPr>
          <w:t>www.gov.pl/ sprawiedliwosc</w:t>
        </w:r>
      </w:hyperlink>
      <w:r>
        <w:rPr>
          <w:sz w:val="20"/>
        </w:rPr>
        <w:t xml:space="preserve"> [Tłumaczenie zostało już opublikowane na oficjalnej stronie Ministerstwa Sprawiedliwości]</w:t>
      </w:r>
    </w:p>
    <w:p w14:paraId="4AB59FD5" w14:textId="77777777" w:rsidR="00375B58" w:rsidRDefault="00375B58" w:rsidP="00375B58">
      <w:pPr>
        <w:jc w:val="both"/>
        <w:rPr>
          <w:sz w:val="20"/>
        </w:rPr>
      </w:pPr>
      <w:r>
        <w:rPr>
          <w:sz w:val="20"/>
        </w:rPr>
        <w:t xml:space="preserve">Zezwolenie na publikację tego tłumaczenia zostało udzielone przez Ministerstwo Sprawiedliwości wyłącznie w celu zamieszczenia w bazie Trybunału HUDOC </w:t>
      </w:r>
    </w:p>
    <w:p w14:paraId="39610C95" w14:textId="77777777" w:rsidR="00493050" w:rsidRPr="00375B58" w:rsidRDefault="00493050" w:rsidP="00432F4F">
      <w:pPr>
        <w:ind w:right="-2274"/>
        <w:jc w:val="center"/>
      </w:pPr>
    </w:p>
    <w:p w14:paraId="5B2C6FAB" w14:textId="34C1860C" w:rsidR="00D30B69" w:rsidRPr="00375B58" w:rsidRDefault="00375B58" w:rsidP="00D30B69">
      <w:pPr>
        <w:jc w:val="center"/>
      </w:pPr>
      <w:r>
        <w:t>EUROPEJSKI TRYBUNAŁ PRAW CZŁOWIEKA</w:t>
      </w:r>
    </w:p>
    <w:p w14:paraId="52C4CE28" w14:textId="77777777" w:rsidR="00D30B69" w:rsidRPr="00375B58" w:rsidRDefault="00D30B69" w:rsidP="00D30B69">
      <w:pPr>
        <w:jc w:val="center"/>
      </w:pPr>
    </w:p>
    <w:p w14:paraId="6325C8F8" w14:textId="77777777" w:rsidR="00DE61E0" w:rsidRPr="00D30B69" w:rsidRDefault="00F26C19" w:rsidP="00D30B69">
      <w:pPr>
        <w:jc w:val="center"/>
      </w:pPr>
      <w:r>
        <w:t>PIERWSZA SEKCJA</w:t>
      </w:r>
    </w:p>
    <w:p w14:paraId="3B9BB646" w14:textId="77777777" w:rsidR="00DE61E0" w:rsidRPr="00D30B69" w:rsidRDefault="00DE61E0" w:rsidP="00D30B69">
      <w:pPr>
        <w:jc w:val="center"/>
      </w:pPr>
    </w:p>
    <w:p w14:paraId="5FAC6FA6" w14:textId="77777777" w:rsidR="00493050" w:rsidRPr="00D30B69" w:rsidRDefault="00493050" w:rsidP="00D30B69">
      <w:pPr>
        <w:jc w:val="center"/>
      </w:pPr>
    </w:p>
    <w:p w14:paraId="4FAA8B40" w14:textId="77777777" w:rsidR="00493050" w:rsidRPr="00D30B69" w:rsidRDefault="00493050" w:rsidP="00D30B69">
      <w:pPr>
        <w:jc w:val="center"/>
      </w:pPr>
    </w:p>
    <w:p w14:paraId="5CACEEE4" w14:textId="77777777" w:rsidR="00493050" w:rsidRPr="00D30B69" w:rsidRDefault="00493050" w:rsidP="00D30B69">
      <w:pPr>
        <w:jc w:val="center"/>
      </w:pPr>
    </w:p>
    <w:p w14:paraId="71557618" w14:textId="77777777" w:rsidR="00493050" w:rsidRPr="00D30B69" w:rsidRDefault="00493050" w:rsidP="00D30B69">
      <w:pPr>
        <w:jc w:val="center"/>
      </w:pPr>
    </w:p>
    <w:p w14:paraId="76A06BAE" w14:textId="77777777" w:rsidR="00DE61E0" w:rsidRPr="00D30B69" w:rsidRDefault="00DE61E0" w:rsidP="00D30B69">
      <w:pPr>
        <w:jc w:val="center"/>
        <w:rPr>
          <w:b/>
        </w:rPr>
      </w:pPr>
      <w:bookmarkStart w:id="1" w:name="To"/>
      <w:r>
        <w:rPr>
          <w:b/>
        </w:rPr>
        <w:t xml:space="preserve">SPRAWA </w:t>
      </w:r>
      <w:bookmarkEnd w:id="1"/>
      <w:r>
        <w:rPr>
          <w:b/>
        </w:rPr>
        <w:t>TYRKA przeciwko POLSCE</w:t>
      </w:r>
    </w:p>
    <w:p w14:paraId="034FE0E2" w14:textId="77777777" w:rsidR="00DE61E0" w:rsidRPr="00D30B69" w:rsidRDefault="00DE61E0" w:rsidP="00D30B69">
      <w:pPr>
        <w:jc w:val="center"/>
      </w:pPr>
    </w:p>
    <w:p w14:paraId="2A72FC85" w14:textId="77777777" w:rsidR="00DE61E0" w:rsidRPr="00D30B69" w:rsidRDefault="00DE61E0" w:rsidP="00D30B69">
      <w:pPr>
        <w:jc w:val="center"/>
        <w:rPr>
          <w:i/>
        </w:rPr>
      </w:pPr>
      <w:r>
        <w:rPr>
          <w:i/>
        </w:rPr>
        <w:t>(Skarga nr 37734/14)</w:t>
      </w:r>
    </w:p>
    <w:p w14:paraId="184E3990" w14:textId="77777777" w:rsidR="00DE61E0" w:rsidRPr="00D30B69" w:rsidRDefault="00DE61E0" w:rsidP="00D30B69">
      <w:pPr>
        <w:jc w:val="center"/>
        <w:rPr>
          <w:szCs w:val="24"/>
        </w:rPr>
      </w:pPr>
    </w:p>
    <w:p w14:paraId="0C02F91F" w14:textId="77777777" w:rsidR="00EB427F" w:rsidRDefault="00EB427F" w:rsidP="00D30B69">
      <w:pPr>
        <w:jc w:val="center"/>
        <w:rPr>
          <w:szCs w:val="24"/>
        </w:rPr>
      </w:pPr>
    </w:p>
    <w:p w14:paraId="7F4041C3" w14:textId="77777777" w:rsidR="00375B58" w:rsidRDefault="00375B58" w:rsidP="00D30B69">
      <w:pPr>
        <w:jc w:val="center"/>
        <w:rPr>
          <w:szCs w:val="24"/>
        </w:rPr>
      </w:pPr>
    </w:p>
    <w:p w14:paraId="5F27DA03" w14:textId="77777777" w:rsidR="00375B58" w:rsidRPr="00D30B69" w:rsidRDefault="00375B58" w:rsidP="00D30B69">
      <w:pPr>
        <w:jc w:val="center"/>
        <w:rPr>
          <w:szCs w:val="24"/>
        </w:rPr>
      </w:pPr>
    </w:p>
    <w:p w14:paraId="3EEAEA00" w14:textId="77777777" w:rsidR="00D30B69" w:rsidRPr="00D30B69" w:rsidRDefault="00D30B69" w:rsidP="00D30B69">
      <w:pPr>
        <w:jc w:val="center"/>
        <w:rPr>
          <w:szCs w:val="24"/>
        </w:rPr>
      </w:pPr>
    </w:p>
    <w:p w14:paraId="551FDA44" w14:textId="77777777" w:rsidR="00EB427F" w:rsidRPr="00D30B69" w:rsidRDefault="00493050" w:rsidP="00D30B69">
      <w:pPr>
        <w:jc w:val="center"/>
        <w:rPr>
          <w:szCs w:val="24"/>
        </w:rPr>
      </w:pPr>
      <w:r>
        <w:t>WYROK</w:t>
      </w:r>
    </w:p>
    <w:p w14:paraId="42053B7E" w14:textId="77777777" w:rsidR="00493050" w:rsidRPr="00D30B69" w:rsidRDefault="00493050" w:rsidP="00D30B69">
      <w:pPr>
        <w:jc w:val="center"/>
        <w:rPr>
          <w:szCs w:val="24"/>
        </w:rPr>
      </w:pPr>
    </w:p>
    <w:p w14:paraId="5DC833FA" w14:textId="77777777" w:rsidR="00D30B69" w:rsidRPr="00D30B69" w:rsidRDefault="00D30B69" w:rsidP="00D30B69">
      <w:pPr>
        <w:jc w:val="center"/>
        <w:rPr>
          <w:szCs w:val="24"/>
        </w:rPr>
      </w:pPr>
    </w:p>
    <w:p w14:paraId="647EEA8A" w14:textId="77777777" w:rsidR="00D30B69" w:rsidRPr="00D30B69" w:rsidRDefault="00D30B69" w:rsidP="00D30B69">
      <w:pPr>
        <w:jc w:val="center"/>
        <w:rPr>
          <w:szCs w:val="24"/>
        </w:rPr>
      </w:pPr>
    </w:p>
    <w:p w14:paraId="73F89F79" w14:textId="77777777" w:rsidR="00493050" w:rsidRPr="00D30B69" w:rsidRDefault="00493050" w:rsidP="00D30B69">
      <w:pPr>
        <w:jc w:val="center"/>
        <w:rPr>
          <w:szCs w:val="24"/>
        </w:rPr>
      </w:pPr>
    </w:p>
    <w:p w14:paraId="240AE204" w14:textId="77777777" w:rsidR="00493050" w:rsidRPr="00D30B69" w:rsidRDefault="00493050" w:rsidP="00D30B69">
      <w:pPr>
        <w:jc w:val="center"/>
        <w:rPr>
          <w:szCs w:val="24"/>
        </w:rPr>
      </w:pPr>
      <w:r>
        <w:t>STRASBURG</w:t>
      </w:r>
    </w:p>
    <w:p w14:paraId="508D6D13" w14:textId="77777777" w:rsidR="00493050" w:rsidRPr="00D30B69" w:rsidRDefault="00493050" w:rsidP="00D30B69">
      <w:pPr>
        <w:jc w:val="center"/>
        <w:rPr>
          <w:szCs w:val="24"/>
        </w:rPr>
      </w:pPr>
    </w:p>
    <w:p w14:paraId="5C9E3F87" w14:textId="77777777" w:rsidR="00493050" w:rsidRPr="00D30B69" w:rsidRDefault="00493050" w:rsidP="00D30B69">
      <w:pPr>
        <w:jc w:val="center"/>
        <w:rPr>
          <w:szCs w:val="24"/>
        </w:rPr>
      </w:pPr>
      <w:r>
        <w:t>6 czerwca 2019 r.</w:t>
      </w:r>
    </w:p>
    <w:p w14:paraId="3DF7FEC7" w14:textId="77777777" w:rsidR="00493050" w:rsidRPr="00D30B69" w:rsidRDefault="00493050" w:rsidP="00D30B69">
      <w:pPr>
        <w:jc w:val="center"/>
        <w:rPr>
          <w:szCs w:val="24"/>
        </w:rPr>
      </w:pPr>
    </w:p>
    <w:p w14:paraId="6DF5DEDF" w14:textId="77777777" w:rsidR="00493050" w:rsidRPr="00D30B69" w:rsidRDefault="00493050" w:rsidP="00D30B69">
      <w:pPr>
        <w:jc w:val="center"/>
        <w:rPr>
          <w:szCs w:val="24"/>
        </w:rPr>
      </w:pPr>
    </w:p>
    <w:p w14:paraId="0C741543" w14:textId="77777777" w:rsidR="00493050" w:rsidRPr="00D30B69" w:rsidRDefault="00493050" w:rsidP="00375B58">
      <w:pPr>
        <w:rPr>
          <w:szCs w:val="24"/>
        </w:rPr>
      </w:pPr>
    </w:p>
    <w:p w14:paraId="5C6075BE" w14:textId="77777777" w:rsidR="00D30B69" w:rsidRPr="00D30B69" w:rsidRDefault="00493050" w:rsidP="00375B58">
      <w:pPr>
        <w:jc w:val="center"/>
        <w:rPr>
          <w:szCs w:val="24"/>
        </w:rPr>
      </w:pPr>
      <w:r>
        <w:rPr>
          <w:i/>
          <w:sz w:val="22"/>
        </w:rPr>
        <w:t>Niniejszy wyrok jest ostateczny, ale może podlegać korekcie wydawniczej.</w:t>
      </w:r>
    </w:p>
    <w:p w14:paraId="7B91E205" w14:textId="77777777" w:rsidR="00493050" w:rsidRPr="00D30B69" w:rsidRDefault="00493050" w:rsidP="00D30B69">
      <w:pPr>
        <w:pStyle w:val="JuCase"/>
        <w:sectPr w:rsidR="00493050" w:rsidRPr="00D30B69" w:rsidSect="00493050">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14:paraId="2698DE84" w14:textId="77777777" w:rsidR="00DE61E0" w:rsidRPr="00D30B69" w:rsidRDefault="00DE61E0" w:rsidP="00D30B69">
      <w:pPr>
        <w:pStyle w:val="JuCase"/>
        <w:rPr>
          <w:b w:val="0"/>
          <w:bCs/>
        </w:rPr>
      </w:pPr>
      <w:r>
        <w:lastRenderedPageBreak/>
        <w:t>W sprawie Tyrka przeciwko Polsce,</w:t>
      </w:r>
    </w:p>
    <w:p w14:paraId="519D3BCE" w14:textId="7635AFEB" w:rsidR="00DE61E0" w:rsidRPr="00D30B69" w:rsidRDefault="00DE61E0" w:rsidP="00D30B69">
      <w:pPr>
        <w:pStyle w:val="JuPara"/>
        <w:rPr>
          <w:b/>
        </w:rPr>
      </w:pPr>
      <w:r>
        <w:t>Europejski Trybunał Praw Człowieka (</w:t>
      </w:r>
      <w:r w:rsidR="00432F4F">
        <w:t>Pierwsza</w:t>
      </w:r>
      <w:r>
        <w:t xml:space="preserve"> Sekcja), zasiadając jako</w:t>
      </w:r>
      <w:r w:rsidR="00C6636F">
        <w:t> </w:t>
      </w:r>
      <w:r>
        <w:t>Komitet w składzie:</w:t>
      </w:r>
    </w:p>
    <w:p w14:paraId="180C1D1D" w14:textId="689BCBA8" w:rsidR="00DE61E0" w:rsidRPr="00D30B69" w:rsidRDefault="003E4484" w:rsidP="00D30B69">
      <w:pPr>
        <w:pStyle w:val="JuJudges"/>
      </w:pPr>
      <w:r>
        <w:tab/>
        <w:t>Armen Harutyunyan,</w:t>
      </w:r>
      <w:r>
        <w:rPr>
          <w:i/>
        </w:rPr>
        <w:t xml:space="preserve"> Przewodniczący,</w:t>
      </w:r>
      <w:r>
        <w:rPr>
          <w:i/>
        </w:rPr>
        <w:br/>
      </w:r>
      <w:r>
        <w:tab/>
        <w:t>Krzysztof Wojtyczek,</w:t>
      </w:r>
      <w:r>
        <w:rPr>
          <w:i/>
        </w:rPr>
        <w:br/>
      </w:r>
      <w:r>
        <w:tab/>
        <w:t>Pere Pastor Vilanova,</w:t>
      </w:r>
      <w:r>
        <w:rPr>
          <w:i/>
        </w:rPr>
        <w:t xml:space="preserve"> </w:t>
      </w:r>
      <w:r w:rsidR="00AD686B">
        <w:rPr>
          <w:i/>
        </w:rPr>
        <w:t>s</w:t>
      </w:r>
      <w:r>
        <w:rPr>
          <w:i/>
        </w:rPr>
        <w:t>ędziowie,</w:t>
      </w:r>
      <w:r>
        <w:br/>
        <w:t xml:space="preserve">oraz Renata Degener, </w:t>
      </w:r>
      <w:r>
        <w:rPr>
          <w:i/>
        </w:rPr>
        <w:t xml:space="preserve">Zastępca </w:t>
      </w:r>
      <w:r w:rsidR="00EF5C88">
        <w:rPr>
          <w:i/>
          <w:iCs/>
        </w:rPr>
        <w:t>Kanclerza</w:t>
      </w:r>
      <w:r>
        <w:rPr>
          <w:i/>
          <w:iCs/>
        </w:rPr>
        <w:t xml:space="preserve"> Sekcji</w:t>
      </w:r>
      <w:r>
        <w:rPr>
          <w:i/>
        </w:rPr>
        <w:t>,</w:t>
      </w:r>
    </w:p>
    <w:p w14:paraId="23C59BC2" w14:textId="77777777" w:rsidR="00DE61E0" w:rsidRPr="00D30B69" w:rsidRDefault="00DE61E0" w:rsidP="00D30B69">
      <w:pPr>
        <w:pStyle w:val="JuPara"/>
      </w:pPr>
      <w:r>
        <w:t>obradując na posiedzeniu niejawnym w dniu 14 maja 2019 r.,</w:t>
      </w:r>
    </w:p>
    <w:p w14:paraId="6EF51A1F" w14:textId="77777777" w:rsidR="00DE61E0" w:rsidRPr="00D30B69" w:rsidRDefault="00DE61E0" w:rsidP="00D30B69">
      <w:pPr>
        <w:pStyle w:val="JuPara"/>
      </w:pPr>
      <w:r>
        <w:t>wydaje następujący wyrok, który został przyjęty w tym dniu:</w:t>
      </w:r>
    </w:p>
    <w:p w14:paraId="4BF7FD63" w14:textId="77777777" w:rsidR="00DE61E0" w:rsidRPr="00D30B69" w:rsidRDefault="00DE61E0" w:rsidP="00D30B69">
      <w:pPr>
        <w:pStyle w:val="JuHHead"/>
      </w:pPr>
      <w:r>
        <w:t>POSTĘPOWANIE</w:t>
      </w:r>
    </w:p>
    <w:p w14:paraId="03C0AEFD" w14:textId="0962DD8B" w:rsidR="002B1586" w:rsidRPr="00D30B69" w:rsidRDefault="004872FB" w:rsidP="00D30B69">
      <w:pPr>
        <w:pStyle w:val="JuPara"/>
      </w:pPr>
      <w:r>
        <w:t>1</w:t>
      </w:r>
      <w:r w:rsidR="00F26C19">
        <w:t>.</w:t>
      </w:r>
      <w:r w:rsidR="007441B4">
        <w:t xml:space="preserve"> </w:t>
      </w:r>
      <w:r w:rsidR="00F26C19">
        <w:t xml:space="preserve">Sprawa wywodzi się ze skargi (nr 37734/14) wniesionej </w:t>
      </w:r>
      <w:r w:rsidR="007441B4">
        <w:t>w dniu 17</w:t>
      </w:r>
      <w:r w:rsidR="00C6636F">
        <w:t> </w:t>
      </w:r>
      <w:r w:rsidR="007441B4">
        <w:t xml:space="preserve">maja 2014 r. </w:t>
      </w:r>
      <w:r w:rsidR="00F26C19">
        <w:t xml:space="preserve">przeciwko Rzeczypospolitej Polskiej do </w:t>
      </w:r>
      <w:r w:rsidR="00F23650">
        <w:t xml:space="preserve">Europejskiego </w:t>
      </w:r>
      <w:r w:rsidR="00F26C19">
        <w:t>Trybunału Praw Człowieka na podstawie art. 34 Konwencji o Ochronie Praw Człowieka i Podstawowych Wolności („Konwencja”) przez</w:t>
      </w:r>
      <w:r w:rsidR="00C6636F">
        <w:t> </w:t>
      </w:r>
      <w:r w:rsidR="00F26C19">
        <w:t>obywatelkę polską, Panią Mariolę Tyrkę („skarżąca”)</w:t>
      </w:r>
      <w:r w:rsidR="007441B4">
        <w:t>.</w:t>
      </w:r>
      <w:r w:rsidR="00F26C19">
        <w:t xml:space="preserve"> </w:t>
      </w:r>
    </w:p>
    <w:p w14:paraId="1205C23B" w14:textId="197E0B8B" w:rsidR="001B7151" w:rsidRPr="00D30B69" w:rsidRDefault="004872FB" w:rsidP="00D30B69">
      <w:pPr>
        <w:pStyle w:val="JuPara"/>
      </w:pPr>
      <w:r>
        <w:t>2</w:t>
      </w:r>
      <w:r w:rsidR="00F26C19">
        <w:t>.</w:t>
      </w:r>
      <w:r w:rsidR="007441B4">
        <w:t xml:space="preserve"> </w:t>
      </w:r>
      <w:r w:rsidR="00F26C19">
        <w:t xml:space="preserve">Rząd polski („Rząd”) był reprezentowany przez pełnomocnika, </w:t>
      </w:r>
      <w:r w:rsidR="00AD686B">
        <w:t>p.</w:t>
      </w:r>
      <w:r w:rsidR="00C6636F">
        <w:t> </w:t>
      </w:r>
      <w:r w:rsidR="00F26C19">
        <w:t>J.</w:t>
      </w:r>
      <w:r w:rsidR="00C6636F">
        <w:t> </w:t>
      </w:r>
      <w:r w:rsidR="00F26C19">
        <w:t xml:space="preserve">Chrzanowską, a następnie przez </w:t>
      </w:r>
      <w:r w:rsidR="00AD686B">
        <w:t xml:space="preserve">p. </w:t>
      </w:r>
      <w:r w:rsidR="00F26C19">
        <w:t>J. Sobczaka z Ministerstwa Spraw Zagranicznych.</w:t>
      </w:r>
    </w:p>
    <w:p w14:paraId="01F90C42" w14:textId="6E0E803A" w:rsidR="00DE61E0" w:rsidRPr="00D30B69" w:rsidRDefault="004872FB" w:rsidP="00D30B69">
      <w:pPr>
        <w:pStyle w:val="JuPara"/>
      </w:pPr>
      <w:r>
        <w:t>3</w:t>
      </w:r>
      <w:r w:rsidR="00F26C19">
        <w:t>.</w:t>
      </w:r>
      <w:r w:rsidR="007441B4">
        <w:t xml:space="preserve"> </w:t>
      </w:r>
      <w:r w:rsidR="00F26C19">
        <w:t>W dniu 7 lipca 2015 r</w:t>
      </w:r>
      <w:r w:rsidR="00787486">
        <w:t>.</w:t>
      </w:r>
      <w:r w:rsidR="00F26C19">
        <w:t xml:space="preserve"> skarga została zakomunikowana Rządowi.</w:t>
      </w:r>
    </w:p>
    <w:p w14:paraId="4A57E3A4" w14:textId="488FAAE4" w:rsidR="00DE61E0" w:rsidRPr="00D30B69" w:rsidRDefault="00AD686B" w:rsidP="00D30B69">
      <w:pPr>
        <w:pStyle w:val="JuHHead"/>
      </w:pPr>
      <w:r>
        <w:t>FAKTY</w:t>
      </w:r>
    </w:p>
    <w:p w14:paraId="28C4F61B" w14:textId="77777777" w:rsidR="00DE61E0" w:rsidRPr="00D30B69" w:rsidRDefault="00DE61E0" w:rsidP="00D30B69">
      <w:pPr>
        <w:pStyle w:val="JuHIRoman"/>
      </w:pPr>
      <w:r>
        <w:t>OKOLICZNOŚCI SPRAWY</w:t>
      </w:r>
    </w:p>
    <w:p w14:paraId="27222707" w14:textId="471E67D1" w:rsidR="00DE61E0" w:rsidRPr="00D30B69" w:rsidRDefault="004872FB" w:rsidP="00D30B69">
      <w:pPr>
        <w:pStyle w:val="JuPara"/>
      </w:pPr>
      <w:r>
        <w:t>4</w:t>
      </w:r>
      <w:r w:rsidR="00F26C19">
        <w:t>.</w:t>
      </w:r>
      <w:r w:rsidR="007441B4">
        <w:t xml:space="preserve"> </w:t>
      </w:r>
      <w:r w:rsidR="00F26C19">
        <w:t>Skarżąca urodziła się w 1970 r</w:t>
      </w:r>
      <w:r w:rsidR="00787486">
        <w:t>.</w:t>
      </w:r>
      <w:r w:rsidR="00F26C19">
        <w:t xml:space="preserve"> i mieszka w Czarnowie.</w:t>
      </w:r>
    </w:p>
    <w:p w14:paraId="643FFA61" w14:textId="77777777" w:rsidR="002B1586" w:rsidRPr="00D30B69" w:rsidRDefault="00F26C19" w:rsidP="00D30B69">
      <w:pPr>
        <w:pStyle w:val="JuHA"/>
      </w:pPr>
      <w:r>
        <w:t>Postępowanie cywilne</w:t>
      </w:r>
    </w:p>
    <w:p w14:paraId="057535FB" w14:textId="2993199C" w:rsidR="00F26C19" w:rsidRPr="00D30B69" w:rsidRDefault="004872FB" w:rsidP="00D30B69">
      <w:pPr>
        <w:pStyle w:val="JuPara"/>
      </w:pPr>
      <w:r>
        <w:t>5</w:t>
      </w:r>
      <w:r w:rsidR="00F26C19">
        <w:t>.</w:t>
      </w:r>
      <w:r w:rsidR="007441B4">
        <w:t xml:space="preserve"> </w:t>
      </w:r>
      <w:r w:rsidR="00F26C19">
        <w:t xml:space="preserve">W dniu 29 stycznia 2010 r. Zakład Ubezpieczeń Społecznych Oddział w Szczecinie („ZUS”) </w:t>
      </w:r>
      <w:r w:rsidR="0079594B">
        <w:t>odmówił przyznania skarżącej renty</w:t>
      </w:r>
      <w:r w:rsidR="00F26C19">
        <w:t xml:space="preserve"> z tytułu całkowitej niezdolności do pracy. ZUS </w:t>
      </w:r>
      <w:r w:rsidR="0079594B">
        <w:t>podjął</w:t>
      </w:r>
      <w:r w:rsidR="002D5513">
        <w:t xml:space="preserve"> taką decyzję na podstawie </w:t>
      </w:r>
      <w:r w:rsidR="00F26C19">
        <w:t>orzeczeni</w:t>
      </w:r>
      <w:r w:rsidR="002D5513">
        <w:t>a</w:t>
      </w:r>
      <w:r w:rsidR="00F26C19">
        <w:t xml:space="preserve"> lekarski</w:t>
      </w:r>
      <w:r w:rsidR="002D5513">
        <w:t>ego uznającego</w:t>
      </w:r>
      <w:r w:rsidR="00F26C19">
        <w:t xml:space="preserve"> skarżącą za zdolną do pracy. Skarżąca wniosła </w:t>
      </w:r>
      <w:r w:rsidR="0079594B">
        <w:t>odwołanie</w:t>
      </w:r>
      <w:r w:rsidR="00F26C19">
        <w:t xml:space="preserve"> do sądu.</w:t>
      </w:r>
    </w:p>
    <w:p w14:paraId="7CA49062" w14:textId="3BD27E57" w:rsidR="00F26C19" w:rsidRPr="00D30B69" w:rsidRDefault="004872FB" w:rsidP="00D30B69">
      <w:pPr>
        <w:pStyle w:val="JuPara"/>
      </w:pPr>
      <w:r>
        <w:t>6</w:t>
      </w:r>
      <w:r w:rsidR="007441B4">
        <w:t xml:space="preserve">. </w:t>
      </w:r>
      <w:r w:rsidR="00F26C19">
        <w:t xml:space="preserve">W dniu 8 kwietnia 2010 r. Sąd Okręgowy w Szczecinie </w:t>
      </w:r>
      <w:r w:rsidR="005B10A2">
        <w:t>dopuścił dowód z opinii</w:t>
      </w:r>
      <w:r w:rsidR="00F26C19">
        <w:t xml:space="preserve"> biegłych z zakresu neurologii, ortopedii i psychiatrii oraz</w:t>
      </w:r>
      <w:r w:rsidR="00C6636F">
        <w:t> </w:t>
      </w:r>
      <w:r w:rsidR="007441B4">
        <w:t xml:space="preserve">nakazał </w:t>
      </w:r>
      <w:r w:rsidR="00F26C19">
        <w:t>sporządzenie opinii dotyczących stanu zdrowia skarżącej. Opinie biegłych zostały przedstawione sądowi w dniu 12 lipca 2010 r. Zgodnie z ich treścią skarżąca była zdolna do pracy.</w:t>
      </w:r>
    </w:p>
    <w:p w14:paraId="5043F444" w14:textId="05BFB87E" w:rsidR="00F26C19" w:rsidRPr="00D30B69" w:rsidRDefault="004872FB" w:rsidP="00D30B69">
      <w:pPr>
        <w:pStyle w:val="JuPara"/>
      </w:pPr>
      <w:r>
        <w:t>7</w:t>
      </w:r>
      <w:r w:rsidR="007441B4">
        <w:t xml:space="preserve">. </w:t>
      </w:r>
      <w:r w:rsidR="00F26C19">
        <w:t>W dniu 16 lipca 2010 r. sąd oddalił wniosek skarżącej o przyznanie pomocy prawnej z urzędu. Skarżąca wyznaczyła pełnomocnika procesowego w osobie swojego męża.</w:t>
      </w:r>
    </w:p>
    <w:p w14:paraId="59FEA77F" w14:textId="3E896481" w:rsidR="00F26C19" w:rsidRPr="00D30B69" w:rsidRDefault="004872FB" w:rsidP="00D30B69">
      <w:pPr>
        <w:pStyle w:val="JuPara"/>
      </w:pPr>
      <w:r>
        <w:lastRenderedPageBreak/>
        <w:t>8</w:t>
      </w:r>
      <w:r w:rsidR="00F26C19">
        <w:t>.</w:t>
      </w:r>
      <w:r w:rsidR="007441B4">
        <w:t xml:space="preserve"> </w:t>
      </w:r>
      <w:r w:rsidR="00F26C19">
        <w:t xml:space="preserve">W dniu 3 sierpnia 2010 r. pełnomocnik skarżącej </w:t>
      </w:r>
      <w:r w:rsidR="005B10A2">
        <w:t>wniósł zarzuty</w:t>
      </w:r>
      <w:r w:rsidR="00F26C19">
        <w:t xml:space="preserve"> do</w:t>
      </w:r>
      <w:r w:rsidR="00C6636F">
        <w:t> </w:t>
      </w:r>
      <w:r w:rsidR="00F26C19">
        <w:t>opinii biegłych, a następnie kilka wniosków o przekazanie sprawy do</w:t>
      </w:r>
      <w:r w:rsidR="00C6636F">
        <w:t> </w:t>
      </w:r>
      <w:r w:rsidR="00F26C19">
        <w:t>rozpoznania innemu sądowi. Niektóre z pism procesowych pełnomocnika skarżącej do sądu zawierały obraźliwe wyrażenia; pełnomocnik skarżącej został upomniany, że używanie takich wyrażeń może być odebrane jako ubliżanie sądowi. W dniu 28 marca</w:t>
      </w:r>
      <w:r w:rsidR="00942899">
        <w:t xml:space="preserve"> 2011 r.</w:t>
      </w:r>
      <w:r w:rsidR="00F26C19">
        <w:t xml:space="preserve"> pełnomocnik skarżącej zakwestionował bezstronność wszystkich sędziów Sądu Okręgowego w Szczecinie.</w:t>
      </w:r>
    </w:p>
    <w:p w14:paraId="196CA854" w14:textId="2AA10A68" w:rsidR="00F26C19" w:rsidRPr="00D30B69" w:rsidRDefault="004872FB" w:rsidP="00D30B69">
      <w:pPr>
        <w:pStyle w:val="JuPara"/>
      </w:pPr>
      <w:r>
        <w:t>9</w:t>
      </w:r>
      <w:r w:rsidR="00942899">
        <w:t>.</w:t>
      </w:r>
      <w:r w:rsidR="007441B4">
        <w:t xml:space="preserve"> </w:t>
      </w:r>
      <w:r w:rsidR="00F26C19">
        <w:t>W dniu 18 kwietnia 2011 r. sąd zwrócił się do biegłych o</w:t>
      </w:r>
      <w:r w:rsidR="00884193">
        <w:t> </w:t>
      </w:r>
      <w:r w:rsidR="00F26C19">
        <w:t>przedstawienie opinii uzupełniających, ale biegli podtrzymali swoje wcześniejsze ustalenia.</w:t>
      </w:r>
    </w:p>
    <w:p w14:paraId="78825549" w14:textId="285E974B" w:rsidR="00F26C19" w:rsidRPr="00D30B69" w:rsidRDefault="004872FB" w:rsidP="00D30B69">
      <w:pPr>
        <w:pStyle w:val="JuPara"/>
      </w:pPr>
      <w:r>
        <w:t>10</w:t>
      </w:r>
      <w:r w:rsidR="00F26C19">
        <w:t>.</w:t>
      </w:r>
      <w:r w:rsidR="007441B4">
        <w:t xml:space="preserve"> </w:t>
      </w:r>
      <w:r w:rsidR="00F26C19">
        <w:t>W dniu 31 maja 2011 r. sąd zarządził ponowne badanie lekarskie skarżącej. Początkowo skarżąca odmówiła poddania się badaniu, ale</w:t>
      </w:r>
      <w:r w:rsidR="00C6636F">
        <w:t> </w:t>
      </w:r>
      <w:r w:rsidR="00F26C19">
        <w:t xml:space="preserve">ostatecznie badanie się odbyło. W lipcu 2011 r. została sporządzona kolejna opinia biegłych. </w:t>
      </w:r>
      <w:r w:rsidR="002D5513">
        <w:t>Zawarte w niej wnioski</w:t>
      </w:r>
      <w:r w:rsidR="00F26C19">
        <w:t xml:space="preserve"> nie różniły się od</w:t>
      </w:r>
      <w:r w:rsidR="00C6636F">
        <w:t> </w:t>
      </w:r>
      <w:r w:rsidR="002D5513">
        <w:t>wniosków sformułowanych</w:t>
      </w:r>
      <w:r w:rsidR="00F26C19">
        <w:t xml:space="preserve"> we wcześniejszych opiniach.</w:t>
      </w:r>
    </w:p>
    <w:p w14:paraId="3B0EC941" w14:textId="0F6147E9" w:rsidR="00F26C19" w:rsidRPr="00D30B69" w:rsidRDefault="004872FB" w:rsidP="00D30B69">
      <w:pPr>
        <w:pStyle w:val="JuPara"/>
      </w:pPr>
      <w:r>
        <w:t>11</w:t>
      </w:r>
      <w:r w:rsidR="00203672">
        <w:t>.</w:t>
      </w:r>
      <w:r w:rsidR="007441B4">
        <w:t xml:space="preserve"> </w:t>
      </w:r>
      <w:r w:rsidR="00203672">
        <w:t xml:space="preserve">W sierpniu 2011 r. sąd </w:t>
      </w:r>
      <w:r w:rsidR="00A92684">
        <w:t>przekazał</w:t>
      </w:r>
      <w:r w:rsidR="00203672">
        <w:t xml:space="preserve"> akta sprawy biegłemu z zakresu psychiatrii, który we wrześniu 2011 r. przedłożył swoją opinię uzupełniającą. Biegły wskazał, że należy uzyskać kolejną opinię w sprawie stanu zdrowia psychicznego skarżącej. Sąd </w:t>
      </w:r>
      <w:r w:rsidR="00E05AFE">
        <w:t>nakazał</w:t>
      </w:r>
      <w:r w:rsidR="00203672">
        <w:t xml:space="preserve"> sporządzenie takiej opinii. </w:t>
      </w:r>
      <w:r w:rsidR="002D5513">
        <w:t>S</w:t>
      </w:r>
      <w:r w:rsidR="00203672">
        <w:t>karżąca odmówiła</w:t>
      </w:r>
      <w:r w:rsidR="002D5513">
        <w:t xml:space="preserve"> jednak</w:t>
      </w:r>
      <w:r w:rsidR="00203672">
        <w:t xml:space="preserve"> poddania się badaniu w szpitalu psychiatrycznym.</w:t>
      </w:r>
    </w:p>
    <w:p w14:paraId="414BA6A5" w14:textId="33DDCB7D" w:rsidR="00F26C19" w:rsidRPr="00D30B69" w:rsidRDefault="004872FB" w:rsidP="00D30B69">
      <w:pPr>
        <w:pStyle w:val="JuPara"/>
      </w:pPr>
      <w:r>
        <w:t>12</w:t>
      </w:r>
      <w:r w:rsidR="00F26C19">
        <w:t>.</w:t>
      </w:r>
      <w:r w:rsidR="007441B4">
        <w:t xml:space="preserve"> </w:t>
      </w:r>
      <w:r w:rsidR="00F26C19">
        <w:t xml:space="preserve">W dniu 19 września 2011 r. pełnomocnika skarżącej ukarano karą porządkową grzywny za ubliżanie sądowi w związku z obraźliwym pismem adresowanym do sądu. Grzywna wynosiła 5000 złotych polskich (PLN). Pełnomocnik skarżącej złożył zażalenie, które pierwotnie zostało odrzucone z przyczyn formalnych, ale ostatecznie zostało </w:t>
      </w:r>
      <w:r w:rsidR="00A92684">
        <w:t>przyjęte do merytorycznego rozpoznania.</w:t>
      </w:r>
      <w:r w:rsidR="00F26C19">
        <w:t xml:space="preserve"> W dniu 28 listopada 2012 r. Sąd Apelacyjny w Szczecinie uchylił postanowienie z dnia 19 października 2011</w:t>
      </w:r>
      <w:r w:rsidR="007441B4">
        <w:t xml:space="preserve"> r.,</w:t>
      </w:r>
      <w:r w:rsidR="00F26C19">
        <w:t xml:space="preserve"> stwierdziwszy, że</w:t>
      </w:r>
      <w:r w:rsidR="00C6636F">
        <w:t> </w:t>
      </w:r>
      <w:r w:rsidR="00F26C19">
        <w:t>obraźliwych uwag zawartych w piśmie adresowanym do sądu nie należy traktować jako ubliżania sądowi. W</w:t>
      </w:r>
      <w:r w:rsidR="00884193">
        <w:t> </w:t>
      </w:r>
      <w:r w:rsidR="00F26C19">
        <w:t xml:space="preserve">międzyczasie skarżąca cofnęła pełnomocnictwo mężowi i </w:t>
      </w:r>
      <w:r w:rsidR="00B528AC">
        <w:t>występowała w sprawie samodzielnie</w:t>
      </w:r>
      <w:r w:rsidR="00F26C19">
        <w:t>. Ponowiła też wniosek o przyznanie pomocy prawnej z urzędu.</w:t>
      </w:r>
    </w:p>
    <w:p w14:paraId="0E44CE3A" w14:textId="03F821C4" w:rsidR="00F26C19" w:rsidRPr="00D30B69" w:rsidRDefault="004872FB" w:rsidP="00D30B69">
      <w:pPr>
        <w:pStyle w:val="JuPara"/>
      </w:pPr>
      <w:r>
        <w:t>13</w:t>
      </w:r>
      <w:r w:rsidR="00005611">
        <w:t>.</w:t>
      </w:r>
      <w:r w:rsidR="007441B4">
        <w:t xml:space="preserve"> </w:t>
      </w:r>
      <w:r w:rsidR="00F26C19">
        <w:t xml:space="preserve">W dniu 24 czerwca 2013 r. sąd przesłał akta sprawy do </w:t>
      </w:r>
      <w:r w:rsidR="00B528AC">
        <w:t>wglądu</w:t>
      </w:r>
      <w:r w:rsidR="00F26C19">
        <w:t xml:space="preserve"> kolejnemu biegłemu. Opinia została sporządzona w ciągu jednego miesiąca.</w:t>
      </w:r>
    </w:p>
    <w:p w14:paraId="00A84916" w14:textId="231F90D8" w:rsidR="002B1586" w:rsidRPr="00D30B69" w:rsidRDefault="004872FB" w:rsidP="00D30B69">
      <w:pPr>
        <w:pStyle w:val="JuPara"/>
      </w:pPr>
      <w:r>
        <w:t>14</w:t>
      </w:r>
      <w:r w:rsidR="00005611">
        <w:t>.</w:t>
      </w:r>
      <w:r w:rsidR="007441B4">
        <w:t xml:space="preserve"> </w:t>
      </w:r>
      <w:r w:rsidR="00F26C19">
        <w:t xml:space="preserve">Sąd </w:t>
      </w:r>
      <w:r w:rsidR="00B528AC">
        <w:t>rozpoznał</w:t>
      </w:r>
      <w:r w:rsidR="00F26C19">
        <w:t xml:space="preserve"> też wnioski skarżącej o przyznanie pomocy prawnej z</w:t>
      </w:r>
      <w:r w:rsidR="00884193">
        <w:t> </w:t>
      </w:r>
      <w:r w:rsidR="00F26C19">
        <w:t>urzędu i w dniu 2</w:t>
      </w:r>
      <w:r w:rsidR="00735CAC">
        <w:t>6</w:t>
      </w:r>
      <w:r w:rsidR="00F26C19">
        <w:t xml:space="preserve"> marca 2015 r. ostatecznie je oddalił. Skarżąca złożyła do sądu kilka wniosków dotyczących przebiegu postępowania, w</w:t>
      </w:r>
      <w:r w:rsidR="00735CAC">
        <w:t> </w:t>
      </w:r>
      <w:r w:rsidR="00F26C19">
        <w:t xml:space="preserve">szczególności kwestionujących </w:t>
      </w:r>
      <w:r w:rsidR="00B8100E">
        <w:t xml:space="preserve">opinie </w:t>
      </w:r>
      <w:r w:rsidR="00F26C19">
        <w:t xml:space="preserve">biegłych. Skarżąca ponownie zakwestionowała bezstronność sędziów; przewodniczący składu </w:t>
      </w:r>
      <w:r w:rsidR="00B8100E">
        <w:t>sędziowskiego</w:t>
      </w:r>
      <w:r w:rsidR="00F26C19">
        <w:t xml:space="preserve"> został zmieniony </w:t>
      </w:r>
      <w:r w:rsidR="00CA0E66">
        <w:t>zarządzeniem</w:t>
      </w:r>
      <w:r w:rsidR="00F26C19">
        <w:t xml:space="preserve"> prezesa sądu z dnia 20 maja 2015 r.</w:t>
      </w:r>
    </w:p>
    <w:p w14:paraId="53088571" w14:textId="005302DE" w:rsidR="002B1586" w:rsidRPr="00D30B69" w:rsidRDefault="004872FB" w:rsidP="00D30B69">
      <w:pPr>
        <w:pStyle w:val="JuPara"/>
      </w:pPr>
      <w:r>
        <w:lastRenderedPageBreak/>
        <w:t>15</w:t>
      </w:r>
      <w:r w:rsidR="00005611">
        <w:t>.</w:t>
      </w:r>
      <w:r w:rsidR="007441B4">
        <w:t xml:space="preserve"> </w:t>
      </w:r>
      <w:r w:rsidR="00F26C19">
        <w:t>W dniu 22 maja 2015 r. Sąd Okręg</w:t>
      </w:r>
      <w:r w:rsidR="00B12022">
        <w:t>owy w Szczecinie wydał wyrok, w </w:t>
      </w:r>
      <w:r w:rsidR="00F26C19">
        <w:t xml:space="preserve">którym oddalił </w:t>
      </w:r>
      <w:r w:rsidR="00B8100E">
        <w:t>odwołanie</w:t>
      </w:r>
      <w:r w:rsidR="00F26C19">
        <w:t xml:space="preserve"> skarżącej </w:t>
      </w:r>
      <w:r w:rsidR="00B8100E">
        <w:t>od decyzji</w:t>
      </w:r>
      <w:r w:rsidR="00F26C19">
        <w:t xml:space="preserve"> ZUS z dnia 29 stycznia 2010</w:t>
      </w:r>
      <w:r w:rsidR="00C00CEE">
        <w:t xml:space="preserve"> r</w:t>
      </w:r>
      <w:r w:rsidR="00F26C19">
        <w:t>. Skarżąca wniosła apelację.</w:t>
      </w:r>
    </w:p>
    <w:p w14:paraId="08F41F97" w14:textId="573DD026" w:rsidR="002B1586" w:rsidRPr="00D30B69" w:rsidRDefault="004872FB" w:rsidP="00D30B69">
      <w:pPr>
        <w:pStyle w:val="JuPara"/>
      </w:pPr>
      <w:r>
        <w:t>16</w:t>
      </w:r>
      <w:r w:rsidR="00F26C19">
        <w:t>.</w:t>
      </w:r>
      <w:r w:rsidR="007441B4">
        <w:t xml:space="preserve"> </w:t>
      </w:r>
      <w:r w:rsidR="00F26C19">
        <w:t>W dniu 27 kwietnia 2016 r. skarżąca złożyła wniosek o wyłączenie wszystkich sędziów Sądu Apelacyjnego. W lipcu 2016 r. sąd przychylił się do jej wniosku o przyznanie pomocy prawnej; wyznaczono pełnomocnika z</w:t>
      </w:r>
      <w:r w:rsidR="00735CAC">
        <w:t> </w:t>
      </w:r>
      <w:r w:rsidR="00F26C19">
        <w:t>urzędu do reprezentowania skarżącej przed Sądem Najwyższym.</w:t>
      </w:r>
    </w:p>
    <w:p w14:paraId="186C9323" w14:textId="046255AF" w:rsidR="00F26C19" w:rsidRPr="00D30B69" w:rsidRDefault="004872FB" w:rsidP="00D30B69">
      <w:pPr>
        <w:pStyle w:val="JuPara"/>
      </w:pPr>
      <w:r>
        <w:t>17</w:t>
      </w:r>
      <w:r w:rsidR="00F26C19">
        <w:t>.</w:t>
      </w:r>
      <w:r w:rsidR="007441B4">
        <w:t xml:space="preserve"> </w:t>
      </w:r>
      <w:r w:rsidR="00F26C19">
        <w:t>W dniu 10 stycznia 2017 r. Sąd Najwyższy oddalił wniosek skarżącej o wyłączenie wszystkich sędziów Sądu Apelacyjnego w</w:t>
      </w:r>
      <w:r w:rsidR="00735CAC">
        <w:t> </w:t>
      </w:r>
      <w:r w:rsidR="00F26C19">
        <w:t>Szczecinie.</w:t>
      </w:r>
    </w:p>
    <w:p w14:paraId="185570CC" w14:textId="319939F4" w:rsidR="002B1586" w:rsidRPr="00D30B69" w:rsidRDefault="004872FB" w:rsidP="00D30B69">
      <w:pPr>
        <w:pStyle w:val="JuPara"/>
      </w:pPr>
      <w:r>
        <w:t>18</w:t>
      </w:r>
      <w:r w:rsidR="00F26C19">
        <w:t>.</w:t>
      </w:r>
      <w:r w:rsidR="007441B4">
        <w:t xml:space="preserve"> </w:t>
      </w:r>
      <w:r w:rsidR="00F26C19">
        <w:t>Akta sprawy zostały zwrócone do S</w:t>
      </w:r>
      <w:r w:rsidR="00735CAC">
        <w:t>ą</w:t>
      </w:r>
      <w:r w:rsidR="00F26C19">
        <w:t>du Apelacyjnego w Szczecinie w celu rozpoznania sprawy. Sąd zarządził sporządzenie kolejnych opinii biegłych w zakresie psychiatrii i medycyny pracy. Skarżąca odmówiła poddania się badaniu lekarskiemu. Opinie biegłych zostały ostatecznie przedstawione sądowi w dniu 31 sierpnia 2017 r.</w:t>
      </w:r>
    </w:p>
    <w:p w14:paraId="20D4F5BD" w14:textId="6496F861" w:rsidR="002B1586" w:rsidRPr="00D30B69" w:rsidRDefault="004872FB" w:rsidP="00D30B69">
      <w:pPr>
        <w:pStyle w:val="JuPara"/>
      </w:pPr>
      <w:r>
        <w:t>19</w:t>
      </w:r>
      <w:r w:rsidR="00F26C19">
        <w:t>.</w:t>
      </w:r>
      <w:r w:rsidR="007441B4">
        <w:t xml:space="preserve"> </w:t>
      </w:r>
      <w:r w:rsidR="00F26C19">
        <w:t xml:space="preserve">W dniu 27 lutego 2018 r. Sąd Apelacyjny w Szczecinie oddalił apelację skarżącej </w:t>
      </w:r>
      <w:r w:rsidR="00D012E3">
        <w:t>od wyroku</w:t>
      </w:r>
      <w:r w:rsidR="00F26C19">
        <w:t xml:space="preserve"> Sądu Okręgowego.</w:t>
      </w:r>
    </w:p>
    <w:p w14:paraId="24E40CE8" w14:textId="7C837DDD" w:rsidR="00F26C19" w:rsidRPr="00D30B69" w:rsidRDefault="004872FB" w:rsidP="00D30B69">
      <w:pPr>
        <w:pStyle w:val="JuPara"/>
      </w:pPr>
      <w:r>
        <w:t>20</w:t>
      </w:r>
      <w:r w:rsidR="00F26C19">
        <w:t>.</w:t>
      </w:r>
      <w:r w:rsidR="007441B4">
        <w:t xml:space="preserve"> </w:t>
      </w:r>
      <w:r w:rsidR="00F26C19">
        <w:t>W dniu 25 kwietnia 2018 r. sąd przych</w:t>
      </w:r>
      <w:r w:rsidR="00C51F5F">
        <w:t>ylił się do wniosku skarżącej o </w:t>
      </w:r>
      <w:r w:rsidR="00F26C19">
        <w:t>przyznanie pomocy prawnej w celu wniesienia skargi kasacyjnej.</w:t>
      </w:r>
    </w:p>
    <w:p w14:paraId="5BCFF16D" w14:textId="11385DDE" w:rsidR="00F26C19" w:rsidRPr="00D30B69" w:rsidRDefault="004872FB" w:rsidP="00D30B69">
      <w:pPr>
        <w:pStyle w:val="JuPara"/>
      </w:pPr>
      <w:r>
        <w:t>21</w:t>
      </w:r>
      <w:r w:rsidR="00F26C19">
        <w:t>.</w:t>
      </w:r>
      <w:r w:rsidR="007441B4">
        <w:t xml:space="preserve"> </w:t>
      </w:r>
      <w:r w:rsidR="00F26C19">
        <w:t>Został ustanowiony pełnomocnik z urzędu do</w:t>
      </w:r>
      <w:r w:rsidR="00C6636F">
        <w:t> </w:t>
      </w:r>
      <w:r w:rsidR="00F26C19">
        <w:t>reprezentowania</w:t>
      </w:r>
      <w:r w:rsidR="00735CAC">
        <w:t> </w:t>
      </w:r>
      <w:r w:rsidR="00F26C19">
        <w:t xml:space="preserve">skarżącej; skarżąca wniosła jednak o wyznaczenie innego pełnomocnika z urzędu. </w:t>
      </w:r>
      <w:r w:rsidR="00FB3EA3">
        <w:t>Następnie</w:t>
      </w:r>
      <w:r w:rsidR="00F26C19">
        <w:t xml:space="preserve"> skarżąca ustanowiła innego pełnomocnika </w:t>
      </w:r>
      <w:r w:rsidR="00D012E3">
        <w:t>z</w:t>
      </w:r>
      <w:r w:rsidR="00F26C19">
        <w:t xml:space="preserve"> wyboru i cofnęła pełnomocnictwo ustanowionemu pełnomocnikowi z urzędu.</w:t>
      </w:r>
    </w:p>
    <w:p w14:paraId="536DD7EF" w14:textId="46FA2EEA" w:rsidR="00F26C19" w:rsidRPr="00D30B69" w:rsidRDefault="004872FB" w:rsidP="00D30B69">
      <w:pPr>
        <w:pStyle w:val="JuPara"/>
      </w:pPr>
      <w:r>
        <w:t>22</w:t>
      </w:r>
      <w:r w:rsidR="00F26C19">
        <w:t>.</w:t>
      </w:r>
      <w:r w:rsidR="007441B4">
        <w:t xml:space="preserve"> </w:t>
      </w:r>
      <w:r w:rsidR="00337C3C">
        <w:t>P</w:t>
      </w:r>
      <w:r w:rsidR="00F26C19">
        <w:t xml:space="preserve">ełnomocnika skarżącej </w:t>
      </w:r>
      <w:r w:rsidR="00337C3C">
        <w:t>wezwano</w:t>
      </w:r>
      <w:r w:rsidR="00F26C19">
        <w:t xml:space="preserve"> </w:t>
      </w:r>
      <w:r w:rsidR="00337C3C">
        <w:t>do usunięcia</w:t>
      </w:r>
      <w:r w:rsidR="00F26C19">
        <w:t xml:space="preserve"> kilku braków formalnych </w:t>
      </w:r>
      <w:r w:rsidR="00337C3C">
        <w:t>skargi</w:t>
      </w:r>
      <w:r w:rsidR="00F26C19">
        <w:t xml:space="preserve"> kasacyjnej oraz </w:t>
      </w:r>
      <w:r w:rsidR="00337C3C">
        <w:t>do wniesienia</w:t>
      </w:r>
      <w:r w:rsidR="00F26C19">
        <w:t xml:space="preserve"> opłaty.</w:t>
      </w:r>
    </w:p>
    <w:p w14:paraId="3801D6E6" w14:textId="1FCB1AD5" w:rsidR="00F26C19" w:rsidRPr="00D30B69" w:rsidRDefault="004872FB" w:rsidP="00D30B69">
      <w:pPr>
        <w:pStyle w:val="JuPara"/>
      </w:pPr>
      <w:r>
        <w:t>23</w:t>
      </w:r>
      <w:r w:rsidR="00F26C19">
        <w:t>.</w:t>
      </w:r>
      <w:r w:rsidR="007441B4">
        <w:t xml:space="preserve"> </w:t>
      </w:r>
      <w:r w:rsidR="00F26C19">
        <w:t>W dniu 17 sierpnia</w:t>
      </w:r>
      <w:r w:rsidR="00613E8B">
        <w:t xml:space="preserve"> 2018 r.</w:t>
      </w:r>
      <w:r w:rsidR="00F26C19">
        <w:t xml:space="preserve"> skarga kasacyjna została prze</w:t>
      </w:r>
      <w:r w:rsidR="00FB3EA3">
        <w:t>d</w:t>
      </w:r>
      <w:r w:rsidR="00F26C19">
        <w:t>stawiona Sądowi Najwyższemu.</w:t>
      </w:r>
    </w:p>
    <w:p w14:paraId="399DFEAF" w14:textId="3A52D534" w:rsidR="00F26C19" w:rsidRPr="00D30B69" w:rsidRDefault="004872FB" w:rsidP="00D30B69">
      <w:pPr>
        <w:pStyle w:val="JuPara"/>
      </w:pPr>
      <w:r>
        <w:t>24</w:t>
      </w:r>
      <w:r w:rsidR="00F26C19">
        <w:t>.</w:t>
      </w:r>
      <w:r w:rsidR="007441B4">
        <w:t xml:space="preserve"> </w:t>
      </w:r>
      <w:r w:rsidR="00F26C19">
        <w:t>Postępowanie jest w toku.</w:t>
      </w:r>
    </w:p>
    <w:p w14:paraId="7D406433" w14:textId="77777777" w:rsidR="00F26C19" w:rsidRPr="00D30B69" w:rsidRDefault="00F26C19" w:rsidP="00D30B69">
      <w:pPr>
        <w:pStyle w:val="JuHA"/>
      </w:pPr>
      <w:r>
        <w:t>Postępowanie na postawie ustawy z 2004 r.</w:t>
      </w:r>
    </w:p>
    <w:p w14:paraId="2A50F68F" w14:textId="5E4AD41D" w:rsidR="002B1586" w:rsidRPr="00D30B69" w:rsidRDefault="004872FB" w:rsidP="00D30B69">
      <w:pPr>
        <w:pStyle w:val="JuPara"/>
        <w:rPr>
          <w:iCs/>
        </w:rPr>
      </w:pPr>
      <w:r>
        <w:t>25</w:t>
      </w:r>
      <w:r w:rsidR="00F26C19">
        <w:t>.</w:t>
      </w:r>
      <w:r w:rsidR="007441B4">
        <w:t xml:space="preserve"> </w:t>
      </w:r>
      <w:r w:rsidR="00F26C19">
        <w:t>Skarżąca złożyła kilka skarg na podstawie ustawy z dnia 17 czerwca 2004 r. o skardze na naruszenie prawa strony do rozpoznania sprawy w</w:t>
      </w:r>
      <w:r w:rsidR="00735CAC">
        <w:t> </w:t>
      </w:r>
      <w:r w:rsidR="00F26C19">
        <w:t>postępowaniu przygotowawczym prowadzonym lub nadzorowanym przez prokuratora i postępowaniu sądowym bez nieuzasadnionej zwłoki („ustawy z 2004 r.”).</w:t>
      </w:r>
    </w:p>
    <w:p w14:paraId="7F0F9381" w14:textId="4046640A" w:rsidR="002B1586" w:rsidRPr="00D30B69" w:rsidRDefault="004872FB" w:rsidP="00D30B69">
      <w:pPr>
        <w:pStyle w:val="JuPara"/>
      </w:pPr>
      <w:r>
        <w:rPr>
          <w:iCs/>
        </w:rPr>
        <w:t>26</w:t>
      </w:r>
      <w:r w:rsidR="00F26C19">
        <w:t>.</w:t>
      </w:r>
      <w:r w:rsidR="007441B4">
        <w:t xml:space="preserve"> </w:t>
      </w:r>
      <w:r w:rsidR="00F26C19">
        <w:t>W dniu 4 stycznia 2013 r., w dniu 17 lutego 2014 r. oraz z dniu 29</w:t>
      </w:r>
      <w:r w:rsidR="00C6636F">
        <w:t> </w:t>
      </w:r>
      <w:r w:rsidR="00F26C19">
        <w:t>czerwca 2015 r. Sąd Apelacyjny w Szczecinie oddalił jej skargi. Sąd</w:t>
      </w:r>
      <w:r w:rsidR="00C6636F">
        <w:t> </w:t>
      </w:r>
      <w:r w:rsidR="00F26C19">
        <w:t>uznał, że w świetle przepisów Konwencji, biorąc pod uwagę stopień zawiłości sprawy, długość postępowania nie była nadmierna. W</w:t>
      </w:r>
      <w:r w:rsidR="00C6636F">
        <w:t> </w:t>
      </w:r>
      <w:r w:rsidR="00F26C19">
        <w:t>szczególności w</w:t>
      </w:r>
      <w:r w:rsidR="00735CAC">
        <w:t> </w:t>
      </w:r>
      <w:r w:rsidR="00F26C19">
        <w:t>drugim z wymienionych postanowień sąd zgodził się, że</w:t>
      </w:r>
      <w:r w:rsidR="00C6636F">
        <w:t> </w:t>
      </w:r>
      <w:r w:rsidR="00F26C19">
        <w:t>postępowanie w</w:t>
      </w:r>
      <w:r w:rsidR="00735CAC">
        <w:t> </w:t>
      </w:r>
      <w:r w:rsidR="00F26C19">
        <w:t>sprawie koncentrowało się na rozpatrywaniu wniosków skarżącej o</w:t>
      </w:r>
      <w:r w:rsidR="00735CAC">
        <w:t> </w:t>
      </w:r>
      <w:r w:rsidR="00F26C19">
        <w:t>przyznanie pomocy prawnej oraz wniosków kwestionujących</w:t>
      </w:r>
      <w:r w:rsidR="00846C92">
        <w:t xml:space="preserve"> opinie</w:t>
      </w:r>
      <w:r w:rsidR="00F26C19">
        <w:t xml:space="preserve"> biegłych oraz bezstronność sędziów. Skarżąca i jej pełnomocnik </w:t>
      </w:r>
      <w:r w:rsidR="00F26C19">
        <w:lastRenderedPageBreak/>
        <w:t xml:space="preserve">bardzo </w:t>
      </w:r>
      <w:r w:rsidR="001D311A">
        <w:t>aktywnie</w:t>
      </w:r>
      <w:r w:rsidR="00F26C19">
        <w:t xml:space="preserve"> składali rozmaite nieuzasadnione wnioski i środki zaskarżenia, usiłując nawet odwoływać się po otrzymaniu pouczenia, że</w:t>
      </w:r>
      <w:r w:rsidR="00C6636F">
        <w:t> </w:t>
      </w:r>
      <w:r w:rsidR="00F26C19">
        <w:t>prawo nie przewiduje dalszych środków zaskarżenia. Ogromna liczba takich wniosków sprawiła, że</w:t>
      </w:r>
      <w:r w:rsidR="00E85E21">
        <w:t xml:space="preserve"> merytoryczne</w:t>
      </w:r>
      <w:r w:rsidR="00F26C19">
        <w:t xml:space="preserve"> </w:t>
      </w:r>
      <w:r w:rsidR="00846C92">
        <w:t>rozpoznawanie</w:t>
      </w:r>
      <w:r w:rsidR="00F26C19">
        <w:t xml:space="preserve"> </w:t>
      </w:r>
      <w:r w:rsidR="00EF5C88">
        <w:t xml:space="preserve">przedmiotu </w:t>
      </w:r>
      <w:r w:rsidR="00846C92">
        <w:t>sprawy</w:t>
      </w:r>
      <w:r w:rsidR="00F26C19">
        <w:t xml:space="preserve"> okazało się praktycznie niemożliwe.</w:t>
      </w:r>
    </w:p>
    <w:p w14:paraId="139AA79D" w14:textId="1AD7B5D0" w:rsidR="00F26C19" w:rsidRPr="00D30B69" w:rsidRDefault="004872FB" w:rsidP="00D30B69">
      <w:pPr>
        <w:pStyle w:val="JuPara"/>
      </w:pPr>
      <w:r>
        <w:t>27</w:t>
      </w:r>
      <w:r w:rsidR="00F26C19">
        <w:t>.</w:t>
      </w:r>
      <w:r w:rsidR="007441B4">
        <w:t xml:space="preserve"> </w:t>
      </w:r>
      <w:r w:rsidR="00F26C19">
        <w:t xml:space="preserve">Skarżąca złożyła zażalenie na postanowienie z dnia 17 lutego 2014 </w:t>
      </w:r>
      <w:r w:rsidR="00FB3EA3">
        <w:t xml:space="preserve">r., </w:t>
      </w:r>
      <w:r w:rsidR="00F26C19">
        <w:t>mimo że według prawa nie dysponowała takim środkiem zaskarż</w:t>
      </w:r>
      <w:r w:rsidR="00B75E40">
        <w:t>enia. Jej</w:t>
      </w:r>
      <w:r w:rsidR="00C6636F">
        <w:t> </w:t>
      </w:r>
      <w:r w:rsidR="00B75E40">
        <w:t>zażalenie oraz kolejny</w:t>
      </w:r>
      <w:r w:rsidR="00F26C19">
        <w:t xml:space="preserve"> </w:t>
      </w:r>
      <w:r w:rsidR="00B75E40">
        <w:t>wniosek</w:t>
      </w:r>
      <w:r w:rsidR="00F26C19">
        <w:t xml:space="preserve"> o wznowienie postępowania zostały odrzucone przez Sąd Apelacyjny w Szczecinie w maju 2014 r.</w:t>
      </w:r>
    </w:p>
    <w:p w14:paraId="2F1CED4E" w14:textId="5F9FE891" w:rsidR="002B1586" w:rsidRPr="00D30B69" w:rsidRDefault="004872FB" w:rsidP="00D30B69">
      <w:pPr>
        <w:pStyle w:val="JuPara"/>
      </w:pPr>
      <w:r>
        <w:t>28</w:t>
      </w:r>
      <w:r w:rsidR="00F26C19">
        <w:t>.</w:t>
      </w:r>
      <w:r w:rsidR="007441B4">
        <w:t xml:space="preserve"> </w:t>
      </w:r>
      <w:r w:rsidR="00F26C19">
        <w:t xml:space="preserve">Odrzucono także szereg innych skarg na przewlekłość postępowania, </w:t>
      </w:r>
      <w:r w:rsidR="00DC7DF5">
        <w:t>dlatego</w:t>
      </w:r>
      <w:r w:rsidR="00F26C19">
        <w:t xml:space="preserve"> że zostały złożone przed upływem dwunastu miesięcy od wydania poprzedniego orzeczenia na podstawie ustawy z 2004 r. W dniu 28 lutego 2018 r. Sąd Apelacyjny w Szczecinie odrzucił ostatnią skargę na</w:t>
      </w:r>
      <w:r w:rsidR="00C6636F">
        <w:t> </w:t>
      </w:r>
      <w:r w:rsidR="00F26C19">
        <w:t>przewlekłość postępowania przed Sądem Apelacyjnym, ponieważ skarga nie została wniesiona przez adwokata lub radc</w:t>
      </w:r>
      <w:r w:rsidR="00153DB9">
        <w:t>ę</w:t>
      </w:r>
      <w:r w:rsidR="00F26C19">
        <w:t xml:space="preserve"> prawnego.</w:t>
      </w:r>
    </w:p>
    <w:p w14:paraId="03C896D1" w14:textId="77777777" w:rsidR="006374DD" w:rsidRPr="00D30B69" w:rsidRDefault="006374DD" w:rsidP="00D30B69">
      <w:pPr>
        <w:pStyle w:val="JuHIRoman"/>
      </w:pPr>
      <w:r>
        <w:t>WŁAŚCIWE PRAWO KRAJOWE I PRAKTYKA</w:t>
      </w:r>
    </w:p>
    <w:p w14:paraId="414E7C5C" w14:textId="61350003" w:rsidR="006374DD" w:rsidRPr="00D30B69" w:rsidRDefault="004872FB" w:rsidP="00D30B69">
      <w:pPr>
        <w:pStyle w:val="JuPara"/>
      </w:pPr>
      <w:r>
        <w:t>29</w:t>
      </w:r>
      <w:r w:rsidR="006374DD">
        <w:t>.</w:t>
      </w:r>
      <w:r w:rsidR="007441B4">
        <w:t xml:space="preserve"> </w:t>
      </w:r>
      <w:r w:rsidR="006374DD">
        <w:t>Szczegółowy opis właściwego prawa krajowego i praktyki dotycząc</w:t>
      </w:r>
      <w:r w:rsidR="008D15EE">
        <w:t>ej</w:t>
      </w:r>
      <w:r w:rsidR="006374DD">
        <w:t xml:space="preserve"> środków prawnych </w:t>
      </w:r>
      <w:r w:rsidR="00310094">
        <w:t>w zakresie</w:t>
      </w:r>
      <w:r w:rsidR="006374DD">
        <w:t xml:space="preserve"> przewlekłości postępowania sądowego </w:t>
      </w:r>
      <w:r w:rsidR="00153DB9">
        <w:t>–</w:t>
      </w:r>
      <w:r w:rsidR="006374DD">
        <w:t xml:space="preserve"> w szczególności mających zastosowanie przepisów ustawy z</w:t>
      </w:r>
      <w:r w:rsidR="00153DB9">
        <w:t> </w:t>
      </w:r>
      <w:r w:rsidR="006374DD">
        <w:t xml:space="preserve">2004 r. </w:t>
      </w:r>
      <w:r w:rsidR="00153DB9">
        <w:t>–</w:t>
      </w:r>
      <w:r w:rsidR="006374DD">
        <w:t xml:space="preserve"> został zawarty w treści decyzji Trybunału w sprawach </w:t>
      </w:r>
      <w:r w:rsidR="006374DD">
        <w:rPr>
          <w:i/>
        </w:rPr>
        <w:t>Charzyński przeciwko Polsce</w:t>
      </w:r>
      <w:r w:rsidR="006374DD">
        <w:t xml:space="preserve"> ((dec.), </w:t>
      </w:r>
      <w:r w:rsidR="001C28A6">
        <w:t xml:space="preserve">skarga </w:t>
      </w:r>
      <w:r w:rsidR="006374DD">
        <w:t>nr 15212/03, §§</w:t>
      </w:r>
      <w:r w:rsidR="007441B4">
        <w:t xml:space="preserve"> </w:t>
      </w:r>
      <w:r w:rsidR="006374DD">
        <w:t xml:space="preserve">12-23, </w:t>
      </w:r>
      <w:r w:rsidR="001C28A6">
        <w:t xml:space="preserve">ETPCz </w:t>
      </w:r>
      <w:r w:rsidR="006374DD">
        <w:t>2005-V) i</w:t>
      </w:r>
      <w:r w:rsidR="00153DB9">
        <w:t> </w:t>
      </w:r>
      <w:r w:rsidR="006374DD">
        <w:rPr>
          <w:i/>
        </w:rPr>
        <w:t>Ratajczyk przeciwko Polsce</w:t>
      </w:r>
      <w:r w:rsidR="006374DD">
        <w:t xml:space="preserve"> ((dec.), </w:t>
      </w:r>
      <w:r w:rsidR="001C28A6">
        <w:t xml:space="preserve">skarga </w:t>
      </w:r>
      <w:r w:rsidR="006374DD">
        <w:t xml:space="preserve">nr 11215/02, </w:t>
      </w:r>
      <w:r w:rsidR="001C28A6">
        <w:t xml:space="preserve">ETPCz </w:t>
      </w:r>
      <w:r w:rsidR="00FB3EA3">
        <w:t>2005-VIII)</w:t>
      </w:r>
      <w:r w:rsidR="006374DD">
        <w:t xml:space="preserve"> oraz w treści wyroków w sprawach </w:t>
      </w:r>
      <w:r w:rsidR="006374DD">
        <w:rPr>
          <w:i/>
        </w:rPr>
        <w:t>Krasuski przeciwko Polsce</w:t>
      </w:r>
      <w:r w:rsidR="006374DD">
        <w:t xml:space="preserve"> (</w:t>
      </w:r>
      <w:r w:rsidR="001C28A6">
        <w:t xml:space="preserve">skarga </w:t>
      </w:r>
      <w:r w:rsidR="006374DD">
        <w:t xml:space="preserve">nr 61444/00, §§ 34-46, ETPCz 2005-V (fragmenty)) i </w:t>
      </w:r>
      <w:r w:rsidR="006374DD">
        <w:rPr>
          <w:i/>
        </w:rPr>
        <w:t>Rutkowski i</w:t>
      </w:r>
      <w:r w:rsidR="001C28A6">
        <w:rPr>
          <w:i/>
        </w:rPr>
        <w:t> </w:t>
      </w:r>
      <w:r w:rsidR="006374DD">
        <w:rPr>
          <w:i/>
        </w:rPr>
        <w:t>Inni przeciwko Polsce</w:t>
      </w:r>
      <w:r w:rsidR="006374DD">
        <w:t xml:space="preserve"> (</w:t>
      </w:r>
      <w:r w:rsidR="001C28A6">
        <w:t xml:space="preserve">skarga </w:t>
      </w:r>
      <w:r w:rsidR="006374DD">
        <w:t>nr 72287/10 oraz 2 inne, §§ 75-107, 7 lipca 2015 r.).</w:t>
      </w:r>
    </w:p>
    <w:p w14:paraId="7B05A43E" w14:textId="77777777" w:rsidR="00DE61E0" w:rsidRPr="00D30B69" w:rsidRDefault="00DE61E0" w:rsidP="00D30B69">
      <w:pPr>
        <w:pStyle w:val="JuHHead"/>
      </w:pPr>
      <w:r>
        <w:t>PRAWO</w:t>
      </w:r>
    </w:p>
    <w:p w14:paraId="227AE206" w14:textId="0A40466F" w:rsidR="00DE61E0" w:rsidRPr="00D30B69" w:rsidRDefault="007441B4" w:rsidP="00D30B69">
      <w:pPr>
        <w:pStyle w:val="JuHIRoman"/>
      </w:pPr>
      <w:r>
        <w:t xml:space="preserve"> </w:t>
      </w:r>
      <w:r w:rsidR="00FB3EA3">
        <w:t>ZARZUT NARUSZENIa</w:t>
      </w:r>
      <w:r w:rsidR="00172E5F">
        <w:t xml:space="preserve"> art.</w:t>
      </w:r>
      <w:r w:rsidR="00DE61E0">
        <w:t xml:space="preserve"> 6 UST. 1 KONWENCJI</w:t>
      </w:r>
    </w:p>
    <w:p w14:paraId="5F3DD1A0" w14:textId="0AB8B416" w:rsidR="00DE61E0" w:rsidRPr="00D30B69" w:rsidRDefault="004872FB" w:rsidP="00D30B69">
      <w:pPr>
        <w:pStyle w:val="JuPara"/>
      </w:pPr>
      <w:r>
        <w:t>30</w:t>
      </w:r>
      <w:r w:rsidR="00F26C19">
        <w:t>.</w:t>
      </w:r>
      <w:r w:rsidR="007441B4">
        <w:t xml:space="preserve"> </w:t>
      </w:r>
      <w:r w:rsidR="00F26C19">
        <w:t xml:space="preserve">Skarżąca podniosła, że </w:t>
      </w:r>
      <w:r w:rsidR="00FB3EA3">
        <w:t>długość</w:t>
      </w:r>
      <w:r w:rsidR="00F26C19">
        <w:t xml:space="preserve"> postępowania w jej sprawie narusza wymóg „rozsądnego terminu” zawarty w art. 6 ust. 1 Konwencji, który brzmi:</w:t>
      </w:r>
    </w:p>
    <w:p w14:paraId="619FD1F9" w14:textId="15093072" w:rsidR="00DE61E0" w:rsidRPr="00D30B69" w:rsidRDefault="00DE61E0" w:rsidP="00D30B69">
      <w:pPr>
        <w:pStyle w:val="JuQuot"/>
      </w:pPr>
      <w:r>
        <w:t>„Każdy ma prawo do [...] rozpatrzenia jego sprawy w rozsądnym terminie przez [...] sąd [...] przy rozstrzyganiu o jego prawach i obowiązkach o charakterze cywilnym [...]”</w:t>
      </w:r>
      <w:r w:rsidR="00172E5F">
        <w:t>.</w:t>
      </w:r>
    </w:p>
    <w:p w14:paraId="4B47180C" w14:textId="39F862D6" w:rsidR="00DE61E0" w:rsidRPr="00D30B69" w:rsidRDefault="004872FB" w:rsidP="00D30B69">
      <w:pPr>
        <w:pStyle w:val="JuPara"/>
      </w:pPr>
      <w:r>
        <w:t>31</w:t>
      </w:r>
      <w:r w:rsidR="00F26C19">
        <w:t>.</w:t>
      </w:r>
      <w:r w:rsidR="007441B4">
        <w:t xml:space="preserve"> </w:t>
      </w:r>
      <w:r w:rsidR="00F26C19">
        <w:t>Rząd zakwestionował ten argument.</w:t>
      </w:r>
    </w:p>
    <w:p w14:paraId="01724EFE" w14:textId="6085C9CA" w:rsidR="00F26C19" w:rsidRPr="00D30B69" w:rsidRDefault="004872FB" w:rsidP="00D30B69">
      <w:pPr>
        <w:pStyle w:val="JuPara"/>
      </w:pPr>
      <w:r>
        <w:t>32</w:t>
      </w:r>
      <w:r w:rsidR="00F26C19">
        <w:t>.</w:t>
      </w:r>
      <w:r w:rsidR="007441B4">
        <w:t xml:space="preserve"> </w:t>
      </w:r>
      <w:r w:rsidR="00F26C19">
        <w:t xml:space="preserve">Okres podlegający </w:t>
      </w:r>
      <w:r w:rsidR="00956859">
        <w:t>rozpoznaniu</w:t>
      </w:r>
      <w:r w:rsidR="00F26C19">
        <w:t xml:space="preserve"> rozpoczął się 29 stycznia 2010 r. </w:t>
      </w:r>
      <w:r w:rsidR="00172E5F">
        <w:t>–</w:t>
      </w:r>
      <w:r w:rsidR="00C51F5F">
        <w:t xml:space="preserve"> w </w:t>
      </w:r>
      <w:r w:rsidR="00F26C19">
        <w:t xml:space="preserve">dniu zaskarżenia do sądu decyzji ZUS </w:t>
      </w:r>
      <w:r w:rsidR="00172E5F">
        <w:t>–</w:t>
      </w:r>
      <w:r w:rsidR="00F26C19">
        <w:t xml:space="preserve"> i jeszcze się nie zakończył. Jak</w:t>
      </w:r>
      <w:r w:rsidR="00C6636F">
        <w:t> </w:t>
      </w:r>
      <w:r w:rsidR="00F26C19">
        <w:t>dotąd postępowanie w dwóch instancjach trwało zatem osiem lat i</w:t>
      </w:r>
      <w:r w:rsidR="00C6636F">
        <w:t> </w:t>
      </w:r>
      <w:r w:rsidR="00F26C19">
        <w:t>dziesięć miesięcy.</w:t>
      </w:r>
    </w:p>
    <w:p w14:paraId="194D1674" w14:textId="77777777" w:rsidR="00DE61E0" w:rsidRPr="00D30B69" w:rsidRDefault="00DE61E0" w:rsidP="00D30B69">
      <w:pPr>
        <w:pStyle w:val="JuHA"/>
      </w:pPr>
      <w:r>
        <w:lastRenderedPageBreak/>
        <w:t>Dopuszczalność</w:t>
      </w:r>
    </w:p>
    <w:p w14:paraId="3D63321D" w14:textId="69082B00" w:rsidR="00DE61E0" w:rsidRPr="00D30B69" w:rsidRDefault="004872FB" w:rsidP="00D30B69">
      <w:pPr>
        <w:pStyle w:val="JuPara"/>
      </w:pPr>
      <w:r>
        <w:t>33</w:t>
      </w:r>
      <w:r w:rsidR="00F26C19">
        <w:t>.</w:t>
      </w:r>
      <w:r w:rsidR="007441B4">
        <w:t xml:space="preserve"> </w:t>
      </w:r>
      <w:r w:rsidR="00F26C19">
        <w:t xml:space="preserve">Trybunał stwierdza, że skarga nie jest </w:t>
      </w:r>
      <w:r w:rsidR="00172E5F">
        <w:t xml:space="preserve">w sposób oczywisty nieuzasadniona </w:t>
      </w:r>
      <w:r w:rsidR="00F26C19">
        <w:t>w</w:t>
      </w:r>
      <w:r w:rsidR="00172E5F">
        <w:t> </w:t>
      </w:r>
      <w:r w:rsidR="00F26C19">
        <w:t>r</w:t>
      </w:r>
      <w:r w:rsidR="00317834">
        <w:t>ozumieniu art. 35 ust. 3 lit. a</w:t>
      </w:r>
      <w:r w:rsidR="00F26C19">
        <w:t xml:space="preserve"> Konwencji. Ponadto</w:t>
      </w:r>
      <w:r w:rsidR="00C6636F">
        <w:t> </w:t>
      </w:r>
      <w:r w:rsidR="00F26C19">
        <w:t>stwierdza, że skarga nie jest niedopuszczalna z jakichkolwiek innych przyczyn. Musi zatem zostać uznana za dopuszczalną.</w:t>
      </w:r>
    </w:p>
    <w:p w14:paraId="21865CF0" w14:textId="77777777" w:rsidR="00DE61E0" w:rsidRPr="00D30B69" w:rsidRDefault="00DE61E0" w:rsidP="00D30B69">
      <w:pPr>
        <w:pStyle w:val="JuHA"/>
      </w:pPr>
      <w:r>
        <w:t>Przedmiot skargi</w:t>
      </w:r>
    </w:p>
    <w:p w14:paraId="3AA82F9D" w14:textId="29C8C1AF" w:rsidR="0095029F" w:rsidRPr="00D30B69" w:rsidRDefault="004872FB" w:rsidP="00D30B69">
      <w:pPr>
        <w:pStyle w:val="JuPara"/>
      </w:pPr>
      <w:r>
        <w:t>34</w:t>
      </w:r>
      <w:r w:rsidR="00005611">
        <w:t>.</w:t>
      </w:r>
      <w:r w:rsidR="007441B4">
        <w:t xml:space="preserve"> </w:t>
      </w:r>
      <w:r w:rsidR="006374DD">
        <w:t xml:space="preserve">Skarżąca </w:t>
      </w:r>
      <w:r w:rsidR="0063143B">
        <w:t>zarzuciła</w:t>
      </w:r>
      <w:r w:rsidR="006374DD">
        <w:t xml:space="preserve">, że długość postępowania stanowczo narusza wymóg „rozsądnego terminu”. Skarżąca </w:t>
      </w:r>
      <w:r w:rsidR="0063143B">
        <w:t>podniosła</w:t>
      </w:r>
      <w:r w:rsidR="006374DD">
        <w:t>, że odebrano jej rentę z</w:t>
      </w:r>
      <w:r w:rsidR="00172E5F">
        <w:t> </w:t>
      </w:r>
      <w:r w:rsidR="006374DD">
        <w:t>tytułu niezdolności do pracy</w:t>
      </w:r>
      <w:r w:rsidR="00172E5F">
        <w:t>,</w:t>
      </w:r>
      <w:r w:rsidR="006374DD">
        <w:t xml:space="preserve"> mimo że stan jej zdrowia nie uległ poprawie. Postępowanie miało na celu przywrócenie </w:t>
      </w:r>
      <w:r w:rsidR="00A827AD">
        <w:t xml:space="preserve">jej </w:t>
      </w:r>
      <w:r w:rsidR="006374DD">
        <w:t>renty z tytułu niezdolności do</w:t>
      </w:r>
      <w:r w:rsidR="00C6636F">
        <w:t> </w:t>
      </w:r>
      <w:r w:rsidR="006374DD">
        <w:t>pracy, ale trwa ono już dziewięć lat. Postępowanie nie było zawiłe, a</w:t>
      </w:r>
      <w:r w:rsidR="00172E5F">
        <w:t> </w:t>
      </w:r>
      <w:r w:rsidR="006374DD">
        <w:t>o</w:t>
      </w:r>
      <w:r w:rsidR="00172E5F">
        <w:t> </w:t>
      </w:r>
      <w:r w:rsidR="006374DD">
        <w:t xml:space="preserve">konieczności przeprowadzenia dowodu z opinii biegłych było wiadomo od początku, zatem należało to </w:t>
      </w:r>
      <w:r w:rsidR="00E228E2">
        <w:t>uczynić</w:t>
      </w:r>
      <w:r w:rsidR="006374DD">
        <w:t xml:space="preserve"> w odpowiednim terminie. Ponadto</w:t>
      </w:r>
      <w:r w:rsidR="00C6636F">
        <w:t> </w:t>
      </w:r>
      <w:r w:rsidR="006374DD">
        <w:t>od 2013 r</w:t>
      </w:r>
      <w:r w:rsidR="00787486">
        <w:t>.</w:t>
      </w:r>
      <w:r w:rsidR="006374DD">
        <w:t xml:space="preserve"> nie zarządzono sporządzenia żadnej nowej opinii biegłego oceniającej aktualny stan zdrowia</w:t>
      </w:r>
      <w:r w:rsidR="00E228E2">
        <w:t xml:space="preserve"> skarżącej</w:t>
      </w:r>
      <w:r w:rsidR="006374DD">
        <w:t xml:space="preserve">. Zasadniczo było wiele okresów bezczynności, za które </w:t>
      </w:r>
      <w:r w:rsidR="00172E5F">
        <w:t>odpowiedzialność ponoszą</w:t>
      </w:r>
      <w:r w:rsidR="006374DD">
        <w:t xml:space="preserve"> sądy krajowe. Skarżąca podkreśliła, że nie była reprezentowana przez profesjonalnego pełnomocnika i </w:t>
      </w:r>
      <w:r w:rsidR="00E228E2">
        <w:t>bezskutecznie</w:t>
      </w:r>
      <w:r w:rsidR="006374DD">
        <w:t xml:space="preserve"> usiłowała dochodzić sprawiedliwości.</w:t>
      </w:r>
    </w:p>
    <w:p w14:paraId="61377E5D" w14:textId="36BCCC2E" w:rsidR="0047553D" w:rsidRPr="00D30B69" w:rsidRDefault="004872FB" w:rsidP="00D30B69">
      <w:pPr>
        <w:pStyle w:val="JuPara"/>
      </w:pPr>
      <w:r>
        <w:t>35</w:t>
      </w:r>
      <w:r w:rsidR="006374DD">
        <w:t>.</w:t>
      </w:r>
      <w:r w:rsidR="007441B4">
        <w:t xml:space="preserve"> </w:t>
      </w:r>
      <w:r w:rsidR="006374DD">
        <w:t xml:space="preserve">Rząd </w:t>
      </w:r>
      <w:r w:rsidR="00E228E2">
        <w:t>stwierdził</w:t>
      </w:r>
      <w:r w:rsidR="006374DD">
        <w:t xml:space="preserve">, że postępowanie było zawiłe, ponieważ konieczne było uzyskanie opinii biegłych z kilku </w:t>
      </w:r>
      <w:r w:rsidR="00690436">
        <w:t>specjalności</w:t>
      </w:r>
      <w:r w:rsidR="006374DD">
        <w:t>. Ponadto na łączny czas trwania postępowania miało wpływ zachowanie skarżącej. Skarżąca składała liczne zażalenia oraz rozmaite wnioski procesowe, które</w:t>
      </w:r>
      <w:r w:rsidR="00AF37A5" w:rsidRPr="00AF37A5">
        <w:t xml:space="preserve"> </w:t>
      </w:r>
      <w:r w:rsidR="00AF37A5">
        <w:t>sądy</w:t>
      </w:r>
      <w:r w:rsidR="006374DD">
        <w:t xml:space="preserve"> musiały </w:t>
      </w:r>
      <w:r w:rsidR="00690436">
        <w:t>rozpoznawać</w:t>
      </w:r>
      <w:r w:rsidR="006374DD">
        <w:t>. W szczególności skarżąca składała nieuzasadnione wnioski o wyłączenie sędziów i biegłych, a także środki zaskarżenia, przy czym niektóre z nich nie były przewidziane prawem. Niektóre z jej wniosków były pozbawione podstawy prawnej, między innymi wniosek o</w:t>
      </w:r>
      <w:r w:rsidR="00AF37A5">
        <w:t> </w:t>
      </w:r>
      <w:r w:rsidR="006374DD">
        <w:t xml:space="preserve">rozpoznanie sprawy przez „instytut publiczny z innego państwa Unii Europejskiej”. Takie działania ze strony skarżącej </w:t>
      </w:r>
      <w:r w:rsidR="00FB3EA3">
        <w:t>bez</w:t>
      </w:r>
      <w:r w:rsidR="006374DD">
        <w:t xml:space="preserve">sprzecznie doprowadziły do wydłużenia postępowania w sprawie, ponieważ sądy nie były w stanie </w:t>
      </w:r>
      <w:r w:rsidR="00690436">
        <w:t>wyznaczać</w:t>
      </w:r>
      <w:r w:rsidR="006374DD">
        <w:t xml:space="preserve"> rozpraw w rozsądnych odstępach czasu. Przykładowo w 2014 r</w:t>
      </w:r>
      <w:r w:rsidR="00787486">
        <w:t>.</w:t>
      </w:r>
      <w:r w:rsidR="006374DD">
        <w:t xml:space="preserve"> sąd nie </w:t>
      </w:r>
      <w:r w:rsidR="00C11A85">
        <w:t>wyznaczył żadnego terminu rozprawy</w:t>
      </w:r>
      <w:r w:rsidR="006374DD">
        <w:t xml:space="preserve">, ponieważ musiał rozpatrzyć </w:t>
      </w:r>
      <w:r w:rsidR="00FB3EA3">
        <w:t>liczne wnioski procesowe</w:t>
      </w:r>
      <w:r w:rsidR="006374DD">
        <w:t xml:space="preserve"> skarżącej. Odmowa poddania się badaniom lekarskim przez skarżącą dodatkowo wpłynęła na łączny czas trwania postępowania. Podsumowując, Rząd utrzymywał, że</w:t>
      </w:r>
      <w:r w:rsidR="00C6636F">
        <w:t> </w:t>
      </w:r>
      <w:r w:rsidR="006374DD">
        <w:t>nie</w:t>
      </w:r>
      <w:r w:rsidR="00C6636F">
        <w:t> </w:t>
      </w:r>
      <w:r w:rsidR="006374DD">
        <w:t>było opóźnień, które można przypisywać władzom krajowym.</w:t>
      </w:r>
    </w:p>
    <w:p w14:paraId="28F797F1" w14:textId="6074AE16" w:rsidR="006374DD" w:rsidRPr="00D30B69" w:rsidRDefault="004872FB" w:rsidP="00D30B69">
      <w:pPr>
        <w:pStyle w:val="JuPara"/>
      </w:pPr>
      <w:r>
        <w:t>36</w:t>
      </w:r>
      <w:r w:rsidR="006374DD">
        <w:t>.</w:t>
      </w:r>
      <w:r w:rsidR="007441B4">
        <w:t xml:space="preserve"> </w:t>
      </w:r>
      <w:r w:rsidR="006374DD">
        <w:t>Trybunał powtarza, że rozsądność długości postępowania należy oceniać w świetle konkretnych okoliczności sprawy, biorąc pod uwagę kryteria określone w jego orzecznictwie, w szczególności stopień zawiłości sprawy, zachowanie skarżącego oraz właściwych władz.</w:t>
      </w:r>
      <w:r w:rsidR="007441B4">
        <w:t xml:space="preserve"> </w:t>
      </w:r>
      <w:r w:rsidR="006374DD">
        <w:t>W odniesieniu do</w:t>
      </w:r>
      <w:r w:rsidR="00C6636F">
        <w:t> </w:t>
      </w:r>
      <w:r w:rsidR="006374DD">
        <w:t xml:space="preserve">ostatniego kryterium należy również brać pod uwagę, jakie </w:t>
      </w:r>
      <w:r w:rsidR="006374DD">
        <w:lastRenderedPageBreak/>
        <w:t>są</w:t>
      </w:r>
      <w:r w:rsidR="00C6636F">
        <w:t> </w:t>
      </w:r>
      <w:r w:rsidR="006374DD">
        <w:t xml:space="preserve">konsekwencje postępowania dla skarżącego (zob. </w:t>
      </w:r>
      <w:r w:rsidR="006374DD">
        <w:rPr>
          <w:i/>
        </w:rPr>
        <w:t>Kudła przeciwko Polsce</w:t>
      </w:r>
      <w:r w:rsidR="006374DD">
        <w:t xml:space="preserve"> [WI], </w:t>
      </w:r>
      <w:r w:rsidR="00AF37A5">
        <w:t xml:space="preserve">skarga </w:t>
      </w:r>
      <w:r w:rsidR="006374DD">
        <w:t xml:space="preserve">nr 30210/96, § 124, </w:t>
      </w:r>
      <w:r w:rsidR="00AF37A5">
        <w:t xml:space="preserve">ETPCz </w:t>
      </w:r>
      <w:r w:rsidR="006374DD">
        <w:t xml:space="preserve">2000-XI, dalsze odesłania do orzecznictwa </w:t>
      </w:r>
      <w:r w:rsidR="00AF37A5">
        <w:t>–</w:t>
      </w:r>
      <w:r w:rsidR="006374DD">
        <w:t xml:space="preserve"> zob. </w:t>
      </w:r>
      <w:r w:rsidR="006374DD">
        <w:rPr>
          <w:i/>
        </w:rPr>
        <w:t xml:space="preserve">Rutkowski i </w:t>
      </w:r>
      <w:r w:rsidR="00AF37A5">
        <w:rPr>
          <w:i/>
        </w:rPr>
        <w:t>I</w:t>
      </w:r>
      <w:r w:rsidR="006374DD">
        <w:rPr>
          <w:i/>
        </w:rPr>
        <w:t>nni</w:t>
      </w:r>
      <w:r w:rsidR="006374DD">
        <w:t>, cyt. powyżej, §§ 126</w:t>
      </w:r>
      <w:r w:rsidR="006374DD">
        <w:noBreakHyphen/>
        <w:t>28).</w:t>
      </w:r>
    </w:p>
    <w:p w14:paraId="3D8CD071" w14:textId="1725B997" w:rsidR="00F26C19" w:rsidRPr="00D30B69" w:rsidRDefault="004872FB" w:rsidP="00D30B69">
      <w:pPr>
        <w:pStyle w:val="JuPara"/>
      </w:pPr>
      <w:r>
        <w:t>37</w:t>
      </w:r>
      <w:r w:rsidR="00F26C19">
        <w:t>.</w:t>
      </w:r>
      <w:r w:rsidR="007441B4">
        <w:t xml:space="preserve"> </w:t>
      </w:r>
      <w:r w:rsidR="00F26C19">
        <w:t>Trybunał często stwierdzał naruszenia art. 6 ust. 1 Konwencji w</w:t>
      </w:r>
      <w:r w:rsidR="00AF37A5">
        <w:t> </w:t>
      </w:r>
      <w:r w:rsidR="00F26C19">
        <w:t>sprawach poruszających kwestie podobne do występującej w</w:t>
      </w:r>
      <w:r w:rsidR="00AF37A5">
        <w:t> </w:t>
      </w:r>
      <w:r w:rsidR="00F26C19">
        <w:t xml:space="preserve">przedmiotowej sprawie (por. </w:t>
      </w:r>
      <w:r w:rsidR="00F26C19">
        <w:rPr>
          <w:i/>
        </w:rPr>
        <w:t>Rutkowski i Inni</w:t>
      </w:r>
      <w:r w:rsidR="00F26C19">
        <w:t>, cyt. powyżej).</w:t>
      </w:r>
    </w:p>
    <w:p w14:paraId="5E255B5C" w14:textId="6D17155C" w:rsidR="001B7151" w:rsidRPr="00D30B69" w:rsidRDefault="004872FB" w:rsidP="00D30B69">
      <w:pPr>
        <w:pStyle w:val="JuPara"/>
      </w:pPr>
      <w:r>
        <w:t>38</w:t>
      </w:r>
      <w:r w:rsidR="00182C1D">
        <w:t>.</w:t>
      </w:r>
      <w:r w:rsidR="007441B4">
        <w:t xml:space="preserve"> </w:t>
      </w:r>
      <w:r w:rsidR="00182C1D">
        <w:t xml:space="preserve">Trybunał </w:t>
      </w:r>
      <w:r w:rsidR="001D311A">
        <w:t>uznaje</w:t>
      </w:r>
      <w:r w:rsidR="00182C1D">
        <w:t xml:space="preserve"> argument Rządu, że skarżąca przyczyniła się do</w:t>
      </w:r>
      <w:r w:rsidR="00C6636F">
        <w:t> </w:t>
      </w:r>
      <w:r w:rsidR="001D311A">
        <w:t xml:space="preserve">wydłużenia </w:t>
      </w:r>
      <w:r w:rsidR="00182C1D">
        <w:t>łącznego czasu trwania postępowania. Nie ulega wątpliwości, że złożyła ona ogromną liczbę wniosków procesowych, które</w:t>
      </w:r>
      <w:r w:rsidR="00C6636F">
        <w:t> </w:t>
      </w:r>
      <w:r w:rsidR="00182C1D">
        <w:t>dotyczyły w</w:t>
      </w:r>
      <w:r w:rsidR="00AF37A5">
        <w:t> </w:t>
      </w:r>
      <w:r w:rsidR="00182C1D">
        <w:t>szczególności przyznania pomocy prawnej oraz</w:t>
      </w:r>
      <w:r w:rsidR="00C6636F">
        <w:t> </w:t>
      </w:r>
      <w:r w:rsidR="00C11A85">
        <w:t>wyłączenia</w:t>
      </w:r>
      <w:r w:rsidR="00182C1D">
        <w:t xml:space="preserve"> biegłych i sędziów. Takie wnioski składała ponownie</w:t>
      </w:r>
      <w:r w:rsidR="002B744E">
        <w:t>,</w:t>
      </w:r>
      <w:r w:rsidR="00182C1D">
        <w:t xml:space="preserve"> mimo uprzedniego ich odrzucenia, a w wielu przypadkach wnosiła środki odwoławcze, które</w:t>
      </w:r>
      <w:r w:rsidR="002B744E">
        <w:t xml:space="preserve"> nie przysługiwały na podstawie obowiązujących przepisów. Niektóre z </w:t>
      </w:r>
      <w:r w:rsidR="00182C1D">
        <w:t xml:space="preserve">wniosków </w:t>
      </w:r>
      <w:r w:rsidR="00B44D38">
        <w:t>wskazywały na dezorientację skarżącej</w:t>
      </w:r>
      <w:r w:rsidR="00182C1D">
        <w:t xml:space="preserve"> i</w:t>
      </w:r>
      <w:r w:rsidR="00C6636F">
        <w:t> </w:t>
      </w:r>
      <w:r w:rsidR="00182C1D">
        <w:t>ujawniały brak zaufania do biegłych oraz sędziów. W</w:t>
      </w:r>
      <w:r w:rsidR="00AF37A5">
        <w:t> </w:t>
      </w:r>
      <w:r w:rsidR="00182C1D">
        <w:t>związku z tym Trybunał powtarza, że choć skarżąca uprawniona jest do korzystania z</w:t>
      </w:r>
      <w:r w:rsidR="00C6636F">
        <w:t> </w:t>
      </w:r>
      <w:r w:rsidR="00182C1D">
        <w:t xml:space="preserve">przysługujących jej uprawnień proceduralnych, to musi ona ponosić konsekwencje, jeżeli prowadzi to do opóźnień (por. </w:t>
      </w:r>
      <w:r w:rsidR="00182C1D">
        <w:rPr>
          <w:i/>
        </w:rPr>
        <w:t>Malicka-Wąsowska przeciwko Polsce</w:t>
      </w:r>
      <w:r w:rsidR="00182C1D">
        <w:t xml:space="preserve"> (dec.), </w:t>
      </w:r>
      <w:r w:rsidR="00AF37A5">
        <w:t xml:space="preserve">skarga </w:t>
      </w:r>
      <w:r w:rsidR="00182C1D">
        <w:t>nr 41413/98, 5 kwietnia 2001 r.).</w:t>
      </w:r>
    </w:p>
    <w:p w14:paraId="5A2ED03B" w14:textId="493F7A7E" w:rsidR="0095029F" w:rsidRPr="00D30B69" w:rsidRDefault="004872FB" w:rsidP="00D30B69">
      <w:pPr>
        <w:pStyle w:val="JuPara"/>
      </w:pPr>
      <w:r>
        <w:t>39</w:t>
      </w:r>
      <w:r w:rsidR="003702BC">
        <w:t>.</w:t>
      </w:r>
      <w:r w:rsidR="007441B4">
        <w:t xml:space="preserve"> </w:t>
      </w:r>
      <w:r w:rsidR="003702BC">
        <w:t>Trybunał zauważa jednak, że przedmiotowe postępowanie miało dla skarżącej istotne znaczenie, ponieważ dotyczyło jej prawa do renty z tytułu niezdolności do pracy</w:t>
      </w:r>
      <w:r w:rsidR="00AF37A5">
        <w:t>.</w:t>
      </w:r>
      <w:r w:rsidR="003702BC">
        <w:t xml:space="preserve"> Skarżąca podnosiła, że jest niezdolna do pracy, cierpi na wiele dolegliwości </w:t>
      </w:r>
      <w:r w:rsidR="00B44D38">
        <w:t>fizycznych</w:t>
      </w:r>
      <w:r w:rsidR="003702BC">
        <w:t xml:space="preserve"> oraz została bez jakiegokolwiek wsparcia finansowego ze strony państwa. W postępowaniu skarżąca nie była reprezentowana przez profesjonalnego pełnomocnika i najwyraźniej była przekonana, że podjęte przez nią czynności procesowe zapewnią jej</w:t>
      </w:r>
      <w:r w:rsidR="00C6636F">
        <w:t> </w:t>
      </w:r>
      <w:r w:rsidR="003702BC">
        <w:t>pomyślne rozstrzygnięcie sprawy (zob. par. 7 i 34 powyżej).</w:t>
      </w:r>
    </w:p>
    <w:p w14:paraId="50F75248" w14:textId="2ED0474D" w:rsidR="0047553D" w:rsidRPr="00D30B69" w:rsidRDefault="004872FB" w:rsidP="00D30B69">
      <w:pPr>
        <w:pStyle w:val="JuPara"/>
      </w:pPr>
      <w:r>
        <w:t>40</w:t>
      </w:r>
      <w:r w:rsidR="00182C1D">
        <w:t>.</w:t>
      </w:r>
      <w:r w:rsidR="007441B4">
        <w:t xml:space="preserve"> </w:t>
      </w:r>
      <w:r w:rsidR="00182C1D">
        <w:t>Jeżeli chodzi o aktywność władz krajowych, Trybunał zauważa, że</w:t>
      </w:r>
      <w:r w:rsidR="00C6636F">
        <w:t> </w:t>
      </w:r>
      <w:r w:rsidR="00182C1D">
        <w:t xml:space="preserve">przez kilka lat sądy skupiały się wyłącznie na </w:t>
      </w:r>
      <w:r w:rsidR="008B4DE9">
        <w:t>rozpoznawaniu</w:t>
      </w:r>
      <w:r w:rsidR="00182C1D">
        <w:t xml:space="preserve"> wniosków procesowych skarżącej dotyczących pomocy prawnej, jak również zawierających rozmaite zarzuty pod adresem biegłych oraz sędziów. W</w:t>
      </w:r>
      <w:r w:rsidR="00AF37A5">
        <w:t> </w:t>
      </w:r>
      <w:r w:rsidR="00182C1D">
        <w:t>szczególności w okresie od czerwca 2013 r. do maja 2015 r. Sąd</w:t>
      </w:r>
      <w:r w:rsidR="00C6636F">
        <w:t> </w:t>
      </w:r>
      <w:r w:rsidR="00182C1D">
        <w:t xml:space="preserve">Okręgowy w Szczecinie zdawał się nie podejmować żadnych czynności dotyczących przedmiotu </w:t>
      </w:r>
      <w:r w:rsidR="007E4978">
        <w:t>sprawy</w:t>
      </w:r>
      <w:r w:rsidR="00182C1D">
        <w:t xml:space="preserve">. Podobnie we wcześniejszym okresie </w:t>
      </w:r>
      <w:r w:rsidR="00AF37A5">
        <w:t>–</w:t>
      </w:r>
      <w:r w:rsidR="00182C1D">
        <w:t xml:space="preserve"> od</w:t>
      </w:r>
      <w:r w:rsidR="00C6636F">
        <w:t> </w:t>
      </w:r>
      <w:r w:rsidR="00182C1D">
        <w:t xml:space="preserve">września 2011 r. do czerwca 2013 r. </w:t>
      </w:r>
      <w:r w:rsidR="00AF37A5">
        <w:t>–</w:t>
      </w:r>
      <w:r w:rsidR="00182C1D">
        <w:t xml:space="preserve"> sąd nie podejmował żadnych czynności, kiedy to skarżąca uchylała się od</w:t>
      </w:r>
      <w:r w:rsidR="007E4978">
        <w:t xml:space="preserve"> wyznaczonego</w:t>
      </w:r>
      <w:r w:rsidR="00182C1D">
        <w:t xml:space="preserve"> badania psychiatrycznego. Ogółem sąd pierwszej instancji rozpoznawał sprawę przez ponad pięć lat, ograniczając swoje działania do zwracania się</w:t>
      </w:r>
      <w:r w:rsidR="008B4DE9">
        <w:t xml:space="preserve"> co kilka lat</w:t>
      </w:r>
      <w:r w:rsidR="00182C1D">
        <w:t xml:space="preserve"> o nowe opinie biegłych. Następnie nowy przewodniczący składu sądu wyznaczony przez prezesa sądu wydał wyrok w ciągu dwóch dni od daty jego wyznaczenia (zob. par. 14 i 15 powyżej.)</w:t>
      </w:r>
    </w:p>
    <w:p w14:paraId="3B1C6EBF" w14:textId="0DA1B649" w:rsidR="00182C1D" w:rsidRPr="00D30B69" w:rsidRDefault="00182C1D" w:rsidP="00D30B69">
      <w:pPr>
        <w:pStyle w:val="JuPara"/>
      </w:pPr>
      <w:r>
        <w:t xml:space="preserve">Trybunał ponadto zauważa, że rozpoznanie sprawy zajęło Sądowi Apelacyjnemu w Szczecinie prawie trzy lata. Przez pierwsze dwa lata </w:t>
      </w:r>
      <w:r w:rsidR="00486B84">
        <w:t>w</w:t>
      </w:r>
      <w:r w:rsidR="00C6636F">
        <w:t> </w:t>
      </w:r>
      <w:r w:rsidR="00486B84">
        <w:t>sprawie nie podjęto czynności zmierzających do jej rozpoznania</w:t>
      </w:r>
      <w:r>
        <w:t xml:space="preserve">, </w:t>
      </w:r>
      <w:r>
        <w:lastRenderedPageBreak/>
        <w:t>ponieważ władze krajowe zajmowały się wnioskiem skarżącej o wyłączenie wszystkich sędziów Sądu Apelacyjnego, który w dniu 10 stycznia 2017 r. został oddalony przez Sąd Najwyższy.</w:t>
      </w:r>
    </w:p>
    <w:p w14:paraId="4CD16004" w14:textId="5883756A" w:rsidR="001B7151" w:rsidRPr="00D30B69" w:rsidRDefault="004872FB" w:rsidP="00D30B69">
      <w:pPr>
        <w:pStyle w:val="JuPara"/>
      </w:pPr>
      <w:r>
        <w:t>41</w:t>
      </w:r>
      <w:r w:rsidR="00677734">
        <w:t>.</w:t>
      </w:r>
      <w:r w:rsidR="007441B4">
        <w:t xml:space="preserve"> </w:t>
      </w:r>
      <w:r w:rsidR="00677734">
        <w:t xml:space="preserve">Podsumowując, jakkolwiek czynności procesowe skarżącej niewątpliwie wpływały na łączny czas trwania postępowania, to Trybunał jest zdania, że skarżąca nie może ponosić </w:t>
      </w:r>
      <w:r w:rsidR="00C76AF7">
        <w:t xml:space="preserve">pełnej </w:t>
      </w:r>
      <w:r w:rsidR="00677734">
        <w:t>odpowiedzialności za</w:t>
      </w:r>
      <w:r w:rsidR="00C6636F">
        <w:t> </w:t>
      </w:r>
      <w:r w:rsidR="00C76AF7">
        <w:t>opóźnienia</w:t>
      </w:r>
      <w:r w:rsidR="00677734">
        <w:t xml:space="preserve"> (por. </w:t>
      </w:r>
      <w:r w:rsidR="00677734">
        <w:rPr>
          <w:i/>
        </w:rPr>
        <w:t>Gęsiarz przeciwko Polsce</w:t>
      </w:r>
      <w:r w:rsidR="00677734">
        <w:t xml:space="preserve">, </w:t>
      </w:r>
      <w:r w:rsidR="00AF37A5">
        <w:t xml:space="preserve">skarga </w:t>
      </w:r>
      <w:r w:rsidR="00677734">
        <w:t>nr 9446/02, § 52, 18</w:t>
      </w:r>
      <w:r w:rsidR="00C6636F">
        <w:t> </w:t>
      </w:r>
      <w:r w:rsidR="00677734">
        <w:t xml:space="preserve">maja 2004 r.). Aktywność procesowa skarżącej nie powinna zwalniać sądów krajowych z </w:t>
      </w:r>
      <w:r w:rsidR="006D6CB1">
        <w:t xml:space="preserve">merytorycznego </w:t>
      </w:r>
      <w:r w:rsidR="00486B84">
        <w:t>rozpoznawania</w:t>
      </w:r>
      <w:r w:rsidR="00677734">
        <w:t xml:space="preserve"> przedmiotu </w:t>
      </w:r>
      <w:r w:rsidR="00486B84">
        <w:t>sporu</w:t>
      </w:r>
      <w:r w:rsidR="00677734">
        <w:t xml:space="preserve"> i</w:t>
      </w:r>
      <w:r w:rsidR="00C6636F">
        <w:t> </w:t>
      </w:r>
      <w:r w:rsidR="00677734">
        <w:t>nie</w:t>
      </w:r>
      <w:r w:rsidR="00C6636F">
        <w:t> </w:t>
      </w:r>
      <w:r w:rsidR="00677734">
        <w:t xml:space="preserve">może usprawiedliwiać </w:t>
      </w:r>
      <w:r w:rsidR="00AF37A5">
        <w:t>faktu</w:t>
      </w:r>
      <w:r w:rsidR="00677734">
        <w:t xml:space="preserve">, że rozpoznanie </w:t>
      </w:r>
      <w:r w:rsidR="00486B84">
        <w:t>odwołania</w:t>
      </w:r>
      <w:r w:rsidR="00677734">
        <w:t xml:space="preserve"> skarżącej o</w:t>
      </w:r>
      <w:r w:rsidR="00C6636F">
        <w:t> </w:t>
      </w:r>
      <w:r w:rsidR="00677734">
        <w:t>rentę z tytułu niezdolności do pracy zajęło sądom krajowym aż dziewięć lat.</w:t>
      </w:r>
    </w:p>
    <w:p w14:paraId="175D5000" w14:textId="6B37FC22" w:rsidR="004E5212" w:rsidRPr="00D30B69" w:rsidRDefault="004872FB" w:rsidP="00D30B69">
      <w:pPr>
        <w:pStyle w:val="JuPara"/>
      </w:pPr>
      <w:r>
        <w:t>42</w:t>
      </w:r>
      <w:r w:rsidR="00FC406D">
        <w:t>.</w:t>
      </w:r>
      <w:r w:rsidR="007441B4">
        <w:t xml:space="preserve"> </w:t>
      </w:r>
      <w:r w:rsidR="00FC406D">
        <w:t xml:space="preserve">Wreszcie Trybunał zauważa, że sądy krajowe wielokrotnie występowały o nowe </w:t>
      </w:r>
      <w:r w:rsidR="00D5565D">
        <w:t>opinie</w:t>
      </w:r>
      <w:r w:rsidR="00FC406D">
        <w:t xml:space="preserve"> medyczne. Pozostaje niejasne, dlaczego opinia z kwietnia 2010 r. po </w:t>
      </w:r>
      <w:r w:rsidR="00787486">
        <w:t xml:space="preserve">upływie </w:t>
      </w:r>
      <w:r w:rsidR="00FC406D">
        <w:t>roku musiała zostać uzupełniona (zob. par. 6 i</w:t>
      </w:r>
      <w:r w:rsidR="00C6636F">
        <w:t> </w:t>
      </w:r>
      <w:r w:rsidR="00FC406D">
        <w:t>9 powyżej). Ponadto po upływie kolejnych dwóch lat, czyli w 2013 r</w:t>
      </w:r>
      <w:r w:rsidR="00787486">
        <w:t>.</w:t>
      </w:r>
      <w:r w:rsidR="00C76AF7">
        <w:t>,</w:t>
      </w:r>
      <w:r w:rsidR="00FC406D">
        <w:t xml:space="preserve"> sąd</w:t>
      </w:r>
      <w:r w:rsidR="00C6636F">
        <w:t> </w:t>
      </w:r>
      <w:r w:rsidR="00D5565D">
        <w:t>postanowił o sporządzeniu</w:t>
      </w:r>
      <w:r w:rsidR="00FC406D">
        <w:t xml:space="preserve"> kolejnej opinii biegłego. W związku z tym Trybunał przypomina, że to państwa odpowiadają za opóźnienia powstałe wskutek postępowania ich organów sądowych lub innych władz.</w:t>
      </w:r>
      <w:r w:rsidR="007441B4">
        <w:t xml:space="preserve"> </w:t>
      </w:r>
      <w:r w:rsidR="00FC406D">
        <w:t xml:space="preserve">Odpowiadają </w:t>
      </w:r>
      <w:r w:rsidR="00AF37A5">
        <w:t xml:space="preserve">one </w:t>
      </w:r>
      <w:r w:rsidR="00FC406D">
        <w:t xml:space="preserve">również za opóźnienia w przedstawianiu </w:t>
      </w:r>
      <w:r w:rsidR="00D5565D">
        <w:t>ekspertyz</w:t>
      </w:r>
      <w:r w:rsidR="00FC406D">
        <w:t xml:space="preserve"> i</w:t>
      </w:r>
      <w:r w:rsidR="00AF37A5">
        <w:t> </w:t>
      </w:r>
      <w:r w:rsidR="00FC406D">
        <w:t>opinii biegłych powoływanych przez sąd. Państwo może zostać uznane za</w:t>
      </w:r>
      <w:r w:rsidR="00C6636F">
        <w:t> </w:t>
      </w:r>
      <w:r w:rsidR="00FC406D">
        <w:t>odpowiedzialne nie tylko za zwłokę w rozpoznawaniu konkretnej sprawy, lecz także za niezwiększenie środków w odpowiedzi na zaległości w</w:t>
      </w:r>
      <w:r w:rsidR="00AF37A5">
        <w:t> </w:t>
      </w:r>
      <w:r w:rsidR="00FC406D">
        <w:t xml:space="preserve">rozpoznawaniu spraw lub braki strukturalne w systemie sądownictwa, które skutkują opóźnieniami. Rozwiązanie problemu nieuzasadnionej zwłoki w postępowaniu sądowym może zatem wymagać od </w:t>
      </w:r>
      <w:r w:rsidR="00317834">
        <w:t xml:space="preserve">państwa </w:t>
      </w:r>
      <w:r w:rsidR="00FC406D">
        <w:t xml:space="preserve">podjęcia szeregu środków legislacyjnych, organizacyjnych w obszarze budżetu lub innych (por. </w:t>
      </w:r>
      <w:r w:rsidR="00FC406D">
        <w:rPr>
          <w:i/>
        </w:rPr>
        <w:t>Rutkowski i Inni</w:t>
      </w:r>
      <w:r w:rsidR="00FC406D">
        <w:t xml:space="preserve">, cyt. powyżej, </w:t>
      </w:r>
      <w:r w:rsidR="00FC406D">
        <w:rPr>
          <w:snapToGrid w:val="0"/>
        </w:rPr>
        <w:t>§ 128</w:t>
      </w:r>
      <w:r w:rsidR="00FC406D">
        <w:t>).</w:t>
      </w:r>
    </w:p>
    <w:p w14:paraId="71D2BB9B" w14:textId="318008E6" w:rsidR="006374DD" w:rsidRPr="00D30B69" w:rsidRDefault="004872FB" w:rsidP="00D30B69">
      <w:pPr>
        <w:pStyle w:val="JuPara"/>
      </w:pPr>
      <w:r>
        <w:t>43</w:t>
      </w:r>
      <w:r w:rsidR="00F26C19">
        <w:t>.</w:t>
      </w:r>
      <w:r w:rsidR="007441B4">
        <w:t xml:space="preserve"> </w:t>
      </w:r>
      <w:r w:rsidR="00F26C19">
        <w:t>Mając na względzie powyższe rozważania, Trybunał stwierdza, że</w:t>
      </w:r>
      <w:r w:rsidR="00C6636F">
        <w:t> </w:t>
      </w:r>
      <w:r w:rsidR="00F26C19">
        <w:t>długość postępowania w przedmiotowej sprawie była nadmierna i</w:t>
      </w:r>
      <w:r w:rsidR="00C6636F">
        <w:t> </w:t>
      </w:r>
      <w:r w:rsidR="00F26C19">
        <w:t>nie</w:t>
      </w:r>
      <w:r w:rsidR="00C6636F">
        <w:t> </w:t>
      </w:r>
      <w:r w:rsidR="00F26C19">
        <w:t>spełniała wymogu „rozsądnego terminu”</w:t>
      </w:r>
      <w:r w:rsidR="001C5509">
        <w:t>.</w:t>
      </w:r>
    </w:p>
    <w:p w14:paraId="3C741E92" w14:textId="77777777" w:rsidR="00F26C19" w:rsidRPr="00D30B69" w:rsidRDefault="00DE61E0" w:rsidP="00D30B69">
      <w:pPr>
        <w:pStyle w:val="JuPara"/>
      </w:pPr>
      <w:r>
        <w:t>Doszło zatem do naruszenia art. 6 ust. 1 Konwencji.</w:t>
      </w:r>
    </w:p>
    <w:p w14:paraId="4DC5AB38" w14:textId="74DF4964" w:rsidR="00F26C19" w:rsidRPr="00D30B69" w:rsidRDefault="00F26C19" w:rsidP="00D30B69">
      <w:pPr>
        <w:pStyle w:val="JuHIRoman"/>
      </w:pPr>
      <w:r>
        <w:t>ZARZUT NARUSZENIA ART</w:t>
      </w:r>
      <w:r w:rsidR="00317834">
        <w:t>.</w:t>
      </w:r>
      <w:r>
        <w:t xml:space="preserve"> 13 KONWENCJI</w:t>
      </w:r>
    </w:p>
    <w:p w14:paraId="33465790" w14:textId="2D748781" w:rsidR="00F26C19" w:rsidRPr="00D30B69" w:rsidRDefault="004872FB" w:rsidP="00D30B69">
      <w:pPr>
        <w:pStyle w:val="JuPara"/>
      </w:pPr>
      <w:r>
        <w:t>44</w:t>
      </w:r>
      <w:r w:rsidR="00F26C19">
        <w:t>.</w:t>
      </w:r>
      <w:r w:rsidR="007441B4">
        <w:t xml:space="preserve"> </w:t>
      </w:r>
      <w:r w:rsidR="00F26C19">
        <w:t>Ponadto skarżąca podniosła, że nie dysponowała skutecznym środkiem odwoławczym w odniesieniu do przewlekłości postępowania w</w:t>
      </w:r>
      <w:r w:rsidR="001C5509">
        <w:t> </w:t>
      </w:r>
      <w:r w:rsidR="00F26C19">
        <w:t>jej sprawie. Powołała się na art. 13 Konwencji, w brzmieniu:</w:t>
      </w:r>
    </w:p>
    <w:p w14:paraId="2C9A0F72" w14:textId="62E95656" w:rsidR="006374DD" w:rsidRPr="00D30B69" w:rsidRDefault="006374DD" w:rsidP="00D30B69">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r w:rsidR="001C5509">
        <w:t>.</w:t>
      </w:r>
    </w:p>
    <w:p w14:paraId="2D4F63FA" w14:textId="290A1749" w:rsidR="006374DD" w:rsidRPr="00D30B69" w:rsidRDefault="004872FB" w:rsidP="00D30B69">
      <w:pPr>
        <w:pStyle w:val="JuPara"/>
      </w:pPr>
      <w:r>
        <w:t>45</w:t>
      </w:r>
      <w:r w:rsidR="006374DD">
        <w:t>.</w:t>
      </w:r>
      <w:r w:rsidR="007441B4">
        <w:t xml:space="preserve"> </w:t>
      </w:r>
      <w:r w:rsidR="006374DD">
        <w:t>Rząd zakwestionował pogląd, jakoby doszło do naruszenia tego przepisu Konwencji.</w:t>
      </w:r>
    </w:p>
    <w:p w14:paraId="59BB464F" w14:textId="5D870070" w:rsidR="006374DD" w:rsidRPr="00D30B69" w:rsidRDefault="004872FB" w:rsidP="00D30B69">
      <w:pPr>
        <w:pStyle w:val="JuPara"/>
      </w:pPr>
      <w:r>
        <w:lastRenderedPageBreak/>
        <w:t>46</w:t>
      </w:r>
      <w:r w:rsidR="006374DD">
        <w:t>.</w:t>
      </w:r>
      <w:r w:rsidR="007441B4">
        <w:t xml:space="preserve"> </w:t>
      </w:r>
      <w:r w:rsidR="006374DD">
        <w:t>Trybunał powtarza, że art. 13 gwarantuje skuteczny środek odwoławczy do właściwego organu państwowego w odniesieniu do</w:t>
      </w:r>
      <w:r w:rsidR="00C6636F">
        <w:t> </w:t>
      </w:r>
      <w:r w:rsidR="006374DD">
        <w:t>zarzucanego naruszenia wymogu rozpatrzenia sprawy w rozsądnym terminie, o którym mowa w art. 6 ust. 1. Jednakże „skuteczność środka odwoławczego”, w rozumieniu ww. artykułu, nie zależy od pewności korzystnego rezultatu dla skarżącego (por.</w:t>
      </w:r>
      <w:r w:rsidR="001C5509">
        <w:t xml:space="preserve"> </w:t>
      </w:r>
      <w:r w:rsidR="006374DD">
        <w:rPr>
          <w:i/>
          <w:szCs w:val="24"/>
        </w:rPr>
        <w:t>Kudła</w:t>
      </w:r>
      <w:r w:rsidR="006374DD">
        <w:t>, cyt. powyżej, §§ 154 i</w:t>
      </w:r>
      <w:r w:rsidR="001C5509">
        <w:t> </w:t>
      </w:r>
      <w:r w:rsidR="006374DD">
        <w:t>nast.).</w:t>
      </w:r>
    </w:p>
    <w:p w14:paraId="00853266" w14:textId="3FE88E51" w:rsidR="0047553D" w:rsidRPr="00D30B69" w:rsidRDefault="004872FB" w:rsidP="00D30B69">
      <w:pPr>
        <w:pStyle w:val="JuPara"/>
      </w:pPr>
      <w:r>
        <w:t>47</w:t>
      </w:r>
      <w:r w:rsidR="006374DD">
        <w:t>.</w:t>
      </w:r>
      <w:r w:rsidR="007441B4">
        <w:t xml:space="preserve"> </w:t>
      </w:r>
      <w:r w:rsidR="006374DD">
        <w:t xml:space="preserve">Choć zasada </w:t>
      </w:r>
      <w:r w:rsidR="006311B9">
        <w:t>subsydiarności</w:t>
      </w:r>
      <w:r w:rsidR="006374DD">
        <w:t xml:space="preserve"> leżąca u podstaw systemu Konwencji zobowiązuje Układające się Strony do wprowadzenia mechanizmu rozpatrywania skarg na przewlekłość postępowań w krajowym systemie prawnym, to – z zastrzeżeniem zgodności z wymogami Konwencji – mają one pewną swobodę uznania </w:t>
      </w:r>
      <w:r w:rsidR="00EF7ADE">
        <w:t>co</w:t>
      </w:r>
      <w:r w:rsidR="00C76AF7">
        <w:t xml:space="preserve"> </w:t>
      </w:r>
      <w:r w:rsidR="006374DD">
        <w:t xml:space="preserve">do sposobu zapewnienia jednostkom środka prawnego wymaganego </w:t>
      </w:r>
      <w:r w:rsidR="00FA7358">
        <w:t xml:space="preserve">w </w:t>
      </w:r>
      <w:r w:rsidR="006374DD">
        <w:t>art. 13, a zatem co do wykonania zobowiązań przewidzianych w tym przepisie Konwencji.</w:t>
      </w:r>
    </w:p>
    <w:p w14:paraId="10EB2389" w14:textId="3CB6B1B0" w:rsidR="006374DD" w:rsidRPr="00D30B69" w:rsidRDefault="004872FB" w:rsidP="00D30B69">
      <w:pPr>
        <w:pStyle w:val="JuPara"/>
      </w:pPr>
      <w:r>
        <w:t>48</w:t>
      </w:r>
      <w:r w:rsidR="006374DD">
        <w:t>.</w:t>
      </w:r>
      <w:r w:rsidR="007441B4">
        <w:t xml:space="preserve"> </w:t>
      </w:r>
      <w:r w:rsidR="006374DD">
        <w:t xml:space="preserve">Trybunał ponadto przypomina, że </w:t>
      </w:r>
      <w:r w:rsidR="00B12022">
        <w:t>wyrażenie „środek odwoławczy” w </w:t>
      </w:r>
      <w:r w:rsidR="006374DD">
        <w:t>rozumieniu art. 13 nie oznacza środka zapewniającego wygraną, lecz</w:t>
      </w:r>
      <w:r w:rsidR="00C6636F">
        <w:t> </w:t>
      </w:r>
      <w:r w:rsidR="006374DD">
        <w:t>po</w:t>
      </w:r>
      <w:r w:rsidR="00C6636F">
        <w:t> </w:t>
      </w:r>
      <w:r w:rsidR="006374DD">
        <w:t xml:space="preserve">prostu dostępny środek stosowany przed organami władzy właściwymi dla zbadania przedmiotu skargi (zob. m.in. </w:t>
      </w:r>
      <w:r w:rsidR="006374DD">
        <w:rPr>
          <w:i/>
        </w:rPr>
        <w:t>Šidlová przeciwko Słowacji</w:t>
      </w:r>
      <w:r w:rsidR="006374DD">
        <w:t xml:space="preserve">, </w:t>
      </w:r>
      <w:r w:rsidR="00DE68C1">
        <w:t xml:space="preserve">skarga </w:t>
      </w:r>
      <w:r w:rsidR="006374DD">
        <w:t>nr 50224/99, § 77, 26 września 2006 r.;</w:t>
      </w:r>
      <w:r w:rsidR="006374DD">
        <w:rPr>
          <w:i/>
        </w:rPr>
        <w:t xml:space="preserve"> </w:t>
      </w:r>
      <w:r w:rsidR="006374DD">
        <w:rPr>
          <w:i/>
          <w:iCs/>
        </w:rPr>
        <w:t>Figiel przeciwko Polsce (nr 2)</w:t>
      </w:r>
      <w:r w:rsidR="006374DD">
        <w:t xml:space="preserve">, </w:t>
      </w:r>
      <w:r w:rsidR="00DE68C1">
        <w:t xml:space="preserve">skarga </w:t>
      </w:r>
      <w:r w:rsidR="006374DD">
        <w:t>nr 38206/05, § 33, 16 września 2008 r.; oraz</w:t>
      </w:r>
      <w:r w:rsidR="00C6636F">
        <w:t> </w:t>
      </w:r>
      <w:r w:rsidR="006374DD">
        <w:rPr>
          <w:i/>
        </w:rPr>
        <w:t xml:space="preserve">Baszczyński przeciwko Polsce </w:t>
      </w:r>
      <w:r w:rsidR="006374DD">
        <w:t xml:space="preserve">(dec.), </w:t>
      </w:r>
      <w:r w:rsidR="00DE68C1">
        <w:t xml:space="preserve">skarga </w:t>
      </w:r>
      <w:r w:rsidR="006374DD">
        <w:t>nr</w:t>
      </w:r>
      <w:r w:rsidR="007441B4">
        <w:t xml:space="preserve"> </w:t>
      </w:r>
      <w:r w:rsidR="006374DD">
        <w:t>77103/13, § 51, 12</w:t>
      </w:r>
      <w:r w:rsidR="00C6636F">
        <w:t> </w:t>
      </w:r>
      <w:r w:rsidR="006374DD">
        <w:t>grudnia 2017 r.).</w:t>
      </w:r>
    </w:p>
    <w:p w14:paraId="27BF0641" w14:textId="6D0A130D" w:rsidR="00DE61E0" w:rsidRPr="00D30B69" w:rsidRDefault="004872FB" w:rsidP="00D30B69">
      <w:pPr>
        <w:pStyle w:val="JuPara"/>
      </w:pPr>
      <w:r>
        <w:t>49</w:t>
      </w:r>
      <w:r w:rsidR="004E325C">
        <w:t>.</w:t>
      </w:r>
      <w:r w:rsidR="007441B4">
        <w:t xml:space="preserve"> </w:t>
      </w:r>
      <w:r w:rsidR="004E325C">
        <w:t>Mając na uwadze ustalenia poczynione w odniesieniu do art. 6 ust. 1 Konwencji oraz okoliczność, że skarżąca miała możliwość wniesienia skarg na postawie ustawy z 2004 r. i kilkakrotnie skorzystała z tej możliwości, Trybunał stwierdza, że skarga w tej części jest w sposób oczywisty nieuzasadniona i zgodnie z art. 35 ust. 3 i 4 Konwencji musi zostać odrzucona.</w:t>
      </w:r>
    </w:p>
    <w:p w14:paraId="665FB587" w14:textId="73DA851D" w:rsidR="00DE61E0" w:rsidRPr="00D30B69" w:rsidRDefault="00DE61E0" w:rsidP="00D30B69">
      <w:pPr>
        <w:pStyle w:val="JuHIRoman"/>
      </w:pPr>
      <w:r>
        <w:t xml:space="preserve">ZASTOSOWANIE </w:t>
      </w:r>
      <w:r w:rsidR="00DE68C1">
        <w:t>art.</w:t>
      </w:r>
      <w:r>
        <w:t xml:space="preserve"> 41 KONWENCJI</w:t>
      </w:r>
    </w:p>
    <w:p w14:paraId="00C3F04C" w14:textId="5E1611E6" w:rsidR="00DE61E0" w:rsidRPr="00D30B69" w:rsidRDefault="004872FB" w:rsidP="00D30B69">
      <w:pPr>
        <w:pStyle w:val="JuPara"/>
      </w:pPr>
      <w:r>
        <w:t>50</w:t>
      </w:r>
      <w:r w:rsidR="00F26C19">
        <w:t>.</w:t>
      </w:r>
      <w:r w:rsidR="007441B4">
        <w:t xml:space="preserve"> </w:t>
      </w:r>
      <w:r w:rsidR="00F26C19">
        <w:t>Art</w:t>
      </w:r>
      <w:r w:rsidR="00317834">
        <w:t>.</w:t>
      </w:r>
      <w:r w:rsidR="00F26C19">
        <w:t xml:space="preserve"> 41 Konwencji stanowi:</w:t>
      </w:r>
    </w:p>
    <w:p w14:paraId="77E65325" w14:textId="7B331037" w:rsidR="00DE61E0" w:rsidRPr="00D30B69" w:rsidRDefault="00DE61E0" w:rsidP="00D30B69">
      <w:pPr>
        <w:pStyle w:val="JuQuot"/>
        <w:keepNext/>
        <w:keepLines/>
      </w:pPr>
      <w:r>
        <w:t xml:space="preserve">„Jeżeli Trybunał stwierdzi, że nastąpiło naruszenie Konwencji lub jej Protokołów, oraz jeżeli prawo wewnętrzne zainteresowanej Wysokiej Układającej się Strony pozwala tylko na częściowe usunięcie konsekwencji tego naruszenia, Trybunał orzeka, gdy zachodzi potrzeba, </w:t>
      </w:r>
      <w:r w:rsidR="00EF7ADE">
        <w:t>słuszne zadośćuczynienie</w:t>
      </w:r>
      <w:r>
        <w:t xml:space="preserve"> pokrzywdzonej stronie”</w:t>
      </w:r>
      <w:r w:rsidR="00B50FF8">
        <w:t>.</w:t>
      </w:r>
    </w:p>
    <w:p w14:paraId="5A10B3D8" w14:textId="77777777" w:rsidR="00DE61E0" w:rsidRPr="00D30B69" w:rsidRDefault="00DE61E0" w:rsidP="00D30B69">
      <w:pPr>
        <w:pStyle w:val="JuHA"/>
      </w:pPr>
      <w:r>
        <w:t>Szkoda</w:t>
      </w:r>
    </w:p>
    <w:p w14:paraId="4DD03F28" w14:textId="5DB671E2" w:rsidR="00DE61E0" w:rsidRPr="00D30B69" w:rsidRDefault="004872FB" w:rsidP="00D30B69">
      <w:pPr>
        <w:pStyle w:val="JuPara"/>
      </w:pPr>
      <w:r>
        <w:t>51</w:t>
      </w:r>
      <w:r w:rsidR="00F26C19">
        <w:t>.</w:t>
      </w:r>
      <w:r w:rsidR="007441B4">
        <w:t xml:space="preserve"> </w:t>
      </w:r>
      <w:r w:rsidR="00F26C19">
        <w:t>Skarżąca domagała się kwoty około 57 000 PLN z tytułu szkody majątkowej oraz 50 000 PLN z tytułu szkody niemajątkowej.</w:t>
      </w:r>
    </w:p>
    <w:p w14:paraId="4913CBA1" w14:textId="0118AB0B" w:rsidR="00DE61E0" w:rsidRPr="00D30B69" w:rsidRDefault="004872FB" w:rsidP="00D30B69">
      <w:pPr>
        <w:pStyle w:val="JuPara"/>
      </w:pPr>
      <w:r>
        <w:t>52</w:t>
      </w:r>
      <w:r w:rsidR="00F26C19">
        <w:t>.</w:t>
      </w:r>
      <w:r w:rsidR="007441B4">
        <w:t xml:space="preserve"> </w:t>
      </w:r>
      <w:r w:rsidR="00F26C19">
        <w:t>Rząd zakwestionował to roszczenie.</w:t>
      </w:r>
    </w:p>
    <w:p w14:paraId="1777C11F" w14:textId="3795F23A" w:rsidR="002B1586" w:rsidRPr="00D30B69" w:rsidRDefault="004872FB" w:rsidP="00D30B69">
      <w:pPr>
        <w:pStyle w:val="JuPara"/>
      </w:pPr>
      <w:r>
        <w:t>53</w:t>
      </w:r>
      <w:r w:rsidR="00F26C19">
        <w:t>.</w:t>
      </w:r>
      <w:r w:rsidR="007441B4">
        <w:t xml:space="preserve"> </w:t>
      </w:r>
      <w:r w:rsidR="00F26C19">
        <w:t xml:space="preserve">Trybunał nie dostrzega żadnego związku przyczynowego pomiędzy stwierdzonym naruszeniem a zarzucaną szkodą majątkową; stąd też odrzuca </w:t>
      </w:r>
      <w:r w:rsidR="00B57230">
        <w:lastRenderedPageBreak/>
        <w:t>to</w:t>
      </w:r>
      <w:r w:rsidR="00F26C19">
        <w:t xml:space="preserve"> roszczenie. Jednakże przyznaje skarżącej 2500 euro z tytułu doznanej szkody niemajątkowej.</w:t>
      </w:r>
    </w:p>
    <w:p w14:paraId="68388FBC" w14:textId="77777777" w:rsidR="00DE61E0" w:rsidRPr="00D30B69" w:rsidRDefault="00DE61E0" w:rsidP="00D30B69">
      <w:pPr>
        <w:pStyle w:val="JuHA"/>
      </w:pPr>
      <w:r>
        <w:t>Koszty i wydatki</w:t>
      </w:r>
    </w:p>
    <w:p w14:paraId="5CEF1874" w14:textId="098C5FBD" w:rsidR="00DE61E0" w:rsidRPr="00D30B69" w:rsidRDefault="004872FB" w:rsidP="00D30B69">
      <w:pPr>
        <w:pStyle w:val="JuPara"/>
      </w:pPr>
      <w:r>
        <w:t>54</w:t>
      </w:r>
      <w:r w:rsidR="00F26C19">
        <w:t>.</w:t>
      </w:r>
      <w:r w:rsidR="007441B4">
        <w:t xml:space="preserve"> </w:t>
      </w:r>
      <w:r w:rsidR="00F26C19">
        <w:t xml:space="preserve">Skarżąca nie wystąpiła z roszczeniem </w:t>
      </w:r>
      <w:r w:rsidR="00864A9C">
        <w:t>o zwrot</w:t>
      </w:r>
      <w:r w:rsidR="00F26C19">
        <w:t xml:space="preserve"> kosztów i</w:t>
      </w:r>
      <w:r w:rsidR="00B50FF8">
        <w:t> </w:t>
      </w:r>
      <w:r w:rsidR="00F26C19">
        <w:t>wydatków poniesionych przed sądami krajowymi i Trybunałem.</w:t>
      </w:r>
    </w:p>
    <w:p w14:paraId="5B8A0F54" w14:textId="77777777" w:rsidR="00DE61E0" w:rsidRPr="00D30B69" w:rsidRDefault="00DE61E0" w:rsidP="00D30B69">
      <w:pPr>
        <w:pStyle w:val="JuHA"/>
      </w:pPr>
      <w:r>
        <w:t>Odsetki za zwłokę</w:t>
      </w:r>
    </w:p>
    <w:p w14:paraId="5A7AE6A6" w14:textId="63E7AA04" w:rsidR="00DE61E0" w:rsidRPr="00D30B69" w:rsidRDefault="004872FB" w:rsidP="00D30B69">
      <w:pPr>
        <w:pStyle w:val="JuPara"/>
      </w:pPr>
      <w:r>
        <w:t>55</w:t>
      </w:r>
      <w:r w:rsidR="00F26C19">
        <w:t>.</w:t>
      </w:r>
      <w:r w:rsidR="007441B4">
        <w:t xml:space="preserve"> </w:t>
      </w:r>
      <w:r w:rsidR="00F26C19">
        <w:t>Trybunał uznaje za właściwe, aby odsetki za zwłokę były oparte na</w:t>
      </w:r>
      <w:r w:rsidR="00C6636F">
        <w:t> </w:t>
      </w:r>
      <w:r w:rsidR="00F26C19">
        <w:t>marginalnej stopie procentowej Europejskiego Banku Centralnego, powiększonej o trzy punkty procentowe.</w:t>
      </w:r>
    </w:p>
    <w:p w14:paraId="37EF660A" w14:textId="77777777" w:rsidR="00DE61E0" w:rsidRPr="00D30B69" w:rsidRDefault="002E044C" w:rsidP="00D30B69">
      <w:pPr>
        <w:pStyle w:val="JuHHead"/>
      </w:pPr>
      <w:r>
        <w:t>Z TYCH PRZYCZYN TRYBUNAŁ JEDNOGŁOŚNIE</w:t>
      </w:r>
    </w:p>
    <w:p w14:paraId="762A7182" w14:textId="43050FC6" w:rsidR="00B50FF8" w:rsidRPr="00B12022" w:rsidRDefault="00B50FF8" w:rsidP="00C07FE3">
      <w:pPr>
        <w:pStyle w:val="JuList"/>
      </w:pPr>
      <w:r>
        <w:rPr>
          <w:i/>
        </w:rPr>
        <w:t>u</w:t>
      </w:r>
      <w:r w:rsidR="00A02D3B">
        <w:rPr>
          <w:i/>
        </w:rPr>
        <w:t>znaje</w:t>
      </w:r>
      <w:r w:rsidR="00A02D3B">
        <w:t xml:space="preserve"> skargę co do zarzutów </w:t>
      </w:r>
      <w:r w:rsidR="00EF7ADE">
        <w:t>w sprawie nieuzasadnionej długości</w:t>
      </w:r>
      <w:r w:rsidR="00A02D3B">
        <w:t xml:space="preserve"> postępowania za dopuszczalną, </w:t>
      </w:r>
      <w:r w:rsidR="00EF7ADE">
        <w:t xml:space="preserve">a w pozostałej części </w:t>
      </w:r>
      <w:r w:rsidR="00A02D3B">
        <w:t>za</w:t>
      </w:r>
      <w:r w:rsidR="00C6636F">
        <w:t> </w:t>
      </w:r>
      <w:r w:rsidR="00A02D3B">
        <w:t>niedopuszczalną</w:t>
      </w:r>
      <w:r>
        <w:rPr>
          <w:i/>
        </w:rPr>
        <w:t>;</w:t>
      </w:r>
    </w:p>
    <w:p w14:paraId="34A68D3A" w14:textId="02E6A5B6" w:rsidR="00A02D3B" w:rsidRPr="00D30B69" w:rsidRDefault="00B50FF8" w:rsidP="00C07FE3">
      <w:pPr>
        <w:pStyle w:val="JuList"/>
      </w:pPr>
      <w:r w:rsidRPr="00C07FE3">
        <w:rPr>
          <w:i/>
        </w:rPr>
        <w:t>s</w:t>
      </w:r>
      <w:r w:rsidR="00493050" w:rsidRPr="00C07FE3">
        <w:rPr>
          <w:i/>
        </w:rPr>
        <w:t>twierdza,</w:t>
      </w:r>
      <w:r w:rsidR="007441B4">
        <w:rPr>
          <w:i/>
        </w:rPr>
        <w:t xml:space="preserve"> </w:t>
      </w:r>
      <w:r w:rsidR="00493050">
        <w:t>że doszło do naruszenia art</w:t>
      </w:r>
      <w:r w:rsidR="00317834">
        <w:t>.</w:t>
      </w:r>
      <w:r w:rsidR="00493050">
        <w:t xml:space="preserve"> 6 ust. 1 Konwencji;</w:t>
      </w:r>
    </w:p>
    <w:p w14:paraId="7484C422" w14:textId="1D1ADB2E" w:rsidR="00DE61E0" w:rsidRPr="00D30B69" w:rsidRDefault="00B50FF8" w:rsidP="00D30B69">
      <w:pPr>
        <w:pStyle w:val="JuList"/>
      </w:pPr>
      <w:r>
        <w:rPr>
          <w:i/>
        </w:rPr>
        <w:t>s</w:t>
      </w:r>
      <w:r w:rsidR="00493050">
        <w:rPr>
          <w:i/>
        </w:rPr>
        <w:t>twierdza,</w:t>
      </w:r>
    </w:p>
    <w:p w14:paraId="246532EE" w14:textId="53B742A3" w:rsidR="00493050" w:rsidRPr="00D30B69" w:rsidRDefault="00493050" w:rsidP="00D30B69">
      <w:pPr>
        <w:pStyle w:val="JuLista"/>
        <w:rPr>
          <w:rFonts w:ascii="Times New Roman" w:hAnsi="Times New Roman" w:cs="Times New Roman"/>
          <w:color w:val="000000"/>
        </w:rPr>
      </w:pPr>
      <w:r>
        <w:t>że pozwane państwo winno wypłacić skarżącej w ciągu trzech miesięcy kwotę 2500 euro (dwa tysiące pięćset euro)</w:t>
      </w:r>
      <w:r>
        <w:rPr>
          <w:b/>
        </w:rPr>
        <w:t xml:space="preserve"> </w:t>
      </w:r>
      <w:r>
        <w:t>przeliczoną na</w:t>
      </w:r>
      <w:r w:rsidR="00C6636F">
        <w:t> </w:t>
      </w:r>
      <w:r>
        <w:t xml:space="preserve">walutę </w:t>
      </w:r>
      <w:r>
        <w:rPr>
          <w:color w:val="000000"/>
        </w:rPr>
        <w:t>pozwanego państwa</w:t>
      </w:r>
      <w:r w:rsidR="00005611">
        <w:rPr>
          <w:color w:val="000000"/>
        </w:rPr>
        <w:t xml:space="preserve"> </w:t>
      </w:r>
      <w:r>
        <w:t>po kursie wymiany z dnia zapłaty,</w:t>
      </w:r>
      <w:r>
        <w:rPr>
          <w:rFonts w:ascii="Times New Roman" w:hAnsi="Times New Roman"/>
          <w:color w:val="000000"/>
        </w:rPr>
        <w:t xml:space="preserve"> </w:t>
      </w:r>
      <w:r>
        <w:t>powiększoną o wszelkie należne podatki, z tytułu doznanej szkody niemajątkowej;</w:t>
      </w:r>
    </w:p>
    <w:p w14:paraId="595FA190" w14:textId="501A9BE3" w:rsidR="00493050" w:rsidRPr="00D30B69" w:rsidRDefault="00493050" w:rsidP="00D30B69">
      <w:pPr>
        <w:pStyle w:val="JuLista"/>
      </w:pPr>
      <w:r>
        <w:t xml:space="preserve">że </w:t>
      </w:r>
      <w:r w:rsidR="00B57230">
        <w:t>od upływu</w:t>
      </w:r>
      <w:r>
        <w:t xml:space="preserve"> powyższego trzymiesięcznego terminu do chwili zapłaty </w:t>
      </w:r>
      <w:r w:rsidR="007944C6">
        <w:t>po</w:t>
      </w:r>
      <w:r>
        <w:t>winny zostać naliczone od powyższej kwoty odsetki zwykłe według marginalnej stopy procentowej Europejskiego Banku Centralnego, powiększonej o trzy punkty procentowe;</w:t>
      </w:r>
    </w:p>
    <w:p w14:paraId="44C5E7A1" w14:textId="6C5EEFEB" w:rsidR="00F26C19" w:rsidRPr="00D30B69" w:rsidRDefault="00B50FF8" w:rsidP="00EF7ADE">
      <w:pPr>
        <w:pStyle w:val="JuList"/>
        <w:ind w:left="0" w:firstLine="0"/>
      </w:pPr>
      <w:r>
        <w:rPr>
          <w:i/>
        </w:rPr>
        <w:t>o</w:t>
      </w:r>
      <w:r w:rsidR="00493050">
        <w:rPr>
          <w:i/>
        </w:rPr>
        <w:t>ddala</w:t>
      </w:r>
      <w:r w:rsidR="00493050">
        <w:rPr>
          <w:color w:val="000000"/>
        </w:rPr>
        <w:t xml:space="preserve"> </w:t>
      </w:r>
      <w:r w:rsidR="00493050">
        <w:t>pozostałą część roszczenia skarżącej o słuszne zadośćuczynienie.</w:t>
      </w:r>
    </w:p>
    <w:p w14:paraId="7753EEEA" w14:textId="45560108" w:rsidR="00DE61E0" w:rsidRPr="00D30B69" w:rsidRDefault="00DE61E0" w:rsidP="00D30B69">
      <w:pPr>
        <w:pStyle w:val="JuParaLast"/>
      </w:pPr>
      <w:r>
        <w:t>Sporządzono w języku angielskim i obwieszczono pisemnie w dniu 6</w:t>
      </w:r>
      <w:r w:rsidR="00C6636F">
        <w:t> </w:t>
      </w:r>
      <w:r>
        <w:t>czerwca 2019 r</w:t>
      </w:r>
      <w:r w:rsidR="00787486">
        <w:t>.</w:t>
      </w:r>
      <w:r>
        <w:t>, zgodnie z Regułą 77 §§ 2 i 3 Regulaminu Trybunału.</w:t>
      </w:r>
    </w:p>
    <w:p w14:paraId="6A0188A2" w14:textId="77777777" w:rsidR="00EB447C" w:rsidRPr="00D30B69" w:rsidRDefault="00DE61E0" w:rsidP="00D30B69">
      <w:pPr>
        <w:pStyle w:val="JuSigned"/>
      </w:pPr>
      <w:r>
        <w:tab/>
        <w:t>Renata Degener</w:t>
      </w:r>
      <w:r>
        <w:tab/>
        <w:t>Armen Harutyunyan</w:t>
      </w:r>
      <w:r>
        <w:br/>
      </w:r>
      <w:r>
        <w:tab/>
        <w:t>Zastępca Kanclerza</w:t>
      </w:r>
      <w:r>
        <w:tab/>
        <w:t xml:space="preserve"> Przewodniczący</w:t>
      </w:r>
    </w:p>
    <w:sectPr w:rsidR="00EB447C" w:rsidRPr="00D30B69" w:rsidSect="00493050">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63861" w14:textId="77777777" w:rsidR="00812441" w:rsidRPr="003F6126" w:rsidRDefault="00812441" w:rsidP="000055E6">
      <w:r w:rsidRPr="003F6126">
        <w:separator/>
      </w:r>
    </w:p>
  </w:endnote>
  <w:endnote w:type="continuationSeparator" w:id="0">
    <w:p w14:paraId="0D2FBEDA" w14:textId="77777777" w:rsidR="00812441" w:rsidRPr="003F6126" w:rsidRDefault="00812441" w:rsidP="000055E6">
      <w:r w:rsidRPr="003F612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62C0A" w14:textId="77777777" w:rsidR="00435BD9" w:rsidRDefault="00435B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A9D91" w14:textId="77777777" w:rsidR="00435BD9" w:rsidRDefault="00435BD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759C6" w14:textId="77777777" w:rsidR="00493050" w:rsidRPr="00150BFA" w:rsidRDefault="00493050" w:rsidP="0020718E">
    <w:pPr>
      <w:jc w:val="center"/>
    </w:pPr>
    <w:r>
      <w:rPr>
        <w:noProof/>
        <w:lang w:eastAsia="pl-PL"/>
      </w:rPr>
      <w:drawing>
        <wp:inline distT="0" distB="0" distL="0" distR="0" wp14:anchorId="294438EC" wp14:editId="39488C4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FDBE508" w14:textId="77777777" w:rsidR="00493050" w:rsidRDefault="004930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27DCE" w14:textId="77777777" w:rsidR="00812441" w:rsidRPr="003F6126" w:rsidRDefault="00812441" w:rsidP="000055E6">
      <w:r w:rsidRPr="003F6126">
        <w:separator/>
      </w:r>
    </w:p>
  </w:footnote>
  <w:footnote w:type="continuationSeparator" w:id="0">
    <w:p w14:paraId="50F4912D" w14:textId="77777777" w:rsidR="00812441" w:rsidRPr="003F6126" w:rsidRDefault="00812441" w:rsidP="000055E6">
      <w:r w:rsidRPr="003F612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8728D" w14:textId="77777777" w:rsidR="00435BD9" w:rsidRDefault="00435B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3E75B" w14:textId="77777777" w:rsidR="003702BC" w:rsidRPr="00493050" w:rsidRDefault="003702BC" w:rsidP="00493050">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3AA12" w14:textId="77777777" w:rsidR="00493050" w:rsidRPr="00A45145" w:rsidRDefault="00493050" w:rsidP="00A45145">
    <w:pPr>
      <w:jc w:val="center"/>
    </w:pPr>
    <w:r>
      <w:rPr>
        <w:noProof/>
        <w:lang w:eastAsia="pl-PL"/>
      </w:rPr>
      <w:drawing>
        <wp:inline distT="0" distB="0" distL="0" distR="0" wp14:anchorId="42C5B7F0" wp14:editId="362E4CC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A603B94" w14:textId="77777777" w:rsidR="003702BC" w:rsidRPr="003F6126" w:rsidRDefault="003702BC">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06DA6" w14:textId="77777777" w:rsidR="00493050" w:rsidRPr="003F6126" w:rsidRDefault="00C85832" w:rsidP="00D0189E">
    <w:pPr>
      <w:pStyle w:val="JuHeader"/>
    </w:pPr>
    <w:r w:rsidRPr="003F6126">
      <w:rPr>
        <w:rStyle w:val="Numerstrony"/>
        <w:szCs w:val="18"/>
      </w:rPr>
      <w:fldChar w:fldCharType="begin"/>
    </w:r>
    <w:r w:rsidR="00493050" w:rsidRPr="003F6126">
      <w:rPr>
        <w:rStyle w:val="Numerstrony"/>
        <w:szCs w:val="18"/>
      </w:rPr>
      <w:instrText xml:space="preserve"> PAGE </w:instrText>
    </w:r>
    <w:r w:rsidRPr="003F6126">
      <w:rPr>
        <w:rStyle w:val="Numerstrony"/>
        <w:szCs w:val="18"/>
      </w:rPr>
      <w:fldChar w:fldCharType="separate"/>
    </w:r>
    <w:r w:rsidR="00435BD9">
      <w:rPr>
        <w:rStyle w:val="Numerstrony"/>
        <w:noProof/>
        <w:szCs w:val="18"/>
      </w:rPr>
      <w:t>8</w:t>
    </w:r>
    <w:r w:rsidRPr="003F6126">
      <w:rPr>
        <w:rStyle w:val="Numerstrony"/>
        <w:szCs w:val="18"/>
      </w:rPr>
      <w:fldChar w:fldCharType="end"/>
    </w:r>
    <w:r w:rsidR="00493050">
      <w:tab/>
      <w:t>WYROK W SPRAWIE TYRKA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0D7FA" w14:textId="23CD1F6C" w:rsidR="00493050" w:rsidRPr="003F6126" w:rsidRDefault="007441B4" w:rsidP="00D0189E">
    <w:pPr>
      <w:pStyle w:val="JuHeader"/>
    </w:pPr>
    <w:r>
      <w:tab/>
    </w:r>
    <w:r w:rsidR="00493050">
      <w:t>WYROK W SPRAWIE TYRKA PRZECIWKO POLSCE</w:t>
    </w:r>
    <w:r>
      <w:tab/>
    </w:r>
    <w:r w:rsidRPr="003F6126">
      <w:rPr>
        <w:rStyle w:val="Numerstrony"/>
      </w:rPr>
      <w:fldChar w:fldCharType="begin"/>
    </w:r>
    <w:r w:rsidRPr="003F6126">
      <w:rPr>
        <w:rStyle w:val="Numerstrony"/>
      </w:rPr>
      <w:instrText xml:space="preserve"> PAGE </w:instrText>
    </w:r>
    <w:r w:rsidRPr="003F6126">
      <w:rPr>
        <w:rStyle w:val="Numerstrony"/>
      </w:rPr>
      <w:fldChar w:fldCharType="separate"/>
    </w:r>
    <w:r w:rsidR="00435BD9">
      <w:rPr>
        <w:rStyle w:val="Numerstrony"/>
        <w:noProof/>
      </w:rPr>
      <w:t>9</w:t>
    </w:r>
    <w:r w:rsidRPr="003F6126">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2"/>
  </w:num>
  <w:num w:numId="28">
    <w:abstractNumId w:val="12"/>
  </w:num>
  <w:num w:numId="29">
    <w:abstractNumId w:val="12"/>
  </w:num>
  <w:num w:numId="30">
    <w:abstractNumId w:val="13"/>
  </w:num>
  <w:num w:numId="31">
    <w:abstractNumId w:val="10"/>
  </w:num>
  <w:num w:numId="32">
    <w:abstractNumId w:val="9"/>
  </w:num>
  <w:num w:numId="33">
    <w:abstractNumId w:val="14"/>
  </w:num>
  <w:num w:numId="34">
    <w:abstractNumId w:val="11"/>
  </w:num>
  <w:num w:numId="35">
    <w:abstractNumId w:val="15"/>
  </w:num>
  <w:num w:numId="36">
    <w:abstractNumId w:val="17"/>
  </w:num>
  <w:num w:numId="37">
    <w:abstractNumId w:val="7"/>
  </w:num>
  <w:num w:numId="38">
    <w:abstractNumId w:val="6"/>
  </w:num>
  <w:num w:numId="39">
    <w:abstractNumId w:val="5"/>
  </w:num>
  <w:num w:numId="40">
    <w:abstractNumId w:val="4"/>
  </w:num>
  <w:num w:numId="41">
    <w:abstractNumId w:val="8"/>
  </w:num>
  <w:num w:numId="42">
    <w:abstractNumId w:val="3"/>
  </w:num>
  <w:num w:numId="43">
    <w:abstractNumId w:val="2"/>
  </w:num>
  <w:num w:numId="44">
    <w:abstractNumId w:val="1"/>
  </w:num>
  <w:num w:numId="45">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EwtTA3MzQ3MTS2NDJX0lEKTi0uzszPAykwqgUAlMGCqSwAAAA="/>
    <w:docVar w:name="EMM" w:val="0"/>
    <w:docVar w:name="NBEMMDOC" w:val="0"/>
  </w:docVars>
  <w:rsids>
    <w:rsidRoot w:val="00F26C19"/>
    <w:rsid w:val="00002CED"/>
    <w:rsid w:val="000041F8"/>
    <w:rsid w:val="000042A8"/>
    <w:rsid w:val="00004308"/>
    <w:rsid w:val="00004834"/>
    <w:rsid w:val="000055E6"/>
    <w:rsid w:val="00005611"/>
    <w:rsid w:val="000059D0"/>
    <w:rsid w:val="00005BF0"/>
    <w:rsid w:val="00006FEE"/>
    <w:rsid w:val="00007154"/>
    <w:rsid w:val="000103AE"/>
    <w:rsid w:val="00011D69"/>
    <w:rsid w:val="00012AD3"/>
    <w:rsid w:val="00015C2D"/>
    <w:rsid w:val="00015F00"/>
    <w:rsid w:val="00022C1D"/>
    <w:rsid w:val="0002415B"/>
    <w:rsid w:val="000242AC"/>
    <w:rsid w:val="00034987"/>
    <w:rsid w:val="00043AC8"/>
    <w:rsid w:val="000602DF"/>
    <w:rsid w:val="000608AE"/>
    <w:rsid w:val="00061B05"/>
    <w:rsid w:val="000632D5"/>
    <w:rsid w:val="000644EE"/>
    <w:rsid w:val="00074D75"/>
    <w:rsid w:val="00084B2D"/>
    <w:rsid w:val="000925AD"/>
    <w:rsid w:val="000A24EB"/>
    <w:rsid w:val="000A397C"/>
    <w:rsid w:val="000A41C8"/>
    <w:rsid w:val="000A6A9A"/>
    <w:rsid w:val="000B6923"/>
    <w:rsid w:val="000B7388"/>
    <w:rsid w:val="000C2AA3"/>
    <w:rsid w:val="000C5F3C"/>
    <w:rsid w:val="000C6DCC"/>
    <w:rsid w:val="000D47AA"/>
    <w:rsid w:val="000D721F"/>
    <w:rsid w:val="000D7552"/>
    <w:rsid w:val="000E0406"/>
    <w:rsid w:val="000E069B"/>
    <w:rsid w:val="000E0E82"/>
    <w:rsid w:val="000E1903"/>
    <w:rsid w:val="000E1DC5"/>
    <w:rsid w:val="000E223F"/>
    <w:rsid w:val="000E3E71"/>
    <w:rsid w:val="000E7D45"/>
    <w:rsid w:val="000F0DBA"/>
    <w:rsid w:val="000F4601"/>
    <w:rsid w:val="000F63E4"/>
    <w:rsid w:val="000F7851"/>
    <w:rsid w:val="00100BAB"/>
    <w:rsid w:val="00104E23"/>
    <w:rsid w:val="00111B0C"/>
    <w:rsid w:val="00112AD5"/>
    <w:rsid w:val="00120D6C"/>
    <w:rsid w:val="001257EC"/>
    <w:rsid w:val="001326FB"/>
    <w:rsid w:val="00133D33"/>
    <w:rsid w:val="001348EE"/>
    <w:rsid w:val="00134D64"/>
    <w:rsid w:val="00135517"/>
    <w:rsid w:val="00135A30"/>
    <w:rsid w:val="00135EB2"/>
    <w:rsid w:val="0013612C"/>
    <w:rsid w:val="00137FF6"/>
    <w:rsid w:val="00141650"/>
    <w:rsid w:val="0014585C"/>
    <w:rsid w:val="00153C79"/>
    <w:rsid w:val="00153DB9"/>
    <w:rsid w:val="0016071E"/>
    <w:rsid w:val="00162A12"/>
    <w:rsid w:val="0016535D"/>
    <w:rsid w:val="00166530"/>
    <w:rsid w:val="001670B1"/>
    <w:rsid w:val="00172771"/>
    <w:rsid w:val="00172E5F"/>
    <w:rsid w:val="00173A1A"/>
    <w:rsid w:val="00182C1D"/>
    <w:rsid w:val="001832BD"/>
    <w:rsid w:val="00185D2F"/>
    <w:rsid w:val="001943B5"/>
    <w:rsid w:val="00195134"/>
    <w:rsid w:val="001A145B"/>
    <w:rsid w:val="001A1FAB"/>
    <w:rsid w:val="001A674C"/>
    <w:rsid w:val="001B3B24"/>
    <w:rsid w:val="001B7151"/>
    <w:rsid w:val="001C0737"/>
    <w:rsid w:val="001C0832"/>
    <w:rsid w:val="001C0F98"/>
    <w:rsid w:val="001C28A6"/>
    <w:rsid w:val="001C2A42"/>
    <w:rsid w:val="001C41DE"/>
    <w:rsid w:val="001C5509"/>
    <w:rsid w:val="001C6731"/>
    <w:rsid w:val="001D311A"/>
    <w:rsid w:val="001D5048"/>
    <w:rsid w:val="001D63ED"/>
    <w:rsid w:val="001D7348"/>
    <w:rsid w:val="001E035B"/>
    <w:rsid w:val="001E0961"/>
    <w:rsid w:val="001E3EAE"/>
    <w:rsid w:val="001E6F32"/>
    <w:rsid w:val="001E7CB6"/>
    <w:rsid w:val="001F0BE4"/>
    <w:rsid w:val="001F2145"/>
    <w:rsid w:val="001F3D06"/>
    <w:rsid w:val="001F6262"/>
    <w:rsid w:val="001F66FE"/>
    <w:rsid w:val="001F67B0"/>
    <w:rsid w:val="001F7B3D"/>
    <w:rsid w:val="002002C8"/>
    <w:rsid w:val="00203672"/>
    <w:rsid w:val="002040BF"/>
    <w:rsid w:val="00205F9F"/>
    <w:rsid w:val="0020655F"/>
    <w:rsid w:val="00210338"/>
    <w:rsid w:val="002115FC"/>
    <w:rsid w:val="002126FC"/>
    <w:rsid w:val="0021423C"/>
    <w:rsid w:val="00215A75"/>
    <w:rsid w:val="00230D00"/>
    <w:rsid w:val="00231DF7"/>
    <w:rsid w:val="00231FD1"/>
    <w:rsid w:val="002339E0"/>
    <w:rsid w:val="00233BC7"/>
    <w:rsid w:val="00233CF8"/>
    <w:rsid w:val="0023575D"/>
    <w:rsid w:val="00237148"/>
    <w:rsid w:val="0024222D"/>
    <w:rsid w:val="00244B0E"/>
    <w:rsid w:val="00244F6C"/>
    <w:rsid w:val="00247510"/>
    <w:rsid w:val="00253255"/>
    <w:rsid w:val="002532C5"/>
    <w:rsid w:val="00254EC6"/>
    <w:rsid w:val="00260C03"/>
    <w:rsid w:val="00262A0B"/>
    <w:rsid w:val="00265360"/>
    <w:rsid w:val="0026540E"/>
    <w:rsid w:val="00275123"/>
    <w:rsid w:val="00282240"/>
    <w:rsid w:val="00290F12"/>
    <w:rsid w:val="002948AD"/>
    <w:rsid w:val="00295C8F"/>
    <w:rsid w:val="00295E5D"/>
    <w:rsid w:val="002A01CC"/>
    <w:rsid w:val="002A61B1"/>
    <w:rsid w:val="002A663C"/>
    <w:rsid w:val="002A74C1"/>
    <w:rsid w:val="002B1586"/>
    <w:rsid w:val="002B444B"/>
    <w:rsid w:val="002B5887"/>
    <w:rsid w:val="002B744E"/>
    <w:rsid w:val="002C0C38"/>
    <w:rsid w:val="002C0E27"/>
    <w:rsid w:val="002C1D22"/>
    <w:rsid w:val="002C3040"/>
    <w:rsid w:val="002C3C50"/>
    <w:rsid w:val="002C604B"/>
    <w:rsid w:val="002C7699"/>
    <w:rsid w:val="002D022D"/>
    <w:rsid w:val="002D077C"/>
    <w:rsid w:val="002D24BB"/>
    <w:rsid w:val="002D5513"/>
    <w:rsid w:val="002D6181"/>
    <w:rsid w:val="002E044C"/>
    <w:rsid w:val="002E2EEB"/>
    <w:rsid w:val="002E3051"/>
    <w:rsid w:val="002E7CF1"/>
    <w:rsid w:val="002F2AF7"/>
    <w:rsid w:val="002F7201"/>
    <w:rsid w:val="002F7E1C"/>
    <w:rsid w:val="00301A75"/>
    <w:rsid w:val="00302F70"/>
    <w:rsid w:val="0030336F"/>
    <w:rsid w:val="0030375E"/>
    <w:rsid w:val="00310094"/>
    <w:rsid w:val="00310263"/>
    <w:rsid w:val="00312A30"/>
    <w:rsid w:val="00317834"/>
    <w:rsid w:val="00320F72"/>
    <w:rsid w:val="0032241E"/>
    <w:rsid w:val="0032463E"/>
    <w:rsid w:val="003249B0"/>
    <w:rsid w:val="00325F81"/>
    <w:rsid w:val="00326224"/>
    <w:rsid w:val="00332BF3"/>
    <w:rsid w:val="003371EA"/>
    <w:rsid w:val="00337C3C"/>
    <w:rsid w:val="00337EE4"/>
    <w:rsid w:val="00340FFD"/>
    <w:rsid w:val="0034296F"/>
    <w:rsid w:val="00347B82"/>
    <w:rsid w:val="00347B85"/>
    <w:rsid w:val="003506B1"/>
    <w:rsid w:val="00356AC7"/>
    <w:rsid w:val="00356F89"/>
    <w:rsid w:val="003609FA"/>
    <w:rsid w:val="00361CB4"/>
    <w:rsid w:val="003702BC"/>
    <w:rsid w:val="003710C8"/>
    <w:rsid w:val="003750BE"/>
    <w:rsid w:val="00375B58"/>
    <w:rsid w:val="003774FC"/>
    <w:rsid w:val="003802D6"/>
    <w:rsid w:val="0038411F"/>
    <w:rsid w:val="00387B9D"/>
    <w:rsid w:val="00391CEB"/>
    <w:rsid w:val="0039364F"/>
    <w:rsid w:val="00394565"/>
    <w:rsid w:val="00396686"/>
    <w:rsid w:val="0039778E"/>
    <w:rsid w:val="003A2B3A"/>
    <w:rsid w:val="003A56A1"/>
    <w:rsid w:val="003B41AA"/>
    <w:rsid w:val="003B4941"/>
    <w:rsid w:val="003B700B"/>
    <w:rsid w:val="003C3D56"/>
    <w:rsid w:val="003C5714"/>
    <w:rsid w:val="003C6B9F"/>
    <w:rsid w:val="003C6E2A"/>
    <w:rsid w:val="003D0299"/>
    <w:rsid w:val="003D2596"/>
    <w:rsid w:val="003D3D5E"/>
    <w:rsid w:val="003E4484"/>
    <w:rsid w:val="003E6093"/>
    <w:rsid w:val="003E6878"/>
    <w:rsid w:val="003E6D80"/>
    <w:rsid w:val="003F05FA"/>
    <w:rsid w:val="003F244A"/>
    <w:rsid w:val="003F30B8"/>
    <w:rsid w:val="003F4C45"/>
    <w:rsid w:val="003F5F7B"/>
    <w:rsid w:val="003F6126"/>
    <w:rsid w:val="003F7D64"/>
    <w:rsid w:val="00406FAF"/>
    <w:rsid w:val="00407DFD"/>
    <w:rsid w:val="00414300"/>
    <w:rsid w:val="00425C67"/>
    <w:rsid w:val="0042743F"/>
    <w:rsid w:val="00427E7A"/>
    <w:rsid w:val="00432F4F"/>
    <w:rsid w:val="00435BD9"/>
    <w:rsid w:val="00436C49"/>
    <w:rsid w:val="00436CBD"/>
    <w:rsid w:val="00443DC1"/>
    <w:rsid w:val="00445366"/>
    <w:rsid w:val="00447F5B"/>
    <w:rsid w:val="00452109"/>
    <w:rsid w:val="0045568E"/>
    <w:rsid w:val="00461DB0"/>
    <w:rsid w:val="00463926"/>
    <w:rsid w:val="00463A8F"/>
    <w:rsid w:val="00464C9A"/>
    <w:rsid w:val="00465C41"/>
    <w:rsid w:val="004671D5"/>
    <w:rsid w:val="00467C4E"/>
    <w:rsid w:val="00474F3D"/>
    <w:rsid w:val="0047553D"/>
    <w:rsid w:val="004769BB"/>
    <w:rsid w:val="00477E3A"/>
    <w:rsid w:val="00482B13"/>
    <w:rsid w:val="00483E5F"/>
    <w:rsid w:val="00485FF9"/>
    <w:rsid w:val="00486B84"/>
    <w:rsid w:val="004872FB"/>
    <w:rsid w:val="004907F0"/>
    <w:rsid w:val="0049140B"/>
    <w:rsid w:val="004923A5"/>
    <w:rsid w:val="00493050"/>
    <w:rsid w:val="0049411B"/>
    <w:rsid w:val="00496BFB"/>
    <w:rsid w:val="004A15C7"/>
    <w:rsid w:val="004A238A"/>
    <w:rsid w:val="004A5A55"/>
    <w:rsid w:val="004A6545"/>
    <w:rsid w:val="004B013B"/>
    <w:rsid w:val="004B112B"/>
    <w:rsid w:val="004C01E4"/>
    <w:rsid w:val="004C086C"/>
    <w:rsid w:val="004C1F56"/>
    <w:rsid w:val="004C25F4"/>
    <w:rsid w:val="004C27BC"/>
    <w:rsid w:val="004C2ADA"/>
    <w:rsid w:val="004C2BBA"/>
    <w:rsid w:val="004C6C2B"/>
    <w:rsid w:val="004D0AD9"/>
    <w:rsid w:val="004D15F3"/>
    <w:rsid w:val="004D31B2"/>
    <w:rsid w:val="004D5311"/>
    <w:rsid w:val="004D5DCC"/>
    <w:rsid w:val="004E325C"/>
    <w:rsid w:val="004E5212"/>
    <w:rsid w:val="004F0A46"/>
    <w:rsid w:val="004F10AF"/>
    <w:rsid w:val="004F11A4"/>
    <w:rsid w:val="004F2389"/>
    <w:rsid w:val="004F2AE7"/>
    <w:rsid w:val="004F304D"/>
    <w:rsid w:val="004F61BE"/>
    <w:rsid w:val="004F66B1"/>
    <w:rsid w:val="0050258B"/>
    <w:rsid w:val="00505532"/>
    <w:rsid w:val="00511C07"/>
    <w:rsid w:val="005173A6"/>
    <w:rsid w:val="00520BAA"/>
    <w:rsid w:val="00524D4B"/>
    <w:rsid w:val="00525208"/>
    <w:rsid w:val="005257A5"/>
    <w:rsid w:val="00525DAA"/>
    <w:rsid w:val="005264C0"/>
    <w:rsid w:val="00526A8A"/>
    <w:rsid w:val="00531DF2"/>
    <w:rsid w:val="00536F35"/>
    <w:rsid w:val="00541F00"/>
    <w:rsid w:val="005442EE"/>
    <w:rsid w:val="00547353"/>
    <w:rsid w:val="005474E7"/>
    <w:rsid w:val="005512A3"/>
    <w:rsid w:val="005578CE"/>
    <w:rsid w:val="00561796"/>
    <w:rsid w:val="00562781"/>
    <w:rsid w:val="0056453B"/>
    <w:rsid w:val="0057271C"/>
    <w:rsid w:val="00572845"/>
    <w:rsid w:val="00572A45"/>
    <w:rsid w:val="00573226"/>
    <w:rsid w:val="00574EA5"/>
    <w:rsid w:val="00580FE0"/>
    <w:rsid w:val="005910BD"/>
    <w:rsid w:val="00591950"/>
    <w:rsid w:val="00592772"/>
    <w:rsid w:val="005946D5"/>
    <w:rsid w:val="0059574A"/>
    <w:rsid w:val="005A16B1"/>
    <w:rsid w:val="005A1B9B"/>
    <w:rsid w:val="005A6751"/>
    <w:rsid w:val="005A790B"/>
    <w:rsid w:val="005B092E"/>
    <w:rsid w:val="005B10A2"/>
    <w:rsid w:val="005B152C"/>
    <w:rsid w:val="005B1EE0"/>
    <w:rsid w:val="005B2B24"/>
    <w:rsid w:val="005B381B"/>
    <w:rsid w:val="005B4425"/>
    <w:rsid w:val="005B4B94"/>
    <w:rsid w:val="005C1C5D"/>
    <w:rsid w:val="005C3EE8"/>
    <w:rsid w:val="005C6451"/>
    <w:rsid w:val="005D22AC"/>
    <w:rsid w:val="005D26B1"/>
    <w:rsid w:val="005D34F9"/>
    <w:rsid w:val="005D4190"/>
    <w:rsid w:val="005D5D70"/>
    <w:rsid w:val="005D67A3"/>
    <w:rsid w:val="005E1A85"/>
    <w:rsid w:val="005E2988"/>
    <w:rsid w:val="005E3085"/>
    <w:rsid w:val="005E6B3C"/>
    <w:rsid w:val="005E7E54"/>
    <w:rsid w:val="005F2144"/>
    <w:rsid w:val="005F51E1"/>
    <w:rsid w:val="00603FC5"/>
    <w:rsid w:val="006069E5"/>
    <w:rsid w:val="00611C80"/>
    <w:rsid w:val="006133A8"/>
    <w:rsid w:val="00613E8B"/>
    <w:rsid w:val="00620692"/>
    <w:rsid w:val="00622668"/>
    <w:rsid w:val="006242CA"/>
    <w:rsid w:val="00627507"/>
    <w:rsid w:val="00630618"/>
    <w:rsid w:val="006311B9"/>
    <w:rsid w:val="0063143B"/>
    <w:rsid w:val="00633717"/>
    <w:rsid w:val="006344E1"/>
    <w:rsid w:val="00637248"/>
    <w:rsid w:val="006374DD"/>
    <w:rsid w:val="006412C6"/>
    <w:rsid w:val="006514F9"/>
    <w:rsid w:val="006538BA"/>
    <w:rsid w:val="00653C66"/>
    <w:rsid w:val="006545C4"/>
    <w:rsid w:val="00661971"/>
    <w:rsid w:val="00661CE8"/>
    <w:rsid w:val="006623D9"/>
    <w:rsid w:val="00664DF1"/>
    <w:rsid w:val="0066550C"/>
    <w:rsid w:val="006716F2"/>
    <w:rsid w:val="00671719"/>
    <w:rsid w:val="00671DBA"/>
    <w:rsid w:val="00677734"/>
    <w:rsid w:val="006820D2"/>
    <w:rsid w:val="0068283F"/>
    <w:rsid w:val="00682BF2"/>
    <w:rsid w:val="00684457"/>
    <w:rsid w:val="0068511E"/>
    <w:rsid w:val="006859CE"/>
    <w:rsid w:val="006859D3"/>
    <w:rsid w:val="00690436"/>
    <w:rsid w:val="00691270"/>
    <w:rsid w:val="00694BA8"/>
    <w:rsid w:val="00697455"/>
    <w:rsid w:val="006A037C"/>
    <w:rsid w:val="006A16DD"/>
    <w:rsid w:val="006A36F4"/>
    <w:rsid w:val="006A406F"/>
    <w:rsid w:val="006A57EB"/>
    <w:rsid w:val="006A5D3A"/>
    <w:rsid w:val="006B2773"/>
    <w:rsid w:val="006B524E"/>
    <w:rsid w:val="006C116F"/>
    <w:rsid w:val="006C23D4"/>
    <w:rsid w:val="006C7BB0"/>
    <w:rsid w:val="006D028D"/>
    <w:rsid w:val="006D3237"/>
    <w:rsid w:val="006D3548"/>
    <w:rsid w:val="006D4B81"/>
    <w:rsid w:val="006D501B"/>
    <w:rsid w:val="006D64FF"/>
    <w:rsid w:val="006D6CB1"/>
    <w:rsid w:val="006D6D57"/>
    <w:rsid w:val="006E2E37"/>
    <w:rsid w:val="006E3A3D"/>
    <w:rsid w:val="006E3CF1"/>
    <w:rsid w:val="006E4700"/>
    <w:rsid w:val="006E7E80"/>
    <w:rsid w:val="006F0670"/>
    <w:rsid w:val="006F48CA"/>
    <w:rsid w:val="006F64DD"/>
    <w:rsid w:val="00700641"/>
    <w:rsid w:val="0070100D"/>
    <w:rsid w:val="00706849"/>
    <w:rsid w:val="007150FA"/>
    <w:rsid w:val="00715127"/>
    <w:rsid w:val="00715E8E"/>
    <w:rsid w:val="00723580"/>
    <w:rsid w:val="00723755"/>
    <w:rsid w:val="0073136C"/>
    <w:rsid w:val="00731EED"/>
    <w:rsid w:val="00731F0F"/>
    <w:rsid w:val="00733250"/>
    <w:rsid w:val="007350E0"/>
    <w:rsid w:val="00735CAC"/>
    <w:rsid w:val="00741404"/>
    <w:rsid w:val="007441B4"/>
    <w:rsid w:val="007449E5"/>
    <w:rsid w:val="00745614"/>
    <w:rsid w:val="00746BD1"/>
    <w:rsid w:val="00747685"/>
    <w:rsid w:val="00747FF0"/>
    <w:rsid w:val="00753603"/>
    <w:rsid w:val="00755F25"/>
    <w:rsid w:val="007574AD"/>
    <w:rsid w:val="00764D4E"/>
    <w:rsid w:val="00765A1F"/>
    <w:rsid w:val="00765C3F"/>
    <w:rsid w:val="00770420"/>
    <w:rsid w:val="00775B6D"/>
    <w:rsid w:val="00776D68"/>
    <w:rsid w:val="007776A2"/>
    <w:rsid w:val="007850EE"/>
    <w:rsid w:val="00785B95"/>
    <w:rsid w:val="00787486"/>
    <w:rsid w:val="00787EBE"/>
    <w:rsid w:val="00790E96"/>
    <w:rsid w:val="007910FA"/>
    <w:rsid w:val="00793366"/>
    <w:rsid w:val="007944C6"/>
    <w:rsid w:val="0079594B"/>
    <w:rsid w:val="007A716F"/>
    <w:rsid w:val="007B270A"/>
    <w:rsid w:val="007B4619"/>
    <w:rsid w:val="007C0695"/>
    <w:rsid w:val="007C419A"/>
    <w:rsid w:val="007C4CC8"/>
    <w:rsid w:val="007C4F0A"/>
    <w:rsid w:val="007C5426"/>
    <w:rsid w:val="007C5798"/>
    <w:rsid w:val="007C6EDC"/>
    <w:rsid w:val="007D10D9"/>
    <w:rsid w:val="007D2A6E"/>
    <w:rsid w:val="007D44F6"/>
    <w:rsid w:val="007D4832"/>
    <w:rsid w:val="007D61D9"/>
    <w:rsid w:val="007E21B2"/>
    <w:rsid w:val="007E2C4E"/>
    <w:rsid w:val="007E4978"/>
    <w:rsid w:val="007E5E77"/>
    <w:rsid w:val="007F1905"/>
    <w:rsid w:val="00800097"/>
    <w:rsid w:val="00800BDC"/>
    <w:rsid w:val="00802C64"/>
    <w:rsid w:val="008047BC"/>
    <w:rsid w:val="00805E52"/>
    <w:rsid w:val="008061D0"/>
    <w:rsid w:val="008062C2"/>
    <w:rsid w:val="00807284"/>
    <w:rsid w:val="00810397"/>
    <w:rsid w:val="00810B38"/>
    <w:rsid w:val="00812441"/>
    <w:rsid w:val="00814CD3"/>
    <w:rsid w:val="00814F36"/>
    <w:rsid w:val="008204C7"/>
    <w:rsid w:val="00820992"/>
    <w:rsid w:val="008212DF"/>
    <w:rsid w:val="00823602"/>
    <w:rsid w:val="008255F5"/>
    <w:rsid w:val="0082561B"/>
    <w:rsid w:val="008279EC"/>
    <w:rsid w:val="0083014E"/>
    <w:rsid w:val="00830255"/>
    <w:rsid w:val="0083214A"/>
    <w:rsid w:val="00834220"/>
    <w:rsid w:val="00845723"/>
    <w:rsid w:val="00845800"/>
    <w:rsid w:val="00846C92"/>
    <w:rsid w:val="00851EF9"/>
    <w:rsid w:val="008561B0"/>
    <w:rsid w:val="008574C4"/>
    <w:rsid w:val="008577FD"/>
    <w:rsid w:val="00860B03"/>
    <w:rsid w:val="00862343"/>
    <w:rsid w:val="00863497"/>
    <w:rsid w:val="0086497A"/>
    <w:rsid w:val="00864A9C"/>
    <w:rsid w:val="00865114"/>
    <w:rsid w:val="00866330"/>
    <w:rsid w:val="008713A1"/>
    <w:rsid w:val="008754AB"/>
    <w:rsid w:val="008765C5"/>
    <w:rsid w:val="008777F2"/>
    <w:rsid w:val="008801FE"/>
    <w:rsid w:val="0088060C"/>
    <w:rsid w:val="00884193"/>
    <w:rsid w:val="00885BF0"/>
    <w:rsid w:val="00893576"/>
    <w:rsid w:val="00893E73"/>
    <w:rsid w:val="008A7883"/>
    <w:rsid w:val="008B02DC"/>
    <w:rsid w:val="008B1FC6"/>
    <w:rsid w:val="008B4DE9"/>
    <w:rsid w:val="008B57CE"/>
    <w:rsid w:val="008B62C5"/>
    <w:rsid w:val="008C1233"/>
    <w:rsid w:val="008C26DE"/>
    <w:rsid w:val="008C2902"/>
    <w:rsid w:val="008C3203"/>
    <w:rsid w:val="008D15EE"/>
    <w:rsid w:val="008D1E35"/>
    <w:rsid w:val="008D2225"/>
    <w:rsid w:val="008D4752"/>
    <w:rsid w:val="008D78F3"/>
    <w:rsid w:val="008E17D9"/>
    <w:rsid w:val="008E271C"/>
    <w:rsid w:val="008E418E"/>
    <w:rsid w:val="008E58A6"/>
    <w:rsid w:val="008E5BC6"/>
    <w:rsid w:val="008E6A25"/>
    <w:rsid w:val="008E705A"/>
    <w:rsid w:val="008F0FE4"/>
    <w:rsid w:val="008F2621"/>
    <w:rsid w:val="008F5193"/>
    <w:rsid w:val="009013A7"/>
    <w:rsid w:val="009017FB"/>
    <w:rsid w:val="009017FC"/>
    <w:rsid w:val="0090506B"/>
    <w:rsid w:val="009050C9"/>
    <w:rsid w:val="009066FC"/>
    <w:rsid w:val="00906968"/>
    <w:rsid w:val="00910EDD"/>
    <w:rsid w:val="009140A3"/>
    <w:rsid w:val="009144A2"/>
    <w:rsid w:val="0091510C"/>
    <w:rsid w:val="00922AAC"/>
    <w:rsid w:val="009259AC"/>
    <w:rsid w:val="00926F38"/>
    <w:rsid w:val="00930D46"/>
    <w:rsid w:val="00934144"/>
    <w:rsid w:val="00934301"/>
    <w:rsid w:val="009348D6"/>
    <w:rsid w:val="00936CD1"/>
    <w:rsid w:val="0094153C"/>
    <w:rsid w:val="00941747"/>
    <w:rsid w:val="00941EFB"/>
    <w:rsid w:val="00942899"/>
    <w:rsid w:val="00943304"/>
    <w:rsid w:val="00947AFB"/>
    <w:rsid w:val="0095029F"/>
    <w:rsid w:val="00950961"/>
    <w:rsid w:val="00951D7D"/>
    <w:rsid w:val="00952D3F"/>
    <w:rsid w:val="009552E3"/>
    <w:rsid w:val="00956859"/>
    <w:rsid w:val="009630C7"/>
    <w:rsid w:val="0096648B"/>
    <w:rsid w:val="00967165"/>
    <w:rsid w:val="0096737D"/>
    <w:rsid w:val="00967C55"/>
    <w:rsid w:val="00972B55"/>
    <w:rsid w:val="00973109"/>
    <w:rsid w:val="009743B7"/>
    <w:rsid w:val="0097723E"/>
    <w:rsid w:val="0098228B"/>
    <w:rsid w:val="009828DA"/>
    <w:rsid w:val="0098560F"/>
    <w:rsid w:val="00985BAB"/>
    <w:rsid w:val="0098725D"/>
    <w:rsid w:val="00993008"/>
    <w:rsid w:val="009A0AA2"/>
    <w:rsid w:val="009B1835"/>
    <w:rsid w:val="009B1B5F"/>
    <w:rsid w:val="009B6673"/>
    <w:rsid w:val="009C191B"/>
    <w:rsid w:val="009C2BD6"/>
    <w:rsid w:val="009C36E2"/>
    <w:rsid w:val="009C53F3"/>
    <w:rsid w:val="009C575E"/>
    <w:rsid w:val="009C6B71"/>
    <w:rsid w:val="009C79E3"/>
    <w:rsid w:val="009D4F79"/>
    <w:rsid w:val="009E1F32"/>
    <w:rsid w:val="009E2B7D"/>
    <w:rsid w:val="009E776C"/>
    <w:rsid w:val="00A01F8B"/>
    <w:rsid w:val="00A02D3B"/>
    <w:rsid w:val="00A1726E"/>
    <w:rsid w:val="00A204CF"/>
    <w:rsid w:val="00A23D49"/>
    <w:rsid w:val="00A24A4B"/>
    <w:rsid w:val="00A26026"/>
    <w:rsid w:val="00A27004"/>
    <w:rsid w:val="00A30C29"/>
    <w:rsid w:val="00A3288B"/>
    <w:rsid w:val="00A33CA1"/>
    <w:rsid w:val="00A34DD6"/>
    <w:rsid w:val="00A3532B"/>
    <w:rsid w:val="00A36811"/>
    <w:rsid w:val="00A36819"/>
    <w:rsid w:val="00A36989"/>
    <w:rsid w:val="00A43628"/>
    <w:rsid w:val="00A54192"/>
    <w:rsid w:val="00A56249"/>
    <w:rsid w:val="00A572B9"/>
    <w:rsid w:val="00A6035E"/>
    <w:rsid w:val="00A60E5A"/>
    <w:rsid w:val="00A6144C"/>
    <w:rsid w:val="00A63CC6"/>
    <w:rsid w:val="00A66617"/>
    <w:rsid w:val="00A671F8"/>
    <w:rsid w:val="00A673A4"/>
    <w:rsid w:val="00A713A3"/>
    <w:rsid w:val="00A724AE"/>
    <w:rsid w:val="00A73329"/>
    <w:rsid w:val="00A73487"/>
    <w:rsid w:val="00A73D59"/>
    <w:rsid w:val="00A74476"/>
    <w:rsid w:val="00A74544"/>
    <w:rsid w:val="00A81548"/>
    <w:rsid w:val="00A82359"/>
    <w:rsid w:val="00A827AD"/>
    <w:rsid w:val="00A8599E"/>
    <w:rsid w:val="00A865D2"/>
    <w:rsid w:val="00A92684"/>
    <w:rsid w:val="00A94C20"/>
    <w:rsid w:val="00A956B2"/>
    <w:rsid w:val="00AA227F"/>
    <w:rsid w:val="00AA3BC7"/>
    <w:rsid w:val="00AA490A"/>
    <w:rsid w:val="00AA754A"/>
    <w:rsid w:val="00AB099E"/>
    <w:rsid w:val="00AB2BB8"/>
    <w:rsid w:val="00AB4328"/>
    <w:rsid w:val="00AB62DE"/>
    <w:rsid w:val="00AC7CC4"/>
    <w:rsid w:val="00AD4C91"/>
    <w:rsid w:val="00AD686B"/>
    <w:rsid w:val="00AE0695"/>
    <w:rsid w:val="00AE0A2E"/>
    <w:rsid w:val="00AE354C"/>
    <w:rsid w:val="00AE3905"/>
    <w:rsid w:val="00AF0820"/>
    <w:rsid w:val="00AF2C8B"/>
    <w:rsid w:val="00AF37A5"/>
    <w:rsid w:val="00AF4B07"/>
    <w:rsid w:val="00AF4CBB"/>
    <w:rsid w:val="00AF6186"/>
    <w:rsid w:val="00AF6511"/>
    <w:rsid w:val="00AF66D0"/>
    <w:rsid w:val="00AF67E7"/>
    <w:rsid w:val="00AF7969"/>
    <w:rsid w:val="00AF7A3A"/>
    <w:rsid w:val="00B12022"/>
    <w:rsid w:val="00B156E6"/>
    <w:rsid w:val="00B160DB"/>
    <w:rsid w:val="00B20836"/>
    <w:rsid w:val="00B20F34"/>
    <w:rsid w:val="00B235BB"/>
    <w:rsid w:val="00B27A44"/>
    <w:rsid w:val="00B30BBF"/>
    <w:rsid w:val="00B3398E"/>
    <w:rsid w:val="00B33C03"/>
    <w:rsid w:val="00B44D38"/>
    <w:rsid w:val="00B44E56"/>
    <w:rsid w:val="00B46543"/>
    <w:rsid w:val="00B47D33"/>
    <w:rsid w:val="00B50C7A"/>
    <w:rsid w:val="00B50FF8"/>
    <w:rsid w:val="00B528AC"/>
    <w:rsid w:val="00B52BE0"/>
    <w:rsid w:val="00B536DD"/>
    <w:rsid w:val="00B54133"/>
    <w:rsid w:val="00B54A7E"/>
    <w:rsid w:val="00B57230"/>
    <w:rsid w:val="00B62DE8"/>
    <w:rsid w:val="00B64738"/>
    <w:rsid w:val="00B701ED"/>
    <w:rsid w:val="00B75E40"/>
    <w:rsid w:val="00B8086C"/>
    <w:rsid w:val="00B8100E"/>
    <w:rsid w:val="00B861B4"/>
    <w:rsid w:val="00B865E3"/>
    <w:rsid w:val="00B86DFE"/>
    <w:rsid w:val="00B90990"/>
    <w:rsid w:val="00B922FF"/>
    <w:rsid w:val="00B9281E"/>
    <w:rsid w:val="00B93925"/>
    <w:rsid w:val="00B95187"/>
    <w:rsid w:val="00BA2D55"/>
    <w:rsid w:val="00BA71B1"/>
    <w:rsid w:val="00BB0637"/>
    <w:rsid w:val="00BB345F"/>
    <w:rsid w:val="00BB5FB1"/>
    <w:rsid w:val="00BB68EA"/>
    <w:rsid w:val="00BC1C27"/>
    <w:rsid w:val="00BC1F1C"/>
    <w:rsid w:val="00BC5DB0"/>
    <w:rsid w:val="00BC6BBF"/>
    <w:rsid w:val="00BC779A"/>
    <w:rsid w:val="00BD1572"/>
    <w:rsid w:val="00BD3880"/>
    <w:rsid w:val="00BE14E3"/>
    <w:rsid w:val="00BE29DB"/>
    <w:rsid w:val="00BE3774"/>
    <w:rsid w:val="00BE41E5"/>
    <w:rsid w:val="00BE455B"/>
    <w:rsid w:val="00BE50ED"/>
    <w:rsid w:val="00BE6ACE"/>
    <w:rsid w:val="00BF4109"/>
    <w:rsid w:val="00BF4CC3"/>
    <w:rsid w:val="00C00CEE"/>
    <w:rsid w:val="00C054C7"/>
    <w:rsid w:val="00C057B5"/>
    <w:rsid w:val="00C078C8"/>
    <w:rsid w:val="00C07FE3"/>
    <w:rsid w:val="00C11A85"/>
    <w:rsid w:val="00C16C4A"/>
    <w:rsid w:val="00C22687"/>
    <w:rsid w:val="00C3194F"/>
    <w:rsid w:val="00C32E4D"/>
    <w:rsid w:val="00C333A0"/>
    <w:rsid w:val="00C34CC6"/>
    <w:rsid w:val="00C36A81"/>
    <w:rsid w:val="00C41974"/>
    <w:rsid w:val="00C41EC8"/>
    <w:rsid w:val="00C438F3"/>
    <w:rsid w:val="00C44261"/>
    <w:rsid w:val="00C50D81"/>
    <w:rsid w:val="00C51F5F"/>
    <w:rsid w:val="00C53F4A"/>
    <w:rsid w:val="00C54125"/>
    <w:rsid w:val="00C55B54"/>
    <w:rsid w:val="00C6098E"/>
    <w:rsid w:val="00C6152C"/>
    <w:rsid w:val="00C6636F"/>
    <w:rsid w:val="00C67442"/>
    <w:rsid w:val="00C72822"/>
    <w:rsid w:val="00C72A42"/>
    <w:rsid w:val="00C732D8"/>
    <w:rsid w:val="00C74810"/>
    <w:rsid w:val="00C76AF7"/>
    <w:rsid w:val="00C85832"/>
    <w:rsid w:val="00C90D68"/>
    <w:rsid w:val="00C939FE"/>
    <w:rsid w:val="00CA0E66"/>
    <w:rsid w:val="00CA3AD9"/>
    <w:rsid w:val="00CA4BDA"/>
    <w:rsid w:val="00CB1F66"/>
    <w:rsid w:val="00CB2951"/>
    <w:rsid w:val="00CB5BD3"/>
    <w:rsid w:val="00CB5BD7"/>
    <w:rsid w:val="00CB7328"/>
    <w:rsid w:val="00CC5F1A"/>
    <w:rsid w:val="00CD282B"/>
    <w:rsid w:val="00CD4C35"/>
    <w:rsid w:val="00CD7369"/>
    <w:rsid w:val="00CE0B0E"/>
    <w:rsid w:val="00CE3831"/>
    <w:rsid w:val="00CF7737"/>
    <w:rsid w:val="00D00ABB"/>
    <w:rsid w:val="00D012E3"/>
    <w:rsid w:val="00D0189E"/>
    <w:rsid w:val="00D02EEC"/>
    <w:rsid w:val="00D03551"/>
    <w:rsid w:val="00D06A63"/>
    <w:rsid w:val="00D06A9F"/>
    <w:rsid w:val="00D07E0E"/>
    <w:rsid w:val="00D11478"/>
    <w:rsid w:val="00D129F3"/>
    <w:rsid w:val="00D12E1A"/>
    <w:rsid w:val="00D157D4"/>
    <w:rsid w:val="00D15ED0"/>
    <w:rsid w:val="00D20368"/>
    <w:rsid w:val="00D21B3E"/>
    <w:rsid w:val="00D21FED"/>
    <w:rsid w:val="00D22C92"/>
    <w:rsid w:val="00D24251"/>
    <w:rsid w:val="00D26490"/>
    <w:rsid w:val="00D30B69"/>
    <w:rsid w:val="00D30F6C"/>
    <w:rsid w:val="00D343E2"/>
    <w:rsid w:val="00D361A2"/>
    <w:rsid w:val="00D44C2E"/>
    <w:rsid w:val="00D45414"/>
    <w:rsid w:val="00D45DBF"/>
    <w:rsid w:val="00D45F56"/>
    <w:rsid w:val="00D46837"/>
    <w:rsid w:val="00D51EBF"/>
    <w:rsid w:val="00D5565D"/>
    <w:rsid w:val="00D566BD"/>
    <w:rsid w:val="00D57A4D"/>
    <w:rsid w:val="00D606F3"/>
    <w:rsid w:val="00D60AA7"/>
    <w:rsid w:val="00D63ABB"/>
    <w:rsid w:val="00D63FD0"/>
    <w:rsid w:val="00D6435F"/>
    <w:rsid w:val="00D656EA"/>
    <w:rsid w:val="00D66777"/>
    <w:rsid w:val="00D66A96"/>
    <w:rsid w:val="00D75E28"/>
    <w:rsid w:val="00D772C2"/>
    <w:rsid w:val="00D8008E"/>
    <w:rsid w:val="00D82C45"/>
    <w:rsid w:val="00D82C4F"/>
    <w:rsid w:val="00D86A80"/>
    <w:rsid w:val="00D908A8"/>
    <w:rsid w:val="00D977B6"/>
    <w:rsid w:val="00DA4A31"/>
    <w:rsid w:val="00DA645B"/>
    <w:rsid w:val="00DA7B04"/>
    <w:rsid w:val="00DB36C2"/>
    <w:rsid w:val="00DC169B"/>
    <w:rsid w:val="00DC2AB9"/>
    <w:rsid w:val="00DC2E4F"/>
    <w:rsid w:val="00DC48B4"/>
    <w:rsid w:val="00DC4DEC"/>
    <w:rsid w:val="00DC63F0"/>
    <w:rsid w:val="00DC7DF5"/>
    <w:rsid w:val="00DD1F0C"/>
    <w:rsid w:val="00DD6EE5"/>
    <w:rsid w:val="00DE386C"/>
    <w:rsid w:val="00DE4D35"/>
    <w:rsid w:val="00DE61E0"/>
    <w:rsid w:val="00DE68C1"/>
    <w:rsid w:val="00DF098B"/>
    <w:rsid w:val="00DF11C4"/>
    <w:rsid w:val="00DF1F8F"/>
    <w:rsid w:val="00DF210C"/>
    <w:rsid w:val="00DF4B6A"/>
    <w:rsid w:val="00E02C09"/>
    <w:rsid w:val="00E04D59"/>
    <w:rsid w:val="00E05AFE"/>
    <w:rsid w:val="00E060E7"/>
    <w:rsid w:val="00E07DA1"/>
    <w:rsid w:val="00E11081"/>
    <w:rsid w:val="00E123CB"/>
    <w:rsid w:val="00E12854"/>
    <w:rsid w:val="00E1304D"/>
    <w:rsid w:val="00E20E13"/>
    <w:rsid w:val="00E21DBC"/>
    <w:rsid w:val="00E228E2"/>
    <w:rsid w:val="00E275D7"/>
    <w:rsid w:val="00E27DBE"/>
    <w:rsid w:val="00E30AFE"/>
    <w:rsid w:val="00E32AB1"/>
    <w:rsid w:val="00E36C71"/>
    <w:rsid w:val="00E37B89"/>
    <w:rsid w:val="00E40404"/>
    <w:rsid w:val="00E42E8F"/>
    <w:rsid w:val="00E459C6"/>
    <w:rsid w:val="00E47589"/>
    <w:rsid w:val="00E64915"/>
    <w:rsid w:val="00E661D4"/>
    <w:rsid w:val="00E70091"/>
    <w:rsid w:val="00E720F5"/>
    <w:rsid w:val="00E75400"/>
    <w:rsid w:val="00E760EB"/>
    <w:rsid w:val="00E765F8"/>
    <w:rsid w:val="00E76C75"/>
    <w:rsid w:val="00E76D47"/>
    <w:rsid w:val="00E849F7"/>
    <w:rsid w:val="00E85E21"/>
    <w:rsid w:val="00E90302"/>
    <w:rsid w:val="00E97396"/>
    <w:rsid w:val="00EA185E"/>
    <w:rsid w:val="00EA592A"/>
    <w:rsid w:val="00EB14E4"/>
    <w:rsid w:val="00EB32A5"/>
    <w:rsid w:val="00EB34ED"/>
    <w:rsid w:val="00EB427F"/>
    <w:rsid w:val="00EB447C"/>
    <w:rsid w:val="00EB7BE0"/>
    <w:rsid w:val="00EC0EE3"/>
    <w:rsid w:val="00EC315E"/>
    <w:rsid w:val="00EC73A8"/>
    <w:rsid w:val="00ED077C"/>
    <w:rsid w:val="00ED1190"/>
    <w:rsid w:val="00ED6544"/>
    <w:rsid w:val="00EE0277"/>
    <w:rsid w:val="00EE26D6"/>
    <w:rsid w:val="00EE3E00"/>
    <w:rsid w:val="00EE5DD2"/>
    <w:rsid w:val="00EE7E3D"/>
    <w:rsid w:val="00EF3C90"/>
    <w:rsid w:val="00EF5C88"/>
    <w:rsid w:val="00EF7ADE"/>
    <w:rsid w:val="00F0049F"/>
    <w:rsid w:val="00F00A79"/>
    <w:rsid w:val="00F00E86"/>
    <w:rsid w:val="00F024B9"/>
    <w:rsid w:val="00F04A5D"/>
    <w:rsid w:val="00F07C1E"/>
    <w:rsid w:val="00F105DB"/>
    <w:rsid w:val="00F132BC"/>
    <w:rsid w:val="00F13D80"/>
    <w:rsid w:val="00F16AAA"/>
    <w:rsid w:val="00F21161"/>
    <w:rsid w:val="00F218EF"/>
    <w:rsid w:val="00F21BC7"/>
    <w:rsid w:val="00F23650"/>
    <w:rsid w:val="00F25B34"/>
    <w:rsid w:val="00F266A2"/>
    <w:rsid w:val="00F26C19"/>
    <w:rsid w:val="00F3166B"/>
    <w:rsid w:val="00F32269"/>
    <w:rsid w:val="00F35CA5"/>
    <w:rsid w:val="00F459B6"/>
    <w:rsid w:val="00F5140C"/>
    <w:rsid w:val="00F52873"/>
    <w:rsid w:val="00F56A6F"/>
    <w:rsid w:val="00F56F2F"/>
    <w:rsid w:val="00F5709C"/>
    <w:rsid w:val="00F64EF1"/>
    <w:rsid w:val="00F71F73"/>
    <w:rsid w:val="00F74B33"/>
    <w:rsid w:val="00F84FCE"/>
    <w:rsid w:val="00F8567F"/>
    <w:rsid w:val="00F8765F"/>
    <w:rsid w:val="00F90767"/>
    <w:rsid w:val="00F97933"/>
    <w:rsid w:val="00FA28DC"/>
    <w:rsid w:val="00FA685B"/>
    <w:rsid w:val="00FA7358"/>
    <w:rsid w:val="00FB08C8"/>
    <w:rsid w:val="00FB0C01"/>
    <w:rsid w:val="00FB0F60"/>
    <w:rsid w:val="00FB2D36"/>
    <w:rsid w:val="00FB3EA3"/>
    <w:rsid w:val="00FB4952"/>
    <w:rsid w:val="00FB54D5"/>
    <w:rsid w:val="00FB7DE8"/>
    <w:rsid w:val="00FC11A0"/>
    <w:rsid w:val="00FC18F2"/>
    <w:rsid w:val="00FC39E5"/>
    <w:rsid w:val="00FC3A78"/>
    <w:rsid w:val="00FC406D"/>
    <w:rsid w:val="00FD0AF1"/>
    <w:rsid w:val="00FD1005"/>
    <w:rsid w:val="00FD10BA"/>
    <w:rsid w:val="00FD28B7"/>
    <w:rsid w:val="00FD51AE"/>
    <w:rsid w:val="00FD6C75"/>
    <w:rsid w:val="00FE3A10"/>
    <w:rsid w:val="00FE71B3"/>
    <w:rsid w:val="00FE7D92"/>
    <w:rsid w:val="00FF0BF1"/>
    <w:rsid w:val="00FF3EDF"/>
    <w:rsid w:val="00FF42C5"/>
    <w:rsid w:val="00FF49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1816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5">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emiHidden/>
    <w:rsid w:val="00D30B69"/>
    <w:rPr>
      <w:rFonts w:eastAsiaTheme="minorEastAsia"/>
      <w:sz w:val="24"/>
    </w:rPr>
  </w:style>
  <w:style w:type="paragraph" w:styleId="Nagwek1">
    <w:name w:val="heading 1"/>
    <w:basedOn w:val="Normalny"/>
    <w:next w:val="Normalny"/>
    <w:link w:val="Nagwek1Znak"/>
    <w:uiPriority w:val="99"/>
    <w:semiHidden/>
    <w:rsid w:val="00D30B6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30B6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30B6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30B6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30B69"/>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30B6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30B69"/>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30B6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30B6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30B69"/>
    <w:rPr>
      <w:rFonts w:ascii="Tahoma" w:hAnsi="Tahoma" w:cs="Tahoma"/>
      <w:sz w:val="16"/>
      <w:szCs w:val="16"/>
    </w:rPr>
  </w:style>
  <w:style w:type="character" w:customStyle="1" w:styleId="TekstdymkaZnak">
    <w:name w:val="Tekst dymka Znak"/>
    <w:basedOn w:val="Domylnaczcionkaakapitu"/>
    <w:link w:val="Tekstdymka"/>
    <w:uiPriority w:val="99"/>
    <w:semiHidden/>
    <w:rsid w:val="00D30B69"/>
    <w:rPr>
      <w:rFonts w:ascii="Tahoma" w:eastAsiaTheme="minorEastAsia" w:hAnsi="Tahoma" w:cs="Tahoma"/>
      <w:sz w:val="16"/>
      <w:szCs w:val="16"/>
      <w:lang w:val="pl-PL"/>
    </w:rPr>
  </w:style>
  <w:style w:type="character" w:styleId="Tytuksiki">
    <w:name w:val="Book Title"/>
    <w:uiPriority w:val="99"/>
    <w:semiHidden/>
    <w:qFormat/>
    <w:rsid w:val="00D30B69"/>
    <w:rPr>
      <w:i/>
      <w:iCs/>
      <w:smallCaps/>
      <w:spacing w:val="5"/>
    </w:rPr>
  </w:style>
  <w:style w:type="paragraph" w:customStyle="1" w:styleId="JuHeader">
    <w:name w:val="Ju_Header"/>
    <w:aliases w:val="_Header"/>
    <w:basedOn w:val="Nagwek"/>
    <w:uiPriority w:val="29"/>
    <w:qFormat/>
    <w:rsid w:val="00D30B69"/>
    <w:pPr>
      <w:tabs>
        <w:tab w:val="clear" w:pos="4536"/>
        <w:tab w:val="clear" w:pos="9072"/>
        <w:tab w:val="center" w:pos="3686"/>
        <w:tab w:val="right" w:pos="7371"/>
      </w:tabs>
    </w:pPr>
    <w:rPr>
      <w:sz w:val="18"/>
    </w:rPr>
  </w:style>
  <w:style w:type="paragraph" w:customStyle="1" w:styleId="ECHRFooter">
    <w:name w:val="ECHR_Footer"/>
    <w:aliases w:val="Footer_ECHR"/>
    <w:basedOn w:val="Stopka"/>
    <w:uiPriority w:val="57"/>
    <w:semiHidden/>
    <w:rsid w:val="001B7151"/>
    <w:rPr>
      <w:sz w:val="8"/>
    </w:rPr>
  </w:style>
  <w:style w:type="character" w:styleId="Pogrubienie">
    <w:name w:val="Strong"/>
    <w:uiPriority w:val="99"/>
    <w:semiHidden/>
    <w:qFormat/>
    <w:rsid w:val="00D30B69"/>
    <w:rPr>
      <w:b/>
      <w:bCs/>
    </w:rPr>
  </w:style>
  <w:style w:type="paragraph" w:styleId="Bezodstpw">
    <w:name w:val="No Spacing"/>
    <w:basedOn w:val="Normalny"/>
    <w:link w:val="BezodstpwZnak"/>
    <w:semiHidden/>
    <w:qFormat/>
    <w:rsid w:val="00D30B69"/>
  </w:style>
  <w:style w:type="character" w:customStyle="1" w:styleId="BezodstpwZnak">
    <w:name w:val="Bez odstępów Znak"/>
    <w:basedOn w:val="Domylnaczcionkaakapitu"/>
    <w:link w:val="Bezodstpw"/>
    <w:semiHidden/>
    <w:rsid w:val="00D30B69"/>
    <w:rPr>
      <w:rFonts w:eastAsiaTheme="minorEastAsia"/>
      <w:sz w:val="24"/>
      <w:lang w:val="pl-PL"/>
    </w:rPr>
  </w:style>
  <w:style w:type="paragraph" w:customStyle="1" w:styleId="FooterLine">
    <w:name w:val="_Footer_Line"/>
    <w:aliases w:val="Footer_Line"/>
    <w:basedOn w:val="Normalny"/>
    <w:next w:val="Footer"/>
    <w:uiPriority w:val="57"/>
    <w:semiHidden/>
    <w:rsid w:val="00D30B69"/>
    <w:pPr>
      <w:pBdr>
        <w:top w:val="single" w:sz="6" w:space="1" w:color="5F5F5F"/>
      </w:pBdr>
      <w:tabs>
        <w:tab w:val="center" w:pos="4536"/>
        <w:tab w:val="right" w:pos="9696"/>
      </w:tabs>
      <w:ind w:left="-680" w:right="-680"/>
    </w:pPr>
    <w:rPr>
      <w:color w:val="5F5F5F"/>
    </w:rPr>
  </w:style>
  <w:style w:type="paragraph" w:customStyle="1" w:styleId="DecHTitle">
    <w:name w:val="Dec_H_Title"/>
    <w:aliases w:val="_Title_1"/>
    <w:basedOn w:val="JuPara"/>
    <w:next w:val="JuPara"/>
    <w:uiPriority w:val="35"/>
    <w:qFormat/>
    <w:rsid w:val="00D30B69"/>
    <w:pPr>
      <w:keepNext/>
      <w:keepLines/>
      <w:spacing w:after="240"/>
      <w:ind w:firstLine="0"/>
      <w:jc w:val="center"/>
      <w:outlineLvl w:val="0"/>
    </w:pPr>
    <w:rPr>
      <w:rFonts w:asciiTheme="majorHAnsi" w:hAnsiTheme="majorHAnsi"/>
      <w:sz w:val="28"/>
    </w:rPr>
  </w:style>
  <w:style w:type="paragraph" w:customStyle="1" w:styleId="DecList">
    <w:name w:val="Dec_List"/>
    <w:aliases w:val="_List"/>
    <w:basedOn w:val="JuList"/>
    <w:uiPriority w:val="22"/>
    <w:rsid w:val="00D30B69"/>
    <w:pPr>
      <w:numPr>
        <w:numId w:val="0"/>
      </w:numPr>
      <w:ind w:left="340"/>
    </w:pPr>
  </w:style>
  <w:style w:type="paragraph" w:customStyle="1" w:styleId="NormalJustified">
    <w:name w:val="Normal_Justified"/>
    <w:basedOn w:val="Normalny"/>
    <w:semiHidden/>
    <w:rsid w:val="00D30B69"/>
    <w:pPr>
      <w:jc w:val="both"/>
    </w:pPr>
  </w:style>
  <w:style w:type="paragraph" w:customStyle="1" w:styleId="JuHArticle">
    <w:name w:val="Ju_H_Article"/>
    <w:aliases w:val="_Title_Quote"/>
    <w:basedOn w:val="Normalny"/>
    <w:next w:val="JuQuot"/>
    <w:uiPriority w:val="20"/>
    <w:qFormat/>
    <w:rsid w:val="00D30B69"/>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D30B69"/>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D30B69"/>
    <w:pPr>
      <w:numPr>
        <w:numId w:val="6"/>
      </w:numPr>
    </w:pPr>
  </w:style>
  <w:style w:type="paragraph" w:customStyle="1" w:styleId="JuCourt">
    <w:name w:val="Ju_Court"/>
    <w:basedOn w:val="Normalny"/>
    <w:next w:val="Normalny"/>
    <w:uiPriority w:val="31"/>
    <w:qFormat/>
    <w:rsid w:val="00D30B6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D30B69"/>
    <w:pPr>
      <w:tabs>
        <w:tab w:val="center" w:pos="6407"/>
      </w:tabs>
      <w:spacing w:before="720"/>
      <w:jc w:val="right"/>
    </w:pPr>
  </w:style>
  <w:style w:type="paragraph" w:customStyle="1" w:styleId="DecHCase">
    <w:name w:val="Dec_H_Case"/>
    <w:aliases w:val="_Title_3"/>
    <w:basedOn w:val="JuPara"/>
    <w:next w:val="JuPara"/>
    <w:uiPriority w:val="35"/>
    <w:qFormat/>
    <w:rsid w:val="00D30B69"/>
    <w:pPr>
      <w:keepNext/>
      <w:keepLines/>
      <w:spacing w:after="280"/>
      <w:ind w:firstLine="0"/>
      <w:jc w:val="center"/>
    </w:pPr>
    <w:rPr>
      <w:rFonts w:asciiTheme="majorHAnsi" w:hAnsiTheme="majorHAnsi"/>
    </w:rPr>
  </w:style>
  <w:style w:type="paragraph" w:customStyle="1" w:styleId="JuListi">
    <w:name w:val="Ju_List_i"/>
    <w:aliases w:val="_List_3"/>
    <w:basedOn w:val="NormalJustified"/>
    <w:uiPriority w:val="23"/>
    <w:rsid w:val="00D30B69"/>
    <w:pPr>
      <w:numPr>
        <w:ilvl w:val="2"/>
        <w:numId w:val="29"/>
      </w:numPr>
    </w:pPr>
  </w:style>
  <w:style w:type="paragraph" w:styleId="Tytu">
    <w:name w:val="Title"/>
    <w:basedOn w:val="Normalny"/>
    <w:next w:val="Normalny"/>
    <w:link w:val="TytuZnak"/>
    <w:uiPriority w:val="99"/>
    <w:semiHidden/>
    <w:qFormat/>
    <w:rsid w:val="00D30B6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30B69"/>
    <w:rPr>
      <w:rFonts w:asciiTheme="majorHAnsi" w:eastAsiaTheme="majorEastAsia" w:hAnsiTheme="majorHAnsi" w:cstheme="majorBidi"/>
      <w:spacing w:val="5"/>
      <w:sz w:val="52"/>
      <w:szCs w:val="52"/>
      <w:lang w:val="pl-PL" w:bidi="en-US"/>
    </w:rPr>
  </w:style>
  <w:style w:type="character" w:customStyle="1" w:styleId="JUNAMES">
    <w:name w:val="JU_NAMES"/>
    <w:uiPriority w:val="34"/>
    <w:qFormat/>
    <w:rsid w:val="00D30B69"/>
    <w:rPr>
      <w:caps w:val="0"/>
      <w:smallCaps/>
    </w:rPr>
  </w:style>
  <w:style w:type="paragraph" w:customStyle="1" w:styleId="JuH1">
    <w:name w:val="Ju_H_1."/>
    <w:aliases w:val="_Head_4"/>
    <w:basedOn w:val="Normalny"/>
    <w:next w:val="JuPara"/>
    <w:uiPriority w:val="19"/>
    <w:rsid w:val="00D30B69"/>
    <w:pPr>
      <w:keepNext/>
      <w:keepLines/>
      <w:numPr>
        <w:ilvl w:val="3"/>
        <w:numId w:val="26"/>
      </w:numPr>
      <w:spacing w:before="100" w:beforeAutospacing="1" w:after="120"/>
      <w:jc w:val="both"/>
      <w:outlineLvl w:val="3"/>
    </w:pPr>
    <w:rPr>
      <w:i/>
    </w:rPr>
  </w:style>
  <w:style w:type="paragraph" w:customStyle="1" w:styleId="JuHa0">
    <w:name w:val="Ju_H_a"/>
    <w:aliases w:val="_Head_5"/>
    <w:basedOn w:val="Normalny"/>
    <w:next w:val="JuPara"/>
    <w:uiPriority w:val="19"/>
    <w:rsid w:val="00D30B69"/>
    <w:pPr>
      <w:keepNext/>
      <w:keepLines/>
      <w:numPr>
        <w:ilvl w:val="4"/>
        <w:numId w:val="26"/>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D30B69"/>
    <w:pPr>
      <w:keepNext/>
      <w:keepLines/>
      <w:numPr>
        <w:ilvl w:val="5"/>
        <w:numId w:val="26"/>
      </w:numPr>
      <w:spacing w:before="100" w:beforeAutospacing="1" w:after="120"/>
      <w:jc w:val="both"/>
      <w:outlineLvl w:val="5"/>
    </w:pPr>
    <w:rPr>
      <w:i/>
      <w:sz w:val="20"/>
    </w:rPr>
  </w:style>
  <w:style w:type="paragraph" w:customStyle="1" w:styleId="JuHalpha">
    <w:name w:val="Ju_H_alpha"/>
    <w:aliases w:val="_Head_7"/>
    <w:basedOn w:val="Normalny"/>
    <w:next w:val="JuPara"/>
    <w:uiPriority w:val="19"/>
    <w:rsid w:val="00D30B69"/>
    <w:pPr>
      <w:keepNext/>
      <w:keepLines/>
      <w:numPr>
        <w:ilvl w:val="6"/>
        <w:numId w:val="26"/>
      </w:numPr>
      <w:spacing w:before="100" w:beforeAutospacing="1" w:after="120"/>
      <w:jc w:val="both"/>
      <w:outlineLvl w:val="6"/>
    </w:pPr>
    <w:rPr>
      <w:sz w:val="20"/>
    </w:rPr>
  </w:style>
  <w:style w:type="paragraph" w:customStyle="1" w:styleId="JuH">
    <w:name w:val="Ju_H_–"/>
    <w:aliases w:val="_Head_8"/>
    <w:basedOn w:val="Normalny"/>
    <w:next w:val="JuPara"/>
    <w:uiPriority w:val="19"/>
    <w:rsid w:val="00D30B69"/>
    <w:pPr>
      <w:keepNext/>
      <w:keepLines/>
      <w:numPr>
        <w:ilvl w:val="7"/>
        <w:numId w:val="26"/>
      </w:numPr>
      <w:spacing w:before="100" w:beforeAutospacing="1" w:after="120"/>
      <w:jc w:val="both"/>
      <w:outlineLvl w:val="7"/>
    </w:pPr>
    <w:rPr>
      <w:i/>
      <w:sz w:val="20"/>
    </w:rPr>
  </w:style>
  <w:style w:type="numbering" w:customStyle="1" w:styleId="ECHRA1StyleList">
    <w:name w:val="ECHR_A1_Style_List"/>
    <w:basedOn w:val="Bezlisty"/>
    <w:uiPriority w:val="99"/>
    <w:rsid w:val="00D30B69"/>
    <w:pPr>
      <w:numPr>
        <w:numId w:val="7"/>
      </w:numPr>
    </w:pPr>
  </w:style>
  <w:style w:type="numbering" w:customStyle="1" w:styleId="ECHRA1StyleNumberedList">
    <w:name w:val="ECHR_A1_Style_Numbered_List"/>
    <w:basedOn w:val="Bezlisty"/>
    <w:rsid w:val="00D30B69"/>
    <w:pPr>
      <w:numPr>
        <w:numId w:val="8"/>
      </w:numPr>
    </w:pPr>
  </w:style>
  <w:style w:type="paragraph" w:styleId="Nagwek">
    <w:name w:val="header"/>
    <w:basedOn w:val="Normalny"/>
    <w:link w:val="NagwekZnak"/>
    <w:uiPriority w:val="57"/>
    <w:semiHidden/>
    <w:rsid w:val="00D30B6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30B69"/>
    <w:rPr>
      <w:sz w:val="24"/>
      <w:lang w:val="pl-PL"/>
    </w:rPr>
  </w:style>
  <w:style w:type="character" w:customStyle="1" w:styleId="Nagwek1Znak">
    <w:name w:val="Nagłówek 1 Znak"/>
    <w:basedOn w:val="Domylnaczcionkaakapitu"/>
    <w:link w:val="Nagwek1"/>
    <w:uiPriority w:val="99"/>
    <w:semiHidden/>
    <w:rsid w:val="00D30B69"/>
    <w:rPr>
      <w:rFonts w:asciiTheme="majorHAnsi" w:eastAsiaTheme="majorEastAsia" w:hAnsiTheme="majorHAnsi" w:cstheme="majorBidi"/>
      <w:b/>
      <w:bCs/>
      <w:color w:val="333333"/>
      <w:sz w:val="28"/>
      <w:szCs w:val="28"/>
      <w:lang w:val="pl-PL"/>
    </w:rPr>
  </w:style>
  <w:style w:type="paragraph" w:customStyle="1" w:styleId="JuHIRoman">
    <w:name w:val="Ju_H_I_Roman"/>
    <w:aliases w:val="_Head_2"/>
    <w:basedOn w:val="Normalny"/>
    <w:next w:val="JuPara"/>
    <w:uiPriority w:val="19"/>
    <w:qFormat/>
    <w:rsid w:val="00D30B69"/>
    <w:pPr>
      <w:keepNext/>
      <w:keepLines/>
      <w:numPr>
        <w:ilvl w:val="1"/>
        <w:numId w:val="26"/>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D30B69"/>
    <w:pPr>
      <w:keepNext/>
      <w:keepLines/>
      <w:numPr>
        <w:ilvl w:val="2"/>
        <w:numId w:val="26"/>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D30B69"/>
    <w:rPr>
      <w:rFonts w:asciiTheme="majorHAnsi" w:eastAsiaTheme="majorEastAsia" w:hAnsiTheme="majorHAnsi" w:cstheme="majorBidi"/>
      <w:b/>
      <w:bCs/>
      <w:color w:val="4D4D4D"/>
      <w:sz w:val="26"/>
      <w:szCs w:val="26"/>
      <w:lang w:val="pl-PL"/>
    </w:rPr>
  </w:style>
  <w:style w:type="paragraph" w:customStyle="1" w:styleId="JuTitle">
    <w:name w:val="Ju_Title"/>
    <w:aliases w:val="_Title_2"/>
    <w:basedOn w:val="Normalny"/>
    <w:next w:val="JuPara"/>
    <w:uiPriority w:val="35"/>
    <w:qFormat/>
    <w:rsid w:val="00D30B69"/>
    <w:pPr>
      <w:keepNext/>
      <w:keepLines/>
      <w:spacing w:before="1320" w:after="280"/>
      <w:contextualSpacing/>
      <w:jc w:val="center"/>
    </w:pPr>
    <w:rPr>
      <w:rFonts w:eastAsiaTheme="minorHAnsi"/>
      <w:b/>
    </w:rPr>
  </w:style>
  <w:style w:type="table" w:customStyle="1" w:styleId="ECHRTable2019">
    <w:name w:val="ECHR_Table_2019"/>
    <w:basedOn w:val="Standardowy"/>
    <w:uiPriority w:val="99"/>
    <w:rsid w:val="00D30B69"/>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Nagwek3Znak">
    <w:name w:val="Nagłówek 3 Znak"/>
    <w:basedOn w:val="Domylnaczcionkaakapitu"/>
    <w:link w:val="Nagwek3"/>
    <w:uiPriority w:val="99"/>
    <w:semiHidden/>
    <w:rsid w:val="00D30B69"/>
    <w:rPr>
      <w:rFonts w:asciiTheme="majorHAnsi" w:eastAsiaTheme="majorEastAsia" w:hAnsiTheme="majorHAnsi" w:cstheme="majorBidi"/>
      <w:b/>
      <w:bCs/>
      <w:color w:val="5F5F5F"/>
      <w:sz w:val="24"/>
      <w:lang w:val="pl-PL"/>
    </w:rPr>
  </w:style>
  <w:style w:type="paragraph" w:customStyle="1" w:styleId="JuJudges">
    <w:name w:val="Ju_Judges"/>
    <w:basedOn w:val="Normalny"/>
    <w:uiPriority w:val="31"/>
    <w:qFormat/>
    <w:rsid w:val="00D30B69"/>
    <w:pPr>
      <w:tabs>
        <w:tab w:val="left" w:pos="567"/>
        <w:tab w:val="left" w:pos="1134"/>
      </w:tabs>
    </w:pPr>
  </w:style>
  <w:style w:type="paragraph" w:customStyle="1" w:styleId="JuPara">
    <w:name w:val="Ju_Para"/>
    <w:aliases w:val="_Para"/>
    <w:basedOn w:val="NormalJustified"/>
    <w:link w:val="ECHRParaChar"/>
    <w:uiPriority w:val="8"/>
    <w:qFormat/>
    <w:rsid w:val="00D30B69"/>
    <w:pPr>
      <w:ind w:firstLine="284"/>
    </w:pPr>
  </w:style>
  <w:style w:type="character" w:customStyle="1" w:styleId="Nagwek4Znak">
    <w:name w:val="Nagłówek 4 Znak"/>
    <w:basedOn w:val="Domylnaczcionkaakapitu"/>
    <w:link w:val="Nagwek4"/>
    <w:uiPriority w:val="99"/>
    <w:semiHidden/>
    <w:rsid w:val="00D30B69"/>
    <w:rPr>
      <w:rFonts w:asciiTheme="majorHAnsi" w:eastAsiaTheme="majorEastAsia" w:hAnsiTheme="majorHAnsi" w:cstheme="majorBidi"/>
      <w:b/>
      <w:bCs/>
      <w:i/>
      <w:iCs/>
      <w:color w:val="777777"/>
      <w:sz w:val="24"/>
      <w:lang w:val="pl-PL"/>
    </w:rPr>
  </w:style>
  <w:style w:type="paragraph" w:customStyle="1" w:styleId="JuList">
    <w:name w:val="Ju_List"/>
    <w:aliases w:val="_List_1"/>
    <w:basedOn w:val="NormalJustified"/>
    <w:uiPriority w:val="23"/>
    <w:qFormat/>
    <w:rsid w:val="00D30B69"/>
    <w:pPr>
      <w:numPr>
        <w:numId w:val="29"/>
      </w:numPr>
      <w:spacing w:before="280" w:after="60"/>
    </w:pPr>
    <w:rPr>
      <w:rFonts w:eastAsiaTheme="minorHAnsi"/>
    </w:rPr>
  </w:style>
  <w:style w:type="character" w:customStyle="1" w:styleId="Nagwek5Znak">
    <w:name w:val="Nagłówek 5 Znak"/>
    <w:basedOn w:val="Domylnaczcionkaakapitu"/>
    <w:link w:val="Nagwek5"/>
    <w:uiPriority w:val="99"/>
    <w:semiHidden/>
    <w:rsid w:val="00D30B69"/>
    <w:rPr>
      <w:rFonts w:asciiTheme="majorHAnsi" w:eastAsiaTheme="majorEastAsia" w:hAnsiTheme="majorHAnsi" w:cstheme="majorBidi"/>
      <w:b/>
      <w:bCs/>
      <w:color w:val="808080"/>
      <w:sz w:val="24"/>
      <w:lang w:val="pl-PL"/>
    </w:rPr>
  </w:style>
  <w:style w:type="paragraph" w:customStyle="1" w:styleId="JuSigned">
    <w:name w:val="Ju_Signed"/>
    <w:aliases w:val="_Signature"/>
    <w:basedOn w:val="Normalny"/>
    <w:next w:val="JuPara"/>
    <w:uiPriority w:val="30"/>
    <w:qFormat/>
    <w:rsid w:val="00D30B69"/>
    <w:pPr>
      <w:tabs>
        <w:tab w:val="center" w:pos="851"/>
        <w:tab w:val="center" w:pos="6407"/>
      </w:tabs>
      <w:spacing w:before="720"/>
    </w:pPr>
  </w:style>
  <w:style w:type="paragraph" w:styleId="Poprawka">
    <w:name w:val="Revision"/>
    <w:hidden/>
    <w:uiPriority w:val="99"/>
    <w:semiHidden/>
    <w:rsid w:val="000055E6"/>
    <w:rPr>
      <w:rFonts w:eastAsiaTheme="minorEastAsia"/>
      <w:sz w:val="24"/>
    </w:rPr>
  </w:style>
  <w:style w:type="character" w:styleId="Wyrnieniedelikatne">
    <w:name w:val="Subtle Emphasis"/>
    <w:uiPriority w:val="99"/>
    <w:semiHidden/>
    <w:qFormat/>
    <w:rsid w:val="00D30B69"/>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30B69"/>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ny"/>
    <w:next w:val="JuPara"/>
    <w:uiPriority w:val="19"/>
    <w:qFormat/>
    <w:rsid w:val="00D30B69"/>
    <w:pPr>
      <w:keepNext/>
      <w:keepLines/>
      <w:numPr>
        <w:numId w:val="26"/>
      </w:numPr>
      <w:spacing w:before="100" w:beforeAutospacing="1" w:after="240"/>
      <w:jc w:val="both"/>
      <w:outlineLvl w:val="0"/>
    </w:pPr>
    <w:rPr>
      <w:caps/>
      <w:sz w:val="28"/>
    </w:rPr>
  </w:style>
  <w:style w:type="character" w:styleId="Uwydatnienie">
    <w:name w:val="Emphasis"/>
    <w:uiPriority w:val="99"/>
    <w:semiHidden/>
    <w:qFormat/>
    <w:rsid w:val="00D30B69"/>
    <w:rPr>
      <w:b/>
      <w:bCs/>
      <w:i/>
      <w:iCs/>
      <w:spacing w:val="10"/>
      <w:bdr w:val="none" w:sz="0" w:space="0" w:color="auto"/>
      <w:shd w:val="clear" w:color="auto" w:fill="auto"/>
    </w:rPr>
  </w:style>
  <w:style w:type="paragraph" w:styleId="Stopka">
    <w:name w:val="footer"/>
    <w:basedOn w:val="Normalny"/>
    <w:link w:val="StopkaZnak"/>
    <w:uiPriority w:val="57"/>
    <w:semiHidden/>
    <w:rsid w:val="00D30B6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30B69"/>
    <w:rPr>
      <w:sz w:val="24"/>
      <w:lang w:val="pl-PL"/>
    </w:rPr>
  </w:style>
  <w:style w:type="character" w:styleId="Odwoanieprzypisudolnego">
    <w:name w:val="footnote reference"/>
    <w:basedOn w:val="Domylnaczcionkaakapitu"/>
    <w:uiPriority w:val="99"/>
    <w:semiHidden/>
    <w:rsid w:val="00D30B69"/>
    <w:rPr>
      <w:vertAlign w:val="superscript"/>
    </w:rPr>
  </w:style>
  <w:style w:type="paragraph" w:styleId="Tekstprzypisudolnego">
    <w:name w:val="footnote text"/>
    <w:basedOn w:val="Normalny"/>
    <w:link w:val="TekstprzypisudolnegoZnak"/>
    <w:uiPriority w:val="99"/>
    <w:semiHidden/>
    <w:rsid w:val="00D30B69"/>
    <w:rPr>
      <w:sz w:val="20"/>
      <w:szCs w:val="20"/>
    </w:rPr>
  </w:style>
  <w:style w:type="character" w:customStyle="1" w:styleId="TekstprzypisudolnegoZnak">
    <w:name w:val="Tekst przypisu dolnego Znak"/>
    <w:basedOn w:val="Domylnaczcionkaakapitu"/>
    <w:link w:val="Tekstprzypisudolnego"/>
    <w:uiPriority w:val="99"/>
    <w:semiHidden/>
    <w:rsid w:val="00D30B69"/>
    <w:rPr>
      <w:rFonts w:eastAsiaTheme="minorEastAsia"/>
      <w:sz w:val="20"/>
      <w:szCs w:val="20"/>
      <w:lang w:val="pl-PL"/>
    </w:rPr>
  </w:style>
  <w:style w:type="character" w:customStyle="1" w:styleId="Nagwek6Znak">
    <w:name w:val="Nagłówek 6 Znak"/>
    <w:basedOn w:val="Domylnaczcionkaakapitu"/>
    <w:link w:val="Nagwek6"/>
    <w:uiPriority w:val="99"/>
    <w:semiHidden/>
    <w:rsid w:val="00D30B69"/>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D30B69"/>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D30B69"/>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D30B69"/>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D30B69"/>
    <w:rPr>
      <w:color w:val="0072BC" w:themeColor="hyperlink"/>
      <w:u w:val="single"/>
    </w:rPr>
  </w:style>
  <w:style w:type="character" w:styleId="Wyrnienieintensywne">
    <w:name w:val="Intense Emphasis"/>
    <w:uiPriority w:val="99"/>
    <w:semiHidden/>
    <w:qFormat/>
    <w:rsid w:val="00D30B69"/>
    <w:rPr>
      <w:b/>
      <w:bCs/>
    </w:rPr>
  </w:style>
  <w:style w:type="paragraph" w:styleId="Cytatintensywny">
    <w:name w:val="Intense Quote"/>
    <w:basedOn w:val="Normalny"/>
    <w:next w:val="Normalny"/>
    <w:link w:val="CytatintensywnyZnak"/>
    <w:uiPriority w:val="99"/>
    <w:semiHidden/>
    <w:qFormat/>
    <w:rsid w:val="00D30B6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30B69"/>
    <w:rPr>
      <w:rFonts w:eastAsiaTheme="minorEastAsia"/>
      <w:b/>
      <w:bCs/>
      <w:i/>
      <w:iCs/>
      <w:sz w:val="24"/>
      <w:lang w:val="pl-PL" w:bidi="en-US"/>
    </w:rPr>
  </w:style>
  <w:style w:type="character" w:styleId="Odwoanieintensywne">
    <w:name w:val="Intense Reference"/>
    <w:uiPriority w:val="99"/>
    <w:semiHidden/>
    <w:qFormat/>
    <w:rsid w:val="00D30B69"/>
    <w:rPr>
      <w:smallCaps/>
      <w:spacing w:val="5"/>
      <w:u w:val="single"/>
    </w:rPr>
  </w:style>
  <w:style w:type="paragraph" w:styleId="Akapitzlist">
    <w:name w:val="List Paragraph"/>
    <w:basedOn w:val="Normalny"/>
    <w:uiPriority w:val="99"/>
    <w:semiHidden/>
    <w:qFormat/>
    <w:rsid w:val="00D30B6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30B69"/>
    <w:pPr>
      <w:spacing w:before="200"/>
      <w:ind w:left="360" w:right="360"/>
    </w:pPr>
    <w:rPr>
      <w:i/>
      <w:iCs/>
      <w:lang w:bidi="en-US"/>
    </w:rPr>
  </w:style>
  <w:style w:type="character" w:customStyle="1" w:styleId="CytatZnak">
    <w:name w:val="Cytat Znak"/>
    <w:basedOn w:val="Domylnaczcionkaakapitu"/>
    <w:link w:val="Cytat"/>
    <w:uiPriority w:val="99"/>
    <w:semiHidden/>
    <w:rsid w:val="00D30B69"/>
    <w:rPr>
      <w:rFonts w:eastAsiaTheme="minorEastAsia"/>
      <w:i/>
      <w:iCs/>
      <w:sz w:val="24"/>
      <w:lang w:val="pl-PL" w:bidi="en-US"/>
    </w:rPr>
  </w:style>
  <w:style w:type="character" w:styleId="Odwoaniedelikatne">
    <w:name w:val="Subtle Reference"/>
    <w:uiPriority w:val="99"/>
    <w:semiHidden/>
    <w:qFormat/>
    <w:rsid w:val="00D30B69"/>
    <w:rPr>
      <w:smallCaps/>
    </w:rPr>
  </w:style>
  <w:style w:type="table" w:styleId="Tabela-Siatka">
    <w:name w:val="Table Grid"/>
    <w:basedOn w:val="Standardowy"/>
    <w:uiPriority w:val="59"/>
    <w:semiHidden/>
    <w:rsid w:val="00D30B6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30B6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30B6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30B6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30B6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30B6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30B6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30B69"/>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30B69"/>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D30B69"/>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30B6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uiPriority w:val="21"/>
    <w:qFormat/>
    <w:rsid w:val="00D30B69"/>
    <w:pPr>
      <w:spacing w:before="120" w:after="120"/>
      <w:ind w:left="425" w:firstLine="142"/>
    </w:pPr>
    <w:rPr>
      <w:sz w:val="20"/>
    </w:rPr>
  </w:style>
  <w:style w:type="table" w:customStyle="1" w:styleId="ECHRTableSimpleBox">
    <w:name w:val="ECHR_Table_Simple_Box"/>
    <w:basedOn w:val="Standardowy"/>
    <w:uiPriority w:val="99"/>
    <w:rsid w:val="00D30B69"/>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30B69"/>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D30B69"/>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B715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D30B69"/>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D30B69"/>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ParaLast">
    <w:name w:val="Ju_Para_Last"/>
    <w:aliases w:val="_Para_Spaced"/>
    <w:basedOn w:val="NormalJustified"/>
    <w:uiPriority w:val="9"/>
    <w:qFormat/>
    <w:rsid w:val="00D30B69"/>
    <w:pPr>
      <w:keepNext/>
      <w:keepLines/>
      <w:spacing w:before="240" w:after="240"/>
      <w:ind w:firstLine="284"/>
    </w:pPr>
    <w:rPr>
      <w:rFonts w:eastAsiaTheme="minorHAnsi"/>
    </w:rPr>
  </w:style>
  <w:style w:type="paragraph" w:customStyle="1" w:styleId="JuCase">
    <w:name w:val="Ju_Case"/>
    <w:basedOn w:val="Normalny"/>
    <w:next w:val="JuPara"/>
    <w:uiPriority w:val="31"/>
    <w:rsid w:val="00D30B69"/>
    <w:pPr>
      <w:ind w:firstLine="284"/>
    </w:pPr>
    <w:rPr>
      <w:b/>
    </w:rPr>
  </w:style>
  <w:style w:type="character" w:styleId="Numerstrony">
    <w:name w:val="page number"/>
    <w:uiPriority w:val="99"/>
    <w:semiHidden/>
    <w:rsid w:val="00D30B69"/>
    <w:rPr>
      <w:sz w:val="18"/>
    </w:rPr>
  </w:style>
  <w:style w:type="paragraph" w:customStyle="1" w:styleId="JuLista">
    <w:name w:val="Ju_List_a"/>
    <w:aliases w:val="_List_2"/>
    <w:basedOn w:val="NormalJustified"/>
    <w:uiPriority w:val="23"/>
    <w:rsid w:val="00D30B69"/>
    <w:pPr>
      <w:numPr>
        <w:ilvl w:val="1"/>
        <w:numId w:val="29"/>
      </w:numPr>
    </w:pPr>
  </w:style>
  <w:style w:type="paragraph" w:customStyle="1" w:styleId="Footer">
    <w:name w:val="_Footer"/>
    <w:aliases w:val="Footer_"/>
    <w:basedOn w:val="Stopka"/>
    <w:uiPriority w:val="57"/>
    <w:semiHidden/>
    <w:rsid w:val="00D30B69"/>
    <w:rPr>
      <w:sz w:val="8"/>
    </w:rPr>
  </w:style>
  <w:style w:type="character" w:styleId="Odwoaniedokomentarza">
    <w:name w:val="annotation reference"/>
    <w:basedOn w:val="Domylnaczcionkaakapitu"/>
    <w:uiPriority w:val="99"/>
    <w:semiHidden/>
    <w:rsid w:val="00D30B69"/>
    <w:rPr>
      <w:sz w:val="16"/>
      <w:szCs w:val="16"/>
    </w:rPr>
  </w:style>
  <w:style w:type="paragraph" w:styleId="Tekstkomentarza">
    <w:name w:val="annotation text"/>
    <w:basedOn w:val="Normalny"/>
    <w:link w:val="TekstkomentarzaZnak"/>
    <w:semiHidden/>
    <w:rsid w:val="00D30B69"/>
    <w:rPr>
      <w:sz w:val="20"/>
      <w:szCs w:val="20"/>
    </w:rPr>
  </w:style>
  <w:style w:type="character" w:customStyle="1" w:styleId="TekstkomentarzaZnak">
    <w:name w:val="Tekst komentarza Znak"/>
    <w:basedOn w:val="Domylnaczcionkaakapitu"/>
    <w:link w:val="Tekstkomentarza"/>
    <w:semiHidden/>
    <w:rsid w:val="00D30B69"/>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D30B69"/>
    <w:rPr>
      <w:b/>
      <w:bCs/>
    </w:rPr>
  </w:style>
  <w:style w:type="character" w:customStyle="1" w:styleId="TematkomentarzaZnak">
    <w:name w:val="Temat komentarza Znak"/>
    <w:basedOn w:val="TekstkomentarzaZnak"/>
    <w:link w:val="Tematkomentarza"/>
    <w:uiPriority w:val="99"/>
    <w:semiHidden/>
    <w:rsid w:val="00D30B69"/>
    <w:rPr>
      <w:rFonts w:eastAsiaTheme="minorEastAsia"/>
      <w:b/>
      <w:bCs/>
      <w:sz w:val="20"/>
      <w:szCs w:val="20"/>
      <w:lang w:val="pl-PL"/>
    </w:rPr>
  </w:style>
  <w:style w:type="character" w:styleId="Odwoanieprzypisukocowego">
    <w:name w:val="endnote reference"/>
    <w:basedOn w:val="Domylnaczcionkaakapitu"/>
    <w:uiPriority w:val="99"/>
    <w:semiHidden/>
    <w:rsid w:val="00D30B69"/>
    <w:rPr>
      <w:vertAlign w:val="superscript"/>
    </w:rPr>
  </w:style>
  <w:style w:type="paragraph" w:styleId="Tekstprzypisukocowego">
    <w:name w:val="endnote text"/>
    <w:basedOn w:val="Normalny"/>
    <w:link w:val="TekstprzypisukocowegoZnak"/>
    <w:uiPriority w:val="99"/>
    <w:semiHidden/>
    <w:rsid w:val="00D30B69"/>
    <w:rPr>
      <w:sz w:val="20"/>
      <w:szCs w:val="20"/>
    </w:rPr>
  </w:style>
  <w:style w:type="character" w:customStyle="1" w:styleId="TekstprzypisukocowegoZnak">
    <w:name w:val="Tekst przypisu końcowego Znak"/>
    <w:basedOn w:val="Domylnaczcionkaakapitu"/>
    <w:link w:val="Tekstprzypisukocowego"/>
    <w:uiPriority w:val="99"/>
    <w:semiHidden/>
    <w:rsid w:val="00D30B69"/>
    <w:rPr>
      <w:rFonts w:eastAsiaTheme="minorEastAsia"/>
      <w:sz w:val="20"/>
      <w:szCs w:val="20"/>
      <w:lang w:val="pl-PL"/>
    </w:rPr>
  </w:style>
  <w:style w:type="character" w:styleId="UyteHipercze">
    <w:name w:val="FollowedHyperlink"/>
    <w:basedOn w:val="Domylnaczcionkaakapitu"/>
    <w:uiPriority w:val="99"/>
    <w:semiHidden/>
    <w:rsid w:val="00D30B69"/>
    <w:rPr>
      <w:color w:val="7030A0" w:themeColor="followedHyperlink"/>
      <w:u w:val="single"/>
    </w:rPr>
  </w:style>
  <w:style w:type="paragraph" w:styleId="Mapadokumentu">
    <w:name w:val="Document Map"/>
    <w:basedOn w:val="Normalny"/>
    <w:link w:val="MapadokumentuZnak"/>
    <w:uiPriority w:val="99"/>
    <w:semiHidden/>
    <w:rsid w:val="00D30B69"/>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30B69"/>
    <w:rPr>
      <w:rFonts w:ascii="Tahoma" w:eastAsiaTheme="minorEastAsia" w:hAnsi="Tahoma" w:cs="Tahoma"/>
      <w:sz w:val="16"/>
      <w:szCs w:val="16"/>
      <w:lang w:val="pl-PL"/>
    </w:rPr>
  </w:style>
  <w:style w:type="paragraph" w:styleId="Listapunktowana">
    <w:name w:val="List Bullet"/>
    <w:basedOn w:val="Normalny"/>
    <w:uiPriority w:val="99"/>
    <w:semiHidden/>
    <w:rsid w:val="00D30B69"/>
    <w:pPr>
      <w:numPr>
        <w:numId w:val="36"/>
      </w:numPr>
    </w:pPr>
  </w:style>
  <w:style w:type="character" w:customStyle="1" w:styleId="JuITMark">
    <w:name w:val="Ju_ITMark"/>
    <w:basedOn w:val="Domylnaczcionkaakapitu"/>
    <w:uiPriority w:val="38"/>
    <w:qFormat/>
    <w:rsid w:val="00D30B69"/>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D30B6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30B69"/>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D30B69"/>
    <w:pPr>
      <w:numPr>
        <w:numId w:val="3"/>
      </w:numPr>
    </w:pPr>
  </w:style>
  <w:style w:type="numbering" w:styleId="1ai">
    <w:name w:val="Outline List 1"/>
    <w:basedOn w:val="Bezlisty"/>
    <w:uiPriority w:val="99"/>
    <w:semiHidden/>
    <w:unhideWhenUsed/>
    <w:rsid w:val="00D30B69"/>
    <w:pPr>
      <w:numPr>
        <w:numId w:val="4"/>
      </w:numPr>
    </w:pPr>
  </w:style>
  <w:style w:type="numbering" w:styleId="Artykusekcja">
    <w:name w:val="Outline List 3"/>
    <w:basedOn w:val="Bezlisty"/>
    <w:uiPriority w:val="99"/>
    <w:semiHidden/>
    <w:unhideWhenUsed/>
    <w:rsid w:val="00D30B69"/>
    <w:pPr>
      <w:numPr>
        <w:numId w:val="5"/>
      </w:numPr>
    </w:pPr>
  </w:style>
  <w:style w:type="paragraph" w:styleId="Bibliografia">
    <w:name w:val="Bibliography"/>
    <w:basedOn w:val="Normalny"/>
    <w:next w:val="Normalny"/>
    <w:uiPriority w:val="99"/>
    <w:semiHidden/>
    <w:rsid w:val="00D30B69"/>
  </w:style>
  <w:style w:type="paragraph" w:styleId="Tekstblokowy">
    <w:name w:val="Block Text"/>
    <w:basedOn w:val="Normalny"/>
    <w:uiPriority w:val="99"/>
    <w:semiHidden/>
    <w:rsid w:val="00D30B6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30B69"/>
    <w:pPr>
      <w:spacing w:after="120"/>
    </w:pPr>
  </w:style>
  <w:style w:type="character" w:customStyle="1" w:styleId="TekstpodstawowyZnak">
    <w:name w:val="Tekst podstawowy Znak"/>
    <w:basedOn w:val="Domylnaczcionkaakapitu"/>
    <w:link w:val="Tekstpodstawowy"/>
    <w:uiPriority w:val="99"/>
    <w:semiHidden/>
    <w:rsid w:val="00D30B69"/>
    <w:rPr>
      <w:rFonts w:eastAsiaTheme="minorEastAsia"/>
      <w:sz w:val="24"/>
      <w:lang w:val="pl-PL"/>
    </w:rPr>
  </w:style>
  <w:style w:type="paragraph" w:styleId="Tekstpodstawowy2">
    <w:name w:val="Body Text 2"/>
    <w:basedOn w:val="Normalny"/>
    <w:link w:val="Tekstpodstawowy2Znak"/>
    <w:uiPriority w:val="99"/>
    <w:semiHidden/>
    <w:rsid w:val="00D30B69"/>
    <w:pPr>
      <w:spacing w:after="120" w:line="480" w:lineRule="auto"/>
    </w:pPr>
  </w:style>
  <w:style w:type="character" w:customStyle="1" w:styleId="Tekstpodstawowy2Znak">
    <w:name w:val="Tekst podstawowy 2 Znak"/>
    <w:basedOn w:val="Domylnaczcionkaakapitu"/>
    <w:link w:val="Tekstpodstawowy2"/>
    <w:uiPriority w:val="99"/>
    <w:semiHidden/>
    <w:rsid w:val="00D30B69"/>
    <w:rPr>
      <w:rFonts w:eastAsiaTheme="minorEastAsia"/>
      <w:sz w:val="24"/>
      <w:lang w:val="pl-PL"/>
    </w:rPr>
  </w:style>
  <w:style w:type="paragraph" w:styleId="Tekstpodstawowy3">
    <w:name w:val="Body Text 3"/>
    <w:basedOn w:val="Normalny"/>
    <w:link w:val="Tekstpodstawowy3Znak"/>
    <w:uiPriority w:val="99"/>
    <w:semiHidden/>
    <w:rsid w:val="00D30B69"/>
    <w:pPr>
      <w:spacing w:after="120"/>
    </w:pPr>
    <w:rPr>
      <w:sz w:val="16"/>
      <w:szCs w:val="16"/>
    </w:rPr>
  </w:style>
  <w:style w:type="character" w:customStyle="1" w:styleId="Tekstpodstawowy3Znak">
    <w:name w:val="Tekst podstawowy 3 Znak"/>
    <w:basedOn w:val="Domylnaczcionkaakapitu"/>
    <w:link w:val="Tekstpodstawowy3"/>
    <w:uiPriority w:val="99"/>
    <w:semiHidden/>
    <w:rsid w:val="00D30B69"/>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D30B6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30B69"/>
    <w:rPr>
      <w:rFonts w:eastAsiaTheme="minorEastAsia"/>
      <w:sz w:val="24"/>
      <w:lang w:val="pl-PL"/>
    </w:rPr>
  </w:style>
  <w:style w:type="paragraph" w:styleId="Tekstpodstawowywcity">
    <w:name w:val="Body Text Indent"/>
    <w:basedOn w:val="Normalny"/>
    <w:link w:val="TekstpodstawowywcityZnak"/>
    <w:uiPriority w:val="99"/>
    <w:semiHidden/>
    <w:rsid w:val="00D30B69"/>
    <w:pPr>
      <w:spacing w:after="120"/>
      <w:ind w:left="283"/>
    </w:pPr>
  </w:style>
  <w:style w:type="character" w:customStyle="1" w:styleId="TekstpodstawowywcityZnak">
    <w:name w:val="Tekst podstawowy wcięty Znak"/>
    <w:basedOn w:val="Domylnaczcionkaakapitu"/>
    <w:link w:val="Tekstpodstawowywcity"/>
    <w:uiPriority w:val="99"/>
    <w:semiHidden/>
    <w:rsid w:val="00D30B69"/>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D30B6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30B69"/>
    <w:rPr>
      <w:rFonts w:eastAsiaTheme="minorEastAsia"/>
      <w:sz w:val="24"/>
      <w:lang w:val="pl-PL"/>
    </w:rPr>
  </w:style>
  <w:style w:type="paragraph" w:styleId="Tekstpodstawowywcity2">
    <w:name w:val="Body Text Indent 2"/>
    <w:basedOn w:val="Normalny"/>
    <w:link w:val="Tekstpodstawowywcity2Znak"/>
    <w:uiPriority w:val="99"/>
    <w:semiHidden/>
    <w:rsid w:val="00D30B6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30B69"/>
    <w:rPr>
      <w:rFonts w:eastAsiaTheme="minorEastAsia"/>
      <w:sz w:val="24"/>
      <w:lang w:val="pl-PL"/>
    </w:rPr>
  </w:style>
  <w:style w:type="paragraph" w:styleId="Tekstpodstawowywcity3">
    <w:name w:val="Body Text Indent 3"/>
    <w:basedOn w:val="Normalny"/>
    <w:link w:val="Tekstpodstawowywcity3Znak"/>
    <w:uiPriority w:val="99"/>
    <w:semiHidden/>
    <w:rsid w:val="00D30B6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30B69"/>
    <w:rPr>
      <w:rFonts w:eastAsiaTheme="minorEastAsia"/>
      <w:sz w:val="16"/>
      <w:szCs w:val="16"/>
      <w:lang w:val="pl-PL"/>
    </w:rPr>
  </w:style>
  <w:style w:type="paragraph" w:styleId="Legenda">
    <w:name w:val="caption"/>
    <w:basedOn w:val="Normalny"/>
    <w:next w:val="Normalny"/>
    <w:uiPriority w:val="99"/>
    <w:semiHidden/>
    <w:qFormat/>
    <w:rsid w:val="00D30B69"/>
    <w:pPr>
      <w:spacing w:after="200"/>
    </w:pPr>
    <w:rPr>
      <w:b/>
      <w:bCs/>
      <w:color w:val="0072BC" w:themeColor="accent1"/>
      <w:sz w:val="18"/>
      <w:szCs w:val="18"/>
    </w:rPr>
  </w:style>
  <w:style w:type="paragraph" w:styleId="Zwrotpoegnalny">
    <w:name w:val="Closing"/>
    <w:basedOn w:val="Normalny"/>
    <w:link w:val="ZwrotpoegnalnyZnak"/>
    <w:uiPriority w:val="99"/>
    <w:semiHidden/>
    <w:rsid w:val="00D30B69"/>
    <w:pPr>
      <w:ind w:left="4252"/>
    </w:pPr>
  </w:style>
  <w:style w:type="character" w:customStyle="1" w:styleId="ZwrotpoegnalnyZnak">
    <w:name w:val="Zwrot pożegnalny Znak"/>
    <w:basedOn w:val="Domylnaczcionkaakapitu"/>
    <w:link w:val="Zwrotpoegnalny"/>
    <w:uiPriority w:val="99"/>
    <w:semiHidden/>
    <w:rsid w:val="00D30B69"/>
    <w:rPr>
      <w:rFonts w:eastAsiaTheme="minorEastAsia"/>
      <w:sz w:val="24"/>
      <w:lang w:val="pl-PL"/>
    </w:rPr>
  </w:style>
  <w:style w:type="table" w:styleId="Kolorowasiatka">
    <w:name w:val="Colorful Grid"/>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30B69"/>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30B69"/>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30B69"/>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30B69"/>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30B69"/>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30B69"/>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30B69"/>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30B69"/>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30B69"/>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30B69"/>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30B69"/>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30B69"/>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30B69"/>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D30B69"/>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30B69"/>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30B69"/>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30B69"/>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30B69"/>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30B69"/>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30B69"/>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30B69"/>
  </w:style>
  <w:style w:type="character" w:customStyle="1" w:styleId="DataZnak">
    <w:name w:val="Data Znak"/>
    <w:basedOn w:val="Domylnaczcionkaakapitu"/>
    <w:link w:val="Data"/>
    <w:uiPriority w:val="99"/>
    <w:semiHidden/>
    <w:rsid w:val="00D30B69"/>
    <w:rPr>
      <w:rFonts w:eastAsiaTheme="minorEastAsia"/>
      <w:sz w:val="24"/>
      <w:lang w:val="pl-PL"/>
    </w:rPr>
  </w:style>
  <w:style w:type="paragraph" w:styleId="Podpise-mail">
    <w:name w:val="E-mail Signature"/>
    <w:basedOn w:val="Normalny"/>
    <w:link w:val="Podpise-mailZnak"/>
    <w:uiPriority w:val="99"/>
    <w:semiHidden/>
    <w:rsid w:val="00D30B69"/>
  </w:style>
  <w:style w:type="character" w:customStyle="1" w:styleId="Podpise-mailZnak">
    <w:name w:val="Podpis e-mail Znak"/>
    <w:basedOn w:val="Domylnaczcionkaakapitu"/>
    <w:link w:val="Podpise-mail"/>
    <w:uiPriority w:val="99"/>
    <w:semiHidden/>
    <w:rsid w:val="00D30B69"/>
    <w:rPr>
      <w:rFonts w:eastAsiaTheme="minorEastAsia"/>
      <w:sz w:val="24"/>
      <w:lang w:val="pl-PL"/>
    </w:rPr>
  </w:style>
  <w:style w:type="paragraph" w:styleId="Adresnakopercie">
    <w:name w:val="envelope address"/>
    <w:basedOn w:val="Normalny"/>
    <w:uiPriority w:val="99"/>
    <w:semiHidden/>
    <w:rsid w:val="00D30B6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30B6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30B69"/>
  </w:style>
  <w:style w:type="paragraph" w:styleId="HTML-adres">
    <w:name w:val="HTML Address"/>
    <w:basedOn w:val="Normalny"/>
    <w:link w:val="HTML-adresZnak"/>
    <w:uiPriority w:val="99"/>
    <w:semiHidden/>
    <w:rsid w:val="00D30B69"/>
    <w:rPr>
      <w:i/>
      <w:iCs/>
    </w:rPr>
  </w:style>
  <w:style w:type="character" w:customStyle="1" w:styleId="HTML-adresZnak">
    <w:name w:val="HTML - adres Znak"/>
    <w:basedOn w:val="Domylnaczcionkaakapitu"/>
    <w:link w:val="HTML-adres"/>
    <w:uiPriority w:val="99"/>
    <w:semiHidden/>
    <w:rsid w:val="00D30B69"/>
    <w:rPr>
      <w:rFonts w:eastAsiaTheme="minorEastAsia"/>
      <w:i/>
      <w:iCs/>
      <w:sz w:val="24"/>
      <w:lang w:val="pl-PL"/>
    </w:rPr>
  </w:style>
  <w:style w:type="character" w:styleId="HTML-cytat">
    <w:name w:val="HTML Cite"/>
    <w:basedOn w:val="Domylnaczcionkaakapitu"/>
    <w:uiPriority w:val="99"/>
    <w:semiHidden/>
    <w:rsid w:val="00D30B69"/>
    <w:rPr>
      <w:i/>
      <w:iCs/>
    </w:rPr>
  </w:style>
  <w:style w:type="character" w:styleId="HTML-kod">
    <w:name w:val="HTML Code"/>
    <w:basedOn w:val="Domylnaczcionkaakapitu"/>
    <w:uiPriority w:val="99"/>
    <w:semiHidden/>
    <w:rsid w:val="00D30B69"/>
    <w:rPr>
      <w:rFonts w:ascii="Consolas" w:hAnsi="Consolas" w:cs="Consolas"/>
      <w:sz w:val="20"/>
      <w:szCs w:val="20"/>
    </w:rPr>
  </w:style>
  <w:style w:type="character" w:styleId="HTML-definicja">
    <w:name w:val="HTML Definition"/>
    <w:basedOn w:val="Domylnaczcionkaakapitu"/>
    <w:uiPriority w:val="99"/>
    <w:semiHidden/>
    <w:rsid w:val="00D30B69"/>
    <w:rPr>
      <w:i/>
      <w:iCs/>
    </w:rPr>
  </w:style>
  <w:style w:type="character" w:styleId="HTML-klawiatura">
    <w:name w:val="HTML Keyboard"/>
    <w:basedOn w:val="Domylnaczcionkaakapitu"/>
    <w:uiPriority w:val="99"/>
    <w:semiHidden/>
    <w:rsid w:val="00D30B69"/>
    <w:rPr>
      <w:rFonts w:ascii="Consolas" w:hAnsi="Consolas" w:cs="Consolas"/>
      <w:sz w:val="20"/>
      <w:szCs w:val="20"/>
    </w:rPr>
  </w:style>
  <w:style w:type="paragraph" w:styleId="HTML-wstpniesformatowany">
    <w:name w:val="HTML Preformatted"/>
    <w:basedOn w:val="Normalny"/>
    <w:link w:val="HTML-wstpniesformatowanyZnak"/>
    <w:uiPriority w:val="99"/>
    <w:semiHidden/>
    <w:rsid w:val="00D30B6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30B69"/>
    <w:rPr>
      <w:rFonts w:ascii="Consolas" w:eastAsiaTheme="minorEastAsia" w:hAnsi="Consolas" w:cs="Consolas"/>
      <w:sz w:val="20"/>
      <w:szCs w:val="20"/>
      <w:lang w:val="pl-PL"/>
    </w:rPr>
  </w:style>
  <w:style w:type="character" w:styleId="HTML-przykad">
    <w:name w:val="HTML Sample"/>
    <w:basedOn w:val="Domylnaczcionkaakapitu"/>
    <w:uiPriority w:val="99"/>
    <w:semiHidden/>
    <w:rsid w:val="00D30B69"/>
    <w:rPr>
      <w:rFonts w:ascii="Consolas" w:hAnsi="Consolas" w:cs="Consolas"/>
      <w:sz w:val="24"/>
      <w:szCs w:val="24"/>
    </w:rPr>
  </w:style>
  <w:style w:type="character" w:styleId="HTML-staaszeroko">
    <w:name w:val="HTML Typewriter"/>
    <w:basedOn w:val="Domylnaczcionkaakapitu"/>
    <w:uiPriority w:val="99"/>
    <w:semiHidden/>
    <w:rsid w:val="00D30B69"/>
    <w:rPr>
      <w:rFonts w:ascii="Consolas" w:hAnsi="Consolas" w:cs="Consolas"/>
      <w:sz w:val="20"/>
      <w:szCs w:val="20"/>
    </w:rPr>
  </w:style>
  <w:style w:type="character" w:styleId="HTML-zmienna">
    <w:name w:val="HTML Variable"/>
    <w:basedOn w:val="Domylnaczcionkaakapitu"/>
    <w:uiPriority w:val="99"/>
    <w:semiHidden/>
    <w:rsid w:val="00D30B69"/>
    <w:rPr>
      <w:i/>
      <w:iCs/>
    </w:rPr>
  </w:style>
  <w:style w:type="paragraph" w:styleId="Indeks1">
    <w:name w:val="index 1"/>
    <w:basedOn w:val="Normalny"/>
    <w:next w:val="Normalny"/>
    <w:autoRedefine/>
    <w:uiPriority w:val="99"/>
    <w:semiHidden/>
    <w:rsid w:val="00D30B69"/>
    <w:pPr>
      <w:ind w:left="240" w:hanging="240"/>
    </w:pPr>
  </w:style>
  <w:style w:type="paragraph" w:styleId="Indeks2">
    <w:name w:val="index 2"/>
    <w:basedOn w:val="Normalny"/>
    <w:next w:val="Normalny"/>
    <w:autoRedefine/>
    <w:uiPriority w:val="99"/>
    <w:semiHidden/>
    <w:rsid w:val="00D30B69"/>
    <w:pPr>
      <w:ind w:left="480" w:hanging="240"/>
    </w:pPr>
  </w:style>
  <w:style w:type="paragraph" w:styleId="Indeks3">
    <w:name w:val="index 3"/>
    <w:basedOn w:val="Normalny"/>
    <w:next w:val="Normalny"/>
    <w:autoRedefine/>
    <w:uiPriority w:val="99"/>
    <w:semiHidden/>
    <w:rsid w:val="00D30B69"/>
    <w:pPr>
      <w:ind w:left="720" w:hanging="240"/>
    </w:pPr>
  </w:style>
  <w:style w:type="paragraph" w:styleId="Indeks4">
    <w:name w:val="index 4"/>
    <w:basedOn w:val="Normalny"/>
    <w:next w:val="Normalny"/>
    <w:autoRedefine/>
    <w:uiPriority w:val="99"/>
    <w:semiHidden/>
    <w:rsid w:val="00D30B69"/>
    <w:pPr>
      <w:ind w:left="960" w:hanging="240"/>
    </w:pPr>
  </w:style>
  <w:style w:type="paragraph" w:styleId="Indeks5">
    <w:name w:val="index 5"/>
    <w:basedOn w:val="Normalny"/>
    <w:next w:val="Normalny"/>
    <w:autoRedefine/>
    <w:uiPriority w:val="99"/>
    <w:semiHidden/>
    <w:rsid w:val="00D30B69"/>
    <w:pPr>
      <w:ind w:left="1200" w:hanging="240"/>
    </w:pPr>
  </w:style>
  <w:style w:type="paragraph" w:styleId="Indeks6">
    <w:name w:val="index 6"/>
    <w:basedOn w:val="Normalny"/>
    <w:next w:val="Normalny"/>
    <w:autoRedefine/>
    <w:uiPriority w:val="99"/>
    <w:semiHidden/>
    <w:rsid w:val="00D30B69"/>
    <w:pPr>
      <w:ind w:left="1440" w:hanging="240"/>
    </w:pPr>
  </w:style>
  <w:style w:type="paragraph" w:styleId="Indeks7">
    <w:name w:val="index 7"/>
    <w:basedOn w:val="Normalny"/>
    <w:next w:val="Normalny"/>
    <w:autoRedefine/>
    <w:uiPriority w:val="99"/>
    <w:semiHidden/>
    <w:rsid w:val="00D30B69"/>
    <w:pPr>
      <w:ind w:left="1680" w:hanging="240"/>
    </w:pPr>
  </w:style>
  <w:style w:type="paragraph" w:styleId="Indeks8">
    <w:name w:val="index 8"/>
    <w:basedOn w:val="Normalny"/>
    <w:next w:val="Normalny"/>
    <w:autoRedefine/>
    <w:uiPriority w:val="99"/>
    <w:semiHidden/>
    <w:rsid w:val="00D30B69"/>
    <w:pPr>
      <w:ind w:left="1920" w:hanging="240"/>
    </w:pPr>
  </w:style>
  <w:style w:type="paragraph" w:styleId="Indeks9">
    <w:name w:val="index 9"/>
    <w:basedOn w:val="Normalny"/>
    <w:next w:val="Normalny"/>
    <w:autoRedefine/>
    <w:uiPriority w:val="99"/>
    <w:semiHidden/>
    <w:rsid w:val="00D30B69"/>
    <w:pPr>
      <w:ind w:left="2160" w:hanging="240"/>
    </w:pPr>
  </w:style>
  <w:style w:type="paragraph" w:styleId="Nagwekindeksu">
    <w:name w:val="index heading"/>
    <w:basedOn w:val="Normalny"/>
    <w:next w:val="Indeks1"/>
    <w:uiPriority w:val="99"/>
    <w:semiHidden/>
    <w:rsid w:val="00D30B69"/>
    <w:rPr>
      <w:rFonts w:asciiTheme="majorHAnsi" w:eastAsiaTheme="majorEastAsia" w:hAnsiTheme="majorHAnsi" w:cstheme="majorBidi"/>
      <w:b/>
      <w:bCs/>
    </w:rPr>
  </w:style>
  <w:style w:type="table" w:styleId="Jasnasiatka">
    <w:name w:val="Light Grid"/>
    <w:basedOn w:val="Standardowy"/>
    <w:uiPriority w:val="62"/>
    <w:semiHidden/>
    <w:rsid w:val="00D30B6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30B6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30B6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30B6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30B6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30B6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30B6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30B6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30B69"/>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30B69"/>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30B69"/>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30B69"/>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30B69"/>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30B69"/>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30B6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30B69"/>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30B69"/>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30B69"/>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30B69"/>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30B69"/>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30B69"/>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30B69"/>
  </w:style>
  <w:style w:type="paragraph" w:styleId="Lista">
    <w:name w:val="List"/>
    <w:basedOn w:val="Normalny"/>
    <w:uiPriority w:val="99"/>
    <w:semiHidden/>
    <w:rsid w:val="00D30B69"/>
    <w:pPr>
      <w:ind w:left="283" w:hanging="283"/>
      <w:contextualSpacing/>
    </w:pPr>
  </w:style>
  <w:style w:type="paragraph" w:styleId="Lista2">
    <w:name w:val="List 2"/>
    <w:basedOn w:val="Normalny"/>
    <w:uiPriority w:val="99"/>
    <w:semiHidden/>
    <w:rsid w:val="00D30B69"/>
    <w:pPr>
      <w:ind w:left="566" w:hanging="283"/>
      <w:contextualSpacing/>
    </w:pPr>
  </w:style>
  <w:style w:type="paragraph" w:styleId="Lista3">
    <w:name w:val="List 3"/>
    <w:basedOn w:val="Normalny"/>
    <w:uiPriority w:val="99"/>
    <w:semiHidden/>
    <w:rsid w:val="00D30B69"/>
    <w:pPr>
      <w:ind w:left="849" w:hanging="283"/>
      <w:contextualSpacing/>
    </w:pPr>
  </w:style>
  <w:style w:type="paragraph" w:styleId="Lista4">
    <w:name w:val="List 4"/>
    <w:basedOn w:val="Normalny"/>
    <w:uiPriority w:val="99"/>
    <w:semiHidden/>
    <w:rsid w:val="00D30B69"/>
    <w:pPr>
      <w:ind w:left="1132" w:hanging="283"/>
      <w:contextualSpacing/>
    </w:pPr>
  </w:style>
  <w:style w:type="paragraph" w:styleId="Lista5">
    <w:name w:val="List 5"/>
    <w:basedOn w:val="Normalny"/>
    <w:uiPriority w:val="99"/>
    <w:semiHidden/>
    <w:rsid w:val="00D30B69"/>
    <w:pPr>
      <w:ind w:left="1415" w:hanging="283"/>
      <w:contextualSpacing/>
    </w:pPr>
  </w:style>
  <w:style w:type="paragraph" w:styleId="Listapunktowana2">
    <w:name w:val="List Bullet 2"/>
    <w:basedOn w:val="Normalny"/>
    <w:uiPriority w:val="99"/>
    <w:semiHidden/>
    <w:rsid w:val="00D30B69"/>
    <w:pPr>
      <w:numPr>
        <w:numId w:val="37"/>
      </w:numPr>
      <w:contextualSpacing/>
    </w:pPr>
  </w:style>
  <w:style w:type="paragraph" w:styleId="Listapunktowana3">
    <w:name w:val="List Bullet 3"/>
    <w:basedOn w:val="Normalny"/>
    <w:uiPriority w:val="99"/>
    <w:semiHidden/>
    <w:rsid w:val="00D30B69"/>
    <w:pPr>
      <w:numPr>
        <w:numId w:val="38"/>
      </w:numPr>
      <w:contextualSpacing/>
    </w:pPr>
  </w:style>
  <w:style w:type="paragraph" w:styleId="Listapunktowana4">
    <w:name w:val="List Bullet 4"/>
    <w:basedOn w:val="Normalny"/>
    <w:uiPriority w:val="99"/>
    <w:semiHidden/>
    <w:rsid w:val="00D30B69"/>
    <w:pPr>
      <w:numPr>
        <w:numId w:val="39"/>
      </w:numPr>
      <w:contextualSpacing/>
    </w:pPr>
  </w:style>
  <w:style w:type="paragraph" w:styleId="Listapunktowana5">
    <w:name w:val="List Bullet 5"/>
    <w:basedOn w:val="Normalny"/>
    <w:uiPriority w:val="99"/>
    <w:semiHidden/>
    <w:rsid w:val="00D30B69"/>
    <w:pPr>
      <w:numPr>
        <w:numId w:val="40"/>
      </w:numPr>
      <w:contextualSpacing/>
    </w:pPr>
  </w:style>
  <w:style w:type="paragraph" w:styleId="Lista-kontynuacja">
    <w:name w:val="List Continue"/>
    <w:basedOn w:val="Normalny"/>
    <w:uiPriority w:val="99"/>
    <w:semiHidden/>
    <w:rsid w:val="00D30B69"/>
    <w:pPr>
      <w:spacing w:after="120"/>
      <w:ind w:left="283"/>
      <w:contextualSpacing/>
    </w:pPr>
  </w:style>
  <w:style w:type="paragraph" w:styleId="Lista-kontynuacja2">
    <w:name w:val="List Continue 2"/>
    <w:basedOn w:val="Normalny"/>
    <w:uiPriority w:val="99"/>
    <w:semiHidden/>
    <w:rsid w:val="00D30B69"/>
    <w:pPr>
      <w:spacing w:after="120"/>
      <w:ind w:left="566"/>
      <w:contextualSpacing/>
    </w:pPr>
  </w:style>
  <w:style w:type="paragraph" w:styleId="Lista-kontynuacja3">
    <w:name w:val="List Continue 3"/>
    <w:basedOn w:val="Normalny"/>
    <w:uiPriority w:val="99"/>
    <w:semiHidden/>
    <w:rsid w:val="00D30B69"/>
    <w:pPr>
      <w:spacing w:after="120"/>
      <w:ind w:left="849"/>
      <w:contextualSpacing/>
    </w:pPr>
  </w:style>
  <w:style w:type="paragraph" w:styleId="Lista-kontynuacja4">
    <w:name w:val="List Continue 4"/>
    <w:basedOn w:val="Normalny"/>
    <w:uiPriority w:val="99"/>
    <w:semiHidden/>
    <w:rsid w:val="00D30B69"/>
    <w:pPr>
      <w:spacing w:after="120"/>
      <w:ind w:left="1132"/>
      <w:contextualSpacing/>
    </w:pPr>
  </w:style>
  <w:style w:type="paragraph" w:styleId="Lista-kontynuacja5">
    <w:name w:val="List Continue 5"/>
    <w:basedOn w:val="Normalny"/>
    <w:uiPriority w:val="99"/>
    <w:semiHidden/>
    <w:rsid w:val="00D30B69"/>
    <w:pPr>
      <w:spacing w:after="120"/>
      <w:ind w:left="1415"/>
      <w:contextualSpacing/>
    </w:pPr>
  </w:style>
  <w:style w:type="paragraph" w:styleId="Listanumerowana">
    <w:name w:val="List Number"/>
    <w:basedOn w:val="Normalny"/>
    <w:uiPriority w:val="99"/>
    <w:semiHidden/>
    <w:rsid w:val="00D30B69"/>
    <w:pPr>
      <w:numPr>
        <w:numId w:val="41"/>
      </w:numPr>
      <w:contextualSpacing/>
    </w:pPr>
  </w:style>
  <w:style w:type="paragraph" w:styleId="Listanumerowana2">
    <w:name w:val="List Number 2"/>
    <w:basedOn w:val="Normalny"/>
    <w:uiPriority w:val="99"/>
    <w:semiHidden/>
    <w:rsid w:val="00D30B69"/>
    <w:pPr>
      <w:numPr>
        <w:numId w:val="42"/>
      </w:numPr>
      <w:contextualSpacing/>
    </w:pPr>
  </w:style>
  <w:style w:type="paragraph" w:styleId="Listanumerowana3">
    <w:name w:val="List Number 3"/>
    <w:basedOn w:val="Normalny"/>
    <w:uiPriority w:val="99"/>
    <w:semiHidden/>
    <w:rsid w:val="00D30B69"/>
    <w:pPr>
      <w:numPr>
        <w:numId w:val="43"/>
      </w:numPr>
      <w:contextualSpacing/>
    </w:pPr>
  </w:style>
  <w:style w:type="paragraph" w:styleId="Listanumerowana4">
    <w:name w:val="List Number 4"/>
    <w:basedOn w:val="Normalny"/>
    <w:uiPriority w:val="99"/>
    <w:semiHidden/>
    <w:rsid w:val="00D30B69"/>
    <w:pPr>
      <w:numPr>
        <w:numId w:val="44"/>
      </w:numPr>
      <w:contextualSpacing/>
    </w:pPr>
  </w:style>
  <w:style w:type="paragraph" w:styleId="Listanumerowana5">
    <w:name w:val="List Number 5"/>
    <w:basedOn w:val="Normalny"/>
    <w:uiPriority w:val="99"/>
    <w:semiHidden/>
    <w:rsid w:val="00D30B69"/>
    <w:pPr>
      <w:numPr>
        <w:numId w:val="45"/>
      </w:numPr>
      <w:contextualSpacing/>
    </w:pPr>
  </w:style>
  <w:style w:type="paragraph" w:styleId="Tekstmakra">
    <w:name w:val="macro"/>
    <w:link w:val="TekstmakraZnak"/>
    <w:uiPriority w:val="99"/>
    <w:semiHidden/>
    <w:rsid w:val="00D30B6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30B69"/>
    <w:rPr>
      <w:rFonts w:ascii="Consolas" w:eastAsiaTheme="minorEastAsia" w:hAnsi="Consolas" w:cs="Consolas"/>
      <w:sz w:val="20"/>
      <w:szCs w:val="20"/>
    </w:rPr>
  </w:style>
  <w:style w:type="table" w:styleId="redniasiatka1">
    <w:name w:val="Medium Grid 1"/>
    <w:basedOn w:val="Standardowy"/>
    <w:uiPriority w:val="67"/>
    <w:semiHidden/>
    <w:rsid w:val="00D30B6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30B6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30B6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30B6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30B6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30B6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30B6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30B69"/>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30B6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30B69"/>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30B69"/>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30B69"/>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30B69"/>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30B69"/>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30B69"/>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30B69"/>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30B6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30B69"/>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30B69"/>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30B69"/>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30B69"/>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30B69"/>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30B69"/>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30B6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30B6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30B69"/>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D30B69"/>
    <w:rPr>
      <w:rFonts w:ascii="Times New Roman" w:hAnsi="Times New Roman" w:cs="Times New Roman"/>
      <w:szCs w:val="24"/>
    </w:rPr>
  </w:style>
  <w:style w:type="paragraph" w:styleId="Wcicienormalne">
    <w:name w:val="Normal Indent"/>
    <w:basedOn w:val="Normalny"/>
    <w:uiPriority w:val="99"/>
    <w:semiHidden/>
    <w:rsid w:val="00D30B69"/>
    <w:pPr>
      <w:ind w:left="720"/>
    </w:pPr>
  </w:style>
  <w:style w:type="paragraph" w:styleId="Nagweknotatki">
    <w:name w:val="Note Heading"/>
    <w:basedOn w:val="Normalny"/>
    <w:next w:val="Normalny"/>
    <w:link w:val="NagweknotatkiZnak"/>
    <w:uiPriority w:val="99"/>
    <w:semiHidden/>
    <w:rsid w:val="00D30B69"/>
  </w:style>
  <w:style w:type="character" w:customStyle="1" w:styleId="NagweknotatkiZnak">
    <w:name w:val="Nagłówek notatki Znak"/>
    <w:basedOn w:val="Domylnaczcionkaakapitu"/>
    <w:link w:val="Nagweknotatki"/>
    <w:uiPriority w:val="99"/>
    <w:semiHidden/>
    <w:rsid w:val="00D30B69"/>
    <w:rPr>
      <w:rFonts w:eastAsiaTheme="minorEastAsia"/>
      <w:sz w:val="24"/>
      <w:lang w:val="pl-PL"/>
    </w:rPr>
  </w:style>
  <w:style w:type="character" w:styleId="Tekstzastpczy">
    <w:name w:val="Placeholder Text"/>
    <w:basedOn w:val="Domylnaczcionkaakapitu"/>
    <w:uiPriority w:val="99"/>
    <w:semiHidden/>
    <w:rsid w:val="00D30B6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30B6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30B69"/>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D30B69"/>
  </w:style>
  <w:style w:type="character" w:customStyle="1" w:styleId="ZwrotgrzecznociowyZnak">
    <w:name w:val="Zwrot grzecznościowy Znak"/>
    <w:basedOn w:val="Domylnaczcionkaakapitu"/>
    <w:link w:val="Zwrotgrzecznociowy"/>
    <w:uiPriority w:val="99"/>
    <w:semiHidden/>
    <w:rsid w:val="00D30B69"/>
    <w:rPr>
      <w:rFonts w:eastAsiaTheme="minorEastAsia"/>
      <w:sz w:val="24"/>
      <w:lang w:val="pl-PL"/>
    </w:rPr>
  </w:style>
  <w:style w:type="paragraph" w:styleId="Podpis">
    <w:name w:val="Signature"/>
    <w:basedOn w:val="Normalny"/>
    <w:link w:val="PodpisZnak"/>
    <w:uiPriority w:val="99"/>
    <w:semiHidden/>
    <w:rsid w:val="00D30B69"/>
    <w:pPr>
      <w:ind w:left="4252"/>
    </w:pPr>
  </w:style>
  <w:style w:type="character" w:customStyle="1" w:styleId="PodpisZnak">
    <w:name w:val="Podpis Znak"/>
    <w:basedOn w:val="Domylnaczcionkaakapitu"/>
    <w:link w:val="Podpis"/>
    <w:uiPriority w:val="99"/>
    <w:semiHidden/>
    <w:rsid w:val="00D30B69"/>
    <w:rPr>
      <w:rFonts w:eastAsiaTheme="minorEastAsia"/>
      <w:sz w:val="24"/>
      <w:lang w:val="pl-PL"/>
    </w:rPr>
  </w:style>
  <w:style w:type="table" w:styleId="Tabela-Efekty3D1">
    <w:name w:val="Table 3D effects 1"/>
    <w:basedOn w:val="Standardowy"/>
    <w:uiPriority w:val="99"/>
    <w:semiHidden/>
    <w:unhideWhenUsed/>
    <w:rsid w:val="00D30B6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30B6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30B6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30B69"/>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30B69"/>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30B6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30B69"/>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30B6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30B6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30B6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30B6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30B6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30B6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30B6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30B6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30B6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30B6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30B69"/>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30B6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30B69"/>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30B6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30B6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30B6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30B6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30B69"/>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30B6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30B6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30B6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30B69"/>
    <w:pPr>
      <w:ind w:left="240" w:hanging="240"/>
    </w:pPr>
  </w:style>
  <w:style w:type="paragraph" w:styleId="Spisilustracji">
    <w:name w:val="table of figures"/>
    <w:basedOn w:val="Normalny"/>
    <w:next w:val="Normalny"/>
    <w:uiPriority w:val="99"/>
    <w:semiHidden/>
    <w:rsid w:val="00D30B69"/>
  </w:style>
  <w:style w:type="table" w:styleId="Tabela-Profesjonalny">
    <w:name w:val="Table Professional"/>
    <w:basedOn w:val="Standardowy"/>
    <w:uiPriority w:val="99"/>
    <w:semiHidden/>
    <w:unhideWhenUsed/>
    <w:rsid w:val="00D30B6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30B69"/>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30B6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30B69"/>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30B6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30B6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30B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30B6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30B6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30B6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30B6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30B6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30B69"/>
    <w:pPr>
      <w:spacing w:after="100"/>
      <w:ind w:left="1680"/>
    </w:pPr>
  </w:style>
  <w:style w:type="paragraph" w:styleId="Spistreci9">
    <w:name w:val="toc 9"/>
    <w:basedOn w:val="Normalny"/>
    <w:next w:val="Normalny"/>
    <w:autoRedefine/>
    <w:uiPriority w:val="99"/>
    <w:semiHidden/>
    <w:rsid w:val="00D30B69"/>
    <w:pPr>
      <w:spacing w:after="100"/>
      <w:ind w:left="1920"/>
    </w:pPr>
  </w:style>
  <w:style w:type="paragraph" w:customStyle="1" w:styleId="JuHeaderLandscape">
    <w:name w:val="Ju_Header_Landscape"/>
    <w:aliases w:val="_Header_Landscape"/>
    <w:basedOn w:val="JuHeader"/>
    <w:uiPriority w:val="30"/>
    <w:qFormat/>
    <w:rsid w:val="00D30B69"/>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JuPara"/>
    <w:uiPriority w:val="8"/>
    <w:rsid w:val="006374DD"/>
    <w:rPr>
      <w:rFonts w:eastAsiaTheme="minorEastAsia"/>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055842">
      <w:bodyDiv w:val="1"/>
      <w:marLeft w:val="0"/>
      <w:marRight w:val="0"/>
      <w:marTop w:val="0"/>
      <w:marBottom w:val="0"/>
      <w:divBdr>
        <w:top w:val="none" w:sz="0" w:space="0" w:color="auto"/>
        <w:left w:val="none" w:sz="0" w:space="0" w:color="auto"/>
        <w:bottom w:val="none" w:sz="0" w:space="0" w:color="auto"/>
        <w:right w:val="none" w:sz="0" w:space="0" w:color="auto"/>
      </w:divBdr>
    </w:div>
    <w:div w:id="112291878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1663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sprawiedliwosc"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pl/%20sprawiedliwosc"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EA4EE-43DD-48BD-A61C-6A1D3AD9C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3157</Words>
  <Characters>18945</Characters>
  <Application>Microsoft Office Word</Application>
  <DocSecurity>4</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2019-09-17T09:11:00Z</dcterms:created>
  <dcterms:modified xsi:type="dcterms:W3CDTF">2019-09-17T09:11:00Z</dcterms:modified>
  <cp:category/>
</cp:coreProperties>
</file>