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C8D" w:rsidRDefault="001B462D" w:rsidP="006C5C8D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1E0C72" w:rsidRPr="006C627B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6C5C8D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6C5C8D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6C5C8D" w:rsidRDefault="006C5C8D" w:rsidP="006C5C8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6E2336" w:rsidRPr="006C5C8D" w:rsidRDefault="006C5C8D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B464FC" w:rsidRPr="006C5C8D">
        <w:rPr>
          <w:lang w:val="pl-PL"/>
        </w:rPr>
        <w:t>224</w:t>
      </w:r>
    </w:p>
    <w:p w:rsidR="006E2336" w:rsidRPr="006C5C8D" w:rsidRDefault="00234416">
      <w:pPr>
        <w:pStyle w:val="ClinEditionMonth"/>
        <w:rPr>
          <w:lang w:val="pl-PL"/>
        </w:rPr>
      </w:pPr>
      <w:r>
        <w:rPr>
          <w:lang w:val="pl-PL"/>
        </w:rPr>
        <w:t>g</w:t>
      </w:r>
      <w:r w:rsidRPr="006C5C8D">
        <w:rPr>
          <w:lang w:val="pl-PL"/>
        </w:rPr>
        <w:t xml:space="preserve">rudzień </w:t>
      </w:r>
      <w:r w:rsidR="00B464FC" w:rsidRPr="006C5C8D">
        <w:rPr>
          <w:lang w:val="pl-PL"/>
        </w:rPr>
        <w:t>2018</w:t>
      </w:r>
      <w:r w:rsidR="006C5C8D" w:rsidRPr="006C5C8D">
        <w:rPr>
          <w:lang w:val="pl-PL"/>
        </w:rPr>
        <w:t xml:space="preserve"> r.</w:t>
      </w:r>
    </w:p>
    <w:p w:rsidR="006E2336" w:rsidRPr="006C5C8D" w:rsidRDefault="00B464FC">
      <w:pPr>
        <w:rPr>
          <w:lang w:val="pl-PL"/>
        </w:rPr>
      </w:pPr>
      <w:proofErr w:type="spellStart"/>
      <w:r w:rsidRPr="006C5C8D">
        <w:rPr>
          <w:rStyle w:val="ClinCaseTitle"/>
          <w:lang w:val="pl-PL"/>
        </w:rPr>
        <w:t>Murtazaliyeva</w:t>
      </w:r>
      <w:proofErr w:type="spellEnd"/>
      <w:r w:rsidRPr="006C5C8D">
        <w:rPr>
          <w:rStyle w:val="ClinCaseTitle"/>
          <w:lang w:val="pl-PL"/>
        </w:rPr>
        <w:t xml:space="preserve"> </w:t>
      </w:r>
      <w:r w:rsidR="006C5C8D" w:rsidRPr="006C5C8D">
        <w:rPr>
          <w:rStyle w:val="ClinCaseTitle"/>
          <w:lang w:val="pl-PL"/>
        </w:rPr>
        <w:t>p</w:t>
      </w:r>
      <w:r w:rsidRPr="006C5C8D">
        <w:rPr>
          <w:rStyle w:val="ClinCaseTitle"/>
          <w:lang w:val="pl-PL"/>
        </w:rPr>
        <w:t>. R</w:t>
      </w:r>
      <w:r w:rsidR="006C5C8D">
        <w:rPr>
          <w:rStyle w:val="ClinCaseTitle"/>
          <w:lang w:val="pl-PL"/>
        </w:rPr>
        <w:t>osji</w:t>
      </w:r>
      <w:r w:rsidRPr="006C5C8D">
        <w:rPr>
          <w:rStyle w:val="ClinCaseTitle"/>
          <w:lang w:val="pl-PL"/>
        </w:rPr>
        <w:t xml:space="preserve"> [</w:t>
      </w:r>
      <w:r w:rsidR="006C5C8D">
        <w:rPr>
          <w:rStyle w:val="ClinCaseTitle"/>
          <w:lang w:val="pl-PL"/>
        </w:rPr>
        <w:t>Wielka Izba</w:t>
      </w:r>
      <w:r w:rsidRPr="006C5C8D">
        <w:rPr>
          <w:rStyle w:val="ClinCaseTitle"/>
          <w:lang w:val="pl-PL"/>
        </w:rPr>
        <w:t>]</w:t>
      </w:r>
      <w:r w:rsidRPr="006C5C8D">
        <w:rPr>
          <w:rStyle w:val="ClinApplicationNumber"/>
          <w:lang w:val="pl-PL"/>
        </w:rPr>
        <w:t xml:space="preserve"> </w:t>
      </w:r>
      <w:r w:rsidR="006C5C8D">
        <w:rPr>
          <w:rStyle w:val="ClinApplicationNumber"/>
          <w:lang w:val="pl-PL"/>
        </w:rPr>
        <w:t>–</w:t>
      </w:r>
      <w:r w:rsidRPr="006C5C8D">
        <w:rPr>
          <w:rStyle w:val="ClinApplicationNumber"/>
          <w:lang w:val="pl-PL"/>
        </w:rPr>
        <w:t xml:space="preserve"> </w:t>
      </w:r>
      <w:r w:rsidR="006C5C8D">
        <w:rPr>
          <w:rStyle w:val="ClinApplicationNumber"/>
          <w:lang w:val="pl-PL"/>
        </w:rPr>
        <w:t xml:space="preserve">skarga nr </w:t>
      </w:r>
      <w:r w:rsidRPr="006C5C8D">
        <w:rPr>
          <w:rStyle w:val="ClinApplicationNumber"/>
          <w:lang w:val="pl-PL"/>
        </w:rPr>
        <w:t>36658/05</w:t>
      </w:r>
    </w:p>
    <w:p w:rsidR="006E2336" w:rsidRPr="006C5C8D" w:rsidRDefault="006C5C8D">
      <w:pPr>
        <w:rPr>
          <w:lang w:val="pl-PL"/>
        </w:rPr>
      </w:pPr>
      <w:r w:rsidRPr="006C5C8D">
        <w:rPr>
          <w:rStyle w:val="ClinHudocDocumentTitle"/>
          <w:lang w:val="pl-PL"/>
        </w:rPr>
        <w:t xml:space="preserve">Wyrok z </w:t>
      </w:r>
      <w:r w:rsidR="00B464FC" w:rsidRPr="006C5C8D">
        <w:rPr>
          <w:rStyle w:val="ClinHudocDocumentTitle"/>
          <w:lang w:val="pl-PL"/>
        </w:rPr>
        <w:t>18.12.2018</w:t>
      </w:r>
      <w:r w:rsidR="00B464FC" w:rsidRPr="006C5C8D">
        <w:rPr>
          <w:rStyle w:val="ClinSectionName"/>
          <w:lang w:val="pl-PL"/>
        </w:rPr>
        <w:t xml:space="preserve"> </w:t>
      </w:r>
      <w:r w:rsidRPr="006C5C8D">
        <w:rPr>
          <w:rStyle w:val="ClinSectionName"/>
          <w:lang w:val="pl-PL"/>
        </w:rPr>
        <w:t xml:space="preserve">r. </w:t>
      </w:r>
      <w:r w:rsidR="00B464FC" w:rsidRPr="006C5C8D">
        <w:rPr>
          <w:rStyle w:val="ClinSectionName"/>
          <w:lang w:val="pl-PL"/>
        </w:rPr>
        <w:t>[</w:t>
      </w:r>
      <w:r w:rsidRPr="006C5C8D">
        <w:rPr>
          <w:rStyle w:val="ClinSectionName"/>
          <w:lang w:val="pl-PL"/>
        </w:rPr>
        <w:t>Wielka Izba</w:t>
      </w:r>
      <w:r w:rsidR="00B464FC" w:rsidRPr="006C5C8D">
        <w:rPr>
          <w:rStyle w:val="ClinSectionName"/>
          <w:lang w:val="pl-PL"/>
        </w:rPr>
        <w:t>]</w:t>
      </w:r>
    </w:p>
    <w:p w:rsidR="006E2336" w:rsidRPr="00362093" w:rsidRDefault="00B464FC">
      <w:pPr>
        <w:pStyle w:val="ClinMainKeywordCode"/>
        <w:rPr>
          <w:lang w:val="pl-PL"/>
        </w:rPr>
      </w:pPr>
      <w:r w:rsidRPr="00362093">
        <w:rPr>
          <w:lang w:val="pl-PL"/>
        </w:rPr>
        <w:t>Art</w:t>
      </w:r>
      <w:r w:rsidR="006C5C8D" w:rsidRPr="00362093">
        <w:rPr>
          <w:lang w:val="pl-PL"/>
        </w:rPr>
        <w:t>.</w:t>
      </w:r>
      <w:r w:rsidRPr="00362093">
        <w:rPr>
          <w:lang w:val="pl-PL"/>
        </w:rPr>
        <w:t xml:space="preserve"> 6</w:t>
      </w:r>
      <w:r w:rsidR="006A37C1" w:rsidRPr="006A37C1">
        <w:rPr>
          <w:lang w:val="pl-PL"/>
        </w:rPr>
        <w:t xml:space="preserve"> </w:t>
      </w:r>
      <w:r w:rsidR="006A37C1">
        <w:rPr>
          <w:lang w:val="pl-PL"/>
        </w:rPr>
        <w:t>Konwencji</w:t>
      </w:r>
      <w:r w:rsidR="006A37C1">
        <w:rPr>
          <w:rStyle w:val="Odwoanieprzypisudolnego"/>
          <w:lang w:val="pl-PL"/>
        </w:rPr>
        <w:footnoteReference w:id="1"/>
      </w:r>
    </w:p>
    <w:p w:rsidR="006E2336" w:rsidRPr="00362093" w:rsidRDefault="006C5C8D">
      <w:pPr>
        <w:pStyle w:val="ClinKeyword"/>
        <w:rPr>
          <w:lang w:val="pl-PL"/>
        </w:rPr>
      </w:pPr>
      <w:r w:rsidRPr="00362093">
        <w:rPr>
          <w:lang w:val="pl-PL"/>
        </w:rPr>
        <w:t xml:space="preserve">Postępowanie karne </w:t>
      </w:r>
    </w:p>
    <w:p w:rsidR="006E2336" w:rsidRPr="006C5C8D" w:rsidRDefault="00B464FC">
      <w:pPr>
        <w:pStyle w:val="ClinChildKeywordCode"/>
        <w:rPr>
          <w:lang w:val="pl-PL"/>
        </w:rPr>
      </w:pPr>
      <w:r w:rsidRPr="006C5C8D">
        <w:rPr>
          <w:lang w:val="pl-PL"/>
        </w:rPr>
        <w:t>Art</w:t>
      </w:r>
      <w:r w:rsidR="006C5C8D" w:rsidRPr="006C5C8D">
        <w:rPr>
          <w:lang w:val="pl-PL"/>
        </w:rPr>
        <w:t xml:space="preserve">. </w:t>
      </w:r>
      <w:r w:rsidRPr="006C5C8D">
        <w:rPr>
          <w:lang w:val="pl-PL"/>
        </w:rPr>
        <w:t>6</w:t>
      </w:r>
      <w:r w:rsidR="006C5C8D" w:rsidRPr="006C5C8D">
        <w:rPr>
          <w:lang w:val="pl-PL"/>
        </w:rPr>
        <w:t xml:space="preserve"> ust. </w:t>
      </w:r>
      <w:r w:rsidRPr="006C5C8D">
        <w:rPr>
          <w:lang w:val="pl-PL"/>
        </w:rPr>
        <w:t>1</w:t>
      </w:r>
    </w:p>
    <w:p w:rsidR="006E2336" w:rsidRPr="006C5C8D" w:rsidRDefault="006C5C8D">
      <w:pPr>
        <w:pStyle w:val="ClinKeyword"/>
        <w:rPr>
          <w:lang w:val="pl-PL"/>
        </w:rPr>
      </w:pPr>
      <w:r w:rsidRPr="006C5C8D">
        <w:rPr>
          <w:lang w:val="pl-PL"/>
        </w:rPr>
        <w:t xml:space="preserve">Sprawiedliwe rozpatrzenie </w:t>
      </w:r>
    </w:p>
    <w:p w:rsidR="006E2336" w:rsidRPr="00362093" w:rsidRDefault="00B464FC">
      <w:pPr>
        <w:pStyle w:val="ClinChildKeywordCode"/>
        <w:rPr>
          <w:lang w:val="pl-PL"/>
        </w:rPr>
      </w:pPr>
      <w:r w:rsidRPr="00362093">
        <w:rPr>
          <w:lang w:val="pl-PL"/>
        </w:rPr>
        <w:t>Art</w:t>
      </w:r>
      <w:r w:rsidR="006C5C8D" w:rsidRPr="00362093">
        <w:rPr>
          <w:lang w:val="pl-PL"/>
        </w:rPr>
        <w:t>.</w:t>
      </w:r>
      <w:r w:rsidRPr="00362093">
        <w:rPr>
          <w:lang w:val="pl-PL"/>
        </w:rPr>
        <w:t xml:space="preserve"> 6</w:t>
      </w:r>
      <w:r w:rsidR="006C5C8D" w:rsidRPr="00362093">
        <w:rPr>
          <w:lang w:val="pl-PL"/>
        </w:rPr>
        <w:t xml:space="preserve"> ust. </w:t>
      </w:r>
      <w:r w:rsidRPr="00362093">
        <w:rPr>
          <w:lang w:val="pl-PL"/>
        </w:rPr>
        <w:t>3</w:t>
      </w:r>
      <w:r w:rsidR="006C5C8D" w:rsidRPr="00362093">
        <w:rPr>
          <w:lang w:val="pl-PL"/>
        </w:rPr>
        <w:t xml:space="preserve"> lit. </w:t>
      </w:r>
      <w:r w:rsidRPr="00362093">
        <w:rPr>
          <w:lang w:val="pl-PL"/>
        </w:rPr>
        <w:t>d</w:t>
      </w:r>
    </w:p>
    <w:p w:rsidR="006E2336" w:rsidRPr="002C0315" w:rsidRDefault="006C5C8D">
      <w:pPr>
        <w:pStyle w:val="ClinKeyword"/>
        <w:rPr>
          <w:lang w:val="pl-PL"/>
        </w:rPr>
      </w:pPr>
      <w:r w:rsidRPr="002C0315">
        <w:rPr>
          <w:lang w:val="pl-PL"/>
        </w:rPr>
        <w:t xml:space="preserve">Przesłuchanie świadków </w:t>
      </w:r>
    </w:p>
    <w:p w:rsidR="0011184B" w:rsidRPr="0011184B" w:rsidRDefault="0011184B" w:rsidP="008041E9">
      <w:pPr>
        <w:jc w:val="both"/>
        <w:rPr>
          <w:lang w:val="pl-PL"/>
        </w:rPr>
      </w:pPr>
      <w:r w:rsidRPr="002C0315">
        <w:rPr>
          <w:rStyle w:val="ClinConclusions"/>
          <w:i w:val="0"/>
          <w:lang w:val="pl-PL"/>
        </w:rPr>
        <w:t xml:space="preserve">Brak możliwości przesłuchania świadków </w:t>
      </w:r>
      <w:r w:rsidR="00EE0A73">
        <w:rPr>
          <w:rStyle w:val="ClinConclusions"/>
          <w:i w:val="0"/>
          <w:lang w:val="pl-PL"/>
        </w:rPr>
        <w:t>obrony</w:t>
      </w:r>
      <w:r w:rsidRPr="002C0315">
        <w:rPr>
          <w:rStyle w:val="ClinConclusions"/>
          <w:i w:val="0"/>
          <w:lang w:val="pl-PL"/>
        </w:rPr>
        <w:t xml:space="preserve"> w postępowaniu karnym:</w:t>
      </w:r>
      <w:r w:rsidRPr="002C0315">
        <w:rPr>
          <w:rStyle w:val="ClinConclusions"/>
          <w:lang w:val="pl-PL"/>
        </w:rPr>
        <w:t xml:space="preserve"> brak</w:t>
      </w:r>
      <w:r w:rsidR="00C025CC">
        <w:rPr>
          <w:rStyle w:val="ClinConclusions"/>
          <w:lang w:val="pl-PL"/>
        </w:rPr>
        <w:t> </w:t>
      </w:r>
      <w:r w:rsidRPr="002C0315">
        <w:rPr>
          <w:rStyle w:val="ClinConclusions"/>
          <w:lang w:val="pl-PL"/>
        </w:rPr>
        <w:t>naruszenia</w:t>
      </w:r>
    </w:p>
    <w:p w:rsidR="00964BAF" w:rsidRPr="00964BAF" w:rsidRDefault="00964BAF">
      <w:pPr>
        <w:pStyle w:val="ClinContent"/>
        <w:rPr>
          <w:lang w:val="pl-PL"/>
        </w:rPr>
      </w:pPr>
      <w:r w:rsidRPr="00964BAF">
        <w:rPr>
          <w:i/>
          <w:lang w:val="pl-PL"/>
        </w:rPr>
        <w:t xml:space="preserve">Fakty – </w:t>
      </w:r>
      <w:r w:rsidRPr="00964BAF">
        <w:rPr>
          <w:lang w:val="pl-PL"/>
        </w:rPr>
        <w:t>Skarżąca została skazana w 2005</w:t>
      </w:r>
      <w:r w:rsidR="00AE108F">
        <w:rPr>
          <w:lang w:val="pl-PL"/>
        </w:rPr>
        <w:t> </w:t>
      </w:r>
      <w:r w:rsidRPr="00964BAF">
        <w:rPr>
          <w:lang w:val="pl-PL"/>
        </w:rPr>
        <w:t xml:space="preserve">r. na karę pozbawienia wolności </w:t>
      </w:r>
      <w:r>
        <w:rPr>
          <w:lang w:val="pl-PL"/>
        </w:rPr>
        <w:t>za</w:t>
      </w:r>
      <w:r w:rsidR="00C025CC">
        <w:rPr>
          <w:lang w:val="pl-PL"/>
        </w:rPr>
        <w:t> </w:t>
      </w:r>
      <w:r>
        <w:rPr>
          <w:lang w:val="pl-PL"/>
        </w:rPr>
        <w:t xml:space="preserve">przygotowanie </w:t>
      </w:r>
      <w:r w:rsidRPr="002C0315">
        <w:rPr>
          <w:lang w:val="pl-PL"/>
        </w:rPr>
        <w:t>ak</w:t>
      </w:r>
      <w:r w:rsidR="002C0315" w:rsidRPr="002C0315">
        <w:rPr>
          <w:lang w:val="pl-PL"/>
        </w:rPr>
        <w:t>t</w:t>
      </w:r>
      <w:r w:rsidRPr="002C0315">
        <w:rPr>
          <w:lang w:val="pl-PL"/>
        </w:rPr>
        <w:t>u</w:t>
      </w:r>
      <w:r>
        <w:rPr>
          <w:lang w:val="pl-PL"/>
        </w:rPr>
        <w:t xml:space="preserve"> terrorystycznego, podżeganie innych do popełnienia aktów terroru i transport materiałów wybuchowych. Skarżyła się, że sądy krajowej nie zezwoliły jej na skuteczne zbadanie nagrania </w:t>
      </w:r>
      <w:r w:rsidR="001E22AE">
        <w:rPr>
          <w:lang w:val="pl-PL"/>
        </w:rPr>
        <w:t>w</w:t>
      </w:r>
      <w:r>
        <w:rPr>
          <w:lang w:val="pl-PL"/>
        </w:rPr>
        <w:t>ideo użytego jako dowód przeciwko niej oraz</w:t>
      </w:r>
      <w:r w:rsidR="00EE0A73">
        <w:rPr>
          <w:lang w:val="pl-PL"/>
        </w:rPr>
        <w:t xml:space="preserve"> na</w:t>
      </w:r>
      <w:r w:rsidR="00C025CC">
        <w:rPr>
          <w:lang w:val="pl-PL"/>
        </w:rPr>
        <w:t> </w:t>
      </w:r>
      <w:r>
        <w:rPr>
          <w:lang w:val="pl-PL"/>
        </w:rPr>
        <w:t>przesłuchani</w:t>
      </w:r>
      <w:r w:rsidR="002C0315">
        <w:rPr>
          <w:lang w:val="pl-PL"/>
        </w:rPr>
        <w:t>e</w:t>
      </w:r>
      <w:r>
        <w:rPr>
          <w:lang w:val="pl-PL"/>
        </w:rPr>
        <w:t xml:space="preserve"> dwóch „</w:t>
      </w:r>
      <w:r w:rsidR="00362093">
        <w:rPr>
          <w:lang w:val="pl-PL"/>
        </w:rPr>
        <w:t>zaświadczających</w:t>
      </w:r>
      <w:r>
        <w:rPr>
          <w:lang w:val="pl-PL"/>
        </w:rPr>
        <w:t xml:space="preserve"> świadków”. Wyrok skazujący opierał się między innymi na obecności materiałów wybuchowych znalezionych w jej torebce w</w:t>
      </w:r>
      <w:r w:rsidR="00C025CC">
        <w:rPr>
          <w:lang w:val="pl-PL"/>
        </w:rPr>
        <w:t> </w:t>
      </w:r>
      <w:r>
        <w:rPr>
          <w:lang w:val="pl-PL"/>
        </w:rPr>
        <w:t>trakcie przeszukania obserwowanego przez</w:t>
      </w:r>
      <w:r w:rsidR="00F764EA">
        <w:rPr>
          <w:lang w:val="pl-PL"/>
        </w:rPr>
        <w:t xml:space="preserve"> tych</w:t>
      </w:r>
      <w:r>
        <w:rPr>
          <w:lang w:val="pl-PL"/>
        </w:rPr>
        <w:t xml:space="preserve"> dwóch świadków. Obrona oskarżyła policję o własnoręczne umieszczenie tych materiałów wybuchowych w torebce. </w:t>
      </w:r>
    </w:p>
    <w:p w:rsidR="00DA275A" w:rsidRPr="00DA275A" w:rsidRDefault="00DA275A">
      <w:pPr>
        <w:pStyle w:val="ClinContent"/>
        <w:rPr>
          <w:lang w:val="pl-PL"/>
        </w:rPr>
      </w:pPr>
      <w:r w:rsidRPr="00DA275A">
        <w:rPr>
          <w:lang w:val="pl-PL"/>
        </w:rPr>
        <w:t>W wyroku z dnia 9 maja 2017</w:t>
      </w:r>
      <w:r w:rsidR="00234416">
        <w:rPr>
          <w:lang w:val="pl-PL"/>
        </w:rPr>
        <w:t> </w:t>
      </w:r>
      <w:r w:rsidRPr="00DA275A">
        <w:rPr>
          <w:lang w:val="pl-PL"/>
        </w:rPr>
        <w:t xml:space="preserve">r. </w:t>
      </w:r>
      <w:r>
        <w:rPr>
          <w:lang w:val="pl-PL"/>
        </w:rPr>
        <w:t>Izba Trybunału orzekła w szczególności: jedno</w:t>
      </w:r>
      <w:r w:rsidR="001E22AE">
        <w:rPr>
          <w:lang w:val="pl-PL"/>
        </w:rPr>
        <w:t>głośnie</w:t>
      </w:r>
      <w:r>
        <w:rPr>
          <w:lang w:val="pl-PL"/>
        </w:rPr>
        <w:t xml:space="preserve"> – że nie doszło do naruszenia art. 6 ust.</w:t>
      </w:r>
      <w:r w:rsidR="00234416">
        <w:rPr>
          <w:lang w:val="pl-PL"/>
        </w:rPr>
        <w:t> </w:t>
      </w:r>
      <w:r>
        <w:rPr>
          <w:lang w:val="pl-PL"/>
        </w:rPr>
        <w:t>1 i 3 lit.</w:t>
      </w:r>
      <w:r w:rsidR="00234416">
        <w:rPr>
          <w:lang w:val="pl-PL"/>
        </w:rPr>
        <w:t> </w:t>
      </w:r>
      <w:r>
        <w:rPr>
          <w:lang w:val="pl-PL"/>
        </w:rPr>
        <w:t>b w odniesieniu do warunków, w</w:t>
      </w:r>
      <w:r w:rsidR="00C025CC">
        <w:rPr>
          <w:lang w:val="pl-PL"/>
        </w:rPr>
        <w:t> </w:t>
      </w:r>
      <w:r>
        <w:rPr>
          <w:lang w:val="pl-PL"/>
        </w:rPr>
        <w:t>jakich</w:t>
      </w:r>
      <w:r w:rsidR="00C025CC">
        <w:rPr>
          <w:lang w:val="pl-PL"/>
        </w:rPr>
        <w:t> </w:t>
      </w:r>
      <w:r>
        <w:rPr>
          <w:lang w:val="pl-PL"/>
        </w:rPr>
        <w:t xml:space="preserve">przeprowadzono badanie nagrania </w:t>
      </w:r>
      <w:r w:rsidR="00234416">
        <w:rPr>
          <w:lang w:val="pl-PL"/>
        </w:rPr>
        <w:t>wideo</w:t>
      </w:r>
      <w:r>
        <w:rPr>
          <w:lang w:val="pl-PL"/>
        </w:rPr>
        <w:t xml:space="preserve">; </w:t>
      </w:r>
      <w:r w:rsidR="003F4534">
        <w:rPr>
          <w:lang w:val="pl-PL"/>
        </w:rPr>
        <w:t>a także,</w:t>
      </w:r>
      <w:r>
        <w:rPr>
          <w:lang w:val="pl-PL"/>
        </w:rPr>
        <w:t xml:space="preserve"> pięcioma głosami do dwóch, że nie doszło do naruszenia art. 6 ust. 1 i 3 lit. d w odniesieniu do odmowy wezwania na</w:t>
      </w:r>
      <w:r w:rsidR="00C025CC">
        <w:rPr>
          <w:lang w:val="pl-PL"/>
        </w:rPr>
        <w:t> </w:t>
      </w:r>
      <w:r>
        <w:rPr>
          <w:lang w:val="pl-PL"/>
        </w:rPr>
        <w:t xml:space="preserve">rozprawę wspomnianych dwóch świadków. W dniu 18 września 2017 r. sprawa została przekazana do Wielkiej Izby na wniosek skarżącej. </w:t>
      </w:r>
    </w:p>
    <w:p w:rsidR="00DA275A" w:rsidRPr="00DA275A" w:rsidRDefault="00DA275A">
      <w:pPr>
        <w:pStyle w:val="ClinContent"/>
        <w:rPr>
          <w:lang w:val="pl-PL"/>
        </w:rPr>
      </w:pPr>
      <w:r w:rsidRPr="00DA275A">
        <w:rPr>
          <w:i/>
          <w:lang w:val="pl-PL"/>
        </w:rPr>
        <w:t xml:space="preserve">Prawo – </w:t>
      </w:r>
      <w:r w:rsidRPr="00DA275A">
        <w:rPr>
          <w:lang w:val="pl-PL"/>
        </w:rPr>
        <w:t>Art.</w:t>
      </w:r>
      <w:r w:rsidR="00234416">
        <w:rPr>
          <w:lang w:val="pl-PL"/>
        </w:rPr>
        <w:t> </w:t>
      </w:r>
      <w:r w:rsidRPr="00DA275A">
        <w:rPr>
          <w:lang w:val="pl-PL"/>
        </w:rPr>
        <w:t>6 ust.</w:t>
      </w:r>
      <w:r w:rsidR="00234416">
        <w:rPr>
          <w:lang w:val="pl-PL"/>
        </w:rPr>
        <w:t> </w:t>
      </w:r>
      <w:r w:rsidRPr="00DA275A">
        <w:rPr>
          <w:lang w:val="pl-PL"/>
        </w:rPr>
        <w:t>1 i 3 lit.</w:t>
      </w:r>
      <w:r w:rsidR="00234416">
        <w:rPr>
          <w:lang w:val="pl-PL"/>
        </w:rPr>
        <w:t> </w:t>
      </w:r>
      <w:r>
        <w:rPr>
          <w:lang w:val="pl-PL"/>
        </w:rPr>
        <w:t xml:space="preserve">d w odniesieniu do odmowy przesłuchania dwóch </w:t>
      </w:r>
      <w:r w:rsidR="00362093">
        <w:rPr>
          <w:lang w:val="pl-PL"/>
        </w:rPr>
        <w:t xml:space="preserve">zaświadczających </w:t>
      </w:r>
      <w:r>
        <w:rPr>
          <w:lang w:val="pl-PL"/>
        </w:rPr>
        <w:t>świadkó</w:t>
      </w:r>
      <w:r w:rsidR="00AC7EDD">
        <w:rPr>
          <w:lang w:val="pl-PL"/>
        </w:rPr>
        <w:t>w</w:t>
      </w:r>
      <w:r>
        <w:rPr>
          <w:lang w:val="pl-PL"/>
        </w:rPr>
        <w:t xml:space="preserve">: </w:t>
      </w:r>
      <w:r w:rsidR="00AC7EDD">
        <w:rPr>
          <w:lang w:val="pl-PL"/>
        </w:rPr>
        <w:t>Poza ich szczególn</w:t>
      </w:r>
      <w:r w:rsidR="0098567E">
        <w:rPr>
          <w:lang w:val="pl-PL"/>
        </w:rPr>
        <w:t>ą kwalifikacją w prawie krajowym</w:t>
      </w:r>
      <w:r w:rsidR="001E22AE">
        <w:rPr>
          <w:lang w:val="pl-PL"/>
        </w:rPr>
        <w:t>,</w:t>
      </w:r>
      <w:r w:rsidR="00AC7EDD">
        <w:rPr>
          <w:lang w:val="pl-PL"/>
        </w:rPr>
        <w:t xml:space="preserve"> w</w:t>
      </w:r>
      <w:r w:rsidR="00C025CC">
        <w:rPr>
          <w:lang w:val="pl-PL"/>
        </w:rPr>
        <w:t> </w:t>
      </w:r>
      <w:r w:rsidR="00AC7EDD">
        <w:rPr>
          <w:lang w:val="pl-PL"/>
        </w:rPr>
        <w:t>okolicznościach sprawy należy uznać tych dwóch świadków za „świadków</w:t>
      </w:r>
      <w:r w:rsidR="0098567E">
        <w:rPr>
          <w:lang w:val="pl-PL"/>
        </w:rPr>
        <w:t xml:space="preserve"> obrony</w:t>
      </w:r>
      <w:r w:rsidR="00AC7EDD">
        <w:rPr>
          <w:lang w:val="pl-PL"/>
        </w:rPr>
        <w:t>”</w:t>
      </w:r>
      <w:r w:rsidR="0098567E">
        <w:rPr>
          <w:lang w:val="pl-PL"/>
        </w:rPr>
        <w:t xml:space="preserve"> na</w:t>
      </w:r>
      <w:r w:rsidR="00C025CC">
        <w:rPr>
          <w:lang w:val="pl-PL"/>
        </w:rPr>
        <w:t> </w:t>
      </w:r>
      <w:r w:rsidR="0098567E">
        <w:rPr>
          <w:lang w:val="pl-PL"/>
        </w:rPr>
        <w:t>potrzeby art. 6 ust. 3 lit. d</w:t>
      </w:r>
      <w:r w:rsidR="00AC7EDD">
        <w:rPr>
          <w:lang w:val="pl-PL"/>
        </w:rPr>
        <w:t xml:space="preserve">. </w:t>
      </w:r>
    </w:p>
    <w:p w:rsidR="00AC7EDD" w:rsidRPr="00362093" w:rsidRDefault="00AC7EDD">
      <w:pPr>
        <w:pStyle w:val="ClinContent"/>
        <w:rPr>
          <w:i/>
          <w:lang w:val="pl-PL"/>
        </w:rPr>
      </w:pPr>
      <w:r w:rsidRPr="00362093">
        <w:rPr>
          <w:lang w:val="pl-PL"/>
        </w:rPr>
        <w:t xml:space="preserve">(a) </w:t>
      </w:r>
      <w:r w:rsidRPr="00362093">
        <w:rPr>
          <w:i/>
          <w:lang w:val="pl-PL"/>
        </w:rPr>
        <w:t xml:space="preserve">Wyjaśnienie zasad ogólnych </w:t>
      </w:r>
    </w:p>
    <w:p w:rsidR="00DD5049" w:rsidRPr="00DD5049" w:rsidRDefault="00607F76">
      <w:pPr>
        <w:pStyle w:val="ClinContent"/>
        <w:rPr>
          <w:i/>
          <w:lang w:val="pl-PL"/>
        </w:rPr>
      </w:pPr>
      <w:r w:rsidRPr="002E1231">
        <w:rPr>
          <w:lang w:val="pl-PL"/>
        </w:rPr>
        <w:lastRenderedPageBreak/>
        <w:t xml:space="preserve">– </w:t>
      </w:r>
      <w:r w:rsidR="00DD5049" w:rsidRPr="00DD5049">
        <w:rPr>
          <w:lang w:val="pl-PL"/>
        </w:rPr>
        <w:t xml:space="preserve">Zasady mające zastosowanie do stawiennictwa i przesłuchania świadków </w:t>
      </w:r>
      <w:r w:rsidR="0098567E">
        <w:rPr>
          <w:lang w:val="pl-PL"/>
        </w:rPr>
        <w:t>o</w:t>
      </w:r>
      <w:r w:rsidR="00DD5049" w:rsidRPr="00DD5049">
        <w:rPr>
          <w:lang w:val="pl-PL"/>
        </w:rPr>
        <w:t xml:space="preserve">brony zostały </w:t>
      </w:r>
      <w:r w:rsidR="001D1766" w:rsidRPr="00DD5049">
        <w:rPr>
          <w:lang w:val="pl-PL"/>
        </w:rPr>
        <w:t>określone</w:t>
      </w:r>
      <w:r w:rsidR="00DD5049" w:rsidRPr="00DD5049">
        <w:rPr>
          <w:lang w:val="pl-PL"/>
        </w:rPr>
        <w:t xml:space="preserve"> w sprawie </w:t>
      </w:r>
      <w:proofErr w:type="spellStart"/>
      <w:r w:rsidR="00DD5049">
        <w:rPr>
          <w:i/>
          <w:lang w:val="pl-PL"/>
        </w:rPr>
        <w:t>Perna</w:t>
      </w:r>
      <w:proofErr w:type="spellEnd"/>
      <w:r w:rsidR="00DD5049">
        <w:rPr>
          <w:i/>
          <w:lang w:val="pl-PL"/>
        </w:rPr>
        <w:t xml:space="preserve"> p. Włochom </w:t>
      </w:r>
      <w:r w:rsidR="00DD5049" w:rsidRPr="00DD5049">
        <w:rPr>
          <w:lang w:val="pl-PL"/>
        </w:rPr>
        <w:t>[Wielka Izba]</w:t>
      </w:r>
      <w:r w:rsidR="00DD5049">
        <w:rPr>
          <w:lang w:val="pl-PL"/>
        </w:rPr>
        <w:t xml:space="preserve">, w której </w:t>
      </w:r>
      <w:r w:rsidR="00EE0A73">
        <w:rPr>
          <w:lang w:val="pl-PL"/>
        </w:rPr>
        <w:t xml:space="preserve">Trybunał wskazał </w:t>
      </w:r>
      <w:r w:rsidR="00DD5049">
        <w:rPr>
          <w:lang w:val="pl-PL"/>
        </w:rPr>
        <w:t xml:space="preserve">zasadniczo </w:t>
      </w:r>
      <w:r w:rsidR="00EE0A73">
        <w:rPr>
          <w:lang w:val="pl-PL"/>
        </w:rPr>
        <w:t>dwie kwestie</w:t>
      </w:r>
      <w:r w:rsidR="00DD5049">
        <w:rPr>
          <w:lang w:val="pl-PL"/>
        </w:rPr>
        <w:t xml:space="preserve">: (1) czy </w:t>
      </w:r>
      <w:r w:rsidR="00DD5049" w:rsidRPr="0098567E">
        <w:rPr>
          <w:lang w:val="pl-PL"/>
        </w:rPr>
        <w:t>skarżący uzasadnił</w:t>
      </w:r>
      <w:r w:rsidR="00DD5049">
        <w:rPr>
          <w:lang w:val="pl-PL"/>
        </w:rPr>
        <w:t xml:space="preserve"> swój wniosek o wezwanie konkretnego świadka poprzez odwołanie się do istotnego znaczenia zeznania tej osoby dla „ustalenia prawdy”; oraz (2) czy odmowa wezwania tego świadka przez sądy krajowe podważyła ogólną rzetelność postępowania?</w:t>
      </w:r>
    </w:p>
    <w:p w:rsidR="009B4B51" w:rsidRPr="009B4B51" w:rsidRDefault="004726A2">
      <w:pPr>
        <w:pStyle w:val="ClinContent"/>
        <w:rPr>
          <w:lang w:val="pl-PL"/>
        </w:rPr>
      </w:pPr>
      <w:r>
        <w:rPr>
          <w:lang w:val="pl-PL"/>
        </w:rPr>
        <w:t>Niemniej jednak</w:t>
      </w:r>
      <w:r w:rsidR="00EE0A73">
        <w:rPr>
          <w:lang w:val="pl-PL"/>
        </w:rPr>
        <w:t xml:space="preserve"> wydaje się, że w</w:t>
      </w:r>
      <w:r w:rsidR="009B4B51" w:rsidRPr="009B4B51">
        <w:rPr>
          <w:lang w:val="pl-PL"/>
        </w:rPr>
        <w:t xml:space="preserve"> </w:t>
      </w:r>
      <w:r w:rsidR="0098567E">
        <w:rPr>
          <w:lang w:val="pl-PL"/>
        </w:rPr>
        <w:t xml:space="preserve">zdecydowanej </w:t>
      </w:r>
      <w:r w:rsidR="009B4B51" w:rsidRPr="009B4B51">
        <w:rPr>
          <w:lang w:val="pl-PL"/>
        </w:rPr>
        <w:t xml:space="preserve">większości spraw </w:t>
      </w:r>
      <w:r w:rsidR="00EE0A73">
        <w:rPr>
          <w:lang w:val="pl-PL"/>
        </w:rPr>
        <w:t xml:space="preserve">rozpatrywanych </w:t>
      </w:r>
      <w:r w:rsidR="009B4B51" w:rsidRPr="009B4B51">
        <w:rPr>
          <w:lang w:val="pl-PL"/>
        </w:rPr>
        <w:t>przed</w:t>
      </w:r>
      <w:r w:rsidR="00C025CC">
        <w:rPr>
          <w:lang w:val="pl-PL"/>
        </w:rPr>
        <w:t> </w:t>
      </w:r>
      <w:r w:rsidR="009B4B51" w:rsidRPr="009B4B51">
        <w:rPr>
          <w:lang w:val="pl-PL"/>
        </w:rPr>
        <w:t xml:space="preserve">lub po wyroku w sprawie </w:t>
      </w:r>
      <w:proofErr w:type="spellStart"/>
      <w:r w:rsidR="009B4B51" w:rsidRPr="009B4B51">
        <w:rPr>
          <w:i/>
          <w:lang w:val="pl-PL"/>
        </w:rPr>
        <w:t>Perna</w:t>
      </w:r>
      <w:proofErr w:type="spellEnd"/>
      <w:r w:rsidR="0098567E">
        <w:rPr>
          <w:lang w:val="pl-PL"/>
        </w:rPr>
        <w:t xml:space="preserve"> </w:t>
      </w:r>
      <w:r w:rsidR="009B4B51">
        <w:rPr>
          <w:lang w:val="pl-PL"/>
        </w:rPr>
        <w:t xml:space="preserve">Trybunał </w:t>
      </w:r>
      <w:r w:rsidR="00EE0A73">
        <w:rPr>
          <w:lang w:val="pl-PL"/>
        </w:rPr>
        <w:t>konsekwentnie</w:t>
      </w:r>
      <w:r w:rsidR="009B4B51">
        <w:rPr>
          <w:lang w:val="pl-PL"/>
        </w:rPr>
        <w:t xml:space="preserve"> analizował także sposób, w jaki sądy krajowe wydawały </w:t>
      </w:r>
      <w:r w:rsidR="001E22AE">
        <w:rPr>
          <w:lang w:val="pl-PL"/>
        </w:rPr>
        <w:t>orzeczenia</w:t>
      </w:r>
      <w:r w:rsidR="009B4B51">
        <w:rPr>
          <w:lang w:val="pl-PL"/>
        </w:rPr>
        <w:t xml:space="preserve"> w sprawie takich wniosków. Ostrożność </w:t>
      </w:r>
      <w:r w:rsidR="0098567E">
        <w:rPr>
          <w:lang w:val="pl-PL"/>
        </w:rPr>
        <w:t xml:space="preserve">Trybunału </w:t>
      </w:r>
      <w:r w:rsidR="009B4B51">
        <w:rPr>
          <w:lang w:val="pl-PL"/>
        </w:rPr>
        <w:t xml:space="preserve">i </w:t>
      </w:r>
      <w:r w:rsidR="0098567E">
        <w:rPr>
          <w:lang w:val="pl-PL"/>
        </w:rPr>
        <w:t>szacunek</w:t>
      </w:r>
      <w:r w:rsidR="009B4B51">
        <w:rPr>
          <w:lang w:val="pl-PL"/>
        </w:rPr>
        <w:t xml:space="preserve"> w tym zakresie były zgodne z utrwaloną zasadą, że sądy te</w:t>
      </w:r>
      <w:r w:rsidR="001E0C72">
        <w:rPr>
          <w:lang w:val="pl-PL"/>
        </w:rPr>
        <w:t> </w:t>
      </w:r>
      <w:r w:rsidR="009B4B51">
        <w:rPr>
          <w:lang w:val="pl-PL"/>
        </w:rPr>
        <w:t>są</w:t>
      </w:r>
      <w:r w:rsidR="001E0C72">
        <w:rPr>
          <w:lang w:val="pl-PL"/>
        </w:rPr>
        <w:t> </w:t>
      </w:r>
      <w:r w:rsidR="009B4B51">
        <w:rPr>
          <w:lang w:val="pl-PL"/>
        </w:rPr>
        <w:t xml:space="preserve">najlepiej </w:t>
      </w:r>
      <w:r w:rsidR="0098567E">
        <w:rPr>
          <w:lang w:val="pl-PL"/>
        </w:rPr>
        <w:t>przygotowane</w:t>
      </w:r>
      <w:r w:rsidR="009B4B51" w:rsidRPr="0098567E">
        <w:rPr>
          <w:lang w:val="pl-PL"/>
        </w:rPr>
        <w:t>,</w:t>
      </w:r>
      <w:r w:rsidR="009B4B51">
        <w:rPr>
          <w:lang w:val="pl-PL"/>
        </w:rPr>
        <w:t xml:space="preserve"> by oceniać dowody. </w:t>
      </w:r>
      <w:r w:rsidR="001D1766">
        <w:rPr>
          <w:lang w:val="pl-PL"/>
        </w:rPr>
        <w:t>Jedynie wyjątkowe okoliczności mogą</w:t>
      </w:r>
      <w:r w:rsidR="001E0C72">
        <w:rPr>
          <w:lang w:val="pl-PL"/>
        </w:rPr>
        <w:t> </w:t>
      </w:r>
      <w:r w:rsidR="001D1766">
        <w:rPr>
          <w:lang w:val="pl-PL"/>
        </w:rPr>
        <w:t xml:space="preserve">skłonić Trybunał do uznania, że brak przesłuchania określonej osoby jako świadka był niezgodny z art. 6. </w:t>
      </w:r>
    </w:p>
    <w:p w:rsidR="001D1766" w:rsidRPr="001D1766" w:rsidRDefault="00ED18A8">
      <w:pPr>
        <w:pStyle w:val="ClinContent"/>
        <w:rPr>
          <w:lang w:val="pl-PL"/>
        </w:rPr>
      </w:pPr>
      <w:r>
        <w:rPr>
          <w:lang w:val="pl-PL"/>
        </w:rPr>
        <w:t>Wśród</w:t>
      </w:r>
      <w:r w:rsidR="00054796">
        <w:rPr>
          <w:lang w:val="pl-PL"/>
        </w:rPr>
        <w:t xml:space="preserve"> </w:t>
      </w:r>
      <w:r w:rsidR="001D1766" w:rsidRPr="001D1766">
        <w:rPr>
          <w:lang w:val="pl-PL"/>
        </w:rPr>
        <w:t>kryteriów, które należy zastosować</w:t>
      </w:r>
      <w:r>
        <w:rPr>
          <w:lang w:val="pl-PL"/>
        </w:rPr>
        <w:t>,</w:t>
      </w:r>
      <w:r w:rsidR="000F71A8">
        <w:rPr>
          <w:lang w:val="pl-PL"/>
        </w:rPr>
        <w:t xml:space="preserve"> </w:t>
      </w:r>
      <w:r w:rsidR="001D1766" w:rsidRPr="001D1766">
        <w:rPr>
          <w:lang w:val="pl-PL"/>
        </w:rPr>
        <w:t>kwestia, czy sądy krajowe zbadały, czy</w:t>
      </w:r>
      <w:r w:rsidR="00C025CC">
        <w:rPr>
          <w:lang w:val="pl-PL"/>
        </w:rPr>
        <w:t> </w:t>
      </w:r>
      <w:r w:rsidR="001D1766">
        <w:rPr>
          <w:lang w:val="pl-PL"/>
        </w:rPr>
        <w:t xml:space="preserve">wnioskowany świadek ma </w:t>
      </w:r>
      <w:r w:rsidR="00054796">
        <w:rPr>
          <w:lang w:val="pl-PL"/>
        </w:rPr>
        <w:t xml:space="preserve">istotne </w:t>
      </w:r>
      <w:r w:rsidR="001D1766">
        <w:rPr>
          <w:lang w:val="pl-PL"/>
        </w:rPr>
        <w:t>znaczenie dla sprawy</w:t>
      </w:r>
      <w:r w:rsidR="00054796">
        <w:rPr>
          <w:lang w:val="pl-PL"/>
        </w:rPr>
        <w:t>,</w:t>
      </w:r>
      <w:r w:rsidR="001D1766">
        <w:rPr>
          <w:lang w:val="pl-PL"/>
        </w:rPr>
        <w:t xml:space="preserve"> i </w:t>
      </w:r>
      <w:r w:rsidR="00EE0A73">
        <w:rPr>
          <w:lang w:val="pl-PL"/>
        </w:rPr>
        <w:t xml:space="preserve">czy </w:t>
      </w:r>
      <w:r w:rsidR="001D1766">
        <w:rPr>
          <w:lang w:val="pl-PL"/>
        </w:rPr>
        <w:t xml:space="preserve">przedstawiły wystarczające uzasadnienie swej decyzji o nieprzesłuchaniu go, </w:t>
      </w:r>
      <w:r w:rsidR="00054796">
        <w:rPr>
          <w:lang w:val="pl-PL"/>
        </w:rPr>
        <w:t>stanowi zatem niezależn</w:t>
      </w:r>
      <w:r w:rsidR="00EE0A73">
        <w:rPr>
          <w:lang w:val="pl-PL"/>
        </w:rPr>
        <w:t xml:space="preserve">ą i integralną część powyższego testu. Kwestia ta </w:t>
      </w:r>
      <w:r w:rsidR="001D1766">
        <w:rPr>
          <w:lang w:val="pl-PL"/>
        </w:rPr>
        <w:t>jawi</w:t>
      </w:r>
      <w:r>
        <w:rPr>
          <w:lang w:val="pl-PL"/>
        </w:rPr>
        <w:t>ł</w:t>
      </w:r>
      <w:r w:rsidR="00EE0A73">
        <w:rPr>
          <w:lang w:val="pl-PL"/>
        </w:rPr>
        <w:t>a</w:t>
      </w:r>
      <w:r w:rsidR="001D1766">
        <w:rPr>
          <w:lang w:val="pl-PL"/>
        </w:rPr>
        <w:t xml:space="preserve"> się jako związek logiczny między dwoma elementami testu </w:t>
      </w:r>
      <w:r w:rsidR="00EE0A73">
        <w:rPr>
          <w:lang w:val="pl-PL"/>
        </w:rPr>
        <w:t xml:space="preserve">ze sprawy </w:t>
      </w:r>
      <w:proofErr w:type="spellStart"/>
      <w:r w:rsidR="00EE0A73">
        <w:rPr>
          <w:i/>
          <w:lang w:val="pl-PL"/>
        </w:rPr>
        <w:t>Perna</w:t>
      </w:r>
      <w:proofErr w:type="spellEnd"/>
      <w:r w:rsidR="00EE0A73">
        <w:rPr>
          <w:i/>
          <w:lang w:val="pl-PL"/>
        </w:rPr>
        <w:t xml:space="preserve"> </w:t>
      </w:r>
      <w:r w:rsidR="00EE0A73" w:rsidRPr="00EE0A73">
        <w:rPr>
          <w:lang w:val="pl-PL"/>
        </w:rPr>
        <w:t>i</w:t>
      </w:r>
      <w:r w:rsidR="001D1766">
        <w:rPr>
          <w:i/>
          <w:lang w:val="pl-PL"/>
        </w:rPr>
        <w:t xml:space="preserve"> </w:t>
      </w:r>
      <w:r w:rsidR="001D1766">
        <w:rPr>
          <w:lang w:val="pl-PL"/>
        </w:rPr>
        <w:t>funkcjon</w:t>
      </w:r>
      <w:r>
        <w:rPr>
          <w:lang w:val="pl-PL"/>
        </w:rPr>
        <w:t>ował</w:t>
      </w:r>
      <w:r w:rsidR="00EE0A73">
        <w:rPr>
          <w:lang w:val="pl-PL"/>
        </w:rPr>
        <w:t>a w tym teście</w:t>
      </w:r>
      <w:r w:rsidR="001D1766">
        <w:rPr>
          <w:lang w:val="pl-PL"/>
        </w:rPr>
        <w:t xml:space="preserve"> jako dorozumiany element merytoryczny. </w:t>
      </w:r>
      <w:r w:rsidR="00054796">
        <w:rPr>
          <w:lang w:val="pl-PL"/>
        </w:rPr>
        <w:t xml:space="preserve">W interesie jasności i spójności </w:t>
      </w:r>
      <w:r>
        <w:rPr>
          <w:lang w:val="pl-PL"/>
        </w:rPr>
        <w:t xml:space="preserve">swej </w:t>
      </w:r>
      <w:r w:rsidR="00EE0A73">
        <w:rPr>
          <w:lang w:val="pl-PL"/>
        </w:rPr>
        <w:t>praktyki</w:t>
      </w:r>
      <w:r w:rsidR="00054796">
        <w:rPr>
          <w:lang w:val="pl-PL"/>
        </w:rPr>
        <w:t xml:space="preserve"> </w:t>
      </w:r>
      <w:r>
        <w:rPr>
          <w:lang w:val="pl-PL"/>
        </w:rPr>
        <w:t xml:space="preserve">[orzeczniczej] </w:t>
      </w:r>
      <w:r w:rsidR="00054796">
        <w:rPr>
          <w:lang w:val="pl-PL"/>
        </w:rPr>
        <w:t xml:space="preserve">Trybunał uznał </w:t>
      </w:r>
      <w:r w:rsidR="00EE0A73">
        <w:rPr>
          <w:lang w:val="pl-PL"/>
        </w:rPr>
        <w:t>za</w:t>
      </w:r>
      <w:r w:rsidR="00054796">
        <w:rPr>
          <w:lang w:val="pl-PL"/>
        </w:rPr>
        <w:t xml:space="preserve"> pożądane wyrazić </w:t>
      </w:r>
      <w:r w:rsidR="00EE0A73">
        <w:rPr>
          <w:lang w:val="pl-PL"/>
        </w:rPr>
        <w:t xml:space="preserve">obecnie </w:t>
      </w:r>
      <w:r w:rsidR="00054796">
        <w:rPr>
          <w:lang w:val="pl-PL"/>
        </w:rPr>
        <w:t xml:space="preserve">ten element wprost. </w:t>
      </w:r>
    </w:p>
    <w:p w:rsidR="000F71A8" w:rsidRPr="006B3EBA" w:rsidRDefault="000F71A8">
      <w:pPr>
        <w:pStyle w:val="ClinContent"/>
        <w:rPr>
          <w:i/>
          <w:lang w:val="pl-PL"/>
        </w:rPr>
      </w:pPr>
      <w:r w:rsidRPr="000F71A8">
        <w:rPr>
          <w:lang w:val="pl-PL"/>
        </w:rPr>
        <w:t>Takie rozwinięcie jest zgodne z niedawnym orzecznictwem na grudnie art.</w:t>
      </w:r>
      <w:r>
        <w:rPr>
          <w:lang w:val="pl-PL"/>
        </w:rPr>
        <w:t xml:space="preserve"> 6 Konwencji, </w:t>
      </w:r>
      <w:r w:rsidR="00911BBD">
        <w:rPr>
          <w:lang w:val="pl-PL"/>
        </w:rPr>
        <w:t xml:space="preserve">w którym </w:t>
      </w:r>
      <w:r>
        <w:rPr>
          <w:lang w:val="pl-PL"/>
        </w:rPr>
        <w:t>podkreśla</w:t>
      </w:r>
      <w:r w:rsidR="00911BBD">
        <w:rPr>
          <w:lang w:val="pl-PL"/>
        </w:rPr>
        <w:t xml:space="preserve"> się</w:t>
      </w:r>
      <w:r>
        <w:rPr>
          <w:lang w:val="pl-PL"/>
        </w:rPr>
        <w:t xml:space="preserve"> decydujące znaczenie obowiązku sądów krajowych podjęcia starannego badania istotnych kwestii w przypadku przedłożenia przez obronę wystarczająco uzasadnionego twierdzenia (zobacz, na przykład, </w:t>
      </w:r>
      <w:r w:rsidR="006B3EBA">
        <w:rPr>
          <w:lang w:val="pl-PL"/>
        </w:rPr>
        <w:t xml:space="preserve">wyrok w sprawie </w:t>
      </w:r>
      <w:proofErr w:type="spellStart"/>
      <w:r>
        <w:rPr>
          <w:i/>
          <w:lang w:val="pl-PL"/>
        </w:rPr>
        <w:t>Dvorski</w:t>
      </w:r>
      <w:proofErr w:type="spellEnd"/>
      <w:r>
        <w:rPr>
          <w:i/>
          <w:lang w:val="pl-PL"/>
        </w:rPr>
        <w:t xml:space="preserve"> p. Chorwacji [Wielka Izba]</w:t>
      </w:r>
      <w:r w:rsidR="001E22AE">
        <w:rPr>
          <w:i/>
          <w:lang w:val="pl-PL"/>
        </w:rPr>
        <w:t>,</w:t>
      </w:r>
      <w:r w:rsidR="00AE108F">
        <w:rPr>
          <w:lang w:val="pl-PL"/>
        </w:rPr>
        <w:t xml:space="preserve"> </w:t>
      </w:r>
      <w:r w:rsidR="006B3EBA">
        <w:rPr>
          <w:lang w:val="pl-PL"/>
        </w:rPr>
        <w:t xml:space="preserve">dotyczący odmowy dostępu do </w:t>
      </w:r>
      <w:r w:rsidR="00231C25">
        <w:rPr>
          <w:lang w:val="pl-PL"/>
        </w:rPr>
        <w:t xml:space="preserve">obrońcy </w:t>
      </w:r>
      <w:r w:rsidR="006B3EBA">
        <w:rPr>
          <w:lang w:val="pl-PL"/>
        </w:rPr>
        <w:t>ustanowionego przez</w:t>
      </w:r>
      <w:r w:rsidR="00C025CC">
        <w:rPr>
          <w:lang w:val="pl-PL"/>
        </w:rPr>
        <w:t> </w:t>
      </w:r>
      <w:r w:rsidR="006B3EBA">
        <w:rPr>
          <w:lang w:val="pl-PL"/>
        </w:rPr>
        <w:t xml:space="preserve">podejrzanego w trakcie przesłuchania przez policję, albo sprawę </w:t>
      </w:r>
      <w:proofErr w:type="spellStart"/>
      <w:r w:rsidR="006B3EBA">
        <w:rPr>
          <w:i/>
          <w:lang w:val="pl-PL"/>
        </w:rPr>
        <w:t>Lagutin</w:t>
      </w:r>
      <w:proofErr w:type="spellEnd"/>
      <w:r w:rsidR="006B3EBA">
        <w:rPr>
          <w:i/>
          <w:lang w:val="pl-PL"/>
        </w:rPr>
        <w:t xml:space="preserve"> i Inni p.</w:t>
      </w:r>
      <w:r w:rsidR="00C025CC">
        <w:rPr>
          <w:i/>
          <w:lang w:val="pl-PL"/>
        </w:rPr>
        <w:t> </w:t>
      </w:r>
      <w:r w:rsidR="006B3EBA">
        <w:rPr>
          <w:i/>
          <w:lang w:val="pl-PL"/>
        </w:rPr>
        <w:t>Rosji</w:t>
      </w:r>
      <w:r w:rsidR="006B3EBA" w:rsidRPr="006B3EBA">
        <w:rPr>
          <w:lang w:val="pl-PL"/>
        </w:rPr>
        <w:t>, w której skarżący zarzucał, że padł ofiarą pułapki policji)</w:t>
      </w:r>
      <w:r w:rsidR="006B3EBA">
        <w:rPr>
          <w:i/>
          <w:lang w:val="pl-PL"/>
        </w:rPr>
        <w:t xml:space="preserve">. </w:t>
      </w:r>
    </w:p>
    <w:p w:rsidR="005246C4" w:rsidRPr="00231C25" w:rsidRDefault="005246C4" w:rsidP="005246C4">
      <w:pPr>
        <w:pStyle w:val="ClinContent"/>
        <w:rPr>
          <w:lang w:val="pl-PL"/>
        </w:rPr>
      </w:pPr>
      <w:r w:rsidRPr="00231C25">
        <w:rPr>
          <w:lang w:val="pl-PL"/>
        </w:rPr>
        <w:t xml:space="preserve">W przypadku, gdy wniosek o przesłuchanie </w:t>
      </w:r>
      <w:r w:rsidRPr="00ED18A8">
        <w:rPr>
          <w:lang w:val="pl-PL"/>
        </w:rPr>
        <w:t xml:space="preserve">świadka </w:t>
      </w:r>
      <w:r w:rsidR="00ED18A8" w:rsidRPr="00ED18A8">
        <w:rPr>
          <w:lang w:val="pl-PL"/>
        </w:rPr>
        <w:t xml:space="preserve">obrony </w:t>
      </w:r>
      <w:r w:rsidRPr="00231C25">
        <w:rPr>
          <w:lang w:val="pl-PL"/>
        </w:rPr>
        <w:t>został złożony zgodnie z</w:t>
      </w:r>
      <w:r w:rsidR="001E0C72">
        <w:rPr>
          <w:lang w:val="pl-PL"/>
        </w:rPr>
        <w:t> </w:t>
      </w:r>
      <w:r w:rsidRPr="00231C25">
        <w:rPr>
          <w:lang w:val="pl-PL"/>
        </w:rPr>
        <w:t>prawem krajowym, ocena przez Trybunał będzie zatem oparta na następujących trzech kryteriach:</w:t>
      </w:r>
    </w:p>
    <w:p w:rsidR="00231C25" w:rsidRPr="005246C4" w:rsidRDefault="00231C25" w:rsidP="005246C4">
      <w:pPr>
        <w:pStyle w:val="ClinContent"/>
        <w:rPr>
          <w:lang w:val="pl-PL"/>
        </w:rPr>
      </w:pPr>
      <w:r w:rsidRPr="005246C4">
        <w:rPr>
          <w:lang w:val="pl-PL"/>
        </w:rPr>
        <w:t>(i)</w:t>
      </w:r>
      <w:r w:rsidR="005246C4" w:rsidRPr="005246C4">
        <w:rPr>
          <w:lang w:val="pl-PL"/>
        </w:rPr>
        <w:t xml:space="preserve"> Czy wniosek o przesłuchanie świadka był wystarczająco uzasadniony i istotny dla</w:t>
      </w:r>
      <w:r w:rsidR="00C025CC">
        <w:rPr>
          <w:lang w:val="pl-PL"/>
        </w:rPr>
        <w:t> </w:t>
      </w:r>
      <w:r w:rsidR="005246C4" w:rsidRPr="005246C4">
        <w:rPr>
          <w:lang w:val="pl-PL"/>
        </w:rPr>
        <w:t>przedmiotu oskarżenia?</w:t>
      </w:r>
    </w:p>
    <w:p w:rsidR="00231C25" w:rsidRPr="005246C4" w:rsidRDefault="00231C25" w:rsidP="00231C25">
      <w:pPr>
        <w:pStyle w:val="ClinContent"/>
        <w:rPr>
          <w:lang w:val="pl-PL"/>
        </w:rPr>
      </w:pPr>
      <w:r w:rsidRPr="005246C4">
        <w:rPr>
          <w:lang w:val="pl-PL"/>
        </w:rPr>
        <w:t>(i</w:t>
      </w:r>
      <w:r w:rsidR="005246C4">
        <w:rPr>
          <w:lang w:val="pl-PL"/>
        </w:rPr>
        <w:t>i</w:t>
      </w:r>
      <w:r w:rsidRPr="005246C4">
        <w:rPr>
          <w:lang w:val="pl-PL"/>
        </w:rPr>
        <w:t>)</w:t>
      </w:r>
      <w:r w:rsidR="005246C4" w:rsidRPr="005246C4">
        <w:rPr>
          <w:lang w:val="pl-PL"/>
        </w:rPr>
        <w:t xml:space="preserve"> Czy sądy krajowe rozważyły znaczenie tego zeznania </w:t>
      </w:r>
      <w:r w:rsidR="005246C4">
        <w:rPr>
          <w:lang w:val="pl-PL"/>
        </w:rPr>
        <w:t xml:space="preserve">dla sprawy </w:t>
      </w:r>
      <w:r w:rsidR="005246C4" w:rsidRPr="005246C4">
        <w:rPr>
          <w:lang w:val="pl-PL"/>
        </w:rPr>
        <w:t xml:space="preserve">i podały wystarczające uzasadnienie </w:t>
      </w:r>
      <w:r w:rsidR="005246C4">
        <w:rPr>
          <w:lang w:val="pl-PL"/>
        </w:rPr>
        <w:t>swej decyzji o nieprzesłuchaniu świadka na rozprawie?</w:t>
      </w:r>
    </w:p>
    <w:p w:rsidR="00231C25" w:rsidRPr="005246C4" w:rsidRDefault="00231C25" w:rsidP="00231C25">
      <w:pPr>
        <w:pStyle w:val="ClinContent"/>
        <w:rPr>
          <w:lang w:val="pl-PL"/>
        </w:rPr>
      </w:pPr>
      <w:r w:rsidRPr="005246C4">
        <w:rPr>
          <w:lang w:val="pl-PL"/>
        </w:rPr>
        <w:t>(</w:t>
      </w:r>
      <w:r w:rsidR="005246C4">
        <w:rPr>
          <w:lang w:val="pl-PL"/>
        </w:rPr>
        <w:t>ii</w:t>
      </w:r>
      <w:r w:rsidRPr="005246C4">
        <w:rPr>
          <w:lang w:val="pl-PL"/>
        </w:rPr>
        <w:t>i)</w:t>
      </w:r>
      <w:r w:rsidR="005246C4" w:rsidRPr="005246C4">
        <w:rPr>
          <w:lang w:val="pl-PL"/>
        </w:rPr>
        <w:t xml:space="preserve"> Czy decyzja o nieprzesłuchaniu świadka podważyła </w:t>
      </w:r>
      <w:r w:rsidR="005246C4">
        <w:rPr>
          <w:lang w:val="pl-PL"/>
        </w:rPr>
        <w:t>ogólną rzetelność postępowania?</w:t>
      </w:r>
    </w:p>
    <w:p w:rsidR="00FD5DA9" w:rsidRPr="005246C4" w:rsidRDefault="00FD5DA9" w:rsidP="00FD5DA9">
      <w:pPr>
        <w:pStyle w:val="ClinContent"/>
        <w:rPr>
          <w:lang w:val="pl-PL"/>
        </w:rPr>
      </w:pPr>
      <w:r>
        <w:rPr>
          <w:lang w:val="pl-PL"/>
        </w:rPr>
        <w:t xml:space="preserve">Choć istniejące orzecznictwo już dostarczało solidnych podstaw w odniesieniu do tych trzech </w:t>
      </w:r>
      <w:r w:rsidR="00911BBD">
        <w:rPr>
          <w:lang w:val="pl-PL"/>
        </w:rPr>
        <w:t>kryteriów</w:t>
      </w:r>
      <w:r>
        <w:rPr>
          <w:lang w:val="pl-PL"/>
        </w:rPr>
        <w:t>, Trybunał uznał za właś</w:t>
      </w:r>
      <w:r w:rsidR="00ED18A8">
        <w:rPr>
          <w:lang w:val="pl-PL"/>
        </w:rPr>
        <w:t xml:space="preserve">ciwe podać </w:t>
      </w:r>
      <w:r w:rsidR="00911BBD">
        <w:rPr>
          <w:lang w:val="pl-PL"/>
        </w:rPr>
        <w:t xml:space="preserve">też </w:t>
      </w:r>
      <w:r w:rsidR="00ED18A8">
        <w:rPr>
          <w:lang w:val="pl-PL"/>
        </w:rPr>
        <w:t>następujące wskazania</w:t>
      </w:r>
      <w:r>
        <w:rPr>
          <w:lang w:val="pl-PL"/>
        </w:rPr>
        <w:t>.</w:t>
      </w:r>
    </w:p>
    <w:p w:rsidR="00FD5DA9" w:rsidRPr="00FD5DA9" w:rsidRDefault="00FD5DA9">
      <w:pPr>
        <w:pStyle w:val="ClinContent"/>
        <w:rPr>
          <w:i/>
          <w:lang w:val="pl-PL"/>
        </w:rPr>
      </w:pPr>
      <w:r>
        <w:rPr>
          <w:lang w:val="pl-PL"/>
        </w:rPr>
        <w:t xml:space="preserve">(i) </w:t>
      </w:r>
      <w:r w:rsidRPr="00FD5DA9">
        <w:rPr>
          <w:i/>
          <w:lang w:val="pl-PL"/>
        </w:rPr>
        <w:t>Czy wniosek o przesłuchanie świadka był wystarczająco uzasadniony i istotny dla</w:t>
      </w:r>
      <w:r w:rsidR="00C025CC">
        <w:rPr>
          <w:i/>
          <w:lang w:val="pl-PL"/>
        </w:rPr>
        <w:t> </w:t>
      </w:r>
      <w:r w:rsidRPr="00FD5DA9">
        <w:rPr>
          <w:i/>
          <w:lang w:val="pl-PL"/>
        </w:rPr>
        <w:t>przedmiotu oskarżenia?</w:t>
      </w:r>
      <w:r>
        <w:rPr>
          <w:i/>
          <w:lang w:val="pl-PL"/>
        </w:rPr>
        <w:t xml:space="preserve"> – </w:t>
      </w:r>
      <w:r>
        <w:rPr>
          <w:lang w:val="pl-PL"/>
        </w:rPr>
        <w:t>Wśród różnych sformułowań używanych w wyroku w</w:t>
      </w:r>
      <w:r w:rsidR="00C025CC">
        <w:rPr>
          <w:lang w:val="pl-PL"/>
        </w:rPr>
        <w:t> </w:t>
      </w:r>
      <w:r>
        <w:rPr>
          <w:lang w:val="pl-PL"/>
        </w:rPr>
        <w:t xml:space="preserve">sprawie </w:t>
      </w:r>
      <w:proofErr w:type="spellStart"/>
      <w:r>
        <w:rPr>
          <w:i/>
          <w:lang w:val="pl-PL"/>
        </w:rPr>
        <w:t>Perna</w:t>
      </w:r>
      <w:proofErr w:type="spellEnd"/>
      <w:r>
        <w:rPr>
          <w:i/>
          <w:lang w:val="pl-PL"/>
        </w:rPr>
        <w:t xml:space="preserve"> </w:t>
      </w:r>
      <w:r w:rsidRPr="00FD5DA9">
        <w:rPr>
          <w:lang w:val="pl-PL"/>
        </w:rPr>
        <w:t>i kolejnych</w:t>
      </w:r>
      <w:r w:rsidR="00911BBD">
        <w:rPr>
          <w:lang w:val="pl-PL"/>
        </w:rPr>
        <w:t>, takich jak:</w:t>
      </w:r>
      <w:r>
        <w:rPr>
          <w:lang w:val="pl-PL"/>
        </w:rPr>
        <w:t xml:space="preserve"> znaczenie zeznania </w:t>
      </w:r>
      <w:r w:rsidR="00911BBD">
        <w:rPr>
          <w:lang w:val="pl-PL"/>
        </w:rPr>
        <w:t>dan</w:t>
      </w:r>
      <w:r w:rsidR="005000FF">
        <w:rPr>
          <w:lang w:val="pl-PL"/>
        </w:rPr>
        <w:t>ej osoby</w:t>
      </w:r>
      <w:r>
        <w:rPr>
          <w:lang w:val="pl-PL"/>
        </w:rPr>
        <w:t xml:space="preserve"> dla „ustalenia prawdy” lub „zdolność </w:t>
      </w:r>
      <w:r w:rsidR="00911BBD">
        <w:rPr>
          <w:lang w:val="pl-PL"/>
        </w:rPr>
        <w:t xml:space="preserve">zeznania </w:t>
      </w:r>
      <w:r>
        <w:rPr>
          <w:lang w:val="pl-PL"/>
        </w:rPr>
        <w:t>wpłynięcia na wynik procesu”, lub „obiektywne</w:t>
      </w:r>
      <w:r w:rsidR="005000FF">
        <w:rPr>
          <w:lang w:val="pl-PL"/>
        </w:rPr>
        <w:t>go wzmocnienia</w:t>
      </w:r>
      <w:r>
        <w:rPr>
          <w:lang w:val="pl-PL"/>
        </w:rPr>
        <w:t xml:space="preserve"> pozycji obrony” itp. – </w:t>
      </w:r>
      <w:r w:rsidR="005000FF">
        <w:rPr>
          <w:lang w:val="pl-PL"/>
        </w:rPr>
        <w:t xml:space="preserve">to, </w:t>
      </w:r>
      <w:r>
        <w:rPr>
          <w:lang w:val="pl-PL"/>
        </w:rPr>
        <w:t xml:space="preserve">co wydaje się wspólne dla </w:t>
      </w:r>
      <w:r w:rsidR="005000FF">
        <w:rPr>
          <w:lang w:val="pl-PL"/>
        </w:rPr>
        <w:t xml:space="preserve">tych </w:t>
      </w:r>
      <w:r>
        <w:rPr>
          <w:lang w:val="pl-PL"/>
        </w:rPr>
        <w:t>pojęć</w:t>
      </w:r>
      <w:r w:rsidR="005000FF">
        <w:rPr>
          <w:lang w:val="pl-PL"/>
        </w:rPr>
        <w:t>,</w:t>
      </w:r>
      <w:r>
        <w:rPr>
          <w:lang w:val="pl-PL"/>
        </w:rPr>
        <w:t xml:space="preserve"> to</w:t>
      </w:r>
      <w:r w:rsidR="00C025CC">
        <w:rPr>
          <w:lang w:val="pl-PL"/>
        </w:rPr>
        <w:t> </w:t>
      </w:r>
      <w:r>
        <w:rPr>
          <w:lang w:val="pl-PL"/>
        </w:rPr>
        <w:t>zna</w:t>
      </w:r>
      <w:r w:rsidR="005000FF">
        <w:rPr>
          <w:lang w:val="pl-PL"/>
        </w:rPr>
        <w:t>czenie wnioskowanego zeznania dla</w:t>
      </w:r>
      <w:r>
        <w:rPr>
          <w:lang w:val="pl-PL"/>
        </w:rPr>
        <w:t xml:space="preserve"> przedmiotu oskarżenia i zdolność wpłynięcia przez nie na wynik postępowania. </w:t>
      </w:r>
    </w:p>
    <w:p w:rsidR="003C2EB5" w:rsidRPr="003C2EB5" w:rsidRDefault="003C2EB5">
      <w:pPr>
        <w:pStyle w:val="ClinContent"/>
        <w:rPr>
          <w:lang w:val="pl-PL"/>
        </w:rPr>
      </w:pPr>
      <w:r w:rsidRPr="003C2EB5">
        <w:rPr>
          <w:lang w:val="pl-PL"/>
        </w:rPr>
        <w:t xml:space="preserve">W świetle ewolucji swego orzecznictwa na gruncie art. </w:t>
      </w:r>
      <w:r>
        <w:rPr>
          <w:lang w:val="pl-PL"/>
        </w:rPr>
        <w:t>6 Trybuna</w:t>
      </w:r>
      <w:r w:rsidR="00322E77">
        <w:rPr>
          <w:lang w:val="pl-PL"/>
        </w:rPr>
        <w:t>ł uznał za konieczne dokonać</w:t>
      </w:r>
      <w:r w:rsidR="005D3481">
        <w:rPr>
          <w:lang w:val="pl-PL"/>
        </w:rPr>
        <w:t xml:space="preserve"> wyjaśnienia</w:t>
      </w:r>
      <w:r>
        <w:rPr>
          <w:lang w:val="pl-PL"/>
        </w:rPr>
        <w:t xml:space="preserve"> t</w:t>
      </w:r>
      <w:r w:rsidR="00322E77">
        <w:rPr>
          <w:lang w:val="pl-PL"/>
        </w:rPr>
        <w:t>ego</w:t>
      </w:r>
      <w:r>
        <w:rPr>
          <w:lang w:val="pl-PL"/>
        </w:rPr>
        <w:t xml:space="preserve"> kryterium poprzez włączenie d</w:t>
      </w:r>
      <w:r w:rsidR="00322E77">
        <w:rPr>
          <w:lang w:val="pl-PL"/>
        </w:rPr>
        <w:t>o jego zakresu nie tylko wniosków</w:t>
      </w:r>
      <w:r>
        <w:rPr>
          <w:lang w:val="pl-PL"/>
        </w:rPr>
        <w:t xml:space="preserve"> obrony o wezwanie świadków zdolnych „wpłynąć na wynik procesu”, ale także </w:t>
      </w:r>
      <w:r>
        <w:rPr>
          <w:lang w:val="pl-PL"/>
        </w:rPr>
        <w:lastRenderedPageBreak/>
        <w:t>innych świadków, po których można się w sposób uzasadnionych spodziewać, że</w:t>
      </w:r>
      <w:r w:rsidR="00C025CC">
        <w:rPr>
          <w:lang w:val="pl-PL"/>
        </w:rPr>
        <w:t> </w:t>
      </w:r>
      <w:r>
        <w:rPr>
          <w:lang w:val="pl-PL"/>
        </w:rPr>
        <w:t xml:space="preserve">„wzmocnią stanowisko obrony”. </w:t>
      </w:r>
    </w:p>
    <w:p w:rsidR="006E2336" w:rsidRPr="00284E7A" w:rsidRDefault="00284E7A">
      <w:pPr>
        <w:pStyle w:val="ClinContent"/>
        <w:rPr>
          <w:lang w:val="pl-PL"/>
        </w:rPr>
      </w:pPr>
      <w:r>
        <w:rPr>
          <w:lang w:val="pl-PL"/>
        </w:rPr>
        <w:t>To, c</w:t>
      </w:r>
      <w:r w:rsidRPr="00284E7A">
        <w:rPr>
          <w:lang w:val="pl-PL"/>
        </w:rPr>
        <w:t>zy pewne powody przesłuchania świ</w:t>
      </w:r>
      <w:r w:rsidR="00322E77">
        <w:rPr>
          <w:lang w:val="pl-PL"/>
        </w:rPr>
        <w:t>adka są wystarczające i istotne –</w:t>
      </w:r>
      <w:r w:rsidRPr="00284E7A">
        <w:rPr>
          <w:lang w:val="pl-PL"/>
        </w:rPr>
        <w:t xml:space="preserve"> </w:t>
      </w:r>
      <w:r w:rsidR="00322E77">
        <w:rPr>
          <w:lang w:val="pl-PL"/>
        </w:rPr>
        <w:t xml:space="preserve">z punktu widzenia </w:t>
      </w:r>
      <w:r w:rsidRPr="00284E7A">
        <w:rPr>
          <w:lang w:val="pl-PL"/>
        </w:rPr>
        <w:t>przedmiot</w:t>
      </w:r>
      <w:r w:rsidR="00322E77">
        <w:rPr>
          <w:lang w:val="pl-PL"/>
        </w:rPr>
        <w:t>u</w:t>
      </w:r>
      <w:r w:rsidRPr="00284E7A">
        <w:rPr>
          <w:lang w:val="pl-PL"/>
        </w:rPr>
        <w:t xml:space="preserve"> oskarżenia</w:t>
      </w:r>
      <w:r w:rsidR="00322E77">
        <w:rPr>
          <w:lang w:val="pl-PL"/>
        </w:rPr>
        <w:t xml:space="preserve"> –</w:t>
      </w:r>
      <w:r w:rsidRPr="00284E7A">
        <w:rPr>
          <w:lang w:val="pl-PL"/>
        </w:rPr>
        <w:t xml:space="preserve"> </w:t>
      </w:r>
      <w:r>
        <w:rPr>
          <w:lang w:val="pl-PL"/>
        </w:rPr>
        <w:t xml:space="preserve">nie może być oceniane </w:t>
      </w:r>
      <w:r>
        <w:rPr>
          <w:i/>
          <w:lang w:val="pl-PL"/>
        </w:rPr>
        <w:t xml:space="preserve">in abstracto: </w:t>
      </w:r>
      <w:r>
        <w:rPr>
          <w:lang w:val="pl-PL"/>
        </w:rPr>
        <w:t>ocena ta</w:t>
      </w:r>
      <w:r w:rsidR="00E90946">
        <w:rPr>
          <w:lang w:val="pl-PL"/>
        </w:rPr>
        <w:t> </w:t>
      </w:r>
      <w:r>
        <w:rPr>
          <w:lang w:val="pl-PL"/>
        </w:rPr>
        <w:t>w</w:t>
      </w:r>
      <w:r w:rsidR="00C025CC">
        <w:rPr>
          <w:lang w:val="pl-PL"/>
        </w:rPr>
        <w:t> </w:t>
      </w:r>
      <w:r>
        <w:rPr>
          <w:lang w:val="pl-PL"/>
        </w:rPr>
        <w:t xml:space="preserve">sposób konieczny wymaga rozważenia okoliczności danej sprawy, </w:t>
      </w:r>
      <w:r w:rsidR="00322E77">
        <w:rPr>
          <w:lang w:val="pl-PL"/>
        </w:rPr>
        <w:t>które obejmują</w:t>
      </w:r>
      <w:r>
        <w:rPr>
          <w:lang w:val="pl-PL"/>
        </w:rPr>
        <w:t>: (1)</w:t>
      </w:r>
      <w:r w:rsidR="00C025CC">
        <w:rPr>
          <w:lang w:val="pl-PL"/>
        </w:rPr>
        <w:t> </w:t>
      </w:r>
      <w:r>
        <w:rPr>
          <w:lang w:val="pl-PL"/>
        </w:rPr>
        <w:t xml:space="preserve">mające zastosowanie przepisy prawa krajowego; (2) etap i </w:t>
      </w:r>
      <w:r w:rsidR="00322E77">
        <w:rPr>
          <w:lang w:val="pl-PL"/>
        </w:rPr>
        <w:t xml:space="preserve">stan </w:t>
      </w:r>
      <w:r>
        <w:rPr>
          <w:lang w:val="pl-PL"/>
        </w:rPr>
        <w:t>zaa</w:t>
      </w:r>
      <w:r w:rsidR="00322E77">
        <w:rPr>
          <w:lang w:val="pl-PL"/>
        </w:rPr>
        <w:t>wansowania</w:t>
      </w:r>
      <w:r>
        <w:rPr>
          <w:lang w:val="pl-PL"/>
        </w:rPr>
        <w:t xml:space="preserve"> postępowania; (3) linię </w:t>
      </w:r>
      <w:r w:rsidR="00322E77" w:rsidRPr="007351C7">
        <w:rPr>
          <w:lang w:val="pl-PL"/>
        </w:rPr>
        <w:t>argumentacji</w:t>
      </w:r>
      <w:r w:rsidRPr="007351C7">
        <w:rPr>
          <w:lang w:val="pl-PL"/>
        </w:rPr>
        <w:t xml:space="preserve"> i</w:t>
      </w:r>
      <w:r>
        <w:rPr>
          <w:lang w:val="pl-PL"/>
        </w:rPr>
        <w:t xml:space="preserve"> strategie realizowane przez strony oraz</w:t>
      </w:r>
      <w:r w:rsidR="00C025CC">
        <w:rPr>
          <w:lang w:val="pl-PL"/>
        </w:rPr>
        <w:t> </w:t>
      </w:r>
      <w:r>
        <w:rPr>
          <w:lang w:val="pl-PL"/>
        </w:rPr>
        <w:t>ich</w:t>
      </w:r>
      <w:r w:rsidR="00C025CC">
        <w:rPr>
          <w:lang w:val="pl-PL"/>
        </w:rPr>
        <w:t> </w:t>
      </w:r>
      <w:r>
        <w:rPr>
          <w:lang w:val="pl-PL"/>
        </w:rPr>
        <w:t xml:space="preserve">zachowanie procesowe. </w:t>
      </w:r>
    </w:p>
    <w:p w:rsidR="00284E7A" w:rsidRPr="00284E7A" w:rsidRDefault="00284E7A">
      <w:pPr>
        <w:pStyle w:val="ClinContent"/>
        <w:rPr>
          <w:i/>
          <w:lang w:val="pl-PL"/>
        </w:rPr>
      </w:pPr>
      <w:r w:rsidRPr="00284E7A">
        <w:rPr>
          <w:lang w:val="pl-PL"/>
        </w:rPr>
        <w:t>Zapewne w</w:t>
      </w:r>
      <w:r w:rsidR="00911BBD">
        <w:rPr>
          <w:lang w:val="pl-PL"/>
        </w:rPr>
        <w:t xml:space="preserve"> niektórych</w:t>
      </w:r>
      <w:r w:rsidRPr="00284E7A">
        <w:rPr>
          <w:lang w:val="pl-PL"/>
        </w:rPr>
        <w:t xml:space="preserve"> sprawach istotne znaczenie zeznania świadka </w:t>
      </w:r>
      <w:r>
        <w:rPr>
          <w:lang w:val="pl-PL"/>
        </w:rPr>
        <w:t>o</w:t>
      </w:r>
      <w:r w:rsidRPr="00284E7A">
        <w:rPr>
          <w:lang w:val="pl-PL"/>
        </w:rPr>
        <w:t xml:space="preserve">brony może być tak </w:t>
      </w:r>
      <w:r w:rsidR="00322E77">
        <w:rPr>
          <w:lang w:val="pl-PL"/>
        </w:rPr>
        <w:t>oczywiste</w:t>
      </w:r>
      <w:r>
        <w:rPr>
          <w:lang w:val="pl-PL"/>
        </w:rPr>
        <w:t xml:space="preserve">, że nawet niewielkie uzasadnienie podane przez obronę będzie wystarczające do odpowiedzi na pierwsze pytanie testu </w:t>
      </w:r>
      <w:proofErr w:type="spellStart"/>
      <w:r>
        <w:rPr>
          <w:i/>
          <w:lang w:val="pl-PL"/>
        </w:rPr>
        <w:t>Perna</w:t>
      </w:r>
      <w:proofErr w:type="spellEnd"/>
      <w:r>
        <w:rPr>
          <w:i/>
          <w:lang w:val="pl-PL"/>
        </w:rPr>
        <w:t xml:space="preserve">. </w:t>
      </w:r>
    </w:p>
    <w:p w:rsidR="00316D35" w:rsidRPr="002A6D51" w:rsidRDefault="00316D35" w:rsidP="00316D35">
      <w:pPr>
        <w:pStyle w:val="ClinContent"/>
        <w:rPr>
          <w:lang w:val="pl-PL"/>
        </w:rPr>
      </w:pPr>
      <w:r>
        <w:rPr>
          <w:lang w:val="pl-PL"/>
        </w:rPr>
        <w:t xml:space="preserve">(ii) </w:t>
      </w:r>
      <w:r w:rsidRPr="00316D35">
        <w:rPr>
          <w:i/>
          <w:lang w:val="pl-PL"/>
        </w:rPr>
        <w:t>Czy sądy krajowe rozważyły znaczenie tego zeznania dla sprawy i podały wystarczające uzasadnienie swej decyzji o nieprzesłuchaniu świadka na rozprawie?</w:t>
      </w:r>
      <w:r>
        <w:rPr>
          <w:i/>
          <w:lang w:val="pl-PL"/>
        </w:rPr>
        <w:t xml:space="preserve"> </w:t>
      </w:r>
      <w:r w:rsidR="002A6D51">
        <w:rPr>
          <w:i/>
          <w:lang w:val="pl-PL"/>
        </w:rPr>
        <w:t>–</w:t>
      </w:r>
      <w:r>
        <w:rPr>
          <w:i/>
          <w:lang w:val="pl-PL"/>
        </w:rPr>
        <w:t xml:space="preserve"> </w:t>
      </w:r>
      <w:r w:rsidR="002A6D51" w:rsidRPr="002A6D51">
        <w:rPr>
          <w:lang w:val="pl-PL"/>
        </w:rPr>
        <w:t>Każda ocena odpowiedzi sądów na wniosek o przesłuchani</w:t>
      </w:r>
      <w:r w:rsidR="00911BBD">
        <w:rPr>
          <w:lang w:val="pl-PL"/>
        </w:rPr>
        <w:t>e</w:t>
      </w:r>
      <w:r w:rsidR="002A6D51" w:rsidRPr="002A6D51">
        <w:rPr>
          <w:lang w:val="pl-PL"/>
        </w:rPr>
        <w:t xml:space="preserve"> świadka w sposób konieczny wymaga rozważenia okoliczności danej sprawy. </w:t>
      </w:r>
      <w:r w:rsidR="002A6D51">
        <w:rPr>
          <w:lang w:val="pl-PL"/>
        </w:rPr>
        <w:t>Uzasadnienie sąd</w:t>
      </w:r>
      <w:r w:rsidR="00322E77">
        <w:rPr>
          <w:lang w:val="pl-PL"/>
        </w:rPr>
        <w:t>ów</w:t>
      </w:r>
      <w:r w:rsidR="002A6D51">
        <w:rPr>
          <w:lang w:val="pl-PL"/>
        </w:rPr>
        <w:t xml:space="preserve"> powinno być współmierne, to znaczy odpowiednie w zakresie i</w:t>
      </w:r>
      <w:r w:rsidR="00322E77">
        <w:rPr>
          <w:lang w:val="pl-PL"/>
        </w:rPr>
        <w:t xml:space="preserve"> stopniu</w:t>
      </w:r>
      <w:r w:rsidR="002A6D51">
        <w:rPr>
          <w:lang w:val="pl-PL"/>
        </w:rPr>
        <w:t xml:space="preserve"> </w:t>
      </w:r>
      <w:r w:rsidR="00911BBD">
        <w:rPr>
          <w:lang w:val="pl-PL"/>
        </w:rPr>
        <w:t xml:space="preserve">swej </w:t>
      </w:r>
      <w:r w:rsidR="002A6D51">
        <w:rPr>
          <w:lang w:val="pl-PL"/>
        </w:rPr>
        <w:t>szczegółowości do</w:t>
      </w:r>
      <w:r w:rsidR="00C025CC">
        <w:rPr>
          <w:lang w:val="pl-PL"/>
        </w:rPr>
        <w:t> </w:t>
      </w:r>
      <w:r w:rsidR="002A6D51">
        <w:rPr>
          <w:lang w:val="pl-PL"/>
        </w:rPr>
        <w:t xml:space="preserve">uzasadnienia </w:t>
      </w:r>
      <w:r w:rsidR="00911BBD">
        <w:rPr>
          <w:lang w:val="pl-PL"/>
        </w:rPr>
        <w:t xml:space="preserve">wniosku </w:t>
      </w:r>
      <w:r w:rsidR="002A6D51">
        <w:rPr>
          <w:lang w:val="pl-PL"/>
        </w:rPr>
        <w:t xml:space="preserve">podanego przez obronę. Ponieważ Konwencja nie wymaga stawiennictwa i przesłuchania każdego świadka </w:t>
      </w:r>
      <w:r w:rsidR="00322E77">
        <w:rPr>
          <w:lang w:val="pl-PL"/>
        </w:rPr>
        <w:t>obrony</w:t>
      </w:r>
      <w:r w:rsidR="002A6D51">
        <w:rPr>
          <w:lang w:val="pl-PL"/>
        </w:rPr>
        <w:t xml:space="preserve">, nie można oczekiwać od sądów szczegółowej odpowiedzi na każdy wniosek obrony; </w:t>
      </w:r>
      <w:r w:rsidR="002A6D51" w:rsidRPr="00AC55EA">
        <w:rPr>
          <w:lang w:val="pl-PL"/>
        </w:rPr>
        <w:t>niemniej</w:t>
      </w:r>
      <w:r w:rsidR="00AC55EA">
        <w:rPr>
          <w:lang w:val="pl-PL"/>
        </w:rPr>
        <w:t xml:space="preserve"> jednak</w:t>
      </w:r>
      <w:r w:rsidR="002A6D51">
        <w:rPr>
          <w:lang w:val="pl-PL"/>
        </w:rPr>
        <w:t xml:space="preserve"> są </w:t>
      </w:r>
      <w:r w:rsidR="00322E77">
        <w:rPr>
          <w:lang w:val="pl-PL"/>
        </w:rPr>
        <w:t xml:space="preserve">one </w:t>
      </w:r>
      <w:r w:rsidR="002A6D51">
        <w:rPr>
          <w:lang w:val="pl-PL"/>
        </w:rPr>
        <w:t>zobowiązane podać odpowiednie uzasadnienie swych decyzji.</w:t>
      </w:r>
    </w:p>
    <w:p w:rsidR="002A6D51" w:rsidRPr="002A6D51" w:rsidRDefault="00607F76">
      <w:pPr>
        <w:pStyle w:val="ClinContent"/>
        <w:rPr>
          <w:lang w:val="pl-PL"/>
        </w:rPr>
      </w:pPr>
      <w:r>
        <w:rPr>
          <w:lang w:val="pl-PL"/>
        </w:rPr>
        <w:t>Co do zasady</w:t>
      </w:r>
      <w:r w:rsidR="002A6D51" w:rsidRPr="002A6D51">
        <w:rPr>
          <w:lang w:val="pl-PL"/>
        </w:rPr>
        <w:t xml:space="preserve"> znaczenie zeznania oraz wystarczający charakter uzasadnienia podanego przez obronę w okolicznościach sprawy determinują zakres i poziom szczegółowości oceny wymaganej od sądów krajowych: im mocniejsze </w:t>
      </w:r>
      <w:r w:rsidR="002A6D51">
        <w:rPr>
          <w:lang w:val="pl-PL"/>
        </w:rPr>
        <w:t xml:space="preserve">i większej wagi argumenty obrony, tym dokładniejsze musi być zbadanie ich przez sądy i tym bardziej przekonujące musi być uzasadnienie ich odmowy uwzględnienia wniosku obrony o przesłuchanie świadka. </w:t>
      </w:r>
    </w:p>
    <w:p w:rsidR="002A6D51" w:rsidRPr="002A6D51" w:rsidRDefault="002A6D51" w:rsidP="002A6D51">
      <w:pPr>
        <w:pStyle w:val="ClinContent"/>
        <w:rPr>
          <w:lang w:val="pl-PL"/>
        </w:rPr>
      </w:pPr>
      <w:r>
        <w:rPr>
          <w:lang w:val="pl-PL"/>
        </w:rPr>
        <w:t xml:space="preserve">(iii) </w:t>
      </w:r>
      <w:r w:rsidRPr="002A6D51">
        <w:rPr>
          <w:i/>
          <w:lang w:val="pl-PL"/>
        </w:rPr>
        <w:t>Czy decyzja o nieprzesłuchaniu świadka podważyła ogólną rzetelność postępowania?</w:t>
      </w:r>
      <w:r>
        <w:rPr>
          <w:i/>
          <w:lang w:val="pl-PL"/>
        </w:rPr>
        <w:t xml:space="preserve"> </w:t>
      </w:r>
      <w:r w:rsidRPr="002A6D51">
        <w:rPr>
          <w:lang w:val="pl-PL"/>
        </w:rPr>
        <w:t xml:space="preserve">– W każdej sprawie niezbędne jest zbadanie wpływu decyzji o odmowie przesłuchania świadka obrony na rozprawie na ogólną rzetelność postępowania. </w:t>
      </w:r>
      <w:r>
        <w:rPr>
          <w:lang w:val="pl-PL"/>
        </w:rPr>
        <w:t>Zgodność z wymogami rzetelnego procesu należy badać w odniesieniu do konkretnej sprawy, mając na</w:t>
      </w:r>
      <w:r w:rsidR="00C025CC">
        <w:rPr>
          <w:lang w:val="pl-PL"/>
        </w:rPr>
        <w:t> </w:t>
      </w:r>
      <w:r>
        <w:rPr>
          <w:lang w:val="pl-PL"/>
        </w:rPr>
        <w:t xml:space="preserve">względzie </w:t>
      </w:r>
      <w:r w:rsidR="005D3481">
        <w:rPr>
          <w:lang w:val="pl-PL"/>
        </w:rPr>
        <w:t>przebieg</w:t>
      </w:r>
      <w:r>
        <w:rPr>
          <w:lang w:val="pl-PL"/>
        </w:rPr>
        <w:t xml:space="preserve"> postępowania jako całości, a nie w oparciu o oddzielne rozważanie jednego szczególnego aspektu lub </w:t>
      </w:r>
      <w:r w:rsidR="005D3481">
        <w:rPr>
          <w:lang w:val="pl-PL"/>
        </w:rPr>
        <w:t xml:space="preserve">jednego </w:t>
      </w:r>
      <w:r>
        <w:rPr>
          <w:lang w:val="pl-PL"/>
        </w:rPr>
        <w:t>szczególnego zdarzenia.</w:t>
      </w:r>
    </w:p>
    <w:p w:rsidR="002A6D51" w:rsidRPr="002A6D51" w:rsidRDefault="002A6D51">
      <w:pPr>
        <w:pStyle w:val="ClinContent"/>
        <w:rPr>
          <w:lang w:val="pl-PL"/>
        </w:rPr>
      </w:pPr>
      <w:r w:rsidRPr="002A6D51">
        <w:rPr>
          <w:lang w:val="pl-PL"/>
        </w:rPr>
        <w:t xml:space="preserve">W opinii Trybunału zachowanie ogólnej rzetelności postępowania jako </w:t>
      </w:r>
      <w:r w:rsidR="005D3481">
        <w:rPr>
          <w:lang w:val="pl-PL"/>
        </w:rPr>
        <w:t>ostateczna miara</w:t>
      </w:r>
      <w:r>
        <w:rPr>
          <w:lang w:val="pl-PL"/>
        </w:rPr>
        <w:t xml:space="preserve"> dla oceny postępowania ma zapewnić, by wskazany wyżej trzystopniowy test nie stał się</w:t>
      </w:r>
      <w:r w:rsidR="00C025CC">
        <w:rPr>
          <w:lang w:val="pl-PL"/>
        </w:rPr>
        <w:t> </w:t>
      </w:r>
      <w:r>
        <w:rPr>
          <w:lang w:val="pl-PL"/>
        </w:rPr>
        <w:t>nadmiernie sztywny lub mechaniczny w zastosowaniu. Choć wnioski wyciągnięte na</w:t>
      </w:r>
      <w:r w:rsidR="00C025CC">
        <w:rPr>
          <w:lang w:val="pl-PL"/>
        </w:rPr>
        <w:t> </w:t>
      </w:r>
      <w:r>
        <w:rPr>
          <w:lang w:val="pl-PL"/>
        </w:rPr>
        <w:t xml:space="preserve">dwóch pierwszych etapach testu </w:t>
      </w:r>
      <w:r w:rsidR="00AC55EA">
        <w:rPr>
          <w:lang w:val="pl-PL"/>
        </w:rPr>
        <w:t xml:space="preserve">zwykle </w:t>
      </w:r>
      <w:r>
        <w:rPr>
          <w:lang w:val="pl-PL"/>
        </w:rPr>
        <w:t xml:space="preserve">stanowić będą mocną wskazówkę co do tego, czy postępowanie było rzetelne, nie można wykluczyć, że w pewnych, choć wyjątkowych, sprawach względy rzetelności mogą uzasadniać odmienny wniosek. </w:t>
      </w:r>
    </w:p>
    <w:p w:rsidR="001C5701" w:rsidRPr="001C5701" w:rsidRDefault="001C5701">
      <w:pPr>
        <w:pStyle w:val="ClinContent"/>
        <w:rPr>
          <w:lang w:val="pl-PL"/>
        </w:rPr>
      </w:pPr>
      <w:r w:rsidRPr="001C5701">
        <w:rPr>
          <w:lang w:val="pl-PL"/>
        </w:rPr>
        <w:t xml:space="preserve">(b) </w:t>
      </w:r>
      <w:r w:rsidRPr="001C5701">
        <w:rPr>
          <w:i/>
          <w:lang w:val="pl-PL"/>
        </w:rPr>
        <w:t xml:space="preserve">Zastosowanie </w:t>
      </w:r>
      <w:r>
        <w:rPr>
          <w:i/>
          <w:lang w:val="pl-PL"/>
        </w:rPr>
        <w:t xml:space="preserve">objaśnionych wyżej </w:t>
      </w:r>
      <w:r w:rsidRPr="001C5701">
        <w:rPr>
          <w:i/>
          <w:lang w:val="pl-PL"/>
        </w:rPr>
        <w:t xml:space="preserve">zasad do obecnej sprawy </w:t>
      </w:r>
      <w:r>
        <w:rPr>
          <w:i/>
          <w:lang w:val="pl-PL"/>
        </w:rPr>
        <w:t xml:space="preserve">– </w:t>
      </w:r>
      <w:r w:rsidRPr="001C5701">
        <w:rPr>
          <w:lang w:val="pl-PL"/>
        </w:rPr>
        <w:t>Po pierwsze,</w:t>
      </w:r>
      <w:r>
        <w:rPr>
          <w:i/>
          <w:lang w:val="pl-PL"/>
        </w:rPr>
        <w:t xml:space="preserve"> </w:t>
      </w:r>
      <w:r w:rsidRPr="001C5701">
        <w:rPr>
          <w:lang w:val="pl-PL"/>
        </w:rPr>
        <w:t>zważywszy</w:t>
      </w:r>
      <w:r>
        <w:rPr>
          <w:lang w:val="pl-PL"/>
        </w:rPr>
        <w:t xml:space="preserve"> na sposób argumentowania obrony, wymagane było bardziej szczegółowe uzasadnienie wniosku o przesłuchanie </w:t>
      </w:r>
      <w:r w:rsidR="00362093">
        <w:rPr>
          <w:lang w:val="pl-PL"/>
        </w:rPr>
        <w:t>zaświadczających</w:t>
      </w:r>
      <w:r>
        <w:rPr>
          <w:lang w:val="pl-PL"/>
        </w:rPr>
        <w:t xml:space="preserve"> świadków. Ponieważ skarżąca sama twierdziła, że środki wybuchowe zostały jej podrzucone przed przybyciem </w:t>
      </w:r>
      <w:r w:rsidR="00362093">
        <w:rPr>
          <w:lang w:val="pl-PL"/>
        </w:rPr>
        <w:t>zaświadczających</w:t>
      </w:r>
      <w:r>
        <w:rPr>
          <w:lang w:val="pl-PL"/>
        </w:rPr>
        <w:t xml:space="preserve"> świadków, zeznani</w:t>
      </w:r>
      <w:r w:rsidR="005D3481">
        <w:rPr>
          <w:lang w:val="pl-PL"/>
        </w:rPr>
        <w:t>a</w:t>
      </w:r>
      <w:r>
        <w:rPr>
          <w:lang w:val="pl-PL"/>
        </w:rPr>
        <w:t>, jakie mogliby złożyć</w:t>
      </w:r>
      <w:r w:rsidR="005D3481">
        <w:rPr>
          <w:lang w:val="pl-PL"/>
        </w:rPr>
        <w:t>, wydają</w:t>
      </w:r>
      <w:r>
        <w:rPr>
          <w:lang w:val="pl-PL"/>
        </w:rPr>
        <w:t xml:space="preserve"> się niezbyt istotne w</w:t>
      </w:r>
      <w:r w:rsidR="00C025CC">
        <w:rPr>
          <w:lang w:val="pl-PL"/>
        </w:rPr>
        <w:t> </w:t>
      </w:r>
      <w:r>
        <w:rPr>
          <w:lang w:val="pl-PL"/>
        </w:rPr>
        <w:t xml:space="preserve">świetle przedmiotu oskarżenia. Po drugie, w świetle ogólnej bierności obrony w trakcie przesłuchiwania policjantów na temat wydarzeń związanych z rzekomym podrzuceniem materiałów wybuchowych, a także </w:t>
      </w:r>
      <w:r w:rsidR="00311575">
        <w:rPr>
          <w:lang w:val="pl-PL"/>
        </w:rPr>
        <w:t xml:space="preserve">w świetle </w:t>
      </w:r>
      <w:r>
        <w:rPr>
          <w:lang w:val="pl-PL"/>
        </w:rPr>
        <w:t xml:space="preserve">braku jakichkolwiek szczegółowych argumentów prawnych lub faktycznych co do konieczności przesłuchania </w:t>
      </w:r>
      <w:r w:rsidR="00362093">
        <w:rPr>
          <w:lang w:val="pl-PL"/>
        </w:rPr>
        <w:t>zaświadczających</w:t>
      </w:r>
      <w:r>
        <w:rPr>
          <w:lang w:val="pl-PL"/>
        </w:rPr>
        <w:t xml:space="preserve"> świadków, uzasadnienie </w:t>
      </w:r>
      <w:r w:rsidR="00911BBD">
        <w:rPr>
          <w:lang w:val="pl-PL"/>
        </w:rPr>
        <w:t>przedstawione przez sądy krajowe</w:t>
      </w:r>
      <w:r>
        <w:rPr>
          <w:lang w:val="pl-PL"/>
        </w:rPr>
        <w:t xml:space="preserve"> </w:t>
      </w:r>
      <w:r w:rsidR="00311575">
        <w:rPr>
          <w:lang w:val="pl-PL"/>
        </w:rPr>
        <w:t>w spraw</w:t>
      </w:r>
      <w:r w:rsidR="00213DB8">
        <w:rPr>
          <w:lang w:val="pl-PL"/>
        </w:rPr>
        <w:t>ie</w:t>
      </w:r>
      <w:r w:rsidR="00311575">
        <w:rPr>
          <w:lang w:val="pl-PL"/>
        </w:rPr>
        <w:t xml:space="preserve"> </w:t>
      </w:r>
      <w:r>
        <w:rPr>
          <w:lang w:val="pl-PL"/>
        </w:rPr>
        <w:t>odmowy uwzględnienia wniosku było współmierne do uzasadnienia podanego przez</w:t>
      </w:r>
      <w:r w:rsidR="00C025CC">
        <w:rPr>
          <w:lang w:val="pl-PL"/>
        </w:rPr>
        <w:t> </w:t>
      </w:r>
      <w:r>
        <w:rPr>
          <w:lang w:val="pl-PL"/>
        </w:rPr>
        <w:t xml:space="preserve">obronę. </w:t>
      </w:r>
      <w:r w:rsidR="00213DB8">
        <w:rPr>
          <w:lang w:val="pl-PL"/>
        </w:rPr>
        <w:t>Wreszcie, ogólna rzetelność postępowania nie z</w:t>
      </w:r>
      <w:r w:rsidR="005D3481">
        <w:rPr>
          <w:lang w:val="pl-PL"/>
        </w:rPr>
        <w:t xml:space="preserve">ostała podważona </w:t>
      </w:r>
      <w:r w:rsidR="005D3481">
        <w:rPr>
          <w:lang w:val="pl-PL"/>
        </w:rPr>
        <w:lastRenderedPageBreak/>
        <w:t>przez</w:t>
      </w:r>
      <w:r w:rsidR="00E90946">
        <w:rPr>
          <w:lang w:val="pl-PL"/>
        </w:rPr>
        <w:t> </w:t>
      </w:r>
      <w:r w:rsidR="005D3481">
        <w:rPr>
          <w:lang w:val="pl-PL"/>
        </w:rPr>
        <w:t>tę</w:t>
      </w:r>
      <w:r w:rsidR="00C025CC">
        <w:rPr>
          <w:lang w:val="pl-PL"/>
        </w:rPr>
        <w:t> </w:t>
      </w:r>
      <w:r w:rsidR="005D3481">
        <w:rPr>
          <w:lang w:val="pl-PL"/>
        </w:rPr>
        <w:t>odmowę</w:t>
      </w:r>
      <w:r w:rsidR="00213DB8">
        <w:rPr>
          <w:lang w:val="pl-PL"/>
        </w:rPr>
        <w:t xml:space="preserve">, gdyż skazanie skarżącej oparte było na znaczącym materiale dowodowym, odpowiednio zgłoszonym w postępowaniu kontradyktoryjnym, w którym obrońcy skarżącej mieli wszelkie możliwości obrony jej wersji wydarzeń.  </w:t>
      </w:r>
    </w:p>
    <w:p w:rsidR="00882B00" w:rsidRPr="00882B00" w:rsidRDefault="00882B00">
      <w:pPr>
        <w:pStyle w:val="ClinContent"/>
        <w:rPr>
          <w:lang w:val="pl-PL"/>
        </w:rPr>
      </w:pPr>
      <w:r w:rsidRPr="00882B00">
        <w:rPr>
          <w:i/>
          <w:lang w:val="pl-PL"/>
        </w:rPr>
        <w:t>Rozstrzygnięcie</w:t>
      </w:r>
      <w:r w:rsidRPr="00882B00">
        <w:rPr>
          <w:lang w:val="pl-PL"/>
        </w:rPr>
        <w:t>: brak naruszenia (piętnastoma głosami do dwóch).</w:t>
      </w:r>
    </w:p>
    <w:p w:rsidR="008E7FDB" w:rsidRPr="008E7FDB" w:rsidRDefault="008E7FDB">
      <w:pPr>
        <w:pStyle w:val="ClinContent"/>
        <w:rPr>
          <w:lang w:val="pl-PL"/>
        </w:rPr>
      </w:pPr>
      <w:r w:rsidRPr="008E7FDB">
        <w:rPr>
          <w:lang w:val="pl-PL"/>
        </w:rPr>
        <w:t xml:space="preserve">Trybunał orzekł także jednomyślnie, że nie doszło do naruszenia art. </w:t>
      </w:r>
      <w:r>
        <w:rPr>
          <w:lang w:val="pl-PL"/>
        </w:rPr>
        <w:t>6 ust.</w:t>
      </w:r>
      <w:r w:rsidR="00234416">
        <w:rPr>
          <w:lang w:val="pl-PL"/>
        </w:rPr>
        <w:t> </w:t>
      </w:r>
      <w:r>
        <w:rPr>
          <w:lang w:val="pl-PL"/>
        </w:rPr>
        <w:t>1 i ust. 3 lit.</w:t>
      </w:r>
      <w:r w:rsidR="00607F76">
        <w:rPr>
          <w:lang w:val="pl-PL"/>
        </w:rPr>
        <w:t> </w:t>
      </w:r>
      <w:r>
        <w:rPr>
          <w:lang w:val="pl-PL"/>
        </w:rPr>
        <w:t xml:space="preserve">b w odniesieniu do warunków dopuszczenia nagrania </w:t>
      </w:r>
      <w:r w:rsidR="009A412B">
        <w:rPr>
          <w:lang w:val="pl-PL"/>
        </w:rPr>
        <w:t>w</w:t>
      </w:r>
      <w:r>
        <w:rPr>
          <w:lang w:val="pl-PL"/>
        </w:rPr>
        <w:t>ideo jako dowodu w sprawie przeciwko skarżącej.</w:t>
      </w:r>
    </w:p>
    <w:p w:rsidR="008E7FDB" w:rsidRPr="008E7FDB" w:rsidRDefault="005D3481" w:rsidP="008E7FDB">
      <w:pPr>
        <w:pStyle w:val="ClinContent"/>
        <w:rPr>
          <w:lang w:val="pl-PL"/>
        </w:rPr>
      </w:pPr>
      <w:r>
        <w:rPr>
          <w:lang w:val="pl-PL"/>
        </w:rPr>
        <w:t>(</w:t>
      </w:r>
      <w:r w:rsidR="008E7FDB" w:rsidRPr="008E7FDB">
        <w:rPr>
          <w:lang w:val="pl-PL"/>
        </w:rPr>
        <w:t xml:space="preserve">Zobacz </w:t>
      </w:r>
      <w:proofErr w:type="spellStart"/>
      <w:r w:rsidR="008E7FDB" w:rsidRPr="008E7FDB">
        <w:rPr>
          <w:i/>
          <w:lang w:val="pl-PL"/>
        </w:rPr>
        <w:t>Perna</w:t>
      </w:r>
      <w:proofErr w:type="spellEnd"/>
      <w:r w:rsidR="008E7FDB" w:rsidRPr="008E7FDB">
        <w:rPr>
          <w:i/>
          <w:lang w:val="pl-PL"/>
        </w:rPr>
        <w:t xml:space="preserve"> p. Włochom</w:t>
      </w:r>
      <w:r w:rsidR="008E7FDB" w:rsidRPr="008E7FDB">
        <w:rPr>
          <w:lang w:val="pl-PL"/>
        </w:rPr>
        <w:t xml:space="preserve"> [Wielka Izba], skarga nr 48898/99, 6 maja 2003 r.; </w:t>
      </w:r>
      <w:proofErr w:type="spellStart"/>
      <w:r w:rsidR="008E7FDB" w:rsidRPr="008E7FDB">
        <w:rPr>
          <w:i/>
          <w:lang w:val="pl-PL"/>
        </w:rPr>
        <w:t>Dvorski</w:t>
      </w:r>
      <w:proofErr w:type="spellEnd"/>
      <w:r w:rsidR="00C025CC">
        <w:rPr>
          <w:i/>
          <w:lang w:val="pl-PL"/>
        </w:rPr>
        <w:t> </w:t>
      </w:r>
      <w:r w:rsidR="008E7FDB" w:rsidRPr="008E7FDB">
        <w:rPr>
          <w:i/>
          <w:lang w:val="pl-PL"/>
        </w:rPr>
        <w:t>p. Chorwacji</w:t>
      </w:r>
      <w:r w:rsidR="008E7FDB" w:rsidRPr="008E7FDB">
        <w:rPr>
          <w:lang w:val="pl-PL"/>
        </w:rPr>
        <w:t xml:space="preserve"> [Wielka Izba], skarga nr 25703/11, 20 października 2015</w:t>
      </w:r>
      <w:r w:rsidR="00607F76">
        <w:rPr>
          <w:lang w:val="pl-PL"/>
        </w:rPr>
        <w:t> </w:t>
      </w:r>
      <w:r w:rsidR="008E7FDB" w:rsidRPr="008E7FDB">
        <w:rPr>
          <w:lang w:val="pl-PL"/>
        </w:rPr>
        <w:t xml:space="preserve">r., </w:t>
      </w:r>
      <w:hyperlink r:id="rId9" w:history="1">
        <w:r w:rsidR="008E7FDB" w:rsidRPr="008E7FDB">
          <w:rPr>
            <w:rStyle w:val="Hipercze"/>
            <w:lang w:val="pl-PL"/>
          </w:rPr>
          <w:t>Nota</w:t>
        </w:r>
        <w:r w:rsidR="00C025CC">
          <w:rPr>
            <w:rStyle w:val="Hipercze"/>
            <w:lang w:val="pl-PL"/>
          </w:rPr>
          <w:t> </w:t>
        </w:r>
        <w:r w:rsidR="008E7FDB" w:rsidRPr="008E7FDB">
          <w:rPr>
            <w:rStyle w:val="Hipercze"/>
            <w:lang w:val="pl-PL"/>
          </w:rPr>
          <w:t>informacyjna nr 189</w:t>
        </w:r>
      </w:hyperlink>
      <w:r w:rsidR="008E7FDB" w:rsidRPr="002F4101">
        <w:rPr>
          <w:rStyle w:val="Odwoanieprzypisudolnego"/>
        </w:rPr>
        <w:footnoteReference w:id="2"/>
      </w:r>
      <w:r w:rsidR="008E7FDB" w:rsidRPr="008E7FDB">
        <w:rPr>
          <w:lang w:val="pl-PL"/>
        </w:rPr>
        <w:t xml:space="preserve">; oraz </w:t>
      </w:r>
      <w:proofErr w:type="spellStart"/>
      <w:r w:rsidR="008E7FDB" w:rsidRPr="008E7FDB">
        <w:rPr>
          <w:i/>
          <w:lang w:val="pl-PL"/>
        </w:rPr>
        <w:t>Lagutin</w:t>
      </w:r>
      <w:proofErr w:type="spellEnd"/>
      <w:r w:rsidR="008E7FDB" w:rsidRPr="008E7FDB">
        <w:rPr>
          <w:i/>
          <w:lang w:val="pl-PL"/>
        </w:rPr>
        <w:t xml:space="preserve"> i Inni p. Rosji</w:t>
      </w:r>
      <w:r w:rsidR="008E7FDB" w:rsidRPr="008E7FDB">
        <w:rPr>
          <w:lang w:val="pl-PL"/>
        </w:rPr>
        <w:t xml:space="preserve">, skargi nr 6228/09 </w:t>
      </w:r>
      <w:r w:rsidR="008E7FDB" w:rsidRPr="002F4101">
        <w:rPr>
          <w:i/>
          <w:lang w:val="pl-PL"/>
        </w:rPr>
        <w:t>et al.</w:t>
      </w:r>
      <w:r w:rsidR="008E7FDB" w:rsidRPr="008E7FDB">
        <w:rPr>
          <w:lang w:val="pl-PL"/>
        </w:rPr>
        <w:t>, 24 kwietnia 2014</w:t>
      </w:r>
      <w:r w:rsidR="008E7FDB">
        <w:rPr>
          <w:lang w:val="pl-PL"/>
        </w:rPr>
        <w:t xml:space="preserve"> r.</w:t>
      </w:r>
      <w:r w:rsidR="008E7FDB" w:rsidRPr="008E7FDB">
        <w:rPr>
          <w:lang w:val="pl-PL"/>
        </w:rPr>
        <w:t xml:space="preserve">, </w:t>
      </w:r>
      <w:hyperlink r:id="rId10" w:history="1">
        <w:r w:rsidR="008E7FDB">
          <w:rPr>
            <w:rStyle w:val="Hipercze"/>
            <w:lang w:val="pl-PL"/>
          </w:rPr>
          <w:t>Nota informacyjna nr</w:t>
        </w:r>
        <w:r w:rsidR="008E7FDB" w:rsidRPr="008E7FDB">
          <w:rPr>
            <w:rStyle w:val="Hipercze"/>
            <w:lang w:val="pl-PL"/>
          </w:rPr>
          <w:t> 173</w:t>
        </w:r>
      </w:hyperlink>
      <w:r w:rsidR="008E7FDB" w:rsidRPr="008E7FDB">
        <w:rPr>
          <w:lang w:val="pl-PL"/>
        </w:rPr>
        <w:t>)</w:t>
      </w:r>
    </w:p>
    <w:p w:rsidR="008E7FDB" w:rsidRPr="008E7FDB" w:rsidRDefault="008E7FDB">
      <w:pPr>
        <w:pBdr>
          <w:bottom w:val="single" w:sz="8" w:space="1" w:color="auto"/>
        </w:pBdr>
        <w:rPr>
          <w:lang w:val="pl-PL"/>
        </w:rPr>
      </w:pPr>
    </w:p>
    <w:p w:rsidR="006C5C8D" w:rsidRPr="0074070E" w:rsidRDefault="006C5C8D" w:rsidP="006C5C8D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6C5C8D" w:rsidRPr="0074070E" w:rsidRDefault="006C5C8D" w:rsidP="006C5C8D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1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6E2336" w:rsidRPr="006C5C8D" w:rsidRDefault="006E2336" w:rsidP="008218DE">
      <w:pPr>
        <w:pStyle w:val="ClinFooter"/>
        <w:jc w:val="left"/>
        <w:rPr>
          <w:lang w:val="pl-PL"/>
        </w:rPr>
      </w:pPr>
    </w:p>
    <w:sectPr w:rsidR="006E2336" w:rsidRPr="006C5C8D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CB7" w:rsidRDefault="00A77CB7" w:rsidP="00C63262">
      <w:r>
        <w:separator/>
      </w:r>
    </w:p>
  </w:endnote>
  <w:endnote w:type="continuationSeparator" w:id="0">
    <w:p w:rsidR="00A77CB7" w:rsidRDefault="00A77CB7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5CC" w:rsidRDefault="00C025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5CC" w:rsidRDefault="00C025C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CB7" w:rsidRDefault="00A77CB7" w:rsidP="00C63262">
      <w:r>
        <w:separator/>
      </w:r>
    </w:p>
  </w:footnote>
  <w:footnote w:type="continuationSeparator" w:id="0">
    <w:p w:rsidR="00A77CB7" w:rsidRDefault="00A77CB7" w:rsidP="00C63262">
      <w:r>
        <w:continuationSeparator/>
      </w:r>
    </w:p>
  </w:footnote>
  <w:footnote w:id="1">
    <w:p w:rsidR="006A37C1" w:rsidRPr="009A1092" w:rsidRDefault="006A37C1" w:rsidP="006A37C1">
      <w:pPr>
        <w:pStyle w:val="Tekstprzypisudolnego"/>
        <w:spacing w:after="120"/>
        <w:jc w:val="both"/>
        <w:rPr>
          <w:lang w:val="pl-PL"/>
        </w:rPr>
      </w:pPr>
      <w:r w:rsidRPr="009A1092">
        <w:rPr>
          <w:rStyle w:val="Odwoanieprzypisudolnego"/>
        </w:rPr>
        <w:footnoteRef/>
      </w:r>
      <w:r w:rsidRPr="009A1092">
        <w:rPr>
          <w:lang w:val="pl-PL"/>
        </w:rPr>
        <w:t xml:space="preserve"> Konwencja o ochronie praw człowieka i podstawowych wolności, sporządzona w Rzymie dnia 4 listopada 1950 r. (Dz. U. z 1993 r. Nr 61, poz. 284, z późn. zm.).</w:t>
      </w:r>
      <w:r w:rsidR="009A1092" w:rsidRPr="009A1092">
        <w:rPr>
          <w:lang w:val="pl-PL"/>
        </w:rPr>
        <w:t xml:space="preserve"> [przyp. tłum.]</w:t>
      </w:r>
    </w:p>
  </w:footnote>
  <w:footnote w:id="2">
    <w:p w:rsidR="008E7FDB" w:rsidRPr="005D3481" w:rsidRDefault="008E7FDB">
      <w:pPr>
        <w:pStyle w:val="Tekstprzypisudolnego"/>
        <w:rPr>
          <w:lang w:val="pl-PL"/>
        </w:rPr>
      </w:pPr>
      <w:r w:rsidRPr="005D3481">
        <w:rPr>
          <w:rStyle w:val="Odwoanieprzypisudolnego"/>
        </w:rPr>
        <w:footnoteRef/>
      </w:r>
      <w:r w:rsidRPr="005D3481">
        <w:rPr>
          <w:lang w:val="pl-PL"/>
        </w:rPr>
        <w:t xml:space="preserve"> </w:t>
      </w:r>
      <w:r w:rsidR="005D3481" w:rsidRPr="005D3481">
        <w:rPr>
          <w:lang w:val="pl-PL"/>
        </w:rPr>
        <w:t xml:space="preserve">Tekst w języku polskim jest dostępny na stronie:  </w:t>
      </w:r>
    </w:p>
    <w:p w:rsidR="005D3481" w:rsidRPr="008E7FDB" w:rsidRDefault="00A77CB7">
      <w:pPr>
        <w:pStyle w:val="Tekstprzypisudolnego"/>
        <w:rPr>
          <w:lang w:val="pl-PL"/>
        </w:rPr>
      </w:pPr>
      <w:hyperlink r:id="rId1" w:history="1">
        <w:r w:rsidR="005D3481" w:rsidRPr="005D3481">
          <w:rPr>
            <w:rStyle w:val="Hipercze"/>
            <w:lang w:val="pl-PL"/>
          </w:rPr>
          <w:t>http://hudoc.echr.coe.int/eng?i=001-175339</w:t>
        </w:r>
      </w:hyperlink>
      <w:r w:rsidR="005D3481">
        <w:rPr>
          <w:lang w:val="pl-PL"/>
        </w:rPr>
        <w:t xml:space="preserve"> </w:t>
      </w:r>
      <w:r w:rsidR="009A1092" w:rsidRPr="001F4D50">
        <w:rPr>
          <w:lang w:val="pl-PL"/>
        </w:rPr>
        <w:t>[przyp. tłum.]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5CC" w:rsidRDefault="00C025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258D0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4796"/>
    <w:rsid w:val="00097888"/>
    <w:rsid w:val="000F13B5"/>
    <w:rsid w:val="000F66DB"/>
    <w:rsid w:val="000F71A8"/>
    <w:rsid w:val="00107377"/>
    <w:rsid w:val="001115F7"/>
    <w:rsid w:val="0011184B"/>
    <w:rsid w:val="00115582"/>
    <w:rsid w:val="00124BA4"/>
    <w:rsid w:val="00143602"/>
    <w:rsid w:val="001769E4"/>
    <w:rsid w:val="00186560"/>
    <w:rsid w:val="001B462D"/>
    <w:rsid w:val="001C5701"/>
    <w:rsid w:val="001D1766"/>
    <w:rsid w:val="001E0C72"/>
    <w:rsid w:val="001E22AE"/>
    <w:rsid w:val="001F4D50"/>
    <w:rsid w:val="00211963"/>
    <w:rsid w:val="00212E83"/>
    <w:rsid w:val="00213DB8"/>
    <w:rsid w:val="00231C25"/>
    <w:rsid w:val="00234416"/>
    <w:rsid w:val="002735B7"/>
    <w:rsid w:val="00284E7A"/>
    <w:rsid w:val="002966E7"/>
    <w:rsid w:val="002A6D51"/>
    <w:rsid w:val="002C0315"/>
    <w:rsid w:val="002E088D"/>
    <w:rsid w:val="002E1231"/>
    <w:rsid w:val="002F4101"/>
    <w:rsid w:val="0030264F"/>
    <w:rsid w:val="00311575"/>
    <w:rsid w:val="00316D35"/>
    <w:rsid w:val="00322E77"/>
    <w:rsid w:val="003450B3"/>
    <w:rsid w:val="00362093"/>
    <w:rsid w:val="00386578"/>
    <w:rsid w:val="00386958"/>
    <w:rsid w:val="003A64A6"/>
    <w:rsid w:val="003C2EB5"/>
    <w:rsid w:val="003C73EB"/>
    <w:rsid w:val="003D7BB3"/>
    <w:rsid w:val="003F4534"/>
    <w:rsid w:val="0046453F"/>
    <w:rsid w:val="004726A2"/>
    <w:rsid w:val="004A5B52"/>
    <w:rsid w:val="004D568D"/>
    <w:rsid w:val="004E1037"/>
    <w:rsid w:val="005000FF"/>
    <w:rsid w:val="0052092D"/>
    <w:rsid w:val="005246C4"/>
    <w:rsid w:val="00540D75"/>
    <w:rsid w:val="005514E5"/>
    <w:rsid w:val="005D3481"/>
    <w:rsid w:val="005E2438"/>
    <w:rsid w:val="006028A1"/>
    <w:rsid w:val="00607F76"/>
    <w:rsid w:val="00631A28"/>
    <w:rsid w:val="006357FC"/>
    <w:rsid w:val="00651816"/>
    <w:rsid w:val="006A36AD"/>
    <w:rsid w:val="006A37C1"/>
    <w:rsid w:val="006B3EBA"/>
    <w:rsid w:val="006C1D96"/>
    <w:rsid w:val="006C5C8D"/>
    <w:rsid w:val="006E2336"/>
    <w:rsid w:val="0071773F"/>
    <w:rsid w:val="007258D0"/>
    <w:rsid w:val="007351C7"/>
    <w:rsid w:val="00774515"/>
    <w:rsid w:val="008041E9"/>
    <w:rsid w:val="008218DE"/>
    <w:rsid w:val="00877F24"/>
    <w:rsid w:val="00882B00"/>
    <w:rsid w:val="00895EF3"/>
    <w:rsid w:val="008C64D5"/>
    <w:rsid w:val="008E7FDB"/>
    <w:rsid w:val="00903D38"/>
    <w:rsid w:val="00911BBD"/>
    <w:rsid w:val="009620BE"/>
    <w:rsid w:val="00964BAF"/>
    <w:rsid w:val="0098567E"/>
    <w:rsid w:val="009A1092"/>
    <w:rsid w:val="009A412B"/>
    <w:rsid w:val="009B02B7"/>
    <w:rsid w:val="009B3B2C"/>
    <w:rsid w:val="009B4B51"/>
    <w:rsid w:val="009E3EF0"/>
    <w:rsid w:val="00A01052"/>
    <w:rsid w:val="00A04D9C"/>
    <w:rsid w:val="00A258BB"/>
    <w:rsid w:val="00A33541"/>
    <w:rsid w:val="00A45616"/>
    <w:rsid w:val="00A77CB7"/>
    <w:rsid w:val="00AC55EA"/>
    <w:rsid w:val="00AC7726"/>
    <w:rsid w:val="00AC7EDD"/>
    <w:rsid w:val="00AE108F"/>
    <w:rsid w:val="00AE6A63"/>
    <w:rsid w:val="00B31777"/>
    <w:rsid w:val="00B464FC"/>
    <w:rsid w:val="00B64E64"/>
    <w:rsid w:val="00B70C17"/>
    <w:rsid w:val="00B80CA0"/>
    <w:rsid w:val="00B85770"/>
    <w:rsid w:val="00BB70DD"/>
    <w:rsid w:val="00BC63E2"/>
    <w:rsid w:val="00BF1CD9"/>
    <w:rsid w:val="00C025CC"/>
    <w:rsid w:val="00C37433"/>
    <w:rsid w:val="00C62D69"/>
    <w:rsid w:val="00C63262"/>
    <w:rsid w:val="00C72355"/>
    <w:rsid w:val="00C93CFB"/>
    <w:rsid w:val="00CF7BA6"/>
    <w:rsid w:val="00D1323D"/>
    <w:rsid w:val="00D42086"/>
    <w:rsid w:val="00D425B3"/>
    <w:rsid w:val="00DA275A"/>
    <w:rsid w:val="00DD5049"/>
    <w:rsid w:val="00E55491"/>
    <w:rsid w:val="00E7010E"/>
    <w:rsid w:val="00E83DB6"/>
    <w:rsid w:val="00E90946"/>
    <w:rsid w:val="00EA53E7"/>
    <w:rsid w:val="00EC6D6A"/>
    <w:rsid w:val="00ED18A8"/>
    <w:rsid w:val="00EE0A73"/>
    <w:rsid w:val="00F00C42"/>
    <w:rsid w:val="00F15A72"/>
    <w:rsid w:val="00F508C9"/>
    <w:rsid w:val="00F50CCD"/>
    <w:rsid w:val="00F5247C"/>
    <w:rsid w:val="00F55FA8"/>
    <w:rsid w:val="00F764EA"/>
    <w:rsid w:val="00FA29ED"/>
    <w:rsid w:val="00FD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C5C8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C5C8D"/>
  </w:style>
  <w:style w:type="character" w:customStyle="1" w:styleId="object">
    <w:name w:val="object"/>
    <w:basedOn w:val="Domylnaczcionkaakapitu"/>
    <w:rsid w:val="006C5C8D"/>
  </w:style>
  <w:style w:type="character" w:styleId="UyteHipercze">
    <w:name w:val="FollowedHyperlink"/>
    <w:basedOn w:val="Domylnaczcionkaakapitu"/>
    <w:semiHidden/>
    <w:unhideWhenUsed/>
    <w:rsid w:val="00115582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C5C8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C5C8D"/>
  </w:style>
  <w:style w:type="character" w:customStyle="1" w:styleId="object">
    <w:name w:val="object"/>
    <w:basedOn w:val="Domylnaczcionkaakapitu"/>
    <w:rsid w:val="006C5C8D"/>
  </w:style>
  <w:style w:type="character" w:styleId="UyteHipercze">
    <w:name w:val="FollowedHyperlink"/>
    <w:basedOn w:val="Domylnaczcionkaakapitu"/>
    <w:semiHidden/>
    <w:unhideWhenUsed/>
    <w:rsid w:val="00115582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hudoc.echr.coe.int/eng?i=002-936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0711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75339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6CBD4-249D-4DFB-9A0B-97B7A8F8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1474</Words>
  <Characters>8847</Characters>
  <Application>Microsoft Office Word</Application>
  <DocSecurity>4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2019-07-16T07:13:00Z</dcterms:created>
  <dcterms:modified xsi:type="dcterms:W3CDTF">2019-07-16T07:13:00Z</dcterms:modified>
</cp:coreProperties>
</file>