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975" w:rsidRPr="00A72975" w:rsidRDefault="00A72975" w:rsidP="00A72975">
      <w:pPr>
        <w:spacing w:before="100" w:beforeAutospacing="1" w:after="120"/>
        <w:rPr>
          <w:sz w:val="20"/>
          <w:lang w:val="en-GB"/>
        </w:rPr>
      </w:pPr>
      <w:bookmarkStart w:id="0" w:name="_GoBack"/>
      <w:bookmarkEnd w:id="0"/>
      <w:r w:rsidRPr="00A72975">
        <w:rPr>
          <w:sz w:val="20"/>
          <w:lang w:val="en-GB"/>
        </w:rPr>
        <w:t xml:space="preserve">© Ministerstwo Sprawiedliwości, </w:t>
      </w:r>
      <w:hyperlink r:id="rId12" w:history="1">
        <w:r w:rsidR="00F55CD1" w:rsidRPr="00F2515B">
          <w:rPr>
            <w:rStyle w:val="Hipercze"/>
            <w:sz w:val="20"/>
            <w:lang w:val="en-GB"/>
          </w:rPr>
          <w:t>www.gov.pl/sprawiedliwosc</w:t>
        </w:r>
      </w:hyperlink>
      <w:r w:rsidRPr="00A72975">
        <w:rPr>
          <w:sz w:val="20"/>
          <w:lang w:val="en-GB"/>
        </w:rPr>
        <w:t xml:space="preserve"> [Translation already published on the official website of the Polish Ministry of Justice]</w:t>
      </w:r>
    </w:p>
    <w:p w:rsidR="00A72975" w:rsidRPr="00A72975" w:rsidRDefault="00A72975" w:rsidP="00A72975">
      <w:pPr>
        <w:spacing w:after="100" w:afterAutospacing="1"/>
        <w:rPr>
          <w:sz w:val="20"/>
          <w:lang w:val="en-GB"/>
        </w:rPr>
      </w:pPr>
      <w:r w:rsidRPr="00A72975">
        <w:rPr>
          <w:sz w:val="20"/>
          <w:lang w:val="en-GB"/>
        </w:rPr>
        <w:t>Permission to re-publish this translation has been granted by the Polish Ministry of Justice for the sole purpose of its inclusion in the Court’s database HUDOC</w:t>
      </w:r>
    </w:p>
    <w:p w:rsidR="00A72975" w:rsidRDefault="00A72975" w:rsidP="00A72975">
      <w:pPr>
        <w:spacing w:before="100" w:beforeAutospacing="1" w:after="120"/>
        <w:rPr>
          <w:sz w:val="20"/>
        </w:rPr>
      </w:pPr>
      <w:r>
        <w:rPr>
          <w:sz w:val="20"/>
        </w:rPr>
        <w:t xml:space="preserve">© Ministerstwo Sprawiedliwości, </w:t>
      </w:r>
      <w:hyperlink r:id="rId13" w:history="1">
        <w:r w:rsidR="00F55CD1" w:rsidRPr="00F2515B">
          <w:rPr>
            <w:rStyle w:val="Hipercze"/>
            <w:sz w:val="20"/>
          </w:rPr>
          <w:t>www.gov.pl/sprawiedliwosc</w:t>
        </w:r>
      </w:hyperlink>
      <w:r>
        <w:rPr>
          <w:sz w:val="20"/>
        </w:rPr>
        <w:t xml:space="preserve"> [Tłumaczenie zostało już opublikowane na oficjalnej stronie Ministerstwa Sprawiedliwości]</w:t>
      </w:r>
    </w:p>
    <w:p w:rsidR="00A72975" w:rsidRDefault="00A72975" w:rsidP="00A72975">
      <w:pPr>
        <w:rPr>
          <w:sz w:val="20"/>
        </w:rPr>
      </w:pPr>
      <w:r>
        <w:rPr>
          <w:sz w:val="20"/>
        </w:rPr>
        <w:t xml:space="preserve">Zezwolenie na publikację tego tłumaczenia zostało udzielone przez Ministerstwo Sprawiedliwości wyłącznie w celu zamieszczenia w bazie Trybunału HUDOC </w:t>
      </w:r>
    </w:p>
    <w:p w:rsidR="00A72975" w:rsidRDefault="00A72975" w:rsidP="00EC2C94">
      <w:pPr>
        <w:pStyle w:val="ECHRDecisionBody"/>
        <w:jc w:val="center"/>
      </w:pPr>
    </w:p>
    <w:p w:rsidR="00076C30" w:rsidRPr="0042785D" w:rsidRDefault="00EC2C94" w:rsidP="00EC2C94">
      <w:pPr>
        <w:pStyle w:val="ECHRDecisionBody"/>
        <w:jc w:val="center"/>
      </w:pPr>
      <w:r>
        <w:t>EUROPEJSKI TRYBUNAŁ PRAW CZŁOWIEKA</w:t>
      </w:r>
    </w:p>
    <w:p w:rsidR="00504E22" w:rsidRPr="0042785D" w:rsidRDefault="00504E22" w:rsidP="00E00528">
      <w:pPr>
        <w:pStyle w:val="ECHRDecisionBody"/>
      </w:pPr>
    </w:p>
    <w:p w:rsidR="00504E22" w:rsidRPr="0042785D" w:rsidRDefault="00504E22" w:rsidP="00E00528">
      <w:pPr>
        <w:pStyle w:val="ECHRDecisionBody"/>
      </w:pPr>
    </w:p>
    <w:p w:rsidR="00076C30" w:rsidRPr="0042785D" w:rsidRDefault="00A50B57" w:rsidP="00E00528">
      <w:pPr>
        <w:jc w:val="center"/>
      </w:pPr>
      <w:r w:rsidRPr="0042785D">
        <w:t>SEKCJA PIERWSZA</w:t>
      </w:r>
    </w:p>
    <w:p w:rsidR="00504E22" w:rsidRPr="0042785D" w:rsidRDefault="00504E22" w:rsidP="00E00528">
      <w:pPr>
        <w:jc w:val="center"/>
        <w:rPr>
          <w:b/>
        </w:rPr>
      </w:pPr>
      <w:bookmarkStart w:id="1" w:name="To"/>
    </w:p>
    <w:p w:rsidR="00504E22" w:rsidRPr="0042785D" w:rsidRDefault="00504E22" w:rsidP="00E00528">
      <w:pPr>
        <w:jc w:val="center"/>
        <w:rPr>
          <w:b/>
        </w:rPr>
      </w:pPr>
    </w:p>
    <w:p w:rsidR="00504E22" w:rsidRPr="0042785D" w:rsidRDefault="00504E22" w:rsidP="00E00528">
      <w:pPr>
        <w:jc w:val="center"/>
        <w:rPr>
          <w:b/>
        </w:rPr>
      </w:pPr>
    </w:p>
    <w:p w:rsidR="00076C30" w:rsidRPr="0042785D" w:rsidRDefault="00076C30" w:rsidP="00E00528">
      <w:pPr>
        <w:jc w:val="center"/>
        <w:rPr>
          <w:b/>
        </w:rPr>
      </w:pPr>
      <w:r w:rsidRPr="0042785D">
        <w:rPr>
          <w:b/>
          <w:bCs/>
        </w:rPr>
        <w:t xml:space="preserve">SPRAWA </w:t>
      </w:r>
      <w:bookmarkEnd w:id="1"/>
      <w:r w:rsidRPr="0042785D">
        <w:rPr>
          <w:b/>
          <w:bCs/>
        </w:rPr>
        <w:t xml:space="preserve">SŁOMKA </w:t>
      </w:r>
      <w:r w:rsidR="003064F7">
        <w:rPr>
          <w:b/>
          <w:bCs/>
        </w:rPr>
        <w:t>PRZECIWKO</w:t>
      </w:r>
      <w:r w:rsidR="003064F7" w:rsidRPr="0042785D">
        <w:rPr>
          <w:b/>
          <w:bCs/>
        </w:rPr>
        <w:t xml:space="preserve"> </w:t>
      </w:r>
      <w:r w:rsidRPr="0042785D">
        <w:rPr>
          <w:b/>
          <w:bCs/>
        </w:rPr>
        <w:t>POLSCE</w:t>
      </w:r>
    </w:p>
    <w:p w:rsidR="00076C30" w:rsidRPr="0042785D" w:rsidRDefault="00076C30" w:rsidP="00E00528">
      <w:pPr>
        <w:jc w:val="center"/>
      </w:pPr>
    </w:p>
    <w:p w:rsidR="00076C30" w:rsidRPr="0042785D" w:rsidRDefault="00076C30" w:rsidP="00E00528">
      <w:pPr>
        <w:jc w:val="center"/>
        <w:rPr>
          <w:i/>
        </w:rPr>
      </w:pPr>
      <w:r w:rsidRPr="0042785D">
        <w:rPr>
          <w:i/>
        </w:rPr>
        <w:t>(Skarga nr 68924/12)</w:t>
      </w:r>
    </w:p>
    <w:p w:rsidR="00076C30" w:rsidRPr="0042785D" w:rsidRDefault="00076C30" w:rsidP="00E00528">
      <w:pPr>
        <w:jc w:val="center"/>
      </w:pPr>
    </w:p>
    <w:p w:rsidR="00076C30" w:rsidRPr="0042785D" w:rsidRDefault="00076C30" w:rsidP="00E00528">
      <w:pPr>
        <w:jc w:val="center"/>
      </w:pPr>
    </w:p>
    <w:p w:rsidR="00BC2F6C" w:rsidRPr="0042785D" w:rsidRDefault="00BC2F6C" w:rsidP="00E00528">
      <w:pPr>
        <w:jc w:val="center"/>
      </w:pPr>
    </w:p>
    <w:p w:rsidR="00B907CB" w:rsidRPr="0042785D" w:rsidRDefault="00B907CB" w:rsidP="00E00528">
      <w:pPr>
        <w:jc w:val="center"/>
      </w:pPr>
    </w:p>
    <w:p w:rsidR="00076C30" w:rsidRPr="0042785D" w:rsidRDefault="00504E22" w:rsidP="00E00528">
      <w:pPr>
        <w:jc w:val="center"/>
        <w:rPr>
          <w:szCs w:val="24"/>
        </w:rPr>
      </w:pPr>
      <w:r w:rsidRPr="0042785D">
        <w:t>WYROK</w:t>
      </w:r>
    </w:p>
    <w:p w:rsidR="00504E22" w:rsidRPr="0042785D" w:rsidRDefault="00504E22" w:rsidP="00E00528">
      <w:pPr>
        <w:pStyle w:val="JuCase"/>
        <w:ind w:firstLine="0"/>
        <w:jc w:val="center"/>
        <w:rPr>
          <w:b w:val="0"/>
        </w:rPr>
      </w:pPr>
    </w:p>
    <w:p w:rsidR="00504E22" w:rsidRPr="0042785D" w:rsidRDefault="00504E22" w:rsidP="00E00528">
      <w:pPr>
        <w:pStyle w:val="JuCase"/>
        <w:ind w:firstLine="0"/>
        <w:jc w:val="center"/>
        <w:rPr>
          <w:b w:val="0"/>
        </w:rPr>
      </w:pPr>
    </w:p>
    <w:p w:rsidR="00504E22" w:rsidRPr="0042785D" w:rsidRDefault="00504E22" w:rsidP="00E00528">
      <w:pPr>
        <w:pStyle w:val="JuCase"/>
        <w:ind w:firstLine="0"/>
        <w:jc w:val="center"/>
        <w:rPr>
          <w:b w:val="0"/>
        </w:rPr>
      </w:pPr>
      <w:r w:rsidRPr="0042785D">
        <w:rPr>
          <w:b w:val="0"/>
        </w:rPr>
        <w:t>STRASBURG</w:t>
      </w:r>
    </w:p>
    <w:p w:rsidR="00504E22" w:rsidRPr="0042785D" w:rsidRDefault="00504E22" w:rsidP="00E00528">
      <w:pPr>
        <w:pStyle w:val="JuCase"/>
        <w:ind w:firstLine="0"/>
        <w:jc w:val="center"/>
        <w:rPr>
          <w:b w:val="0"/>
        </w:rPr>
      </w:pPr>
    </w:p>
    <w:p w:rsidR="00504E22" w:rsidRPr="0042785D" w:rsidRDefault="00504E22" w:rsidP="00E00528">
      <w:pPr>
        <w:pStyle w:val="JuCase"/>
        <w:ind w:firstLine="0"/>
        <w:jc w:val="center"/>
        <w:rPr>
          <w:b w:val="0"/>
        </w:rPr>
      </w:pPr>
      <w:r w:rsidRPr="0042785D">
        <w:rPr>
          <w:b w:val="0"/>
        </w:rPr>
        <w:t>6 grudnia 2018 r.</w:t>
      </w:r>
    </w:p>
    <w:p w:rsidR="00504E22" w:rsidRPr="0042785D" w:rsidRDefault="00504E22" w:rsidP="00E00528">
      <w:pPr>
        <w:pStyle w:val="JuCase"/>
        <w:ind w:firstLine="0"/>
        <w:jc w:val="center"/>
        <w:rPr>
          <w:b w:val="0"/>
        </w:rPr>
      </w:pPr>
    </w:p>
    <w:p w:rsidR="009D0A4C" w:rsidRPr="000D331E" w:rsidRDefault="009D0A4C" w:rsidP="009D0A4C">
      <w:pPr>
        <w:pStyle w:val="jucase0"/>
        <w:ind w:firstLine="0"/>
        <w:jc w:val="center"/>
        <w:rPr>
          <w:color w:val="FF0000"/>
          <w:sz w:val="28"/>
          <w:szCs w:val="28"/>
          <w:u w:val="single"/>
          <w:lang w:val="pl-PL"/>
        </w:rPr>
      </w:pPr>
      <w:r w:rsidRPr="000D331E">
        <w:rPr>
          <w:color w:val="FF0000"/>
          <w:sz w:val="28"/>
          <w:szCs w:val="28"/>
          <w:u w:val="single"/>
          <w:lang w:val="pl-PL"/>
        </w:rPr>
        <w:t>OSTATECZNY</w:t>
      </w:r>
    </w:p>
    <w:p w:rsidR="009D0A4C" w:rsidRPr="000D331E" w:rsidRDefault="009D0A4C" w:rsidP="009D0A4C">
      <w:pPr>
        <w:pStyle w:val="jupara"/>
        <w:tabs>
          <w:tab w:val="left" w:pos="4650"/>
        </w:tabs>
        <w:ind w:firstLine="0"/>
        <w:jc w:val="center"/>
        <w:rPr>
          <w:color w:val="FF0000"/>
          <w:sz w:val="28"/>
          <w:szCs w:val="28"/>
          <w:lang w:val="pl-PL"/>
        </w:rPr>
      </w:pPr>
    </w:p>
    <w:p w:rsidR="009D0A4C" w:rsidRPr="000D331E" w:rsidRDefault="009D0A4C" w:rsidP="009D0A4C">
      <w:pPr>
        <w:pStyle w:val="jupara"/>
        <w:ind w:firstLine="0"/>
        <w:jc w:val="center"/>
        <w:rPr>
          <w:color w:val="FF0000"/>
          <w:sz w:val="28"/>
          <w:szCs w:val="28"/>
          <w:lang w:val="pl-PL"/>
        </w:rPr>
      </w:pPr>
      <w:r w:rsidRPr="000D331E">
        <w:rPr>
          <w:color w:val="FF0000"/>
          <w:sz w:val="28"/>
          <w:szCs w:val="28"/>
          <w:lang w:val="pl-PL"/>
        </w:rPr>
        <w:t>06/03/2019</w:t>
      </w:r>
    </w:p>
    <w:p w:rsidR="00504E22" w:rsidRPr="0042785D" w:rsidRDefault="00504E22" w:rsidP="00E00528">
      <w:pPr>
        <w:pStyle w:val="JuCase"/>
        <w:ind w:firstLine="0"/>
        <w:jc w:val="center"/>
        <w:rPr>
          <w:b w:val="0"/>
        </w:rPr>
      </w:pPr>
    </w:p>
    <w:p w:rsidR="00504E22" w:rsidRPr="0042785D" w:rsidRDefault="00504E22" w:rsidP="00F55CD1">
      <w:pPr>
        <w:pStyle w:val="JuCase"/>
        <w:ind w:firstLine="0"/>
        <w:jc w:val="center"/>
        <w:rPr>
          <w:b w:val="0"/>
          <w:i/>
          <w:sz w:val="22"/>
        </w:rPr>
      </w:pPr>
      <w:r w:rsidRPr="0042785D">
        <w:rPr>
          <w:b w:val="0"/>
          <w:i/>
          <w:sz w:val="22"/>
        </w:rPr>
        <w:t>Wyrok ten stanie się ostateczny na zasadach określonych w art. 44 ust. 2 Konwencji. Wyrok może podlegać korekcie wydawniczej.</w:t>
      </w:r>
    </w:p>
    <w:p w:rsidR="00504E22" w:rsidRPr="0042785D" w:rsidRDefault="00504E22" w:rsidP="00E00528">
      <w:pPr>
        <w:pStyle w:val="ECHRPara"/>
      </w:pPr>
    </w:p>
    <w:p w:rsidR="00BC2F6C" w:rsidRPr="0042785D" w:rsidRDefault="00BC2F6C" w:rsidP="00E00528">
      <w:pPr>
        <w:pStyle w:val="ECHRPara"/>
        <w:sectPr w:rsidR="00BC2F6C" w:rsidRPr="0042785D" w:rsidSect="00504E22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:rsidR="00076C30" w:rsidRPr="0042785D" w:rsidRDefault="00076C30" w:rsidP="00E00528">
      <w:pPr>
        <w:pStyle w:val="JuCase"/>
        <w:rPr>
          <w:bCs/>
        </w:rPr>
      </w:pPr>
      <w:r w:rsidRPr="0042785D">
        <w:lastRenderedPageBreak/>
        <w:t>W sprawie Słomka przeciwko Polsce</w:t>
      </w:r>
    </w:p>
    <w:p w:rsidR="00076C30" w:rsidRPr="0042785D" w:rsidRDefault="00076C30" w:rsidP="00E00528">
      <w:pPr>
        <w:pStyle w:val="ECHRPara"/>
      </w:pPr>
      <w:r w:rsidRPr="0042785D">
        <w:t>Europejski Trybunał Praw Człowieka (sekcja pierwsza), zasiadając jako Izba w składzie:</w:t>
      </w:r>
    </w:p>
    <w:p w:rsidR="00076C30" w:rsidRPr="0042785D" w:rsidRDefault="00504E22" w:rsidP="00E00528">
      <w:pPr>
        <w:pStyle w:val="ECHRDecisionBody"/>
      </w:pPr>
      <w:r w:rsidRPr="0042785D">
        <w:tab/>
      </w:r>
      <w:proofErr w:type="spellStart"/>
      <w:r w:rsidRPr="0042785D">
        <w:t>Linos-Alexandre</w:t>
      </w:r>
      <w:proofErr w:type="spellEnd"/>
      <w:r w:rsidRPr="0042785D">
        <w:t xml:space="preserve"> </w:t>
      </w:r>
      <w:proofErr w:type="spellStart"/>
      <w:r w:rsidRPr="0042785D">
        <w:t>Sicilianos</w:t>
      </w:r>
      <w:proofErr w:type="spellEnd"/>
      <w:r w:rsidRPr="0042785D">
        <w:t>,</w:t>
      </w:r>
      <w:r w:rsidRPr="0042785D">
        <w:rPr>
          <w:i/>
        </w:rPr>
        <w:t xml:space="preserve"> Przewodniczący,</w:t>
      </w:r>
      <w:r w:rsidRPr="0042785D">
        <w:rPr>
          <w:i/>
        </w:rPr>
        <w:br/>
      </w:r>
      <w:r w:rsidRPr="0042785D">
        <w:tab/>
      </w:r>
      <w:proofErr w:type="spellStart"/>
      <w:r w:rsidRPr="0042785D">
        <w:t>Ksenija</w:t>
      </w:r>
      <w:proofErr w:type="spellEnd"/>
      <w:r w:rsidRPr="0042785D">
        <w:t xml:space="preserve"> </w:t>
      </w:r>
      <w:proofErr w:type="spellStart"/>
      <w:r w:rsidRPr="0042785D">
        <w:t>Turković</w:t>
      </w:r>
      <w:proofErr w:type="spellEnd"/>
      <w:r w:rsidRPr="0042785D">
        <w:t>,</w:t>
      </w:r>
      <w:r w:rsidRPr="0042785D">
        <w:rPr>
          <w:i/>
        </w:rPr>
        <w:br/>
      </w:r>
      <w:r w:rsidRPr="0042785D">
        <w:tab/>
      </w:r>
      <w:proofErr w:type="spellStart"/>
      <w:r w:rsidRPr="0042785D">
        <w:t>Aleš</w:t>
      </w:r>
      <w:proofErr w:type="spellEnd"/>
      <w:r w:rsidRPr="0042785D">
        <w:t xml:space="preserve"> </w:t>
      </w:r>
      <w:proofErr w:type="spellStart"/>
      <w:r w:rsidRPr="0042785D">
        <w:t>Pejchal</w:t>
      </w:r>
      <w:proofErr w:type="spellEnd"/>
      <w:r w:rsidRPr="0042785D">
        <w:t>,</w:t>
      </w:r>
      <w:r w:rsidRPr="0042785D">
        <w:rPr>
          <w:i/>
        </w:rPr>
        <w:br/>
      </w:r>
      <w:r w:rsidRPr="0042785D">
        <w:tab/>
        <w:t xml:space="preserve">Krzysztof </w:t>
      </w:r>
      <w:proofErr w:type="spellStart"/>
      <w:r w:rsidRPr="0042785D">
        <w:t>Wojtyczek</w:t>
      </w:r>
      <w:proofErr w:type="spellEnd"/>
      <w:r w:rsidRPr="0042785D">
        <w:t>,</w:t>
      </w:r>
      <w:r w:rsidRPr="0042785D">
        <w:rPr>
          <w:i/>
        </w:rPr>
        <w:br/>
      </w:r>
      <w:r w:rsidRPr="0042785D">
        <w:tab/>
      </w:r>
      <w:proofErr w:type="spellStart"/>
      <w:r w:rsidRPr="0042785D">
        <w:t>Pauliine</w:t>
      </w:r>
      <w:proofErr w:type="spellEnd"/>
      <w:r w:rsidRPr="0042785D">
        <w:t xml:space="preserve"> </w:t>
      </w:r>
      <w:proofErr w:type="spellStart"/>
      <w:r w:rsidRPr="0042785D">
        <w:t>Koskelo</w:t>
      </w:r>
      <w:proofErr w:type="spellEnd"/>
      <w:r w:rsidRPr="0042785D">
        <w:t>,</w:t>
      </w:r>
      <w:r w:rsidRPr="0042785D">
        <w:rPr>
          <w:i/>
        </w:rPr>
        <w:br/>
      </w:r>
      <w:r w:rsidRPr="0042785D">
        <w:tab/>
        <w:t xml:space="preserve">Tim </w:t>
      </w:r>
      <w:proofErr w:type="spellStart"/>
      <w:r w:rsidRPr="0042785D">
        <w:t>Eicke</w:t>
      </w:r>
      <w:proofErr w:type="spellEnd"/>
      <w:r w:rsidRPr="0042785D">
        <w:t>,</w:t>
      </w:r>
      <w:r w:rsidRPr="0042785D">
        <w:rPr>
          <w:i/>
        </w:rPr>
        <w:br/>
      </w:r>
      <w:r w:rsidRPr="0042785D">
        <w:tab/>
      </w:r>
      <w:proofErr w:type="spellStart"/>
      <w:r w:rsidRPr="0042785D">
        <w:t>Jovan</w:t>
      </w:r>
      <w:proofErr w:type="spellEnd"/>
      <w:r w:rsidRPr="0042785D">
        <w:t xml:space="preserve"> </w:t>
      </w:r>
      <w:proofErr w:type="spellStart"/>
      <w:r w:rsidRPr="0042785D">
        <w:t>Ilievski</w:t>
      </w:r>
      <w:proofErr w:type="spellEnd"/>
      <w:r w:rsidRPr="0042785D">
        <w:t xml:space="preserve">, </w:t>
      </w:r>
      <w:r w:rsidRPr="0042785D">
        <w:rPr>
          <w:i/>
        </w:rPr>
        <w:t>sędziowie,</w:t>
      </w:r>
      <w:r w:rsidRPr="0042785D">
        <w:rPr>
          <w:i/>
        </w:rPr>
        <w:br/>
      </w:r>
      <w:r w:rsidRPr="0042785D">
        <w:t xml:space="preserve">oraz Abel Campos, </w:t>
      </w:r>
      <w:r w:rsidR="00EC2C94">
        <w:t xml:space="preserve"> </w:t>
      </w:r>
      <w:r w:rsidRPr="0042785D">
        <w:rPr>
          <w:i/>
        </w:rPr>
        <w:t>Kanclerz Sekcji,</w:t>
      </w:r>
    </w:p>
    <w:p w:rsidR="00076C30" w:rsidRPr="0042785D" w:rsidRDefault="00076C30" w:rsidP="00E00528">
      <w:pPr>
        <w:pStyle w:val="ECHRPara"/>
      </w:pPr>
      <w:r w:rsidRPr="0042785D">
        <w:t>obradując na posiedzeniu niejawnym w dniu 13 listopada 2018 r.,</w:t>
      </w:r>
    </w:p>
    <w:p w:rsidR="00076C30" w:rsidRPr="0042785D" w:rsidRDefault="00076C30" w:rsidP="00E00528">
      <w:pPr>
        <w:pStyle w:val="ECHRPara"/>
      </w:pPr>
      <w:r w:rsidRPr="0042785D">
        <w:t>wydaje następujący wyrok, który został przyjęty w tym dniu:</w:t>
      </w:r>
    </w:p>
    <w:p w:rsidR="00076C30" w:rsidRPr="0042785D" w:rsidRDefault="00076C30" w:rsidP="00E00528">
      <w:pPr>
        <w:pStyle w:val="ECHRTitle1"/>
      </w:pPr>
      <w:r w:rsidRPr="0042785D">
        <w:t>POSTĘPOWANIE</w:t>
      </w:r>
    </w:p>
    <w:p w:rsidR="00A50B57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1</w:t>
      </w:r>
      <w:r>
        <w:rPr>
          <w:noProof/>
        </w:rPr>
        <w:fldChar w:fldCharType="end"/>
      </w:r>
      <w:r w:rsidR="00A50B57" w:rsidRPr="0042785D">
        <w:t>.  Sprawa wywodzi się ze skargi (nr 68924/12) przeciwko Rzeczypospolitej Polskiej, wniesionej do Trybunału na podstawie art. 34 Konwencji o ochronie praw człowieka i podstawowych wolności („Konwencja”) przez obywatela polskiego Adama Słomkę („skarżący”) w</w:t>
      </w:r>
      <w:r w:rsidR="00E00528" w:rsidRPr="0042785D">
        <w:t> </w:t>
      </w:r>
      <w:r w:rsidR="00A50B57" w:rsidRPr="0042785D">
        <w:t>dniu 20 września 2012 r.</w:t>
      </w:r>
    </w:p>
    <w:p w:rsidR="00977F7C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2</w:t>
      </w:r>
      <w:r>
        <w:rPr>
          <w:noProof/>
        </w:rPr>
        <w:fldChar w:fldCharType="end"/>
      </w:r>
      <w:r w:rsidR="00A50B57" w:rsidRPr="0042785D">
        <w:t xml:space="preserve">.  Skarżący reprezentowany </w:t>
      </w:r>
      <w:r w:rsidR="00E00528" w:rsidRPr="0042785D">
        <w:t xml:space="preserve">był </w:t>
      </w:r>
      <w:r w:rsidR="00A50B57" w:rsidRPr="0042785D">
        <w:t xml:space="preserve">przez Z. Cichonia, adwokata praktykującego w Krakowie. Rząd polski („Rząd”) reprezentowany </w:t>
      </w:r>
      <w:r w:rsidR="00E00528" w:rsidRPr="0042785D">
        <w:t xml:space="preserve">był </w:t>
      </w:r>
      <w:r w:rsidR="00A50B57" w:rsidRPr="0042785D">
        <w:t>przez pełnomocnik</w:t>
      </w:r>
      <w:r w:rsidR="00EC2C94">
        <w:t>a</w:t>
      </w:r>
      <w:r w:rsidR="00A50B57" w:rsidRPr="0042785D">
        <w:t xml:space="preserve"> J. Chrzanowską, a następnie przez J. Sobczaka z</w:t>
      </w:r>
      <w:r w:rsidR="004E7595">
        <w:t> </w:t>
      </w:r>
      <w:r w:rsidR="00A50B57" w:rsidRPr="0042785D">
        <w:t>Ministerstwa Spraw Zagranicznych.</w:t>
      </w:r>
    </w:p>
    <w:p w:rsidR="00076C30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3</w:t>
      </w:r>
      <w:r>
        <w:rPr>
          <w:noProof/>
        </w:rPr>
        <w:fldChar w:fldCharType="end"/>
      </w:r>
      <w:r w:rsidR="00A50B57" w:rsidRPr="0042785D">
        <w:t xml:space="preserve">.  Skarżący </w:t>
      </w:r>
      <w:r w:rsidR="00EC2C94">
        <w:t>zarzucał</w:t>
      </w:r>
      <w:r w:rsidR="00A50B57" w:rsidRPr="0042785D">
        <w:t xml:space="preserve"> w szczególności</w:t>
      </w:r>
      <w:r w:rsidR="00EC2C94">
        <w:t>, że</w:t>
      </w:r>
      <w:r w:rsidR="00A50B57" w:rsidRPr="0042785D">
        <w:t xml:space="preserve"> </w:t>
      </w:r>
      <w:r w:rsidR="00EC2C94">
        <w:t>postępowanie</w:t>
      </w:r>
      <w:r w:rsidR="00A50B57" w:rsidRPr="0042785D">
        <w:t xml:space="preserve"> prowadzące do</w:t>
      </w:r>
      <w:r w:rsidR="00D21E42">
        <w:t> </w:t>
      </w:r>
      <w:r w:rsidR="00A50B57" w:rsidRPr="0042785D">
        <w:t>nałożenia na niego kary pozbawienia wolności</w:t>
      </w:r>
      <w:r w:rsidR="00EC2C94">
        <w:t xml:space="preserve"> było nierzetelne</w:t>
      </w:r>
      <w:r w:rsidR="00A50B57" w:rsidRPr="0042785D">
        <w:t xml:space="preserve">, </w:t>
      </w:r>
      <w:r w:rsidR="00EC2C94">
        <w:t>że kara została wykonana w całości</w:t>
      </w:r>
      <w:r w:rsidR="00A50B57" w:rsidRPr="0042785D">
        <w:t xml:space="preserve"> przed rozpoznaniem </w:t>
      </w:r>
      <w:r w:rsidR="00EC2C94" w:rsidRPr="0042785D">
        <w:t xml:space="preserve">przez sąd odwoławczy </w:t>
      </w:r>
      <w:r w:rsidR="00A50B57" w:rsidRPr="0042785D">
        <w:t xml:space="preserve">jego zażalenia oraz na </w:t>
      </w:r>
      <w:r w:rsidR="00EC2C94">
        <w:t xml:space="preserve">że kara </w:t>
      </w:r>
      <w:r w:rsidR="00A50B57" w:rsidRPr="0042785D">
        <w:t>nałożon</w:t>
      </w:r>
      <w:r w:rsidR="00EC2C94">
        <w:t xml:space="preserve">a </w:t>
      </w:r>
      <w:r w:rsidR="00A50B57" w:rsidRPr="0042785D">
        <w:t xml:space="preserve">na </w:t>
      </w:r>
      <w:r w:rsidR="00EC2C94">
        <w:t>niego</w:t>
      </w:r>
      <w:r w:rsidR="00A50B57" w:rsidRPr="0042785D">
        <w:t xml:space="preserve"> za wyrażanie poglądów w</w:t>
      </w:r>
      <w:r w:rsidR="00D21E42">
        <w:t> </w:t>
      </w:r>
      <w:r w:rsidR="00A50B57" w:rsidRPr="0042785D">
        <w:t>debacie politycznej</w:t>
      </w:r>
      <w:r w:rsidR="00EC2C94">
        <w:t xml:space="preserve"> była nadmiernie surowa.</w:t>
      </w:r>
    </w:p>
    <w:p w:rsidR="00076C30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4</w:t>
      </w:r>
      <w:r>
        <w:rPr>
          <w:noProof/>
        </w:rPr>
        <w:fldChar w:fldCharType="end"/>
      </w:r>
      <w:r w:rsidR="00A50B57" w:rsidRPr="0042785D">
        <w:t>.  W dniu 24 sierpnia 2015 r. skarg</w:t>
      </w:r>
      <w:r w:rsidR="00921584">
        <w:t>ę</w:t>
      </w:r>
      <w:r w:rsidR="00A50B57" w:rsidRPr="0042785D">
        <w:t xml:space="preserve"> zakomunikowano Rządowi.</w:t>
      </w:r>
    </w:p>
    <w:p w:rsidR="00076C30" w:rsidRPr="0042785D" w:rsidRDefault="00076C30" w:rsidP="00E00528">
      <w:pPr>
        <w:pStyle w:val="ECHRTitle1"/>
      </w:pPr>
      <w:r w:rsidRPr="0042785D">
        <w:t>FAKTY</w:t>
      </w:r>
    </w:p>
    <w:p w:rsidR="00076C30" w:rsidRPr="0042785D" w:rsidRDefault="00076C30" w:rsidP="00E00528">
      <w:pPr>
        <w:pStyle w:val="ECHRHeading1"/>
      </w:pPr>
      <w:r w:rsidRPr="0042785D">
        <w:t>I.  OKOLICZNOŚCI SPRAWY</w:t>
      </w:r>
    </w:p>
    <w:p w:rsidR="00076C30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5</w:t>
      </w:r>
      <w:r>
        <w:rPr>
          <w:noProof/>
        </w:rPr>
        <w:fldChar w:fldCharType="end"/>
      </w:r>
      <w:r w:rsidR="00A50B57" w:rsidRPr="0042785D">
        <w:t>.  Skarżący urodził się w 1964 r. i mieszka w Katowicach.</w:t>
      </w:r>
    </w:p>
    <w:p w:rsidR="001E48FA" w:rsidRPr="0042785D" w:rsidRDefault="008F3C93" w:rsidP="00E00528">
      <w:pPr>
        <w:pStyle w:val="ECHRHeading2"/>
      </w:pPr>
      <w:r w:rsidRPr="0042785D">
        <w:lastRenderedPageBreak/>
        <w:t>A.  </w:t>
      </w:r>
      <w:r w:rsidR="00545006">
        <w:t>Kontekst</w:t>
      </w:r>
    </w:p>
    <w:p w:rsidR="001E48FA" w:rsidRPr="0042785D" w:rsidRDefault="000114BF" w:rsidP="00E00528">
      <w:pPr>
        <w:pStyle w:val="ECHR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E00528" w:rsidRPr="0042785D">
        <w:rPr>
          <w:noProof/>
        </w:rPr>
        <w:t>6</w:t>
      </w:r>
      <w:r>
        <w:rPr>
          <w:noProof/>
        </w:rPr>
        <w:fldChar w:fldCharType="end"/>
      </w:r>
      <w:r w:rsidR="00A50B57" w:rsidRPr="0042785D">
        <w:t>.  Skarżący jest byłym działaczem opozycyjnym, którego internowano w</w:t>
      </w:r>
      <w:r w:rsidR="00E00528" w:rsidRPr="0042785D">
        <w:t> </w:t>
      </w:r>
      <w:r w:rsidR="00A50B57" w:rsidRPr="0042785D">
        <w:t>1982 r.</w:t>
      </w:r>
    </w:p>
    <w:p w:rsidR="001E48FA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7</w:t>
      </w:r>
      <w:r>
        <w:rPr>
          <w:noProof/>
        </w:rPr>
        <w:fldChar w:fldCharType="end"/>
      </w:r>
      <w:r w:rsidR="001E48FA" w:rsidRPr="0042785D">
        <w:t xml:space="preserve">.  Skarżący obserwował proces przeciwko trzem wysokiej rangi członkom Wojskowej Rady Ocalenia Narodowego, którzy </w:t>
      </w:r>
      <w:r w:rsidR="00EC2C94" w:rsidRPr="0042785D">
        <w:t xml:space="preserve">wprowadzili stan wojenny </w:t>
      </w:r>
      <w:r w:rsidR="001E48FA" w:rsidRPr="0042785D">
        <w:t>w Polsce w</w:t>
      </w:r>
      <w:r w:rsidR="00E00528" w:rsidRPr="0042785D">
        <w:t> </w:t>
      </w:r>
      <w:r w:rsidR="001E48FA" w:rsidRPr="0042785D">
        <w:t>grudniu 1981 r.</w:t>
      </w:r>
    </w:p>
    <w:p w:rsidR="007C33D5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8</w:t>
      </w:r>
      <w:r>
        <w:rPr>
          <w:noProof/>
        </w:rPr>
        <w:fldChar w:fldCharType="end"/>
      </w:r>
      <w:r w:rsidR="00D34055" w:rsidRPr="0042785D">
        <w:t xml:space="preserve">.  Proces ten, który trwał od 2007 do 2015 r., wywołał </w:t>
      </w:r>
      <w:r w:rsidR="00E00528" w:rsidRPr="0042785D">
        <w:t>duże</w:t>
      </w:r>
      <w:r w:rsidR="00D34055" w:rsidRPr="0042785D">
        <w:t xml:space="preserve"> zainteresowanie opinii publicznej w Polsce.</w:t>
      </w:r>
    </w:p>
    <w:p w:rsidR="001E48FA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9</w:t>
      </w:r>
      <w:r>
        <w:rPr>
          <w:noProof/>
        </w:rPr>
        <w:fldChar w:fldCharType="end"/>
      </w:r>
      <w:r w:rsidR="00EB30D7" w:rsidRPr="0042785D">
        <w:t xml:space="preserve">.  W dniu 12 stycznia 2012 r. głównego oskarżonego, generała C.K., uznano </w:t>
      </w:r>
      <w:r w:rsidR="00EC2C94">
        <w:t>winnym</w:t>
      </w:r>
      <w:r w:rsidR="00EB30D7" w:rsidRPr="0042785D">
        <w:t xml:space="preserve"> i skazano na cztery lata pozbawienia wolności. Na mocy ustawy o amnestii wymiar tej kary został obniżony o połowę, a jej wykonanie zostało zawieszone na okres pięciu lat ze względu na podeszły wiek i zły stan zdrowia oskarżonego. Drugiego z oskarżonych uniewinniono, a wobec </w:t>
      </w:r>
      <w:r w:rsidR="004E7595" w:rsidRPr="0042785D">
        <w:t>trzecie</w:t>
      </w:r>
      <w:r w:rsidR="004E7595">
        <w:t>j osk</w:t>
      </w:r>
      <w:r w:rsidR="004607B9">
        <w:t>ar</w:t>
      </w:r>
      <w:r w:rsidR="004E7595">
        <w:t>żonej</w:t>
      </w:r>
      <w:r w:rsidR="004E7595" w:rsidRPr="0042785D">
        <w:t xml:space="preserve"> </w:t>
      </w:r>
      <w:r w:rsidR="00EB30D7" w:rsidRPr="0042785D">
        <w:t>umorzono postępowanie. W dniu 15 czerwca 2015 r. sąd apelacyjny utrzymał w mocy wyrok sądu pierwszej instancji.</w:t>
      </w:r>
    </w:p>
    <w:p w:rsidR="001E48FA" w:rsidRPr="0042785D" w:rsidRDefault="008F3C93" w:rsidP="00E00528">
      <w:pPr>
        <w:pStyle w:val="ECHRHeading2"/>
      </w:pPr>
      <w:r w:rsidRPr="0042785D">
        <w:t>B. Zdarzenia prowadzące do ukarania skarżącego za obrazę sądu i</w:t>
      </w:r>
      <w:r w:rsidR="002F3AF4">
        <w:t> </w:t>
      </w:r>
      <w:r w:rsidRPr="0042785D">
        <w:t>związane z nimi postępowanie</w:t>
      </w:r>
    </w:p>
    <w:p w:rsidR="007C33D5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10</w:t>
      </w:r>
      <w:r>
        <w:rPr>
          <w:noProof/>
        </w:rPr>
        <w:fldChar w:fldCharType="end"/>
      </w:r>
      <w:r w:rsidR="001E48FA" w:rsidRPr="0042785D">
        <w:t>.  W dniu 12 stycznia 2012 r., podczas ogłaszania wyroku w wyżej opisanej sprawie przez Sąd Okręgowy w Warszawie, skarżący przebywał na</w:t>
      </w:r>
      <w:r w:rsidR="00D21E42">
        <w:t> </w:t>
      </w:r>
      <w:r w:rsidR="001E48FA" w:rsidRPr="0042785D">
        <w:t>sali rozpraw.</w:t>
      </w:r>
    </w:p>
    <w:p w:rsidR="007C33D5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11</w:t>
      </w:r>
      <w:r>
        <w:rPr>
          <w:noProof/>
        </w:rPr>
        <w:fldChar w:fldCharType="end"/>
      </w:r>
      <w:r w:rsidR="00743C29" w:rsidRPr="0042785D">
        <w:t>.  O godz. 13.30, po przybyciu sędziów na salę rozpraw, skarżący wskoczył za ławę sędziowską i wykrzyknął: „Tutaj trwa kpina z wymiaru sprawiedliwości!”</w:t>
      </w:r>
    </w:p>
    <w:p w:rsidR="00743C29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12</w:t>
      </w:r>
      <w:r>
        <w:rPr>
          <w:noProof/>
        </w:rPr>
        <w:fldChar w:fldCharType="end"/>
      </w:r>
      <w:r w:rsidR="00743C29" w:rsidRPr="0042785D">
        <w:t>.  Sędziowie opuścili salę rozpraw.</w:t>
      </w:r>
    </w:p>
    <w:p w:rsidR="007C33D5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13</w:t>
      </w:r>
      <w:r>
        <w:rPr>
          <w:noProof/>
        </w:rPr>
        <w:fldChar w:fldCharType="end"/>
      </w:r>
      <w:r w:rsidR="00743C29" w:rsidRPr="0042785D">
        <w:t>.  Niektóre osoby spośród publiczności wykrzykiwały hasła typu „Hańba!” i „Sąd pod sąd!”. Wszyscy trzymali zdjęcia ofiar reżimu komunistycznego.</w:t>
      </w:r>
    </w:p>
    <w:p w:rsidR="00026EE6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14</w:t>
      </w:r>
      <w:r>
        <w:rPr>
          <w:noProof/>
        </w:rPr>
        <w:fldChar w:fldCharType="end"/>
      </w:r>
      <w:r w:rsidR="00076C30" w:rsidRPr="0042785D">
        <w:t xml:space="preserve">.  Skarżącego </w:t>
      </w:r>
      <w:r w:rsidR="00BA21CF">
        <w:t>został siłą usunięty</w:t>
      </w:r>
      <w:r w:rsidR="00076C30" w:rsidRPr="0042785D">
        <w:t xml:space="preserve"> z sali rozpraw.</w:t>
      </w:r>
    </w:p>
    <w:p w:rsidR="00743C29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15</w:t>
      </w:r>
      <w:r>
        <w:rPr>
          <w:noProof/>
        </w:rPr>
        <w:fldChar w:fldCharType="end"/>
      </w:r>
      <w:r w:rsidR="00743C29" w:rsidRPr="0042785D">
        <w:t>.  Niedługo potem skarżący wrócił i nadal wykrzykiwał</w:t>
      </w:r>
      <w:r w:rsidR="00BA21CF">
        <w:t xml:space="preserve"> podobne</w:t>
      </w:r>
      <w:r w:rsidR="00743C29" w:rsidRPr="0042785D">
        <w:t xml:space="preserve"> oświadczenia, a wtórowały mu przy tym inne osoby spośród publiczności. W związku z odmową opuszczenia sali rozpraw przez publiczność sędzia przewodniczący postanowił ogłosić wyrok w</w:t>
      </w:r>
      <w:r w:rsidR="00E00528" w:rsidRPr="0042785D">
        <w:t> </w:t>
      </w:r>
      <w:r w:rsidR="00743C29" w:rsidRPr="0042785D">
        <w:t>innej sali.</w:t>
      </w:r>
    </w:p>
    <w:p w:rsidR="007C33D5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16</w:t>
      </w:r>
      <w:r>
        <w:rPr>
          <w:noProof/>
        </w:rPr>
        <w:fldChar w:fldCharType="end"/>
      </w:r>
      <w:r w:rsidR="00076C30" w:rsidRPr="0042785D">
        <w:t xml:space="preserve">.  O godz. 15.00 rozprawę kontynuowano w nowej sali, a publiczność składała się wyłącznie z dziennikarzy. </w:t>
      </w:r>
      <w:r w:rsidR="00BA21CF">
        <w:t>Tutaj</w:t>
      </w:r>
      <w:r w:rsidR="00076C30" w:rsidRPr="0042785D">
        <w:t>, pod nieobecność skarżącego, Sąd Okręgowy w Warszawie ukarał skarżącego karą porządkową w</w:t>
      </w:r>
      <w:r w:rsidR="00D21E42">
        <w:t> </w:t>
      </w:r>
      <w:r w:rsidR="00076C30" w:rsidRPr="0042785D">
        <w:t xml:space="preserve">wymiarze 14 dni pozbawienia wolności za obrazę sądu („za naruszenie powagi sądu, spokoju i porządku czynności sądowych w sposób uniemożliwiający </w:t>
      </w:r>
      <w:r w:rsidR="00BA21CF">
        <w:t>ogłoszenie</w:t>
      </w:r>
      <w:r w:rsidR="00076C30" w:rsidRPr="0042785D">
        <w:t xml:space="preserve"> wyroku”).</w:t>
      </w:r>
    </w:p>
    <w:p w:rsidR="007C33D5" w:rsidRPr="0042785D" w:rsidRDefault="00FC14E4" w:rsidP="00E00528">
      <w:pPr>
        <w:pStyle w:val="ECHRPara"/>
      </w:pPr>
      <w:r>
        <w:rPr>
          <w:noProof/>
        </w:rPr>
        <w:lastRenderedPageBreak/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17</w:t>
      </w:r>
      <w:r>
        <w:rPr>
          <w:noProof/>
        </w:rPr>
        <w:fldChar w:fldCharType="end"/>
      </w:r>
      <w:r w:rsidR="00EB30D7" w:rsidRPr="0042785D">
        <w:t xml:space="preserve">.  W dniu 12 stycznia 2012 r. </w:t>
      </w:r>
      <w:r w:rsidR="00E56579">
        <w:t xml:space="preserve">na podstawie </w:t>
      </w:r>
      <w:r w:rsidR="00EB30D7" w:rsidRPr="0042785D">
        <w:t>pisemne</w:t>
      </w:r>
      <w:r w:rsidR="00E56579">
        <w:t>go</w:t>
      </w:r>
      <w:r w:rsidR="003C248E">
        <w:t xml:space="preserve"> postanowienia</w:t>
      </w:r>
      <w:r w:rsidR="00E56579">
        <w:t>,</w:t>
      </w:r>
      <w:r w:rsidR="00EB30D7" w:rsidRPr="0042785D">
        <w:t xml:space="preserve"> </w:t>
      </w:r>
      <w:r w:rsidR="00E56579" w:rsidRPr="0042785D">
        <w:t>o którym mowa w poprzednim paragrafie</w:t>
      </w:r>
      <w:r w:rsidR="00E56579">
        <w:t>,</w:t>
      </w:r>
      <w:r w:rsidR="00E56579" w:rsidRPr="0042785D">
        <w:t xml:space="preserve"> </w:t>
      </w:r>
      <w:r w:rsidR="00E713CE">
        <w:t xml:space="preserve">sporządzono odpis </w:t>
      </w:r>
      <w:r w:rsidR="00EB30D7" w:rsidRPr="0042785D">
        <w:t>w formie wyciągu z protokołu.</w:t>
      </w:r>
    </w:p>
    <w:p w:rsidR="00F41B35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18</w:t>
      </w:r>
      <w:r>
        <w:rPr>
          <w:noProof/>
        </w:rPr>
        <w:fldChar w:fldCharType="end"/>
      </w:r>
      <w:r w:rsidR="00076C30" w:rsidRPr="0042785D">
        <w:t xml:space="preserve">.  Skarżący </w:t>
      </w:r>
      <w:r w:rsidR="00E713CE">
        <w:t>s</w:t>
      </w:r>
      <w:r w:rsidR="00076C30" w:rsidRPr="0042785D">
        <w:t xml:space="preserve">twierdził, że </w:t>
      </w:r>
      <w:r w:rsidR="00E713CE">
        <w:t xml:space="preserve">nie otrzymał </w:t>
      </w:r>
      <w:r w:rsidR="00076C30" w:rsidRPr="0042785D">
        <w:t xml:space="preserve">przedmiotowego postanowienia ani </w:t>
      </w:r>
      <w:r w:rsidR="00E00528" w:rsidRPr="0042785D">
        <w:t xml:space="preserve">go o nim </w:t>
      </w:r>
      <w:r w:rsidR="00076C30" w:rsidRPr="0042785D">
        <w:t>nie poinformowano.</w:t>
      </w:r>
    </w:p>
    <w:p w:rsidR="00BD4E52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19</w:t>
      </w:r>
      <w:r>
        <w:rPr>
          <w:noProof/>
        </w:rPr>
        <w:fldChar w:fldCharType="end"/>
      </w:r>
      <w:r w:rsidR="00BD4E52" w:rsidRPr="0042785D">
        <w:t xml:space="preserve">.  W dniu </w:t>
      </w:r>
      <w:r w:rsidR="00E713CE">
        <w:t xml:space="preserve">przedmiotowej </w:t>
      </w:r>
      <w:r w:rsidR="00BD4E52" w:rsidRPr="0042785D">
        <w:t xml:space="preserve">rozprawy, tj. 12 stycznia 2012 r., wydano nakaz </w:t>
      </w:r>
      <w:r w:rsidR="00E713CE">
        <w:t>przyjęcia</w:t>
      </w:r>
      <w:r w:rsidR="00BD4E52" w:rsidRPr="0042785D">
        <w:t xml:space="preserve"> skarżącego w jednostce penitencjarnej celem odbycia kary. W</w:t>
      </w:r>
      <w:r w:rsidR="002F3AF4">
        <w:t> </w:t>
      </w:r>
      <w:r w:rsidR="00BD4E52" w:rsidRPr="0042785D">
        <w:t>dniu 13 stycznia 2012 r. nakaz przesłano do komendy policji w</w:t>
      </w:r>
      <w:r w:rsidR="002F3AF4">
        <w:t> </w:t>
      </w:r>
      <w:r w:rsidR="00BD4E52" w:rsidRPr="0042785D">
        <w:t>Katowicach wraz z</w:t>
      </w:r>
      <w:r w:rsidR="00E00528" w:rsidRPr="0042785D">
        <w:t> </w:t>
      </w:r>
      <w:r w:rsidR="00BD4E52" w:rsidRPr="0042785D">
        <w:t>odpisem postanowienia sądu o ukaraniu karą porządkową.</w:t>
      </w:r>
    </w:p>
    <w:p w:rsidR="007C33D5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20</w:t>
      </w:r>
      <w:r>
        <w:rPr>
          <w:noProof/>
        </w:rPr>
        <w:fldChar w:fldCharType="end"/>
      </w:r>
      <w:r w:rsidR="00076C30" w:rsidRPr="0042785D">
        <w:t>.  W dniu 19 stycznia 2012 r. skarżącemu doręczono nakaz, a</w:t>
      </w:r>
      <w:r w:rsidR="002F3AF4">
        <w:t> </w:t>
      </w:r>
      <w:r w:rsidR="00076C30" w:rsidRPr="0042785D">
        <w:t>następnie zatrzymano go celem doprowadzenia do Aresztu Śledczego w</w:t>
      </w:r>
      <w:r w:rsidR="002F3AF4">
        <w:t> </w:t>
      </w:r>
      <w:r w:rsidR="00076C30" w:rsidRPr="0042785D">
        <w:t>Warszawie, aby mógł odbyć karę w jednostce penitencjarnej typu zamkniętego.</w:t>
      </w:r>
    </w:p>
    <w:p w:rsidR="00F41B35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21</w:t>
      </w:r>
      <w:r>
        <w:rPr>
          <w:noProof/>
        </w:rPr>
        <w:fldChar w:fldCharType="end"/>
      </w:r>
      <w:r w:rsidR="00D10259" w:rsidRPr="0042785D">
        <w:t>.  W dniu 22 stycznia 2012 r. skarżący wniósł zażalenie na</w:t>
      </w:r>
      <w:r w:rsidR="00D21E42">
        <w:t> </w:t>
      </w:r>
      <w:r w:rsidR="00D10259" w:rsidRPr="0042785D">
        <w:t xml:space="preserve">postanowienie </w:t>
      </w:r>
      <w:r w:rsidR="00E713CE">
        <w:t>nakładające karę</w:t>
      </w:r>
      <w:r w:rsidR="00D10259" w:rsidRPr="0042785D">
        <w:t xml:space="preserve"> pozbawienia wolności. Twierdził, że swoim jednominutowym oświadczeniem nie </w:t>
      </w:r>
      <w:r w:rsidR="00E713CE">
        <w:t>zakłócił pracy sądu w takim stopniu, który czyniłby niemożliwym</w:t>
      </w:r>
      <w:r w:rsidR="00D10259" w:rsidRPr="0042785D">
        <w:t xml:space="preserve"> ogłoszenia wyroku. Ponadto twierdził, że gdyby sędzia przewodniczący polecił mu wrócić na swoje miejsce, to zastosowałby się do tego polecenia. </w:t>
      </w:r>
      <w:r w:rsidR="00E713CE">
        <w:t xml:space="preserve">Ponieważ </w:t>
      </w:r>
      <w:r w:rsidR="00D10259" w:rsidRPr="0042785D">
        <w:t>Trybunałowi przedłożono tylko odpis pierwszej strony zażalenia skarżącego, nie jest jasne, czy skarżący podniósł również zarzut braku bezstronności sędziów, którzy ukarali go za obrazę sądu.</w:t>
      </w:r>
    </w:p>
    <w:p w:rsidR="00284BE4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22</w:t>
      </w:r>
      <w:r>
        <w:rPr>
          <w:noProof/>
        </w:rPr>
        <w:fldChar w:fldCharType="end"/>
      </w:r>
      <w:r w:rsidR="00D10259" w:rsidRPr="0042785D">
        <w:t>.  W dniu 30 stycznia 2012 r. zażalenie zarejestrowano w sekretariacie Sądu Apelacyjnego w Warszawie.</w:t>
      </w:r>
    </w:p>
    <w:p w:rsidR="007C33D5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23</w:t>
      </w:r>
      <w:r>
        <w:rPr>
          <w:noProof/>
        </w:rPr>
        <w:fldChar w:fldCharType="end"/>
      </w:r>
      <w:r w:rsidR="00541C63" w:rsidRPr="0042785D">
        <w:t>.  W dniu 31 stycznia 2012 r. zażalenie skarżącego przekazano do</w:t>
      </w:r>
      <w:r w:rsidR="00D21E42">
        <w:t> </w:t>
      </w:r>
      <w:r w:rsidR="00541C63" w:rsidRPr="0042785D">
        <w:t xml:space="preserve">Sądu Okręgowego w Warszawie celem </w:t>
      </w:r>
      <w:r w:rsidR="00E713CE">
        <w:t>ustosunkowania</w:t>
      </w:r>
      <w:r w:rsidR="00541C63" w:rsidRPr="0042785D">
        <w:t>.</w:t>
      </w:r>
    </w:p>
    <w:p w:rsidR="00541C63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24</w:t>
      </w:r>
      <w:r>
        <w:rPr>
          <w:noProof/>
        </w:rPr>
        <w:fldChar w:fldCharType="end"/>
      </w:r>
      <w:r w:rsidR="00541C63" w:rsidRPr="0042785D">
        <w:t>.  W dniu 1 lutego 2012 r. zażalenie wraz ze stanowiskiem Sądu Okręgowego wpłynęło do Sądu Apelacyjnego w Warszawie. Posiedzenie odwoławcze wyznaczono na dzień 23 lutego 2012 r.</w:t>
      </w:r>
    </w:p>
    <w:p w:rsidR="007C33D5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25</w:t>
      </w:r>
      <w:r>
        <w:rPr>
          <w:noProof/>
        </w:rPr>
        <w:fldChar w:fldCharType="end"/>
      </w:r>
      <w:r w:rsidR="00D10259" w:rsidRPr="0042785D">
        <w:t xml:space="preserve">.  W dniu 2 lutego 2012 r., tj. w czternastym dniu pozbawienia wolności skarżącego, </w:t>
      </w:r>
      <w:r w:rsidR="003C2C02">
        <w:t>Komisja Penitencjarna</w:t>
      </w:r>
      <w:r w:rsidR="00D10259" w:rsidRPr="0042785D">
        <w:t xml:space="preserve"> Aresztu Ś</w:t>
      </w:r>
      <w:r w:rsidR="003C2C02">
        <w:t>ledczego w</w:t>
      </w:r>
      <w:r w:rsidR="00D21E42">
        <w:t> </w:t>
      </w:r>
      <w:r w:rsidR="003C2C02">
        <w:t>Warszawie zdecydowała</w:t>
      </w:r>
      <w:r w:rsidR="00D10259" w:rsidRPr="0042785D">
        <w:t>, że skarżący powinien odbywać karę w jednostce penitencjarnej typu półotwartego (z możliwością opuszcz</w:t>
      </w:r>
      <w:r w:rsidR="00E00528" w:rsidRPr="0042785D">
        <w:t>a</w:t>
      </w:r>
      <w:r w:rsidR="00D10259" w:rsidRPr="0042785D">
        <w:t>nia celi w ciągu dnia).</w:t>
      </w:r>
    </w:p>
    <w:p w:rsidR="00D10259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26</w:t>
      </w:r>
      <w:r>
        <w:rPr>
          <w:noProof/>
        </w:rPr>
        <w:fldChar w:fldCharType="end"/>
      </w:r>
      <w:r w:rsidR="00D10259" w:rsidRPr="0042785D">
        <w:t>.  W następstwie tej decyzji skarżącego przeniesiono na kilka godzin do aresztu śledczego typu półotwartego.</w:t>
      </w:r>
    </w:p>
    <w:p w:rsidR="007C33D5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27</w:t>
      </w:r>
      <w:r>
        <w:rPr>
          <w:noProof/>
        </w:rPr>
        <w:fldChar w:fldCharType="end"/>
      </w:r>
      <w:r w:rsidR="00D10259" w:rsidRPr="0042785D">
        <w:t>.  Zwolniono go później tego samego dnia.</w:t>
      </w:r>
    </w:p>
    <w:p w:rsidR="00541C63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28</w:t>
      </w:r>
      <w:r>
        <w:rPr>
          <w:noProof/>
        </w:rPr>
        <w:fldChar w:fldCharType="end"/>
      </w:r>
      <w:r w:rsidR="00541C63" w:rsidRPr="0042785D">
        <w:t xml:space="preserve">.  W bliżej nieustalonym </w:t>
      </w:r>
      <w:r w:rsidR="00F655B8" w:rsidRPr="0042785D">
        <w:t>terminie</w:t>
      </w:r>
      <w:r w:rsidR="00541C63" w:rsidRPr="0042785D">
        <w:t xml:space="preserve"> posiedzenie odwoławcze przeniesiono na dzień 22 marca 2012 r. z powodu choroby sędziego.</w:t>
      </w:r>
    </w:p>
    <w:p w:rsidR="00F41B35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29</w:t>
      </w:r>
      <w:r>
        <w:rPr>
          <w:noProof/>
        </w:rPr>
        <w:fldChar w:fldCharType="end"/>
      </w:r>
      <w:r w:rsidR="00D10259" w:rsidRPr="0042785D">
        <w:t>.  W dniu 22 marca 2012 r. Sąd Apelacyjny w Warszaw</w:t>
      </w:r>
      <w:r w:rsidR="003C2C02">
        <w:t>ie oddalił zażalenie skarżącego</w:t>
      </w:r>
      <w:r w:rsidR="004A578C">
        <w:t>,</w:t>
      </w:r>
      <w:r w:rsidR="00D10259" w:rsidRPr="0042785D">
        <w:t xml:space="preserve"> stwierdzając, że zachowanie skarżącego przejawiające brak szacunku wobec sądu </w:t>
      </w:r>
      <w:r w:rsidR="003C2C02">
        <w:t>zakłóciło</w:t>
      </w:r>
      <w:r w:rsidR="00D10259" w:rsidRPr="0042785D">
        <w:t xml:space="preserve"> </w:t>
      </w:r>
      <w:r w:rsidR="003C2C02">
        <w:t>powagę</w:t>
      </w:r>
      <w:r w:rsidR="00D10259" w:rsidRPr="0042785D">
        <w:t xml:space="preserve"> postępowania sądowego i powagę sądu oraz zakłócił</w:t>
      </w:r>
      <w:r w:rsidR="001770AD">
        <w:t>o</w:t>
      </w:r>
      <w:r w:rsidR="00D10259" w:rsidRPr="0042785D">
        <w:t xml:space="preserve"> porządek czynności sądowych. </w:t>
      </w:r>
      <w:r w:rsidR="003C2C02">
        <w:lastRenderedPageBreak/>
        <w:t>Jego</w:t>
      </w:r>
      <w:r w:rsidR="00D21E42">
        <w:t> </w:t>
      </w:r>
      <w:r w:rsidR="00D10259" w:rsidRPr="0042785D">
        <w:t>zachowanie sprowokował</w:t>
      </w:r>
      <w:r w:rsidR="003C2C02">
        <w:t>o</w:t>
      </w:r>
      <w:r w:rsidR="00D10259" w:rsidRPr="0042785D">
        <w:t xml:space="preserve"> publiczność do wykrzykiwania podobnych haseł. Jego zachowanie </w:t>
      </w:r>
      <w:r w:rsidR="00D10259" w:rsidRPr="00FC3754">
        <w:t xml:space="preserve">było </w:t>
      </w:r>
      <w:r w:rsidR="004A578C" w:rsidRPr="00FC3754">
        <w:t>z premedytacją</w:t>
      </w:r>
      <w:r w:rsidR="00D10259" w:rsidRPr="00FC3754">
        <w:t>, albowiem</w:t>
      </w:r>
      <w:r w:rsidR="00D10259" w:rsidRPr="0042785D">
        <w:t xml:space="preserve"> skarżący wiedział, że ogłoszenie wyroku miało być transmitowane na żywo</w:t>
      </w:r>
      <w:r w:rsidR="003C2C02">
        <w:t xml:space="preserve"> przez media. Sąd uznał także, że zachowania</w:t>
      </w:r>
      <w:r w:rsidR="00D10259" w:rsidRPr="0042785D">
        <w:t xml:space="preserve"> skarżącego nie można </w:t>
      </w:r>
      <w:r w:rsidR="003C2C02">
        <w:t>tłumaczyć</w:t>
      </w:r>
      <w:r w:rsidR="00D10259" w:rsidRPr="0042785D">
        <w:t xml:space="preserve"> jego emocjonalnym sprzeciwem wobec rozstrzygnięcia sądu, bowiem w chwili zdarzenia skarżący nie </w:t>
      </w:r>
      <w:r w:rsidR="00F655B8" w:rsidRPr="0042785D">
        <w:t>znał</w:t>
      </w:r>
      <w:r w:rsidR="00D10259" w:rsidRPr="0042785D">
        <w:t xml:space="preserve"> wyniku sprawy. Skarżący chciał zakłócić porządek postępowania niezależnie od jego wyniku. Zdaniem sądu krajowego nałożenie łagodniejszej kary sankcjonowałoby brak odpowiedzialności i nie miałoby skutku odstraszającego.</w:t>
      </w:r>
    </w:p>
    <w:p w:rsidR="00076C30" w:rsidRPr="0042785D" w:rsidRDefault="00076C30" w:rsidP="00E00528">
      <w:pPr>
        <w:pStyle w:val="ECHRHeading1"/>
      </w:pPr>
      <w:r w:rsidRPr="0042785D">
        <w:t>II.  WŁAŚCIWE PRAWO KRAJOWE I PRAKTYKA</w:t>
      </w:r>
    </w:p>
    <w:p w:rsidR="00541C63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30</w:t>
      </w:r>
      <w:r>
        <w:rPr>
          <w:noProof/>
        </w:rPr>
        <w:fldChar w:fldCharType="end"/>
      </w:r>
      <w:r w:rsidR="00A50B57" w:rsidRPr="0042785D">
        <w:t>.  </w:t>
      </w:r>
      <w:r w:rsidR="00432746">
        <w:t>Kwestię obrazy</w:t>
      </w:r>
      <w:r w:rsidR="00A50B57" w:rsidRPr="0042785D">
        <w:t xml:space="preserve"> sądu reguluje ustawa z dnia 27 lipca 2001 r. Prawo o</w:t>
      </w:r>
      <w:r w:rsidR="00D21E42">
        <w:t> </w:t>
      </w:r>
      <w:r w:rsidR="00A50B57" w:rsidRPr="0042785D">
        <w:t>ustroju sądów powszechnych (z</w:t>
      </w:r>
      <w:r w:rsidR="006D7125">
        <w:t xml:space="preserve"> późn.</w:t>
      </w:r>
      <w:r w:rsidR="00A50B57" w:rsidRPr="0042785D">
        <w:t xml:space="preserve"> zm.).</w:t>
      </w:r>
    </w:p>
    <w:p w:rsidR="00B22B92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31</w:t>
      </w:r>
      <w:r>
        <w:rPr>
          <w:noProof/>
        </w:rPr>
        <w:fldChar w:fldCharType="end"/>
      </w:r>
      <w:r w:rsidR="00CD3BF3" w:rsidRPr="0042785D">
        <w:t>.  Zgodnie z art. 48 § 1</w:t>
      </w:r>
      <w:r w:rsidR="00F655B8" w:rsidRPr="0042785D">
        <w:t xml:space="preserve"> </w:t>
      </w:r>
      <w:r w:rsidR="00CD3BF3" w:rsidRPr="0042785D">
        <w:t>ww. ustawy w brzmieniu obowiązującym w</w:t>
      </w:r>
      <w:r w:rsidR="00F655B8" w:rsidRPr="0042785D">
        <w:t> </w:t>
      </w:r>
      <w:r w:rsidR="00CD3BF3" w:rsidRPr="0042785D">
        <w:t xml:space="preserve">okresie mającym znaczenie oraz obecnie, przewodniczący składu sądu może upomnieć osobę, która narusza powagę, spokój lub porządek czynności sądowych. Przewodniczący może wydalić taką osobę z sali rozpraw tylko po bezskutecznym upomnieniu. Zgodnie z § 3 tego samego artykułu sąd może wydalić </w:t>
      </w:r>
      <w:r w:rsidR="006D7125">
        <w:t xml:space="preserve">członków </w:t>
      </w:r>
      <w:r w:rsidR="006D7125" w:rsidRPr="0042785D">
        <w:t>publicznoś</w:t>
      </w:r>
      <w:r w:rsidR="006D7125">
        <w:t>ci</w:t>
      </w:r>
      <w:r w:rsidR="006D7125" w:rsidRPr="0042785D">
        <w:t xml:space="preserve"> </w:t>
      </w:r>
      <w:r w:rsidR="00CD3BF3" w:rsidRPr="0042785D">
        <w:t xml:space="preserve">z sali rozpraw z powodu </w:t>
      </w:r>
      <w:r w:rsidR="006D7125">
        <w:t>ich</w:t>
      </w:r>
      <w:r w:rsidR="00CD3BF3" w:rsidRPr="0042785D">
        <w:t xml:space="preserve"> niewłaściwego zachowania.</w:t>
      </w:r>
    </w:p>
    <w:p w:rsidR="002871BF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32</w:t>
      </w:r>
      <w:r>
        <w:rPr>
          <w:noProof/>
        </w:rPr>
        <w:fldChar w:fldCharType="end"/>
      </w:r>
      <w:r w:rsidR="001F7652" w:rsidRPr="0042785D">
        <w:t>.  W art. 49 § 1 ustawy przewidziano sankcje za naruszenie powagi, spokoju lub porządku czynności sądowych. W okresie mającym znaczenie dla sprawy sąd był uprawniony do ukarania karą grzywny w wysokości do</w:t>
      </w:r>
      <w:r w:rsidR="00D21E42">
        <w:t> </w:t>
      </w:r>
      <w:r w:rsidR="001F7652" w:rsidRPr="0042785D">
        <w:t>10 000 złotych (PLN – ok. 2</w:t>
      </w:r>
      <w:r w:rsidR="004A578C">
        <w:t xml:space="preserve"> </w:t>
      </w:r>
      <w:r w:rsidR="001F7652" w:rsidRPr="0042785D">
        <w:t>500 euro (EUR)) lub karą pozbawienia wolności do czternastu dni.</w:t>
      </w:r>
    </w:p>
    <w:p w:rsidR="007C33D5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33</w:t>
      </w:r>
      <w:r>
        <w:rPr>
          <w:noProof/>
        </w:rPr>
        <w:fldChar w:fldCharType="end"/>
      </w:r>
      <w:r w:rsidR="00C73D88" w:rsidRPr="0042785D">
        <w:t xml:space="preserve">.  W dniu 1 października 2008 r. Sąd Apelacyjny w Krakowie (orzeczenie w sprawie o sygn. akt II </w:t>
      </w:r>
      <w:proofErr w:type="spellStart"/>
      <w:r w:rsidR="00C73D88" w:rsidRPr="0042785D">
        <w:t>AKz</w:t>
      </w:r>
      <w:proofErr w:type="spellEnd"/>
      <w:r w:rsidR="00C73D88" w:rsidRPr="0042785D">
        <w:t xml:space="preserve"> 485/08) uznał</w:t>
      </w:r>
      <w:r w:rsidR="006D7125">
        <w:t>, że</w:t>
      </w:r>
      <w:r w:rsidR="00C73D88" w:rsidRPr="0042785D">
        <w:t xml:space="preserve"> </w:t>
      </w:r>
      <w:r w:rsidR="006D7125">
        <w:t>zasadne jest ukaranie</w:t>
      </w:r>
      <w:r w:rsidR="00C73D88" w:rsidRPr="0042785D">
        <w:t xml:space="preserve"> za zachowanie</w:t>
      </w:r>
      <w:r w:rsidR="006D7125">
        <w:t>, które</w:t>
      </w:r>
      <w:r w:rsidR="00C73D88" w:rsidRPr="0042785D">
        <w:t xml:space="preserve"> narusza powagę sądu w rozumieniu ww.</w:t>
      </w:r>
      <w:r w:rsidR="00D21E42">
        <w:t> </w:t>
      </w:r>
      <w:r w:rsidR="00C73D88" w:rsidRPr="0042785D">
        <w:t>artykułu 49, w</w:t>
      </w:r>
      <w:r w:rsidR="00F655B8" w:rsidRPr="0042785D">
        <w:t> </w:t>
      </w:r>
      <w:r w:rsidR="006D7125">
        <w:t>przypadku</w:t>
      </w:r>
      <w:r w:rsidR="00C73D88" w:rsidRPr="0042785D">
        <w:t xml:space="preserve"> zachowania ubliżającego sądowi. W sytuacji, gdy zachowanie nie </w:t>
      </w:r>
      <w:r w:rsidR="006D7125">
        <w:t>osiąga takiego</w:t>
      </w:r>
      <w:r w:rsidR="00C73D88" w:rsidRPr="0042785D">
        <w:t xml:space="preserve"> </w:t>
      </w:r>
      <w:r w:rsidR="006D7125">
        <w:t>progu</w:t>
      </w:r>
      <w:r w:rsidR="00C73D88" w:rsidRPr="0042785D">
        <w:t xml:space="preserve">, odpowiednią reakcją jest </w:t>
      </w:r>
      <w:r w:rsidR="006D7125">
        <w:t>najpierw upomnienie</w:t>
      </w:r>
      <w:r w:rsidR="00C73D88" w:rsidRPr="0042785D">
        <w:t xml:space="preserve"> osob</w:t>
      </w:r>
      <w:r w:rsidR="006D7125">
        <w:t>y</w:t>
      </w:r>
      <w:r w:rsidR="00C73D88" w:rsidRPr="0042785D">
        <w:t xml:space="preserve">, a dopiero gdy </w:t>
      </w:r>
      <w:r w:rsidR="006D7125">
        <w:t>alternatywne</w:t>
      </w:r>
      <w:r w:rsidR="00C73D88" w:rsidRPr="0042785D">
        <w:t xml:space="preserve"> możliwości reakcji zostaną wyczerpane, </w:t>
      </w:r>
      <w:r w:rsidR="006D7125" w:rsidRPr="0042785D">
        <w:t xml:space="preserve">konieczne staje się </w:t>
      </w:r>
      <w:r w:rsidR="00C73D88" w:rsidRPr="0042785D">
        <w:t>nałożenie kary. Nawią</w:t>
      </w:r>
      <w:r w:rsidR="00595A87">
        <w:t>zując do</w:t>
      </w:r>
      <w:r w:rsidR="00D21E42">
        <w:t> </w:t>
      </w:r>
      <w:r w:rsidR="00595A87">
        <w:t>art.</w:t>
      </w:r>
      <w:r w:rsidR="00D21E42">
        <w:t> </w:t>
      </w:r>
      <w:r w:rsidR="00595A87">
        <w:t>31 Konstytucji RP</w:t>
      </w:r>
      <w:r w:rsidR="004A578C">
        <w:t>,</w:t>
      </w:r>
      <w:r w:rsidR="00C73D88" w:rsidRPr="0042785D">
        <w:t xml:space="preserve"> sąd zauważył, że kara jako reakcja </w:t>
      </w:r>
      <w:r w:rsidR="00595A87">
        <w:t>sędziego</w:t>
      </w:r>
      <w:r w:rsidR="00C73D88" w:rsidRPr="0042785D">
        <w:t xml:space="preserve"> na</w:t>
      </w:r>
      <w:r w:rsidR="00D21E42">
        <w:t> </w:t>
      </w:r>
      <w:r w:rsidR="00C73D88" w:rsidRPr="0042785D">
        <w:t>zachowanie osoby poddanej ocenie sądu powinna być stosowana z</w:t>
      </w:r>
      <w:r w:rsidR="00D21E42">
        <w:t> </w:t>
      </w:r>
      <w:r w:rsidR="00C73D88" w:rsidRPr="0042785D">
        <w:t xml:space="preserve">umiarem </w:t>
      </w:r>
      <w:r w:rsidR="00595A87">
        <w:t>i powinno się rozważyć, czy jest konieczna</w:t>
      </w:r>
      <w:r w:rsidR="00C73D88" w:rsidRPr="0042785D">
        <w:t xml:space="preserve"> w</w:t>
      </w:r>
      <w:r w:rsidR="00F655B8" w:rsidRPr="0042785D">
        <w:t> </w:t>
      </w:r>
      <w:r w:rsidR="00595A87">
        <w:t xml:space="preserve">społeczeństwie </w:t>
      </w:r>
      <w:r w:rsidR="00C73D88" w:rsidRPr="0042785D">
        <w:t>demokratycznym dla bezpieczeństwa i</w:t>
      </w:r>
      <w:r w:rsidR="002F3AF4">
        <w:t> </w:t>
      </w:r>
      <w:r w:rsidR="00C73D88" w:rsidRPr="0042785D">
        <w:t>porządku publicznego, wolności i</w:t>
      </w:r>
      <w:r w:rsidR="00D21E42">
        <w:t> </w:t>
      </w:r>
      <w:r w:rsidR="00C73D88" w:rsidRPr="0042785D">
        <w:t xml:space="preserve">praw innych osób bądź dla ochrony innych </w:t>
      </w:r>
      <w:r w:rsidR="00595A87">
        <w:t>dóbr</w:t>
      </w:r>
      <w:r w:rsidR="00C73D88" w:rsidRPr="0042785D">
        <w:t xml:space="preserve"> społecznych. W</w:t>
      </w:r>
      <w:r w:rsidR="00D21E42">
        <w:t> </w:t>
      </w:r>
      <w:r w:rsidR="00C73D88" w:rsidRPr="0042785D">
        <w:t>okolicznościach tej konkretnej sprawy, w</w:t>
      </w:r>
      <w:r w:rsidR="002F3AF4">
        <w:t> </w:t>
      </w:r>
      <w:r w:rsidR="00C73D88" w:rsidRPr="0042785D">
        <w:t xml:space="preserve">której </w:t>
      </w:r>
      <w:r w:rsidR="00595A87" w:rsidRPr="0042785D">
        <w:t xml:space="preserve">skarżącego ukarano </w:t>
      </w:r>
      <w:r w:rsidR="00C73D88" w:rsidRPr="0042785D">
        <w:t>grzywną</w:t>
      </w:r>
      <w:r w:rsidR="00595A87">
        <w:t xml:space="preserve"> i</w:t>
      </w:r>
      <w:r w:rsidR="00C73D88" w:rsidRPr="0042785D">
        <w:t xml:space="preserve"> wobec którego sąd zarządził wykonanie uprzednio warunkowo zawieszone</w:t>
      </w:r>
      <w:r w:rsidR="00595A87">
        <w:t>go orzeczenia</w:t>
      </w:r>
      <w:r w:rsidR="00C73D88" w:rsidRPr="0042785D">
        <w:t xml:space="preserve">, sąd uznał, że </w:t>
      </w:r>
      <w:r w:rsidR="00595A87">
        <w:t>jego ironiczne</w:t>
      </w:r>
      <w:r w:rsidR="00C73D88" w:rsidRPr="0042785D">
        <w:t xml:space="preserve"> głośno wypowiedziane </w:t>
      </w:r>
      <w:r w:rsidR="00595A87">
        <w:t>stwierdzenie</w:t>
      </w:r>
      <w:r w:rsidR="00C73D88" w:rsidRPr="0042785D">
        <w:t xml:space="preserve">: „Takie mamy prawo” stanowiło niedopuszczalny komentarz na temat polskiego porządku prawnego. </w:t>
      </w:r>
      <w:r w:rsidR="00C73D88" w:rsidRPr="0042785D">
        <w:lastRenderedPageBreak/>
        <w:t>Sąd</w:t>
      </w:r>
      <w:r w:rsidR="00D21E42">
        <w:t> </w:t>
      </w:r>
      <w:r w:rsidR="00C73D88" w:rsidRPr="0042785D">
        <w:t>odwoławczy stwierdził, że właściwą reakcją sądu w tej sprawie byłoby upomnienie skarżące</w:t>
      </w:r>
      <w:r w:rsidR="00595A87">
        <w:t>go i przywołanie go do porządku.</w:t>
      </w:r>
    </w:p>
    <w:p w:rsidR="007C33D5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34</w:t>
      </w:r>
      <w:r>
        <w:rPr>
          <w:noProof/>
        </w:rPr>
        <w:fldChar w:fldCharType="end"/>
      </w:r>
      <w:r w:rsidR="0034534B" w:rsidRPr="0042785D">
        <w:t xml:space="preserve">.  Zgodnie z art. 50 § 1 ww. ustawy postanowienie o ukaraniu karą porządkową </w:t>
      </w:r>
      <w:r w:rsidR="00595A87">
        <w:t xml:space="preserve">za obrazę sądu </w:t>
      </w:r>
      <w:r w:rsidR="0034534B" w:rsidRPr="0042785D">
        <w:t xml:space="preserve">jest natychmiast wykonalne. Od postanowienia przysługuje zażalenie do sądu </w:t>
      </w:r>
      <w:r w:rsidR="00595A87">
        <w:t>wyższej instancji</w:t>
      </w:r>
      <w:r w:rsidR="0034534B" w:rsidRPr="0042785D">
        <w:t xml:space="preserve">. Do zażalenia stosuje się przepisy o postępowaniu właściwe w sprawie, w której zastosowano karę porządkową (tj. w postępowaniu karnym, art. 459 i in. Kodeksu postępowania karnego). W razie </w:t>
      </w:r>
      <w:r w:rsidR="009D2B8E">
        <w:t>złożenia</w:t>
      </w:r>
      <w:r w:rsidR="0034534B" w:rsidRPr="0042785D">
        <w:t xml:space="preserve"> zażalenia sąd, który wydał zaskarżone postanowienie, może wstrzymać wykonanie kary porządkowej.</w:t>
      </w:r>
    </w:p>
    <w:p w:rsidR="003D27A3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35</w:t>
      </w:r>
      <w:r>
        <w:rPr>
          <w:noProof/>
        </w:rPr>
        <w:fldChar w:fldCharType="end"/>
      </w:r>
      <w:r w:rsidR="00156843" w:rsidRPr="0042785D">
        <w:t>.  Wykonywanie orzeczeń wydanych w toku postępowania karnego reguluje art. 9 Kodeksu karnego wykonawczego. Zgodnie z § 4 tego przepisu wniesienie zażalenia w postępowaniu wykonawczym nie</w:t>
      </w:r>
      <w:r w:rsidR="00D21E42">
        <w:t> </w:t>
      </w:r>
      <w:r w:rsidR="00156843" w:rsidRPr="0042785D">
        <w:t xml:space="preserve">wstrzymuje </w:t>
      </w:r>
      <w:r w:rsidR="009D2B8E">
        <w:t xml:space="preserve">automatycznie </w:t>
      </w:r>
      <w:r w:rsidR="00156843" w:rsidRPr="0042785D">
        <w:t>wykonania zaskarżonego postanowienia. W</w:t>
      </w:r>
      <w:r w:rsidR="00D21E42">
        <w:t> </w:t>
      </w:r>
      <w:r w:rsidR="00156843" w:rsidRPr="0042785D">
        <w:t>szczególnie uzasadnionych przypadkach sąd może zarządzić, również z</w:t>
      </w:r>
      <w:r w:rsidR="00D21E42">
        <w:t> </w:t>
      </w:r>
      <w:r w:rsidR="00156843" w:rsidRPr="0042785D">
        <w:t>urzędu, wstrzymanie wykonania kary do czasu uprawomocnienia się postanowienia.</w:t>
      </w:r>
    </w:p>
    <w:p w:rsidR="00377C5D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36</w:t>
      </w:r>
      <w:r>
        <w:rPr>
          <w:noProof/>
        </w:rPr>
        <w:fldChar w:fldCharType="end"/>
      </w:r>
      <w:r w:rsidR="00280A49" w:rsidRPr="0042785D">
        <w:t xml:space="preserve">.  Ukaranie karą porządkową </w:t>
      </w:r>
      <w:r w:rsidR="009D2B8E">
        <w:t xml:space="preserve">za obrazę sądu </w:t>
      </w:r>
      <w:r w:rsidR="00280A49" w:rsidRPr="0042785D">
        <w:t>nie uchyla odpowiedzialności karnej za ten sam czyn (art. 50 § 2 ww. ustawy), jeżeli</w:t>
      </w:r>
      <w:r w:rsidR="00D21E42">
        <w:t> </w:t>
      </w:r>
      <w:r w:rsidR="00280A49" w:rsidRPr="0042785D">
        <w:t>dany czyn wypełnia również znamiona przestępstwa. W praktyce sąd</w:t>
      </w:r>
      <w:r w:rsidR="00D21E42">
        <w:t> </w:t>
      </w:r>
      <w:r w:rsidR="00280A49" w:rsidRPr="0042785D">
        <w:t>(samodzielnie lub prezes sądu lub przewodniczący wydziału) jest w</w:t>
      </w:r>
      <w:r w:rsidR="00D21E42">
        <w:t> </w:t>
      </w:r>
      <w:r w:rsidR="00280A49" w:rsidRPr="0042785D">
        <w:t xml:space="preserve">danym momencie uprawniony i </w:t>
      </w:r>
      <w:r w:rsidR="009D2B8E">
        <w:t>faktycznie powinien po</w:t>
      </w:r>
      <w:r w:rsidR="00280A49" w:rsidRPr="0042785D">
        <w:t>wiadomić prokuratora lub policję o czynie polegającym na obrazie sądu (zob.</w:t>
      </w:r>
      <w:r w:rsidR="00D21E42">
        <w:t> </w:t>
      </w:r>
      <w:r w:rsidR="00280A49" w:rsidRPr="0042785D">
        <w:t>Komentarz do ustawy – Prawo o ustroju sądów powszechnych, J.</w:t>
      </w:r>
      <w:r w:rsidR="00F655B8" w:rsidRPr="0042785D">
        <w:t> </w:t>
      </w:r>
      <w:r w:rsidR="00280A49" w:rsidRPr="0042785D">
        <w:t>Gudowski, 2009 r. oraz J. Kremer, 2013 r., z dalszymi odniesieniami).</w:t>
      </w:r>
    </w:p>
    <w:p w:rsidR="00076C30" w:rsidRPr="0042785D" w:rsidRDefault="00076C30" w:rsidP="00E00528">
      <w:pPr>
        <w:pStyle w:val="ECHRTitle1"/>
      </w:pPr>
      <w:r w:rsidRPr="0042785D">
        <w:t>PRAWO</w:t>
      </w:r>
    </w:p>
    <w:p w:rsidR="00B36A49" w:rsidRPr="0042785D" w:rsidRDefault="00B36A49" w:rsidP="00E00528">
      <w:pPr>
        <w:pStyle w:val="ECHRHeading1"/>
      </w:pPr>
      <w:r w:rsidRPr="0042785D">
        <w:t>I.  </w:t>
      </w:r>
      <w:r w:rsidR="00910A87">
        <w:t>ZARZUCANE</w:t>
      </w:r>
      <w:r w:rsidRPr="0042785D">
        <w:t xml:space="preserve"> NARUSZENIE ART. 6 KONWENCJI</w:t>
      </w:r>
    </w:p>
    <w:p w:rsidR="00B36A49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37</w:t>
      </w:r>
      <w:r>
        <w:rPr>
          <w:noProof/>
        </w:rPr>
        <w:fldChar w:fldCharType="end"/>
      </w:r>
      <w:r w:rsidR="00B36A49" w:rsidRPr="0042785D">
        <w:t xml:space="preserve">.  Na podstawie art. 6 Konwencji skarżący </w:t>
      </w:r>
      <w:r w:rsidR="00AC71C6">
        <w:t>zarzucił</w:t>
      </w:r>
      <w:r w:rsidR="00B36A49" w:rsidRPr="0042785D">
        <w:t xml:space="preserve"> nierzetelność postępowania prowadzącego do nałożenia na niego kary pozbawienia wolności. W szczególności skarżący </w:t>
      </w:r>
      <w:r w:rsidR="00AC71C6">
        <w:t>zarzucił</w:t>
      </w:r>
      <w:r w:rsidR="00B36A49" w:rsidRPr="0042785D">
        <w:t xml:space="preserve"> brak bezstronności sędziów, którzy</w:t>
      </w:r>
      <w:r w:rsidR="004A578C">
        <w:t>,</w:t>
      </w:r>
      <w:r w:rsidR="00B36A49" w:rsidRPr="0042785D">
        <w:t xml:space="preserve"> </w:t>
      </w:r>
      <w:r w:rsidR="00F655B8" w:rsidRPr="0042785D">
        <w:t xml:space="preserve">będąc </w:t>
      </w:r>
      <w:r w:rsidR="00B36A49" w:rsidRPr="0042785D">
        <w:t>świadkami przedmiotowego incydentu</w:t>
      </w:r>
      <w:r w:rsidR="004A578C">
        <w:t>,</w:t>
      </w:r>
      <w:r w:rsidR="00B36A49" w:rsidRPr="0042785D">
        <w:t xml:space="preserve"> </w:t>
      </w:r>
      <w:r w:rsidR="00AC71C6">
        <w:t>następnie</w:t>
      </w:r>
      <w:r w:rsidR="00B36A49" w:rsidRPr="0042785D">
        <w:t xml:space="preserve"> ukarali skarżącego karą porządkową za obrazę sądu. Skarżący zarzucił także brak równości broni i brak obiektywności ze strony sądu, bowiem nie miał ani</w:t>
      </w:r>
      <w:r w:rsidR="00D21E42">
        <w:t> </w:t>
      </w:r>
      <w:r w:rsidR="00B36A49" w:rsidRPr="0042785D">
        <w:t>czasu</w:t>
      </w:r>
      <w:r w:rsidR="004A578C">
        <w:t>,</w:t>
      </w:r>
      <w:r w:rsidR="00B36A49" w:rsidRPr="0042785D">
        <w:t xml:space="preserve"> ani </w:t>
      </w:r>
      <w:r w:rsidR="00AC71C6">
        <w:t>możliwości przygotowania</w:t>
      </w:r>
      <w:r w:rsidR="00B36A49" w:rsidRPr="0042785D">
        <w:t xml:space="preserve"> obrony, </w:t>
      </w:r>
      <w:r w:rsidR="00AC71C6">
        <w:t>nie miał</w:t>
      </w:r>
      <w:r w:rsidR="00B36A49" w:rsidRPr="0042785D">
        <w:t xml:space="preserve"> możliwości przedstawienia stanowiska przed sądem, a nawet bycia obecnym w chwili orzekania kary. Ponadto skarżący zarzucił</w:t>
      </w:r>
      <w:r w:rsidR="00AC71C6">
        <w:t>, że</w:t>
      </w:r>
      <w:r w:rsidR="00B36A49" w:rsidRPr="0042785D">
        <w:t xml:space="preserve"> </w:t>
      </w:r>
      <w:r w:rsidR="00AC71C6">
        <w:t>postanowienie</w:t>
      </w:r>
      <w:r w:rsidR="00AC71C6" w:rsidRPr="0042785D">
        <w:t xml:space="preserve"> o ukaraniu karą porządkową </w:t>
      </w:r>
      <w:r w:rsidR="00AC71C6">
        <w:t>za obrazę sądu nie zostało uzasadnione</w:t>
      </w:r>
      <w:r w:rsidR="00B36A49" w:rsidRPr="0042785D">
        <w:t>.</w:t>
      </w:r>
    </w:p>
    <w:p w:rsidR="00B36A49" w:rsidRPr="0042785D" w:rsidRDefault="00B36A49" w:rsidP="00E00528">
      <w:pPr>
        <w:pStyle w:val="ECHRPara"/>
      </w:pPr>
      <w:r w:rsidRPr="0042785D">
        <w:t>W odpowiedniej części art. 6 stanowi:</w:t>
      </w:r>
    </w:p>
    <w:p w:rsidR="00B36A49" w:rsidRPr="0042785D" w:rsidRDefault="00B36A49" w:rsidP="00E00528">
      <w:pPr>
        <w:pStyle w:val="ECHRParaQuote"/>
      </w:pPr>
      <w:r w:rsidRPr="0042785D">
        <w:lastRenderedPageBreak/>
        <w:t xml:space="preserve">„1.  Każdy ma prawo do sprawiedliwego </w:t>
      </w:r>
      <w:r w:rsidR="00932216">
        <w:t>[</w:t>
      </w:r>
      <w:r w:rsidRPr="0042785D">
        <w:t>...</w:t>
      </w:r>
      <w:r w:rsidR="00932216">
        <w:t>]</w:t>
      </w:r>
      <w:r w:rsidRPr="0042785D">
        <w:t xml:space="preserve"> rozpatrzenia </w:t>
      </w:r>
      <w:r w:rsidR="00932216">
        <w:t>[</w:t>
      </w:r>
      <w:r w:rsidRPr="0042785D">
        <w:t>...</w:t>
      </w:r>
      <w:r w:rsidR="00932216">
        <w:t>]</w:t>
      </w:r>
      <w:r w:rsidRPr="0042785D">
        <w:t xml:space="preserve"> przy rozstrzyganiu </w:t>
      </w:r>
      <w:r w:rsidR="00932216">
        <w:t>[</w:t>
      </w:r>
      <w:r w:rsidRPr="0042785D">
        <w:t>...</w:t>
      </w:r>
      <w:r w:rsidR="00932216">
        <w:t>]</w:t>
      </w:r>
      <w:r w:rsidR="00F655B8" w:rsidRPr="0042785D">
        <w:t> </w:t>
      </w:r>
      <w:r w:rsidR="00AC71C6">
        <w:t>o zasadności każdego oskarżenia w wytoczonej przeciwko niemu sprawie karnej</w:t>
      </w:r>
      <w:r w:rsidRPr="0042785D">
        <w:t xml:space="preserve"> </w:t>
      </w:r>
      <w:r w:rsidR="00932216">
        <w:t>[</w:t>
      </w:r>
      <w:r w:rsidRPr="0042785D">
        <w:t>...</w:t>
      </w:r>
      <w:r w:rsidR="00932216">
        <w:t>]</w:t>
      </w:r>
      <w:r w:rsidRPr="0042785D">
        <w:t xml:space="preserve"> przez niezawisły i bezstronny sąd.</w:t>
      </w:r>
    </w:p>
    <w:p w:rsidR="00B36A49" w:rsidRPr="0042785D" w:rsidRDefault="00932216" w:rsidP="00E00528">
      <w:pPr>
        <w:pStyle w:val="ECHRParaQuote"/>
      </w:pPr>
      <w:r>
        <w:t>[</w:t>
      </w:r>
      <w:r w:rsidR="007C33D5" w:rsidRPr="0042785D">
        <w:t>...</w:t>
      </w:r>
      <w:r>
        <w:t>]</w:t>
      </w:r>
    </w:p>
    <w:p w:rsidR="00B36A49" w:rsidRPr="0042785D" w:rsidRDefault="00B36A49" w:rsidP="00E00528">
      <w:pPr>
        <w:pStyle w:val="ECHRParaQuote"/>
      </w:pPr>
      <w:r w:rsidRPr="0042785D">
        <w:t>3.  Każdy oskarżony o popełnienie czynu zagrożonego karą ma co najmniej prawo do:</w:t>
      </w:r>
    </w:p>
    <w:p w:rsidR="00B36A49" w:rsidRPr="0042785D" w:rsidRDefault="00B36A49" w:rsidP="00E00528">
      <w:pPr>
        <w:pStyle w:val="JuQuotSub"/>
      </w:pPr>
      <w:r w:rsidRPr="0042785D">
        <w:t>a) niezwłocznego otrzymania szczegółowej informacji w języku dla niego zrozumiałym o istocie i przyczynie skierowanego przeciwko niemu oskarżenia;</w:t>
      </w:r>
    </w:p>
    <w:p w:rsidR="00B36A49" w:rsidRPr="0042785D" w:rsidRDefault="00B36A49" w:rsidP="00E00528">
      <w:pPr>
        <w:pStyle w:val="JuQuotSub"/>
      </w:pPr>
      <w:r w:rsidRPr="0042785D">
        <w:t>b) posiadania odpowiedniego czasu i możliwości do przygotowania obrony;</w:t>
      </w:r>
    </w:p>
    <w:p w:rsidR="00B36A49" w:rsidRPr="0042785D" w:rsidRDefault="00AC71C6" w:rsidP="00E00528">
      <w:pPr>
        <w:pStyle w:val="JuQuotSub"/>
      </w:pPr>
      <w:r>
        <w:t xml:space="preserve">c) </w:t>
      </w:r>
      <w:r w:rsidR="00B36A49" w:rsidRPr="0042785D">
        <w:t xml:space="preserve">bronienia się osobiście lub przez ustanowionego przez siebie obrońcę </w:t>
      </w:r>
      <w:r w:rsidR="00932216">
        <w:t>[</w:t>
      </w:r>
      <w:r w:rsidR="00B36A49" w:rsidRPr="0042785D">
        <w:t>...</w:t>
      </w:r>
      <w:r w:rsidR="00932216">
        <w:t>]</w:t>
      </w:r>
      <w:r w:rsidR="00B36A49" w:rsidRPr="0042785D">
        <w:t>”</w:t>
      </w:r>
    </w:p>
    <w:p w:rsidR="00B36A49" w:rsidRPr="0042785D" w:rsidRDefault="00B36A49" w:rsidP="00E00528">
      <w:pPr>
        <w:pStyle w:val="ECHRHeading2"/>
      </w:pPr>
      <w:r w:rsidRPr="0042785D">
        <w:t>A.  Dopuszczalność</w:t>
      </w:r>
    </w:p>
    <w:p w:rsidR="00B36A49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38</w:t>
      </w:r>
      <w:r>
        <w:rPr>
          <w:noProof/>
        </w:rPr>
        <w:fldChar w:fldCharType="end"/>
      </w:r>
      <w:r w:rsidR="00B36A49" w:rsidRPr="0042785D">
        <w:t>.  Trybunał zauważa, że skarga nie jest w sposób oczywisty nieuzasadniona</w:t>
      </w:r>
      <w:r w:rsidR="00F655B8" w:rsidRPr="0042785D">
        <w:t xml:space="preserve"> </w:t>
      </w:r>
      <w:r w:rsidR="00B36A49" w:rsidRPr="0042785D">
        <w:t>w rozumieniu art. 35 ust. 3 lit. a Konwencji. Nadto</w:t>
      </w:r>
      <w:r w:rsidR="00D21E42">
        <w:t> </w:t>
      </w:r>
      <w:r w:rsidR="00B36A49" w:rsidRPr="0042785D">
        <w:t>Trybunał zauważa, że nie jest ona niedopuszczalna na żadnym innym gruncie. Należy ją zatem uznać za dopuszczalną.</w:t>
      </w:r>
    </w:p>
    <w:p w:rsidR="00B36A49" w:rsidRPr="0042785D" w:rsidRDefault="00B36A49" w:rsidP="00E00528">
      <w:pPr>
        <w:pStyle w:val="ECHRHeading2"/>
      </w:pPr>
      <w:r w:rsidRPr="0042785D">
        <w:t>B.  </w:t>
      </w:r>
      <w:r w:rsidR="004A578C">
        <w:t>Przedmiot</w:t>
      </w:r>
      <w:r w:rsidRPr="0042785D">
        <w:t xml:space="preserve"> skargi</w:t>
      </w:r>
    </w:p>
    <w:p w:rsidR="00B36A49" w:rsidRPr="0042785D" w:rsidRDefault="00FC14E4" w:rsidP="00E00528">
      <w:pPr>
        <w:pStyle w:val="ECHRPara"/>
        <w:rPr>
          <w:snapToGrid w:val="0"/>
        </w:rPr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39</w:t>
      </w:r>
      <w:r>
        <w:rPr>
          <w:noProof/>
        </w:rPr>
        <w:fldChar w:fldCharType="end"/>
      </w:r>
      <w:r w:rsidR="00B36A49" w:rsidRPr="0042785D">
        <w:t>.  </w:t>
      </w:r>
      <w:r w:rsidR="00B36A49" w:rsidRPr="0042785D">
        <w:rPr>
          <w:snapToGrid w:val="0"/>
        </w:rPr>
        <w:t>Skarżący powtórzył, że sąd, który ukarał go karą porządkową za</w:t>
      </w:r>
      <w:r w:rsidR="00D21E42">
        <w:rPr>
          <w:snapToGrid w:val="0"/>
        </w:rPr>
        <w:t> </w:t>
      </w:r>
      <w:r w:rsidR="00B36A49" w:rsidRPr="0042785D">
        <w:rPr>
          <w:snapToGrid w:val="0"/>
        </w:rPr>
        <w:t>obrazę sądu, nie był bezstronny, albowiem po stronie</w:t>
      </w:r>
      <w:r w:rsidR="003A0650">
        <w:rPr>
          <w:snapToGrid w:val="0"/>
        </w:rPr>
        <w:t xml:space="preserve"> sądu</w:t>
      </w:r>
      <w:r w:rsidR="00B36A49" w:rsidRPr="0042785D">
        <w:rPr>
          <w:snapToGrid w:val="0"/>
        </w:rPr>
        <w:t xml:space="preserve"> doszło do</w:t>
      </w:r>
      <w:r w:rsidR="00D21E42">
        <w:rPr>
          <w:snapToGrid w:val="0"/>
        </w:rPr>
        <w:t> </w:t>
      </w:r>
      <w:r w:rsidR="00CA2B42">
        <w:rPr>
          <w:snapToGrid w:val="0"/>
        </w:rPr>
        <w:t>połączenia</w:t>
      </w:r>
      <w:r w:rsidR="00B36A49" w:rsidRPr="0042785D">
        <w:rPr>
          <w:snapToGrid w:val="0"/>
        </w:rPr>
        <w:t xml:space="preserve"> trzech </w:t>
      </w:r>
      <w:r w:rsidR="00CA2B42">
        <w:rPr>
          <w:snapToGrid w:val="0"/>
        </w:rPr>
        <w:t>funkcji</w:t>
      </w:r>
      <w:r w:rsidR="00B36A49" w:rsidRPr="0042785D">
        <w:rPr>
          <w:snapToGrid w:val="0"/>
        </w:rPr>
        <w:t>, a mianowicie pokrzywdzonego</w:t>
      </w:r>
      <w:r w:rsidR="003A0650">
        <w:rPr>
          <w:snapToGrid w:val="0"/>
        </w:rPr>
        <w:t xml:space="preserve"> </w:t>
      </w:r>
      <w:r w:rsidR="00CA2B42">
        <w:rPr>
          <w:snapToGrid w:val="0"/>
        </w:rPr>
        <w:t>zachowaniem</w:t>
      </w:r>
      <w:r w:rsidR="003A0650">
        <w:rPr>
          <w:snapToGrid w:val="0"/>
        </w:rPr>
        <w:t xml:space="preserve"> skarżącego</w:t>
      </w:r>
      <w:r w:rsidR="00B36A49" w:rsidRPr="0042785D">
        <w:rPr>
          <w:snapToGrid w:val="0"/>
        </w:rPr>
        <w:t>, oskarżyciela i sędziego.</w:t>
      </w:r>
    </w:p>
    <w:p w:rsidR="00B36A49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40</w:t>
      </w:r>
      <w:r>
        <w:rPr>
          <w:noProof/>
        </w:rPr>
        <w:fldChar w:fldCharType="end"/>
      </w:r>
      <w:r w:rsidR="00B36A49" w:rsidRPr="0042785D">
        <w:t xml:space="preserve">.  W pierwszej kolejności Rząd podniósł, że zasada równości broni nie powinna mieć zastosowania w niniejszej sprawie, bowiem nałożenie kary porządkowej w istocie nastąpiło </w:t>
      </w:r>
      <w:proofErr w:type="spellStart"/>
      <w:r w:rsidR="00B36A49" w:rsidRPr="0042785D">
        <w:rPr>
          <w:i/>
          <w:iCs/>
        </w:rPr>
        <w:t>proprio</w:t>
      </w:r>
      <w:proofErr w:type="spellEnd"/>
      <w:r w:rsidR="00B36A49" w:rsidRPr="0042785D">
        <w:rPr>
          <w:i/>
          <w:iCs/>
        </w:rPr>
        <w:t xml:space="preserve"> motu</w:t>
      </w:r>
      <w:r w:rsidR="00B36A49" w:rsidRPr="0042785D">
        <w:t xml:space="preserve">, bez </w:t>
      </w:r>
      <w:r w:rsidR="00CA2B42">
        <w:t>występowania jakichkolwiek</w:t>
      </w:r>
      <w:r w:rsidR="00B36A49" w:rsidRPr="0042785D">
        <w:t xml:space="preserve"> stron postępowania. Swoim zachowaniem nielicującym z</w:t>
      </w:r>
      <w:r w:rsidR="00D21E42">
        <w:t> </w:t>
      </w:r>
      <w:r w:rsidR="00B36A49" w:rsidRPr="0042785D">
        <w:t xml:space="preserve">powagą sądu skarżący zmusił sąd do wydania </w:t>
      </w:r>
      <w:r w:rsidR="00CA2B42">
        <w:t>przedmiotowego</w:t>
      </w:r>
      <w:r w:rsidR="00B36A49" w:rsidRPr="0042785D">
        <w:t xml:space="preserve"> orzeczenia w innej sali rozpraw i pod nieobecność skarżącego. Ponadto Rząd podniósł, że w dniu 19 stycznia 2012 r. skarżącemu doręczono kwestionowane orzeczenie sądu pierwszej instancji, w którym wskazano nałożoną na</w:t>
      </w:r>
      <w:r w:rsidR="00D21E42">
        <w:t> </w:t>
      </w:r>
      <w:r w:rsidR="00B36A49" w:rsidRPr="0042785D">
        <w:t xml:space="preserve">skarżącego karę </w:t>
      </w:r>
      <w:r w:rsidR="00CA2B42">
        <w:t>i jej</w:t>
      </w:r>
      <w:r w:rsidR="002F3AF4">
        <w:t> </w:t>
      </w:r>
      <w:r w:rsidR="00B36A49" w:rsidRPr="0042785D">
        <w:t>uzasadnienie, a</w:t>
      </w:r>
      <w:r w:rsidR="00F655B8" w:rsidRPr="0042785D">
        <w:t> </w:t>
      </w:r>
      <w:r w:rsidR="00B36A49" w:rsidRPr="0042785D">
        <w:t xml:space="preserve">następnie sprawa skarżącego została ponownie </w:t>
      </w:r>
      <w:r w:rsidR="00CA2B42">
        <w:t>rozpoznana</w:t>
      </w:r>
      <w:r w:rsidR="00B36A49" w:rsidRPr="0042785D">
        <w:t xml:space="preserve"> </w:t>
      </w:r>
      <w:r w:rsidR="00CA2B42">
        <w:t>co do meritum</w:t>
      </w:r>
      <w:r w:rsidR="00B36A49" w:rsidRPr="0042785D">
        <w:t xml:space="preserve"> przez sąd odwoławczy. Rząd odniósł się do reguły 80 (B) reguł procesowych i dowodowych wspólnych dla</w:t>
      </w:r>
      <w:r w:rsidR="00D21E42">
        <w:t> </w:t>
      </w:r>
      <w:r w:rsidR="00B36A49" w:rsidRPr="0042785D">
        <w:t>Międzynarodowych Trybunałów Karnych do spraw byłej Jugosławii i</w:t>
      </w:r>
      <w:r w:rsidR="002F3AF4">
        <w:t> </w:t>
      </w:r>
      <w:r w:rsidR="00B36A49" w:rsidRPr="0042785D">
        <w:t>Rwandy oraz do reguły 170 reguł procesowych i dowodowych Międzynarodowego Trybunału Karnego, które uprawniają sąd do</w:t>
      </w:r>
      <w:r w:rsidR="00D21E42">
        <w:t> </w:t>
      </w:r>
      <w:r w:rsidR="00B36A49" w:rsidRPr="0042785D">
        <w:t xml:space="preserve">zarządzenia wydalenia osoby </w:t>
      </w:r>
      <w:r w:rsidR="00CA2B42">
        <w:t>zakłócającej postępowanie</w:t>
      </w:r>
      <w:r w:rsidR="00B36A49" w:rsidRPr="0042785D">
        <w:t xml:space="preserve"> i do dalszego prowadzenia postępowania pod jej nieobecność.</w:t>
      </w:r>
    </w:p>
    <w:p w:rsidR="00B36A49" w:rsidRPr="0042785D" w:rsidRDefault="00FC14E4" w:rsidP="00E00528">
      <w:pPr>
        <w:pStyle w:val="ECHRPara"/>
        <w:rPr>
          <w:snapToGrid w:val="0"/>
          <w:spacing w:val="-2"/>
        </w:rPr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41</w:t>
      </w:r>
      <w:r>
        <w:rPr>
          <w:noProof/>
        </w:rPr>
        <w:fldChar w:fldCharType="end"/>
      </w:r>
      <w:r w:rsidR="00B36A49" w:rsidRPr="0042785D">
        <w:t>.  Po drugie Rząd stwierdził, że sąd, który ukarał skarżącego karą porządkową</w:t>
      </w:r>
      <w:r w:rsidR="005A6C33">
        <w:t xml:space="preserve"> za obrazę sądu</w:t>
      </w:r>
      <w:r w:rsidR="00B36A49" w:rsidRPr="0042785D">
        <w:t>, był bezstronny tak w ramach obiektywnego</w:t>
      </w:r>
      <w:r w:rsidR="00420C4F">
        <w:t>,</w:t>
      </w:r>
      <w:r w:rsidR="00B36A49" w:rsidRPr="0042785D">
        <w:t xml:space="preserve"> jak i</w:t>
      </w:r>
      <w:r w:rsidR="002F3AF4">
        <w:t> </w:t>
      </w:r>
      <w:r w:rsidR="00B36A49" w:rsidRPr="0042785D">
        <w:t xml:space="preserve">subiektywnego testu określonego w wyroku Wielkiej Izby wydanym </w:t>
      </w:r>
      <w:r w:rsidR="00B36A49" w:rsidRPr="0042785D">
        <w:lastRenderedPageBreak/>
        <w:t>w</w:t>
      </w:r>
      <w:r w:rsidR="002F3AF4">
        <w:t> </w:t>
      </w:r>
      <w:r w:rsidR="00B36A49" w:rsidRPr="0042785D">
        <w:t xml:space="preserve">sprawie </w:t>
      </w:r>
      <w:proofErr w:type="spellStart"/>
      <w:r w:rsidR="00B36A49" w:rsidRPr="0042785D">
        <w:rPr>
          <w:i/>
          <w:iCs/>
        </w:rPr>
        <w:t>Kyprianou</w:t>
      </w:r>
      <w:proofErr w:type="spellEnd"/>
      <w:r w:rsidR="00B36A49" w:rsidRPr="0042785D">
        <w:rPr>
          <w:i/>
          <w:iCs/>
        </w:rPr>
        <w:t xml:space="preserve"> przeciwko Cyprowi</w:t>
      </w:r>
      <w:r w:rsidR="00B36A49" w:rsidRPr="0042785D">
        <w:t xml:space="preserve"> (nr 73797/01, ETPCz 2005 -XIII). W tym zakresie Rząd utrzymywał, że w skład sądu wchodzili trzej sędziowie zawodowi, którzy nie </w:t>
      </w:r>
      <w:r w:rsidR="005A6C33">
        <w:t>byli</w:t>
      </w:r>
      <w:r w:rsidR="00B36A49" w:rsidRPr="0042785D">
        <w:t xml:space="preserve"> poddani </w:t>
      </w:r>
      <w:r w:rsidR="005A6C33">
        <w:t xml:space="preserve">jakiejkolwiek </w:t>
      </w:r>
      <w:r w:rsidR="00B36A49" w:rsidRPr="0042785D">
        <w:t xml:space="preserve">presji zewnętrznej, nie </w:t>
      </w:r>
      <w:r w:rsidR="005A6C33">
        <w:t>okazywali oznak uprzedzenia</w:t>
      </w:r>
      <w:r w:rsidR="00B36A49" w:rsidRPr="0042785D">
        <w:t xml:space="preserve"> wobec skarżącego ani nie mieli </w:t>
      </w:r>
      <w:r w:rsidR="005A6C33">
        <w:t xml:space="preserve">żadnego </w:t>
      </w:r>
      <w:r w:rsidR="00B36A49" w:rsidRPr="0042785D">
        <w:t>szczególnego interesu w</w:t>
      </w:r>
      <w:r w:rsidR="002F3AF4">
        <w:t> </w:t>
      </w:r>
      <w:r w:rsidR="00B36A49" w:rsidRPr="0042785D">
        <w:t xml:space="preserve">ukaraniu go. Rząd podkreślił również, że – odmiennie niż w sprawie </w:t>
      </w:r>
      <w:r w:rsidR="00B36A49" w:rsidRPr="0042785D">
        <w:rPr>
          <w:i/>
          <w:iCs/>
        </w:rPr>
        <w:t>Mariusz Lewandowski przeciwko Polsce</w:t>
      </w:r>
      <w:r w:rsidR="00B36A49" w:rsidRPr="0042785D">
        <w:t xml:space="preserve"> (nr 66484/09, </w:t>
      </w:r>
      <w:r w:rsidR="00B36A49" w:rsidRPr="0042785D">
        <w:rPr>
          <w:snapToGrid w:val="0"/>
        </w:rPr>
        <w:t>3 lipca 2012 r.) – sędziowie nie byli zobowiązani do</w:t>
      </w:r>
      <w:r w:rsidR="00D21E42">
        <w:rPr>
          <w:snapToGrid w:val="0"/>
        </w:rPr>
        <w:t> </w:t>
      </w:r>
      <w:r w:rsidR="00B36A49" w:rsidRPr="0042785D">
        <w:rPr>
          <w:snapToGrid w:val="0"/>
        </w:rPr>
        <w:t>oceny wypowiedzi skarżącego w</w:t>
      </w:r>
      <w:r w:rsidR="002F3AF4">
        <w:rPr>
          <w:snapToGrid w:val="0"/>
        </w:rPr>
        <w:t> </w:t>
      </w:r>
      <w:r w:rsidR="00B36A49" w:rsidRPr="0042785D">
        <w:rPr>
          <w:snapToGrid w:val="0"/>
        </w:rPr>
        <w:t>zakresie, w jakim mogłyby one znieważać ich osobiście, lecz wyłącznie w zakresie, w jakim dotyczyły one sądu jako instytucji</w:t>
      </w:r>
      <w:r w:rsidR="00B36A49" w:rsidRPr="0042785D">
        <w:t>.</w:t>
      </w:r>
      <w:r w:rsidR="00B36A49" w:rsidRPr="0042785D">
        <w:rPr>
          <w:snapToGrid w:val="0"/>
        </w:rPr>
        <w:t xml:space="preserve"> W każdym razie sąd przede wszystkim analizował, czy swoim zachowaniem skarżący faktycznie zakłócił przebieg postępowania.</w:t>
      </w:r>
    </w:p>
    <w:p w:rsidR="00B36A49" w:rsidRPr="0042785D" w:rsidRDefault="00B36A49" w:rsidP="00E00528">
      <w:pPr>
        <w:pStyle w:val="ECHRHeading3"/>
        <w:rPr>
          <w:snapToGrid w:val="0"/>
        </w:rPr>
      </w:pPr>
      <w:r w:rsidRPr="0042785D">
        <w:rPr>
          <w:snapToGrid w:val="0"/>
        </w:rPr>
        <w:t>1.  Ogólne zasady</w:t>
      </w:r>
    </w:p>
    <w:p w:rsidR="00B36A49" w:rsidRPr="0042785D" w:rsidRDefault="00FC14E4" w:rsidP="00E00528">
      <w:pPr>
        <w:pStyle w:val="ECHRPara"/>
      </w:pPr>
      <w:r w:rsidRPr="0042785D">
        <w:rPr>
          <w:snapToGrid w:val="0"/>
        </w:rPr>
        <w:fldChar w:fldCharType="begin"/>
      </w:r>
      <w:r w:rsidR="00B36A49" w:rsidRPr="0042785D">
        <w:rPr>
          <w:snapToGrid w:val="0"/>
        </w:rPr>
        <w:instrText xml:space="preserve"> SEQ level0 \*arabic </w:instrText>
      </w:r>
      <w:r w:rsidRPr="0042785D">
        <w:rPr>
          <w:snapToGrid w:val="0"/>
        </w:rPr>
        <w:fldChar w:fldCharType="separate"/>
      </w:r>
      <w:r w:rsidR="00E00528" w:rsidRPr="0042785D">
        <w:rPr>
          <w:noProof/>
          <w:snapToGrid w:val="0"/>
        </w:rPr>
        <w:t>42</w:t>
      </w:r>
      <w:r w:rsidRPr="0042785D">
        <w:rPr>
          <w:snapToGrid w:val="0"/>
        </w:rPr>
        <w:fldChar w:fldCharType="end"/>
      </w:r>
      <w:r w:rsidR="00B36A49" w:rsidRPr="0042785D">
        <w:rPr>
          <w:snapToGrid w:val="0"/>
        </w:rPr>
        <w:t xml:space="preserve">.  Ogólne zasady oceny wywiązania się z obowiązku zapewnienia rozpoznania sprawy przez bezstronny sąd </w:t>
      </w:r>
      <w:r w:rsidR="007D265A">
        <w:rPr>
          <w:snapToGrid w:val="0"/>
        </w:rPr>
        <w:t>zostały określone</w:t>
      </w:r>
      <w:r w:rsidR="00B36A49" w:rsidRPr="0042785D">
        <w:rPr>
          <w:snapToGrid w:val="0"/>
        </w:rPr>
        <w:t xml:space="preserve"> w wyroku Wielkiej Izby w sprawie </w:t>
      </w:r>
      <w:proofErr w:type="spellStart"/>
      <w:r w:rsidR="00B36A49" w:rsidRPr="0042785D">
        <w:rPr>
          <w:i/>
          <w:iCs/>
          <w:snapToGrid w:val="0"/>
        </w:rPr>
        <w:t>Kyprianou</w:t>
      </w:r>
      <w:proofErr w:type="spellEnd"/>
      <w:r w:rsidR="00B36A49" w:rsidRPr="0042785D">
        <w:rPr>
          <w:snapToGrid w:val="0"/>
        </w:rPr>
        <w:t xml:space="preserve"> (</w:t>
      </w:r>
      <w:r w:rsidR="00B36A49" w:rsidRPr="0042785D">
        <w:rPr>
          <w:i/>
          <w:iCs/>
          <w:snapToGrid w:val="0"/>
        </w:rPr>
        <w:t>op. cit.</w:t>
      </w:r>
      <w:r w:rsidR="00B36A49" w:rsidRPr="0042785D">
        <w:rPr>
          <w:snapToGrid w:val="0"/>
        </w:rPr>
        <w:t>, §§ 118</w:t>
      </w:r>
      <w:r w:rsidR="00B36A49" w:rsidRPr="0042785D">
        <w:rPr>
          <w:snapToGrid w:val="0"/>
        </w:rPr>
        <w:noBreakHyphen/>
        <w:t>21) oraz w wyroku w</w:t>
      </w:r>
      <w:r w:rsidR="00D21E42">
        <w:rPr>
          <w:snapToGrid w:val="0"/>
        </w:rPr>
        <w:t> </w:t>
      </w:r>
      <w:r w:rsidR="00B36A49" w:rsidRPr="0042785D">
        <w:rPr>
          <w:snapToGrid w:val="0"/>
        </w:rPr>
        <w:t xml:space="preserve">sprawie </w:t>
      </w:r>
      <w:r w:rsidR="00B36A49" w:rsidRPr="0042785D">
        <w:rPr>
          <w:i/>
          <w:iCs/>
          <w:snapToGrid w:val="0"/>
        </w:rPr>
        <w:t>Mariusza</w:t>
      </w:r>
      <w:r w:rsidR="00B36A49" w:rsidRPr="0042785D">
        <w:rPr>
          <w:i/>
          <w:iCs/>
        </w:rPr>
        <w:t xml:space="preserve"> Lewandowskiego</w:t>
      </w:r>
      <w:r w:rsidR="00B36A49" w:rsidRPr="0042785D">
        <w:t xml:space="preserve"> (</w:t>
      </w:r>
      <w:r w:rsidR="00B36A49" w:rsidRPr="0042785D">
        <w:rPr>
          <w:i/>
          <w:iCs/>
        </w:rPr>
        <w:t>op. cit.</w:t>
      </w:r>
      <w:r w:rsidR="00B36A49" w:rsidRPr="0042785D">
        <w:t>, §§ 41</w:t>
      </w:r>
      <w:r w:rsidR="00B36A49" w:rsidRPr="0042785D">
        <w:noBreakHyphen/>
        <w:t>44).</w:t>
      </w:r>
    </w:p>
    <w:p w:rsidR="00B36A49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43</w:t>
      </w:r>
      <w:r>
        <w:rPr>
          <w:noProof/>
        </w:rPr>
        <w:fldChar w:fldCharType="end"/>
      </w:r>
      <w:r w:rsidR="00B36A49" w:rsidRPr="0042785D">
        <w:t>.  Ponadto Trybunał zauważył, że postępowanie prowadzone pod</w:t>
      </w:r>
      <w:r w:rsidR="00D21E42">
        <w:t> </w:t>
      </w:r>
      <w:r w:rsidR="00B36A49" w:rsidRPr="0042785D">
        <w:t xml:space="preserve">nieobecność oskarżonego nie jest co do zasady niezgodne z Konwencją, jeżeli zainteresowana osoba może następnie doprowadzić do tego, aby sąd, po jej wysłuchaniu, ponownie rozstrzygnął </w:t>
      </w:r>
      <w:r w:rsidR="007D265A">
        <w:t>co do meritum oskarżenia</w:t>
      </w:r>
      <w:r w:rsidR="00B36A49" w:rsidRPr="0042785D">
        <w:t>, tak</w:t>
      </w:r>
      <w:r w:rsidR="00D21E42">
        <w:t> </w:t>
      </w:r>
      <w:r w:rsidR="00B36A49" w:rsidRPr="0042785D">
        <w:t>pod względem prawnym</w:t>
      </w:r>
      <w:r w:rsidR="00420C4F">
        <w:t>,</w:t>
      </w:r>
      <w:r w:rsidR="00B36A49" w:rsidRPr="0042785D">
        <w:t xml:space="preserve"> jak i faktycznym (zob. </w:t>
      </w:r>
      <w:proofErr w:type="spellStart"/>
      <w:r w:rsidR="00B36A49" w:rsidRPr="0042785D">
        <w:rPr>
          <w:i/>
          <w:iCs/>
        </w:rPr>
        <w:t>Poitrimol</w:t>
      </w:r>
      <w:proofErr w:type="spellEnd"/>
      <w:r w:rsidR="00B36A49" w:rsidRPr="0042785D">
        <w:rPr>
          <w:i/>
          <w:iCs/>
        </w:rPr>
        <w:t xml:space="preserve"> przeciwko Francji</w:t>
      </w:r>
      <w:r w:rsidR="00B36A49" w:rsidRPr="0042785D">
        <w:t>, 23 listopada 1993 r., § 31, Seria A nr 277</w:t>
      </w:r>
      <w:r w:rsidR="00B36A49" w:rsidRPr="0042785D">
        <w:noBreakHyphen/>
        <w:t>A).</w:t>
      </w:r>
    </w:p>
    <w:p w:rsidR="00B36A49" w:rsidRPr="0042785D" w:rsidRDefault="00B36A49" w:rsidP="00E00528">
      <w:pPr>
        <w:pStyle w:val="ECHRHeading3"/>
      </w:pPr>
      <w:r w:rsidRPr="0042785D">
        <w:t>2.  Zastosowanie tych zasad w niniejszej sprawie</w:t>
      </w:r>
    </w:p>
    <w:p w:rsidR="00C471F8" w:rsidRPr="0042785D" w:rsidRDefault="00FC14E4" w:rsidP="00E00528">
      <w:pPr>
        <w:pStyle w:val="ECHRPara"/>
        <w:rPr>
          <w:snapToGrid w:val="0"/>
        </w:rPr>
      </w:pPr>
      <w:r w:rsidRPr="0042785D">
        <w:rPr>
          <w:snapToGrid w:val="0"/>
        </w:rPr>
        <w:fldChar w:fldCharType="begin"/>
      </w:r>
      <w:r w:rsidR="00B36A49" w:rsidRPr="0042785D">
        <w:rPr>
          <w:snapToGrid w:val="0"/>
        </w:rPr>
        <w:instrText xml:space="preserve"> SEQ level0 \*arabic </w:instrText>
      </w:r>
      <w:r w:rsidRPr="0042785D">
        <w:rPr>
          <w:snapToGrid w:val="0"/>
        </w:rPr>
        <w:fldChar w:fldCharType="separate"/>
      </w:r>
      <w:r w:rsidR="00E00528" w:rsidRPr="0042785D">
        <w:rPr>
          <w:noProof/>
          <w:snapToGrid w:val="0"/>
        </w:rPr>
        <w:t>44</w:t>
      </w:r>
      <w:r w:rsidRPr="0042785D">
        <w:rPr>
          <w:snapToGrid w:val="0"/>
        </w:rPr>
        <w:fldChar w:fldCharType="end"/>
      </w:r>
      <w:r w:rsidR="00B36A49" w:rsidRPr="0042785D">
        <w:rPr>
          <w:snapToGrid w:val="0"/>
        </w:rPr>
        <w:t>.  Wracając na grunt niniejszej sprawy Trybunał zauważa, że</w:t>
      </w:r>
      <w:r w:rsidR="002F3AF4">
        <w:rPr>
          <w:snapToGrid w:val="0"/>
        </w:rPr>
        <w:t> </w:t>
      </w:r>
      <w:r w:rsidR="00B36A49" w:rsidRPr="0042785D">
        <w:rPr>
          <w:snapToGrid w:val="0"/>
        </w:rPr>
        <w:t>postanowienie nakładające na skarżącego karę pozbawienia wolności spowodowane było protestem skarżącego, który można postrzegać – w</w:t>
      </w:r>
      <w:r w:rsidR="0042785D" w:rsidRPr="0042785D">
        <w:rPr>
          <w:snapToGrid w:val="0"/>
        </w:rPr>
        <w:t> </w:t>
      </w:r>
      <w:r w:rsidR="00B36A49" w:rsidRPr="0042785D">
        <w:rPr>
          <w:snapToGrid w:val="0"/>
        </w:rPr>
        <w:t xml:space="preserve">świetle jego formy i treści – jako ogólne </w:t>
      </w:r>
      <w:r w:rsidR="00514571" w:rsidRPr="00D5364D">
        <w:rPr>
          <w:snapToGrid w:val="0"/>
        </w:rPr>
        <w:t>kwestionowanie</w:t>
      </w:r>
      <w:r w:rsidR="00B36A49" w:rsidRPr="00D5364D">
        <w:rPr>
          <w:snapToGrid w:val="0"/>
        </w:rPr>
        <w:t xml:space="preserve"> </w:t>
      </w:r>
      <w:r w:rsidR="008258CD" w:rsidRPr="00D5364D">
        <w:rPr>
          <w:snapToGrid w:val="0"/>
        </w:rPr>
        <w:t>powagi</w:t>
      </w:r>
      <w:r w:rsidR="00514571" w:rsidRPr="00D5364D">
        <w:rPr>
          <w:snapToGrid w:val="0"/>
        </w:rPr>
        <w:t xml:space="preserve"> </w:t>
      </w:r>
      <w:r w:rsidR="00B36A49" w:rsidRPr="00D5364D">
        <w:rPr>
          <w:snapToGrid w:val="0"/>
        </w:rPr>
        <w:t>władzy sądowej oraz – w świetle jego kontekstu</w:t>
      </w:r>
      <w:r w:rsidR="00B36A49" w:rsidRPr="0042785D">
        <w:rPr>
          <w:snapToGrid w:val="0"/>
        </w:rPr>
        <w:t xml:space="preserve"> – jako krytykę </w:t>
      </w:r>
      <w:r w:rsidR="00C25F2A">
        <w:rPr>
          <w:snapToGrid w:val="0"/>
        </w:rPr>
        <w:t>różnych</w:t>
      </w:r>
      <w:r w:rsidR="00B36A49" w:rsidRPr="0042785D">
        <w:rPr>
          <w:snapToGrid w:val="0"/>
        </w:rPr>
        <w:t xml:space="preserve"> elementów organizacji i przebiegu procesu karnego. W szczególności skarżącego ukarano za błyskawiczne przemieszczenie się </w:t>
      </w:r>
      <w:r w:rsidR="00C25F2A">
        <w:rPr>
          <w:snapToGrid w:val="0"/>
        </w:rPr>
        <w:t>do części sali rozpraw za ławą</w:t>
      </w:r>
      <w:r w:rsidR="00B36A49" w:rsidRPr="0042785D">
        <w:rPr>
          <w:snapToGrid w:val="0"/>
        </w:rPr>
        <w:t xml:space="preserve"> sędziowską</w:t>
      </w:r>
      <w:r w:rsidR="00C25F2A">
        <w:rPr>
          <w:snapToGrid w:val="0"/>
        </w:rPr>
        <w:t xml:space="preserve"> z okrzykiem</w:t>
      </w:r>
      <w:r w:rsidR="00B36A49" w:rsidRPr="0042785D">
        <w:rPr>
          <w:snapToGrid w:val="0"/>
        </w:rPr>
        <w:t>: „Tutaj trwa kpina z wymiaru sprawiedliwości!” (zob. paragraf 11 powyżej). Skarżący nie użył żadnych obraźliwych ani uwłaczających słów.</w:t>
      </w:r>
    </w:p>
    <w:p w:rsidR="00B36A49" w:rsidRPr="0042785D" w:rsidRDefault="00FC14E4" w:rsidP="00E00528">
      <w:pPr>
        <w:pStyle w:val="ECHRPara"/>
        <w:rPr>
          <w:snapToGrid w:val="0"/>
        </w:rPr>
      </w:pPr>
      <w:r w:rsidRPr="0042785D">
        <w:rPr>
          <w:snapToGrid w:val="0"/>
        </w:rPr>
        <w:fldChar w:fldCharType="begin"/>
      </w:r>
      <w:r w:rsidR="00C471F8" w:rsidRPr="0042785D">
        <w:rPr>
          <w:snapToGrid w:val="0"/>
        </w:rPr>
        <w:instrText xml:space="preserve"> SEQ level0 \*arabic </w:instrText>
      </w:r>
      <w:r w:rsidRPr="0042785D">
        <w:rPr>
          <w:snapToGrid w:val="0"/>
        </w:rPr>
        <w:fldChar w:fldCharType="separate"/>
      </w:r>
      <w:r w:rsidR="00E00528" w:rsidRPr="0042785D">
        <w:rPr>
          <w:noProof/>
          <w:snapToGrid w:val="0"/>
        </w:rPr>
        <w:t>45</w:t>
      </w:r>
      <w:r w:rsidRPr="0042785D">
        <w:rPr>
          <w:snapToGrid w:val="0"/>
        </w:rPr>
        <w:fldChar w:fldCharType="end"/>
      </w:r>
      <w:r w:rsidR="00C471F8" w:rsidRPr="0042785D">
        <w:rPr>
          <w:snapToGrid w:val="0"/>
        </w:rPr>
        <w:t xml:space="preserve">.  W świetle powyższego Trybunał stwierdza, że sędziowie prowadzący </w:t>
      </w:r>
      <w:r w:rsidR="00C25F2A">
        <w:rPr>
          <w:snapToGrid w:val="0"/>
        </w:rPr>
        <w:t>przedmiotowe</w:t>
      </w:r>
      <w:r w:rsidR="00C471F8" w:rsidRPr="0042785D">
        <w:rPr>
          <w:snapToGrid w:val="0"/>
        </w:rPr>
        <w:t xml:space="preserve"> postępowanie mogli być uważani za </w:t>
      </w:r>
      <w:r w:rsidR="00514571">
        <w:rPr>
          <w:snapToGrid w:val="0"/>
        </w:rPr>
        <w:t>obiekt</w:t>
      </w:r>
      <w:r w:rsidR="00C471F8" w:rsidRPr="0042785D">
        <w:rPr>
          <w:snapToGrid w:val="0"/>
        </w:rPr>
        <w:t xml:space="preserve"> zamachu skarżącego, chociaż nie bezpośrednio czy osobiście, lecz raczej jako instytucja oraz </w:t>
      </w:r>
      <w:r w:rsidR="00514571">
        <w:rPr>
          <w:snapToGrid w:val="0"/>
        </w:rPr>
        <w:t>w zakresie, w jakim sugerowano,</w:t>
      </w:r>
      <w:r w:rsidR="00C471F8" w:rsidRPr="0042785D">
        <w:rPr>
          <w:snapToGrid w:val="0"/>
        </w:rPr>
        <w:t xml:space="preserve"> że ich rozstrzygnięcie podważ</w:t>
      </w:r>
      <w:r w:rsidR="00C25F2A">
        <w:rPr>
          <w:snapToGrid w:val="0"/>
        </w:rPr>
        <w:t>a</w:t>
      </w:r>
      <w:r w:rsidR="00C471F8" w:rsidRPr="0042785D">
        <w:rPr>
          <w:snapToGrid w:val="0"/>
        </w:rPr>
        <w:t xml:space="preserve">ło </w:t>
      </w:r>
      <w:r w:rsidR="00C25F2A">
        <w:rPr>
          <w:snapToGrid w:val="0"/>
        </w:rPr>
        <w:t>powszechnie pojmowane</w:t>
      </w:r>
      <w:r w:rsidR="00C471F8" w:rsidRPr="0042785D">
        <w:rPr>
          <w:snapToGrid w:val="0"/>
        </w:rPr>
        <w:t xml:space="preserve"> poczucie sprawiedliwości (por.</w:t>
      </w:r>
      <w:r w:rsidR="00D21E42">
        <w:rPr>
          <w:snapToGrid w:val="0"/>
        </w:rPr>
        <w:t> </w:t>
      </w:r>
      <w:r w:rsidR="00C471F8" w:rsidRPr="0042785D">
        <w:rPr>
          <w:i/>
          <w:iCs/>
          <w:snapToGrid w:val="0"/>
        </w:rPr>
        <w:t>Mariusz Lewandowski</w:t>
      </w:r>
      <w:r w:rsidR="00C471F8" w:rsidRPr="0042785D">
        <w:rPr>
          <w:snapToGrid w:val="0"/>
        </w:rPr>
        <w:t>,</w:t>
      </w:r>
      <w:r w:rsidR="00C471F8" w:rsidRPr="0042785D">
        <w:rPr>
          <w:i/>
          <w:iCs/>
          <w:snapToGrid w:val="0"/>
        </w:rPr>
        <w:t xml:space="preserve"> </w:t>
      </w:r>
      <w:r w:rsidR="00C25F2A" w:rsidRPr="00C25F2A">
        <w:rPr>
          <w:iCs/>
          <w:snapToGrid w:val="0"/>
        </w:rPr>
        <w:t>cyt. wyżej</w:t>
      </w:r>
      <w:r w:rsidR="00C471F8" w:rsidRPr="00C25F2A">
        <w:rPr>
          <w:snapToGrid w:val="0"/>
        </w:rPr>
        <w:t>,</w:t>
      </w:r>
      <w:r w:rsidR="00C471F8" w:rsidRPr="0042785D">
        <w:rPr>
          <w:snapToGrid w:val="0"/>
        </w:rPr>
        <w:t xml:space="preserve"> §§ 8 i 45 oraz </w:t>
      </w:r>
      <w:proofErr w:type="spellStart"/>
      <w:r w:rsidR="00C471F8" w:rsidRPr="0042785D">
        <w:rPr>
          <w:i/>
          <w:iCs/>
          <w:snapToGrid w:val="0"/>
        </w:rPr>
        <w:t>Kyprianou</w:t>
      </w:r>
      <w:proofErr w:type="spellEnd"/>
      <w:r w:rsidR="00C471F8" w:rsidRPr="00C25F2A">
        <w:rPr>
          <w:snapToGrid w:val="0"/>
        </w:rPr>
        <w:t xml:space="preserve">, </w:t>
      </w:r>
      <w:r w:rsidR="00C25F2A" w:rsidRPr="00C25F2A">
        <w:rPr>
          <w:iCs/>
          <w:snapToGrid w:val="0"/>
        </w:rPr>
        <w:t>cyt.</w:t>
      </w:r>
      <w:r w:rsidR="00D21E42">
        <w:rPr>
          <w:iCs/>
          <w:snapToGrid w:val="0"/>
        </w:rPr>
        <w:t> </w:t>
      </w:r>
      <w:r w:rsidR="00C25F2A" w:rsidRPr="00C25F2A">
        <w:rPr>
          <w:iCs/>
          <w:snapToGrid w:val="0"/>
        </w:rPr>
        <w:t>wyżej</w:t>
      </w:r>
      <w:r w:rsidR="00C471F8" w:rsidRPr="0042785D">
        <w:rPr>
          <w:snapToGrid w:val="0"/>
        </w:rPr>
        <w:t>, §§ 17 i</w:t>
      </w:r>
      <w:r w:rsidR="002F3AF4">
        <w:rPr>
          <w:snapToGrid w:val="0"/>
        </w:rPr>
        <w:t> </w:t>
      </w:r>
      <w:r w:rsidR="00C471F8" w:rsidRPr="0042785D">
        <w:rPr>
          <w:snapToGrid w:val="0"/>
        </w:rPr>
        <w:t>127).</w:t>
      </w:r>
    </w:p>
    <w:p w:rsidR="007C33D5" w:rsidRPr="0042785D" w:rsidRDefault="00FC14E4" w:rsidP="00E00528">
      <w:pPr>
        <w:pStyle w:val="ECHRPara"/>
        <w:rPr>
          <w:snapToGrid w:val="0"/>
        </w:rPr>
      </w:pPr>
      <w:r w:rsidRPr="0042785D">
        <w:rPr>
          <w:snapToGrid w:val="0"/>
        </w:rPr>
        <w:lastRenderedPageBreak/>
        <w:fldChar w:fldCharType="begin"/>
      </w:r>
      <w:r w:rsidR="00B36A49" w:rsidRPr="0042785D">
        <w:rPr>
          <w:snapToGrid w:val="0"/>
        </w:rPr>
        <w:instrText xml:space="preserve"> SEQ level0 \*arabic </w:instrText>
      </w:r>
      <w:r w:rsidRPr="0042785D">
        <w:rPr>
          <w:snapToGrid w:val="0"/>
        </w:rPr>
        <w:fldChar w:fldCharType="separate"/>
      </w:r>
      <w:r w:rsidR="00E00528" w:rsidRPr="0042785D">
        <w:rPr>
          <w:noProof/>
          <w:snapToGrid w:val="0"/>
        </w:rPr>
        <w:t>46</w:t>
      </w:r>
      <w:r w:rsidRPr="0042785D">
        <w:rPr>
          <w:snapToGrid w:val="0"/>
        </w:rPr>
        <w:fldChar w:fldCharType="end"/>
      </w:r>
      <w:r w:rsidR="00B36A49" w:rsidRPr="0042785D">
        <w:rPr>
          <w:snapToGrid w:val="0"/>
        </w:rPr>
        <w:t>.  W przedmiotowej sprawie sąd orzekał w składzie trzech sędziów (w</w:t>
      </w:r>
      <w:r w:rsidR="002F3AF4">
        <w:rPr>
          <w:snapToGrid w:val="0"/>
        </w:rPr>
        <w:t> </w:t>
      </w:r>
      <w:r w:rsidR="00B36A49" w:rsidRPr="0042785D">
        <w:rPr>
          <w:snapToGrid w:val="0"/>
        </w:rPr>
        <w:t xml:space="preserve">przeciwieństwie do sprawy </w:t>
      </w:r>
      <w:r w:rsidR="00B36A49" w:rsidRPr="0035466C">
        <w:rPr>
          <w:i/>
          <w:snapToGrid w:val="0"/>
        </w:rPr>
        <w:t>Mariusza Lewandowskiego</w:t>
      </w:r>
      <w:r w:rsidR="00B36A49" w:rsidRPr="0042785D">
        <w:rPr>
          <w:snapToGrid w:val="0"/>
        </w:rPr>
        <w:t xml:space="preserve">, </w:t>
      </w:r>
      <w:r w:rsidR="0035466C" w:rsidRPr="0035466C">
        <w:rPr>
          <w:iCs/>
          <w:snapToGrid w:val="0"/>
        </w:rPr>
        <w:t>cyt. wyżej</w:t>
      </w:r>
      <w:r w:rsidR="0035466C">
        <w:rPr>
          <w:i/>
          <w:iCs/>
          <w:snapToGrid w:val="0"/>
        </w:rPr>
        <w:t>,</w:t>
      </w:r>
      <w:r w:rsidR="00B36A49" w:rsidRPr="0042785D">
        <w:rPr>
          <w:snapToGrid w:val="0"/>
        </w:rPr>
        <w:t xml:space="preserve"> § 10, w</w:t>
      </w:r>
      <w:r w:rsidR="0042785D">
        <w:rPr>
          <w:snapToGrid w:val="0"/>
        </w:rPr>
        <w:t> </w:t>
      </w:r>
      <w:r w:rsidR="00B36A49" w:rsidRPr="0042785D">
        <w:rPr>
          <w:snapToGrid w:val="0"/>
        </w:rPr>
        <w:t xml:space="preserve">której sąd orzekał w składzie jednoosobowym, </w:t>
      </w:r>
      <w:r w:rsidR="0035466C">
        <w:rPr>
          <w:snapToGrid w:val="0"/>
        </w:rPr>
        <w:t>ale</w:t>
      </w:r>
      <w:r w:rsidR="00B36A49" w:rsidRPr="0042785D">
        <w:rPr>
          <w:snapToGrid w:val="0"/>
        </w:rPr>
        <w:t xml:space="preserve"> podobnie do sprawy </w:t>
      </w:r>
      <w:proofErr w:type="spellStart"/>
      <w:r w:rsidR="00B36A49" w:rsidRPr="0042785D">
        <w:rPr>
          <w:i/>
          <w:iCs/>
          <w:snapToGrid w:val="0"/>
        </w:rPr>
        <w:t>Kyprianou</w:t>
      </w:r>
      <w:proofErr w:type="spellEnd"/>
      <w:r w:rsidR="00B36A49" w:rsidRPr="0042785D">
        <w:rPr>
          <w:snapToGrid w:val="0"/>
        </w:rPr>
        <w:t xml:space="preserve">, </w:t>
      </w:r>
      <w:r w:rsidR="0035466C">
        <w:rPr>
          <w:iCs/>
          <w:snapToGrid w:val="0"/>
        </w:rPr>
        <w:t>cyt. wyżej,</w:t>
      </w:r>
      <w:r w:rsidR="00B36A49" w:rsidRPr="0042785D">
        <w:t xml:space="preserve"> </w:t>
      </w:r>
      <w:r w:rsidR="00B36A49" w:rsidRPr="0042785D">
        <w:rPr>
          <w:snapToGrid w:val="0"/>
        </w:rPr>
        <w:t>§ 18, w której sąd orzekał w składzie wieloosobowym). Nie</w:t>
      </w:r>
      <w:r w:rsidR="0035466C">
        <w:rPr>
          <w:snapToGrid w:val="0"/>
        </w:rPr>
        <w:t>zależnie od powyższego,</w:t>
      </w:r>
      <w:r w:rsidR="00B36A49" w:rsidRPr="0042785D">
        <w:rPr>
          <w:snapToGrid w:val="0"/>
        </w:rPr>
        <w:t xml:space="preserve"> </w:t>
      </w:r>
      <w:r w:rsidR="0035466C">
        <w:rPr>
          <w:snapToGrid w:val="0"/>
        </w:rPr>
        <w:t xml:space="preserve">faktem jest, </w:t>
      </w:r>
      <w:r w:rsidR="00B36A49" w:rsidRPr="0042785D">
        <w:rPr>
          <w:snapToGrid w:val="0"/>
        </w:rPr>
        <w:t>że</w:t>
      </w:r>
      <w:r w:rsidR="00D21E42">
        <w:rPr>
          <w:snapToGrid w:val="0"/>
        </w:rPr>
        <w:t> </w:t>
      </w:r>
      <w:r w:rsidR="00B36A49" w:rsidRPr="0042785D">
        <w:rPr>
          <w:snapToGrid w:val="0"/>
        </w:rPr>
        <w:t>nie</w:t>
      </w:r>
      <w:r w:rsidR="00D21E42">
        <w:rPr>
          <w:snapToGrid w:val="0"/>
        </w:rPr>
        <w:t> </w:t>
      </w:r>
      <w:r w:rsidR="00B36A49" w:rsidRPr="0042785D">
        <w:rPr>
          <w:snapToGrid w:val="0"/>
        </w:rPr>
        <w:t>przeprowadzono odrębnego postępowania przed innym składem, który miałby zdecydować o odpowiedzialności skarżącego za jego zachowanie (zob.,</w:t>
      </w:r>
      <w:r w:rsidR="00B36A49" w:rsidRPr="0042785D">
        <w:rPr>
          <w:i/>
          <w:iCs/>
          <w:snapToGrid w:val="0"/>
        </w:rPr>
        <w:t xml:space="preserve"> mutatis mutandis</w:t>
      </w:r>
      <w:r w:rsidR="00B36A49" w:rsidRPr="0042785D">
        <w:rPr>
          <w:snapToGrid w:val="0"/>
        </w:rPr>
        <w:t xml:space="preserve">, </w:t>
      </w:r>
      <w:r w:rsidR="00B36A49" w:rsidRPr="0042785D">
        <w:rPr>
          <w:i/>
          <w:iCs/>
          <w:snapToGrid w:val="0"/>
        </w:rPr>
        <w:t>Mariusz Lewandowski</w:t>
      </w:r>
      <w:r w:rsidR="00B36A49" w:rsidRPr="0042785D">
        <w:rPr>
          <w:snapToGrid w:val="0"/>
        </w:rPr>
        <w:t xml:space="preserve">, </w:t>
      </w:r>
      <w:r w:rsidR="003C248E" w:rsidRPr="003C248E">
        <w:rPr>
          <w:iCs/>
          <w:snapToGrid w:val="0"/>
        </w:rPr>
        <w:t>cyt. powyżej,</w:t>
      </w:r>
      <w:r w:rsidR="00B36A49" w:rsidRPr="0042785D">
        <w:t xml:space="preserve"> §</w:t>
      </w:r>
      <w:r w:rsidR="00D21E42">
        <w:rPr>
          <w:snapToGrid w:val="0"/>
        </w:rPr>
        <w:t> </w:t>
      </w:r>
      <w:r w:rsidR="00B36A49" w:rsidRPr="0042785D">
        <w:rPr>
          <w:snapToGrid w:val="0"/>
        </w:rPr>
        <w:t xml:space="preserve">46 oraz </w:t>
      </w:r>
      <w:proofErr w:type="spellStart"/>
      <w:r w:rsidR="00B36A49" w:rsidRPr="0042785D">
        <w:rPr>
          <w:i/>
          <w:iCs/>
          <w:snapToGrid w:val="0"/>
        </w:rPr>
        <w:t>Kyprianou</w:t>
      </w:r>
      <w:proofErr w:type="spellEnd"/>
      <w:r w:rsidR="00B36A49" w:rsidRPr="0042785D">
        <w:rPr>
          <w:snapToGrid w:val="0"/>
        </w:rPr>
        <w:t xml:space="preserve">, </w:t>
      </w:r>
      <w:r w:rsidR="003C248E">
        <w:rPr>
          <w:i/>
          <w:iCs/>
          <w:snapToGrid w:val="0"/>
        </w:rPr>
        <w:t>cyt. powyżej,</w:t>
      </w:r>
      <w:r w:rsidR="00B36A49" w:rsidRPr="0042785D">
        <w:rPr>
          <w:snapToGrid w:val="0"/>
        </w:rPr>
        <w:t xml:space="preserve"> § 127).</w:t>
      </w:r>
    </w:p>
    <w:p w:rsidR="00B36A49" w:rsidRPr="0042785D" w:rsidRDefault="00FC14E4" w:rsidP="00E00528">
      <w:pPr>
        <w:pStyle w:val="ECHRPara"/>
        <w:rPr>
          <w:snapToGrid w:val="0"/>
        </w:rPr>
      </w:pPr>
      <w:r w:rsidRPr="0042785D">
        <w:rPr>
          <w:snapToGrid w:val="0"/>
        </w:rPr>
        <w:fldChar w:fldCharType="begin"/>
      </w:r>
      <w:r w:rsidR="00B36A49" w:rsidRPr="0042785D">
        <w:rPr>
          <w:snapToGrid w:val="0"/>
        </w:rPr>
        <w:instrText xml:space="preserve"> SEQ level0 \*arabic </w:instrText>
      </w:r>
      <w:r w:rsidRPr="0042785D">
        <w:rPr>
          <w:snapToGrid w:val="0"/>
        </w:rPr>
        <w:fldChar w:fldCharType="separate"/>
      </w:r>
      <w:r w:rsidR="00E00528" w:rsidRPr="0042785D">
        <w:rPr>
          <w:noProof/>
          <w:snapToGrid w:val="0"/>
        </w:rPr>
        <w:t>47</w:t>
      </w:r>
      <w:r w:rsidRPr="0042785D">
        <w:rPr>
          <w:snapToGrid w:val="0"/>
        </w:rPr>
        <w:fldChar w:fldCharType="end"/>
      </w:r>
      <w:r w:rsidR="00B36A49" w:rsidRPr="0042785D">
        <w:rPr>
          <w:snapToGrid w:val="0"/>
        </w:rPr>
        <w:t>.  Sytuację pogarszają dwa następujące czynniki. Po pierwsze</w:t>
      </w:r>
      <w:r w:rsidR="003C248E">
        <w:rPr>
          <w:snapToGrid w:val="0"/>
        </w:rPr>
        <w:t>,</w:t>
      </w:r>
      <w:r w:rsidR="00B36A49" w:rsidRPr="0042785D">
        <w:rPr>
          <w:snapToGrid w:val="0"/>
        </w:rPr>
        <w:t xml:space="preserve"> faktem jest, że orzekając pod nieobecność skarżącego, sędziowie nie dali skarżącemu żadnej możliwości ustosunkowania się do poczynionych ustaleń ani złożenia wyjaśnień i oświadczeń w tym zakresie (zob., </w:t>
      </w:r>
      <w:r w:rsidR="00B36A49" w:rsidRPr="0042785D">
        <w:rPr>
          <w:i/>
          <w:iCs/>
          <w:snapToGrid w:val="0"/>
        </w:rPr>
        <w:t>mutatis mutandis</w:t>
      </w:r>
      <w:r w:rsidR="00B36A49" w:rsidRPr="0042785D">
        <w:rPr>
          <w:snapToGrid w:val="0"/>
        </w:rPr>
        <w:t xml:space="preserve">, </w:t>
      </w:r>
      <w:r w:rsidR="00B36A49" w:rsidRPr="0042785D">
        <w:rPr>
          <w:i/>
          <w:iCs/>
          <w:snapToGrid w:val="0"/>
        </w:rPr>
        <w:t>Mariusz Lewandowski</w:t>
      </w:r>
      <w:r w:rsidR="00B36A49" w:rsidRPr="0042785D">
        <w:rPr>
          <w:snapToGrid w:val="0"/>
        </w:rPr>
        <w:t xml:space="preserve">, </w:t>
      </w:r>
      <w:r w:rsidR="003C248E" w:rsidRPr="003D4DA4">
        <w:rPr>
          <w:iCs/>
          <w:snapToGrid w:val="0"/>
        </w:rPr>
        <w:t>cyt. wyżej</w:t>
      </w:r>
      <w:r w:rsidR="00B36A49" w:rsidRPr="003D4DA4">
        <w:rPr>
          <w:snapToGrid w:val="0"/>
        </w:rPr>
        <w:t>,</w:t>
      </w:r>
      <w:r w:rsidR="00B36A49" w:rsidRPr="0042785D">
        <w:rPr>
          <w:snapToGrid w:val="0"/>
        </w:rPr>
        <w:t xml:space="preserve"> §§ 10 i 46, </w:t>
      </w:r>
      <w:r w:rsidR="003C248E">
        <w:rPr>
          <w:snapToGrid w:val="0"/>
        </w:rPr>
        <w:t>przeciwnie</w:t>
      </w:r>
      <w:r w:rsidR="00B36A49" w:rsidRPr="0042785D">
        <w:rPr>
          <w:snapToGrid w:val="0"/>
        </w:rPr>
        <w:t xml:space="preserve"> </w:t>
      </w:r>
      <w:proofErr w:type="spellStart"/>
      <w:r w:rsidR="00B36A49" w:rsidRPr="0042785D">
        <w:rPr>
          <w:i/>
          <w:iCs/>
          <w:snapToGrid w:val="0"/>
        </w:rPr>
        <w:t>Kyprianou</w:t>
      </w:r>
      <w:proofErr w:type="spellEnd"/>
      <w:r w:rsidR="00B36A49" w:rsidRPr="0042785D">
        <w:rPr>
          <w:snapToGrid w:val="0"/>
        </w:rPr>
        <w:t xml:space="preserve">, </w:t>
      </w:r>
      <w:r w:rsidR="003C248E" w:rsidRPr="003D4DA4">
        <w:rPr>
          <w:iCs/>
          <w:snapToGrid w:val="0"/>
        </w:rPr>
        <w:t>cyt. wyżej</w:t>
      </w:r>
      <w:r w:rsidR="003C248E" w:rsidRPr="003D4DA4">
        <w:rPr>
          <w:snapToGrid w:val="0"/>
        </w:rPr>
        <w:t>,</w:t>
      </w:r>
      <w:r w:rsidR="003C248E">
        <w:rPr>
          <w:snapToGrid w:val="0"/>
        </w:rPr>
        <w:t xml:space="preserve"> § 17). Po drugie</w:t>
      </w:r>
      <w:r w:rsidR="00376AA3">
        <w:rPr>
          <w:snapToGrid w:val="0"/>
        </w:rPr>
        <w:t>,</w:t>
      </w:r>
      <w:r w:rsidR="003C248E">
        <w:rPr>
          <w:snapToGrid w:val="0"/>
        </w:rPr>
        <w:t xml:space="preserve"> </w:t>
      </w:r>
      <w:r w:rsidR="00B36A49" w:rsidRPr="0042785D">
        <w:rPr>
          <w:snapToGrid w:val="0"/>
        </w:rPr>
        <w:t xml:space="preserve">kwestionowane postanowienie sądu pierwszej instancji było lakoniczne, zawierało </w:t>
      </w:r>
      <w:r w:rsidR="003C248E" w:rsidRPr="0042785D">
        <w:rPr>
          <w:snapToGrid w:val="0"/>
        </w:rPr>
        <w:t xml:space="preserve">bowiem </w:t>
      </w:r>
      <w:r w:rsidR="00B36A49" w:rsidRPr="0042785D">
        <w:rPr>
          <w:snapToGrid w:val="0"/>
        </w:rPr>
        <w:t>jedynie stwierdzenie, że</w:t>
      </w:r>
      <w:r w:rsidR="002F3AF4">
        <w:rPr>
          <w:snapToGrid w:val="0"/>
        </w:rPr>
        <w:t> </w:t>
      </w:r>
      <w:r w:rsidR="00B36A49" w:rsidRPr="0042785D">
        <w:rPr>
          <w:snapToGrid w:val="0"/>
        </w:rPr>
        <w:t xml:space="preserve"> kara </w:t>
      </w:r>
      <w:r w:rsidR="003C248E" w:rsidRPr="0042785D">
        <w:rPr>
          <w:snapToGrid w:val="0"/>
        </w:rPr>
        <w:t xml:space="preserve">porządkowa </w:t>
      </w:r>
      <w:r w:rsidR="00B36A49" w:rsidRPr="0042785D">
        <w:rPr>
          <w:snapToGrid w:val="0"/>
        </w:rPr>
        <w:t>pozbawienia wolności w wymiarze czternastu dni zostaje nałożona „za naruszenie powagi sądu, spokoju i</w:t>
      </w:r>
      <w:r w:rsidR="00D21E42">
        <w:rPr>
          <w:snapToGrid w:val="0"/>
        </w:rPr>
        <w:t> </w:t>
      </w:r>
      <w:r w:rsidR="00B36A49" w:rsidRPr="0042785D">
        <w:rPr>
          <w:snapToGrid w:val="0"/>
        </w:rPr>
        <w:t>porządku czynności sądowych w sposób uniemożliwiający wydanie wyroku” (zob. paragraf 17 powyżej).</w:t>
      </w:r>
    </w:p>
    <w:p w:rsidR="007C33D5" w:rsidRPr="0042785D" w:rsidRDefault="00FC14E4" w:rsidP="00E00528">
      <w:pPr>
        <w:pStyle w:val="ECHRPara"/>
        <w:rPr>
          <w:snapToGrid w:val="0"/>
        </w:rPr>
      </w:pPr>
      <w:r w:rsidRPr="0042785D">
        <w:rPr>
          <w:snapToGrid w:val="0"/>
        </w:rPr>
        <w:fldChar w:fldCharType="begin"/>
      </w:r>
      <w:r w:rsidR="00B36A49" w:rsidRPr="0042785D">
        <w:rPr>
          <w:snapToGrid w:val="0"/>
        </w:rPr>
        <w:instrText xml:space="preserve"> SEQ level0 \*arabic </w:instrText>
      </w:r>
      <w:r w:rsidRPr="0042785D">
        <w:rPr>
          <w:snapToGrid w:val="0"/>
        </w:rPr>
        <w:fldChar w:fldCharType="separate"/>
      </w:r>
      <w:r w:rsidR="00E00528" w:rsidRPr="0042785D">
        <w:rPr>
          <w:noProof/>
          <w:snapToGrid w:val="0"/>
        </w:rPr>
        <w:t>48</w:t>
      </w:r>
      <w:r w:rsidRPr="0042785D">
        <w:rPr>
          <w:snapToGrid w:val="0"/>
        </w:rPr>
        <w:fldChar w:fldCharType="end"/>
      </w:r>
      <w:r w:rsidR="00B36A49" w:rsidRPr="0042785D">
        <w:rPr>
          <w:snapToGrid w:val="0"/>
        </w:rPr>
        <w:t>.  </w:t>
      </w:r>
      <w:r w:rsidR="003C248E">
        <w:rPr>
          <w:snapToGrid w:val="0"/>
        </w:rPr>
        <w:t>Dla oceny</w:t>
      </w:r>
      <w:r w:rsidR="00B36A49" w:rsidRPr="0042785D">
        <w:rPr>
          <w:snapToGrid w:val="0"/>
        </w:rPr>
        <w:t xml:space="preserve"> sprawy istotne jest również</w:t>
      </w:r>
      <w:r w:rsidR="003C248E">
        <w:rPr>
          <w:snapToGrid w:val="0"/>
        </w:rPr>
        <w:t xml:space="preserve"> odnotowanie</w:t>
      </w:r>
      <w:r w:rsidR="00B36A49" w:rsidRPr="0042785D">
        <w:rPr>
          <w:snapToGrid w:val="0"/>
        </w:rPr>
        <w:t>, że nałożona na</w:t>
      </w:r>
      <w:r w:rsidR="00D21E42">
        <w:rPr>
          <w:snapToGrid w:val="0"/>
        </w:rPr>
        <w:t> </w:t>
      </w:r>
      <w:r w:rsidR="00B36A49" w:rsidRPr="0042785D">
        <w:rPr>
          <w:snapToGrid w:val="0"/>
        </w:rPr>
        <w:t xml:space="preserve">skarżącego kara była </w:t>
      </w:r>
      <w:r w:rsidR="003C248E">
        <w:rPr>
          <w:snapToGrid w:val="0"/>
        </w:rPr>
        <w:t>najsurowszą</w:t>
      </w:r>
      <w:r w:rsidR="00B36A49" w:rsidRPr="0042785D">
        <w:rPr>
          <w:snapToGrid w:val="0"/>
        </w:rPr>
        <w:t xml:space="preserve"> z kar przewidzianych w</w:t>
      </w:r>
      <w:r w:rsidR="0042785D" w:rsidRPr="0042785D">
        <w:rPr>
          <w:snapToGrid w:val="0"/>
        </w:rPr>
        <w:t> </w:t>
      </w:r>
      <w:r w:rsidR="00B36A49" w:rsidRPr="0042785D">
        <w:rPr>
          <w:snapToGrid w:val="0"/>
        </w:rPr>
        <w:t xml:space="preserve">obowiązujących przepisach (zob., </w:t>
      </w:r>
      <w:r w:rsidR="00B36A49" w:rsidRPr="0042785D">
        <w:rPr>
          <w:i/>
          <w:iCs/>
          <w:snapToGrid w:val="0"/>
        </w:rPr>
        <w:t>mutatis mutandis</w:t>
      </w:r>
      <w:r w:rsidR="00B36A49" w:rsidRPr="0042785D">
        <w:rPr>
          <w:snapToGrid w:val="0"/>
        </w:rPr>
        <w:t xml:space="preserve">, </w:t>
      </w:r>
      <w:r w:rsidR="00B36A49" w:rsidRPr="0042785D">
        <w:rPr>
          <w:i/>
          <w:snapToGrid w:val="0"/>
        </w:rPr>
        <w:t>Mariusz Lewandowski</w:t>
      </w:r>
      <w:r w:rsidR="00B36A49" w:rsidRPr="0042785D">
        <w:rPr>
          <w:snapToGrid w:val="0"/>
        </w:rPr>
        <w:t xml:space="preserve">, </w:t>
      </w:r>
      <w:r w:rsidR="003C248E" w:rsidRPr="003D4DA4">
        <w:rPr>
          <w:iCs/>
          <w:snapToGrid w:val="0"/>
        </w:rPr>
        <w:t>cyt. wyżej,</w:t>
      </w:r>
      <w:r w:rsidR="00B36A49" w:rsidRPr="0042785D">
        <w:rPr>
          <w:snapToGrid w:val="0"/>
        </w:rPr>
        <w:t xml:space="preserve"> § 48).</w:t>
      </w:r>
    </w:p>
    <w:p w:rsidR="00B36A49" w:rsidRPr="0042785D" w:rsidRDefault="00FC14E4" w:rsidP="00E00528">
      <w:pPr>
        <w:pStyle w:val="ECHRPara"/>
        <w:rPr>
          <w:snapToGrid w:val="0"/>
        </w:rPr>
      </w:pPr>
      <w:r w:rsidRPr="0042785D">
        <w:rPr>
          <w:snapToGrid w:val="0"/>
        </w:rPr>
        <w:fldChar w:fldCharType="begin"/>
      </w:r>
      <w:r w:rsidR="00331028" w:rsidRPr="0042785D">
        <w:rPr>
          <w:snapToGrid w:val="0"/>
        </w:rPr>
        <w:instrText xml:space="preserve"> SEQ level0 \*arabic </w:instrText>
      </w:r>
      <w:r w:rsidRPr="0042785D">
        <w:rPr>
          <w:snapToGrid w:val="0"/>
        </w:rPr>
        <w:fldChar w:fldCharType="separate"/>
      </w:r>
      <w:r w:rsidR="00E00528" w:rsidRPr="0042785D">
        <w:rPr>
          <w:noProof/>
          <w:snapToGrid w:val="0"/>
        </w:rPr>
        <w:t>49</w:t>
      </w:r>
      <w:r w:rsidRPr="0042785D">
        <w:rPr>
          <w:snapToGrid w:val="0"/>
        </w:rPr>
        <w:fldChar w:fldCharType="end"/>
      </w:r>
      <w:r w:rsidR="00331028" w:rsidRPr="0042785D">
        <w:rPr>
          <w:snapToGrid w:val="0"/>
        </w:rPr>
        <w:t>.  Wreszcie Trybunał zauważa, że okoliczność, iż skarżący w</w:t>
      </w:r>
      <w:r w:rsidR="0042785D">
        <w:rPr>
          <w:snapToGrid w:val="0"/>
        </w:rPr>
        <w:t> </w:t>
      </w:r>
      <w:r w:rsidR="00331028" w:rsidRPr="0042785D">
        <w:rPr>
          <w:snapToGrid w:val="0"/>
        </w:rPr>
        <w:t>postępowaniu odwoławczym przedstawił argumenty na swoją obronę, w</w:t>
      </w:r>
      <w:r w:rsidR="002F3AF4">
        <w:rPr>
          <w:snapToGrid w:val="0"/>
        </w:rPr>
        <w:t> </w:t>
      </w:r>
      <w:r w:rsidR="00331028" w:rsidRPr="0042785D">
        <w:rPr>
          <w:snapToGrid w:val="0"/>
        </w:rPr>
        <w:t xml:space="preserve">tym </w:t>
      </w:r>
      <w:r w:rsidR="003C248E">
        <w:rPr>
          <w:snapToGrid w:val="0"/>
        </w:rPr>
        <w:t>przedstawił</w:t>
      </w:r>
      <w:r w:rsidR="00376AA3">
        <w:rPr>
          <w:snapToGrid w:val="0"/>
        </w:rPr>
        <w:t xml:space="preserve"> </w:t>
      </w:r>
      <w:r w:rsidR="003C248E">
        <w:rPr>
          <w:snapToGrid w:val="0"/>
        </w:rPr>
        <w:t>uzasadnienie</w:t>
      </w:r>
      <w:r w:rsidR="00331028" w:rsidRPr="0042785D">
        <w:rPr>
          <w:snapToGrid w:val="0"/>
        </w:rPr>
        <w:t xml:space="preserve"> </w:t>
      </w:r>
      <w:r w:rsidR="00376AA3">
        <w:rPr>
          <w:snapToGrid w:val="0"/>
        </w:rPr>
        <w:t>swo</w:t>
      </w:r>
      <w:r w:rsidR="003C248E">
        <w:rPr>
          <w:snapToGrid w:val="0"/>
        </w:rPr>
        <w:t>jego zachowania</w:t>
      </w:r>
      <w:r w:rsidR="00331028" w:rsidRPr="0042785D">
        <w:rPr>
          <w:snapToGrid w:val="0"/>
        </w:rPr>
        <w:t>, a także że sąd odwoławczy uzasadnił swoje rozstrzygnięcie, w okolicznościach niniejszej sprawy nie prowadzi do konwalidacji uchybień proceduralnych (zob.,</w:t>
      </w:r>
      <w:r w:rsidR="00D21E42">
        <w:t> </w:t>
      </w:r>
      <w:r w:rsidR="00331028" w:rsidRPr="0042785D">
        <w:rPr>
          <w:i/>
          <w:iCs/>
          <w:snapToGrid w:val="0"/>
        </w:rPr>
        <w:t>mutatis mutandis</w:t>
      </w:r>
      <w:r w:rsidR="00331028" w:rsidRPr="0042785D">
        <w:rPr>
          <w:snapToGrid w:val="0"/>
        </w:rPr>
        <w:t xml:space="preserve">, </w:t>
      </w:r>
      <w:r w:rsidR="00331028" w:rsidRPr="0042785D">
        <w:rPr>
          <w:i/>
          <w:iCs/>
          <w:snapToGrid w:val="0"/>
        </w:rPr>
        <w:t>Mariusz Lewandowski</w:t>
      </w:r>
      <w:r w:rsidR="00331028" w:rsidRPr="0042785D">
        <w:rPr>
          <w:snapToGrid w:val="0"/>
        </w:rPr>
        <w:t xml:space="preserve">, </w:t>
      </w:r>
      <w:r w:rsidR="003D4DA4" w:rsidRPr="003D4DA4">
        <w:rPr>
          <w:iCs/>
          <w:snapToGrid w:val="0"/>
        </w:rPr>
        <w:t>cyt. wyżej,</w:t>
      </w:r>
      <w:r w:rsidR="00331028" w:rsidRPr="0042785D">
        <w:rPr>
          <w:snapToGrid w:val="0"/>
        </w:rPr>
        <w:t xml:space="preserve"> § 49 oraz</w:t>
      </w:r>
      <w:r w:rsidR="00331028" w:rsidRPr="0042785D">
        <w:rPr>
          <w:i/>
          <w:iCs/>
          <w:snapToGrid w:val="0"/>
        </w:rPr>
        <w:t xml:space="preserve"> </w:t>
      </w:r>
      <w:proofErr w:type="spellStart"/>
      <w:r w:rsidR="00331028" w:rsidRPr="0042785D">
        <w:rPr>
          <w:i/>
          <w:iCs/>
          <w:snapToGrid w:val="0"/>
        </w:rPr>
        <w:t>Kyprianou</w:t>
      </w:r>
      <w:proofErr w:type="spellEnd"/>
      <w:r w:rsidR="00331028" w:rsidRPr="0042785D">
        <w:rPr>
          <w:i/>
          <w:iCs/>
          <w:snapToGrid w:val="0"/>
        </w:rPr>
        <w:t xml:space="preserve">, </w:t>
      </w:r>
      <w:r w:rsidR="003D4DA4" w:rsidRPr="003D4DA4">
        <w:rPr>
          <w:iCs/>
          <w:snapToGrid w:val="0"/>
        </w:rPr>
        <w:t>cyt. wyżej,</w:t>
      </w:r>
      <w:r w:rsidR="00331028" w:rsidRPr="0042785D">
        <w:rPr>
          <w:snapToGrid w:val="0"/>
        </w:rPr>
        <w:t xml:space="preserve"> § 134). Wniesienie zażalenia nie miało żadnego praktycznego wpływu na sytuację skarżącego, bowiem do czasu jego rozpoznania skarżący odbył </w:t>
      </w:r>
      <w:r w:rsidR="003D4DA4">
        <w:rPr>
          <w:snapToGrid w:val="0"/>
        </w:rPr>
        <w:t xml:space="preserve">prawie </w:t>
      </w:r>
      <w:r w:rsidR="00331028" w:rsidRPr="0042785D">
        <w:rPr>
          <w:snapToGrid w:val="0"/>
        </w:rPr>
        <w:t xml:space="preserve">w całości nałożoną na niego karę </w:t>
      </w:r>
      <w:r w:rsidR="003D4DA4" w:rsidRPr="0042785D">
        <w:rPr>
          <w:snapToGrid w:val="0"/>
        </w:rPr>
        <w:t xml:space="preserve">czternastu dni </w:t>
      </w:r>
      <w:r w:rsidR="00331028" w:rsidRPr="0042785D">
        <w:rPr>
          <w:snapToGrid w:val="0"/>
        </w:rPr>
        <w:t>pozbawienia wolności.</w:t>
      </w:r>
    </w:p>
    <w:p w:rsidR="00331028" w:rsidRPr="0042785D" w:rsidRDefault="00FC14E4" w:rsidP="00E00528">
      <w:pPr>
        <w:pStyle w:val="ECHRPara"/>
        <w:rPr>
          <w:snapToGrid w:val="0"/>
        </w:rPr>
      </w:pPr>
      <w:r w:rsidRPr="0042785D">
        <w:rPr>
          <w:snapToGrid w:val="0"/>
        </w:rPr>
        <w:fldChar w:fldCharType="begin"/>
      </w:r>
      <w:r w:rsidR="00331028" w:rsidRPr="0042785D">
        <w:rPr>
          <w:snapToGrid w:val="0"/>
        </w:rPr>
        <w:instrText xml:space="preserve"> SEQ level0 \*arabic </w:instrText>
      </w:r>
      <w:r w:rsidRPr="0042785D">
        <w:rPr>
          <w:snapToGrid w:val="0"/>
        </w:rPr>
        <w:fldChar w:fldCharType="separate"/>
      </w:r>
      <w:r w:rsidR="00E00528" w:rsidRPr="0042785D">
        <w:rPr>
          <w:noProof/>
          <w:snapToGrid w:val="0"/>
        </w:rPr>
        <w:t>50</w:t>
      </w:r>
      <w:r w:rsidRPr="0042785D">
        <w:rPr>
          <w:snapToGrid w:val="0"/>
        </w:rPr>
        <w:fldChar w:fldCharType="end"/>
      </w:r>
      <w:r w:rsidR="00331028" w:rsidRPr="0042785D">
        <w:rPr>
          <w:snapToGrid w:val="0"/>
        </w:rPr>
        <w:t>.  </w:t>
      </w:r>
      <w:r w:rsidR="003D4DA4">
        <w:rPr>
          <w:snapToGrid w:val="0"/>
        </w:rPr>
        <w:t>W świetle wszystkich</w:t>
      </w:r>
      <w:r w:rsidR="00331028" w:rsidRPr="0042785D">
        <w:rPr>
          <w:snapToGrid w:val="0"/>
        </w:rPr>
        <w:t xml:space="preserve"> wyżej wymienion</w:t>
      </w:r>
      <w:r w:rsidR="003D4DA4">
        <w:rPr>
          <w:snapToGrid w:val="0"/>
        </w:rPr>
        <w:t>ych</w:t>
      </w:r>
      <w:r w:rsidR="00331028" w:rsidRPr="0042785D">
        <w:rPr>
          <w:snapToGrid w:val="0"/>
        </w:rPr>
        <w:t xml:space="preserve"> element</w:t>
      </w:r>
      <w:r w:rsidR="003D4DA4">
        <w:rPr>
          <w:snapToGrid w:val="0"/>
        </w:rPr>
        <w:t xml:space="preserve">ów </w:t>
      </w:r>
      <w:r w:rsidR="00331028" w:rsidRPr="0042785D">
        <w:rPr>
          <w:snapToGrid w:val="0"/>
        </w:rPr>
        <w:t>kwestionowanego postępowania Trybunał stwierdza, że w</w:t>
      </w:r>
      <w:r w:rsidR="002F3AF4">
        <w:rPr>
          <w:snapToGrid w:val="0"/>
        </w:rPr>
        <w:t> </w:t>
      </w:r>
      <w:r w:rsidR="00331028" w:rsidRPr="0042785D">
        <w:rPr>
          <w:snapToGrid w:val="0"/>
        </w:rPr>
        <w:t xml:space="preserve">przedmiotowej sprawie (w której zastosowano karę pozbawienia wolności) kumulacja ról pokrzywdzonego i sędziego mogła wywołać obiektywnie uzasadnione obawy co do bezstronności sądu (zob., </w:t>
      </w:r>
      <w:r w:rsidR="00331028" w:rsidRPr="0042785D">
        <w:rPr>
          <w:i/>
          <w:iCs/>
          <w:snapToGrid w:val="0"/>
        </w:rPr>
        <w:t xml:space="preserve">mutatis mutandis, Mariusz Lewandowski, </w:t>
      </w:r>
      <w:r w:rsidR="003D4DA4" w:rsidRPr="003D4DA4">
        <w:rPr>
          <w:iCs/>
          <w:snapToGrid w:val="0"/>
        </w:rPr>
        <w:t>cyt. wyżej,</w:t>
      </w:r>
      <w:r w:rsidR="00331028" w:rsidRPr="0042785D">
        <w:rPr>
          <w:snapToGrid w:val="0"/>
        </w:rPr>
        <w:t xml:space="preserve"> § 48 oraz </w:t>
      </w:r>
      <w:proofErr w:type="spellStart"/>
      <w:r w:rsidR="00331028" w:rsidRPr="0042785D">
        <w:rPr>
          <w:i/>
          <w:iCs/>
          <w:snapToGrid w:val="0"/>
        </w:rPr>
        <w:t>Kyprianou</w:t>
      </w:r>
      <w:proofErr w:type="spellEnd"/>
      <w:r w:rsidR="00331028" w:rsidRPr="0042785D">
        <w:rPr>
          <w:i/>
          <w:iCs/>
          <w:snapToGrid w:val="0"/>
        </w:rPr>
        <w:t xml:space="preserve">, </w:t>
      </w:r>
      <w:r w:rsidR="003D4DA4" w:rsidRPr="003D4DA4">
        <w:rPr>
          <w:iCs/>
          <w:snapToGrid w:val="0"/>
        </w:rPr>
        <w:t>cyt. wyżej</w:t>
      </w:r>
      <w:r w:rsidR="00331028" w:rsidRPr="003D4DA4">
        <w:rPr>
          <w:snapToGrid w:val="0"/>
        </w:rPr>
        <w:t>,</w:t>
      </w:r>
      <w:r w:rsidR="00331028" w:rsidRPr="0042785D">
        <w:rPr>
          <w:snapToGrid w:val="0"/>
        </w:rPr>
        <w:t xml:space="preserve"> § 127).</w:t>
      </w:r>
    </w:p>
    <w:p w:rsidR="00B36A49" w:rsidRPr="0042785D" w:rsidRDefault="00FC14E4" w:rsidP="00E00528">
      <w:pPr>
        <w:pStyle w:val="ECHRPara"/>
        <w:rPr>
          <w:snapToGrid w:val="0"/>
        </w:rPr>
      </w:pPr>
      <w:r w:rsidRPr="0042785D">
        <w:rPr>
          <w:snapToGrid w:val="0"/>
        </w:rPr>
        <w:fldChar w:fldCharType="begin"/>
      </w:r>
      <w:r w:rsidR="00B36A49" w:rsidRPr="0042785D">
        <w:rPr>
          <w:snapToGrid w:val="0"/>
        </w:rPr>
        <w:instrText xml:space="preserve"> SEQ level0 \*arabic </w:instrText>
      </w:r>
      <w:r w:rsidRPr="0042785D">
        <w:rPr>
          <w:snapToGrid w:val="0"/>
        </w:rPr>
        <w:fldChar w:fldCharType="separate"/>
      </w:r>
      <w:r w:rsidR="00E00528" w:rsidRPr="0042785D">
        <w:rPr>
          <w:noProof/>
          <w:snapToGrid w:val="0"/>
        </w:rPr>
        <w:t>51</w:t>
      </w:r>
      <w:r w:rsidRPr="0042785D">
        <w:rPr>
          <w:snapToGrid w:val="0"/>
        </w:rPr>
        <w:fldChar w:fldCharType="end"/>
      </w:r>
      <w:r w:rsidR="003D4DA4">
        <w:rPr>
          <w:snapToGrid w:val="0"/>
        </w:rPr>
        <w:t>.  Reasumując</w:t>
      </w:r>
      <w:r w:rsidR="00B36A49" w:rsidRPr="0042785D">
        <w:rPr>
          <w:snapToGrid w:val="0"/>
        </w:rPr>
        <w:t xml:space="preserve"> Trybunał stwierdza, że doszło do naruszenia zasady bezstronności</w:t>
      </w:r>
      <w:r w:rsidR="00B36A49" w:rsidRPr="0042785D">
        <w:t xml:space="preserve"> </w:t>
      </w:r>
      <w:r w:rsidR="00B36A49" w:rsidRPr="0042785D">
        <w:rPr>
          <w:snapToGrid w:val="0"/>
        </w:rPr>
        <w:t>na podstawie obiektywnego testu. W związku z powyższym doszło do naruszenia art. 6 ust. 1 Konwencji.</w:t>
      </w:r>
    </w:p>
    <w:p w:rsidR="00B36A49" w:rsidRPr="0042785D" w:rsidRDefault="00FC14E4" w:rsidP="00E00528">
      <w:pPr>
        <w:pStyle w:val="ECHRPara"/>
        <w:rPr>
          <w:snapToGrid w:val="0"/>
        </w:rPr>
      </w:pPr>
      <w:r w:rsidRPr="0042785D">
        <w:rPr>
          <w:snapToGrid w:val="0"/>
        </w:rPr>
        <w:lastRenderedPageBreak/>
        <w:fldChar w:fldCharType="begin"/>
      </w:r>
      <w:r w:rsidR="00B36A49" w:rsidRPr="0042785D">
        <w:rPr>
          <w:snapToGrid w:val="0"/>
        </w:rPr>
        <w:instrText xml:space="preserve"> SEQ level0 \*arabic </w:instrText>
      </w:r>
      <w:r w:rsidRPr="0042785D">
        <w:rPr>
          <w:snapToGrid w:val="0"/>
        </w:rPr>
        <w:fldChar w:fldCharType="separate"/>
      </w:r>
      <w:r w:rsidR="00E00528" w:rsidRPr="0042785D">
        <w:rPr>
          <w:noProof/>
          <w:snapToGrid w:val="0"/>
        </w:rPr>
        <w:t>52</w:t>
      </w:r>
      <w:r w:rsidRPr="0042785D">
        <w:rPr>
          <w:snapToGrid w:val="0"/>
        </w:rPr>
        <w:fldChar w:fldCharType="end"/>
      </w:r>
      <w:r w:rsidR="00B36A49" w:rsidRPr="0042785D">
        <w:rPr>
          <w:snapToGrid w:val="0"/>
        </w:rPr>
        <w:t xml:space="preserve">.  W świetle powyższego ustalenia Trybunał stwierdza brak konieczności badania kwestii równości broni podniesionej przez skarżącego w ramach jego skargi </w:t>
      </w:r>
      <w:r w:rsidR="00827848">
        <w:rPr>
          <w:snapToGrid w:val="0"/>
        </w:rPr>
        <w:t>złożonej</w:t>
      </w:r>
      <w:r w:rsidR="00B36A49" w:rsidRPr="0042785D">
        <w:rPr>
          <w:snapToGrid w:val="0"/>
        </w:rPr>
        <w:t xml:space="preserve"> na podstawie art. 6 Konwencji.</w:t>
      </w:r>
    </w:p>
    <w:p w:rsidR="009E6581" w:rsidRPr="0042785D" w:rsidRDefault="00B36A49" w:rsidP="00E00528">
      <w:pPr>
        <w:pStyle w:val="ECHRHeading1"/>
      </w:pPr>
      <w:r w:rsidRPr="0042785D">
        <w:t>II.  </w:t>
      </w:r>
      <w:r w:rsidR="000B5526">
        <w:t>ZARZUCANE</w:t>
      </w:r>
      <w:r w:rsidRPr="0042785D">
        <w:t xml:space="preserve"> NARUSZENIE ART. 10 KONWENCJI</w:t>
      </w:r>
    </w:p>
    <w:p w:rsidR="007C33D5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53</w:t>
      </w:r>
      <w:r>
        <w:rPr>
          <w:noProof/>
        </w:rPr>
        <w:fldChar w:fldCharType="end"/>
      </w:r>
      <w:r w:rsidR="00156843" w:rsidRPr="0042785D">
        <w:t xml:space="preserve">.  Skarżący </w:t>
      </w:r>
      <w:r w:rsidR="000B5526">
        <w:t>zarzucił</w:t>
      </w:r>
      <w:r w:rsidR="00156843" w:rsidRPr="0042785D">
        <w:t xml:space="preserve"> również niewspółmierną </w:t>
      </w:r>
      <w:r w:rsidR="000B5526">
        <w:t>surowość</w:t>
      </w:r>
      <w:r w:rsidR="00156843" w:rsidRPr="0042785D">
        <w:t xml:space="preserve"> </w:t>
      </w:r>
      <w:r w:rsidR="000B5526">
        <w:t>kary</w:t>
      </w:r>
      <w:r w:rsidR="000B5526" w:rsidRPr="0042785D">
        <w:t xml:space="preserve"> </w:t>
      </w:r>
      <w:r w:rsidR="00156843" w:rsidRPr="0042785D">
        <w:t>nałożonej na niego</w:t>
      </w:r>
      <w:r w:rsidR="000B5526">
        <w:t xml:space="preserve"> </w:t>
      </w:r>
      <w:r w:rsidR="000B5526" w:rsidRPr="0042785D">
        <w:t>za wyrażanie swoich poglądów w at</w:t>
      </w:r>
      <w:r w:rsidR="000B5526">
        <w:t>mosferze podwyższonego napięcia j</w:t>
      </w:r>
      <w:r w:rsidR="00156843" w:rsidRPr="0042785D">
        <w:t xml:space="preserve">ako </w:t>
      </w:r>
      <w:r w:rsidR="000B5526">
        <w:t xml:space="preserve">osoby będącej </w:t>
      </w:r>
      <w:r w:rsidR="00156843" w:rsidRPr="0042785D">
        <w:t>ofiar</w:t>
      </w:r>
      <w:r w:rsidR="000B5526">
        <w:t>ą</w:t>
      </w:r>
      <w:r w:rsidR="00156843" w:rsidRPr="0042785D">
        <w:t xml:space="preserve"> represji komunistycznych </w:t>
      </w:r>
      <w:r w:rsidR="000B5526">
        <w:t xml:space="preserve">i </w:t>
      </w:r>
      <w:r w:rsidR="00156843" w:rsidRPr="0042785D">
        <w:t>uprawnion</w:t>
      </w:r>
      <w:r w:rsidR="000B5526">
        <w:t>ej</w:t>
      </w:r>
      <w:r w:rsidR="00156843" w:rsidRPr="0042785D">
        <w:t xml:space="preserve"> do swobodnego udziału w debacie politycznej w </w:t>
      </w:r>
      <w:r w:rsidR="000B5526" w:rsidRPr="0042785D">
        <w:t xml:space="preserve">społeczeństwie </w:t>
      </w:r>
      <w:r w:rsidR="000B5526">
        <w:t>demokratycznym.</w:t>
      </w:r>
    </w:p>
    <w:p w:rsidR="009E6581" w:rsidRPr="0042785D" w:rsidRDefault="009E6581" w:rsidP="00E00528">
      <w:pPr>
        <w:pStyle w:val="ECHRPara"/>
      </w:pPr>
      <w:r w:rsidRPr="0042785D">
        <w:t xml:space="preserve">Skarżący powołał się na art. 10 Konwencji, który w stosownym zakresie </w:t>
      </w:r>
      <w:r w:rsidR="000B5526">
        <w:t>stanowi</w:t>
      </w:r>
      <w:r w:rsidRPr="0042785D">
        <w:t>:</w:t>
      </w:r>
    </w:p>
    <w:p w:rsidR="007C33D5" w:rsidRPr="0042785D" w:rsidRDefault="009E6581" w:rsidP="00E00528">
      <w:pPr>
        <w:pStyle w:val="ECHRParaQuote"/>
      </w:pPr>
      <w:r w:rsidRPr="0042785D">
        <w:t xml:space="preserve">„1.  Każdy ma prawo do wolności wyrażania opinii. Prawo to obejmuje wolność </w:t>
      </w:r>
      <w:r w:rsidR="003761F5">
        <w:t>[</w:t>
      </w:r>
      <w:r w:rsidRPr="0042785D">
        <w:t>...</w:t>
      </w:r>
      <w:r w:rsidR="003761F5">
        <w:t>]</w:t>
      </w:r>
      <w:r w:rsidRPr="0042785D">
        <w:t xml:space="preserve"> przekazywania informacji i idei bez ingerencji władz publicznych </w:t>
      </w:r>
      <w:r w:rsidR="003761F5">
        <w:t>[</w:t>
      </w:r>
      <w:r w:rsidRPr="0042785D">
        <w:t>...</w:t>
      </w:r>
      <w:r w:rsidR="003761F5">
        <w:t>]</w:t>
      </w:r>
    </w:p>
    <w:p w:rsidR="009E6581" w:rsidRPr="0042785D" w:rsidRDefault="009E6581" w:rsidP="00E00528">
      <w:pPr>
        <w:pStyle w:val="ECHRParaQuote"/>
      </w:pPr>
      <w:r w:rsidRPr="0042785D">
        <w:t>2.  Korzystanie z tych wolności pociągających za sobą obowiązki i</w:t>
      </w:r>
      <w:r w:rsidR="002F3AF4">
        <w:t> </w:t>
      </w:r>
      <w:r w:rsidRPr="0042785D">
        <w:t>odpowiedzialność może podlegać takim wymogom formalnym, warunkom, ograniczeniom i sankcjom, jakie są przewidziane przez ustawę i niezbędne w</w:t>
      </w:r>
      <w:r w:rsidR="002F3AF4">
        <w:t> </w:t>
      </w:r>
      <w:r w:rsidRPr="0042785D">
        <w:t>społeczeństwie demokratycznym w</w:t>
      </w:r>
      <w:r w:rsidR="0042785D" w:rsidRPr="0042785D">
        <w:t> </w:t>
      </w:r>
      <w:r w:rsidRPr="0042785D">
        <w:t>interesie bezpieczeństwa państwowego, integralności terytorialnej lub bezpieczeństwa publicznego ze względu na konieczność zapobieżenia zakłóceniu porządku lub przestępstwu, z uwagi na ochronę zdrowia i</w:t>
      </w:r>
      <w:r w:rsidR="002F3AF4">
        <w:t> </w:t>
      </w:r>
      <w:r w:rsidRPr="0042785D">
        <w:t>moralności, ochronę dobrego imienia i praw innych osób oraz ze względu na</w:t>
      </w:r>
      <w:r w:rsidR="00D21E42">
        <w:t> </w:t>
      </w:r>
      <w:r w:rsidRPr="0042785D">
        <w:t>zapobieżenie ujawnieniu informacji poufnych lub na zagwarantowanie powagi i</w:t>
      </w:r>
      <w:r w:rsidR="002F3AF4">
        <w:t> </w:t>
      </w:r>
      <w:r w:rsidRPr="0042785D">
        <w:t>bezstronności władzy sądowej”.</w:t>
      </w:r>
    </w:p>
    <w:p w:rsidR="00170DB7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54</w:t>
      </w:r>
      <w:r>
        <w:rPr>
          <w:noProof/>
        </w:rPr>
        <w:fldChar w:fldCharType="end"/>
      </w:r>
      <w:r w:rsidR="00170DB7" w:rsidRPr="0042785D">
        <w:t xml:space="preserve">.  W </w:t>
      </w:r>
      <w:r w:rsidR="000B5526">
        <w:t>przywoływanej</w:t>
      </w:r>
      <w:r w:rsidR="00170DB7" w:rsidRPr="0042785D">
        <w:t xml:space="preserve"> </w:t>
      </w:r>
      <w:r w:rsidR="000B5526" w:rsidRPr="0042785D">
        <w:t xml:space="preserve">sprawie </w:t>
      </w:r>
      <w:proofErr w:type="spellStart"/>
      <w:r w:rsidR="00170DB7" w:rsidRPr="0042785D">
        <w:rPr>
          <w:i/>
          <w:iCs/>
          <w:snapToGrid w:val="0"/>
        </w:rPr>
        <w:t>Kyprianou</w:t>
      </w:r>
      <w:proofErr w:type="spellEnd"/>
      <w:r w:rsidR="00170DB7" w:rsidRPr="0042785D">
        <w:t xml:space="preserve"> Wielka Izba zauważyła, że</w:t>
      </w:r>
      <w:r w:rsidR="002F3AF4">
        <w:t> </w:t>
      </w:r>
      <w:r w:rsidR="00170DB7" w:rsidRPr="0042785D">
        <w:t>wprawdzie główną kwestią wynikającą z art. 6 była – podobnie jak w</w:t>
      </w:r>
      <w:r w:rsidR="0042785D" w:rsidRPr="0042785D">
        <w:t> </w:t>
      </w:r>
      <w:r w:rsidR="00170DB7" w:rsidRPr="0042785D">
        <w:t xml:space="preserve">niniejszej sprawie – bezstronność sądu, który orzekał w sprawie karnej skarżącego, jednak skarga na podstawie art. 10 dotyczyła wpływu uznania za winnego i skazania skarżącego na jego prawo do wolności wyrażania opinii. Skarga ta była zatem </w:t>
      </w:r>
      <w:r w:rsidR="000B5526">
        <w:t>była odmiennej natury</w:t>
      </w:r>
      <w:r w:rsidR="00170DB7" w:rsidRPr="0042785D">
        <w:t xml:space="preserve"> od skargi na podstawie art. 6 i</w:t>
      </w:r>
      <w:r w:rsidR="002F3AF4">
        <w:t> </w:t>
      </w:r>
      <w:r w:rsidR="00170DB7" w:rsidRPr="0042785D">
        <w:t xml:space="preserve">wymagane było odrębne </w:t>
      </w:r>
      <w:r w:rsidR="000B5526">
        <w:t>zbadanie</w:t>
      </w:r>
      <w:r w:rsidR="00170DB7" w:rsidRPr="0042785D">
        <w:t xml:space="preserve"> skargi, którą skarżący </w:t>
      </w:r>
      <w:r w:rsidR="000B5526">
        <w:t>złożył</w:t>
      </w:r>
      <w:r w:rsidR="00170DB7" w:rsidRPr="0042785D">
        <w:t xml:space="preserve"> na</w:t>
      </w:r>
      <w:r w:rsidR="00D21E42">
        <w:t> </w:t>
      </w:r>
      <w:r w:rsidR="00170DB7" w:rsidRPr="0042785D">
        <w:t xml:space="preserve">podstawie art. 10 (zob. </w:t>
      </w:r>
      <w:proofErr w:type="spellStart"/>
      <w:r w:rsidR="00170DB7" w:rsidRPr="0042785D">
        <w:rPr>
          <w:i/>
          <w:iCs/>
          <w:snapToGrid w:val="0"/>
        </w:rPr>
        <w:t>Kyprianou</w:t>
      </w:r>
      <w:proofErr w:type="spellEnd"/>
      <w:r w:rsidR="00170DB7" w:rsidRPr="0042785D">
        <w:rPr>
          <w:i/>
          <w:iCs/>
        </w:rPr>
        <w:t xml:space="preserve">, </w:t>
      </w:r>
      <w:r w:rsidR="000B5526" w:rsidRPr="000B5526">
        <w:rPr>
          <w:iCs/>
        </w:rPr>
        <w:t>cyt. wyżej</w:t>
      </w:r>
      <w:r w:rsidR="00170DB7" w:rsidRPr="0042785D">
        <w:t xml:space="preserve"> 150).</w:t>
      </w:r>
    </w:p>
    <w:p w:rsidR="00EC06F8" w:rsidRPr="0042785D" w:rsidRDefault="00DC6743" w:rsidP="00E00528">
      <w:pPr>
        <w:pStyle w:val="ECHRHeading2"/>
      </w:pPr>
      <w:r w:rsidRPr="0042785D">
        <w:t>A.  Dopuszczalność</w:t>
      </w:r>
    </w:p>
    <w:p w:rsidR="00E61731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55</w:t>
      </w:r>
      <w:r>
        <w:rPr>
          <w:noProof/>
        </w:rPr>
        <w:fldChar w:fldCharType="end"/>
      </w:r>
      <w:r w:rsidR="00E61731" w:rsidRPr="0042785D">
        <w:t xml:space="preserve">.  Rząd </w:t>
      </w:r>
      <w:r w:rsidR="000B5526">
        <w:t>podnosił</w:t>
      </w:r>
      <w:r w:rsidR="00E61731" w:rsidRPr="0042785D">
        <w:t>, że art. 10 Konwencji nie znajduje zastosowania w</w:t>
      </w:r>
      <w:r w:rsidR="0042785D" w:rsidRPr="0042785D">
        <w:t> </w:t>
      </w:r>
      <w:r w:rsidR="00E61731" w:rsidRPr="0042785D">
        <w:t xml:space="preserve">niniejszej sprawie, bowiem skarżący nie został ukarany przez sąd krajowy za </w:t>
      </w:r>
      <w:r w:rsidR="000B5526">
        <w:t>jego</w:t>
      </w:r>
      <w:r w:rsidR="00E61731" w:rsidRPr="0042785D">
        <w:t xml:space="preserve"> poglądy czy przekazane informacje, lecz za swoje zachowanie. Zdaniem Rządu treść </w:t>
      </w:r>
      <w:r w:rsidR="006636B1">
        <w:t>twierdzeń</w:t>
      </w:r>
      <w:r w:rsidR="00E61731" w:rsidRPr="0042785D">
        <w:t xml:space="preserve"> skarżącego nie miała znaczenia dla oceny zasadności zastosowania wobec niego kary porządkowej. W gruncie rzeczy skarżącego ukarano karą porządkową za</w:t>
      </w:r>
      <w:r w:rsidR="00D21E42">
        <w:t> </w:t>
      </w:r>
      <w:r w:rsidR="00E61731" w:rsidRPr="0042785D">
        <w:t xml:space="preserve">naruszenie </w:t>
      </w:r>
      <w:r w:rsidR="006636B1">
        <w:t>powagi</w:t>
      </w:r>
      <w:r w:rsidR="00E61731" w:rsidRPr="0042785D">
        <w:t xml:space="preserve"> sądu oraz za utrudnianie </w:t>
      </w:r>
      <w:r w:rsidR="006636B1">
        <w:t>jego pracy</w:t>
      </w:r>
      <w:r w:rsidR="00E61731" w:rsidRPr="0042785D">
        <w:t>.</w:t>
      </w:r>
    </w:p>
    <w:p w:rsidR="007C33D5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56</w:t>
      </w:r>
      <w:r>
        <w:rPr>
          <w:noProof/>
        </w:rPr>
        <w:fldChar w:fldCharType="end"/>
      </w:r>
      <w:r w:rsidR="00E61731" w:rsidRPr="0042785D">
        <w:t>.  Skarżący wywodził, że art. 10 ma zastosowanie.</w:t>
      </w:r>
    </w:p>
    <w:p w:rsidR="004A263A" w:rsidRPr="0042785D" w:rsidRDefault="00FC14E4" w:rsidP="00E00528">
      <w:pPr>
        <w:pStyle w:val="ECHRPara"/>
      </w:pPr>
      <w:r>
        <w:rPr>
          <w:noProof/>
        </w:rPr>
        <w:lastRenderedPageBreak/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57</w:t>
      </w:r>
      <w:r>
        <w:rPr>
          <w:noProof/>
        </w:rPr>
        <w:fldChar w:fldCharType="end"/>
      </w:r>
      <w:r w:rsidR="00E61731" w:rsidRPr="0042785D">
        <w:t>.</w:t>
      </w:r>
      <w:r w:rsidR="006636B1">
        <w:t>  Trybunał zauważa, że skarżący</w:t>
      </w:r>
      <w:r w:rsidR="00E61731" w:rsidRPr="0042785D">
        <w:t xml:space="preserve"> </w:t>
      </w:r>
      <w:r w:rsidR="006636B1" w:rsidRPr="0042785D">
        <w:t>zakłócił ogłoszenie wyroku w</w:t>
      </w:r>
      <w:r w:rsidR="00D21E42">
        <w:t> </w:t>
      </w:r>
      <w:r w:rsidR="006636B1" w:rsidRPr="0042785D">
        <w:t xml:space="preserve">politycznie </w:t>
      </w:r>
      <w:r w:rsidR="006636B1">
        <w:t>drażliwej</w:t>
      </w:r>
      <w:r w:rsidR="006636B1" w:rsidRPr="0042785D">
        <w:t xml:space="preserve"> sprawie</w:t>
      </w:r>
      <w:r w:rsidR="00376AA3">
        <w:t>,</w:t>
      </w:r>
      <w:r w:rsidR="006636B1" w:rsidRPr="0042785D">
        <w:t xml:space="preserve"> </w:t>
      </w:r>
      <w:r w:rsidR="006636B1">
        <w:t>wchodząc na sali</w:t>
      </w:r>
      <w:r w:rsidR="00E61731" w:rsidRPr="0042785D">
        <w:t xml:space="preserve"> rozpraw za </w:t>
      </w:r>
      <w:r w:rsidR="006636B1">
        <w:t>stół sędziowski</w:t>
      </w:r>
      <w:r w:rsidR="00E61731" w:rsidRPr="0042785D">
        <w:t xml:space="preserve"> i wykrzykując </w:t>
      </w:r>
      <w:r w:rsidR="006636B1">
        <w:t>hasła w proteście przeciwko sposobowi</w:t>
      </w:r>
      <w:r w:rsidR="00E61731" w:rsidRPr="0042785D">
        <w:t xml:space="preserve"> </w:t>
      </w:r>
      <w:r w:rsidR="006636B1">
        <w:t>rozpatrzenia</w:t>
      </w:r>
      <w:r w:rsidR="00E61731" w:rsidRPr="0042785D">
        <w:t xml:space="preserve"> sp</w:t>
      </w:r>
      <w:r w:rsidR="006636B1">
        <w:t>rawy przez sąd</w:t>
      </w:r>
      <w:r w:rsidR="00E61731" w:rsidRPr="0042785D">
        <w:t>.</w:t>
      </w:r>
    </w:p>
    <w:p w:rsidR="00DC6743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58</w:t>
      </w:r>
      <w:r>
        <w:rPr>
          <w:noProof/>
        </w:rPr>
        <w:fldChar w:fldCharType="end"/>
      </w:r>
      <w:r w:rsidR="00170DB7" w:rsidRPr="0042785D">
        <w:t xml:space="preserve">.  W swoim obszernym orzecznictwie dotyczącym wolności wyrażania opinii Trybunał wielokrotnie </w:t>
      </w:r>
      <w:r w:rsidR="006636B1">
        <w:t>stwierdzał</w:t>
      </w:r>
      <w:r w:rsidR="00170DB7" w:rsidRPr="0042785D">
        <w:t xml:space="preserve">, że protesty, które przyjmują formę fizycznego utrudniania podejmowania określonych działań, mogą stanowić wyrażanie opinii w rozumieniu art. 10 oraz że zatrzymanie i pozbawienie wolności protestujących może stanowić ingerencję w prawo do wolności wyrażania opinii (zob. </w:t>
      </w:r>
      <w:r w:rsidR="00170DB7" w:rsidRPr="0042785D">
        <w:rPr>
          <w:i/>
          <w:iCs/>
        </w:rPr>
        <w:t>Steel i Inni przeciwko Zjednoczonemu Królestwu</w:t>
      </w:r>
      <w:r w:rsidR="00170DB7" w:rsidRPr="0042785D">
        <w:t>, 23</w:t>
      </w:r>
      <w:r w:rsidR="00D21E42">
        <w:t> </w:t>
      </w:r>
      <w:r w:rsidR="00170DB7" w:rsidRPr="0042785D">
        <w:t xml:space="preserve">września 1998 r., § 92, Zbiór Wyroków i Decyzji z 1998 r. VII, </w:t>
      </w:r>
      <w:proofErr w:type="spellStart"/>
      <w:r w:rsidR="00170DB7" w:rsidRPr="0042785D">
        <w:rPr>
          <w:i/>
          <w:iCs/>
        </w:rPr>
        <w:t>Açık</w:t>
      </w:r>
      <w:proofErr w:type="spellEnd"/>
      <w:r w:rsidR="00170DB7" w:rsidRPr="0042785D">
        <w:rPr>
          <w:i/>
          <w:iCs/>
        </w:rPr>
        <w:t xml:space="preserve"> i</w:t>
      </w:r>
      <w:r w:rsidR="00D21E42">
        <w:rPr>
          <w:i/>
          <w:iCs/>
        </w:rPr>
        <w:t> </w:t>
      </w:r>
      <w:r w:rsidR="00170DB7" w:rsidRPr="0042785D">
        <w:rPr>
          <w:i/>
          <w:iCs/>
        </w:rPr>
        <w:t>Inni przeciwko Turcji</w:t>
      </w:r>
      <w:r w:rsidR="00170DB7" w:rsidRPr="0042785D">
        <w:t>, nr 3145</w:t>
      </w:r>
      <w:r w:rsidR="006636B1">
        <w:t>1/03, § 40, 13 stycznia 2009 r.</w:t>
      </w:r>
      <w:r w:rsidR="00170DB7" w:rsidRPr="0042785D">
        <w:t xml:space="preserve"> oraz</w:t>
      </w:r>
      <w:r w:rsidR="00D21E42">
        <w:t> </w:t>
      </w:r>
      <w:proofErr w:type="spellStart"/>
      <w:r w:rsidR="00170DB7" w:rsidRPr="0042785D">
        <w:rPr>
          <w:i/>
          <w:iCs/>
        </w:rPr>
        <w:t>Karácsony</w:t>
      </w:r>
      <w:proofErr w:type="spellEnd"/>
      <w:r w:rsidR="00170DB7" w:rsidRPr="0042785D">
        <w:rPr>
          <w:i/>
          <w:iCs/>
        </w:rPr>
        <w:t xml:space="preserve"> i</w:t>
      </w:r>
      <w:r w:rsidR="0042785D" w:rsidRPr="0042785D">
        <w:rPr>
          <w:i/>
          <w:iCs/>
        </w:rPr>
        <w:t> </w:t>
      </w:r>
      <w:r w:rsidR="00170DB7" w:rsidRPr="0042785D">
        <w:rPr>
          <w:i/>
          <w:iCs/>
        </w:rPr>
        <w:t>Inni przeciwko Węgrom</w:t>
      </w:r>
      <w:r w:rsidR="00170DB7" w:rsidRPr="0042785D">
        <w:t xml:space="preserve"> [WI], nr 42461/13 i 44357/13, </w:t>
      </w:r>
      <w:r w:rsidR="00170DB7" w:rsidRPr="0042785D">
        <w:rPr>
          <w:snapToGrid w:val="0"/>
        </w:rPr>
        <w:t>§</w:t>
      </w:r>
      <w:r w:rsidR="00D21E42">
        <w:rPr>
          <w:snapToGrid w:val="0"/>
        </w:rPr>
        <w:t> </w:t>
      </w:r>
      <w:r w:rsidR="00170DB7" w:rsidRPr="0042785D">
        <w:rPr>
          <w:snapToGrid w:val="0"/>
        </w:rPr>
        <w:t>120,</w:t>
      </w:r>
      <w:r w:rsidR="00170DB7" w:rsidRPr="0042785D">
        <w:t xml:space="preserve"> 17 maja 2016 r.). Z tego względu okoliczności faktyczne niniejszej sprawy mieszczą się w</w:t>
      </w:r>
      <w:r w:rsidR="0042785D" w:rsidRPr="0042785D">
        <w:t> </w:t>
      </w:r>
      <w:r w:rsidR="00170DB7" w:rsidRPr="0042785D">
        <w:t>zakresie art. 10.</w:t>
      </w:r>
    </w:p>
    <w:p w:rsidR="00156DAC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59</w:t>
      </w:r>
      <w:r>
        <w:rPr>
          <w:noProof/>
        </w:rPr>
        <w:fldChar w:fldCharType="end"/>
      </w:r>
      <w:r w:rsidR="00156DAC" w:rsidRPr="0042785D">
        <w:t>.  Trybunał zauważa również, że ta część skargi nie jest w sposób oczywisty nieuzasadniona w rozumieniu art. 35 ust. 3 Konwencji. Nie jest ona też niedopuszczalna na jakiejkolwiek innej podstawie. Należy ją zatem uznać za dopuszczalną.</w:t>
      </w:r>
    </w:p>
    <w:p w:rsidR="00EC06F8" w:rsidRPr="0042785D" w:rsidRDefault="00DC6743" w:rsidP="00E00528">
      <w:pPr>
        <w:pStyle w:val="ECHRHeading2"/>
      </w:pPr>
      <w:r w:rsidRPr="0042785D">
        <w:t>B.  </w:t>
      </w:r>
      <w:r w:rsidR="00376AA3">
        <w:t>Przedmiot skargi</w:t>
      </w:r>
    </w:p>
    <w:p w:rsidR="00EC06F8" w:rsidRPr="0042785D" w:rsidRDefault="00DC6743" w:rsidP="00E00528">
      <w:pPr>
        <w:pStyle w:val="ECHRHeading3"/>
      </w:pPr>
      <w:r w:rsidRPr="0042785D">
        <w:t>1.  Stanowiska stron</w:t>
      </w:r>
    </w:p>
    <w:p w:rsidR="00765FB3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60</w:t>
      </w:r>
      <w:r>
        <w:rPr>
          <w:noProof/>
        </w:rPr>
        <w:fldChar w:fldCharType="end"/>
      </w:r>
      <w:r w:rsidR="00156843" w:rsidRPr="0042785D">
        <w:t xml:space="preserve">.  Skarżący twierdził, że nałożona na niego kara za wyrażanie poglądów była zbyt surowa. Jego wypowiedzi zostały złożone w atmosferze podwyższonego napięcia podczas rozprawy w bardzo </w:t>
      </w:r>
      <w:r w:rsidR="000311DF">
        <w:t>drażliwej politycznie</w:t>
      </w:r>
      <w:r w:rsidR="00156843" w:rsidRPr="0042785D">
        <w:t xml:space="preserve"> sprawie</w:t>
      </w:r>
      <w:r w:rsidR="000311DF">
        <w:t>,</w:t>
      </w:r>
      <w:r w:rsidR="00156843" w:rsidRPr="0042785D">
        <w:t xml:space="preserve"> dotyczącej przywódców byłego reżimu. Skarżący, który był najmłodszą osobą internowaną w okresie stanu wojennego i który dotkliwie ucierpiał wskutek represji komunistycznych, był mocno poruszony procesem i </w:t>
      </w:r>
      <w:r w:rsidR="000311DF">
        <w:t>odczuwał</w:t>
      </w:r>
      <w:r w:rsidR="00156843" w:rsidRPr="0042785D">
        <w:t xml:space="preserve"> silne poczucie niesprawiedliwości, bowiem proces trwał wiele lat, został przeprowadzony pod nieobecność głównego oskarżonego, a prokurator wnosił o orzeczenie wobec jednego z</w:t>
      </w:r>
      <w:r w:rsidR="00D21E42">
        <w:t> </w:t>
      </w:r>
      <w:r w:rsidR="00156843" w:rsidRPr="0042785D">
        <w:t xml:space="preserve">oskarżonych </w:t>
      </w:r>
      <w:r w:rsidR="000311DF">
        <w:t>łagodnej</w:t>
      </w:r>
      <w:r w:rsidR="00156843" w:rsidRPr="0042785D">
        <w:t xml:space="preserve"> (zdaniem skarżącego) kary.</w:t>
      </w:r>
    </w:p>
    <w:p w:rsidR="00D11EF0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61</w:t>
      </w:r>
      <w:r>
        <w:rPr>
          <w:noProof/>
        </w:rPr>
        <w:fldChar w:fldCharType="end"/>
      </w:r>
      <w:r w:rsidR="00D11EF0" w:rsidRPr="0042785D">
        <w:t>.  Rząd wywodził, że nie doszło do naruszenia art. 10 Konwencji, albowiem ograniczenie wolności wyrażania opinii skarżącego było konieczne w społeczeństwie demokratycznym celem za</w:t>
      </w:r>
      <w:r w:rsidR="00BC79DE">
        <w:t>gw</w:t>
      </w:r>
      <w:r w:rsidR="00D5364D">
        <w:t>a</w:t>
      </w:r>
      <w:r w:rsidR="00BC79DE">
        <w:t>rantowania</w:t>
      </w:r>
      <w:r w:rsidR="00D11EF0" w:rsidRPr="0042785D">
        <w:t xml:space="preserve"> </w:t>
      </w:r>
      <w:r w:rsidR="000933CC">
        <w:t>powagi i bezstronności władzy sądow</w:t>
      </w:r>
      <w:r w:rsidR="00D11EF0" w:rsidRPr="0042785D">
        <w:t xml:space="preserve">ej i </w:t>
      </w:r>
      <w:r w:rsidR="00DA33E8">
        <w:t xml:space="preserve">było </w:t>
      </w:r>
      <w:r w:rsidR="00DB0C83">
        <w:t>proporcjonalne.</w:t>
      </w:r>
    </w:p>
    <w:p w:rsidR="00A704D3" w:rsidRPr="0042785D" w:rsidRDefault="00E61731" w:rsidP="00E00528">
      <w:pPr>
        <w:pStyle w:val="ECHRHeading3"/>
      </w:pPr>
      <w:r w:rsidRPr="0042785D">
        <w:t>2.  Ocena Trybunału</w:t>
      </w:r>
    </w:p>
    <w:p w:rsidR="00EC06F8" w:rsidRPr="0042785D" w:rsidRDefault="00EC06F8" w:rsidP="00E00528">
      <w:pPr>
        <w:pStyle w:val="ECHRHeading4"/>
      </w:pPr>
      <w:r w:rsidRPr="0042785D">
        <w:t>a)  Ogólne zasady</w:t>
      </w:r>
    </w:p>
    <w:p w:rsidR="00976A3A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62</w:t>
      </w:r>
      <w:r>
        <w:rPr>
          <w:noProof/>
        </w:rPr>
        <w:fldChar w:fldCharType="end"/>
      </w:r>
      <w:r w:rsidR="00EC06F8" w:rsidRPr="0042785D">
        <w:t>.  Ogólne zasady oceny</w:t>
      </w:r>
      <w:r w:rsidR="0042785D" w:rsidRPr="0042785D">
        <w:t>,</w:t>
      </w:r>
      <w:r w:rsidR="00EC06F8" w:rsidRPr="0042785D">
        <w:t xml:space="preserve"> czy ingerencja w wykonywanie prawa do</w:t>
      </w:r>
      <w:r w:rsidR="00D21E42">
        <w:t> </w:t>
      </w:r>
      <w:r w:rsidR="00EC06F8" w:rsidRPr="0042785D">
        <w:t xml:space="preserve">wolności wyrażania opinii jest „konieczna w społeczeństwie </w:t>
      </w:r>
      <w:r w:rsidR="00EC06F8" w:rsidRPr="0042785D">
        <w:lastRenderedPageBreak/>
        <w:t xml:space="preserve">demokratycznym” w rozumieniu art. 10 ust. 2 Konwencji, </w:t>
      </w:r>
      <w:r w:rsidR="000311DF">
        <w:t>są ugruntowane</w:t>
      </w:r>
      <w:r w:rsidR="00EC06F8" w:rsidRPr="0042785D">
        <w:t xml:space="preserve"> w orzecznictwie Trybunału. Niedawno zostały </w:t>
      </w:r>
      <w:r w:rsidR="004444F8">
        <w:t>ponownie przedstawione</w:t>
      </w:r>
      <w:r w:rsidR="00EC06F8" w:rsidRPr="0042785D">
        <w:t xml:space="preserve"> w</w:t>
      </w:r>
      <w:r w:rsidR="00D21E42">
        <w:t> </w:t>
      </w:r>
      <w:r w:rsidR="004444F8">
        <w:t>sprawach</w:t>
      </w:r>
      <w:r w:rsidR="00EC06F8" w:rsidRPr="0042785D">
        <w:t xml:space="preserve"> </w:t>
      </w:r>
      <w:proofErr w:type="spellStart"/>
      <w:r w:rsidR="00EC06F8" w:rsidRPr="0042785D">
        <w:rPr>
          <w:i/>
          <w:iCs/>
        </w:rPr>
        <w:t>Pentikäinen</w:t>
      </w:r>
      <w:proofErr w:type="spellEnd"/>
      <w:r w:rsidR="00EC06F8" w:rsidRPr="0042785D">
        <w:rPr>
          <w:i/>
          <w:iCs/>
        </w:rPr>
        <w:t xml:space="preserve"> przeciwko Finlandii</w:t>
      </w:r>
      <w:r w:rsidR="00EC06F8" w:rsidRPr="0042785D">
        <w:t xml:space="preserve"> ([WI], nr 11882/10, §§ 87-88, ETPCz 2015) oraz w </w:t>
      </w:r>
      <w:proofErr w:type="spellStart"/>
      <w:r w:rsidR="00EC06F8" w:rsidRPr="0042785D">
        <w:rPr>
          <w:i/>
          <w:iCs/>
        </w:rPr>
        <w:t>Bédat</w:t>
      </w:r>
      <w:proofErr w:type="spellEnd"/>
      <w:r w:rsidR="00EC06F8" w:rsidRPr="0042785D">
        <w:rPr>
          <w:i/>
          <w:iCs/>
        </w:rPr>
        <w:t xml:space="preserve"> przeciwko Szwajcarii</w:t>
      </w:r>
      <w:r w:rsidR="00EC06F8" w:rsidRPr="0042785D">
        <w:t xml:space="preserve"> ([WI], nr</w:t>
      </w:r>
      <w:r w:rsidR="002F3AF4">
        <w:t> </w:t>
      </w:r>
      <w:r w:rsidR="00EC06F8" w:rsidRPr="0042785D">
        <w:t>56925/08, § 48, 29 marca 2016 r.).</w:t>
      </w:r>
    </w:p>
    <w:p w:rsidR="000700D3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63</w:t>
      </w:r>
      <w:r>
        <w:rPr>
          <w:noProof/>
        </w:rPr>
        <w:fldChar w:fldCharType="end"/>
      </w:r>
      <w:r w:rsidR="00CC33CD" w:rsidRPr="0042785D">
        <w:t>.  Ponadto Trybunał zauważył, że wyrażenie „</w:t>
      </w:r>
      <w:r w:rsidR="00BC79DE">
        <w:t>powaga</w:t>
      </w:r>
      <w:r w:rsidR="00CC33CD" w:rsidRPr="0042785D">
        <w:t xml:space="preserve"> władzy sądow</w:t>
      </w:r>
      <w:r w:rsidR="00BC79DE">
        <w:t>ej</w:t>
      </w:r>
      <w:r w:rsidR="00CC33CD" w:rsidRPr="0042785D">
        <w:t xml:space="preserve">” obejmuje w szczególności pogląd, że sądy są właściwym miejscem do rozstrzygania sporów sądowych oraz do rozstrzygania o winie lub niewinności w sprawach karnych, a także są powszechnie za takie uznawane. </w:t>
      </w:r>
      <w:r w:rsidR="00BC79DE" w:rsidRPr="000D331E">
        <w:t>T</w:t>
      </w:r>
      <w:r w:rsidR="000D331E" w:rsidRPr="000D331E">
        <w:t>ym, czemu służy ochrona</w:t>
      </w:r>
      <w:r w:rsidR="00CC33CD" w:rsidRPr="000D331E">
        <w:t xml:space="preserve"> </w:t>
      </w:r>
      <w:r w:rsidR="00BC79DE" w:rsidRPr="000D331E">
        <w:t xml:space="preserve">powagi </w:t>
      </w:r>
      <w:r w:rsidR="00CC33CD" w:rsidRPr="000D331E">
        <w:t>władzy sądow</w:t>
      </w:r>
      <w:r w:rsidR="00BC79DE" w:rsidRPr="000D331E">
        <w:t>ej,</w:t>
      </w:r>
      <w:r w:rsidR="00CC33CD" w:rsidRPr="000D331E">
        <w:t xml:space="preserve"> jest zaufanie, jak</w:t>
      </w:r>
      <w:r w:rsidR="00CC33CD" w:rsidRPr="0042785D">
        <w:t>ie sądy w społeczeństwie demokratycznym powinny wzbudzać tak w</w:t>
      </w:r>
      <w:r w:rsidR="0042785D" w:rsidRPr="0042785D">
        <w:t> </w:t>
      </w:r>
      <w:r w:rsidR="00CC33CD" w:rsidRPr="0042785D">
        <w:t>oskarżonym w postępowaniu karnym</w:t>
      </w:r>
      <w:r w:rsidR="00420C4F">
        <w:t>,</w:t>
      </w:r>
      <w:r w:rsidR="00CC33CD" w:rsidRPr="0042785D">
        <w:t xml:space="preserve"> jak i w szeroko pojętym społeczeństwie (zob. </w:t>
      </w:r>
      <w:proofErr w:type="spellStart"/>
      <w:r w:rsidR="00CC33CD" w:rsidRPr="0042785D">
        <w:rPr>
          <w:i/>
          <w:iCs/>
        </w:rPr>
        <w:t>Kyprianou</w:t>
      </w:r>
      <w:proofErr w:type="spellEnd"/>
      <w:r w:rsidR="00CC33CD" w:rsidRPr="0042785D">
        <w:rPr>
          <w:i/>
          <w:iCs/>
        </w:rPr>
        <w:t xml:space="preserve">, </w:t>
      </w:r>
      <w:r w:rsidR="00987678" w:rsidRPr="00987678">
        <w:rPr>
          <w:iCs/>
        </w:rPr>
        <w:t>cyt. wyżej</w:t>
      </w:r>
      <w:r w:rsidR="00CC33CD" w:rsidRPr="00987678">
        <w:t>,</w:t>
      </w:r>
      <w:r w:rsidR="00CC33CD" w:rsidRPr="0042785D">
        <w:t xml:space="preserve"> § 172).</w:t>
      </w:r>
    </w:p>
    <w:p w:rsidR="007C33D5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64</w:t>
      </w:r>
      <w:r>
        <w:rPr>
          <w:noProof/>
        </w:rPr>
        <w:fldChar w:fldCharType="end"/>
      </w:r>
      <w:r w:rsidR="000700D3" w:rsidRPr="0042785D">
        <w:t xml:space="preserve">.  Trybunał uznał również, że praca sądów, które są gwarantami sprawiedliwości i które odgrywają fundamentalną rolę w praworządnym państwie, wymaga publicznego zaufania. Powinna być zatem chroniona przed bezpodstawnymi atakami. Sądy, podobnie jak inne instytucje publiczne, podlegają krytyce i kontroli. Należy jednak wyraźnie odróżnić krytykę od zniewagi. Jeżeli wyłączną intencją jakiejkolwiek formy wyrażania opinii jest znieważenie sądu lub członków składu sędziowskiego, odpowiednia kara nie </w:t>
      </w:r>
      <w:r w:rsidR="00987678">
        <w:t>będzie stanowić, co do zasady,</w:t>
      </w:r>
      <w:r w:rsidR="000700D3" w:rsidRPr="0042785D">
        <w:t xml:space="preserve"> naruszenia art. 10 ust.</w:t>
      </w:r>
      <w:r w:rsidR="00D21E42">
        <w:t> </w:t>
      </w:r>
      <w:r w:rsidR="000700D3" w:rsidRPr="0042785D">
        <w:t xml:space="preserve">2 Konwencji (zob. </w:t>
      </w:r>
      <w:r w:rsidR="000700D3" w:rsidRPr="0042785D">
        <w:rPr>
          <w:i/>
          <w:iCs/>
        </w:rPr>
        <w:t>Skałka przeciwko Polsce</w:t>
      </w:r>
      <w:r w:rsidR="000700D3" w:rsidRPr="0042785D">
        <w:t>, nr 43425/98, § 34, 27 maja 2003 r. z dalszymi odniesieniami).</w:t>
      </w:r>
    </w:p>
    <w:p w:rsidR="00D37415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65</w:t>
      </w:r>
      <w:r>
        <w:rPr>
          <w:noProof/>
        </w:rPr>
        <w:fldChar w:fldCharType="end"/>
      </w:r>
      <w:r w:rsidR="00D37415" w:rsidRPr="0042785D">
        <w:t>.  Trybunał musi ustalić, czy zastosowany środek był „proporcjonalny do realizowanych u</w:t>
      </w:r>
      <w:r w:rsidR="00BC79DE">
        <w:t>prawnionych</w:t>
      </w:r>
      <w:r w:rsidR="00D37415" w:rsidRPr="0042785D">
        <w:t xml:space="preserve"> celów”. Dokonując tego, Trybunał musi przekonać się, że władze krajowe, opierając się na akceptowalnej ocenie istotnych faktów, zastosowały standardy zgodne z zasadami ujętymi w</w:t>
      </w:r>
      <w:r w:rsidR="00D21E42">
        <w:t> </w:t>
      </w:r>
      <w:r w:rsidR="00D37415" w:rsidRPr="0042785D">
        <w:t>art.</w:t>
      </w:r>
      <w:r w:rsidR="00D21E42">
        <w:t> </w:t>
      </w:r>
      <w:r w:rsidR="00D37415" w:rsidRPr="0042785D">
        <w:t>10. Ponadto rzetelność postępowania, przyznane gwarancje proceduralne oraz charakter i surowość nałożonych kar to czynniki, które należy wziąć pod uwagę przy ocenie proporcjonalności ingerencji w prawo do wolności wyrażania opinii zagwarantowane przez art. 10 (zob.</w:t>
      </w:r>
      <w:r w:rsidR="00D21E42">
        <w:t> </w:t>
      </w:r>
      <w:proofErr w:type="spellStart"/>
      <w:r w:rsidR="00D37415" w:rsidRPr="0042785D">
        <w:rPr>
          <w:i/>
          <w:iCs/>
        </w:rPr>
        <w:t>Kyprianou</w:t>
      </w:r>
      <w:proofErr w:type="spellEnd"/>
      <w:r w:rsidR="00D37415" w:rsidRPr="0042785D">
        <w:t xml:space="preserve">, </w:t>
      </w:r>
      <w:r w:rsidR="00987678" w:rsidRPr="00987678">
        <w:rPr>
          <w:iCs/>
        </w:rPr>
        <w:t>cyt. wyżej,</w:t>
      </w:r>
      <w:r w:rsidR="00D37415" w:rsidRPr="0042785D">
        <w:t xml:space="preserve"> §</w:t>
      </w:r>
      <w:r w:rsidR="0042785D" w:rsidRPr="0042785D">
        <w:t> </w:t>
      </w:r>
      <w:r w:rsidR="00D37415" w:rsidRPr="0042785D">
        <w:t xml:space="preserve">171 oraz </w:t>
      </w:r>
      <w:proofErr w:type="spellStart"/>
      <w:r w:rsidR="00D37415" w:rsidRPr="0042785D">
        <w:rPr>
          <w:i/>
          <w:iCs/>
        </w:rPr>
        <w:t>Karácsony</w:t>
      </w:r>
      <w:proofErr w:type="spellEnd"/>
      <w:r w:rsidR="00D37415" w:rsidRPr="0042785D">
        <w:rPr>
          <w:i/>
          <w:iCs/>
        </w:rPr>
        <w:t xml:space="preserve"> i Inni</w:t>
      </w:r>
      <w:r w:rsidR="00D37415" w:rsidRPr="0042785D">
        <w:t xml:space="preserve">, </w:t>
      </w:r>
      <w:r w:rsidR="00987678" w:rsidRPr="00987678">
        <w:rPr>
          <w:iCs/>
        </w:rPr>
        <w:t>cyt. wyżej,</w:t>
      </w:r>
      <w:r w:rsidR="00D37415" w:rsidRPr="0042785D">
        <w:t xml:space="preserve"> </w:t>
      </w:r>
      <w:r w:rsidR="00D37415" w:rsidRPr="0042785D">
        <w:rPr>
          <w:snapToGrid w:val="0"/>
        </w:rPr>
        <w:t>§ 133</w:t>
      </w:r>
      <w:r w:rsidR="00D37415" w:rsidRPr="0042785D">
        <w:t>, z dalszymi odniesieniami).</w:t>
      </w:r>
    </w:p>
    <w:p w:rsidR="00A6170E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66</w:t>
      </w:r>
      <w:r>
        <w:rPr>
          <w:noProof/>
        </w:rPr>
        <w:fldChar w:fldCharType="end"/>
      </w:r>
      <w:r w:rsidR="00A6170E" w:rsidRPr="0042785D">
        <w:t xml:space="preserve">.  Praworządność będąca jedną z fundamentalnych zasad społeczeństwa demokratycznego </w:t>
      </w:r>
      <w:r w:rsidR="008258CD">
        <w:t>jest nieodłączną częścią wszystkich artykułów</w:t>
      </w:r>
      <w:r w:rsidR="00A6170E" w:rsidRPr="0042785D">
        <w:t xml:space="preserve"> Konwencji. Zakłada ona m.in. istnienie w prawie krajowym środka ochrony prawnej przed arbitralnymi ingerencjami władz publicznych w prawa </w:t>
      </w:r>
      <w:r w:rsidR="00987678">
        <w:t>chronione Konwencją</w:t>
      </w:r>
      <w:r w:rsidR="00A6170E" w:rsidRPr="0042785D">
        <w:t xml:space="preserve"> (</w:t>
      </w:r>
      <w:r w:rsidR="00A6170E" w:rsidRPr="0042785D">
        <w:rPr>
          <w:i/>
          <w:iCs/>
        </w:rPr>
        <w:t>ibid.</w:t>
      </w:r>
      <w:r w:rsidR="00A6170E" w:rsidRPr="0042785D">
        <w:t>, § 156, z dalszymi odniesieniami).</w:t>
      </w:r>
    </w:p>
    <w:p w:rsidR="00A704D3" w:rsidRPr="0042785D" w:rsidRDefault="00EC06F8" w:rsidP="00E00528">
      <w:pPr>
        <w:pStyle w:val="ECHRHeading4"/>
      </w:pPr>
      <w:r w:rsidRPr="0042785D">
        <w:t>b)</w:t>
      </w:r>
      <w:r w:rsidRPr="0042785D">
        <w:tab/>
        <w:t>Zastosowanie powyższych zasad w niniejszej sprawie</w:t>
      </w:r>
    </w:p>
    <w:p w:rsidR="00CC33CD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67</w:t>
      </w:r>
      <w:r>
        <w:rPr>
          <w:noProof/>
        </w:rPr>
        <w:fldChar w:fldCharType="end"/>
      </w:r>
      <w:r w:rsidR="00331028" w:rsidRPr="0042785D">
        <w:t xml:space="preserve">.  Zdaniem Trybunału skarżący ucierpiał w wyniku nałożenia na niego kary pozbawienia wolności w wymiarze czternastu dni za zakłócenie czynności sądowych poprzez wykrzykiwanie haseł zza </w:t>
      </w:r>
      <w:r w:rsidR="00987678">
        <w:t>stołu</w:t>
      </w:r>
      <w:r w:rsidR="00331028" w:rsidRPr="0042785D">
        <w:t xml:space="preserve"> sędziowskie</w:t>
      </w:r>
      <w:r w:rsidR="00987678">
        <w:t>go</w:t>
      </w:r>
      <w:r w:rsidR="00331028" w:rsidRPr="0042785D">
        <w:t xml:space="preserve">, co stanowiło ingerencję w jego wolność wyrażania opinii. Strony są zgodne </w:t>
      </w:r>
      <w:r w:rsidR="00331028" w:rsidRPr="0042785D">
        <w:lastRenderedPageBreak/>
        <w:t>co do tego, że przedmiotowa ingerencja była zgodna z prawem (art. 49 ustawy Prawo o ustroju sądów powszechnych, zob. paragraf 33 powyżej) oraz ukierunkowana na realizację u</w:t>
      </w:r>
      <w:r w:rsidR="008258CD">
        <w:t>prawnionego</w:t>
      </w:r>
      <w:r w:rsidR="00331028" w:rsidRPr="0042785D">
        <w:t xml:space="preserve"> celu, jakim jest ochrona </w:t>
      </w:r>
      <w:r w:rsidR="008258CD">
        <w:t>powagi</w:t>
      </w:r>
      <w:r w:rsidR="00331028" w:rsidRPr="0042785D">
        <w:t xml:space="preserve"> i zaufania społeczeństwa do sądów (zob., </w:t>
      </w:r>
      <w:r w:rsidR="00331028" w:rsidRPr="0042785D">
        <w:rPr>
          <w:i/>
          <w:iCs/>
        </w:rPr>
        <w:t xml:space="preserve">mutatis mutandis, Skałka, </w:t>
      </w:r>
      <w:r w:rsidR="00862489" w:rsidRPr="00862489">
        <w:rPr>
          <w:iCs/>
        </w:rPr>
        <w:t>cyt. wyżej,</w:t>
      </w:r>
      <w:r w:rsidR="00862489">
        <w:t xml:space="preserve"> § 30 i 31</w:t>
      </w:r>
      <w:r w:rsidR="00331028" w:rsidRPr="0042785D">
        <w:t xml:space="preserve"> oraz </w:t>
      </w:r>
      <w:proofErr w:type="spellStart"/>
      <w:r w:rsidR="00331028" w:rsidRPr="0042785D">
        <w:rPr>
          <w:i/>
          <w:iCs/>
        </w:rPr>
        <w:t>Kyprianou</w:t>
      </w:r>
      <w:proofErr w:type="spellEnd"/>
      <w:r w:rsidR="00331028" w:rsidRPr="0042785D">
        <w:rPr>
          <w:i/>
          <w:iCs/>
        </w:rPr>
        <w:t xml:space="preserve">, </w:t>
      </w:r>
      <w:r w:rsidR="00862489" w:rsidRPr="00862489">
        <w:rPr>
          <w:iCs/>
        </w:rPr>
        <w:t>cyt. wyżej,</w:t>
      </w:r>
      <w:r w:rsidR="00331028" w:rsidRPr="0042785D">
        <w:t xml:space="preserve"> § 168).</w:t>
      </w:r>
    </w:p>
    <w:p w:rsidR="007C33D5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68</w:t>
      </w:r>
      <w:r>
        <w:rPr>
          <w:noProof/>
        </w:rPr>
        <w:fldChar w:fldCharType="end"/>
      </w:r>
      <w:r w:rsidR="00FE2E3D" w:rsidRPr="0042785D">
        <w:t>.  Z drugiej strony Trybunał stwierdził powyżej, że postępowanie, któr</w:t>
      </w:r>
      <w:r w:rsidR="00862489">
        <w:t>e</w:t>
      </w:r>
      <w:r w:rsidR="00FE2E3D" w:rsidRPr="0042785D">
        <w:t xml:space="preserve"> doprowadziło do ingerencji, nie </w:t>
      </w:r>
      <w:r w:rsidR="00862489">
        <w:t>było zgodne z</w:t>
      </w:r>
      <w:r w:rsidR="00FE2E3D" w:rsidRPr="0042785D">
        <w:t xml:space="preserve"> wymog</w:t>
      </w:r>
      <w:r w:rsidR="00862489">
        <w:t>ami</w:t>
      </w:r>
      <w:r w:rsidR="00FE2E3D" w:rsidRPr="0042785D">
        <w:t xml:space="preserve"> art. 6 Konwencji (zob. paragraf 51 powyżej).</w:t>
      </w:r>
    </w:p>
    <w:p w:rsidR="007C33D5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69</w:t>
      </w:r>
      <w:r>
        <w:rPr>
          <w:noProof/>
        </w:rPr>
        <w:fldChar w:fldCharType="end"/>
      </w:r>
      <w:r w:rsidR="005C686D" w:rsidRPr="0042785D">
        <w:t xml:space="preserve">.  W świetle uchybień w </w:t>
      </w:r>
      <w:r w:rsidR="00862489">
        <w:t>przedmiotowym</w:t>
      </w:r>
      <w:r w:rsidR="005C686D" w:rsidRPr="0042785D">
        <w:t xml:space="preserve"> postępowaniu Trybunał nie</w:t>
      </w:r>
      <w:r w:rsidR="00D21E42">
        <w:t> </w:t>
      </w:r>
      <w:r w:rsidR="005C686D" w:rsidRPr="0042785D">
        <w:t xml:space="preserve">może uznać, że ograniczeniu prawa skarżącego do wolności wyrażania opinii towarzyszyły </w:t>
      </w:r>
      <w:r w:rsidR="008258CD">
        <w:t>skuteczne</w:t>
      </w:r>
      <w:r w:rsidR="005C686D" w:rsidRPr="0042785D">
        <w:t xml:space="preserve"> i odpowiednie zabezpieczenia przeciwko nadużyciom (zob. </w:t>
      </w:r>
      <w:r w:rsidR="005C686D" w:rsidRPr="0042785D">
        <w:rPr>
          <w:i/>
          <w:iCs/>
        </w:rPr>
        <w:t xml:space="preserve">mutatis mutandis, </w:t>
      </w:r>
      <w:proofErr w:type="spellStart"/>
      <w:r w:rsidR="005C686D" w:rsidRPr="0042785D">
        <w:rPr>
          <w:i/>
          <w:iCs/>
        </w:rPr>
        <w:t>Karácsony</w:t>
      </w:r>
      <w:proofErr w:type="spellEnd"/>
      <w:r w:rsidR="005C686D" w:rsidRPr="0042785D">
        <w:rPr>
          <w:i/>
          <w:iCs/>
        </w:rPr>
        <w:t xml:space="preserve"> i Inni, </w:t>
      </w:r>
      <w:r w:rsidR="00862489" w:rsidRPr="00862489">
        <w:rPr>
          <w:iCs/>
        </w:rPr>
        <w:t>cyt. powyżej,</w:t>
      </w:r>
      <w:r w:rsidR="005C686D" w:rsidRPr="0042785D">
        <w:t xml:space="preserve"> § 151).</w:t>
      </w:r>
    </w:p>
    <w:p w:rsidR="00AB3204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70</w:t>
      </w:r>
      <w:r>
        <w:rPr>
          <w:noProof/>
        </w:rPr>
        <w:fldChar w:fldCharType="end"/>
      </w:r>
      <w:r w:rsidR="00AB3204" w:rsidRPr="0042785D">
        <w:t>.  Mając na względzie powyższe</w:t>
      </w:r>
      <w:r w:rsidR="008258CD">
        <w:t>,</w:t>
      </w:r>
      <w:r w:rsidR="00AB3204" w:rsidRPr="0042785D">
        <w:t xml:space="preserve"> Trybunał uważa, że</w:t>
      </w:r>
      <w:r w:rsidR="002F3AF4">
        <w:t> </w:t>
      </w:r>
      <w:r w:rsidR="00AB3204" w:rsidRPr="0042785D">
        <w:t>w</w:t>
      </w:r>
      <w:r w:rsidR="002F3AF4">
        <w:t> </w:t>
      </w:r>
      <w:r w:rsidR="00AB3204" w:rsidRPr="0042785D">
        <w:t>okolicznościach niniejszej sprawy kwestionowana ingerencja w prawo skarżącego do wolności wyrażania opinii nie była konieczna w</w:t>
      </w:r>
      <w:r w:rsidR="00D21E42">
        <w:t> </w:t>
      </w:r>
      <w:r w:rsidR="00AB3204" w:rsidRPr="0042785D">
        <w:t>społeczeństwie demokratycznym, ponieważ nie towarzyszyły jej odpowiednie gwarancje proceduralne. Nie ma zatem konieczności badania innych aspektów proporcjonalności, takich jak forma czy treść wypowiedzi skarżącego, kontekst, w jakim zos</w:t>
      </w:r>
      <w:r w:rsidR="00862489">
        <w:t>tała ona złożona, ani charakter</w:t>
      </w:r>
      <w:r w:rsidR="00AB3204" w:rsidRPr="0042785D">
        <w:t xml:space="preserve"> i</w:t>
      </w:r>
      <w:r w:rsidR="002F3AF4">
        <w:t> </w:t>
      </w:r>
      <w:r w:rsidR="00AB3204" w:rsidRPr="0042785D">
        <w:t>dotkliwoś</w:t>
      </w:r>
      <w:r w:rsidR="00862489">
        <w:t>ć</w:t>
      </w:r>
      <w:r w:rsidR="00AB3204" w:rsidRPr="0042785D">
        <w:t xml:space="preserve"> nałożonych kar (por. </w:t>
      </w:r>
      <w:r w:rsidR="00AB3204" w:rsidRPr="0042785D">
        <w:rPr>
          <w:i/>
          <w:iCs/>
        </w:rPr>
        <w:t xml:space="preserve">Skałka, </w:t>
      </w:r>
      <w:r w:rsidR="00862489" w:rsidRPr="00862489">
        <w:rPr>
          <w:iCs/>
        </w:rPr>
        <w:t>cyt. wyżej,</w:t>
      </w:r>
      <w:r w:rsidR="00AB3204" w:rsidRPr="0042785D">
        <w:t xml:space="preserve"> §§ 35 i 38, z dalszymi odniesieniami).</w:t>
      </w:r>
    </w:p>
    <w:p w:rsidR="00AB3204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71</w:t>
      </w:r>
      <w:r>
        <w:rPr>
          <w:noProof/>
        </w:rPr>
        <w:fldChar w:fldCharType="end"/>
      </w:r>
      <w:r w:rsidR="00AB3204" w:rsidRPr="0042785D">
        <w:t>.  Trybunał stwierdza, że w tym zakresie doszło do naruszenia art. 10 Konwencji.</w:t>
      </w:r>
    </w:p>
    <w:p w:rsidR="00605449" w:rsidRPr="0042785D" w:rsidRDefault="00605449" w:rsidP="00E00528">
      <w:pPr>
        <w:pStyle w:val="ECHRHeading1"/>
      </w:pPr>
      <w:r w:rsidRPr="0042785D">
        <w:t>III.  </w:t>
      </w:r>
      <w:r w:rsidR="00862489">
        <w:t>ZARZUCANE</w:t>
      </w:r>
      <w:r w:rsidRPr="0042785D">
        <w:t xml:space="preserve"> NARUSZENIE ART. 5 UST. 4 KONWENCJI</w:t>
      </w:r>
    </w:p>
    <w:p w:rsidR="00605449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72</w:t>
      </w:r>
      <w:r>
        <w:rPr>
          <w:noProof/>
        </w:rPr>
        <w:fldChar w:fldCharType="end"/>
      </w:r>
      <w:r w:rsidR="00605449" w:rsidRPr="0042785D">
        <w:t xml:space="preserve">.  Skarżący </w:t>
      </w:r>
      <w:r w:rsidR="00862489">
        <w:t>podniósł</w:t>
      </w:r>
      <w:r w:rsidR="00605449" w:rsidRPr="0042785D">
        <w:t xml:space="preserve"> również, że </w:t>
      </w:r>
      <w:r w:rsidR="00862489">
        <w:t>nałożona na niego kara</w:t>
      </w:r>
      <w:r w:rsidR="00605449" w:rsidRPr="0042785D">
        <w:t xml:space="preserve"> </w:t>
      </w:r>
      <w:r w:rsidR="00862489">
        <w:t>została wykonana</w:t>
      </w:r>
      <w:r w:rsidR="008258CD">
        <w:t>,</w:t>
      </w:r>
      <w:r w:rsidR="00605449" w:rsidRPr="0042785D">
        <w:t xml:space="preserve"> zanim sąd odwoławczy rozpoznał </w:t>
      </w:r>
      <w:r w:rsidR="00862489">
        <w:t>złożone</w:t>
      </w:r>
      <w:r w:rsidR="00605449" w:rsidRPr="0042785D">
        <w:t xml:space="preserve"> przez niego zażalenie. W istocie skarżył się na brak niezwłocznego rozpoznania </w:t>
      </w:r>
      <w:r w:rsidR="00CE25AE">
        <w:t>zażalenia co</w:t>
      </w:r>
      <w:r w:rsidR="00D21E42">
        <w:t> </w:t>
      </w:r>
      <w:r w:rsidR="00CE25AE">
        <w:t>do</w:t>
      </w:r>
      <w:r w:rsidR="00D21E42">
        <w:t> </w:t>
      </w:r>
      <w:r w:rsidR="00605449" w:rsidRPr="0042785D">
        <w:t>legalności pozbawienia go wolności.</w:t>
      </w:r>
    </w:p>
    <w:p w:rsidR="00605449" w:rsidRPr="0042785D" w:rsidRDefault="00FC14E4" w:rsidP="00E00528">
      <w:pPr>
        <w:pStyle w:val="ECHRPara"/>
        <w:rPr>
          <w:snapToGrid w:val="0"/>
        </w:rPr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73</w:t>
      </w:r>
      <w:r>
        <w:rPr>
          <w:noProof/>
        </w:rPr>
        <w:fldChar w:fldCharType="end"/>
      </w:r>
      <w:r w:rsidR="00605449" w:rsidRPr="0042785D">
        <w:t>.  Mając na względzie powyższe ustalenia, że</w:t>
      </w:r>
      <w:r w:rsidR="002F3AF4">
        <w:t> </w:t>
      </w:r>
      <w:r w:rsidR="00605449" w:rsidRPr="0042785D">
        <w:t>nałożenie na skarżącego kary za obrazę sądu w okolicznościach przedmiotowej sprawy stanowiło naruszenie art. 6 i 10 Konwencji, w</w:t>
      </w:r>
      <w:r w:rsidR="0042785D" w:rsidRPr="0042785D">
        <w:t> </w:t>
      </w:r>
      <w:r w:rsidR="00605449" w:rsidRPr="0042785D">
        <w:t xml:space="preserve">szczególności </w:t>
      </w:r>
      <w:r w:rsidR="00CE25AE">
        <w:t>uwzględniając uwagi</w:t>
      </w:r>
      <w:r w:rsidR="00605449" w:rsidRPr="0042785D">
        <w:t xml:space="preserve"> zawarte w paragrafach 50, 51 i 70 powyżej, Trybunał stwierdza, że</w:t>
      </w:r>
      <w:r w:rsidR="00CE25AE">
        <w:t xml:space="preserve"> </w:t>
      </w:r>
      <w:r w:rsidR="00605449" w:rsidRPr="0042785D">
        <w:t xml:space="preserve">niniejsza sprawa nie </w:t>
      </w:r>
      <w:r w:rsidR="00CE25AE">
        <w:t>podnosi odrębnej kwestii z</w:t>
      </w:r>
      <w:r w:rsidR="00605449" w:rsidRPr="0042785D">
        <w:t xml:space="preserve"> art. 5 ust. 4.</w:t>
      </w:r>
    </w:p>
    <w:p w:rsidR="00076C30" w:rsidRPr="0042785D" w:rsidRDefault="009B3ACD" w:rsidP="00E00528">
      <w:pPr>
        <w:pStyle w:val="ECHRHeading1"/>
        <w:ind w:left="0" w:firstLine="0"/>
      </w:pPr>
      <w:r w:rsidRPr="0042785D">
        <w:t>IV.  ZASTOSOWANIE ART. 41 KONWENCJI</w:t>
      </w:r>
    </w:p>
    <w:p w:rsidR="00076C30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74</w:t>
      </w:r>
      <w:r>
        <w:rPr>
          <w:noProof/>
        </w:rPr>
        <w:fldChar w:fldCharType="end"/>
      </w:r>
      <w:r w:rsidR="00A50B57" w:rsidRPr="0042785D">
        <w:t>.  Art</w:t>
      </w:r>
      <w:r w:rsidR="0042785D" w:rsidRPr="0042785D">
        <w:t>ykuł</w:t>
      </w:r>
      <w:r w:rsidR="00A50B57" w:rsidRPr="0042785D">
        <w:t> 41 Konwencji stanowi:</w:t>
      </w:r>
    </w:p>
    <w:p w:rsidR="00076C30" w:rsidRPr="0042785D" w:rsidRDefault="00076C30" w:rsidP="00E00528">
      <w:pPr>
        <w:pStyle w:val="ECHRParaQuote"/>
        <w:keepNext/>
        <w:keepLines/>
      </w:pPr>
      <w:r w:rsidRPr="0042785D">
        <w:lastRenderedPageBreak/>
        <w:t>„Je</w:t>
      </w:r>
      <w:r w:rsidR="008258CD">
        <w:t>śli</w:t>
      </w:r>
      <w:r w:rsidRPr="0042785D">
        <w:t xml:space="preserve"> Trybunał stwierdzi, że nastąpiło naruszenie Konwencji lub jej protokołów, oraz je</w:t>
      </w:r>
      <w:r w:rsidR="008258CD">
        <w:t>śli</w:t>
      </w:r>
      <w:r w:rsidRPr="0042785D">
        <w:t xml:space="preserve"> prawo wewnętrzne zainteresowanej Wysokiej Układającej się Strony pozwala tylko na częściowe usunięcie konsekwencji tego naruszenia, Trybunał orzeka, gdy zachodzi potrzeba, słuszne zadośćuczynieni</w:t>
      </w:r>
      <w:r w:rsidR="008258CD">
        <w:t>e</w:t>
      </w:r>
      <w:r w:rsidRPr="0042785D">
        <w:t xml:space="preserve"> pokrzywdzonej stronie”.</w:t>
      </w:r>
    </w:p>
    <w:p w:rsidR="00076C30" w:rsidRPr="0042785D" w:rsidRDefault="00076C30" w:rsidP="00E00528">
      <w:pPr>
        <w:pStyle w:val="ECHRHeading2"/>
      </w:pPr>
      <w:r w:rsidRPr="0042785D">
        <w:t>A.  Szkoda</w:t>
      </w:r>
    </w:p>
    <w:p w:rsidR="00076C30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75</w:t>
      </w:r>
      <w:r>
        <w:rPr>
          <w:noProof/>
        </w:rPr>
        <w:fldChar w:fldCharType="end"/>
      </w:r>
      <w:r w:rsidR="00A50B57" w:rsidRPr="0042785D">
        <w:t xml:space="preserve">.  Skarżący domagał się kwoty 30 000 euro (EUR) z tytułu poniesionej przez niego szkody. Wyjaśnił m.in., że </w:t>
      </w:r>
      <w:r w:rsidR="000C5E0B">
        <w:t>był</w:t>
      </w:r>
      <w:r w:rsidR="00A50B57" w:rsidRPr="0042785D">
        <w:t xml:space="preserve"> ofiarą reżimu komunistycznego, a od czasu jego upadku był znanym i aktywnym obrońcą praw człowieka i</w:t>
      </w:r>
      <w:r w:rsidR="0042785D" w:rsidRPr="0042785D">
        <w:t> </w:t>
      </w:r>
      <w:r w:rsidR="00A50B57" w:rsidRPr="0042785D">
        <w:t>politykiem. Wyznawał wartości społeczeństwa demokratycznego i z tego względu poczuł się szczególnie dotknięty, gdy sąd krajowy ukarał go za</w:t>
      </w:r>
      <w:r w:rsidR="00D21E42">
        <w:t> </w:t>
      </w:r>
      <w:r w:rsidR="00A50B57" w:rsidRPr="0042785D">
        <w:t>korzystanie z prawa do wolności wyrażania opinii.</w:t>
      </w:r>
    </w:p>
    <w:p w:rsidR="00076C30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76</w:t>
      </w:r>
      <w:r>
        <w:rPr>
          <w:noProof/>
        </w:rPr>
        <w:fldChar w:fldCharType="end"/>
      </w:r>
      <w:r w:rsidR="00A50B57" w:rsidRPr="0042785D">
        <w:t>.  Rząd uznał to żądanie za wygórowane.</w:t>
      </w:r>
    </w:p>
    <w:p w:rsidR="00076C30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77</w:t>
      </w:r>
      <w:r>
        <w:rPr>
          <w:noProof/>
        </w:rPr>
        <w:fldChar w:fldCharType="end"/>
      </w:r>
      <w:r w:rsidR="00A50B57" w:rsidRPr="0042785D">
        <w:t xml:space="preserve">.  Trybunał uznaje, że skarżący poniósł szkodę niemajątkową, która nie zostałaby </w:t>
      </w:r>
      <w:r w:rsidR="000C5E0B">
        <w:t>wystarczająco zrekompensowana</w:t>
      </w:r>
      <w:r w:rsidR="00A50B57" w:rsidRPr="0042785D">
        <w:t xml:space="preserve"> przez samo stwierdzenie naruszenia Konwencji. Biorąc pod uwagę okoliczności sprawy oraz</w:t>
      </w:r>
      <w:r w:rsidR="00D21E42">
        <w:t> </w:t>
      </w:r>
      <w:r w:rsidR="00A50B57" w:rsidRPr="0042785D">
        <w:t>dokonując oceny na zasadzie słuszności, Trybunał przyznaje skarżącemu z</w:t>
      </w:r>
      <w:r w:rsidR="0042785D">
        <w:t> </w:t>
      </w:r>
      <w:r w:rsidR="00A50B57" w:rsidRPr="0042785D">
        <w:t>tego tytułu kwotę 15 000 euro (EUR).</w:t>
      </w:r>
    </w:p>
    <w:p w:rsidR="00076C30" w:rsidRPr="0042785D" w:rsidRDefault="00076C30" w:rsidP="00E00528">
      <w:pPr>
        <w:pStyle w:val="ECHRHeading2"/>
      </w:pPr>
      <w:r w:rsidRPr="0042785D">
        <w:t>B.  Koszty i wydatki</w:t>
      </w:r>
    </w:p>
    <w:p w:rsidR="00E40754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78</w:t>
      </w:r>
      <w:r>
        <w:rPr>
          <w:noProof/>
        </w:rPr>
        <w:fldChar w:fldCharType="end"/>
      </w:r>
      <w:r w:rsidR="00A50B57" w:rsidRPr="0042785D">
        <w:t>.  Adwokat skarżącego domagał się również kwoty 9</w:t>
      </w:r>
      <w:r w:rsidR="00405846">
        <w:t xml:space="preserve"> </w:t>
      </w:r>
      <w:r w:rsidR="00A50B57" w:rsidRPr="0042785D">
        <w:t xml:space="preserve">000 EUR tytułem kosztów i wydatków poniesionych w postępowaniu przed Trybunałem. Nie przedstawiając żadnej odrębnej faktury w tym zakresie, adwokat skarżącego stwierdził, że powyższa kwota odpowiada trzydziestu godzinom pracy i jest należna na podstawie umowy zawartej </w:t>
      </w:r>
      <w:r w:rsidR="00820A2F">
        <w:t>pomiędzy</w:t>
      </w:r>
      <w:r w:rsidR="00A50B57" w:rsidRPr="0042785D">
        <w:t xml:space="preserve"> skarżąc</w:t>
      </w:r>
      <w:r w:rsidR="00820A2F">
        <w:t>ym i adwokatem</w:t>
      </w:r>
      <w:r w:rsidR="00A50B57" w:rsidRPr="0042785D">
        <w:t>.</w:t>
      </w:r>
    </w:p>
    <w:p w:rsidR="00B673AF" w:rsidRPr="0042785D" w:rsidRDefault="00FC14E4" w:rsidP="00E00528">
      <w:pPr>
        <w:pStyle w:val="ECHRPara"/>
        <w:rPr>
          <w:sz w:val="22"/>
        </w:rPr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79</w:t>
      </w:r>
      <w:r>
        <w:rPr>
          <w:noProof/>
        </w:rPr>
        <w:fldChar w:fldCharType="end"/>
      </w:r>
      <w:r w:rsidR="00A50B57" w:rsidRPr="0042785D">
        <w:t>.  Rząd zakwestionował powyższe żądanie w przedmiocie kosztów i</w:t>
      </w:r>
      <w:r w:rsidR="0042785D" w:rsidRPr="0042785D">
        <w:t> </w:t>
      </w:r>
      <w:r w:rsidR="00A50B57" w:rsidRPr="0042785D">
        <w:t>wydatków</w:t>
      </w:r>
      <w:r w:rsidR="00405846">
        <w:t>,</w:t>
      </w:r>
      <w:r w:rsidR="00A50B57" w:rsidRPr="0042785D">
        <w:t xml:space="preserve"> uzasadniając, że skarżący nie przedstawił, zgodnie z Regułą 60 § 2 Regulaminu Trybunału, szczegółowych danych dotyczących roszczenia </w:t>
      </w:r>
      <w:r w:rsidR="00820A2F">
        <w:t>i jakichkolwiek odpowiednich dokumentów</w:t>
      </w:r>
      <w:r w:rsidR="00A50B57" w:rsidRPr="0042785D">
        <w:t xml:space="preserve"> na jego poparcie. Tym samym Rząd wniósł do Trybunału o nieuwzględnienie tego żądania zgodnie z</w:t>
      </w:r>
      <w:r w:rsidR="00D21E42">
        <w:t> </w:t>
      </w:r>
      <w:r w:rsidR="00A50B57" w:rsidRPr="0042785D">
        <w:t>Regułą 60 § 3 Regulaminu Trybunału.</w:t>
      </w:r>
    </w:p>
    <w:p w:rsidR="00076C30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80</w:t>
      </w:r>
      <w:r>
        <w:rPr>
          <w:noProof/>
        </w:rPr>
        <w:fldChar w:fldCharType="end"/>
      </w:r>
      <w:r w:rsidR="00A50B57" w:rsidRPr="0042785D">
        <w:t>.  Zgodnie z orzecznictwem Trybunału skarżącemu przysługuje prawo do zwrotu poniesionych kosztów i wydatków</w:t>
      </w:r>
      <w:r w:rsidR="00820A2F">
        <w:t xml:space="preserve"> tylko wtedy</w:t>
      </w:r>
      <w:r w:rsidR="00405846">
        <w:t>,</w:t>
      </w:r>
      <w:r w:rsidR="00A50B57" w:rsidRPr="0042785D">
        <w:t xml:space="preserve"> </w:t>
      </w:r>
      <w:r w:rsidR="00820A2F">
        <w:t>gdy</w:t>
      </w:r>
      <w:r w:rsidR="00A50B57" w:rsidRPr="0042785D">
        <w:t xml:space="preserve"> wykaże, że</w:t>
      </w:r>
      <w:r w:rsidR="00D21E42">
        <w:t> </w:t>
      </w:r>
      <w:r w:rsidR="00A50B57" w:rsidRPr="0042785D">
        <w:t>były one rzeczywiście i koniecznie poniesione oraz że są uzasadnione co</w:t>
      </w:r>
      <w:r w:rsidR="00D21E42">
        <w:t> </w:t>
      </w:r>
      <w:r w:rsidR="00A50B57" w:rsidRPr="0042785D">
        <w:t>do wysokości. W niniejszej sprawie, mając na uwadze posiadane dokumenty oraz powyższe kryteria, Trybunał nie uwzględnia żądania zwrotu kosztów i</w:t>
      </w:r>
      <w:r w:rsidR="0042785D" w:rsidRPr="0042785D">
        <w:t> </w:t>
      </w:r>
      <w:r w:rsidR="00A50B57" w:rsidRPr="0042785D">
        <w:t>wydatków poniesionych w postępowaniu przed sądem krajowym oraz uznaje za właściwe zasądzenie kwoty 850 EUR tytułem zwrotu kosztów postępowania przed Trybunałem.</w:t>
      </w:r>
    </w:p>
    <w:p w:rsidR="00076C30" w:rsidRPr="0042785D" w:rsidRDefault="00076C30" w:rsidP="00E00528">
      <w:pPr>
        <w:pStyle w:val="ECHRHeading2"/>
      </w:pPr>
      <w:r w:rsidRPr="0042785D">
        <w:lastRenderedPageBreak/>
        <w:t>C.  Odsetki za zwłokę</w:t>
      </w:r>
    </w:p>
    <w:p w:rsidR="00076C30" w:rsidRPr="0042785D" w:rsidRDefault="00FC14E4" w:rsidP="00E00528">
      <w:pPr>
        <w:pStyle w:val="ECHRPara"/>
      </w:pPr>
      <w:r>
        <w:rPr>
          <w:noProof/>
        </w:rPr>
        <w:fldChar w:fldCharType="begin"/>
      </w:r>
      <w:r w:rsidR="00132D03">
        <w:rPr>
          <w:noProof/>
        </w:rPr>
        <w:instrText xml:space="preserve"> SEQ level0 \*arabic </w:instrText>
      </w:r>
      <w:r>
        <w:rPr>
          <w:noProof/>
        </w:rPr>
        <w:fldChar w:fldCharType="separate"/>
      </w:r>
      <w:r w:rsidR="00E00528" w:rsidRPr="0042785D">
        <w:rPr>
          <w:noProof/>
        </w:rPr>
        <w:t>81</w:t>
      </w:r>
      <w:r>
        <w:rPr>
          <w:noProof/>
        </w:rPr>
        <w:fldChar w:fldCharType="end"/>
      </w:r>
      <w:r w:rsidR="00A50B57" w:rsidRPr="0042785D">
        <w:t>.  Trybunał za słuszne uznaje wyznaczenie wysokości odsetek za</w:t>
      </w:r>
      <w:r w:rsidR="00D21E42">
        <w:t> </w:t>
      </w:r>
      <w:r w:rsidR="00A50B57" w:rsidRPr="0042785D">
        <w:t>zwłokę na podstawie marginalnej stopy procentowej Europejskiego Banku Centralnego powiększonej o trzy punkty procentowe.</w:t>
      </w:r>
    </w:p>
    <w:p w:rsidR="00076C30" w:rsidRPr="00820A2F" w:rsidRDefault="00076C30" w:rsidP="00E00528">
      <w:pPr>
        <w:pStyle w:val="ECHRTitle1"/>
        <w:rPr>
          <w:sz w:val="24"/>
          <w:szCs w:val="24"/>
        </w:rPr>
      </w:pPr>
      <w:r w:rsidRPr="00820A2F">
        <w:rPr>
          <w:sz w:val="24"/>
          <w:szCs w:val="24"/>
        </w:rPr>
        <w:t>Z</w:t>
      </w:r>
      <w:r w:rsidR="00820A2F">
        <w:rPr>
          <w:sz w:val="24"/>
          <w:szCs w:val="24"/>
        </w:rPr>
        <w:t xml:space="preserve"> </w:t>
      </w:r>
      <w:r w:rsidRPr="00820A2F">
        <w:rPr>
          <w:sz w:val="24"/>
          <w:szCs w:val="24"/>
        </w:rPr>
        <w:t>POWYŻSZYCH</w:t>
      </w:r>
      <w:r w:rsidR="00820A2F">
        <w:rPr>
          <w:sz w:val="24"/>
          <w:szCs w:val="24"/>
        </w:rPr>
        <w:t xml:space="preserve"> </w:t>
      </w:r>
      <w:r w:rsidRPr="00820A2F">
        <w:rPr>
          <w:sz w:val="24"/>
          <w:szCs w:val="24"/>
        </w:rPr>
        <w:t>WZGLĘDÓW</w:t>
      </w:r>
      <w:r w:rsidR="00820A2F">
        <w:rPr>
          <w:sz w:val="24"/>
          <w:szCs w:val="24"/>
        </w:rPr>
        <w:t xml:space="preserve"> </w:t>
      </w:r>
      <w:r w:rsidRPr="00820A2F">
        <w:rPr>
          <w:sz w:val="24"/>
          <w:szCs w:val="24"/>
        </w:rPr>
        <w:t>TRYBUNAŁ</w:t>
      </w:r>
      <w:r w:rsidR="00820A2F">
        <w:rPr>
          <w:sz w:val="24"/>
          <w:szCs w:val="24"/>
        </w:rPr>
        <w:t xml:space="preserve"> </w:t>
      </w:r>
      <w:r w:rsidRPr="00820A2F">
        <w:rPr>
          <w:sz w:val="24"/>
          <w:szCs w:val="24"/>
        </w:rPr>
        <w:t>JEDNOGŁOŚNIE</w:t>
      </w:r>
    </w:p>
    <w:p w:rsidR="00076C30" w:rsidRPr="0042785D" w:rsidRDefault="00076C30" w:rsidP="00E00528">
      <w:pPr>
        <w:pStyle w:val="JuList"/>
      </w:pPr>
      <w:r w:rsidRPr="0042785D">
        <w:t>1.  </w:t>
      </w:r>
      <w:r w:rsidRPr="0042785D">
        <w:rPr>
          <w:i/>
          <w:iCs/>
        </w:rPr>
        <w:t>uznaje</w:t>
      </w:r>
      <w:r w:rsidRPr="0042785D">
        <w:t xml:space="preserve"> skargę za dopuszczalną;</w:t>
      </w:r>
    </w:p>
    <w:p w:rsidR="00076C30" w:rsidRPr="0042785D" w:rsidRDefault="00076C30" w:rsidP="00E00528">
      <w:pPr>
        <w:pStyle w:val="JuList"/>
        <w:ind w:left="0" w:firstLine="0"/>
      </w:pPr>
    </w:p>
    <w:p w:rsidR="00076C30" w:rsidRPr="0042785D" w:rsidRDefault="009F1E44" w:rsidP="00E00528">
      <w:pPr>
        <w:pStyle w:val="JuList"/>
      </w:pPr>
      <w:r w:rsidRPr="0042785D">
        <w:t>2.  </w:t>
      </w:r>
      <w:r w:rsidRPr="0042785D">
        <w:rPr>
          <w:i/>
          <w:iCs/>
        </w:rPr>
        <w:t>stwierdza</w:t>
      </w:r>
      <w:r w:rsidRPr="0042785D">
        <w:t>, że doszło do naruszenia art. 6 Konwencji;</w:t>
      </w:r>
    </w:p>
    <w:p w:rsidR="00076C30" w:rsidRPr="0042785D" w:rsidRDefault="00076C30" w:rsidP="00E00528">
      <w:pPr>
        <w:pStyle w:val="JuList"/>
      </w:pPr>
    </w:p>
    <w:p w:rsidR="003872E2" w:rsidRPr="0042785D" w:rsidRDefault="003872E2" w:rsidP="00E00528">
      <w:pPr>
        <w:pStyle w:val="JuList"/>
      </w:pPr>
      <w:r w:rsidRPr="0042785D">
        <w:t>3.  </w:t>
      </w:r>
      <w:r w:rsidRPr="0042785D">
        <w:rPr>
          <w:i/>
          <w:iCs/>
        </w:rPr>
        <w:t>stwierdza</w:t>
      </w:r>
      <w:r w:rsidRPr="0042785D">
        <w:t>, że doszło do naruszenia art. 10 Konwencji;</w:t>
      </w:r>
    </w:p>
    <w:p w:rsidR="003872E2" w:rsidRPr="0042785D" w:rsidRDefault="003872E2" w:rsidP="00E00528">
      <w:pPr>
        <w:pStyle w:val="JuList"/>
      </w:pPr>
    </w:p>
    <w:p w:rsidR="007C33D5" w:rsidRPr="0042785D" w:rsidRDefault="003872E2" w:rsidP="00E00528">
      <w:pPr>
        <w:pStyle w:val="JuList"/>
      </w:pPr>
      <w:r w:rsidRPr="0042785D">
        <w:t>4.  </w:t>
      </w:r>
      <w:r w:rsidRPr="0042785D">
        <w:rPr>
          <w:i/>
          <w:iCs/>
        </w:rPr>
        <w:t>stwierdza</w:t>
      </w:r>
      <w:r w:rsidRPr="0042785D">
        <w:t xml:space="preserve">, że nie jest </w:t>
      </w:r>
      <w:r w:rsidR="00820A2F">
        <w:t>wymagane</w:t>
      </w:r>
      <w:r w:rsidRPr="0042785D">
        <w:t xml:space="preserve"> </w:t>
      </w:r>
      <w:r w:rsidR="00820A2F">
        <w:t>rozpoznanie</w:t>
      </w:r>
      <w:r w:rsidRPr="0042785D">
        <w:t xml:space="preserve"> </w:t>
      </w:r>
      <w:r w:rsidR="00405846">
        <w:t xml:space="preserve">przedmiotu </w:t>
      </w:r>
      <w:r w:rsidRPr="0042785D">
        <w:t>skargi</w:t>
      </w:r>
      <w:r w:rsidR="00820A2F">
        <w:t xml:space="preserve"> </w:t>
      </w:r>
      <w:r w:rsidR="00405846">
        <w:t>na</w:t>
      </w:r>
      <w:r w:rsidR="00D21E42">
        <w:t> </w:t>
      </w:r>
      <w:r w:rsidR="00405846">
        <w:t xml:space="preserve">podstawie </w:t>
      </w:r>
      <w:r w:rsidRPr="0042785D">
        <w:t>art. 5 ust. 4 Konwencji;</w:t>
      </w:r>
    </w:p>
    <w:p w:rsidR="00076C30" w:rsidRPr="0042785D" w:rsidRDefault="00076C30" w:rsidP="00E00528">
      <w:pPr>
        <w:pStyle w:val="JuList"/>
        <w:ind w:left="0" w:firstLine="0"/>
      </w:pPr>
    </w:p>
    <w:p w:rsidR="0045584B" w:rsidRPr="0042785D" w:rsidRDefault="006A12F9" w:rsidP="00E00528">
      <w:pPr>
        <w:pStyle w:val="JuList"/>
      </w:pPr>
      <w:r w:rsidRPr="0042785D">
        <w:t>5.  </w:t>
      </w:r>
      <w:r w:rsidR="00820A2F">
        <w:rPr>
          <w:i/>
          <w:iCs/>
        </w:rPr>
        <w:t>stwierdza</w:t>
      </w:r>
      <w:r w:rsidRPr="0042785D">
        <w:t>,</w:t>
      </w:r>
    </w:p>
    <w:p w:rsidR="00076C30" w:rsidRPr="0042785D" w:rsidRDefault="00076C30" w:rsidP="00E00528">
      <w:pPr>
        <w:pStyle w:val="JuLista"/>
      </w:pPr>
      <w:r w:rsidRPr="0042785D">
        <w:t>a)  że pozwane państwo winno, w terminie trzech miesięcy od daty, w</w:t>
      </w:r>
      <w:r w:rsidR="0042785D" w:rsidRPr="0042785D">
        <w:t> </w:t>
      </w:r>
      <w:r w:rsidRPr="0042785D">
        <w:t>której niniejszy wyrok stanie się ostateczny zgodnie z art. 44 ust. 2 Konwencji, uiścić na rzecz skarżącego następujące kwoty:</w:t>
      </w:r>
    </w:p>
    <w:p w:rsidR="00076C30" w:rsidRPr="0042785D" w:rsidRDefault="00076C30" w:rsidP="00E00528">
      <w:pPr>
        <w:pStyle w:val="JuListi"/>
      </w:pPr>
      <w:r w:rsidRPr="0042785D">
        <w:t>(i)  15 000 EUR (piętnaście tysięcy euro), plus wszelkie należne podatki, tytułem zadośćuczynienia za szkodę niemajątkową</w:t>
      </w:r>
      <w:r w:rsidR="00845586">
        <w:t xml:space="preserve">, </w:t>
      </w:r>
      <w:r w:rsidR="00845586" w:rsidRPr="006A7798">
        <w:t>przeliczone na walutę pozwanego państwa według kursu obowiązującego w dniu płatności</w:t>
      </w:r>
      <w:r w:rsidRPr="0042785D">
        <w:t>;</w:t>
      </w:r>
    </w:p>
    <w:p w:rsidR="00076C30" w:rsidRPr="0042785D" w:rsidRDefault="00D722E6" w:rsidP="00E00528">
      <w:pPr>
        <w:pStyle w:val="JuListi"/>
      </w:pPr>
      <w:r w:rsidRPr="0042785D">
        <w:t>(ii)  850 EUR (osiemset pięćdziesiąt tysięcy euro), plus wszelkie należne podatki, tytułem poniesionych kosztów i wydatków</w:t>
      </w:r>
      <w:r w:rsidR="00845586">
        <w:t xml:space="preserve">, </w:t>
      </w:r>
      <w:r w:rsidR="00845586" w:rsidRPr="006A7798">
        <w:t>przeliczone na walutę pozwanego państwa według kursu obowiązującego w dniu płatności</w:t>
      </w:r>
      <w:r w:rsidRPr="0042785D">
        <w:t>;</w:t>
      </w:r>
    </w:p>
    <w:p w:rsidR="00076C30" w:rsidRPr="0042785D" w:rsidRDefault="00076C30" w:rsidP="00E00528">
      <w:pPr>
        <w:pStyle w:val="JuLista"/>
      </w:pPr>
      <w:r w:rsidRPr="0042785D">
        <w:t>b)  że od upływu wyżej wskazanego terminu trzech miesięcy aż</w:t>
      </w:r>
      <w:r w:rsidR="00D21E42">
        <w:t> </w:t>
      </w:r>
      <w:r w:rsidRPr="0042785D">
        <w:t>do</w:t>
      </w:r>
      <w:r w:rsidR="00D21E42">
        <w:t> </w:t>
      </w:r>
      <w:r w:rsidR="00820A2F">
        <w:t>momentu uregulowania należności</w:t>
      </w:r>
      <w:r w:rsidRPr="0042785D">
        <w:t xml:space="preserve"> należne będą odsetki zwykłe od określonych powyżej kwot, naliczone według stopy równej marginalnej stopie procentowej Europejskiego Banku Centralnego obowiązującej w</w:t>
      </w:r>
      <w:r w:rsidR="0042785D" w:rsidRPr="0042785D">
        <w:t> </w:t>
      </w:r>
      <w:r w:rsidRPr="0042785D">
        <w:t>tym okresie, powiększonej o trzy punkty procentowe;</w:t>
      </w:r>
    </w:p>
    <w:p w:rsidR="00076C30" w:rsidRPr="0042785D" w:rsidRDefault="00076C30" w:rsidP="00E00528">
      <w:pPr>
        <w:pStyle w:val="JuList"/>
      </w:pPr>
    </w:p>
    <w:p w:rsidR="00D21E42" w:rsidRDefault="006A12F9" w:rsidP="00D21E42">
      <w:pPr>
        <w:pStyle w:val="JuList"/>
      </w:pPr>
      <w:r w:rsidRPr="0042785D">
        <w:t>6.  </w:t>
      </w:r>
      <w:r w:rsidRPr="0042785D">
        <w:rPr>
          <w:i/>
        </w:rPr>
        <w:t xml:space="preserve">oddala </w:t>
      </w:r>
      <w:r w:rsidRPr="0042785D">
        <w:t>pozostałą część żądania skarżącego o słuszne zadośćuczynienie.</w:t>
      </w:r>
    </w:p>
    <w:p w:rsidR="00D21E42" w:rsidRDefault="00D21E42" w:rsidP="00D21E42">
      <w:pPr>
        <w:pStyle w:val="JuList"/>
      </w:pPr>
    </w:p>
    <w:p w:rsidR="00D21E42" w:rsidRDefault="00076C30" w:rsidP="00D21E42">
      <w:pPr>
        <w:pStyle w:val="JuList"/>
        <w:ind w:left="0" w:firstLine="0"/>
      </w:pPr>
      <w:r w:rsidRPr="0042785D">
        <w:t>Sporządzono w języku angielskim i obwieszczono pisemnie dnia 6 grudnia 2018 r., zgodnie z Regułą 77 §§ 2 i 3 Regulaminu Trybunału.</w:t>
      </w:r>
    </w:p>
    <w:p w:rsidR="00D21E42" w:rsidRDefault="00D21E42" w:rsidP="00D21E42">
      <w:pPr>
        <w:pStyle w:val="JuList"/>
        <w:ind w:left="0" w:firstLine="0"/>
      </w:pPr>
    </w:p>
    <w:p w:rsidR="00BC2F6C" w:rsidRPr="00921584" w:rsidRDefault="00076C30" w:rsidP="00566228">
      <w:pPr>
        <w:pStyle w:val="JuList"/>
        <w:ind w:left="0" w:firstLine="0"/>
        <w:jc w:val="left"/>
        <w:rPr>
          <w:lang w:val="fr-FR"/>
        </w:rPr>
      </w:pPr>
      <w:r w:rsidRPr="0042785D">
        <w:tab/>
      </w:r>
      <w:r w:rsidRPr="00921584">
        <w:rPr>
          <w:lang w:val="fr-FR"/>
        </w:rPr>
        <w:t>Abel Campos</w:t>
      </w:r>
      <w:r w:rsidRPr="00921584">
        <w:rPr>
          <w:lang w:val="fr-FR"/>
        </w:rPr>
        <w:tab/>
      </w:r>
      <w:r w:rsidR="00D21E42">
        <w:rPr>
          <w:lang w:val="fr-FR"/>
        </w:rPr>
        <w:tab/>
      </w:r>
      <w:r w:rsidR="00D21E42">
        <w:rPr>
          <w:lang w:val="fr-FR"/>
        </w:rPr>
        <w:tab/>
      </w:r>
      <w:r w:rsidR="00D21E42">
        <w:rPr>
          <w:lang w:val="fr-FR"/>
        </w:rPr>
        <w:tab/>
      </w:r>
      <w:r w:rsidRPr="00921584">
        <w:rPr>
          <w:lang w:val="fr-FR"/>
        </w:rPr>
        <w:t>Linos-Alexandre Sicilianos</w:t>
      </w:r>
      <w:r w:rsidRPr="00921584">
        <w:rPr>
          <w:lang w:val="fr-FR"/>
        </w:rPr>
        <w:br/>
      </w:r>
      <w:r w:rsidRPr="00921584">
        <w:rPr>
          <w:lang w:val="fr-FR"/>
        </w:rPr>
        <w:tab/>
      </w:r>
      <w:r w:rsidR="00D21E42">
        <w:rPr>
          <w:lang w:val="fr-FR"/>
        </w:rPr>
        <w:t xml:space="preserve">   </w:t>
      </w:r>
      <w:r w:rsidRPr="00921584">
        <w:rPr>
          <w:lang w:val="fr-FR"/>
        </w:rPr>
        <w:t>Kanclerz</w:t>
      </w:r>
      <w:r w:rsidRPr="00921584">
        <w:rPr>
          <w:lang w:val="fr-FR"/>
        </w:rPr>
        <w:tab/>
      </w:r>
      <w:r w:rsidR="00D21E42">
        <w:rPr>
          <w:lang w:val="fr-FR"/>
        </w:rPr>
        <w:tab/>
      </w:r>
      <w:r w:rsidR="00D21E42">
        <w:rPr>
          <w:lang w:val="fr-FR"/>
        </w:rPr>
        <w:tab/>
      </w:r>
      <w:r w:rsidR="00D21E42">
        <w:rPr>
          <w:lang w:val="fr-FR"/>
        </w:rPr>
        <w:tab/>
      </w:r>
      <w:r w:rsidR="00D21E42">
        <w:rPr>
          <w:lang w:val="fr-FR"/>
        </w:rPr>
        <w:tab/>
      </w:r>
      <w:r w:rsidRPr="00921584">
        <w:rPr>
          <w:lang w:val="fr-FR"/>
        </w:rPr>
        <w:t>Przewodniczący</w:t>
      </w:r>
    </w:p>
    <w:sectPr w:rsidR="00BC2F6C" w:rsidRPr="00921584" w:rsidSect="00504E22">
      <w:headerReference w:type="even" r:id="rId20"/>
      <w:headerReference w:type="default" r:id="rId21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9E1" w:rsidRDefault="00B609E1">
      <w:r>
        <w:separator/>
      </w:r>
    </w:p>
  </w:endnote>
  <w:endnote w:type="continuationSeparator" w:id="0">
    <w:p w:rsidR="00B609E1" w:rsidRDefault="00B60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65A" w:rsidRDefault="007D265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65A" w:rsidRDefault="007D265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65A" w:rsidRPr="00150BFA" w:rsidRDefault="007D265A" w:rsidP="007D265A">
    <w:pPr>
      <w:jc w:val="center"/>
    </w:pPr>
    <w:r>
      <w:rPr>
        <w:noProof/>
        <w:lang w:eastAsia="pl-PL"/>
      </w:rPr>
      <w:drawing>
        <wp:inline distT="0" distB="0" distL="0" distR="0" wp14:anchorId="3F359BE5" wp14:editId="06AA783C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265A" w:rsidRDefault="007D26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9E1" w:rsidRPr="003152BA" w:rsidRDefault="00B609E1" w:rsidP="00076C30">
      <w:r w:rsidRPr="003152BA">
        <w:separator/>
      </w:r>
    </w:p>
  </w:footnote>
  <w:footnote w:type="continuationSeparator" w:id="0">
    <w:p w:rsidR="00B609E1" w:rsidRPr="003152BA" w:rsidRDefault="00B609E1" w:rsidP="00076C30">
      <w:r w:rsidRPr="003152BA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65A" w:rsidRDefault="007D265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65A" w:rsidRPr="00504E22" w:rsidRDefault="007D265A" w:rsidP="00504E22">
    <w:pPr>
      <w:pStyle w:val="Nagwek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65A" w:rsidRPr="00A45145" w:rsidRDefault="007D265A" w:rsidP="007D265A">
    <w:pPr>
      <w:jc w:val="center"/>
    </w:pPr>
    <w:r>
      <w:rPr>
        <w:noProof/>
        <w:lang w:eastAsia="pl-PL"/>
      </w:rPr>
      <w:drawing>
        <wp:inline distT="0" distB="0" distL="0" distR="0" wp14:anchorId="14C88B68" wp14:editId="6C98DBD0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265A" w:rsidRDefault="007D265A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65A" w:rsidRPr="003152BA" w:rsidRDefault="007D265A" w:rsidP="00076C30">
    <w:pPr>
      <w:pStyle w:val="ECHRHeader"/>
    </w:pPr>
    <w:r>
      <w:rPr>
        <w:rStyle w:val="Numerstrony"/>
        <w:szCs w:val="18"/>
      </w:rPr>
      <w:fldChar w:fldCharType="begin"/>
    </w:r>
    <w:r>
      <w:rPr>
        <w:rStyle w:val="Numerstrony"/>
        <w:szCs w:val="18"/>
      </w:rPr>
      <w:instrText xml:space="preserve"> PAGE </w:instrText>
    </w:r>
    <w:r>
      <w:rPr>
        <w:rStyle w:val="Numerstrony"/>
        <w:szCs w:val="18"/>
      </w:rPr>
      <w:fldChar w:fldCharType="separate"/>
    </w:r>
    <w:r w:rsidR="000114BF">
      <w:rPr>
        <w:rStyle w:val="Numerstrony"/>
        <w:noProof/>
        <w:szCs w:val="18"/>
      </w:rPr>
      <w:t>14</w:t>
    </w:r>
    <w:r>
      <w:rPr>
        <w:rStyle w:val="Numerstrony"/>
        <w:szCs w:val="18"/>
      </w:rPr>
      <w:fldChar w:fldCharType="end"/>
    </w:r>
    <w:r>
      <w:tab/>
      <w:t>WYROK W SPRAWIE SŁOMKA PRZECIWKO POLSCE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65A" w:rsidRPr="003152BA" w:rsidRDefault="007D265A" w:rsidP="00076C30">
    <w:pPr>
      <w:pStyle w:val="ECHRHeader"/>
    </w:pPr>
    <w:r>
      <w:tab/>
      <w:t>WYROK W SPRAWIE SŁOMKA PRZECIWKO POLSCE</w:t>
    </w:r>
    <w:r>
      <w:tab/>
    </w:r>
    <w:r>
      <w:rPr>
        <w:rStyle w:val="Numerstrony"/>
        <w:szCs w:val="18"/>
      </w:rPr>
      <w:fldChar w:fldCharType="begin"/>
    </w:r>
    <w:r>
      <w:rPr>
        <w:rStyle w:val="Numerstrony"/>
        <w:szCs w:val="18"/>
      </w:rPr>
      <w:instrText xml:space="preserve"> PAGE </w:instrText>
    </w:r>
    <w:r>
      <w:rPr>
        <w:rStyle w:val="Numerstrony"/>
        <w:szCs w:val="18"/>
      </w:rPr>
      <w:fldChar w:fldCharType="separate"/>
    </w:r>
    <w:r w:rsidR="000114BF">
      <w:rPr>
        <w:rStyle w:val="Numerstrony"/>
        <w:noProof/>
        <w:szCs w:val="18"/>
      </w:rPr>
      <w:t>13</w:t>
    </w:r>
    <w:r>
      <w:rPr>
        <w:rStyle w:val="Numerstrony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0180FE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90ECFBC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5B8BEF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F1CF73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3802660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0C2C346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482EC3A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666B2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276011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066004F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163F153D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67FD1241"/>
    <w:multiLevelType w:val="hybridMultilevel"/>
    <w:tmpl w:val="F6D86CC2"/>
    <w:lvl w:ilvl="0" w:tplc="AE2A2EF8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457E5D78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215E59EE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6094A54E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17EE8266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26B43132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BE207966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9E84B4D6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7D48FDC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2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nsid w:val="7737461D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13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12"/>
  </w:num>
  <w:num w:numId="22">
    <w:abstractNumId w:val="12"/>
  </w:num>
  <w:num w:numId="23">
    <w:abstractNumId w:val="12"/>
  </w:num>
  <w:num w:numId="24">
    <w:abstractNumId w:val="12"/>
  </w:num>
  <w:num w:numId="25">
    <w:abstractNumId w:val="12"/>
  </w:num>
  <w:num w:numId="26">
    <w:abstractNumId w:val="12"/>
  </w:num>
  <w:num w:numId="27">
    <w:abstractNumId w:val="12"/>
  </w:num>
  <w:num w:numId="28">
    <w:abstractNumId w:val="12"/>
  </w:num>
  <w:num w:numId="29">
    <w:abstractNumId w:val="12"/>
  </w:num>
  <w:num w:numId="30">
    <w:abstractNumId w:val="12"/>
  </w:num>
  <w:num w:numId="31">
    <w:abstractNumId w:val="12"/>
  </w:num>
  <w:num w:numId="32">
    <w:abstractNumId w:val="12"/>
  </w:num>
  <w:num w:numId="33">
    <w:abstractNumId w:val="12"/>
  </w:num>
  <w:num w:numId="34">
    <w:abstractNumId w:val="12"/>
  </w:num>
  <w:num w:numId="35">
    <w:abstractNumId w:val="12"/>
  </w:num>
  <w:num w:numId="36">
    <w:abstractNumId w:val="12"/>
  </w:num>
  <w:num w:numId="37">
    <w:abstractNumId w:val="12"/>
  </w:num>
  <w:num w:numId="38">
    <w:abstractNumId w:val="12"/>
  </w:num>
  <w:num w:numId="39">
    <w:abstractNumId w:val="12"/>
  </w:num>
  <w:num w:numId="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MM" w:val="0"/>
    <w:docVar w:name="LW_DocType" w:val="NORMAL"/>
    <w:docVar w:name="NBEMMDOC" w:val="0"/>
  </w:docVars>
  <w:rsids>
    <w:rsidRoot w:val="00A50B57"/>
    <w:rsid w:val="00002840"/>
    <w:rsid w:val="00010496"/>
    <w:rsid w:val="000114BF"/>
    <w:rsid w:val="00014B85"/>
    <w:rsid w:val="0002447C"/>
    <w:rsid w:val="00024749"/>
    <w:rsid w:val="00025135"/>
    <w:rsid w:val="00026EE6"/>
    <w:rsid w:val="000311DF"/>
    <w:rsid w:val="00031B6F"/>
    <w:rsid w:val="00031F87"/>
    <w:rsid w:val="00041570"/>
    <w:rsid w:val="000427FE"/>
    <w:rsid w:val="00054E45"/>
    <w:rsid w:val="000554EC"/>
    <w:rsid w:val="00066FCE"/>
    <w:rsid w:val="000700D3"/>
    <w:rsid w:val="00076C30"/>
    <w:rsid w:val="00082267"/>
    <w:rsid w:val="0009137C"/>
    <w:rsid w:val="000933CC"/>
    <w:rsid w:val="000935E2"/>
    <w:rsid w:val="00095007"/>
    <w:rsid w:val="000952AC"/>
    <w:rsid w:val="000B1884"/>
    <w:rsid w:val="000B5526"/>
    <w:rsid w:val="000C5E0B"/>
    <w:rsid w:val="000C7B10"/>
    <w:rsid w:val="000D278B"/>
    <w:rsid w:val="000D331E"/>
    <w:rsid w:val="000E0076"/>
    <w:rsid w:val="000E0FF9"/>
    <w:rsid w:val="000E5C8C"/>
    <w:rsid w:val="000F6B64"/>
    <w:rsid w:val="001029D3"/>
    <w:rsid w:val="00104F70"/>
    <w:rsid w:val="001057F3"/>
    <w:rsid w:val="0011706C"/>
    <w:rsid w:val="001270FF"/>
    <w:rsid w:val="00130F63"/>
    <w:rsid w:val="00131A3A"/>
    <w:rsid w:val="00131E42"/>
    <w:rsid w:val="00132D03"/>
    <w:rsid w:val="00150089"/>
    <w:rsid w:val="00154A77"/>
    <w:rsid w:val="00155132"/>
    <w:rsid w:val="00156843"/>
    <w:rsid w:val="00156DAC"/>
    <w:rsid w:val="00161861"/>
    <w:rsid w:val="00162EB3"/>
    <w:rsid w:val="0017057E"/>
    <w:rsid w:val="00170DB7"/>
    <w:rsid w:val="0017107C"/>
    <w:rsid w:val="00173DD6"/>
    <w:rsid w:val="00174C43"/>
    <w:rsid w:val="001770AD"/>
    <w:rsid w:val="001803AC"/>
    <w:rsid w:val="001846B3"/>
    <w:rsid w:val="0018479E"/>
    <w:rsid w:val="0018585D"/>
    <w:rsid w:val="00185DFE"/>
    <w:rsid w:val="00186A5A"/>
    <w:rsid w:val="00190B6D"/>
    <w:rsid w:val="00191C9F"/>
    <w:rsid w:val="00196D8A"/>
    <w:rsid w:val="001A1DF9"/>
    <w:rsid w:val="001D7639"/>
    <w:rsid w:val="001E48FA"/>
    <w:rsid w:val="001F0736"/>
    <w:rsid w:val="001F2050"/>
    <w:rsid w:val="001F2640"/>
    <w:rsid w:val="001F2F04"/>
    <w:rsid w:val="001F36C0"/>
    <w:rsid w:val="001F7652"/>
    <w:rsid w:val="001F7869"/>
    <w:rsid w:val="00206641"/>
    <w:rsid w:val="00206B13"/>
    <w:rsid w:val="00227E96"/>
    <w:rsid w:val="0023331A"/>
    <w:rsid w:val="002434E6"/>
    <w:rsid w:val="0025106A"/>
    <w:rsid w:val="00251EB9"/>
    <w:rsid w:val="002671A9"/>
    <w:rsid w:val="002672A3"/>
    <w:rsid w:val="00272BD5"/>
    <w:rsid w:val="00272F18"/>
    <w:rsid w:val="00273EE2"/>
    <w:rsid w:val="00280A49"/>
    <w:rsid w:val="002819B3"/>
    <w:rsid w:val="00284BE4"/>
    <w:rsid w:val="002871BF"/>
    <w:rsid w:val="002A0004"/>
    <w:rsid w:val="002A1921"/>
    <w:rsid w:val="002A1939"/>
    <w:rsid w:val="002A6208"/>
    <w:rsid w:val="002B200B"/>
    <w:rsid w:val="002B2130"/>
    <w:rsid w:val="002B21B1"/>
    <w:rsid w:val="002B5883"/>
    <w:rsid w:val="002C4DB4"/>
    <w:rsid w:val="002C679F"/>
    <w:rsid w:val="002D37DE"/>
    <w:rsid w:val="002D606F"/>
    <w:rsid w:val="002D68DB"/>
    <w:rsid w:val="002F3AF4"/>
    <w:rsid w:val="00301DF9"/>
    <w:rsid w:val="003064F7"/>
    <w:rsid w:val="00326D78"/>
    <w:rsid w:val="00330F6B"/>
    <w:rsid w:val="00331028"/>
    <w:rsid w:val="0034534B"/>
    <w:rsid w:val="00346EF8"/>
    <w:rsid w:val="00347BDF"/>
    <w:rsid w:val="00347E78"/>
    <w:rsid w:val="00353EAD"/>
    <w:rsid w:val="0035466C"/>
    <w:rsid w:val="0036513A"/>
    <w:rsid w:val="003761F5"/>
    <w:rsid w:val="00376AA3"/>
    <w:rsid w:val="00377C5D"/>
    <w:rsid w:val="00386FC6"/>
    <w:rsid w:val="003872E2"/>
    <w:rsid w:val="003A0650"/>
    <w:rsid w:val="003A1B55"/>
    <w:rsid w:val="003A73D0"/>
    <w:rsid w:val="003B2D9F"/>
    <w:rsid w:val="003C248E"/>
    <w:rsid w:val="003C2C02"/>
    <w:rsid w:val="003C3F5E"/>
    <w:rsid w:val="003D16E9"/>
    <w:rsid w:val="003D27A3"/>
    <w:rsid w:val="003D4DA4"/>
    <w:rsid w:val="003E20E1"/>
    <w:rsid w:val="003E6F13"/>
    <w:rsid w:val="003F5334"/>
    <w:rsid w:val="00400826"/>
    <w:rsid w:val="00400C1C"/>
    <w:rsid w:val="00401193"/>
    <w:rsid w:val="004024CB"/>
    <w:rsid w:val="0040264A"/>
    <w:rsid w:val="00405846"/>
    <w:rsid w:val="0041732D"/>
    <w:rsid w:val="00420C4F"/>
    <w:rsid w:val="0042709B"/>
    <w:rsid w:val="0042785D"/>
    <w:rsid w:val="00432746"/>
    <w:rsid w:val="004444F8"/>
    <w:rsid w:val="004510F9"/>
    <w:rsid w:val="0045584B"/>
    <w:rsid w:val="004607B9"/>
    <w:rsid w:val="00467419"/>
    <w:rsid w:val="0047150A"/>
    <w:rsid w:val="00475E47"/>
    <w:rsid w:val="00482912"/>
    <w:rsid w:val="004852AB"/>
    <w:rsid w:val="00496001"/>
    <w:rsid w:val="004A257B"/>
    <w:rsid w:val="004A263A"/>
    <w:rsid w:val="004A402A"/>
    <w:rsid w:val="004A578C"/>
    <w:rsid w:val="004A7145"/>
    <w:rsid w:val="004B3763"/>
    <w:rsid w:val="004C515D"/>
    <w:rsid w:val="004C7D98"/>
    <w:rsid w:val="004D7C7A"/>
    <w:rsid w:val="004E2C48"/>
    <w:rsid w:val="004E51AA"/>
    <w:rsid w:val="004E6306"/>
    <w:rsid w:val="004E7595"/>
    <w:rsid w:val="005022D5"/>
    <w:rsid w:val="00504E22"/>
    <w:rsid w:val="00514571"/>
    <w:rsid w:val="00514A07"/>
    <w:rsid w:val="0051638D"/>
    <w:rsid w:val="00517741"/>
    <w:rsid w:val="00527DB5"/>
    <w:rsid w:val="00532D51"/>
    <w:rsid w:val="00541C63"/>
    <w:rsid w:val="00545006"/>
    <w:rsid w:val="00546AA0"/>
    <w:rsid w:val="00555716"/>
    <w:rsid w:val="00566228"/>
    <w:rsid w:val="00574BAC"/>
    <w:rsid w:val="00577C5E"/>
    <w:rsid w:val="00585C8A"/>
    <w:rsid w:val="00592F9D"/>
    <w:rsid w:val="00595A87"/>
    <w:rsid w:val="005A52F1"/>
    <w:rsid w:val="005A6C33"/>
    <w:rsid w:val="005B0DAE"/>
    <w:rsid w:val="005B2858"/>
    <w:rsid w:val="005C686D"/>
    <w:rsid w:val="005D2C2E"/>
    <w:rsid w:val="005D3753"/>
    <w:rsid w:val="005E0635"/>
    <w:rsid w:val="005E1605"/>
    <w:rsid w:val="00605449"/>
    <w:rsid w:val="00621DC2"/>
    <w:rsid w:val="00625C71"/>
    <w:rsid w:val="0063486F"/>
    <w:rsid w:val="00635D8E"/>
    <w:rsid w:val="006423DC"/>
    <w:rsid w:val="0065418D"/>
    <w:rsid w:val="006553A2"/>
    <w:rsid w:val="006617AE"/>
    <w:rsid w:val="006636B1"/>
    <w:rsid w:val="00672A9F"/>
    <w:rsid w:val="00673143"/>
    <w:rsid w:val="006762FE"/>
    <w:rsid w:val="006863D9"/>
    <w:rsid w:val="00694B95"/>
    <w:rsid w:val="006A12F9"/>
    <w:rsid w:val="006A3D91"/>
    <w:rsid w:val="006C4465"/>
    <w:rsid w:val="006C59F3"/>
    <w:rsid w:val="006D7125"/>
    <w:rsid w:val="006E6104"/>
    <w:rsid w:val="006F7E22"/>
    <w:rsid w:val="007069F0"/>
    <w:rsid w:val="007147D3"/>
    <w:rsid w:val="00716DE3"/>
    <w:rsid w:val="00730554"/>
    <w:rsid w:val="007353E9"/>
    <w:rsid w:val="007370FD"/>
    <w:rsid w:val="00743C29"/>
    <w:rsid w:val="00752AD8"/>
    <w:rsid w:val="00760D77"/>
    <w:rsid w:val="00761B82"/>
    <w:rsid w:val="00765FB3"/>
    <w:rsid w:val="0078104C"/>
    <w:rsid w:val="00783019"/>
    <w:rsid w:val="007961BD"/>
    <w:rsid w:val="007A2DB3"/>
    <w:rsid w:val="007A5DB0"/>
    <w:rsid w:val="007B1402"/>
    <w:rsid w:val="007C33D5"/>
    <w:rsid w:val="007C50F6"/>
    <w:rsid w:val="007C6839"/>
    <w:rsid w:val="007D265A"/>
    <w:rsid w:val="007E10FB"/>
    <w:rsid w:val="007E1253"/>
    <w:rsid w:val="007E40B6"/>
    <w:rsid w:val="007E46C4"/>
    <w:rsid w:val="007F4D47"/>
    <w:rsid w:val="007F64AC"/>
    <w:rsid w:val="007F7B29"/>
    <w:rsid w:val="0080581A"/>
    <w:rsid w:val="0081349C"/>
    <w:rsid w:val="008208AA"/>
    <w:rsid w:val="00820A2F"/>
    <w:rsid w:val="00823240"/>
    <w:rsid w:val="008258CD"/>
    <w:rsid w:val="00826EAD"/>
    <w:rsid w:val="00827848"/>
    <w:rsid w:val="00843E98"/>
    <w:rsid w:val="00845586"/>
    <w:rsid w:val="00850FE2"/>
    <w:rsid w:val="00853A4E"/>
    <w:rsid w:val="008602BE"/>
    <w:rsid w:val="00862489"/>
    <w:rsid w:val="00867191"/>
    <w:rsid w:val="008702EC"/>
    <w:rsid w:val="00872044"/>
    <w:rsid w:val="008827A3"/>
    <w:rsid w:val="00896201"/>
    <w:rsid w:val="008A4BA9"/>
    <w:rsid w:val="008A4E22"/>
    <w:rsid w:val="008A649D"/>
    <w:rsid w:val="008B2D70"/>
    <w:rsid w:val="008B5966"/>
    <w:rsid w:val="008C00D8"/>
    <w:rsid w:val="008C360A"/>
    <w:rsid w:val="008E46B6"/>
    <w:rsid w:val="008E4ACD"/>
    <w:rsid w:val="008E72A0"/>
    <w:rsid w:val="008E7D8D"/>
    <w:rsid w:val="008F132F"/>
    <w:rsid w:val="008F3C93"/>
    <w:rsid w:val="008F537E"/>
    <w:rsid w:val="00901ED8"/>
    <w:rsid w:val="00902256"/>
    <w:rsid w:val="00902315"/>
    <w:rsid w:val="0090311B"/>
    <w:rsid w:val="00910A87"/>
    <w:rsid w:val="00914F4D"/>
    <w:rsid w:val="00921584"/>
    <w:rsid w:val="00931A05"/>
    <w:rsid w:val="00932216"/>
    <w:rsid w:val="009323E1"/>
    <w:rsid w:val="009329FC"/>
    <w:rsid w:val="00933809"/>
    <w:rsid w:val="00933D1A"/>
    <w:rsid w:val="00936D48"/>
    <w:rsid w:val="0094362F"/>
    <w:rsid w:val="009464A9"/>
    <w:rsid w:val="00954A4E"/>
    <w:rsid w:val="009554CC"/>
    <w:rsid w:val="00963E55"/>
    <w:rsid w:val="00976A3A"/>
    <w:rsid w:val="00977F7C"/>
    <w:rsid w:val="00987678"/>
    <w:rsid w:val="0098788E"/>
    <w:rsid w:val="00991155"/>
    <w:rsid w:val="00992E7B"/>
    <w:rsid w:val="009A243B"/>
    <w:rsid w:val="009A3995"/>
    <w:rsid w:val="009B0C43"/>
    <w:rsid w:val="009B3ACD"/>
    <w:rsid w:val="009B71E4"/>
    <w:rsid w:val="009D0A4C"/>
    <w:rsid w:val="009D2B8E"/>
    <w:rsid w:val="009D49B7"/>
    <w:rsid w:val="009D6577"/>
    <w:rsid w:val="009D66C9"/>
    <w:rsid w:val="009E6581"/>
    <w:rsid w:val="009F1E44"/>
    <w:rsid w:val="009F4E0B"/>
    <w:rsid w:val="009F51E1"/>
    <w:rsid w:val="00A03562"/>
    <w:rsid w:val="00A03FC6"/>
    <w:rsid w:val="00A12838"/>
    <w:rsid w:val="00A1412A"/>
    <w:rsid w:val="00A27685"/>
    <w:rsid w:val="00A325A7"/>
    <w:rsid w:val="00A33802"/>
    <w:rsid w:val="00A40893"/>
    <w:rsid w:val="00A4515D"/>
    <w:rsid w:val="00A50B57"/>
    <w:rsid w:val="00A52D45"/>
    <w:rsid w:val="00A52EB4"/>
    <w:rsid w:val="00A6053C"/>
    <w:rsid w:val="00A6170E"/>
    <w:rsid w:val="00A65AC2"/>
    <w:rsid w:val="00A6718F"/>
    <w:rsid w:val="00A704D3"/>
    <w:rsid w:val="00A72975"/>
    <w:rsid w:val="00A748E5"/>
    <w:rsid w:val="00A749D2"/>
    <w:rsid w:val="00A757C2"/>
    <w:rsid w:val="00A82FE4"/>
    <w:rsid w:val="00A920E2"/>
    <w:rsid w:val="00A94479"/>
    <w:rsid w:val="00AA03F9"/>
    <w:rsid w:val="00AB3204"/>
    <w:rsid w:val="00AB753E"/>
    <w:rsid w:val="00AC1A60"/>
    <w:rsid w:val="00AC71C6"/>
    <w:rsid w:val="00AD0CC4"/>
    <w:rsid w:val="00AD4641"/>
    <w:rsid w:val="00AE2A71"/>
    <w:rsid w:val="00AF0720"/>
    <w:rsid w:val="00B013A2"/>
    <w:rsid w:val="00B015FE"/>
    <w:rsid w:val="00B22B92"/>
    <w:rsid w:val="00B25AE9"/>
    <w:rsid w:val="00B327D3"/>
    <w:rsid w:val="00B36A49"/>
    <w:rsid w:val="00B40547"/>
    <w:rsid w:val="00B4115B"/>
    <w:rsid w:val="00B545CA"/>
    <w:rsid w:val="00B609E1"/>
    <w:rsid w:val="00B62E32"/>
    <w:rsid w:val="00B673AF"/>
    <w:rsid w:val="00B67A0D"/>
    <w:rsid w:val="00B81D69"/>
    <w:rsid w:val="00B852C6"/>
    <w:rsid w:val="00B87250"/>
    <w:rsid w:val="00B907CB"/>
    <w:rsid w:val="00B95D3E"/>
    <w:rsid w:val="00BA21CF"/>
    <w:rsid w:val="00BB07F7"/>
    <w:rsid w:val="00BC2F6C"/>
    <w:rsid w:val="00BC53C2"/>
    <w:rsid w:val="00BC664C"/>
    <w:rsid w:val="00BC79DE"/>
    <w:rsid w:val="00BD4E52"/>
    <w:rsid w:val="00BE3C79"/>
    <w:rsid w:val="00BF05F9"/>
    <w:rsid w:val="00BF668D"/>
    <w:rsid w:val="00C04135"/>
    <w:rsid w:val="00C25F2A"/>
    <w:rsid w:val="00C27B62"/>
    <w:rsid w:val="00C328F5"/>
    <w:rsid w:val="00C37609"/>
    <w:rsid w:val="00C4503C"/>
    <w:rsid w:val="00C471F8"/>
    <w:rsid w:val="00C52284"/>
    <w:rsid w:val="00C55478"/>
    <w:rsid w:val="00C5588B"/>
    <w:rsid w:val="00C614D4"/>
    <w:rsid w:val="00C65718"/>
    <w:rsid w:val="00C73D88"/>
    <w:rsid w:val="00C82779"/>
    <w:rsid w:val="00C879FC"/>
    <w:rsid w:val="00C90E95"/>
    <w:rsid w:val="00CA2B42"/>
    <w:rsid w:val="00CC182C"/>
    <w:rsid w:val="00CC33CD"/>
    <w:rsid w:val="00CC50F7"/>
    <w:rsid w:val="00CD36FE"/>
    <w:rsid w:val="00CD3BF3"/>
    <w:rsid w:val="00CE25AE"/>
    <w:rsid w:val="00CE7AC5"/>
    <w:rsid w:val="00CE7E0E"/>
    <w:rsid w:val="00D00F37"/>
    <w:rsid w:val="00D01959"/>
    <w:rsid w:val="00D10259"/>
    <w:rsid w:val="00D10F5F"/>
    <w:rsid w:val="00D11EF0"/>
    <w:rsid w:val="00D16ED2"/>
    <w:rsid w:val="00D2062D"/>
    <w:rsid w:val="00D21E42"/>
    <w:rsid w:val="00D31644"/>
    <w:rsid w:val="00D34055"/>
    <w:rsid w:val="00D36423"/>
    <w:rsid w:val="00D37415"/>
    <w:rsid w:val="00D5364D"/>
    <w:rsid w:val="00D53879"/>
    <w:rsid w:val="00D55E6A"/>
    <w:rsid w:val="00D668EB"/>
    <w:rsid w:val="00D722E6"/>
    <w:rsid w:val="00D72D69"/>
    <w:rsid w:val="00D818E6"/>
    <w:rsid w:val="00D842AF"/>
    <w:rsid w:val="00D87D43"/>
    <w:rsid w:val="00D979EA"/>
    <w:rsid w:val="00DA1D8A"/>
    <w:rsid w:val="00DA33E8"/>
    <w:rsid w:val="00DA693E"/>
    <w:rsid w:val="00DB0341"/>
    <w:rsid w:val="00DB0C83"/>
    <w:rsid w:val="00DB0E64"/>
    <w:rsid w:val="00DB3C6D"/>
    <w:rsid w:val="00DC0707"/>
    <w:rsid w:val="00DC6743"/>
    <w:rsid w:val="00DD584F"/>
    <w:rsid w:val="00DE35B6"/>
    <w:rsid w:val="00DE3A78"/>
    <w:rsid w:val="00DE61F4"/>
    <w:rsid w:val="00DF1B96"/>
    <w:rsid w:val="00DF2AEC"/>
    <w:rsid w:val="00DF7CDB"/>
    <w:rsid w:val="00E00528"/>
    <w:rsid w:val="00E024A7"/>
    <w:rsid w:val="00E07E29"/>
    <w:rsid w:val="00E102DA"/>
    <w:rsid w:val="00E126A7"/>
    <w:rsid w:val="00E20030"/>
    <w:rsid w:val="00E3266A"/>
    <w:rsid w:val="00E358F7"/>
    <w:rsid w:val="00E40754"/>
    <w:rsid w:val="00E42454"/>
    <w:rsid w:val="00E432A6"/>
    <w:rsid w:val="00E507CE"/>
    <w:rsid w:val="00E5291B"/>
    <w:rsid w:val="00E52D14"/>
    <w:rsid w:val="00E56579"/>
    <w:rsid w:val="00E61731"/>
    <w:rsid w:val="00E713CE"/>
    <w:rsid w:val="00E748BC"/>
    <w:rsid w:val="00E76791"/>
    <w:rsid w:val="00E84FFB"/>
    <w:rsid w:val="00E90536"/>
    <w:rsid w:val="00E9457F"/>
    <w:rsid w:val="00EA6437"/>
    <w:rsid w:val="00EB21FF"/>
    <w:rsid w:val="00EB30D7"/>
    <w:rsid w:val="00EB3C74"/>
    <w:rsid w:val="00EC06F8"/>
    <w:rsid w:val="00EC2804"/>
    <w:rsid w:val="00EC2C94"/>
    <w:rsid w:val="00ED56C4"/>
    <w:rsid w:val="00EE1959"/>
    <w:rsid w:val="00EE2A05"/>
    <w:rsid w:val="00EE34E1"/>
    <w:rsid w:val="00EE7BBB"/>
    <w:rsid w:val="00F16526"/>
    <w:rsid w:val="00F16E7A"/>
    <w:rsid w:val="00F178EB"/>
    <w:rsid w:val="00F30151"/>
    <w:rsid w:val="00F32800"/>
    <w:rsid w:val="00F33896"/>
    <w:rsid w:val="00F41B35"/>
    <w:rsid w:val="00F42EDA"/>
    <w:rsid w:val="00F45F07"/>
    <w:rsid w:val="00F46DE9"/>
    <w:rsid w:val="00F54695"/>
    <w:rsid w:val="00F55CD1"/>
    <w:rsid w:val="00F62A44"/>
    <w:rsid w:val="00F655B8"/>
    <w:rsid w:val="00F713ED"/>
    <w:rsid w:val="00F774EC"/>
    <w:rsid w:val="00F85DBA"/>
    <w:rsid w:val="00F87D7E"/>
    <w:rsid w:val="00F9034A"/>
    <w:rsid w:val="00F91E8E"/>
    <w:rsid w:val="00F9272B"/>
    <w:rsid w:val="00F95B17"/>
    <w:rsid w:val="00FB3DC7"/>
    <w:rsid w:val="00FB62D5"/>
    <w:rsid w:val="00FC14E4"/>
    <w:rsid w:val="00FC3754"/>
    <w:rsid w:val="00FD00AC"/>
    <w:rsid w:val="00FD5051"/>
    <w:rsid w:val="00FE2E3D"/>
    <w:rsid w:val="00FE35A1"/>
    <w:rsid w:val="00FF1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57"/>
    <w:lsdException w:name="footer" w:uiPriority="57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unhideWhenUsed="0"/>
    <w:lsdException w:name="Date" w:unhideWhenUsed="0"/>
    <w:lsdException w:name="Body Text First Indent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DE3A78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DE3A78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DE3A78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DE3A78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DE3A78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DE3A78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DE3A78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DE3A78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DE3A78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DE3A78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DE3A7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3A78"/>
    <w:rPr>
      <w:rFonts w:ascii="Tahoma" w:eastAsiaTheme="minorEastAsia" w:hAnsi="Tahoma" w:cs="Tahoma"/>
      <w:sz w:val="16"/>
      <w:szCs w:val="16"/>
      <w:lang w:val="pl-PL"/>
    </w:rPr>
  </w:style>
  <w:style w:type="character" w:styleId="Tytuksiki">
    <w:name w:val="Book Title"/>
    <w:uiPriority w:val="99"/>
    <w:semiHidden/>
    <w:qFormat/>
    <w:rsid w:val="00DE3A78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DE3A78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DE3A78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DE3A78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DE3A78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DE3A78"/>
    <w:rPr>
      <w:rFonts w:eastAsiaTheme="minorEastAsia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DE3A78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DecHTitle">
    <w:name w:val="Dec_H_Title"/>
    <w:basedOn w:val="ECHRTitleCentre1"/>
    <w:uiPriority w:val="7"/>
    <w:semiHidden/>
    <w:qFormat/>
    <w:rsid w:val="00DE3A78"/>
  </w:style>
  <w:style w:type="paragraph" w:customStyle="1" w:styleId="DecList">
    <w:name w:val="Dec_List"/>
    <w:basedOn w:val="Normalny"/>
    <w:uiPriority w:val="9"/>
    <w:semiHidden/>
    <w:qFormat/>
    <w:rsid w:val="00DE3A78"/>
    <w:pPr>
      <w:spacing w:before="240"/>
      <w:ind w:left="284"/>
    </w:pPr>
  </w:style>
  <w:style w:type="paragraph" w:customStyle="1" w:styleId="DummyStyle">
    <w:name w:val="Dummy_Style"/>
    <w:basedOn w:val="Normalny"/>
    <w:semiHidden/>
    <w:qFormat/>
    <w:rsid w:val="00DE3A78"/>
    <w:rPr>
      <w:color w:val="00B050"/>
    </w:r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DE3A78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DE3A78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AppQuestion">
    <w:name w:val="Ju_App_Question"/>
    <w:basedOn w:val="Normalny"/>
    <w:uiPriority w:val="5"/>
    <w:semiHidden/>
    <w:qFormat/>
    <w:rsid w:val="00DE3A78"/>
    <w:pPr>
      <w:numPr>
        <w:numId w:val="40"/>
      </w:numPr>
      <w:jc w:val="left"/>
    </w:pPr>
    <w:rPr>
      <w:b/>
    </w:rPr>
  </w:style>
  <w:style w:type="paragraph" w:customStyle="1" w:styleId="JuCourt">
    <w:name w:val="Ju_Court"/>
    <w:basedOn w:val="Normalny"/>
    <w:next w:val="Normalny"/>
    <w:uiPriority w:val="16"/>
    <w:qFormat/>
    <w:rsid w:val="00DE3A78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JuHeaderLandscape">
    <w:name w:val="Ju_Header_Landscape"/>
    <w:basedOn w:val="ECHRHeader"/>
    <w:uiPriority w:val="4"/>
    <w:qFormat/>
    <w:rsid w:val="00DE3A78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DE3A78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Initialled">
    <w:name w:val="Ju_Initialled"/>
    <w:basedOn w:val="Normalny"/>
    <w:uiPriority w:val="31"/>
    <w:qFormat/>
    <w:rsid w:val="00DE3A78"/>
    <w:pPr>
      <w:tabs>
        <w:tab w:val="center" w:pos="6407"/>
      </w:tabs>
      <w:spacing w:before="720"/>
      <w:jc w:val="right"/>
    </w:pPr>
  </w:style>
  <w:style w:type="paragraph" w:styleId="Tytu">
    <w:name w:val="Title"/>
    <w:basedOn w:val="Normalny"/>
    <w:next w:val="Normalny"/>
    <w:link w:val="TytuZnak"/>
    <w:uiPriority w:val="99"/>
    <w:semiHidden/>
    <w:qFormat/>
    <w:rsid w:val="00DE3A78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DE3A78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DE3A78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DE3A78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DE3A78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DE3A78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i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DE3A78"/>
    <w:pPr>
      <w:keepNext/>
      <w:keepLines/>
      <w:spacing w:before="240" w:after="120"/>
      <w:ind w:left="1236"/>
    </w:pPr>
    <w:rPr>
      <w:sz w:val="20"/>
    </w:rPr>
  </w:style>
  <w:style w:type="character" w:customStyle="1" w:styleId="JUNAMES">
    <w:name w:val="JU_NAMES"/>
    <w:uiPriority w:val="17"/>
    <w:qFormat/>
    <w:rsid w:val="00DE3A78"/>
    <w:rPr>
      <w:caps w:val="0"/>
      <w:smallCaps/>
    </w:rPr>
  </w:style>
  <w:style w:type="paragraph" w:customStyle="1" w:styleId="JuParaSub">
    <w:name w:val="Ju_Para_Sub"/>
    <w:basedOn w:val="ECHRPara"/>
    <w:uiPriority w:val="13"/>
    <w:qFormat/>
    <w:rsid w:val="00DE3A78"/>
    <w:pPr>
      <w:ind w:left="284"/>
    </w:pPr>
  </w:style>
  <w:style w:type="paragraph" w:customStyle="1" w:styleId="JuQuotSub">
    <w:name w:val="Ju_Quot_Sub"/>
    <w:basedOn w:val="ECHRParaQuote"/>
    <w:uiPriority w:val="15"/>
    <w:qFormat/>
    <w:rsid w:val="00DE3A78"/>
    <w:pPr>
      <w:ind w:left="567"/>
    </w:pPr>
  </w:style>
  <w:style w:type="paragraph" w:styleId="Nagwek">
    <w:name w:val="header"/>
    <w:basedOn w:val="Normalny"/>
    <w:link w:val="NagwekZnak"/>
    <w:uiPriority w:val="57"/>
    <w:semiHidden/>
    <w:rsid w:val="00DE3A78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DE3A78"/>
    <w:rPr>
      <w:sz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DE3A78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DE3A78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DE3A78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DE3A78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Title">
    <w:name w:val="Ju_Title"/>
    <w:basedOn w:val="Normalny"/>
    <w:next w:val="ECHRPara"/>
    <w:uiPriority w:val="3"/>
    <w:semiHidden/>
    <w:qFormat/>
    <w:rsid w:val="00DE3A78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customStyle="1" w:styleId="JuCase">
    <w:name w:val="Ju_Case"/>
    <w:basedOn w:val="Normalny"/>
    <w:next w:val="ECHRPara"/>
    <w:uiPriority w:val="10"/>
    <w:rsid w:val="00DE3A78"/>
    <w:pPr>
      <w:ind w:firstLine="284"/>
    </w:pPr>
    <w:rPr>
      <w:b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DE3A78"/>
    <w:rPr>
      <w:rFonts w:asciiTheme="majorHAnsi" w:eastAsiaTheme="majorEastAsia" w:hAnsiTheme="majorHAnsi" w:cstheme="majorBidi"/>
      <w:b/>
      <w:bCs/>
      <w:color w:val="5F5F5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DE3A78"/>
    <w:rPr>
      <w:rFonts w:asciiTheme="majorHAnsi" w:eastAsiaTheme="majorEastAsia" w:hAnsiTheme="majorHAnsi" w:cstheme="majorBidi"/>
      <w:b/>
      <w:bCs/>
      <w:i/>
      <w:iCs/>
      <w:color w:val="777777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DE3A78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DE3A78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DE3A78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DE3A78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DE3A78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DE3A78"/>
    <w:rPr>
      <w:sz w:val="24"/>
      <w:lang w:val="pl-PL"/>
    </w:rPr>
  </w:style>
  <w:style w:type="character" w:styleId="Odwoanieprzypisudolnego">
    <w:name w:val="footnote reference"/>
    <w:basedOn w:val="Domylnaczcionkaakapitu"/>
    <w:uiPriority w:val="99"/>
    <w:semiHidden/>
    <w:rsid w:val="00DE3A78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DE3A7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E3A78"/>
    <w:rPr>
      <w:rFonts w:eastAsiaTheme="minorEastAsia"/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DE3A78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DE3A78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DE3A78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DE3A78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DE3A78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DE3A78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DE3A78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DE3A78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DE3A78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DE3A78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DE3A78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DE3A78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DE3A78"/>
    <w:rPr>
      <w:smallCaps/>
    </w:rPr>
  </w:style>
  <w:style w:type="table" w:styleId="Tabela-Siatka">
    <w:name w:val="Table Grid"/>
    <w:basedOn w:val="Standardowy"/>
    <w:uiPriority w:val="59"/>
    <w:semiHidden/>
    <w:rsid w:val="00DE3A78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DE3A78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DE3A78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DE3A78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DE3A78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DE3A78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DE3A78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DE3A78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DE3A78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DE3A78"/>
    <w:pPr>
      <w:ind w:firstLine="284"/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DE3A78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ECHRDecisionBody">
    <w:name w:val="ECHR_Decision_Body"/>
    <w:aliases w:val="Ju_Judges"/>
    <w:basedOn w:val="Normalny"/>
    <w:uiPriority w:val="11"/>
    <w:qFormat/>
    <w:rsid w:val="00DE3A78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basedOn w:val="Normalny"/>
    <w:uiPriority w:val="28"/>
    <w:qFormat/>
    <w:rsid w:val="00DE3A78"/>
    <w:pPr>
      <w:ind w:left="340" w:hanging="340"/>
    </w:pPr>
  </w:style>
  <w:style w:type="paragraph" w:customStyle="1" w:styleId="JuSigned">
    <w:name w:val="Ju_Signed"/>
    <w:basedOn w:val="Normalny"/>
    <w:next w:val="JuParaLast"/>
    <w:uiPriority w:val="32"/>
    <w:qFormat/>
    <w:rsid w:val="00DE3A78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DE3A78"/>
    <w:pPr>
      <w:keepNext/>
      <w:keepLines/>
      <w:spacing w:before="240"/>
      <w:ind w:firstLine="284"/>
    </w:pPr>
  </w:style>
  <w:style w:type="paragraph" w:customStyle="1" w:styleId="OpiH1">
    <w:name w:val="Opi_H_1"/>
    <w:basedOn w:val="ECHRHeading2"/>
    <w:uiPriority w:val="42"/>
    <w:qFormat/>
    <w:rsid w:val="00DE3A78"/>
    <w:pPr>
      <w:ind w:left="635" w:hanging="357"/>
      <w:outlineLvl w:val="2"/>
    </w:pPr>
  </w:style>
  <w:style w:type="character" w:styleId="Numerstrony">
    <w:name w:val="page number"/>
    <w:uiPriority w:val="99"/>
    <w:semiHidden/>
    <w:rsid w:val="00014566"/>
    <w:rPr>
      <w:sz w:val="18"/>
    </w:rPr>
  </w:style>
  <w:style w:type="paragraph" w:customStyle="1" w:styleId="JuLista">
    <w:name w:val="Ju_List_a"/>
    <w:basedOn w:val="JuList"/>
    <w:uiPriority w:val="28"/>
    <w:qFormat/>
    <w:rsid w:val="00DE3A78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DE3A78"/>
    <w:pPr>
      <w:ind w:left="794"/>
    </w:pPr>
  </w:style>
  <w:style w:type="character" w:styleId="Odwoaniedokomentarza">
    <w:name w:val="annotation reference"/>
    <w:uiPriority w:val="99"/>
    <w:semiHidden/>
    <w:rsid w:val="00014566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1456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4566"/>
    <w:rPr>
      <w:rFonts w:eastAsiaTheme="minorEastAsia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145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4566"/>
    <w:rPr>
      <w:rFonts w:eastAsiaTheme="minorEastAsia"/>
      <w:b/>
      <w:bCs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DE3A78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DE3A7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E3A78"/>
    <w:rPr>
      <w:rFonts w:eastAsiaTheme="minorEastAsia"/>
      <w:sz w:val="20"/>
      <w:szCs w:val="20"/>
      <w:lang w:val="pl-PL"/>
    </w:rPr>
  </w:style>
  <w:style w:type="character" w:styleId="UyteHipercze">
    <w:name w:val="FollowedHyperlink"/>
    <w:uiPriority w:val="99"/>
    <w:semiHidden/>
    <w:rsid w:val="00014566"/>
    <w:rPr>
      <w:color w:val="800080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014566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14566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OpiHa">
    <w:name w:val="Opi_H_a"/>
    <w:basedOn w:val="ECHRHeading3"/>
    <w:uiPriority w:val="43"/>
    <w:qFormat/>
    <w:rsid w:val="00DE3A78"/>
    <w:pPr>
      <w:ind w:left="833" w:hanging="357"/>
      <w:outlineLvl w:val="3"/>
    </w:pPr>
    <w:rPr>
      <w:b/>
      <w:i w:val="0"/>
      <w:sz w:val="20"/>
    </w:rPr>
  </w:style>
  <w:style w:type="paragraph" w:styleId="Listapunktowana">
    <w:name w:val="List Bullet"/>
    <w:basedOn w:val="Normalny"/>
    <w:uiPriority w:val="99"/>
    <w:semiHidden/>
    <w:rsid w:val="00014566"/>
    <w:pPr>
      <w:numPr>
        <w:numId w:val="1"/>
      </w:numPr>
    </w:pPr>
  </w:style>
  <w:style w:type="character" w:customStyle="1" w:styleId="JuITMark">
    <w:name w:val="Ju_ITMark"/>
    <w:basedOn w:val="Domylnaczcionkaakapitu"/>
    <w:uiPriority w:val="38"/>
    <w:qFormat/>
    <w:rsid w:val="00DE3A78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DE3A78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DE3A78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014566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014566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014566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014566"/>
  </w:style>
  <w:style w:type="paragraph" w:styleId="Tekstblokowy">
    <w:name w:val="Block Text"/>
    <w:basedOn w:val="Normalny"/>
    <w:uiPriority w:val="99"/>
    <w:semiHidden/>
    <w:rsid w:val="00014566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01456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14566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01456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566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01456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14566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014566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014566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145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14566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014566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014566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145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14566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1456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14566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014566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014566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014566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014566"/>
  </w:style>
  <w:style w:type="character" w:customStyle="1" w:styleId="DataZnak">
    <w:name w:val="Data Znak"/>
    <w:basedOn w:val="Domylnaczcionkaakapitu"/>
    <w:link w:val="Data"/>
    <w:uiPriority w:val="99"/>
    <w:semiHidden/>
    <w:rsid w:val="00014566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014566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014566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014566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014566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014566"/>
  </w:style>
  <w:style w:type="paragraph" w:styleId="HTML-adres">
    <w:name w:val="HTML Address"/>
    <w:basedOn w:val="Normalny"/>
    <w:link w:val="HTML-adresZnak"/>
    <w:uiPriority w:val="99"/>
    <w:semiHidden/>
    <w:rsid w:val="00014566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014566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014566"/>
    <w:rPr>
      <w:i/>
      <w:iCs/>
    </w:rPr>
  </w:style>
  <w:style w:type="character" w:styleId="HTML-kod">
    <w:name w:val="HTML Code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014566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14566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014566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014566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014566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014566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014566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014566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014566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014566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014566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014566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014566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014566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014566"/>
    <w:rPr>
      <w:color w:val="000000" w:themeColor="text1" w:themeShade="BF"/>
      <w:lang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014566"/>
    <w:rPr>
      <w:color w:val="00548C" w:themeColor="accent1" w:themeShade="BF"/>
      <w:lang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014566"/>
    <w:rPr>
      <w:color w:val="8F0000" w:themeColor="accent2" w:themeShade="BF"/>
      <w:lang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014566"/>
    <w:rPr>
      <w:color w:val="474747" w:themeColor="accent3" w:themeShade="BF"/>
      <w:lang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014566"/>
    <w:rPr>
      <w:color w:val="707070" w:themeColor="accent4" w:themeShade="BF"/>
      <w:lang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014566"/>
    <w:rPr>
      <w:color w:val="474747" w:themeColor="accent5" w:themeShade="BF"/>
      <w:lang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014566"/>
    <w:rPr>
      <w:color w:val="393939" w:themeColor="accent6" w:themeShade="BF"/>
      <w:lang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014566"/>
  </w:style>
  <w:style w:type="paragraph" w:styleId="Lista">
    <w:name w:val="List"/>
    <w:basedOn w:val="Normalny"/>
    <w:uiPriority w:val="99"/>
    <w:semiHidden/>
    <w:rsid w:val="00014566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014566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014566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014566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014566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014566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014566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014566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014566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014566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014566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014566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014566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014566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014566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014566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014566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014566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014566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0145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eastAsia="fr-FR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014566"/>
    <w:rPr>
      <w:rFonts w:ascii="Consolas" w:hAnsi="Consolas" w:cs="Consolas"/>
      <w:sz w:val="20"/>
      <w:szCs w:val="20"/>
      <w:lang w:val="pl-PL" w:eastAsia="fr-FR"/>
    </w:rPr>
  </w:style>
  <w:style w:type="table" w:styleId="redniasiatka1">
    <w:name w:val="Medium Grid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0145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01456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014566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014566"/>
    <w:pPr>
      <w:ind w:left="720"/>
    </w:pPr>
  </w:style>
  <w:style w:type="paragraph" w:customStyle="1" w:styleId="OpiHA0">
    <w:name w:val="Opi_H_A"/>
    <w:basedOn w:val="ECHRHeading1"/>
    <w:next w:val="OpiPara"/>
    <w:uiPriority w:val="41"/>
    <w:qFormat/>
    <w:rsid w:val="00DE3A78"/>
    <w:pPr>
      <w:tabs>
        <w:tab w:val="clear" w:pos="357"/>
      </w:tabs>
      <w:outlineLvl w:val="1"/>
    </w:pPr>
    <w:rPr>
      <w:b/>
    </w:rPr>
  </w:style>
  <w:style w:type="paragraph" w:customStyle="1" w:styleId="OpiHi">
    <w:name w:val="Opi_H_i"/>
    <w:basedOn w:val="ECHRHeading4"/>
    <w:uiPriority w:val="44"/>
    <w:qFormat/>
    <w:rsid w:val="00DE3A78"/>
    <w:pPr>
      <w:ind w:left="1037" w:hanging="357"/>
      <w:outlineLvl w:val="4"/>
    </w:pPr>
    <w:rPr>
      <w:b w:val="0"/>
      <w:i/>
    </w:rPr>
  </w:style>
  <w:style w:type="character" w:styleId="Tekstzastpczy">
    <w:name w:val="Placeholder Text"/>
    <w:basedOn w:val="Domylnaczcionkaakapitu"/>
    <w:uiPriority w:val="99"/>
    <w:semiHidden/>
    <w:rsid w:val="00DE3A78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014566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14566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014566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014566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014566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014566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014566"/>
    <w:pPr>
      <w:suppressAutoHyphens/>
    </w:pPr>
    <w:rPr>
      <w:lang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014566"/>
    <w:pPr>
      <w:suppressAutoHyphens/>
    </w:pPr>
    <w:rPr>
      <w:color w:val="000080"/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014566"/>
    <w:pPr>
      <w:suppressAutoHyphens/>
    </w:pPr>
    <w:rPr>
      <w:color w:val="FFFFFF"/>
      <w:lang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014566"/>
    <w:pPr>
      <w:suppressAutoHyphens/>
    </w:pPr>
    <w:rPr>
      <w:b/>
      <w:bCs/>
      <w:lang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014566"/>
    <w:pPr>
      <w:suppressAutoHyphens/>
    </w:pPr>
    <w:rPr>
      <w:b/>
      <w:bCs/>
      <w:lang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014566"/>
    <w:pPr>
      <w:suppressAutoHyphens/>
    </w:pPr>
    <w:rPr>
      <w:b/>
      <w:bCs/>
      <w:lang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014566"/>
    <w:pPr>
      <w:suppressAutoHyphens/>
    </w:pPr>
    <w:rPr>
      <w:lang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014566"/>
    <w:pPr>
      <w:suppressAutoHyphens/>
    </w:pPr>
    <w:rPr>
      <w:lang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014566"/>
    <w:pPr>
      <w:suppressAutoHyphens/>
    </w:pPr>
    <w:rPr>
      <w:b/>
      <w:bCs/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014566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014566"/>
  </w:style>
  <w:style w:type="table" w:styleId="Tabela-Profesjonalny">
    <w:name w:val="Table Professional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014566"/>
    <w:pPr>
      <w:suppressAutoHyphens/>
    </w:pPr>
    <w:rPr>
      <w:lang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014566"/>
    <w:pPr>
      <w:suppressAutoHyphens/>
    </w:pPr>
    <w:rPr>
      <w:lang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014566"/>
    <w:pPr>
      <w:suppressAutoHyphens/>
    </w:pPr>
    <w:rPr>
      <w:lang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014566"/>
    <w:pPr>
      <w:suppressAutoHyphens/>
    </w:pPr>
    <w:rPr>
      <w:lang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DE3A78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DE3A78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014566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014566"/>
    <w:pPr>
      <w:spacing w:after="100"/>
      <w:ind w:left="1920"/>
    </w:pPr>
  </w:style>
  <w:style w:type="paragraph" w:customStyle="1" w:styleId="OpiPara">
    <w:name w:val="Opi_Para"/>
    <w:basedOn w:val="ECHRPara"/>
    <w:uiPriority w:val="46"/>
    <w:qFormat/>
    <w:rsid w:val="00DE3A78"/>
  </w:style>
  <w:style w:type="paragraph" w:customStyle="1" w:styleId="OpiParaSub">
    <w:name w:val="Opi_Para_Sub"/>
    <w:basedOn w:val="JuParaSub"/>
    <w:uiPriority w:val="47"/>
    <w:qFormat/>
    <w:rsid w:val="00DE3A78"/>
  </w:style>
  <w:style w:type="paragraph" w:customStyle="1" w:styleId="OpiQuot">
    <w:name w:val="Opi_Quot"/>
    <w:basedOn w:val="ECHRParaQuote"/>
    <w:uiPriority w:val="48"/>
    <w:qFormat/>
    <w:rsid w:val="00DE3A78"/>
  </w:style>
  <w:style w:type="paragraph" w:customStyle="1" w:styleId="OpiQuotSub">
    <w:name w:val="Opi_Quot_Sub"/>
    <w:basedOn w:val="JuQuotSub"/>
    <w:uiPriority w:val="49"/>
    <w:qFormat/>
    <w:rsid w:val="00DE3A78"/>
  </w:style>
  <w:style w:type="paragraph" w:customStyle="1" w:styleId="OpiTranslation">
    <w:name w:val="Opi_Translation"/>
    <w:basedOn w:val="Normalny"/>
    <w:next w:val="OpiPara"/>
    <w:uiPriority w:val="40"/>
    <w:qFormat/>
    <w:rsid w:val="00DE3A78"/>
    <w:pPr>
      <w:jc w:val="center"/>
      <w:outlineLvl w:val="0"/>
    </w:pPr>
    <w:rPr>
      <w:i/>
    </w:r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E024A7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E024A7"/>
    <w:rPr>
      <w:rFonts w:eastAsiaTheme="minorEastAsia"/>
      <w:sz w:val="24"/>
      <w:lang w:val="pl-PL"/>
    </w:rPr>
  </w:style>
  <w:style w:type="character" w:customStyle="1" w:styleId="ECHRParaChar">
    <w:name w:val="ECHR_Para Char"/>
    <w:aliases w:val="Ju_Para Char"/>
    <w:link w:val="ECHRPara"/>
    <w:uiPriority w:val="12"/>
    <w:rsid w:val="0018479E"/>
    <w:rPr>
      <w:rFonts w:eastAsiaTheme="minorEastAsia"/>
      <w:sz w:val="24"/>
      <w:lang w:val="pl-PL"/>
    </w:rPr>
  </w:style>
  <w:style w:type="paragraph" w:styleId="Poprawka">
    <w:name w:val="Revision"/>
    <w:hidden/>
    <w:uiPriority w:val="99"/>
    <w:semiHidden/>
    <w:rsid w:val="00A03562"/>
    <w:rPr>
      <w:rFonts w:eastAsiaTheme="minorEastAsia"/>
      <w:sz w:val="24"/>
    </w:rPr>
  </w:style>
  <w:style w:type="paragraph" w:customStyle="1" w:styleId="jupara">
    <w:name w:val="jupara"/>
    <w:basedOn w:val="Normalny"/>
    <w:rsid w:val="009D0A4C"/>
    <w:pPr>
      <w:ind w:firstLine="284"/>
    </w:pPr>
    <w:rPr>
      <w:rFonts w:ascii="Times New Roman" w:eastAsia="Times New Roman" w:hAnsi="Times New Roman" w:cs="Times New Roman"/>
      <w:szCs w:val="24"/>
      <w:lang w:val="en-GB" w:eastAsia="en-GB"/>
    </w:rPr>
  </w:style>
  <w:style w:type="paragraph" w:customStyle="1" w:styleId="jucase0">
    <w:name w:val="jucase"/>
    <w:basedOn w:val="Normalny"/>
    <w:rsid w:val="009D0A4C"/>
    <w:pPr>
      <w:ind w:firstLine="284"/>
    </w:pPr>
    <w:rPr>
      <w:rFonts w:ascii="Times New Roman" w:eastAsia="Times New Roman" w:hAnsi="Times New Roman" w:cs="Times New Roman"/>
      <w:b/>
      <w:bCs/>
      <w:szCs w:val="24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57"/>
    <w:lsdException w:name="footer" w:uiPriority="57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unhideWhenUsed="0"/>
    <w:lsdException w:name="Date" w:unhideWhenUsed="0"/>
    <w:lsdException w:name="Body Text First Indent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DE3A78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DE3A78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DE3A78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DE3A78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DE3A78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DE3A78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DE3A78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DE3A78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DE3A78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DE3A78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DE3A7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3A78"/>
    <w:rPr>
      <w:rFonts w:ascii="Tahoma" w:eastAsiaTheme="minorEastAsia" w:hAnsi="Tahoma" w:cs="Tahoma"/>
      <w:sz w:val="16"/>
      <w:szCs w:val="16"/>
      <w:lang w:val="pl-PL"/>
    </w:rPr>
  </w:style>
  <w:style w:type="character" w:styleId="Tytuksiki">
    <w:name w:val="Book Title"/>
    <w:uiPriority w:val="99"/>
    <w:semiHidden/>
    <w:qFormat/>
    <w:rsid w:val="00DE3A78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DE3A78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DE3A78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DE3A78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DE3A78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DE3A78"/>
    <w:rPr>
      <w:rFonts w:eastAsiaTheme="minorEastAsia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DE3A78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DecHTitle">
    <w:name w:val="Dec_H_Title"/>
    <w:basedOn w:val="ECHRTitleCentre1"/>
    <w:uiPriority w:val="7"/>
    <w:semiHidden/>
    <w:qFormat/>
    <w:rsid w:val="00DE3A78"/>
  </w:style>
  <w:style w:type="paragraph" w:customStyle="1" w:styleId="DecList">
    <w:name w:val="Dec_List"/>
    <w:basedOn w:val="Normalny"/>
    <w:uiPriority w:val="9"/>
    <w:semiHidden/>
    <w:qFormat/>
    <w:rsid w:val="00DE3A78"/>
    <w:pPr>
      <w:spacing w:before="240"/>
      <w:ind w:left="284"/>
    </w:pPr>
  </w:style>
  <w:style w:type="paragraph" w:customStyle="1" w:styleId="DummyStyle">
    <w:name w:val="Dummy_Style"/>
    <w:basedOn w:val="Normalny"/>
    <w:semiHidden/>
    <w:qFormat/>
    <w:rsid w:val="00DE3A78"/>
    <w:rPr>
      <w:color w:val="00B050"/>
    </w:r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DE3A78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DE3A78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AppQuestion">
    <w:name w:val="Ju_App_Question"/>
    <w:basedOn w:val="Normalny"/>
    <w:uiPriority w:val="5"/>
    <w:semiHidden/>
    <w:qFormat/>
    <w:rsid w:val="00DE3A78"/>
    <w:pPr>
      <w:numPr>
        <w:numId w:val="40"/>
      </w:numPr>
      <w:jc w:val="left"/>
    </w:pPr>
    <w:rPr>
      <w:b/>
    </w:rPr>
  </w:style>
  <w:style w:type="paragraph" w:customStyle="1" w:styleId="JuCourt">
    <w:name w:val="Ju_Court"/>
    <w:basedOn w:val="Normalny"/>
    <w:next w:val="Normalny"/>
    <w:uiPriority w:val="16"/>
    <w:qFormat/>
    <w:rsid w:val="00DE3A78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JuHeaderLandscape">
    <w:name w:val="Ju_Header_Landscape"/>
    <w:basedOn w:val="ECHRHeader"/>
    <w:uiPriority w:val="4"/>
    <w:qFormat/>
    <w:rsid w:val="00DE3A78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DE3A78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Initialled">
    <w:name w:val="Ju_Initialled"/>
    <w:basedOn w:val="Normalny"/>
    <w:uiPriority w:val="31"/>
    <w:qFormat/>
    <w:rsid w:val="00DE3A78"/>
    <w:pPr>
      <w:tabs>
        <w:tab w:val="center" w:pos="6407"/>
      </w:tabs>
      <w:spacing w:before="720"/>
      <w:jc w:val="right"/>
    </w:pPr>
  </w:style>
  <w:style w:type="paragraph" w:styleId="Tytu">
    <w:name w:val="Title"/>
    <w:basedOn w:val="Normalny"/>
    <w:next w:val="Normalny"/>
    <w:link w:val="TytuZnak"/>
    <w:uiPriority w:val="99"/>
    <w:semiHidden/>
    <w:qFormat/>
    <w:rsid w:val="00DE3A78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DE3A78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DE3A78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DE3A78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DE3A78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DE3A78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i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DE3A78"/>
    <w:pPr>
      <w:keepNext/>
      <w:keepLines/>
      <w:spacing w:before="240" w:after="120"/>
      <w:ind w:left="1236"/>
    </w:pPr>
    <w:rPr>
      <w:sz w:val="20"/>
    </w:rPr>
  </w:style>
  <w:style w:type="character" w:customStyle="1" w:styleId="JUNAMES">
    <w:name w:val="JU_NAMES"/>
    <w:uiPriority w:val="17"/>
    <w:qFormat/>
    <w:rsid w:val="00DE3A78"/>
    <w:rPr>
      <w:caps w:val="0"/>
      <w:smallCaps/>
    </w:rPr>
  </w:style>
  <w:style w:type="paragraph" w:customStyle="1" w:styleId="JuParaSub">
    <w:name w:val="Ju_Para_Sub"/>
    <w:basedOn w:val="ECHRPara"/>
    <w:uiPriority w:val="13"/>
    <w:qFormat/>
    <w:rsid w:val="00DE3A78"/>
    <w:pPr>
      <w:ind w:left="284"/>
    </w:pPr>
  </w:style>
  <w:style w:type="paragraph" w:customStyle="1" w:styleId="JuQuotSub">
    <w:name w:val="Ju_Quot_Sub"/>
    <w:basedOn w:val="ECHRParaQuote"/>
    <w:uiPriority w:val="15"/>
    <w:qFormat/>
    <w:rsid w:val="00DE3A78"/>
    <w:pPr>
      <w:ind w:left="567"/>
    </w:pPr>
  </w:style>
  <w:style w:type="paragraph" w:styleId="Nagwek">
    <w:name w:val="header"/>
    <w:basedOn w:val="Normalny"/>
    <w:link w:val="NagwekZnak"/>
    <w:uiPriority w:val="57"/>
    <w:semiHidden/>
    <w:rsid w:val="00DE3A78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DE3A78"/>
    <w:rPr>
      <w:sz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DE3A78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DE3A78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DE3A78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DE3A78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Title">
    <w:name w:val="Ju_Title"/>
    <w:basedOn w:val="Normalny"/>
    <w:next w:val="ECHRPara"/>
    <w:uiPriority w:val="3"/>
    <w:semiHidden/>
    <w:qFormat/>
    <w:rsid w:val="00DE3A78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customStyle="1" w:styleId="JuCase">
    <w:name w:val="Ju_Case"/>
    <w:basedOn w:val="Normalny"/>
    <w:next w:val="ECHRPara"/>
    <w:uiPriority w:val="10"/>
    <w:rsid w:val="00DE3A78"/>
    <w:pPr>
      <w:ind w:firstLine="284"/>
    </w:pPr>
    <w:rPr>
      <w:b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DE3A78"/>
    <w:rPr>
      <w:rFonts w:asciiTheme="majorHAnsi" w:eastAsiaTheme="majorEastAsia" w:hAnsiTheme="majorHAnsi" w:cstheme="majorBidi"/>
      <w:b/>
      <w:bCs/>
      <w:color w:val="5F5F5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DE3A78"/>
    <w:rPr>
      <w:rFonts w:asciiTheme="majorHAnsi" w:eastAsiaTheme="majorEastAsia" w:hAnsiTheme="majorHAnsi" w:cstheme="majorBidi"/>
      <w:b/>
      <w:bCs/>
      <w:i/>
      <w:iCs/>
      <w:color w:val="777777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DE3A78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DE3A78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DE3A78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DE3A78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DE3A78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DE3A78"/>
    <w:rPr>
      <w:sz w:val="24"/>
      <w:lang w:val="pl-PL"/>
    </w:rPr>
  </w:style>
  <w:style w:type="character" w:styleId="Odwoanieprzypisudolnego">
    <w:name w:val="footnote reference"/>
    <w:basedOn w:val="Domylnaczcionkaakapitu"/>
    <w:uiPriority w:val="99"/>
    <w:semiHidden/>
    <w:rsid w:val="00DE3A78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DE3A7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E3A78"/>
    <w:rPr>
      <w:rFonts w:eastAsiaTheme="minorEastAsia"/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DE3A78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DE3A78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DE3A78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DE3A78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DE3A78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DE3A78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DE3A78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DE3A78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DE3A78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DE3A78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DE3A78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DE3A78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DE3A78"/>
    <w:rPr>
      <w:smallCaps/>
    </w:rPr>
  </w:style>
  <w:style w:type="table" w:styleId="Tabela-Siatka">
    <w:name w:val="Table Grid"/>
    <w:basedOn w:val="Standardowy"/>
    <w:uiPriority w:val="59"/>
    <w:semiHidden/>
    <w:rsid w:val="00DE3A78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DE3A78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DE3A78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DE3A78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DE3A78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DE3A78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DE3A78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DE3A78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DE3A78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DE3A78"/>
    <w:pPr>
      <w:ind w:firstLine="284"/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DE3A78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ECHRDecisionBody">
    <w:name w:val="ECHR_Decision_Body"/>
    <w:aliases w:val="Ju_Judges"/>
    <w:basedOn w:val="Normalny"/>
    <w:uiPriority w:val="11"/>
    <w:qFormat/>
    <w:rsid w:val="00DE3A78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basedOn w:val="Normalny"/>
    <w:uiPriority w:val="28"/>
    <w:qFormat/>
    <w:rsid w:val="00DE3A78"/>
    <w:pPr>
      <w:ind w:left="340" w:hanging="340"/>
    </w:pPr>
  </w:style>
  <w:style w:type="paragraph" w:customStyle="1" w:styleId="JuSigned">
    <w:name w:val="Ju_Signed"/>
    <w:basedOn w:val="Normalny"/>
    <w:next w:val="JuParaLast"/>
    <w:uiPriority w:val="32"/>
    <w:qFormat/>
    <w:rsid w:val="00DE3A78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DE3A78"/>
    <w:pPr>
      <w:keepNext/>
      <w:keepLines/>
      <w:spacing w:before="240"/>
      <w:ind w:firstLine="284"/>
    </w:pPr>
  </w:style>
  <w:style w:type="paragraph" w:customStyle="1" w:styleId="OpiH1">
    <w:name w:val="Opi_H_1"/>
    <w:basedOn w:val="ECHRHeading2"/>
    <w:uiPriority w:val="42"/>
    <w:qFormat/>
    <w:rsid w:val="00DE3A78"/>
    <w:pPr>
      <w:ind w:left="635" w:hanging="357"/>
      <w:outlineLvl w:val="2"/>
    </w:pPr>
  </w:style>
  <w:style w:type="character" w:styleId="Numerstrony">
    <w:name w:val="page number"/>
    <w:uiPriority w:val="99"/>
    <w:semiHidden/>
    <w:rsid w:val="00014566"/>
    <w:rPr>
      <w:sz w:val="18"/>
    </w:rPr>
  </w:style>
  <w:style w:type="paragraph" w:customStyle="1" w:styleId="JuLista">
    <w:name w:val="Ju_List_a"/>
    <w:basedOn w:val="JuList"/>
    <w:uiPriority w:val="28"/>
    <w:qFormat/>
    <w:rsid w:val="00DE3A78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DE3A78"/>
    <w:pPr>
      <w:ind w:left="794"/>
    </w:pPr>
  </w:style>
  <w:style w:type="character" w:styleId="Odwoaniedokomentarza">
    <w:name w:val="annotation reference"/>
    <w:uiPriority w:val="99"/>
    <w:semiHidden/>
    <w:rsid w:val="00014566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1456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4566"/>
    <w:rPr>
      <w:rFonts w:eastAsiaTheme="minorEastAsia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145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4566"/>
    <w:rPr>
      <w:rFonts w:eastAsiaTheme="minorEastAsia"/>
      <w:b/>
      <w:bCs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DE3A78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DE3A7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E3A78"/>
    <w:rPr>
      <w:rFonts w:eastAsiaTheme="minorEastAsia"/>
      <w:sz w:val="20"/>
      <w:szCs w:val="20"/>
      <w:lang w:val="pl-PL"/>
    </w:rPr>
  </w:style>
  <w:style w:type="character" w:styleId="UyteHipercze">
    <w:name w:val="FollowedHyperlink"/>
    <w:uiPriority w:val="99"/>
    <w:semiHidden/>
    <w:rsid w:val="00014566"/>
    <w:rPr>
      <w:color w:val="800080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014566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14566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OpiHa">
    <w:name w:val="Opi_H_a"/>
    <w:basedOn w:val="ECHRHeading3"/>
    <w:uiPriority w:val="43"/>
    <w:qFormat/>
    <w:rsid w:val="00DE3A78"/>
    <w:pPr>
      <w:ind w:left="833" w:hanging="357"/>
      <w:outlineLvl w:val="3"/>
    </w:pPr>
    <w:rPr>
      <w:b/>
      <w:i w:val="0"/>
      <w:sz w:val="20"/>
    </w:rPr>
  </w:style>
  <w:style w:type="paragraph" w:styleId="Listapunktowana">
    <w:name w:val="List Bullet"/>
    <w:basedOn w:val="Normalny"/>
    <w:uiPriority w:val="99"/>
    <w:semiHidden/>
    <w:rsid w:val="00014566"/>
    <w:pPr>
      <w:numPr>
        <w:numId w:val="1"/>
      </w:numPr>
    </w:pPr>
  </w:style>
  <w:style w:type="character" w:customStyle="1" w:styleId="JuITMark">
    <w:name w:val="Ju_ITMark"/>
    <w:basedOn w:val="Domylnaczcionkaakapitu"/>
    <w:uiPriority w:val="38"/>
    <w:qFormat/>
    <w:rsid w:val="00DE3A78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DE3A78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DE3A78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014566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014566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014566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014566"/>
  </w:style>
  <w:style w:type="paragraph" w:styleId="Tekstblokowy">
    <w:name w:val="Block Text"/>
    <w:basedOn w:val="Normalny"/>
    <w:uiPriority w:val="99"/>
    <w:semiHidden/>
    <w:rsid w:val="00014566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01456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14566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01456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566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01456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14566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014566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014566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145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14566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014566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014566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145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14566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1456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14566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014566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014566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014566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014566"/>
  </w:style>
  <w:style w:type="character" w:customStyle="1" w:styleId="DataZnak">
    <w:name w:val="Data Znak"/>
    <w:basedOn w:val="Domylnaczcionkaakapitu"/>
    <w:link w:val="Data"/>
    <w:uiPriority w:val="99"/>
    <w:semiHidden/>
    <w:rsid w:val="00014566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014566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014566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014566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014566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014566"/>
  </w:style>
  <w:style w:type="paragraph" w:styleId="HTML-adres">
    <w:name w:val="HTML Address"/>
    <w:basedOn w:val="Normalny"/>
    <w:link w:val="HTML-adresZnak"/>
    <w:uiPriority w:val="99"/>
    <w:semiHidden/>
    <w:rsid w:val="00014566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014566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014566"/>
    <w:rPr>
      <w:i/>
      <w:iCs/>
    </w:rPr>
  </w:style>
  <w:style w:type="character" w:styleId="HTML-kod">
    <w:name w:val="HTML Code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014566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14566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014566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014566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014566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014566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014566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014566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014566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014566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014566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014566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014566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014566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014566"/>
    <w:rPr>
      <w:color w:val="000000" w:themeColor="text1" w:themeShade="BF"/>
      <w:lang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014566"/>
    <w:rPr>
      <w:color w:val="00548C" w:themeColor="accent1" w:themeShade="BF"/>
      <w:lang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014566"/>
    <w:rPr>
      <w:color w:val="8F0000" w:themeColor="accent2" w:themeShade="BF"/>
      <w:lang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014566"/>
    <w:rPr>
      <w:color w:val="474747" w:themeColor="accent3" w:themeShade="BF"/>
      <w:lang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014566"/>
    <w:rPr>
      <w:color w:val="707070" w:themeColor="accent4" w:themeShade="BF"/>
      <w:lang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014566"/>
    <w:rPr>
      <w:color w:val="474747" w:themeColor="accent5" w:themeShade="BF"/>
      <w:lang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014566"/>
    <w:rPr>
      <w:color w:val="393939" w:themeColor="accent6" w:themeShade="BF"/>
      <w:lang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014566"/>
  </w:style>
  <w:style w:type="paragraph" w:styleId="Lista">
    <w:name w:val="List"/>
    <w:basedOn w:val="Normalny"/>
    <w:uiPriority w:val="99"/>
    <w:semiHidden/>
    <w:rsid w:val="00014566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014566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014566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014566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014566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014566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014566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014566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014566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014566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014566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014566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014566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014566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014566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014566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014566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014566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014566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0145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eastAsia="fr-FR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014566"/>
    <w:rPr>
      <w:rFonts w:ascii="Consolas" w:hAnsi="Consolas" w:cs="Consolas"/>
      <w:sz w:val="20"/>
      <w:szCs w:val="20"/>
      <w:lang w:val="pl-PL" w:eastAsia="fr-FR"/>
    </w:rPr>
  </w:style>
  <w:style w:type="table" w:styleId="redniasiatka1">
    <w:name w:val="Medium Grid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0145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01456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014566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014566"/>
    <w:pPr>
      <w:ind w:left="720"/>
    </w:pPr>
  </w:style>
  <w:style w:type="paragraph" w:customStyle="1" w:styleId="OpiHA0">
    <w:name w:val="Opi_H_A"/>
    <w:basedOn w:val="ECHRHeading1"/>
    <w:next w:val="OpiPara"/>
    <w:uiPriority w:val="41"/>
    <w:qFormat/>
    <w:rsid w:val="00DE3A78"/>
    <w:pPr>
      <w:tabs>
        <w:tab w:val="clear" w:pos="357"/>
      </w:tabs>
      <w:outlineLvl w:val="1"/>
    </w:pPr>
    <w:rPr>
      <w:b/>
    </w:rPr>
  </w:style>
  <w:style w:type="paragraph" w:customStyle="1" w:styleId="OpiHi">
    <w:name w:val="Opi_H_i"/>
    <w:basedOn w:val="ECHRHeading4"/>
    <w:uiPriority w:val="44"/>
    <w:qFormat/>
    <w:rsid w:val="00DE3A78"/>
    <w:pPr>
      <w:ind w:left="1037" w:hanging="357"/>
      <w:outlineLvl w:val="4"/>
    </w:pPr>
    <w:rPr>
      <w:b w:val="0"/>
      <w:i/>
    </w:rPr>
  </w:style>
  <w:style w:type="character" w:styleId="Tekstzastpczy">
    <w:name w:val="Placeholder Text"/>
    <w:basedOn w:val="Domylnaczcionkaakapitu"/>
    <w:uiPriority w:val="99"/>
    <w:semiHidden/>
    <w:rsid w:val="00DE3A78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014566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14566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014566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014566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014566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014566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014566"/>
    <w:pPr>
      <w:suppressAutoHyphens/>
    </w:pPr>
    <w:rPr>
      <w:lang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014566"/>
    <w:pPr>
      <w:suppressAutoHyphens/>
    </w:pPr>
    <w:rPr>
      <w:color w:val="000080"/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014566"/>
    <w:pPr>
      <w:suppressAutoHyphens/>
    </w:pPr>
    <w:rPr>
      <w:color w:val="FFFFFF"/>
      <w:lang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014566"/>
    <w:pPr>
      <w:suppressAutoHyphens/>
    </w:pPr>
    <w:rPr>
      <w:b/>
      <w:bCs/>
      <w:lang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014566"/>
    <w:pPr>
      <w:suppressAutoHyphens/>
    </w:pPr>
    <w:rPr>
      <w:b/>
      <w:bCs/>
      <w:lang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014566"/>
    <w:pPr>
      <w:suppressAutoHyphens/>
    </w:pPr>
    <w:rPr>
      <w:b/>
      <w:bCs/>
      <w:lang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014566"/>
    <w:pPr>
      <w:suppressAutoHyphens/>
    </w:pPr>
    <w:rPr>
      <w:lang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014566"/>
    <w:pPr>
      <w:suppressAutoHyphens/>
    </w:pPr>
    <w:rPr>
      <w:lang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014566"/>
    <w:pPr>
      <w:suppressAutoHyphens/>
    </w:pPr>
    <w:rPr>
      <w:b/>
      <w:bCs/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014566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014566"/>
  </w:style>
  <w:style w:type="table" w:styleId="Tabela-Profesjonalny">
    <w:name w:val="Table Professional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014566"/>
    <w:pPr>
      <w:suppressAutoHyphens/>
    </w:pPr>
    <w:rPr>
      <w:lang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014566"/>
    <w:pPr>
      <w:suppressAutoHyphens/>
    </w:pPr>
    <w:rPr>
      <w:lang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014566"/>
    <w:pPr>
      <w:suppressAutoHyphens/>
    </w:pPr>
    <w:rPr>
      <w:lang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014566"/>
    <w:pPr>
      <w:suppressAutoHyphens/>
    </w:pPr>
    <w:rPr>
      <w:lang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DE3A78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DE3A78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014566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014566"/>
    <w:pPr>
      <w:spacing w:after="100"/>
      <w:ind w:left="1920"/>
    </w:pPr>
  </w:style>
  <w:style w:type="paragraph" w:customStyle="1" w:styleId="OpiPara">
    <w:name w:val="Opi_Para"/>
    <w:basedOn w:val="ECHRPara"/>
    <w:uiPriority w:val="46"/>
    <w:qFormat/>
    <w:rsid w:val="00DE3A78"/>
  </w:style>
  <w:style w:type="paragraph" w:customStyle="1" w:styleId="OpiParaSub">
    <w:name w:val="Opi_Para_Sub"/>
    <w:basedOn w:val="JuParaSub"/>
    <w:uiPriority w:val="47"/>
    <w:qFormat/>
    <w:rsid w:val="00DE3A78"/>
  </w:style>
  <w:style w:type="paragraph" w:customStyle="1" w:styleId="OpiQuot">
    <w:name w:val="Opi_Quot"/>
    <w:basedOn w:val="ECHRParaQuote"/>
    <w:uiPriority w:val="48"/>
    <w:qFormat/>
    <w:rsid w:val="00DE3A78"/>
  </w:style>
  <w:style w:type="paragraph" w:customStyle="1" w:styleId="OpiQuotSub">
    <w:name w:val="Opi_Quot_Sub"/>
    <w:basedOn w:val="JuQuotSub"/>
    <w:uiPriority w:val="49"/>
    <w:qFormat/>
    <w:rsid w:val="00DE3A78"/>
  </w:style>
  <w:style w:type="paragraph" w:customStyle="1" w:styleId="OpiTranslation">
    <w:name w:val="Opi_Translation"/>
    <w:basedOn w:val="Normalny"/>
    <w:next w:val="OpiPara"/>
    <w:uiPriority w:val="40"/>
    <w:qFormat/>
    <w:rsid w:val="00DE3A78"/>
    <w:pPr>
      <w:jc w:val="center"/>
      <w:outlineLvl w:val="0"/>
    </w:pPr>
    <w:rPr>
      <w:i/>
    </w:r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E024A7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E024A7"/>
    <w:rPr>
      <w:rFonts w:eastAsiaTheme="minorEastAsia"/>
      <w:sz w:val="24"/>
      <w:lang w:val="pl-PL"/>
    </w:rPr>
  </w:style>
  <w:style w:type="character" w:customStyle="1" w:styleId="ECHRParaChar">
    <w:name w:val="ECHR_Para Char"/>
    <w:aliases w:val="Ju_Para Char"/>
    <w:link w:val="ECHRPara"/>
    <w:uiPriority w:val="12"/>
    <w:rsid w:val="0018479E"/>
    <w:rPr>
      <w:rFonts w:eastAsiaTheme="minorEastAsia"/>
      <w:sz w:val="24"/>
      <w:lang w:val="pl-PL"/>
    </w:rPr>
  </w:style>
  <w:style w:type="paragraph" w:styleId="Poprawka">
    <w:name w:val="Revision"/>
    <w:hidden/>
    <w:uiPriority w:val="99"/>
    <w:semiHidden/>
    <w:rsid w:val="00A03562"/>
    <w:rPr>
      <w:rFonts w:eastAsiaTheme="minorEastAsia"/>
      <w:sz w:val="24"/>
    </w:rPr>
  </w:style>
  <w:style w:type="paragraph" w:customStyle="1" w:styleId="jupara">
    <w:name w:val="jupara"/>
    <w:basedOn w:val="Normalny"/>
    <w:rsid w:val="009D0A4C"/>
    <w:pPr>
      <w:ind w:firstLine="284"/>
    </w:pPr>
    <w:rPr>
      <w:rFonts w:ascii="Times New Roman" w:eastAsia="Times New Roman" w:hAnsi="Times New Roman" w:cs="Times New Roman"/>
      <w:szCs w:val="24"/>
      <w:lang w:val="en-GB" w:eastAsia="en-GB"/>
    </w:rPr>
  </w:style>
  <w:style w:type="paragraph" w:customStyle="1" w:styleId="jucase0">
    <w:name w:val="jucase"/>
    <w:basedOn w:val="Normalny"/>
    <w:rsid w:val="009D0A4C"/>
    <w:pPr>
      <w:ind w:firstLine="284"/>
    </w:pPr>
    <w:rPr>
      <w:rFonts w:ascii="Times New Roman" w:eastAsia="Times New Roman" w:hAnsi="Times New Roman" w:cs="Times New Roman"/>
      <w:b/>
      <w:bCs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80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23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87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52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597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1815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421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59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7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96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9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9204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251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10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9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24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53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477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326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32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81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gov.pl/sprawiedliwosc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header" Target="header5.xml"/><Relationship Id="rId7" Type="http://schemas.microsoft.com/office/2007/relationships/stylesWithEffects" Target="stylesWithEffects.xml"/><Relationship Id="rId12" Type="http://schemas.openxmlformats.org/officeDocument/2006/relationships/hyperlink" Target="http://www.gov.pl/sprawiedliwosc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A20D6F-5154-4E5F-AE7F-2C99D4B2D2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C0B0E9-3342-44E5-8705-1BD0D01F70B0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5D2541C-47ED-4993-92FD-726C8BDC2E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F71D0FC-F646-4E59-9C82-9C1E57346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5043</Words>
  <Characters>30264</Characters>
  <Application>Microsoft Office Word</Application>
  <DocSecurity>4</DocSecurity>
  <Lines>252</Lines>
  <Paragraphs>70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LinksUpToDate>false</LinksUpToDate>
  <CharactersWithSpaces>35237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DJ</dc:subject>
  <dc:creator/>
  <cp:lastModifiedBy/>
  <cp:revision>1</cp:revision>
  <dcterms:created xsi:type="dcterms:W3CDTF">2019-06-28T07:41:00Z</dcterms:created>
  <dcterms:modified xsi:type="dcterms:W3CDTF">2019-06-28T07:41:00Z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2057</vt:i4>
  </property>
  <property fmtid="{D5CDD505-2E9C-101B-9397-08002B2CF9AE}" pid="3" name="RegisteredNo">
    <vt:lpwstr>68924/12</vt:lpwstr>
  </property>
  <property fmtid="{D5CDD505-2E9C-101B-9397-08002B2CF9AE}" pid="4" name="CASEID">
    <vt:lpwstr>837562</vt:lpwstr>
  </property>
  <property fmtid="{D5CDD505-2E9C-101B-9397-08002B2CF9AE}" pid="5" name="ContentTypeId">
    <vt:lpwstr>0x010100558EB02BDB9E204AB350EDD385B68E10</vt:lpwstr>
  </property>
</Properties>
</file>