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BE6" w:rsidRPr="004C7BBE" w:rsidRDefault="00E12BE6" w:rsidP="00E12BE6">
      <w:pPr>
        <w:spacing w:before="100" w:beforeAutospacing="1" w:after="120"/>
        <w:rPr>
          <w:sz w:val="20"/>
          <w:lang w:val="en-GB"/>
        </w:rPr>
      </w:pPr>
      <w:bookmarkStart w:id="0" w:name="_GoBack"/>
      <w:bookmarkEnd w:id="0"/>
      <w:r w:rsidRPr="004C7BBE">
        <w:rPr>
          <w:sz w:val="20"/>
          <w:lang w:val="en-GB"/>
        </w:rPr>
        <w:t xml:space="preserve">© Ministerstwo Sprawiedliwości, </w:t>
      </w:r>
      <w:hyperlink r:id="rId9" w:history="1">
        <w:r w:rsidRPr="004C7BBE">
          <w:rPr>
            <w:rStyle w:val="Hipercze"/>
            <w:sz w:val="20"/>
            <w:lang w:val="en-GB"/>
          </w:rPr>
          <w:t>www.gov.pl/web/sprawiedliwosc</w:t>
        </w:r>
      </w:hyperlink>
      <w:r w:rsidRPr="004C7BBE">
        <w:rPr>
          <w:sz w:val="20"/>
          <w:lang w:val="en-GB"/>
        </w:rPr>
        <w:t xml:space="preserve"> [Translation already published on the official website of the Polish Ministry of Justice]</w:t>
      </w:r>
    </w:p>
    <w:p w:rsidR="00E12BE6" w:rsidRPr="004C7BBE" w:rsidRDefault="00E12BE6" w:rsidP="00E12BE6">
      <w:pPr>
        <w:spacing w:after="100" w:afterAutospacing="1"/>
        <w:rPr>
          <w:sz w:val="20"/>
          <w:lang w:val="en-GB"/>
        </w:rPr>
      </w:pPr>
      <w:r w:rsidRPr="004C7BBE">
        <w:rPr>
          <w:sz w:val="20"/>
          <w:lang w:val="en-GB"/>
        </w:rPr>
        <w:t>Permission to re-publish this translation has been granted by the Polish Ministry of Justice for the sole purpose of its inclusion in the Court’s database HUDOC</w:t>
      </w:r>
    </w:p>
    <w:p w:rsidR="00E12BE6" w:rsidRDefault="00E12BE6" w:rsidP="00E12BE6">
      <w:pPr>
        <w:spacing w:before="100" w:beforeAutospacing="1" w:after="120"/>
        <w:rPr>
          <w:sz w:val="20"/>
        </w:rPr>
      </w:pPr>
      <w:r>
        <w:rPr>
          <w:sz w:val="20"/>
        </w:rPr>
        <w:t xml:space="preserve">© Ministerstwo Sprawiedliwości, </w:t>
      </w:r>
      <w:hyperlink r:id="rId10" w:history="1">
        <w:r>
          <w:rPr>
            <w:rStyle w:val="Hipercze"/>
            <w:sz w:val="20"/>
          </w:rPr>
          <w:t>www.gov.pl/web/sprawiedliwosc</w:t>
        </w:r>
      </w:hyperlink>
      <w:r>
        <w:rPr>
          <w:sz w:val="20"/>
        </w:rPr>
        <w:t xml:space="preserve"> [Tłumaczenie zostało już opublikowane na oficjalnej stronie Ministerstwa Sprawiedliwości]</w:t>
      </w:r>
    </w:p>
    <w:p w:rsidR="00E12BE6" w:rsidRDefault="00E12BE6" w:rsidP="00E12BE6">
      <w:pPr>
        <w:rPr>
          <w:sz w:val="20"/>
        </w:rPr>
      </w:pPr>
      <w:r>
        <w:rPr>
          <w:sz w:val="20"/>
        </w:rPr>
        <w:t xml:space="preserve">Zezwolenie na publikację tego tłumaczenia zostało udzielone przez Ministerstwo Sprawiedliwości wyłącznie w celu zamieszczenia w bazie Trybunału HUDOC </w:t>
      </w:r>
    </w:p>
    <w:p w:rsidR="00014566" w:rsidRPr="00573644" w:rsidRDefault="00014566" w:rsidP="00573644">
      <w:pPr>
        <w:jc w:val="center"/>
      </w:pPr>
    </w:p>
    <w:p w:rsidR="00E97B1C" w:rsidRPr="00573644" w:rsidRDefault="00E97B1C" w:rsidP="00573644">
      <w:pPr>
        <w:jc w:val="center"/>
      </w:pPr>
    </w:p>
    <w:p w:rsidR="00E97B1C" w:rsidRDefault="004C7BBE" w:rsidP="00573644">
      <w:pPr>
        <w:jc w:val="center"/>
      </w:pPr>
      <w:r>
        <w:t xml:space="preserve">EUROPEJSKI TRYBUNAŁ PRAW CZŁOWIEKA </w:t>
      </w:r>
    </w:p>
    <w:p w:rsidR="004C7BBE" w:rsidRPr="00573644" w:rsidRDefault="004C7BBE" w:rsidP="00573644">
      <w:pPr>
        <w:jc w:val="center"/>
      </w:pPr>
    </w:p>
    <w:p w:rsidR="00014566" w:rsidRPr="00573644" w:rsidRDefault="00A332B3" w:rsidP="00573644">
      <w:pPr>
        <w:jc w:val="center"/>
      </w:pPr>
      <w:r>
        <w:t>SEKCJA PIERWSZA</w:t>
      </w:r>
    </w:p>
    <w:p w:rsidR="00014566" w:rsidRPr="00573644" w:rsidRDefault="00014566" w:rsidP="00573644">
      <w:pPr>
        <w:jc w:val="center"/>
      </w:pPr>
    </w:p>
    <w:p w:rsidR="00E97B1C" w:rsidRPr="00573644" w:rsidRDefault="00E97B1C" w:rsidP="00573644">
      <w:pPr>
        <w:jc w:val="center"/>
      </w:pPr>
    </w:p>
    <w:p w:rsidR="00E97B1C" w:rsidRPr="00573644" w:rsidRDefault="00E97B1C" w:rsidP="00573644">
      <w:pPr>
        <w:jc w:val="center"/>
      </w:pPr>
    </w:p>
    <w:p w:rsidR="00E97B1C" w:rsidRPr="00573644" w:rsidRDefault="00E97B1C" w:rsidP="00573644">
      <w:pPr>
        <w:jc w:val="center"/>
      </w:pPr>
    </w:p>
    <w:p w:rsidR="00014566" w:rsidRPr="00AC7662" w:rsidRDefault="00014566" w:rsidP="00573644">
      <w:pPr>
        <w:jc w:val="center"/>
        <w:rPr>
          <w:b/>
        </w:rPr>
      </w:pPr>
      <w:r w:rsidRPr="00AC7662">
        <w:rPr>
          <w:b/>
        </w:rPr>
        <w:t>SPRAWA ADAMKOWSKI PRZECIWKO POLSCE</w:t>
      </w:r>
    </w:p>
    <w:p w:rsidR="00014566" w:rsidRPr="00573644" w:rsidRDefault="00014566" w:rsidP="00573644">
      <w:pPr>
        <w:jc w:val="center"/>
      </w:pPr>
    </w:p>
    <w:p w:rsidR="00014566" w:rsidRPr="00573644" w:rsidRDefault="00014566" w:rsidP="00573644">
      <w:pPr>
        <w:jc w:val="center"/>
        <w:rPr>
          <w:i/>
        </w:rPr>
      </w:pPr>
      <w:r>
        <w:rPr>
          <w:i/>
        </w:rPr>
        <w:t>(Skarga nr 57814/12)</w:t>
      </w:r>
    </w:p>
    <w:p w:rsidR="00014566" w:rsidRPr="00573644" w:rsidRDefault="00014566" w:rsidP="00573644">
      <w:pPr>
        <w:jc w:val="center"/>
      </w:pPr>
    </w:p>
    <w:p w:rsidR="00014566" w:rsidRPr="00573644" w:rsidRDefault="00014566" w:rsidP="00573644">
      <w:pPr>
        <w:jc w:val="center"/>
      </w:pPr>
    </w:p>
    <w:p w:rsidR="00573644" w:rsidRPr="00573644" w:rsidRDefault="00573644" w:rsidP="00573644">
      <w:pPr>
        <w:jc w:val="center"/>
      </w:pPr>
    </w:p>
    <w:p w:rsidR="00573644" w:rsidRPr="00573644" w:rsidRDefault="00573644" w:rsidP="00573644">
      <w:pPr>
        <w:jc w:val="center"/>
      </w:pPr>
    </w:p>
    <w:p w:rsidR="00573644" w:rsidRPr="00573644" w:rsidRDefault="00573644" w:rsidP="00573644">
      <w:pPr>
        <w:jc w:val="center"/>
      </w:pPr>
    </w:p>
    <w:p w:rsidR="00014566" w:rsidRPr="00573644" w:rsidRDefault="00E97B1C" w:rsidP="00573644">
      <w:pPr>
        <w:jc w:val="center"/>
        <w:rPr>
          <w:szCs w:val="24"/>
        </w:rPr>
      </w:pPr>
      <w:r>
        <w:t>WYROK</w:t>
      </w:r>
    </w:p>
    <w:p w:rsidR="00CC1FE1" w:rsidRPr="00573644" w:rsidRDefault="00CC1FE1" w:rsidP="00573644">
      <w:pPr>
        <w:jc w:val="center"/>
      </w:pPr>
    </w:p>
    <w:p w:rsidR="00573644" w:rsidRPr="00573644" w:rsidRDefault="00573644" w:rsidP="00573644">
      <w:pPr>
        <w:jc w:val="center"/>
      </w:pPr>
    </w:p>
    <w:p w:rsidR="00CC1FE1" w:rsidRPr="00573644" w:rsidRDefault="00CC1FE1" w:rsidP="00573644">
      <w:pPr>
        <w:jc w:val="center"/>
      </w:pPr>
    </w:p>
    <w:p w:rsidR="00E97B1C" w:rsidRPr="00573644" w:rsidRDefault="00E97B1C" w:rsidP="00573644">
      <w:pPr>
        <w:jc w:val="center"/>
      </w:pPr>
    </w:p>
    <w:p w:rsidR="00E97B1C" w:rsidRPr="00573644" w:rsidRDefault="00E97B1C" w:rsidP="00573644">
      <w:pPr>
        <w:jc w:val="center"/>
      </w:pPr>
      <w:r>
        <w:t>STRASBURG</w:t>
      </w:r>
    </w:p>
    <w:p w:rsidR="00E97B1C" w:rsidRPr="00573644" w:rsidRDefault="00E97B1C" w:rsidP="00573644">
      <w:pPr>
        <w:jc w:val="center"/>
      </w:pPr>
    </w:p>
    <w:p w:rsidR="00E97B1C" w:rsidRPr="00573644" w:rsidRDefault="00E97B1C" w:rsidP="00573644">
      <w:pPr>
        <w:jc w:val="center"/>
      </w:pPr>
      <w:r>
        <w:t>28 marca 2019 r.</w:t>
      </w:r>
    </w:p>
    <w:p w:rsidR="00E97B1C" w:rsidRPr="00573644" w:rsidRDefault="00E97B1C" w:rsidP="00573644">
      <w:pPr>
        <w:jc w:val="center"/>
      </w:pPr>
    </w:p>
    <w:p w:rsidR="00E97B1C" w:rsidRPr="00573644" w:rsidRDefault="00E97B1C" w:rsidP="00573644">
      <w:pPr>
        <w:jc w:val="center"/>
      </w:pPr>
    </w:p>
    <w:p w:rsidR="00CC1FE1" w:rsidRPr="00573644" w:rsidRDefault="00CC1FE1" w:rsidP="00573644">
      <w:pPr>
        <w:jc w:val="center"/>
      </w:pPr>
    </w:p>
    <w:p w:rsidR="00E97B1C" w:rsidRPr="00573644" w:rsidRDefault="00E97B1C" w:rsidP="00573644">
      <w:pPr>
        <w:jc w:val="center"/>
        <w:rPr>
          <w:i/>
          <w:sz w:val="22"/>
        </w:rPr>
      </w:pPr>
      <w:r>
        <w:rPr>
          <w:i/>
          <w:sz w:val="22"/>
        </w:rPr>
        <w:t>Wyrok jest ostateczny, ale może podlegać korekcie wydawniczej.</w:t>
      </w:r>
    </w:p>
    <w:p w:rsidR="00DF34A4" w:rsidRPr="00573644" w:rsidRDefault="00DF34A4" w:rsidP="00573644">
      <w:pPr>
        <w:pStyle w:val="ECHRPara"/>
        <w:sectPr w:rsidR="00DF34A4" w:rsidRPr="00573644" w:rsidSect="00E97B1C">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rsidR="00014566" w:rsidRPr="00573644" w:rsidRDefault="00014566" w:rsidP="00573644">
      <w:pPr>
        <w:pStyle w:val="JuCase"/>
        <w:rPr>
          <w:bCs/>
        </w:rPr>
      </w:pPr>
      <w:r>
        <w:lastRenderedPageBreak/>
        <w:t>W sprawie Adamkowski przeciwko Polsce</w:t>
      </w:r>
    </w:p>
    <w:p w:rsidR="00014566" w:rsidRPr="00573644" w:rsidRDefault="00014566" w:rsidP="00573644">
      <w:pPr>
        <w:pStyle w:val="ECHRPara"/>
      </w:pPr>
      <w:r>
        <w:t>Europejski Trybunał Praw Człowieka (Sekcja Pierwsza), zasiadając jako Komitet w składzie:</w:t>
      </w:r>
    </w:p>
    <w:p w:rsidR="00014566" w:rsidRPr="00573644" w:rsidRDefault="004B5C74" w:rsidP="00573644">
      <w:pPr>
        <w:pStyle w:val="ECHRDecisionBody"/>
      </w:pPr>
      <w:r>
        <w:tab/>
      </w:r>
      <w:proofErr w:type="spellStart"/>
      <w:r>
        <w:rPr>
          <w:i/>
        </w:rPr>
        <w:t>Ksenija</w:t>
      </w:r>
      <w:proofErr w:type="spellEnd"/>
      <w:r>
        <w:rPr>
          <w:i/>
        </w:rPr>
        <w:t xml:space="preserve"> </w:t>
      </w:r>
      <w:proofErr w:type="spellStart"/>
      <w:r>
        <w:rPr>
          <w:i/>
        </w:rPr>
        <w:t>Turković</w:t>
      </w:r>
      <w:proofErr w:type="spellEnd"/>
      <w:r>
        <w:rPr>
          <w:i/>
        </w:rPr>
        <w:t>, Przewodnicząca,</w:t>
      </w:r>
      <w:r>
        <w:br/>
      </w:r>
      <w:r>
        <w:tab/>
        <w:t xml:space="preserve">Krzysztof </w:t>
      </w:r>
      <w:proofErr w:type="spellStart"/>
      <w:r>
        <w:t>Wojtyczek</w:t>
      </w:r>
      <w:proofErr w:type="spellEnd"/>
      <w:r>
        <w:t>,</w:t>
      </w:r>
      <w:r>
        <w:br/>
      </w:r>
      <w:r>
        <w:tab/>
      </w:r>
      <w:proofErr w:type="spellStart"/>
      <w:r>
        <w:t>Armen</w:t>
      </w:r>
      <w:proofErr w:type="spellEnd"/>
      <w:r>
        <w:t xml:space="preserve"> </w:t>
      </w:r>
      <w:proofErr w:type="spellStart"/>
      <w:r>
        <w:t>Harutyunyan</w:t>
      </w:r>
      <w:proofErr w:type="spellEnd"/>
      <w:r>
        <w:t>,</w:t>
      </w:r>
      <w:r>
        <w:rPr>
          <w:i/>
        </w:rPr>
        <w:t xml:space="preserve"> sędziowie,</w:t>
      </w:r>
      <w:r>
        <w:br/>
      </w:r>
      <w:r>
        <w:rPr>
          <w:i/>
        </w:rPr>
        <w:t xml:space="preserve">oraz Renata </w:t>
      </w:r>
      <w:proofErr w:type="spellStart"/>
      <w:r>
        <w:rPr>
          <w:i/>
        </w:rPr>
        <w:t>Degener</w:t>
      </w:r>
      <w:proofErr w:type="spellEnd"/>
      <w:r>
        <w:rPr>
          <w:i/>
        </w:rPr>
        <w:t xml:space="preserve">, </w:t>
      </w:r>
      <w:r>
        <w:rPr>
          <w:i/>
          <w:iCs/>
        </w:rPr>
        <w:t>Zastępca Kanclerza Sekcji,</w:t>
      </w:r>
    </w:p>
    <w:p w:rsidR="00014566" w:rsidRPr="00573644" w:rsidRDefault="00014566" w:rsidP="00573644">
      <w:pPr>
        <w:pStyle w:val="ECHRPara"/>
      </w:pPr>
      <w:r>
        <w:t>obradując na posiedzeniu niejawnym w dniu 5 marca 2019 r.,</w:t>
      </w:r>
    </w:p>
    <w:p w:rsidR="00014566" w:rsidRPr="00573644" w:rsidRDefault="00014566" w:rsidP="00573644">
      <w:pPr>
        <w:pStyle w:val="ECHRPara"/>
      </w:pPr>
      <w:r>
        <w:t>wydaje następujący wyrok, który został przyjęty w tym dniu:</w:t>
      </w:r>
    </w:p>
    <w:p w:rsidR="00014566" w:rsidRPr="00573644" w:rsidRDefault="00014566" w:rsidP="00573644">
      <w:pPr>
        <w:pStyle w:val="ECHRTitle1"/>
      </w:pPr>
      <w:r>
        <w:t>POSTĘPOWANIE</w:t>
      </w:r>
    </w:p>
    <w:p w:rsidR="003B6A93" w:rsidRPr="00573644" w:rsidRDefault="003727A1" w:rsidP="00573644">
      <w:pPr>
        <w:pStyle w:val="ECHRPara"/>
      </w:pPr>
      <w:r>
        <w:fldChar w:fldCharType="begin"/>
      </w:r>
      <w:r>
        <w:instrText xml:space="preserve"> SEQ level0 \*arabic </w:instrText>
      </w:r>
      <w:r>
        <w:fldChar w:fldCharType="separate"/>
      </w:r>
      <w:r w:rsidR="00573644" w:rsidRPr="00573644">
        <w:t>1</w:t>
      </w:r>
      <w:r>
        <w:fldChar w:fldCharType="end"/>
      </w:r>
      <w:r w:rsidR="008324EC">
        <w:t>.  Sprawa wywodzi się ze skargi (nr 57814/12) przeciwko Rzeczypospolitej Pol</w:t>
      </w:r>
      <w:r w:rsidR="003B0864">
        <w:t>skiej wniesionej do Trybunału w</w:t>
      </w:r>
      <w:r w:rsidR="004C7BBE">
        <w:t xml:space="preserve"> </w:t>
      </w:r>
      <w:r w:rsidR="008324EC">
        <w:t>dniu</w:t>
      </w:r>
      <w:r w:rsidR="004C7BBE">
        <w:t xml:space="preserve"> </w:t>
      </w:r>
      <w:r w:rsidR="008324EC">
        <w:t>31 sierpnia 2012 r. na podstawie art. 34 Konwencji o ochronie praw człowieka i podstawowych wolności („Konwencji”) przez obywatela Polski, p. J. Adamkowskiego („skarżącego”).</w:t>
      </w:r>
    </w:p>
    <w:p w:rsidR="00DE79B7" w:rsidRPr="00573644" w:rsidRDefault="003727A1" w:rsidP="00573644">
      <w:pPr>
        <w:pStyle w:val="ECHRPara"/>
      </w:pPr>
      <w:r>
        <w:fldChar w:fldCharType="begin"/>
      </w:r>
      <w:r>
        <w:instrText xml:space="preserve"> SEQ level0 \*arabic </w:instrText>
      </w:r>
      <w:r>
        <w:fldChar w:fldCharType="separate"/>
      </w:r>
      <w:r w:rsidR="00573644" w:rsidRPr="00573644">
        <w:t>2</w:t>
      </w:r>
      <w:r>
        <w:fldChar w:fldCharType="end"/>
      </w:r>
      <w:r w:rsidR="00A332B3">
        <w:t>.  Rząd Rzeczypospolitej Polskiej („Rząd”) był reprezentowany przez swoją pełnomocnik, p. J. Chrzanowską, a następnie przez p. J. Sobczaka z</w:t>
      </w:r>
      <w:r w:rsidR="003B0864">
        <w:t> </w:t>
      </w:r>
      <w:r w:rsidR="00A332B3">
        <w:t>Ministerstwa Spraw Zagranicznych.</w:t>
      </w:r>
    </w:p>
    <w:p w:rsidR="00E97B1C" w:rsidRPr="00573644" w:rsidRDefault="003727A1" w:rsidP="00573644">
      <w:pPr>
        <w:pStyle w:val="ECHRPara"/>
      </w:pPr>
      <w:r>
        <w:fldChar w:fldCharType="begin"/>
      </w:r>
      <w:r>
        <w:instrText xml:space="preserve"> SEQ level0 \*arabic </w:instrText>
      </w:r>
      <w:r>
        <w:fldChar w:fldCharType="separate"/>
      </w:r>
      <w:r w:rsidR="00573644" w:rsidRPr="00573644">
        <w:t>3</w:t>
      </w:r>
      <w:r>
        <w:fldChar w:fldCharType="end"/>
      </w:r>
      <w:r w:rsidR="00021B8B">
        <w:t xml:space="preserve">.  Skarżący utrzymywał, że był </w:t>
      </w:r>
      <w:r w:rsidR="00AC7662">
        <w:t>osadzony</w:t>
      </w:r>
      <w:r w:rsidR="00021B8B">
        <w:t xml:space="preserve"> w przepełnionych celach, co stanowiło naruszenie jego praw wynikających z art. 3 Konwencji. Skarżący zarzucał również, że oddalenie jego odwołania z powodu nieprzesłania identycznego odpisu stanowi nadmierny formalizm i narusza jego prawo dostępu do sądu na podstawie art. 6 ust. 1 Konwencji.</w:t>
      </w:r>
    </w:p>
    <w:p w:rsidR="00A332B3" w:rsidRPr="00573644" w:rsidRDefault="003727A1" w:rsidP="00573644">
      <w:pPr>
        <w:pStyle w:val="ECHRPara"/>
      </w:pPr>
      <w:r>
        <w:fldChar w:fldCharType="begin"/>
      </w:r>
      <w:r>
        <w:instrText xml:space="preserve"> SEQ level0 \*arabic </w:instrText>
      </w:r>
      <w:r>
        <w:fldChar w:fldCharType="separate"/>
      </w:r>
      <w:r w:rsidR="00573644" w:rsidRPr="00573644">
        <w:t>4</w:t>
      </w:r>
      <w:r>
        <w:fldChar w:fldCharType="end"/>
      </w:r>
      <w:r w:rsidR="00A332B3">
        <w:t>.  W dniu 22 września 2014 r. sprawa została zakomunikowana Rządowi.</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5</w:t>
      </w:r>
      <w:r>
        <w:fldChar w:fldCharType="end"/>
      </w:r>
      <w:r w:rsidR="00A332B3">
        <w:t>.  Rząd sprzeciwił się rozpatrzeniu skargi przez Komitet. Po</w:t>
      </w:r>
      <w:r w:rsidR="003B0864">
        <w:t> </w:t>
      </w:r>
      <w:r w:rsidR="00A332B3">
        <w:t>rozpatrzeniu sprzeciwu Rządu Trybunał oddala go.</w:t>
      </w:r>
    </w:p>
    <w:p w:rsidR="00014566" w:rsidRPr="00573644" w:rsidRDefault="00014566" w:rsidP="00573644">
      <w:pPr>
        <w:pStyle w:val="ECHRTitle1"/>
      </w:pPr>
      <w:r>
        <w:t>FAKTY</w:t>
      </w:r>
    </w:p>
    <w:p w:rsidR="00014566" w:rsidRPr="00573644" w:rsidRDefault="00014566" w:rsidP="00573644">
      <w:pPr>
        <w:pStyle w:val="ECHRHeading1"/>
      </w:pPr>
      <w:r>
        <w:t>I.  OKOLICZNOŚCI SPRAWY</w:t>
      </w:r>
    </w:p>
    <w:p w:rsidR="00605281" w:rsidRPr="00573644" w:rsidRDefault="003727A1" w:rsidP="00573644">
      <w:pPr>
        <w:pStyle w:val="ECHRPara"/>
      </w:pPr>
      <w:r>
        <w:fldChar w:fldCharType="begin"/>
      </w:r>
      <w:r>
        <w:instrText xml:space="preserve"> SEQ level0 \*arabic </w:instrText>
      </w:r>
      <w:r>
        <w:fldChar w:fldCharType="separate"/>
      </w:r>
      <w:r w:rsidR="00573644" w:rsidRPr="00573644">
        <w:t>6</w:t>
      </w:r>
      <w:r>
        <w:fldChar w:fldCharType="end"/>
      </w:r>
      <w:r w:rsidR="00A332B3">
        <w:t>.  Skarżący urodził się w 1983 r. i odbywa karę pozbawienia wolności w</w:t>
      </w:r>
      <w:r w:rsidR="003B0864">
        <w:t> </w:t>
      </w:r>
      <w:r w:rsidR="00A332B3">
        <w:t>Rzekuniu.</w:t>
      </w:r>
    </w:p>
    <w:p w:rsidR="005F4ED0" w:rsidRPr="00573644" w:rsidRDefault="00605281" w:rsidP="00573644">
      <w:pPr>
        <w:pStyle w:val="ECHRHeading2"/>
      </w:pPr>
      <w:r>
        <w:lastRenderedPageBreak/>
        <w:t>A.  Okres pozbawienia skarżącego wolności</w:t>
      </w:r>
    </w:p>
    <w:p w:rsidR="005F4ED0" w:rsidRPr="00573644" w:rsidRDefault="003727A1" w:rsidP="00573644">
      <w:pPr>
        <w:pStyle w:val="ECHRPara"/>
      </w:pPr>
      <w:r>
        <w:fldChar w:fldCharType="begin"/>
      </w:r>
      <w:r>
        <w:instrText xml:space="preserve"> SEQ level0 \*arabic </w:instrText>
      </w:r>
      <w:r>
        <w:fldChar w:fldCharType="separate"/>
      </w:r>
      <w:r w:rsidR="00573644" w:rsidRPr="00573644">
        <w:t>7</w:t>
      </w:r>
      <w:r>
        <w:fldChar w:fldCharType="end"/>
      </w:r>
      <w:r w:rsidR="008324EC">
        <w:t xml:space="preserve">.  Skarżący był </w:t>
      </w:r>
      <w:r w:rsidR="00AC7662">
        <w:t>osadzony</w:t>
      </w:r>
      <w:r w:rsidR="008324EC">
        <w:t xml:space="preserve"> w Zakładzie Karnym w Płocku od dnia 26 marca do dnia 29 sierpnia 2009 r. (pięć miesięcy i cztery dni).</w:t>
      </w:r>
    </w:p>
    <w:p w:rsidR="005F4ED0" w:rsidRPr="00573644" w:rsidRDefault="00605281" w:rsidP="00573644">
      <w:pPr>
        <w:pStyle w:val="ECHRHeading2"/>
      </w:pPr>
      <w:r>
        <w:t>B.  Warunki pozbawieniu skarżącego wolności</w:t>
      </w:r>
    </w:p>
    <w:p w:rsidR="00E97B1C" w:rsidRPr="00573644" w:rsidRDefault="003727A1" w:rsidP="00573644">
      <w:pPr>
        <w:pStyle w:val="ECHRPara"/>
      </w:pPr>
      <w:r>
        <w:fldChar w:fldCharType="begin"/>
      </w:r>
      <w:r>
        <w:instrText xml:space="preserve"> SEQ level0 \*arabic </w:instrText>
      </w:r>
      <w:r>
        <w:fldChar w:fldCharType="separate"/>
      </w:r>
      <w:r w:rsidR="00573644" w:rsidRPr="00573644">
        <w:t>8</w:t>
      </w:r>
      <w:r>
        <w:fldChar w:fldCharType="end"/>
      </w:r>
      <w:r w:rsidR="00DA0F1C">
        <w:t xml:space="preserve">.  Skarżący twierdził, że podczas </w:t>
      </w:r>
      <w:r w:rsidR="00687D35">
        <w:t>pozbawienia wolności</w:t>
      </w:r>
      <w:r w:rsidR="00DA0F1C">
        <w:t xml:space="preserve"> w Zakładzie Karnym w</w:t>
      </w:r>
      <w:r w:rsidR="003B0864">
        <w:t> </w:t>
      </w:r>
      <w:r w:rsidR="00DA0F1C">
        <w:t>Płocku był</w:t>
      </w:r>
      <w:r w:rsidR="00AC7662">
        <w:t xml:space="preserve"> osadzony</w:t>
      </w:r>
      <w:r w:rsidR="00DA0F1C">
        <w:t xml:space="preserve"> w przepełnionych celach.</w:t>
      </w:r>
    </w:p>
    <w:bookmarkStart w:id="1" w:name="overcrowding"/>
    <w:p w:rsidR="009434BF"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t>9</w:t>
      </w:r>
      <w:r w:rsidRPr="00573644">
        <w:fldChar w:fldCharType="end"/>
      </w:r>
      <w:bookmarkEnd w:id="1"/>
      <w:r>
        <w:t xml:space="preserve">.  Zgodnie z przedłożonymi dokumentami z postępowania krajowego oraz ze stanowiskiem Rządu skarżący był </w:t>
      </w:r>
      <w:r w:rsidR="00AC7662">
        <w:t>osadzony</w:t>
      </w:r>
      <w:r>
        <w:t xml:space="preserve"> w</w:t>
      </w:r>
      <w:r w:rsidR="003B0864">
        <w:t> </w:t>
      </w:r>
      <w:r>
        <w:t>przepełnionych celach nr 400 i 402 w okresie od dnia 26 marca do dnia 29 sierpnia 2009 r. Wentylacja i warunki sanitarne w tych celach były nieodpowiednie. Skarżący miał możliwość skorzystania z prysznica raz w</w:t>
      </w:r>
      <w:r w:rsidR="003B0864">
        <w:t> </w:t>
      </w:r>
      <w:r>
        <w:t>tygodniu i ćwiczeń na świeżym powietrzu przez godzinę dziennie.</w:t>
      </w:r>
    </w:p>
    <w:p w:rsidR="00E97B1C" w:rsidRPr="00573644" w:rsidRDefault="00621601" w:rsidP="00573644">
      <w:pPr>
        <w:pStyle w:val="ECHRHeading2"/>
      </w:pPr>
      <w:r>
        <w:t>C.  Postępowanie cywilne przeciwko Zakładowi Karnemu w Płocku</w:t>
      </w:r>
    </w:p>
    <w:p w:rsidR="005F4ED0" w:rsidRPr="00573644" w:rsidRDefault="003727A1" w:rsidP="00573644">
      <w:pPr>
        <w:pStyle w:val="ECHRPara"/>
      </w:pPr>
      <w:r>
        <w:fldChar w:fldCharType="begin"/>
      </w:r>
      <w:r>
        <w:instrText xml:space="preserve"> SEQ level0 \*arabic </w:instrText>
      </w:r>
      <w:r>
        <w:fldChar w:fldCharType="separate"/>
      </w:r>
      <w:r w:rsidR="00573644" w:rsidRPr="00573644">
        <w:t>10</w:t>
      </w:r>
      <w:r>
        <w:fldChar w:fldCharType="end"/>
      </w:r>
      <w:r w:rsidR="00DA0F1C">
        <w:t>.  W dniu 17 stycznia 2011 r. skarżący wniósł powództwo o naruszenie dóbr osobistych ze względu na nieodpowiednie warunki panujące w</w:t>
      </w:r>
      <w:r w:rsidR="003B0864">
        <w:t> </w:t>
      </w:r>
      <w:r w:rsidR="00DA0F1C">
        <w:t>Zakładzie Karnym w Płocku. Dochodził on 10 000 złotych (PLN) tytułem odszkodowania (ok. 2</w:t>
      </w:r>
      <w:r w:rsidR="004C7BBE">
        <w:t xml:space="preserve"> </w:t>
      </w:r>
      <w:r w:rsidR="00DA0F1C">
        <w:t>500 EUR). Wnioskował o zwolnienie z</w:t>
      </w:r>
      <w:r w:rsidR="003B0864">
        <w:t> </w:t>
      </w:r>
      <w:r w:rsidR="00DA0F1C">
        <w:t>kosztów sądowych. W dniu 18 lutego 2011 r. sąd uwzględnił ten wniosek. Skarżący nie ubiegał się o pomoc prawną na tym etapie postępowania.</w:t>
      </w:r>
    </w:p>
    <w:bookmarkStart w:id="2" w:name="evidence_motion_2_copies_info"/>
    <w:p w:rsidR="00946B71"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t>11</w:t>
      </w:r>
      <w:r w:rsidRPr="00573644">
        <w:fldChar w:fldCharType="end"/>
      </w:r>
      <w:bookmarkEnd w:id="2"/>
      <w:r>
        <w:t>.  W okresie od dnia 21 stycznia do dnia 31 marca 2011 r. skarżący złożył kilka wniosków dowodowych i wniosków o dopuszczenie do udziału w rozprawach sądowych. W dniu 11 marca 2011 r. Sąd Rejonowy w Płocku poinformował skarżącego, że nie zostanie on doprowadzony na rozprawę i</w:t>
      </w:r>
      <w:r w:rsidR="003B0864">
        <w:t> </w:t>
      </w:r>
      <w:r>
        <w:t>poinstruował go o wymogach formalnych dotyczących wniosków dowodowych, m.in. o tym, że powinno się je składać do sądu w dwóch odpisach.</w:t>
      </w:r>
    </w:p>
    <w:bookmarkStart w:id="3" w:name="info_clarification_pleadings"/>
    <w:p w:rsidR="00946B71" w:rsidRPr="00573644" w:rsidRDefault="00946B71" w:rsidP="00573644">
      <w:pPr>
        <w:pStyle w:val="ECHRPara"/>
      </w:pPr>
      <w:r w:rsidRPr="00573644">
        <w:fldChar w:fldCharType="begin"/>
      </w:r>
      <w:r w:rsidRPr="00573644">
        <w:instrText xml:space="preserve"> SEQ level0 \*arabic </w:instrText>
      </w:r>
      <w:r w:rsidRPr="00573644">
        <w:fldChar w:fldCharType="separate"/>
      </w:r>
      <w:r w:rsidR="00573644" w:rsidRPr="00573644">
        <w:t>12</w:t>
      </w:r>
      <w:r w:rsidRPr="00573644">
        <w:fldChar w:fldCharType="end"/>
      </w:r>
      <w:bookmarkEnd w:id="3"/>
      <w:r>
        <w:t>.  Skarżący nie był obecny na rozprawie sądowej w</w:t>
      </w:r>
      <w:r w:rsidR="003B0864">
        <w:t> </w:t>
      </w:r>
      <w:r>
        <w:t>dniu 23 marca 2011 r. W dniu 24 marca 2011 roku Sąd Rejonowy w</w:t>
      </w:r>
      <w:r w:rsidR="003B0864">
        <w:t> </w:t>
      </w:r>
      <w:r>
        <w:t>Płocku doręczył skarżącemu odpowiedź na pozew z Zakładu Karnego w</w:t>
      </w:r>
      <w:r w:rsidR="003B0864">
        <w:t> </w:t>
      </w:r>
      <w:r>
        <w:t>Płocku i wezwał go do sprecyzowania powództwa, w szczególności w</w:t>
      </w:r>
      <w:r w:rsidR="003B0864">
        <w:t> </w:t>
      </w:r>
      <w:r>
        <w:t>odniesieniu do okresu pozbawienia wolności. Skarżącego pouczono o</w:t>
      </w:r>
      <w:r w:rsidR="003B0864">
        <w:t> </w:t>
      </w:r>
      <w:r>
        <w:t>przesłaniu sprecyzowania powództwa</w:t>
      </w:r>
      <w:r w:rsidR="00E74CB4">
        <w:t xml:space="preserve"> i złożenie pozwu</w:t>
      </w:r>
      <w:r>
        <w:t xml:space="preserve"> w dwóch odpisach.</w:t>
      </w:r>
    </w:p>
    <w:bookmarkStart w:id="4" w:name="info_sustain_of_claim"/>
    <w:p w:rsidR="00F93E8A" w:rsidRPr="00573644" w:rsidRDefault="00946B71" w:rsidP="00573644">
      <w:pPr>
        <w:pStyle w:val="ECHRPara"/>
      </w:pPr>
      <w:r w:rsidRPr="00573644">
        <w:fldChar w:fldCharType="begin"/>
      </w:r>
      <w:r w:rsidRPr="00573644">
        <w:instrText xml:space="preserve"> SEQ level0 \*arabic </w:instrText>
      </w:r>
      <w:r w:rsidRPr="00573644">
        <w:fldChar w:fldCharType="separate"/>
      </w:r>
      <w:r w:rsidR="00573644" w:rsidRPr="00573644">
        <w:t>13</w:t>
      </w:r>
      <w:r w:rsidRPr="00573644">
        <w:fldChar w:fldCharType="end"/>
      </w:r>
      <w:bookmarkEnd w:id="4"/>
      <w:r>
        <w:t xml:space="preserve">.  W dniu 12 kwietnia 2011 r. Sąd Rejonowy w Płocku </w:t>
      </w:r>
      <w:r w:rsidR="00E74CB4">
        <w:t xml:space="preserve">odrzucił częściowo pozew </w:t>
      </w:r>
      <w:r>
        <w:t xml:space="preserve">skarżącego ze względu na powagę rzeczy osądzonej i wezwał go do wskazania, czy chce utrzymać powództwo w pozostałej części. Sąd poinformował skarżącego o konieczności </w:t>
      </w:r>
      <w:r w:rsidR="00E74CB4">
        <w:t>składania pism</w:t>
      </w:r>
      <w:r>
        <w:t xml:space="preserve"> w dwóch odpisach.</w:t>
      </w:r>
    </w:p>
    <w:p w:rsidR="00F93E8A" w:rsidRPr="00573644" w:rsidRDefault="003727A1" w:rsidP="00573644">
      <w:pPr>
        <w:pStyle w:val="ECHRPara"/>
      </w:pPr>
      <w:r>
        <w:lastRenderedPageBreak/>
        <w:fldChar w:fldCharType="begin"/>
      </w:r>
      <w:r>
        <w:instrText xml:space="preserve"> SEQ level0 \*arabic </w:instrText>
      </w:r>
      <w:r>
        <w:fldChar w:fldCharType="separate"/>
      </w:r>
      <w:r w:rsidR="00573644" w:rsidRPr="00573644">
        <w:t>14</w:t>
      </w:r>
      <w:r>
        <w:fldChar w:fldCharType="end"/>
      </w:r>
      <w:r w:rsidR="00DA0F1C">
        <w:t>.  W dniu 6 stycznia 2011 r. skarżący zapoznał się z aktami swojej sprawy w Areszcie Śledczym Warszawa-Mokotów.</w:t>
      </w:r>
    </w:p>
    <w:bookmarkStart w:id="5" w:name="refusal_legal_aid"/>
    <w:p w:rsidR="005F4ED0"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t>15</w:t>
      </w:r>
      <w:r w:rsidRPr="00573644">
        <w:fldChar w:fldCharType="end"/>
      </w:r>
      <w:bookmarkEnd w:id="5"/>
      <w:r>
        <w:t xml:space="preserve">.  W dniu 2 lutego 2012 r. złożył wniosek o przyznanie pomocy prawnej. W dniu 14 lutego 2012 r. Sąd Rejonowy w Płocku oddalił wniosek, stwierdzając, że skarżący </w:t>
      </w:r>
      <w:r w:rsidR="00E74CB4">
        <w:t>może samodzielnie</w:t>
      </w:r>
      <w:r>
        <w:t xml:space="preserve"> występować przed sądem. Miał dostęp do akt sądowych i został przesłuchany w</w:t>
      </w:r>
      <w:r w:rsidR="003B0864">
        <w:t> </w:t>
      </w:r>
      <w:r>
        <w:t xml:space="preserve">charakterze </w:t>
      </w:r>
      <w:r w:rsidR="00817E03">
        <w:t>strony</w:t>
      </w:r>
      <w:r>
        <w:t xml:space="preserve"> w postępowaniu (I C 31/11).</w:t>
      </w:r>
    </w:p>
    <w:p w:rsidR="005F4ED0" w:rsidRPr="00573644" w:rsidRDefault="003727A1" w:rsidP="00573644">
      <w:pPr>
        <w:pStyle w:val="ECHRPara"/>
      </w:pPr>
      <w:r>
        <w:fldChar w:fldCharType="begin"/>
      </w:r>
      <w:r>
        <w:instrText xml:space="preserve"> SEQ level0 \*arabic </w:instrText>
      </w:r>
      <w:r>
        <w:fldChar w:fldCharType="separate"/>
      </w:r>
      <w:r w:rsidR="00573644" w:rsidRPr="00573644">
        <w:t>16</w:t>
      </w:r>
      <w:r>
        <w:fldChar w:fldCharType="end"/>
      </w:r>
      <w:r w:rsidR="00DA0F1C">
        <w:t>.  W dniu 28 maja 2012 r. Sąd Rejonowy w Płocku oddalił powództwo skarżącego. Sąd orzekł, że cele były rzeczywiście przepełnione przez około pięć miesięcy, ale skarżący nie wykazał, że działania pozwanego (właściwych władz więziennych) stanowiły bezprawne zachowanie, za</w:t>
      </w:r>
      <w:r w:rsidR="003B0864">
        <w:t> </w:t>
      </w:r>
      <w:r w:rsidR="00DA0F1C">
        <w:t>które ten ostatni ponosi odpowiedzialność. Wreszcie, pozostałe zarzut</w:t>
      </w:r>
      <w:r w:rsidR="00C86EFA">
        <w:t>y skarżącego dotyczące warunków</w:t>
      </w:r>
      <w:r w:rsidR="00DA0F1C">
        <w:t xml:space="preserve"> w celach</w:t>
      </w:r>
      <w:r w:rsidR="00C86EFA">
        <w:t>, w których przebywał,</w:t>
      </w:r>
      <w:r w:rsidR="00DA0F1C">
        <w:t xml:space="preserve"> uznano za</w:t>
      </w:r>
      <w:r w:rsidR="003B0864">
        <w:t> </w:t>
      </w:r>
      <w:r w:rsidR="00DA0F1C">
        <w:t>bezzasadne w świetle materiału zebranego w sprawie.</w:t>
      </w:r>
    </w:p>
    <w:bookmarkStart w:id="6" w:name="info_appeal_manner"/>
    <w:p w:rsidR="00D414E9" w:rsidRPr="00573644" w:rsidRDefault="00DA0F1C" w:rsidP="00573644">
      <w:pPr>
        <w:pStyle w:val="ECHRPara"/>
      </w:pPr>
      <w:r w:rsidRPr="00573644">
        <w:fldChar w:fldCharType="begin"/>
      </w:r>
      <w:r w:rsidRPr="00573644">
        <w:instrText xml:space="preserve"> SEQ level0 \*arabic </w:instrText>
      </w:r>
      <w:r w:rsidRPr="00573644">
        <w:fldChar w:fldCharType="separate"/>
      </w:r>
      <w:r w:rsidR="00573644" w:rsidRPr="00573644">
        <w:t>17</w:t>
      </w:r>
      <w:r w:rsidRPr="00573644">
        <w:fldChar w:fldCharType="end"/>
      </w:r>
      <w:bookmarkEnd w:id="6"/>
      <w:r>
        <w:t>.  W dniu 29 maja 2012 r. skarżącemu doręczono wyrok wraz z</w:t>
      </w:r>
      <w:r w:rsidR="003B0864">
        <w:t> </w:t>
      </w:r>
      <w:r>
        <w:t xml:space="preserve">informacją o terminie i sposobie skorzystania z prawa do </w:t>
      </w:r>
      <w:r w:rsidR="00C86EFA">
        <w:t>apelacji</w:t>
      </w:r>
      <w:r>
        <w:t>, o</w:t>
      </w:r>
      <w:r w:rsidR="003B0864">
        <w:t> </w:t>
      </w:r>
      <w:r>
        <w:t>następującej treści:</w:t>
      </w:r>
    </w:p>
    <w:p w:rsidR="004E2980" w:rsidRPr="00573644" w:rsidRDefault="0086286A" w:rsidP="00573644">
      <w:pPr>
        <w:pStyle w:val="ECHRParaQuote"/>
      </w:pPr>
      <w:r>
        <w:t>„</w:t>
      </w:r>
      <w:r w:rsidR="00E00360">
        <w:t>Wystąpienie</w:t>
      </w:r>
      <w:r>
        <w:t xml:space="preserve"> o pisemne uzasadnienie wyroku </w:t>
      </w:r>
      <w:r w:rsidR="00E00360">
        <w:t xml:space="preserve">jest możliwe </w:t>
      </w:r>
      <w:r>
        <w:t>w ciągu siedmiu dni od dnia doręczenia</w:t>
      </w:r>
      <w:r w:rsidR="00C86EFA">
        <w:t xml:space="preserve"> wyroku. Od wyroku przysługuje apelacja</w:t>
      </w:r>
      <w:r>
        <w:t xml:space="preserve">. </w:t>
      </w:r>
      <w:r w:rsidR="00C86EFA">
        <w:t>Apelację</w:t>
      </w:r>
      <w:r>
        <w:t xml:space="preserve"> należy wnieść do sądu, który wydał wyrok, w terminie dwóch tygodni od daty doręczenia wyroku wraz z uzasadnieniem. Wysłanie </w:t>
      </w:r>
      <w:r w:rsidR="00C86EFA">
        <w:t>apelacji</w:t>
      </w:r>
      <w:r>
        <w:t xml:space="preserve"> pocztą jest równoznaczne z wniesieniem go do sądu”.</w:t>
      </w:r>
    </w:p>
    <w:bookmarkStart w:id="7" w:name="send_two_copies_appeal_when_asked"/>
    <w:p w:rsidR="00E97B1C" w:rsidRPr="00573644" w:rsidRDefault="00DB5434" w:rsidP="00573644">
      <w:pPr>
        <w:pStyle w:val="ECHRPara"/>
      </w:pPr>
      <w:r w:rsidRPr="00573644">
        <w:fldChar w:fldCharType="begin"/>
      </w:r>
      <w:r w:rsidRPr="00573644">
        <w:instrText xml:space="preserve"> SEQ level0 \*arabic </w:instrText>
      </w:r>
      <w:r w:rsidRPr="00573644">
        <w:fldChar w:fldCharType="separate"/>
      </w:r>
      <w:r w:rsidR="00573644" w:rsidRPr="00573644">
        <w:t>18</w:t>
      </w:r>
      <w:r w:rsidRPr="00573644">
        <w:fldChar w:fldCharType="end"/>
      </w:r>
      <w:bookmarkEnd w:id="7"/>
      <w:r>
        <w:t xml:space="preserve">.  W dniu 22 czerwca 2012 r. skarżący wniósł </w:t>
      </w:r>
      <w:r w:rsidR="0009010D">
        <w:t>apelację</w:t>
      </w:r>
      <w:r>
        <w:t xml:space="preserve"> od wyroku sądu pierwszej instancji. W dniu 29 czerwca 2012 r. sąd </w:t>
      </w:r>
      <w:r w:rsidR="0009010D">
        <w:t>zobowiązał</w:t>
      </w:r>
      <w:r>
        <w:t xml:space="preserve"> skarżącego </w:t>
      </w:r>
      <w:r w:rsidR="0009010D">
        <w:t>d</w:t>
      </w:r>
      <w:r>
        <w:t xml:space="preserve">o złożenia dwóch dodatkowych odpisów </w:t>
      </w:r>
      <w:r w:rsidR="0009010D">
        <w:t>apelacji</w:t>
      </w:r>
      <w:r>
        <w:t>. W dniu 9 lipca 2012 r. skarżący złożył do s</w:t>
      </w:r>
      <w:r w:rsidR="00755973">
        <w:t>ą</w:t>
      </w:r>
      <w:r>
        <w:t>du odręcznie sporządzone pismo zatytułowane „</w:t>
      </w:r>
      <w:r w:rsidR="008D7A20">
        <w:t>apelacja</w:t>
      </w:r>
      <w:r>
        <w:t>” (w dwóch odpisach), którego treść była zbliżona do treści oryginalnego odwołania, lecz nie identyczna.</w:t>
      </w:r>
    </w:p>
    <w:p w:rsidR="00E97B1C" w:rsidRPr="00573644" w:rsidRDefault="003727A1" w:rsidP="00573644">
      <w:pPr>
        <w:pStyle w:val="ECHRPara"/>
      </w:pPr>
      <w:r>
        <w:fldChar w:fldCharType="begin"/>
      </w:r>
      <w:r>
        <w:instrText xml:space="preserve"> SEQ level0 \*arabic </w:instrText>
      </w:r>
      <w:r>
        <w:fldChar w:fldCharType="separate"/>
      </w:r>
      <w:r w:rsidR="00573644" w:rsidRPr="00573644">
        <w:t>19</w:t>
      </w:r>
      <w:r>
        <w:fldChar w:fldCharType="end"/>
      </w:r>
      <w:r w:rsidR="00DA0F1C">
        <w:t xml:space="preserve">.  W dniu 17 lipca 2012 r. sąd </w:t>
      </w:r>
      <w:r w:rsidR="008D7A20">
        <w:t>odrzucił apelację</w:t>
      </w:r>
      <w:r w:rsidR="00DA0F1C">
        <w:t xml:space="preserve"> skarżącego. Sąd wskazał, że odpis pisma procesowego oznacza odręczną kopię oryginału lub kserokopię zawierającą dokładnie te same </w:t>
      </w:r>
      <w:r w:rsidR="008D7A20">
        <w:t>twierdzenia i zarzuty</w:t>
      </w:r>
      <w:r w:rsidR="00DA0F1C">
        <w:t>. Sąd orzekł, że skoro skarżący rozszerzył swoją argumentację, opierając się na orzecznictwie Sądu Najwyższego, to w konsekwencj</w:t>
      </w:r>
      <w:r w:rsidR="008D7A20">
        <w:t>i zmienił swoje oryginalne pismo</w:t>
      </w:r>
      <w:r w:rsidR="00DA0F1C">
        <w:t xml:space="preserve"> procesowe, a dostarczonych przez niego odpisów nie można tr</w:t>
      </w:r>
      <w:r w:rsidR="008D7A20">
        <w:t>aktować jako odpisów oryginału apelacji</w:t>
      </w:r>
      <w:r w:rsidR="00DA0F1C">
        <w:t>.</w:t>
      </w:r>
    </w:p>
    <w:bookmarkStart w:id="8" w:name="appl_argum_no_computer_memory_no_origina"/>
    <w:p w:rsidR="00E97B1C" w:rsidRPr="00573644" w:rsidRDefault="00DA0F1C" w:rsidP="0085642B">
      <w:pPr>
        <w:pStyle w:val="ECHRPara"/>
      </w:pPr>
      <w:r w:rsidRPr="00573644">
        <w:fldChar w:fldCharType="begin"/>
      </w:r>
      <w:r w:rsidRPr="00573644">
        <w:instrText xml:space="preserve"> SEQ level0 \*arabic </w:instrText>
      </w:r>
      <w:r w:rsidRPr="00573644">
        <w:fldChar w:fldCharType="separate"/>
      </w:r>
      <w:r w:rsidR="00573644" w:rsidRPr="00573644">
        <w:t>20</w:t>
      </w:r>
      <w:r w:rsidRPr="00573644">
        <w:fldChar w:fldCharType="end"/>
      </w:r>
      <w:bookmarkEnd w:id="8"/>
      <w:r>
        <w:t xml:space="preserve">.  W dniu 2 sierpnia 2012 r. skarżący wniósł zażalenie od postanowienia o </w:t>
      </w:r>
      <w:r w:rsidR="00693E58">
        <w:t>odrzuceniu apelacji</w:t>
      </w:r>
      <w:r>
        <w:t>. W</w:t>
      </w:r>
      <w:r w:rsidR="003B0864">
        <w:t> </w:t>
      </w:r>
      <w:r>
        <w:t>dniu 22 sierpnia 2012 r. sąd wezwał skarżącego do złożenia odpisu zażalenia. Skarżący nie zastosował się do tego żądania. W rezultacie w</w:t>
      </w:r>
      <w:r w:rsidR="003B0864">
        <w:t> </w:t>
      </w:r>
      <w:r>
        <w:t xml:space="preserve">dniu 13 września 2012 r. jego zażalenie </w:t>
      </w:r>
      <w:r w:rsidR="00693E58">
        <w:t>odrzucono</w:t>
      </w:r>
      <w:r>
        <w:t>. W</w:t>
      </w:r>
      <w:r w:rsidR="003B0864">
        <w:t> </w:t>
      </w:r>
      <w:r>
        <w:t>dniu 20 września 2012 r. skarżący wniósł zażalenie od postanowienia z</w:t>
      </w:r>
      <w:r w:rsidR="003B0864">
        <w:t> </w:t>
      </w:r>
      <w:r>
        <w:t>dnia 13 września 2012 r., podnosząc, co następuje</w:t>
      </w:r>
      <w:r w:rsidR="00E00360">
        <w:t>:</w:t>
      </w:r>
    </w:p>
    <w:p w:rsidR="005F4ED0" w:rsidRPr="00573644" w:rsidRDefault="00161A20" w:rsidP="00573644">
      <w:pPr>
        <w:pStyle w:val="ECHRParaQuote"/>
      </w:pPr>
      <w:r>
        <w:t>„Powinienem był zostać poinformowany z wyprzedzeniem, że sąd zażąda ode mnie odpisów pism procesowych. Jestem prostym człowiekiem bez wiedzy prawniczej, a</w:t>
      </w:r>
      <w:r w:rsidR="003B0864">
        <w:t> </w:t>
      </w:r>
      <w:r>
        <w:t xml:space="preserve">mój wniosek o pomoc prawną adwokata został oddalony przez sąd. Gdybym miał </w:t>
      </w:r>
      <w:r>
        <w:lastRenderedPageBreak/>
        <w:t>zapewnioną pomoc prawną adwokata, wiedziałbym, że sąd może wymagać odpisów odwołań lub zażaleń. Sąd wezwał mnie do dostarczenia odpisów dopiero po wysłaniu przeze mnie oryginału pisma procesowego, a ja nie mam pamięci komputerowej, aby odtworzyć dokładnie taką samą treść pisma, jakie napisałem miesiąc wcześniej. Gdyby sąd przesłał mi oryginał pisma procesowego, mógłbym go skopiować i odesłać z powrotem. Z powyższych powodów wnoszę o uwzględnienie przez sąd mojego odwołania i zażaleń”.</w:t>
      </w:r>
    </w:p>
    <w:p w:rsidR="00161A20" w:rsidRPr="00573644" w:rsidRDefault="003727A1" w:rsidP="00573644">
      <w:pPr>
        <w:pStyle w:val="ECHRPara"/>
      </w:pPr>
      <w:r>
        <w:fldChar w:fldCharType="begin"/>
      </w:r>
      <w:r>
        <w:instrText xml:space="preserve"> SEQ level0 \*arabic </w:instrText>
      </w:r>
      <w:r>
        <w:fldChar w:fldCharType="separate"/>
      </w:r>
      <w:r w:rsidR="00573644" w:rsidRPr="00573644">
        <w:t>21</w:t>
      </w:r>
      <w:r>
        <w:fldChar w:fldCharType="end"/>
      </w:r>
      <w:r w:rsidR="00DA0F1C">
        <w:t xml:space="preserve">.  W dniu 15 listopada 2012 r. sąd </w:t>
      </w:r>
      <w:r w:rsidR="00B9735D">
        <w:t>zobowiązał skarżącego</w:t>
      </w:r>
      <w:r w:rsidR="00DA0F1C">
        <w:t>, aby w celu spełnienia wymogu formalnego złożenia zażalenia przedłożył jego dodatkowy odpis, czego skarżący nie uczynił. W dniu 24 stycznia 2013 r. sąd oddalił zażalenie skarżącego.</w:t>
      </w:r>
    </w:p>
    <w:p w:rsidR="00014566" w:rsidRPr="00573644" w:rsidRDefault="00014566" w:rsidP="00573644">
      <w:pPr>
        <w:pStyle w:val="ECHRHeading1"/>
      </w:pPr>
      <w:r>
        <w:t>II.  WŁAŚCIWE PRAWO KRAJOWE I PRAKTYKA</w:t>
      </w:r>
    </w:p>
    <w:p w:rsidR="00BD4397" w:rsidRPr="00573644" w:rsidRDefault="00AA3EE0" w:rsidP="00573644">
      <w:pPr>
        <w:pStyle w:val="ECHRHeading2"/>
      </w:pPr>
      <w:r>
        <w:t>A.  Warunki pozbawienia wolności</w:t>
      </w:r>
    </w:p>
    <w:p w:rsidR="00BD4397" w:rsidRPr="00573644" w:rsidRDefault="003727A1" w:rsidP="00573644">
      <w:pPr>
        <w:pStyle w:val="ECHRPara"/>
      </w:pPr>
      <w:r>
        <w:fldChar w:fldCharType="begin"/>
      </w:r>
      <w:r>
        <w:instrText xml:space="preserve"> SEQ level0 \*arabic </w:instrText>
      </w:r>
      <w:r>
        <w:fldChar w:fldCharType="separate"/>
      </w:r>
      <w:r w:rsidR="00573644" w:rsidRPr="00573644">
        <w:t>22</w:t>
      </w:r>
      <w:r>
        <w:fldChar w:fldCharType="end"/>
      </w:r>
      <w:r w:rsidR="00925AB6">
        <w:t>.  Szczegółowy opis właściwego prawa krajowego i praktyki krajowej w zakresie ogólnych zasad regulujących warunki pozbawienia wolności w</w:t>
      </w:r>
      <w:r w:rsidR="003B0864">
        <w:t> </w:t>
      </w:r>
      <w:r w:rsidR="00925AB6">
        <w:t>Polsce oraz krajowych środków odwoławczych dostępnych dla osadzonych zarzucających, że warunki ich zatrzymania były nieodpowiednie, przedstawiono w pilotażowych wyrokach Trybunału w</w:t>
      </w:r>
      <w:r w:rsidR="003B0864">
        <w:t> </w:t>
      </w:r>
      <w:r w:rsidR="00925AB6">
        <w:t>sprawach</w:t>
      </w:r>
      <w:r w:rsidR="00925AB6">
        <w:rPr>
          <w:i/>
          <w:iCs/>
        </w:rPr>
        <w:t xml:space="preserve"> Orchowski przeciwko Polsce</w:t>
      </w:r>
      <w:r w:rsidR="00925AB6">
        <w:t xml:space="preserve"> (nr 17885/04) i </w:t>
      </w:r>
      <w:r w:rsidR="00925AB6">
        <w:rPr>
          <w:i/>
          <w:iCs/>
        </w:rPr>
        <w:t>Norbert Sikorski przeciwko Polsce</w:t>
      </w:r>
      <w:r w:rsidR="00925AB6">
        <w:t xml:space="preserve"> (nr 17599/05), wydanych w dniu 22 października 2009 r. (zob. odpowiednio §§ 75-85 i §§ 45-88). Nowsze zmiany opisano w decyzji Trybunału w sprawie </w:t>
      </w:r>
      <w:proofErr w:type="spellStart"/>
      <w:r w:rsidR="00925AB6">
        <w:rPr>
          <w:i/>
          <w:iCs/>
        </w:rPr>
        <w:t>Łatak</w:t>
      </w:r>
      <w:proofErr w:type="spellEnd"/>
      <w:r w:rsidR="00925AB6">
        <w:rPr>
          <w:i/>
          <w:iCs/>
        </w:rPr>
        <w:t xml:space="preserve"> przeciwko Polsce</w:t>
      </w:r>
      <w:r w:rsidR="00925AB6">
        <w:t xml:space="preserve"> (nr 52070/08) przyjętej w</w:t>
      </w:r>
      <w:r w:rsidR="003B0864">
        <w:t> </w:t>
      </w:r>
      <w:r w:rsidR="00925AB6">
        <w:t>dniu 12 października 2010 r. (zob. §§ 25-54).</w:t>
      </w:r>
    </w:p>
    <w:p w:rsidR="00BD4397" w:rsidRPr="00573644" w:rsidRDefault="00AA3EE0" w:rsidP="00573644">
      <w:pPr>
        <w:pStyle w:val="ECHRHeading2"/>
      </w:pPr>
      <w:r>
        <w:t>A.  Dostęp do sądu</w:t>
      </w:r>
    </w:p>
    <w:p w:rsidR="00DD4C8B" w:rsidRPr="00573644" w:rsidRDefault="003727A1" w:rsidP="00573644">
      <w:pPr>
        <w:pStyle w:val="ECHRPara"/>
      </w:pPr>
      <w:r>
        <w:fldChar w:fldCharType="begin"/>
      </w:r>
      <w:r>
        <w:instrText xml:space="preserve"> SEQ level0 \*arabic </w:instrText>
      </w:r>
      <w:r>
        <w:fldChar w:fldCharType="separate"/>
      </w:r>
      <w:r w:rsidR="00573644" w:rsidRPr="00573644">
        <w:t>23</w:t>
      </w:r>
      <w:r>
        <w:fldChar w:fldCharType="end"/>
      </w:r>
      <w:r w:rsidR="00DD4C8B">
        <w:t>.  Właściwe prawo i praktyka krajowa w zakresie dostępu do sądu i</w:t>
      </w:r>
      <w:r w:rsidR="003B0864">
        <w:t> </w:t>
      </w:r>
      <w:r w:rsidR="00DD4C8B">
        <w:t>wymogów proceduralnych dotyczących pism procesowych wnoszonych do sądów zostały opisane w wyroku Trybunału w sprawie</w:t>
      </w:r>
      <w:r w:rsidR="00DD4C8B">
        <w:rPr>
          <w:i/>
          <w:iCs/>
        </w:rPr>
        <w:t xml:space="preserve"> Parol przeciwko Polsce</w:t>
      </w:r>
      <w:r w:rsidR="00DD4C8B">
        <w:t xml:space="preserve"> (nr 65379/13, §§ 18-26, 18 października 2018 r.).</w:t>
      </w:r>
    </w:p>
    <w:p w:rsidR="00014566" w:rsidRPr="00573644" w:rsidRDefault="00014566" w:rsidP="00573644">
      <w:pPr>
        <w:pStyle w:val="ECHRTitle1"/>
      </w:pPr>
      <w:r>
        <w:t>PRAWO</w:t>
      </w:r>
    </w:p>
    <w:p w:rsidR="00014566" w:rsidRPr="00573644" w:rsidRDefault="00014566" w:rsidP="00573644">
      <w:pPr>
        <w:pStyle w:val="ECHRHeading1"/>
      </w:pPr>
      <w:r>
        <w:t>I.  DOMNIEMANE NARUSZENIE ART. 6 UST. 1 KONWENCJI</w:t>
      </w:r>
    </w:p>
    <w:p w:rsidR="00925AB6" w:rsidRPr="00573644" w:rsidRDefault="003727A1" w:rsidP="00573644">
      <w:pPr>
        <w:pStyle w:val="ECHRPara"/>
        <w:ind w:firstLine="357"/>
      </w:pPr>
      <w:r>
        <w:fldChar w:fldCharType="begin"/>
      </w:r>
      <w:r>
        <w:instrText xml:space="preserve"> SEQ level0 \*arabic </w:instrText>
      </w:r>
      <w:r>
        <w:fldChar w:fldCharType="separate"/>
      </w:r>
      <w:r w:rsidR="00573644" w:rsidRPr="00573644">
        <w:t>24</w:t>
      </w:r>
      <w:r>
        <w:fldChar w:fldCharType="end"/>
      </w:r>
      <w:r w:rsidR="00A332B3">
        <w:t>.  Skarżący zarzucał naruszenie jego prawa dostępu do sądu zgodnie z</w:t>
      </w:r>
      <w:r w:rsidR="003B0864">
        <w:t> </w:t>
      </w:r>
      <w:r w:rsidR="00A332B3">
        <w:t>art. 6 ust. 1 Konwencji, którego istotna części stanowi, co następuje:</w:t>
      </w:r>
    </w:p>
    <w:p w:rsidR="00E30DBD" w:rsidRPr="00573644" w:rsidRDefault="00925AB6" w:rsidP="00573644">
      <w:pPr>
        <w:pStyle w:val="ECHRParaQuote"/>
      </w:pPr>
      <w:r>
        <w:lastRenderedPageBreak/>
        <w:t>„Każdy ma prawo do sprawiedliwego […] rozpatrzenia jego sprawy […] przez […] sąd […] przy rozstrzyganiu o jego prawach i obowiązkach o charakterze cywilnym […]”.</w:t>
      </w:r>
    </w:p>
    <w:p w:rsidR="00014566" w:rsidRPr="00573644" w:rsidRDefault="00014566" w:rsidP="00573644">
      <w:pPr>
        <w:pStyle w:val="ECHRHeading2"/>
      </w:pPr>
      <w:r>
        <w:t>A.  Dopuszczalność</w:t>
      </w:r>
    </w:p>
    <w:p w:rsidR="00925AB6" w:rsidRPr="00573644" w:rsidRDefault="003727A1" w:rsidP="00573644">
      <w:pPr>
        <w:pStyle w:val="ECHRPara"/>
      </w:pPr>
      <w:r>
        <w:fldChar w:fldCharType="begin"/>
      </w:r>
      <w:r>
        <w:instrText xml:space="preserve"> SEQ level0 \*</w:instrText>
      </w:r>
      <w:r>
        <w:instrText xml:space="preserve">arabic </w:instrText>
      </w:r>
      <w:r>
        <w:fldChar w:fldCharType="separate"/>
      </w:r>
      <w:r w:rsidR="00573644" w:rsidRPr="00573644">
        <w:t>25</w:t>
      </w:r>
      <w:r>
        <w:fldChar w:fldCharType="end"/>
      </w:r>
      <w:r w:rsidR="00925AB6">
        <w:t>.  Rząd stwierdził, że skargę należy uznać za niedopuszczalną na</w:t>
      </w:r>
      <w:r w:rsidR="003B0864">
        <w:t> </w:t>
      </w:r>
      <w:r w:rsidR="00925AB6">
        <w:t>podstawie art. 35 ust. 3 Konwencji jako w sposób oczywisty nieuzasadnioną.</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26</w:t>
      </w:r>
      <w:r>
        <w:fldChar w:fldCharType="end"/>
      </w:r>
      <w:r w:rsidR="00925AB6">
        <w:t>.  Trybunał zauważa, że skarga ta nie jest w sposób oczywisty nieuzasadniona w rozumieniu art. 35 ust. 3 lit. a Konwencji. Nadto Trybunał zauważa, że nie jest ona niedopuszczalna na żadnym innym gruncie. Należy ją zatem uznać za dopuszczalną.</w:t>
      </w:r>
    </w:p>
    <w:p w:rsidR="00014566" w:rsidRPr="00573644" w:rsidRDefault="00014566" w:rsidP="00573644">
      <w:pPr>
        <w:pStyle w:val="ECHRHeading2"/>
      </w:pPr>
      <w:r>
        <w:t>B.  Przedmiot skargi</w:t>
      </w:r>
    </w:p>
    <w:p w:rsidR="00F563D4" w:rsidRPr="00573644" w:rsidRDefault="00F563D4" w:rsidP="00573644">
      <w:pPr>
        <w:pStyle w:val="ECHRHeading3"/>
      </w:pPr>
      <w:r>
        <w:t>1.  Stanowiska stron</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27</w:t>
      </w:r>
      <w:r>
        <w:fldChar w:fldCharType="end"/>
      </w:r>
      <w:r w:rsidR="00A332B3">
        <w:t xml:space="preserve">.  Skarżący zarzucał, że </w:t>
      </w:r>
      <w:r w:rsidR="00A73B25">
        <w:t>odrzucenie apelacji</w:t>
      </w:r>
      <w:r w:rsidR="00A332B3">
        <w:t xml:space="preserve"> z powodu nieprzesłania identycznego odpisu pozbawiło go prawa dostępu do sądu, zagwarantowanego w art. 6 ust. 1 Konwencji.</w:t>
      </w:r>
    </w:p>
    <w:p w:rsidR="00014566" w:rsidRPr="00573644" w:rsidRDefault="003727A1" w:rsidP="00573644">
      <w:pPr>
        <w:pStyle w:val="ECHRPara"/>
        <w:rPr>
          <w:snapToGrid w:val="0"/>
        </w:rPr>
      </w:pPr>
      <w:r>
        <w:fldChar w:fldCharType="begin"/>
      </w:r>
      <w:r>
        <w:instrText xml:space="preserve"> SEQ level0 \*arabic </w:instrText>
      </w:r>
      <w:r>
        <w:fldChar w:fldCharType="separate"/>
      </w:r>
      <w:r w:rsidR="00573644" w:rsidRPr="00573644">
        <w:t>28</w:t>
      </w:r>
      <w:r>
        <w:fldChar w:fldCharType="end"/>
      </w:r>
      <w:r w:rsidR="00A332B3">
        <w:t xml:space="preserve">.  Rząd oparł się na ugruntowanym orzecznictwie krajowym dotyczącym art. 128 i 368 Kodeksu postępowania cywilnego, z którego wynika, że nieusunięcie braków formalnych </w:t>
      </w:r>
      <w:r w:rsidR="00AF670A">
        <w:t>apelacji</w:t>
      </w:r>
      <w:r w:rsidR="00A332B3">
        <w:t xml:space="preserve"> poprzez przesłanie jego identycznego odpisu było uzasadnioną przyczyną odrzucenia </w:t>
      </w:r>
      <w:r w:rsidR="00624BE3">
        <w:t>środka odwoławczego</w:t>
      </w:r>
      <w:r w:rsidR="00A332B3">
        <w:t xml:space="preserve">. Rząd podkreślił, że odpowiednie przepisy regulujące praktykę sądów krajowych służyły prawidłowej organizacji postępowania, w tym możliwości zapoznania się przez wszystkie strony postępowania z aktami sprawy. Rząd powołał się również na wyrok Trybunału w sprawie </w:t>
      </w:r>
      <w:r w:rsidR="00A332B3">
        <w:rPr>
          <w:i/>
          <w:iCs/>
        </w:rPr>
        <w:t>Siwiec przeciwko Polsce</w:t>
      </w:r>
      <w:r w:rsidR="00A332B3">
        <w:t xml:space="preserve"> (nr 28095/08</w:t>
      </w:r>
      <w:r w:rsidR="00A332B3">
        <w:rPr>
          <w:snapToGrid w:val="0"/>
        </w:rPr>
        <w:t>, 3 lipca 2012 r.) i argumentował, że biorąc pod uwagę podobieństwo okoliczności, rozpatrywaną sprawę należy rozstrzygnąć w podobny sposób. Rząd stwierdził ponadto, że skarżący został poinformowany o obowiązku składania pism procesowych w</w:t>
      </w:r>
      <w:r w:rsidR="003B0864">
        <w:rPr>
          <w:snapToGrid w:val="0"/>
        </w:rPr>
        <w:t> </w:t>
      </w:r>
      <w:r w:rsidR="00A332B3">
        <w:rPr>
          <w:snapToGrid w:val="0"/>
        </w:rPr>
        <w:t>prawidłowej liczbie odpisów. Rząd powołał się na pisma z dnia 11 i 23 marca 2011 r. i twierdził, że skarżący powinien był wiedzieć o wymogu składania dwóch identycznych odpisów.</w:t>
      </w:r>
    </w:p>
    <w:p w:rsidR="00F563D4" w:rsidRPr="00573644" w:rsidRDefault="00F563D4" w:rsidP="00573644">
      <w:pPr>
        <w:pStyle w:val="ECHRHeading3"/>
      </w:pPr>
      <w:r>
        <w:t>2.  Ocena Trybunału</w:t>
      </w:r>
    </w:p>
    <w:p w:rsidR="00F563D4" w:rsidRPr="00573644" w:rsidRDefault="001B5C34" w:rsidP="00573644">
      <w:pPr>
        <w:pStyle w:val="ECHRHeading4"/>
      </w:pPr>
      <w:r>
        <w:t>a)  Ogólne zasady</w:t>
      </w:r>
    </w:p>
    <w:p w:rsidR="00CC1FE1" w:rsidRPr="00573644" w:rsidRDefault="003727A1" w:rsidP="00573644">
      <w:pPr>
        <w:pStyle w:val="ECHRPara"/>
      </w:pPr>
      <w:r>
        <w:fldChar w:fldCharType="begin"/>
      </w:r>
      <w:r>
        <w:instrText xml:space="preserve"> SEQ level0 \*arabic </w:instrText>
      </w:r>
      <w:r>
        <w:fldChar w:fldCharType="separate"/>
      </w:r>
      <w:r w:rsidR="00573644" w:rsidRPr="00573644">
        <w:t>29</w:t>
      </w:r>
      <w:r>
        <w:fldChar w:fldCharType="end"/>
      </w:r>
      <w:r w:rsidR="00720FD5">
        <w:t>.  Trybunał przypom</w:t>
      </w:r>
      <w:r w:rsidR="00D50DB5">
        <w:t>ina</w:t>
      </w:r>
      <w:r w:rsidR="00720FD5">
        <w:t>, że prawo do rzetelnego procesu sądowego, zagwarantowane w art. 6 ust. 1, należy interpretować w świetle zasady państwa prawa, która wymaga, aby strony w postępowaniu sądowym dysponowały skutecznym środkiem odwoławczym umożliwiającym im dochodzenie swoich praw obywatelskich (zob. </w:t>
      </w:r>
      <w:proofErr w:type="spellStart"/>
      <w:r w:rsidR="00720FD5">
        <w:rPr>
          <w:i/>
          <w:iCs/>
        </w:rPr>
        <w:t>Běleš</w:t>
      </w:r>
      <w:proofErr w:type="spellEnd"/>
      <w:r w:rsidR="00720FD5">
        <w:rPr>
          <w:i/>
          <w:iCs/>
        </w:rPr>
        <w:t xml:space="preserve"> i Inni przeciwko </w:t>
      </w:r>
      <w:r w:rsidR="00720FD5">
        <w:rPr>
          <w:i/>
          <w:iCs/>
        </w:rPr>
        <w:lastRenderedPageBreak/>
        <w:t>Republice Czeskiej</w:t>
      </w:r>
      <w:r w:rsidR="00720FD5">
        <w:t>, nr 47273/99, § 49, ETPCz 2002</w:t>
      </w:r>
      <w:r w:rsidR="00720FD5">
        <w:noBreakHyphen/>
        <w:t>IX). W ten sposób przepis ten ucieleśnia „prawo do sądu", którego jednym z aspektów jest prawo dostępu, czyli prawo do wszczęcia postępowania przed sądem w sprawach cywilnych; jednakże jest to aspekt, który w rzeczywistości umożliwia skorzystanie z dalszych gwarancji przewidzianych w art. 6 ust. 1 (zob. </w:t>
      </w:r>
      <w:proofErr w:type="spellStart"/>
      <w:r w:rsidR="00720FD5">
        <w:rPr>
          <w:i/>
          <w:iCs/>
        </w:rPr>
        <w:t>Kreuz</w:t>
      </w:r>
      <w:proofErr w:type="spellEnd"/>
      <w:r w:rsidR="00720FD5">
        <w:rPr>
          <w:i/>
          <w:iCs/>
        </w:rPr>
        <w:t xml:space="preserve"> przeciwko Polsce</w:t>
      </w:r>
      <w:r w:rsidR="00720FD5">
        <w:t>, nr 28249/95, § 52, ETPCz 2001</w:t>
      </w:r>
      <w:r w:rsidR="00720FD5">
        <w:noBreakHyphen/>
        <w:t>VI).</w:t>
      </w:r>
    </w:p>
    <w:p w:rsidR="00E97B1C" w:rsidRPr="00573644" w:rsidRDefault="003727A1" w:rsidP="00573644">
      <w:pPr>
        <w:pStyle w:val="ECHRPara"/>
      </w:pPr>
      <w:r>
        <w:fldChar w:fldCharType="begin"/>
      </w:r>
      <w:r>
        <w:instrText xml:space="preserve"> SEQ level0 \*arabic </w:instrText>
      </w:r>
      <w:r>
        <w:fldChar w:fldCharType="separate"/>
      </w:r>
      <w:r w:rsidR="00573644" w:rsidRPr="00573644">
        <w:t>30</w:t>
      </w:r>
      <w:r>
        <w:fldChar w:fldCharType="end"/>
      </w:r>
      <w:r w:rsidR="00C31317">
        <w:t xml:space="preserve">.  „Prawo do sądu” nie ma charakteru absolutnego. Może podlegać ograniczeniom, dozwolonym w sposób dorozumiany, ponieważ prawo dostępu z natury wymaga regulacji ze strony państwa. Ustanawiając takie uregulowania, Układające się Państwa dysponują pewnym marginesem oceny. O ile ostateczna decyzja co do przestrzegania wymogów Konwencji pozostaje w gestii Trybunału, o tyle jego rolą nie jest zastępowanie oceny władz krajowych jakąkolwiek inną oceną tego, co może być najlepszą polityką w tej dziedzinie. Tym niemniej ograniczenia nie mogą ukracać dostępu danej jednostki w sposób powodujący lub w zakresie powodującym naruszenie samej istoty owego prawa. Co więcej, ograniczenia nie będą spójne z art. 6 ust. 1, jeżeli nie służą realizacji uprawnionego celu i jeżeli nie ma </w:t>
      </w:r>
      <w:r w:rsidR="00624BE3">
        <w:t>u</w:t>
      </w:r>
      <w:r w:rsidR="00C31317">
        <w:t>zasadn</w:t>
      </w:r>
      <w:r w:rsidR="00624BE3">
        <w:t>ionego</w:t>
      </w:r>
      <w:r w:rsidR="00C31317">
        <w:t xml:space="preserve"> stosunku proporcjonalności między zastosowanymi środkami a celem, który ma zostać osiągnięty (zob. </w:t>
      </w:r>
      <w:proofErr w:type="spellStart"/>
      <w:r w:rsidR="00C31317">
        <w:rPr>
          <w:i/>
        </w:rPr>
        <w:t>Stanev</w:t>
      </w:r>
      <w:proofErr w:type="spellEnd"/>
      <w:r w:rsidR="00C31317">
        <w:rPr>
          <w:i/>
        </w:rPr>
        <w:t xml:space="preserve"> przeciwko Bułgarii </w:t>
      </w:r>
      <w:r w:rsidR="00C31317">
        <w:t xml:space="preserve">[WI], nr 36760/06, § 230, </w:t>
      </w:r>
      <w:r w:rsidR="00C31317">
        <w:rPr>
          <w:snapToGrid w:val="0"/>
        </w:rPr>
        <w:t>ETPCz 2012</w:t>
      </w:r>
      <w:r w:rsidR="00C31317">
        <w:t>).</w:t>
      </w:r>
    </w:p>
    <w:p w:rsidR="00C31317" w:rsidRPr="00573644" w:rsidRDefault="003727A1" w:rsidP="00573644">
      <w:pPr>
        <w:pStyle w:val="ECHRPara"/>
      </w:pPr>
      <w:r>
        <w:fldChar w:fldCharType="begin"/>
      </w:r>
      <w:r>
        <w:instrText xml:space="preserve"> SEQ level0 \*arabic </w:instrText>
      </w:r>
      <w:r>
        <w:fldChar w:fldCharType="separate"/>
      </w:r>
      <w:r w:rsidR="00573644" w:rsidRPr="00573644">
        <w:t>31</w:t>
      </w:r>
      <w:r>
        <w:fldChar w:fldCharType="end"/>
      </w:r>
      <w:r w:rsidR="00C31317">
        <w:t>.  Trybunał zauważ</w:t>
      </w:r>
      <w:r w:rsidR="00D50DB5">
        <w:t>a</w:t>
      </w:r>
      <w:r w:rsidR="00C31317">
        <w:t xml:space="preserve"> ponadto, że intencją Konwencji jest zagwarantowanie praw o charakterze nie tylko teoretycznym i</w:t>
      </w:r>
      <w:r w:rsidR="003B0864">
        <w:t> </w:t>
      </w:r>
      <w:r w:rsidR="00C31317">
        <w:t>iluzorycznym, lecz praw, które mają wymiar praktyczny i są skuteczne. Dotyczy to w szczególności gwarancji zapisanych w art. 6, ze względu na znaczące miejsce, jakie w społeczeństwie demokratycznym zajmuje prawo do rzetelnego procesu sądowego z wszystkimi gwarancjami na mocy tego artykułu (</w:t>
      </w:r>
      <w:r w:rsidR="00C31317">
        <w:rPr>
          <w:i/>
          <w:iCs/>
        </w:rPr>
        <w:t>ibid.</w:t>
      </w:r>
      <w:r w:rsidR="00C31317">
        <w:t>, § 231). Celem zasad regulujących formalne kroki, jakie należy podjąć</w:t>
      </w:r>
      <w:r w:rsidR="00ED668D">
        <w:t>,</w:t>
      </w:r>
      <w:r w:rsidR="00C31317">
        <w:t xml:space="preserve"> oraz terminy, jakich należy przestrzegać przy wnoszeniu apelacji lub składaniu wniosku o kontrolę sądową – jest zapewnienie prawidłowego funkcjonowania wymiaru sprawiedliwości oraz przestrzegania, w szczególności, zasady pewności prawa. Tak więc wspominane zasady, a także ich stosowanie – nie mogą uniemożliwiać stronie skorzystania z dostępnego środka prawnego (zob. </w:t>
      </w:r>
      <w:proofErr w:type="spellStart"/>
      <w:r w:rsidR="00C31317">
        <w:rPr>
          <w:i/>
          <w:iCs/>
        </w:rPr>
        <w:t>Zvolský</w:t>
      </w:r>
      <w:proofErr w:type="spellEnd"/>
      <w:r w:rsidR="00C31317">
        <w:rPr>
          <w:i/>
          <w:iCs/>
        </w:rPr>
        <w:t xml:space="preserve"> i </w:t>
      </w:r>
      <w:proofErr w:type="spellStart"/>
      <w:r w:rsidR="00C31317">
        <w:rPr>
          <w:i/>
          <w:iCs/>
        </w:rPr>
        <w:t>Zvolská</w:t>
      </w:r>
      <w:proofErr w:type="spellEnd"/>
      <w:r w:rsidR="00C31317">
        <w:rPr>
          <w:i/>
          <w:iCs/>
        </w:rPr>
        <w:t xml:space="preserve"> przeciwko Republice Czeskiej</w:t>
      </w:r>
      <w:r w:rsidR="00C31317">
        <w:t>, nr 46129/99, § 51, ETPCz 2002</w:t>
      </w:r>
      <w:r w:rsidR="00C31317">
        <w:noBreakHyphen/>
        <w:t>IX). Stosując przepisy proceduralne, sądy krajowe muszą unikać zarówno nadmiaru formalizmu, który mógłby podważyć rzetelność postępowania, jak i nadmiernej elastyczności, która prowadziłaby do zniesienia wymogów proceduralnych ustanowionych przez prawo (zob. </w:t>
      </w:r>
      <w:r w:rsidR="00C31317">
        <w:rPr>
          <w:i/>
          <w:iCs/>
        </w:rPr>
        <w:t>Frida, LLC przeciwko Ukrainie</w:t>
      </w:r>
      <w:r w:rsidR="00C31317">
        <w:t>, nr 24003/07, § 33, 8 grudnia 2016 r.).</w:t>
      </w:r>
    </w:p>
    <w:p w:rsidR="00C31317" w:rsidRPr="00573644" w:rsidRDefault="003727A1" w:rsidP="00573644">
      <w:pPr>
        <w:pStyle w:val="ECHRPara"/>
        <w:rPr>
          <w:snapToGrid w:val="0"/>
        </w:rPr>
      </w:pPr>
      <w:r>
        <w:fldChar w:fldCharType="begin"/>
      </w:r>
      <w:r>
        <w:instrText xml:space="preserve"> SEQ level0 \*arabic </w:instrText>
      </w:r>
      <w:r>
        <w:fldChar w:fldCharType="separate"/>
      </w:r>
      <w:r w:rsidR="00573644" w:rsidRPr="00573644">
        <w:t>32</w:t>
      </w:r>
      <w:r>
        <w:fldChar w:fldCharType="end"/>
      </w:r>
      <w:r w:rsidR="00C31317">
        <w:t>.  Trybunał ponownie przypomina swoje stanowisko, że</w:t>
      </w:r>
      <w:r w:rsidR="003B0864">
        <w:t> </w:t>
      </w:r>
      <w:r w:rsidR="00C31317">
        <w:t>rozwiązywanie problemów związanych z wykładnią ustawodawstwa krajowego należy przede wszystkim do władz krajowych, a w szczególności do sądów. Rola Trybunału ogranicza się do sprawdzenia zgodności z</w:t>
      </w:r>
      <w:r w:rsidR="003B0864">
        <w:t> </w:t>
      </w:r>
      <w:r w:rsidR="00C31317">
        <w:t xml:space="preserve">Konwencją skutków takiej wykładni. Dotyczy to w szczególności </w:t>
      </w:r>
      <w:r w:rsidR="00C31317">
        <w:lastRenderedPageBreak/>
        <w:t>wykładni przez sądy przepisów proceduralnych, takich jak terminy składania dokumentów lub odwołań (zob. </w:t>
      </w:r>
      <w:proofErr w:type="spellStart"/>
      <w:r w:rsidR="00C31317">
        <w:rPr>
          <w:i/>
          <w:iCs/>
        </w:rPr>
        <w:t>Běleš</w:t>
      </w:r>
      <w:proofErr w:type="spellEnd"/>
      <w:r w:rsidR="00C31317">
        <w:rPr>
          <w:i/>
          <w:iCs/>
        </w:rPr>
        <w:t xml:space="preserve"> i Inni</w:t>
      </w:r>
      <w:r w:rsidR="00C31317">
        <w:t xml:space="preserve">, </w:t>
      </w:r>
      <w:proofErr w:type="spellStart"/>
      <w:r w:rsidR="00C31317">
        <w:rPr>
          <w:i/>
          <w:iCs/>
        </w:rPr>
        <w:t>op.cit</w:t>
      </w:r>
      <w:proofErr w:type="spellEnd"/>
      <w:r w:rsidR="00C31317">
        <w:rPr>
          <w:i/>
          <w:iCs/>
        </w:rPr>
        <w:t>.</w:t>
      </w:r>
      <w:r w:rsidR="00C31317">
        <w:t xml:space="preserve">, § 60). Ponadto na mocy </w:t>
      </w:r>
      <w:r w:rsidR="005117CD">
        <w:t xml:space="preserve">Konwencji </w:t>
      </w:r>
      <w:r w:rsidR="00C31317">
        <w:t>nie ma obowiązku zapewnienia pomocy prawnej we wszystkich sporach w postępowaniu cywilnym. Jednakże, wywiązując się ze swojego obowiązku zapewnienia stronom postępowania cywilnego pomocy prawnej, w przypadku gdy pomoc prawna jest przewidziana w prawie krajowym, państwo musi wykazać się starannością, aby zapewnić tym osobom rzeczywiste i skuteczne korzystanie z praw zagwarantowanych na podstawie art. 6 (zob. </w:t>
      </w:r>
      <w:proofErr w:type="spellStart"/>
      <w:r w:rsidR="00C31317">
        <w:rPr>
          <w:i/>
        </w:rPr>
        <w:t>Muscat</w:t>
      </w:r>
      <w:proofErr w:type="spellEnd"/>
      <w:r w:rsidR="00C31317">
        <w:rPr>
          <w:i/>
        </w:rPr>
        <w:t xml:space="preserve"> przeciwko Malcie</w:t>
      </w:r>
      <w:r w:rsidR="00C31317">
        <w:t>, nr 24197/10</w:t>
      </w:r>
      <w:r w:rsidR="00C31317">
        <w:rPr>
          <w:snapToGrid w:val="0"/>
        </w:rPr>
        <w:t>, § 46, 17 lipca 2012 r.).</w:t>
      </w:r>
    </w:p>
    <w:p w:rsidR="00F563D4" w:rsidRPr="00573644" w:rsidRDefault="00661E88" w:rsidP="00573644">
      <w:pPr>
        <w:pStyle w:val="ECHRHeading4"/>
      </w:pPr>
      <w:r>
        <w:t>b)  Zastosowanie tych zasad w niniejszej sprawie</w:t>
      </w:r>
    </w:p>
    <w:p w:rsidR="00E97B1C" w:rsidRPr="00573644" w:rsidRDefault="003727A1" w:rsidP="00573644">
      <w:pPr>
        <w:pStyle w:val="ECHRPara"/>
      </w:pPr>
      <w:r>
        <w:fldChar w:fldCharType="begin"/>
      </w:r>
      <w:r>
        <w:instrText xml:space="preserve"> SEQ level0 \*arabic </w:instrText>
      </w:r>
      <w:r>
        <w:fldChar w:fldCharType="separate"/>
      </w:r>
      <w:r w:rsidR="00573644" w:rsidRPr="00573644">
        <w:t>33</w:t>
      </w:r>
      <w:r>
        <w:fldChar w:fldCharType="end"/>
      </w:r>
      <w:r w:rsidR="00C31317">
        <w:t>.  Trybunał musi zbadać, czy decyzja Sądu Rejonowego w Płocku o</w:t>
      </w:r>
      <w:r w:rsidR="003B0864">
        <w:t> </w:t>
      </w:r>
      <w:r w:rsidR="00C31317">
        <w:t>od</w:t>
      </w:r>
      <w:r w:rsidR="001442DB">
        <w:t>rzuceniu</w:t>
      </w:r>
      <w:r w:rsidR="00C31317">
        <w:t xml:space="preserve"> apelacji skarżącego narusza jego prawo dostępu do sądu. Powstaje pytanie, czy skarżący, w szczególności wobec faktu, że</w:t>
      </w:r>
      <w:r w:rsidR="003B0864">
        <w:t> </w:t>
      </w:r>
      <w:r w:rsidR="00C31317">
        <w:t>odmówiono mu pomocy prawnej, został dostatecznie poinformowany o</w:t>
      </w:r>
      <w:r w:rsidR="003B0864">
        <w:t> </w:t>
      </w:r>
      <w:r w:rsidR="00C31317">
        <w:t>właściwym prawie i czy można było rozsądnie oczekiwać od niego wykonania postanowienia Sądu Rejonowego w Płocku (zob. </w:t>
      </w:r>
      <w:r w:rsidR="00C31317">
        <w:rPr>
          <w:i/>
          <w:iCs/>
        </w:rPr>
        <w:t>mutatis mutandis</w:t>
      </w:r>
      <w:r w:rsidR="00C31317">
        <w:t xml:space="preserve">, </w:t>
      </w:r>
      <w:r w:rsidR="00C31317">
        <w:rPr>
          <w:i/>
          <w:iCs/>
        </w:rPr>
        <w:t>Frida, LLC</w:t>
      </w:r>
      <w:r w:rsidR="00C31317">
        <w:t xml:space="preserve">, </w:t>
      </w:r>
      <w:proofErr w:type="spellStart"/>
      <w:r w:rsidR="00C31317">
        <w:rPr>
          <w:i/>
          <w:iCs/>
        </w:rPr>
        <w:t>op.cit</w:t>
      </w:r>
      <w:proofErr w:type="spellEnd"/>
      <w:r w:rsidR="00C31317">
        <w:rPr>
          <w:i/>
          <w:iCs/>
        </w:rPr>
        <w:t>.</w:t>
      </w:r>
      <w:r w:rsidR="00C31317">
        <w:t xml:space="preserve">, § 36, oraz </w:t>
      </w:r>
      <w:proofErr w:type="spellStart"/>
      <w:r w:rsidR="00C31317">
        <w:rPr>
          <w:i/>
          <w:iCs/>
        </w:rPr>
        <w:t>Eşim</w:t>
      </w:r>
      <w:proofErr w:type="spellEnd"/>
      <w:r w:rsidR="00C31317">
        <w:rPr>
          <w:i/>
          <w:iCs/>
        </w:rPr>
        <w:t xml:space="preserve"> przeciwko Turcji</w:t>
      </w:r>
      <w:r w:rsidR="00C31317">
        <w:t>, nr 59601/09</w:t>
      </w:r>
      <w:r w:rsidR="00C31317">
        <w:rPr>
          <w:snapToGrid w:val="0"/>
        </w:rPr>
        <w:t>, § 21, 17 września 2013 r.)</w:t>
      </w:r>
      <w:r w:rsidR="00C31317">
        <w:t>.</w:t>
      </w:r>
    </w:p>
    <w:p w:rsidR="007863F2" w:rsidRPr="00573644" w:rsidRDefault="003727A1" w:rsidP="00573644">
      <w:pPr>
        <w:pStyle w:val="ECHRPara"/>
      </w:pPr>
      <w:r>
        <w:fldChar w:fldCharType="begin"/>
      </w:r>
      <w:r>
        <w:instrText xml:space="preserve"> SEQ level0 \*arabic </w:instrText>
      </w:r>
      <w:r>
        <w:fldChar w:fldCharType="separate"/>
      </w:r>
      <w:r w:rsidR="00573644" w:rsidRPr="00573644">
        <w:t>34</w:t>
      </w:r>
      <w:r>
        <w:fldChar w:fldCharType="end"/>
      </w:r>
      <w:r w:rsidR="007863F2">
        <w:t xml:space="preserve">.  Trybunał zauważa ponadto, że skarżący został pozbawiony wolności i że w postępowaniu cywilnym, którego dotyczy skarga, nie był reprezentowany przez adwokata; jego wniosek o pomoc prawną adwokata został </w:t>
      </w:r>
      <w:r w:rsidR="001442DB">
        <w:t>oddalony</w:t>
      </w:r>
      <w:r w:rsidR="007863F2">
        <w:t xml:space="preserve"> (zob. paragraf </w:t>
      </w:r>
      <w:r w:rsidR="006F2102" w:rsidRPr="00573644">
        <w:fldChar w:fldCharType="begin"/>
      </w:r>
      <w:r w:rsidR="006F2102" w:rsidRPr="00573644">
        <w:instrText xml:space="preserve"> REF refusal_legal_aid \h </w:instrText>
      </w:r>
      <w:r w:rsidR="006F2102" w:rsidRPr="00573644">
        <w:fldChar w:fldCharType="separate"/>
      </w:r>
      <w:r w:rsidR="00573644" w:rsidRPr="00573644">
        <w:t>15</w:t>
      </w:r>
      <w:r w:rsidR="006F2102" w:rsidRPr="00573644">
        <w:fldChar w:fldCharType="end"/>
      </w:r>
      <w:r w:rsidR="007863F2">
        <w:t xml:space="preserve"> powyżej). W tych okolicznościach mógł on polegać jedynie na własnej wiedzy i przekazanych przez sądy krajowe informacjach na temat przepisów proceduralnych regulujących postępowanie cywilne.</w:t>
      </w:r>
    </w:p>
    <w:p w:rsidR="006F2102" w:rsidRPr="00573644" w:rsidRDefault="003727A1" w:rsidP="00573644">
      <w:pPr>
        <w:pStyle w:val="ECHRPara"/>
      </w:pPr>
      <w:r>
        <w:fldChar w:fldCharType="begin"/>
      </w:r>
      <w:r>
        <w:instrText xml:space="preserve"> SEQ level0 \*arabic </w:instrText>
      </w:r>
      <w:r>
        <w:fldChar w:fldCharType="separate"/>
      </w:r>
      <w:r w:rsidR="00573644" w:rsidRPr="00573644">
        <w:t>35</w:t>
      </w:r>
      <w:r>
        <w:fldChar w:fldCharType="end"/>
      </w:r>
      <w:r w:rsidR="006F2102">
        <w:t>.  Trybunał zauważa ponadto, że skarżący został trzykrotnie poinformowany, że powinien przesłać do sądu konkretne pisma procesowe w dwóch odpisach. Istotne informacje dotyczyły wniosków dowodowych (zob. paragraf </w:t>
      </w:r>
      <w:r w:rsidR="006F2102" w:rsidRPr="00573644">
        <w:fldChar w:fldCharType="begin"/>
      </w:r>
      <w:r w:rsidR="006F2102" w:rsidRPr="00573644">
        <w:instrText xml:space="preserve"> REF evidence_motion_2_copies_info \h </w:instrText>
      </w:r>
      <w:r w:rsidR="006F2102" w:rsidRPr="00573644">
        <w:fldChar w:fldCharType="separate"/>
      </w:r>
      <w:r w:rsidR="00573644" w:rsidRPr="00573644">
        <w:t>11</w:t>
      </w:r>
      <w:r w:rsidR="006F2102" w:rsidRPr="00573644">
        <w:fldChar w:fldCharType="end"/>
      </w:r>
      <w:r w:rsidR="006F2102">
        <w:t xml:space="preserve"> powyżej), sprecyzowania powództwa (zob. paragraf</w:t>
      </w:r>
      <w:r w:rsidR="00D1778C">
        <w:t xml:space="preserve"> </w:t>
      </w:r>
      <w:r w:rsidR="00946B71" w:rsidRPr="00573644">
        <w:fldChar w:fldCharType="begin"/>
      </w:r>
      <w:r w:rsidR="00946B71" w:rsidRPr="00573644">
        <w:instrText xml:space="preserve"> REF info_clarification_pleadings \h </w:instrText>
      </w:r>
      <w:r w:rsidR="00946B71" w:rsidRPr="00573644">
        <w:fldChar w:fldCharType="separate"/>
      </w:r>
      <w:r w:rsidR="00573644" w:rsidRPr="00573644">
        <w:t>12</w:t>
      </w:r>
      <w:r w:rsidR="00946B71" w:rsidRPr="00573644">
        <w:fldChar w:fldCharType="end"/>
      </w:r>
      <w:r w:rsidR="006F2102">
        <w:t xml:space="preserve"> powyżej) oraz informacji dotyczących jego woli kontynuowania postępowania (zob. paragraf </w:t>
      </w:r>
      <w:r w:rsidR="00DA0F1C" w:rsidRPr="00573644">
        <w:fldChar w:fldCharType="begin"/>
      </w:r>
      <w:r w:rsidR="00DA0F1C" w:rsidRPr="00573644">
        <w:instrText xml:space="preserve"> REF info_sustain_of_claim \h </w:instrText>
      </w:r>
      <w:r w:rsidR="00DA0F1C" w:rsidRPr="00573644">
        <w:fldChar w:fldCharType="separate"/>
      </w:r>
      <w:r w:rsidR="00573644" w:rsidRPr="00573644">
        <w:t>13</w:t>
      </w:r>
      <w:r w:rsidR="00DA0F1C" w:rsidRPr="00573644">
        <w:fldChar w:fldCharType="end"/>
      </w:r>
      <w:r w:rsidR="006F2102">
        <w:t xml:space="preserve"> powyżej). Za każdym razem, gdy był informowany o obowiązku przesłania pism procesowych w dwóch odpisach, stosował się do tego wymogu. Nigdy nie został ogólnie poinformowany o obowiązku przesłania wszystkich pism procesowych do sądu w dwóch odpisach, ani o brzmieniu art. 128 Kodeksu postępowania cywilnego.</w:t>
      </w:r>
    </w:p>
    <w:p w:rsidR="007863F2" w:rsidRPr="00573644" w:rsidRDefault="003727A1" w:rsidP="00573644">
      <w:pPr>
        <w:pStyle w:val="ECHRPara"/>
      </w:pPr>
      <w:r>
        <w:fldChar w:fldCharType="begin"/>
      </w:r>
      <w:r>
        <w:instrText xml:space="preserve"> SEQ level0 \*arabic </w:instrText>
      </w:r>
      <w:r>
        <w:fldChar w:fldCharType="separate"/>
      </w:r>
      <w:r w:rsidR="00573644" w:rsidRPr="00573644">
        <w:t>36</w:t>
      </w:r>
      <w:r>
        <w:fldChar w:fldCharType="end"/>
      </w:r>
      <w:r w:rsidR="00DA0F1C">
        <w:t>.  Trybunał zauważa ponadto, że pouczenie dotyczące terminu i</w:t>
      </w:r>
      <w:r w:rsidR="003B0864">
        <w:t> </w:t>
      </w:r>
      <w:r w:rsidR="00DA0F1C">
        <w:t xml:space="preserve">sposobu wniesienia </w:t>
      </w:r>
      <w:r w:rsidR="001442DB">
        <w:t>apelacji</w:t>
      </w:r>
      <w:r w:rsidR="00DA0F1C">
        <w:t xml:space="preserve"> nie zawierało informacji, że odwołanie należy złożyć w dwóch odpisach (zob. paragraf </w:t>
      </w:r>
      <w:r w:rsidR="00DB5434" w:rsidRPr="00573644">
        <w:fldChar w:fldCharType="begin"/>
      </w:r>
      <w:r w:rsidR="00DB5434" w:rsidRPr="00573644">
        <w:instrText xml:space="preserve"> REF info_appeal_manner \h </w:instrText>
      </w:r>
      <w:r w:rsidR="00DB5434" w:rsidRPr="00573644">
        <w:fldChar w:fldCharType="separate"/>
      </w:r>
      <w:r w:rsidR="00573644" w:rsidRPr="00573644">
        <w:t>17</w:t>
      </w:r>
      <w:r w:rsidR="00DB5434" w:rsidRPr="00573644">
        <w:fldChar w:fldCharType="end"/>
      </w:r>
      <w:r w:rsidR="00DA0F1C">
        <w:t xml:space="preserve"> powyżej). W chwili wydania </w:t>
      </w:r>
      <w:r w:rsidR="00F8373D">
        <w:t>zarządzenia</w:t>
      </w:r>
      <w:r w:rsidR="00DA0F1C">
        <w:t>, skarżący podjął próbę zastosowania się do</w:t>
      </w:r>
      <w:r w:rsidR="003B0864">
        <w:t> </w:t>
      </w:r>
      <w:r w:rsidR="00DA0F1C">
        <w:t xml:space="preserve">postanowienia Sądu Rejonowego </w:t>
      </w:r>
      <w:r w:rsidR="00F8373D">
        <w:t>w Płocku i przesłał dwa odpisy apelacji</w:t>
      </w:r>
      <w:r w:rsidR="00DA0F1C">
        <w:t xml:space="preserve">, które nie były </w:t>
      </w:r>
      <w:r w:rsidR="00DA0F1C">
        <w:lastRenderedPageBreak/>
        <w:t>identyczne z oryginałem wysłanym trzy tygodnie wcześniej (zob. paragraf </w:t>
      </w:r>
      <w:r w:rsidR="00DB5434" w:rsidRPr="00573644">
        <w:fldChar w:fldCharType="begin"/>
      </w:r>
      <w:r w:rsidR="00DB5434" w:rsidRPr="00573644">
        <w:instrText xml:space="preserve"> REF send_two_copies_appeal_when_asked \h </w:instrText>
      </w:r>
      <w:r w:rsidR="00DB5434" w:rsidRPr="00573644">
        <w:fldChar w:fldCharType="separate"/>
      </w:r>
      <w:r w:rsidR="00573644" w:rsidRPr="00573644">
        <w:t>18</w:t>
      </w:r>
      <w:r w:rsidR="00DB5434" w:rsidRPr="00573644">
        <w:fldChar w:fldCharType="end"/>
      </w:r>
      <w:r w:rsidR="00DA0F1C">
        <w:t xml:space="preserve"> powyżej).</w:t>
      </w:r>
    </w:p>
    <w:p w:rsidR="00E333C6" w:rsidRPr="00573644" w:rsidRDefault="003727A1" w:rsidP="00573644">
      <w:pPr>
        <w:pStyle w:val="ECHRPara"/>
      </w:pPr>
      <w:r>
        <w:fldChar w:fldCharType="begin"/>
      </w:r>
      <w:r>
        <w:instrText xml:space="preserve"> SEQ level0 \*arabic </w:instrText>
      </w:r>
      <w:r>
        <w:fldChar w:fldCharType="separate"/>
      </w:r>
      <w:r w:rsidR="00573644" w:rsidRPr="00573644">
        <w:t>37</w:t>
      </w:r>
      <w:r>
        <w:fldChar w:fldCharType="end"/>
      </w:r>
      <w:r w:rsidR="001A6F15">
        <w:t>.  Trybunał zbadał już podobną sprawę i stwierdził naruszenie art. 6 ze</w:t>
      </w:r>
      <w:r w:rsidR="003B0864">
        <w:t> </w:t>
      </w:r>
      <w:r w:rsidR="001A6F15">
        <w:t>względu na ograniczenie dostępu skarżącego do sądu (zob. </w:t>
      </w:r>
      <w:r w:rsidR="001A6F15">
        <w:rPr>
          <w:i/>
          <w:iCs/>
        </w:rPr>
        <w:t>Parol</w:t>
      </w:r>
      <w:r w:rsidR="001A6F15">
        <w:t xml:space="preserve">, </w:t>
      </w:r>
      <w:proofErr w:type="spellStart"/>
      <w:r w:rsidR="001A6F15">
        <w:rPr>
          <w:i/>
          <w:iCs/>
        </w:rPr>
        <w:t>op.cit</w:t>
      </w:r>
      <w:proofErr w:type="spellEnd"/>
      <w:r w:rsidR="001A6F15">
        <w:rPr>
          <w:i/>
          <w:iCs/>
        </w:rPr>
        <w:t>.</w:t>
      </w:r>
      <w:r w:rsidR="001A6F15">
        <w:t xml:space="preserve">, §§ 39-49). Uważa on, że w niniejszej sprawie, z jednej strony, skarżący nie został należycie poinformowany o terminie i sposobie wniesienia odwołania, a z drugiej strony, gdy wezwano go do usunięcia braków formalnych w odwołaniu, podjął próbę wykonania </w:t>
      </w:r>
      <w:r w:rsidR="00F8373D">
        <w:t>zarządzenia</w:t>
      </w:r>
      <w:r w:rsidR="001A6F15">
        <w:t xml:space="preserve"> (zob.</w:t>
      </w:r>
      <w:r w:rsidR="001A6F15">
        <w:rPr>
          <w:i/>
          <w:iCs/>
        </w:rPr>
        <w:t> mutatis mutandis</w:t>
      </w:r>
      <w:r w:rsidR="001A6F15">
        <w:t xml:space="preserve">, </w:t>
      </w:r>
      <w:proofErr w:type="spellStart"/>
      <w:r w:rsidR="001A6F15">
        <w:rPr>
          <w:i/>
          <w:iCs/>
        </w:rPr>
        <w:t>Karakutsya</w:t>
      </w:r>
      <w:proofErr w:type="spellEnd"/>
      <w:r w:rsidR="001A6F15">
        <w:rPr>
          <w:i/>
          <w:iCs/>
        </w:rPr>
        <w:t xml:space="preserve"> przeciwko Ukrainie</w:t>
      </w:r>
      <w:r w:rsidR="001A6F15">
        <w:t>, nr 18986/06, §§ 53-54, 16 lutego 2017 r.).</w:t>
      </w:r>
    </w:p>
    <w:p w:rsidR="0089649E" w:rsidRPr="00573644" w:rsidRDefault="003727A1" w:rsidP="00573644">
      <w:pPr>
        <w:pStyle w:val="ECHRPara"/>
      </w:pPr>
      <w:r>
        <w:fldChar w:fldCharType="begin"/>
      </w:r>
      <w:r>
        <w:instrText xml:space="preserve"> SEQ level0 \*arabic </w:instrText>
      </w:r>
      <w:r>
        <w:fldChar w:fldCharType="separate"/>
      </w:r>
      <w:r w:rsidR="00573644" w:rsidRPr="00573644">
        <w:t>38</w:t>
      </w:r>
      <w:r>
        <w:fldChar w:fldCharType="end"/>
      </w:r>
      <w:r w:rsidR="00E333C6">
        <w:t>.  Biorąc pod uwagę wszystkie okoliczności niniejszej sprawy, Trybunał uzna</w:t>
      </w:r>
      <w:r w:rsidR="005E3564">
        <w:t>je</w:t>
      </w:r>
      <w:r w:rsidR="00E333C6">
        <w:t>, że prawo dostępu do sądu skarżącego zostało ograniczone w sposób nieproporcjonalny.</w:t>
      </w:r>
    </w:p>
    <w:p w:rsidR="007863F2" w:rsidRPr="00573644" w:rsidRDefault="003727A1" w:rsidP="00573644">
      <w:pPr>
        <w:pStyle w:val="ECHRPara"/>
      </w:pPr>
      <w:r>
        <w:fldChar w:fldCharType="begin"/>
      </w:r>
      <w:r>
        <w:instrText xml:space="preserve"> SEQ level0 \*arabic </w:instrText>
      </w:r>
      <w:r>
        <w:fldChar w:fldCharType="separate"/>
      </w:r>
      <w:r w:rsidR="00573644" w:rsidRPr="00573644">
        <w:t>39</w:t>
      </w:r>
      <w:r>
        <w:fldChar w:fldCharType="end"/>
      </w:r>
      <w:r w:rsidR="007863F2">
        <w:t xml:space="preserve">.  W odniesieniu do argumentów Rządu dotyczących sprawy </w:t>
      </w:r>
      <w:r w:rsidR="007863F2">
        <w:rPr>
          <w:i/>
          <w:iCs/>
        </w:rPr>
        <w:t>Siwiec</w:t>
      </w:r>
      <w:r w:rsidR="007863F2">
        <w:t xml:space="preserve"> (</w:t>
      </w:r>
      <w:proofErr w:type="spellStart"/>
      <w:r w:rsidR="007863F2">
        <w:rPr>
          <w:i/>
          <w:iCs/>
        </w:rPr>
        <w:t>op.cit</w:t>
      </w:r>
      <w:proofErr w:type="spellEnd"/>
      <w:r w:rsidR="007863F2">
        <w:rPr>
          <w:i/>
          <w:iCs/>
        </w:rPr>
        <w:t>.</w:t>
      </w:r>
      <w:r w:rsidR="007863F2">
        <w:t>), Trybunał orzekł, że powołane przez Rząd fakty należy odróżnić od orzecznictwa Trybunału dotyczącego dostępu do sądu i nadmiernego formalizmu (zob. </w:t>
      </w:r>
      <w:r w:rsidR="007863F2">
        <w:rPr>
          <w:i/>
          <w:iCs/>
        </w:rPr>
        <w:t>Parol</w:t>
      </w:r>
      <w:r w:rsidR="007863F2">
        <w:t xml:space="preserve">, </w:t>
      </w:r>
      <w:proofErr w:type="spellStart"/>
      <w:r w:rsidR="007863F2">
        <w:rPr>
          <w:i/>
          <w:iCs/>
        </w:rPr>
        <w:t>op.cit</w:t>
      </w:r>
      <w:proofErr w:type="spellEnd"/>
      <w:r w:rsidR="007863F2">
        <w:rPr>
          <w:i/>
          <w:iCs/>
        </w:rPr>
        <w:t>.</w:t>
      </w:r>
      <w:r w:rsidR="007863F2">
        <w:t>, § 49). Trybunał uzna</w:t>
      </w:r>
      <w:r w:rsidR="005E3564">
        <w:t>je</w:t>
      </w:r>
      <w:r w:rsidR="007863F2">
        <w:t>, że nie ma powodu, aby orzekać inaczej w niniejszej sprawie.</w:t>
      </w:r>
    </w:p>
    <w:bookmarkStart w:id="9" w:name="violation_6"/>
    <w:p w:rsidR="0089649E" w:rsidRPr="00573644" w:rsidRDefault="006F38D8" w:rsidP="00573644">
      <w:pPr>
        <w:pStyle w:val="ECHRPara"/>
      </w:pPr>
      <w:r w:rsidRPr="00573644">
        <w:fldChar w:fldCharType="begin"/>
      </w:r>
      <w:r w:rsidRPr="00573644">
        <w:instrText xml:space="preserve"> SEQ level0 \*arabic </w:instrText>
      </w:r>
      <w:r w:rsidRPr="00573644">
        <w:fldChar w:fldCharType="separate"/>
      </w:r>
      <w:r w:rsidR="00573644" w:rsidRPr="00573644">
        <w:t>40</w:t>
      </w:r>
      <w:r w:rsidRPr="00573644">
        <w:fldChar w:fldCharType="end"/>
      </w:r>
      <w:bookmarkEnd w:id="9"/>
      <w:r>
        <w:t>.  W związku z powyższym doszło do naruszenia art. 6 ust. 1 Konwencji.</w:t>
      </w:r>
    </w:p>
    <w:p w:rsidR="00014566" w:rsidRPr="00573644" w:rsidRDefault="00A365B5" w:rsidP="00573644">
      <w:pPr>
        <w:pStyle w:val="ECHRHeading1"/>
      </w:pPr>
      <w:r>
        <w:t>II.  DOMNIEMANE NARUSZENIE ART. 3 KONWENCJI</w:t>
      </w:r>
    </w:p>
    <w:p w:rsidR="00A365B5" w:rsidRPr="00573644" w:rsidRDefault="003727A1" w:rsidP="00573644">
      <w:pPr>
        <w:pStyle w:val="ECHRPara"/>
      </w:pPr>
      <w:r>
        <w:fldChar w:fldCharType="begin"/>
      </w:r>
      <w:r>
        <w:instrText xml:space="preserve"> SEQ level0 \*arabic </w:instrText>
      </w:r>
      <w:r>
        <w:fldChar w:fldCharType="separate"/>
      </w:r>
      <w:r w:rsidR="00573644" w:rsidRPr="00573644">
        <w:t>41</w:t>
      </w:r>
      <w:r>
        <w:fldChar w:fldCharType="end"/>
      </w:r>
      <w:r w:rsidR="001B49BB">
        <w:t>.  Skarżący zarzucał, że warunki pozbawienia go wolności były nieodpowiednie, w szczególności w kwestii przeludnienia. Skarżący powołał się na art. 3 Konwencji, który stanowi:</w:t>
      </w:r>
    </w:p>
    <w:p w:rsidR="00A365B5" w:rsidRPr="00573644" w:rsidRDefault="00A365B5" w:rsidP="00573644">
      <w:pPr>
        <w:pStyle w:val="ECHRParaQuote"/>
      </w:pPr>
      <w:r>
        <w:t>„Nikt nie może być poddany torturom ani nieludzkiemu lub poniżającemu traktowaniu albo karaniu”.</w:t>
      </w:r>
    </w:p>
    <w:p w:rsidR="00A365B5" w:rsidRPr="00573644" w:rsidRDefault="00A365B5" w:rsidP="00573644">
      <w:pPr>
        <w:pStyle w:val="ECHRHeading2"/>
      </w:pPr>
      <w:r>
        <w:t>A.  Dopuszczalność</w:t>
      </w:r>
    </w:p>
    <w:p w:rsidR="00A365B5" w:rsidRPr="00573644" w:rsidRDefault="003727A1" w:rsidP="00573644">
      <w:pPr>
        <w:pStyle w:val="ECHRPara"/>
      </w:pPr>
      <w:r>
        <w:fldChar w:fldCharType="begin"/>
      </w:r>
      <w:r>
        <w:instrText xml:space="preserve"> SEQ level0 \*arabic </w:instrText>
      </w:r>
      <w:r>
        <w:fldChar w:fldCharType="separate"/>
      </w:r>
      <w:r w:rsidR="00573644" w:rsidRPr="00573644">
        <w:t>42</w:t>
      </w:r>
      <w:r>
        <w:fldChar w:fldCharType="end"/>
      </w:r>
      <w:r w:rsidR="00A365B5">
        <w:t>.  Rząd stwierdził, że skarga ta powinna zostać uznana za</w:t>
      </w:r>
      <w:r w:rsidR="003B0864">
        <w:t> </w:t>
      </w:r>
      <w:r w:rsidR="00A365B5">
        <w:t>niedopuszczalną na podstawie art. 35 ust. 1 Konwencji ze względu na niewyczerpanie krajowych środków odwoławczych. W szczególności Rząd podniósł, że skarżący nie skorzystał ze środków odwoławczych w</w:t>
      </w:r>
      <w:r w:rsidR="003B0864">
        <w:t> </w:t>
      </w:r>
      <w:r w:rsidR="00A365B5">
        <w:t>postępowaniu cywilnym w odniesieniu do przeludnienia, w związku z</w:t>
      </w:r>
      <w:r w:rsidR="003B0864">
        <w:t> </w:t>
      </w:r>
      <w:r w:rsidR="00A365B5">
        <w:t>czym skarżący nie kontynuował skutecznie swojej sprawy i nie skorzystał ze skutecznych krajowych środków odwoławczych.</w:t>
      </w:r>
    </w:p>
    <w:p w:rsidR="008B182E" w:rsidRPr="00573644" w:rsidRDefault="003727A1" w:rsidP="00573644">
      <w:pPr>
        <w:pStyle w:val="ECHRPara"/>
      </w:pPr>
      <w:r>
        <w:fldChar w:fldCharType="begin"/>
      </w:r>
      <w:r>
        <w:instrText xml:space="preserve"> SEQ level0 \*arabic </w:instrText>
      </w:r>
      <w:r>
        <w:fldChar w:fldCharType="separate"/>
      </w:r>
      <w:r w:rsidR="00573644" w:rsidRPr="00573644">
        <w:t>43</w:t>
      </w:r>
      <w:r>
        <w:fldChar w:fldCharType="end"/>
      </w:r>
      <w:r w:rsidR="00A365B5">
        <w:t>.  Trybunał przypom</w:t>
      </w:r>
      <w:r w:rsidR="005E3564">
        <w:t>ina</w:t>
      </w:r>
      <w:r w:rsidR="00A365B5">
        <w:t xml:space="preserve"> zasadę, że skarżący muszą wyczerpać dostępne krajowe środki odwoławcze przed skierowaniem sprawy do</w:t>
      </w:r>
      <w:r w:rsidR="003B0864">
        <w:t> </w:t>
      </w:r>
      <w:r w:rsidR="00A365B5">
        <w:t>Trybunału, a jednocześnie muszą przestrzegać obowiązujących przepisów i</w:t>
      </w:r>
      <w:r w:rsidR="003B0864">
        <w:t> </w:t>
      </w:r>
      <w:r w:rsidR="00A365B5">
        <w:t>procedur prawa krajowego (zob. </w:t>
      </w:r>
      <w:proofErr w:type="spellStart"/>
      <w:r w:rsidR="00A365B5">
        <w:rPr>
          <w:i/>
          <w:iCs/>
        </w:rPr>
        <w:t>Gäfgen</w:t>
      </w:r>
      <w:proofErr w:type="spellEnd"/>
      <w:r w:rsidR="00A365B5">
        <w:rPr>
          <w:i/>
          <w:iCs/>
        </w:rPr>
        <w:t xml:space="preserve"> przeciwko Niemcom</w:t>
      </w:r>
      <w:r w:rsidR="00A365B5">
        <w:t xml:space="preserve"> [WI], nr 22978/05, § 143, ETPCz 2010).</w:t>
      </w:r>
    </w:p>
    <w:p w:rsidR="003471DC" w:rsidRPr="00573644" w:rsidRDefault="00BB31F8" w:rsidP="00573644">
      <w:pPr>
        <w:pStyle w:val="ECHRPara"/>
      </w:pPr>
      <w:r w:rsidRPr="00573644">
        <w:rPr>
          <w:sz w:val="23"/>
          <w:szCs w:val="23"/>
        </w:rPr>
        <w:lastRenderedPageBreak/>
        <w:fldChar w:fldCharType="begin"/>
      </w:r>
      <w:r w:rsidRPr="00573644">
        <w:rPr>
          <w:sz w:val="23"/>
          <w:szCs w:val="23"/>
        </w:rPr>
        <w:instrText xml:space="preserve"> SEQ level0 \*arabic </w:instrText>
      </w:r>
      <w:r w:rsidRPr="00573644">
        <w:rPr>
          <w:sz w:val="23"/>
          <w:szCs w:val="23"/>
        </w:rPr>
        <w:fldChar w:fldCharType="separate"/>
      </w:r>
      <w:r w:rsidR="00573644" w:rsidRPr="00573644">
        <w:rPr>
          <w:sz w:val="23"/>
          <w:szCs w:val="23"/>
        </w:rPr>
        <w:t>44</w:t>
      </w:r>
      <w:r w:rsidRPr="00573644">
        <w:rPr>
          <w:sz w:val="23"/>
          <w:szCs w:val="23"/>
        </w:rPr>
        <w:fldChar w:fldCharType="end"/>
      </w:r>
      <w:r>
        <w:rPr>
          <w:sz w:val="23"/>
          <w:szCs w:val="23"/>
        </w:rPr>
        <w:t>.  Jednakże istnienie środków odwoławczych musi być wystarczająco pewne, nie tylko w teorii, lecz również w praktyce. Przy ustalaniu, czy dany środek odwoławczy spełnia kryteria dostępności i skuteczności, należy wziąć pod uwagę szczególne okoliczności danej sprawy. W przypadku</w:t>
      </w:r>
      <w:r w:rsidR="005117CD">
        <w:rPr>
          <w:sz w:val="23"/>
          <w:szCs w:val="23"/>
        </w:rPr>
        <w:t>,</w:t>
      </w:r>
      <w:r>
        <w:rPr>
          <w:sz w:val="23"/>
          <w:szCs w:val="23"/>
        </w:rPr>
        <w:t xml:space="preserve"> gdy Rząd powołuje się na niewyczerpanie krajowych środków odwoławczych, to na nim spoczywa ciężar udowodnienia, że skarżący nie skorzystał ze środka odwoławczego, który był zarówno skuteczny, jak i dostępny. </w:t>
      </w:r>
      <w:r>
        <w:t>Po wypełnieniu spoczywającego na Rządzie obowiązku udowodnienia, że skarżący miał do dyspozycji odpowiedni i skuteczny środek odwoławczy, to na tym ostatnim spoczywa na przykład obowiązek wykazania, że środek odwoławczy był z</w:t>
      </w:r>
      <w:r w:rsidR="003B0864">
        <w:t> </w:t>
      </w:r>
      <w:r>
        <w:t>jakiegoś powodu nieodpowiedni i nieskuteczny w szczególnych okolicznościach sprawy (zob. </w:t>
      </w:r>
      <w:proofErr w:type="spellStart"/>
      <w:r>
        <w:rPr>
          <w:i/>
          <w:iCs/>
        </w:rPr>
        <w:t>Selmouni</w:t>
      </w:r>
      <w:proofErr w:type="spellEnd"/>
      <w:r>
        <w:rPr>
          <w:i/>
          <w:iCs/>
        </w:rPr>
        <w:t xml:space="preserve"> przeciwko Francji</w:t>
      </w:r>
      <w:r>
        <w:t xml:space="preserve"> [WI], nr 25803/94, § 76, ETPCz 1999).</w:t>
      </w:r>
    </w:p>
    <w:p w:rsidR="00A365B5" w:rsidRPr="00573644" w:rsidRDefault="003727A1" w:rsidP="00573644">
      <w:pPr>
        <w:pStyle w:val="ECHRPara"/>
      </w:pPr>
      <w:r>
        <w:fldChar w:fldCharType="begin"/>
      </w:r>
      <w:r>
        <w:instrText xml:space="preserve"> SEQ level0 \*arabic </w:instrText>
      </w:r>
      <w:r>
        <w:fldChar w:fldCharType="separate"/>
      </w:r>
      <w:r w:rsidR="00573644" w:rsidRPr="00573644">
        <w:t>45</w:t>
      </w:r>
      <w:r>
        <w:fldChar w:fldCharType="end"/>
      </w:r>
      <w:r w:rsidR="008B182E">
        <w:t xml:space="preserve">.  Trybunał zauważa, że zastrzeżenie Rządu w niniejszej sprawie jest ściśle związane ze skargą na podstawie art. 6 ust. 1 Konwencji omówioną powyżej. Skarżący skorzystał z krajowego środka odwoławczego </w:t>
      </w:r>
      <w:r w:rsidR="003C323F">
        <w:br/>
      </w:r>
      <w:r w:rsidR="008B182E">
        <w:t>w odniesieniu do warunków p</w:t>
      </w:r>
      <w:r w:rsidR="005117CD">
        <w:t>ozbawienia wolności</w:t>
      </w:r>
      <w:r w:rsidR="008B182E">
        <w:t xml:space="preserve">, ale władze krajowe </w:t>
      </w:r>
      <w:r w:rsidR="00F8373D">
        <w:t>odrzuciły</w:t>
      </w:r>
      <w:r w:rsidR="008B182E">
        <w:t xml:space="preserve"> jego odwołanie od wyroku sądu pierwszej instancji. Trybunał stwierdził naruszenie art. 6 ust. 1 Konwencji, uznając, że dostęp skarżącego do sądu został nieproporcjonalnie ograniczony (zob. paragraf </w:t>
      </w:r>
      <w:r w:rsidR="00F563D4" w:rsidRPr="00573644">
        <w:fldChar w:fldCharType="begin"/>
      </w:r>
      <w:r w:rsidR="00F563D4" w:rsidRPr="00573644">
        <w:instrText xml:space="preserve"> REF violation_6 \h </w:instrText>
      </w:r>
      <w:r w:rsidR="00F563D4" w:rsidRPr="00573644">
        <w:fldChar w:fldCharType="separate"/>
      </w:r>
      <w:r w:rsidR="00573644" w:rsidRPr="00573644">
        <w:t>40</w:t>
      </w:r>
      <w:r w:rsidR="00F563D4" w:rsidRPr="00573644">
        <w:fldChar w:fldCharType="end"/>
      </w:r>
      <w:r w:rsidR="008B182E">
        <w:t xml:space="preserve"> powyżej).</w:t>
      </w:r>
    </w:p>
    <w:p w:rsidR="001A25EF" w:rsidRPr="00573644" w:rsidRDefault="003727A1" w:rsidP="00573644">
      <w:pPr>
        <w:pStyle w:val="ECHRPara"/>
      </w:pPr>
      <w:r>
        <w:fldChar w:fldCharType="begin"/>
      </w:r>
      <w:r>
        <w:instrText xml:space="preserve"> SEQ level0 \*arabic </w:instrText>
      </w:r>
      <w:r>
        <w:fldChar w:fldCharType="separate"/>
      </w:r>
      <w:r w:rsidR="00573644" w:rsidRPr="00573644">
        <w:t>46</w:t>
      </w:r>
      <w:r>
        <w:fldChar w:fldCharType="end"/>
      </w:r>
      <w:r w:rsidR="00BB31F8">
        <w:t>.  Biorąc pod uwagę powyższe, Trybunał uważa, że w niniejszej sprawie sądy krajowe uniemożliwiły skarżącemu normalne korzystanie ze</w:t>
      </w:r>
      <w:r w:rsidR="003B0864">
        <w:t> </w:t>
      </w:r>
      <w:r w:rsidR="00BB31F8">
        <w:t>środka odwoławczego, a zatem oddala zastrzeżenie Rządu. Nadto Trybunał odnotowuje, że skarga nie jest niedopuszczalna na żadnym innym gruncie. Należy ją zatem uznać za dopuszczalną.</w:t>
      </w:r>
    </w:p>
    <w:p w:rsidR="00A365B5" w:rsidRPr="00573644" w:rsidRDefault="00A365B5" w:rsidP="00573644">
      <w:pPr>
        <w:pStyle w:val="ECHRHeading2"/>
      </w:pPr>
      <w:r>
        <w:t>B.  Przedmiot skargi</w:t>
      </w:r>
    </w:p>
    <w:p w:rsidR="00A365B5" w:rsidRPr="00573644" w:rsidRDefault="003727A1" w:rsidP="00573644">
      <w:pPr>
        <w:pStyle w:val="ECHRPara"/>
      </w:pPr>
      <w:r>
        <w:fldChar w:fldCharType="begin"/>
      </w:r>
      <w:r>
        <w:instrText xml:space="preserve"> SEQ level0 \*arabic </w:instrText>
      </w:r>
      <w:r>
        <w:fldChar w:fldCharType="separate"/>
      </w:r>
      <w:r w:rsidR="00573644" w:rsidRPr="00573644">
        <w:t>47</w:t>
      </w:r>
      <w:r>
        <w:fldChar w:fldCharType="end"/>
      </w:r>
      <w:r w:rsidR="00A365B5">
        <w:t xml:space="preserve">.  Skarżący podtrzymał skargę, że był </w:t>
      </w:r>
      <w:r w:rsidR="00AC7662">
        <w:t>osadzony</w:t>
      </w:r>
      <w:r w:rsidR="00A365B5">
        <w:t xml:space="preserve"> w warunkach przeludnienia przez około pięć miesięcy w Zakładzie Karnym w Płocku.</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48</w:t>
      </w:r>
      <w:r>
        <w:fldChar w:fldCharType="end"/>
      </w:r>
      <w:r w:rsidR="00A332B3">
        <w:t>.  Rząd nie wypowiedział się co do istoty sprawy.</w:t>
      </w:r>
    </w:p>
    <w:p w:rsidR="00E97B1C" w:rsidRPr="00573644" w:rsidRDefault="003727A1" w:rsidP="00573644">
      <w:pPr>
        <w:pStyle w:val="ECHRPara"/>
      </w:pPr>
      <w:r>
        <w:fldChar w:fldCharType="begin"/>
      </w:r>
      <w:r>
        <w:instrText xml:space="preserve"> SEQ level0 \*arabic </w:instrText>
      </w:r>
      <w:r>
        <w:fldChar w:fldCharType="separate"/>
      </w:r>
      <w:r w:rsidR="00573644" w:rsidRPr="00573644">
        <w:t>49</w:t>
      </w:r>
      <w:r>
        <w:fldChar w:fldCharType="end"/>
      </w:r>
      <w:r w:rsidR="00A332B3">
        <w:t xml:space="preserve">.  Potwierdzenie ogólnych zasad dotyczących badania warunków pozbawienia wolności na podstawie art. 3 można znaleźć w pilotażowym orzeczeniu Trybunału przeciwko Polsce (zob. </w:t>
      </w:r>
      <w:r w:rsidR="00A332B3">
        <w:rPr>
          <w:i/>
          <w:iCs/>
        </w:rPr>
        <w:t>Orchowski</w:t>
      </w:r>
      <w:r w:rsidR="00A332B3">
        <w:t xml:space="preserve"> </w:t>
      </w:r>
      <w:proofErr w:type="spellStart"/>
      <w:r w:rsidR="00A332B3">
        <w:rPr>
          <w:i/>
          <w:iCs/>
        </w:rPr>
        <w:t>op.cit</w:t>
      </w:r>
      <w:proofErr w:type="spellEnd"/>
      <w:r w:rsidR="00A332B3">
        <w:rPr>
          <w:i/>
          <w:iCs/>
        </w:rPr>
        <w:t>.</w:t>
      </w:r>
      <w:r w:rsidR="00A332B3">
        <w:t xml:space="preserve">, §§ 119-131), </w:t>
      </w:r>
      <w:r w:rsidR="00A332B3">
        <w:rPr>
          <w:i/>
          <w:iCs/>
        </w:rPr>
        <w:t>Norbert Sikorski</w:t>
      </w:r>
      <w:r w:rsidR="00A332B3">
        <w:t xml:space="preserve"> (</w:t>
      </w:r>
      <w:proofErr w:type="spellStart"/>
      <w:r w:rsidR="00A332B3">
        <w:rPr>
          <w:i/>
          <w:iCs/>
        </w:rPr>
        <w:t>op.cit</w:t>
      </w:r>
      <w:proofErr w:type="spellEnd"/>
      <w:r w:rsidR="00A332B3">
        <w:rPr>
          <w:i/>
          <w:iCs/>
        </w:rPr>
        <w:t>.</w:t>
      </w:r>
      <w:r w:rsidR="00A332B3">
        <w:t xml:space="preserve">, §§ 126-141) oraz </w:t>
      </w:r>
      <w:proofErr w:type="spellStart"/>
      <w:r w:rsidR="00A332B3">
        <w:rPr>
          <w:i/>
          <w:iCs/>
        </w:rPr>
        <w:t>Muršić</w:t>
      </w:r>
      <w:proofErr w:type="spellEnd"/>
      <w:r w:rsidR="00A332B3">
        <w:rPr>
          <w:i/>
          <w:iCs/>
        </w:rPr>
        <w:t xml:space="preserve"> przeciwko Chorwacji</w:t>
      </w:r>
      <w:r w:rsidR="00A332B3">
        <w:t xml:space="preserve"> [WI], nr 7334/13, §§ 102-141 ETPCz 2016).</w:t>
      </w:r>
    </w:p>
    <w:p w:rsidR="001B49BB" w:rsidRPr="00573644" w:rsidRDefault="003727A1" w:rsidP="00573644">
      <w:pPr>
        <w:pStyle w:val="ECHRPara"/>
      </w:pPr>
      <w:r>
        <w:fldChar w:fldCharType="begin"/>
      </w:r>
      <w:r>
        <w:instrText xml:space="preserve"> SEQ level0 \*arabic </w:instrText>
      </w:r>
      <w:r>
        <w:fldChar w:fldCharType="separate"/>
      </w:r>
      <w:r w:rsidR="00573644" w:rsidRPr="00573644">
        <w:t>50</w:t>
      </w:r>
      <w:r>
        <w:fldChar w:fldCharType="end"/>
      </w:r>
      <w:r w:rsidR="00FC740F">
        <w:t>.  Rząd nie zakwestionował faktu, że skarżący był pozbawiony wolności w warunkach przeludnienia przez pięć miesięcy. Potwierdził to</w:t>
      </w:r>
      <w:r w:rsidR="003B0864">
        <w:t> </w:t>
      </w:r>
      <w:r w:rsidR="00FC740F">
        <w:t>bowiem w swoich uwagach, że skarżący został umieszczony w</w:t>
      </w:r>
      <w:r w:rsidR="003B0864">
        <w:t> </w:t>
      </w:r>
      <w:r w:rsidR="00FC740F">
        <w:t>przepełnionych celach, co zostało również potwierdzone dokumentami, które skarżący przedstawił (zob. paragraf </w:t>
      </w:r>
      <w:r w:rsidR="006B21C2" w:rsidRPr="00573644">
        <w:fldChar w:fldCharType="begin"/>
      </w:r>
      <w:r w:rsidR="006B21C2" w:rsidRPr="00573644">
        <w:instrText xml:space="preserve"> REF overcrowding \h </w:instrText>
      </w:r>
      <w:r w:rsidR="006B21C2" w:rsidRPr="00573644">
        <w:fldChar w:fldCharType="separate"/>
      </w:r>
      <w:r w:rsidR="00573644" w:rsidRPr="00573644">
        <w:t>9</w:t>
      </w:r>
      <w:r w:rsidR="006B21C2" w:rsidRPr="00573644">
        <w:fldChar w:fldCharType="end"/>
      </w:r>
      <w:r w:rsidR="00FC740F">
        <w:t xml:space="preserve"> powyżej). W tych okolicznościach Trybunał uznał za ustalone, że w okresie od dnia 26 marca do dnia 29 sierpnia 2009 r. skarżący został umieszczony w celach, w</w:t>
      </w:r>
      <w:r w:rsidR="003B0864">
        <w:t> </w:t>
      </w:r>
      <w:r w:rsidR="00FC740F">
        <w:t>których powierzchnia na osobę była mniejsza niż ustawowe 3 m</w:t>
      </w:r>
      <w:r w:rsidR="00FC740F">
        <w:rPr>
          <w:vertAlign w:val="superscript"/>
        </w:rPr>
        <w:t>2</w:t>
      </w:r>
      <w:r w:rsidR="00FC740F">
        <w:t>.</w:t>
      </w:r>
    </w:p>
    <w:p w:rsidR="00FC740F" w:rsidRPr="00573644" w:rsidRDefault="003727A1" w:rsidP="00573644">
      <w:pPr>
        <w:pStyle w:val="ECHRPara"/>
      </w:pPr>
      <w:r>
        <w:lastRenderedPageBreak/>
        <w:fldChar w:fldCharType="begin"/>
      </w:r>
      <w:r>
        <w:instrText xml:space="preserve"> SEQ level0 \*arabic </w:instrText>
      </w:r>
      <w:r>
        <w:fldChar w:fldCharType="separate"/>
      </w:r>
      <w:r w:rsidR="00573644" w:rsidRPr="00573644">
        <w:t>51</w:t>
      </w:r>
      <w:r>
        <w:fldChar w:fldCharType="end"/>
      </w:r>
      <w:r w:rsidR="00F547A8">
        <w:t>.  Biorąc pod uwagę okoliczności sprawy i ich łączny wpł</w:t>
      </w:r>
      <w:r w:rsidR="005117CD">
        <w:t>yw na skarżącego, Trybunał uznaje</w:t>
      </w:r>
      <w:r w:rsidR="00F547A8">
        <w:t>, że poniesione przez niego cierpienie i trudności przekroczyły nieunikniony poziom cierpienia nieodłącznie związanego z</w:t>
      </w:r>
      <w:r w:rsidR="003B0864">
        <w:t> </w:t>
      </w:r>
      <w:r w:rsidR="00F547A8">
        <w:t>pozbawieniem wolności i przekroczyły próg dotkliwości na podstawie art. 3. W związku z tym Trybunał stwierdza naruszenie tego postanowienia ze względu na warunki pozbawienia wolności skarżącego.</w:t>
      </w:r>
    </w:p>
    <w:p w:rsidR="00014566" w:rsidRPr="00573644" w:rsidRDefault="00023470" w:rsidP="00573644">
      <w:pPr>
        <w:pStyle w:val="ECHRHeading1"/>
      </w:pPr>
      <w:r>
        <w:t>III.  ZASTOSOWANIE ART. 41 KONWENCJI</w:t>
      </w:r>
    </w:p>
    <w:p w:rsidR="00CC1FE1" w:rsidRPr="00573644" w:rsidRDefault="003727A1" w:rsidP="00573644">
      <w:pPr>
        <w:pStyle w:val="ECHRPara"/>
      </w:pPr>
      <w:r>
        <w:fldChar w:fldCharType="begin"/>
      </w:r>
      <w:r>
        <w:instrText xml:space="preserve"> SEQ level0 \*arabic </w:instrText>
      </w:r>
      <w:r>
        <w:fldChar w:fldCharType="separate"/>
      </w:r>
      <w:r w:rsidR="00573644" w:rsidRPr="00573644">
        <w:t>52</w:t>
      </w:r>
      <w:r>
        <w:fldChar w:fldCharType="end"/>
      </w:r>
      <w:r w:rsidR="00A332B3">
        <w:t>.  Art. 41 Konwencji stanowi:</w:t>
      </w:r>
    </w:p>
    <w:p w:rsidR="00014566" w:rsidRPr="00573644" w:rsidRDefault="00014566" w:rsidP="00573644">
      <w:pPr>
        <w:pStyle w:val="ECHRParaQuote"/>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014566" w:rsidRPr="00573644" w:rsidRDefault="00014566" w:rsidP="00573644">
      <w:pPr>
        <w:pStyle w:val="ECHRHeading2"/>
      </w:pPr>
      <w:r>
        <w:t>A.  Szkoda</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53</w:t>
      </w:r>
      <w:r>
        <w:fldChar w:fldCharType="end"/>
      </w:r>
      <w:r w:rsidR="00A332B3">
        <w:t>.  Skarżący dochodził kwoty 20 000 złotych (PLN) tytułem zadośćuczynienia za szkodę majątkową i niemajątkową</w:t>
      </w:r>
      <w:r w:rsidR="001B49BB" w:rsidRPr="00573644">
        <w:rPr>
          <w:rStyle w:val="Odwoanieprzypisudolnego"/>
        </w:rPr>
        <w:footnoteReference w:id="1"/>
      </w:r>
      <w:r w:rsidR="00A332B3">
        <w:t>.</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54</w:t>
      </w:r>
      <w:r>
        <w:fldChar w:fldCharType="end"/>
      </w:r>
      <w:r w:rsidR="00A332B3">
        <w:t>.  Rząd podniósł, że roszczenie jest wygórowane i nieuzasadnione.</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55</w:t>
      </w:r>
      <w:r>
        <w:fldChar w:fldCharType="end"/>
      </w:r>
      <w:r w:rsidR="00A332B3">
        <w:t>.  Trybunał nie dostrzega żadnego związku przyczynowo-skutkowego między stwierdzonym naruszeniem a zarzucaną szkodą majątkową, w</w:t>
      </w:r>
      <w:r w:rsidR="003B0864">
        <w:t> </w:t>
      </w:r>
      <w:r w:rsidR="00A332B3">
        <w:t>związku z czym oddala roszczenie. Z drugiej strony za uzasadnione uznaje zasądzenie na rzecz skarżącego kwoty 3</w:t>
      </w:r>
      <w:r w:rsidR="005117CD">
        <w:t xml:space="preserve"> </w:t>
      </w:r>
      <w:r w:rsidR="00A332B3">
        <w:t>500 EUR tytułem zadośćuczynienia za szkodę niemajątkową.</w:t>
      </w:r>
    </w:p>
    <w:p w:rsidR="00014566" w:rsidRPr="00573644" w:rsidRDefault="00014566" w:rsidP="00573644">
      <w:pPr>
        <w:pStyle w:val="ECHRHeading2"/>
      </w:pPr>
      <w:r>
        <w:t>B.  Koszty i wydatki</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56</w:t>
      </w:r>
      <w:r>
        <w:fldChar w:fldCharType="end"/>
      </w:r>
      <w:r w:rsidR="00A332B3">
        <w:t>.  Skarżący dochodził również kwoty 1</w:t>
      </w:r>
      <w:r w:rsidR="005117CD">
        <w:t xml:space="preserve"> </w:t>
      </w:r>
      <w:r w:rsidR="00A332B3">
        <w:t>200 PLN</w:t>
      </w:r>
      <w:r w:rsidR="00477E3F" w:rsidRPr="00573644">
        <w:rPr>
          <w:rStyle w:val="Odwoanieprzypisudolnego"/>
        </w:rPr>
        <w:footnoteReference w:id="2"/>
      </w:r>
      <w:r w:rsidR="00A332B3">
        <w:t xml:space="preserve"> z tytułu kosztów i</w:t>
      </w:r>
      <w:r w:rsidR="003B0864">
        <w:t> </w:t>
      </w:r>
      <w:r w:rsidR="00A332B3">
        <w:t>wydatków poniesionych przed sądami krajowymi. Wydaje się, że skarżący miał na myśli koszty zastępstwa procesowego, które sąd pierwszej instancji zasądził od niego na rzecz drugiej strony.</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57</w:t>
      </w:r>
      <w:r>
        <w:fldChar w:fldCharType="end"/>
      </w:r>
      <w:r w:rsidR="00A332B3">
        <w:t>.  Rząd stwierdził, że skarżący nie przedstawił żadnych dowodów na to, że w rzeczywistości pokrył koszty zastępstwa procesowego.</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58</w:t>
      </w:r>
      <w:r>
        <w:fldChar w:fldCharType="end"/>
      </w:r>
      <w:r w:rsidR="00A332B3">
        <w:t>.  Uwzględniając dokumenty znajdujące się w posiadaniu Trybunału i</w:t>
      </w:r>
      <w:r w:rsidR="003B0864">
        <w:t> </w:t>
      </w:r>
      <w:r w:rsidR="00A332B3">
        <w:t>jego orzecznictwo, Trybunał oddal</w:t>
      </w:r>
      <w:r w:rsidR="006763BD">
        <w:t>a</w:t>
      </w:r>
      <w:r w:rsidR="00A332B3">
        <w:t xml:space="preserve"> roszczenie o zwrot kosztów i</w:t>
      </w:r>
      <w:r w:rsidR="003B0864">
        <w:t> </w:t>
      </w:r>
      <w:r w:rsidR="00A332B3">
        <w:t>wydatków.</w:t>
      </w:r>
    </w:p>
    <w:p w:rsidR="00014566" w:rsidRPr="00573644" w:rsidRDefault="00014566" w:rsidP="00573644">
      <w:pPr>
        <w:pStyle w:val="ECHRHeading2"/>
      </w:pPr>
      <w:r>
        <w:lastRenderedPageBreak/>
        <w:t>C.  Odsetki za zwłokę</w:t>
      </w:r>
    </w:p>
    <w:p w:rsidR="00014566" w:rsidRPr="00573644" w:rsidRDefault="003727A1" w:rsidP="00573644">
      <w:pPr>
        <w:pStyle w:val="ECHRPara"/>
      </w:pPr>
      <w:r>
        <w:fldChar w:fldCharType="begin"/>
      </w:r>
      <w:r>
        <w:instrText xml:space="preserve"> SEQ level0 \*arabic </w:instrText>
      </w:r>
      <w:r>
        <w:fldChar w:fldCharType="separate"/>
      </w:r>
      <w:r w:rsidR="00573644" w:rsidRPr="00573644">
        <w:t>59</w:t>
      </w:r>
      <w:r>
        <w:fldChar w:fldCharType="end"/>
      </w:r>
      <w:r w:rsidR="00A332B3">
        <w:t>.  Trybunał za słuszne uznaje wyznaczenie wysokości odsetek za zwłokę na podstawie marginalnej stopy procentowej Europejskiego Banku Centralnego powiększonej o trzy punkty procentowe.</w:t>
      </w:r>
    </w:p>
    <w:p w:rsidR="00014566" w:rsidRPr="00573644" w:rsidRDefault="00BB5883" w:rsidP="00573644">
      <w:pPr>
        <w:pStyle w:val="ECHRTitle1"/>
      </w:pPr>
      <w:r>
        <w:t>Z TYCH PRZYCZYN TRYBUNAŁ JEDNOGŁOŚNIE</w:t>
      </w:r>
    </w:p>
    <w:p w:rsidR="00B637B9" w:rsidRPr="00573644" w:rsidRDefault="00B637B9" w:rsidP="00573644">
      <w:pPr>
        <w:pStyle w:val="JuList"/>
      </w:pPr>
      <w:r>
        <w:t>1.  </w:t>
      </w:r>
      <w:r>
        <w:rPr>
          <w:i/>
          <w:iCs/>
        </w:rPr>
        <w:t>uznaje</w:t>
      </w:r>
      <w:r>
        <w:t xml:space="preserve"> skargę za dopuszczalną;</w:t>
      </w:r>
    </w:p>
    <w:p w:rsidR="00014566" w:rsidRPr="00573644" w:rsidRDefault="00014566" w:rsidP="00573644">
      <w:pPr>
        <w:pStyle w:val="JuList"/>
        <w:ind w:left="0" w:firstLine="0"/>
      </w:pPr>
    </w:p>
    <w:p w:rsidR="00014566" w:rsidRPr="00573644" w:rsidRDefault="00443281" w:rsidP="00573644">
      <w:pPr>
        <w:pStyle w:val="JuList"/>
      </w:pPr>
      <w:r>
        <w:t>2.  </w:t>
      </w:r>
      <w:r>
        <w:rPr>
          <w:i/>
        </w:rPr>
        <w:t>orzeka</w:t>
      </w:r>
      <w:r>
        <w:t>, że doszło do naruszenia art. 6 ust. 1 Konwencji;</w:t>
      </w:r>
    </w:p>
    <w:p w:rsidR="00014566" w:rsidRPr="00573644" w:rsidRDefault="00014566" w:rsidP="00573644">
      <w:pPr>
        <w:pStyle w:val="JuList"/>
        <w:ind w:left="0" w:firstLine="0"/>
      </w:pPr>
    </w:p>
    <w:p w:rsidR="00014566" w:rsidRPr="00573644" w:rsidRDefault="00443281" w:rsidP="00573644">
      <w:pPr>
        <w:pStyle w:val="JuList"/>
      </w:pPr>
      <w:r>
        <w:t>3.  </w:t>
      </w:r>
      <w:r>
        <w:rPr>
          <w:i/>
          <w:iCs/>
        </w:rPr>
        <w:t>orzeka</w:t>
      </w:r>
      <w:r>
        <w:t>, że doszło do naruszenia art. 3 Konwencji;</w:t>
      </w:r>
    </w:p>
    <w:p w:rsidR="00014566" w:rsidRPr="00573644" w:rsidRDefault="00014566" w:rsidP="00573644">
      <w:pPr>
        <w:pStyle w:val="JuList"/>
        <w:ind w:left="0" w:firstLine="0"/>
      </w:pPr>
    </w:p>
    <w:p w:rsidR="00E30DBD" w:rsidRPr="00573644" w:rsidRDefault="00443281" w:rsidP="00573644">
      <w:pPr>
        <w:pStyle w:val="JuList"/>
      </w:pPr>
      <w:r>
        <w:t>4.  </w:t>
      </w:r>
      <w:r>
        <w:rPr>
          <w:i/>
        </w:rPr>
        <w:t>stwierdza</w:t>
      </w:r>
    </w:p>
    <w:p w:rsidR="00014566" w:rsidRPr="00573644" w:rsidRDefault="00014566" w:rsidP="00573644">
      <w:pPr>
        <w:pStyle w:val="JuLista"/>
      </w:pPr>
      <w:r>
        <w:t>a)  że pozwane państwo winno, w terminie trzech miesięcy, uiścić na rzecz skarżącego kwotę 3 500 EUR (trzech tysięcy pięciuset euro) plus wszelkie podatki należne od skarżącego, tytułem zadośćuczynienia za szkodę niemajątkową, przeliczoną na walutę pozwanego państwa według kursu obowiązującego w dniu płatności;</w:t>
      </w:r>
    </w:p>
    <w:p w:rsidR="00014566" w:rsidRPr="00573644" w:rsidRDefault="00014566" w:rsidP="00573644">
      <w:pPr>
        <w:pStyle w:val="JuLista"/>
      </w:pPr>
      <w:r>
        <w:t>b)  że od upływu wyżej wskazanego terminu trzech miesięcy aż do momentu uregulowania należności, należne będą odsetki zwykłe od określonej powyżej kwoty, naliczone według stopy równej marginalnej stopie procentowej Europejskiego Banku Centralnego obowiązującej w</w:t>
      </w:r>
      <w:r w:rsidR="003B0864">
        <w:t> </w:t>
      </w:r>
      <w:r>
        <w:t>tym okresie, powiększonej o trzy punkty procentowe;</w:t>
      </w:r>
    </w:p>
    <w:p w:rsidR="00277063" w:rsidRPr="00573644" w:rsidRDefault="00277063" w:rsidP="00573644">
      <w:pPr>
        <w:pStyle w:val="JuLista"/>
      </w:pPr>
    </w:p>
    <w:p w:rsidR="00277063" w:rsidRPr="00573644" w:rsidRDefault="00277063" w:rsidP="00573644">
      <w:pPr>
        <w:pStyle w:val="JuList"/>
      </w:pPr>
      <w:r>
        <w:t>5.  </w:t>
      </w:r>
      <w:r>
        <w:rPr>
          <w:i/>
        </w:rPr>
        <w:t xml:space="preserve">oddala </w:t>
      </w:r>
      <w:r>
        <w:t>pozostałą część roszczenia skarżącego dotyczącego słusznego zadośćuczynienia.</w:t>
      </w:r>
    </w:p>
    <w:p w:rsidR="00014566" w:rsidRPr="00573644" w:rsidRDefault="00014566" w:rsidP="00573644">
      <w:pPr>
        <w:pStyle w:val="JuParaLast"/>
      </w:pPr>
      <w:r>
        <w:t>Sporządzono w języku angielskim i obwieszczono pisemnie dnia 28 marca 2019 r., zgodnie z Regułą 77 §§ 2 i 3 Regulaminu Trybunału.</w:t>
      </w:r>
    </w:p>
    <w:p w:rsidR="004D15F3" w:rsidRPr="00573644" w:rsidRDefault="00014566" w:rsidP="00573644">
      <w:pPr>
        <w:pStyle w:val="JuSigned"/>
      </w:pPr>
      <w:r>
        <w:tab/>
        <w:t xml:space="preserve">Renata </w:t>
      </w:r>
      <w:proofErr w:type="spellStart"/>
      <w:r>
        <w:t>Degener</w:t>
      </w:r>
      <w:proofErr w:type="spellEnd"/>
      <w:r>
        <w:tab/>
      </w:r>
      <w:proofErr w:type="spellStart"/>
      <w:r>
        <w:t>Ksenija</w:t>
      </w:r>
      <w:proofErr w:type="spellEnd"/>
      <w:r>
        <w:t xml:space="preserve"> </w:t>
      </w:r>
      <w:proofErr w:type="spellStart"/>
      <w:r>
        <w:t>Turković</w:t>
      </w:r>
      <w:proofErr w:type="spellEnd"/>
      <w:r>
        <w:br/>
      </w:r>
      <w:r>
        <w:tab/>
        <w:t>Zastępca Kanclerza</w:t>
      </w:r>
      <w:r>
        <w:tab/>
        <w:t>Przewodnicząca</w:t>
      </w:r>
    </w:p>
    <w:sectPr w:rsidR="004D15F3" w:rsidRPr="00573644" w:rsidSect="00E97B1C">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533" w:rsidRPr="00E4133A" w:rsidRDefault="002A5533" w:rsidP="00014566">
      <w:r w:rsidRPr="00E4133A">
        <w:separator/>
      </w:r>
    </w:p>
  </w:endnote>
  <w:endnote w:type="continuationSeparator" w:id="0">
    <w:p w:rsidR="002A5533" w:rsidRPr="00E4133A" w:rsidRDefault="002A5533"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74" w:rsidRDefault="00197F7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74" w:rsidRDefault="00197F7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C" w:rsidRPr="00150BFA" w:rsidRDefault="00E97B1C" w:rsidP="0020718E">
    <w:pPr>
      <w:jc w:val="center"/>
    </w:pPr>
    <w:r>
      <w:rPr>
        <w:noProof/>
        <w:lang w:eastAsia="pl-PL"/>
      </w:rPr>
      <w:drawing>
        <wp:inline distT="0" distB="0" distL="0" distR="0" wp14:anchorId="625C0974" wp14:editId="7FE380D4">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97B1C" w:rsidRDefault="00E97B1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533" w:rsidRPr="00E4133A" w:rsidRDefault="002A5533" w:rsidP="00014566">
      <w:r w:rsidRPr="00E4133A">
        <w:separator/>
      </w:r>
    </w:p>
  </w:footnote>
  <w:footnote w:type="continuationSeparator" w:id="0">
    <w:p w:rsidR="002A5533" w:rsidRPr="00E4133A" w:rsidRDefault="002A5533" w:rsidP="00014566">
      <w:r w:rsidRPr="00E4133A">
        <w:continuationSeparator/>
      </w:r>
    </w:p>
  </w:footnote>
  <w:footnote w:id="1">
    <w:p w:rsidR="008B2240" w:rsidRPr="001B49BB" w:rsidRDefault="008B2240">
      <w:pPr>
        <w:pStyle w:val="Tekstprzypisudolnego"/>
      </w:pPr>
      <w:r>
        <w:footnoteRef/>
      </w:r>
      <w:r>
        <w:t>.  ok. 5</w:t>
      </w:r>
      <w:r w:rsidR="005117CD">
        <w:t xml:space="preserve"> </w:t>
      </w:r>
      <w:r>
        <w:t>000 EUR</w:t>
      </w:r>
    </w:p>
  </w:footnote>
  <w:footnote w:id="2">
    <w:p w:rsidR="008B2240" w:rsidRPr="00477E3F" w:rsidRDefault="008B2240">
      <w:pPr>
        <w:pStyle w:val="Tekstprzypisudolnego"/>
      </w:pPr>
      <w:r>
        <w:footnoteRef/>
      </w:r>
      <w:r>
        <w:t>.  ok. 300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74" w:rsidRDefault="00197F7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240" w:rsidRPr="00E97B1C" w:rsidRDefault="008B2240" w:rsidP="00E97B1C">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C" w:rsidRPr="00A45145" w:rsidRDefault="00E97B1C" w:rsidP="00A45145">
    <w:pPr>
      <w:jc w:val="center"/>
    </w:pPr>
    <w:r>
      <w:rPr>
        <w:noProof/>
        <w:lang w:eastAsia="pl-PL"/>
      </w:rPr>
      <w:drawing>
        <wp:inline distT="0" distB="0" distL="0" distR="0" wp14:anchorId="6C6B27FF" wp14:editId="65EA6489">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B2240" w:rsidRDefault="008B224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C" w:rsidRPr="00E4133A" w:rsidRDefault="00E97B1C"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3727A1">
      <w:rPr>
        <w:rStyle w:val="Numerstrony"/>
        <w:noProof/>
        <w:szCs w:val="18"/>
      </w:rPr>
      <w:t>10</w:t>
    </w:r>
    <w:r>
      <w:rPr>
        <w:rStyle w:val="Numerstrony"/>
        <w:szCs w:val="18"/>
      </w:rPr>
      <w:fldChar w:fldCharType="end"/>
    </w:r>
    <w:r>
      <w:tab/>
      <w:t>WYROK ADAMKOWSKI PRZECIWKO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1C" w:rsidRPr="00E4133A" w:rsidRDefault="00E97B1C" w:rsidP="00D60D87">
    <w:pPr>
      <w:pStyle w:val="ECHRHeader"/>
    </w:pPr>
    <w:r>
      <w:tab/>
      <w:t>WYROK ADAMKOWSKI PRZECIWKO POLSCE</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3727A1">
      <w:rPr>
        <w:rStyle w:val="Numerstrony"/>
        <w:noProof/>
        <w:szCs w:val="18"/>
      </w:rPr>
      <w:t>11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LW_DocType" w:val="NORMAL"/>
    <w:docVar w:name="NBEMMDOC" w:val="0"/>
  </w:docVars>
  <w:rsids>
    <w:rsidRoot w:val="00A332B3"/>
    <w:rsid w:val="00000067"/>
    <w:rsid w:val="000010ED"/>
    <w:rsid w:val="000041F8"/>
    <w:rsid w:val="000042A8"/>
    <w:rsid w:val="00004308"/>
    <w:rsid w:val="00005BF0"/>
    <w:rsid w:val="00007154"/>
    <w:rsid w:val="000103AE"/>
    <w:rsid w:val="00011D69"/>
    <w:rsid w:val="00012AD3"/>
    <w:rsid w:val="00014566"/>
    <w:rsid w:val="00015C2D"/>
    <w:rsid w:val="00015F00"/>
    <w:rsid w:val="0002018F"/>
    <w:rsid w:val="00021B8B"/>
    <w:rsid w:val="00022C1D"/>
    <w:rsid w:val="00023470"/>
    <w:rsid w:val="00033C61"/>
    <w:rsid w:val="00034987"/>
    <w:rsid w:val="000350E3"/>
    <w:rsid w:val="00054FEE"/>
    <w:rsid w:val="000602DF"/>
    <w:rsid w:val="00061B05"/>
    <w:rsid w:val="00062973"/>
    <w:rsid w:val="00062D5D"/>
    <w:rsid w:val="000632D5"/>
    <w:rsid w:val="000644EE"/>
    <w:rsid w:val="00066F84"/>
    <w:rsid w:val="00071ABC"/>
    <w:rsid w:val="0007331C"/>
    <w:rsid w:val="00077BD4"/>
    <w:rsid w:val="000856D7"/>
    <w:rsid w:val="0009010D"/>
    <w:rsid w:val="000902AD"/>
    <w:rsid w:val="00091F0D"/>
    <w:rsid w:val="000925AD"/>
    <w:rsid w:val="00093E7B"/>
    <w:rsid w:val="00095921"/>
    <w:rsid w:val="000A1434"/>
    <w:rsid w:val="000A24EB"/>
    <w:rsid w:val="000B6923"/>
    <w:rsid w:val="000C033C"/>
    <w:rsid w:val="000C5F3C"/>
    <w:rsid w:val="000C6DCC"/>
    <w:rsid w:val="000D3DCD"/>
    <w:rsid w:val="000D47AA"/>
    <w:rsid w:val="000D721F"/>
    <w:rsid w:val="000E069B"/>
    <w:rsid w:val="000E0E82"/>
    <w:rsid w:val="000E1DC5"/>
    <w:rsid w:val="000E223F"/>
    <w:rsid w:val="000E35AC"/>
    <w:rsid w:val="000E7D45"/>
    <w:rsid w:val="000E7E75"/>
    <w:rsid w:val="000F7851"/>
    <w:rsid w:val="00104E23"/>
    <w:rsid w:val="00111B0C"/>
    <w:rsid w:val="00120D6C"/>
    <w:rsid w:val="00123B64"/>
    <w:rsid w:val="001257EC"/>
    <w:rsid w:val="00132C6A"/>
    <w:rsid w:val="00133D33"/>
    <w:rsid w:val="00134D64"/>
    <w:rsid w:val="00135A30"/>
    <w:rsid w:val="0013612C"/>
    <w:rsid w:val="00137FF6"/>
    <w:rsid w:val="00140A17"/>
    <w:rsid w:val="00141650"/>
    <w:rsid w:val="001442DB"/>
    <w:rsid w:val="00144E31"/>
    <w:rsid w:val="001457D8"/>
    <w:rsid w:val="00161A20"/>
    <w:rsid w:val="00162A12"/>
    <w:rsid w:val="00166530"/>
    <w:rsid w:val="001829B4"/>
    <w:rsid w:val="001832BD"/>
    <w:rsid w:val="00190E47"/>
    <w:rsid w:val="001943B5"/>
    <w:rsid w:val="00195134"/>
    <w:rsid w:val="00197F74"/>
    <w:rsid w:val="001A145B"/>
    <w:rsid w:val="001A25EF"/>
    <w:rsid w:val="001A674C"/>
    <w:rsid w:val="001A6F15"/>
    <w:rsid w:val="001B3B24"/>
    <w:rsid w:val="001B49BB"/>
    <w:rsid w:val="001B5C34"/>
    <w:rsid w:val="001C0F98"/>
    <w:rsid w:val="001C2A42"/>
    <w:rsid w:val="001C728D"/>
    <w:rsid w:val="001D63ED"/>
    <w:rsid w:val="001D7348"/>
    <w:rsid w:val="001E035B"/>
    <w:rsid w:val="001E0961"/>
    <w:rsid w:val="001E3EAE"/>
    <w:rsid w:val="001E5348"/>
    <w:rsid w:val="001E59C7"/>
    <w:rsid w:val="001E6F32"/>
    <w:rsid w:val="001E7AFD"/>
    <w:rsid w:val="001F2145"/>
    <w:rsid w:val="001F6262"/>
    <w:rsid w:val="001F67B0"/>
    <w:rsid w:val="001F7B3D"/>
    <w:rsid w:val="00202F51"/>
    <w:rsid w:val="00205F9F"/>
    <w:rsid w:val="00210338"/>
    <w:rsid w:val="002115FC"/>
    <w:rsid w:val="002133F8"/>
    <w:rsid w:val="0021423C"/>
    <w:rsid w:val="00230D00"/>
    <w:rsid w:val="00231DF7"/>
    <w:rsid w:val="00231FD1"/>
    <w:rsid w:val="002339E0"/>
    <w:rsid w:val="00233CF8"/>
    <w:rsid w:val="00234BF6"/>
    <w:rsid w:val="0023575D"/>
    <w:rsid w:val="00237148"/>
    <w:rsid w:val="0024222D"/>
    <w:rsid w:val="00244B0E"/>
    <w:rsid w:val="00244F6C"/>
    <w:rsid w:val="00247622"/>
    <w:rsid w:val="002532C5"/>
    <w:rsid w:val="00257205"/>
    <w:rsid w:val="00260C03"/>
    <w:rsid w:val="0026540E"/>
    <w:rsid w:val="0027225C"/>
    <w:rsid w:val="00274540"/>
    <w:rsid w:val="00275123"/>
    <w:rsid w:val="00277063"/>
    <w:rsid w:val="00281179"/>
    <w:rsid w:val="00282240"/>
    <w:rsid w:val="002828FB"/>
    <w:rsid w:val="00284696"/>
    <w:rsid w:val="0028572A"/>
    <w:rsid w:val="00291017"/>
    <w:rsid w:val="00291E61"/>
    <w:rsid w:val="002948AD"/>
    <w:rsid w:val="00294C05"/>
    <w:rsid w:val="00294C92"/>
    <w:rsid w:val="002A01CC"/>
    <w:rsid w:val="002A5533"/>
    <w:rsid w:val="002A61B1"/>
    <w:rsid w:val="002A663C"/>
    <w:rsid w:val="002B1440"/>
    <w:rsid w:val="002B1E6C"/>
    <w:rsid w:val="002B444B"/>
    <w:rsid w:val="002B5887"/>
    <w:rsid w:val="002C0692"/>
    <w:rsid w:val="002C0E27"/>
    <w:rsid w:val="002C3040"/>
    <w:rsid w:val="002D022D"/>
    <w:rsid w:val="002D24BB"/>
    <w:rsid w:val="002F171B"/>
    <w:rsid w:val="002F2AF7"/>
    <w:rsid w:val="002F7E1C"/>
    <w:rsid w:val="00301676"/>
    <w:rsid w:val="00301A75"/>
    <w:rsid w:val="00302F70"/>
    <w:rsid w:val="0030336F"/>
    <w:rsid w:val="0030375E"/>
    <w:rsid w:val="0031102C"/>
    <w:rsid w:val="00312A30"/>
    <w:rsid w:val="00320F72"/>
    <w:rsid w:val="003236BC"/>
    <w:rsid w:val="0032463E"/>
    <w:rsid w:val="00326224"/>
    <w:rsid w:val="0032676F"/>
    <w:rsid w:val="00331EAC"/>
    <w:rsid w:val="00332B0B"/>
    <w:rsid w:val="00337901"/>
    <w:rsid w:val="00337EE4"/>
    <w:rsid w:val="00340FFD"/>
    <w:rsid w:val="00346D29"/>
    <w:rsid w:val="003471DC"/>
    <w:rsid w:val="003506B1"/>
    <w:rsid w:val="00351FBE"/>
    <w:rsid w:val="00356AC7"/>
    <w:rsid w:val="003609FA"/>
    <w:rsid w:val="003710C8"/>
    <w:rsid w:val="003727A1"/>
    <w:rsid w:val="003750BE"/>
    <w:rsid w:val="0038571C"/>
    <w:rsid w:val="00387B9D"/>
    <w:rsid w:val="0039364F"/>
    <w:rsid w:val="00396686"/>
    <w:rsid w:val="0039778E"/>
    <w:rsid w:val="003A441D"/>
    <w:rsid w:val="003B0864"/>
    <w:rsid w:val="003B4941"/>
    <w:rsid w:val="003B6A93"/>
    <w:rsid w:val="003C323F"/>
    <w:rsid w:val="003C5714"/>
    <w:rsid w:val="003C6B9F"/>
    <w:rsid w:val="003C6E2A"/>
    <w:rsid w:val="003D0299"/>
    <w:rsid w:val="003D0AE9"/>
    <w:rsid w:val="003E6D80"/>
    <w:rsid w:val="003F05FA"/>
    <w:rsid w:val="003F123C"/>
    <w:rsid w:val="003F244A"/>
    <w:rsid w:val="003F30B8"/>
    <w:rsid w:val="003F4A3F"/>
    <w:rsid w:val="003F4C45"/>
    <w:rsid w:val="003F553C"/>
    <w:rsid w:val="003F5949"/>
    <w:rsid w:val="003F5F7B"/>
    <w:rsid w:val="003F7D64"/>
    <w:rsid w:val="00400134"/>
    <w:rsid w:val="00414300"/>
    <w:rsid w:val="00425C67"/>
    <w:rsid w:val="00427E7A"/>
    <w:rsid w:val="00436307"/>
    <w:rsid w:val="00436C49"/>
    <w:rsid w:val="00443281"/>
    <w:rsid w:val="00445366"/>
    <w:rsid w:val="00447F5B"/>
    <w:rsid w:val="004555AA"/>
    <w:rsid w:val="00461DB0"/>
    <w:rsid w:val="00463926"/>
    <w:rsid w:val="00464097"/>
    <w:rsid w:val="004646E0"/>
    <w:rsid w:val="00464C9A"/>
    <w:rsid w:val="00474F3D"/>
    <w:rsid w:val="00477E3A"/>
    <w:rsid w:val="00477E3F"/>
    <w:rsid w:val="00480DE6"/>
    <w:rsid w:val="00483E5F"/>
    <w:rsid w:val="00485FF9"/>
    <w:rsid w:val="004907F0"/>
    <w:rsid w:val="0049140B"/>
    <w:rsid w:val="004923A5"/>
    <w:rsid w:val="00496BFB"/>
    <w:rsid w:val="00496CB6"/>
    <w:rsid w:val="004A15C7"/>
    <w:rsid w:val="004B013B"/>
    <w:rsid w:val="004B112B"/>
    <w:rsid w:val="004B5C74"/>
    <w:rsid w:val="004C01E4"/>
    <w:rsid w:val="004C02C5"/>
    <w:rsid w:val="004C0373"/>
    <w:rsid w:val="004C086C"/>
    <w:rsid w:val="004C1F56"/>
    <w:rsid w:val="004C27BC"/>
    <w:rsid w:val="004C7BBE"/>
    <w:rsid w:val="004D15F3"/>
    <w:rsid w:val="004D347F"/>
    <w:rsid w:val="004D5311"/>
    <w:rsid w:val="004D5DCC"/>
    <w:rsid w:val="004E2980"/>
    <w:rsid w:val="004F10AF"/>
    <w:rsid w:val="004F11A4"/>
    <w:rsid w:val="004F2389"/>
    <w:rsid w:val="004F304D"/>
    <w:rsid w:val="004F61BE"/>
    <w:rsid w:val="004F66B1"/>
    <w:rsid w:val="00502A0D"/>
    <w:rsid w:val="005117CD"/>
    <w:rsid w:val="00511C07"/>
    <w:rsid w:val="00512D5D"/>
    <w:rsid w:val="005145C0"/>
    <w:rsid w:val="00516AFD"/>
    <w:rsid w:val="005173A6"/>
    <w:rsid w:val="00520BAA"/>
    <w:rsid w:val="005237B5"/>
    <w:rsid w:val="00525208"/>
    <w:rsid w:val="005257A5"/>
    <w:rsid w:val="005264C0"/>
    <w:rsid w:val="00526A8A"/>
    <w:rsid w:val="00530586"/>
    <w:rsid w:val="00531DF2"/>
    <w:rsid w:val="00533CF7"/>
    <w:rsid w:val="00535BB8"/>
    <w:rsid w:val="005442EE"/>
    <w:rsid w:val="00544759"/>
    <w:rsid w:val="00547353"/>
    <w:rsid w:val="005474E7"/>
    <w:rsid w:val="005512A3"/>
    <w:rsid w:val="00556C2C"/>
    <w:rsid w:val="005578CE"/>
    <w:rsid w:val="00562781"/>
    <w:rsid w:val="00563B6B"/>
    <w:rsid w:val="00563E83"/>
    <w:rsid w:val="0057271C"/>
    <w:rsid w:val="00572845"/>
    <w:rsid w:val="00573644"/>
    <w:rsid w:val="00592772"/>
    <w:rsid w:val="0059574A"/>
    <w:rsid w:val="0059635A"/>
    <w:rsid w:val="005A1B9B"/>
    <w:rsid w:val="005A6751"/>
    <w:rsid w:val="005B092E"/>
    <w:rsid w:val="005B152C"/>
    <w:rsid w:val="005B1EE0"/>
    <w:rsid w:val="005B2B24"/>
    <w:rsid w:val="005B4425"/>
    <w:rsid w:val="005B4B94"/>
    <w:rsid w:val="005C2778"/>
    <w:rsid w:val="005C3EE8"/>
    <w:rsid w:val="005D34F9"/>
    <w:rsid w:val="005D4190"/>
    <w:rsid w:val="005D67A3"/>
    <w:rsid w:val="005E2988"/>
    <w:rsid w:val="005E2A43"/>
    <w:rsid w:val="005E3085"/>
    <w:rsid w:val="005E3564"/>
    <w:rsid w:val="005E438A"/>
    <w:rsid w:val="005F4ED0"/>
    <w:rsid w:val="005F51E1"/>
    <w:rsid w:val="005F5BDC"/>
    <w:rsid w:val="00605281"/>
    <w:rsid w:val="00611C80"/>
    <w:rsid w:val="00617936"/>
    <w:rsid w:val="00620692"/>
    <w:rsid w:val="00621601"/>
    <w:rsid w:val="006242CA"/>
    <w:rsid w:val="00624BE3"/>
    <w:rsid w:val="00627507"/>
    <w:rsid w:val="00632613"/>
    <w:rsid w:val="00633717"/>
    <w:rsid w:val="00633E63"/>
    <w:rsid w:val="006344E1"/>
    <w:rsid w:val="00640BEB"/>
    <w:rsid w:val="006545C4"/>
    <w:rsid w:val="00661971"/>
    <w:rsid w:val="00661CE8"/>
    <w:rsid w:val="00661E88"/>
    <w:rsid w:val="006623D9"/>
    <w:rsid w:val="0066550C"/>
    <w:rsid w:val="006716F2"/>
    <w:rsid w:val="006763BD"/>
    <w:rsid w:val="00682BF2"/>
    <w:rsid w:val="006859CE"/>
    <w:rsid w:val="00687D35"/>
    <w:rsid w:val="00691270"/>
    <w:rsid w:val="00692872"/>
    <w:rsid w:val="00693E58"/>
    <w:rsid w:val="00694BA8"/>
    <w:rsid w:val="00697810"/>
    <w:rsid w:val="006A037C"/>
    <w:rsid w:val="006A2F72"/>
    <w:rsid w:val="006A36F4"/>
    <w:rsid w:val="006A406F"/>
    <w:rsid w:val="006A5D3A"/>
    <w:rsid w:val="006B1196"/>
    <w:rsid w:val="006B21C2"/>
    <w:rsid w:val="006B3D5E"/>
    <w:rsid w:val="006C23D4"/>
    <w:rsid w:val="006C7BB0"/>
    <w:rsid w:val="006C7C1E"/>
    <w:rsid w:val="006D3237"/>
    <w:rsid w:val="006E2E37"/>
    <w:rsid w:val="006E3CF1"/>
    <w:rsid w:val="006E7E80"/>
    <w:rsid w:val="006F1DF9"/>
    <w:rsid w:val="006F2102"/>
    <w:rsid w:val="006F24DB"/>
    <w:rsid w:val="006F38D8"/>
    <w:rsid w:val="006F48CA"/>
    <w:rsid w:val="006F5DE6"/>
    <w:rsid w:val="006F64DD"/>
    <w:rsid w:val="007000A7"/>
    <w:rsid w:val="0070164B"/>
    <w:rsid w:val="00706942"/>
    <w:rsid w:val="00706B65"/>
    <w:rsid w:val="007116F7"/>
    <w:rsid w:val="00715127"/>
    <w:rsid w:val="00715E8E"/>
    <w:rsid w:val="00720FD5"/>
    <w:rsid w:val="00722C47"/>
    <w:rsid w:val="00723580"/>
    <w:rsid w:val="00723755"/>
    <w:rsid w:val="0073136C"/>
    <w:rsid w:val="00731F0F"/>
    <w:rsid w:val="00733250"/>
    <w:rsid w:val="00741404"/>
    <w:rsid w:val="007435D6"/>
    <w:rsid w:val="007449E5"/>
    <w:rsid w:val="00746C5A"/>
    <w:rsid w:val="00747FF0"/>
    <w:rsid w:val="007509D5"/>
    <w:rsid w:val="0075594C"/>
    <w:rsid w:val="00755973"/>
    <w:rsid w:val="007577CD"/>
    <w:rsid w:val="00764D4E"/>
    <w:rsid w:val="00765A1F"/>
    <w:rsid w:val="00774A6E"/>
    <w:rsid w:val="00775B6D"/>
    <w:rsid w:val="00776D68"/>
    <w:rsid w:val="007850EE"/>
    <w:rsid w:val="00785B95"/>
    <w:rsid w:val="007863F2"/>
    <w:rsid w:val="007870AB"/>
    <w:rsid w:val="00790E96"/>
    <w:rsid w:val="00793366"/>
    <w:rsid w:val="007A716F"/>
    <w:rsid w:val="007B270A"/>
    <w:rsid w:val="007C0695"/>
    <w:rsid w:val="007C419A"/>
    <w:rsid w:val="007C4CC8"/>
    <w:rsid w:val="007C5426"/>
    <w:rsid w:val="007C5798"/>
    <w:rsid w:val="007D4832"/>
    <w:rsid w:val="007E21B2"/>
    <w:rsid w:val="007E2C4E"/>
    <w:rsid w:val="007F1905"/>
    <w:rsid w:val="007F7659"/>
    <w:rsid w:val="0080048F"/>
    <w:rsid w:val="00801300"/>
    <w:rsid w:val="00802C64"/>
    <w:rsid w:val="00803DC8"/>
    <w:rsid w:val="00805E52"/>
    <w:rsid w:val="008061D0"/>
    <w:rsid w:val="00810B38"/>
    <w:rsid w:val="00817E03"/>
    <w:rsid w:val="008204C7"/>
    <w:rsid w:val="00820992"/>
    <w:rsid w:val="00823602"/>
    <w:rsid w:val="008255F5"/>
    <w:rsid w:val="00827667"/>
    <w:rsid w:val="0083014E"/>
    <w:rsid w:val="0083214A"/>
    <w:rsid w:val="008324EC"/>
    <w:rsid w:val="00834220"/>
    <w:rsid w:val="00845723"/>
    <w:rsid w:val="00851EF9"/>
    <w:rsid w:val="0085642B"/>
    <w:rsid w:val="008577FD"/>
    <w:rsid w:val="00860B03"/>
    <w:rsid w:val="0086286A"/>
    <w:rsid w:val="0086497A"/>
    <w:rsid w:val="008713A1"/>
    <w:rsid w:val="008754AB"/>
    <w:rsid w:val="0088060C"/>
    <w:rsid w:val="00880B07"/>
    <w:rsid w:val="008824D4"/>
    <w:rsid w:val="0089332E"/>
    <w:rsid w:val="00893576"/>
    <w:rsid w:val="00893E73"/>
    <w:rsid w:val="0089649E"/>
    <w:rsid w:val="00897576"/>
    <w:rsid w:val="008A43C4"/>
    <w:rsid w:val="008B02DC"/>
    <w:rsid w:val="008B182E"/>
    <w:rsid w:val="008B2240"/>
    <w:rsid w:val="008B57CE"/>
    <w:rsid w:val="008B659F"/>
    <w:rsid w:val="008B712D"/>
    <w:rsid w:val="008C26DE"/>
    <w:rsid w:val="008C721E"/>
    <w:rsid w:val="008D2225"/>
    <w:rsid w:val="008D4752"/>
    <w:rsid w:val="008D552A"/>
    <w:rsid w:val="008D7A20"/>
    <w:rsid w:val="008E271C"/>
    <w:rsid w:val="008E418E"/>
    <w:rsid w:val="008E5BC6"/>
    <w:rsid w:val="008E6A25"/>
    <w:rsid w:val="008F5193"/>
    <w:rsid w:val="009013A7"/>
    <w:rsid w:val="009017FB"/>
    <w:rsid w:val="009017FC"/>
    <w:rsid w:val="00903B43"/>
    <w:rsid w:val="0090506B"/>
    <w:rsid w:val="009050C9"/>
    <w:rsid w:val="009066FC"/>
    <w:rsid w:val="00911A36"/>
    <w:rsid w:val="009140A3"/>
    <w:rsid w:val="009144A2"/>
    <w:rsid w:val="0091510C"/>
    <w:rsid w:val="009207EB"/>
    <w:rsid w:val="009253F6"/>
    <w:rsid w:val="009257C5"/>
    <w:rsid w:val="009259AC"/>
    <w:rsid w:val="00925AB6"/>
    <w:rsid w:val="00926F38"/>
    <w:rsid w:val="00934301"/>
    <w:rsid w:val="00936CD1"/>
    <w:rsid w:val="00941747"/>
    <w:rsid w:val="00941EFB"/>
    <w:rsid w:val="009434BF"/>
    <w:rsid w:val="0094589C"/>
    <w:rsid w:val="00946B71"/>
    <w:rsid w:val="00947AFB"/>
    <w:rsid w:val="00950322"/>
    <w:rsid w:val="00951D7D"/>
    <w:rsid w:val="00952C12"/>
    <w:rsid w:val="00955CAE"/>
    <w:rsid w:val="009630C7"/>
    <w:rsid w:val="00972B55"/>
    <w:rsid w:val="009743B7"/>
    <w:rsid w:val="0098228B"/>
    <w:rsid w:val="009828DA"/>
    <w:rsid w:val="00985BAB"/>
    <w:rsid w:val="0099090A"/>
    <w:rsid w:val="00997F03"/>
    <w:rsid w:val="009A46DF"/>
    <w:rsid w:val="009B1B5F"/>
    <w:rsid w:val="009B2EC2"/>
    <w:rsid w:val="009B6673"/>
    <w:rsid w:val="009B707C"/>
    <w:rsid w:val="009C191B"/>
    <w:rsid w:val="009C2BD6"/>
    <w:rsid w:val="009C35B7"/>
    <w:rsid w:val="009D5064"/>
    <w:rsid w:val="009E1F32"/>
    <w:rsid w:val="009E5829"/>
    <w:rsid w:val="009E776C"/>
    <w:rsid w:val="009F6C46"/>
    <w:rsid w:val="00A07751"/>
    <w:rsid w:val="00A130B4"/>
    <w:rsid w:val="00A1726E"/>
    <w:rsid w:val="00A204CF"/>
    <w:rsid w:val="00A23D49"/>
    <w:rsid w:val="00A27004"/>
    <w:rsid w:val="00A30C29"/>
    <w:rsid w:val="00A332B3"/>
    <w:rsid w:val="00A34DD6"/>
    <w:rsid w:val="00A365B5"/>
    <w:rsid w:val="00A367DD"/>
    <w:rsid w:val="00A36819"/>
    <w:rsid w:val="00A36989"/>
    <w:rsid w:val="00A43628"/>
    <w:rsid w:val="00A54192"/>
    <w:rsid w:val="00A6035E"/>
    <w:rsid w:val="00A6144C"/>
    <w:rsid w:val="00A66617"/>
    <w:rsid w:val="00A671F8"/>
    <w:rsid w:val="00A673A4"/>
    <w:rsid w:val="00A724AE"/>
    <w:rsid w:val="00A73329"/>
    <w:rsid w:val="00A73B25"/>
    <w:rsid w:val="00A82359"/>
    <w:rsid w:val="00A865D2"/>
    <w:rsid w:val="00A94C20"/>
    <w:rsid w:val="00A96ED6"/>
    <w:rsid w:val="00AA0C62"/>
    <w:rsid w:val="00AA227F"/>
    <w:rsid w:val="00AA3BC7"/>
    <w:rsid w:val="00AA3EE0"/>
    <w:rsid w:val="00AA754A"/>
    <w:rsid w:val="00AB099E"/>
    <w:rsid w:val="00AB4328"/>
    <w:rsid w:val="00AB4F22"/>
    <w:rsid w:val="00AB57ED"/>
    <w:rsid w:val="00AB5FA0"/>
    <w:rsid w:val="00AC7662"/>
    <w:rsid w:val="00AE0A2E"/>
    <w:rsid w:val="00AE354C"/>
    <w:rsid w:val="00AE4994"/>
    <w:rsid w:val="00AF05C3"/>
    <w:rsid w:val="00AF2AE4"/>
    <w:rsid w:val="00AF4B07"/>
    <w:rsid w:val="00AF6186"/>
    <w:rsid w:val="00AF670A"/>
    <w:rsid w:val="00AF7A3A"/>
    <w:rsid w:val="00B1229C"/>
    <w:rsid w:val="00B160DB"/>
    <w:rsid w:val="00B20836"/>
    <w:rsid w:val="00B235BB"/>
    <w:rsid w:val="00B27A44"/>
    <w:rsid w:val="00B30BBF"/>
    <w:rsid w:val="00B33C03"/>
    <w:rsid w:val="00B44E56"/>
    <w:rsid w:val="00B46543"/>
    <w:rsid w:val="00B47D33"/>
    <w:rsid w:val="00B52BE0"/>
    <w:rsid w:val="00B54133"/>
    <w:rsid w:val="00B637B9"/>
    <w:rsid w:val="00B701ED"/>
    <w:rsid w:val="00B8086C"/>
    <w:rsid w:val="00B861B4"/>
    <w:rsid w:val="00B86DFE"/>
    <w:rsid w:val="00B87FA2"/>
    <w:rsid w:val="00B90990"/>
    <w:rsid w:val="00B922FF"/>
    <w:rsid w:val="00B92491"/>
    <w:rsid w:val="00B9281E"/>
    <w:rsid w:val="00B93925"/>
    <w:rsid w:val="00B95187"/>
    <w:rsid w:val="00B9735D"/>
    <w:rsid w:val="00BA0EF2"/>
    <w:rsid w:val="00BA2D55"/>
    <w:rsid w:val="00BA71B1"/>
    <w:rsid w:val="00BB0637"/>
    <w:rsid w:val="00BB31F8"/>
    <w:rsid w:val="00BB345F"/>
    <w:rsid w:val="00BB5883"/>
    <w:rsid w:val="00BB68EA"/>
    <w:rsid w:val="00BC1C27"/>
    <w:rsid w:val="00BC6BBF"/>
    <w:rsid w:val="00BD1572"/>
    <w:rsid w:val="00BD4397"/>
    <w:rsid w:val="00BE14E3"/>
    <w:rsid w:val="00BE3774"/>
    <w:rsid w:val="00BE41E5"/>
    <w:rsid w:val="00BF0BBB"/>
    <w:rsid w:val="00BF27C5"/>
    <w:rsid w:val="00BF29B8"/>
    <w:rsid w:val="00BF4109"/>
    <w:rsid w:val="00BF4CC3"/>
    <w:rsid w:val="00C054C7"/>
    <w:rsid w:val="00C057B5"/>
    <w:rsid w:val="00C1375A"/>
    <w:rsid w:val="00C22687"/>
    <w:rsid w:val="00C31317"/>
    <w:rsid w:val="00C32E4D"/>
    <w:rsid w:val="00C333A0"/>
    <w:rsid w:val="00C35066"/>
    <w:rsid w:val="00C36A81"/>
    <w:rsid w:val="00C41974"/>
    <w:rsid w:val="00C4390A"/>
    <w:rsid w:val="00C447AD"/>
    <w:rsid w:val="00C53F4A"/>
    <w:rsid w:val="00C54125"/>
    <w:rsid w:val="00C55B54"/>
    <w:rsid w:val="00C6098E"/>
    <w:rsid w:val="00C6152C"/>
    <w:rsid w:val="00C621C2"/>
    <w:rsid w:val="00C6348D"/>
    <w:rsid w:val="00C63DC6"/>
    <w:rsid w:val="00C72EB1"/>
    <w:rsid w:val="00C74810"/>
    <w:rsid w:val="00C86EFA"/>
    <w:rsid w:val="00C90D68"/>
    <w:rsid w:val="00C915FB"/>
    <w:rsid w:val="00C91B2B"/>
    <w:rsid w:val="00C939FE"/>
    <w:rsid w:val="00CA4BDA"/>
    <w:rsid w:val="00CB1F66"/>
    <w:rsid w:val="00CB2951"/>
    <w:rsid w:val="00CC1FE1"/>
    <w:rsid w:val="00CD282B"/>
    <w:rsid w:val="00CD4C35"/>
    <w:rsid w:val="00CD653C"/>
    <w:rsid w:val="00CD7369"/>
    <w:rsid w:val="00CE0B0E"/>
    <w:rsid w:val="00CE2F1E"/>
    <w:rsid w:val="00CE3831"/>
    <w:rsid w:val="00CF3A81"/>
    <w:rsid w:val="00D00ABB"/>
    <w:rsid w:val="00D02EEC"/>
    <w:rsid w:val="00D03551"/>
    <w:rsid w:val="00D03B38"/>
    <w:rsid w:val="00D06A63"/>
    <w:rsid w:val="00D07E0E"/>
    <w:rsid w:val="00D11478"/>
    <w:rsid w:val="00D15ED0"/>
    <w:rsid w:val="00D1778C"/>
    <w:rsid w:val="00D202BE"/>
    <w:rsid w:val="00D21B3E"/>
    <w:rsid w:val="00D21FED"/>
    <w:rsid w:val="00D24251"/>
    <w:rsid w:val="00D343E2"/>
    <w:rsid w:val="00D361A2"/>
    <w:rsid w:val="00D414E9"/>
    <w:rsid w:val="00D44C2E"/>
    <w:rsid w:val="00D45414"/>
    <w:rsid w:val="00D50DB5"/>
    <w:rsid w:val="00D53C0F"/>
    <w:rsid w:val="00D55C30"/>
    <w:rsid w:val="00D566BD"/>
    <w:rsid w:val="00D57A4D"/>
    <w:rsid w:val="00D60AA7"/>
    <w:rsid w:val="00D60D87"/>
    <w:rsid w:val="00D6435F"/>
    <w:rsid w:val="00D75E28"/>
    <w:rsid w:val="00D765F1"/>
    <w:rsid w:val="00D772C2"/>
    <w:rsid w:val="00D8008E"/>
    <w:rsid w:val="00D82C45"/>
    <w:rsid w:val="00D835EA"/>
    <w:rsid w:val="00D866AF"/>
    <w:rsid w:val="00D908A8"/>
    <w:rsid w:val="00D977B6"/>
    <w:rsid w:val="00DA0F1C"/>
    <w:rsid w:val="00DA4A31"/>
    <w:rsid w:val="00DA61F2"/>
    <w:rsid w:val="00DA7B04"/>
    <w:rsid w:val="00DB36C2"/>
    <w:rsid w:val="00DB5434"/>
    <w:rsid w:val="00DB7196"/>
    <w:rsid w:val="00DC169B"/>
    <w:rsid w:val="00DC2AB9"/>
    <w:rsid w:val="00DC63F0"/>
    <w:rsid w:val="00DD1FEC"/>
    <w:rsid w:val="00DD4C8B"/>
    <w:rsid w:val="00DD6EE5"/>
    <w:rsid w:val="00DE1B8E"/>
    <w:rsid w:val="00DE386C"/>
    <w:rsid w:val="00DE4D35"/>
    <w:rsid w:val="00DE79B7"/>
    <w:rsid w:val="00DF0549"/>
    <w:rsid w:val="00DF098B"/>
    <w:rsid w:val="00DF11C4"/>
    <w:rsid w:val="00DF210C"/>
    <w:rsid w:val="00DF34A4"/>
    <w:rsid w:val="00DF4B6A"/>
    <w:rsid w:val="00E00360"/>
    <w:rsid w:val="00E02C09"/>
    <w:rsid w:val="00E04D59"/>
    <w:rsid w:val="00E07DA1"/>
    <w:rsid w:val="00E123CB"/>
    <w:rsid w:val="00E12BE6"/>
    <w:rsid w:val="00E1557C"/>
    <w:rsid w:val="00E20E13"/>
    <w:rsid w:val="00E21DBC"/>
    <w:rsid w:val="00E275D7"/>
    <w:rsid w:val="00E27DBE"/>
    <w:rsid w:val="00E30DBD"/>
    <w:rsid w:val="00E32AB1"/>
    <w:rsid w:val="00E333C6"/>
    <w:rsid w:val="00E33657"/>
    <w:rsid w:val="00E34B2E"/>
    <w:rsid w:val="00E36C71"/>
    <w:rsid w:val="00E40404"/>
    <w:rsid w:val="00E4133A"/>
    <w:rsid w:val="00E459C6"/>
    <w:rsid w:val="00E47589"/>
    <w:rsid w:val="00E64915"/>
    <w:rsid w:val="00E661D4"/>
    <w:rsid w:val="00E70091"/>
    <w:rsid w:val="00E720F5"/>
    <w:rsid w:val="00E74CB4"/>
    <w:rsid w:val="00E76D47"/>
    <w:rsid w:val="00E849F7"/>
    <w:rsid w:val="00E90302"/>
    <w:rsid w:val="00E91469"/>
    <w:rsid w:val="00E9224A"/>
    <w:rsid w:val="00E9597F"/>
    <w:rsid w:val="00E97396"/>
    <w:rsid w:val="00E97B1C"/>
    <w:rsid w:val="00EA185E"/>
    <w:rsid w:val="00EA592A"/>
    <w:rsid w:val="00EA737F"/>
    <w:rsid w:val="00EB14E4"/>
    <w:rsid w:val="00EB2D8C"/>
    <w:rsid w:val="00EB32A5"/>
    <w:rsid w:val="00EB34ED"/>
    <w:rsid w:val="00EB7BE0"/>
    <w:rsid w:val="00EC315E"/>
    <w:rsid w:val="00ED077C"/>
    <w:rsid w:val="00ED1190"/>
    <w:rsid w:val="00ED6544"/>
    <w:rsid w:val="00ED668D"/>
    <w:rsid w:val="00ED6AB2"/>
    <w:rsid w:val="00EE0277"/>
    <w:rsid w:val="00EE1DA9"/>
    <w:rsid w:val="00EE3E00"/>
    <w:rsid w:val="00EE5DD2"/>
    <w:rsid w:val="00EE7444"/>
    <w:rsid w:val="00EF0073"/>
    <w:rsid w:val="00EF41F1"/>
    <w:rsid w:val="00EF452E"/>
    <w:rsid w:val="00EF4F08"/>
    <w:rsid w:val="00EF573B"/>
    <w:rsid w:val="00F00A79"/>
    <w:rsid w:val="00F00E86"/>
    <w:rsid w:val="00F00F8B"/>
    <w:rsid w:val="00F07C1E"/>
    <w:rsid w:val="00F105DB"/>
    <w:rsid w:val="00F123DA"/>
    <w:rsid w:val="00F132BC"/>
    <w:rsid w:val="00F13D80"/>
    <w:rsid w:val="00F16AAA"/>
    <w:rsid w:val="00F21161"/>
    <w:rsid w:val="00F218EF"/>
    <w:rsid w:val="00F21BC7"/>
    <w:rsid w:val="00F266A2"/>
    <w:rsid w:val="00F32269"/>
    <w:rsid w:val="00F4457E"/>
    <w:rsid w:val="00F547A8"/>
    <w:rsid w:val="00F563D4"/>
    <w:rsid w:val="00F56A6F"/>
    <w:rsid w:val="00F5709C"/>
    <w:rsid w:val="00F64EF1"/>
    <w:rsid w:val="00F8373D"/>
    <w:rsid w:val="00F8765F"/>
    <w:rsid w:val="00F90767"/>
    <w:rsid w:val="00F93E8A"/>
    <w:rsid w:val="00F96BE5"/>
    <w:rsid w:val="00FA16A0"/>
    <w:rsid w:val="00FA685B"/>
    <w:rsid w:val="00FB0C01"/>
    <w:rsid w:val="00FC18F2"/>
    <w:rsid w:val="00FC39E5"/>
    <w:rsid w:val="00FC3A78"/>
    <w:rsid w:val="00FC5FFE"/>
    <w:rsid w:val="00FC740F"/>
    <w:rsid w:val="00FC7BA6"/>
    <w:rsid w:val="00FD1005"/>
    <w:rsid w:val="00FD3180"/>
    <w:rsid w:val="00FD6983"/>
    <w:rsid w:val="00FD6C75"/>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C1FE1"/>
    <w:pPr>
      <w:jc w:val="both"/>
    </w:pPr>
    <w:rPr>
      <w:rFonts w:eastAsiaTheme="minorEastAsia"/>
      <w:sz w:val="24"/>
    </w:rPr>
  </w:style>
  <w:style w:type="paragraph" w:styleId="Nagwek1">
    <w:name w:val="heading 1"/>
    <w:basedOn w:val="Normalny"/>
    <w:next w:val="Normalny"/>
    <w:link w:val="Nagwek1Znak"/>
    <w:uiPriority w:val="99"/>
    <w:semiHidden/>
    <w:rsid w:val="00CC1FE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C1FE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C1FE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C1FE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C1FE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C1FE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C1FE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C1FE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C1FE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C1FE1"/>
    <w:rPr>
      <w:rFonts w:ascii="Tahoma" w:hAnsi="Tahoma" w:cs="Tahoma"/>
      <w:sz w:val="16"/>
      <w:szCs w:val="16"/>
    </w:rPr>
  </w:style>
  <w:style w:type="character" w:customStyle="1" w:styleId="TekstdymkaZnak">
    <w:name w:val="Tekst dymka Znak"/>
    <w:basedOn w:val="Domylnaczcionkaakapitu"/>
    <w:link w:val="Tekstdymka"/>
    <w:uiPriority w:val="99"/>
    <w:semiHidden/>
    <w:rsid w:val="00CC1FE1"/>
    <w:rPr>
      <w:rFonts w:ascii="Tahoma" w:eastAsiaTheme="minorEastAsia" w:hAnsi="Tahoma" w:cs="Tahoma"/>
      <w:sz w:val="16"/>
      <w:szCs w:val="16"/>
      <w:lang w:val="pl-PL"/>
    </w:rPr>
  </w:style>
  <w:style w:type="character" w:styleId="Tytuksiki">
    <w:name w:val="Book Title"/>
    <w:uiPriority w:val="99"/>
    <w:semiHidden/>
    <w:qFormat/>
    <w:rsid w:val="00CC1FE1"/>
    <w:rPr>
      <w:i/>
      <w:iCs/>
      <w:smallCaps/>
      <w:spacing w:val="5"/>
    </w:rPr>
  </w:style>
  <w:style w:type="paragraph" w:customStyle="1" w:styleId="ECHRHeader">
    <w:name w:val="ECHR_Header"/>
    <w:aliases w:val="Ju_Header"/>
    <w:basedOn w:val="Nagwek"/>
    <w:uiPriority w:val="4"/>
    <w:qFormat/>
    <w:rsid w:val="00CC1FE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C1FE1"/>
    <w:pPr>
      <w:jc w:val="left"/>
    </w:pPr>
    <w:rPr>
      <w:sz w:val="8"/>
    </w:rPr>
  </w:style>
  <w:style w:type="character" w:styleId="Pogrubienie">
    <w:name w:val="Strong"/>
    <w:uiPriority w:val="99"/>
    <w:semiHidden/>
    <w:qFormat/>
    <w:rsid w:val="00CC1FE1"/>
    <w:rPr>
      <w:b/>
      <w:bCs/>
    </w:rPr>
  </w:style>
  <w:style w:type="paragraph" w:styleId="Bezodstpw">
    <w:name w:val="No Spacing"/>
    <w:basedOn w:val="Normalny"/>
    <w:link w:val="BezodstpwZnak"/>
    <w:semiHidden/>
    <w:qFormat/>
    <w:rsid w:val="00CC1FE1"/>
    <w:rPr>
      <w:sz w:val="22"/>
    </w:rPr>
  </w:style>
  <w:style w:type="character" w:customStyle="1" w:styleId="BezodstpwZnak">
    <w:name w:val="Bez odstępów Znak"/>
    <w:basedOn w:val="Domylnaczcionkaakapitu"/>
    <w:link w:val="Bezodstpw"/>
    <w:semiHidden/>
    <w:rsid w:val="00CC1FE1"/>
    <w:rPr>
      <w:rFonts w:eastAsiaTheme="minorEastAsia"/>
    </w:rPr>
  </w:style>
  <w:style w:type="paragraph" w:customStyle="1" w:styleId="ECHRFooterLine">
    <w:name w:val="ECHR_Footer_Line"/>
    <w:aliases w:val="Footer_Line"/>
    <w:basedOn w:val="Normalny"/>
    <w:next w:val="ECHRFooter"/>
    <w:uiPriority w:val="57"/>
    <w:semiHidden/>
    <w:rsid w:val="00CC1FE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C1FE1"/>
  </w:style>
  <w:style w:type="paragraph" w:customStyle="1" w:styleId="DecList">
    <w:name w:val="Dec_List"/>
    <w:basedOn w:val="Normalny"/>
    <w:uiPriority w:val="9"/>
    <w:semiHidden/>
    <w:qFormat/>
    <w:rsid w:val="00CC1FE1"/>
    <w:pPr>
      <w:spacing w:before="240"/>
      <w:ind w:left="284"/>
    </w:pPr>
  </w:style>
  <w:style w:type="paragraph" w:customStyle="1" w:styleId="DummyStyle">
    <w:name w:val="Dummy_Style"/>
    <w:basedOn w:val="Normalny"/>
    <w:semiHidden/>
    <w:qFormat/>
    <w:rsid w:val="00CC1FE1"/>
    <w:rPr>
      <w:color w:val="00B050"/>
    </w:rPr>
  </w:style>
  <w:style w:type="paragraph" w:customStyle="1" w:styleId="ECHRTitleCentre3">
    <w:name w:val="ECHR_Title_Centre_3"/>
    <w:aliases w:val="Ju_H_Article"/>
    <w:basedOn w:val="Normalny"/>
    <w:next w:val="ECHRParaQuote"/>
    <w:uiPriority w:val="27"/>
    <w:qFormat/>
    <w:rsid w:val="00CC1FE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C1FE1"/>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CC1FE1"/>
    <w:pPr>
      <w:numPr>
        <w:numId w:val="24"/>
      </w:numPr>
      <w:jc w:val="left"/>
    </w:pPr>
    <w:rPr>
      <w:b/>
    </w:rPr>
  </w:style>
  <w:style w:type="paragraph" w:customStyle="1" w:styleId="JuCourt">
    <w:name w:val="Ju_Court"/>
    <w:basedOn w:val="Normalny"/>
    <w:next w:val="Normalny"/>
    <w:uiPriority w:val="16"/>
    <w:qFormat/>
    <w:rsid w:val="00CC1FE1"/>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CC1FE1"/>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CC1FE1"/>
    <w:pPr>
      <w:spacing w:after="240"/>
      <w:jc w:val="center"/>
      <w:outlineLvl w:val="0"/>
    </w:pPr>
    <w:rPr>
      <w:rFonts w:asciiTheme="majorHAnsi" w:hAnsiTheme="majorHAnsi"/>
    </w:rPr>
  </w:style>
  <w:style w:type="paragraph" w:customStyle="1" w:styleId="JuInitialled">
    <w:name w:val="Ju_Initialled"/>
    <w:basedOn w:val="Normalny"/>
    <w:uiPriority w:val="31"/>
    <w:qFormat/>
    <w:rsid w:val="00CC1FE1"/>
    <w:pPr>
      <w:tabs>
        <w:tab w:val="center" w:pos="6407"/>
      </w:tabs>
      <w:spacing w:before="720"/>
      <w:jc w:val="right"/>
    </w:pPr>
  </w:style>
  <w:style w:type="paragraph" w:styleId="Tytu">
    <w:name w:val="Title"/>
    <w:basedOn w:val="Normalny"/>
    <w:next w:val="Normalny"/>
    <w:link w:val="TytuZnak"/>
    <w:uiPriority w:val="99"/>
    <w:semiHidden/>
    <w:qFormat/>
    <w:rsid w:val="00CC1FE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C1FE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C1FE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C1FE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C1FE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C1FE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C1FE1"/>
    <w:pPr>
      <w:keepNext/>
      <w:keepLines/>
      <w:spacing w:before="240" w:after="120"/>
      <w:ind w:left="1236"/>
    </w:pPr>
    <w:rPr>
      <w:sz w:val="20"/>
    </w:rPr>
  </w:style>
  <w:style w:type="paragraph" w:customStyle="1" w:styleId="JuListi">
    <w:name w:val="Ju_List_i"/>
    <w:basedOn w:val="Normalny"/>
    <w:next w:val="JuLista"/>
    <w:uiPriority w:val="28"/>
    <w:qFormat/>
    <w:rsid w:val="00CC1FE1"/>
    <w:pPr>
      <w:ind w:left="794"/>
    </w:pPr>
  </w:style>
  <w:style w:type="character" w:customStyle="1" w:styleId="JUNAMES">
    <w:name w:val="JU_NAMES"/>
    <w:uiPriority w:val="17"/>
    <w:qFormat/>
    <w:rsid w:val="00CC1FE1"/>
    <w:rPr>
      <w:caps w:val="0"/>
      <w:smallCaps/>
    </w:rPr>
  </w:style>
  <w:style w:type="paragraph" w:customStyle="1" w:styleId="JuParaSub">
    <w:name w:val="Ju_Para_Sub"/>
    <w:basedOn w:val="ECHRPara"/>
    <w:uiPriority w:val="13"/>
    <w:qFormat/>
    <w:rsid w:val="00CC1FE1"/>
    <w:pPr>
      <w:ind w:left="284"/>
    </w:pPr>
  </w:style>
  <w:style w:type="paragraph" w:styleId="Nagwek">
    <w:name w:val="header"/>
    <w:basedOn w:val="Normalny"/>
    <w:link w:val="NagwekZnak"/>
    <w:uiPriority w:val="57"/>
    <w:semiHidden/>
    <w:rsid w:val="00CC1FE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C1FE1"/>
    <w:rPr>
      <w:sz w:val="24"/>
      <w:lang w:val="pl-PL"/>
    </w:rPr>
  </w:style>
  <w:style w:type="character" w:customStyle="1" w:styleId="Nagwek1Znak">
    <w:name w:val="Nagłówek 1 Znak"/>
    <w:basedOn w:val="Domylnaczcionkaakapitu"/>
    <w:link w:val="Nagwek1"/>
    <w:uiPriority w:val="99"/>
    <w:semiHidden/>
    <w:rsid w:val="00CC1FE1"/>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CC1FE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C1FE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C1FE1"/>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CC1FE1"/>
    <w:pPr>
      <w:ind w:left="567"/>
    </w:pPr>
  </w:style>
  <w:style w:type="paragraph" w:customStyle="1" w:styleId="JuCase">
    <w:name w:val="Ju_Case"/>
    <w:basedOn w:val="Normalny"/>
    <w:next w:val="ECHRPara"/>
    <w:uiPriority w:val="10"/>
    <w:rsid w:val="00CC1FE1"/>
    <w:pPr>
      <w:ind w:firstLine="284"/>
    </w:pPr>
    <w:rPr>
      <w:b/>
    </w:rPr>
  </w:style>
  <w:style w:type="character" w:customStyle="1" w:styleId="Nagwek3Znak">
    <w:name w:val="Nagłówek 3 Znak"/>
    <w:basedOn w:val="Domylnaczcionkaakapitu"/>
    <w:link w:val="Nagwek3"/>
    <w:uiPriority w:val="99"/>
    <w:semiHidden/>
    <w:rsid w:val="00CC1FE1"/>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CC1FE1"/>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CC1FE1"/>
    <w:rPr>
      <w:rFonts w:asciiTheme="majorHAnsi" w:eastAsiaTheme="majorEastAsia" w:hAnsiTheme="majorHAnsi" w:cstheme="majorBidi"/>
      <w:b/>
      <w:bCs/>
      <w:color w:val="808080"/>
    </w:rPr>
  </w:style>
  <w:style w:type="character" w:styleId="Wyrnieniedelikatne">
    <w:name w:val="Subtle Emphasis"/>
    <w:uiPriority w:val="99"/>
    <w:semiHidden/>
    <w:qFormat/>
    <w:rsid w:val="00CC1FE1"/>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C1FE1"/>
    <w:pPr>
      <w:keepNext/>
      <w:keepLines/>
      <w:spacing w:before="720" w:after="240"/>
      <w:outlineLvl w:val="0"/>
    </w:pPr>
    <w:rPr>
      <w:rFonts w:asciiTheme="majorHAnsi" w:hAnsiTheme="majorHAnsi"/>
      <w:sz w:val="28"/>
    </w:rPr>
  </w:style>
  <w:style w:type="character" w:styleId="Uwydatnienie">
    <w:name w:val="Emphasis"/>
    <w:uiPriority w:val="99"/>
    <w:semiHidden/>
    <w:qFormat/>
    <w:rsid w:val="00CC1FE1"/>
    <w:rPr>
      <w:b/>
      <w:bCs/>
      <w:i/>
      <w:iCs/>
      <w:spacing w:val="10"/>
      <w:bdr w:val="none" w:sz="0" w:space="0" w:color="auto"/>
      <w:shd w:val="clear" w:color="auto" w:fill="auto"/>
    </w:rPr>
  </w:style>
  <w:style w:type="paragraph" w:styleId="Stopka">
    <w:name w:val="footer"/>
    <w:basedOn w:val="Normalny"/>
    <w:link w:val="StopkaZnak"/>
    <w:uiPriority w:val="57"/>
    <w:semiHidden/>
    <w:rsid w:val="00CC1FE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C1FE1"/>
    <w:rPr>
      <w:sz w:val="24"/>
      <w:lang w:val="pl-PL"/>
    </w:rPr>
  </w:style>
  <w:style w:type="character" w:styleId="Odwoanieprzypisudolnego">
    <w:name w:val="footnote reference"/>
    <w:basedOn w:val="Domylnaczcionkaakapitu"/>
    <w:uiPriority w:val="99"/>
    <w:semiHidden/>
    <w:rsid w:val="00CC1FE1"/>
    <w:rPr>
      <w:vertAlign w:val="superscript"/>
    </w:rPr>
  </w:style>
  <w:style w:type="paragraph" w:styleId="Tekstprzypisudolnego">
    <w:name w:val="footnote text"/>
    <w:basedOn w:val="Normalny"/>
    <w:link w:val="TekstprzypisudolnegoZnak"/>
    <w:uiPriority w:val="99"/>
    <w:semiHidden/>
    <w:rsid w:val="00CC1FE1"/>
    <w:rPr>
      <w:sz w:val="20"/>
      <w:szCs w:val="20"/>
    </w:rPr>
  </w:style>
  <w:style w:type="character" w:customStyle="1" w:styleId="TekstprzypisudolnegoZnak">
    <w:name w:val="Tekst przypisu dolnego Znak"/>
    <w:basedOn w:val="Domylnaczcionkaakapitu"/>
    <w:link w:val="Tekstprzypisudolnego"/>
    <w:uiPriority w:val="99"/>
    <w:semiHidden/>
    <w:rsid w:val="00CC1FE1"/>
    <w:rPr>
      <w:rFonts w:eastAsiaTheme="minorEastAsia"/>
      <w:sz w:val="20"/>
      <w:szCs w:val="20"/>
      <w:lang w:val="pl-PL"/>
    </w:rPr>
  </w:style>
  <w:style w:type="character" w:customStyle="1" w:styleId="Nagwek6Znak">
    <w:name w:val="Nagłówek 6 Znak"/>
    <w:basedOn w:val="Domylnaczcionkaakapitu"/>
    <w:link w:val="Nagwek6"/>
    <w:uiPriority w:val="99"/>
    <w:semiHidden/>
    <w:rsid w:val="00CC1FE1"/>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CC1FE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C1FE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C1FE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C1FE1"/>
    <w:rPr>
      <w:color w:val="0072BC" w:themeColor="hyperlink"/>
      <w:u w:val="single"/>
    </w:rPr>
  </w:style>
  <w:style w:type="character" w:styleId="Wyrnienieintensywne">
    <w:name w:val="Intense Emphasis"/>
    <w:uiPriority w:val="99"/>
    <w:semiHidden/>
    <w:qFormat/>
    <w:rsid w:val="00CC1FE1"/>
    <w:rPr>
      <w:b/>
      <w:bCs/>
    </w:rPr>
  </w:style>
  <w:style w:type="paragraph" w:styleId="Cytatintensywny">
    <w:name w:val="Intense Quote"/>
    <w:basedOn w:val="Normalny"/>
    <w:next w:val="Normalny"/>
    <w:link w:val="CytatintensywnyZnak"/>
    <w:uiPriority w:val="99"/>
    <w:semiHidden/>
    <w:qFormat/>
    <w:rsid w:val="00CC1FE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C1FE1"/>
    <w:rPr>
      <w:rFonts w:eastAsiaTheme="minorEastAsia"/>
      <w:b/>
      <w:bCs/>
      <w:i/>
      <w:iCs/>
      <w:lang w:bidi="en-US"/>
    </w:rPr>
  </w:style>
  <w:style w:type="character" w:styleId="Odwoanieintensywne">
    <w:name w:val="Intense Reference"/>
    <w:uiPriority w:val="99"/>
    <w:semiHidden/>
    <w:qFormat/>
    <w:rsid w:val="00CC1FE1"/>
    <w:rPr>
      <w:smallCaps/>
      <w:spacing w:val="5"/>
      <w:u w:val="single"/>
    </w:rPr>
  </w:style>
  <w:style w:type="paragraph" w:styleId="Akapitzlist">
    <w:name w:val="List Paragraph"/>
    <w:basedOn w:val="Normalny"/>
    <w:uiPriority w:val="99"/>
    <w:semiHidden/>
    <w:qFormat/>
    <w:rsid w:val="00CC1FE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C1FE1"/>
    <w:pPr>
      <w:spacing w:before="200"/>
      <w:ind w:left="360" w:right="360"/>
    </w:pPr>
    <w:rPr>
      <w:i/>
      <w:iCs/>
      <w:sz w:val="22"/>
      <w:lang w:bidi="en-US"/>
    </w:rPr>
  </w:style>
  <w:style w:type="character" w:customStyle="1" w:styleId="CytatZnak">
    <w:name w:val="Cytat Znak"/>
    <w:basedOn w:val="Domylnaczcionkaakapitu"/>
    <w:link w:val="Cytat"/>
    <w:uiPriority w:val="99"/>
    <w:semiHidden/>
    <w:rsid w:val="00CC1FE1"/>
    <w:rPr>
      <w:rFonts w:eastAsiaTheme="minorEastAsia"/>
      <w:i/>
      <w:iCs/>
      <w:lang w:bidi="en-US"/>
    </w:rPr>
  </w:style>
  <w:style w:type="character" w:styleId="Odwoaniedelikatne">
    <w:name w:val="Subtle Reference"/>
    <w:uiPriority w:val="99"/>
    <w:semiHidden/>
    <w:qFormat/>
    <w:rsid w:val="00CC1FE1"/>
    <w:rPr>
      <w:smallCaps/>
    </w:rPr>
  </w:style>
  <w:style w:type="table" w:styleId="Tabela-Siatka">
    <w:name w:val="Table Grid"/>
    <w:basedOn w:val="Standardowy"/>
    <w:uiPriority w:val="59"/>
    <w:semiHidden/>
    <w:rsid w:val="00CC1FE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C1FE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CC1FE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CC1FE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CC1FE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CC1FE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C1FE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C1FE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C1FE1"/>
    <w:pPr>
      <w:spacing w:before="120" w:after="120"/>
      <w:ind w:left="425" w:firstLine="142"/>
    </w:pPr>
    <w:rPr>
      <w:sz w:val="20"/>
    </w:rPr>
  </w:style>
  <w:style w:type="paragraph" w:customStyle="1" w:styleId="ECHRPara">
    <w:name w:val="ECHR_Para"/>
    <w:aliases w:val="Ju_Para"/>
    <w:basedOn w:val="Normalny"/>
    <w:link w:val="ECHRParaChar"/>
    <w:uiPriority w:val="12"/>
    <w:qFormat/>
    <w:rsid w:val="00CC1FE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C1FE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C1FE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C1FE1"/>
    <w:pPr>
      <w:ind w:left="340" w:hanging="340"/>
    </w:pPr>
  </w:style>
  <w:style w:type="paragraph" w:customStyle="1" w:styleId="JuSigned">
    <w:name w:val="Ju_Signed"/>
    <w:basedOn w:val="Normalny"/>
    <w:next w:val="JuParaLast"/>
    <w:uiPriority w:val="32"/>
    <w:qFormat/>
    <w:rsid w:val="00CC1FE1"/>
    <w:pPr>
      <w:tabs>
        <w:tab w:val="center" w:pos="851"/>
        <w:tab w:val="center" w:pos="6407"/>
      </w:tabs>
      <w:spacing w:before="720"/>
      <w:jc w:val="left"/>
    </w:pPr>
  </w:style>
  <w:style w:type="paragraph" w:customStyle="1" w:styleId="JuParaLast">
    <w:name w:val="Ju_Para_Last"/>
    <w:basedOn w:val="Normalny"/>
    <w:next w:val="ECHRPara"/>
    <w:uiPriority w:val="30"/>
    <w:qFormat/>
    <w:rsid w:val="00CC1FE1"/>
    <w:pPr>
      <w:keepNext/>
      <w:keepLines/>
      <w:spacing w:before="240"/>
      <w:ind w:firstLine="284"/>
    </w:pPr>
  </w:style>
  <w:style w:type="paragraph" w:customStyle="1" w:styleId="JuTitle">
    <w:name w:val="Ju_Title"/>
    <w:basedOn w:val="Normalny"/>
    <w:next w:val="ECHRPara"/>
    <w:uiPriority w:val="3"/>
    <w:semiHidden/>
    <w:qFormat/>
    <w:rsid w:val="00CC1FE1"/>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C1FE1"/>
    <w:pPr>
      <w:ind w:left="346" w:firstLine="0"/>
    </w:pPr>
  </w:style>
  <w:style w:type="paragraph" w:customStyle="1" w:styleId="OpiH1">
    <w:name w:val="Opi_H_1"/>
    <w:basedOn w:val="ECHRHeading2"/>
    <w:uiPriority w:val="42"/>
    <w:qFormat/>
    <w:rsid w:val="00CC1FE1"/>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CC1FE1"/>
    <w:rPr>
      <w:vertAlign w:val="superscript"/>
    </w:rPr>
  </w:style>
  <w:style w:type="paragraph" w:styleId="Tekstprzypisukocowego">
    <w:name w:val="endnote text"/>
    <w:basedOn w:val="Normalny"/>
    <w:link w:val="TekstprzypisukocowegoZnak"/>
    <w:uiPriority w:val="99"/>
    <w:semiHidden/>
    <w:rsid w:val="00CC1FE1"/>
    <w:rPr>
      <w:sz w:val="20"/>
      <w:szCs w:val="20"/>
    </w:rPr>
  </w:style>
  <w:style w:type="character" w:customStyle="1" w:styleId="TekstprzypisukocowegoZnak">
    <w:name w:val="Tekst przypisu końcowego Znak"/>
    <w:basedOn w:val="Domylnaczcionkaakapitu"/>
    <w:link w:val="Tekstprzypisukocowego"/>
    <w:uiPriority w:val="99"/>
    <w:semiHidden/>
    <w:rsid w:val="00CC1FE1"/>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CC1FE1"/>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CC1FE1"/>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CC1FE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C1FE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CC1FE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C1FE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CC1FE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CC1FE1"/>
    <w:pPr>
      <w:tabs>
        <w:tab w:val="clear" w:pos="357"/>
      </w:tabs>
      <w:outlineLvl w:val="1"/>
    </w:pPr>
    <w:rPr>
      <w:b/>
    </w:rPr>
  </w:style>
  <w:style w:type="paragraph" w:customStyle="1" w:styleId="OpiHi">
    <w:name w:val="Opi_H_i"/>
    <w:basedOn w:val="ECHRHeading4"/>
    <w:uiPriority w:val="44"/>
    <w:qFormat/>
    <w:rsid w:val="00CC1FE1"/>
    <w:pPr>
      <w:ind w:left="1037" w:hanging="357"/>
      <w:outlineLvl w:val="4"/>
    </w:pPr>
    <w:rPr>
      <w:b w:val="0"/>
      <w:i/>
    </w:rPr>
  </w:style>
  <w:style w:type="paragraph" w:customStyle="1" w:styleId="OpiPara">
    <w:name w:val="Opi_Para"/>
    <w:basedOn w:val="ECHRPara"/>
    <w:uiPriority w:val="46"/>
    <w:qFormat/>
    <w:rsid w:val="00CC1FE1"/>
  </w:style>
  <w:style w:type="paragraph" w:customStyle="1" w:styleId="OpiParaSub">
    <w:name w:val="Opi_Para_Sub"/>
    <w:basedOn w:val="JuParaSub"/>
    <w:uiPriority w:val="47"/>
    <w:qFormat/>
    <w:rsid w:val="00CC1FE1"/>
  </w:style>
  <w:style w:type="paragraph" w:customStyle="1" w:styleId="OpiQuot">
    <w:name w:val="Opi_Quot"/>
    <w:basedOn w:val="ECHRParaQuote"/>
    <w:uiPriority w:val="48"/>
    <w:qFormat/>
    <w:rsid w:val="00CC1FE1"/>
  </w:style>
  <w:style w:type="paragraph" w:customStyle="1" w:styleId="OpiQuotSub">
    <w:name w:val="Opi_Quot_Sub"/>
    <w:basedOn w:val="JuQuotSub"/>
    <w:uiPriority w:val="49"/>
    <w:qFormat/>
    <w:rsid w:val="00CC1FE1"/>
  </w:style>
  <w:style w:type="paragraph" w:customStyle="1" w:styleId="OpiTranslation">
    <w:name w:val="Opi_Translation"/>
    <w:basedOn w:val="Normalny"/>
    <w:next w:val="OpiPara"/>
    <w:uiPriority w:val="40"/>
    <w:qFormat/>
    <w:rsid w:val="00CC1FE1"/>
    <w:pPr>
      <w:jc w:val="center"/>
      <w:outlineLvl w:val="0"/>
    </w:pPr>
    <w:rPr>
      <w:i/>
    </w:rPr>
  </w:style>
  <w:style w:type="character" w:customStyle="1" w:styleId="ECHRParaChar">
    <w:name w:val="ECHR_Para Char"/>
    <w:aliases w:val="Ju_Para Char"/>
    <w:basedOn w:val="Domylnaczcionkaakapitu"/>
    <w:link w:val="ECHRPara"/>
    <w:uiPriority w:val="12"/>
    <w:locked/>
    <w:rsid w:val="00021B8B"/>
    <w:rPr>
      <w:rFonts w:eastAsiaTheme="minorEastAsia"/>
      <w:sz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C1FE1"/>
    <w:pPr>
      <w:jc w:val="both"/>
    </w:pPr>
    <w:rPr>
      <w:rFonts w:eastAsiaTheme="minorEastAsia"/>
      <w:sz w:val="24"/>
    </w:rPr>
  </w:style>
  <w:style w:type="paragraph" w:styleId="Nagwek1">
    <w:name w:val="heading 1"/>
    <w:basedOn w:val="Normalny"/>
    <w:next w:val="Normalny"/>
    <w:link w:val="Nagwek1Znak"/>
    <w:uiPriority w:val="99"/>
    <w:semiHidden/>
    <w:rsid w:val="00CC1FE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C1FE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C1FE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C1FE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C1FE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C1FE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C1FE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C1FE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C1FE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C1FE1"/>
    <w:rPr>
      <w:rFonts w:ascii="Tahoma" w:hAnsi="Tahoma" w:cs="Tahoma"/>
      <w:sz w:val="16"/>
      <w:szCs w:val="16"/>
    </w:rPr>
  </w:style>
  <w:style w:type="character" w:customStyle="1" w:styleId="TekstdymkaZnak">
    <w:name w:val="Tekst dymka Znak"/>
    <w:basedOn w:val="Domylnaczcionkaakapitu"/>
    <w:link w:val="Tekstdymka"/>
    <w:uiPriority w:val="99"/>
    <w:semiHidden/>
    <w:rsid w:val="00CC1FE1"/>
    <w:rPr>
      <w:rFonts w:ascii="Tahoma" w:eastAsiaTheme="minorEastAsia" w:hAnsi="Tahoma" w:cs="Tahoma"/>
      <w:sz w:val="16"/>
      <w:szCs w:val="16"/>
      <w:lang w:val="pl-PL"/>
    </w:rPr>
  </w:style>
  <w:style w:type="character" w:styleId="Tytuksiki">
    <w:name w:val="Book Title"/>
    <w:uiPriority w:val="99"/>
    <w:semiHidden/>
    <w:qFormat/>
    <w:rsid w:val="00CC1FE1"/>
    <w:rPr>
      <w:i/>
      <w:iCs/>
      <w:smallCaps/>
      <w:spacing w:val="5"/>
    </w:rPr>
  </w:style>
  <w:style w:type="paragraph" w:customStyle="1" w:styleId="ECHRHeader">
    <w:name w:val="ECHR_Header"/>
    <w:aliases w:val="Ju_Header"/>
    <w:basedOn w:val="Nagwek"/>
    <w:uiPriority w:val="4"/>
    <w:qFormat/>
    <w:rsid w:val="00CC1FE1"/>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C1FE1"/>
    <w:pPr>
      <w:jc w:val="left"/>
    </w:pPr>
    <w:rPr>
      <w:sz w:val="8"/>
    </w:rPr>
  </w:style>
  <w:style w:type="character" w:styleId="Pogrubienie">
    <w:name w:val="Strong"/>
    <w:uiPriority w:val="99"/>
    <w:semiHidden/>
    <w:qFormat/>
    <w:rsid w:val="00CC1FE1"/>
    <w:rPr>
      <w:b/>
      <w:bCs/>
    </w:rPr>
  </w:style>
  <w:style w:type="paragraph" w:styleId="Bezodstpw">
    <w:name w:val="No Spacing"/>
    <w:basedOn w:val="Normalny"/>
    <w:link w:val="BezodstpwZnak"/>
    <w:semiHidden/>
    <w:qFormat/>
    <w:rsid w:val="00CC1FE1"/>
    <w:rPr>
      <w:sz w:val="22"/>
    </w:rPr>
  </w:style>
  <w:style w:type="character" w:customStyle="1" w:styleId="BezodstpwZnak">
    <w:name w:val="Bez odstępów Znak"/>
    <w:basedOn w:val="Domylnaczcionkaakapitu"/>
    <w:link w:val="Bezodstpw"/>
    <w:semiHidden/>
    <w:rsid w:val="00CC1FE1"/>
    <w:rPr>
      <w:rFonts w:eastAsiaTheme="minorEastAsia"/>
    </w:rPr>
  </w:style>
  <w:style w:type="paragraph" w:customStyle="1" w:styleId="ECHRFooterLine">
    <w:name w:val="ECHR_Footer_Line"/>
    <w:aliases w:val="Footer_Line"/>
    <w:basedOn w:val="Normalny"/>
    <w:next w:val="ECHRFooter"/>
    <w:uiPriority w:val="57"/>
    <w:semiHidden/>
    <w:rsid w:val="00CC1FE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CC1FE1"/>
  </w:style>
  <w:style w:type="paragraph" w:customStyle="1" w:styleId="DecList">
    <w:name w:val="Dec_List"/>
    <w:basedOn w:val="Normalny"/>
    <w:uiPriority w:val="9"/>
    <w:semiHidden/>
    <w:qFormat/>
    <w:rsid w:val="00CC1FE1"/>
    <w:pPr>
      <w:spacing w:before="240"/>
      <w:ind w:left="284"/>
    </w:pPr>
  </w:style>
  <w:style w:type="paragraph" w:customStyle="1" w:styleId="DummyStyle">
    <w:name w:val="Dummy_Style"/>
    <w:basedOn w:val="Normalny"/>
    <w:semiHidden/>
    <w:qFormat/>
    <w:rsid w:val="00CC1FE1"/>
    <w:rPr>
      <w:color w:val="00B050"/>
    </w:rPr>
  </w:style>
  <w:style w:type="paragraph" w:customStyle="1" w:styleId="ECHRTitleCentre3">
    <w:name w:val="ECHR_Title_Centre_3"/>
    <w:aliases w:val="Ju_H_Article"/>
    <w:basedOn w:val="Normalny"/>
    <w:next w:val="ECHRParaQuote"/>
    <w:uiPriority w:val="27"/>
    <w:qFormat/>
    <w:rsid w:val="00CC1FE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C1FE1"/>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CC1FE1"/>
    <w:pPr>
      <w:numPr>
        <w:numId w:val="24"/>
      </w:numPr>
      <w:jc w:val="left"/>
    </w:pPr>
    <w:rPr>
      <w:b/>
    </w:rPr>
  </w:style>
  <w:style w:type="paragraph" w:customStyle="1" w:styleId="JuCourt">
    <w:name w:val="Ju_Court"/>
    <w:basedOn w:val="Normalny"/>
    <w:next w:val="Normalny"/>
    <w:uiPriority w:val="16"/>
    <w:qFormat/>
    <w:rsid w:val="00CC1FE1"/>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CC1FE1"/>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CC1FE1"/>
    <w:pPr>
      <w:spacing w:after="240"/>
      <w:jc w:val="center"/>
      <w:outlineLvl w:val="0"/>
    </w:pPr>
    <w:rPr>
      <w:rFonts w:asciiTheme="majorHAnsi" w:hAnsiTheme="majorHAnsi"/>
    </w:rPr>
  </w:style>
  <w:style w:type="paragraph" w:customStyle="1" w:styleId="JuInitialled">
    <w:name w:val="Ju_Initialled"/>
    <w:basedOn w:val="Normalny"/>
    <w:uiPriority w:val="31"/>
    <w:qFormat/>
    <w:rsid w:val="00CC1FE1"/>
    <w:pPr>
      <w:tabs>
        <w:tab w:val="center" w:pos="6407"/>
      </w:tabs>
      <w:spacing w:before="720"/>
      <w:jc w:val="right"/>
    </w:pPr>
  </w:style>
  <w:style w:type="paragraph" w:styleId="Tytu">
    <w:name w:val="Title"/>
    <w:basedOn w:val="Normalny"/>
    <w:next w:val="Normalny"/>
    <w:link w:val="TytuZnak"/>
    <w:uiPriority w:val="99"/>
    <w:semiHidden/>
    <w:qFormat/>
    <w:rsid w:val="00CC1FE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C1FE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CC1FE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CC1FE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C1FE1"/>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C1FE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C1FE1"/>
    <w:pPr>
      <w:keepNext/>
      <w:keepLines/>
      <w:spacing w:before="240" w:after="120"/>
      <w:ind w:left="1236"/>
    </w:pPr>
    <w:rPr>
      <w:sz w:val="20"/>
    </w:rPr>
  </w:style>
  <w:style w:type="paragraph" w:customStyle="1" w:styleId="JuListi">
    <w:name w:val="Ju_List_i"/>
    <w:basedOn w:val="Normalny"/>
    <w:next w:val="JuLista"/>
    <w:uiPriority w:val="28"/>
    <w:qFormat/>
    <w:rsid w:val="00CC1FE1"/>
    <w:pPr>
      <w:ind w:left="794"/>
    </w:pPr>
  </w:style>
  <w:style w:type="character" w:customStyle="1" w:styleId="JUNAMES">
    <w:name w:val="JU_NAMES"/>
    <w:uiPriority w:val="17"/>
    <w:qFormat/>
    <w:rsid w:val="00CC1FE1"/>
    <w:rPr>
      <w:caps w:val="0"/>
      <w:smallCaps/>
    </w:rPr>
  </w:style>
  <w:style w:type="paragraph" w:customStyle="1" w:styleId="JuParaSub">
    <w:name w:val="Ju_Para_Sub"/>
    <w:basedOn w:val="ECHRPara"/>
    <w:uiPriority w:val="13"/>
    <w:qFormat/>
    <w:rsid w:val="00CC1FE1"/>
    <w:pPr>
      <w:ind w:left="284"/>
    </w:pPr>
  </w:style>
  <w:style w:type="paragraph" w:styleId="Nagwek">
    <w:name w:val="header"/>
    <w:basedOn w:val="Normalny"/>
    <w:link w:val="NagwekZnak"/>
    <w:uiPriority w:val="57"/>
    <w:semiHidden/>
    <w:rsid w:val="00CC1FE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C1FE1"/>
    <w:rPr>
      <w:sz w:val="24"/>
      <w:lang w:val="pl-PL"/>
    </w:rPr>
  </w:style>
  <w:style w:type="character" w:customStyle="1" w:styleId="Nagwek1Znak">
    <w:name w:val="Nagłówek 1 Znak"/>
    <w:basedOn w:val="Domylnaczcionkaakapitu"/>
    <w:link w:val="Nagwek1"/>
    <w:uiPriority w:val="99"/>
    <w:semiHidden/>
    <w:rsid w:val="00CC1FE1"/>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CC1FE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C1FE1"/>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C1FE1"/>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CC1FE1"/>
    <w:pPr>
      <w:ind w:left="567"/>
    </w:pPr>
  </w:style>
  <w:style w:type="paragraph" w:customStyle="1" w:styleId="JuCase">
    <w:name w:val="Ju_Case"/>
    <w:basedOn w:val="Normalny"/>
    <w:next w:val="ECHRPara"/>
    <w:uiPriority w:val="10"/>
    <w:rsid w:val="00CC1FE1"/>
    <w:pPr>
      <w:ind w:firstLine="284"/>
    </w:pPr>
    <w:rPr>
      <w:b/>
    </w:rPr>
  </w:style>
  <w:style w:type="character" w:customStyle="1" w:styleId="Nagwek3Znak">
    <w:name w:val="Nagłówek 3 Znak"/>
    <w:basedOn w:val="Domylnaczcionkaakapitu"/>
    <w:link w:val="Nagwek3"/>
    <w:uiPriority w:val="99"/>
    <w:semiHidden/>
    <w:rsid w:val="00CC1FE1"/>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CC1FE1"/>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CC1FE1"/>
    <w:rPr>
      <w:rFonts w:asciiTheme="majorHAnsi" w:eastAsiaTheme="majorEastAsia" w:hAnsiTheme="majorHAnsi" w:cstheme="majorBidi"/>
      <w:b/>
      <w:bCs/>
      <w:color w:val="808080"/>
    </w:rPr>
  </w:style>
  <w:style w:type="character" w:styleId="Wyrnieniedelikatne">
    <w:name w:val="Subtle Emphasis"/>
    <w:uiPriority w:val="99"/>
    <w:semiHidden/>
    <w:qFormat/>
    <w:rsid w:val="00CC1FE1"/>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C1FE1"/>
    <w:pPr>
      <w:keepNext/>
      <w:keepLines/>
      <w:spacing w:before="720" w:after="240"/>
      <w:outlineLvl w:val="0"/>
    </w:pPr>
    <w:rPr>
      <w:rFonts w:asciiTheme="majorHAnsi" w:hAnsiTheme="majorHAnsi"/>
      <w:sz w:val="28"/>
    </w:rPr>
  </w:style>
  <w:style w:type="character" w:styleId="Uwydatnienie">
    <w:name w:val="Emphasis"/>
    <w:uiPriority w:val="99"/>
    <w:semiHidden/>
    <w:qFormat/>
    <w:rsid w:val="00CC1FE1"/>
    <w:rPr>
      <w:b/>
      <w:bCs/>
      <w:i/>
      <w:iCs/>
      <w:spacing w:val="10"/>
      <w:bdr w:val="none" w:sz="0" w:space="0" w:color="auto"/>
      <w:shd w:val="clear" w:color="auto" w:fill="auto"/>
    </w:rPr>
  </w:style>
  <w:style w:type="paragraph" w:styleId="Stopka">
    <w:name w:val="footer"/>
    <w:basedOn w:val="Normalny"/>
    <w:link w:val="StopkaZnak"/>
    <w:uiPriority w:val="57"/>
    <w:semiHidden/>
    <w:rsid w:val="00CC1FE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C1FE1"/>
    <w:rPr>
      <w:sz w:val="24"/>
      <w:lang w:val="pl-PL"/>
    </w:rPr>
  </w:style>
  <w:style w:type="character" w:styleId="Odwoanieprzypisudolnego">
    <w:name w:val="footnote reference"/>
    <w:basedOn w:val="Domylnaczcionkaakapitu"/>
    <w:uiPriority w:val="99"/>
    <w:semiHidden/>
    <w:rsid w:val="00CC1FE1"/>
    <w:rPr>
      <w:vertAlign w:val="superscript"/>
    </w:rPr>
  </w:style>
  <w:style w:type="paragraph" w:styleId="Tekstprzypisudolnego">
    <w:name w:val="footnote text"/>
    <w:basedOn w:val="Normalny"/>
    <w:link w:val="TekstprzypisudolnegoZnak"/>
    <w:uiPriority w:val="99"/>
    <w:semiHidden/>
    <w:rsid w:val="00CC1FE1"/>
    <w:rPr>
      <w:sz w:val="20"/>
      <w:szCs w:val="20"/>
    </w:rPr>
  </w:style>
  <w:style w:type="character" w:customStyle="1" w:styleId="TekstprzypisudolnegoZnak">
    <w:name w:val="Tekst przypisu dolnego Znak"/>
    <w:basedOn w:val="Domylnaczcionkaakapitu"/>
    <w:link w:val="Tekstprzypisudolnego"/>
    <w:uiPriority w:val="99"/>
    <w:semiHidden/>
    <w:rsid w:val="00CC1FE1"/>
    <w:rPr>
      <w:rFonts w:eastAsiaTheme="minorEastAsia"/>
      <w:sz w:val="20"/>
      <w:szCs w:val="20"/>
      <w:lang w:val="pl-PL"/>
    </w:rPr>
  </w:style>
  <w:style w:type="character" w:customStyle="1" w:styleId="Nagwek6Znak">
    <w:name w:val="Nagłówek 6 Znak"/>
    <w:basedOn w:val="Domylnaczcionkaakapitu"/>
    <w:link w:val="Nagwek6"/>
    <w:uiPriority w:val="99"/>
    <w:semiHidden/>
    <w:rsid w:val="00CC1FE1"/>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CC1FE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C1FE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C1FE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C1FE1"/>
    <w:rPr>
      <w:color w:val="0072BC" w:themeColor="hyperlink"/>
      <w:u w:val="single"/>
    </w:rPr>
  </w:style>
  <w:style w:type="character" w:styleId="Wyrnienieintensywne">
    <w:name w:val="Intense Emphasis"/>
    <w:uiPriority w:val="99"/>
    <w:semiHidden/>
    <w:qFormat/>
    <w:rsid w:val="00CC1FE1"/>
    <w:rPr>
      <w:b/>
      <w:bCs/>
    </w:rPr>
  </w:style>
  <w:style w:type="paragraph" w:styleId="Cytatintensywny">
    <w:name w:val="Intense Quote"/>
    <w:basedOn w:val="Normalny"/>
    <w:next w:val="Normalny"/>
    <w:link w:val="CytatintensywnyZnak"/>
    <w:uiPriority w:val="99"/>
    <w:semiHidden/>
    <w:qFormat/>
    <w:rsid w:val="00CC1FE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C1FE1"/>
    <w:rPr>
      <w:rFonts w:eastAsiaTheme="minorEastAsia"/>
      <w:b/>
      <w:bCs/>
      <w:i/>
      <w:iCs/>
      <w:lang w:bidi="en-US"/>
    </w:rPr>
  </w:style>
  <w:style w:type="character" w:styleId="Odwoanieintensywne">
    <w:name w:val="Intense Reference"/>
    <w:uiPriority w:val="99"/>
    <w:semiHidden/>
    <w:qFormat/>
    <w:rsid w:val="00CC1FE1"/>
    <w:rPr>
      <w:smallCaps/>
      <w:spacing w:val="5"/>
      <w:u w:val="single"/>
    </w:rPr>
  </w:style>
  <w:style w:type="paragraph" w:styleId="Akapitzlist">
    <w:name w:val="List Paragraph"/>
    <w:basedOn w:val="Normalny"/>
    <w:uiPriority w:val="99"/>
    <w:semiHidden/>
    <w:qFormat/>
    <w:rsid w:val="00CC1FE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C1FE1"/>
    <w:pPr>
      <w:spacing w:before="200"/>
      <w:ind w:left="360" w:right="360"/>
    </w:pPr>
    <w:rPr>
      <w:i/>
      <w:iCs/>
      <w:sz w:val="22"/>
      <w:lang w:bidi="en-US"/>
    </w:rPr>
  </w:style>
  <w:style w:type="character" w:customStyle="1" w:styleId="CytatZnak">
    <w:name w:val="Cytat Znak"/>
    <w:basedOn w:val="Domylnaczcionkaakapitu"/>
    <w:link w:val="Cytat"/>
    <w:uiPriority w:val="99"/>
    <w:semiHidden/>
    <w:rsid w:val="00CC1FE1"/>
    <w:rPr>
      <w:rFonts w:eastAsiaTheme="minorEastAsia"/>
      <w:i/>
      <w:iCs/>
      <w:lang w:bidi="en-US"/>
    </w:rPr>
  </w:style>
  <w:style w:type="character" w:styleId="Odwoaniedelikatne">
    <w:name w:val="Subtle Reference"/>
    <w:uiPriority w:val="99"/>
    <w:semiHidden/>
    <w:qFormat/>
    <w:rsid w:val="00CC1FE1"/>
    <w:rPr>
      <w:smallCaps/>
    </w:rPr>
  </w:style>
  <w:style w:type="table" w:styleId="Tabela-Siatka">
    <w:name w:val="Table Grid"/>
    <w:basedOn w:val="Standardowy"/>
    <w:uiPriority w:val="59"/>
    <w:semiHidden/>
    <w:rsid w:val="00CC1FE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C1FE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CC1FE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CC1FE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CC1FE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CC1FE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C1FE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C1FE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CC1FE1"/>
    <w:pPr>
      <w:spacing w:before="120" w:after="120"/>
      <w:ind w:left="425" w:firstLine="142"/>
    </w:pPr>
    <w:rPr>
      <w:sz w:val="20"/>
    </w:rPr>
  </w:style>
  <w:style w:type="paragraph" w:customStyle="1" w:styleId="ECHRPara">
    <w:name w:val="ECHR_Para"/>
    <w:aliases w:val="Ju_Para"/>
    <w:basedOn w:val="Normalny"/>
    <w:link w:val="ECHRParaChar"/>
    <w:uiPriority w:val="12"/>
    <w:qFormat/>
    <w:rsid w:val="00CC1FE1"/>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C1FE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CC1FE1"/>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CC1FE1"/>
    <w:pPr>
      <w:ind w:left="340" w:hanging="340"/>
    </w:pPr>
  </w:style>
  <w:style w:type="paragraph" w:customStyle="1" w:styleId="JuSigned">
    <w:name w:val="Ju_Signed"/>
    <w:basedOn w:val="Normalny"/>
    <w:next w:val="JuParaLast"/>
    <w:uiPriority w:val="32"/>
    <w:qFormat/>
    <w:rsid w:val="00CC1FE1"/>
    <w:pPr>
      <w:tabs>
        <w:tab w:val="center" w:pos="851"/>
        <w:tab w:val="center" w:pos="6407"/>
      </w:tabs>
      <w:spacing w:before="720"/>
      <w:jc w:val="left"/>
    </w:pPr>
  </w:style>
  <w:style w:type="paragraph" w:customStyle="1" w:styleId="JuParaLast">
    <w:name w:val="Ju_Para_Last"/>
    <w:basedOn w:val="Normalny"/>
    <w:next w:val="ECHRPara"/>
    <w:uiPriority w:val="30"/>
    <w:qFormat/>
    <w:rsid w:val="00CC1FE1"/>
    <w:pPr>
      <w:keepNext/>
      <w:keepLines/>
      <w:spacing w:before="240"/>
      <w:ind w:firstLine="284"/>
    </w:pPr>
  </w:style>
  <w:style w:type="paragraph" w:customStyle="1" w:styleId="JuTitle">
    <w:name w:val="Ju_Title"/>
    <w:basedOn w:val="Normalny"/>
    <w:next w:val="ECHRPara"/>
    <w:uiPriority w:val="3"/>
    <w:semiHidden/>
    <w:qFormat/>
    <w:rsid w:val="00CC1FE1"/>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CC1FE1"/>
    <w:pPr>
      <w:ind w:left="346" w:firstLine="0"/>
    </w:pPr>
  </w:style>
  <w:style w:type="paragraph" w:customStyle="1" w:styleId="OpiH1">
    <w:name w:val="Opi_H_1"/>
    <w:basedOn w:val="ECHRHeading2"/>
    <w:uiPriority w:val="42"/>
    <w:qFormat/>
    <w:rsid w:val="00CC1FE1"/>
    <w:pPr>
      <w:ind w:left="635" w:hanging="357"/>
      <w:outlineLvl w:val="2"/>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CC1FE1"/>
    <w:rPr>
      <w:vertAlign w:val="superscript"/>
    </w:rPr>
  </w:style>
  <w:style w:type="paragraph" w:styleId="Tekstprzypisukocowego">
    <w:name w:val="endnote text"/>
    <w:basedOn w:val="Normalny"/>
    <w:link w:val="TekstprzypisukocowegoZnak"/>
    <w:uiPriority w:val="99"/>
    <w:semiHidden/>
    <w:rsid w:val="00CC1FE1"/>
    <w:rPr>
      <w:sz w:val="20"/>
      <w:szCs w:val="20"/>
    </w:rPr>
  </w:style>
  <w:style w:type="character" w:customStyle="1" w:styleId="TekstprzypisukocowegoZnak">
    <w:name w:val="Tekst przypisu końcowego Znak"/>
    <w:basedOn w:val="Domylnaczcionkaakapitu"/>
    <w:link w:val="Tekstprzypisukocowego"/>
    <w:uiPriority w:val="99"/>
    <w:semiHidden/>
    <w:rsid w:val="00CC1FE1"/>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
    <w:name w:val="Opi_H_a"/>
    <w:basedOn w:val="ECHRHeading3"/>
    <w:uiPriority w:val="43"/>
    <w:qFormat/>
    <w:rsid w:val="00CC1FE1"/>
    <w:pPr>
      <w:ind w:left="833" w:hanging="357"/>
      <w:outlineLvl w:val="3"/>
    </w:pPr>
    <w:rPr>
      <w:b/>
      <w:i w:val="0"/>
      <w:sz w:val="20"/>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CC1FE1"/>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CC1FE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C1FE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CC1FE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CC1FE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CC1FE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CC1FE1"/>
    <w:pPr>
      <w:tabs>
        <w:tab w:val="clear" w:pos="357"/>
      </w:tabs>
      <w:outlineLvl w:val="1"/>
    </w:pPr>
    <w:rPr>
      <w:b/>
    </w:rPr>
  </w:style>
  <w:style w:type="paragraph" w:customStyle="1" w:styleId="OpiHi">
    <w:name w:val="Opi_H_i"/>
    <w:basedOn w:val="ECHRHeading4"/>
    <w:uiPriority w:val="44"/>
    <w:qFormat/>
    <w:rsid w:val="00CC1FE1"/>
    <w:pPr>
      <w:ind w:left="1037" w:hanging="357"/>
      <w:outlineLvl w:val="4"/>
    </w:pPr>
    <w:rPr>
      <w:b w:val="0"/>
      <w:i/>
    </w:rPr>
  </w:style>
  <w:style w:type="paragraph" w:customStyle="1" w:styleId="OpiPara">
    <w:name w:val="Opi_Para"/>
    <w:basedOn w:val="ECHRPara"/>
    <w:uiPriority w:val="46"/>
    <w:qFormat/>
    <w:rsid w:val="00CC1FE1"/>
  </w:style>
  <w:style w:type="paragraph" w:customStyle="1" w:styleId="OpiParaSub">
    <w:name w:val="Opi_Para_Sub"/>
    <w:basedOn w:val="JuParaSub"/>
    <w:uiPriority w:val="47"/>
    <w:qFormat/>
    <w:rsid w:val="00CC1FE1"/>
  </w:style>
  <w:style w:type="paragraph" w:customStyle="1" w:styleId="OpiQuot">
    <w:name w:val="Opi_Quot"/>
    <w:basedOn w:val="ECHRParaQuote"/>
    <w:uiPriority w:val="48"/>
    <w:qFormat/>
    <w:rsid w:val="00CC1FE1"/>
  </w:style>
  <w:style w:type="paragraph" w:customStyle="1" w:styleId="OpiQuotSub">
    <w:name w:val="Opi_Quot_Sub"/>
    <w:basedOn w:val="JuQuotSub"/>
    <w:uiPriority w:val="49"/>
    <w:qFormat/>
    <w:rsid w:val="00CC1FE1"/>
  </w:style>
  <w:style w:type="paragraph" w:customStyle="1" w:styleId="OpiTranslation">
    <w:name w:val="Opi_Translation"/>
    <w:basedOn w:val="Normalny"/>
    <w:next w:val="OpiPara"/>
    <w:uiPriority w:val="40"/>
    <w:qFormat/>
    <w:rsid w:val="00CC1FE1"/>
    <w:pPr>
      <w:jc w:val="center"/>
      <w:outlineLvl w:val="0"/>
    </w:pPr>
    <w:rPr>
      <w:i/>
    </w:rPr>
  </w:style>
  <w:style w:type="character" w:customStyle="1" w:styleId="ECHRParaChar">
    <w:name w:val="ECHR_Para Char"/>
    <w:aliases w:val="Ju_Para Char"/>
    <w:basedOn w:val="Domylnaczcionkaakapitu"/>
    <w:link w:val="ECHRPara"/>
    <w:uiPriority w:val="12"/>
    <w:locked/>
    <w:rsid w:val="00021B8B"/>
    <w:rPr>
      <w:rFonts w:eastAsiaTheme="minorEastAsia"/>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105139">
      <w:bodyDiv w:val="1"/>
      <w:marLeft w:val="0"/>
      <w:marRight w:val="0"/>
      <w:marTop w:val="0"/>
      <w:marBottom w:val="0"/>
      <w:divBdr>
        <w:top w:val="none" w:sz="0" w:space="0" w:color="auto"/>
        <w:left w:val="none" w:sz="0" w:space="0" w:color="auto"/>
        <w:bottom w:val="none" w:sz="0" w:space="0" w:color="auto"/>
        <w:right w:val="none" w:sz="0" w:space="0" w:color="auto"/>
      </w:divBdr>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3730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gov.pl/web/sprawiedliwosc"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gov.pl/web/sprawiedliwosc"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14E18-4D1A-4709-A682-3DB3FDFA8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3858</Words>
  <Characters>23150</Characters>
  <Application>Microsoft Office Word</Application>
  <DocSecurity>4</DocSecurity>
  <Lines>192</Lines>
  <Paragraphs>53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26955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2019-06-24T07:11:00Z</dcterms:created>
  <dcterms:modified xsi:type="dcterms:W3CDTF">2019-06-24T07:11:00Z</dcterms:modified>
</cp:coreProperties>
</file>