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F01" w:rsidRPr="005C5B08" w:rsidRDefault="00CD0F01" w:rsidP="00CD0F01">
      <w:pPr>
        <w:spacing w:before="100" w:beforeAutospacing="1" w:after="120"/>
        <w:rPr>
          <w:sz w:val="20"/>
          <w:lang w:val="en-GB"/>
        </w:rPr>
      </w:pPr>
      <w:bookmarkStart w:id="0" w:name="_GoBack"/>
      <w:bookmarkEnd w:id="0"/>
      <w:r w:rsidRPr="005C5B08">
        <w:rPr>
          <w:sz w:val="20"/>
          <w:lang w:val="en-GB"/>
        </w:rPr>
        <w:t xml:space="preserve">© </w:t>
      </w:r>
      <w:proofErr w:type="spellStart"/>
      <w:r w:rsidRPr="005C5B08">
        <w:rPr>
          <w:sz w:val="20"/>
          <w:lang w:val="en-GB"/>
        </w:rPr>
        <w:t>Ministerstwo</w:t>
      </w:r>
      <w:proofErr w:type="spellEnd"/>
      <w:r w:rsidRPr="005C5B08">
        <w:rPr>
          <w:sz w:val="20"/>
          <w:lang w:val="en-GB"/>
        </w:rPr>
        <w:t xml:space="preserve"> </w:t>
      </w:r>
      <w:proofErr w:type="spellStart"/>
      <w:r w:rsidRPr="005C5B08">
        <w:rPr>
          <w:sz w:val="20"/>
          <w:lang w:val="en-GB"/>
        </w:rPr>
        <w:t>Sprawiedliwości</w:t>
      </w:r>
      <w:proofErr w:type="spellEnd"/>
      <w:r w:rsidRPr="005C5B08">
        <w:rPr>
          <w:sz w:val="20"/>
          <w:lang w:val="en-GB"/>
        </w:rPr>
        <w:t xml:space="preserve">, </w:t>
      </w:r>
      <w:hyperlink r:id="rId9" w:history="1">
        <w:r w:rsidRPr="005C5B08">
          <w:rPr>
            <w:rStyle w:val="Hipercze"/>
            <w:sz w:val="20"/>
            <w:lang w:val="en-GB"/>
          </w:rPr>
          <w:t>www.gov.pl/web/sprawiedliwosc</w:t>
        </w:r>
      </w:hyperlink>
      <w:r w:rsidRPr="005C5B08">
        <w:rPr>
          <w:sz w:val="20"/>
          <w:lang w:val="en-GB"/>
        </w:rPr>
        <w:t xml:space="preserve"> [Translation already published on the official website of the Polish Ministry of Justice]</w:t>
      </w:r>
    </w:p>
    <w:p w:rsidR="00CD0F01" w:rsidRPr="005C5B08" w:rsidRDefault="00CD0F01" w:rsidP="00CD0F01">
      <w:pPr>
        <w:spacing w:after="100" w:afterAutospacing="1"/>
        <w:rPr>
          <w:sz w:val="20"/>
          <w:lang w:val="en-GB"/>
        </w:rPr>
      </w:pPr>
      <w:r w:rsidRPr="005C5B08">
        <w:rPr>
          <w:sz w:val="20"/>
          <w:lang w:val="en-GB"/>
        </w:rPr>
        <w:t>Permission to re-publish this translation has been granted by the Polish Ministry of Justice for the sole purpose of its inclusion in the Court’s database HUDOC</w:t>
      </w:r>
    </w:p>
    <w:p w:rsidR="00CD0F01" w:rsidRDefault="00CD0F01" w:rsidP="00CD0F01">
      <w:pPr>
        <w:spacing w:before="100" w:beforeAutospacing="1" w:after="120"/>
        <w:rPr>
          <w:sz w:val="20"/>
        </w:rPr>
      </w:pPr>
      <w:r>
        <w:rPr>
          <w:sz w:val="20"/>
        </w:rPr>
        <w:t xml:space="preserve">© Ministerstwo Sprawiedliwości, </w:t>
      </w:r>
      <w:hyperlink r:id="rId10" w:history="1">
        <w:r>
          <w:rPr>
            <w:rStyle w:val="Hipercze"/>
            <w:sz w:val="20"/>
          </w:rPr>
          <w:t>www.gov.pl/web/sprawiedliwosc</w:t>
        </w:r>
      </w:hyperlink>
      <w:r>
        <w:rPr>
          <w:sz w:val="20"/>
        </w:rPr>
        <w:t xml:space="preserve"> [Tłumaczenie zostało już opublikowane na oficjalnej stronie Ministerstwa Sprawiedliwości]</w:t>
      </w:r>
    </w:p>
    <w:p w:rsidR="00CD0F01" w:rsidRDefault="00CD0F01" w:rsidP="00CD0F01">
      <w:pPr>
        <w:rPr>
          <w:sz w:val="20"/>
        </w:rPr>
      </w:pPr>
      <w:r>
        <w:rPr>
          <w:sz w:val="20"/>
        </w:rPr>
        <w:t xml:space="preserve">Zezwolenie na publikację tego tłumaczenia zostało udzielone przez Ministerstwo Sprawiedliwości wyłącznie w celu zamieszczenia w bazie Trybunału HUDOC </w:t>
      </w:r>
    </w:p>
    <w:p w:rsidR="00CD0F01" w:rsidRDefault="00CD0F01" w:rsidP="00DC7D0A">
      <w:pPr>
        <w:jc w:val="center"/>
      </w:pPr>
    </w:p>
    <w:p w:rsidR="00DE61E0" w:rsidRPr="00DC7D0A" w:rsidRDefault="00EB5087" w:rsidP="00DC7D0A">
      <w:pPr>
        <w:jc w:val="center"/>
      </w:pPr>
      <w:r>
        <w:t>EUROPEJSKI TRYBUNAŁ PRAW CZŁOWIEKA</w:t>
      </w:r>
    </w:p>
    <w:p w:rsidR="009B114D" w:rsidRPr="00DC7D0A" w:rsidRDefault="009B114D" w:rsidP="00DC7D0A">
      <w:pPr>
        <w:jc w:val="center"/>
      </w:pPr>
    </w:p>
    <w:p w:rsidR="009B114D" w:rsidRPr="00DC7D0A" w:rsidRDefault="009B114D" w:rsidP="00DC7D0A">
      <w:pPr>
        <w:jc w:val="center"/>
      </w:pPr>
    </w:p>
    <w:p w:rsidR="00DE61E0" w:rsidRPr="00DC7D0A" w:rsidRDefault="00B3036D" w:rsidP="00DC7D0A">
      <w:pPr>
        <w:jc w:val="center"/>
      </w:pPr>
      <w:r>
        <w:t>SEKCJA PIERWSZA</w:t>
      </w:r>
    </w:p>
    <w:p w:rsidR="00DE61E0" w:rsidRPr="00DC7D0A" w:rsidRDefault="00DE61E0" w:rsidP="00DC7D0A">
      <w:pPr>
        <w:jc w:val="center"/>
      </w:pPr>
    </w:p>
    <w:p w:rsidR="009B114D" w:rsidRPr="00DC7D0A" w:rsidRDefault="009B114D" w:rsidP="00DC7D0A">
      <w:pPr>
        <w:jc w:val="center"/>
      </w:pPr>
    </w:p>
    <w:p w:rsidR="009B114D" w:rsidRPr="00DC7D0A" w:rsidRDefault="009B114D" w:rsidP="00DC7D0A">
      <w:pPr>
        <w:jc w:val="center"/>
      </w:pPr>
    </w:p>
    <w:p w:rsidR="00DC7D0A" w:rsidRPr="00DC7D0A" w:rsidRDefault="00DC7D0A" w:rsidP="00DC7D0A">
      <w:pPr>
        <w:jc w:val="center"/>
      </w:pPr>
    </w:p>
    <w:p w:rsidR="009B114D" w:rsidRPr="00DC7D0A" w:rsidRDefault="009B114D" w:rsidP="00DC7D0A">
      <w:pPr>
        <w:jc w:val="center"/>
      </w:pPr>
    </w:p>
    <w:p w:rsidR="00DE61E0" w:rsidRPr="00DC7D0A" w:rsidRDefault="00DE61E0" w:rsidP="00DC7D0A">
      <w:pPr>
        <w:jc w:val="center"/>
        <w:rPr>
          <w:b/>
        </w:rPr>
      </w:pPr>
      <w:bookmarkStart w:id="1" w:name="To"/>
      <w:r>
        <w:rPr>
          <w:b/>
        </w:rPr>
        <w:t xml:space="preserve">SPRAWA </w:t>
      </w:r>
      <w:bookmarkEnd w:id="1"/>
      <w:r>
        <w:rPr>
          <w:b/>
        </w:rPr>
        <w:t>ZIAJA PRZECIWKO POLSCE</w:t>
      </w:r>
    </w:p>
    <w:p w:rsidR="00DE61E0" w:rsidRPr="00DC7D0A" w:rsidRDefault="00DE61E0" w:rsidP="00DC7D0A">
      <w:pPr>
        <w:jc w:val="center"/>
      </w:pPr>
    </w:p>
    <w:p w:rsidR="00DE61E0" w:rsidRPr="00DC7D0A" w:rsidRDefault="00DE61E0" w:rsidP="00DC7D0A">
      <w:pPr>
        <w:jc w:val="center"/>
        <w:rPr>
          <w:i/>
        </w:rPr>
      </w:pPr>
      <w:r>
        <w:rPr>
          <w:i/>
        </w:rPr>
        <w:t>(Skarga nr 45751/10)</w:t>
      </w:r>
    </w:p>
    <w:p w:rsidR="00DE61E0" w:rsidRPr="00DC7D0A" w:rsidRDefault="00DE61E0" w:rsidP="00DC7D0A">
      <w:pPr>
        <w:jc w:val="center"/>
      </w:pPr>
    </w:p>
    <w:p w:rsidR="00DE61E0" w:rsidRPr="00DC7D0A" w:rsidRDefault="00DE61E0" w:rsidP="00DC7D0A">
      <w:pPr>
        <w:jc w:val="center"/>
        <w:rPr>
          <w:szCs w:val="24"/>
        </w:rPr>
      </w:pPr>
    </w:p>
    <w:p w:rsidR="00222F0C" w:rsidRPr="00DC7D0A" w:rsidRDefault="00222F0C" w:rsidP="00DC7D0A">
      <w:pPr>
        <w:jc w:val="center"/>
        <w:rPr>
          <w:szCs w:val="24"/>
        </w:rPr>
      </w:pPr>
    </w:p>
    <w:p w:rsidR="00222F0C" w:rsidRPr="00DC7D0A" w:rsidRDefault="00222F0C" w:rsidP="00DC7D0A">
      <w:pPr>
        <w:jc w:val="center"/>
        <w:rPr>
          <w:szCs w:val="24"/>
        </w:rPr>
      </w:pPr>
    </w:p>
    <w:p w:rsidR="00DE61E0" w:rsidRPr="00DC7D0A" w:rsidRDefault="009B114D" w:rsidP="00DC7D0A">
      <w:pPr>
        <w:jc w:val="center"/>
        <w:rPr>
          <w:szCs w:val="24"/>
        </w:rPr>
      </w:pPr>
      <w:r>
        <w:t>WYROK</w:t>
      </w:r>
    </w:p>
    <w:p w:rsidR="009B114D" w:rsidRPr="00DC7D0A" w:rsidRDefault="009B114D" w:rsidP="00DC7D0A">
      <w:pPr>
        <w:pStyle w:val="JuCase"/>
        <w:ind w:firstLine="0"/>
        <w:jc w:val="center"/>
        <w:rPr>
          <w:b w:val="0"/>
        </w:rPr>
      </w:pPr>
    </w:p>
    <w:p w:rsidR="009B114D" w:rsidRPr="00DC7D0A" w:rsidRDefault="009B114D" w:rsidP="00DC7D0A">
      <w:pPr>
        <w:pStyle w:val="JuCase"/>
        <w:ind w:firstLine="0"/>
        <w:jc w:val="center"/>
        <w:rPr>
          <w:b w:val="0"/>
        </w:rPr>
      </w:pPr>
    </w:p>
    <w:p w:rsidR="009B114D" w:rsidRPr="00DC7D0A" w:rsidRDefault="009B114D" w:rsidP="00DC7D0A">
      <w:pPr>
        <w:pStyle w:val="JuCase"/>
        <w:ind w:firstLine="0"/>
        <w:jc w:val="center"/>
        <w:rPr>
          <w:b w:val="0"/>
        </w:rPr>
      </w:pPr>
      <w:r>
        <w:rPr>
          <w:b w:val="0"/>
        </w:rPr>
        <w:t>STRASBURG</w:t>
      </w:r>
    </w:p>
    <w:p w:rsidR="009B114D" w:rsidRPr="00DC7D0A" w:rsidRDefault="009B114D" w:rsidP="00DC7D0A">
      <w:pPr>
        <w:pStyle w:val="JuCase"/>
        <w:ind w:firstLine="0"/>
        <w:jc w:val="center"/>
        <w:rPr>
          <w:b w:val="0"/>
        </w:rPr>
      </w:pPr>
    </w:p>
    <w:p w:rsidR="009B114D" w:rsidRPr="00DC7D0A" w:rsidRDefault="009B114D" w:rsidP="00DC7D0A">
      <w:pPr>
        <w:pStyle w:val="JuCase"/>
        <w:ind w:firstLine="0"/>
        <w:jc w:val="center"/>
        <w:rPr>
          <w:b w:val="0"/>
        </w:rPr>
      </w:pPr>
      <w:r>
        <w:rPr>
          <w:b w:val="0"/>
        </w:rPr>
        <w:t>16 maja 2019 </w:t>
      </w:r>
      <w:r w:rsidR="007F5BB6">
        <w:rPr>
          <w:b w:val="0"/>
        </w:rPr>
        <w:t>roku</w:t>
      </w:r>
    </w:p>
    <w:p w:rsidR="009B114D" w:rsidRPr="00DC7D0A" w:rsidRDefault="009B114D" w:rsidP="00DC7D0A">
      <w:pPr>
        <w:pStyle w:val="JuCase"/>
        <w:ind w:firstLine="0"/>
        <w:jc w:val="center"/>
        <w:rPr>
          <w:b w:val="0"/>
        </w:rPr>
      </w:pPr>
    </w:p>
    <w:p w:rsidR="00DC7D0A" w:rsidRPr="00DC7D0A" w:rsidRDefault="00DC7D0A" w:rsidP="00DC7D0A">
      <w:pPr>
        <w:pStyle w:val="ECHRPara"/>
      </w:pPr>
    </w:p>
    <w:p w:rsidR="00DC7D0A" w:rsidRPr="00DC7D0A" w:rsidRDefault="00DC7D0A" w:rsidP="00DC7D0A">
      <w:pPr>
        <w:pStyle w:val="ECHRPara"/>
      </w:pPr>
    </w:p>
    <w:p w:rsidR="004B3056" w:rsidRPr="00DC7D0A" w:rsidRDefault="004B3056" w:rsidP="00DC7D0A">
      <w:pPr>
        <w:pStyle w:val="ECHRPara"/>
      </w:pPr>
    </w:p>
    <w:p w:rsidR="009B114D" w:rsidRPr="00DC7D0A" w:rsidRDefault="009B114D" w:rsidP="005C5B08">
      <w:pPr>
        <w:pStyle w:val="JuCase"/>
        <w:ind w:firstLine="0"/>
        <w:jc w:val="center"/>
        <w:rPr>
          <w:b w:val="0"/>
          <w:i/>
          <w:sz w:val="22"/>
        </w:rPr>
      </w:pPr>
      <w:r>
        <w:rPr>
          <w:b w:val="0"/>
          <w:i/>
          <w:sz w:val="22"/>
        </w:rPr>
        <w:t>Wyrok jest ostateczny, ale może podlegać korekcie wydawniczej.</w:t>
      </w:r>
    </w:p>
    <w:p w:rsidR="00DC7D0A" w:rsidRPr="00DC7D0A" w:rsidRDefault="00DC7D0A" w:rsidP="00DC7D0A">
      <w:pPr>
        <w:pStyle w:val="ECHRPara"/>
      </w:pPr>
    </w:p>
    <w:p w:rsidR="00DC7D0A" w:rsidRPr="00DC7D0A" w:rsidRDefault="00DC7D0A" w:rsidP="00DC7D0A">
      <w:pPr>
        <w:pStyle w:val="ECHRPara"/>
        <w:sectPr w:rsidR="00DC7D0A" w:rsidRPr="00DC7D0A" w:rsidSect="009B114D">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rsidR="00DE61E0" w:rsidRPr="00DC7D0A" w:rsidRDefault="00DE61E0" w:rsidP="00E51754">
      <w:pPr>
        <w:pStyle w:val="JuCase"/>
        <w:ind w:left="-709" w:right="-864"/>
        <w:rPr>
          <w:b w:val="0"/>
          <w:bCs/>
        </w:rPr>
      </w:pPr>
      <w:r>
        <w:lastRenderedPageBreak/>
        <w:t>W sprawie Ziaja przeciwko Polsce</w:t>
      </w:r>
    </w:p>
    <w:p w:rsidR="00DE61E0" w:rsidRPr="00DC7D0A" w:rsidRDefault="00DE61E0" w:rsidP="00E51754">
      <w:pPr>
        <w:pStyle w:val="ECHRPara"/>
        <w:ind w:left="-709" w:right="-864"/>
        <w:rPr>
          <w:b/>
        </w:rPr>
      </w:pPr>
      <w:r>
        <w:t>Europejski Trybunał Praw Człowieka (Sekcja Pierwsza), zasiadając jako Komitet w</w:t>
      </w:r>
      <w:r w:rsidR="00D07C1F">
        <w:t> </w:t>
      </w:r>
      <w:r>
        <w:t>składzie:</w:t>
      </w:r>
    </w:p>
    <w:p w:rsidR="001A1FAB" w:rsidRPr="00DC7D0A" w:rsidRDefault="009B114D" w:rsidP="00E51754">
      <w:pPr>
        <w:pStyle w:val="ECHRDecisionBody"/>
        <w:ind w:left="-709" w:right="-864"/>
      </w:pPr>
      <w:r>
        <w:tab/>
      </w:r>
      <w:proofErr w:type="spellStart"/>
      <w:r>
        <w:t>Ksenija</w:t>
      </w:r>
      <w:proofErr w:type="spellEnd"/>
      <w:r>
        <w:t xml:space="preserve"> </w:t>
      </w:r>
      <w:proofErr w:type="spellStart"/>
      <w:r>
        <w:t>Turković</w:t>
      </w:r>
      <w:proofErr w:type="spellEnd"/>
      <w:r>
        <w:t>,</w:t>
      </w:r>
      <w:r>
        <w:rPr>
          <w:i/>
        </w:rPr>
        <w:t xml:space="preserve"> </w:t>
      </w:r>
      <w:r w:rsidR="007A6875">
        <w:rPr>
          <w:i/>
        </w:rPr>
        <w:t>P</w:t>
      </w:r>
      <w:r>
        <w:rPr>
          <w:i/>
        </w:rPr>
        <w:t>rzewodnicząca,</w:t>
      </w:r>
      <w:r>
        <w:rPr>
          <w:i/>
        </w:rPr>
        <w:br/>
      </w:r>
      <w:r>
        <w:tab/>
        <w:t xml:space="preserve">Krzysztof </w:t>
      </w:r>
      <w:proofErr w:type="spellStart"/>
      <w:r>
        <w:t>Wojtyczek</w:t>
      </w:r>
      <w:proofErr w:type="spellEnd"/>
      <w:r>
        <w:t>,</w:t>
      </w:r>
      <w:r>
        <w:rPr>
          <w:i/>
        </w:rPr>
        <w:br/>
      </w:r>
      <w:r>
        <w:tab/>
      </w:r>
      <w:proofErr w:type="spellStart"/>
      <w:r>
        <w:t>Armen</w:t>
      </w:r>
      <w:proofErr w:type="spellEnd"/>
      <w:r>
        <w:t xml:space="preserve"> </w:t>
      </w:r>
      <w:proofErr w:type="spellStart"/>
      <w:r>
        <w:t>Harutyunyan</w:t>
      </w:r>
      <w:proofErr w:type="spellEnd"/>
      <w:r>
        <w:t>,</w:t>
      </w:r>
      <w:r>
        <w:rPr>
          <w:i/>
        </w:rPr>
        <w:t xml:space="preserve"> </w:t>
      </w:r>
      <w:r w:rsidR="007A6875">
        <w:rPr>
          <w:i/>
        </w:rPr>
        <w:t>S</w:t>
      </w:r>
      <w:r>
        <w:rPr>
          <w:i/>
        </w:rPr>
        <w:t>ędziowie,</w:t>
      </w:r>
    </w:p>
    <w:p w:rsidR="00DE61E0" w:rsidRPr="00DC7D0A" w:rsidRDefault="00DE61E0" w:rsidP="00E51754">
      <w:pPr>
        <w:pStyle w:val="ECHRDecisionBody"/>
        <w:ind w:left="-709" w:right="-864"/>
      </w:pPr>
      <w:r>
        <w:t xml:space="preserve">i Renata </w:t>
      </w:r>
      <w:proofErr w:type="spellStart"/>
      <w:r>
        <w:t>Degener</w:t>
      </w:r>
      <w:proofErr w:type="spellEnd"/>
      <w:r>
        <w:t xml:space="preserve">, </w:t>
      </w:r>
      <w:r w:rsidR="007A6875">
        <w:rPr>
          <w:i/>
          <w:iCs/>
        </w:rPr>
        <w:t>Z</w:t>
      </w:r>
      <w:r>
        <w:rPr>
          <w:i/>
          <w:iCs/>
        </w:rPr>
        <w:t xml:space="preserve">astępca </w:t>
      </w:r>
      <w:r w:rsidR="00D26370">
        <w:rPr>
          <w:i/>
          <w:iCs/>
        </w:rPr>
        <w:t xml:space="preserve">Kanclerza </w:t>
      </w:r>
      <w:r>
        <w:rPr>
          <w:i/>
          <w:iCs/>
        </w:rPr>
        <w:t>Sekcji</w:t>
      </w:r>
      <w:r>
        <w:rPr>
          <w:i/>
        </w:rPr>
        <w:t>,</w:t>
      </w:r>
    </w:p>
    <w:p w:rsidR="00DE61E0" w:rsidRPr="00DC7D0A" w:rsidRDefault="00DE61E0" w:rsidP="00E51754">
      <w:pPr>
        <w:pStyle w:val="ECHRPara"/>
        <w:ind w:left="-709" w:right="-864"/>
      </w:pPr>
      <w:r>
        <w:t>obradując na posiedzeniu niejawnym w dniu 23 kwietnia 2019 </w:t>
      </w:r>
      <w:r w:rsidR="007F5BB6">
        <w:t>roku</w:t>
      </w:r>
      <w:r>
        <w:t>,</w:t>
      </w:r>
    </w:p>
    <w:p w:rsidR="00DE61E0" w:rsidRPr="00DC7D0A" w:rsidRDefault="00DE61E0" w:rsidP="00E51754">
      <w:pPr>
        <w:pStyle w:val="ECHRPara"/>
        <w:ind w:left="-709" w:right="-864"/>
      </w:pPr>
      <w:r>
        <w:t>wydaje następujący wyrok, który został przyjęty w tym dniu:</w:t>
      </w:r>
    </w:p>
    <w:p w:rsidR="00DE61E0" w:rsidRPr="00DC7D0A" w:rsidRDefault="00DE61E0" w:rsidP="00E51754">
      <w:pPr>
        <w:pStyle w:val="ECHRTitle1"/>
        <w:ind w:left="-709" w:right="-864"/>
      </w:pPr>
      <w:r>
        <w:t>POSTĘPOWANIE</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w:t>
      </w:r>
      <w:r>
        <w:rPr>
          <w:noProof/>
        </w:rPr>
        <w:fldChar w:fldCharType="end"/>
      </w:r>
      <w:r w:rsidR="00B3036D">
        <w:t>.  Sprawa wywodzi się ze skargi (nr 45751/10) przeciwko Rzecz</w:t>
      </w:r>
      <w:r w:rsidR="002F2C59">
        <w:t>y</w:t>
      </w:r>
      <w:r w:rsidR="00B3036D">
        <w:t>pospolitej Polskiej, wniesionej do Trybunału w dniu 2 sierpnia 2010 </w:t>
      </w:r>
      <w:r w:rsidR="007F5BB6">
        <w:t>roku</w:t>
      </w:r>
      <w:r w:rsidR="00B3036D">
        <w:t xml:space="preserve"> na podstawie art. 34 Konwencji o</w:t>
      </w:r>
      <w:r w:rsidR="002F2C59">
        <w:t> </w:t>
      </w:r>
      <w:r w:rsidR="00B3036D">
        <w:t>ochronie praw człowieka i podstawowych wolności (</w:t>
      </w:r>
      <w:r w:rsidR="003631F9">
        <w:t xml:space="preserve">zwanej dalej: </w:t>
      </w:r>
      <w:r w:rsidR="00B3036D">
        <w:t>Konwencj</w:t>
      </w:r>
      <w:r w:rsidR="003631F9">
        <w:t>ą</w:t>
      </w:r>
      <w:r w:rsidR="00B3036D">
        <w:t>) przez obywatelkę Polski p. Janinę Ziaję (</w:t>
      </w:r>
      <w:r w:rsidR="00EE2DF3">
        <w:t xml:space="preserve">zwaną dalej: </w:t>
      </w:r>
      <w:r w:rsidR="00B3036D">
        <w:t>skarżąc</w:t>
      </w:r>
      <w:r w:rsidR="006C056F">
        <w:t>ą</w:t>
      </w:r>
      <w:r w:rsidR="00B3036D">
        <w:t>).</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2</w:t>
      </w:r>
      <w:r>
        <w:rPr>
          <w:noProof/>
        </w:rPr>
        <w:fldChar w:fldCharType="end"/>
      </w:r>
      <w:r w:rsidR="00B3036D">
        <w:t>.  Skarżąca była reprezentowana przez E. Dragę-Buchtę, adwokat praktykującą w</w:t>
      </w:r>
      <w:r w:rsidR="0066737C">
        <w:t> </w:t>
      </w:r>
      <w:r w:rsidR="00B3036D">
        <w:t>Katowicach. Rząd Rzeczypospolitej Polskiej (</w:t>
      </w:r>
      <w:r w:rsidR="003631F9">
        <w:t>zwany</w:t>
      </w:r>
      <w:r w:rsidR="00B7248D">
        <w:t xml:space="preserve"> dalej: </w:t>
      </w:r>
      <w:r w:rsidR="00B3036D">
        <w:t>Rząd</w:t>
      </w:r>
      <w:r w:rsidR="003631F9">
        <w:t>em</w:t>
      </w:r>
      <w:r w:rsidR="00B3036D">
        <w:t>) był reprezentowany przez swojego pełnomocnika, p. J. Chrzanowską, a</w:t>
      </w:r>
      <w:r w:rsidR="00064A84">
        <w:t> </w:t>
      </w:r>
      <w:r w:rsidR="00B3036D">
        <w:t>następnie przez p. J.</w:t>
      </w:r>
      <w:r w:rsidR="007A6875">
        <w:t> </w:t>
      </w:r>
      <w:r w:rsidR="00B3036D">
        <w:t>Sobczaka, z</w:t>
      </w:r>
      <w:r w:rsidR="00D07C1F">
        <w:t> </w:t>
      </w:r>
      <w:r w:rsidR="00B3036D">
        <w:t>Ministerstwa Spraw Zagranicznych.</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w:t>
      </w:r>
      <w:r>
        <w:rPr>
          <w:noProof/>
        </w:rPr>
        <w:fldChar w:fldCharType="end"/>
      </w:r>
      <w:r w:rsidR="00B3036D">
        <w:t>.  W dniu 16 maja 2012 </w:t>
      </w:r>
      <w:r w:rsidR="007F5BB6">
        <w:t>roku</w:t>
      </w:r>
      <w:r w:rsidR="00B3036D">
        <w:t xml:space="preserve"> sprawa została zakomunikowana Rządowi.</w:t>
      </w:r>
    </w:p>
    <w:p w:rsidR="00DE61E0" w:rsidRPr="00DC7D0A" w:rsidRDefault="00DE61E0" w:rsidP="00E51754">
      <w:pPr>
        <w:pStyle w:val="ECHRTitle1"/>
        <w:ind w:left="-709" w:right="-864"/>
      </w:pPr>
      <w:r>
        <w:t>FAKTY</w:t>
      </w:r>
    </w:p>
    <w:p w:rsidR="00DE61E0" w:rsidRPr="00DC7D0A" w:rsidRDefault="004C154E" w:rsidP="00E51754">
      <w:pPr>
        <w:pStyle w:val="ECHRHeading1"/>
        <w:ind w:left="-709" w:right="-864"/>
      </w:pPr>
      <w:r>
        <w:t>I. OKOLICZNOŚCI SPRAWY</w:t>
      </w:r>
    </w:p>
    <w:p w:rsidR="001A4083"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w:t>
      </w:r>
      <w:r>
        <w:rPr>
          <w:noProof/>
        </w:rPr>
        <w:fldChar w:fldCharType="end"/>
      </w:r>
      <w:r w:rsidR="00B3036D">
        <w:t>.  Skarżąca urodziła się w 1956 </w:t>
      </w:r>
      <w:r w:rsidR="007F5BB6">
        <w:t>roku</w:t>
      </w:r>
      <w:r w:rsidR="00B3036D">
        <w:t xml:space="preserve"> i mieszka w Golasowicach.</w:t>
      </w:r>
    </w:p>
    <w:p w:rsidR="001A4083" w:rsidRPr="00DC7D0A" w:rsidRDefault="009B114D" w:rsidP="00E51754">
      <w:pPr>
        <w:pStyle w:val="ECHRHeading2"/>
        <w:ind w:left="-709" w:right="-864"/>
      </w:pPr>
      <w:r>
        <w:t>A. Postępowanie główne</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w:t>
      </w:r>
      <w:r>
        <w:rPr>
          <w:noProof/>
        </w:rPr>
        <w:fldChar w:fldCharType="end"/>
      </w:r>
      <w:r w:rsidR="001A4083">
        <w:t>.  W dniu 1 lutego 1999 </w:t>
      </w:r>
      <w:r w:rsidR="007F5BB6">
        <w:t>roku</w:t>
      </w:r>
      <w:r w:rsidR="001A4083">
        <w:t xml:space="preserve"> skarżąca wystąpiła do Sądu Rejonowego w</w:t>
      </w:r>
      <w:r w:rsidR="00064A84">
        <w:t> </w:t>
      </w:r>
      <w:r w:rsidR="0011370E">
        <w:t>Jastrzębiu - Zdroju</w:t>
      </w:r>
      <w:r w:rsidR="001A4083">
        <w:t xml:space="preserve"> </w:t>
      </w:r>
      <w:r w:rsidR="000A716B">
        <w:t xml:space="preserve">z </w:t>
      </w:r>
      <w:r w:rsidR="00FF69D3">
        <w:t>wnioskiem</w:t>
      </w:r>
      <w:r w:rsidR="000A716B">
        <w:t xml:space="preserve"> </w:t>
      </w:r>
      <w:r w:rsidR="001A4083">
        <w:t xml:space="preserve">o ustanowienie służebności. W szczególności skarżąca domagała się wydania orzeczenia </w:t>
      </w:r>
      <w:r w:rsidR="00F46270">
        <w:t xml:space="preserve">umożliwiającego </w:t>
      </w:r>
      <w:r w:rsidR="001A4083">
        <w:t xml:space="preserve">jej korzystanie z pasa </w:t>
      </w:r>
      <w:r w:rsidR="00F46270">
        <w:t xml:space="preserve">gruntu </w:t>
      </w:r>
      <w:r w:rsidR="001A4083">
        <w:t>należącego do jej sąsiadów w</w:t>
      </w:r>
      <w:r w:rsidR="00F46270">
        <w:t> </w:t>
      </w:r>
      <w:r w:rsidR="001A4083">
        <w:t>charakterze drogi dojazd</w:t>
      </w:r>
      <w:r w:rsidR="00F46270">
        <w:t>owej</w:t>
      </w:r>
      <w:r w:rsidR="001A4083">
        <w:t xml:space="preserve"> </w:t>
      </w:r>
      <w:r w:rsidR="00F46270">
        <w:t xml:space="preserve">prowadzącej </w:t>
      </w:r>
      <w:r w:rsidR="001A4083">
        <w:t xml:space="preserve">do jej posesji. Przedmiotowa droga, z której </w:t>
      </w:r>
      <w:r w:rsidR="000A716B">
        <w:t xml:space="preserve">skarżąca </w:t>
      </w:r>
      <w:r w:rsidR="001A4083">
        <w:t>korzystała w przeszłości, biegnie wzdłuż grobli między stawami rybnymi.</w:t>
      </w:r>
    </w:p>
    <w:p w:rsidR="001A4083"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6</w:t>
      </w:r>
      <w:r>
        <w:rPr>
          <w:noProof/>
        </w:rPr>
        <w:fldChar w:fldCharType="end"/>
      </w:r>
      <w:r w:rsidR="001A4083">
        <w:t>.  Postanowieniem z dnia 11 lipca 2000 </w:t>
      </w:r>
      <w:r w:rsidR="0011370E">
        <w:t xml:space="preserve">roku </w:t>
      </w:r>
      <w:r w:rsidR="001A4083">
        <w:t>(</w:t>
      </w:r>
      <w:r w:rsidR="00512715">
        <w:t>sygn. akt</w:t>
      </w:r>
      <w:r w:rsidR="001A4083">
        <w:t xml:space="preserve"> I </w:t>
      </w:r>
      <w:proofErr w:type="spellStart"/>
      <w:r w:rsidR="001A4083">
        <w:t>Ns</w:t>
      </w:r>
      <w:proofErr w:type="spellEnd"/>
      <w:r w:rsidR="001A4083">
        <w:t xml:space="preserve"> 57/99) Sąd Rejonowy w</w:t>
      </w:r>
      <w:r w:rsidR="00D07C1F">
        <w:t> </w:t>
      </w:r>
      <w:r w:rsidR="004659A7">
        <w:t>Jastrzębiu-</w:t>
      </w:r>
      <w:r w:rsidR="0011370E">
        <w:t>Zdroju</w:t>
      </w:r>
      <w:r w:rsidR="001A4083">
        <w:t xml:space="preserve"> uwzględnił wniosek skarżącej. </w:t>
      </w:r>
      <w:r w:rsidR="00FF69D3">
        <w:t>Od </w:t>
      </w:r>
      <w:r w:rsidR="00DF5E64">
        <w:t xml:space="preserve">przedmiotowego </w:t>
      </w:r>
      <w:r w:rsidR="00FF69D3">
        <w:t>postanowienia</w:t>
      </w:r>
      <w:r w:rsidR="00FF69D3" w:rsidDel="00FF69D3">
        <w:t xml:space="preserve"> </w:t>
      </w:r>
      <w:r w:rsidR="005E0FE5">
        <w:t>uczestnicy</w:t>
      </w:r>
      <w:r w:rsidR="001A4083">
        <w:t xml:space="preserve"> </w:t>
      </w:r>
      <w:r w:rsidR="00FF69D3">
        <w:t>wni</w:t>
      </w:r>
      <w:r w:rsidR="005E0FE5">
        <w:t>eśli</w:t>
      </w:r>
      <w:r w:rsidR="00FF69D3">
        <w:t xml:space="preserve"> </w:t>
      </w:r>
      <w:r w:rsidR="001A4083">
        <w:t>apelację.</w:t>
      </w:r>
    </w:p>
    <w:p w:rsidR="001A4083" w:rsidRPr="00DC7D0A" w:rsidRDefault="0015050A" w:rsidP="00E51754">
      <w:pPr>
        <w:pStyle w:val="ECHRPara"/>
        <w:ind w:left="-709" w:right="-864"/>
      </w:pPr>
      <w:r>
        <w:lastRenderedPageBreak/>
        <w:fldChar w:fldCharType="begin"/>
      </w:r>
      <w:r>
        <w:instrText xml:space="preserve"> SEQ level0 \*arabic </w:instrText>
      </w:r>
      <w:r>
        <w:fldChar w:fldCharType="separate"/>
      </w:r>
      <w:r w:rsidR="008F59F8">
        <w:rPr>
          <w:noProof/>
        </w:rPr>
        <w:t>7</w:t>
      </w:r>
      <w:r>
        <w:rPr>
          <w:noProof/>
        </w:rPr>
        <w:fldChar w:fldCharType="end"/>
      </w:r>
      <w:r w:rsidR="001A4083">
        <w:t>.  W dniu 15 listopada 2000 </w:t>
      </w:r>
      <w:r w:rsidR="007F5BB6">
        <w:t>roku</w:t>
      </w:r>
      <w:r w:rsidR="001A4083">
        <w:t xml:space="preserve"> Sąd Okręgowy w Katowicach uchylił postanowienie sądu pierwszej instancji i </w:t>
      </w:r>
      <w:r w:rsidR="00D758E2">
        <w:t xml:space="preserve">przekazał </w:t>
      </w:r>
      <w:r w:rsidR="001A4083">
        <w:t>sprawę do ponownego rozpoznania (sygn. akt III</w:t>
      </w:r>
      <w:r w:rsidR="00D07C1F">
        <w:t> </w:t>
      </w:r>
      <w:r w:rsidR="001A4083">
        <w:t>Ca</w:t>
      </w:r>
      <w:r w:rsidR="00D07C1F">
        <w:t> </w:t>
      </w:r>
      <w:r w:rsidR="001A4083">
        <w:t>661/00).</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8</w:t>
      </w:r>
      <w:r>
        <w:rPr>
          <w:noProof/>
        </w:rPr>
        <w:fldChar w:fldCharType="end"/>
      </w:r>
      <w:r w:rsidR="00973C3F">
        <w:t>.  </w:t>
      </w:r>
      <w:r w:rsidR="00FF69D3">
        <w:t xml:space="preserve">Na </w:t>
      </w:r>
      <w:r w:rsidR="00973C3F">
        <w:t>rozpraw</w:t>
      </w:r>
      <w:r w:rsidR="00FF69D3">
        <w:t>ie</w:t>
      </w:r>
      <w:r w:rsidR="00973C3F">
        <w:t xml:space="preserve"> w dniu 13 marca 2001 </w:t>
      </w:r>
      <w:r w:rsidR="007F5BB6">
        <w:t>roku</w:t>
      </w:r>
      <w:r w:rsidR="00973C3F">
        <w:t xml:space="preserve"> sąd </w:t>
      </w:r>
      <w:r w:rsidR="00FF69D3">
        <w:t xml:space="preserve">zlecił sporządzenie </w:t>
      </w:r>
      <w:r w:rsidR="00973C3F">
        <w:t xml:space="preserve">opinii </w:t>
      </w:r>
      <w:r w:rsidR="00FF69D3">
        <w:t>biegłego</w:t>
      </w:r>
      <w:r w:rsidR="00973C3F">
        <w:t xml:space="preserve">. Dwaj biegli odmówili </w:t>
      </w:r>
      <w:r w:rsidR="00FF69D3">
        <w:t xml:space="preserve">sporządzenia </w:t>
      </w:r>
      <w:r w:rsidR="00973C3F">
        <w:t xml:space="preserve">opinii, a trzeci ostatecznie </w:t>
      </w:r>
      <w:r w:rsidR="00FF69D3">
        <w:t>sporządził</w:t>
      </w:r>
      <w:r w:rsidR="00973C3F">
        <w:t xml:space="preserve"> ją w dniu 17 października 2001 </w:t>
      </w:r>
      <w:r w:rsidR="007F5BB6">
        <w:t>roku</w:t>
      </w:r>
      <w:r w:rsidR="00894240">
        <w:t>.</w:t>
      </w:r>
    </w:p>
    <w:p w:rsidR="00E045B7"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9</w:t>
      </w:r>
      <w:r>
        <w:rPr>
          <w:noProof/>
        </w:rPr>
        <w:fldChar w:fldCharType="end"/>
      </w:r>
      <w:r w:rsidR="00973C3F">
        <w:t xml:space="preserve">.  Uczestnicy </w:t>
      </w:r>
      <w:r w:rsidR="00D82A60">
        <w:t>za</w:t>
      </w:r>
      <w:r w:rsidR="00973C3F">
        <w:t>kwestionowali zarówno samą opinię biegłych, jak i opłatę za jej sporządzenie. W marcu 2002 </w:t>
      </w:r>
      <w:r w:rsidR="007F5BB6">
        <w:t>roku</w:t>
      </w:r>
      <w:r w:rsidR="00973C3F">
        <w:t xml:space="preserve"> </w:t>
      </w:r>
      <w:r w:rsidR="00D82A60">
        <w:t>wnieśli o</w:t>
      </w:r>
      <w:r w:rsidR="00973C3F">
        <w:t xml:space="preserve"> </w:t>
      </w:r>
      <w:r w:rsidR="00FF69D3">
        <w:t>sporządzeni</w:t>
      </w:r>
      <w:r w:rsidR="00D82A60">
        <w:t>e</w:t>
      </w:r>
      <w:r w:rsidR="00FF69D3">
        <w:t xml:space="preserve"> </w:t>
      </w:r>
      <w:r w:rsidR="00973C3F">
        <w:t>kolejnej opinii biegłego.</w:t>
      </w:r>
    </w:p>
    <w:p w:rsidR="00E045B7"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10</w:t>
      </w:r>
      <w:r>
        <w:rPr>
          <w:noProof/>
        </w:rPr>
        <w:fldChar w:fldCharType="end"/>
      </w:r>
      <w:r w:rsidR="00973C3F">
        <w:t>.  </w:t>
      </w:r>
      <w:r w:rsidR="00F64A80">
        <w:t>Wydaje się</w:t>
      </w:r>
      <w:r w:rsidR="00973C3F">
        <w:t>, że kolejna rozprawa miała miejsce w dniu 23 kwietnia 2002 </w:t>
      </w:r>
      <w:r w:rsidR="007F5BB6">
        <w:t>roku</w:t>
      </w:r>
      <w:r w:rsidR="00894240">
        <w:t>.</w:t>
      </w:r>
      <w:r w:rsidR="00973C3F">
        <w:t xml:space="preserve"> Sąd przesłuchał </w:t>
      </w:r>
      <w:r w:rsidR="00D82A60">
        <w:t xml:space="preserve">wówczas </w:t>
      </w:r>
      <w:r w:rsidR="00973C3F">
        <w:t xml:space="preserve">biegłego i powołał kolejnego </w:t>
      </w:r>
      <w:r w:rsidR="00D82A60">
        <w:t>na potrzeby</w:t>
      </w:r>
      <w:r w:rsidR="00FF69D3">
        <w:t xml:space="preserve"> wy</w:t>
      </w:r>
      <w:r w:rsidR="00973C3F">
        <w:t>ceny wartości działki.</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11</w:t>
      </w:r>
      <w:r>
        <w:rPr>
          <w:noProof/>
        </w:rPr>
        <w:fldChar w:fldCharType="end"/>
      </w:r>
      <w:r w:rsidR="00973C3F">
        <w:t>.  W dniu 12 listopada 2002 </w:t>
      </w:r>
      <w:r w:rsidR="007F5BB6">
        <w:t>roku</w:t>
      </w:r>
      <w:r w:rsidR="00973C3F">
        <w:t xml:space="preserve"> sąd dokonał oględzin nieruchomości.</w:t>
      </w:r>
    </w:p>
    <w:p w:rsidR="00E045B7"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12</w:t>
      </w:r>
      <w:r>
        <w:rPr>
          <w:noProof/>
        </w:rPr>
        <w:fldChar w:fldCharType="end"/>
      </w:r>
      <w:r w:rsidR="00973C3F">
        <w:t>.  </w:t>
      </w:r>
      <w:r w:rsidR="00D82A60">
        <w:t xml:space="preserve">Na </w:t>
      </w:r>
      <w:r w:rsidR="00973C3F">
        <w:t>rozpraw</w:t>
      </w:r>
      <w:r w:rsidR="00D82A60">
        <w:t>ie</w:t>
      </w:r>
      <w:r w:rsidR="00973C3F">
        <w:t xml:space="preserve"> w dniu 13 stycznia 2003 </w:t>
      </w:r>
      <w:r w:rsidR="007F5BB6">
        <w:t>roku</w:t>
      </w:r>
      <w:r w:rsidR="00973C3F">
        <w:t xml:space="preserve"> sąd postanowił powołać jeszcze jednego biegłego w celu ustalenia, czy służebność będzie miała wpływ na stawy rybne. Opinię przedstawiono sądowi w dniu 11</w:t>
      </w:r>
      <w:r w:rsidR="00064A84">
        <w:t> </w:t>
      </w:r>
      <w:r w:rsidR="00973C3F">
        <w:t>kwietnia 2003 </w:t>
      </w:r>
      <w:r w:rsidR="007F5BB6">
        <w:t>roku</w:t>
      </w:r>
      <w:r w:rsidR="00401E27">
        <w:t>.</w:t>
      </w:r>
      <w:r w:rsidR="00973C3F">
        <w:t xml:space="preserve"> Biegłego przesłuchano </w:t>
      </w:r>
      <w:r w:rsidR="00FF69D3">
        <w:t xml:space="preserve">na </w:t>
      </w:r>
      <w:r w:rsidR="00973C3F">
        <w:t>rozpraw</w:t>
      </w:r>
      <w:r w:rsidR="00FF69D3">
        <w:t>ie</w:t>
      </w:r>
      <w:r w:rsidR="00973C3F">
        <w:t xml:space="preserve"> w dniu 3</w:t>
      </w:r>
      <w:r w:rsidR="00064A84">
        <w:t> </w:t>
      </w:r>
      <w:r w:rsidR="00973C3F">
        <w:t>lipca 2003 </w:t>
      </w:r>
      <w:r w:rsidR="007F5BB6">
        <w:t>roku</w:t>
      </w:r>
      <w:r w:rsidR="00401E27">
        <w:t>.</w:t>
      </w:r>
      <w:r w:rsidR="00973C3F">
        <w:t xml:space="preserve"> W dniu 27 stycznia 2004 </w:t>
      </w:r>
      <w:r w:rsidR="007F5BB6">
        <w:t>roku</w:t>
      </w:r>
      <w:r w:rsidR="00973C3F">
        <w:t xml:space="preserve"> inny biegły przedstawił opinię uzupełniającą</w:t>
      </w:r>
      <w:r w:rsidR="00D82A60">
        <w:t xml:space="preserve"> stosownie do wezwania sądu</w:t>
      </w:r>
      <w:r w:rsidR="00973C3F">
        <w:t>.</w:t>
      </w:r>
    </w:p>
    <w:p w:rsidR="00E045B7"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13</w:t>
      </w:r>
      <w:r>
        <w:rPr>
          <w:noProof/>
        </w:rPr>
        <w:fldChar w:fldCharType="end"/>
      </w:r>
      <w:r w:rsidR="00973C3F">
        <w:t>.  Kolejna rozprawa miała miejsce w dniu 17 czerwca 2004 </w:t>
      </w:r>
      <w:r w:rsidR="007F5BB6">
        <w:t>roku</w:t>
      </w:r>
      <w:r w:rsidR="00894240">
        <w:t>.</w:t>
      </w:r>
      <w:r w:rsidR="00973C3F">
        <w:t xml:space="preserve"> </w:t>
      </w:r>
      <w:r w:rsidR="00FF69D3">
        <w:t>Następnie s</w:t>
      </w:r>
      <w:r w:rsidR="00973C3F">
        <w:t xml:space="preserve">ąd </w:t>
      </w:r>
      <w:r w:rsidR="00FF69D3">
        <w:t>rozpoznał</w:t>
      </w:r>
      <w:r w:rsidR="00973C3F">
        <w:t xml:space="preserve"> złożony przez skarżącą </w:t>
      </w:r>
      <w:r w:rsidR="00FF69D3">
        <w:t xml:space="preserve">wniosek </w:t>
      </w:r>
      <w:r w:rsidR="00973C3F">
        <w:t>w przedmiocie zwolnienia jej od opłaty za opinię biegłego.</w:t>
      </w:r>
    </w:p>
    <w:p w:rsidR="001A4083"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14</w:t>
      </w:r>
      <w:r>
        <w:rPr>
          <w:noProof/>
        </w:rPr>
        <w:fldChar w:fldCharType="end"/>
      </w:r>
      <w:r w:rsidR="001A4083">
        <w:t>.   W dniu 2 czerwca 2005 </w:t>
      </w:r>
      <w:r w:rsidR="007F5BB6">
        <w:t>roku</w:t>
      </w:r>
      <w:r w:rsidR="001A4083">
        <w:t xml:space="preserve"> Sąd Rejonowy w </w:t>
      </w:r>
      <w:r w:rsidR="004659A7">
        <w:t>Jastrzębiu-</w:t>
      </w:r>
      <w:r w:rsidR="0011370E">
        <w:t>Zdroju</w:t>
      </w:r>
      <w:r w:rsidR="001A4083">
        <w:t xml:space="preserve"> zasadniczo uwzględnił wniosek skarżącej (sygn. akt I </w:t>
      </w:r>
      <w:proofErr w:type="spellStart"/>
      <w:r w:rsidR="001A4083">
        <w:t>Ns</w:t>
      </w:r>
      <w:proofErr w:type="spellEnd"/>
      <w:r w:rsidR="001A4083">
        <w:t xml:space="preserve"> 57/99). Strona przeciwna </w:t>
      </w:r>
      <w:r w:rsidR="00EB6EEE">
        <w:t>wniosła środek odwoławczy</w:t>
      </w:r>
      <w:r w:rsidR="001A4083">
        <w:t>.</w:t>
      </w:r>
    </w:p>
    <w:p w:rsidR="001A4083"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15</w:t>
      </w:r>
      <w:r>
        <w:rPr>
          <w:noProof/>
        </w:rPr>
        <w:fldChar w:fldCharType="end"/>
      </w:r>
      <w:r w:rsidR="001A4083">
        <w:t>.  W dniu 26 stycznia 2006 </w:t>
      </w:r>
      <w:r w:rsidR="007F5BB6">
        <w:t>roku</w:t>
      </w:r>
      <w:r w:rsidR="001A4083">
        <w:t xml:space="preserve"> (sygn. akt III Ca 1322/05) Sąd Okręgowy w</w:t>
      </w:r>
      <w:r w:rsidR="00D07C1F">
        <w:t> </w:t>
      </w:r>
      <w:r w:rsidR="001A4083">
        <w:t>Gliwicach uchylił postanowienie sądu pierwszej instancji i</w:t>
      </w:r>
      <w:r w:rsidR="00064A84">
        <w:t> </w:t>
      </w:r>
      <w:r w:rsidR="00374E94">
        <w:t xml:space="preserve">po raz kolejny przekazał </w:t>
      </w:r>
      <w:r w:rsidR="001A4083">
        <w:t>sprawę do ponownego rozpoznania.</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16</w:t>
      </w:r>
      <w:r>
        <w:rPr>
          <w:noProof/>
        </w:rPr>
        <w:fldChar w:fldCharType="end"/>
      </w:r>
      <w:r w:rsidR="00973C3F">
        <w:t>.  </w:t>
      </w:r>
      <w:r w:rsidR="00FF69D3">
        <w:t xml:space="preserve">Na </w:t>
      </w:r>
      <w:r w:rsidR="00973C3F">
        <w:t>rozpraw</w:t>
      </w:r>
      <w:r w:rsidR="00FF69D3">
        <w:t>ie</w:t>
      </w:r>
      <w:r w:rsidR="00973C3F">
        <w:t xml:space="preserve"> w dniu 26 czerwca 2006 </w:t>
      </w:r>
      <w:r w:rsidR="007F5BB6">
        <w:t>roku</w:t>
      </w:r>
      <w:r w:rsidR="00973C3F">
        <w:t xml:space="preserve"> sąd </w:t>
      </w:r>
      <w:r w:rsidR="00FF69D3">
        <w:t xml:space="preserve">zlecił sporządzenie </w:t>
      </w:r>
      <w:r w:rsidR="00973C3F">
        <w:t>opinii przez biegłego z zakresu geologii. Opinię przedstawiono sądowi rok później – 22 czerwca 2007 </w:t>
      </w:r>
      <w:r w:rsidR="007F5BB6">
        <w:t>roku</w:t>
      </w:r>
      <w:r w:rsidR="004E20D7">
        <w:t>.</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17</w:t>
      </w:r>
      <w:r>
        <w:rPr>
          <w:noProof/>
        </w:rPr>
        <w:fldChar w:fldCharType="end"/>
      </w:r>
      <w:r w:rsidR="00973C3F">
        <w:t>.  </w:t>
      </w:r>
      <w:r w:rsidR="00FF69D3">
        <w:t xml:space="preserve">Na </w:t>
      </w:r>
      <w:r w:rsidR="00973C3F">
        <w:t>rozpraw</w:t>
      </w:r>
      <w:r w:rsidR="00FF69D3">
        <w:t>ie</w:t>
      </w:r>
      <w:r w:rsidR="00973C3F">
        <w:t xml:space="preserve"> w dniu 18 października 2007 </w:t>
      </w:r>
      <w:r w:rsidR="007F5BB6">
        <w:t>roku</w:t>
      </w:r>
      <w:r w:rsidR="00973C3F">
        <w:t xml:space="preserve"> sąd </w:t>
      </w:r>
      <w:r w:rsidR="00FF69D3">
        <w:t xml:space="preserve">postanowił wezwać </w:t>
      </w:r>
      <w:r w:rsidR="00973C3F">
        <w:t>do udziału w sprawie kolejnych uczestników.</w:t>
      </w:r>
    </w:p>
    <w:p w:rsidR="00D337B2"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18</w:t>
      </w:r>
      <w:r>
        <w:rPr>
          <w:noProof/>
        </w:rPr>
        <w:fldChar w:fldCharType="end"/>
      </w:r>
      <w:r w:rsidR="00973C3F">
        <w:t xml:space="preserve">.  Oględzin nieruchomości </w:t>
      </w:r>
      <w:r w:rsidR="00FF69D3">
        <w:t>gruntowej dokonano w dniu</w:t>
      </w:r>
      <w:r w:rsidR="00973C3F">
        <w:t xml:space="preserve"> 6</w:t>
      </w:r>
      <w:r w:rsidR="00064A84">
        <w:t> </w:t>
      </w:r>
      <w:r w:rsidR="00973C3F">
        <w:t>listopada 2007 </w:t>
      </w:r>
      <w:r w:rsidR="007F5BB6">
        <w:t>roku</w:t>
      </w:r>
      <w:r w:rsidR="00401E27">
        <w:t>.</w:t>
      </w:r>
      <w:r w:rsidR="00973C3F">
        <w:t xml:space="preserve"> Następnie sąd </w:t>
      </w:r>
      <w:r w:rsidR="00FF69D3">
        <w:t xml:space="preserve">zlecił sporządzenie </w:t>
      </w:r>
      <w:r w:rsidR="00973C3F">
        <w:t>kolejnej opinii biegłego z zakresu budowy dróg. Została ona przedłożona sądowi w styczniu 2008 </w:t>
      </w:r>
      <w:r w:rsidR="007F5BB6">
        <w:t>roku</w:t>
      </w:r>
      <w:r w:rsidR="00973C3F">
        <w:t xml:space="preserve">, a strony </w:t>
      </w:r>
      <w:r w:rsidR="00064A84">
        <w:t>przedstawiły swoje stanowisko co</w:t>
      </w:r>
      <w:r w:rsidR="00D07C1F">
        <w:t> </w:t>
      </w:r>
      <w:r w:rsidR="00973C3F">
        <w:t>do jej treści.</w:t>
      </w:r>
    </w:p>
    <w:p w:rsidR="00242DDA"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19</w:t>
      </w:r>
      <w:r>
        <w:rPr>
          <w:noProof/>
        </w:rPr>
        <w:fldChar w:fldCharType="end"/>
      </w:r>
      <w:r w:rsidR="00973C3F">
        <w:t>.  </w:t>
      </w:r>
      <w:r w:rsidR="00064A84">
        <w:t xml:space="preserve">Na </w:t>
      </w:r>
      <w:r w:rsidR="00973C3F">
        <w:t>rozpraw</w:t>
      </w:r>
      <w:r w:rsidR="00064A84">
        <w:t>ie</w:t>
      </w:r>
      <w:r w:rsidR="00973C3F">
        <w:t xml:space="preserve"> w dniu 23 lipca 2008 </w:t>
      </w:r>
      <w:r w:rsidR="007F5BB6">
        <w:t>roku</w:t>
      </w:r>
      <w:r w:rsidR="00973C3F">
        <w:t xml:space="preserve"> sąd przesłuchał biegłego i </w:t>
      </w:r>
      <w:r w:rsidR="00064A84">
        <w:t>zlecił sporządzenie</w:t>
      </w:r>
      <w:r w:rsidR="00973C3F">
        <w:t xml:space="preserve"> kolejnej opinii biegłego dotyczącej </w:t>
      </w:r>
      <w:r w:rsidR="00C536E0">
        <w:t>wyceny nieruchomości</w:t>
      </w:r>
      <w:r w:rsidR="00973C3F">
        <w:t>.</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20</w:t>
      </w:r>
      <w:r>
        <w:rPr>
          <w:noProof/>
        </w:rPr>
        <w:fldChar w:fldCharType="end"/>
      </w:r>
      <w:r w:rsidR="00973C3F">
        <w:t>.  Opinię przedstawiono sądowi w dniu 12 stycznia 2009 </w:t>
      </w:r>
      <w:r w:rsidR="007F5BB6">
        <w:t>roku</w:t>
      </w:r>
      <w:r w:rsidR="00401E27">
        <w:t>.</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21</w:t>
      </w:r>
      <w:r>
        <w:rPr>
          <w:noProof/>
        </w:rPr>
        <w:fldChar w:fldCharType="end"/>
      </w:r>
      <w:r w:rsidR="00973C3F">
        <w:t xml:space="preserve">.  Sąd przeprowadził rozprawę w dniu 25 listopada 2009 </w:t>
      </w:r>
      <w:r w:rsidR="007F5BB6">
        <w:t>roku</w:t>
      </w:r>
      <w:r w:rsidR="00973C3F">
        <w:t xml:space="preserve"> i</w:t>
      </w:r>
      <w:r w:rsidR="00064A84">
        <w:t> </w:t>
      </w:r>
      <w:r w:rsidR="00973C3F">
        <w:t xml:space="preserve">postanowił </w:t>
      </w:r>
      <w:r w:rsidR="00064A84">
        <w:t xml:space="preserve">dokonać </w:t>
      </w:r>
      <w:r w:rsidR="00973C3F">
        <w:t>kolejn</w:t>
      </w:r>
      <w:r w:rsidR="00064A84">
        <w:t>ych</w:t>
      </w:r>
      <w:r w:rsidR="00973C3F">
        <w:t xml:space="preserve"> oględzin nieruchomości. Dwie kolejne czynności oględzin zaplanowane na</w:t>
      </w:r>
      <w:r w:rsidR="00D07C1F">
        <w:t> </w:t>
      </w:r>
      <w:r w:rsidR="00973C3F">
        <w:t>grudzień 2009 </w:t>
      </w:r>
      <w:r w:rsidR="007F5BB6">
        <w:t>roku</w:t>
      </w:r>
      <w:r w:rsidR="00973C3F">
        <w:t xml:space="preserve"> i luty 2010 </w:t>
      </w:r>
      <w:r w:rsidR="007F5BB6">
        <w:t>roku</w:t>
      </w:r>
      <w:r w:rsidR="00973C3F">
        <w:t xml:space="preserve"> odwołano ze względu na warunki </w:t>
      </w:r>
      <w:r w:rsidR="00064A84">
        <w:t>atmosferyczne</w:t>
      </w:r>
      <w:r w:rsidR="00973C3F">
        <w:t>.</w:t>
      </w:r>
    </w:p>
    <w:p w:rsidR="00F82AFB"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22</w:t>
      </w:r>
      <w:r>
        <w:rPr>
          <w:noProof/>
        </w:rPr>
        <w:fldChar w:fldCharType="end"/>
      </w:r>
      <w:r w:rsidR="00973C3F">
        <w:t>.  Rozprawa odbyła się 4 marca 2010 </w:t>
      </w:r>
      <w:r w:rsidR="007F5BB6">
        <w:t>roku</w:t>
      </w:r>
      <w:r w:rsidR="00973C3F">
        <w:t xml:space="preserve">, a 30 kwietnia </w:t>
      </w:r>
      <w:r w:rsidR="00BA5732">
        <w:t xml:space="preserve">2010 roku </w:t>
      </w:r>
      <w:r w:rsidR="00973C3F">
        <w:t>sąd dokonał oględzin nieruchomości.</w:t>
      </w:r>
    </w:p>
    <w:p w:rsidR="003E464B"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23</w:t>
      </w:r>
      <w:r>
        <w:rPr>
          <w:noProof/>
        </w:rPr>
        <w:fldChar w:fldCharType="end"/>
      </w:r>
      <w:r w:rsidR="003E464B">
        <w:t>.  Kolejna opinia biegłego zlecona przez sąd została sporządzona w</w:t>
      </w:r>
      <w:r w:rsidR="00064A84">
        <w:t> </w:t>
      </w:r>
      <w:r w:rsidR="003E464B">
        <w:t>dniu 6 sierpnia 2010 </w:t>
      </w:r>
      <w:r w:rsidR="007F5BB6">
        <w:t>roku</w:t>
      </w:r>
    </w:p>
    <w:p w:rsidR="003E464B" w:rsidRPr="00DC7D0A" w:rsidRDefault="0015050A" w:rsidP="00E51754">
      <w:pPr>
        <w:pStyle w:val="ECHRPara"/>
        <w:ind w:left="-709" w:right="-864"/>
      </w:pPr>
      <w:r>
        <w:lastRenderedPageBreak/>
        <w:fldChar w:fldCharType="begin"/>
      </w:r>
      <w:r>
        <w:instrText xml:space="preserve"> SEQ level0 \*arabic </w:instrText>
      </w:r>
      <w:r>
        <w:fldChar w:fldCharType="separate"/>
      </w:r>
      <w:r w:rsidR="008F59F8">
        <w:rPr>
          <w:noProof/>
        </w:rPr>
        <w:t>24</w:t>
      </w:r>
      <w:r>
        <w:rPr>
          <w:noProof/>
        </w:rPr>
        <w:fldChar w:fldCharType="end"/>
      </w:r>
      <w:r w:rsidR="003E464B">
        <w:t xml:space="preserve">.  Sąd </w:t>
      </w:r>
      <w:r w:rsidR="0007332D">
        <w:t>kontynuował rozpoznawanie sprawy</w:t>
      </w:r>
      <w:r w:rsidR="003E464B">
        <w:t xml:space="preserve"> w marcu 2011 </w:t>
      </w:r>
      <w:r w:rsidR="007F5BB6">
        <w:t>roku</w:t>
      </w:r>
      <w:r w:rsidR="004E20D7">
        <w:t>.</w:t>
      </w:r>
      <w:r w:rsidR="003E464B">
        <w:t xml:space="preserve"> W dniu 31 marca 2011 </w:t>
      </w:r>
      <w:r w:rsidR="007F5BB6">
        <w:t>roku</w:t>
      </w:r>
      <w:r w:rsidR="003E464B">
        <w:t xml:space="preserve"> wydał postanowienie </w:t>
      </w:r>
      <w:r w:rsidR="00064A84">
        <w:t xml:space="preserve">uwzględniające wniosek skarżącej </w:t>
      </w:r>
      <w:r w:rsidR="003E464B">
        <w:t>o</w:t>
      </w:r>
      <w:r w:rsidR="00064A84">
        <w:t> </w:t>
      </w:r>
      <w:r w:rsidR="003E464B">
        <w:t>ustanowieni</w:t>
      </w:r>
      <w:r w:rsidR="00064A84">
        <w:t>e</w:t>
      </w:r>
      <w:r w:rsidR="003E464B">
        <w:t xml:space="preserve"> </w:t>
      </w:r>
      <w:r w:rsidR="00064A84">
        <w:t xml:space="preserve">przedmiotowej </w:t>
      </w:r>
      <w:r w:rsidR="003E464B">
        <w:t>służebności.</w:t>
      </w:r>
    </w:p>
    <w:p w:rsidR="003E464B"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25</w:t>
      </w:r>
      <w:r>
        <w:rPr>
          <w:noProof/>
        </w:rPr>
        <w:fldChar w:fldCharType="end"/>
      </w:r>
      <w:r w:rsidR="003E464B">
        <w:t>.  </w:t>
      </w:r>
      <w:r w:rsidR="00064A84">
        <w:t xml:space="preserve">Od </w:t>
      </w:r>
      <w:r w:rsidR="008B25E8">
        <w:t xml:space="preserve">powyższego </w:t>
      </w:r>
      <w:r w:rsidR="00064A84">
        <w:t>postanowienia u</w:t>
      </w:r>
      <w:r w:rsidR="003E464B">
        <w:t xml:space="preserve">czestnicy </w:t>
      </w:r>
      <w:r w:rsidR="00064A84">
        <w:t>wnieśli apelację</w:t>
      </w:r>
      <w:r w:rsidR="003E464B">
        <w:t>.</w:t>
      </w:r>
    </w:p>
    <w:p w:rsidR="00F82AFB"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26</w:t>
      </w:r>
      <w:r>
        <w:rPr>
          <w:noProof/>
        </w:rPr>
        <w:fldChar w:fldCharType="end"/>
      </w:r>
      <w:r w:rsidR="003E464B">
        <w:t>.  W dniu 22 lutego 2012 </w:t>
      </w:r>
      <w:r w:rsidR="007F5BB6">
        <w:t>roku</w:t>
      </w:r>
      <w:r w:rsidR="003E464B">
        <w:t xml:space="preserve"> Sąd Okręgowy w Gliwicach </w:t>
      </w:r>
      <w:r w:rsidR="00064A84">
        <w:t xml:space="preserve">prawomocnie </w:t>
      </w:r>
      <w:r w:rsidR="003E464B">
        <w:t>oddalił apelację.</w:t>
      </w:r>
    </w:p>
    <w:p w:rsidR="001A4083" w:rsidRPr="00DC7D0A" w:rsidRDefault="009B114D" w:rsidP="00E51754">
      <w:pPr>
        <w:pStyle w:val="ECHRHeading2"/>
        <w:ind w:left="-709" w:right="-864"/>
      </w:pPr>
      <w:r>
        <w:t>B. Postępowanie na podstawie ustawy z 2004 </w:t>
      </w:r>
      <w:r w:rsidR="007F5BB6">
        <w:t>roku</w:t>
      </w:r>
    </w:p>
    <w:p w:rsidR="001A4083" w:rsidRPr="00DC7D0A" w:rsidRDefault="0015050A" w:rsidP="00E51754">
      <w:pPr>
        <w:pStyle w:val="ECHRPara"/>
        <w:ind w:left="-709" w:right="-864"/>
        <w:rPr>
          <w:color w:val="000000"/>
        </w:rPr>
      </w:pPr>
      <w:r>
        <w:fldChar w:fldCharType="begin"/>
      </w:r>
      <w:r>
        <w:instrText xml:space="preserve"> SEQ level0 \*arabic </w:instrText>
      </w:r>
      <w:r>
        <w:fldChar w:fldCharType="separate"/>
      </w:r>
      <w:r w:rsidR="008F59F8">
        <w:rPr>
          <w:noProof/>
        </w:rPr>
        <w:t>27</w:t>
      </w:r>
      <w:r>
        <w:rPr>
          <w:noProof/>
        </w:rPr>
        <w:fldChar w:fldCharType="end"/>
      </w:r>
      <w:r w:rsidR="001A4083">
        <w:t xml:space="preserve">.  W dniu 9 grudnia 2004 </w:t>
      </w:r>
      <w:r w:rsidR="007F5BB6">
        <w:t>roku</w:t>
      </w:r>
      <w:r w:rsidR="001A4083">
        <w:t xml:space="preserve"> skarżąca wniosła do </w:t>
      </w:r>
      <w:r w:rsidR="00064A84">
        <w:t>S</w:t>
      </w:r>
      <w:r w:rsidR="001A4083">
        <w:t xml:space="preserve">ądu </w:t>
      </w:r>
      <w:r w:rsidR="00064A84">
        <w:t>O</w:t>
      </w:r>
      <w:r w:rsidR="001A4083">
        <w:t>kręgowego w Gliwicach skargę na podstawie ustawy z dnia 17 czerwca 2004 </w:t>
      </w:r>
      <w:r w:rsidR="007F5BB6">
        <w:t>roku</w:t>
      </w:r>
      <w:r w:rsidR="001A4083">
        <w:t xml:space="preserve"> o</w:t>
      </w:r>
      <w:r w:rsidR="007A64F0">
        <w:t> </w:t>
      </w:r>
      <w:r w:rsidR="001A4083">
        <w:t>skardze na naruszenie prawa strony do rozpoznania sprawy w</w:t>
      </w:r>
      <w:r w:rsidR="00DF52FE">
        <w:t> </w:t>
      </w:r>
      <w:r w:rsidR="001A4083">
        <w:t>postępowaniu sądo</w:t>
      </w:r>
      <w:r w:rsidR="00BC100E">
        <w:t>wym bez nieuzasadnionej zwłoki (</w:t>
      </w:r>
      <w:r w:rsidR="001A4083">
        <w:t>zwanej dalej</w:t>
      </w:r>
      <w:r w:rsidR="00BC100E">
        <w:t>:</w:t>
      </w:r>
      <w:r w:rsidR="001A4083">
        <w:t xml:space="preserve"> ustawą z 2004 </w:t>
      </w:r>
      <w:r w:rsidR="007F5BB6">
        <w:t>roku</w:t>
      </w:r>
      <w:r w:rsidR="001A4083">
        <w:t>).</w:t>
      </w:r>
      <w:r w:rsidR="001A4083">
        <w:rPr>
          <w:color w:val="000000"/>
        </w:rPr>
        <w:t xml:space="preserve"> Stwierdziła, że złożyła wniosek w 1999 </w:t>
      </w:r>
      <w:r w:rsidR="007F5BB6">
        <w:rPr>
          <w:color w:val="000000"/>
        </w:rPr>
        <w:t>roku</w:t>
      </w:r>
      <w:r w:rsidR="001A4083">
        <w:rPr>
          <w:color w:val="000000"/>
        </w:rPr>
        <w:t xml:space="preserve">, a jej sprawa nadal nie została rozpoznana. </w:t>
      </w:r>
      <w:r w:rsidR="00064A84">
        <w:rPr>
          <w:color w:val="000000"/>
        </w:rPr>
        <w:t xml:space="preserve">Dochodziła </w:t>
      </w:r>
      <w:r w:rsidR="001A4083">
        <w:rPr>
          <w:color w:val="000000"/>
        </w:rPr>
        <w:t>również sumy pieniężnej w wysokości 10 000 zł.</w:t>
      </w:r>
    </w:p>
    <w:p w:rsidR="00667A9D" w:rsidRPr="00DC7D0A" w:rsidRDefault="005105FB" w:rsidP="00E51754">
      <w:pPr>
        <w:pStyle w:val="ECHRPara"/>
        <w:ind w:left="-709" w:right="-864"/>
        <w:rPr>
          <w:color w:val="000000"/>
        </w:rPr>
      </w:pPr>
      <w:r w:rsidRPr="00DC7D0A">
        <w:rPr>
          <w:color w:val="000000"/>
        </w:rPr>
        <w:fldChar w:fldCharType="begin"/>
      </w:r>
      <w:r w:rsidRPr="00DC7D0A">
        <w:rPr>
          <w:color w:val="000000"/>
        </w:rPr>
        <w:instrText xml:space="preserve"> SEQ level0 \*arabic </w:instrText>
      </w:r>
      <w:r w:rsidRPr="00DC7D0A">
        <w:rPr>
          <w:color w:val="000000"/>
        </w:rPr>
        <w:fldChar w:fldCharType="separate"/>
      </w:r>
      <w:r w:rsidR="008F59F8">
        <w:rPr>
          <w:noProof/>
          <w:color w:val="000000"/>
        </w:rPr>
        <w:t>28</w:t>
      </w:r>
      <w:r w:rsidRPr="00DC7D0A">
        <w:rPr>
          <w:color w:val="000000"/>
        </w:rPr>
        <w:fldChar w:fldCharType="end"/>
      </w:r>
      <w:r>
        <w:t>.</w:t>
      </w:r>
      <w:r>
        <w:rPr>
          <w:color w:val="000000"/>
        </w:rPr>
        <w:t>  </w:t>
      </w:r>
      <w:r w:rsidR="00064A84">
        <w:rPr>
          <w:color w:val="000000"/>
        </w:rPr>
        <w:t xml:space="preserve">Orzeczeniem </w:t>
      </w:r>
      <w:r>
        <w:rPr>
          <w:color w:val="000000"/>
        </w:rPr>
        <w:t>z dnia 21 grudnia 2004 </w:t>
      </w:r>
      <w:r w:rsidR="007F5BB6">
        <w:rPr>
          <w:color w:val="000000"/>
        </w:rPr>
        <w:t>roku</w:t>
      </w:r>
      <w:r>
        <w:rPr>
          <w:color w:val="000000"/>
        </w:rPr>
        <w:t xml:space="preserve"> (sygn. akt III S 36/04) Sąd Okręgowy w</w:t>
      </w:r>
      <w:r w:rsidR="00D07C1F">
        <w:rPr>
          <w:color w:val="000000"/>
        </w:rPr>
        <w:t> </w:t>
      </w:r>
      <w:r>
        <w:rPr>
          <w:color w:val="000000"/>
        </w:rPr>
        <w:t xml:space="preserve">Gliwicach odrzucił </w:t>
      </w:r>
      <w:r w:rsidR="001B5985">
        <w:rPr>
          <w:color w:val="000000"/>
        </w:rPr>
        <w:t xml:space="preserve">skargę </w:t>
      </w:r>
      <w:r>
        <w:rPr>
          <w:color w:val="000000"/>
        </w:rPr>
        <w:t xml:space="preserve">ze względów formalnych, uznawszy, że skarżąca </w:t>
      </w:r>
      <w:r w:rsidR="00064A84">
        <w:rPr>
          <w:color w:val="000000"/>
        </w:rPr>
        <w:t>„</w:t>
      </w:r>
      <w:r>
        <w:rPr>
          <w:color w:val="000000"/>
        </w:rPr>
        <w:t xml:space="preserve">nie </w:t>
      </w:r>
      <w:r w:rsidR="00EB6EEE">
        <w:rPr>
          <w:color w:val="000000"/>
        </w:rPr>
        <w:t>przytoczyła okoliczności uzasadniających żądanie</w:t>
      </w:r>
      <w:r w:rsidR="00064A84">
        <w:rPr>
          <w:color w:val="000000"/>
        </w:rPr>
        <w:t>.”</w:t>
      </w:r>
      <w:r>
        <w:rPr>
          <w:color w:val="000000"/>
        </w:rPr>
        <w:t>.</w:t>
      </w:r>
    </w:p>
    <w:p w:rsidR="001A4083" w:rsidRPr="00DC7D0A" w:rsidRDefault="001A4083" w:rsidP="00E51754">
      <w:pPr>
        <w:pStyle w:val="ECHRPara"/>
        <w:ind w:left="-709" w:right="-864"/>
        <w:rPr>
          <w:color w:val="000000"/>
        </w:rPr>
      </w:pPr>
      <w:r w:rsidRPr="00DC7D0A">
        <w:rPr>
          <w:color w:val="000000"/>
        </w:rPr>
        <w:fldChar w:fldCharType="begin"/>
      </w:r>
      <w:r w:rsidRPr="00DC7D0A">
        <w:rPr>
          <w:color w:val="000000"/>
        </w:rPr>
        <w:instrText xml:space="preserve"> SEQ level0 \*arabic </w:instrText>
      </w:r>
      <w:r w:rsidRPr="00DC7D0A">
        <w:rPr>
          <w:color w:val="000000"/>
        </w:rPr>
        <w:fldChar w:fldCharType="separate"/>
      </w:r>
      <w:r w:rsidR="008F59F8">
        <w:rPr>
          <w:noProof/>
          <w:color w:val="000000"/>
        </w:rPr>
        <w:t>29</w:t>
      </w:r>
      <w:r w:rsidRPr="00DC7D0A">
        <w:rPr>
          <w:color w:val="000000"/>
        </w:rPr>
        <w:fldChar w:fldCharType="end"/>
      </w:r>
      <w:r>
        <w:t>.</w:t>
      </w:r>
      <w:r>
        <w:rPr>
          <w:color w:val="000000"/>
        </w:rPr>
        <w:t>  Następnie skarżąca złożyła kolejną skargę na podstawie ustawy z</w:t>
      </w:r>
      <w:r w:rsidR="007A64F0">
        <w:rPr>
          <w:color w:val="000000"/>
        </w:rPr>
        <w:t> </w:t>
      </w:r>
      <w:r>
        <w:rPr>
          <w:color w:val="000000"/>
        </w:rPr>
        <w:t>2004 </w:t>
      </w:r>
      <w:r w:rsidR="007F5BB6">
        <w:rPr>
          <w:color w:val="000000"/>
        </w:rPr>
        <w:t>roku</w:t>
      </w:r>
      <w:r w:rsidR="00FF5190">
        <w:rPr>
          <w:color w:val="000000"/>
        </w:rPr>
        <w:t>.</w:t>
      </w:r>
      <w:r>
        <w:rPr>
          <w:color w:val="000000"/>
        </w:rPr>
        <w:t xml:space="preserve"> Domagała się stwierdzenia przewlekłości postępowania i sumy pieniężnej w wysokości 10 000 zł.</w:t>
      </w:r>
    </w:p>
    <w:p w:rsidR="00222F0C"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30</w:t>
      </w:r>
      <w:r>
        <w:rPr>
          <w:noProof/>
        </w:rPr>
        <w:fldChar w:fldCharType="end"/>
      </w:r>
      <w:r w:rsidR="001A4083">
        <w:t>.  </w:t>
      </w:r>
      <w:r w:rsidR="00EB6EEE">
        <w:t xml:space="preserve">Orzeczeniem </w:t>
      </w:r>
      <w:r w:rsidR="001A4083">
        <w:t>z dnia 5 kwietnia 2006 </w:t>
      </w:r>
      <w:r w:rsidR="007F5BB6">
        <w:t>roku</w:t>
      </w:r>
      <w:r w:rsidR="00512715">
        <w:t> (sygn. akt</w:t>
      </w:r>
      <w:r w:rsidR="001A4083">
        <w:t xml:space="preserve"> III 7/06) Sąd Okręgowy w</w:t>
      </w:r>
      <w:r w:rsidR="00D07C1F">
        <w:t> </w:t>
      </w:r>
      <w:r w:rsidR="001A4083">
        <w:t xml:space="preserve">Gliwicach oddalił </w:t>
      </w:r>
      <w:r w:rsidR="001B5985">
        <w:t>skargę</w:t>
      </w:r>
      <w:r w:rsidR="001A4083">
        <w:t xml:space="preserve">. </w:t>
      </w:r>
      <w:r w:rsidR="00EB6EEE">
        <w:t xml:space="preserve">Przeprowadził </w:t>
      </w:r>
      <w:r w:rsidR="001A4083">
        <w:t>dogłębn</w:t>
      </w:r>
      <w:r w:rsidR="00EB6EEE">
        <w:t>ą analizę</w:t>
      </w:r>
      <w:r w:rsidR="001A4083">
        <w:t xml:space="preserve"> przebieg</w:t>
      </w:r>
      <w:r w:rsidR="00EB6EEE">
        <w:t>u</w:t>
      </w:r>
      <w:r w:rsidR="001A4083">
        <w:t xml:space="preserve"> postępowania od września 2004 </w:t>
      </w:r>
      <w:r w:rsidR="007F5BB6">
        <w:t>roku</w:t>
      </w:r>
      <w:r w:rsidR="001A4083">
        <w:t xml:space="preserve"> i uznał, że </w:t>
      </w:r>
      <w:r w:rsidR="00EB6EEE">
        <w:t xml:space="preserve">zasadniczo </w:t>
      </w:r>
      <w:r w:rsidR="001A4083">
        <w:t xml:space="preserve">było ono </w:t>
      </w:r>
      <w:r w:rsidR="001A4083" w:rsidRPr="005348BD">
        <w:t>prowadzone w sposób prawidłowy i</w:t>
      </w:r>
      <w:r w:rsidR="00D07C1F">
        <w:t> </w:t>
      </w:r>
      <w:r w:rsidR="001A4083" w:rsidRPr="005348BD">
        <w:t>z</w:t>
      </w:r>
      <w:r w:rsidR="00D07C1F">
        <w:t> </w:t>
      </w:r>
      <w:r w:rsidR="001A4083" w:rsidRPr="005348BD">
        <w:t>dochowaniem terminów. W przedmiocie okresu przed wrześniem 2004 </w:t>
      </w:r>
      <w:r w:rsidR="007F5BB6">
        <w:t>roku</w:t>
      </w:r>
      <w:r w:rsidR="001A4083" w:rsidRPr="005348BD">
        <w:t xml:space="preserve"> sąd powołał się na orzecznictwo Sądu Najwyższego i</w:t>
      </w:r>
      <w:r w:rsidR="007A64F0" w:rsidRPr="005348BD">
        <w:t> </w:t>
      </w:r>
      <w:r w:rsidR="00690604" w:rsidRPr="005348BD">
        <w:t>uznał, że ustawa z 2004 </w:t>
      </w:r>
      <w:r w:rsidR="007F5BB6">
        <w:t>roku</w:t>
      </w:r>
      <w:r w:rsidR="00690604" w:rsidRPr="005348BD">
        <w:t xml:space="preserve"> ma zastosowanie do zwłoki spowodowanej bezczynnością sądu występując</w:t>
      </w:r>
      <w:r w:rsidR="00615731">
        <w:t>ej</w:t>
      </w:r>
      <w:r w:rsidR="00690604" w:rsidRPr="005348BD">
        <w:t xml:space="preserve"> przed tą datą, ale jedynie jeżeli zwłoka trwa nadal, co nie miało miejsca w omawianej sprawie</w:t>
      </w:r>
      <w:r w:rsidR="001A4083" w:rsidRPr="005348BD">
        <w:t>.</w:t>
      </w:r>
    </w:p>
    <w:p w:rsidR="004C154E" w:rsidRPr="00DC7D0A" w:rsidRDefault="004C154E" w:rsidP="00E51754">
      <w:pPr>
        <w:pStyle w:val="ECHRHeading1"/>
        <w:ind w:left="-709" w:right="-864"/>
      </w:pPr>
      <w:r>
        <w:t>II.  ISTOTNE PRZEPISY PRAWA KRAJOWEGO I PRAKTYKA</w:t>
      </w:r>
    </w:p>
    <w:p w:rsidR="004C154E"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31</w:t>
      </w:r>
      <w:r>
        <w:rPr>
          <w:noProof/>
        </w:rPr>
        <w:fldChar w:fldCharType="end"/>
      </w:r>
      <w:r w:rsidR="007E2A63">
        <w:t>.  Szczegółowy opis istotnych przepisów prawa krajowego i praktyki w zakresie środków odwoławczych związanych z przewlekłością postępowania sądowego, w</w:t>
      </w:r>
      <w:r w:rsidR="003E00B4">
        <w:t> </w:t>
      </w:r>
      <w:r w:rsidR="007E2A63">
        <w:t>szczególności obowiązujące przepisy ustawy z</w:t>
      </w:r>
      <w:r w:rsidR="007A64F0">
        <w:t> </w:t>
      </w:r>
      <w:r w:rsidR="007E2A63">
        <w:t>2004 </w:t>
      </w:r>
      <w:r w:rsidR="007F5BB6">
        <w:t>roku</w:t>
      </w:r>
      <w:r w:rsidR="007E2A63">
        <w:t xml:space="preserve">, przedstawiono w decyzjach Trybunału wydanych w sprawach </w:t>
      </w:r>
      <w:r w:rsidR="007E2A63">
        <w:rPr>
          <w:i/>
        </w:rPr>
        <w:t>Charzyński</w:t>
      </w:r>
      <w:r w:rsidR="007E2A63">
        <w:rPr>
          <w:i/>
          <w:iCs/>
        </w:rPr>
        <w:t xml:space="preserve"> przeciwko Polsce</w:t>
      </w:r>
      <w:r w:rsidR="007E2A63">
        <w:t xml:space="preserve"> ((</w:t>
      </w:r>
      <w:proofErr w:type="spellStart"/>
      <w:r w:rsidR="007E2A63">
        <w:t>dec</w:t>
      </w:r>
      <w:proofErr w:type="spellEnd"/>
      <w:r w:rsidR="007E2A63">
        <w:t xml:space="preserve">.), skarga nr 15212/03, §§ 12–23, </w:t>
      </w:r>
      <w:r w:rsidR="00DF52FE">
        <w:t xml:space="preserve">ETPCz </w:t>
      </w:r>
      <w:r w:rsidR="007E2A63">
        <w:t xml:space="preserve">2005-V), </w:t>
      </w:r>
      <w:r w:rsidR="007E2A63">
        <w:rPr>
          <w:i/>
        </w:rPr>
        <w:t xml:space="preserve">Ratajczyk </w:t>
      </w:r>
      <w:r w:rsidR="007E2A63">
        <w:rPr>
          <w:i/>
          <w:iCs/>
        </w:rPr>
        <w:t xml:space="preserve"> przeciwko Polsce</w:t>
      </w:r>
      <w:r w:rsidR="007E2A63">
        <w:t xml:space="preserve"> ((</w:t>
      </w:r>
      <w:proofErr w:type="spellStart"/>
      <w:r w:rsidR="007E2A63">
        <w:t>dec</w:t>
      </w:r>
      <w:proofErr w:type="spellEnd"/>
      <w:r w:rsidR="007E2A63">
        <w:t xml:space="preserve">.), skarga nr 1215/02, ETPCz 2005-VIII), jak również w wyroku wydanym w sprawie </w:t>
      </w:r>
      <w:proofErr w:type="spellStart"/>
      <w:r w:rsidR="007E2A63">
        <w:rPr>
          <w:i/>
        </w:rPr>
        <w:t>Krasuski</w:t>
      </w:r>
      <w:proofErr w:type="spellEnd"/>
      <w:r w:rsidR="007E2A63">
        <w:rPr>
          <w:i/>
        </w:rPr>
        <w:t xml:space="preserve"> </w:t>
      </w:r>
      <w:r w:rsidR="007E2A63">
        <w:rPr>
          <w:i/>
          <w:iCs/>
        </w:rPr>
        <w:t>przeciwko Polsce</w:t>
      </w:r>
      <w:r w:rsidR="007E2A63">
        <w:t xml:space="preserve"> (skarga nr 61444/00, §§ 34-46, ETPCz 2005-V) </w:t>
      </w:r>
      <w:r w:rsidR="00D26370">
        <w:t xml:space="preserve">oraz w </w:t>
      </w:r>
      <w:r w:rsidR="007E2A63">
        <w:t xml:space="preserve">nieco nowszym wyroku wydanym w sprawie </w:t>
      </w:r>
      <w:r w:rsidR="007E2A63">
        <w:rPr>
          <w:i/>
        </w:rPr>
        <w:t>Rutkowski i Inni przeciwko Polsce</w:t>
      </w:r>
      <w:r w:rsidR="007E2A63">
        <w:t xml:space="preserve"> (skargi 72287/10, 13927/11 i  46187/11, §§ 75–107, 7</w:t>
      </w:r>
      <w:r w:rsidR="003E00B4">
        <w:t> </w:t>
      </w:r>
      <w:r w:rsidR="007E2A63">
        <w:t>lipca 2015 </w:t>
      </w:r>
      <w:r w:rsidR="007F5BB6">
        <w:t>roku</w:t>
      </w:r>
      <w:r w:rsidR="007E2A63">
        <w:t>).</w:t>
      </w:r>
    </w:p>
    <w:p w:rsidR="00DE61E0" w:rsidRPr="00DC7D0A" w:rsidRDefault="00DE61E0" w:rsidP="00E51754">
      <w:pPr>
        <w:pStyle w:val="ECHRTitle1"/>
        <w:ind w:left="-709" w:right="-864"/>
      </w:pPr>
      <w:r>
        <w:lastRenderedPageBreak/>
        <w:t>PRAWO</w:t>
      </w:r>
    </w:p>
    <w:p w:rsidR="00DE61E0" w:rsidRPr="00DC7D0A" w:rsidRDefault="00BA6C8B" w:rsidP="00E51754">
      <w:pPr>
        <w:pStyle w:val="ECHRHeading1"/>
        <w:ind w:left="-709" w:right="-864"/>
      </w:pPr>
      <w:r>
        <w:t>I.  ZARZUC</w:t>
      </w:r>
      <w:r w:rsidR="0032016D">
        <w:t>ANE NARUSZENIE ARTYKUŁU</w:t>
      </w:r>
      <w:r w:rsidR="00DE61E0">
        <w:t> 6 UST. 1 KONWENCJI</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32</w:t>
      </w:r>
      <w:r>
        <w:rPr>
          <w:noProof/>
        </w:rPr>
        <w:fldChar w:fldCharType="end"/>
      </w:r>
      <w:r w:rsidR="00B3036D">
        <w:t>.  Skarżąca podnosiła, że czas trwania postępowania nie spełniał wymogu „rozsądnego terminu”, o którym mowa w art. 6 ust. 1 Konwencji o</w:t>
      </w:r>
      <w:r w:rsidR="007A64F0">
        <w:t> </w:t>
      </w:r>
      <w:r w:rsidR="00B3036D">
        <w:t>treści:</w:t>
      </w:r>
    </w:p>
    <w:p w:rsidR="00DE61E0" w:rsidRPr="00DC7D0A" w:rsidRDefault="00DE61E0" w:rsidP="00E51754">
      <w:pPr>
        <w:pStyle w:val="ECHRParaQuote"/>
        <w:ind w:left="-709" w:right="-864"/>
      </w:pPr>
      <w:r>
        <w:t>„Każdy ma prawo do sprawiedliwego […] rozpatrzenia jego sprawy w rozsądnym terminie przez […] sąd […] przy rozstrzyganiu o jego prawach i obowiązkach o</w:t>
      </w:r>
      <w:r w:rsidR="007A64F0">
        <w:t> </w:t>
      </w:r>
      <w:r>
        <w:t>charakterze cywilnym […]”</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33</w:t>
      </w:r>
      <w:r>
        <w:rPr>
          <w:noProof/>
        </w:rPr>
        <w:fldChar w:fldCharType="end"/>
      </w:r>
      <w:r w:rsidR="00B3036D">
        <w:t>.  Rząd zakwestionował ten argument.</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34</w:t>
      </w:r>
      <w:r>
        <w:rPr>
          <w:noProof/>
        </w:rPr>
        <w:fldChar w:fldCharType="end"/>
      </w:r>
      <w:r w:rsidR="00B3036D">
        <w:t xml:space="preserve">.  Okres, który należy brać pod uwagę, to okres od 1 lutego 1999 </w:t>
      </w:r>
      <w:r w:rsidR="007F5BB6">
        <w:t>roku</w:t>
      </w:r>
      <w:r w:rsidR="00B3036D">
        <w:t xml:space="preserve"> do 22 lutego 2012 </w:t>
      </w:r>
      <w:r w:rsidR="007F5BB6">
        <w:t>roku</w:t>
      </w:r>
      <w:r w:rsidR="00E518D2">
        <w:t>.</w:t>
      </w:r>
      <w:r w:rsidR="00B3036D">
        <w:t xml:space="preserve"> Postępowanie w dwóch instancjach trwało zatem trzynaście lat.</w:t>
      </w:r>
    </w:p>
    <w:p w:rsidR="00DE61E0" w:rsidRPr="00DC7D0A" w:rsidRDefault="00DE61E0" w:rsidP="00E51754">
      <w:pPr>
        <w:pStyle w:val="ECHRHeading2"/>
        <w:ind w:left="-709" w:right="-864"/>
      </w:pPr>
      <w:r>
        <w:t>A.  Dopuszczalność</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35</w:t>
      </w:r>
      <w:r>
        <w:rPr>
          <w:noProof/>
        </w:rPr>
        <w:fldChar w:fldCharType="end"/>
      </w:r>
      <w:r w:rsidR="00B3036D">
        <w:t>.  Rząd przedstawił zastrzeżenie wstępne i zwrócił się do Trybunału o</w:t>
      </w:r>
      <w:r w:rsidR="007A64F0">
        <w:t> </w:t>
      </w:r>
      <w:r w:rsidR="00B3036D">
        <w:t xml:space="preserve">odrzucenie </w:t>
      </w:r>
      <w:r w:rsidR="007A64F0">
        <w:t xml:space="preserve">skargi </w:t>
      </w:r>
      <w:r w:rsidR="00B3036D">
        <w:t>na tej podstawie, iż skarżąca nie wyczerpała krajowych środków odwoławczych w</w:t>
      </w:r>
      <w:r w:rsidR="00BA6C8B">
        <w:t> </w:t>
      </w:r>
      <w:r w:rsidR="00B3036D">
        <w:t>myśl wymogu przewidzianego w</w:t>
      </w:r>
      <w:r w:rsidR="007A64F0">
        <w:t> </w:t>
      </w:r>
      <w:r w:rsidR="00B3036D">
        <w:t>art. 35 ust. 1 Konwencji. Podnosił on, że skarżąca nie wniosła trzeciej skargi na przewlekłość postępowania na podstawie ustawy z 2004 </w:t>
      </w:r>
      <w:r w:rsidR="007F5BB6">
        <w:t>roku</w:t>
      </w:r>
      <w:r w:rsidR="00B37454">
        <w:t>.</w:t>
      </w:r>
      <w:r w:rsidR="00B3036D">
        <w:t xml:space="preserve"> Rząd</w:t>
      </w:r>
      <w:r w:rsidR="007A64F0">
        <w:t> </w:t>
      </w:r>
      <w:r w:rsidR="00B3036D">
        <w:t>zauważył, że skarżąca złożyła już dwie skargi, które zostały oddalone w</w:t>
      </w:r>
      <w:r w:rsidR="007A64F0">
        <w:t> </w:t>
      </w:r>
      <w:r w:rsidR="00B3036D">
        <w:t>dniu 9</w:t>
      </w:r>
      <w:r w:rsidR="007A64F0">
        <w:t> </w:t>
      </w:r>
      <w:r w:rsidR="00B3036D">
        <w:t>grudnia 2004 </w:t>
      </w:r>
      <w:r w:rsidR="007F5BB6">
        <w:t>roku</w:t>
      </w:r>
      <w:r w:rsidR="007A64F0">
        <w:t xml:space="preserve"> </w:t>
      </w:r>
      <w:r w:rsidR="00B3036D">
        <w:t>i 5 kwietnia 2006 </w:t>
      </w:r>
      <w:r w:rsidR="007F5BB6">
        <w:t>roku</w:t>
      </w:r>
      <w:r w:rsidR="00687A0F">
        <w:t>.</w:t>
      </w:r>
      <w:r w:rsidR="00B3036D">
        <w:t xml:space="preserve"> </w:t>
      </w:r>
      <w:r w:rsidR="00D26370">
        <w:t xml:space="preserve">Od </w:t>
      </w:r>
      <w:r w:rsidR="00B32190">
        <w:t xml:space="preserve">dnia </w:t>
      </w:r>
      <w:r w:rsidR="00B3036D">
        <w:t>25 września 2006 </w:t>
      </w:r>
      <w:r w:rsidR="007F5BB6">
        <w:t>roku</w:t>
      </w:r>
      <w:r w:rsidR="00B3036D">
        <w:t xml:space="preserve"> skarżąca miała </w:t>
      </w:r>
      <w:r w:rsidR="007A64F0">
        <w:t xml:space="preserve">jednak </w:t>
      </w:r>
      <w:r w:rsidR="00B3036D">
        <w:t xml:space="preserve">możliwość </w:t>
      </w:r>
      <w:r w:rsidR="007A64F0">
        <w:t>złożenia</w:t>
      </w:r>
      <w:r w:rsidR="00B3036D">
        <w:t xml:space="preserve"> nowej skargi na podstawie art. 5 ustawy z 2004 </w:t>
      </w:r>
      <w:r w:rsidR="007F5BB6">
        <w:t>roku</w:t>
      </w:r>
      <w:r w:rsidR="00687A0F">
        <w:t>.</w:t>
      </w:r>
      <w:r w:rsidR="00B3036D">
        <w:t xml:space="preserve"> Postępowani</w:t>
      </w:r>
      <w:r w:rsidR="0057477A">
        <w:t>e</w:t>
      </w:r>
      <w:r w:rsidR="00B3036D">
        <w:t xml:space="preserve"> </w:t>
      </w:r>
      <w:r w:rsidR="007A64F0">
        <w:t xml:space="preserve">prowadzono </w:t>
      </w:r>
      <w:r w:rsidR="00B3036D">
        <w:t xml:space="preserve">jeszcze </w:t>
      </w:r>
      <w:r w:rsidR="007A64F0">
        <w:t xml:space="preserve">przez okres niemal </w:t>
      </w:r>
      <w:r w:rsidR="00B3036D">
        <w:t>sześ</w:t>
      </w:r>
      <w:r w:rsidR="007A64F0">
        <w:t>ciu</w:t>
      </w:r>
      <w:r w:rsidR="00B3036D">
        <w:t xml:space="preserve"> kolejnych lat, </w:t>
      </w:r>
      <w:r w:rsidR="007A64F0">
        <w:t>w którym to okresie</w:t>
      </w:r>
      <w:r w:rsidR="00B3036D">
        <w:t xml:space="preserve"> skarżąca </w:t>
      </w:r>
      <w:r w:rsidR="007A64F0">
        <w:t>wykazała się biernością</w:t>
      </w:r>
      <w:r w:rsidR="00B3036D">
        <w:t xml:space="preserve"> i nie </w:t>
      </w:r>
      <w:r w:rsidR="007A64F0">
        <w:t>s</w:t>
      </w:r>
      <w:r w:rsidR="00B3036D">
        <w:t>korzystała z dostępnych środków w celu przyspieszenia postępowania.</w:t>
      </w:r>
    </w:p>
    <w:p w:rsidR="004B602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36</w:t>
      </w:r>
      <w:r>
        <w:rPr>
          <w:noProof/>
        </w:rPr>
        <w:fldChar w:fldCharType="end"/>
      </w:r>
      <w:r w:rsidR="00973C3F">
        <w:t xml:space="preserve">.  Skarżąca zakwestionowała ten argument. </w:t>
      </w:r>
      <w:r w:rsidR="007A64F0">
        <w:t>Wywodziła</w:t>
      </w:r>
      <w:r w:rsidR="00973C3F">
        <w:t xml:space="preserve">, że </w:t>
      </w:r>
      <w:r w:rsidR="007A64F0">
        <w:t xml:space="preserve">wobec oddalenia dwóch poprzednich skarg </w:t>
      </w:r>
      <w:r w:rsidR="00D26370">
        <w:t>wymaganie wniesienia</w:t>
      </w:r>
      <w:r w:rsidR="00F64E81">
        <w:t xml:space="preserve"> </w:t>
      </w:r>
      <w:r w:rsidR="007A64F0">
        <w:t xml:space="preserve">przez nią </w:t>
      </w:r>
      <w:r w:rsidR="00973C3F">
        <w:t>nowej skargi na podstawie ustawy z 2004 </w:t>
      </w:r>
      <w:r w:rsidR="007F5BB6">
        <w:t>roku</w:t>
      </w:r>
      <w:r w:rsidR="007A64F0">
        <w:t xml:space="preserve"> było nieuzasadnione</w:t>
      </w:r>
      <w:r w:rsidR="00973C3F">
        <w:t>.</w:t>
      </w:r>
    </w:p>
    <w:p w:rsidR="004B602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37</w:t>
      </w:r>
      <w:r>
        <w:rPr>
          <w:noProof/>
        </w:rPr>
        <w:fldChar w:fldCharType="end"/>
      </w:r>
      <w:r w:rsidR="00973C3F">
        <w:t xml:space="preserve">.  Trybunał uznaje, że kwestia wyczerpania krajowych środków odwoławczych jest nieodłącznie powiązana z przedmiotem skargi wniesionej do Trybunału. Aby zatem uniknąć przesądzania drugiej kwestii, obydwa pytania </w:t>
      </w:r>
      <w:r w:rsidR="007A64F0">
        <w:t>należy</w:t>
      </w:r>
      <w:r w:rsidR="00973C3F">
        <w:t xml:space="preserve"> </w:t>
      </w:r>
      <w:r w:rsidR="007A64F0">
        <w:t xml:space="preserve">przeanalizować </w:t>
      </w:r>
      <w:r w:rsidR="00973C3F">
        <w:t>łącznie. W związku z</w:t>
      </w:r>
      <w:r w:rsidR="003E00B4">
        <w:t> </w:t>
      </w:r>
      <w:r w:rsidR="00973C3F">
        <w:t>powyższym Trybunał uznaje, że kwesti</w:t>
      </w:r>
      <w:r w:rsidR="007A64F0">
        <w:t>ę</w:t>
      </w:r>
      <w:r w:rsidR="00973C3F">
        <w:t xml:space="preserve"> wyczerpania krajowych środków odwoławczych </w:t>
      </w:r>
      <w:r w:rsidR="007A64F0">
        <w:t>należy</w:t>
      </w:r>
      <w:r w:rsidR="00973C3F">
        <w:t xml:space="preserve"> </w:t>
      </w:r>
      <w:r w:rsidR="007A64F0">
        <w:t>objąć</w:t>
      </w:r>
      <w:r w:rsidR="00973C3F">
        <w:t xml:space="preserve"> przedmiot</w:t>
      </w:r>
      <w:r w:rsidR="007A64F0">
        <w:t>em</w:t>
      </w:r>
      <w:r w:rsidR="00973C3F">
        <w:t xml:space="preserve"> skargi wniesionej do Trybunału.</w:t>
      </w:r>
    </w:p>
    <w:p w:rsidR="004B602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38</w:t>
      </w:r>
      <w:r>
        <w:rPr>
          <w:noProof/>
        </w:rPr>
        <w:fldChar w:fldCharType="end"/>
      </w:r>
      <w:r w:rsidR="00973C3F">
        <w:t>.  Trybunał zauważa, że skarga wniesiona do Trybunału nie jest w</w:t>
      </w:r>
      <w:r w:rsidR="004C4C5E">
        <w:t> </w:t>
      </w:r>
      <w:r w:rsidR="00973C3F">
        <w:t>sposób oczywisty nieuzasadniona w rozumieniu art. 35 ust. 3 lit. a) Konwencji. Nadto Trybunał zauważa, że</w:t>
      </w:r>
      <w:r w:rsidR="005D7CA1">
        <w:t> </w:t>
      </w:r>
      <w:r w:rsidR="00973C3F">
        <w:t>nie jest ona niedopusz</w:t>
      </w:r>
      <w:r w:rsidR="005D7CA1">
        <w:t xml:space="preserve">czalna na żadnym innym gruncie. </w:t>
      </w:r>
      <w:r w:rsidR="00973C3F">
        <w:t>Należy ją zatem uznać za</w:t>
      </w:r>
      <w:r w:rsidR="003E00B4">
        <w:t> </w:t>
      </w:r>
      <w:r w:rsidR="00973C3F">
        <w:t>dopuszczalną.</w:t>
      </w:r>
    </w:p>
    <w:p w:rsidR="00DE61E0" w:rsidRPr="00DC7D0A" w:rsidRDefault="00DE61E0" w:rsidP="00E51754">
      <w:pPr>
        <w:pStyle w:val="ECHRHeading2"/>
        <w:ind w:left="-709" w:right="-864"/>
      </w:pPr>
      <w:r>
        <w:t>B.  Przedmiot skargi</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39</w:t>
      </w:r>
      <w:r>
        <w:rPr>
          <w:noProof/>
        </w:rPr>
        <w:fldChar w:fldCharType="end"/>
      </w:r>
      <w:r w:rsidR="00973C3F">
        <w:t>.  Skarżąca podnosiła, że czas trwania postępowania</w:t>
      </w:r>
      <w:r w:rsidR="004C4C5E">
        <w:t xml:space="preserve">, które łącznie </w:t>
      </w:r>
      <w:r w:rsidR="0057477A">
        <w:t xml:space="preserve">toczyło się </w:t>
      </w:r>
      <w:r w:rsidR="004C4C5E">
        <w:t>trzynaście lat,</w:t>
      </w:r>
      <w:r w:rsidR="00973C3F">
        <w:t xml:space="preserve"> w sposób oczywisty naruszał zasadę „rozsądnego terminu”. Postępowanie nie </w:t>
      </w:r>
      <w:r w:rsidR="004C4C5E">
        <w:t xml:space="preserve">miało </w:t>
      </w:r>
      <w:r w:rsidR="00973C3F">
        <w:t>złożone</w:t>
      </w:r>
      <w:r w:rsidR="004C4C5E">
        <w:t>go charakteru</w:t>
      </w:r>
      <w:r w:rsidR="00973C3F">
        <w:t>, a konieczność uzyskania opinii biegłego była wiadoma od</w:t>
      </w:r>
      <w:r w:rsidR="003E00B4">
        <w:t> </w:t>
      </w:r>
      <w:r w:rsidR="00973C3F">
        <w:t xml:space="preserve">początku </w:t>
      </w:r>
      <w:r w:rsidR="00817600" w:rsidRPr="00817600">
        <w:rPr>
          <w:rFonts w:ascii="Times New Roman" w:eastAsia="Times New Roman" w:hAnsi="Times New Roman" w:cs="Times New Roman"/>
          <w:szCs w:val="24"/>
          <w:lang w:eastAsia="pl-PL"/>
        </w:rPr>
        <w:t>i czynności te powinny zostać zrealizowane w sposób terminowy przez sąd</w:t>
      </w:r>
      <w:r w:rsidR="00973C3F">
        <w:t xml:space="preserve">. </w:t>
      </w:r>
      <w:r w:rsidR="004C4C5E">
        <w:lastRenderedPageBreak/>
        <w:t>Liczne</w:t>
      </w:r>
      <w:r w:rsidR="00973C3F">
        <w:t xml:space="preserve"> </w:t>
      </w:r>
      <w:r w:rsidR="004C4C5E" w:rsidRPr="00ED58A3">
        <w:t xml:space="preserve">okresy </w:t>
      </w:r>
      <w:r w:rsidR="00973C3F" w:rsidRPr="00ED58A3">
        <w:t>bezczynności</w:t>
      </w:r>
      <w:r w:rsidR="00973C3F">
        <w:t xml:space="preserve"> </w:t>
      </w:r>
      <w:r w:rsidR="004C4C5E">
        <w:t>należy przypisać</w:t>
      </w:r>
      <w:r w:rsidR="00973C3F">
        <w:t xml:space="preserve"> sąd</w:t>
      </w:r>
      <w:r w:rsidR="004C4C5E">
        <w:t>om</w:t>
      </w:r>
      <w:r w:rsidR="00973C3F">
        <w:t xml:space="preserve"> krajow</w:t>
      </w:r>
      <w:r w:rsidR="004C4C5E">
        <w:t>ym</w:t>
      </w:r>
      <w:r w:rsidR="00973C3F">
        <w:t xml:space="preserve">. Przykładowo pierwszą rozprawę po uchyleniu </w:t>
      </w:r>
      <w:r w:rsidR="004C4C5E">
        <w:t xml:space="preserve">orzeczenia </w:t>
      </w:r>
      <w:r w:rsidR="00973C3F">
        <w:t>z dnia 26 stycznia 2006 </w:t>
      </w:r>
      <w:r w:rsidR="007F5BB6">
        <w:t>roku</w:t>
      </w:r>
      <w:r w:rsidR="00973C3F">
        <w:t xml:space="preserve"> wyznaczono na 26 lipca 2006 </w:t>
      </w:r>
      <w:r w:rsidR="007F5BB6">
        <w:t>roku</w:t>
      </w:r>
      <w:r w:rsidR="00E518D2">
        <w:t>.</w:t>
      </w:r>
      <w:r w:rsidR="00973C3F">
        <w:t xml:space="preserve"> </w:t>
      </w:r>
      <w:r w:rsidR="00DF52FE">
        <w:t>Pozostałe </w:t>
      </w:r>
      <w:r w:rsidR="00973C3F">
        <w:t>okresy bezczynności sięgały nawet piętnastu miesięcy. Rozprawy wielokrotnie odraczano bez ważnej przyczyny.</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40</w:t>
      </w:r>
      <w:r>
        <w:rPr>
          <w:noProof/>
        </w:rPr>
        <w:fldChar w:fldCharType="end"/>
      </w:r>
      <w:r w:rsidR="00973C3F">
        <w:t xml:space="preserve">.  Rząd </w:t>
      </w:r>
      <w:r w:rsidR="0088574C">
        <w:t xml:space="preserve">nie </w:t>
      </w:r>
      <w:r w:rsidR="00973C3F">
        <w:t>ustosunkowa</w:t>
      </w:r>
      <w:r w:rsidR="0088574C">
        <w:t>ł</w:t>
      </w:r>
      <w:r w:rsidR="00973C3F">
        <w:t xml:space="preserve"> się do </w:t>
      </w:r>
      <w:r w:rsidR="0088574C">
        <w:t>meritum</w:t>
      </w:r>
      <w:r w:rsidR="00973C3F">
        <w:t xml:space="preserve"> skargi.</w:t>
      </w:r>
    </w:p>
    <w:p w:rsidR="00165114"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41</w:t>
      </w:r>
      <w:r>
        <w:rPr>
          <w:noProof/>
        </w:rPr>
        <w:fldChar w:fldCharType="end"/>
      </w:r>
      <w:r w:rsidR="00B3036D">
        <w:t xml:space="preserve">.  Trybunał powtarza, że rozsądny charakter czasu trwania postępowania należy oceniać w świetle konkretnych okoliczności danej sprawy, uwzględniając przy tym kryteria określone w orzecznictwie Trybunału, w szczególności złożoność sprawy oraz postępowanie skarżącego i odpowiednich organów. </w:t>
      </w:r>
      <w:r w:rsidR="009A1374">
        <w:t>Odnośnie</w:t>
      </w:r>
      <w:r w:rsidR="00B3036D">
        <w:t xml:space="preserve"> drugiej kwestii należy również brać pod uwagę, co jest </w:t>
      </w:r>
      <w:r w:rsidR="007D0112">
        <w:t xml:space="preserve">przedmiotem roszczeń </w:t>
      </w:r>
      <w:r w:rsidR="00B3036D">
        <w:t>skarżącego (zob. </w:t>
      </w:r>
      <w:r w:rsidR="00B3036D">
        <w:rPr>
          <w:i/>
        </w:rPr>
        <w:t>Kudła przeciwko Polsce</w:t>
      </w:r>
      <w:r w:rsidR="00B3036D">
        <w:t xml:space="preserve"> [WI], skarga nr 30210/96, § 124 ETPCz 2000</w:t>
      </w:r>
      <w:r w:rsidR="00B3036D">
        <w:rPr>
          <w:rFonts w:ascii="MS Mincho" w:hAnsi="MS Mincho"/>
        </w:rPr>
        <w:t>‑</w:t>
      </w:r>
      <w:r w:rsidR="00B3036D">
        <w:t xml:space="preserve">XI, dodatkowe orzecznictwo – </w:t>
      </w:r>
      <w:r w:rsidR="00B3036D">
        <w:rPr>
          <w:i/>
        </w:rPr>
        <w:t>Rutkowski i Inni</w:t>
      </w:r>
      <w:r w:rsidR="002C5DD5" w:rsidRPr="002C5DD5">
        <w:rPr>
          <w:i/>
        </w:rPr>
        <w:t xml:space="preserve"> </w:t>
      </w:r>
      <w:r w:rsidR="002C5DD5">
        <w:rPr>
          <w:i/>
        </w:rPr>
        <w:t>przeciwko Polsce</w:t>
      </w:r>
      <w:r w:rsidR="00B3036D">
        <w:t xml:space="preserve">, </w:t>
      </w:r>
      <w:r w:rsidR="00B3036D">
        <w:rPr>
          <w:i/>
          <w:iCs/>
        </w:rPr>
        <w:t>op.</w:t>
      </w:r>
      <w:r w:rsidR="004C4C5E">
        <w:rPr>
          <w:i/>
          <w:iCs/>
        </w:rPr>
        <w:t xml:space="preserve"> </w:t>
      </w:r>
      <w:r w:rsidR="00B3036D">
        <w:rPr>
          <w:i/>
          <w:iCs/>
        </w:rPr>
        <w:t>cit.</w:t>
      </w:r>
      <w:r w:rsidR="00B3036D">
        <w:t xml:space="preserve">, </w:t>
      </w:r>
      <w:r w:rsidR="00B3036D">
        <w:rPr>
          <w:snapToGrid w:val="0"/>
        </w:rPr>
        <w:t>§§ </w:t>
      </w:r>
      <w:r w:rsidR="00B3036D">
        <w:t>126–128).</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42</w:t>
      </w:r>
      <w:r>
        <w:rPr>
          <w:noProof/>
        </w:rPr>
        <w:fldChar w:fldCharType="end"/>
      </w:r>
      <w:r w:rsidR="00973C3F">
        <w:t xml:space="preserve">.  Trybunał podziela zdanie skarżącej, iż </w:t>
      </w:r>
      <w:r w:rsidR="004C4C5E">
        <w:t xml:space="preserve">w </w:t>
      </w:r>
      <w:r w:rsidR="00973C3F">
        <w:t>postępowani</w:t>
      </w:r>
      <w:r w:rsidR="004C4C5E">
        <w:t>u</w:t>
      </w:r>
      <w:r w:rsidR="00973C3F">
        <w:t>, w którym wnioskowała ona o ustanowienie służebności</w:t>
      </w:r>
      <w:r w:rsidR="004C4C5E">
        <w:t>,</w:t>
      </w:r>
      <w:r w:rsidR="00973C3F">
        <w:t xml:space="preserve"> nie </w:t>
      </w:r>
      <w:r w:rsidR="004C4C5E">
        <w:t>występowały</w:t>
      </w:r>
      <w:r w:rsidR="00973C3F">
        <w:t xml:space="preserve"> </w:t>
      </w:r>
      <w:r w:rsidR="004C4C5E">
        <w:t xml:space="preserve">skomplikowane </w:t>
      </w:r>
      <w:r w:rsidR="00973C3F">
        <w:t>okoliczności faktyczn</w:t>
      </w:r>
      <w:r w:rsidR="004C4C5E">
        <w:t>e</w:t>
      </w:r>
      <w:r w:rsidR="00973C3F">
        <w:t xml:space="preserve"> </w:t>
      </w:r>
      <w:r w:rsidR="004C4C5E">
        <w:t>ani</w:t>
      </w:r>
      <w:r w:rsidR="00973C3F">
        <w:t xml:space="preserve"> </w:t>
      </w:r>
      <w:r w:rsidR="004C4C5E">
        <w:t>prawne pomimo</w:t>
      </w:r>
      <w:r w:rsidR="00973C3F">
        <w:t xml:space="preserve"> konieczn</w:t>
      </w:r>
      <w:r w:rsidR="004C4C5E">
        <w:t>ości</w:t>
      </w:r>
      <w:r w:rsidR="00973C3F">
        <w:t xml:space="preserve"> uzyskani</w:t>
      </w:r>
      <w:r w:rsidR="004C4C5E">
        <w:t>a</w:t>
      </w:r>
      <w:r w:rsidR="00973C3F">
        <w:t xml:space="preserve"> opinii biegłych </w:t>
      </w:r>
      <w:r w:rsidR="004C4C5E">
        <w:t>z</w:t>
      </w:r>
      <w:r w:rsidR="00973C3F">
        <w:t xml:space="preserve"> różnych dziedzin. </w:t>
      </w:r>
      <w:r w:rsidR="004C4C5E">
        <w:t>Wprawdzie</w:t>
      </w:r>
      <w:r w:rsidR="00973C3F">
        <w:t xml:space="preserve"> uzyskanie dowodu z opinii biegłego </w:t>
      </w:r>
      <w:r w:rsidR="004C4C5E">
        <w:t xml:space="preserve">wymaga </w:t>
      </w:r>
      <w:r w:rsidR="00973C3F">
        <w:t xml:space="preserve">czasu, </w:t>
      </w:r>
      <w:r w:rsidR="004C4C5E">
        <w:t xml:space="preserve">lecz </w:t>
      </w:r>
      <w:r w:rsidR="00973C3F">
        <w:t>należy przy tym zauważyć, że</w:t>
      </w:r>
      <w:r w:rsidR="003E00B4">
        <w:t> </w:t>
      </w:r>
      <w:r w:rsidR="00973C3F">
        <w:t>w</w:t>
      </w:r>
      <w:r w:rsidR="003E00B4">
        <w:t> </w:t>
      </w:r>
      <w:r w:rsidR="00973C3F">
        <w:t xml:space="preserve">kilku przypadkach </w:t>
      </w:r>
      <w:r w:rsidR="004C4C5E">
        <w:t xml:space="preserve">na sporządzenie opinii </w:t>
      </w:r>
      <w:r w:rsidR="00973C3F">
        <w:t xml:space="preserve">biegli potrzebowali </w:t>
      </w:r>
      <w:r w:rsidR="00973C3F" w:rsidRPr="00ED58A3">
        <w:t>niemal rok</w:t>
      </w:r>
      <w:r w:rsidR="004C4C5E" w:rsidRPr="00ED58A3">
        <w:t xml:space="preserve"> czasu</w:t>
      </w:r>
      <w:r w:rsidR="00973C3F">
        <w:t>.</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43</w:t>
      </w:r>
      <w:r>
        <w:rPr>
          <w:noProof/>
        </w:rPr>
        <w:fldChar w:fldCharType="end"/>
      </w:r>
      <w:r w:rsidR="00973C3F">
        <w:t xml:space="preserve">.  Trybunał uważa, że </w:t>
      </w:r>
      <w:r w:rsidR="001B690B" w:rsidRPr="001B690B">
        <w:rPr>
          <w:rFonts w:ascii="Times New Roman" w:eastAsia="Times New Roman" w:hAnsi="Times New Roman" w:cs="Times New Roman"/>
          <w:szCs w:val="24"/>
          <w:lang w:eastAsia="pl-PL"/>
        </w:rPr>
        <w:t>przeprowadze</w:t>
      </w:r>
      <w:r w:rsidR="00FB0777">
        <w:rPr>
          <w:rFonts w:ascii="Times New Roman" w:eastAsia="Times New Roman" w:hAnsi="Times New Roman" w:cs="Times New Roman"/>
          <w:szCs w:val="24"/>
          <w:lang w:eastAsia="pl-PL"/>
        </w:rPr>
        <w:t>nie</w:t>
      </w:r>
      <w:r w:rsidR="001B690B" w:rsidRPr="001B690B">
        <w:rPr>
          <w:rFonts w:ascii="Times New Roman" w:eastAsia="Times New Roman" w:hAnsi="Times New Roman" w:cs="Times New Roman"/>
          <w:szCs w:val="24"/>
          <w:lang w:eastAsia="pl-PL"/>
        </w:rPr>
        <w:t xml:space="preserve"> dowodów z opinii biegłych sądowych w</w:t>
      </w:r>
      <w:r w:rsidR="003E00B4">
        <w:rPr>
          <w:rFonts w:ascii="Times New Roman" w:eastAsia="Times New Roman" w:hAnsi="Times New Roman" w:cs="Times New Roman"/>
          <w:szCs w:val="24"/>
          <w:lang w:eastAsia="pl-PL"/>
        </w:rPr>
        <w:t> </w:t>
      </w:r>
      <w:r w:rsidR="001B690B" w:rsidRPr="001B690B">
        <w:rPr>
          <w:rFonts w:ascii="Times New Roman" w:eastAsia="Times New Roman" w:hAnsi="Times New Roman" w:cs="Times New Roman"/>
          <w:szCs w:val="24"/>
          <w:lang w:eastAsia="pl-PL"/>
        </w:rPr>
        <w:t>niniejszej sprawie pozbawione było przymiotu wymaganej sprawności</w:t>
      </w:r>
      <w:r w:rsidR="00973C3F">
        <w:t>. Sąd przesyłał akta sprawy do każdego z</w:t>
      </w:r>
      <w:r w:rsidR="004C4C5E">
        <w:t> </w:t>
      </w:r>
      <w:r w:rsidR="00973C3F">
        <w:t xml:space="preserve">biegłych po kolei, co oznacza, że musieli oni opóźniać sporządzenie opinii do czasu zakończenia prac przez ich poprzednika. Nie podejmowano żadnych prób zdyscyplinowania biegłych </w:t>
      </w:r>
      <w:r w:rsidR="004C4C5E">
        <w:t>ani</w:t>
      </w:r>
      <w:r w:rsidR="00973C3F">
        <w:t xml:space="preserve"> </w:t>
      </w:r>
      <w:r w:rsidR="00980BC6">
        <w:t>zagwarantowania, że dochowają oni</w:t>
      </w:r>
      <w:r w:rsidR="00973C3F">
        <w:t xml:space="preserve"> </w:t>
      </w:r>
      <w:r w:rsidR="00980BC6">
        <w:t xml:space="preserve">zakreślonych </w:t>
      </w:r>
      <w:r w:rsidR="00973C3F">
        <w:t xml:space="preserve">terminów. </w:t>
      </w:r>
      <w:r w:rsidR="00980BC6">
        <w:t>Ponadto n</w:t>
      </w:r>
      <w:r w:rsidR="00973C3F">
        <w:t xml:space="preserve">ie jest jasne, czy po każdym </w:t>
      </w:r>
      <w:r w:rsidR="003559B1">
        <w:t xml:space="preserve">przekazaniu </w:t>
      </w:r>
      <w:r w:rsidR="00973C3F">
        <w:t xml:space="preserve">sprawy do ponownego rozpoznania przez sąd rejonowy konieczne było </w:t>
      </w:r>
      <w:r w:rsidR="00980BC6">
        <w:t xml:space="preserve">ponowne przeprowadzenie wszystkich </w:t>
      </w:r>
      <w:r w:rsidR="00973C3F">
        <w:t>dowodów z opinii biegłych.</w:t>
      </w:r>
    </w:p>
    <w:p w:rsidR="00C179D5"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44</w:t>
      </w:r>
      <w:r>
        <w:rPr>
          <w:noProof/>
        </w:rPr>
        <w:fldChar w:fldCharType="end"/>
      </w:r>
      <w:r w:rsidR="00973C3F">
        <w:t xml:space="preserve">.  W związku z powyższym Trybunał pragnie powtórzyć, że </w:t>
      </w:r>
      <w:r w:rsidR="00980BC6">
        <w:t xml:space="preserve">w </w:t>
      </w:r>
      <w:r w:rsidR="00973C3F">
        <w:t>postępowani</w:t>
      </w:r>
      <w:r w:rsidR="00980BC6">
        <w:t>u</w:t>
      </w:r>
      <w:r w:rsidR="00973C3F">
        <w:t xml:space="preserve"> </w:t>
      </w:r>
      <w:r w:rsidR="00980BC6">
        <w:t xml:space="preserve">sądowym biegli działają </w:t>
      </w:r>
      <w:r w:rsidR="00973C3F">
        <w:t>pod nadzorem sędziego, który ponosi odpowiedzialność za przygotowanie i</w:t>
      </w:r>
      <w:r w:rsidR="00980BC6">
        <w:t> </w:t>
      </w:r>
      <w:r w:rsidR="00973C3F">
        <w:t xml:space="preserve">sprawne przeprowadzenie postępowania (zob. przykładowo </w:t>
      </w:r>
      <w:proofErr w:type="spellStart"/>
      <w:r w:rsidR="00973C3F">
        <w:rPr>
          <w:i/>
        </w:rPr>
        <w:t>Proszak</w:t>
      </w:r>
      <w:proofErr w:type="spellEnd"/>
      <w:r w:rsidR="00973C3F">
        <w:rPr>
          <w:i/>
        </w:rPr>
        <w:t xml:space="preserve"> przeciwko Polsce</w:t>
      </w:r>
      <w:r w:rsidR="00973C3F">
        <w:t>, 16</w:t>
      </w:r>
      <w:r w:rsidR="003E00B4">
        <w:t> </w:t>
      </w:r>
      <w:r w:rsidR="00973C3F">
        <w:t>grudnia 1997 </w:t>
      </w:r>
      <w:r w:rsidR="007F5BB6">
        <w:t>roku</w:t>
      </w:r>
      <w:r w:rsidR="00973C3F">
        <w:t>, § 44, Zbiór Wyroków i Decyzji 1997</w:t>
      </w:r>
      <w:r w:rsidR="00973C3F">
        <w:rPr>
          <w:rFonts w:ascii="MS Mincho" w:hAnsi="MS Mincho"/>
        </w:rPr>
        <w:t>‑</w:t>
      </w:r>
      <w:r w:rsidR="00973C3F">
        <w:t xml:space="preserve">VIII oraz </w:t>
      </w:r>
      <w:proofErr w:type="spellStart"/>
      <w:r w:rsidR="00973C3F">
        <w:rPr>
          <w:i/>
        </w:rPr>
        <w:t>Łukjaniuk</w:t>
      </w:r>
      <w:proofErr w:type="spellEnd"/>
      <w:r w:rsidR="00973C3F">
        <w:rPr>
          <w:i/>
        </w:rPr>
        <w:t xml:space="preserve"> przeciwko Polsce</w:t>
      </w:r>
      <w:r w:rsidR="00973C3F">
        <w:t xml:space="preserve">, skarga nr 15072/02, </w:t>
      </w:r>
      <w:r w:rsidR="00973C3F">
        <w:rPr>
          <w:rFonts w:ascii="Times New Roman" w:hAnsi="Times New Roman"/>
        </w:rPr>
        <w:t>§</w:t>
      </w:r>
      <w:r w:rsidR="00973C3F">
        <w:t xml:space="preserve"> 28, 7 listopada 2006 </w:t>
      </w:r>
      <w:r w:rsidR="007F5BB6">
        <w:t>roku</w:t>
      </w:r>
      <w:r w:rsidR="00973C3F">
        <w:t>).</w:t>
      </w:r>
    </w:p>
    <w:p w:rsidR="00C179D5"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45</w:t>
      </w:r>
      <w:r>
        <w:rPr>
          <w:noProof/>
        </w:rPr>
        <w:fldChar w:fldCharType="end"/>
      </w:r>
      <w:r w:rsidR="00C179D5">
        <w:t xml:space="preserve">.  Należy również zauważyć, że między rozprawami dochodziło do długich przerw, które nie </w:t>
      </w:r>
      <w:r w:rsidR="00980BC6">
        <w:t xml:space="preserve">wydają </w:t>
      </w:r>
      <w:r w:rsidR="00C179D5">
        <w:t xml:space="preserve">się mieć związku z pracą biegłych, a </w:t>
      </w:r>
      <w:r w:rsidR="00980BC6">
        <w:t xml:space="preserve">które </w:t>
      </w:r>
      <w:r w:rsidR="00C179D5">
        <w:t>w kilku przypadkach trwały nawet rok (zob. pa</w:t>
      </w:r>
      <w:r w:rsidR="007F5BB6">
        <w:t>r</w:t>
      </w:r>
      <w:r w:rsidR="00E518D2">
        <w:t>.</w:t>
      </w:r>
      <w:r w:rsidR="00C179D5">
        <w:t> 13 i 14, 20 i 21 oraz 23 i 24 powyżej).</w:t>
      </w:r>
    </w:p>
    <w:p w:rsidR="00E471F2"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46</w:t>
      </w:r>
      <w:r>
        <w:rPr>
          <w:noProof/>
        </w:rPr>
        <w:fldChar w:fldCharType="end"/>
      </w:r>
      <w:r w:rsidR="00973C3F">
        <w:t xml:space="preserve">.  Wreszcie należy zauważyć, że wskutek dwóch </w:t>
      </w:r>
      <w:r w:rsidR="00980BC6">
        <w:t xml:space="preserve">orzeczeń </w:t>
      </w:r>
      <w:r w:rsidR="00973C3F">
        <w:t>sądu okręgowego o</w:t>
      </w:r>
      <w:r w:rsidR="00615731">
        <w:t> </w:t>
      </w:r>
      <w:r w:rsidR="0012793A">
        <w:t>przekaz</w:t>
      </w:r>
      <w:r w:rsidR="00973C3F">
        <w:t>aniu sprawy do ponownego rozpoznania przez sąd niższej instancji w</w:t>
      </w:r>
      <w:r w:rsidR="00980BC6">
        <w:t> </w:t>
      </w:r>
      <w:r w:rsidR="00973C3F">
        <w:t xml:space="preserve">pierwszej instancji </w:t>
      </w:r>
      <w:r w:rsidR="00980BC6">
        <w:t xml:space="preserve">sprawę rozpoznawano </w:t>
      </w:r>
      <w:r w:rsidR="00973C3F">
        <w:t>trzykrotnie (zob. pa</w:t>
      </w:r>
      <w:r w:rsidR="007F5BB6">
        <w:t>r</w:t>
      </w:r>
      <w:r w:rsidR="00E518D2">
        <w:t>.</w:t>
      </w:r>
      <w:r w:rsidR="00973C3F">
        <w:t xml:space="preserve"> 6, 14 i 24 powyżej). Chociaż Trybunał nie jest organem </w:t>
      </w:r>
      <w:r w:rsidR="009F08A4">
        <w:t xml:space="preserve">właściwym </w:t>
      </w:r>
      <w:r w:rsidR="00973C3F">
        <w:t xml:space="preserve">do tego, aby analizować jakość orzecznictwa sądów krajowych, do </w:t>
      </w:r>
      <w:r w:rsidR="008A14EF">
        <w:t xml:space="preserve">przekazania </w:t>
      </w:r>
      <w:r w:rsidR="00973C3F">
        <w:t>sprawy do ponownego rozpoznania przez sąd niższej instancji dochodzi na</w:t>
      </w:r>
      <w:r w:rsidR="003E00B4">
        <w:t> </w:t>
      </w:r>
      <w:r w:rsidR="00973C3F">
        <w:t>ogół w</w:t>
      </w:r>
      <w:r w:rsidR="00C64D8B">
        <w:t> </w:t>
      </w:r>
      <w:r w:rsidR="00973C3F">
        <w:t>wyniku błędów popełnionych przez sądy niższej instancji. Sytuacja, w</w:t>
      </w:r>
      <w:r w:rsidR="00C64D8B">
        <w:t> </w:t>
      </w:r>
      <w:r w:rsidR="00973C3F">
        <w:t>której w</w:t>
      </w:r>
      <w:r w:rsidR="003E00B4">
        <w:t> </w:t>
      </w:r>
      <w:r w:rsidR="00973C3F">
        <w:t xml:space="preserve">ramach jednej sprawy dochodzi do powtórnego wydania tego rodzaju postanowienia, wskazuje na </w:t>
      </w:r>
      <w:r w:rsidR="00084815">
        <w:t>niedoskonałość systemu sądowniczego</w:t>
      </w:r>
      <w:r w:rsidR="00973C3F">
        <w:t xml:space="preserve">. Co więcej, uchybienie to leży po stronie organów, a nie skarżących (zob. między innymi </w:t>
      </w:r>
      <w:proofErr w:type="spellStart"/>
      <w:r w:rsidR="00973C3F">
        <w:rPr>
          <w:i/>
        </w:rPr>
        <w:t>Wierciszewska</w:t>
      </w:r>
      <w:proofErr w:type="spellEnd"/>
      <w:r w:rsidR="00973C3F">
        <w:rPr>
          <w:i/>
        </w:rPr>
        <w:t xml:space="preserve"> przeciwko Polsce</w:t>
      </w:r>
      <w:r w:rsidR="00973C3F">
        <w:t>, skarga nr 41431/98, § 46, 25 listopada 2003 </w:t>
      </w:r>
      <w:r w:rsidR="007F5BB6">
        <w:t>roku</w:t>
      </w:r>
      <w:r w:rsidR="00973C3F">
        <w:t xml:space="preserve">; </w:t>
      </w:r>
      <w:proofErr w:type="spellStart"/>
      <w:r w:rsidR="00973C3F">
        <w:rPr>
          <w:i/>
        </w:rPr>
        <w:t>Matica</w:t>
      </w:r>
      <w:proofErr w:type="spellEnd"/>
      <w:r w:rsidR="00973C3F">
        <w:rPr>
          <w:i/>
        </w:rPr>
        <w:t xml:space="preserve"> </w:t>
      </w:r>
      <w:r w:rsidR="00973C3F">
        <w:rPr>
          <w:i/>
          <w:iCs/>
        </w:rPr>
        <w:t>przeciwko Rumunii</w:t>
      </w:r>
      <w:r w:rsidR="00973C3F">
        <w:t xml:space="preserve">, skarga </w:t>
      </w:r>
      <w:r w:rsidR="00973C3F">
        <w:lastRenderedPageBreak/>
        <w:t>nr 19567/02, § 24, 2 listopada 2006 </w:t>
      </w:r>
      <w:r w:rsidR="007F5BB6">
        <w:t>roku</w:t>
      </w:r>
      <w:r w:rsidR="00973C3F">
        <w:t xml:space="preserve"> oraz </w:t>
      </w:r>
      <w:proofErr w:type="spellStart"/>
      <w:r w:rsidR="00973C3F">
        <w:rPr>
          <w:i/>
        </w:rPr>
        <w:t>Vlad</w:t>
      </w:r>
      <w:proofErr w:type="spellEnd"/>
      <w:r w:rsidR="00973C3F">
        <w:rPr>
          <w:i/>
        </w:rPr>
        <w:t xml:space="preserve"> i Inni przeciwko Rumunii</w:t>
      </w:r>
      <w:r w:rsidR="00973C3F">
        <w:t>, skarga nr</w:t>
      </w:r>
      <w:r w:rsidR="003E00B4">
        <w:t> </w:t>
      </w:r>
      <w:r w:rsidR="00973C3F">
        <w:t>40756/06, 41508/07 i 50806/07, § 133, 6 listopada 2013 </w:t>
      </w:r>
      <w:r w:rsidR="007F5BB6">
        <w:t>roku</w:t>
      </w:r>
      <w:r w:rsidR="00973C3F">
        <w:t>).</w:t>
      </w:r>
    </w:p>
    <w:p w:rsidR="00E471F2"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47</w:t>
      </w:r>
      <w:r>
        <w:rPr>
          <w:noProof/>
        </w:rPr>
        <w:fldChar w:fldCharType="end"/>
      </w:r>
      <w:r w:rsidR="00973C3F">
        <w:t xml:space="preserve">.  W tych okolicznościach Trybunał nie znajduje dostatecznego uzasadnienia dla zaistniałej zwłoki w rozpoznaniu sprawy skarżącej </w:t>
      </w:r>
      <w:r w:rsidR="00C64D8B">
        <w:t>ani</w:t>
      </w:r>
      <w:r w:rsidR="00973C3F">
        <w:t xml:space="preserve"> dla łącznego czasu trwania postępowania wynoszącego trzynaście lat.</w:t>
      </w:r>
    </w:p>
    <w:p w:rsidR="004342BA"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48</w:t>
      </w:r>
      <w:r>
        <w:rPr>
          <w:noProof/>
        </w:rPr>
        <w:fldChar w:fldCharType="end"/>
      </w:r>
      <w:r w:rsidR="00973C3F">
        <w:t>.  W kwestii tego, czy skarżąca powinna ponownie wnieść skargę na podstawie ustawy z 2004</w:t>
      </w:r>
      <w:r w:rsidR="00786BD9">
        <w:t xml:space="preserve"> roku</w:t>
      </w:r>
      <w:r w:rsidR="00973C3F">
        <w:t xml:space="preserve">, Trybunał uznaje za konieczne powtórzenie części wniosków z wyroku pilotażowego wydanego w sprawie </w:t>
      </w:r>
      <w:r w:rsidR="00973C3F" w:rsidRPr="00712151">
        <w:rPr>
          <w:i/>
          <w:iCs/>
          <w:u w:val="single"/>
        </w:rPr>
        <w:t>Rutkowski</w:t>
      </w:r>
      <w:r w:rsidR="002C5DD5" w:rsidRPr="00712151">
        <w:rPr>
          <w:i/>
          <w:u w:val="single"/>
        </w:rPr>
        <w:t xml:space="preserve"> i In</w:t>
      </w:r>
      <w:r w:rsidR="0091780D" w:rsidRPr="00712151">
        <w:rPr>
          <w:i/>
          <w:u w:val="single"/>
        </w:rPr>
        <w:t>ni</w:t>
      </w:r>
      <w:r w:rsidR="002C5DD5">
        <w:t xml:space="preserve"> </w:t>
      </w:r>
      <w:r w:rsidR="002C5DD5">
        <w:rPr>
          <w:i/>
        </w:rPr>
        <w:t>przeciwko Polsce</w:t>
      </w:r>
      <w:r w:rsidR="002C5DD5">
        <w:t xml:space="preserve"> </w:t>
      </w:r>
      <w:r w:rsidR="00973C3F">
        <w:t>(</w:t>
      </w:r>
      <w:r w:rsidR="00973C3F">
        <w:rPr>
          <w:i/>
          <w:iCs/>
        </w:rPr>
        <w:t>op.</w:t>
      </w:r>
      <w:r w:rsidR="00C64D8B">
        <w:rPr>
          <w:i/>
          <w:iCs/>
        </w:rPr>
        <w:t xml:space="preserve"> </w:t>
      </w:r>
      <w:r w:rsidR="00973C3F">
        <w:rPr>
          <w:i/>
          <w:iCs/>
        </w:rPr>
        <w:t>cit.</w:t>
      </w:r>
      <w:r w:rsidR="00973C3F">
        <w:t>, §§ 176–186). W wyroku tym Trybunał analizował zastosowanie przez sąd krajowy skargi na podstawie ustawy z 2004 </w:t>
      </w:r>
      <w:r w:rsidR="007F5BB6">
        <w:t>roku</w:t>
      </w:r>
      <w:r w:rsidR="00973C3F">
        <w:t>, w tym wykładnię dokonaną przez Sąd Najwyższy (</w:t>
      </w:r>
      <w:proofErr w:type="spellStart"/>
      <w:r w:rsidR="00973C3F">
        <w:rPr>
          <w:i/>
          <w:iCs/>
        </w:rPr>
        <w:t>ibid</w:t>
      </w:r>
      <w:proofErr w:type="spellEnd"/>
      <w:r w:rsidR="00973C3F">
        <w:t>, §§ 93-106).</w:t>
      </w:r>
    </w:p>
    <w:p w:rsidR="00C74047"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49</w:t>
      </w:r>
      <w:r>
        <w:rPr>
          <w:noProof/>
        </w:rPr>
        <w:fldChar w:fldCharType="end"/>
      </w:r>
      <w:r w:rsidR="00667A9D">
        <w:t xml:space="preserve">.  W sprawie </w:t>
      </w:r>
      <w:r w:rsidR="002C5DD5">
        <w:rPr>
          <w:i/>
          <w:iCs/>
        </w:rPr>
        <w:t>Rutkowski i In</w:t>
      </w:r>
      <w:r w:rsidR="0091780D">
        <w:rPr>
          <w:i/>
          <w:iCs/>
        </w:rPr>
        <w:t>ni</w:t>
      </w:r>
      <w:r w:rsidR="002C5DD5">
        <w:rPr>
          <w:i/>
          <w:iCs/>
        </w:rPr>
        <w:t xml:space="preserve"> </w:t>
      </w:r>
      <w:r w:rsidR="002C5DD5">
        <w:rPr>
          <w:i/>
        </w:rPr>
        <w:t>przeciwko Polsce</w:t>
      </w:r>
      <w:r w:rsidR="00667A9D">
        <w:t xml:space="preserve"> Trybunał orzekł, że przypadki znaczącej zwłoki, do której doszło w sprawach skarżących, a które miały znaczenie dla oceny naruszenia art. 6 ust. 1, które zarzucali owi skarżący, nie zostały uwzględnione przez sądy </w:t>
      </w:r>
      <w:r w:rsidR="00667A9D" w:rsidRPr="0059658B">
        <w:t xml:space="preserve">rozpoznające </w:t>
      </w:r>
      <w:r w:rsidR="00667A9D" w:rsidRPr="009F4564">
        <w:t xml:space="preserve">ich skargi. Wbrew utrwalonemu orzecznictwu Trybunału w przedmiocie oceny </w:t>
      </w:r>
      <w:r w:rsidR="0059658B" w:rsidRPr="001D3265">
        <w:t>r</w:t>
      </w:r>
      <w:r w:rsidR="00C644B7" w:rsidRPr="001D3265">
        <w:t>ozsądnego</w:t>
      </w:r>
      <w:r w:rsidR="0059658B" w:rsidRPr="001D3265">
        <w:t xml:space="preserve"> </w:t>
      </w:r>
      <w:r w:rsidR="00667A9D" w:rsidRPr="00C644B7">
        <w:t xml:space="preserve">czasu </w:t>
      </w:r>
      <w:r w:rsidR="00667A9D" w:rsidRPr="0059658B">
        <w:t xml:space="preserve">trwania postępowania sądy </w:t>
      </w:r>
      <w:r w:rsidR="00D67032">
        <w:t>nie zbadały całego czasu trwania  postępowania, a</w:t>
      </w:r>
      <w:r w:rsidR="00D67032" w:rsidRPr="0059658B">
        <w:t xml:space="preserve"> </w:t>
      </w:r>
      <w:r w:rsidR="00C97A08" w:rsidRPr="0059658B">
        <w:t xml:space="preserve">jedynie wybiórczo </w:t>
      </w:r>
      <w:r w:rsidR="00667A9D" w:rsidRPr="0059658B">
        <w:t xml:space="preserve">przeanalizowały czas trwania </w:t>
      </w:r>
      <w:r w:rsidR="00D67032">
        <w:t xml:space="preserve">tego </w:t>
      </w:r>
      <w:r w:rsidR="00667A9D" w:rsidRPr="0059658B">
        <w:t xml:space="preserve">postępowania. </w:t>
      </w:r>
      <w:r w:rsidR="00667A9D">
        <w:t>W niektórych sprawach sądy ignorowały okresy przed wejściem w</w:t>
      </w:r>
      <w:r w:rsidR="003E00B4">
        <w:t> </w:t>
      </w:r>
      <w:r w:rsidR="00667A9D">
        <w:t>życie ustawy z 2004 </w:t>
      </w:r>
      <w:r w:rsidR="007F5BB6">
        <w:t>roku</w:t>
      </w:r>
      <w:r w:rsidR="00667A9D">
        <w:t xml:space="preserve"> i analizowały jedynie czas trwania postępowania w bieżącej instancji. Wykładnia Sądu Najwyższego dopuszczająca „fragmentację postępowania” miała zastosowanie do dnia 20 marca 2013 </w:t>
      </w:r>
      <w:r w:rsidR="007F5BB6">
        <w:t>roku</w:t>
      </w:r>
      <w:r w:rsidR="00667A9D">
        <w:t xml:space="preserve">, kiedy to Sąd Najwyższy wydał uchwałę z </w:t>
      </w:r>
      <w:r w:rsidR="001D3A3B">
        <w:t xml:space="preserve">2013 </w:t>
      </w:r>
      <w:r w:rsidR="007F5BB6">
        <w:t>roku</w:t>
      </w:r>
      <w:r w:rsidR="00667A9D">
        <w:t xml:space="preserve">, w której dokonał krytycznej analizy swojego wcześniejszego orzecznictwa w tej kwestii i opowiedział się za nową wykładnią spójną z orzecznictwem Trybunału dotyczącym oceny </w:t>
      </w:r>
      <w:r w:rsidR="009F4564">
        <w:t>r</w:t>
      </w:r>
      <w:r w:rsidR="00C644B7">
        <w:t>ozsądnego</w:t>
      </w:r>
      <w:r w:rsidR="009F4564">
        <w:t xml:space="preserve"> </w:t>
      </w:r>
      <w:r w:rsidR="00667A9D">
        <w:t>czasu trwania postępowania. Co</w:t>
      </w:r>
      <w:r w:rsidR="00C97A08">
        <w:t> </w:t>
      </w:r>
      <w:r w:rsidR="00667A9D">
        <w:t xml:space="preserve">więcej, Trybunał przypomniał o </w:t>
      </w:r>
      <w:r w:rsidR="00E21CC9">
        <w:t xml:space="preserve">standardach </w:t>
      </w:r>
      <w:r w:rsidR="00667A9D">
        <w:t>w zakresie „odpowiedniego i</w:t>
      </w:r>
      <w:r w:rsidR="00DF52FE">
        <w:t> </w:t>
      </w:r>
      <w:r w:rsidR="00667A9D">
        <w:t>wystarczającego zadośćuczynienia” oraz o silnym, aczkolwiek możliwym do obalenia domniemaniu przemawiającym na korzyść szkody niemajątkowej powsta</w:t>
      </w:r>
      <w:r w:rsidR="00D67032">
        <w:t>jące</w:t>
      </w:r>
      <w:r w:rsidR="00667A9D">
        <w:t>j zwykle w związku z</w:t>
      </w:r>
      <w:r w:rsidR="003E00B4">
        <w:t> </w:t>
      </w:r>
      <w:r w:rsidR="00667A9D">
        <w:t>przewlekłością postępowania (</w:t>
      </w:r>
      <w:proofErr w:type="spellStart"/>
      <w:r w:rsidR="00667A9D">
        <w:rPr>
          <w:i/>
        </w:rPr>
        <w:t>ibid</w:t>
      </w:r>
      <w:proofErr w:type="spellEnd"/>
      <w:r w:rsidR="00667A9D">
        <w:rPr>
          <w:i/>
        </w:rPr>
        <w:t>,</w:t>
      </w:r>
      <w:r w:rsidR="00667A9D">
        <w:t>§ 182). W świetle powyższego Trybunał uznał w</w:t>
      </w:r>
      <w:r w:rsidR="003E00B4">
        <w:t> </w:t>
      </w:r>
      <w:r w:rsidR="00667A9D">
        <w:t>swoim wyroku pilotażowym, iż ustawa z 2004 </w:t>
      </w:r>
      <w:r w:rsidR="007F5BB6">
        <w:t>roku</w:t>
      </w:r>
      <w:r w:rsidR="00667A9D">
        <w:t xml:space="preserve"> nie zapewniła skarżącym „odpowiedniego i wystarczającego zadośćuczynienia” w znaczeniu odpowiedniej rekompensaty za przewlekłość postępowań w ich sprawach (</w:t>
      </w:r>
      <w:r w:rsidR="00667A9D">
        <w:rPr>
          <w:i/>
        </w:rPr>
        <w:t>Rutkowski</w:t>
      </w:r>
      <w:r w:rsidR="002C5DD5">
        <w:rPr>
          <w:i/>
        </w:rPr>
        <w:t xml:space="preserve"> i In</w:t>
      </w:r>
      <w:r w:rsidR="007109C5">
        <w:rPr>
          <w:i/>
        </w:rPr>
        <w:t>ni</w:t>
      </w:r>
      <w:r w:rsidR="002C5DD5" w:rsidRPr="002C5DD5">
        <w:rPr>
          <w:i/>
        </w:rPr>
        <w:t xml:space="preserve"> </w:t>
      </w:r>
      <w:r w:rsidR="002C5DD5">
        <w:rPr>
          <w:i/>
        </w:rPr>
        <w:t>przeciwko Polsce</w:t>
      </w:r>
      <w:r w:rsidR="00667A9D">
        <w:t xml:space="preserve">, </w:t>
      </w:r>
      <w:r w:rsidR="00667A9D">
        <w:rPr>
          <w:i/>
          <w:iCs/>
        </w:rPr>
        <w:t>op.</w:t>
      </w:r>
      <w:r w:rsidR="00A00AD2">
        <w:rPr>
          <w:i/>
          <w:iCs/>
        </w:rPr>
        <w:t> </w:t>
      </w:r>
      <w:r w:rsidR="00667A9D">
        <w:rPr>
          <w:i/>
          <w:iCs/>
        </w:rPr>
        <w:t>cit.</w:t>
      </w:r>
      <w:r w:rsidR="00667A9D">
        <w:t xml:space="preserve"> § 183).</w:t>
      </w:r>
    </w:p>
    <w:p w:rsidR="004342BA"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50</w:t>
      </w:r>
      <w:r>
        <w:rPr>
          <w:noProof/>
        </w:rPr>
        <w:fldChar w:fldCharType="end"/>
      </w:r>
      <w:r w:rsidR="00CF50B8">
        <w:t xml:space="preserve">.  Trybunał uznaje, że ustalenia </w:t>
      </w:r>
      <w:r w:rsidR="00A00AD2">
        <w:t>dotyczące</w:t>
      </w:r>
      <w:r w:rsidR="00CF50B8">
        <w:t xml:space="preserve"> uchybień sądów polskich w zakresie stosowania ustawy z 2004 </w:t>
      </w:r>
      <w:r w:rsidR="007F5BB6">
        <w:t>roku</w:t>
      </w:r>
      <w:r w:rsidR="00CF50B8">
        <w:t xml:space="preserve"> mają zastosowanie również w niniejszej sprawie. Co więcej, zauważa, że sądy krajowe odrzuciły skargę w dniu 21 grudnia 2004 </w:t>
      </w:r>
      <w:r w:rsidR="007F5BB6">
        <w:t>roku</w:t>
      </w:r>
      <w:r w:rsidR="00CF50B8">
        <w:t xml:space="preserve"> z przyczyn formalnych (zob. pa</w:t>
      </w:r>
      <w:r w:rsidR="007F5BB6">
        <w:t>r</w:t>
      </w:r>
      <w:r w:rsidR="00E518D2">
        <w:t>.</w:t>
      </w:r>
      <w:r w:rsidR="00CF50B8">
        <w:t> 28 powyżej). Trybunał orzekł już, że uznanie skargi za</w:t>
      </w:r>
      <w:r w:rsidR="003E00B4">
        <w:t> </w:t>
      </w:r>
      <w:r w:rsidR="00CF50B8">
        <w:t xml:space="preserve">niedopuszczalną na tej podstawie, iż skarżący „nie </w:t>
      </w:r>
      <w:r w:rsidR="00A00AD2">
        <w:t>przytoczył okoliczności uzasadniających żądanie</w:t>
      </w:r>
      <w:r w:rsidR="00CF50B8">
        <w:t>” jest podejściem zbyt formalistycznym, które może uniemożliwiać rozpoznanie przedmiotu roszczeń skarżącego (zob. </w:t>
      </w:r>
      <w:r w:rsidR="00CF50B8">
        <w:rPr>
          <w:i/>
        </w:rPr>
        <w:t>Wende i Kukówka przeciwko Polsce</w:t>
      </w:r>
      <w:r w:rsidR="00CF50B8">
        <w:t>, skarga nr 56026/00, §§ 49–57, 10 maja 2007 </w:t>
      </w:r>
      <w:r w:rsidR="007F5BB6">
        <w:t>roku</w:t>
      </w:r>
      <w:r w:rsidR="00CF50B8">
        <w:t xml:space="preserve">). </w:t>
      </w:r>
      <w:r w:rsidR="00122162">
        <w:t>D</w:t>
      </w:r>
      <w:r w:rsidR="00CF50B8">
        <w:t>rug</w:t>
      </w:r>
      <w:r w:rsidR="00122162">
        <w:t>a</w:t>
      </w:r>
      <w:r w:rsidR="00CF50B8">
        <w:t xml:space="preserve"> skarg</w:t>
      </w:r>
      <w:r w:rsidR="00122162">
        <w:t>a</w:t>
      </w:r>
      <w:r w:rsidR="00CF50B8">
        <w:t xml:space="preserve"> wniesion</w:t>
      </w:r>
      <w:r w:rsidR="00122162">
        <w:t>a</w:t>
      </w:r>
      <w:r w:rsidR="00CF50B8">
        <w:t xml:space="preserve"> przez skarżącą na podstawie ustawy z 2004 </w:t>
      </w:r>
      <w:r w:rsidR="007F5BB6">
        <w:t>roku</w:t>
      </w:r>
      <w:r w:rsidR="00CF50B8">
        <w:t xml:space="preserve"> </w:t>
      </w:r>
      <w:r w:rsidR="0093623D">
        <w:t xml:space="preserve">została </w:t>
      </w:r>
      <w:r w:rsidR="001D3265">
        <w:t>rozpozn</w:t>
      </w:r>
      <w:r w:rsidR="00CF50B8">
        <w:t>an</w:t>
      </w:r>
      <w:r w:rsidR="0093623D">
        <w:t>a co do meritum</w:t>
      </w:r>
      <w:r w:rsidR="00CF50B8">
        <w:t xml:space="preserve"> w dniu 5 kwietnia 2006 </w:t>
      </w:r>
      <w:r w:rsidR="007F5BB6">
        <w:t>roku</w:t>
      </w:r>
      <w:r w:rsidR="00CF50B8">
        <w:t xml:space="preserve">, jednak </w:t>
      </w:r>
      <w:r w:rsidR="00DB40AE">
        <w:t xml:space="preserve">badanie sprawy przez </w:t>
      </w:r>
      <w:r w:rsidR="00CF50B8">
        <w:t xml:space="preserve">sąd </w:t>
      </w:r>
      <w:r w:rsidR="00A00AD2">
        <w:t>ograniczył</w:t>
      </w:r>
      <w:r w:rsidR="00DB40AE">
        <w:t>o</w:t>
      </w:r>
      <w:r w:rsidR="00A00AD2">
        <w:t xml:space="preserve"> się do</w:t>
      </w:r>
      <w:r w:rsidR="00CF50B8">
        <w:t xml:space="preserve"> czas</w:t>
      </w:r>
      <w:r w:rsidR="00A00AD2">
        <w:t>u</w:t>
      </w:r>
      <w:r w:rsidR="00CF50B8">
        <w:t xml:space="preserve"> trwania postępowania od września 2004 </w:t>
      </w:r>
      <w:r w:rsidR="007F5BB6">
        <w:t>roku</w:t>
      </w:r>
      <w:r w:rsidR="00CF50B8">
        <w:t xml:space="preserve">, </w:t>
      </w:r>
      <w:r w:rsidR="00A00AD2">
        <w:t>z</w:t>
      </w:r>
      <w:r w:rsidR="00687A0F">
        <w:t> </w:t>
      </w:r>
      <w:r w:rsidR="00A00AD2">
        <w:t xml:space="preserve">pominięciem </w:t>
      </w:r>
      <w:r w:rsidR="00CF50B8">
        <w:t>okres</w:t>
      </w:r>
      <w:r w:rsidR="00A00AD2">
        <w:t>ów</w:t>
      </w:r>
      <w:r w:rsidR="00CF50B8">
        <w:t xml:space="preserve"> przed wejściem w życie ustawy z</w:t>
      </w:r>
      <w:r w:rsidR="00DF52FE">
        <w:t> </w:t>
      </w:r>
      <w:r w:rsidR="00CF50B8">
        <w:t>2004 </w:t>
      </w:r>
      <w:r w:rsidR="007F5BB6">
        <w:t>roku</w:t>
      </w:r>
      <w:r w:rsidR="00687A0F">
        <w:t>.</w:t>
      </w:r>
    </w:p>
    <w:p w:rsidR="009751AF" w:rsidRPr="00DC7D0A" w:rsidRDefault="0015050A" w:rsidP="00E51754">
      <w:pPr>
        <w:pStyle w:val="ECHRPara"/>
        <w:ind w:left="-709" w:right="-864"/>
      </w:pPr>
      <w:r>
        <w:lastRenderedPageBreak/>
        <w:fldChar w:fldCharType="begin"/>
      </w:r>
      <w:r>
        <w:instrText xml:space="preserve"> SEQ level0 \*arabic </w:instrText>
      </w:r>
      <w:r>
        <w:fldChar w:fldCharType="separate"/>
      </w:r>
      <w:r w:rsidR="008F59F8">
        <w:rPr>
          <w:noProof/>
        </w:rPr>
        <w:t>51</w:t>
      </w:r>
      <w:r>
        <w:rPr>
          <w:noProof/>
        </w:rPr>
        <w:fldChar w:fldCharType="end"/>
      </w:r>
      <w:r w:rsidR="00973C3F">
        <w:t xml:space="preserve">.  Powyższe uwagi pozwalają Trybunałowi </w:t>
      </w:r>
      <w:r w:rsidR="00A00AD2">
        <w:t>przyjąć</w:t>
      </w:r>
      <w:r w:rsidR="00973C3F">
        <w:t xml:space="preserve">, że czas trwania postępowania był </w:t>
      </w:r>
      <w:r w:rsidR="00D67032">
        <w:t xml:space="preserve">już </w:t>
      </w:r>
      <w:r w:rsidR="00973C3F">
        <w:t xml:space="preserve">zbyt długi i nie spełniał wymogu „rozsądnego terminu” w odniesieniu do okresów podlegających kontroli sądów krajowych. </w:t>
      </w:r>
      <w:r w:rsidR="00A00AD2">
        <w:t>Niewątpliwie</w:t>
      </w:r>
      <w:r w:rsidR="00973C3F">
        <w:t xml:space="preserve"> tak</w:t>
      </w:r>
      <w:r w:rsidR="00A00AD2">
        <w:t xml:space="preserve"> było</w:t>
      </w:r>
      <w:r w:rsidR="00973C3F">
        <w:t xml:space="preserve"> również </w:t>
      </w:r>
      <w:r w:rsidR="00A00AD2">
        <w:t>w całym</w:t>
      </w:r>
      <w:r w:rsidR="00973C3F">
        <w:t xml:space="preserve"> późniejszym</w:t>
      </w:r>
      <w:r w:rsidR="00A00AD2">
        <w:t xml:space="preserve"> okresie</w:t>
      </w:r>
      <w:r w:rsidR="00973C3F">
        <w:t>. W tych okolicznościach żądanie od skarżącej</w:t>
      </w:r>
      <w:r w:rsidR="00A00AD2">
        <w:t xml:space="preserve"> wniesienia</w:t>
      </w:r>
      <w:r w:rsidR="00973C3F">
        <w:t xml:space="preserve"> trzeci</w:t>
      </w:r>
      <w:r w:rsidR="00A00AD2">
        <w:t>ej</w:t>
      </w:r>
      <w:r w:rsidR="00973C3F">
        <w:t xml:space="preserve"> skarg</w:t>
      </w:r>
      <w:r w:rsidR="00A00AD2">
        <w:t>i</w:t>
      </w:r>
      <w:r w:rsidR="00973C3F">
        <w:t xml:space="preserve"> na podstawie ustawy z 2004 </w:t>
      </w:r>
      <w:r w:rsidR="007F5BB6">
        <w:t>roku</w:t>
      </w:r>
      <w:r w:rsidR="00973C3F">
        <w:t xml:space="preserve"> </w:t>
      </w:r>
      <w:r w:rsidR="00A00AD2">
        <w:t xml:space="preserve">stanowiłoby rozszerzenie </w:t>
      </w:r>
      <w:r w:rsidR="00973C3F">
        <w:t xml:space="preserve">jej </w:t>
      </w:r>
      <w:r w:rsidR="00A00AD2">
        <w:t xml:space="preserve">obowiązków </w:t>
      </w:r>
      <w:r w:rsidR="00973C3F">
        <w:t>po</w:t>
      </w:r>
      <w:r w:rsidR="00A00AD2">
        <w:t>nad te</w:t>
      </w:r>
      <w:r w:rsidR="00973C3F">
        <w:t xml:space="preserve"> wynikające z art. 35 ust. 1 Konwencji (zob. przykładowo </w:t>
      </w:r>
      <w:proofErr w:type="spellStart"/>
      <w:r w:rsidR="00973C3F">
        <w:rPr>
          <w:i/>
        </w:rPr>
        <w:t>Antonić-Tomasović</w:t>
      </w:r>
      <w:proofErr w:type="spellEnd"/>
      <w:r w:rsidR="00973C3F">
        <w:rPr>
          <w:i/>
        </w:rPr>
        <w:t xml:space="preserve"> przeciwko Chorwacji</w:t>
      </w:r>
      <w:r w:rsidR="00973C3F">
        <w:t>, skarga nr 5208/03, §§ 25-34, 10 listopada 2005 </w:t>
      </w:r>
      <w:r w:rsidR="007F5BB6">
        <w:t>roku</w:t>
      </w:r>
      <w:r w:rsidR="00973C3F">
        <w:t>).</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52</w:t>
      </w:r>
      <w:r>
        <w:rPr>
          <w:noProof/>
        </w:rPr>
        <w:fldChar w:fldCharType="end"/>
      </w:r>
      <w:r w:rsidR="00973C3F">
        <w:t xml:space="preserve">.  Podsumowując, Trybunał odrzuca </w:t>
      </w:r>
      <w:r w:rsidR="002075B5">
        <w:t xml:space="preserve">zarzut </w:t>
      </w:r>
      <w:r w:rsidR="00973C3F">
        <w:t>Rządu w kwestii wyczerpania krajowych środków odwoławczych i uznaje, iż w niniejszej sprawie doszło do naruszenia art. 6 ust. 1 Konwencji.</w:t>
      </w:r>
    </w:p>
    <w:p w:rsidR="00DE61E0" w:rsidRPr="00DC7D0A" w:rsidRDefault="00512715" w:rsidP="00E51754">
      <w:pPr>
        <w:pStyle w:val="ECHRHeading1"/>
        <w:ind w:left="-709" w:right="-864"/>
      </w:pPr>
      <w:r>
        <w:t>II.  ZASTOSOWANIE ARTYKUŁU</w:t>
      </w:r>
      <w:r w:rsidR="00DE61E0">
        <w:t> 41 KONWENCJI</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53</w:t>
      </w:r>
      <w:r>
        <w:rPr>
          <w:noProof/>
        </w:rPr>
        <w:fldChar w:fldCharType="end"/>
      </w:r>
      <w:r w:rsidR="00B3036D">
        <w:t>.  Art</w:t>
      </w:r>
      <w:r w:rsidR="00A00AD2">
        <w:t>ykuł</w:t>
      </w:r>
      <w:r w:rsidR="00B3036D">
        <w:t> 41 Konwencji stanowi:</w:t>
      </w:r>
    </w:p>
    <w:p w:rsidR="00DE61E0" w:rsidRPr="00DC7D0A" w:rsidRDefault="00DE61E0" w:rsidP="00E51754">
      <w:pPr>
        <w:pStyle w:val="ECHRParaQuote"/>
        <w:keepNext/>
        <w:keepLines/>
        <w:ind w:left="-709" w:right="-864"/>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DE61E0" w:rsidRPr="00DC7D0A" w:rsidRDefault="00DE61E0" w:rsidP="00E51754">
      <w:pPr>
        <w:pStyle w:val="ECHRHeading2"/>
        <w:ind w:left="-709" w:right="-864"/>
      </w:pPr>
      <w:r>
        <w:t>A.  Szkoda</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54</w:t>
      </w:r>
      <w:r>
        <w:rPr>
          <w:noProof/>
        </w:rPr>
        <w:fldChar w:fldCharType="end"/>
      </w:r>
      <w:r w:rsidR="00B3036D">
        <w:t>.  Skarżąca dochodziła kwoty 20 000 euro (EUR) tytułem zadośćuczynienia za szkodę niemajątkową.</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55</w:t>
      </w:r>
      <w:r>
        <w:rPr>
          <w:noProof/>
        </w:rPr>
        <w:fldChar w:fldCharType="end"/>
      </w:r>
      <w:r w:rsidR="00B3036D">
        <w:t>.  Rząd zakwestionował to roszczenie.</w:t>
      </w:r>
    </w:p>
    <w:p w:rsidR="009B114D"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56</w:t>
      </w:r>
      <w:r>
        <w:rPr>
          <w:noProof/>
        </w:rPr>
        <w:fldChar w:fldCharType="end"/>
      </w:r>
      <w:r w:rsidR="00B3036D">
        <w:t>.  Trybunał przyznaje skarżącej</w:t>
      </w:r>
      <w:r w:rsidR="00D67032">
        <w:t xml:space="preserve"> </w:t>
      </w:r>
      <w:r w:rsidR="00A00AD2">
        <w:t xml:space="preserve">kwotę </w:t>
      </w:r>
      <w:r w:rsidR="00B3036D">
        <w:t>10</w:t>
      </w:r>
      <w:r w:rsidR="00D67032">
        <w:t> </w:t>
      </w:r>
      <w:r w:rsidR="00B3036D">
        <w:t>000</w:t>
      </w:r>
      <w:r w:rsidR="00D67032">
        <w:t xml:space="preserve"> </w:t>
      </w:r>
      <w:r w:rsidR="00B3036D">
        <w:t xml:space="preserve">EUR </w:t>
      </w:r>
      <w:r w:rsidR="00A00AD2">
        <w:t xml:space="preserve">tytułem </w:t>
      </w:r>
      <w:r w:rsidR="00B3036D">
        <w:t>zadośćuczynienia za</w:t>
      </w:r>
      <w:r w:rsidR="004F40CE">
        <w:t> </w:t>
      </w:r>
      <w:r w:rsidR="00B3036D">
        <w:t>szkodę niemajątkową.</w:t>
      </w:r>
    </w:p>
    <w:p w:rsidR="00DE61E0" w:rsidRPr="00DC7D0A" w:rsidRDefault="00DE61E0" w:rsidP="00E51754">
      <w:pPr>
        <w:pStyle w:val="ECHRHeading2"/>
        <w:ind w:left="-709" w:right="-864"/>
      </w:pPr>
      <w:r>
        <w:t>B.  Koszty i wydatki</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57</w:t>
      </w:r>
      <w:r>
        <w:rPr>
          <w:noProof/>
        </w:rPr>
        <w:fldChar w:fldCharType="end"/>
      </w:r>
      <w:r w:rsidR="00B3036D">
        <w:t>.  Skarżąca reprezentowana przez pełnomocnika nie zgł</w:t>
      </w:r>
      <w:r w:rsidR="00FF7E6E">
        <w:t>o</w:t>
      </w:r>
      <w:r w:rsidR="00B3036D">
        <w:t>s</w:t>
      </w:r>
      <w:r w:rsidR="00FF7E6E">
        <w:t>iła</w:t>
      </w:r>
      <w:r w:rsidR="00B3036D">
        <w:t xml:space="preserve"> roszczeń z</w:t>
      </w:r>
      <w:r w:rsidR="00A00AD2">
        <w:t> </w:t>
      </w:r>
      <w:r w:rsidR="00B3036D">
        <w:t>tytułu kosztów i wydatków.</w:t>
      </w:r>
    </w:p>
    <w:p w:rsidR="00DE61E0" w:rsidRPr="00DC7D0A" w:rsidRDefault="00DE61E0" w:rsidP="00E51754">
      <w:pPr>
        <w:pStyle w:val="ECHRHeading2"/>
        <w:ind w:left="-709" w:right="-864"/>
      </w:pPr>
      <w:r>
        <w:t>C.  Odsetki za zwłokę</w:t>
      </w:r>
    </w:p>
    <w:p w:rsidR="00DE61E0" w:rsidRPr="00DC7D0A" w:rsidRDefault="0015050A" w:rsidP="00E51754">
      <w:pPr>
        <w:pStyle w:val="ECHRPara"/>
        <w:ind w:left="-709" w:right="-864"/>
      </w:pPr>
      <w:r>
        <w:fldChar w:fldCharType="begin"/>
      </w:r>
      <w:r>
        <w:instrText xml:space="preserve"> SEQ level0 \*arabic </w:instrText>
      </w:r>
      <w:r>
        <w:fldChar w:fldCharType="separate"/>
      </w:r>
      <w:r w:rsidR="008F59F8">
        <w:rPr>
          <w:noProof/>
        </w:rPr>
        <w:t>58</w:t>
      </w:r>
      <w:r>
        <w:rPr>
          <w:noProof/>
        </w:rPr>
        <w:fldChar w:fldCharType="end"/>
      </w:r>
      <w:r w:rsidR="00B3036D">
        <w:t>.  Trybunał za słuszne uznaje wyznaczenie wysokości odsetek za zwłokę na podstawie marginalnej stopy procentowej Europejskiego Banku Centralnego powiększonej o trzy punkty procentowe.</w:t>
      </w:r>
    </w:p>
    <w:p w:rsidR="00DE61E0" w:rsidRPr="00DC7D0A" w:rsidRDefault="002E044C" w:rsidP="00E51754">
      <w:pPr>
        <w:pStyle w:val="ECHRTitle1"/>
        <w:ind w:left="-709" w:right="-864"/>
      </w:pPr>
      <w:r>
        <w:t>Z TYCH PRZYCZYN TRYBUNAŁ JEDNOGŁOŚNIE</w:t>
      </w:r>
    </w:p>
    <w:p w:rsidR="001A296F" w:rsidRPr="00DC7D0A" w:rsidRDefault="00E502AF" w:rsidP="00E51754">
      <w:pPr>
        <w:pStyle w:val="JuList"/>
        <w:ind w:left="-709" w:right="-864"/>
      </w:pPr>
      <w:r>
        <w:t>1.  </w:t>
      </w:r>
      <w:r w:rsidR="00954CD3">
        <w:rPr>
          <w:i/>
          <w:iCs/>
        </w:rPr>
        <w:t>Przyłącza do</w:t>
      </w:r>
      <w:r w:rsidR="003C56A1">
        <w:rPr>
          <w:i/>
          <w:iCs/>
        </w:rPr>
        <w:t xml:space="preserve"> rozpoznawanego</w:t>
      </w:r>
      <w:r w:rsidR="00954CD3">
        <w:rPr>
          <w:i/>
          <w:iCs/>
        </w:rPr>
        <w:t xml:space="preserve"> </w:t>
      </w:r>
      <w:r w:rsidR="00D67032">
        <w:rPr>
          <w:i/>
          <w:iCs/>
        </w:rPr>
        <w:t>przedmiotu</w:t>
      </w:r>
      <w:r w:rsidR="003C56A1">
        <w:rPr>
          <w:i/>
          <w:iCs/>
        </w:rPr>
        <w:t xml:space="preserve"> skargi </w:t>
      </w:r>
      <w:r>
        <w:t>zastrzeżenie wstępne Rządu w</w:t>
      </w:r>
      <w:r w:rsidR="00A00AD2">
        <w:t> </w:t>
      </w:r>
      <w:r>
        <w:t xml:space="preserve">przedmiocie niewyczerpania przez skarżącą krajowych środków odwoławczych i </w:t>
      </w:r>
      <w:r>
        <w:rPr>
          <w:i/>
          <w:iCs/>
        </w:rPr>
        <w:t>oddala</w:t>
      </w:r>
      <w:r>
        <w:t xml:space="preserve"> </w:t>
      </w:r>
      <w:r w:rsidR="00A00AD2">
        <w:t xml:space="preserve">to </w:t>
      </w:r>
      <w:r>
        <w:t>zastrzeżenie;</w:t>
      </w:r>
    </w:p>
    <w:p w:rsidR="001A296F" w:rsidRPr="00DC7D0A" w:rsidRDefault="001A296F" w:rsidP="00E51754">
      <w:pPr>
        <w:pStyle w:val="JuList"/>
        <w:ind w:left="-709" w:right="-864"/>
      </w:pPr>
    </w:p>
    <w:p w:rsidR="00E502AF" w:rsidRPr="00DC7D0A" w:rsidRDefault="001A296F" w:rsidP="00E51754">
      <w:pPr>
        <w:pStyle w:val="JuList"/>
        <w:ind w:left="-709" w:right="-864"/>
      </w:pPr>
      <w:r>
        <w:t>2.  </w:t>
      </w:r>
      <w:r>
        <w:rPr>
          <w:i/>
          <w:iCs/>
        </w:rPr>
        <w:t>uznaje</w:t>
      </w:r>
      <w:r>
        <w:t xml:space="preserve"> skargę za dopuszczalną;</w:t>
      </w:r>
    </w:p>
    <w:p w:rsidR="00A02D3B" w:rsidRPr="00DC7D0A" w:rsidRDefault="00A02D3B" w:rsidP="00E51754">
      <w:pPr>
        <w:pStyle w:val="JuList"/>
        <w:ind w:left="-709" w:right="-864"/>
      </w:pPr>
    </w:p>
    <w:p w:rsidR="00DE61E0" w:rsidRPr="00DC7D0A" w:rsidRDefault="001A296F" w:rsidP="00E51754">
      <w:pPr>
        <w:pStyle w:val="JuList"/>
        <w:ind w:left="-709" w:right="-864"/>
      </w:pPr>
      <w:r>
        <w:t>3.  </w:t>
      </w:r>
      <w:r>
        <w:rPr>
          <w:i/>
        </w:rPr>
        <w:t>orzeka</w:t>
      </w:r>
      <w:r>
        <w:t>, że doszło do naruszenia art. 6 ust. 1 Konwencji;</w:t>
      </w:r>
    </w:p>
    <w:p w:rsidR="00B3036D" w:rsidRPr="00DC7D0A" w:rsidRDefault="00B3036D" w:rsidP="00E51754">
      <w:pPr>
        <w:pStyle w:val="JuList"/>
        <w:ind w:left="-709" w:right="-864" w:firstLine="0"/>
      </w:pPr>
    </w:p>
    <w:p w:rsidR="00DE61E0" w:rsidRPr="00DC7D0A" w:rsidRDefault="001A296F" w:rsidP="00E51754">
      <w:pPr>
        <w:pStyle w:val="JuList"/>
        <w:ind w:left="-709" w:right="-864"/>
      </w:pPr>
      <w:r>
        <w:t>4.  </w:t>
      </w:r>
      <w:r>
        <w:rPr>
          <w:i/>
        </w:rPr>
        <w:t>orzeka</w:t>
      </w:r>
    </w:p>
    <w:p w:rsidR="00DE61E0" w:rsidRPr="00DC7D0A" w:rsidRDefault="00DE61E0" w:rsidP="00E51754">
      <w:pPr>
        <w:pStyle w:val="JuLista"/>
        <w:ind w:left="-709" w:right="-864"/>
      </w:pPr>
      <w:r>
        <w:t>a)  że pozwane państwo winno, w terminie trzech miesięcy, uiścić na rzecz skarżącej kwotę 10 000 EUR (dziesięć tysięcy euro) plus wszelkie podatki należne od skarżącej, tytułem zadośćuczynienia za szkodę niemajątkową, przeliczoną na walutę pozwanego państwa według kursu obowiązującego w dniu płatności;</w:t>
      </w:r>
    </w:p>
    <w:p w:rsidR="00DE61E0" w:rsidRPr="00DC7D0A" w:rsidRDefault="00DE61E0" w:rsidP="00E51754">
      <w:pPr>
        <w:pStyle w:val="JuLista"/>
        <w:ind w:left="-709" w:right="-864"/>
      </w:pPr>
      <w:r>
        <w:t>b)  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A00AD2">
        <w:t> </w:t>
      </w:r>
      <w:r>
        <w:t>tym okresie, powiększonej o trzy punkty procentowe;</w:t>
      </w:r>
    </w:p>
    <w:p w:rsidR="00DE61E0" w:rsidRPr="00DC7D0A" w:rsidRDefault="00DE61E0" w:rsidP="00E51754">
      <w:pPr>
        <w:pStyle w:val="JuList"/>
        <w:ind w:left="-709" w:right="-864"/>
      </w:pPr>
    </w:p>
    <w:p w:rsidR="00DE61E0" w:rsidRPr="00DC7D0A" w:rsidRDefault="001A296F" w:rsidP="00E51754">
      <w:pPr>
        <w:pStyle w:val="JuList"/>
        <w:ind w:left="-709" w:right="-864"/>
      </w:pPr>
      <w:r>
        <w:t>5.  </w:t>
      </w:r>
      <w:r>
        <w:rPr>
          <w:i/>
        </w:rPr>
        <w:t xml:space="preserve">oddala </w:t>
      </w:r>
      <w:r>
        <w:t>pozostałą część roszczenia skarżącej dotyczącego słusznego zadośćuczynienia.</w:t>
      </w:r>
    </w:p>
    <w:p w:rsidR="00DE61E0" w:rsidRPr="00DC7D0A" w:rsidRDefault="00DE61E0" w:rsidP="00E51754">
      <w:pPr>
        <w:pStyle w:val="JuParaLast"/>
        <w:ind w:left="-709" w:right="-864"/>
      </w:pPr>
      <w:r>
        <w:t>Sporządzono w języku angielskim i obwieszczono pisemnie w dniu 16</w:t>
      </w:r>
      <w:r w:rsidR="00A00AD2">
        <w:t> </w:t>
      </w:r>
      <w:r>
        <w:t>maja 2019 </w:t>
      </w:r>
      <w:r w:rsidR="007F5BB6">
        <w:t>roku</w:t>
      </w:r>
      <w:r>
        <w:t xml:space="preserve">, zgodnie z Regułą 77 </w:t>
      </w:r>
      <w:r w:rsidR="00F3255B">
        <w:t>ust. </w:t>
      </w:r>
      <w:r>
        <w:t>2 i 3 Regulaminu Trybunału.</w:t>
      </w:r>
    </w:p>
    <w:p w:rsidR="00EB447C" w:rsidRPr="00DC7D0A" w:rsidRDefault="00DE61E0" w:rsidP="00E51754">
      <w:pPr>
        <w:pStyle w:val="JuSigned"/>
        <w:ind w:left="-709" w:right="-864"/>
      </w:pPr>
      <w:r>
        <w:tab/>
        <w:t xml:space="preserve">Renata </w:t>
      </w:r>
      <w:proofErr w:type="spellStart"/>
      <w:r>
        <w:t>Degener</w:t>
      </w:r>
      <w:proofErr w:type="spellEnd"/>
      <w:r>
        <w:tab/>
      </w:r>
      <w:proofErr w:type="spellStart"/>
      <w:r>
        <w:t>Ksenija</w:t>
      </w:r>
      <w:proofErr w:type="spellEnd"/>
      <w:r>
        <w:t xml:space="preserve"> </w:t>
      </w:r>
      <w:proofErr w:type="spellStart"/>
      <w:r>
        <w:t>Turković</w:t>
      </w:r>
      <w:proofErr w:type="spellEnd"/>
      <w:r>
        <w:br/>
      </w:r>
      <w:r>
        <w:tab/>
        <w:t>Zastępca Kanclerza</w:t>
      </w:r>
      <w:r>
        <w:tab/>
        <w:t>Przewodnicząca</w:t>
      </w:r>
    </w:p>
    <w:p w:rsidR="00DC7D0A" w:rsidRPr="00DC7D0A" w:rsidRDefault="00DC7D0A" w:rsidP="00DC7D0A">
      <w:pPr>
        <w:pStyle w:val="JuParaLast"/>
        <w:rPr>
          <w:lang w:val="es-ES_tradnl"/>
        </w:rPr>
      </w:pPr>
    </w:p>
    <w:sectPr w:rsidR="00DC7D0A" w:rsidRPr="00DC7D0A" w:rsidSect="009B114D">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FDA4EAE" w15:done="0"/>
  <w15:commentEx w15:paraId="1D7B10D8" w15:done="0"/>
  <w15:commentEx w15:paraId="1541F56E" w15:done="0"/>
  <w15:commentEx w15:paraId="1E7130F7" w15:done="0"/>
  <w15:commentEx w15:paraId="3822FC77" w15:paraIdParent="1E7130F7" w15:done="0"/>
  <w15:commentEx w15:paraId="63A9A2A6" w15:done="0"/>
  <w15:commentEx w15:paraId="1A882DDC" w15:paraIdParent="63A9A2A6" w15:done="0"/>
  <w15:commentEx w15:paraId="77702973" w15:done="0"/>
  <w15:commentEx w15:paraId="24F32A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DA4EAE" w16cid:durableId="209A3D4D"/>
  <w16cid:commentId w16cid:paraId="1D7B10D8" w16cid:durableId="209A2042"/>
  <w16cid:commentId w16cid:paraId="1541F56E" w16cid:durableId="209A1FAF"/>
  <w16cid:commentId w16cid:paraId="1E7130F7" w16cid:durableId="209A2198"/>
  <w16cid:commentId w16cid:paraId="63A9A2A6" w16cid:durableId="209A4104"/>
  <w16cid:commentId w16cid:paraId="77702973" w16cid:durableId="209A17F0"/>
  <w16cid:commentId w16cid:paraId="24F32A0C" w16cid:durableId="209A254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19F" w:rsidRPr="00BD3880" w:rsidRDefault="00BA419F" w:rsidP="000055E6">
      <w:r w:rsidRPr="00BD3880">
        <w:separator/>
      </w:r>
    </w:p>
  </w:endnote>
  <w:endnote w:type="continuationSeparator" w:id="0">
    <w:p w:rsidR="00BA419F" w:rsidRPr="00BD3880" w:rsidRDefault="00BA419F" w:rsidP="000055E6">
      <w:r w:rsidRPr="00BD38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Default="004C4C5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Default="004C4C5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Pr="00150BFA" w:rsidRDefault="004C4C5E" w:rsidP="004C4C5E">
    <w:pPr>
      <w:jc w:val="center"/>
    </w:pPr>
    <w:r>
      <w:rPr>
        <w:noProof/>
        <w:lang w:eastAsia="pl-PL"/>
      </w:rPr>
      <w:drawing>
        <wp:inline distT="0" distB="0" distL="0" distR="0" wp14:anchorId="6D8DE443" wp14:editId="777AD09A">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C4C5E" w:rsidRDefault="004C4C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19F" w:rsidRPr="00BD3880" w:rsidRDefault="00BA419F" w:rsidP="000055E6">
      <w:r w:rsidRPr="00BD3880">
        <w:separator/>
      </w:r>
    </w:p>
  </w:footnote>
  <w:footnote w:type="continuationSeparator" w:id="0">
    <w:p w:rsidR="00BA419F" w:rsidRPr="00BD3880" w:rsidRDefault="00BA419F" w:rsidP="000055E6">
      <w:r w:rsidRPr="00BD3880">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Default="004C4C5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Pr="009B114D" w:rsidRDefault="004C4C5E" w:rsidP="009B114D">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Pr="00A45145" w:rsidRDefault="004C4C5E" w:rsidP="004C4C5E">
    <w:pPr>
      <w:jc w:val="center"/>
    </w:pPr>
    <w:r>
      <w:rPr>
        <w:noProof/>
        <w:lang w:eastAsia="pl-PL"/>
      </w:rPr>
      <w:drawing>
        <wp:inline distT="0" distB="0" distL="0" distR="0" wp14:anchorId="3B445CF3" wp14:editId="48AE9B70">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C4C5E" w:rsidRDefault="004C4C5E">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Pr="00BD3880" w:rsidRDefault="004C4C5E" w:rsidP="00D0189E">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5050A">
      <w:rPr>
        <w:rStyle w:val="Numerstrony"/>
        <w:noProof/>
        <w:szCs w:val="18"/>
      </w:rPr>
      <w:t>8</w:t>
    </w:r>
    <w:r>
      <w:rPr>
        <w:rStyle w:val="Numerstrony"/>
        <w:szCs w:val="18"/>
      </w:rPr>
      <w:fldChar w:fldCharType="end"/>
    </w:r>
    <w:r>
      <w:tab/>
      <w:t>WYROK ZIAJA 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C5E" w:rsidRPr="00BD3880" w:rsidRDefault="004C4C5E" w:rsidP="00D0189E">
    <w:pPr>
      <w:pStyle w:val="ECHRHeader"/>
    </w:pPr>
    <w:r>
      <w:tab/>
      <w:t>WYROK ZIAJA przeciwko POLSCE</w:t>
    </w:r>
    <w:r>
      <w:tab/>
    </w:r>
    <w:r>
      <w:rPr>
        <w:rStyle w:val="Numerstrony"/>
      </w:rPr>
      <w:fldChar w:fldCharType="begin"/>
    </w:r>
    <w:r>
      <w:rPr>
        <w:rStyle w:val="Numerstrony"/>
      </w:rPr>
      <w:instrText xml:space="preserve"> PAGE </w:instrText>
    </w:r>
    <w:r>
      <w:rPr>
        <w:rStyle w:val="Numerstrony"/>
      </w:rPr>
      <w:fldChar w:fldCharType="separate"/>
    </w:r>
    <w:r w:rsidR="0015050A">
      <w:rPr>
        <w:rStyle w:val="Numerstrony"/>
        <w:noProof/>
      </w:rPr>
      <w:t>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7648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0C521FF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691E3B88"/>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1FA6CF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168685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7F4E0C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4A341DD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45AF4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56542F8A"/>
    <w:lvl w:ilvl="0">
      <w:start w:val="1"/>
      <w:numFmt w:val="decimal"/>
      <w:pStyle w:val="Listanumerowana"/>
      <w:lvlText w:val="%1."/>
      <w:lvlJc w:val="left"/>
      <w:pPr>
        <w:tabs>
          <w:tab w:val="num" w:pos="360"/>
        </w:tabs>
        <w:ind w:left="360" w:hanging="360"/>
      </w:pPr>
    </w:lvl>
  </w:abstractNum>
  <w:abstractNum w:abstractNumId="9">
    <w:nsid w:val="10165EA3"/>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32A0EF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48A1952"/>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9"/>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3036D"/>
    <w:rsid w:val="000041F8"/>
    <w:rsid w:val="000042A8"/>
    <w:rsid w:val="00004308"/>
    <w:rsid w:val="000055E6"/>
    <w:rsid w:val="00005BF0"/>
    <w:rsid w:val="00006FEE"/>
    <w:rsid w:val="00007154"/>
    <w:rsid w:val="000103AE"/>
    <w:rsid w:val="0001079F"/>
    <w:rsid w:val="00011D69"/>
    <w:rsid w:val="00012AD3"/>
    <w:rsid w:val="00015C2D"/>
    <w:rsid w:val="00015F00"/>
    <w:rsid w:val="00022C1D"/>
    <w:rsid w:val="000242AC"/>
    <w:rsid w:val="00034987"/>
    <w:rsid w:val="000433B2"/>
    <w:rsid w:val="00043AC8"/>
    <w:rsid w:val="000602DF"/>
    <w:rsid w:val="00061B05"/>
    <w:rsid w:val="000632D5"/>
    <w:rsid w:val="000644EE"/>
    <w:rsid w:val="00064A84"/>
    <w:rsid w:val="00064D8E"/>
    <w:rsid w:val="0007332D"/>
    <w:rsid w:val="00084815"/>
    <w:rsid w:val="000925AD"/>
    <w:rsid w:val="000A24EB"/>
    <w:rsid w:val="000A716B"/>
    <w:rsid w:val="000B52A1"/>
    <w:rsid w:val="000B6923"/>
    <w:rsid w:val="000C2AA3"/>
    <w:rsid w:val="000C5F3C"/>
    <w:rsid w:val="000C6DCC"/>
    <w:rsid w:val="000D47AA"/>
    <w:rsid w:val="000D52C4"/>
    <w:rsid w:val="000D721F"/>
    <w:rsid w:val="000E069B"/>
    <w:rsid w:val="000E0E82"/>
    <w:rsid w:val="000E1DC5"/>
    <w:rsid w:val="000E223F"/>
    <w:rsid w:val="000E7D45"/>
    <w:rsid w:val="000F7851"/>
    <w:rsid w:val="00104E23"/>
    <w:rsid w:val="00111B0C"/>
    <w:rsid w:val="0011370E"/>
    <w:rsid w:val="00120D6C"/>
    <w:rsid w:val="00122162"/>
    <w:rsid w:val="001257EC"/>
    <w:rsid w:val="0012793A"/>
    <w:rsid w:val="00133D33"/>
    <w:rsid w:val="00134D64"/>
    <w:rsid w:val="00135A30"/>
    <w:rsid w:val="0013612C"/>
    <w:rsid w:val="00137FF6"/>
    <w:rsid w:val="00141650"/>
    <w:rsid w:val="00147CC7"/>
    <w:rsid w:val="0015050A"/>
    <w:rsid w:val="0016071E"/>
    <w:rsid w:val="00162A12"/>
    <w:rsid w:val="00165114"/>
    <w:rsid w:val="00166530"/>
    <w:rsid w:val="001832BD"/>
    <w:rsid w:val="001943B5"/>
    <w:rsid w:val="00195134"/>
    <w:rsid w:val="001A145B"/>
    <w:rsid w:val="001A1FAB"/>
    <w:rsid w:val="001A296F"/>
    <w:rsid w:val="001A4083"/>
    <w:rsid w:val="001A674C"/>
    <w:rsid w:val="001B3B24"/>
    <w:rsid w:val="001B5985"/>
    <w:rsid w:val="001B690B"/>
    <w:rsid w:val="001B7EB2"/>
    <w:rsid w:val="001C0F98"/>
    <w:rsid w:val="001C2A42"/>
    <w:rsid w:val="001D3265"/>
    <w:rsid w:val="001D3A3B"/>
    <w:rsid w:val="001D5048"/>
    <w:rsid w:val="001D63ED"/>
    <w:rsid w:val="001D7348"/>
    <w:rsid w:val="001E035B"/>
    <w:rsid w:val="001E0961"/>
    <w:rsid w:val="001E3EAE"/>
    <w:rsid w:val="001E6F32"/>
    <w:rsid w:val="001F2145"/>
    <w:rsid w:val="001F3D06"/>
    <w:rsid w:val="001F6262"/>
    <w:rsid w:val="001F66FE"/>
    <w:rsid w:val="001F67B0"/>
    <w:rsid w:val="001F7B3D"/>
    <w:rsid w:val="00205F9F"/>
    <w:rsid w:val="0020655F"/>
    <w:rsid w:val="002075B5"/>
    <w:rsid w:val="00210338"/>
    <w:rsid w:val="002115FC"/>
    <w:rsid w:val="002126FC"/>
    <w:rsid w:val="0021423C"/>
    <w:rsid w:val="00222F0C"/>
    <w:rsid w:val="00230D00"/>
    <w:rsid w:val="00231DF7"/>
    <w:rsid w:val="00231FD1"/>
    <w:rsid w:val="002339E0"/>
    <w:rsid w:val="00233CF8"/>
    <w:rsid w:val="0023575D"/>
    <w:rsid w:val="00236AE3"/>
    <w:rsid w:val="00237148"/>
    <w:rsid w:val="0024222D"/>
    <w:rsid w:val="00242DDA"/>
    <w:rsid w:val="00244B0E"/>
    <w:rsid w:val="00244F6C"/>
    <w:rsid w:val="002532C5"/>
    <w:rsid w:val="00260C03"/>
    <w:rsid w:val="0026540E"/>
    <w:rsid w:val="00275123"/>
    <w:rsid w:val="00277B06"/>
    <w:rsid w:val="00282240"/>
    <w:rsid w:val="00292519"/>
    <w:rsid w:val="002948AD"/>
    <w:rsid w:val="002A01CC"/>
    <w:rsid w:val="002A256C"/>
    <w:rsid w:val="002A61B1"/>
    <w:rsid w:val="002A65F3"/>
    <w:rsid w:val="002A663C"/>
    <w:rsid w:val="002B444B"/>
    <w:rsid w:val="002B5887"/>
    <w:rsid w:val="002C0E27"/>
    <w:rsid w:val="002C3040"/>
    <w:rsid w:val="002C5DD5"/>
    <w:rsid w:val="002D022D"/>
    <w:rsid w:val="002D24BB"/>
    <w:rsid w:val="002D6181"/>
    <w:rsid w:val="002E044C"/>
    <w:rsid w:val="002E0BCE"/>
    <w:rsid w:val="002F2AF7"/>
    <w:rsid w:val="002F2C59"/>
    <w:rsid w:val="002F7E1C"/>
    <w:rsid w:val="00301A75"/>
    <w:rsid w:val="00302F70"/>
    <w:rsid w:val="0030336F"/>
    <w:rsid w:val="0030375E"/>
    <w:rsid w:val="00310630"/>
    <w:rsid w:val="00312A30"/>
    <w:rsid w:val="003176FC"/>
    <w:rsid w:val="0032016D"/>
    <w:rsid w:val="00320F72"/>
    <w:rsid w:val="0032463E"/>
    <w:rsid w:val="003249B0"/>
    <w:rsid w:val="00326224"/>
    <w:rsid w:val="00337EE4"/>
    <w:rsid w:val="00340FFD"/>
    <w:rsid w:val="00347B85"/>
    <w:rsid w:val="003506B1"/>
    <w:rsid w:val="003559B1"/>
    <w:rsid w:val="00356AC7"/>
    <w:rsid w:val="003609FA"/>
    <w:rsid w:val="00361CB4"/>
    <w:rsid w:val="003631F9"/>
    <w:rsid w:val="003710C8"/>
    <w:rsid w:val="00374E94"/>
    <w:rsid w:val="003750BE"/>
    <w:rsid w:val="003802D6"/>
    <w:rsid w:val="00387B9D"/>
    <w:rsid w:val="0039364F"/>
    <w:rsid w:val="00394565"/>
    <w:rsid w:val="00396686"/>
    <w:rsid w:val="003976EA"/>
    <w:rsid w:val="0039778E"/>
    <w:rsid w:val="003B4941"/>
    <w:rsid w:val="003C3D56"/>
    <w:rsid w:val="003C56A1"/>
    <w:rsid w:val="003C5714"/>
    <w:rsid w:val="003C6B9F"/>
    <w:rsid w:val="003C6E2A"/>
    <w:rsid w:val="003D0299"/>
    <w:rsid w:val="003E00B4"/>
    <w:rsid w:val="003E464B"/>
    <w:rsid w:val="003E6D80"/>
    <w:rsid w:val="003F05FA"/>
    <w:rsid w:val="003F244A"/>
    <w:rsid w:val="003F30B8"/>
    <w:rsid w:val="003F4C45"/>
    <w:rsid w:val="003F5F7B"/>
    <w:rsid w:val="003F7D64"/>
    <w:rsid w:val="00401E27"/>
    <w:rsid w:val="00414300"/>
    <w:rsid w:val="00425C67"/>
    <w:rsid w:val="00427E7A"/>
    <w:rsid w:val="004342BA"/>
    <w:rsid w:val="00436C49"/>
    <w:rsid w:val="00445366"/>
    <w:rsid w:val="00447F5B"/>
    <w:rsid w:val="00452109"/>
    <w:rsid w:val="0045568E"/>
    <w:rsid w:val="00461DB0"/>
    <w:rsid w:val="00463926"/>
    <w:rsid w:val="00463A8F"/>
    <w:rsid w:val="00464C9A"/>
    <w:rsid w:val="004659A7"/>
    <w:rsid w:val="00471109"/>
    <w:rsid w:val="00474F3D"/>
    <w:rsid w:val="00475DE4"/>
    <w:rsid w:val="0047675E"/>
    <w:rsid w:val="00477E3A"/>
    <w:rsid w:val="00483E5F"/>
    <w:rsid w:val="00485FF9"/>
    <w:rsid w:val="004907F0"/>
    <w:rsid w:val="0049140B"/>
    <w:rsid w:val="004919E6"/>
    <w:rsid w:val="004923A5"/>
    <w:rsid w:val="00496BFB"/>
    <w:rsid w:val="004A15C7"/>
    <w:rsid w:val="004A5A55"/>
    <w:rsid w:val="004B013B"/>
    <w:rsid w:val="004B112B"/>
    <w:rsid w:val="004B3056"/>
    <w:rsid w:val="004B602D"/>
    <w:rsid w:val="004C01E4"/>
    <w:rsid w:val="004C086C"/>
    <w:rsid w:val="004C154E"/>
    <w:rsid w:val="004C1F56"/>
    <w:rsid w:val="004C27BC"/>
    <w:rsid w:val="004C4C5E"/>
    <w:rsid w:val="004C6C2B"/>
    <w:rsid w:val="004D15F3"/>
    <w:rsid w:val="004D5311"/>
    <w:rsid w:val="004D5DCC"/>
    <w:rsid w:val="004D6778"/>
    <w:rsid w:val="004E20D7"/>
    <w:rsid w:val="004E2678"/>
    <w:rsid w:val="004F10AF"/>
    <w:rsid w:val="004F11A4"/>
    <w:rsid w:val="004F2389"/>
    <w:rsid w:val="004F304D"/>
    <w:rsid w:val="004F40CE"/>
    <w:rsid w:val="004F41E1"/>
    <w:rsid w:val="004F61BE"/>
    <w:rsid w:val="004F66B1"/>
    <w:rsid w:val="0050258B"/>
    <w:rsid w:val="00505280"/>
    <w:rsid w:val="005066C7"/>
    <w:rsid w:val="005105FB"/>
    <w:rsid w:val="00511C07"/>
    <w:rsid w:val="00512715"/>
    <w:rsid w:val="005164D5"/>
    <w:rsid w:val="005173A6"/>
    <w:rsid w:val="00517FDB"/>
    <w:rsid w:val="00520BAA"/>
    <w:rsid w:val="00523B4A"/>
    <w:rsid w:val="005242D8"/>
    <w:rsid w:val="00525208"/>
    <w:rsid w:val="005257A5"/>
    <w:rsid w:val="005264C0"/>
    <w:rsid w:val="00526A8A"/>
    <w:rsid w:val="00531DF2"/>
    <w:rsid w:val="005348BD"/>
    <w:rsid w:val="00541F00"/>
    <w:rsid w:val="005438CC"/>
    <w:rsid w:val="005439DD"/>
    <w:rsid w:val="005442EE"/>
    <w:rsid w:val="00547353"/>
    <w:rsid w:val="005474E7"/>
    <w:rsid w:val="005512A3"/>
    <w:rsid w:val="005578CE"/>
    <w:rsid w:val="00562781"/>
    <w:rsid w:val="005640DE"/>
    <w:rsid w:val="0057271C"/>
    <w:rsid w:val="00572845"/>
    <w:rsid w:val="0057477A"/>
    <w:rsid w:val="0058002D"/>
    <w:rsid w:val="00590667"/>
    <w:rsid w:val="00592772"/>
    <w:rsid w:val="005946D5"/>
    <w:rsid w:val="0059574A"/>
    <w:rsid w:val="0059658B"/>
    <w:rsid w:val="005A1B9B"/>
    <w:rsid w:val="005A6751"/>
    <w:rsid w:val="005B092E"/>
    <w:rsid w:val="005B152C"/>
    <w:rsid w:val="005B1DF3"/>
    <w:rsid w:val="005B1EE0"/>
    <w:rsid w:val="005B2B24"/>
    <w:rsid w:val="005B4425"/>
    <w:rsid w:val="005B4B94"/>
    <w:rsid w:val="005C1C5D"/>
    <w:rsid w:val="005C3EE8"/>
    <w:rsid w:val="005C5526"/>
    <w:rsid w:val="005C5B08"/>
    <w:rsid w:val="005D22AC"/>
    <w:rsid w:val="005D34F9"/>
    <w:rsid w:val="005D4190"/>
    <w:rsid w:val="005D67A3"/>
    <w:rsid w:val="005D7CA1"/>
    <w:rsid w:val="005E0FE5"/>
    <w:rsid w:val="005E2988"/>
    <w:rsid w:val="005E3085"/>
    <w:rsid w:val="005F51E1"/>
    <w:rsid w:val="0060307B"/>
    <w:rsid w:val="00611C80"/>
    <w:rsid w:val="00615731"/>
    <w:rsid w:val="00620692"/>
    <w:rsid w:val="006242CA"/>
    <w:rsid w:val="00627507"/>
    <w:rsid w:val="00633717"/>
    <w:rsid w:val="006344E1"/>
    <w:rsid w:val="00637248"/>
    <w:rsid w:val="006469F5"/>
    <w:rsid w:val="006538BA"/>
    <w:rsid w:val="00653C66"/>
    <w:rsid w:val="006545C4"/>
    <w:rsid w:val="00661971"/>
    <w:rsid w:val="00661CE8"/>
    <w:rsid w:val="006623D9"/>
    <w:rsid w:val="00663490"/>
    <w:rsid w:val="00664DF1"/>
    <w:rsid w:val="0066550C"/>
    <w:rsid w:val="0066737C"/>
    <w:rsid w:val="00667A9D"/>
    <w:rsid w:val="006716F2"/>
    <w:rsid w:val="00671DBA"/>
    <w:rsid w:val="00672D8B"/>
    <w:rsid w:val="00681CC1"/>
    <w:rsid w:val="00682BF2"/>
    <w:rsid w:val="006859CE"/>
    <w:rsid w:val="00687A0F"/>
    <w:rsid w:val="00690604"/>
    <w:rsid w:val="00691270"/>
    <w:rsid w:val="00694BA8"/>
    <w:rsid w:val="006A037C"/>
    <w:rsid w:val="006A36F4"/>
    <w:rsid w:val="006A406F"/>
    <w:rsid w:val="006A5D3A"/>
    <w:rsid w:val="006B2773"/>
    <w:rsid w:val="006C056F"/>
    <w:rsid w:val="006C23D4"/>
    <w:rsid w:val="006C7BB0"/>
    <w:rsid w:val="006D028D"/>
    <w:rsid w:val="006D3237"/>
    <w:rsid w:val="006D4B81"/>
    <w:rsid w:val="006E2E37"/>
    <w:rsid w:val="006E3CF1"/>
    <w:rsid w:val="006E7E80"/>
    <w:rsid w:val="006F48CA"/>
    <w:rsid w:val="006F64DD"/>
    <w:rsid w:val="007109C5"/>
    <w:rsid w:val="00712151"/>
    <w:rsid w:val="007130C9"/>
    <w:rsid w:val="0071393C"/>
    <w:rsid w:val="00715127"/>
    <w:rsid w:val="00715E8E"/>
    <w:rsid w:val="00723580"/>
    <w:rsid w:val="00723755"/>
    <w:rsid w:val="0073136C"/>
    <w:rsid w:val="00731F0F"/>
    <w:rsid w:val="00733250"/>
    <w:rsid w:val="007350E0"/>
    <w:rsid w:val="00741404"/>
    <w:rsid w:val="007449E5"/>
    <w:rsid w:val="00747FF0"/>
    <w:rsid w:val="00764D4E"/>
    <w:rsid w:val="00765A1F"/>
    <w:rsid w:val="00775B6D"/>
    <w:rsid w:val="00776D68"/>
    <w:rsid w:val="007850EE"/>
    <w:rsid w:val="00785B95"/>
    <w:rsid w:val="00786BD9"/>
    <w:rsid w:val="00790E96"/>
    <w:rsid w:val="007910FA"/>
    <w:rsid w:val="00793366"/>
    <w:rsid w:val="007A5568"/>
    <w:rsid w:val="007A64F0"/>
    <w:rsid w:val="007A6875"/>
    <w:rsid w:val="007A716F"/>
    <w:rsid w:val="007B270A"/>
    <w:rsid w:val="007C0695"/>
    <w:rsid w:val="007C419A"/>
    <w:rsid w:val="007C4CC8"/>
    <w:rsid w:val="007C5426"/>
    <w:rsid w:val="007C5798"/>
    <w:rsid w:val="007D0112"/>
    <w:rsid w:val="007D4832"/>
    <w:rsid w:val="007D61D9"/>
    <w:rsid w:val="007E21B2"/>
    <w:rsid w:val="007E2A63"/>
    <w:rsid w:val="007E2C4E"/>
    <w:rsid w:val="007E5E77"/>
    <w:rsid w:val="007E76F6"/>
    <w:rsid w:val="007F1905"/>
    <w:rsid w:val="007F5BB6"/>
    <w:rsid w:val="00802C64"/>
    <w:rsid w:val="008047BC"/>
    <w:rsid w:val="00805E52"/>
    <w:rsid w:val="008061D0"/>
    <w:rsid w:val="008062C2"/>
    <w:rsid w:val="00810B38"/>
    <w:rsid w:val="00817600"/>
    <w:rsid w:val="008204C7"/>
    <w:rsid w:val="00820992"/>
    <w:rsid w:val="00823602"/>
    <w:rsid w:val="008255F5"/>
    <w:rsid w:val="0082561B"/>
    <w:rsid w:val="0083014E"/>
    <w:rsid w:val="0083214A"/>
    <w:rsid w:val="0083230B"/>
    <w:rsid w:val="00834220"/>
    <w:rsid w:val="00842470"/>
    <w:rsid w:val="00845723"/>
    <w:rsid w:val="00851EF9"/>
    <w:rsid w:val="008574C4"/>
    <w:rsid w:val="008577FD"/>
    <w:rsid w:val="00860B03"/>
    <w:rsid w:val="0086497A"/>
    <w:rsid w:val="008713A1"/>
    <w:rsid w:val="0087386C"/>
    <w:rsid w:val="008754AB"/>
    <w:rsid w:val="00877001"/>
    <w:rsid w:val="0088060C"/>
    <w:rsid w:val="0088574C"/>
    <w:rsid w:val="00886EA6"/>
    <w:rsid w:val="00893576"/>
    <w:rsid w:val="00893E73"/>
    <w:rsid w:val="00894240"/>
    <w:rsid w:val="008A14EF"/>
    <w:rsid w:val="008A7883"/>
    <w:rsid w:val="008B02DC"/>
    <w:rsid w:val="008B02DD"/>
    <w:rsid w:val="008B18EA"/>
    <w:rsid w:val="008B25E8"/>
    <w:rsid w:val="008B57CE"/>
    <w:rsid w:val="008B62C5"/>
    <w:rsid w:val="008C26DE"/>
    <w:rsid w:val="008C35BF"/>
    <w:rsid w:val="008D2225"/>
    <w:rsid w:val="008D4752"/>
    <w:rsid w:val="008E271C"/>
    <w:rsid w:val="008E418E"/>
    <w:rsid w:val="008E596B"/>
    <w:rsid w:val="008E5BC6"/>
    <w:rsid w:val="008E6A25"/>
    <w:rsid w:val="008F5193"/>
    <w:rsid w:val="008F59F8"/>
    <w:rsid w:val="009013A7"/>
    <w:rsid w:val="009017FB"/>
    <w:rsid w:val="009017FC"/>
    <w:rsid w:val="0090506B"/>
    <w:rsid w:val="009050C9"/>
    <w:rsid w:val="009066FC"/>
    <w:rsid w:val="009140A3"/>
    <w:rsid w:val="009144A2"/>
    <w:rsid w:val="0091510C"/>
    <w:rsid w:val="0091780D"/>
    <w:rsid w:val="009259AC"/>
    <w:rsid w:val="00926F38"/>
    <w:rsid w:val="00934144"/>
    <w:rsid w:val="00934301"/>
    <w:rsid w:val="0093623D"/>
    <w:rsid w:val="00936CD1"/>
    <w:rsid w:val="00941747"/>
    <w:rsid w:val="00941EFB"/>
    <w:rsid w:val="00943304"/>
    <w:rsid w:val="00943BB3"/>
    <w:rsid w:val="00947AFB"/>
    <w:rsid w:val="00951D7D"/>
    <w:rsid w:val="00953E95"/>
    <w:rsid w:val="00954CD3"/>
    <w:rsid w:val="009630C7"/>
    <w:rsid w:val="00972B55"/>
    <w:rsid w:val="00973109"/>
    <w:rsid w:val="00973C3F"/>
    <w:rsid w:val="009743B7"/>
    <w:rsid w:val="009751AF"/>
    <w:rsid w:val="00980BC6"/>
    <w:rsid w:val="0098228B"/>
    <w:rsid w:val="009828DA"/>
    <w:rsid w:val="00983568"/>
    <w:rsid w:val="00985BAB"/>
    <w:rsid w:val="0098725D"/>
    <w:rsid w:val="00991645"/>
    <w:rsid w:val="00993008"/>
    <w:rsid w:val="009A1374"/>
    <w:rsid w:val="009B114D"/>
    <w:rsid w:val="009B1B5F"/>
    <w:rsid w:val="009B1BB3"/>
    <w:rsid w:val="009B65F2"/>
    <w:rsid w:val="009B6673"/>
    <w:rsid w:val="009C191B"/>
    <w:rsid w:val="009C2BD6"/>
    <w:rsid w:val="009D23AD"/>
    <w:rsid w:val="009E1F32"/>
    <w:rsid w:val="009E60A4"/>
    <w:rsid w:val="009E633B"/>
    <w:rsid w:val="009E776C"/>
    <w:rsid w:val="009F08A4"/>
    <w:rsid w:val="009F4564"/>
    <w:rsid w:val="009F72AC"/>
    <w:rsid w:val="009F7F3F"/>
    <w:rsid w:val="00A00AD2"/>
    <w:rsid w:val="00A01F8B"/>
    <w:rsid w:val="00A02D3B"/>
    <w:rsid w:val="00A1726E"/>
    <w:rsid w:val="00A204CF"/>
    <w:rsid w:val="00A22A2D"/>
    <w:rsid w:val="00A23D49"/>
    <w:rsid w:val="00A26026"/>
    <w:rsid w:val="00A27004"/>
    <w:rsid w:val="00A30C29"/>
    <w:rsid w:val="00A32838"/>
    <w:rsid w:val="00A34DD6"/>
    <w:rsid w:val="00A36819"/>
    <w:rsid w:val="00A36989"/>
    <w:rsid w:val="00A41874"/>
    <w:rsid w:val="00A43628"/>
    <w:rsid w:val="00A517D4"/>
    <w:rsid w:val="00A54192"/>
    <w:rsid w:val="00A6035E"/>
    <w:rsid w:val="00A6144C"/>
    <w:rsid w:val="00A63CC6"/>
    <w:rsid w:val="00A66617"/>
    <w:rsid w:val="00A671F8"/>
    <w:rsid w:val="00A673A4"/>
    <w:rsid w:val="00A724AE"/>
    <w:rsid w:val="00A73329"/>
    <w:rsid w:val="00A80E50"/>
    <w:rsid w:val="00A82359"/>
    <w:rsid w:val="00A865D2"/>
    <w:rsid w:val="00A94C20"/>
    <w:rsid w:val="00AA227F"/>
    <w:rsid w:val="00AA3BC7"/>
    <w:rsid w:val="00AA754A"/>
    <w:rsid w:val="00AB099E"/>
    <w:rsid w:val="00AB4328"/>
    <w:rsid w:val="00AC1A14"/>
    <w:rsid w:val="00AC7CC4"/>
    <w:rsid w:val="00AE0A2E"/>
    <w:rsid w:val="00AE354C"/>
    <w:rsid w:val="00AE3905"/>
    <w:rsid w:val="00AF2C8B"/>
    <w:rsid w:val="00AF4B07"/>
    <w:rsid w:val="00AF6186"/>
    <w:rsid w:val="00AF6511"/>
    <w:rsid w:val="00AF7969"/>
    <w:rsid w:val="00AF7A3A"/>
    <w:rsid w:val="00B160DB"/>
    <w:rsid w:val="00B1767E"/>
    <w:rsid w:val="00B20836"/>
    <w:rsid w:val="00B235BB"/>
    <w:rsid w:val="00B2748E"/>
    <w:rsid w:val="00B27A44"/>
    <w:rsid w:val="00B3036D"/>
    <w:rsid w:val="00B30BBF"/>
    <w:rsid w:val="00B32190"/>
    <w:rsid w:val="00B33C03"/>
    <w:rsid w:val="00B35609"/>
    <w:rsid w:val="00B37454"/>
    <w:rsid w:val="00B44E56"/>
    <w:rsid w:val="00B46543"/>
    <w:rsid w:val="00B47D33"/>
    <w:rsid w:val="00B50C7A"/>
    <w:rsid w:val="00B52BE0"/>
    <w:rsid w:val="00B54133"/>
    <w:rsid w:val="00B701ED"/>
    <w:rsid w:val="00B7248D"/>
    <w:rsid w:val="00B8086C"/>
    <w:rsid w:val="00B861B4"/>
    <w:rsid w:val="00B865E3"/>
    <w:rsid w:val="00B86DFE"/>
    <w:rsid w:val="00B90990"/>
    <w:rsid w:val="00B922FF"/>
    <w:rsid w:val="00B9281E"/>
    <w:rsid w:val="00B93925"/>
    <w:rsid w:val="00B95187"/>
    <w:rsid w:val="00B97DFA"/>
    <w:rsid w:val="00BA09C9"/>
    <w:rsid w:val="00BA2D55"/>
    <w:rsid w:val="00BA419F"/>
    <w:rsid w:val="00BA5732"/>
    <w:rsid w:val="00BA6C8B"/>
    <w:rsid w:val="00BA71B1"/>
    <w:rsid w:val="00BB0637"/>
    <w:rsid w:val="00BB345F"/>
    <w:rsid w:val="00BB4AC3"/>
    <w:rsid w:val="00BB68EA"/>
    <w:rsid w:val="00BC100E"/>
    <w:rsid w:val="00BC1C27"/>
    <w:rsid w:val="00BC6BBF"/>
    <w:rsid w:val="00BD1572"/>
    <w:rsid w:val="00BD3880"/>
    <w:rsid w:val="00BE0816"/>
    <w:rsid w:val="00BE14E3"/>
    <w:rsid w:val="00BE29DB"/>
    <w:rsid w:val="00BE3774"/>
    <w:rsid w:val="00BE41E5"/>
    <w:rsid w:val="00BF4109"/>
    <w:rsid w:val="00BF4CC3"/>
    <w:rsid w:val="00BF5587"/>
    <w:rsid w:val="00C01F08"/>
    <w:rsid w:val="00C054C7"/>
    <w:rsid w:val="00C057B5"/>
    <w:rsid w:val="00C179D5"/>
    <w:rsid w:val="00C22687"/>
    <w:rsid w:val="00C26F29"/>
    <w:rsid w:val="00C3194F"/>
    <w:rsid w:val="00C32E4D"/>
    <w:rsid w:val="00C333A0"/>
    <w:rsid w:val="00C36A81"/>
    <w:rsid w:val="00C41974"/>
    <w:rsid w:val="00C438F3"/>
    <w:rsid w:val="00C441F7"/>
    <w:rsid w:val="00C50715"/>
    <w:rsid w:val="00C51596"/>
    <w:rsid w:val="00C536E0"/>
    <w:rsid w:val="00C53F4A"/>
    <w:rsid w:val="00C54125"/>
    <w:rsid w:val="00C55B54"/>
    <w:rsid w:val="00C6098E"/>
    <w:rsid w:val="00C6152C"/>
    <w:rsid w:val="00C61D51"/>
    <w:rsid w:val="00C644B7"/>
    <w:rsid w:val="00C64D8B"/>
    <w:rsid w:val="00C72A42"/>
    <w:rsid w:val="00C74047"/>
    <w:rsid w:val="00C74810"/>
    <w:rsid w:val="00C75297"/>
    <w:rsid w:val="00C90D68"/>
    <w:rsid w:val="00C939FE"/>
    <w:rsid w:val="00C97A08"/>
    <w:rsid w:val="00CA4BDA"/>
    <w:rsid w:val="00CB1F66"/>
    <w:rsid w:val="00CB2951"/>
    <w:rsid w:val="00CB3D61"/>
    <w:rsid w:val="00CB5BD7"/>
    <w:rsid w:val="00CB6E04"/>
    <w:rsid w:val="00CC72C9"/>
    <w:rsid w:val="00CD0F01"/>
    <w:rsid w:val="00CD282B"/>
    <w:rsid w:val="00CD4C35"/>
    <w:rsid w:val="00CD7369"/>
    <w:rsid w:val="00CE0B0E"/>
    <w:rsid w:val="00CE3831"/>
    <w:rsid w:val="00CF50B8"/>
    <w:rsid w:val="00D00ABB"/>
    <w:rsid w:val="00D0189E"/>
    <w:rsid w:val="00D02EEC"/>
    <w:rsid w:val="00D03551"/>
    <w:rsid w:val="00D03DB4"/>
    <w:rsid w:val="00D06A63"/>
    <w:rsid w:val="00D07C1F"/>
    <w:rsid w:val="00D07E0E"/>
    <w:rsid w:val="00D11478"/>
    <w:rsid w:val="00D15ED0"/>
    <w:rsid w:val="00D20B09"/>
    <w:rsid w:val="00D21B3E"/>
    <w:rsid w:val="00D21FED"/>
    <w:rsid w:val="00D24251"/>
    <w:rsid w:val="00D26370"/>
    <w:rsid w:val="00D337B2"/>
    <w:rsid w:val="00D33BEB"/>
    <w:rsid w:val="00D343E2"/>
    <w:rsid w:val="00D361A2"/>
    <w:rsid w:val="00D44C2E"/>
    <w:rsid w:val="00D45414"/>
    <w:rsid w:val="00D46837"/>
    <w:rsid w:val="00D566BD"/>
    <w:rsid w:val="00D57A4D"/>
    <w:rsid w:val="00D60AA7"/>
    <w:rsid w:val="00D6435F"/>
    <w:rsid w:val="00D64F64"/>
    <w:rsid w:val="00D66777"/>
    <w:rsid w:val="00D66BE9"/>
    <w:rsid w:val="00D67032"/>
    <w:rsid w:val="00D67F1E"/>
    <w:rsid w:val="00D7279F"/>
    <w:rsid w:val="00D758E2"/>
    <w:rsid w:val="00D75E28"/>
    <w:rsid w:val="00D772C2"/>
    <w:rsid w:val="00D8008E"/>
    <w:rsid w:val="00D82A60"/>
    <w:rsid w:val="00D82C45"/>
    <w:rsid w:val="00D908A8"/>
    <w:rsid w:val="00D9536A"/>
    <w:rsid w:val="00D977B6"/>
    <w:rsid w:val="00DA4A31"/>
    <w:rsid w:val="00DA7B04"/>
    <w:rsid w:val="00DB36C2"/>
    <w:rsid w:val="00DB3A4F"/>
    <w:rsid w:val="00DB40AE"/>
    <w:rsid w:val="00DC169B"/>
    <w:rsid w:val="00DC2AB9"/>
    <w:rsid w:val="00DC48B4"/>
    <w:rsid w:val="00DC63F0"/>
    <w:rsid w:val="00DC7D0A"/>
    <w:rsid w:val="00DD6EE5"/>
    <w:rsid w:val="00DE386C"/>
    <w:rsid w:val="00DE4D35"/>
    <w:rsid w:val="00DE61E0"/>
    <w:rsid w:val="00DF098B"/>
    <w:rsid w:val="00DF11C4"/>
    <w:rsid w:val="00DF210C"/>
    <w:rsid w:val="00DF4B6A"/>
    <w:rsid w:val="00DF52FE"/>
    <w:rsid w:val="00DF5E64"/>
    <w:rsid w:val="00E02C09"/>
    <w:rsid w:val="00E045B7"/>
    <w:rsid w:val="00E04D59"/>
    <w:rsid w:val="00E060E7"/>
    <w:rsid w:val="00E07DA1"/>
    <w:rsid w:val="00E123CB"/>
    <w:rsid w:val="00E20E13"/>
    <w:rsid w:val="00E21CC9"/>
    <w:rsid w:val="00E21DBC"/>
    <w:rsid w:val="00E275D7"/>
    <w:rsid w:val="00E27DBE"/>
    <w:rsid w:val="00E32AB1"/>
    <w:rsid w:val="00E36C71"/>
    <w:rsid w:val="00E37ED2"/>
    <w:rsid w:val="00E40404"/>
    <w:rsid w:val="00E459C6"/>
    <w:rsid w:val="00E471F2"/>
    <w:rsid w:val="00E47589"/>
    <w:rsid w:val="00E502AF"/>
    <w:rsid w:val="00E51754"/>
    <w:rsid w:val="00E518D2"/>
    <w:rsid w:val="00E64915"/>
    <w:rsid w:val="00E661D4"/>
    <w:rsid w:val="00E70091"/>
    <w:rsid w:val="00E720F5"/>
    <w:rsid w:val="00E75400"/>
    <w:rsid w:val="00E760EB"/>
    <w:rsid w:val="00E765F8"/>
    <w:rsid w:val="00E76D47"/>
    <w:rsid w:val="00E849F7"/>
    <w:rsid w:val="00E90302"/>
    <w:rsid w:val="00E97396"/>
    <w:rsid w:val="00EA185E"/>
    <w:rsid w:val="00EA2072"/>
    <w:rsid w:val="00EA3A3A"/>
    <w:rsid w:val="00EA592A"/>
    <w:rsid w:val="00EB14E4"/>
    <w:rsid w:val="00EB32A5"/>
    <w:rsid w:val="00EB34ED"/>
    <w:rsid w:val="00EB447C"/>
    <w:rsid w:val="00EB5087"/>
    <w:rsid w:val="00EB6EEE"/>
    <w:rsid w:val="00EB7BE0"/>
    <w:rsid w:val="00EC1E70"/>
    <w:rsid w:val="00EC315E"/>
    <w:rsid w:val="00EC5CD8"/>
    <w:rsid w:val="00EC60D6"/>
    <w:rsid w:val="00ED077C"/>
    <w:rsid w:val="00ED1190"/>
    <w:rsid w:val="00ED58A3"/>
    <w:rsid w:val="00ED6544"/>
    <w:rsid w:val="00EE0277"/>
    <w:rsid w:val="00EE2DF3"/>
    <w:rsid w:val="00EE3E00"/>
    <w:rsid w:val="00EE5DD2"/>
    <w:rsid w:val="00F0049F"/>
    <w:rsid w:val="00F00A79"/>
    <w:rsid w:val="00F00E86"/>
    <w:rsid w:val="00F028DB"/>
    <w:rsid w:val="00F04A5D"/>
    <w:rsid w:val="00F07C1E"/>
    <w:rsid w:val="00F105DB"/>
    <w:rsid w:val="00F132BC"/>
    <w:rsid w:val="00F13D80"/>
    <w:rsid w:val="00F16AAA"/>
    <w:rsid w:val="00F21161"/>
    <w:rsid w:val="00F218EF"/>
    <w:rsid w:val="00F21BC7"/>
    <w:rsid w:val="00F266A2"/>
    <w:rsid w:val="00F32269"/>
    <w:rsid w:val="00F3255B"/>
    <w:rsid w:val="00F35CA5"/>
    <w:rsid w:val="00F46270"/>
    <w:rsid w:val="00F56A6F"/>
    <w:rsid w:val="00F5709C"/>
    <w:rsid w:val="00F57876"/>
    <w:rsid w:val="00F64A80"/>
    <w:rsid w:val="00F64E81"/>
    <w:rsid w:val="00F64EF1"/>
    <w:rsid w:val="00F74B33"/>
    <w:rsid w:val="00F76B40"/>
    <w:rsid w:val="00F82AFB"/>
    <w:rsid w:val="00F8765F"/>
    <w:rsid w:val="00F90767"/>
    <w:rsid w:val="00F97B27"/>
    <w:rsid w:val="00F97CA4"/>
    <w:rsid w:val="00FA685B"/>
    <w:rsid w:val="00FA6EFB"/>
    <w:rsid w:val="00FB0777"/>
    <w:rsid w:val="00FB0C01"/>
    <w:rsid w:val="00FB0F60"/>
    <w:rsid w:val="00FB4952"/>
    <w:rsid w:val="00FC11A0"/>
    <w:rsid w:val="00FC18F2"/>
    <w:rsid w:val="00FC39E5"/>
    <w:rsid w:val="00FC3A78"/>
    <w:rsid w:val="00FD0E68"/>
    <w:rsid w:val="00FD1005"/>
    <w:rsid w:val="00FD6C75"/>
    <w:rsid w:val="00FE71B3"/>
    <w:rsid w:val="00FF0BF1"/>
    <w:rsid w:val="00FF42C5"/>
    <w:rsid w:val="00FF5190"/>
    <w:rsid w:val="00FF69D3"/>
    <w:rsid w:val="00FF7E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A3A3A"/>
    <w:pPr>
      <w:jc w:val="both"/>
    </w:pPr>
    <w:rPr>
      <w:rFonts w:eastAsiaTheme="minorEastAsia"/>
      <w:sz w:val="24"/>
    </w:rPr>
  </w:style>
  <w:style w:type="paragraph" w:styleId="Nagwek1">
    <w:name w:val="heading 1"/>
    <w:basedOn w:val="Normalny"/>
    <w:next w:val="Normalny"/>
    <w:link w:val="Nagwek1Znak"/>
    <w:uiPriority w:val="99"/>
    <w:semiHidden/>
    <w:rsid w:val="00EA3A3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3A3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3A3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3A3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3A3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EA3A3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3A3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A3A3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A3A3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3A3A"/>
    <w:rPr>
      <w:rFonts w:ascii="Tahoma" w:hAnsi="Tahoma" w:cs="Tahoma"/>
      <w:sz w:val="16"/>
      <w:szCs w:val="16"/>
    </w:rPr>
  </w:style>
  <w:style w:type="character" w:customStyle="1" w:styleId="TekstdymkaZnak">
    <w:name w:val="Tekst dymka Znak"/>
    <w:basedOn w:val="Domylnaczcionkaakapitu"/>
    <w:link w:val="Tekstdymka"/>
    <w:uiPriority w:val="99"/>
    <w:semiHidden/>
    <w:rsid w:val="00EA3A3A"/>
    <w:rPr>
      <w:rFonts w:ascii="Tahoma" w:eastAsiaTheme="minorEastAsia" w:hAnsi="Tahoma" w:cs="Tahoma"/>
      <w:sz w:val="16"/>
      <w:szCs w:val="16"/>
      <w:lang w:val="pl-PL"/>
    </w:rPr>
  </w:style>
  <w:style w:type="character" w:styleId="Tytuksiki">
    <w:name w:val="Book Title"/>
    <w:uiPriority w:val="99"/>
    <w:semiHidden/>
    <w:qFormat/>
    <w:rsid w:val="00EA3A3A"/>
    <w:rPr>
      <w:i/>
      <w:iCs/>
      <w:smallCaps/>
      <w:spacing w:val="5"/>
    </w:rPr>
  </w:style>
  <w:style w:type="paragraph" w:customStyle="1" w:styleId="ECHRHeader">
    <w:name w:val="ECHR_Header"/>
    <w:aliases w:val="Ju_Header"/>
    <w:basedOn w:val="Nagwek"/>
    <w:uiPriority w:val="4"/>
    <w:qFormat/>
    <w:rsid w:val="00EA3A3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A3A3A"/>
    <w:pPr>
      <w:jc w:val="left"/>
    </w:pPr>
    <w:rPr>
      <w:sz w:val="8"/>
    </w:rPr>
  </w:style>
  <w:style w:type="character" w:styleId="Pogrubienie">
    <w:name w:val="Strong"/>
    <w:uiPriority w:val="99"/>
    <w:semiHidden/>
    <w:qFormat/>
    <w:rsid w:val="00EA3A3A"/>
    <w:rPr>
      <w:b/>
      <w:bCs/>
    </w:rPr>
  </w:style>
  <w:style w:type="paragraph" w:styleId="Bezodstpw">
    <w:name w:val="No Spacing"/>
    <w:basedOn w:val="Normalny"/>
    <w:link w:val="BezodstpwZnak"/>
    <w:semiHidden/>
    <w:qFormat/>
    <w:rsid w:val="00EA3A3A"/>
    <w:rPr>
      <w:sz w:val="22"/>
    </w:rPr>
  </w:style>
  <w:style w:type="character" w:customStyle="1" w:styleId="BezodstpwZnak">
    <w:name w:val="Bez odstępów Znak"/>
    <w:basedOn w:val="Domylnaczcionkaakapitu"/>
    <w:link w:val="Bezodstpw"/>
    <w:semiHidden/>
    <w:rsid w:val="00EA3A3A"/>
    <w:rPr>
      <w:rFonts w:eastAsiaTheme="minorEastAsia"/>
    </w:rPr>
  </w:style>
  <w:style w:type="paragraph" w:customStyle="1" w:styleId="ECHRFooterLine">
    <w:name w:val="ECHR_Footer_Line"/>
    <w:aliases w:val="Footer_Line"/>
    <w:basedOn w:val="Normalny"/>
    <w:next w:val="ECHRFooter"/>
    <w:uiPriority w:val="57"/>
    <w:semiHidden/>
    <w:rsid w:val="00EA3A3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A3A3A"/>
  </w:style>
  <w:style w:type="paragraph" w:customStyle="1" w:styleId="DecList">
    <w:name w:val="Dec_List"/>
    <w:basedOn w:val="Normalny"/>
    <w:uiPriority w:val="9"/>
    <w:semiHidden/>
    <w:qFormat/>
    <w:rsid w:val="00EA3A3A"/>
    <w:pPr>
      <w:spacing w:before="240"/>
      <w:ind w:left="284"/>
    </w:pPr>
  </w:style>
  <w:style w:type="paragraph" w:customStyle="1" w:styleId="DummyStyle">
    <w:name w:val="Dummy_Style"/>
    <w:basedOn w:val="Normalny"/>
    <w:semiHidden/>
    <w:qFormat/>
    <w:rsid w:val="00EA3A3A"/>
    <w:rPr>
      <w:color w:val="00B050"/>
    </w:rPr>
  </w:style>
  <w:style w:type="paragraph" w:customStyle="1" w:styleId="ECHRTitleCentre3">
    <w:name w:val="ECHR_Title_Centre_3"/>
    <w:aliases w:val="Ju_H_Article"/>
    <w:basedOn w:val="Normalny"/>
    <w:next w:val="ECHRParaQuote"/>
    <w:uiPriority w:val="27"/>
    <w:qFormat/>
    <w:rsid w:val="00EA3A3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A3A3A"/>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A3A3A"/>
    <w:pPr>
      <w:numPr>
        <w:numId w:val="25"/>
      </w:numPr>
      <w:jc w:val="left"/>
    </w:pPr>
    <w:rPr>
      <w:b/>
    </w:rPr>
  </w:style>
  <w:style w:type="paragraph" w:customStyle="1" w:styleId="JuCourt">
    <w:name w:val="Ju_Court"/>
    <w:basedOn w:val="Normalny"/>
    <w:next w:val="Normalny"/>
    <w:uiPriority w:val="16"/>
    <w:qFormat/>
    <w:rsid w:val="00EA3A3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A3A3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A3A3A"/>
    <w:pPr>
      <w:spacing w:after="240"/>
      <w:jc w:val="center"/>
      <w:outlineLvl w:val="0"/>
    </w:pPr>
    <w:rPr>
      <w:rFonts w:asciiTheme="majorHAnsi" w:hAnsiTheme="majorHAnsi"/>
    </w:rPr>
  </w:style>
  <w:style w:type="paragraph" w:customStyle="1" w:styleId="JuInitialled">
    <w:name w:val="Ju_Initialled"/>
    <w:basedOn w:val="Normalny"/>
    <w:uiPriority w:val="31"/>
    <w:qFormat/>
    <w:rsid w:val="00EA3A3A"/>
    <w:pPr>
      <w:tabs>
        <w:tab w:val="center" w:pos="6407"/>
      </w:tabs>
      <w:spacing w:before="720"/>
      <w:jc w:val="right"/>
    </w:pPr>
  </w:style>
  <w:style w:type="paragraph" w:styleId="Tytu">
    <w:name w:val="Title"/>
    <w:basedOn w:val="Normalny"/>
    <w:next w:val="Normalny"/>
    <w:link w:val="TytuZnak"/>
    <w:uiPriority w:val="99"/>
    <w:semiHidden/>
    <w:qFormat/>
    <w:rsid w:val="00EA3A3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A3A3A"/>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EA3A3A"/>
    <w:pPr>
      <w:ind w:left="794"/>
    </w:pPr>
  </w:style>
  <w:style w:type="paragraph" w:customStyle="1" w:styleId="ECHRHeading3">
    <w:name w:val="ECHR_Heading_3"/>
    <w:aliases w:val="Ju_H_1."/>
    <w:basedOn w:val="Nagwek3"/>
    <w:next w:val="ECHRPara"/>
    <w:uiPriority w:val="21"/>
    <w:qFormat/>
    <w:rsid w:val="00EA3A3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A3A3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A3A3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A3A3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A3A3A"/>
    <w:pPr>
      <w:keepNext/>
      <w:keepLines/>
      <w:spacing w:before="240" w:after="120"/>
      <w:ind w:left="1236"/>
    </w:pPr>
    <w:rPr>
      <w:sz w:val="20"/>
    </w:rPr>
  </w:style>
  <w:style w:type="character" w:customStyle="1" w:styleId="JUNAMES">
    <w:name w:val="JU_NAMES"/>
    <w:uiPriority w:val="17"/>
    <w:qFormat/>
    <w:rsid w:val="00EA3A3A"/>
    <w:rPr>
      <w:caps w:val="0"/>
      <w:smallCaps/>
    </w:rPr>
  </w:style>
  <w:style w:type="paragraph" w:customStyle="1" w:styleId="JuParaSub">
    <w:name w:val="Ju_Para_Sub"/>
    <w:basedOn w:val="ECHRPara"/>
    <w:uiPriority w:val="13"/>
    <w:qFormat/>
    <w:rsid w:val="00EA3A3A"/>
    <w:pPr>
      <w:ind w:left="284"/>
    </w:pPr>
  </w:style>
  <w:style w:type="paragraph" w:styleId="Nagwek">
    <w:name w:val="header"/>
    <w:basedOn w:val="Normalny"/>
    <w:link w:val="NagwekZnak"/>
    <w:uiPriority w:val="57"/>
    <w:semiHidden/>
    <w:rsid w:val="00EA3A3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3A3A"/>
    <w:rPr>
      <w:sz w:val="24"/>
      <w:lang w:val="pl-PL"/>
    </w:rPr>
  </w:style>
  <w:style w:type="character" w:customStyle="1" w:styleId="Nagwek1Znak">
    <w:name w:val="Nagłówek 1 Znak"/>
    <w:basedOn w:val="Domylnaczcionkaakapitu"/>
    <w:link w:val="Nagwek1"/>
    <w:uiPriority w:val="99"/>
    <w:semiHidden/>
    <w:rsid w:val="00EA3A3A"/>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EA3A3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A3A3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A3A3A"/>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EA3A3A"/>
    <w:pPr>
      <w:ind w:left="567"/>
    </w:pPr>
  </w:style>
  <w:style w:type="paragraph" w:customStyle="1" w:styleId="JuTitle">
    <w:name w:val="Ju_Title"/>
    <w:basedOn w:val="Normalny"/>
    <w:next w:val="ECHRPara"/>
    <w:uiPriority w:val="3"/>
    <w:semiHidden/>
    <w:qFormat/>
    <w:rsid w:val="00EA3A3A"/>
    <w:pPr>
      <w:spacing w:before="720" w:after="240"/>
      <w:jc w:val="center"/>
      <w:outlineLvl w:val="0"/>
    </w:pPr>
    <w:rPr>
      <w:rFonts w:asciiTheme="majorHAnsi" w:hAnsiTheme="majorHAnsi"/>
      <w:b/>
      <w:caps/>
    </w:rPr>
  </w:style>
  <w:style w:type="character" w:customStyle="1" w:styleId="Nagwek3Znak">
    <w:name w:val="Nagłówek 3 Znak"/>
    <w:basedOn w:val="Domylnaczcionkaakapitu"/>
    <w:link w:val="Nagwek3"/>
    <w:uiPriority w:val="99"/>
    <w:semiHidden/>
    <w:rsid w:val="00EA3A3A"/>
    <w:rPr>
      <w:rFonts w:asciiTheme="majorHAnsi" w:eastAsiaTheme="majorEastAsia" w:hAnsiTheme="majorHAnsi" w:cstheme="majorBidi"/>
      <w:b/>
      <w:bCs/>
      <w:color w:val="5F5F5F"/>
      <w:sz w:val="24"/>
      <w:lang w:val="pl-PL"/>
    </w:rPr>
  </w:style>
  <w:style w:type="paragraph" w:customStyle="1" w:styleId="ECHRDecisionBody">
    <w:name w:val="ECHR_Decision_Body"/>
    <w:aliases w:val="Ju_Judges"/>
    <w:basedOn w:val="Normalny"/>
    <w:uiPriority w:val="11"/>
    <w:qFormat/>
    <w:rsid w:val="00EA3A3A"/>
    <w:pPr>
      <w:tabs>
        <w:tab w:val="left" w:pos="567"/>
        <w:tab w:val="left" w:pos="1134"/>
      </w:tabs>
      <w:jc w:val="left"/>
    </w:pPr>
  </w:style>
  <w:style w:type="paragraph" w:customStyle="1" w:styleId="ECHRPara">
    <w:name w:val="ECHR_Para"/>
    <w:aliases w:val="Ju_Para"/>
    <w:basedOn w:val="Normalny"/>
    <w:link w:val="ECHRParaChar"/>
    <w:uiPriority w:val="12"/>
    <w:qFormat/>
    <w:rsid w:val="00EA3A3A"/>
    <w:pPr>
      <w:ind w:firstLine="284"/>
    </w:pPr>
  </w:style>
  <w:style w:type="character" w:customStyle="1" w:styleId="Nagwek4Znak">
    <w:name w:val="Nagłówek 4 Znak"/>
    <w:basedOn w:val="Domylnaczcionkaakapitu"/>
    <w:link w:val="Nagwek4"/>
    <w:uiPriority w:val="99"/>
    <w:semiHidden/>
    <w:rsid w:val="00EA3A3A"/>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EA3A3A"/>
    <w:pPr>
      <w:ind w:left="340" w:hanging="340"/>
    </w:pPr>
  </w:style>
  <w:style w:type="character" w:customStyle="1" w:styleId="Nagwek5Znak">
    <w:name w:val="Nagłówek 5 Znak"/>
    <w:basedOn w:val="Domylnaczcionkaakapitu"/>
    <w:link w:val="Nagwek5"/>
    <w:uiPriority w:val="99"/>
    <w:semiHidden/>
    <w:rsid w:val="00EA3A3A"/>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EA3A3A"/>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EA3A3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A3A3A"/>
    <w:pPr>
      <w:keepNext/>
      <w:keepLines/>
      <w:spacing w:before="720" w:after="240"/>
      <w:outlineLvl w:val="0"/>
    </w:pPr>
    <w:rPr>
      <w:rFonts w:asciiTheme="majorHAnsi" w:hAnsiTheme="majorHAnsi"/>
      <w:sz w:val="28"/>
    </w:rPr>
  </w:style>
  <w:style w:type="character" w:styleId="Uwydatnienie">
    <w:name w:val="Emphasis"/>
    <w:uiPriority w:val="99"/>
    <w:semiHidden/>
    <w:qFormat/>
    <w:rsid w:val="00EA3A3A"/>
    <w:rPr>
      <w:b/>
      <w:bCs/>
      <w:i/>
      <w:iCs/>
      <w:spacing w:val="10"/>
      <w:bdr w:val="none" w:sz="0" w:space="0" w:color="auto"/>
      <w:shd w:val="clear" w:color="auto" w:fill="auto"/>
    </w:rPr>
  </w:style>
  <w:style w:type="paragraph" w:styleId="Stopka">
    <w:name w:val="footer"/>
    <w:basedOn w:val="Normalny"/>
    <w:link w:val="StopkaZnak"/>
    <w:uiPriority w:val="57"/>
    <w:semiHidden/>
    <w:rsid w:val="00EA3A3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3A3A"/>
    <w:rPr>
      <w:sz w:val="24"/>
      <w:lang w:val="pl-PL"/>
    </w:rPr>
  </w:style>
  <w:style w:type="character" w:styleId="Odwoanieprzypisudolnego">
    <w:name w:val="footnote reference"/>
    <w:basedOn w:val="Domylnaczcionkaakapitu"/>
    <w:uiPriority w:val="99"/>
    <w:semiHidden/>
    <w:rsid w:val="00EA3A3A"/>
    <w:rPr>
      <w:vertAlign w:val="superscript"/>
    </w:rPr>
  </w:style>
  <w:style w:type="paragraph" w:styleId="Tekstprzypisudolnego">
    <w:name w:val="footnote text"/>
    <w:basedOn w:val="Normalny"/>
    <w:link w:val="TekstprzypisudolnegoZnak"/>
    <w:uiPriority w:val="99"/>
    <w:semiHidden/>
    <w:rsid w:val="00EA3A3A"/>
    <w:rPr>
      <w:sz w:val="20"/>
      <w:szCs w:val="20"/>
    </w:rPr>
  </w:style>
  <w:style w:type="character" w:customStyle="1" w:styleId="TekstprzypisudolnegoZnak">
    <w:name w:val="Tekst przypisu dolnego Znak"/>
    <w:basedOn w:val="Domylnaczcionkaakapitu"/>
    <w:link w:val="Tekstprzypisudolnego"/>
    <w:uiPriority w:val="99"/>
    <w:semiHidden/>
    <w:rsid w:val="00EA3A3A"/>
    <w:rPr>
      <w:rFonts w:eastAsiaTheme="minorEastAsia"/>
      <w:sz w:val="20"/>
      <w:szCs w:val="20"/>
      <w:lang w:val="pl-PL"/>
    </w:rPr>
  </w:style>
  <w:style w:type="character" w:customStyle="1" w:styleId="Nagwek6Znak">
    <w:name w:val="Nagłówek 6 Znak"/>
    <w:basedOn w:val="Domylnaczcionkaakapitu"/>
    <w:link w:val="Nagwek6"/>
    <w:uiPriority w:val="99"/>
    <w:semiHidden/>
    <w:rsid w:val="00EA3A3A"/>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EA3A3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A3A3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A3A3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A3A3A"/>
    <w:rPr>
      <w:color w:val="0072BC" w:themeColor="hyperlink"/>
      <w:u w:val="single"/>
    </w:rPr>
  </w:style>
  <w:style w:type="character" w:styleId="Wyrnienieintensywne">
    <w:name w:val="Intense Emphasis"/>
    <w:uiPriority w:val="99"/>
    <w:semiHidden/>
    <w:qFormat/>
    <w:rsid w:val="00EA3A3A"/>
    <w:rPr>
      <w:b/>
      <w:bCs/>
    </w:rPr>
  </w:style>
  <w:style w:type="paragraph" w:styleId="Cytatintensywny">
    <w:name w:val="Intense Quote"/>
    <w:basedOn w:val="Normalny"/>
    <w:next w:val="Normalny"/>
    <w:link w:val="CytatintensywnyZnak"/>
    <w:uiPriority w:val="99"/>
    <w:semiHidden/>
    <w:qFormat/>
    <w:rsid w:val="00EA3A3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A3A3A"/>
    <w:rPr>
      <w:rFonts w:eastAsiaTheme="minorEastAsia"/>
      <w:b/>
      <w:bCs/>
      <w:i/>
      <w:iCs/>
      <w:lang w:bidi="en-US"/>
    </w:rPr>
  </w:style>
  <w:style w:type="character" w:styleId="Odwoanieintensywne">
    <w:name w:val="Intense Reference"/>
    <w:uiPriority w:val="99"/>
    <w:semiHidden/>
    <w:qFormat/>
    <w:rsid w:val="00EA3A3A"/>
    <w:rPr>
      <w:smallCaps/>
      <w:spacing w:val="5"/>
      <w:u w:val="single"/>
    </w:rPr>
  </w:style>
  <w:style w:type="paragraph" w:styleId="Akapitzlist">
    <w:name w:val="List Paragraph"/>
    <w:basedOn w:val="Normalny"/>
    <w:uiPriority w:val="99"/>
    <w:semiHidden/>
    <w:qFormat/>
    <w:rsid w:val="00EA3A3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A3A3A"/>
    <w:pPr>
      <w:spacing w:before="200"/>
      <w:ind w:left="360" w:right="360"/>
    </w:pPr>
    <w:rPr>
      <w:i/>
      <w:iCs/>
      <w:sz w:val="22"/>
      <w:lang w:bidi="en-US"/>
    </w:rPr>
  </w:style>
  <w:style w:type="character" w:customStyle="1" w:styleId="CytatZnak">
    <w:name w:val="Cytat Znak"/>
    <w:basedOn w:val="Domylnaczcionkaakapitu"/>
    <w:link w:val="Cytat"/>
    <w:uiPriority w:val="99"/>
    <w:semiHidden/>
    <w:rsid w:val="00EA3A3A"/>
    <w:rPr>
      <w:rFonts w:eastAsiaTheme="minorEastAsia"/>
      <w:i/>
      <w:iCs/>
      <w:lang w:bidi="en-US"/>
    </w:rPr>
  </w:style>
  <w:style w:type="character" w:styleId="Odwoaniedelikatne">
    <w:name w:val="Subtle Reference"/>
    <w:uiPriority w:val="99"/>
    <w:semiHidden/>
    <w:qFormat/>
    <w:rsid w:val="00EA3A3A"/>
    <w:rPr>
      <w:smallCaps/>
    </w:rPr>
  </w:style>
  <w:style w:type="table" w:styleId="Tabela-Siatka">
    <w:name w:val="Table Grid"/>
    <w:basedOn w:val="Standardowy"/>
    <w:uiPriority w:val="59"/>
    <w:semiHidden/>
    <w:rsid w:val="00EA3A3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3A3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A3A3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A3A3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A3A3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A3A3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A3A3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3A3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A3A3A"/>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A3A3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EA3A3A"/>
    <w:pPr>
      <w:keepNext/>
      <w:keepLines/>
      <w:spacing w:before="240"/>
      <w:ind w:firstLine="284"/>
    </w:pPr>
  </w:style>
  <w:style w:type="paragraph" w:customStyle="1" w:styleId="JuCase">
    <w:name w:val="Ju_Case"/>
    <w:basedOn w:val="Normalny"/>
    <w:next w:val="ECHRPara"/>
    <w:uiPriority w:val="10"/>
    <w:rsid w:val="00EA3A3A"/>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EA3A3A"/>
    <w:pPr>
      <w:ind w:left="346" w:firstLine="0"/>
    </w:pPr>
  </w:style>
  <w:style w:type="paragraph" w:customStyle="1" w:styleId="OpiH1">
    <w:name w:val="Opi_H_1"/>
    <w:basedOn w:val="ECHRHeading2"/>
    <w:uiPriority w:val="42"/>
    <w:qFormat/>
    <w:rsid w:val="00EA3A3A"/>
    <w:pPr>
      <w:ind w:left="635" w:hanging="357"/>
      <w:outlineLvl w:val="2"/>
    </w:p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EA3A3A"/>
    <w:rPr>
      <w:vertAlign w:val="superscript"/>
    </w:rPr>
  </w:style>
  <w:style w:type="paragraph" w:styleId="Tekstprzypisukocowego">
    <w:name w:val="endnote text"/>
    <w:basedOn w:val="Normalny"/>
    <w:link w:val="TekstprzypisukocowegoZnak"/>
    <w:uiPriority w:val="99"/>
    <w:semiHidden/>
    <w:rsid w:val="00EA3A3A"/>
    <w:rPr>
      <w:sz w:val="20"/>
      <w:szCs w:val="20"/>
    </w:rPr>
  </w:style>
  <w:style w:type="character" w:customStyle="1" w:styleId="TekstprzypisukocowegoZnak">
    <w:name w:val="Tekst przypisu końcowego Znak"/>
    <w:basedOn w:val="Domylnaczcionkaakapitu"/>
    <w:link w:val="Tekstprzypisukocowego"/>
    <w:uiPriority w:val="99"/>
    <w:semiHidden/>
    <w:rsid w:val="00EA3A3A"/>
    <w:rPr>
      <w:rFonts w:eastAsiaTheme="minorEastAsia"/>
      <w:sz w:val="20"/>
      <w:szCs w:val="20"/>
      <w:lang w:val="pl-PL"/>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EA3A3A"/>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EA3A3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A3A3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pl-PL" w:eastAsia="fr-FR"/>
    </w:rPr>
  </w:style>
  <w:style w:type="table" w:styleId="redniasiatka1">
    <w:name w:val="Medium Grid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EA3A3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A3A3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A3A3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
    <w:name w:val="Opi_H_a"/>
    <w:basedOn w:val="ECHRHeading3"/>
    <w:uiPriority w:val="43"/>
    <w:qFormat/>
    <w:rsid w:val="00EA3A3A"/>
    <w:pPr>
      <w:ind w:left="833" w:hanging="357"/>
      <w:outlineLvl w:val="3"/>
    </w:pPr>
    <w:rPr>
      <w:b/>
      <w:i w:val="0"/>
      <w:sz w:val="20"/>
    </w:rPr>
  </w:style>
  <w:style w:type="paragraph" w:customStyle="1" w:styleId="OpiHA0">
    <w:name w:val="Opi_H_A"/>
    <w:basedOn w:val="ECHRHeading1"/>
    <w:next w:val="OpiPara"/>
    <w:uiPriority w:val="41"/>
    <w:qFormat/>
    <w:rsid w:val="00EA3A3A"/>
    <w:pPr>
      <w:tabs>
        <w:tab w:val="clear" w:pos="357"/>
      </w:tabs>
      <w:outlineLvl w:val="1"/>
    </w:pPr>
    <w:rPr>
      <w:b/>
    </w:rPr>
  </w:style>
  <w:style w:type="paragraph" w:customStyle="1" w:styleId="OpiHi">
    <w:name w:val="Opi_H_i"/>
    <w:basedOn w:val="ECHRHeading4"/>
    <w:uiPriority w:val="44"/>
    <w:qFormat/>
    <w:rsid w:val="00EA3A3A"/>
    <w:pPr>
      <w:ind w:left="1037" w:hanging="357"/>
      <w:outlineLvl w:val="4"/>
    </w:pPr>
    <w:rPr>
      <w:b w:val="0"/>
      <w:i/>
    </w:rPr>
  </w:style>
  <w:style w:type="paragraph" w:customStyle="1" w:styleId="OpiPara">
    <w:name w:val="Opi_Para"/>
    <w:basedOn w:val="ECHRPara"/>
    <w:uiPriority w:val="46"/>
    <w:qFormat/>
    <w:rsid w:val="00EA3A3A"/>
  </w:style>
  <w:style w:type="paragraph" w:customStyle="1" w:styleId="OpiParaSub">
    <w:name w:val="Opi_Para_Sub"/>
    <w:basedOn w:val="JuParaSub"/>
    <w:uiPriority w:val="47"/>
    <w:qFormat/>
    <w:rsid w:val="00EA3A3A"/>
  </w:style>
  <w:style w:type="paragraph" w:customStyle="1" w:styleId="OpiQuot">
    <w:name w:val="Opi_Quot"/>
    <w:basedOn w:val="ECHRParaQuote"/>
    <w:uiPriority w:val="48"/>
    <w:qFormat/>
    <w:rsid w:val="00EA3A3A"/>
  </w:style>
  <w:style w:type="paragraph" w:customStyle="1" w:styleId="OpiQuotSub">
    <w:name w:val="Opi_Quot_Sub"/>
    <w:basedOn w:val="JuQuotSub"/>
    <w:uiPriority w:val="49"/>
    <w:qFormat/>
    <w:rsid w:val="00EA3A3A"/>
  </w:style>
  <w:style w:type="paragraph" w:customStyle="1" w:styleId="OpiTranslation">
    <w:name w:val="Opi_Translation"/>
    <w:basedOn w:val="Normalny"/>
    <w:next w:val="OpiPara"/>
    <w:uiPriority w:val="40"/>
    <w:qFormat/>
    <w:rsid w:val="00EA3A3A"/>
    <w:pPr>
      <w:jc w:val="center"/>
      <w:outlineLvl w:val="0"/>
    </w:pPr>
    <w:rPr>
      <w:i/>
    </w:rPr>
  </w:style>
  <w:style w:type="character" w:customStyle="1" w:styleId="ECHRParaChar">
    <w:name w:val="ECHR_Para Char"/>
    <w:aliases w:val="Ju_Para Char"/>
    <w:basedOn w:val="Domylnaczcionkaakapitu"/>
    <w:link w:val="ECHRPara"/>
    <w:uiPriority w:val="12"/>
    <w:rsid w:val="001A4083"/>
    <w:rPr>
      <w:rFonts w:eastAsiaTheme="minorEastAsia"/>
      <w:sz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A3A3A"/>
    <w:pPr>
      <w:jc w:val="both"/>
    </w:pPr>
    <w:rPr>
      <w:rFonts w:eastAsiaTheme="minorEastAsia"/>
      <w:sz w:val="24"/>
    </w:rPr>
  </w:style>
  <w:style w:type="paragraph" w:styleId="Nagwek1">
    <w:name w:val="heading 1"/>
    <w:basedOn w:val="Normalny"/>
    <w:next w:val="Normalny"/>
    <w:link w:val="Nagwek1Znak"/>
    <w:uiPriority w:val="99"/>
    <w:semiHidden/>
    <w:rsid w:val="00EA3A3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3A3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3A3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3A3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3A3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EA3A3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3A3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A3A3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A3A3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3A3A"/>
    <w:rPr>
      <w:rFonts w:ascii="Tahoma" w:hAnsi="Tahoma" w:cs="Tahoma"/>
      <w:sz w:val="16"/>
      <w:szCs w:val="16"/>
    </w:rPr>
  </w:style>
  <w:style w:type="character" w:customStyle="1" w:styleId="TekstdymkaZnak">
    <w:name w:val="Tekst dymka Znak"/>
    <w:basedOn w:val="Domylnaczcionkaakapitu"/>
    <w:link w:val="Tekstdymka"/>
    <w:uiPriority w:val="99"/>
    <w:semiHidden/>
    <w:rsid w:val="00EA3A3A"/>
    <w:rPr>
      <w:rFonts w:ascii="Tahoma" w:eastAsiaTheme="minorEastAsia" w:hAnsi="Tahoma" w:cs="Tahoma"/>
      <w:sz w:val="16"/>
      <w:szCs w:val="16"/>
      <w:lang w:val="pl-PL"/>
    </w:rPr>
  </w:style>
  <w:style w:type="character" w:styleId="Tytuksiki">
    <w:name w:val="Book Title"/>
    <w:uiPriority w:val="99"/>
    <w:semiHidden/>
    <w:qFormat/>
    <w:rsid w:val="00EA3A3A"/>
    <w:rPr>
      <w:i/>
      <w:iCs/>
      <w:smallCaps/>
      <w:spacing w:val="5"/>
    </w:rPr>
  </w:style>
  <w:style w:type="paragraph" w:customStyle="1" w:styleId="ECHRHeader">
    <w:name w:val="ECHR_Header"/>
    <w:aliases w:val="Ju_Header"/>
    <w:basedOn w:val="Nagwek"/>
    <w:uiPriority w:val="4"/>
    <w:qFormat/>
    <w:rsid w:val="00EA3A3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A3A3A"/>
    <w:pPr>
      <w:jc w:val="left"/>
    </w:pPr>
    <w:rPr>
      <w:sz w:val="8"/>
    </w:rPr>
  </w:style>
  <w:style w:type="character" w:styleId="Pogrubienie">
    <w:name w:val="Strong"/>
    <w:uiPriority w:val="99"/>
    <w:semiHidden/>
    <w:qFormat/>
    <w:rsid w:val="00EA3A3A"/>
    <w:rPr>
      <w:b/>
      <w:bCs/>
    </w:rPr>
  </w:style>
  <w:style w:type="paragraph" w:styleId="Bezodstpw">
    <w:name w:val="No Spacing"/>
    <w:basedOn w:val="Normalny"/>
    <w:link w:val="BezodstpwZnak"/>
    <w:semiHidden/>
    <w:qFormat/>
    <w:rsid w:val="00EA3A3A"/>
    <w:rPr>
      <w:sz w:val="22"/>
    </w:rPr>
  </w:style>
  <w:style w:type="character" w:customStyle="1" w:styleId="BezodstpwZnak">
    <w:name w:val="Bez odstępów Znak"/>
    <w:basedOn w:val="Domylnaczcionkaakapitu"/>
    <w:link w:val="Bezodstpw"/>
    <w:semiHidden/>
    <w:rsid w:val="00EA3A3A"/>
    <w:rPr>
      <w:rFonts w:eastAsiaTheme="minorEastAsia"/>
    </w:rPr>
  </w:style>
  <w:style w:type="paragraph" w:customStyle="1" w:styleId="ECHRFooterLine">
    <w:name w:val="ECHR_Footer_Line"/>
    <w:aliases w:val="Footer_Line"/>
    <w:basedOn w:val="Normalny"/>
    <w:next w:val="ECHRFooter"/>
    <w:uiPriority w:val="57"/>
    <w:semiHidden/>
    <w:rsid w:val="00EA3A3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A3A3A"/>
  </w:style>
  <w:style w:type="paragraph" w:customStyle="1" w:styleId="DecList">
    <w:name w:val="Dec_List"/>
    <w:basedOn w:val="Normalny"/>
    <w:uiPriority w:val="9"/>
    <w:semiHidden/>
    <w:qFormat/>
    <w:rsid w:val="00EA3A3A"/>
    <w:pPr>
      <w:spacing w:before="240"/>
      <w:ind w:left="284"/>
    </w:pPr>
  </w:style>
  <w:style w:type="paragraph" w:customStyle="1" w:styleId="DummyStyle">
    <w:name w:val="Dummy_Style"/>
    <w:basedOn w:val="Normalny"/>
    <w:semiHidden/>
    <w:qFormat/>
    <w:rsid w:val="00EA3A3A"/>
    <w:rPr>
      <w:color w:val="00B050"/>
    </w:rPr>
  </w:style>
  <w:style w:type="paragraph" w:customStyle="1" w:styleId="ECHRTitleCentre3">
    <w:name w:val="ECHR_Title_Centre_3"/>
    <w:aliases w:val="Ju_H_Article"/>
    <w:basedOn w:val="Normalny"/>
    <w:next w:val="ECHRParaQuote"/>
    <w:uiPriority w:val="27"/>
    <w:qFormat/>
    <w:rsid w:val="00EA3A3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A3A3A"/>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A3A3A"/>
    <w:pPr>
      <w:numPr>
        <w:numId w:val="25"/>
      </w:numPr>
      <w:jc w:val="left"/>
    </w:pPr>
    <w:rPr>
      <w:b/>
    </w:rPr>
  </w:style>
  <w:style w:type="paragraph" w:customStyle="1" w:styleId="JuCourt">
    <w:name w:val="Ju_Court"/>
    <w:basedOn w:val="Normalny"/>
    <w:next w:val="Normalny"/>
    <w:uiPriority w:val="16"/>
    <w:qFormat/>
    <w:rsid w:val="00EA3A3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A3A3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A3A3A"/>
    <w:pPr>
      <w:spacing w:after="240"/>
      <w:jc w:val="center"/>
      <w:outlineLvl w:val="0"/>
    </w:pPr>
    <w:rPr>
      <w:rFonts w:asciiTheme="majorHAnsi" w:hAnsiTheme="majorHAnsi"/>
    </w:rPr>
  </w:style>
  <w:style w:type="paragraph" w:customStyle="1" w:styleId="JuInitialled">
    <w:name w:val="Ju_Initialled"/>
    <w:basedOn w:val="Normalny"/>
    <w:uiPriority w:val="31"/>
    <w:qFormat/>
    <w:rsid w:val="00EA3A3A"/>
    <w:pPr>
      <w:tabs>
        <w:tab w:val="center" w:pos="6407"/>
      </w:tabs>
      <w:spacing w:before="720"/>
      <w:jc w:val="right"/>
    </w:pPr>
  </w:style>
  <w:style w:type="paragraph" w:styleId="Tytu">
    <w:name w:val="Title"/>
    <w:basedOn w:val="Normalny"/>
    <w:next w:val="Normalny"/>
    <w:link w:val="TytuZnak"/>
    <w:uiPriority w:val="99"/>
    <w:semiHidden/>
    <w:qFormat/>
    <w:rsid w:val="00EA3A3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A3A3A"/>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EA3A3A"/>
    <w:pPr>
      <w:ind w:left="794"/>
    </w:pPr>
  </w:style>
  <w:style w:type="paragraph" w:customStyle="1" w:styleId="ECHRHeading3">
    <w:name w:val="ECHR_Heading_3"/>
    <w:aliases w:val="Ju_H_1."/>
    <w:basedOn w:val="Nagwek3"/>
    <w:next w:val="ECHRPara"/>
    <w:uiPriority w:val="21"/>
    <w:qFormat/>
    <w:rsid w:val="00EA3A3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A3A3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A3A3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A3A3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A3A3A"/>
    <w:pPr>
      <w:keepNext/>
      <w:keepLines/>
      <w:spacing w:before="240" w:after="120"/>
      <w:ind w:left="1236"/>
    </w:pPr>
    <w:rPr>
      <w:sz w:val="20"/>
    </w:rPr>
  </w:style>
  <w:style w:type="character" w:customStyle="1" w:styleId="JUNAMES">
    <w:name w:val="JU_NAMES"/>
    <w:uiPriority w:val="17"/>
    <w:qFormat/>
    <w:rsid w:val="00EA3A3A"/>
    <w:rPr>
      <w:caps w:val="0"/>
      <w:smallCaps/>
    </w:rPr>
  </w:style>
  <w:style w:type="paragraph" w:customStyle="1" w:styleId="JuParaSub">
    <w:name w:val="Ju_Para_Sub"/>
    <w:basedOn w:val="ECHRPara"/>
    <w:uiPriority w:val="13"/>
    <w:qFormat/>
    <w:rsid w:val="00EA3A3A"/>
    <w:pPr>
      <w:ind w:left="284"/>
    </w:pPr>
  </w:style>
  <w:style w:type="paragraph" w:styleId="Nagwek">
    <w:name w:val="header"/>
    <w:basedOn w:val="Normalny"/>
    <w:link w:val="NagwekZnak"/>
    <w:uiPriority w:val="57"/>
    <w:semiHidden/>
    <w:rsid w:val="00EA3A3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3A3A"/>
    <w:rPr>
      <w:sz w:val="24"/>
      <w:lang w:val="pl-PL"/>
    </w:rPr>
  </w:style>
  <w:style w:type="character" w:customStyle="1" w:styleId="Nagwek1Znak">
    <w:name w:val="Nagłówek 1 Znak"/>
    <w:basedOn w:val="Domylnaczcionkaakapitu"/>
    <w:link w:val="Nagwek1"/>
    <w:uiPriority w:val="99"/>
    <w:semiHidden/>
    <w:rsid w:val="00EA3A3A"/>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EA3A3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A3A3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A3A3A"/>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EA3A3A"/>
    <w:pPr>
      <w:ind w:left="567"/>
    </w:pPr>
  </w:style>
  <w:style w:type="paragraph" w:customStyle="1" w:styleId="JuTitle">
    <w:name w:val="Ju_Title"/>
    <w:basedOn w:val="Normalny"/>
    <w:next w:val="ECHRPara"/>
    <w:uiPriority w:val="3"/>
    <w:semiHidden/>
    <w:qFormat/>
    <w:rsid w:val="00EA3A3A"/>
    <w:pPr>
      <w:spacing w:before="720" w:after="240"/>
      <w:jc w:val="center"/>
      <w:outlineLvl w:val="0"/>
    </w:pPr>
    <w:rPr>
      <w:rFonts w:asciiTheme="majorHAnsi" w:hAnsiTheme="majorHAnsi"/>
      <w:b/>
      <w:caps/>
    </w:rPr>
  </w:style>
  <w:style w:type="character" w:customStyle="1" w:styleId="Nagwek3Znak">
    <w:name w:val="Nagłówek 3 Znak"/>
    <w:basedOn w:val="Domylnaczcionkaakapitu"/>
    <w:link w:val="Nagwek3"/>
    <w:uiPriority w:val="99"/>
    <w:semiHidden/>
    <w:rsid w:val="00EA3A3A"/>
    <w:rPr>
      <w:rFonts w:asciiTheme="majorHAnsi" w:eastAsiaTheme="majorEastAsia" w:hAnsiTheme="majorHAnsi" w:cstheme="majorBidi"/>
      <w:b/>
      <w:bCs/>
      <w:color w:val="5F5F5F"/>
      <w:sz w:val="24"/>
      <w:lang w:val="pl-PL"/>
    </w:rPr>
  </w:style>
  <w:style w:type="paragraph" w:customStyle="1" w:styleId="ECHRDecisionBody">
    <w:name w:val="ECHR_Decision_Body"/>
    <w:aliases w:val="Ju_Judges"/>
    <w:basedOn w:val="Normalny"/>
    <w:uiPriority w:val="11"/>
    <w:qFormat/>
    <w:rsid w:val="00EA3A3A"/>
    <w:pPr>
      <w:tabs>
        <w:tab w:val="left" w:pos="567"/>
        <w:tab w:val="left" w:pos="1134"/>
      </w:tabs>
      <w:jc w:val="left"/>
    </w:pPr>
  </w:style>
  <w:style w:type="paragraph" w:customStyle="1" w:styleId="ECHRPara">
    <w:name w:val="ECHR_Para"/>
    <w:aliases w:val="Ju_Para"/>
    <w:basedOn w:val="Normalny"/>
    <w:link w:val="ECHRParaChar"/>
    <w:uiPriority w:val="12"/>
    <w:qFormat/>
    <w:rsid w:val="00EA3A3A"/>
    <w:pPr>
      <w:ind w:firstLine="284"/>
    </w:pPr>
  </w:style>
  <w:style w:type="character" w:customStyle="1" w:styleId="Nagwek4Znak">
    <w:name w:val="Nagłówek 4 Znak"/>
    <w:basedOn w:val="Domylnaczcionkaakapitu"/>
    <w:link w:val="Nagwek4"/>
    <w:uiPriority w:val="99"/>
    <w:semiHidden/>
    <w:rsid w:val="00EA3A3A"/>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EA3A3A"/>
    <w:pPr>
      <w:ind w:left="340" w:hanging="340"/>
    </w:pPr>
  </w:style>
  <w:style w:type="character" w:customStyle="1" w:styleId="Nagwek5Znak">
    <w:name w:val="Nagłówek 5 Znak"/>
    <w:basedOn w:val="Domylnaczcionkaakapitu"/>
    <w:link w:val="Nagwek5"/>
    <w:uiPriority w:val="99"/>
    <w:semiHidden/>
    <w:rsid w:val="00EA3A3A"/>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EA3A3A"/>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EA3A3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A3A3A"/>
    <w:pPr>
      <w:keepNext/>
      <w:keepLines/>
      <w:spacing w:before="720" w:after="240"/>
      <w:outlineLvl w:val="0"/>
    </w:pPr>
    <w:rPr>
      <w:rFonts w:asciiTheme="majorHAnsi" w:hAnsiTheme="majorHAnsi"/>
      <w:sz w:val="28"/>
    </w:rPr>
  </w:style>
  <w:style w:type="character" w:styleId="Uwydatnienie">
    <w:name w:val="Emphasis"/>
    <w:uiPriority w:val="99"/>
    <w:semiHidden/>
    <w:qFormat/>
    <w:rsid w:val="00EA3A3A"/>
    <w:rPr>
      <w:b/>
      <w:bCs/>
      <w:i/>
      <w:iCs/>
      <w:spacing w:val="10"/>
      <w:bdr w:val="none" w:sz="0" w:space="0" w:color="auto"/>
      <w:shd w:val="clear" w:color="auto" w:fill="auto"/>
    </w:rPr>
  </w:style>
  <w:style w:type="paragraph" w:styleId="Stopka">
    <w:name w:val="footer"/>
    <w:basedOn w:val="Normalny"/>
    <w:link w:val="StopkaZnak"/>
    <w:uiPriority w:val="57"/>
    <w:semiHidden/>
    <w:rsid w:val="00EA3A3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3A3A"/>
    <w:rPr>
      <w:sz w:val="24"/>
      <w:lang w:val="pl-PL"/>
    </w:rPr>
  </w:style>
  <w:style w:type="character" w:styleId="Odwoanieprzypisudolnego">
    <w:name w:val="footnote reference"/>
    <w:basedOn w:val="Domylnaczcionkaakapitu"/>
    <w:uiPriority w:val="99"/>
    <w:semiHidden/>
    <w:rsid w:val="00EA3A3A"/>
    <w:rPr>
      <w:vertAlign w:val="superscript"/>
    </w:rPr>
  </w:style>
  <w:style w:type="paragraph" w:styleId="Tekstprzypisudolnego">
    <w:name w:val="footnote text"/>
    <w:basedOn w:val="Normalny"/>
    <w:link w:val="TekstprzypisudolnegoZnak"/>
    <w:uiPriority w:val="99"/>
    <w:semiHidden/>
    <w:rsid w:val="00EA3A3A"/>
    <w:rPr>
      <w:sz w:val="20"/>
      <w:szCs w:val="20"/>
    </w:rPr>
  </w:style>
  <w:style w:type="character" w:customStyle="1" w:styleId="TekstprzypisudolnegoZnak">
    <w:name w:val="Tekst przypisu dolnego Znak"/>
    <w:basedOn w:val="Domylnaczcionkaakapitu"/>
    <w:link w:val="Tekstprzypisudolnego"/>
    <w:uiPriority w:val="99"/>
    <w:semiHidden/>
    <w:rsid w:val="00EA3A3A"/>
    <w:rPr>
      <w:rFonts w:eastAsiaTheme="minorEastAsia"/>
      <w:sz w:val="20"/>
      <w:szCs w:val="20"/>
      <w:lang w:val="pl-PL"/>
    </w:rPr>
  </w:style>
  <w:style w:type="character" w:customStyle="1" w:styleId="Nagwek6Znak">
    <w:name w:val="Nagłówek 6 Znak"/>
    <w:basedOn w:val="Domylnaczcionkaakapitu"/>
    <w:link w:val="Nagwek6"/>
    <w:uiPriority w:val="99"/>
    <w:semiHidden/>
    <w:rsid w:val="00EA3A3A"/>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EA3A3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A3A3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A3A3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A3A3A"/>
    <w:rPr>
      <w:color w:val="0072BC" w:themeColor="hyperlink"/>
      <w:u w:val="single"/>
    </w:rPr>
  </w:style>
  <w:style w:type="character" w:styleId="Wyrnienieintensywne">
    <w:name w:val="Intense Emphasis"/>
    <w:uiPriority w:val="99"/>
    <w:semiHidden/>
    <w:qFormat/>
    <w:rsid w:val="00EA3A3A"/>
    <w:rPr>
      <w:b/>
      <w:bCs/>
    </w:rPr>
  </w:style>
  <w:style w:type="paragraph" w:styleId="Cytatintensywny">
    <w:name w:val="Intense Quote"/>
    <w:basedOn w:val="Normalny"/>
    <w:next w:val="Normalny"/>
    <w:link w:val="CytatintensywnyZnak"/>
    <w:uiPriority w:val="99"/>
    <w:semiHidden/>
    <w:qFormat/>
    <w:rsid w:val="00EA3A3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A3A3A"/>
    <w:rPr>
      <w:rFonts w:eastAsiaTheme="minorEastAsia"/>
      <w:b/>
      <w:bCs/>
      <w:i/>
      <w:iCs/>
      <w:lang w:bidi="en-US"/>
    </w:rPr>
  </w:style>
  <w:style w:type="character" w:styleId="Odwoanieintensywne">
    <w:name w:val="Intense Reference"/>
    <w:uiPriority w:val="99"/>
    <w:semiHidden/>
    <w:qFormat/>
    <w:rsid w:val="00EA3A3A"/>
    <w:rPr>
      <w:smallCaps/>
      <w:spacing w:val="5"/>
      <w:u w:val="single"/>
    </w:rPr>
  </w:style>
  <w:style w:type="paragraph" w:styleId="Akapitzlist">
    <w:name w:val="List Paragraph"/>
    <w:basedOn w:val="Normalny"/>
    <w:uiPriority w:val="99"/>
    <w:semiHidden/>
    <w:qFormat/>
    <w:rsid w:val="00EA3A3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A3A3A"/>
    <w:pPr>
      <w:spacing w:before="200"/>
      <w:ind w:left="360" w:right="360"/>
    </w:pPr>
    <w:rPr>
      <w:i/>
      <w:iCs/>
      <w:sz w:val="22"/>
      <w:lang w:bidi="en-US"/>
    </w:rPr>
  </w:style>
  <w:style w:type="character" w:customStyle="1" w:styleId="CytatZnak">
    <w:name w:val="Cytat Znak"/>
    <w:basedOn w:val="Domylnaczcionkaakapitu"/>
    <w:link w:val="Cytat"/>
    <w:uiPriority w:val="99"/>
    <w:semiHidden/>
    <w:rsid w:val="00EA3A3A"/>
    <w:rPr>
      <w:rFonts w:eastAsiaTheme="minorEastAsia"/>
      <w:i/>
      <w:iCs/>
      <w:lang w:bidi="en-US"/>
    </w:rPr>
  </w:style>
  <w:style w:type="character" w:styleId="Odwoaniedelikatne">
    <w:name w:val="Subtle Reference"/>
    <w:uiPriority w:val="99"/>
    <w:semiHidden/>
    <w:qFormat/>
    <w:rsid w:val="00EA3A3A"/>
    <w:rPr>
      <w:smallCaps/>
    </w:rPr>
  </w:style>
  <w:style w:type="table" w:styleId="Tabela-Siatka">
    <w:name w:val="Table Grid"/>
    <w:basedOn w:val="Standardowy"/>
    <w:uiPriority w:val="59"/>
    <w:semiHidden/>
    <w:rsid w:val="00EA3A3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3A3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A3A3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A3A3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A3A3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A3A3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A3A3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3A3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A3A3A"/>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A3A3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EA3A3A"/>
    <w:pPr>
      <w:keepNext/>
      <w:keepLines/>
      <w:spacing w:before="240"/>
      <w:ind w:firstLine="284"/>
    </w:pPr>
  </w:style>
  <w:style w:type="paragraph" w:customStyle="1" w:styleId="JuCase">
    <w:name w:val="Ju_Case"/>
    <w:basedOn w:val="Normalny"/>
    <w:next w:val="ECHRPara"/>
    <w:uiPriority w:val="10"/>
    <w:rsid w:val="00EA3A3A"/>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EA3A3A"/>
    <w:pPr>
      <w:ind w:left="346" w:firstLine="0"/>
    </w:pPr>
  </w:style>
  <w:style w:type="paragraph" w:customStyle="1" w:styleId="OpiH1">
    <w:name w:val="Opi_H_1"/>
    <w:basedOn w:val="ECHRHeading2"/>
    <w:uiPriority w:val="42"/>
    <w:qFormat/>
    <w:rsid w:val="00EA3A3A"/>
    <w:pPr>
      <w:ind w:left="635" w:hanging="357"/>
      <w:outlineLvl w:val="2"/>
    </w:p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EA3A3A"/>
    <w:rPr>
      <w:vertAlign w:val="superscript"/>
    </w:rPr>
  </w:style>
  <w:style w:type="paragraph" w:styleId="Tekstprzypisukocowego">
    <w:name w:val="endnote text"/>
    <w:basedOn w:val="Normalny"/>
    <w:link w:val="TekstprzypisukocowegoZnak"/>
    <w:uiPriority w:val="99"/>
    <w:semiHidden/>
    <w:rsid w:val="00EA3A3A"/>
    <w:rPr>
      <w:sz w:val="20"/>
      <w:szCs w:val="20"/>
    </w:rPr>
  </w:style>
  <w:style w:type="character" w:customStyle="1" w:styleId="TekstprzypisukocowegoZnak">
    <w:name w:val="Tekst przypisu końcowego Znak"/>
    <w:basedOn w:val="Domylnaczcionkaakapitu"/>
    <w:link w:val="Tekstprzypisukocowego"/>
    <w:uiPriority w:val="99"/>
    <w:semiHidden/>
    <w:rsid w:val="00EA3A3A"/>
    <w:rPr>
      <w:rFonts w:eastAsiaTheme="minorEastAsia"/>
      <w:sz w:val="20"/>
      <w:szCs w:val="20"/>
      <w:lang w:val="pl-PL"/>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EA3A3A"/>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EA3A3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A3A3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pl-PL" w:eastAsia="fr-FR"/>
    </w:rPr>
  </w:style>
  <w:style w:type="table" w:styleId="redniasiatka1">
    <w:name w:val="Medium Grid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EA3A3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A3A3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A3A3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
    <w:name w:val="Opi_H_a"/>
    <w:basedOn w:val="ECHRHeading3"/>
    <w:uiPriority w:val="43"/>
    <w:qFormat/>
    <w:rsid w:val="00EA3A3A"/>
    <w:pPr>
      <w:ind w:left="833" w:hanging="357"/>
      <w:outlineLvl w:val="3"/>
    </w:pPr>
    <w:rPr>
      <w:b/>
      <w:i w:val="0"/>
      <w:sz w:val="20"/>
    </w:rPr>
  </w:style>
  <w:style w:type="paragraph" w:customStyle="1" w:styleId="OpiHA0">
    <w:name w:val="Opi_H_A"/>
    <w:basedOn w:val="ECHRHeading1"/>
    <w:next w:val="OpiPara"/>
    <w:uiPriority w:val="41"/>
    <w:qFormat/>
    <w:rsid w:val="00EA3A3A"/>
    <w:pPr>
      <w:tabs>
        <w:tab w:val="clear" w:pos="357"/>
      </w:tabs>
      <w:outlineLvl w:val="1"/>
    </w:pPr>
    <w:rPr>
      <w:b/>
    </w:rPr>
  </w:style>
  <w:style w:type="paragraph" w:customStyle="1" w:styleId="OpiHi">
    <w:name w:val="Opi_H_i"/>
    <w:basedOn w:val="ECHRHeading4"/>
    <w:uiPriority w:val="44"/>
    <w:qFormat/>
    <w:rsid w:val="00EA3A3A"/>
    <w:pPr>
      <w:ind w:left="1037" w:hanging="357"/>
      <w:outlineLvl w:val="4"/>
    </w:pPr>
    <w:rPr>
      <w:b w:val="0"/>
      <w:i/>
    </w:rPr>
  </w:style>
  <w:style w:type="paragraph" w:customStyle="1" w:styleId="OpiPara">
    <w:name w:val="Opi_Para"/>
    <w:basedOn w:val="ECHRPara"/>
    <w:uiPriority w:val="46"/>
    <w:qFormat/>
    <w:rsid w:val="00EA3A3A"/>
  </w:style>
  <w:style w:type="paragraph" w:customStyle="1" w:styleId="OpiParaSub">
    <w:name w:val="Opi_Para_Sub"/>
    <w:basedOn w:val="JuParaSub"/>
    <w:uiPriority w:val="47"/>
    <w:qFormat/>
    <w:rsid w:val="00EA3A3A"/>
  </w:style>
  <w:style w:type="paragraph" w:customStyle="1" w:styleId="OpiQuot">
    <w:name w:val="Opi_Quot"/>
    <w:basedOn w:val="ECHRParaQuote"/>
    <w:uiPriority w:val="48"/>
    <w:qFormat/>
    <w:rsid w:val="00EA3A3A"/>
  </w:style>
  <w:style w:type="paragraph" w:customStyle="1" w:styleId="OpiQuotSub">
    <w:name w:val="Opi_Quot_Sub"/>
    <w:basedOn w:val="JuQuotSub"/>
    <w:uiPriority w:val="49"/>
    <w:qFormat/>
    <w:rsid w:val="00EA3A3A"/>
  </w:style>
  <w:style w:type="paragraph" w:customStyle="1" w:styleId="OpiTranslation">
    <w:name w:val="Opi_Translation"/>
    <w:basedOn w:val="Normalny"/>
    <w:next w:val="OpiPara"/>
    <w:uiPriority w:val="40"/>
    <w:qFormat/>
    <w:rsid w:val="00EA3A3A"/>
    <w:pPr>
      <w:jc w:val="center"/>
      <w:outlineLvl w:val="0"/>
    </w:pPr>
    <w:rPr>
      <w:i/>
    </w:rPr>
  </w:style>
  <w:style w:type="character" w:customStyle="1" w:styleId="ECHRParaChar">
    <w:name w:val="ECHR_Para Char"/>
    <w:aliases w:val="Ju_Para Char"/>
    <w:basedOn w:val="Domylnaczcionkaakapitu"/>
    <w:link w:val="ECHRPara"/>
    <w:uiPriority w:val="12"/>
    <w:rsid w:val="001A4083"/>
    <w:rPr>
      <w:rFonts w:eastAsiaTheme="minorEastAsi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550670">
      <w:bodyDiv w:val="1"/>
      <w:marLeft w:val="0"/>
      <w:marRight w:val="0"/>
      <w:marTop w:val="0"/>
      <w:marBottom w:val="0"/>
      <w:divBdr>
        <w:top w:val="none" w:sz="0" w:space="0" w:color="auto"/>
        <w:left w:val="none" w:sz="0" w:space="0" w:color="auto"/>
        <w:bottom w:val="none" w:sz="0" w:space="0" w:color="auto"/>
        <w:right w:val="none" w:sz="0" w:space="0" w:color="auto"/>
      </w:divBdr>
    </w:div>
    <w:div w:id="1107000515">
      <w:bodyDiv w:val="1"/>
      <w:marLeft w:val="0"/>
      <w:marRight w:val="0"/>
      <w:marTop w:val="0"/>
      <w:marBottom w:val="0"/>
      <w:divBdr>
        <w:top w:val="none" w:sz="0" w:space="0" w:color="auto"/>
        <w:left w:val="none" w:sz="0" w:space="0" w:color="auto"/>
        <w:bottom w:val="none" w:sz="0" w:space="0" w:color="auto"/>
        <w:right w:val="none" w:sz="0" w:space="0" w:color="auto"/>
      </w:divBdr>
    </w:div>
    <w:div w:id="116562809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gov.pl/web/sprawiedliwosc"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ov.pl/web/sprawiedliwos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AE035-9B57-4CA1-93AE-56C042284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3115</Words>
  <Characters>18691</Characters>
  <Application>Microsoft Office Word</Application>
  <DocSecurity>4</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21763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2019-06-24T07:11:00Z</dcterms:created>
  <dcterms:modified xsi:type="dcterms:W3CDTF">2019-06-24T07:11:00Z</dcterms:modified>
</cp:coreProperties>
</file>