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280" w:rsidRDefault="00BD4280" w:rsidP="00BD4280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 w:rsidRPr="007B358F">
        <w:rPr>
          <w:rStyle w:val="s4f807e54"/>
          <w:rFonts w:ascii="Arial" w:eastAsia="MS Mincho" w:hAnsi="Arial" w:cs="Arial"/>
          <w:sz w:val="20"/>
          <w:szCs w:val="20"/>
        </w:rPr>
        <w:t xml:space="preserve">, </w:t>
      </w:r>
      <w:hyperlink r:id="rId8" w:history="1">
        <w:r w:rsidR="00F9442E" w:rsidRPr="000354B2">
          <w:rPr>
            <w:rStyle w:val="Hipercze"/>
            <w:rFonts w:ascii="Arial" w:eastAsia="MS Mincho" w:hAnsi="Arial" w:cs="Arial"/>
            <w:sz w:val="20"/>
            <w:szCs w:val="20"/>
          </w:rPr>
          <w:t>www.gov.pl/dyplomacja</w:t>
        </w:r>
      </w:hyperlink>
      <w:r w:rsidR="007B358F">
        <w:rPr>
          <w:rStyle w:val="s4f807e54"/>
          <w:rFonts w:ascii="Arial" w:eastAsia="MS Mincho" w:hAnsi="Arial" w:cs="Arial"/>
          <w:sz w:val="20"/>
          <w:szCs w:val="20"/>
        </w:rPr>
        <w:t xml:space="preserve"> </w:t>
      </w:r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BD4280" w:rsidRDefault="00BD4280" w:rsidP="00BD4280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01067C" w:rsidRPr="00BD4280" w:rsidRDefault="00BD4280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 xml:space="preserve">orzecznictwa Trybunału nr </w:t>
      </w:r>
      <w:r w:rsidR="00357EA6" w:rsidRPr="00BD4280">
        <w:rPr>
          <w:lang w:val="pl-PL"/>
        </w:rPr>
        <w:t>217</w:t>
      </w:r>
    </w:p>
    <w:p w:rsidR="0001067C" w:rsidRPr="004D278A" w:rsidRDefault="004D278A">
      <w:pPr>
        <w:pStyle w:val="ClinEditionMonth"/>
        <w:rPr>
          <w:lang w:val="pl-PL"/>
        </w:rPr>
      </w:pPr>
      <w:r w:rsidRPr="004D278A">
        <w:rPr>
          <w:lang w:val="pl-PL"/>
        </w:rPr>
        <w:t xml:space="preserve">Kwiecień </w:t>
      </w:r>
      <w:r w:rsidR="00357EA6" w:rsidRPr="004D278A">
        <w:rPr>
          <w:lang w:val="pl-PL"/>
        </w:rPr>
        <w:t>2018</w:t>
      </w:r>
      <w:r w:rsidRPr="004D278A">
        <w:rPr>
          <w:lang w:val="pl-PL"/>
        </w:rPr>
        <w:t xml:space="preserve"> r.</w:t>
      </w:r>
    </w:p>
    <w:p w:rsidR="0001067C" w:rsidRPr="004D278A" w:rsidRDefault="004D278A">
      <w:pPr>
        <w:rPr>
          <w:lang w:val="pl-PL"/>
        </w:rPr>
      </w:pPr>
      <w:proofErr w:type="spellStart"/>
      <w:r w:rsidRPr="004D278A">
        <w:rPr>
          <w:rStyle w:val="ClinCaseTitle"/>
          <w:lang w:val="pl-PL"/>
        </w:rPr>
        <w:t>Zubac</w:t>
      </w:r>
      <w:proofErr w:type="spellEnd"/>
      <w:r w:rsidRPr="004D278A">
        <w:rPr>
          <w:rStyle w:val="ClinCaseTitle"/>
          <w:lang w:val="pl-PL"/>
        </w:rPr>
        <w:t xml:space="preserve"> p</w:t>
      </w:r>
      <w:r w:rsidR="00357EA6" w:rsidRPr="004D278A">
        <w:rPr>
          <w:rStyle w:val="ClinCaseTitle"/>
          <w:lang w:val="pl-PL"/>
        </w:rPr>
        <w:t>. C</w:t>
      </w:r>
      <w:r>
        <w:rPr>
          <w:rStyle w:val="ClinCaseTitle"/>
          <w:lang w:val="pl-PL"/>
        </w:rPr>
        <w:t>horwacji</w:t>
      </w:r>
      <w:r w:rsidR="00357EA6" w:rsidRPr="004D278A">
        <w:rPr>
          <w:rStyle w:val="ClinCaseTitle"/>
          <w:lang w:val="pl-PL"/>
        </w:rPr>
        <w:t xml:space="preserve"> [</w:t>
      </w:r>
      <w:r>
        <w:rPr>
          <w:rStyle w:val="ClinCaseTitle"/>
          <w:lang w:val="pl-PL"/>
        </w:rPr>
        <w:t>Wielka Izba</w:t>
      </w:r>
      <w:r w:rsidR="00357EA6" w:rsidRPr="004D278A">
        <w:rPr>
          <w:rStyle w:val="ClinCaseTitle"/>
          <w:lang w:val="pl-PL"/>
        </w:rPr>
        <w:t>]</w:t>
      </w:r>
      <w:r w:rsidR="00357EA6" w:rsidRPr="004D278A">
        <w:rPr>
          <w:rStyle w:val="ClinApplicationNumber"/>
          <w:lang w:val="pl-PL"/>
        </w:rPr>
        <w:t xml:space="preserve"> </w:t>
      </w:r>
      <w:r>
        <w:rPr>
          <w:rStyle w:val="ClinApplicationNumber"/>
          <w:lang w:val="pl-PL"/>
        </w:rPr>
        <w:t>–</w:t>
      </w:r>
      <w:r w:rsidR="00357EA6" w:rsidRPr="004D278A">
        <w:rPr>
          <w:rStyle w:val="ClinApplicationNumber"/>
          <w:lang w:val="pl-PL"/>
        </w:rPr>
        <w:t xml:space="preserve"> </w:t>
      </w:r>
      <w:r>
        <w:rPr>
          <w:rStyle w:val="ClinApplicationNumber"/>
          <w:lang w:val="pl-PL"/>
        </w:rPr>
        <w:t xml:space="preserve">skarga nr </w:t>
      </w:r>
      <w:r w:rsidR="00357EA6" w:rsidRPr="004D278A">
        <w:rPr>
          <w:rStyle w:val="ClinApplicationNumber"/>
          <w:lang w:val="pl-PL"/>
        </w:rPr>
        <w:t>40160/12</w:t>
      </w:r>
    </w:p>
    <w:p w:rsidR="0001067C" w:rsidRPr="004D278A" w:rsidRDefault="004D278A">
      <w:pPr>
        <w:rPr>
          <w:lang w:val="pl-PL"/>
        </w:rPr>
      </w:pPr>
      <w:r w:rsidRPr="004D278A">
        <w:rPr>
          <w:rStyle w:val="ClinHudocDocumentTitle"/>
          <w:lang w:val="pl-PL"/>
        </w:rPr>
        <w:t>Wyrok z 0</w:t>
      </w:r>
      <w:r w:rsidR="00357EA6" w:rsidRPr="004D278A">
        <w:rPr>
          <w:rStyle w:val="ClinHudocDocumentTitle"/>
          <w:lang w:val="pl-PL"/>
        </w:rPr>
        <w:t>5.</w:t>
      </w:r>
      <w:r w:rsidRPr="004D278A">
        <w:rPr>
          <w:rStyle w:val="ClinHudocDocumentTitle"/>
          <w:lang w:val="pl-PL"/>
        </w:rPr>
        <w:t>0</w:t>
      </w:r>
      <w:r w:rsidR="00357EA6" w:rsidRPr="004D278A">
        <w:rPr>
          <w:rStyle w:val="ClinHudocDocumentTitle"/>
          <w:lang w:val="pl-PL"/>
        </w:rPr>
        <w:t>4.2018</w:t>
      </w:r>
      <w:r w:rsidR="00357EA6" w:rsidRPr="004D278A">
        <w:rPr>
          <w:rStyle w:val="ClinSectionName"/>
          <w:lang w:val="pl-PL"/>
        </w:rPr>
        <w:t xml:space="preserve"> </w:t>
      </w:r>
      <w:r w:rsidRPr="004D278A">
        <w:rPr>
          <w:rStyle w:val="ClinSectionName"/>
          <w:lang w:val="pl-PL"/>
        </w:rPr>
        <w:t xml:space="preserve">r. </w:t>
      </w:r>
      <w:r w:rsidR="00357EA6" w:rsidRPr="004D278A">
        <w:rPr>
          <w:rStyle w:val="ClinSectionName"/>
          <w:lang w:val="pl-PL"/>
        </w:rPr>
        <w:t>[</w:t>
      </w:r>
      <w:r w:rsidRPr="004D278A">
        <w:rPr>
          <w:rStyle w:val="ClinSectionName"/>
          <w:lang w:val="pl-PL"/>
        </w:rPr>
        <w:t>Wielka Izba</w:t>
      </w:r>
      <w:r w:rsidR="00357EA6" w:rsidRPr="004D278A">
        <w:rPr>
          <w:rStyle w:val="ClinSectionName"/>
          <w:lang w:val="pl-PL"/>
        </w:rPr>
        <w:t>]</w:t>
      </w:r>
    </w:p>
    <w:p w:rsidR="0001067C" w:rsidRPr="0029471A" w:rsidRDefault="00357EA6">
      <w:pPr>
        <w:pStyle w:val="ClinMainKeywordCode"/>
        <w:rPr>
          <w:lang w:val="pl-PL"/>
        </w:rPr>
      </w:pPr>
      <w:r w:rsidRPr="0029471A">
        <w:rPr>
          <w:lang w:val="pl-PL"/>
        </w:rPr>
        <w:t>Art</w:t>
      </w:r>
      <w:r w:rsidR="004D278A" w:rsidRPr="0029471A">
        <w:rPr>
          <w:lang w:val="pl-PL"/>
        </w:rPr>
        <w:t>.</w:t>
      </w:r>
      <w:r w:rsidRPr="0029471A">
        <w:rPr>
          <w:lang w:val="pl-PL"/>
        </w:rPr>
        <w:t xml:space="preserve"> 6</w:t>
      </w:r>
      <w:r w:rsidR="00CF47E3">
        <w:rPr>
          <w:lang w:val="pl-PL"/>
        </w:rPr>
        <w:t xml:space="preserve"> Konwencji</w:t>
      </w:r>
      <w:r w:rsidR="00CF47E3">
        <w:rPr>
          <w:rStyle w:val="Odwoanieprzypisudolnego"/>
          <w:lang w:val="pl-PL"/>
        </w:rPr>
        <w:footnoteReference w:id="1"/>
      </w:r>
    </w:p>
    <w:p w:rsidR="0001067C" w:rsidRPr="0029471A" w:rsidRDefault="004D278A">
      <w:pPr>
        <w:pStyle w:val="ClinKeyword"/>
        <w:rPr>
          <w:lang w:val="pl-PL"/>
        </w:rPr>
      </w:pPr>
      <w:r w:rsidRPr="0029471A">
        <w:rPr>
          <w:lang w:val="pl-PL"/>
        </w:rPr>
        <w:t xml:space="preserve">Postępowanie cywilne </w:t>
      </w:r>
    </w:p>
    <w:p w:rsidR="0001067C" w:rsidRPr="0029471A" w:rsidRDefault="00357EA6">
      <w:pPr>
        <w:pStyle w:val="ClinChildKeywordCode"/>
        <w:rPr>
          <w:lang w:val="pl-PL"/>
        </w:rPr>
      </w:pPr>
      <w:r w:rsidRPr="0029471A">
        <w:rPr>
          <w:lang w:val="pl-PL"/>
        </w:rPr>
        <w:t>Art</w:t>
      </w:r>
      <w:r w:rsidR="004D278A" w:rsidRPr="0029471A">
        <w:rPr>
          <w:lang w:val="pl-PL"/>
        </w:rPr>
        <w:t xml:space="preserve">. </w:t>
      </w:r>
      <w:r w:rsidRPr="0029471A">
        <w:rPr>
          <w:lang w:val="pl-PL"/>
        </w:rPr>
        <w:t>6</w:t>
      </w:r>
      <w:r w:rsidR="004D278A" w:rsidRPr="0029471A">
        <w:rPr>
          <w:lang w:val="pl-PL"/>
        </w:rPr>
        <w:t xml:space="preserve"> ust. </w:t>
      </w:r>
      <w:r w:rsidRPr="0029471A">
        <w:rPr>
          <w:lang w:val="pl-PL"/>
        </w:rPr>
        <w:t>1</w:t>
      </w:r>
    </w:p>
    <w:p w:rsidR="0001067C" w:rsidRPr="00677742" w:rsidRDefault="004D278A">
      <w:pPr>
        <w:pStyle w:val="ClinKeyword"/>
        <w:rPr>
          <w:lang w:val="pl-PL"/>
        </w:rPr>
      </w:pPr>
      <w:r w:rsidRPr="00677742">
        <w:rPr>
          <w:lang w:val="pl-PL"/>
        </w:rPr>
        <w:t xml:space="preserve">Dostęp do sądu </w:t>
      </w:r>
    </w:p>
    <w:p w:rsidR="00BE1545" w:rsidRPr="00BE1545" w:rsidRDefault="00BE1545" w:rsidP="001C46BA">
      <w:pPr>
        <w:jc w:val="both"/>
        <w:rPr>
          <w:lang w:val="pl-PL"/>
        </w:rPr>
      </w:pPr>
      <w:r w:rsidRPr="00BE1545">
        <w:rPr>
          <w:rStyle w:val="ClinConclusions"/>
          <w:i w:val="0"/>
          <w:lang w:val="pl-PL"/>
        </w:rPr>
        <w:t>Zarzut nadmiernie formalistycznej wykładni</w:t>
      </w:r>
      <w:r w:rsidR="00254027">
        <w:rPr>
          <w:rStyle w:val="ClinConclusions"/>
          <w:i w:val="0"/>
          <w:lang w:val="pl-PL"/>
        </w:rPr>
        <w:t xml:space="preserve"> zasad</w:t>
      </w:r>
      <w:r w:rsidRPr="00BE1545">
        <w:rPr>
          <w:rStyle w:val="ClinConclusions"/>
          <w:i w:val="0"/>
          <w:lang w:val="pl-PL"/>
        </w:rPr>
        <w:t xml:space="preserve"> proceduralnych (</w:t>
      </w:r>
      <w:r w:rsidR="000765CF">
        <w:rPr>
          <w:rStyle w:val="ClinConclusions"/>
          <w:i w:val="0"/>
          <w:lang w:val="pl-PL"/>
        </w:rPr>
        <w:t xml:space="preserve">dotyczących </w:t>
      </w:r>
      <w:r w:rsidRPr="00BE1545">
        <w:rPr>
          <w:rStyle w:val="ClinConclusions"/>
          <w:i w:val="0"/>
          <w:lang w:val="pl-PL"/>
        </w:rPr>
        <w:t>pr</w:t>
      </w:r>
      <w:r w:rsidR="000765CF">
        <w:rPr>
          <w:rStyle w:val="ClinConclusions"/>
          <w:i w:val="0"/>
          <w:lang w:val="pl-PL"/>
        </w:rPr>
        <w:t>ogu</w:t>
      </w:r>
      <w:r w:rsidRPr="00BE1545">
        <w:rPr>
          <w:rStyle w:val="ClinConclusions"/>
          <w:i w:val="0"/>
          <w:lang w:val="pl-PL"/>
        </w:rPr>
        <w:t xml:space="preserve"> dopusz</w:t>
      </w:r>
      <w:r w:rsidR="00187847">
        <w:rPr>
          <w:rStyle w:val="ClinConclusions"/>
          <w:i w:val="0"/>
          <w:lang w:val="pl-PL"/>
        </w:rPr>
        <w:t>cz</w:t>
      </w:r>
      <w:r w:rsidRPr="00BE1545">
        <w:rPr>
          <w:rStyle w:val="ClinConclusions"/>
          <w:i w:val="0"/>
          <w:lang w:val="pl-PL"/>
        </w:rPr>
        <w:t xml:space="preserve">alności </w:t>
      </w:r>
      <w:r w:rsidRPr="000765CF">
        <w:rPr>
          <w:rStyle w:val="ClinConclusions"/>
          <w:i w:val="0"/>
          <w:lang w:val="pl-PL"/>
        </w:rPr>
        <w:t>ze względu na wartość przedmiotu sporu</w:t>
      </w:r>
      <w:r w:rsidR="00677742">
        <w:rPr>
          <w:rStyle w:val="ClinConclusions"/>
          <w:i w:val="0"/>
          <w:lang w:val="pl-PL"/>
        </w:rPr>
        <w:t xml:space="preserve"> – </w:t>
      </w:r>
      <w:r w:rsidR="00677742" w:rsidRPr="00677742">
        <w:rPr>
          <w:rStyle w:val="ClinConclusions"/>
          <w:lang w:val="pl-PL"/>
        </w:rPr>
        <w:t xml:space="preserve">ratione </w:t>
      </w:r>
      <w:proofErr w:type="spellStart"/>
      <w:r w:rsidR="00677742" w:rsidRPr="00677742">
        <w:rPr>
          <w:rStyle w:val="ClinConclusions"/>
          <w:lang w:val="pl-PL"/>
        </w:rPr>
        <w:t>valoris</w:t>
      </w:r>
      <w:proofErr w:type="spellEnd"/>
      <w:r w:rsidRPr="00BE1545">
        <w:rPr>
          <w:rStyle w:val="ClinConclusions"/>
          <w:i w:val="0"/>
          <w:lang w:val="pl-PL"/>
        </w:rPr>
        <w:t>):</w:t>
      </w:r>
      <w:r w:rsidRPr="00BE1545">
        <w:rPr>
          <w:rStyle w:val="ClinConclusions"/>
          <w:lang w:val="pl-PL"/>
        </w:rPr>
        <w:t xml:space="preserve"> brak</w:t>
      </w:r>
      <w:r w:rsidR="00FC7147">
        <w:rPr>
          <w:rStyle w:val="ClinConclusions"/>
          <w:lang w:val="pl-PL"/>
        </w:rPr>
        <w:t> </w:t>
      </w:r>
      <w:r w:rsidRPr="00BE1545">
        <w:rPr>
          <w:rStyle w:val="ClinConclusions"/>
          <w:lang w:val="pl-PL"/>
        </w:rPr>
        <w:t xml:space="preserve">naruszenia </w:t>
      </w:r>
    </w:p>
    <w:p w:rsidR="00BE1545" w:rsidRPr="00BE1545" w:rsidRDefault="00BE1545">
      <w:pPr>
        <w:pStyle w:val="ClinContent"/>
        <w:rPr>
          <w:lang w:val="pl-PL"/>
        </w:rPr>
      </w:pPr>
      <w:r w:rsidRPr="00BE1545">
        <w:rPr>
          <w:i/>
          <w:lang w:val="pl-PL"/>
        </w:rPr>
        <w:t xml:space="preserve">Fakty – </w:t>
      </w:r>
      <w:r w:rsidRPr="00BE1545">
        <w:rPr>
          <w:lang w:val="pl-PL"/>
        </w:rPr>
        <w:t>Do Sądu Najwyższego Cho</w:t>
      </w:r>
      <w:r>
        <w:rPr>
          <w:lang w:val="pl-PL"/>
        </w:rPr>
        <w:t>r</w:t>
      </w:r>
      <w:r w:rsidRPr="00BE1545">
        <w:rPr>
          <w:lang w:val="pl-PL"/>
        </w:rPr>
        <w:t>wacji mogą zostać wniesione sprawy cywilne w</w:t>
      </w:r>
      <w:r w:rsidR="004B2974">
        <w:rPr>
          <w:lang w:val="pl-PL"/>
        </w:rPr>
        <w:t> </w:t>
      </w:r>
      <w:r w:rsidRPr="00BE1545">
        <w:rPr>
          <w:lang w:val="pl-PL"/>
        </w:rPr>
        <w:t xml:space="preserve">drodze </w:t>
      </w:r>
      <w:r>
        <w:rPr>
          <w:lang w:val="pl-PL"/>
        </w:rPr>
        <w:t xml:space="preserve">dwóch rodzajów </w:t>
      </w:r>
      <w:r w:rsidRPr="00BE1545">
        <w:rPr>
          <w:lang w:val="pl-PL"/>
        </w:rPr>
        <w:t>kas</w:t>
      </w:r>
      <w:r>
        <w:rPr>
          <w:lang w:val="pl-PL"/>
        </w:rPr>
        <w:t>acji</w:t>
      </w:r>
      <w:r w:rsidRPr="00BE1545">
        <w:rPr>
          <w:lang w:val="pl-PL"/>
        </w:rPr>
        <w:t xml:space="preserve">: (i) </w:t>
      </w:r>
      <w:r>
        <w:rPr>
          <w:lang w:val="pl-PL"/>
        </w:rPr>
        <w:t>„</w:t>
      </w:r>
      <w:r w:rsidRPr="00BE1545">
        <w:rPr>
          <w:lang w:val="pl-PL"/>
        </w:rPr>
        <w:t>zwyczajn</w:t>
      </w:r>
      <w:r>
        <w:rPr>
          <w:lang w:val="pl-PL"/>
        </w:rPr>
        <w:t>ej</w:t>
      </w:r>
      <w:r w:rsidRPr="00BE1545">
        <w:rPr>
          <w:lang w:val="pl-PL"/>
        </w:rPr>
        <w:t xml:space="preserve">” </w:t>
      </w:r>
      <w:r>
        <w:rPr>
          <w:lang w:val="pl-PL"/>
        </w:rPr>
        <w:t>kasacji, do której przysługuje pełne prawo indywidualne, gdy sporna część zaskarżone</w:t>
      </w:r>
      <w:r w:rsidR="00A6264C">
        <w:rPr>
          <w:lang w:val="pl-PL"/>
        </w:rPr>
        <w:t>go orzeczenia</w:t>
      </w:r>
      <w:r>
        <w:rPr>
          <w:lang w:val="pl-PL"/>
        </w:rPr>
        <w:t xml:space="preserve"> odpowiada wartości przekraczającej określony próg, który wynosił </w:t>
      </w:r>
      <w:r w:rsidR="005E0786">
        <w:rPr>
          <w:lang w:val="pl-PL"/>
        </w:rPr>
        <w:t xml:space="preserve">wówczas </w:t>
      </w:r>
      <w:r>
        <w:rPr>
          <w:lang w:val="pl-PL"/>
        </w:rPr>
        <w:t>100</w:t>
      </w:r>
      <w:r w:rsidR="00926327">
        <w:rPr>
          <w:lang w:val="pl-PL"/>
        </w:rPr>
        <w:t xml:space="preserve"> </w:t>
      </w:r>
      <w:r>
        <w:rPr>
          <w:lang w:val="pl-PL"/>
        </w:rPr>
        <w:t>000 kun chorwackich (HRK); albo (ii)</w:t>
      </w:r>
      <w:r w:rsidR="005E0786">
        <w:rPr>
          <w:lang w:val="pl-PL"/>
        </w:rPr>
        <w:t xml:space="preserve"> </w:t>
      </w:r>
      <w:r>
        <w:rPr>
          <w:lang w:val="pl-PL"/>
        </w:rPr>
        <w:t xml:space="preserve">gdy próg ten nie jest spełniony, „nadzwyczajnej” kasacji mającej na celu zapewnienie jednolitej wykładni prawa. W każdym przypadku ten środek zaskarżenia jest ograniczony do kwestii prawnych. </w:t>
      </w:r>
    </w:p>
    <w:p w:rsidR="0023651A" w:rsidRPr="0023651A" w:rsidRDefault="0023651A">
      <w:pPr>
        <w:pStyle w:val="ClinContent"/>
        <w:rPr>
          <w:lang w:val="pl-PL"/>
        </w:rPr>
      </w:pPr>
      <w:r>
        <w:rPr>
          <w:lang w:val="pl-PL"/>
        </w:rPr>
        <w:t>Skarżąca</w:t>
      </w:r>
      <w:r w:rsidRPr="0023651A">
        <w:rPr>
          <w:lang w:val="pl-PL"/>
        </w:rPr>
        <w:t xml:space="preserve"> wytoczył</w:t>
      </w:r>
      <w:r>
        <w:rPr>
          <w:lang w:val="pl-PL"/>
        </w:rPr>
        <w:t>a</w:t>
      </w:r>
      <w:r w:rsidRPr="0023651A">
        <w:rPr>
          <w:lang w:val="pl-PL"/>
        </w:rPr>
        <w:t xml:space="preserve"> powództwo cywilne, którego </w:t>
      </w:r>
      <w:r w:rsidR="00187847">
        <w:rPr>
          <w:lang w:val="pl-PL"/>
        </w:rPr>
        <w:t xml:space="preserve">wartość </w:t>
      </w:r>
      <w:r w:rsidRPr="0023651A">
        <w:rPr>
          <w:lang w:val="pl-PL"/>
        </w:rPr>
        <w:t>przedmiot</w:t>
      </w:r>
      <w:r w:rsidR="00187847">
        <w:rPr>
          <w:lang w:val="pl-PL"/>
        </w:rPr>
        <w:t>u sporu</w:t>
      </w:r>
      <w:r w:rsidRPr="0023651A">
        <w:rPr>
          <w:lang w:val="pl-PL"/>
        </w:rPr>
        <w:t xml:space="preserve"> został</w:t>
      </w:r>
      <w:r w:rsidR="00187847">
        <w:rPr>
          <w:lang w:val="pl-PL"/>
        </w:rPr>
        <w:t>a oszacowana</w:t>
      </w:r>
      <w:r w:rsidRPr="0023651A">
        <w:rPr>
          <w:lang w:val="pl-PL"/>
        </w:rPr>
        <w:t xml:space="preserve"> przez</w:t>
      </w:r>
      <w:r>
        <w:rPr>
          <w:lang w:val="pl-PL"/>
        </w:rPr>
        <w:t xml:space="preserve"> jej pierwszego adwokata na kwotę 10</w:t>
      </w:r>
      <w:r w:rsidR="00926327">
        <w:rPr>
          <w:lang w:val="pl-PL"/>
        </w:rPr>
        <w:t xml:space="preserve"> </w:t>
      </w:r>
      <w:r>
        <w:rPr>
          <w:lang w:val="pl-PL"/>
        </w:rPr>
        <w:t>000 HRK (ok. 1</w:t>
      </w:r>
      <w:r w:rsidR="00926327">
        <w:rPr>
          <w:lang w:val="pl-PL"/>
        </w:rPr>
        <w:t xml:space="preserve"> </w:t>
      </w:r>
      <w:r>
        <w:rPr>
          <w:lang w:val="pl-PL"/>
        </w:rPr>
        <w:t>400 euro). Po</w:t>
      </w:r>
      <w:r w:rsidR="004B2974">
        <w:rPr>
          <w:lang w:val="pl-PL"/>
        </w:rPr>
        <w:t> </w:t>
      </w:r>
      <w:r w:rsidR="00187847">
        <w:rPr>
          <w:lang w:val="pl-PL"/>
        </w:rPr>
        <w:t>zmianie adwokatów przez skarżącą</w:t>
      </w:r>
      <w:r>
        <w:rPr>
          <w:lang w:val="pl-PL"/>
        </w:rPr>
        <w:t xml:space="preserve">, strony </w:t>
      </w:r>
      <w:r w:rsidR="001B32EF">
        <w:rPr>
          <w:lang w:val="pl-PL"/>
        </w:rPr>
        <w:t>przedstawiły swe stanowiska procesowe na wstępnej rozprawie do</w:t>
      </w:r>
      <w:r w:rsidR="00187847">
        <w:rPr>
          <w:lang w:val="pl-PL"/>
        </w:rPr>
        <w:t>tyczącej</w:t>
      </w:r>
      <w:r w:rsidR="001B32EF">
        <w:rPr>
          <w:lang w:val="pl-PL"/>
        </w:rPr>
        <w:t xml:space="preserve"> istoty sprawy. Na kolejnej rozprawie pełnomocnik podwyższył wartość przedmiotu sprawy do 105</w:t>
      </w:r>
      <w:r w:rsidR="002C4B37">
        <w:rPr>
          <w:lang w:val="pl-PL"/>
        </w:rPr>
        <w:t xml:space="preserve"> </w:t>
      </w:r>
      <w:r w:rsidR="001B32EF">
        <w:rPr>
          <w:lang w:val="pl-PL"/>
        </w:rPr>
        <w:t xml:space="preserve">000 HRK. „Roszczenie cywilne” wskazane w powództwie mogło być jednak zmienione tylko na podstawie </w:t>
      </w:r>
      <w:r w:rsidR="00254027">
        <w:rPr>
          <w:lang w:val="pl-PL"/>
        </w:rPr>
        <w:t xml:space="preserve">szczególnego </w:t>
      </w:r>
      <w:r w:rsidR="001B32EF">
        <w:rPr>
          <w:lang w:val="pl-PL"/>
        </w:rPr>
        <w:t xml:space="preserve">postanowienia sądu, które nie było już możliwe na tym etapie. </w:t>
      </w:r>
      <w:r w:rsidR="00D8004B">
        <w:rPr>
          <w:lang w:val="pl-PL"/>
        </w:rPr>
        <w:t>N</w:t>
      </w:r>
      <w:r w:rsidR="004A7BEF">
        <w:rPr>
          <w:lang w:val="pl-PL"/>
        </w:rPr>
        <w:t xml:space="preserve">iemniej </w:t>
      </w:r>
      <w:r w:rsidR="00D8004B">
        <w:rPr>
          <w:lang w:val="pl-PL"/>
        </w:rPr>
        <w:t xml:space="preserve">jednak </w:t>
      </w:r>
      <w:r w:rsidR="004A7BEF">
        <w:rPr>
          <w:lang w:val="pl-PL"/>
        </w:rPr>
        <w:t xml:space="preserve">sądy wykorzystały tę nową wartość </w:t>
      </w:r>
      <w:r w:rsidR="00187847">
        <w:rPr>
          <w:lang w:val="pl-PL"/>
        </w:rPr>
        <w:t>do wyliczenia</w:t>
      </w:r>
      <w:r w:rsidR="004A7BEF">
        <w:rPr>
          <w:lang w:val="pl-PL"/>
        </w:rPr>
        <w:t xml:space="preserve"> opłat sądowych. Kasacja skarżącej została oddalona przez Sąd Najwyższy, który uznał ją za niedopuszczalną </w:t>
      </w:r>
      <w:r w:rsidR="004A7BEF" w:rsidRPr="004A7BEF">
        <w:rPr>
          <w:i/>
          <w:lang w:val="pl-PL"/>
        </w:rPr>
        <w:t xml:space="preserve">ratione </w:t>
      </w:r>
      <w:proofErr w:type="spellStart"/>
      <w:r w:rsidR="004A7BEF" w:rsidRPr="004A7BEF">
        <w:rPr>
          <w:i/>
          <w:lang w:val="pl-PL"/>
        </w:rPr>
        <w:t>valoris</w:t>
      </w:r>
      <w:proofErr w:type="spellEnd"/>
      <w:r w:rsidR="004A7BEF">
        <w:rPr>
          <w:lang w:val="pl-PL"/>
        </w:rPr>
        <w:t xml:space="preserve"> na tej podstawie, że wartość przedmiotu sportu wskazana w piśmie zawierającym roszczenie przed pierwszą instancją nie została </w:t>
      </w:r>
      <w:r w:rsidR="00187847">
        <w:rPr>
          <w:lang w:val="pl-PL"/>
        </w:rPr>
        <w:t xml:space="preserve">w sposób </w:t>
      </w:r>
      <w:r w:rsidR="00677742">
        <w:rPr>
          <w:lang w:val="pl-PL"/>
        </w:rPr>
        <w:t xml:space="preserve">ważny </w:t>
      </w:r>
      <w:r w:rsidR="004A7BEF">
        <w:rPr>
          <w:lang w:val="pl-PL"/>
        </w:rPr>
        <w:t xml:space="preserve">zmieniona. </w:t>
      </w:r>
    </w:p>
    <w:p w:rsidR="005E0786" w:rsidRPr="005E0786" w:rsidRDefault="005E0786">
      <w:pPr>
        <w:pStyle w:val="ClinContent"/>
        <w:rPr>
          <w:lang w:val="pl-PL"/>
        </w:rPr>
      </w:pPr>
      <w:r w:rsidRPr="005E0786">
        <w:rPr>
          <w:lang w:val="pl-PL"/>
        </w:rPr>
        <w:t>W postępowaniu</w:t>
      </w:r>
      <w:r w:rsidR="00CE594D">
        <w:rPr>
          <w:lang w:val="pl-PL"/>
        </w:rPr>
        <w:t xml:space="preserve"> przed Trybunałem </w:t>
      </w:r>
      <w:r w:rsidRPr="005E0786">
        <w:rPr>
          <w:lang w:val="pl-PL"/>
        </w:rPr>
        <w:t xml:space="preserve">skarżąca zarzucała, że </w:t>
      </w:r>
      <w:r>
        <w:rPr>
          <w:lang w:val="pl-PL"/>
        </w:rPr>
        <w:t>została pozbawiona</w:t>
      </w:r>
      <w:r w:rsidRPr="005E0786">
        <w:rPr>
          <w:lang w:val="pl-PL"/>
        </w:rPr>
        <w:t xml:space="preserve"> dostępu do Sądu Na</w:t>
      </w:r>
      <w:r>
        <w:rPr>
          <w:lang w:val="pl-PL"/>
        </w:rPr>
        <w:t xml:space="preserve">jwyższego z naruszeniem art. 6 ust. 1 Konwencji. </w:t>
      </w:r>
      <w:r w:rsidRPr="005E0786">
        <w:rPr>
          <w:lang w:val="pl-PL"/>
        </w:rPr>
        <w:t>W wyroku z dnia 6</w:t>
      </w:r>
      <w:r w:rsidR="004B2974">
        <w:rPr>
          <w:lang w:val="pl-PL"/>
        </w:rPr>
        <w:t> </w:t>
      </w:r>
      <w:r w:rsidRPr="005E0786">
        <w:rPr>
          <w:lang w:val="pl-PL"/>
        </w:rPr>
        <w:t xml:space="preserve">września 2016 r. (zobacz </w:t>
      </w:r>
      <w:hyperlink r:id="rId9" w:history="1">
        <w:r w:rsidRPr="005E0786">
          <w:rPr>
            <w:rStyle w:val="Hipercze"/>
            <w:lang w:val="pl-PL"/>
          </w:rPr>
          <w:t>Not</w:t>
        </w:r>
        <w:r>
          <w:rPr>
            <w:rStyle w:val="Hipercze"/>
            <w:lang w:val="pl-PL"/>
          </w:rPr>
          <w:t>a informacyjna</w:t>
        </w:r>
        <w:r w:rsidRPr="005E0786">
          <w:rPr>
            <w:rStyle w:val="Hipercze"/>
            <w:lang w:val="pl-PL"/>
          </w:rPr>
          <w:t> nr 205</w:t>
        </w:r>
      </w:hyperlink>
      <w:r w:rsidRPr="005E0786">
        <w:rPr>
          <w:lang w:val="pl-PL"/>
        </w:rPr>
        <w:t>)</w:t>
      </w:r>
      <w:r>
        <w:rPr>
          <w:lang w:val="pl-PL"/>
        </w:rPr>
        <w:t xml:space="preserve"> Izba Trybunału stwierdziła, czterema głosami do trzech, naruszenie tego postanowienia.</w:t>
      </w:r>
    </w:p>
    <w:p w:rsidR="005E0786" w:rsidRPr="005E0786" w:rsidRDefault="005E0786">
      <w:pPr>
        <w:pStyle w:val="ClinContent"/>
        <w:rPr>
          <w:lang w:val="pl-PL"/>
        </w:rPr>
      </w:pPr>
      <w:r w:rsidRPr="005E0786">
        <w:rPr>
          <w:lang w:val="pl-PL"/>
        </w:rPr>
        <w:lastRenderedPageBreak/>
        <w:t xml:space="preserve">W dniu 6 marca 2017 r. sprawa została przekazana </w:t>
      </w:r>
      <w:r>
        <w:rPr>
          <w:lang w:val="pl-PL"/>
        </w:rPr>
        <w:t>na wniosek Rządu do Wielkiej Izby Trybunału.</w:t>
      </w:r>
    </w:p>
    <w:p w:rsidR="005E0786" w:rsidRPr="0029471A" w:rsidRDefault="005E0786">
      <w:pPr>
        <w:pStyle w:val="ClinContent"/>
        <w:rPr>
          <w:lang w:val="pl-PL"/>
        </w:rPr>
      </w:pPr>
      <w:r w:rsidRPr="0029471A">
        <w:rPr>
          <w:i/>
          <w:lang w:val="pl-PL"/>
        </w:rPr>
        <w:t>Prawo</w:t>
      </w:r>
      <w:r w:rsidRPr="0029471A">
        <w:rPr>
          <w:lang w:val="pl-PL"/>
        </w:rPr>
        <w:t xml:space="preserve"> – </w:t>
      </w:r>
      <w:r w:rsidR="00AE2405">
        <w:rPr>
          <w:lang w:val="pl-PL"/>
        </w:rPr>
        <w:t>a</w:t>
      </w:r>
      <w:bookmarkStart w:id="0" w:name="_GoBack"/>
      <w:bookmarkEnd w:id="0"/>
      <w:r w:rsidR="00A6264C" w:rsidRPr="0029471A">
        <w:rPr>
          <w:lang w:val="pl-PL"/>
        </w:rPr>
        <w:t>rt</w:t>
      </w:r>
      <w:r w:rsidRPr="0029471A">
        <w:rPr>
          <w:lang w:val="pl-PL"/>
        </w:rPr>
        <w:t>. 6 ust. 1 Konwencji</w:t>
      </w:r>
    </w:p>
    <w:p w:rsidR="005E0786" w:rsidRPr="005E0786" w:rsidRDefault="005E0786">
      <w:pPr>
        <w:pStyle w:val="ClinContent"/>
        <w:rPr>
          <w:lang w:val="pl-PL"/>
        </w:rPr>
      </w:pPr>
      <w:r w:rsidRPr="005E0786">
        <w:rPr>
          <w:lang w:val="pl-PL"/>
        </w:rPr>
        <w:t xml:space="preserve">(a) </w:t>
      </w:r>
      <w:r w:rsidRPr="00A6264C">
        <w:rPr>
          <w:i/>
          <w:lang w:val="pl-PL"/>
        </w:rPr>
        <w:t>Kwestionowane ograniczenie</w:t>
      </w:r>
      <w:r w:rsidRPr="005E0786">
        <w:rPr>
          <w:lang w:val="pl-PL"/>
        </w:rPr>
        <w:t xml:space="preserve"> – Przedmiotowe ograniczenie nie było </w:t>
      </w:r>
      <w:r w:rsidR="00677742">
        <w:rPr>
          <w:lang w:val="pl-PL"/>
        </w:rPr>
        <w:t>skutkiem</w:t>
      </w:r>
      <w:r w:rsidRPr="005E0786">
        <w:rPr>
          <w:lang w:val="pl-PL"/>
        </w:rPr>
        <w:t xml:space="preserve"> nieelastycznych </w:t>
      </w:r>
      <w:r>
        <w:rPr>
          <w:lang w:val="pl-PL"/>
        </w:rPr>
        <w:t xml:space="preserve">zasad procesowych: stosowne prawo i praktyka sądowa </w:t>
      </w:r>
      <w:r w:rsidR="00677742">
        <w:rPr>
          <w:lang w:val="pl-PL"/>
        </w:rPr>
        <w:t>przewidywały możliwość zmiany</w:t>
      </w:r>
      <w:r>
        <w:rPr>
          <w:lang w:val="pl-PL"/>
        </w:rPr>
        <w:t xml:space="preserve"> przedmiotu sporu; skarżąca mogła </w:t>
      </w:r>
      <w:r w:rsidR="00677742">
        <w:rPr>
          <w:lang w:val="pl-PL"/>
        </w:rPr>
        <w:t xml:space="preserve">również </w:t>
      </w:r>
      <w:r>
        <w:rPr>
          <w:lang w:val="pl-PL"/>
        </w:rPr>
        <w:t xml:space="preserve">złożyć „nadzwyczajną” kasację, ale zaniechała tego. </w:t>
      </w:r>
    </w:p>
    <w:p w:rsidR="006A177C" w:rsidRPr="006A177C" w:rsidRDefault="006A177C">
      <w:pPr>
        <w:pStyle w:val="ClinContent"/>
        <w:rPr>
          <w:lang w:val="pl-PL"/>
        </w:rPr>
      </w:pPr>
      <w:r w:rsidRPr="006A177C">
        <w:rPr>
          <w:lang w:val="pl-PL"/>
        </w:rPr>
        <w:t xml:space="preserve">(b) </w:t>
      </w:r>
      <w:r w:rsidRPr="006A177C">
        <w:rPr>
          <w:i/>
          <w:lang w:val="pl-PL"/>
        </w:rPr>
        <w:t xml:space="preserve">Czy realizowany cel </w:t>
      </w:r>
      <w:r>
        <w:rPr>
          <w:i/>
          <w:lang w:val="pl-PL"/>
        </w:rPr>
        <w:t xml:space="preserve">[ograniczenia] </w:t>
      </w:r>
      <w:r w:rsidRPr="006A177C">
        <w:rPr>
          <w:i/>
          <w:lang w:val="pl-PL"/>
        </w:rPr>
        <w:t>był uprawniony</w:t>
      </w:r>
      <w:r>
        <w:rPr>
          <w:lang w:val="pl-PL"/>
        </w:rPr>
        <w:t xml:space="preserve"> </w:t>
      </w:r>
      <w:r>
        <w:rPr>
          <w:i/>
          <w:lang w:val="pl-PL"/>
        </w:rPr>
        <w:t>–</w:t>
      </w:r>
      <w:r w:rsidRPr="006A177C">
        <w:rPr>
          <w:i/>
          <w:lang w:val="pl-PL"/>
        </w:rPr>
        <w:t xml:space="preserve"> </w:t>
      </w:r>
      <w:r>
        <w:rPr>
          <w:lang w:val="pl-PL"/>
        </w:rPr>
        <w:t>Główną funkcj</w:t>
      </w:r>
      <w:r w:rsidR="00F65E83">
        <w:rPr>
          <w:lang w:val="pl-PL"/>
        </w:rPr>
        <w:t>ą Sądu Najwyższego jest zapewnianie jednolitości stosowania prawa i równości</w:t>
      </w:r>
      <w:r>
        <w:rPr>
          <w:lang w:val="pl-PL"/>
        </w:rPr>
        <w:t xml:space="preserve"> przed sądami. A</w:t>
      </w:r>
      <w:r w:rsidR="004B2974">
        <w:rPr>
          <w:lang w:val="pl-PL"/>
        </w:rPr>
        <w:t> </w:t>
      </w:r>
      <w:r>
        <w:rPr>
          <w:lang w:val="pl-PL"/>
        </w:rPr>
        <w:t xml:space="preserve">zatem, ustanowienie szczególnego progu </w:t>
      </w:r>
      <w:r>
        <w:rPr>
          <w:i/>
          <w:lang w:val="pl-PL"/>
        </w:rPr>
        <w:t xml:space="preserve">ratione </w:t>
      </w:r>
      <w:proofErr w:type="spellStart"/>
      <w:r>
        <w:rPr>
          <w:i/>
          <w:lang w:val="pl-PL"/>
        </w:rPr>
        <w:t>valoris</w:t>
      </w:r>
      <w:proofErr w:type="spellEnd"/>
      <w:r>
        <w:rPr>
          <w:i/>
          <w:lang w:val="pl-PL"/>
        </w:rPr>
        <w:t xml:space="preserve"> </w:t>
      </w:r>
      <w:r>
        <w:rPr>
          <w:lang w:val="pl-PL"/>
        </w:rPr>
        <w:t>w uprawniony sposób zmierzało do zagwarantowania, by Sąd Najwyższy zajmował się tylko sprawami, których ranga odpowiada jego roli. Ponadto, kontrol</w:t>
      </w:r>
      <w:r w:rsidR="00905DF4">
        <w:rPr>
          <w:lang w:val="pl-PL"/>
        </w:rPr>
        <w:t>owanie</w:t>
      </w:r>
      <w:r>
        <w:rPr>
          <w:lang w:val="pl-PL"/>
        </w:rPr>
        <w:t xml:space="preserve"> przez ten sąd nieprawidłowości popełnianych przez sądy niższej instancji przy określaniu wartości </w:t>
      </w:r>
      <w:r w:rsidR="00905DF4">
        <w:rPr>
          <w:lang w:val="pl-PL"/>
        </w:rPr>
        <w:t xml:space="preserve">przedmiotu </w:t>
      </w:r>
      <w:r>
        <w:rPr>
          <w:lang w:val="pl-PL"/>
        </w:rPr>
        <w:t xml:space="preserve">sporu, </w:t>
      </w:r>
      <w:r w:rsidR="00FC51EB">
        <w:rPr>
          <w:lang w:val="pl-PL"/>
        </w:rPr>
        <w:t>ma</w:t>
      </w:r>
      <w:r w:rsidR="004B2974">
        <w:rPr>
          <w:lang w:val="pl-PL"/>
        </w:rPr>
        <w:t> </w:t>
      </w:r>
      <w:r w:rsidR="00F65E83">
        <w:rPr>
          <w:lang w:val="pl-PL"/>
        </w:rPr>
        <w:t xml:space="preserve">również </w:t>
      </w:r>
      <w:r>
        <w:rPr>
          <w:lang w:val="pl-PL"/>
        </w:rPr>
        <w:t>uprawnion</w:t>
      </w:r>
      <w:r w:rsidR="00F65E83">
        <w:rPr>
          <w:lang w:val="pl-PL"/>
        </w:rPr>
        <w:t>y cel: zasadę</w:t>
      </w:r>
      <w:r>
        <w:rPr>
          <w:lang w:val="pl-PL"/>
        </w:rPr>
        <w:t xml:space="preserve"> rządów prawa i </w:t>
      </w:r>
      <w:r w:rsidR="00F65E83">
        <w:rPr>
          <w:lang w:val="pl-PL"/>
        </w:rPr>
        <w:t>prawidłowy</w:t>
      </w:r>
      <w:r>
        <w:rPr>
          <w:lang w:val="pl-PL"/>
        </w:rPr>
        <w:t xml:space="preserve"> </w:t>
      </w:r>
      <w:r w:rsidR="00F65E83">
        <w:rPr>
          <w:lang w:val="pl-PL"/>
        </w:rPr>
        <w:t>wymiar</w:t>
      </w:r>
      <w:r>
        <w:rPr>
          <w:lang w:val="pl-PL"/>
        </w:rPr>
        <w:t xml:space="preserve"> sprawiedliwości. </w:t>
      </w:r>
    </w:p>
    <w:p w:rsidR="006A177C" w:rsidRPr="006A177C" w:rsidRDefault="006A177C">
      <w:pPr>
        <w:pStyle w:val="ClinContent"/>
        <w:rPr>
          <w:lang w:val="pl-PL"/>
        </w:rPr>
      </w:pPr>
      <w:r w:rsidRPr="006A177C">
        <w:rPr>
          <w:lang w:val="pl-PL"/>
        </w:rPr>
        <w:t xml:space="preserve">(c) </w:t>
      </w:r>
      <w:r w:rsidRPr="006A177C">
        <w:rPr>
          <w:i/>
          <w:lang w:val="pl-PL"/>
        </w:rPr>
        <w:t xml:space="preserve">Proporcjonalność tego kryterium </w:t>
      </w:r>
      <w:r w:rsidR="00677742">
        <w:rPr>
          <w:i/>
          <w:lang w:val="pl-PL"/>
        </w:rPr>
        <w:t xml:space="preserve">ograniczającego </w:t>
      </w:r>
      <w:r w:rsidRPr="006A177C">
        <w:rPr>
          <w:lang w:val="pl-PL"/>
        </w:rPr>
        <w:t>– W obecnej sprawie pozwane</w:t>
      </w:r>
      <w:r>
        <w:rPr>
          <w:lang w:val="pl-PL"/>
        </w:rPr>
        <w:t>mu Państwu należy przyznać szeroki margines oceny: (i) sprawa skarżącej została rozpoznana przez sądy dwóch instancji; (ii) sprawa nie podnosiła żadnych zagadnień dotyczących braku rzetelności; oraz (iii) rola Sądu Najwyższego była ograniczona do</w:t>
      </w:r>
      <w:r w:rsidR="004B2974">
        <w:rPr>
          <w:lang w:val="pl-PL"/>
        </w:rPr>
        <w:t> </w:t>
      </w:r>
      <w:r>
        <w:rPr>
          <w:lang w:val="pl-PL"/>
        </w:rPr>
        <w:t xml:space="preserve">kontrolowania prawidłowego stosowania prawa krajowego przez sądy niższych instancji. </w:t>
      </w:r>
    </w:p>
    <w:p w:rsidR="006A177C" w:rsidRPr="006A177C" w:rsidRDefault="006A177C">
      <w:pPr>
        <w:pStyle w:val="ClinContent"/>
        <w:rPr>
          <w:lang w:val="pl-PL"/>
        </w:rPr>
      </w:pPr>
      <w:r w:rsidRPr="006A177C">
        <w:rPr>
          <w:lang w:val="pl-PL"/>
        </w:rPr>
        <w:t xml:space="preserve">Z poniższych powodów margines </w:t>
      </w:r>
      <w:r w:rsidR="00F808CE">
        <w:rPr>
          <w:lang w:val="pl-PL"/>
        </w:rPr>
        <w:t>oceny</w:t>
      </w:r>
      <w:r w:rsidRPr="006A177C">
        <w:rPr>
          <w:lang w:val="pl-PL"/>
        </w:rPr>
        <w:t xml:space="preserve"> nie został przekroczony w obecnej sprawie:</w:t>
      </w:r>
    </w:p>
    <w:p w:rsidR="006A177C" w:rsidRPr="006A177C" w:rsidRDefault="006A177C">
      <w:pPr>
        <w:pStyle w:val="ClinContent"/>
        <w:rPr>
          <w:lang w:val="pl-PL"/>
        </w:rPr>
      </w:pPr>
      <w:r w:rsidRPr="006A177C">
        <w:rPr>
          <w:lang w:val="pl-PL"/>
        </w:rPr>
        <w:t xml:space="preserve">Po pierwsze, warunki dopuszczalności kasacji były przewidywalne. </w:t>
      </w:r>
      <w:r>
        <w:rPr>
          <w:lang w:val="pl-PL"/>
        </w:rPr>
        <w:t xml:space="preserve">Orzecznictwo Sądu Najwyższego było spójne i jasne: niezależnie od tego, czy zarzucany błąd można było przypisać sądom niższej instancji czy też jednej ze stron, gdy wartość przedmiotu sporu została bezprawnie zmieniona na zaawansowanym etapie postępowania, kasacja nie </w:t>
      </w:r>
      <w:r w:rsidR="00D211D9">
        <w:rPr>
          <w:lang w:val="pl-PL"/>
        </w:rPr>
        <w:t xml:space="preserve">była </w:t>
      </w:r>
      <w:r>
        <w:rPr>
          <w:lang w:val="pl-PL"/>
        </w:rPr>
        <w:t>dopuszczalna. Ponadto, prawo wymagało s</w:t>
      </w:r>
      <w:r w:rsidR="00254027">
        <w:rPr>
          <w:lang w:val="pl-PL"/>
        </w:rPr>
        <w:t>zczególnego</w:t>
      </w:r>
      <w:r>
        <w:rPr>
          <w:lang w:val="pl-PL"/>
        </w:rPr>
        <w:t xml:space="preserve"> postanowienia sądu w celu zmiany wartości przedmiotu sporu.  </w:t>
      </w:r>
    </w:p>
    <w:p w:rsidR="00E96BFD" w:rsidRPr="00E96BFD" w:rsidRDefault="00E96BFD">
      <w:pPr>
        <w:pStyle w:val="ClinContent"/>
        <w:rPr>
          <w:lang w:val="pl-PL"/>
        </w:rPr>
      </w:pPr>
      <w:r w:rsidRPr="00E96BFD">
        <w:rPr>
          <w:lang w:val="pl-PL"/>
        </w:rPr>
        <w:t xml:space="preserve">W obecnej sprawie, w czasie, gdy </w:t>
      </w:r>
      <w:r>
        <w:rPr>
          <w:lang w:val="pl-PL"/>
        </w:rPr>
        <w:t>można było wnioskować o wydanie takiego postanowienia, a także w czasie, gdy skarżąca o nie wnioskowała, była ona reprezentowana przez wykwalifikowanego adwokata praktykującego w Chorwacji, który</w:t>
      </w:r>
      <w:r w:rsidR="004B2974">
        <w:rPr>
          <w:lang w:val="pl-PL"/>
        </w:rPr>
        <w:t> </w:t>
      </w:r>
      <w:r>
        <w:rPr>
          <w:lang w:val="pl-PL"/>
        </w:rPr>
        <w:t xml:space="preserve">powinien </w:t>
      </w:r>
      <w:r w:rsidR="00017CD3">
        <w:rPr>
          <w:lang w:val="pl-PL"/>
        </w:rPr>
        <w:t xml:space="preserve">być obeznany </w:t>
      </w:r>
      <w:r>
        <w:rPr>
          <w:lang w:val="pl-PL"/>
        </w:rPr>
        <w:t xml:space="preserve">z prawem chorwackim i orzecznictwem sądów. </w:t>
      </w:r>
    </w:p>
    <w:p w:rsidR="00017CD3" w:rsidRPr="00017CD3" w:rsidRDefault="00D211D9">
      <w:pPr>
        <w:pStyle w:val="ClinContent"/>
        <w:rPr>
          <w:lang w:val="pl-PL"/>
        </w:rPr>
      </w:pPr>
      <w:r>
        <w:rPr>
          <w:lang w:val="pl-PL"/>
        </w:rPr>
        <w:t>Zważywszy na to</w:t>
      </w:r>
      <w:r w:rsidR="00017CD3" w:rsidRPr="00017CD3">
        <w:rPr>
          <w:lang w:val="pl-PL"/>
        </w:rPr>
        <w:t>, chociaż sądy niższych instancji zdawały się przyjmować nastę</w:t>
      </w:r>
      <w:r w:rsidR="00017CD3">
        <w:rPr>
          <w:lang w:val="pl-PL"/>
        </w:rPr>
        <w:t xml:space="preserve">pnie podwyższoną wartość przedmiotu sporu (przynajmniej na potrzeby wyliczenia opłat sądowych), skarżąca i jej adwokat </w:t>
      </w:r>
      <w:r w:rsidR="00F808CE">
        <w:rPr>
          <w:lang w:val="pl-PL"/>
        </w:rPr>
        <w:t>naj</w:t>
      </w:r>
      <w:r>
        <w:rPr>
          <w:lang w:val="pl-PL"/>
        </w:rPr>
        <w:t>wyraźnie</w:t>
      </w:r>
      <w:r w:rsidR="00F808CE">
        <w:rPr>
          <w:lang w:val="pl-PL"/>
        </w:rPr>
        <w:t>j</w:t>
      </w:r>
      <w:r>
        <w:rPr>
          <w:lang w:val="pl-PL"/>
        </w:rPr>
        <w:t xml:space="preserve"> </w:t>
      </w:r>
      <w:r w:rsidR="00017CD3">
        <w:rPr>
          <w:lang w:val="pl-PL"/>
        </w:rPr>
        <w:t>byli w stanie zdać sobie sprawę, że</w:t>
      </w:r>
      <w:r w:rsidR="004B2974">
        <w:rPr>
          <w:lang w:val="pl-PL"/>
        </w:rPr>
        <w:t> </w:t>
      </w:r>
      <w:r w:rsidR="00017CD3">
        <w:rPr>
          <w:lang w:val="pl-PL"/>
        </w:rPr>
        <w:t xml:space="preserve">spóźniona zmiana wartości przedmiotu sporu wykluczy dostęp do Sądu Najwyższego. </w:t>
      </w:r>
    </w:p>
    <w:p w:rsidR="00826E79" w:rsidRPr="00826E79" w:rsidRDefault="00826E79">
      <w:pPr>
        <w:pStyle w:val="ClinContent"/>
        <w:rPr>
          <w:lang w:val="pl-PL"/>
        </w:rPr>
      </w:pPr>
      <w:r w:rsidRPr="00826E79">
        <w:rPr>
          <w:lang w:val="pl-PL"/>
        </w:rPr>
        <w:t xml:space="preserve">Po drugie, błędy, które uniemożliwiły dostęp do Sądu Najwyższego, można </w:t>
      </w:r>
      <w:r w:rsidR="00A660C6">
        <w:rPr>
          <w:lang w:val="pl-PL"/>
        </w:rPr>
        <w:t xml:space="preserve">w pierwszej kolejności </w:t>
      </w:r>
      <w:r>
        <w:rPr>
          <w:lang w:val="pl-PL"/>
        </w:rPr>
        <w:t>i obiektywnie przypisać</w:t>
      </w:r>
      <w:r w:rsidR="00D211D9">
        <w:rPr>
          <w:lang w:val="pl-PL"/>
        </w:rPr>
        <w:t xml:space="preserve"> </w:t>
      </w:r>
      <w:r w:rsidR="00A660C6">
        <w:rPr>
          <w:lang w:val="pl-PL"/>
        </w:rPr>
        <w:t xml:space="preserve">skarżącej </w:t>
      </w:r>
      <w:r>
        <w:rPr>
          <w:lang w:val="pl-PL"/>
        </w:rPr>
        <w:t xml:space="preserve">reprezentowanej przez adwokata:   </w:t>
      </w:r>
    </w:p>
    <w:p w:rsidR="00826E79" w:rsidRPr="00826E79" w:rsidRDefault="00826E79">
      <w:pPr>
        <w:pStyle w:val="ClinContent"/>
        <w:rPr>
          <w:lang w:val="pl-PL"/>
        </w:rPr>
      </w:pPr>
      <w:r w:rsidRPr="00826E79">
        <w:rPr>
          <w:lang w:val="pl-PL"/>
        </w:rPr>
        <w:t>- fakt, że pierwszy adwokat skarżącej praktykował w Czarnogórze</w:t>
      </w:r>
      <w:r w:rsidR="00A660C6">
        <w:rPr>
          <w:lang w:val="pl-PL"/>
        </w:rPr>
        <w:t>,</w:t>
      </w:r>
      <w:r w:rsidRPr="00826E79">
        <w:rPr>
          <w:lang w:val="pl-PL"/>
        </w:rPr>
        <w:t xml:space="preserve"> a nie </w:t>
      </w:r>
      <w:r w:rsidR="00A660C6">
        <w:rPr>
          <w:lang w:val="pl-PL"/>
        </w:rPr>
        <w:t xml:space="preserve">w </w:t>
      </w:r>
      <w:r w:rsidRPr="00826E79">
        <w:rPr>
          <w:lang w:val="pl-PL"/>
        </w:rPr>
        <w:t xml:space="preserve">Chorwacji, </w:t>
      </w:r>
      <w:r w:rsidR="00A660C6">
        <w:rPr>
          <w:lang w:val="pl-PL"/>
        </w:rPr>
        <w:t>pozostawał</w:t>
      </w:r>
      <w:r>
        <w:rPr>
          <w:lang w:val="pl-PL"/>
        </w:rPr>
        <w:t xml:space="preserve"> wyłącznie w sferze jej własnego wyboru</w:t>
      </w:r>
      <w:r w:rsidR="00A660C6">
        <w:rPr>
          <w:lang w:val="pl-PL"/>
        </w:rPr>
        <w:t xml:space="preserve"> pełnomocnika procesowego</w:t>
      </w:r>
      <w:r>
        <w:rPr>
          <w:lang w:val="pl-PL"/>
        </w:rPr>
        <w:t xml:space="preserve">; oczywiste jest, że mogła skorzystać z usług adwokata chorwackiego, co też </w:t>
      </w:r>
      <w:r w:rsidR="00A660C6">
        <w:rPr>
          <w:lang w:val="pl-PL"/>
        </w:rPr>
        <w:t>faktycznie</w:t>
      </w:r>
      <w:r>
        <w:rPr>
          <w:lang w:val="pl-PL"/>
        </w:rPr>
        <w:t xml:space="preserve"> zrobiła później;  </w:t>
      </w:r>
    </w:p>
    <w:p w:rsidR="00826E79" w:rsidRPr="00826E79" w:rsidRDefault="00826E79">
      <w:pPr>
        <w:pStyle w:val="ClinContent"/>
        <w:rPr>
          <w:lang w:val="pl-PL"/>
        </w:rPr>
      </w:pPr>
      <w:r w:rsidRPr="00826E79">
        <w:rPr>
          <w:lang w:val="pl-PL"/>
        </w:rPr>
        <w:t xml:space="preserve">- zarzucana dysproporcja między wartością wskazaną w powództwie a rzeczywistą wartością </w:t>
      </w:r>
      <w:r>
        <w:rPr>
          <w:lang w:val="pl-PL"/>
        </w:rPr>
        <w:t>przedmiotowej nieruchomości jest bez znaczenia; skarżąca była uprawniona do określenia wartości przedmiotu sporu w kwocie</w:t>
      </w:r>
      <w:r w:rsidR="00A660C6">
        <w:rPr>
          <w:lang w:val="pl-PL"/>
        </w:rPr>
        <w:t xml:space="preserve"> niekoniecznie odpowiadającej</w:t>
      </w:r>
      <w:r>
        <w:rPr>
          <w:lang w:val="pl-PL"/>
        </w:rPr>
        <w:t xml:space="preserve"> rynkowej wartości nieruchomości; </w:t>
      </w:r>
    </w:p>
    <w:p w:rsidR="00826E79" w:rsidRPr="00826E79" w:rsidRDefault="00826E79">
      <w:pPr>
        <w:pStyle w:val="ClinContent"/>
        <w:rPr>
          <w:lang w:val="pl-PL"/>
        </w:rPr>
      </w:pPr>
      <w:r w:rsidRPr="00826E79">
        <w:rPr>
          <w:lang w:val="pl-PL"/>
        </w:rPr>
        <w:lastRenderedPageBreak/>
        <w:t>- do czasu przedstawienia merytorycznego stanowiska strony pozwanej istniała możliwość zmiany wartości wskazanej pierwotnie, ale skarżąca nie uczyniła tego, choć</w:t>
      </w:r>
      <w:r w:rsidR="004B2974">
        <w:rPr>
          <w:lang w:val="pl-PL"/>
        </w:rPr>
        <w:t> </w:t>
      </w:r>
      <w:r w:rsidRPr="00826E79">
        <w:rPr>
          <w:lang w:val="pl-PL"/>
        </w:rPr>
        <w:t>była już reprezentowana przez adwokata</w:t>
      </w:r>
      <w:r w:rsidR="00A660C6" w:rsidRPr="00A660C6">
        <w:rPr>
          <w:lang w:val="pl-PL"/>
        </w:rPr>
        <w:t xml:space="preserve"> </w:t>
      </w:r>
      <w:r w:rsidR="00A660C6" w:rsidRPr="00826E79">
        <w:rPr>
          <w:lang w:val="pl-PL"/>
        </w:rPr>
        <w:t>chorwackiego</w:t>
      </w:r>
      <w:r w:rsidRPr="00826E79">
        <w:rPr>
          <w:lang w:val="pl-PL"/>
        </w:rPr>
        <w:t xml:space="preserve">;  </w:t>
      </w:r>
    </w:p>
    <w:p w:rsidR="00826E79" w:rsidRPr="00826E79" w:rsidRDefault="00A660C6">
      <w:pPr>
        <w:pStyle w:val="ClinContent"/>
        <w:rPr>
          <w:lang w:val="pl-PL"/>
        </w:rPr>
      </w:pPr>
      <w:r>
        <w:rPr>
          <w:lang w:val="pl-PL"/>
        </w:rPr>
        <w:t>- zmiana adwokata przez skarżącą</w:t>
      </w:r>
      <w:r w:rsidR="00826E79" w:rsidRPr="00826E79">
        <w:rPr>
          <w:lang w:val="pl-PL"/>
        </w:rPr>
        <w:t xml:space="preserve"> nie uniemożliwiała nowemu adwokatowi </w:t>
      </w:r>
      <w:r w:rsidR="00826E79">
        <w:rPr>
          <w:lang w:val="pl-PL"/>
        </w:rPr>
        <w:t xml:space="preserve">wnioskowania </w:t>
      </w:r>
      <w:r w:rsidR="00254027">
        <w:rPr>
          <w:lang w:val="pl-PL"/>
        </w:rPr>
        <w:t xml:space="preserve">osobiście o zmianę wartości przedmiotu sporu wcześniej </w:t>
      </w:r>
      <w:r w:rsidR="00A6264C">
        <w:rPr>
          <w:lang w:val="pl-PL"/>
        </w:rPr>
        <w:t>–</w:t>
      </w:r>
      <w:r w:rsidR="00254027">
        <w:rPr>
          <w:lang w:val="pl-PL"/>
        </w:rPr>
        <w:t xml:space="preserve"> na pierwszej rozprawie dotyczącej istoty sprawy. </w:t>
      </w:r>
    </w:p>
    <w:p w:rsidR="00254027" w:rsidRPr="00254027" w:rsidRDefault="00254027">
      <w:pPr>
        <w:pStyle w:val="ClinContent"/>
        <w:rPr>
          <w:lang w:val="pl-PL"/>
        </w:rPr>
      </w:pPr>
      <w:r w:rsidRPr="00254027">
        <w:rPr>
          <w:lang w:val="pl-PL"/>
        </w:rPr>
        <w:t xml:space="preserve">W oparciu o pełną znajomość istotnych </w:t>
      </w:r>
      <w:r>
        <w:rPr>
          <w:lang w:val="pl-PL"/>
        </w:rPr>
        <w:t>dla s</w:t>
      </w:r>
      <w:r w:rsidRPr="00254027">
        <w:rPr>
          <w:lang w:val="pl-PL"/>
        </w:rPr>
        <w:t>p</w:t>
      </w:r>
      <w:r>
        <w:rPr>
          <w:lang w:val="pl-PL"/>
        </w:rPr>
        <w:t>r</w:t>
      </w:r>
      <w:r w:rsidRPr="00254027">
        <w:rPr>
          <w:lang w:val="pl-PL"/>
        </w:rPr>
        <w:t xml:space="preserve">awy </w:t>
      </w:r>
      <w:r>
        <w:rPr>
          <w:lang w:val="pl-PL"/>
        </w:rPr>
        <w:t xml:space="preserve">faktów, wykładnia </w:t>
      </w:r>
      <w:r w:rsidR="00A660C6">
        <w:rPr>
          <w:lang w:val="pl-PL"/>
        </w:rPr>
        <w:t xml:space="preserve">stosownego </w:t>
      </w:r>
      <w:r>
        <w:rPr>
          <w:lang w:val="pl-PL"/>
        </w:rPr>
        <w:t xml:space="preserve">prawa krajowego przez Sąd Najwyższy nie wydaje się arbitralna ani oczywiście nieuzasadniona. </w:t>
      </w:r>
    </w:p>
    <w:p w:rsidR="00254027" w:rsidRPr="00254027" w:rsidRDefault="00254027">
      <w:pPr>
        <w:pStyle w:val="ClinContent"/>
        <w:rPr>
          <w:lang w:val="pl-PL"/>
        </w:rPr>
      </w:pPr>
      <w:r w:rsidRPr="00254027">
        <w:rPr>
          <w:lang w:val="pl-PL"/>
        </w:rPr>
        <w:t xml:space="preserve">Błąd proceduralny skarżącej nie może być usprawiedliwiony </w:t>
      </w:r>
      <w:r>
        <w:rPr>
          <w:lang w:val="pl-PL"/>
        </w:rPr>
        <w:t xml:space="preserve">błędem popełnionym następnie przez sądy, gdyż byłoby to wbrew zasadzie praworządności i wymogowi starannego i właściwego prowadzenia postępowania oraz dokładnego stosowania właściwych zasad proceduralnych. </w:t>
      </w:r>
    </w:p>
    <w:p w:rsidR="00254027" w:rsidRPr="00254027" w:rsidRDefault="00254027">
      <w:pPr>
        <w:pStyle w:val="ClinContent"/>
        <w:rPr>
          <w:lang w:val="pl-PL"/>
        </w:rPr>
      </w:pPr>
      <w:r>
        <w:rPr>
          <w:lang w:val="pl-PL"/>
        </w:rPr>
        <w:t>S</w:t>
      </w:r>
      <w:r w:rsidRPr="00254027">
        <w:rPr>
          <w:lang w:val="pl-PL"/>
        </w:rPr>
        <w:t xml:space="preserve">karżąca nie mogła </w:t>
      </w:r>
      <w:r>
        <w:rPr>
          <w:lang w:val="pl-PL"/>
        </w:rPr>
        <w:t xml:space="preserve">wywodzić </w:t>
      </w:r>
      <w:r w:rsidR="00A660C6">
        <w:rPr>
          <w:lang w:val="pl-PL"/>
        </w:rPr>
        <w:t xml:space="preserve">żadnego </w:t>
      </w:r>
      <w:r w:rsidRPr="00254027">
        <w:rPr>
          <w:lang w:val="pl-PL"/>
        </w:rPr>
        <w:t xml:space="preserve">uprawnionego oczekiwania </w:t>
      </w:r>
      <w:r>
        <w:rPr>
          <w:lang w:val="pl-PL"/>
        </w:rPr>
        <w:t xml:space="preserve">z faktu zwiększenia kosztów sądowych, które opłaciła, będącego konsekwencją </w:t>
      </w:r>
      <w:r w:rsidR="00A660C6">
        <w:rPr>
          <w:lang w:val="pl-PL"/>
        </w:rPr>
        <w:t xml:space="preserve">jedynie </w:t>
      </w:r>
      <w:r>
        <w:rPr>
          <w:lang w:val="pl-PL"/>
        </w:rPr>
        <w:t xml:space="preserve">jej własnego działania, a których zwrotu mogła była dochodzić. </w:t>
      </w:r>
    </w:p>
    <w:p w:rsidR="00254027" w:rsidRPr="00254027" w:rsidRDefault="00254027">
      <w:pPr>
        <w:pStyle w:val="ClinContent"/>
        <w:rPr>
          <w:lang w:val="pl-PL"/>
        </w:rPr>
      </w:pPr>
      <w:r w:rsidRPr="00254027">
        <w:rPr>
          <w:lang w:val="pl-PL"/>
        </w:rPr>
        <w:t>Po trzecie, nie można twierdzić, że Sąd Najwyższy</w:t>
      </w:r>
      <w:r w:rsidR="00A6264C">
        <w:rPr>
          <w:lang w:val="pl-PL"/>
        </w:rPr>
        <w:t xml:space="preserve">, </w:t>
      </w:r>
      <w:r w:rsidR="00A6264C" w:rsidRPr="00254027">
        <w:rPr>
          <w:lang w:val="pl-PL"/>
        </w:rPr>
        <w:t>uznając kasację skarżącej za</w:t>
      </w:r>
      <w:r w:rsidR="004B2974">
        <w:rPr>
          <w:lang w:val="pl-PL"/>
        </w:rPr>
        <w:t> </w:t>
      </w:r>
      <w:r w:rsidR="00A6264C" w:rsidRPr="00254027">
        <w:rPr>
          <w:lang w:val="pl-PL"/>
        </w:rPr>
        <w:t xml:space="preserve">niedopuszczalną, </w:t>
      </w:r>
      <w:r>
        <w:rPr>
          <w:lang w:val="pl-PL"/>
        </w:rPr>
        <w:t>stosował nadmiernie formalistyczne podejście. W sytuacji, w</w:t>
      </w:r>
      <w:r w:rsidR="004B2974">
        <w:rPr>
          <w:lang w:val="pl-PL"/>
        </w:rPr>
        <w:t> </w:t>
      </w:r>
      <w:r>
        <w:rPr>
          <w:lang w:val="pl-PL"/>
        </w:rPr>
        <w:t>której</w:t>
      </w:r>
      <w:r w:rsidR="004B2974">
        <w:rPr>
          <w:lang w:val="pl-PL"/>
        </w:rPr>
        <w:t> </w:t>
      </w:r>
      <w:r>
        <w:rPr>
          <w:lang w:val="pl-PL"/>
        </w:rPr>
        <w:t>prawo krajowe umożliwiało mu filtrowanie nap</w:t>
      </w:r>
      <w:r w:rsidR="00A660C6">
        <w:rPr>
          <w:lang w:val="pl-PL"/>
        </w:rPr>
        <w:t>ływających do niego skarg, uznanie</w:t>
      </w:r>
      <w:r>
        <w:rPr>
          <w:lang w:val="pl-PL"/>
        </w:rPr>
        <w:t>, że sąd ten powinien być związany błędami popełnianymi przez sądy niższych instancji</w:t>
      </w:r>
      <w:r w:rsidR="00A660C6">
        <w:rPr>
          <w:lang w:val="pl-PL"/>
        </w:rPr>
        <w:t>,</w:t>
      </w:r>
      <w:r>
        <w:rPr>
          <w:lang w:val="pl-PL"/>
        </w:rPr>
        <w:t xml:space="preserve"> poważnie utrudniłoby </w:t>
      </w:r>
      <w:r w:rsidR="00A660C6">
        <w:rPr>
          <w:lang w:val="pl-PL"/>
        </w:rPr>
        <w:t xml:space="preserve">jego </w:t>
      </w:r>
      <w:r>
        <w:rPr>
          <w:lang w:val="pl-PL"/>
        </w:rPr>
        <w:t xml:space="preserve">pracę i uniemożliwiłoby wypełnianie jego szczególnej roli. </w:t>
      </w:r>
    </w:p>
    <w:p w:rsidR="00254027" w:rsidRPr="00254027" w:rsidRDefault="00254027">
      <w:pPr>
        <w:pStyle w:val="ClinContent"/>
        <w:rPr>
          <w:lang w:val="pl-PL"/>
        </w:rPr>
      </w:pPr>
      <w:r w:rsidRPr="00254027">
        <w:rPr>
          <w:lang w:val="pl-PL"/>
        </w:rPr>
        <w:t xml:space="preserve">Mając na względzie brak powodów do poddawania w wątpliwość ram proceduralnych ustanowionych prawem do </w:t>
      </w:r>
      <w:r>
        <w:rPr>
          <w:lang w:val="pl-PL"/>
        </w:rPr>
        <w:t xml:space="preserve">wskazywania wartości przedmiotu sporu, nie można mówić, że stosowanie </w:t>
      </w:r>
      <w:r w:rsidR="00765189">
        <w:rPr>
          <w:lang w:val="pl-PL"/>
        </w:rPr>
        <w:t>obligatoryjnych</w:t>
      </w:r>
      <w:r>
        <w:rPr>
          <w:lang w:val="pl-PL"/>
        </w:rPr>
        <w:t xml:space="preserve"> przepisów stanowiło nadmierny formalizm. </w:t>
      </w:r>
      <w:r w:rsidR="00765189">
        <w:rPr>
          <w:lang w:val="pl-PL"/>
        </w:rPr>
        <w:t>Przeciwnie, wzmacniało to pewność prawną i prawidłowy wymiar sprawiedliwości: Sąd Najwyższy po</w:t>
      </w:r>
      <w:r w:rsidR="004B2974">
        <w:rPr>
          <w:lang w:val="pl-PL"/>
        </w:rPr>
        <w:t> </w:t>
      </w:r>
      <w:r w:rsidR="00765189">
        <w:rPr>
          <w:lang w:val="pl-PL"/>
        </w:rPr>
        <w:t>prostu przywrócił zasadę rządów prawa po błędach</w:t>
      </w:r>
      <w:r w:rsidR="00B25D1D">
        <w:rPr>
          <w:lang w:val="pl-PL"/>
        </w:rPr>
        <w:t>,</w:t>
      </w:r>
      <w:r w:rsidR="00765189">
        <w:rPr>
          <w:lang w:val="pl-PL"/>
        </w:rPr>
        <w:t xml:space="preserve"> popełnionych przez skarżącą i</w:t>
      </w:r>
      <w:r w:rsidR="004B2974">
        <w:rPr>
          <w:lang w:val="pl-PL"/>
        </w:rPr>
        <w:t> </w:t>
      </w:r>
      <w:r w:rsidR="00765189">
        <w:rPr>
          <w:lang w:val="pl-PL"/>
        </w:rPr>
        <w:t xml:space="preserve">dwa sądy </w:t>
      </w:r>
      <w:r w:rsidR="006728EE">
        <w:rPr>
          <w:lang w:val="pl-PL"/>
        </w:rPr>
        <w:t>niższej</w:t>
      </w:r>
      <w:r w:rsidR="00765189">
        <w:rPr>
          <w:lang w:val="pl-PL"/>
        </w:rPr>
        <w:t xml:space="preserve"> instancji</w:t>
      </w:r>
      <w:r w:rsidR="00B25D1D">
        <w:rPr>
          <w:lang w:val="pl-PL"/>
        </w:rPr>
        <w:t>,</w:t>
      </w:r>
      <w:r w:rsidR="00765189">
        <w:rPr>
          <w:lang w:val="pl-PL"/>
        </w:rPr>
        <w:t xml:space="preserve"> w kwestii mającej wpływ na jego</w:t>
      </w:r>
      <w:r w:rsidR="00A660C6">
        <w:rPr>
          <w:lang w:val="pl-PL"/>
        </w:rPr>
        <w:t xml:space="preserve"> kognicję</w:t>
      </w:r>
      <w:r w:rsidR="00765189">
        <w:rPr>
          <w:lang w:val="pl-PL"/>
        </w:rPr>
        <w:t>. Ponieważ zasada praworządności stanowi fundamentalną zasadę demokracji i Konwencji, nie można z</w:t>
      </w:r>
      <w:r w:rsidR="004B2974">
        <w:rPr>
          <w:lang w:val="pl-PL"/>
        </w:rPr>
        <w:t> </w:t>
      </w:r>
      <w:r w:rsidR="00765189">
        <w:rPr>
          <w:lang w:val="pl-PL"/>
        </w:rPr>
        <w:t xml:space="preserve">Konwencji lub w inny sposób </w:t>
      </w:r>
      <w:r w:rsidR="00795D8B">
        <w:rPr>
          <w:lang w:val="pl-PL"/>
        </w:rPr>
        <w:t xml:space="preserve">wywodzić </w:t>
      </w:r>
      <w:r w:rsidR="00765189">
        <w:rPr>
          <w:lang w:val="pl-PL"/>
        </w:rPr>
        <w:t>oczekiwania, że Sąd Najwyższy zignoruje lub</w:t>
      </w:r>
      <w:r w:rsidR="004B2974">
        <w:rPr>
          <w:lang w:val="pl-PL"/>
        </w:rPr>
        <w:t> </w:t>
      </w:r>
      <w:r w:rsidR="00765189">
        <w:rPr>
          <w:lang w:val="pl-PL"/>
        </w:rPr>
        <w:t xml:space="preserve">przeoczy oczywiste nieprawidłowości proceduralne. </w:t>
      </w:r>
    </w:p>
    <w:p w:rsidR="0001067C" w:rsidRPr="00F808CE" w:rsidRDefault="00357EA6">
      <w:pPr>
        <w:pStyle w:val="ClinContent"/>
        <w:rPr>
          <w:lang w:val="pl-PL"/>
        </w:rPr>
      </w:pPr>
      <w:r w:rsidRPr="00F808CE">
        <w:rPr>
          <w:lang w:val="pl-PL"/>
        </w:rPr>
        <w:t>***</w:t>
      </w:r>
    </w:p>
    <w:p w:rsidR="006728EE" w:rsidRPr="006728EE" w:rsidRDefault="006728EE">
      <w:pPr>
        <w:pStyle w:val="ClinContent"/>
        <w:rPr>
          <w:lang w:val="pl-PL"/>
        </w:rPr>
      </w:pPr>
      <w:r w:rsidRPr="006728EE">
        <w:rPr>
          <w:lang w:val="pl-PL"/>
        </w:rPr>
        <w:t xml:space="preserve">W podsumowaniu – nie doszło do nieproporcjonalnego </w:t>
      </w:r>
      <w:r>
        <w:rPr>
          <w:lang w:val="pl-PL"/>
        </w:rPr>
        <w:t xml:space="preserve">ograniczenia samej istoty prawa dostępu do sądu skarżącej ani też do przekroczenia marginesu oceny państwa. </w:t>
      </w:r>
    </w:p>
    <w:p w:rsidR="006728EE" w:rsidRPr="00FC51EB" w:rsidRDefault="006728EE">
      <w:pPr>
        <w:pStyle w:val="ClinContent"/>
        <w:rPr>
          <w:lang w:val="pl-PL"/>
        </w:rPr>
      </w:pPr>
      <w:r w:rsidRPr="00F9442E">
        <w:rPr>
          <w:i/>
          <w:lang w:val="pl-PL"/>
        </w:rPr>
        <w:t>Rozstrzygnięcie</w:t>
      </w:r>
      <w:r w:rsidRPr="00FC51EB">
        <w:rPr>
          <w:lang w:val="pl-PL"/>
        </w:rPr>
        <w:t xml:space="preserve">: brak naruszenia (jednomyślnie). </w:t>
      </w:r>
    </w:p>
    <w:p w:rsidR="0001067C" w:rsidRPr="0029471A" w:rsidRDefault="0001067C">
      <w:pPr>
        <w:pBdr>
          <w:bottom w:val="single" w:sz="8" w:space="1" w:color="auto"/>
        </w:pBdr>
        <w:rPr>
          <w:lang w:val="pl-PL"/>
        </w:rPr>
      </w:pPr>
    </w:p>
    <w:p w:rsidR="00E4482A" w:rsidRPr="0074070E" w:rsidRDefault="00357EA6" w:rsidP="00E4482A">
      <w:pPr>
        <w:pStyle w:val="ClinEditionNumber"/>
        <w:jc w:val="center"/>
        <w:rPr>
          <w:lang w:val="pl-PL"/>
        </w:rPr>
      </w:pPr>
      <w:r w:rsidRPr="00E4482A">
        <w:rPr>
          <w:lang w:val="pl-PL"/>
        </w:rPr>
        <w:t xml:space="preserve">© </w:t>
      </w:r>
      <w:proofErr w:type="spellStart"/>
      <w:r w:rsidRPr="00E4482A">
        <w:rPr>
          <w:lang w:val="pl-PL"/>
        </w:rPr>
        <w:t>Council</w:t>
      </w:r>
      <w:proofErr w:type="spellEnd"/>
      <w:r w:rsidRPr="00E4482A">
        <w:rPr>
          <w:lang w:val="pl-PL"/>
        </w:rPr>
        <w:t xml:space="preserve"> of Europe/</w:t>
      </w:r>
      <w:proofErr w:type="spellStart"/>
      <w:r w:rsidRPr="00E4482A">
        <w:rPr>
          <w:lang w:val="pl-PL"/>
        </w:rPr>
        <w:t>European</w:t>
      </w:r>
      <w:proofErr w:type="spellEnd"/>
      <w:r w:rsidRPr="00E4482A">
        <w:rPr>
          <w:lang w:val="pl-PL"/>
        </w:rPr>
        <w:t xml:space="preserve"> Court of Human </w:t>
      </w:r>
      <w:proofErr w:type="spellStart"/>
      <w:r w:rsidRPr="00E4482A">
        <w:rPr>
          <w:lang w:val="pl-PL"/>
        </w:rPr>
        <w:t>Rights</w:t>
      </w:r>
      <w:proofErr w:type="spellEnd"/>
      <w:r w:rsidRPr="00E4482A">
        <w:rPr>
          <w:lang w:val="pl-PL"/>
        </w:rPr>
        <w:br/>
      </w:r>
      <w:r w:rsidR="00E4482A" w:rsidRPr="0074070E">
        <w:rPr>
          <w:lang w:val="pl-PL"/>
        </w:rPr>
        <w:t>Niniejsze streszczenie przygotowane przez Kancelarię nie wiąże Trybunału.</w:t>
      </w:r>
    </w:p>
    <w:p w:rsidR="00E4482A" w:rsidRPr="0074070E" w:rsidRDefault="00E4482A" w:rsidP="00E4482A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10" w:history="1">
        <w:r w:rsidRPr="0074070E">
          <w:rPr>
            <w:rStyle w:val="Hipercze"/>
            <w:lang w:val="pl-PL"/>
          </w:rPr>
          <w:t>Not informacyjnych nt. orzecznictwa</w:t>
        </w:r>
      </w:hyperlink>
    </w:p>
    <w:p w:rsidR="0001067C" w:rsidRPr="00E4482A" w:rsidRDefault="0001067C" w:rsidP="005941A3">
      <w:pPr>
        <w:pStyle w:val="ClinFooter"/>
        <w:jc w:val="left"/>
        <w:rPr>
          <w:lang w:val="pl-PL"/>
        </w:rPr>
      </w:pPr>
    </w:p>
    <w:sectPr w:rsidR="0001067C" w:rsidRPr="00E4482A" w:rsidSect="004A5B5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1A6" w:rsidRDefault="003801A6" w:rsidP="00C63262">
      <w:r>
        <w:separator/>
      </w:r>
    </w:p>
  </w:endnote>
  <w:endnote w:type="continuationSeparator" w:id="0">
    <w:p w:rsidR="003801A6" w:rsidRDefault="003801A6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E88" w:rsidRDefault="00587E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E88" w:rsidRDefault="00587E8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1A6" w:rsidRDefault="003801A6" w:rsidP="00C63262">
      <w:r>
        <w:separator/>
      </w:r>
    </w:p>
  </w:footnote>
  <w:footnote w:type="continuationSeparator" w:id="0">
    <w:p w:rsidR="003801A6" w:rsidRDefault="003801A6" w:rsidP="00C63262">
      <w:r>
        <w:continuationSeparator/>
      </w:r>
    </w:p>
  </w:footnote>
  <w:footnote w:id="1">
    <w:p w:rsidR="00CF47E3" w:rsidRPr="00CF47E3" w:rsidRDefault="00CF47E3" w:rsidP="00CF47E3">
      <w:pPr>
        <w:pStyle w:val="Tekstprzypisudolnego"/>
        <w:spacing w:after="120"/>
        <w:jc w:val="both"/>
        <w:rPr>
          <w:lang w:val="pl-PL"/>
        </w:rPr>
      </w:pPr>
      <w:r>
        <w:rPr>
          <w:rStyle w:val="Odwoanieprzypisudolnego"/>
        </w:rPr>
        <w:footnoteRef/>
      </w:r>
      <w:r w:rsidRPr="00CF47E3">
        <w:rPr>
          <w:lang w:val="pl-PL"/>
        </w:rPr>
        <w:t xml:space="preserve"> </w:t>
      </w:r>
      <w:r w:rsidRPr="00760988">
        <w:rPr>
          <w:rFonts w:asciiTheme="minorHAnsi" w:hAnsiTheme="minorHAnsi"/>
          <w:lang w:val="pl-PL"/>
        </w:rPr>
        <w:t>Konwencja o ochronie praw człowieka i podstawowych wolności, sporządzona w Rzymie dnia 4 listopada 1950 r. (Dz. U. z 1993 r. Nr 61, poz. 284, z późn. zm.)</w:t>
      </w:r>
      <w:r>
        <w:rPr>
          <w:rFonts w:asciiTheme="minorHAnsi" w:hAnsiTheme="minorHAnsi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E88" w:rsidRDefault="00587E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AE2405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00CE1"/>
    <w:rsid w:val="0001067C"/>
    <w:rsid w:val="00011273"/>
    <w:rsid w:val="00017CD3"/>
    <w:rsid w:val="00037CCC"/>
    <w:rsid w:val="000765CF"/>
    <w:rsid w:val="00097888"/>
    <w:rsid w:val="000F13B5"/>
    <w:rsid w:val="00107377"/>
    <w:rsid w:val="001378B1"/>
    <w:rsid w:val="00143602"/>
    <w:rsid w:val="001769E4"/>
    <w:rsid w:val="00186560"/>
    <w:rsid w:val="00187847"/>
    <w:rsid w:val="001B32EF"/>
    <w:rsid w:val="001C46BA"/>
    <w:rsid w:val="00212E83"/>
    <w:rsid w:val="0023651A"/>
    <w:rsid w:val="00254027"/>
    <w:rsid w:val="0029471A"/>
    <w:rsid w:val="002966E7"/>
    <w:rsid w:val="002C4B37"/>
    <w:rsid w:val="002E088D"/>
    <w:rsid w:val="0030264F"/>
    <w:rsid w:val="003450B3"/>
    <w:rsid w:val="00357EA6"/>
    <w:rsid w:val="003801A6"/>
    <w:rsid w:val="00386958"/>
    <w:rsid w:val="003A64A6"/>
    <w:rsid w:val="003C29B8"/>
    <w:rsid w:val="003D7BB3"/>
    <w:rsid w:val="004044D2"/>
    <w:rsid w:val="00405DA3"/>
    <w:rsid w:val="0046453F"/>
    <w:rsid w:val="004A5B52"/>
    <w:rsid w:val="004A7BEF"/>
    <w:rsid w:val="004B2974"/>
    <w:rsid w:val="004D278A"/>
    <w:rsid w:val="004D568D"/>
    <w:rsid w:val="004E1037"/>
    <w:rsid w:val="0052092D"/>
    <w:rsid w:val="00540D75"/>
    <w:rsid w:val="005514E5"/>
    <w:rsid w:val="00587E88"/>
    <w:rsid w:val="005941A3"/>
    <w:rsid w:val="005A1C8C"/>
    <w:rsid w:val="005E0786"/>
    <w:rsid w:val="006028A1"/>
    <w:rsid w:val="00631A28"/>
    <w:rsid w:val="006728EE"/>
    <w:rsid w:val="00676DAC"/>
    <w:rsid w:val="00677742"/>
    <w:rsid w:val="006A177C"/>
    <w:rsid w:val="006A36AD"/>
    <w:rsid w:val="006C1D96"/>
    <w:rsid w:val="0071773F"/>
    <w:rsid w:val="00765189"/>
    <w:rsid w:val="00774515"/>
    <w:rsid w:val="00795D8B"/>
    <w:rsid w:val="007B358F"/>
    <w:rsid w:val="00826E79"/>
    <w:rsid w:val="00834C23"/>
    <w:rsid w:val="008624EA"/>
    <w:rsid w:val="008662C4"/>
    <w:rsid w:val="00895EF3"/>
    <w:rsid w:val="008C5D13"/>
    <w:rsid w:val="008C64D5"/>
    <w:rsid w:val="00903D38"/>
    <w:rsid w:val="00905DF4"/>
    <w:rsid w:val="00926327"/>
    <w:rsid w:val="009B3B2C"/>
    <w:rsid w:val="009E3EF0"/>
    <w:rsid w:val="009F3E61"/>
    <w:rsid w:val="00A01052"/>
    <w:rsid w:val="00A04D9C"/>
    <w:rsid w:val="00A258BB"/>
    <w:rsid w:val="00A33541"/>
    <w:rsid w:val="00A45616"/>
    <w:rsid w:val="00A6264C"/>
    <w:rsid w:val="00A660C6"/>
    <w:rsid w:val="00AC7726"/>
    <w:rsid w:val="00AE2405"/>
    <w:rsid w:val="00B25D1D"/>
    <w:rsid w:val="00B80CA0"/>
    <w:rsid w:val="00B85770"/>
    <w:rsid w:val="00BD4280"/>
    <w:rsid w:val="00BE1545"/>
    <w:rsid w:val="00BF1CD9"/>
    <w:rsid w:val="00C37433"/>
    <w:rsid w:val="00C63262"/>
    <w:rsid w:val="00C72355"/>
    <w:rsid w:val="00C93CFB"/>
    <w:rsid w:val="00CE594D"/>
    <w:rsid w:val="00CF47E3"/>
    <w:rsid w:val="00CF7BA6"/>
    <w:rsid w:val="00D211D9"/>
    <w:rsid w:val="00D42086"/>
    <w:rsid w:val="00D425B3"/>
    <w:rsid w:val="00D8004B"/>
    <w:rsid w:val="00DF33BD"/>
    <w:rsid w:val="00E26DAA"/>
    <w:rsid w:val="00E4482A"/>
    <w:rsid w:val="00E55491"/>
    <w:rsid w:val="00E83DB6"/>
    <w:rsid w:val="00E96BFD"/>
    <w:rsid w:val="00EA53E7"/>
    <w:rsid w:val="00EC54A1"/>
    <w:rsid w:val="00F508C9"/>
    <w:rsid w:val="00F50CCD"/>
    <w:rsid w:val="00F5247C"/>
    <w:rsid w:val="00F56138"/>
    <w:rsid w:val="00F65E83"/>
    <w:rsid w:val="00F808CE"/>
    <w:rsid w:val="00F9442E"/>
    <w:rsid w:val="00FA29ED"/>
    <w:rsid w:val="00FB2C8C"/>
    <w:rsid w:val="00FC51EB"/>
    <w:rsid w:val="00FC7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BD4280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BD4280"/>
  </w:style>
  <w:style w:type="character" w:customStyle="1" w:styleId="object">
    <w:name w:val="object"/>
    <w:basedOn w:val="Domylnaczcionkaakapitu"/>
    <w:rsid w:val="00BD4280"/>
  </w:style>
  <w:style w:type="character" w:styleId="UyteHipercze">
    <w:name w:val="FollowedHyperlink"/>
    <w:basedOn w:val="Domylnaczcionkaakapitu"/>
    <w:semiHidden/>
    <w:unhideWhenUsed/>
    <w:rsid w:val="007B358F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BD4280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BD4280"/>
  </w:style>
  <w:style w:type="character" w:customStyle="1" w:styleId="object">
    <w:name w:val="object"/>
    <w:basedOn w:val="Domylnaczcionkaakapitu"/>
    <w:rsid w:val="00BD4280"/>
  </w:style>
  <w:style w:type="character" w:styleId="UyteHipercze">
    <w:name w:val="FollowedHyperlink"/>
    <w:basedOn w:val="Domylnaczcionkaakapitu"/>
    <w:semiHidden/>
    <w:unhideWhenUsed/>
    <w:rsid w:val="007B358F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pl/dyplomacja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echr.coe.int/NoteInformation/e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udoc.echr.coe.int/eng?i=002-11435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5CB3D-1F31-4E15-AA0E-A52E4AB14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1031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2019-06-11T14:23:00Z</dcterms:created>
  <dcterms:modified xsi:type="dcterms:W3CDTF">2019-06-11T14:23:00Z</dcterms:modified>
</cp:coreProperties>
</file>