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E2E54C" w14:textId="359114E6" w:rsidR="00840102" w:rsidRDefault="00645E4F" w:rsidP="00840102">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 xml:space="preserve">Ministerstwo Spraw Zagranicznych, </w:t>
      </w:r>
      <w:hyperlink r:id="rId8" w:history="1">
        <w:r w:rsidR="0078024F" w:rsidRPr="00500E22">
          <w:rPr>
            <w:rStyle w:val="Hipercze"/>
            <w:rFonts w:ascii="Arial" w:eastAsia="MS Mincho" w:hAnsi="Arial" w:cs="Arial"/>
            <w:sz w:val="20"/>
            <w:szCs w:val="20"/>
          </w:rPr>
          <w:t>www.gov.pl/dyplomacja</w:t>
        </w:r>
      </w:hyperlink>
      <w:r>
        <w:rPr>
          <w:rStyle w:val="s4f807e54"/>
          <w:rFonts w:ascii="Arial" w:eastAsia="MS Mincho" w:hAnsi="Arial" w:cs="Arial"/>
          <w:sz w:val="20"/>
          <w:szCs w:val="20"/>
        </w:rPr>
        <w:t xml:space="preserve"> </w:t>
      </w:r>
      <w:r>
        <w:rPr>
          <w:rStyle w:val="object"/>
          <w:rFonts w:ascii="Arial" w:hAnsi="Arial" w:cs="Arial"/>
          <w:color w:val="000000"/>
          <w:sz w:val="20"/>
          <w:szCs w:val="20"/>
        </w:rPr>
        <w:t xml:space="preserve"> </w:t>
      </w:r>
      <w:r>
        <w:rPr>
          <w:rStyle w:val="s4f807e54"/>
          <w:rFonts w:ascii="Arial" w:hAnsi="Arial" w:cs="Arial"/>
          <w:color w:val="000000"/>
          <w:sz w:val="20"/>
          <w:szCs w:val="20"/>
        </w:rPr>
        <w:t xml:space="preserve">   </w:t>
      </w:r>
      <w:r w:rsidR="00840102">
        <w:rPr>
          <w:rStyle w:val="object"/>
          <w:rFonts w:ascii="Arial" w:hAnsi="Arial" w:cs="Arial"/>
          <w:color w:val="000000"/>
          <w:sz w:val="20"/>
          <w:szCs w:val="20"/>
        </w:rPr>
        <w:t xml:space="preserve"> </w:t>
      </w:r>
      <w:r w:rsidR="00840102">
        <w:rPr>
          <w:rStyle w:val="s4f807e54"/>
          <w:rFonts w:ascii="Arial" w:hAnsi="Arial" w:cs="Arial"/>
          <w:color w:val="000000"/>
          <w:sz w:val="20"/>
          <w:szCs w:val="20"/>
        </w:rPr>
        <w:t xml:space="preserve">   </w:t>
      </w:r>
    </w:p>
    <w:p w14:paraId="10839125" w14:textId="77777777" w:rsidR="00840102" w:rsidRDefault="00840102" w:rsidP="00840102">
      <w:pPr>
        <w:pStyle w:val="ClinEditionNumber"/>
        <w:jc w:val="center"/>
        <w:rPr>
          <w:lang w:val="pl-PL"/>
        </w:rPr>
      </w:pPr>
      <w:r>
        <w:rPr>
          <w:lang w:val="pl-PL"/>
        </w:rPr>
        <w:t>EUROPEJSKI TRYBUNAŁ PRAW CZŁOWIEKA</w:t>
      </w:r>
    </w:p>
    <w:p w14:paraId="2263E7B9" w14:textId="77777777" w:rsidR="00787661" w:rsidRPr="00840102" w:rsidRDefault="00840102">
      <w:pPr>
        <w:pStyle w:val="ClinEditionNumber"/>
        <w:rPr>
          <w:lang w:val="pl-PL"/>
        </w:rPr>
      </w:pPr>
      <w:r w:rsidRPr="00557F20">
        <w:rPr>
          <w:lang w:val="pl-PL"/>
        </w:rPr>
        <w:t xml:space="preserve">Nota </w:t>
      </w:r>
      <w:r>
        <w:rPr>
          <w:lang w:val="pl-PL"/>
        </w:rPr>
        <w:t>i</w:t>
      </w:r>
      <w:r w:rsidRPr="00557F20">
        <w:rPr>
          <w:lang w:val="pl-PL"/>
        </w:rPr>
        <w:t xml:space="preserve">nformacyjna nt. </w:t>
      </w:r>
      <w:r>
        <w:rPr>
          <w:lang w:val="pl-PL"/>
        </w:rPr>
        <w:t>orzecznictwa Trybunału nr</w:t>
      </w:r>
      <w:r w:rsidR="00A52EE5" w:rsidRPr="00840102">
        <w:rPr>
          <w:lang w:val="pl-PL"/>
        </w:rPr>
        <w:t xml:space="preserve"> 216</w:t>
      </w:r>
    </w:p>
    <w:p w14:paraId="6DBD6F48" w14:textId="77777777" w:rsidR="00787661" w:rsidRPr="00645E4F" w:rsidRDefault="00A52EE5">
      <w:pPr>
        <w:pStyle w:val="ClinEditionMonth"/>
        <w:rPr>
          <w:lang w:val="pl-PL"/>
        </w:rPr>
      </w:pPr>
      <w:r w:rsidRPr="00645E4F">
        <w:rPr>
          <w:lang w:val="pl-PL"/>
        </w:rPr>
        <w:t>Mar</w:t>
      </w:r>
      <w:r w:rsidR="0013562D" w:rsidRPr="00645E4F">
        <w:rPr>
          <w:lang w:val="pl-PL"/>
        </w:rPr>
        <w:t>zec</w:t>
      </w:r>
      <w:r w:rsidRPr="00645E4F">
        <w:rPr>
          <w:lang w:val="pl-PL"/>
        </w:rPr>
        <w:t xml:space="preserve"> 2018</w:t>
      </w:r>
      <w:r w:rsidR="0013562D" w:rsidRPr="00645E4F">
        <w:rPr>
          <w:lang w:val="pl-PL"/>
        </w:rPr>
        <w:t xml:space="preserve"> r.</w:t>
      </w:r>
    </w:p>
    <w:p w14:paraId="17631D83" w14:textId="77777777" w:rsidR="00787661" w:rsidRPr="00645E4F" w:rsidRDefault="00A52EE5">
      <w:pPr>
        <w:rPr>
          <w:lang w:val="pl-PL"/>
        </w:rPr>
      </w:pPr>
      <w:proofErr w:type="spellStart"/>
      <w:r w:rsidRPr="00645E4F">
        <w:rPr>
          <w:rStyle w:val="ClinCaseTitle"/>
          <w:lang w:val="pl-PL"/>
        </w:rPr>
        <w:t>Şahin</w:t>
      </w:r>
      <w:proofErr w:type="spellEnd"/>
      <w:r w:rsidRPr="00645E4F">
        <w:rPr>
          <w:rStyle w:val="ClinCaseTitle"/>
          <w:lang w:val="pl-PL"/>
        </w:rPr>
        <w:t xml:space="preserve"> </w:t>
      </w:r>
      <w:proofErr w:type="spellStart"/>
      <w:r w:rsidRPr="00645E4F">
        <w:rPr>
          <w:rStyle w:val="ClinCaseTitle"/>
          <w:lang w:val="pl-PL"/>
        </w:rPr>
        <w:t>Alpay</w:t>
      </w:r>
      <w:proofErr w:type="spellEnd"/>
      <w:r w:rsidRPr="00645E4F">
        <w:rPr>
          <w:rStyle w:val="ClinCaseTitle"/>
          <w:lang w:val="pl-PL"/>
        </w:rPr>
        <w:t xml:space="preserve"> </w:t>
      </w:r>
      <w:r w:rsidR="0013562D" w:rsidRPr="00645E4F">
        <w:rPr>
          <w:rStyle w:val="ClinCaseTitle"/>
          <w:lang w:val="pl-PL"/>
        </w:rPr>
        <w:t>p</w:t>
      </w:r>
      <w:r w:rsidRPr="00645E4F">
        <w:rPr>
          <w:rStyle w:val="ClinCaseTitle"/>
          <w:lang w:val="pl-PL"/>
        </w:rPr>
        <w:t>. Tur</w:t>
      </w:r>
      <w:r w:rsidR="0013562D" w:rsidRPr="00645E4F">
        <w:rPr>
          <w:rStyle w:val="ClinCaseTitle"/>
          <w:lang w:val="pl-PL"/>
        </w:rPr>
        <w:t>cji</w:t>
      </w:r>
      <w:r w:rsidRPr="00645E4F">
        <w:rPr>
          <w:rStyle w:val="ClinApplicationNumber"/>
          <w:lang w:val="pl-PL"/>
        </w:rPr>
        <w:t xml:space="preserve"> </w:t>
      </w:r>
      <w:r w:rsidR="0013562D" w:rsidRPr="00645E4F">
        <w:rPr>
          <w:rStyle w:val="ClinApplicationNumber"/>
          <w:lang w:val="pl-PL"/>
        </w:rPr>
        <w:t>–</w:t>
      </w:r>
      <w:r w:rsidRPr="00645E4F">
        <w:rPr>
          <w:rStyle w:val="ClinApplicationNumber"/>
          <w:lang w:val="pl-PL"/>
        </w:rPr>
        <w:t xml:space="preserve"> </w:t>
      </w:r>
      <w:r w:rsidR="0013562D" w:rsidRPr="00645E4F">
        <w:rPr>
          <w:rStyle w:val="ClinApplicationNumber"/>
          <w:lang w:val="pl-PL"/>
        </w:rPr>
        <w:t xml:space="preserve">skarga nr </w:t>
      </w:r>
      <w:r w:rsidRPr="00645E4F">
        <w:rPr>
          <w:rStyle w:val="ClinApplicationNumber"/>
          <w:lang w:val="pl-PL"/>
        </w:rPr>
        <w:t>16538/17</w:t>
      </w:r>
    </w:p>
    <w:p w14:paraId="506FE3E9" w14:textId="77777777" w:rsidR="00787661" w:rsidRPr="0013562D" w:rsidRDefault="0013562D">
      <w:pPr>
        <w:rPr>
          <w:lang w:val="pl-PL"/>
        </w:rPr>
      </w:pPr>
      <w:r w:rsidRPr="0013562D">
        <w:rPr>
          <w:rStyle w:val="ClinHudocDocumentTitle"/>
          <w:lang w:val="pl-PL"/>
        </w:rPr>
        <w:t xml:space="preserve">Wyrok z </w:t>
      </w:r>
      <w:r w:rsidR="00A52EE5" w:rsidRPr="0013562D">
        <w:rPr>
          <w:rStyle w:val="ClinHudocDocumentTitle"/>
          <w:lang w:val="pl-PL"/>
        </w:rPr>
        <w:t>20.</w:t>
      </w:r>
      <w:r w:rsidRPr="0013562D">
        <w:rPr>
          <w:rStyle w:val="ClinHudocDocumentTitle"/>
          <w:lang w:val="pl-PL"/>
        </w:rPr>
        <w:t>0</w:t>
      </w:r>
      <w:r w:rsidR="00A52EE5" w:rsidRPr="0013562D">
        <w:rPr>
          <w:rStyle w:val="ClinHudocDocumentTitle"/>
          <w:lang w:val="pl-PL"/>
        </w:rPr>
        <w:t>3.2018</w:t>
      </w:r>
      <w:r w:rsidR="00A52EE5" w:rsidRPr="0013562D">
        <w:rPr>
          <w:rStyle w:val="ClinSectionName"/>
          <w:lang w:val="pl-PL"/>
        </w:rPr>
        <w:t xml:space="preserve"> </w:t>
      </w:r>
      <w:r w:rsidRPr="0013562D">
        <w:rPr>
          <w:rStyle w:val="ClinSectionName"/>
          <w:lang w:val="pl-PL"/>
        </w:rPr>
        <w:t xml:space="preserve">r. </w:t>
      </w:r>
      <w:r w:rsidR="00A52EE5" w:rsidRPr="0013562D">
        <w:rPr>
          <w:rStyle w:val="ClinSectionName"/>
          <w:lang w:val="pl-PL"/>
        </w:rPr>
        <w:t>[</w:t>
      </w:r>
      <w:r w:rsidR="004241D0">
        <w:rPr>
          <w:rStyle w:val="ClinSectionName"/>
          <w:lang w:val="pl-PL"/>
        </w:rPr>
        <w:t>Trzecia Sekcja</w:t>
      </w:r>
      <w:r w:rsidR="00A52EE5" w:rsidRPr="0013562D">
        <w:rPr>
          <w:rStyle w:val="ClinSectionName"/>
          <w:lang w:val="pl-PL"/>
        </w:rPr>
        <w:t>]</w:t>
      </w:r>
    </w:p>
    <w:p w14:paraId="6F8739C2" w14:textId="77777777" w:rsidR="00787661" w:rsidRPr="0078024F" w:rsidRDefault="00A52EE5">
      <w:pPr>
        <w:pStyle w:val="ClinMainKeywordCode"/>
        <w:rPr>
          <w:lang w:val="pl-PL"/>
        </w:rPr>
      </w:pPr>
      <w:r w:rsidRPr="0078024F">
        <w:rPr>
          <w:lang w:val="pl-PL"/>
        </w:rPr>
        <w:t>Art</w:t>
      </w:r>
      <w:r w:rsidR="0013562D" w:rsidRPr="0078024F">
        <w:rPr>
          <w:lang w:val="pl-PL"/>
        </w:rPr>
        <w:t>.</w:t>
      </w:r>
      <w:r w:rsidRPr="0078024F">
        <w:rPr>
          <w:lang w:val="pl-PL"/>
        </w:rPr>
        <w:t xml:space="preserve"> 15</w:t>
      </w:r>
      <w:r w:rsidR="00915295" w:rsidRPr="00915295">
        <w:rPr>
          <w:lang w:val="pl-PL"/>
        </w:rPr>
        <w:t xml:space="preserve"> </w:t>
      </w:r>
      <w:r w:rsidR="00915295">
        <w:rPr>
          <w:lang w:val="pl-PL"/>
        </w:rPr>
        <w:t>Konwencji</w:t>
      </w:r>
      <w:r w:rsidR="00915295">
        <w:rPr>
          <w:rStyle w:val="Odwoanieprzypisudolnego"/>
          <w:lang w:val="pl-PL"/>
        </w:rPr>
        <w:footnoteReference w:id="1"/>
      </w:r>
    </w:p>
    <w:p w14:paraId="31BFB8B2" w14:textId="77777777" w:rsidR="0013562D" w:rsidRPr="0013562D" w:rsidRDefault="0013562D" w:rsidP="004241D0">
      <w:pPr>
        <w:jc w:val="both"/>
        <w:rPr>
          <w:i/>
          <w:lang w:val="pl-PL"/>
        </w:rPr>
      </w:pPr>
      <w:r w:rsidRPr="0013562D">
        <w:rPr>
          <w:rStyle w:val="ClinConclusions"/>
          <w:i w:val="0"/>
          <w:lang w:val="pl-PL"/>
        </w:rPr>
        <w:t xml:space="preserve">Udaremniona próba wojskowego zamachu stanu: </w:t>
      </w:r>
      <w:r w:rsidR="004241D0" w:rsidRPr="004241D0">
        <w:rPr>
          <w:rStyle w:val="ClinConclusions"/>
          <w:lang w:val="pl-PL"/>
        </w:rPr>
        <w:t>uchylenie zobowiązań (</w:t>
      </w:r>
      <w:r w:rsidRPr="004241D0">
        <w:rPr>
          <w:rStyle w:val="ClinConclusions"/>
          <w:lang w:val="pl-PL"/>
        </w:rPr>
        <w:t>derogacja</w:t>
      </w:r>
      <w:r w:rsidR="004241D0" w:rsidRPr="004241D0">
        <w:rPr>
          <w:rStyle w:val="ClinConclusions"/>
          <w:lang w:val="pl-PL"/>
        </w:rPr>
        <w:t>)</w:t>
      </w:r>
      <w:r w:rsidR="004241D0">
        <w:rPr>
          <w:rStyle w:val="ClinConclusions"/>
          <w:lang w:val="pl-PL"/>
        </w:rPr>
        <w:t xml:space="preserve"> uzasadnione</w:t>
      </w:r>
      <w:r>
        <w:rPr>
          <w:rStyle w:val="ClinConclusions"/>
          <w:lang w:val="pl-PL"/>
        </w:rPr>
        <w:t>; proporcjonalność ingerencji należy badać</w:t>
      </w:r>
      <w:r w:rsidR="004241D0">
        <w:rPr>
          <w:rStyle w:val="ClinConclusions"/>
          <w:lang w:val="pl-PL"/>
        </w:rPr>
        <w:t xml:space="preserve"> wraz</w:t>
      </w:r>
      <w:r>
        <w:rPr>
          <w:rStyle w:val="ClinConclusions"/>
          <w:lang w:val="pl-PL"/>
        </w:rPr>
        <w:t xml:space="preserve"> z przedmiotem sprawy</w:t>
      </w:r>
    </w:p>
    <w:p w14:paraId="231D49D3" w14:textId="77777777" w:rsidR="00787661" w:rsidRPr="00E30DEA" w:rsidRDefault="00A52EE5">
      <w:pPr>
        <w:pStyle w:val="ClinMainKeywordCode"/>
        <w:rPr>
          <w:lang w:val="pl-PL"/>
        </w:rPr>
      </w:pPr>
      <w:r w:rsidRPr="00E30DEA">
        <w:rPr>
          <w:lang w:val="pl-PL"/>
        </w:rPr>
        <w:t>Art</w:t>
      </w:r>
      <w:r w:rsidR="0013562D" w:rsidRPr="00E30DEA">
        <w:rPr>
          <w:lang w:val="pl-PL"/>
        </w:rPr>
        <w:t>.</w:t>
      </w:r>
      <w:r w:rsidRPr="00E30DEA">
        <w:rPr>
          <w:lang w:val="pl-PL"/>
        </w:rPr>
        <w:t xml:space="preserve"> 5</w:t>
      </w:r>
    </w:p>
    <w:p w14:paraId="35A5F03B" w14:textId="77777777" w:rsidR="00787661" w:rsidRPr="00E30DEA" w:rsidRDefault="00A52EE5">
      <w:pPr>
        <w:pStyle w:val="ClinChildKeywordCode"/>
        <w:rPr>
          <w:lang w:val="pl-PL"/>
        </w:rPr>
      </w:pPr>
      <w:r w:rsidRPr="00E30DEA">
        <w:rPr>
          <w:lang w:val="pl-PL"/>
        </w:rPr>
        <w:t>Art</w:t>
      </w:r>
      <w:r w:rsidR="0013562D" w:rsidRPr="00E30DEA">
        <w:rPr>
          <w:lang w:val="pl-PL"/>
        </w:rPr>
        <w:t xml:space="preserve">. 5 ust. </w:t>
      </w:r>
      <w:r w:rsidRPr="00E30DEA">
        <w:rPr>
          <w:lang w:val="pl-PL"/>
        </w:rPr>
        <w:t>1</w:t>
      </w:r>
    </w:p>
    <w:p w14:paraId="39FDD356" w14:textId="77777777" w:rsidR="00787661" w:rsidRPr="00E30DEA" w:rsidRDefault="00E30DEA">
      <w:pPr>
        <w:pStyle w:val="ClinKeyword"/>
        <w:rPr>
          <w:lang w:val="pl-PL"/>
        </w:rPr>
      </w:pPr>
      <w:r w:rsidRPr="00E30DEA">
        <w:rPr>
          <w:lang w:val="pl-PL"/>
        </w:rPr>
        <w:t>Zgodne z prawem zatrzymanie lub aresztowanie</w:t>
      </w:r>
    </w:p>
    <w:p w14:paraId="59A16428" w14:textId="77777777" w:rsidR="00E30DEA" w:rsidRPr="00645E4F" w:rsidRDefault="00E30DEA">
      <w:pPr>
        <w:pStyle w:val="ClinKeyword"/>
        <w:rPr>
          <w:lang w:val="pl-PL"/>
        </w:rPr>
      </w:pPr>
      <w:r w:rsidRPr="00645E4F">
        <w:rPr>
          <w:lang w:val="pl-PL"/>
        </w:rPr>
        <w:t xml:space="preserve">Tryb ustalony przez prawo </w:t>
      </w:r>
    </w:p>
    <w:p w14:paraId="1F8C2B2C" w14:textId="70CCC43A" w:rsidR="00E30DEA" w:rsidRPr="00E30DEA" w:rsidRDefault="00E30DEA" w:rsidP="0078024F">
      <w:pPr>
        <w:jc w:val="both"/>
        <w:rPr>
          <w:lang w:val="pl-PL"/>
        </w:rPr>
      </w:pPr>
      <w:r w:rsidRPr="00E30DEA">
        <w:rPr>
          <w:rStyle w:val="ClinConclusions"/>
          <w:i w:val="0"/>
          <w:lang w:val="pl-PL"/>
        </w:rPr>
        <w:t xml:space="preserve">Odmowa zwolnienia skarżącego przez sąd pomimo stwierdzenia przez Trybunał Konstytucyjny niezgodności z prawem </w:t>
      </w:r>
      <w:r w:rsidR="004241D0">
        <w:rPr>
          <w:rStyle w:val="ClinConclusions"/>
          <w:i w:val="0"/>
          <w:lang w:val="pl-PL"/>
        </w:rPr>
        <w:t xml:space="preserve">jego </w:t>
      </w:r>
      <w:r w:rsidRPr="00E30DEA">
        <w:rPr>
          <w:rStyle w:val="ClinConclusions"/>
          <w:i w:val="0"/>
          <w:lang w:val="pl-PL"/>
        </w:rPr>
        <w:t>aresztowania (kontekst derogacji na</w:t>
      </w:r>
      <w:r w:rsidR="007C2A0E">
        <w:rPr>
          <w:rStyle w:val="ClinConclusions"/>
          <w:i w:val="0"/>
          <w:lang w:val="pl-PL"/>
        </w:rPr>
        <w:t> </w:t>
      </w:r>
      <w:r w:rsidRPr="00E30DEA">
        <w:rPr>
          <w:rStyle w:val="ClinConclusions"/>
          <w:i w:val="0"/>
          <w:lang w:val="pl-PL"/>
        </w:rPr>
        <w:t xml:space="preserve">podstawie art. 15): </w:t>
      </w:r>
      <w:r>
        <w:rPr>
          <w:rStyle w:val="ClinConclusions"/>
          <w:lang w:val="pl-PL"/>
        </w:rPr>
        <w:t xml:space="preserve">naruszenie  </w:t>
      </w:r>
    </w:p>
    <w:p w14:paraId="5F610C40" w14:textId="77777777" w:rsidR="00787661" w:rsidRPr="0078024F" w:rsidRDefault="00A52EE5">
      <w:pPr>
        <w:pStyle w:val="ClinChildKeywordCode"/>
        <w:rPr>
          <w:lang w:val="pl-PL"/>
        </w:rPr>
      </w:pPr>
      <w:r w:rsidRPr="0078024F">
        <w:rPr>
          <w:lang w:val="pl-PL"/>
        </w:rPr>
        <w:t>Art</w:t>
      </w:r>
      <w:r w:rsidR="00D16E8D" w:rsidRPr="0078024F">
        <w:rPr>
          <w:lang w:val="pl-PL"/>
        </w:rPr>
        <w:t>.</w:t>
      </w:r>
      <w:r w:rsidRPr="0078024F">
        <w:rPr>
          <w:lang w:val="pl-PL"/>
        </w:rPr>
        <w:t xml:space="preserve"> 5</w:t>
      </w:r>
      <w:r w:rsidR="00D16E8D" w:rsidRPr="0078024F">
        <w:rPr>
          <w:lang w:val="pl-PL"/>
        </w:rPr>
        <w:t xml:space="preserve"> ust. </w:t>
      </w:r>
      <w:r w:rsidRPr="0078024F">
        <w:rPr>
          <w:lang w:val="pl-PL"/>
        </w:rPr>
        <w:t>4</w:t>
      </w:r>
    </w:p>
    <w:p w14:paraId="291FE837" w14:textId="77777777" w:rsidR="00D16E8D" w:rsidRPr="004241D0" w:rsidRDefault="00D16E8D">
      <w:pPr>
        <w:pStyle w:val="ClinKeyword"/>
        <w:rPr>
          <w:lang w:val="pl-PL"/>
        </w:rPr>
      </w:pPr>
      <w:r w:rsidRPr="004241D0">
        <w:rPr>
          <w:lang w:val="pl-PL"/>
        </w:rPr>
        <w:t>Bezzwłoczność kontroli</w:t>
      </w:r>
    </w:p>
    <w:p w14:paraId="481C4E36" w14:textId="77777777" w:rsidR="00D16E8D" w:rsidRPr="00D16E8D" w:rsidRDefault="00D16E8D">
      <w:pPr>
        <w:rPr>
          <w:lang w:val="pl-PL"/>
        </w:rPr>
      </w:pPr>
      <w:r w:rsidRPr="00D16E8D">
        <w:rPr>
          <w:lang w:val="pl-PL"/>
        </w:rPr>
        <w:t>Trwające szesnaście miesięcy badanie skargi do Trybunału Konstytucyjnego</w:t>
      </w:r>
      <w:r>
        <w:rPr>
          <w:lang w:val="pl-PL"/>
        </w:rPr>
        <w:t xml:space="preserve"> podnoszącej nowe</w:t>
      </w:r>
      <w:r w:rsidR="0078024F">
        <w:rPr>
          <w:lang w:val="pl-PL"/>
        </w:rPr>
        <w:t>,</w:t>
      </w:r>
      <w:r>
        <w:rPr>
          <w:lang w:val="pl-PL"/>
        </w:rPr>
        <w:t xml:space="preserve"> zawiłe kwestie dotyczące stanu wyjątkowego: </w:t>
      </w:r>
      <w:r w:rsidRPr="00D16E8D">
        <w:rPr>
          <w:i/>
          <w:lang w:val="pl-PL"/>
        </w:rPr>
        <w:t>brak naruszenia</w:t>
      </w:r>
      <w:r w:rsidRPr="00D16E8D">
        <w:rPr>
          <w:lang w:val="pl-PL"/>
        </w:rPr>
        <w:t xml:space="preserve"> </w:t>
      </w:r>
    </w:p>
    <w:p w14:paraId="00F14B5B" w14:textId="77777777" w:rsidR="00787661" w:rsidRPr="0078024F" w:rsidRDefault="00A52EE5">
      <w:pPr>
        <w:pStyle w:val="ClinMainKeywordCode"/>
        <w:rPr>
          <w:lang w:val="pl-PL"/>
        </w:rPr>
      </w:pPr>
      <w:r w:rsidRPr="0078024F">
        <w:rPr>
          <w:lang w:val="pl-PL"/>
        </w:rPr>
        <w:t>Art</w:t>
      </w:r>
      <w:r w:rsidR="008B40AB" w:rsidRPr="0078024F">
        <w:rPr>
          <w:lang w:val="pl-PL"/>
        </w:rPr>
        <w:t>.</w:t>
      </w:r>
      <w:r w:rsidRPr="0078024F">
        <w:rPr>
          <w:lang w:val="pl-PL"/>
        </w:rPr>
        <w:t xml:space="preserve"> 10</w:t>
      </w:r>
    </w:p>
    <w:p w14:paraId="43E49E73" w14:textId="77777777" w:rsidR="00787661" w:rsidRPr="0078024F" w:rsidRDefault="00A52EE5">
      <w:pPr>
        <w:pStyle w:val="ClinChildKeywordCode"/>
        <w:rPr>
          <w:lang w:val="pl-PL"/>
        </w:rPr>
      </w:pPr>
      <w:r w:rsidRPr="0078024F">
        <w:rPr>
          <w:lang w:val="pl-PL"/>
        </w:rPr>
        <w:t>Art</w:t>
      </w:r>
      <w:r w:rsidR="008B40AB" w:rsidRPr="0078024F">
        <w:rPr>
          <w:lang w:val="pl-PL"/>
        </w:rPr>
        <w:t>.</w:t>
      </w:r>
      <w:r w:rsidRPr="0078024F">
        <w:rPr>
          <w:lang w:val="pl-PL"/>
        </w:rPr>
        <w:t xml:space="preserve"> 10</w:t>
      </w:r>
      <w:r w:rsidR="008B40AB" w:rsidRPr="0078024F">
        <w:rPr>
          <w:lang w:val="pl-PL"/>
        </w:rPr>
        <w:t xml:space="preserve"> ust. </w:t>
      </w:r>
      <w:r w:rsidRPr="0078024F">
        <w:rPr>
          <w:lang w:val="pl-PL"/>
        </w:rPr>
        <w:t>1</w:t>
      </w:r>
    </w:p>
    <w:p w14:paraId="349F8B0E" w14:textId="77777777" w:rsidR="008B40AB" w:rsidRPr="004241D0" w:rsidRDefault="008B40AB">
      <w:pPr>
        <w:pStyle w:val="ClinKeyword"/>
        <w:rPr>
          <w:lang w:val="pl-PL"/>
        </w:rPr>
      </w:pPr>
      <w:r w:rsidRPr="004241D0">
        <w:rPr>
          <w:lang w:val="pl-PL"/>
        </w:rPr>
        <w:t>Wolność wyrażania opinii</w:t>
      </w:r>
    </w:p>
    <w:p w14:paraId="67A65EE4" w14:textId="77777777" w:rsidR="008B40AB" w:rsidRPr="008B40AB" w:rsidRDefault="008B40AB" w:rsidP="0078024F">
      <w:pPr>
        <w:jc w:val="both"/>
        <w:rPr>
          <w:lang w:val="pl-PL"/>
        </w:rPr>
      </w:pPr>
      <w:r w:rsidRPr="008B40AB">
        <w:rPr>
          <w:rStyle w:val="ClinConclusions"/>
          <w:i w:val="0"/>
          <w:lang w:val="pl-PL"/>
        </w:rPr>
        <w:t xml:space="preserve">Aresztowanie dziennikarza w oparciu o zarzuty antyterrorystyczne po próbie zamachu stanu: </w:t>
      </w:r>
      <w:r w:rsidRPr="008B40AB">
        <w:rPr>
          <w:rStyle w:val="ClinConclusions"/>
          <w:lang w:val="pl-PL"/>
        </w:rPr>
        <w:t>naruszenie</w:t>
      </w:r>
    </w:p>
    <w:p w14:paraId="7493439E" w14:textId="77777777" w:rsidR="00572F95" w:rsidRPr="00572F95" w:rsidRDefault="00572F95" w:rsidP="00572F95">
      <w:pPr>
        <w:pStyle w:val="ClinContent"/>
        <w:rPr>
          <w:lang w:val="pl-PL"/>
        </w:rPr>
      </w:pPr>
      <w:r w:rsidRPr="00572F95">
        <w:rPr>
          <w:lang w:val="pl-PL"/>
        </w:rPr>
        <w:t xml:space="preserve">[Niniejsze streszczenie obejmuje też wyrok w sprawie </w:t>
      </w:r>
      <w:proofErr w:type="spellStart"/>
      <w:r w:rsidRPr="00572F95">
        <w:rPr>
          <w:i/>
          <w:lang w:val="pl-PL"/>
        </w:rPr>
        <w:t>Mehmet</w:t>
      </w:r>
      <w:proofErr w:type="spellEnd"/>
      <w:r w:rsidRPr="00572F95">
        <w:rPr>
          <w:i/>
          <w:lang w:val="pl-PL"/>
        </w:rPr>
        <w:t xml:space="preserve"> </w:t>
      </w:r>
      <w:proofErr w:type="spellStart"/>
      <w:r w:rsidRPr="00572F95">
        <w:rPr>
          <w:i/>
          <w:lang w:val="pl-PL"/>
        </w:rPr>
        <w:t>Hasan</w:t>
      </w:r>
      <w:proofErr w:type="spellEnd"/>
      <w:r w:rsidRPr="00572F95">
        <w:rPr>
          <w:i/>
          <w:lang w:val="pl-PL"/>
        </w:rPr>
        <w:t xml:space="preserve"> Altan</w:t>
      </w:r>
      <w:r>
        <w:rPr>
          <w:i/>
          <w:lang w:val="pl-PL"/>
        </w:rPr>
        <w:t xml:space="preserve"> p. Turcji, </w:t>
      </w:r>
      <w:r w:rsidRPr="00572F95">
        <w:rPr>
          <w:lang w:val="pl-PL"/>
        </w:rPr>
        <w:t>skarga nr</w:t>
      </w:r>
      <w:r>
        <w:rPr>
          <w:i/>
          <w:lang w:val="pl-PL"/>
        </w:rPr>
        <w:t xml:space="preserve"> </w:t>
      </w:r>
      <w:r w:rsidRPr="00572F95">
        <w:rPr>
          <w:lang w:val="pl-PL"/>
        </w:rPr>
        <w:t xml:space="preserve">13237/17, 20 </w:t>
      </w:r>
      <w:r>
        <w:rPr>
          <w:lang w:val="pl-PL"/>
        </w:rPr>
        <w:t xml:space="preserve">marca </w:t>
      </w:r>
      <w:r w:rsidRPr="00572F95">
        <w:rPr>
          <w:lang w:val="pl-PL"/>
        </w:rPr>
        <w:t>2018</w:t>
      </w:r>
      <w:r>
        <w:rPr>
          <w:lang w:val="pl-PL"/>
        </w:rPr>
        <w:t xml:space="preserve"> r.</w:t>
      </w:r>
      <w:r w:rsidRPr="00572F95">
        <w:rPr>
          <w:lang w:val="pl-PL"/>
        </w:rPr>
        <w:t>]</w:t>
      </w:r>
    </w:p>
    <w:p w14:paraId="5095E8BA" w14:textId="77777777" w:rsidR="00572F95" w:rsidRPr="00572F95" w:rsidRDefault="00572F95">
      <w:pPr>
        <w:pStyle w:val="ClinContent"/>
        <w:rPr>
          <w:lang w:val="pl-PL"/>
        </w:rPr>
      </w:pPr>
      <w:r w:rsidRPr="00572F95">
        <w:rPr>
          <w:i/>
          <w:lang w:val="pl-PL"/>
        </w:rPr>
        <w:lastRenderedPageBreak/>
        <w:t>Fakty</w:t>
      </w:r>
      <w:r w:rsidRPr="00572F95">
        <w:rPr>
          <w:lang w:val="pl-PL"/>
        </w:rPr>
        <w:t xml:space="preserve"> – W dniu 21 </w:t>
      </w:r>
      <w:r>
        <w:rPr>
          <w:lang w:val="pl-PL"/>
        </w:rPr>
        <w:t xml:space="preserve">lipca </w:t>
      </w:r>
      <w:r w:rsidRPr="00572F95">
        <w:rPr>
          <w:lang w:val="pl-PL"/>
        </w:rPr>
        <w:t xml:space="preserve">2016 r. </w:t>
      </w:r>
      <w:r>
        <w:rPr>
          <w:lang w:val="pl-PL"/>
        </w:rPr>
        <w:t xml:space="preserve">Turcja notyfikowała Sekretarzowi Generalnemu Rady Europy, że zdecydowała </w:t>
      </w:r>
      <w:r w:rsidR="004241D0">
        <w:rPr>
          <w:lang w:val="pl-PL"/>
        </w:rPr>
        <w:t xml:space="preserve">się </w:t>
      </w:r>
      <w:r>
        <w:rPr>
          <w:lang w:val="pl-PL"/>
        </w:rPr>
        <w:t xml:space="preserve">skorzystać z prawa do uchylenia stosowania zobowiązań </w:t>
      </w:r>
      <w:r w:rsidR="004241D0">
        <w:rPr>
          <w:lang w:val="pl-PL"/>
        </w:rPr>
        <w:t xml:space="preserve">(derogacji) </w:t>
      </w:r>
      <w:r>
        <w:rPr>
          <w:lang w:val="pl-PL"/>
        </w:rPr>
        <w:t>na podstawie art. 15 Konwencji, wskazując, że wprowadzono stan wyjątkowy w odpowiedzi na „zagrożenie dla życia narodu” s</w:t>
      </w:r>
      <w:r w:rsidR="004241D0">
        <w:rPr>
          <w:lang w:val="pl-PL"/>
        </w:rPr>
        <w:t>powodowane</w:t>
      </w:r>
      <w:r>
        <w:rPr>
          <w:lang w:val="pl-PL"/>
        </w:rPr>
        <w:t xml:space="preserve"> przez wojskowy zamach stanu z 15 lipca 2016 r. i przemoc terrorystyczną dotykającą kraj – nie wskazując wyraźnie artykułó</w:t>
      </w:r>
      <w:r w:rsidR="004241D0">
        <w:rPr>
          <w:lang w:val="pl-PL"/>
        </w:rPr>
        <w:t>w Konwencji, do których odnosiło się to uchylenie</w:t>
      </w:r>
      <w:r>
        <w:rPr>
          <w:lang w:val="pl-PL"/>
        </w:rPr>
        <w:t xml:space="preserve">. </w:t>
      </w:r>
    </w:p>
    <w:p w14:paraId="220E09CE" w14:textId="77777777" w:rsidR="00572F95" w:rsidRPr="00572F95" w:rsidRDefault="00572F95">
      <w:pPr>
        <w:pStyle w:val="ClinContent"/>
        <w:rPr>
          <w:lang w:val="pl-PL"/>
        </w:rPr>
      </w:pPr>
      <w:r w:rsidRPr="00572F95">
        <w:rPr>
          <w:lang w:val="pl-PL"/>
        </w:rPr>
        <w:t xml:space="preserve">Skarżący, dziennikarze znani </w:t>
      </w:r>
      <w:r>
        <w:rPr>
          <w:lang w:val="pl-PL"/>
        </w:rPr>
        <w:t>ze swej krytyki</w:t>
      </w:r>
      <w:r w:rsidRPr="00572F95">
        <w:rPr>
          <w:lang w:val="pl-PL"/>
        </w:rPr>
        <w:t xml:space="preserve"> rządu, zostali zatrzymani </w:t>
      </w:r>
      <w:r>
        <w:rPr>
          <w:lang w:val="pl-PL"/>
        </w:rPr>
        <w:t xml:space="preserve">i postawieni przed sądem przysięgłych na podstawie przepisów Kodeksu karnego za próbę obalenia konstytucyjnych władz i popełnienia przestępstw w imieniu organizacji terrorystycznej bez bycia jej członkiem. Po niepowodzeniu próby uzyskania zwolnienia z tymczasowego aresztowania, </w:t>
      </w:r>
      <w:r w:rsidR="007D3E4D">
        <w:rPr>
          <w:lang w:val="pl-PL"/>
        </w:rPr>
        <w:t xml:space="preserve">obaj zwrócili się </w:t>
      </w:r>
      <w:r>
        <w:rPr>
          <w:lang w:val="pl-PL"/>
        </w:rPr>
        <w:t xml:space="preserve">do Trybunału Konstytucyjnego, który rozpatrywał skargi Pana Altana i Pana </w:t>
      </w:r>
      <w:proofErr w:type="spellStart"/>
      <w:r>
        <w:rPr>
          <w:lang w:val="pl-PL"/>
        </w:rPr>
        <w:t>Alpaya</w:t>
      </w:r>
      <w:proofErr w:type="spellEnd"/>
      <w:r>
        <w:rPr>
          <w:lang w:val="pl-PL"/>
        </w:rPr>
        <w:t xml:space="preserve"> odpowiednio przez czternaście i szesnaście miesięcy. </w:t>
      </w:r>
    </w:p>
    <w:p w14:paraId="0F9ADC56" w14:textId="19DB898F" w:rsidR="00531649" w:rsidRPr="00531649" w:rsidRDefault="00531649">
      <w:pPr>
        <w:pStyle w:val="ClinContent"/>
        <w:rPr>
          <w:lang w:val="pl-PL"/>
        </w:rPr>
      </w:pPr>
      <w:r w:rsidRPr="00531649">
        <w:rPr>
          <w:lang w:val="pl-PL"/>
        </w:rPr>
        <w:t xml:space="preserve">Trybunał Konstytucyjny orzekł, że </w:t>
      </w:r>
      <w:r w:rsidR="00075181">
        <w:rPr>
          <w:lang w:val="pl-PL"/>
        </w:rPr>
        <w:t xml:space="preserve">początkowe tymczasowe aresztowanie skarżących oraz jego utrzymywanie były niekonstytucyjne z punktu widzenia praw chronionych zarówno </w:t>
      </w:r>
      <w:r w:rsidR="007D3E4D">
        <w:rPr>
          <w:lang w:val="pl-PL"/>
        </w:rPr>
        <w:t xml:space="preserve">przez </w:t>
      </w:r>
      <w:r w:rsidR="00075181">
        <w:rPr>
          <w:lang w:val="pl-PL"/>
        </w:rPr>
        <w:t>art. 5, jak i art. 10 Konwencji</w:t>
      </w:r>
      <w:r w:rsidR="00075181" w:rsidRPr="00531649">
        <w:rPr>
          <w:lang w:val="pl-PL"/>
        </w:rPr>
        <w:t xml:space="preserve"> </w:t>
      </w:r>
      <w:r w:rsidRPr="00531649">
        <w:rPr>
          <w:lang w:val="pl-PL"/>
        </w:rPr>
        <w:t xml:space="preserve">z uwagi na brak </w:t>
      </w:r>
      <w:r w:rsidR="00075181">
        <w:rPr>
          <w:lang w:val="pl-PL"/>
        </w:rPr>
        <w:t xml:space="preserve">jakichkolwiek </w:t>
      </w:r>
      <w:r w:rsidR="007D3E4D" w:rsidRPr="00531649">
        <w:rPr>
          <w:lang w:val="pl-PL"/>
        </w:rPr>
        <w:t xml:space="preserve">szczególnych podstaw </w:t>
      </w:r>
      <w:r w:rsidR="007D3E4D">
        <w:rPr>
          <w:lang w:val="pl-PL"/>
        </w:rPr>
        <w:t>–</w:t>
      </w:r>
      <w:r w:rsidR="00075181">
        <w:rPr>
          <w:lang w:val="pl-PL"/>
        </w:rPr>
        <w:t xml:space="preserve"> poza</w:t>
      </w:r>
      <w:r w:rsidR="007D3E4D">
        <w:rPr>
          <w:lang w:val="pl-PL"/>
        </w:rPr>
        <w:t xml:space="preserve"> </w:t>
      </w:r>
      <w:r w:rsidR="00075181">
        <w:rPr>
          <w:lang w:val="pl-PL"/>
        </w:rPr>
        <w:t xml:space="preserve">ich artykułami i występami telewizji. </w:t>
      </w:r>
      <w:r w:rsidR="00996705">
        <w:rPr>
          <w:lang w:val="pl-PL"/>
        </w:rPr>
        <w:t>Sąd przysięgłych odmówił jednak ich zwolnienia, uznając, że Trybunał Konstytucyjny</w:t>
      </w:r>
      <w:r w:rsidR="00F02B1F">
        <w:rPr>
          <w:lang w:val="pl-PL"/>
        </w:rPr>
        <w:t>, prowadząc badanie dowodów,</w:t>
      </w:r>
      <w:r w:rsidR="00996705">
        <w:rPr>
          <w:lang w:val="pl-PL"/>
        </w:rPr>
        <w:t xml:space="preserve"> wykroczył poza swoje kompetencje. </w:t>
      </w:r>
    </w:p>
    <w:p w14:paraId="43038112" w14:textId="77777777" w:rsidR="008A5E92" w:rsidRPr="000C5BDE" w:rsidRDefault="008A5E92">
      <w:pPr>
        <w:pStyle w:val="ClinContent"/>
        <w:rPr>
          <w:lang w:val="pl-PL"/>
        </w:rPr>
      </w:pPr>
      <w:r w:rsidRPr="000C5BDE">
        <w:rPr>
          <w:i/>
          <w:lang w:val="pl-PL"/>
        </w:rPr>
        <w:t>Prawo</w:t>
      </w:r>
    </w:p>
    <w:p w14:paraId="787B615C" w14:textId="25186447" w:rsidR="008A5E92" w:rsidRDefault="008A5E92">
      <w:pPr>
        <w:pStyle w:val="ClinContent"/>
        <w:rPr>
          <w:lang w:val="pl-PL"/>
        </w:rPr>
      </w:pPr>
      <w:r w:rsidRPr="00B0781D">
        <w:rPr>
          <w:lang w:val="pl-PL"/>
        </w:rPr>
        <w:t xml:space="preserve">Art. 15 </w:t>
      </w:r>
      <w:r w:rsidRPr="00B0781D">
        <w:rPr>
          <w:i/>
          <w:lang w:val="pl-PL"/>
        </w:rPr>
        <w:t>(aspekt ogólny):</w:t>
      </w:r>
      <w:r w:rsidR="00B0781D" w:rsidRPr="00B0781D">
        <w:rPr>
          <w:i/>
          <w:lang w:val="pl-PL"/>
        </w:rPr>
        <w:t xml:space="preserve"> </w:t>
      </w:r>
      <w:r w:rsidR="00B0781D" w:rsidRPr="00B0781D">
        <w:rPr>
          <w:lang w:val="pl-PL"/>
        </w:rPr>
        <w:t xml:space="preserve">Trybunał mógł zaakceptować: (i) że </w:t>
      </w:r>
      <w:r w:rsidR="00B0781D">
        <w:rPr>
          <w:lang w:val="pl-PL"/>
        </w:rPr>
        <w:t xml:space="preserve">spełniony został </w:t>
      </w:r>
      <w:r w:rsidR="00B0781D" w:rsidRPr="00B0781D">
        <w:rPr>
          <w:lang w:val="pl-PL"/>
        </w:rPr>
        <w:t xml:space="preserve">wymóg formalny zawarty w art. </w:t>
      </w:r>
      <w:r w:rsidR="00B0781D">
        <w:rPr>
          <w:lang w:val="pl-PL"/>
        </w:rPr>
        <w:t>15 ust. 3 wyczerpującego poinformowania Sekretarza Generalnego Rady Europy o środkach, które zostały podjęte w ramach uchylenia zobowiązań wynikających z Konwencji, oraz powodach ich zastosowania; oraz</w:t>
      </w:r>
      <w:r w:rsidR="007C2A0E">
        <w:rPr>
          <w:lang w:val="pl-PL"/>
        </w:rPr>
        <w:t> </w:t>
      </w:r>
      <w:r w:rsidR="00B0781D">
        <w:rPr>
          <w:lang w:val="pl-PL"/>
        </w:rPr>
        <w:t>(ii)</w:t>
      </w:r>
      <w:r w:rsidR="007C2A0E">
        <w:rPr>
          <w:lang w:val="pl-PL"/>
        </w:rPr>
        <w:t> </w:t>
      </w:r>
      <w:r w:rsidR="00B0781D">
        <w:rPr>
          <w:lang w:val="pl-PL"/>
        </w:rPr>
        <w:t>że,</w:t>
      </w:r>
      <w:r w:rsidR="007C2A0E">
        <w:rPr>
          <w:lang w:val="pl-PL"/>
        </w:rPr>
        <w:t> </w:t>
      </w:r>
      <w:r w:rsidR="00B0781D">
        <w:rPr>
          <w:lang w:val="pl-PL"/>
        </w:rPr>
        <w:t>jak</w:t>
      </w:r>
      <w:r w:rsidR="007C2A0E">
        <w:rPr>
          <w:lang w:val="pl-PL"/>
        </w:rPr>
        <w:t> </w:t>
      </w:r>
      <w:r w:rsidR="00B0781D">
        <w:rPr>
          <w:lang w:val="pl-PL"/>
        </w:rPr>
        <w:t xml:space="preserve">to w szczególności stwierdził Trybunał Konstytucyjny, próba wojskowego zamachu stanu ujawniła istnienie </w:t>
      </w:r>
      <w:r w:rsidR="00214357">
        <w:rPr>
          <w:lang w:val="pl-PL"/>
        </w:rPr>
        <w:t xml:space="preserve">„niebezpieczeństwa publicznego zagrażającego życiu narodu” w rozumieniu Konwencji. </w:t>
      </w:r>
    </w:p>
    <w:p w14:paraId="3052EDC0" w14:textId="77777777" w:rsidR="0023308F" w:rsidRPr="0023308F" w:rsidRDefault="0023308F">
      <w:pPr>
        <w:pStyle w:val="ClinContent"/>
        <w:rPr>
          <w:lang w:val="pl-PL"/>
        </w:rPr>
      </w:pPr>
      <w:r w:rsidRPr="0023308F">
        <w:rPr>
          <w:lang w:val="pl-PL"/>
        </w:rPr>
        <w:t>Natomiast k</w:t>
      </w:r>
      <w:r>
        <w:rPr>
          <w:lang w:val="pl-PL"/>
        </w:rPr>
        <w:t>westia</w:t>
      </w:r>
      <w:r w:rsidRPr="0023308F">
        <w:rPr>
          <w:lang w:val="pl-PL"/>
        </w:rPr>
        <w:t xml:space="preserve">, czy podjęte </w:t>
      </w:r>
      <w:r w:rsidR="0078024F">
        <w:rPr>
          <w:lang w:val="pl-PL"/>
        </w:rPr>
        <w:t xml:space="preserve">w sprawie skarżących </w:t>
      </w:r>
      <w:r w:rsidRPr="0023308F">
        <w:rPr>
          <w:lang w:val="pl-PL"/>
        </w:rPr>
        <w:t xml:space="preserve">środki </w:t>
      </w:r>
      <w:r w:rsidR="00E96037">
        <w:rPr>
          <w:lang w:val="pl-PL"/>
        </w:rPr>
        <w:t xml:space="preserve">ściśle odpowiadały wymogom </w:t>
      </w:r>
      <w:r>
        <w:rPr>
          <w:lang w:val="pl-PL"/>
        </w:rPr>
        <w:t>sytuac</w:t>
      </w:r>
      <w:r w:rsidR="00E96037">
        <w:rPr>
          <w:lang w:val="pl-PL"/>
        </w:rPr>
        <w:t>ji</w:t>
      </w:r>
      <w:r>
        <w:rPr>
          <w:lang w:val="pl-PL"/>
        </w:rPr>
        <w:t xml:space="preserve"> i </w:t>
      </w:r>
      <w:r w:rsidR="00E96037">
        <w:rPr>
          <w:lang w:val="pl-PL"/>
        </w:rPr>
        <w:t xml:space="preserve">były </w:t>
      </w:r>
      <w:r>
        <w:rPr>
          <w:lang w:val="pl-PL"/>
        </w:rPr>
        <w:t xml:space="preserve">zgodne z innymi zobowiązaniami na podstawie prawa międzynarodowego, powinna zostać zbadana łącznie z przedmiotem skarg. </w:t>
      </w:r>
    </w:p>
    <w:p w14:paraId="7877A4CE" w14:textId="2D080798" w:rsidR="0023308F" w:rsidRPr="0023308F" w:rsidRDefault="0023308F">
      <w:pPr>
        <w:pStyle w:val="ClinContent"/>
        <w:rPr>
          <w:lang w:val="pl-PL"/>
        </w:rPr>
      </w:pPr>
      <w:r w:rsidRPr="0023308F">
        <w:rPr>
          <w:lang w:val="pl-PL"/>
        </w:rPr>
        <w:t>Art. 5 ust. 1: Po pierws</w:t>
      </w:r>
      <w:r>
        <w:rPr>
          <w:lang w:val="pl-PL"/>
        </w:rPr>
        <w:t>z</w:t>
      </w:r>
      <w:r w:rsidRPr="0023308F">
        <w:rPr>
          <w:lang w:val="pl-PL"/>
        </w:rPr>
        <w:t xml:space="preserve">e, choć podstawa prawna, na której sądy </w:t>
      </w:r>
      <w:r>
        <w:rPr>
          <w:lang w:val="pl-PL"/>
        </w:rPr>
        <w:t>powszechne badały tymczasowe aresztowanie</w:t>
      </w:r>
      <w:r w:rsidR="0078024F">
        <w:rPr>
          <w:lang w:val="pl-PL"/>
        </w:rPr>
        <w:t xml:space="preserve"> skarżących</w:t>
      </w:r>
      <w:r>
        <w:rPr>
          <w:lang w:val="pl-PL"/>
        </w:rPr>
        <w:t>, różniła się od zastosowanej w kontekście skargi konstytucyjnej, nie można twierdzić, że Trybunał Konstytucyjny mógł zbadać zgodność z</w:t>
      </w:r>
      <w:r w:rsidR="007C2A0E">
        <w:rPr>
          <w:lang w:val="pl-PL"/>
        </w:rPr>
        <w:t> </w:t>
      </w:r>
      <w:r>
        <w:rPr>
          <w:lang w:val="pl-PL"/>
        </w:rPr>
        <w:t xml:space="preserve">prawem tymczasowego aresztowania bez </w:t>
      </w:r>
      <w:r w:rsidR="000C5BDE">
        <w:rPr>
          <w:lang w:val="pl-PL"/>
        </w:rPr>
        <w:t>rozważenia</w:t>
      </w:r>
      <w:r>
        <w:rPr>
          <w:lang w:val="pl-PL"/>
        </w:rPr>
        <w:t xml:space="preserve"> dowodów z akt sprawy. </w:t>
      </w:r>
    </w:p>
    <w:p w14:paraId="20FA6CAC" w14:textId="16B7D17B" w:rsidR="007D684C" w:rsidRPr="007D684C" w:rsidRDefault="0023308F" w:rsidP="007D684C">
      <w:pPr>
        <w:pStyle w:val="ClinContent"/>
        <w:rPr>
          <w:lang w:val="pl-PL"/>
        </w:rPr>
      </w:pPr>
      <w:r w:rsidRPr="0023308F">
        <w:rPr>
          <w:lang w:val="pl-PL"/>
        </w:rPr>
        <w:t xml:space="preserve">Po drugie, wiążący </w:t>
      </w:r>
      <w:r w:rsidR="007D684C" w:rsidRPr="0023308F">
        <w:rPr>
          <w:lang w:val="pl-PL"/>
        </w:rPr>
        <w:t>charakter</w:t>
      </w:r>
      <w:r w:rsidRPr="0023308F">
        <w:rPr>
          <w:lang w:val="pl-PL"/>
        </w:rPr>
        <w:t xml:space="preserve"> wyroków Trybunału Konstytucyjnego był właśnie jednym z</w:t>
      </w:r>
      <w:r w:rsidR="007C2A0E">
        <w:rPr>
          <w:lang w:val="pl-PL"/>
        </w:rPr>
        <w:t> </w:t>
      </w:r>
      <w:r w:rsidR="00942638">
        <w:rPr>
          <w:lang w:val="pl-PL"/>
        </w:rPr>
        <w:t xml:space="preserve">tych </w:t>
      </w:r>
      <w:r w:rsidRPr="0023308F">
        <w:rPr>
          <w:lang w:val="pl-PL"/>
        </w:rPr>
        <w:t>powodów, które doprowadziły do wniosku, ż</w:t>
      </w:r>
      <w:r>
        <w:rPr>
          <w:lang w:val="pl-PL"/>
        </w:rPr>
        <w:t>e sąd ten zapewnia skuteczny śr</w:t>
      </w:r>
      <w:r w:rsidRPr="0023308F">
        <w:rPr>
          <w:lang w:val="pl-PL"/>
        </w:rPr>
        <w:t>odek</w:t>
      </w:r>
      <w:r>
        <w:rPr>
          <w:lang w:val="pl-PL"/>
        </w:rPr>
        <w:t xml:space="preserve"> odwoławczy, który powinien być wykorzystywany </w:t>
      </w:r>
      <w:r w:rsidR="0078024F">
        <w:rPr>
          <w:lang w:val="pl-PL"/>
        </w:rPr>
        <w:t xml:space="preserve">przez skarżących </w:t>
      </w:r>
      <w:r>
        <w:rPr>
          <w:lang w:val="pl-PL"/>
        </w:rPr>
        <w:t xml:space="preserve">w sprawach dotyczących tymczasowego aresztowania (zobacz </w:t>
      </w:r>
      <w:r w:rsidR="007D684C">
        <w:rPr>
          <w:i/>
          <w:lang w:val="pl-PL"/>
        </w:rPr>
        <w:t>Uzun p</w:t>
      </w:r>
      <w:r w:rsidR="007D684C" w:rsidRPr="007D684C">
        <w:rPr>
          <w:i/>
          <w:lang w:val="pl-PL"/>
        </w:rPr>
        <w:t>. Tur</w:t>
      </w:r>
      <w:r w:rsidR="007D684C">
        <w:rPr>
          <w:i/>
          <w:lang w:val="pl-PL"/>
        </w:rPr>
        <w:t>cji</w:t>
      </w:r>
      <w:r w:rsidR="007D684C" w:rsidRPr="007D684C">
        <w:rPr>
          <w:lang w:val="pl-PL"/>
        </w:rPr>
        <w:t xml:space="preserve"> (dec.), </w:t>
      </w:r>
      <w:r w:rsidR="007D684C">
        <w:rPr>
          <w:lang w:val="pl-PL"/>
        </w:rPr>
        <w:t>skarga nr</w:t>
      </w:r>
      <w:r w:rsidR="007C2A0E">
        <w:rPr>
          <w:lang w:val="pl-PL"/>
        </w:rPr>
        <w:t> </w:t>
      </w:r>
      <w:r w:rsidR="007D684C" w:rsidRPr="007D684C">
        <w:rPr>
          <w:lang w:val="pl-PL"/>
        </w:rPr>
        <w:t>10755/13, 30 </w:t>
      </w:r>
      <w:r w:rsidR="007D684C">
        <w:rPr>
          <w:lang w:val="pl-PL"/>
        </w:rPr>
        <w:t>kwietnia</w:t>
      </w:r>
      <w:r w:rsidR="007D684C" w:rsidRPr="007D684C">
        <w:rPr>
          <w:lang w:val="pl-PL"/>
        </w:rPr>
        <w:t xml:space="preserve"> 2013</w:t>
      </w:r>
      <w:r w:rsidR="007D684C">
        <w:rPr>
          <w:lang w:val="pl-PL"/>
        </w:rPr>
        <w:t xml:space="preserve"> r.</w:t>
      </w:r>
      <w:r w:rsidR="00942638" w:rsidRPr="00942638">
        <w:rPr>
          <w:rStyle w:val="Odwoanieprzypisudolnego"/>
        </w:rPr>
        <w:footnoteReference w:id="2"/>
      </w:r>
      <w:r w:rsidR="007D684C" w:rsidRPr="00942638">
        <w:rPr>
          <w:lang w:val="pl-PL"/>
        </w:rPr>
        <w:t xml:space="preserve">, </w:t>
      </w:r>
      <w:hyperlink r:id="rId9" w:history="1">
        <w:r w:rsidR="007D684C">
          <w:rPr>
            <w:rStyle w:val="Hipercze"/>
            <w:lang w:val="pl-PL"/>
          </w:rPr>
          <w:t>Nota informacyjna nr</w:t>
        </w:r>
        <w:r w:rsidR="007D684C" w:rsidRPr="007D684C">
          <w:rPr>
            <w:rStyle w:val="Hipercze"/>
            <w:lang w:val="pl-PL"/>
          </w:rPr>
          <w:t xml:space="preserve"> 163</w:t>
        </w:r>
      </w:hyperlink>
      <w:r w:rsidR="007D684C" w:rsidRPr="007D684C">
        <w:rPr>
          <w:lang w:val="pl-PL"/>
        </w:rPr>
        <w:t xml:space="preserve">; </w:t>
      </w:r>
      <w:r w:rsidR="007D684C">
        <w:rPr>
          <w:lang w:val="pl-PL"/>
        </w:rPr>
        <w:t>oraz</w:t>
      </w:r>
      <w:r w:rsidR="007D684C" w:rsidRPr="007D684C">
        <w:rPr>
          <w:lang w:val="pl-PL"/>
        </w:rPr>
        <w:t xml:space="preserve"> </w:t>
      </w:r>
      <w:proofErr w:type="spellStart"/>
      <w:r w:rsidR="007D684C" w:rsidRPr="007D684C">
        <w:rPr>
          <w:i/>
          <w:lang w:val="pl-PL"/>
        </w:rPr>
        <w:t>Koçintar</w:t>
      </w:r>
      <w:proofErr w:type="spellEnd"/>
      <w:r w:rsidR="007D684C" w:rsidRPr="007D684C">
        <w:rPr>
          <w:i/>
          <w:lang w:val="pl-PL"/>
        </w:rPr>
        <w:t xml:space="preserve"> </w:t>
      </w:r>
      <w:r w:rsidR="007D684C">
        <w:rPr>
          <w:i/>
          <w:lang w:val="pl-PL"/>
        </w:rPr>
        <w:t>p</w:t>
      </w:r>
      <w:r w:rsidR="007D684C" w:rsidRPr="007D684C">
        <w:rPr>
          <w:i/>
          <w:lang w:val="pl-PL"/>
        </w:rPr>
        <w:t>. Tur</w:t>
      </w:r>
      <w:r w:rsidR="007D684C">
        <w:rPr>
          <w:i/>
          <w:lang w:val="pl-PL"/>
        </w:rPr>
        <w:t>cji</w:t>
      </w:r>
      <w:r w:rsidR="007D684C" w:rsidRPr="007D684C">
        <w:rPr>
          <w:lang w:val="pl-PL"/>
        </w:rPr>
        <w:t xml:space="preserve"> (dec.), </w:t>
      </w:r>
      <w:r w:rsidR="007D684C">
        <w:rPr>
          <w:lang w:val="pl-PL"/>
        </w:rPr>
        <w:t xml:space="preserve">skarga nr </w:t>
      </w:r>
      <w:r w:rsidR="007D684C" w:rsidRPr="007D684C">
        <w:rPr>
          <w:lang w:val="pl-PL"/>
        </w:rPr>
        <w:t>77429/12, 1 </w:t>
      </w:r>
      <w:r w:rsidR="007D684C">
        <w:rPr>
          <w:lang w:val="pl-PL"/>
        </w:rPr>
        <w:t>lipca</w:t>
      </w:r>
      <w:r w:rsidR="007D684C" w:rsidRPr="007D684C">
        <w:rPr>
          <w:lang w:val="pl-PL"/>
        </w:rPr>
        <w:t xml:space="preserve"> 2014</w:t>
      </w:r>
      <w:r w:rsidR="007D684C">
        <w:rPr>
          <w:lang w:val="pl-PL"/>
        </w:rPr>
        <w:t xml:space="preserve"> r.</w:t>
      </w:r>
      <w:r w:rsidR="007D684C" w:rsidRPr="007D684C">
        <w:rPr>
          <w:lang w:val="pl-PL"/>
        </w:rPr>
        <w:t xml:space="preserve">, </w:t>
      </w:r>
      <w:hyperlink r:id="rId10" w:history="1">
        <w:r w:rsidR="007D684C">
          <w:rPr>
            <w:rStyle w:val="Hipercze"/>
            <w:lang w:val="pl-PL"/>
          </w:rPr>
          <w:t>Nota informacyjna nr</w:t>
        </w:r>
        <w:r w:rsidR="007D684C" w:rsidRPr="007D684C">
          <w:rPr>
            <w:rStyle w:val="Hipercze"/>
            <w:lang w:val="pl-PL"/>
          </w:rPr>
          <w:t> 176</w:t>
        </w:r>
      </w:hyperlink>
      <w:r w:rsidR="007D684C" w:rsidRPr="007D684C">
        <w:rPr>
          <w:lang w:val="pl-PL"/>
        </w:rPr>
        <w:t>).</w:t>
      </w:r>
    </w:p>
    <w:p w14:paraId="4227C373" w14:textId="115E8EEE" w:rsidR="007D684C" w:rsidRPr="007D684C" w:rsidRDefault="007D684C">
      <w:pPr>
        <w:pStyle w:val="ClinContent"/>
        <w:rPr>
          <w:lang w:val="pl-PL"/>
        </w:rPr>
      </w:pPr>
      <w:r w:rsidRPr="007D684C">
        <w:rPr>
          <w:lang w:val="pl-PL"/>
        </w:rPr>
        <w:t>Stosownie do tego, jeś</w:t>
      </w:r>
      <w:r>
        <w:rPr>
          <w:lang w:val="pl-PL"/>
        </w:rPr>
        <w:t>li Trybunał Konstytucyjny orzeka</w:t>
      </w:r>
      <w:r w:rsidRPr="007D684C">
        <w:rPr>
          <w:lang w:val="pl-PL"/>
        </w:rPr>
        <w:t>, że tymczasowe ares</w:t>
      </w:r>
      <w:r>
        <w:rPr>
          <w:lang w:val="pl-PL"/>
        </w:rPr>
        <w:t>z</w:t>
      </w:r>
      <w:r w:rsidRPr="007D684C">
        <w:rPr>
          <w:lang w:val="pl-PL"/>
        </w:rPr>
        <w:t xml:space="preserve">towanie danej osoby narusza </w:t>
      </w:r>
      <w:r>
        <w:rPr>
          <w:lang w:val="pl-PL"/>
        </w:rPr>
        <w:t>Konstytucję, właściwe sądy powinny zareagować w taki sposób, by</w:t>
      </w:r>
      <w:r w:rsidR="007C2A0E">
        <w:rPr>
          <w:lang w:val="pl-PL"/>
        </w:rPr>
        <w:t> </w:t>
      </w:r>
      <w:r>
        <w:rPr>
          <w:lang w:val="pl-PL"/>
        </w:rPr>
        <w:t>zapewnić zwolnienie tej osoby, chyba że nowe powody lub dowod</w:t>
      </w:r>
      <w:bookmarkStart w:id="0" w:name="_GoBack"/>
      <w:bookmarkEnd w:id="0"/>
      <w:r>
        <w:rPr>
          <w:lang w:val="pl-PL"/>
        </w:rPr>
        <w:t xml:space="preserve">y uzasadniają przeciwnie. </w:t>
      </w:r>
    </w:p>
    <w:p w14:paraId="0A81D8C4" w14:textId="77777777" w:rsidR="007D684C" w:rsidRPr="007D684C" w:rsidRDefault="007D684C">
      <w:pPr>
        <w:pStyle w:val="ClinContent"/>
        <w:rPr>
          <w:lang w:val="pl-PL"/>
        </w:rPr>
      </w:pPr>
      <w:r w:rsidRPr="007D684C">
        <w:rPr>
          <w:lang w:val="pl-PL"/>
        </w:rPr>
        <w:t xml:space="preserve">W obecnej sprawie sądy przysięgłych odmówiły jednak zwolnienia skarżących pomimo wyroku </w:t>
      </w:r>
      <w:r w:rsidR="00E96037" w:rsidRPr="007D684C">
        <w:rPr>
          <w:lang w:val="pl-PL"/>
        </w:rPr>
        <w:t>Trybunału</w:t>
      </w:r>
      <w:r w:rsidRPr="007D684C">
        <w:rPr>
          <w:lang w:val="pl-PL"/>
        </w:rPr>
        <w:t xml:space="preserve"> Konstytucyjnego, dokonując wykładni i stosowania prawa krajowego </w:t>
      </w:r>
      <w:r w:rsidRPr="007D684C">
        <w:rPr>
          <w:lang w:val="pl-PL"/>
        </w:rPr>
        <w:lastRenderedPageBreak/>
        <w:t xml:space="preserve">w sposób </w:t>
      </w:r>
      <w:r w:rsidR="00E96037" w:rsidRPr="007D684C">
        <w:rPr>
          <w:lang w:val="pl-PL"/>
        </w:rPr>
        <w:t>odbiegający</w:t>
      </w:r>
      <w:r w:rsidRPr="007D684C">
        <w:rPr>
          <w:lang w:val="pl-PL"/>
        </w:rPr>
        <w:t xml:space="preserve"> od podejścia wskazanego Europejski</w:t>
      </w:r>
      <w:r w:rsidR="00942638">
        <w:rPr>
          <w:lang w:val="pl-PL"/>
        </w:rPr>
        <w:t>emu</w:t>
      </w:r>
      <w:r w:rsidRPr="007D684C">
        <w:rPr>
          <w:lang w:val="pl-PL"/>
        </w:rPr>
        <w:t xml:space="preserve"> Trybunał</w:t>
      </w:r>
      <w:r w:rsidR="00942638">
        <w:rPr>
          <w:lang w:val="pl-PL"/>
        </w:rPr>
        <w:t>owi</w:t>
      </w:r>
      <w:r w:rsidRPr="007D684C">
        <w:rPr>
          <w:lang w:val="pl-PL"/>
        </w:rPr>
        <w:t xml:space="preserve"> </w:t>
      </w:r>
      <w:r w:rsidR="00E96037" w:rsidRPr="007D684C">
        <w:rPr>
          <w:lang w:val="pl-PL"/>
        </w:rPr>
        <w:t>Praw</w:t>
      </w:r>
      <w:r w:rsidRPr="007D684C">
        <w:rPr>
          <w:lang w:val="pl-PL"/>
        </w:rPr>
        <w:t xml:space="preserve"> Człowieka</w:t>
      </w:r>
      <w:r w:rsidR="00942638">
        <w:rPr>
          <w:lang w:val="pl-PL"/>
        </w:rPr>
        <w:t xml:space="preserve"> przez Rząd</w:t>
      </w:r>
      <w:r w:rsidRPr="007D684C">
        <w:rPr>
          <w:lang w:val="pl-PL"/>
        </w:rPr>
        <w:t xml:space="preserve">, </w:t>
      </w:r>
      <w:r w:rsidR="00942638">
        <w:rPr>
          <w:lang w:val="pl-PL"/>
        </w:rPr>
        <w:t>k</w:t>
      </w:r>
      <w:r w:rsidRPr="007D684C">
        <w:rPr>
          <w:lang w:val="pl-PL"/>
        </w:rPr>
        <w:t>tóry twierdził, że skarga do Trybunału Konstytucyjnego jest skutecznym środkiem</w:t>
      </w:r>
      <w:r w:rsidR="00E96037">
        <w:rPr>
          <w:lang w:val="pl-PL"/>
        </w:rPr>
        <w:t xml:space="preserve"> odwoławczym</w:t>
      </w:r>
      <w:r w:rsidRPr="007D684C">
        <w:rPr>
          <w:lang w:val="pl-PL"/>
        </w:rPr>
        <w:t xml:space="preserve">. </w:t>
      </w:r>
      <w:r>
        <w:rPr>
          <w:lang w:val="pl-PL"/>
        </w:rPr>
        <w:t>Uzasadnienie podane przez sądy przysięgłych nie może być</w:t>
      </w:r>
      <w:r w:rsidR="00E96037">
        <w:rPr>
          <w:lang w:val="pl-PL"/>
        </w:rPr>
        <w:t xml:space="preserve"> zaakceptowane</w:t>
      </w:r>
      <w:r>
        <w:rPr>
          <w:lang w:val="pl-PL"/>
        </w:rPr>
        <w:t xml:space="preserve">. </w:t>
      </w:r>
      <w:r w:rsidR="00E96037">
        <w:rPr>
          <w:lang w:val="pl-PL"/>
        </w:rPr>
        <w:t xml:space="preserve">Możliwość zakwestionowania przez inny sąd uprawnień przyznanych trybunałowi konstytucyjnemu do wydawania „ostatecznych i wiążących wyroków” idzie wbrew fundamentalnym zasadom praworządności i pewności prawnej. </w:t>
      </w:r>
    </w:p>
    <w:p w14:paraId="32657D58" w14:textId="0CD5192D" w:rsidR="00E96037" w:rsidRPr="00E96037" w:rsidRDefault="00E96037">
      <w:pPr>
        <w:pStyle w:val="ClinContent"/>
        <w:rPr>
          <w:lang w:val="pl-PL"/>
        </w:rPr>
      </w:pPr>
      <w:r w:rsidRPr="00E96037">
        <w:rPr>
          <w:lang w:val="pl-PL"/>
        </w:rPr>
        <w:t xml:space="preserve">Przy braku jakichkolwiek dowodów wskazujących, że doszło do zmiany podstawy </w:t>
      </w:r>
      <w:r>
        <w:rPr>
          <w:lang w:val="pl-PL"/>
        </w:rPr>
        <w:t>pozbawienia wolności skarżących, utrzymywanie ich tymczasowego aresztowania po</w:t>
      </w:r>
      <w:r w:rsidR="007C2A0E">
        <w:rPr>
          <w:lang w:val="pl-PL"/>
        </w:rPr>
        <w:t> </w:t>
      </w:r>
      <w:r w:rsidR="00942638">
        <w:rPr>
          <w:lang w:val="pl-PL"/>
        </w:rPr>
        <w:t xml:space="preserve">wydaniu </w:t>
      </w:r>
      <w:r>
        <w:rPr>
          <w:lang w:val="pl-PL"/>
        </w:rPr>
        <w:t>j</w:t>
      </w:r>
      <w:r w:rsidR="00942638">
        <w:rPr>
          <w:lang w:val="pl-PL"/>
        </w:rPr>
        <w:t>asnych i jednoznacznych wyroków przez Trybunał Konstytucyjny</w:t>
      </w:r>
      <w:r>
        <w:rPr>
          <w:lang w:val="pl-PL"/>
        </w:rPr>
        <w:t xml:space="preserve"> nie może być uznane za pozbawienie wolności „w trybie ustalonym przez prawo”. </w:t>
      </w:r>
    </w:p>
    <w:p w14:paraId="7A865DE6" w14:textId="602FF0B0" w:rsidR="00E96037" w:rsidRPr="00E96037" w:rsidRDefault="00E96037">
      <w:pPr>
        <w:pStyle w:val="ClinContent"/>
        <w:rPr>
          <w:lang w:val="pl-PL"/>
        </w:rPr>
      </w:pPr>
      <w:r w:rsidRPr="00E96037">
        <w:rPr>
          <w:lang w:val="pl-PL"/>
        </w:rPr>
        <w:t>W odniesieniu do kontekstu</w:t>
      </w:r>
      <w:r w:rsidR="0078024F">
        <w:rPr>
          <w:lang w:val="pl-PL"/>
        </w:rPr>
        <w:t xml:space="preserve"> sprawy</w:t>
      </w:r>
      <w:r w:rsidRPr="00E96037">
        <w:rPr>
          <w:lang w:val="pl-PL"/>
        </w:rPr>
        <w:t xml:space="preserve"> związanego z uchyleniem przez Turcję</w:t>
      </w:r>
      <w:r>
        <w:rPr>
          <w:lang w:val="pl-PL"/>
        </w:rPr>
        <w:t xml:space="preserve"> </w:t>
      </w:r>
      <w:r w:rsidRPr="00E96037">
        <w:rPr>
          <w:lang w:val="pl-PL"/>
        </w:rPr>
        <w:t>zobowi</w:t>
      </w:r>
      <w:r>
        <w:rPr>
          <w:lang w:val="pl-PL"/>
        </w:rPr>
        <w:t xml:space="preserve">ązań wynikających z Konwencji, tymczasowe aresztowanie, które </w:t>
      </w:r>
      <w:r w:rsidR="0052402C">
        <w:rPr>
          <w:lang w:val="pl-PL"/>
        </w:rPr>
        <w:t xml:space="preserve">jest </w:t>
      </w:r>
      <w:r>
        <w:rPr>
          <w:lang w:val="pl-PL"/>
        </w:rPr>
        <w:t>bezprawne z uwagi na</w:t>
      </w:r>
      <w:r w:rsidR="007C2A0E">
        <w:rPr>
          <w:lang w:val="pl-PL"/>
        </w:rPr>
        <w:t> </w:t>
      </w:r>
      <w:r>
        <w:rPr>
          <w:lang w:val="pl-PL"/>
        </w:rPr>
        <w:t xml:space="preserve">brak </w:t>
      </w:r>
      <w:r w:rsidR="0078024F">
        <w:rPr>
          <w:lang w:val="pl-PL"/>
        </w:rPr>
        <w:t xml:space="preserve">istnienia </w:t>
      </w:r>
      <w:r>
        <w:rPr>
          <w:lang w:val="pl-PL"/>
        </w:rPr>
        <w:t>uzasadnionego podejrzenia, nie</w:t>
      </w:r>
      <w:r w:rsidR="0052402C">
        <w:rPr>
          <w:lang w:val="pl-PL"/>
        </w:rPr>
        <w:t xml:space="preserve"> jest</w:t>
      </w:r>
      <w:r>
        <w:rPr>
          <w:lang w:val="pl-PL"/>
        </w:rPr>
        <w:t xml:space="preserve"> środkiem ściśle odpowiadającym wymogom sytuacji, która uzasadniała zastosowanie art. 15.</w:t>
      </w:r>
    </w:p>
    <w:p w14:paraId="0FCD44F5" w14:textId="77777777" w:rsidR="00E96037" w:rsidRPr="00E96037" w:rsidRDefault="00E96037">
      <w:pPr>
        <w:pStyle w:val="ClinContent"/>
        <w:rPr>
          <w:lang w:val="pl-PL"/>
        </w:rPr>
      </w:pPr>
      <w:r w:rsidRPr="00E96037">
        <w:rPr>
          <w:lang w:val="pl-PL"/>
        </w:rPr>
        <w:t xml:space="preserve">Trybunał </w:t>
      </w:r>
      <w:r w:rsidR="0052402C">
        <w:rPr>
          <w:lang w:val="pl-PL"/>
        </w:rPr>
        <w:t>wskazał</w:t>
      </w:r>
      <w:r w:rsidRPr="00E96037">
        <w:rPr>
          <w:lang w:val="pl-PL"/>
        </w:rPr>
        <w:t>, że zastrzega sobie pr</w:t>
      </w:r>
      <w:r>
        <w:rPr>
          <w:lang w:val="pl-PL"/>
        </w:rPr>
        <w:t>a</w:t>
      </w:r>
      <w:r w:rsidRPr="00E96037">
        <w:rPr>
          <w:lang w:val="pl-PL"/>
        </w:rPr>
        <w:t xml:space="preserve">wo do ponownego zbadania skuteczności skargi do Trybunału Konstytucyjnego dla </w:t>
      </w:r>
      <w:r>
        <w:rPr>
          <w:lang w:val="pl-PL"/>
        </w:rPr>
        <w:t>o</w:t>
      </w:r>
      <w:r w:rsidRPr="00E96037">
        <w:rPr>
          <w:lang w:val="pl-PL"/>
        </w:rPr>
        <w:t xml:space="preserve">chrony praw zawartych w art. </w:t>
      </w:r>
      <w:r>
        <w:rPr>
          <w:lang w:val="pl-PL"/>
        </w:rPr>
        <w:t xml:space="preserve">5 i w tym względzie weźmie pod uwagę praktykę sądów krajowych odnoszącą się do autorytetu wyroków Trybunału Konstytucyjnego. </w:t>
      </w:r>
    </w:p>
    <w:p w14:paraId="50DB1CFB" w14:textId="77777777" w:rsidR="00E96037" w:rsidRPr="00E96037" w:rsidRDefault="00E96037">
      <w:pPr>
        <w:pStyle w:val="ClinContent"/>
        <w:rPr>
          <w:lang w:val="pl-PL"/>
        </w:rPr>
      </w:pPr>
      <w:r w:rsidRPr="00E96037">
        <w:rPr>
          <w:i/>
          <w:lang w:val="pl-PL"/>
        </w:rPr>
        <w:t>Rozstrzygnięcie</w:t>
      </w:r>
      <w:r w:rsidRPr="00E96037">
        <w:rPr>
          <w:lang w:val="pl-PL"/>
        </w:rPr>
        <w:t>: naruszenie (sześcioma głosami do jednego).</w:t>
      </w:r>
    </w:p>
    <w:p w14:paraId="00F3A8F2" w14:textId="5FC39DA1" w:rsidR="00E96037" w:rsidRPr="001470AC" w:rsidRDefault="00E96037">
      <w:pPr>
        <w:pStyle w:val="ClinContent"/>
        <w:rPr>
          <w:lang w:val="pl-PL"/>
        </w:rPr>
      </w:pPr>
      <w:r w:rsidRPr="001470AC">
        <w:rPr>
          <w:lang w:val="pl-PL"/>
        </w:rPr>
        <w:t xml:space="preserve">Art. 5 ust. 4: </w:t>
      </w:r>
      <w:r w:rsidR="001470AC" w:rsidRPr="001470AC">
        <w:rPr>
          <w:lang w:val="pl-PL"/>
        </w:rPr>
        <w:t xml:space="preserve">W obecnej sprawie skarżący byli w stanie uzyskać </w:t>
      </w:r>
      <w:r w:rsidR="0052402C" w:rsidRPr="001470AC">
        <w:rPr>
          <w:lang w:val="pl-PL"/>
        </w:rPr>
        <w:t xml:space="preserve">w kilku przypadkach </w:t>
      </w:r>
      <w:r w:rsidR="0052402C">
        <w:rPr>
          <w:lang w:val="pl-PL"/>
        </w:rPr>
        <w:t>„</w:t>
      </w:r>
      <w:r w:rsidR="001470AC" w:rsidRPr="001470AC">
        <w:rPr>
          <w:lang w:val="pl-PL"/>
        </w:rPr>
        <w:t xml:space="preserve">bezzwłoczne” zbadanie przez właściwy sąd uzasadnienia ich pozbawienia wolności. </w:t>
      </w:r>
      <w:r w:rsidR="001470AC">
        <w:rPr>
          <w:lang w:val="pl-PL"/>
        </w:rPr>
        <w:t>W</w:t>
      </w:r>
      <w:r w:rsidR="007C2A0E">
        <w:rPr>
          <w:lang w:val="pl-PL"/>
        </w:rPr>
        <w:t> </w:t>
      </w:r>
      <w:r w:rsidR="001470AC">
        <w:rPr>
          <w:lang w:val="pl-PL"/>
        </w:rPr>
        <w:t>systemie tego rodzaju Trybunał może zaakceptować dłuższe okresy badania przez</w:t>
      </w:r>
      <w:r w:rsidR="007C2A0E">
        <w:rPr>
          <w:lang w:val="pl-PL"/>
        </w:rPr>
        <w:t> </w:t>
      </w:r>
      <w:r w:rsidR="001470AC">
        <w:rPr>
          <w:lang w:val="pl-PL"/>
        </w:rPr>
        <w:t xml:space="preserve">Trybunał Konstytucyjny. </w:t>
      </w:r>
    </w:p>
    <w:p w14:paraId="1EA504A3" w14:textId="34936EA3" w:rsidR="001470AC" w:rsidRPr="001470AC" w:rsidRDefault="001470AC">
      <w:pPr>
        <w:pStyle w:val="ClinContent"/>
        <w:rPr>
          <w:lang w:val="pl-PL"/>
        </w:rPr>
      </w:pPr>
      <w:r w:rsidRPr="001470AC">
        <w:rPr>
          <w:lang w:val="pl-PL"/>
        </w:rPr>
        <w:t xml:space="preserve">Choć okres czternastu do szesnastu miesięcy może </w:t>
      </w:r>
      <w:r w:rsidR="000255FD">
        <w:rPr>
          <w:lang w:val="pl-PL"/>
        </w:rPr>
        <w:t xml:space="preserve">mimo to </w:t>
      </w:r>
      <w:r w:rsidR="0052402C">
        <w:rPr>
          <w:lang w:val="pl-PL"/>
        </w:rPr>
        <w:t>zostać</w:t>
      </w:r>
      <w:r w:rsidRPr="001470AC">
        <w:rPr>
          <w:lang w:val="pl-PL"/>
        </w:rPr>
        <w:t xml:space="preserve"> uznany za niezgodny z wymogiem </w:t>
      </w:r>
      <w:r w:rsidR="0052402C">
        <w:rPr>
          <w:lang w:val="pl-PL"/>
        </w:rPr>
        <w:t>„</w:t>
      </w:r>
      <w:r w:rsidRPr="001470AC">
        <w:rPr>
          <w:lang w:val="pl-PL"/>
        </w:rPr>
        <w:t>bezzwłoczności</w:t>
      </w:r>
      <w:r>
        <w:rPr>
          <w:lang w:val="pl-PL"/>
        </w:rPr>
        <w:t>” w normalnym kontekście, takie stwierdzenie nie stosuje się do szczególnych okoliczności obu spraw: po pierwsze, skargi skarżących do</w:t>
      </w:r>
      <w:r w:rsidR="007C2A0E">
        <w:rPr>
          <w:lang w:val="pl-PL"/>
        </w:rPr>
        <w:t> </w:t>
      </w:r>
      <w:r>
        <w:rPr>
          <w:lang w:val="pl-PL"/>
        </w:rPr>
        <w:t>Trybunału Konstytucyjnego podnosiły nowe i złożone kwestie</w:t>
      </w:r>
      <w:r w:rsidR="000255FD">
        <w:rPr>
          <w:lang w:val="pl-PL"/>
        </w:rPr>
        <w:t>,</w:t>
      </w:r>
      <w:r>
        <w:rPr>
          <w:lang w:val="pl-PL"/>
        </w:rPr>
        <w:t xml:space="preserve"> powiązane ze stanem wyjątkowym po próbie wojskowego zamachu stanu; a po drugie, liczba spraw zawisłych przed Trybunałem Konstytucyjnym po wprowadzeniu stanu wyjątkowego stworzyła wyjątkową sytuację. </w:t>
      </w:r>
      <w:r w:rsidRPr="001470AC">
        <w:rPr>
          <w:lang w:val="pl-PL"/>
        </w:rPr>
        <w:t xml:space="preserve"> </w:t>
      </w:r>
    </w:p>
    <w:p w14:paraId="3BAFA7F3" w14:textId="77777777" w:rsidR="00FA0F3C" w:rsidRPr="00FA0F3C" w:rsidRDefault="0052402C">
      <w:pPr>
        <w:pStyle w:val="ClinContent"/>
        <w:rPr>
          <w:lang w:val="pl-PL"/>
        </w:rPr>
      </w:pPr>
      <w:r>
        <w:rPr>
          <w:lang w:val="pl-PL"/>
        </w:rPr>
        <w:t>N</w:t>
      </w:r>
      <w:r w:rsidR="00FA0F3C">
        <w:rPr>
          <w:lang w:val="pl-PL"/>
        </w:rPr>
        <w:t>ie oznacza to</w:t>
      </w:r>
      <w:r>
        <w:rPr>
          <w:lang w:val="pl-PL"/>
        </w:rPr>
        <w:t xml:space="preserve"> jednak</w:t>
      </w:r>
      <w:r w:rsidR="00FA0F3C">
        <w:rPr>
          <w:lang w:val="pl-PL"/>
        </w:rPr>
        <w:t>, że Trybunał Konstytucyjny ma „</w:t>
      </w:r>
      <w:r w:rsidR="00FA0F3C" w:rsidRPr="00744426">
        <w:rPr>
          <w:i/>
          <w:lang w:val="pl-PL"/>
        </w:rPr>
        <w:t>carte blanche</w:t>
      </w:r>
      <w:r w:rsidR="00FA0F3C">
        <w:rPr>
          <w:lang w:val="pl-PL"/>
        </w:rPr>
        <w:t xml:space="preserve">” w tym zakresie: zgodnie z art. 19 Konwencji Trybunał zachowuje swą ostateczną kompetencję nadzorczą wobec </w:t>
      </w:r>
      <w:r>
        <w:rPr>
          <w:lang w:val="pl-PL"/>
        </w:rPr>
        <w:t xml:space="preserve">złożonych przez </w:t>
      </w:r>
      <w:r w:rsidR="00FA0F3C">
        <w:rPr>
          <w:lang w:val="pl-PL"/>
        </w:rPr>
        <w:t>innych sk</w:t>
      </w:r>
      <w:r w:rsidR="00744426">
        <w:rPr>
          <w:lang w:val="pl-PL"/>
        </w:rPr>
        <w:t xml:space="preserve">arżących </w:t>
      </w:r>
      <w:r w:rsidR="0078024F">
        <w:rPr>
          <w:lang w:val="pl-PL"/>
        </w:rPr>
        <w:t xml:space="preserve">skarg </w:t>
      </w:r>
      <w:r w:rsidR="00744426">
        <w:rPr>
          <w:lang w:val="pl-PL"/>
        </w:rPr>
        <w:t>na długość postępowań</w:t>
      </w:r>
      <w:r w:rsidR="00FA0F3C">
        <w:rPr>
          <w:lang w:val="pl-PL"/>
        </w:rPr>
        <w:t xml:space="preserve"> </w:t>
      </w:r>
      <w:r>
        <w:rPr>
          <w:lang w:val="pl-PL"/>
        </w:rPr>
        <w:t xml:space="preserve">dotyczących </w:t>
      </w:r>
      <w:r w:rsidR="00FA0F3C">
        <w:rPr>
          <w:lang w:val="pl-PL"/>
        </w:rPr>
        <w:t xml:space="preserve">ich skarg do Trybunału Konstytucyjnego </w:t>
      </w:r>
      <w:r>
        <w:rPr>
          <w:lang w:val="pl-PL"/>
        </w:rPr>
        <w:t>w sprawie</w:t>
      </w:r>
      <w:r w:rsidR="00FA0F3C">
        <w:rPr>
          <w:lang w:val="pl-PL"/>
        </w:rPr>
        <w:t xml:space="preserve"> zgodności z prawem ich pozbawienia wolności.  </w:t>
      </w:r>
    </w:p>
    <w:p w14:paraId="5CCAE63C" w14:textId="611BD4D9" w:rsidR="00FA0F3C" w:rsidRPr="00645E4F" w:rsidRDefault="00FA0F3C">
      <w:pPr>
        <w:pStyle w:val="ClinContent"/>
        <w:rPr>
          <w:lang w:val="pl-PL"/>
        </w:rPr>
      </w:pPr>
      <w:r w:rsidRPr="00645E4F">
        <w:rPr>
          <w:i/>
          <w:lang w:val="pl-PL"/>
        </w:rPr>
        <w:t>Rozstrzygnięcie</w:t>
      </w:r>
      <w:r w:rsidRPr="00645E4F">
        <w:rPr>
          <w:lang w:val="pl-PL"/>
        </w:rPr>
        <w:t>: brak naruszenia (jedno</w:t>
      </w:r>
      <w:r w:rsidR="00F65A0A">
        <w:rPr>
          <w:lang w:val="pl-PL"/>
        </w:rPr>
        <w:t>głośnie</w:t>
      </w:r>
      <w:r w:rsidRPr="00645E4F">
        <w:rPr>
          <w:lang w:val="pl-PL"/>
        </w:rPr>
        <w:t>)</w:t>
      </w:r>
      <w:r w:rsidR="00F65A0A">
        <w:rPr>
          <w:lang w:val="pl-PL"/>
        </w:rPr>
        <w:t>.</w:t>
      </w:r>
    </w:p>
    <w:p w14:paraId="6EEF82EE" w14:textId="2DBA0632" w:rsidR="00EF0864" w:rsidRPr="00EF0864" w:rsidRDefault="00EF0864">
      <w:pPr>
        <w:pStyle w:val="ClinContent"/>
        <w:rPr>
          <w:lang w:val="pl-PL"/>
        </w:rPr>
      </w:pPr>
      <w:r w:rsidRPr="00EF0864">
        <w:rPr>
          <w:lang w:val="pl-PL"/>
        </w:rPr>
        <w:t>Art. 10: Choć mogły</w:t>
      </w:r>
      <w:r w:rsidR="00DA3391">
        <w:rPr>
          <w:lang w:val="pl-PL"/>
        </w:rPr>
        <w:t xml:space="preserve"> zachodzić</w:t>
      </w:r>
      <w:r w:rsidRPr="00EF0864">
        <w:rPr>
          <w:lang w:val="pl-PL"/>
        </w:rPr>
        <w:t xml:space="preserve"> poważne wątpliwości co do tego, czy ingerencja </w:t>
      </w:r>
      <w:r w:rsidR="0078024F">
        <w:rPr>
          <w:lang w:val="pl-PL"/>
        </w:rPr>
        <w:t>w</w:t>
      </w:r>
      <w:r w:rsidR="007C2A0E">
        <w:rPr>
          <w:lang w:val="pl-PL"/>
        </w:rPr>
        <w:t> </w:t>
      </w:r>
      <w:r w:rsidR="0078024F">
        <w:rPr>
          <w:lang w:val="pl-PL"/>
        </w:rPr>
        <w:t xml:space="preserve">sprawie skarżących </w:t>
      </w:r>
      <w:r w:rsidRPr="00EF0864">
        <w:rPr>
          <w:lang w:val="pl-PL"/>
        </w:rPr>
        <w:t xml:space="preserve">była </w:t>
      </w:r>
      <w:r>
        <w:rPr>
          <w:lang w:val="pl-PL"/>
        </w:rPr>
        <w:t>przewidywalna, nie było konieczne rozstrzyganie</w:t>
      </w:r>
      <w:r w:rsidR="002F31C0">
        <w:rPr>
          <w:lang w:val="pl-PL"/>
        </w:rPr>
        <w:t xml:space="preserve"> tej kwestii </w:t>
      </w:r>
      <w:r>
        <w:rPr>
          <w:lang w:val="pl-PL"/>
        </w:rPr>
        <w:t>przez Trybunał</w:t>
      </w:r>
      <w:r w:rsidR="0078024F" w:rsidRPr="0078024F">
        <w:rPr>
          <w:lang w:val="pl-PL"/>
        </w:rPr>
        <w:t xml:space="preserve"> </w:t>
      </w:r>
      <w:r w:rsidR="0078024F">
        <w:rPr>
          <w:lang w:val="pl-PL"/>
        </w:rPr>
        <w:t>z następujących względów</w:t>
      </w:r>
      <w:r>
        <w:rPr>
          <w:lang w:val="pl-PL"/>
        </w:rPr>
        <w:t>:</w:t>
      </w:r>
    </w:p>
    <w:p w14:paraId="757EDD51" w14:textId="7E8CD573" w:rsidR="00C446FD" w:rsidRPr="00C446FD" w:rsidRDefault="00C446FD">
      <w:pPr>
        <w:pStyle w:val="ClinContent"/>
        <w:rPr>
          <w:lang w:val="pl-PL"/>
        </w:rPr>
      </w:pPr>
      <w:r w:rsidRPr="00C446FD">
        <w:rPr>
          <w:lang w:val="pl-PL"/>
        </w:rPr>
        <w:t xml:space="preserve">Trybunał był gotów uwzględnić trudności stojące przed Turcją po próbie wojskowego zamachu stanu. </w:t>
      </w:r>
      <w:r>
        <w:rPr>
          <w:lang w:val="pl-PL"/>
        </w:rPr>
        <w:t>Istnienie „niebezpieczeństwa publicznego zagrażającego życiu narodu” nie może jednak służyć jako pretekst do ograniczenia wolności debaty politycznej, która</w:t>
      </w:r>
      <w:r w:rsidR="007C2A0E">
        <w:rPr>
          <w:lang w:val="pl-PL"/>
        </w:rPr>
        <w:t> </w:t>
      </w:r>
      <w:r>
        <w:rPr>
          <w:lang w:val="pl-PL"/>
        </w:rPr>
        <w:t>jest u samych podstaw koncepcji społeczeństwa demokratycznego. Nawet w stanie wyjątkowym – reżimie prawnym mającym na celu przywrócenie sytuacji do normal</w:t>
      </w:r>
      <w:r w:rsidR="008745CC">
        <w:rPr>
          <w:lang w:val="pl-PL"/>
        </w:rPr>
        <w:t>ności</w:t>
      </w:r>
      <w:r>
        <w:rPr>
          <w:lang w:val="pl-PL"/>
        </w:rPr>
        <w:t xml:space="preserve"> </w:t>
      </w:r>
      <w:r w:rsidR="00DA3391">
        <w:rPr>
          <w:lang w:val="pl-PL"/>
        </w:rPr>
        <w:t>po</w:t>
      </w:r>
      <w:r w:rsidRPr="00DA3391">
        <w:rPr>
          <w:lang w:val="pl-PL"/>
        </w:rPr>
        <w:t>przez</w:t>
      </w:r>
      <w:r>
        <w:rPr>
          <w:lang w:val="pl-PL"/>
        </w:rPr>
        <w:t xml:space="preserve"> </w:t>
      </w:r>
      <w:r w:rsidR="00DA3391">
        <w:rPr>
          <w:lang w:val="pl-PL"/>
        </w:rPr>
        <w:t>za</w:t>
      </w:r>
      <w:r>
        <w:rPr>
          <w:lang w:val="pl-PL"/>
        </w:rPr>
        <w:t>gwarantowanie praw podstaw</w:t>
      </w:r>
      <w:r w:rsidR="008745CC">
        <w:rPr>
          <w:lang w:val="pl-PL"/>
        </w:rPr>
        <w:t>ow</w:t>
      </w:r>
      <w:r>
        <w:rPr>
          <w:lang w:val="pl-PL"/>
        </w:rPr>
        <w:t xml:space="preserve">ych (jak to zauważył Trybunał Konstytucyjny) </w:t>
      </w:r>
      <w:r w:rsidR="008745CC">
        <w:rPr>
          <w:lang w:val="pl-PL"/>
        </w:rPr>
        <w:t xml:space="preserve">– wszelkie podejmowane środki powinny zmierzać do ochrony porządku demokratycznego przed zagrożeniami, a władze powinny dołożyć wszelkich starań, </w:t>
      </w:r>
      <w:r w:rsidR="008745CC">
        <w:rPr>
          <w:lang w:val="pl-PL"/>
        </w:rPr>
        <w:lastRenderedPageBreak/>
        <w:t>by</w:t>
      </w:r>
      <w:r w:rsidR="007C2A0E">
        <w:rPr>
          <w:lang w:val="pl-PL"/>
        </w:rPr>
        <w:t> </w:t>
      </w:r>
      <w:r w:rsidR="008745CC">
        <w:rPr>
          <w:lang w:val="pl-PL"/>
        </w:rPr>
        <w:t xml:space="preserve">zagwarantować wartości społeczeństwa demokratycznego, takie jak pluralizm, tolerancja i otwartość. </w:t>
      </w:r>
    </w:p>
    <w:p w14:paraId="1EFD6C2E" w14:textId="3E9C4DE2" w:rsidR="00AA0E2D" w:rsidRPr="00AA0E2D" w:rsidRDefault="00AA0E2D">
      <w:pPr>
        <w:pStyle w:val="ClinContent"/>
        <w:rPr>
          <w:lang w:val="pl-PL"/>
        </w:rPr>
      </w:pPr>
      <w:r w:rsidRPr="00AA0E2D">
        <w:rPr>
          <w:lang w:val="pl-PL"/>
        </w:rPr>
        <w:t xml:space="preserve">Krytyka rządów i publikowanie informacji </w:t>
      </w:r>
      <w:r>
        <w:rPr>
          <w:lang w:val="pl-PL"/>
        </w:rPr>
        <w:t xml:space="preserve">uznawanych przez </w:t>
      </w:r>
      <w:r w:rsidRPr="00AA0E2D">
        <w:rPr>
          <w:lang w:val="pl-PL"/>
        </w:rPr>
        <w:t xml:space="preserve">przywódców państwowych </w:t>
      </w:r>
      <w:r>
        <w:rPr>
          <w:lang w:val="pl-PL"/>
        </w:rPr>
        <w:t>za zagrażające interesom narodowym nie powinna pociągać za sobą stawiania zarzutów karnych dotyczących szczególnie poważnych przestępstw, takich jak przynależność lub pomaganie organizacji terrorystycznej, usiłowanie obalenia rządu lub porządku konstytucyjnego albo rozpowszechnianie propagandy</w:t>
      </w:r>
      <w:r w:rsidRPr="00AA0E2D">
        <w:rPr>
          <w:lang w:val="pl-PL"/>
        </w:rPr>
        <w:t xml:space="preserve"> </w:t>
      </w:r>
      <w:r>
        <w:rPr>
          <w:lang w:val="pl-PL"/>
        </w:rPr>
        <w:t xml:space="preserve">terrorystycznej. A nawet jeśli stawiane byłyby takie zarzuty, tymczasowe aresztowanie powinno być stosowane jedynie w ostateczności. </w:t>
      </w:r>
    </w:p>
    <w:p w14:paraId="7B2BEF02" w14:textId="0D64A482" w:rsidR="00744426" w:rsidRPr="00744426" w:rsidRDefault="00744426">
      <w:pPr>
        <w:pStyle w:val="ClinContent"/>
        <w:rPr>
          <w:lang w:val="pl-PL"/>
        </w:rPr>
      </w:pPr>
      <w:r w:rsidRPr="00744426">
        <w:rPr>
          <w:lang w:val="pl-PL"/>
        </w:rPr>
        <w:t xml:space="preserve">Tymczasowe aresztowanie każdej osoby wyrażającej krytyczne poglądy </w:t>
      </w:r>
      <w:r w:rsidR="00CF6BF7">
        <w:rPr>
          <w:lang w:val="pl-PL"/>
        </w:rPr>
        <w:t xml:space="preserve">wywiera skutek </w:t>
      </w:r>
      <w:r w:rsidRPr="00744426">
        <w:rPr>
          <w:lang w:val="pl-PL"/>
        </w:rPr>
        <w:t xml:space="preserve">mrożący dla wolności wyrażania opinii </w:t>
      </w:r>
      <w:r>
        <w:rPr>
          <w:lang w:val="pl-PL"/>
        </w:rPr>
        <w:t>wobec całego społeczeństwa, a skutek taki może trwać nawet</w:t>
      </w:r>
      <w:r w:rsidR="00F65A0A">
        <w:rPr>
          <w:lang w:val="pl-PL"/>
        </w:rPr>
        <w:t>,</w:t>
      </w:r>
      <w:r>
        <w:rPr>
          <w:lang w:val="pl-PL"/>
        </w:rPr>
        <w:t xml:space="preserve"> jeśli aresztowany zostanie następnie uniewinniony.</w:t>
      </w:r>
    </w:p>
    <w:p w14:paraId="5F7D18CF" w14:textId="77777777" w:rsidR="00744426" w:rsidRPr="00744426" w:rsidRDefault="00744426">
      <w:pPr>
        <w:pStyle w:val="ClinContent"/>
        <w:rPr>
          <w:lang w:val="pl-PL"/>
        </w:rPr>
      </w:pPr>
      <w:r w:rsidRPr="00744426">
        <w:rPr>
          <w:lang w:val="pl-PL"/>
        </w:rPr>
        <w:t xml:space="preserve">Wreszcie, w odniesieniu do uchylenia </w:t>
      </w:r>
      <w:r w:rsidR="00CF6BF7">
        <w:rPr>
          <w:lang w:val="pl-PL"/>
        </w:rPr>
        <w:t xml:space="preserve">(derogacji) </w:t>
      </w:r>
      <w:r w:rsidRPr="00744426">
        <w:rPr>
          <w:lang w:val="pl-PL"/>
        </w:rPr>
        <w:t xml:space="preserve">zobowiązań przez Turcję, wnioski wyciągnięte w odniesieniu do art. </w:t>
      </w:r>
      <w:r>
        <w:rPr>
          <w:lang w:val="pl-PL"/>
        </w:rPr>
        <w:t xml:space="preserve">5 mają zastosowanie także w kontekście art. 10. </w:t>
      </w:r>
    </w:p>
    <w:p w14:paraId="5D2DAB6B" w14:textId="77777777" w:rsidR="00931F6A" w:rsidRPr="00931F6A" w:rsidRDefault="00931F6A">
      <w:pPr>
        <w:pStyle w:val="ClinContent"/>
        <w:rPr>
          <w:lang w:val="pl-PL"/>
        </w:rPr>
      </w:pPr>
      <w:r w:rsidRPr="00931F6A">
        <w:rPr>
          <w:i/>
          <w:lang w:val="pl-PL"/>
        </w:rPr>
        <w:t>Rozstrzygnięcie</w:t>
      </w:r>
      <w:r w:rsidRPr="00931F6A">
        <w:rPr>
          <w:lang w:val="pl-PL"/>
        </w:rPr>
        <w:t>: naruszenie (sześcioma głosami do jednego).</w:t>
      </w:r>
    </w:p>
    <w:p w14:paraId="3C160921" w14:textId="26EE3CDD" w:rsidR="00931F6A" w:rsidRPr="00931F6A" w:rsidRDefault="00931F6A">
      <w:pPr>
        <w:pStyle w:val="ClinContent"/>
        <w:rPr>
          <w:lang w:val="pl-PL"/>
        </w:rPr>
      </w:pPr>
      <w:r w:rsidRPr="00931F6A">
        <w:rPr>
          <w:lang w:val="pl-PL"/>
        </w:rPr>
        <w:t xml:space="preserve">Art. 46: Pozwane </w:t>
      </w:r>
      <w:r w:rsidRPr="00931F6A">
        <w:rPr>
          <w:lang w:val="pl-PL"/>
        </w:rPr>
        <w:t>Państwo ma podjąć wszelki</w:t>
      </w:r>
      <w:r>
        <w:rPr>
          <w:lang w:val="pl-PL"/>
        </w:rPr>
        <w:t>e niezbędne środki w celu zakońc</w:t>
      </w:r>
      <w:r w:rsidRPr="00931F6A">
        <w:rPr>
          <w:lang w:val="pl-PL"/>
        </w:rPr>
        <w:t xml:space="preserve">zenia </w:t>
      </w:r>
      <w:r w:rsidR="00DA5630" w:rsidRPr="005C6586">
        <w:rPr>
          <w:rFonts w:asciiTheme="minorHAnsi" w:hAnsiTheme="minorHAnsi"/>
          <w:sz w:val="24"/>
          <w:lang w:val="pl-PL"/>
        </w:rPr>
        <w:t>n</w:t>
      </w:r>
      <w:r w:rsidR="00DA5630">
        <w:rPr>
          <w:rFonts w:asciiTheme="minorHAnsi" w:hAnsiTheme="minorHAnsi"/>
          <w:sz w:val="24"/>
          <w:lang w:val="pl-PL"/>
        </w:rPr>
        <w:t>iezgodnego z</w:t>
      </w:r>
      <w:r w:rsidR="00DA5630" w:rsidRPr="005C6586">
        <w:rPr>
          <w:rFonts w:asciiTheme="minorHAnsi" w:hAnsiTheme="minorHAnsi"/>
          <w:sz w:val="24"/>
          <w:lang w:val="pl-PL"/>
        </w:rPr>
        <w:t xml:space="preserve"> art. 5 ust. 1</w:t>
      </w:r>
      <w:r w:rsidR="00DA5630">
        <w:rPr>
          <w:rFonts w:asciiTheme="minorHAnsi" w:hAnsiTheme="minorHAnsi"/>
          <w:sz w:val="24"/>
          <w:lang w:val="pl-PL"/>
        </w:rPr>
        <w:t xml:space="preserve"> </w:t>
      </w:r>
      <w:r>
        <w:rPr>
          <w:lang w:val="pl-PL"/>
        </w:rPr>
        <w:t xml:space="preserve">tymczasowego </w:t>
      </w:r>
      <w:r>
        <w:rPr>
          <w:lang w:val="pl-PL"/>
        </w:rPr>
        <w:t xml:space="preserve">aresztowania Pana </w:t>
      </w:r>
      <w:proofErr w:type="spellStart"/>
      <w:r>
        <w:rPr>
          <w:lang w:val="pl-PL"/>
        </w:rPr>
        <w:t>Alpaya</w:t>
      </w:r>
      <w:proofErr w:type="spellEnd"/>
      <w:r>
        <w:rPr>
          <w:lang w:val="pl-PL"/>
        </w:rPr>
        <w:t xml:space="preserve">. </w:t>
      </w:r>
      <w:r w:rsidR="00F65A0A">
        <w:rPr>
          <w:lang w:val="pl-PL"/>
        </w:rPr>
        <w:t xml:space="preserve">Brak jest </w:t>
      </w:r>
      <w:r w:rsidR="00963D45">
        <w:rPr>
          <w:lang w:val="pl-PL"/>
        </w:rPr>
        <w:t>jednak</w:t>
      </w:r>
      <w:r w:rsidR="00F35B89">
        <w:rPr>
          <w:lang w:val="pl-PL"/>
        </w:rPr>
        <w:t xml:space="preserve"> podstaw do wskazania podobnego środka w odniesieniu do Pana </w:t>
      </w:r>
      <w:proofErr w:type="spellStart"/>
      <w:r w:rsidR="00F35B89">
        <w:rPr>
          <w:lang w:val="pl-PL"/>
        </w:rPr>
        <w:t>Altaya</w:t>
      </w:r>
      <w:proofErr w:type="spellEnd"/>
      <w:r w:rsidR="00F35B89">
        <w:rPr>
          <w:lang w:val="pl-PL"/>
        </w:rPr>
        <w:t>, gdyż</w:t>
      </w:r>
      <w:r w:rsidR="007C2A0E">
        <w:rPr>
          <w:lang w:val="pl-PL"/>
        </w:rPr>
        <w:t> </w:t>
      </w:r>
      <w:r w:rsidR="00F35B89">
        <w:rPr>
          <w:lang w:val="pl-PL"/>
        </w:rPr>
        <w:t>w</w:t>
      </w:r>
      <w:r w:rsidR="007C2A0E">
        <w:rPr>
          <w:lang w:val="pl-PL"/>
        </w:rPr>
        <w:t> </w:t>
      </w:r>
      <w:r w:rsidR="00F35B89">
        <w:rPr>
          <w:lang w:val="pl-PL"/>
        </w:rPr>
        <w:t xml:space="preserve">międzyczasie został </w:t>
      </w:r>
      <w:r w:rsidR="00CF6BF7">
        <w:rPr>
          <w:lang w:val="pl-PL"/>
        </w:rPr>
        <w:t xml:space="preserve">on </w:t>
      </w:r>
      <w:r w:rsidR="00F35B89">
        <w:rPr>
          <w:lang w:val="pl-PL"/>
        </w:rPr>
        <w:t xml:space="preserve">skazany, a jego pozbawienie wolności przestało być objęte zakresem art. 5 ust. 1 lit. c, a </w:t>
      </w:r>
      <w:r w:rsidR="00CF6BF7">
        <w:rPr>
          <w:lang w:val="pl-PL"/>
        </w:rPr>
        <w:t xml:space="preserve">jest objęte </w:t>
      </w:r>
      <w:r w:rsidR="00F35B89">
        <w:rPr>
          <w:lang w:val="pl-PL"/>
        </w:rPr>
        <w:t>przez art. 5 ust. 1 lit. a.</w:t>
      </w:r>
    </w:p>
    <w:p w14:paraId="346907FD" w14:textId="17419378" w:rsidR="00962F4A" w:rsidRPr="00962F4A" w:rsidRDefault="00962F4A">
      <w:pPr>
        <w:pStyle w:val="ClinContent"/>
        <w:rPr>
          <w:lang w:val="pl-PL"/>
        </w:rPr>
      </w:pPr>
      <w:r w:rsidRPr="00962F4A">
        <w:rPr>
          <w:lang w:val="pl-PL"/>
        </w:rPr>
        <w:t>Art. 41: 21</w:t>
      </w:r>
      <w:r w:rsidR="00885FFD">
        <w:rPr>
          <w:lang w:val="pl-PL"/>
        </w:rPr>
        <w:t xml:space="preserve"> </w:t>
      </w:r>
      <w:r w:rsidRPr="00962F4A">
        <w:rPr>
          <w:lang w:val="pl-PL"/>
        </w:rPr>
        <w:t>500 euro dla każdego skarżącego tytułem szkody niematerialnej.</w:t>
      </w:r>
    </w:p>
    <w:p w14:paraId="3C6435F3" w14:textId="77777777" w:rsidR="00787661" w:rsidRPr="00962F4A" w:rsidRDefault="00787661">
      <w:pPr>
        <w:pBdr>
          <w:bottom w:val="single" w:sz="8" w:space="1" w:color="auto"/>
        </w:pBdr>
        <w:rPr>
          <w:lang w:val="pl-PL"/>
        </w:rPr>
      </w:pPr>
    </w:p>
    <w:p w14:paraId="6B76783A" w14:textId="77777777" w:rsidR="00CE57F4" w:rsidRPr="0074070E" w:rsidRDefault="00CE57F4" w:rsidP="00CE57F4">
      <w:pPr>
        <w:pStyle w:val="ClinEditionNumber"/>
        <w:jc w:val="center"/>
        <w:rPr>
          <w:lang w:val="pl-PL"/>
        </w:rPr>
      </w:pPr>
      <w:r w:rsidRPr="0074070E">
        <w:rPr>
          <w:lang w:val="pl-PL"/>
        </w:rPr>
        <w:t xml:space="preserve">© </w:t>
      </w:r>
      <w:proofErr w:type="spellStart"/>
      <w:r w:rsidRPr="0074070E">
        <w:rPr>
          <w:lang w:val="pl-PL"/>
        </w:rPr>
        <w:t>Council</w:t>
      </w:r>
      <w:proofErr w:type="spellEnd"/>
      <w:r w:rsidRPr="0074070E">
        <w:rPr>
          <w:lang w:val="pl-PL"/>
        </w:rPr>
        <w:t xml:space="preserve"> of Europe/</w:t>
      </w:r>
      <w:proofErr w:type="spellStart"/>
      <w:r w:rsidRPr="0074070E">
        <w:rPr>
          <w:lang w:val="pl-PL"/>
        </w:rPr>
        <w:t>European</w:t>
      </w:r>
      <w:proofErr w:type="spellEnd"/>
      <w:r w:rsidRPr="0074070E">
        <w:rPr>
          <w:lang w:val="pl-PL"/>
        </w:rPr>
        <w:t xml:space="preserve"> Court of Human </w:t>
      </w:r>
      <w:proofErr w:type="spellStart"/>
      <w:r w:rsidRPr="0074070E">
        <w:rPr>
          <w:lang w:val="pl-PL"/>
        </w:rPr>
        <w:t>Rights</w:t>
      </w:r>
      <w:proofErr w:type="spellEnd"/>
      <w:r w:rsidRPr="0074070E">
        <w:rPr>
          <w:lang w:val="pl-PL"/>
        </w:rPr>
        <w:br/>
        <w:t>Niniejsze streszczenie przygotowane przez Kancelarię nie wiąże Trybunału.</w:t>
      </w:r>
    </w:p>
    <w:p w14:paraId="3AEF37D1" w14:textId="77777777" w:rsidR="00CE57F4" w:rsidRPr="0074070E" w:rsidRDefault="00CE57F4" w:rsidP="00CE57F4">
      <w:pPr>
        <w:pStyle w:val="ClinFooter"/>
        <w:rPr>
          <w:lang w:val="pl-PL"/>
        </w:rPr>
      </w:pPr>
      <w:r w:rsidRPr="0074070E">
        <w:rPr>
          <w:lang w:val="pl-PL"/>
        </w:rPr>
        <w:t xml:space="preserve">Link do </w:t>
      </w:r>
      <w:hyperlink r:id="rId11" w:history="1">
        <w:r w:rsidRPr="0074070E">
          <w:rPr>
            <w:rStyle w:val="Hipercze"/>
            <w:lang w:val="pl-PL"/>
          </w:rPr>
          <w:t>Not informacyjnych nt. orzecznictwa</w:t>
        </w:r>
      </w:hyperlink>
    </w:p>
    <w:p w14:paraId="063D1263" w14:textId="1CA1C148" w:rsidR="00787661" w:rsidRPr="00CE57F4" w:rsidRDefault="00787661" w:rsidP="00B07218">
      <w:pPr>
        <w:pStyle w:val="ClinFooter"/>
        <w:jc w:val="left"/>
        <w:rPr>
          <w:lang w:val="pl-PL"/>
        </w:rPr>
      </w:pPr>
    </w:p>
    <w:sectPr w:rsidR="00787661" w:rsidRPr="00CE57F4" w:rsidSect="004A5B5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E1EE65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0E8DE9" w14:textId="77777777" w:rsidR="0038773B" w:rsidRDefault="0038773B" w:rsidP="00C63262">
      <w:r>
        <w:separator/>
      </w:r>
    </w:p>
  </w:endnote>
  <w:endnote w:type="continuationSeparator" w:id="0">
    <w:p w14:paraId="75706BB5" w14:textId="77777777" w:rsidR="0038773B" w:rsidRDefault="0038773B"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A61156" w14:textId="77777777" w:rsidR="00B90D82" w:rsidRDefault="00B90D8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57F1A" w14:textId="77777777" w:rsidR="00B90D82" w:rsidRDefault="00B90D8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9DF622" w14:textId="77777777" w:rsidR="0071773F" w:rsidRPr="0071773F" w:rsidRDefault="0071773F" w:rsidP="0071773F"/>
  <w:p w14:paraId="44F82E2C" w14:textId="77777777" w:rsidR="0071773F" w:rsidRDefault="0071773F" w:rsidP="0071773F">
    <w:pPr>
      <w:pStyle w:val="ECHRFooter"/>
    </w:pPr>
    <w:r>
      <w:tab/>
    </w:r>
    <w:r>
      <w:rPr>
        <w:noProof/>
        <w:lang w:val="pl-PL" w:eastAsia="pl-PL"/>
      </w:rPr>
      <w:drawing>
        <wp:inline distT="0" distB="0" distL="0" distR="0" wp14:anchorId="21216742" wp14:editId="19831184">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8BA4A7" w14:textId="77777777" w:rsidR="0038773B" w:rsidRDefault="0038773B" w:rsidP="00C63262">
      <w:r>
        <w:separator/>
      </w:r>
    </w:p>
  </w:footnote>
  <w:footnote w:type="continuationSeparator" w:id="0">
    <w:p w14:paraId="469D9129" w14:textId="77777777" w:rsidR="0038773B" w:rsidRDefault="0038773B" w:rsidP="00C63262">
      <w:r>
        <w:continuationSeparator/>
      </w:r>
    </w:p>
  </w:footnote>
  <w:footnote w:id="1">
    <w:p w14:paraId="5443B3D1" w14:textId="77777777" w:rsidR="00915295" w:rsidRPr="008279B2" w:rsidRDefault="00915295" w:rsidP="00915295">
      <w:pPr>
        <w:pStyle w:val="Tekstprzypisudolnego"/>
        <w:spacing w:after="120"/>
        <w:jc w:val="both"/>
        <w:rPr>
          <w:lang w:val="pl-PL"/>
        </w:rPr>
      </w:pPr>
      <w:r>
        <w:rPr>
          <w:rStyle w:val="Odwoanieprzypisudolnego"/>
        </w:rPr>
        <w:footnoteRef/>
      </w:r>
      <w:r w:rsidRPr="008279B2">
        <w:rPr>
          <w:lang w:val="pl-PL"/>
        </w:rPr>
        <w:t xml:space="preserve"> </w:t>
      </w:r>
      <w:r w:rsidRPr="00760988">
        <w:rPr>
          <w:rFonts w:asciiTheme="minorHAnsi" w:hAnsiTheme="minorHAnsi"/>
          <w:lang w:val="pl-PL"/>
        </w:rPr>
        <w:t>Konwencja o ochronie praw człowieka i podstawowych wolności, sporządzona w Rzymie dnia 4 listopada 1950 r. (Dz. U. z 1993 r. Nr 61, poz. 284, z późn. zm.)</w:t>
      </w:r>
      <w:r>
        <w:rPr>
          <w:rFonts w:asciiTheme="minorHAnsi" w:hAnsiTheme="minorHAnsi"/>
          <w:lang w:val="pl-PL"/>
        </w:rPr>
        <w:t>.</w:t>
      </w:r>
    </w:p>
  </w:footnote>
  <w:footnote w:id="2">
    <w:p w14:paraId="445641FA" w14:textId="4B827385" w:rsidR="00942638" w:rsidRDefault="00942638" w:rsidP="00942638">
      <w:pPr>
        <w:pStyle w:val="Tekstprzypisudolnego"/>
        <w:rPr>
          <w:lang w:val="pl-PL"/>
        </w:rPr>
      </w:pPr>
      <w:r w:rsidRPr="00942638">
        <w:rPr>
          <w:rStyle w:val="Odwoanieprzypisudolnego"/>
        </w:rPr>
        <w:footnoteRef/>
      </w:r>
      <w:r w:rsidRPr="00942638">
        <w:rPr>
          <w:lang w:val="pl-PL"/>
        </w:rPr>
        <w:t xml:space="preserve"> Tekst </w:t>
      </w:r>
      <w:r w:rsidR="005A7B45">
        <w:rPr>
          <w:lang w:val="pl-PL"/>
        </w:rPr>
        <w:t xml:space="preserve">decyzji </w:t>
      </w:r>
      <w:r w:rsidRPr="00942638">
        <w:rPr>
          <w:lang w:val="pl-PL"/>
        </w:rPr>
        <w:t xml:space="preserve">w języku polskim jest dostępny na stronie:  </w:t>
      </w:r>
    </w:p>
    <w:p w14:paraId="3C2DE09F" w14:textId="77777777" w:rsidR="00942638" w:rsidRPr="007D684C" w:rsidRDefault="0038773B" w:rsidP="00942638">
      <w:pPr>
        <w:pStyle w:val="Tekstprzypisudolnego"/>
        <w:rPr>
          <w:lang w:val="pl-PL"/>
        </w:rPr>
      </w:pPr>
      <w:hyperlink r:id="rId1" w:history="1">
        <w:r w:rsidR="00942638" w:rsidRPr="0058114C">
          <w:rPr>
            <w:rStyle w:val="Hipercze"/>
            <w:lang w:val="pl-PL"/>
          </w:rPr>
          <w:t>http://hudoc.echr.coe.int/eng?i=001-153202</w:t>
        </w:r>
      </w:hyperlink>
      <w:r w:rsidR="00942638">
        <w:rPr>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65B433" w14:textId="77777777" w:rsidR="00B90D82" w:rsidRDefault="00B90D8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14:paraId="5457ED16" w14:textId="2B18891F"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B90D82">
          <w:rPr>
            <w:noProof/>
          </w:rPr>
          <w:t>2</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95F19" w14:textId="77777777" w:rsidR="0071773F" w:rsidRDefault="004A5B52" w:rsidP="004A5B52">
    <w:pPr>
      <w:pStyle w:val="Nagwek"/>
    </w:pPr>
    <w:r>
      <w:tab/>
    </w:r>
    <w:r w:rsidR="0071773F">
      <w:rPr>
        <w:noProof/>
        <w:lang w:val="pl-PL" w:eastAsia="pl-PL"/>
      </w:rPr>
      <w:drawing>
        <wp:inline distT="0" distB="0" distL="0" distR="0" wp14:anchorId="38B9D881" wp14:editId="4CB399D5">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255FD"/>
    <w:rsid w:val="00037CCC"/>
    <w:rsid w:val="00075181"/>
    <w:rsid w:val="00097888"/>
    <w:rsid w:val="000C5BDE"/>
    <w:rsid w:val="000F13B5"/>
    <w:rsid w:val="00107377"/>
    <w:rsid w:val="0013562D"/>
    <w:rsid w:val="00143602"/>
    <w:rsid w:val="001470AC"/>
    <w:rsid w:val="001769E4"/>
    <w:rsid w:val="00186560"/>
    <w:rsid w:val="001C3EAA"/>
    <w:rsid w:val="00212E83"/>
    <w:rsid w:val="00214357"/>
    <w:rsid w:val="0023308F"/>
    <w:rsid w:val="002713B3"/>
    <w:rsid w:val="002966E7"/>
    <w:rsid w:val="002E088D"/>
    <w:rsid w:val="002F31C0"/>
    <w:rsid w:val="0030264F"/>
    <w:rsid w:val="003450B3"/>
    <w:rsid w:val="00386958"/>
    <w:rsid w:val="0038773B"/>
    <w:rsid w:val="003A64A6"/>
    <w:rsid w:val="003D7BB3"/>
    <w:rsid w:val="004241D0"/>
    <w:rsid w:val="0046453F"/>
    <w:rsid w:val="00472312"/>
    <w:rsid w:val="004870D8"/>
    <w:rsid w:val="004A5B52"/>
    <w:rsid w:val="004D568D"/>
    <w:rsid w:val="004E1037"/>
    <w:rsid w:val="0052092D"/>
    <w:rsid w:val="0052402C"/>
    <w:rsid w:val="00531649"/>
    <w:rsid w:val="00540D75"/>
    <w:rsid w:val="005514E5"/>
    <w:rsid w:val="00572F95"/>
    <w:rsid w:val="005A7B45"/>
    <w:rsid w:val="005D7CC5"/>
    <w:rsid w:val="00600271"/>
    <w:rsid w:val="006028A1"/>
    <w:rsid w:val="00631A28"/>
    <w:rsid w:val="00645E4F"/>
    <w:rsid w:val="006A36AD"/>
    <w:rsid w:val="006C1D96"/>
    <w:rsid w:val="0071773F"/>
    <w:rsid w:val="00744426"/>
    <w:rsid w:val="00774515"/>
    <w:rsid w:val="0078024F"/>
    <w:rsid w:val="00787661"/>
    <w:rsid w:val="00796090"/>
    <w:rsid w:val="007C2A0E"/>
    <w:rsid w:val="007C5306"/>
    <w:rsid w:val="007D3E4D"/>
    <w:rsid w:val="007D684C"/>
    <w:rsid w:val="00840102"/>
    <w:rsid w:val="00853AF8"/>
    <w:rsid w:val="008745CC"/>
    <w:rsid w:val="00885FFD"/>
    <w:rsid w:val="00895EF3"/>
    <w:rsid w:val="008A5E92"/>
    <w:rsid w:val="008B40AB"/>
    <w:rsid w:val="008C64D5"/>
    <w:rsid w:val="008D2894"/>
    <w:rsid w:val="00903D38"/>
    <w:rsid w:val="00915295"/>
    <w:rsid w:val="00931F6A"/>
    <w:rsid w:val="00942638"/>
    <w:rsid w:val="00962F4A"/>
    <w:rsid w:val="00963D45"/>
    <w:rsid w:val="00996705"/>
    <w:rsid w:val="009B3B2C"/>
    <w:rsid w:val="009E1F57"/>
    <w:rsid w:val="009E3EF0"/>
    <w:rsid w:val="00A01052"/>
    <w:rsid w:val="00A04D9C"/>
    <w:rsid w:val="00A258BB"/>
    <w:rsid w:val="00A33541"/>
    <w:rsid w:val="00A45616"/>
    <w:rsid w:val="00A52EE5"/>
    <w:rsid w:val="00AA0E2D"/>
    <w:rsid w:val="00AC7726"/>
    <w:rsid w:val="00AD1320"/>
    <w:rsid w:val="00B07218"/>
    <w:rsid w:val="00B0781D"/>
    <w:rsid w:val="00B310EB"/>
    <w:rsid w:val="00B80CA0"/>
    <w:rsid w:val="00B85770"/>
    <w:rsid w:val="00B90D82"/>
    <w:rsid w:val="00BF1CD9"/>
    <w:rsid w:val="00C37433"/>
    <w:rsid w:val="00C446FD"/>
    <w:rsid w:val="00C63262"/>
    <w:rsid w:val="00C72355"/>
    <w:rsid w:val="00C8387B"/>
    <w:rsid w:val="00C93CFB"/>
    <w:rsid w:val="00CE57F4"/>
    <w:rsid w:val="00CF6BF7"/>
    <w:rsid w:val="00CF7BA6"/>
    <w:rsid w:val="00D16E8D"/>
    <w:rsid w:val="00D42086"/>
    <w:rsid w:val="00D425B3"/>
    <w:rsid w:val="00DA3391"/>
    <w:rsid w:val="00DA5630"/>
    <w:rsid w:val="00DA5B80"/>
    <w:rsid w:val="00E30DEA"/>
    <w:rsid w:val="00E55491"/>
    <w:rsid w:val="00E633AA"/>
    <w:rsid w:val="00E83DB6"/>
    <w:rsid w:val="00E96037"/>
    <w:rsid w:val="00EA53E7"/>
    <w:rsid w:val="00EF0864"/>
    <w:rsid w:val="00F02B1F"/>
    <w:rsid w:val="00F35B89"/>
    <w:rsid w:val="00F42E3E"/>
    <w:rsid w:val="00F508C9"/>
    <w:rsid w:val="00F50CCD"/>
    <w:rsid w:val="00F5247C"/>
    <w:rsid w:val="00F65A0A"/>
    <w:rsid w:val="00FA0F3C"/>
    <w:rsid w:val="00FA29ED"/>
    <w:rsid w:val="00FC17C6"/>
    <w:rsid w:val="00FC723C"/>
    <w:rsid w:val="00FC7E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52B6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footnote reference" w:uiPriority="99"/>
    <w:lsdException w:name="List Number" w:unhideWhenUsed="0"/>
    <w:lsdException w:name="List 4" w:unhideWhenUsed="0"/>
    <w:lsdException w:name="List 5" w:unhideWhenUsed="0"/>
    <w:lsdException w:name="Title" w:semiHidden="0"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840102"/>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840102"/>
  </w:style>
  <w:style w:type="character" w:customStyle="1" w:styleId="object">
    <w:name w:val="object"/>
    <w:basedOn w:val="Domylnaczcionkaakapitu"/>
    <w:rsid w:val="00840102"/>
  </w:style>
  <w:style w:type="character" w:styleId="Odwoaniedokomentarza">
    <w:name w:val="annotation reference"/>
    <w:basedOn w:val="Domylnaczcionkaakapitu"/>
    <w:semiHidden/>
    <w:unhideWhenUsed/>
    <w:rsid w:val="00F42E3E"/>
    <w:rPr>
      <w:sz w:val="16"/>
      <w:szCs w:val="16"/>
    </w:rPr>
  </w:style>
  <w:style w:type="paragraph" w:styleId="Tekstkomentarza">
    <w:name w:val="annotation text"/>
    <w:basedOn w:val="Normalny"/>
    <w:link w:val="TekstkomentarzaZnak"/>
    <w:semiHidden/>
    <w:unhideWhenUsed/>
    <w:rsid w:val="00F42E3E"/>
    <w:rPr>
      <w:szCs w:val="20"/>
    </w:rPr>
  </w:style>
  <w:style w:type="character" w:customStyle="1" w:styleId="TekstkomentarzaZnak">
    <w:name w:val="Tekst komentarza Znak"/>
    <w:basedOn w:val="Domylnaczcionkaakapitu"/>
    <w:link w:val="Tekstkomentarza"/>
    <w:semiHidden/>
    <w:rsid w:val="00F42E3E"/>
    <w:rPr>
      <w:rFonts w:ascii="Verdana" w:hAnsi="Verdana"/>
    </w:rPr>
  </w:style>
  <w:style w:type="paragraph" w:styleId="Tematkomentarza">
    <w:name w:val="annotation subject"/>
    <w:basedOn w:val="Tekstkomentarza"/>
    <w:next w:val="Tekstkomentarza"/>
    <w:link w:val="TematkomentarzaZnak"/>
    <w:semiHidden/>
    <w:unhideWhenUsed/>
    <w:rsid w:val="00F42E3E"/>
    <w:rPr>
      <w:b/>
      <w:bCs/>
    </w:rPr>
  </w:style>
  <w:style w:type="character" w:customStyle="1" w:styleId="TematkomentarzaZnak">
    <w:name w:val="Temat komentarza Znak"/>
    <w:basedOn w:val="TekstkomentarzaZnak"/>
    <w:link w:val="Tematkomentarza"/>
    <w:semiHidden/>
    <w:rsid w:val="00F42E3E"/>
    <w:rPr>
      <w:rFonts w:ascii="Verdana" w:hAnsi="Verdana"/>
      <w:b/>
      <w:bCs/>
    </w:rPr>
  </w:style>
  <w:style w:type="paragraph" w:styleId="Poprawka">
    <w:name w:val="Revision"/>
    <w:hidden/>
    <w:uiPriority w:val="99"/>
    <w:semiHidden/>
    <w:rsid w:val="00F42E3E"/>
    <w:rPr>
      <w:rFonts w:ascii="Verdana" w:hAnsi="Verdana"/>
      <w:szCs w:val="24"/>
    </w:rPr>
  </w:style>
  <w:style w:type="character" w:styleId="UyteHipercze">
    <w:name w:val="FollowedHyperlink"/>
    <w:basedOn w:val="Domylnaczcionkaakapitu"/>
    <w:semiHidden/>
    <w:unhideWhenUsed/>
    <w:rsid w:val="005A7B45"/>
    <w:rPr>
      <w:color w:val="7030A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footnote reference" w:uiPriority="99"/>
    <w:lsdException w:name="List Number" w:unhideWhenUsed="0"/>
    <w:lsdException w:name="List 4" w:unhideWhenUsed="0"/>
    <w:lsdException w:name="List 5" w:unhideWhenUsed="0"/>
    <w:lsdException w:name="Title" w:semiHidden="0"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840102"/>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840102"/>
  </w:style>
  <w:style w:type="character" w:customStyle="1" w:styleId="object">
    <w:name w:val="object"/>
    <w:basedOn w:val="Domylnaczcionkaakapitu"/>
    <w:rsid w:val="00840102"/>
  </w:style>
  <w:style w:type="character" w:styleId="Odwoaniedokomentarza">
    <w:name w:val="annotation reference"/>
    <w:basedOn w:val="Domylnaczcionkaakapitu"/>
    <w:semiHidden/>
    <w:unhideWhenUsed/>
    <w:rsid w:val="00F42E3E"/>
    <w:rPr>
      <w:sz w:val="16"/>
      <w:szCs w:val="16"/>
    </w:rPr>
  </w:style>
  <w:style w:type="paragraph" w:styleId="Tekstkomentarza">
    <w:name w:val="annotation text"/>
    <w:basedOn w:val="Normalny"/>
    <w:link w:val="TekstkomentarzaZnak"/>
    <w:semiHidden/>
    <w:unhideWhenUsed/>
    <w:rsid w:val="00F42E3E"/>
    <w:rPr>
      <w:szCs w:val="20"/>
    </w:rPr>
  </w:style>
  <w:style w:type="character" w:customStyle="1" w:styleId="TekstkomentarzaZnak">
    <w:name w:val="Tekst komentarza Znak"/>
    <w:basedOn w:val="Domylnaczcionkaakapitu"/>
    <w:link w:val="Tekstkomentarza"/>
    <w:semiHidden/>
    <w:rsid w:val="00F42E3E"/>
    <w:rPr>
      <w:rFonts w:ascii="Verdana" w:hAnsi="Verdana"/>
    </w:rPr>
  </w:style>
  <w:style w:type="paragraph" w:styleId="Tematkomentarza">
    <w:name w:val="annotation subject"/>
    <w:basedOn w:val="Tekstkomentarza"/>
    <w:next w:val="Tekstkomentarza"/>
    <w:link w:val="TematkomentarzaZnak"/>
    <w:semiHidden/>
    <w:unhideWhenUsed/>
    <w:rsid w:val="00F42E3E"/>
    <w:rPr>
      <w:b/>
      <w:bCs/>
    </w:rPr>
  </w:style>
  <w:style w:type="character" w:customStyle="1" w:styleId="TematkomentarzaZnak">
    <w:name w:val="Temat komentarza Znak"/>
    <w:basedOn w:val="TekstkomentarzaZnak"/>
    <w:link w:val="Tematkomentarza"/>
    <w:semiHidden/>
    <w:rsid w:val="00F42E3E"/>
    <w:rPr>
      <w:rFonts w:ascii="Verdana" w:hAnsi="Verdana"/>
      <w:b/>
      <w:bCs/>
    </w:rPr>
  </w:style>
  <w:style w:type="paragraph" w:styleId="Poprawka">
    <w:name w:val="Revision"/>
    <w:hidden/>
    <w:uiPriority w:val="99"/>
    <w:semiHidden/>
    <w:rsid w:val="00F42E3E"/>
    <w:rPr>
      <w:rFonts w:ascii="Verdana" w:hAnsi="Verdana"/>
      <w:szCs w:val="24"/>
    </w:rPr>
  </w:style>
  <w:style w:type="character" w:styleId="UyteHipercze">
    <w:name w:val="FollowedHyperlink"/>
    <w:basedOn w:val="Domylnaczcionkaakapitu"/>
    <w:semiHidden/>
    <w:unhideWhenUsed/>
    <w:rsid w:val="005A7B45"/>
    <w:rPr>
      <w:color w:val="7030A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 w:id="207935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pl/web/dyplomacja"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hr.coe.int/NoteInformation/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hudoc.echr.coe.int/eng?i=002-995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hudoc.echr.coe.int/eng?i=002-754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hudoc.echr.coe.int/eng?i=001-15320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F7A15-85B4-45DD-BC6E-9332360E1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1415</Words>
  <Characters>8496</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2019-06-11T11:03:00Z</dcterms:created>
  <dcterms:modified xsi:type="dcterms:W3CDTF">2019-06-11T11:03:00Z</dcterms:modified>
</cp:coreProperties>
</file>