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7D" w:rsidRDefault="00DA68DC" w:rsidP="00E3767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7" w:history="1">
        <w:r w:rsidR="009F1F27" w:rsidRPr="00500E22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E3767D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E3767D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E3767D" w:rsidRDefault="00E3767D" w:rsidP="00E3767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4969FE" w:rsidRPr="00E3767D" w:rsidRDefault="00E3767D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="003C4B12" w:rsidRPr="00E3767D">
        <w:rPr>
          <w:lang w:val="pl-PL"/>
        </w:rPr>
        <w:t xml:space="preserve"> 216</w:t>
      </w:r>
    </w:p>
    <w:p w:rsidR="004969FE" w:rsidRPr="001335CA" w:rsidRDefault="003C4B12">
      <w:pPr>
        <w:pStyle w:val="ClinEditionMonth"/>
        <w:rPr>
          <w:lang w:val="pl-PL"/>
        </w:rPr>
      </w:pPr>
      <w:r w:rsidRPr="001335CA">
        <w:rPr>
          <w:lang w:val="pl-PL"/>
        </w:rPr>
        <w:t>Mar</w:t>
      </w:r>
      <w:r w:rsidR="00E3767D" w:rsidRPr="001335CA">
        <w:rPr>
          <w:lang w:val="pl-PL"/>
        </w:rPr>
        <w:t>zec</w:t>
      </w:r>
      <w:r w:rsidRPr="001335CA">
        <w:rPr>
          <w:lang w:val="pl-PL"/>
        </w:rPr>
        <w:t xml:space="preserve"> 2018</w:t>
      </w:r>
      <w:r w:rsidR="00E3767D" w:rsidRPr="001335CA">
        <w:rPr>
          <w:lang w:val="pl-PL"/>
        </w:rPr>
        <w:t xml:space="preserve"> r.</w:t>
      </w:r>
    </w:p>
    <w:p w:rsidR="004969FE" w:rsidRPr="001335CA" w:rsidRDefault="003C4B12">
      <w:pPr>
        <w:rPr>
          <w:lang w:val="pl-PL"/>
        </w:rPr>
      </w:pPr>
      <w:proofErr w:type="spellStart"/>
      <w:r w:rsidRPr="001335CA">
        <w:rPr>
          <w:rStyle w:val="ClinCaseTitle"/>
          <w:lang w:val="pl-PL"/>
        </w:rPr>
        <w:t>Radomilja</w:t>
      </w:r>
      <w:proofErr w:type="spellEnd"/>
      <w:r w:rsidRPr="001335CA">
        <w:rPr>
          <w:rStyle w:val="ClinCaseTitle"/>
          <w:lang w:val="pl-PL"/>
        </w:rPr>
        <w:t xml:space="preserve"> </w:t>
      </w:r>
      <w:r w:rsidR="001335CA" w:rsidRPr="001335CA">
        <w:rPr>
          <w:rStyle w:val="ClinCaseTitle"/>
          <w:lang w:val="pl-PL"/>
        </w:rPr>
        <w:t>i Inni</w:t>
      </w:r>
      <w:r w:rsidRPr="001335CA">
        <w:rPr>
          <w:rStyle w:val="ClinCaseTitle"/>
          <w:lang w:val="pl-PL"/>
        </w:rPr>
        <w:t xml:space="preserve"> </w:t>
      </w:r>
      <w:r w:rsidR="001335CA" w:rsidRPr="001335CA">
        <w:rPr>
          <w:rStyle w:val="ClinCaseTitle"/>
          <w:lang w:val="pl-PL"/>
        </w:rPr>
        <w:t>p</w:t>
      </w:r>
      <w:r w:rsidRPr="001335CA">
        <w:rPr>
          <w:rStyle w:val="ClinCaseTitle"/>
          <w:lang w:val="pl-PL"/>
        </w:rPr>
        <w:t>. C</w:t>
      </w:r>
      <w:r w:rsidR="001335CA">
        <w:rPr>
          <w:rStyle w:val="ClinCaseTitle"/>
          <w:lang w:val="pl-PL"/>
        </w:rPr>
        <w:t>horwacji</w:t>
      </w:r>
      <w:r w:rsidRPr="001335CA">
        <w:rPr>
          <w:rStyle w:val="ClinCaseTitle"/>
          <w:lang w:val="pl-PL"/>
        </w:rPr>
        <w:t xml:space="preserve"> [</w:t>
      </w:r>
      <w:r w:rsidR="001335CA">
        <w:rPr>
          <w:rStyle w:val="ClinCaseTitle"/>
          <w:lang w:val="pl-PL"/>
        </w:rPr>
        <w:t>Wielka Izba</w:t>
      </w:r>
      <w:r w:rsidRPr="001335CA">
        <w:rPr>
          <w:rStyle w:val="ClinCaseTitle"/>
          <w:lang w:val="pl-PL"/>
        </w:rPr>
        <w:t>]</w:t>
      </w:r>
      <w:r w:rsidRPr="001335CA">
        <w:rPr>
          <w:rStyle w:val="ClinApplicationNumber"/>
          <w:lang w:val="pl-PL"/>
        </w:rPr>
        <w:t xml:space="preserve"> </w:t>
      </w:r>
      <w:r w:rsidR="001335CA">
        <w:rPr>
          <w:rStyle w:val="ClinApplicationNumber"/>
          <w:lang w:val="pl-PL"/>
        </w:rPr>
        <w:t>–</w:t>
      </w:r>
      <w:r w:rsidRPr="001335CA">
        <w:rPr>
          <w:rStyle w:val="ClinApplicationNumber"/>
          <w:lang w:val="pl-PL"/>
        </w:rPr>
        <w:t xml:space="preserve"> </w:t>
      </w:r>
      <w:r w:rsidR="001335CA">
        <w:rPr>
          <w:rStyle w:val="ClinApplicationNumber"/>
          <w:lang w:val="pl-PL"/>
        </w:rPr>
        <w:t xml:space="preserve">skargi nr </w:t>
      </w:r>
      <w:r w:rsidRPr="001335CA">
        <w:rPr>
          <w:rStyle w:val="ClinApplicationNumber"/>
          <w:lang w:val="pl-PL"/>
        </w:rPr>
        <w:t xml:space="preserve">37685/10 </w:t>
      </w:r>
      <w:r w:rsidR="001335CA">
        <w:rPr>
          <w:rStyle w:val="ClinApplicationNumber"/>
          <w:lang w:val="pl-PL"/>
        </w:rPr>
        <w:t>i</w:t>
      </w:r>
      <w:r w:rsidR="00C84DB7">
        <w:rPr>
          <w:rStyle w:val="ClinApplicationNumber"/>
          <w:lang w:val="pl-PL"/>
        </w:rPr>
        <w:t> </w:t>
      </w:r>
      <w:r w:rsidRPr="001335CA">
        <w:rPr>
          <w:rStyle w:val="ClinApplicationNumber"/>
          <w:lang w:val="pl-PL"/>
        </w:rPr>
        <w:t>22768/12</w:t>
      </w:r>
    </w:p>
    <w:p w:rsidR="004969FE" w:rsidRPr="001335CA" w:rsidRDefault="001335CA">
      <w:pPr>
        <w:rPr>
          <w:lang w:val="pl-PL"/>
        </w:rPr>
      </w:pPr>
      <w:r w:rsidRPr="001335CA">
        <w:rPr>
          <w:rStyle w:val="ClinHudocDocumentTitle"/>
          <w:lang w:val="pl-PL"/>
        </w:rPr>
        <w:t xml:space="preserve">Wyrok z </w:t>
      </w:r>
      <w:r w:rsidR="003C4B12" w:rsidRPr="001335CA">
        <w:rPr>
          <w:rStyle w:val="ClinHudocDocumentTitle"/>
          <w:lang w:val="pl-PL"/>
        </w:rPr>
        <w:t>20.</w:t>
      </w:r>
      <w:r w:rsidRPr="001335CA">
        <w:rPr>
          <w:rStyle w:val="ClinHudocDocumentTitle"/>
          <w:lang w:val="pl-PL"/>
        </w:rPr>
        <w:t>0</w:t>
      </w:r>
      <w:r w:rsidR="003C4B12" w:rsidRPr="001335CA">
        <w:rPr>
          <w:rStyle w:val="ClinHudocDocumentTitle"/>
          <w:lang w:val="pl-PL"/>
        </w:rPr>
        <w:t>3.2018</w:t>
      </w:r>
      <w:r w:rsidR="003C4B12" w:rsidRPr="001335CA">
        <w:rPr>
          <w:rStyle w:val="ClinSectionName"/>
          <w:lang w:val="pl-PL"/>
        </w:rPr>
        <w:t xml:space="preserve"> </w:t>
      </w:r>
      <w:r w:rsidRPr="001335CA">
        <w:rPr>
          <w:rStyle w:val="ClinSectionName"/>
          <w:lang w:val="pl-PL"/>
        </w:rPr>
        <w:t xml:space="preserve">r. </w:t>
      </w:r>
      <w:r w:rsidR="003C4B12" w:rsidRPr="001335CA">
        <w:rPr>
          <w:rStyle w:val="ClinSectionName"/>
          <w:lang w:val="pl-PL"/>
        </w:rPr>
        <w:t>[</w:t>
      </w:r>
      <w:r w:rsidRPr="001335CA">
        <w:rPr>
          <w:rStyle w:val="ClinSectionName"/>
          <w:lang w:val="pl-PL"/>
        </w:rPr>
        <w:t>Wielka Izba</w:t>
      </w:r>
      <w:r w:rsidR="003C4B12" w:rsidRPr="001335CA">
        <w:rPr>
          <w:rStyle w:val="ClinSectionName"/>
          <w:lang w:val="pl-PL"/>
        </w:rPr>
        <w:t>]</w:t>
      </w:r>
    </w:p>
    <w:p w:rsidR="004969FE" w:rsidRPr="00990EE8" w:rsidRDefault="003C4B12">
      <w:pPr>
        <w:pStyle w:val="ClinMainKeywordCode"/>
        <w:rPr>
          <w:lang w:val="pl-PL"/>
        </w:rPr>
      </w:pPr>
      <w:r w:rsidRPr="00990EE8">
        <w:rPr>
          <w:lang w:val="pl-PL"/>
        </w:rPr>
        <w:t>Art</w:t>
      </w:r>
      <w:r w:rsidR="001335CA" w:rsidRPr="00990EE8">
        <w:rPr>
          <w:lang w:val="pl-PL"/>
        </w:rPr>
        <w:t>.</w:t>
      </w:r>
      <w:r w:rsidRPr="00990EE8">
        <w:rPr>
          <w:lang w:val="pl-PL"/>
        </w:rPr>
        <w:t xml:space="preserve"> 35</w:t>
      </w:r>
      <w:r w:rsidR="004E3B18" w:rsidRPr="004E3B18">
        <w:rPr>
          <w:lang w:val="pl-PL"/>
        </w:rPr>
        <w:t xml:space="preserve"> </w:t>
      </w:r>
      <w:r w:rsidR="004E3B18">
        <w:rPr>
          <w:lang w:val="pl-PL"/>
        </w:rPr>
        <w:t>Konwencji</w:t>
      </w:r>
      <w:r w:rsidR="004E3B18">
        <w:rPr>
          <w:rStyle w:val="Odwoanieprzypisudolnego"/>
          <w:lang w:val="pl-PL"/>
        </w:rPr>
        <w:footnoteReference w:id="1"/>
      </w:r>
    </w:p>
    <w:p w:rsidR="004969FE" w:rsidRPr="00990EE8" w:rsidRDefault="003C4B12">
      <w:pPr>
        <w:pStyle w:val="ClinChildKeywordCode"/>
        <w:rPr>
          <w:lang w:val="pl-PL"/>
        </w:rPr>
      </w:pPr>
      <w:r w:rsidRPr="00990EE8">
        <w:rPr>
          <w:lang w:val="pl-PL"/>
        </w:rPr>
        <w:t>Art</w:t>
      </w:r>
      <w:r w:rsidR="001335CA" w:rsidRPr="00990EE8">
        <w:rPr>
          <w:lang w:val="pl-PL"/>
        </w:rPr>
        <w:t>.</w:t>
      </w:r>
      <w:r w:rsidRPr="00990EE8">
        <w:rPr>
          <w:lang w:val="pl-PL"/>
        </w:rPr>
        <w:t xml:space="preserve"> 35</w:t>
      </w:r>
      <w:r w:rsidR="001335CA" w:rsidRPr="00990EE8">
        <w:rPr>
          <w:lang w:val="pl-PL"/>
        </w:rPr>
        <w:t xml:space="preserve"> ust. </w:t>
      </w:r>
      <w:r w:rsidRPr="00990EE8">
        <w:rPr>
          <w:lang w:val="pl-PL"/>
        </w:rPr>
        <w:t>1</w:t>
      </w:r>
    </w:p>
    <w:p w:rsidR="004969FE" w:rsidRPr="00990EE8" w:rsidRDefault="00AF6065">
      <w:pPr>
        <w:pStyle w:val="ClinKeyword"/>
        <w:rPr>
          <w:lang w:val="pl-PL"/>
        </w:rPr>
      </w:pPr>
      <w:r w:rsidRPr="00990EE8">
        <w:rPr>
          <w:lang w:val="pl-PL"/>
        </w:rPr>
        <w:t>Termin sześciu miesięcy</w:t>
      </w:r>
    </w:p>
    <w:p w:rsidR="00AF6065" w:rsidRPr="00AF6065" w:rsidRDefault="00A43B52" w:rsidP="00521C12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D</w:t>
      </w:r>
      <w:r w:rsidR="00AF6065" w:rsidRPr="00044357">
        <w:rPr>
          <w:rStyle w:val="ClinConclusions"/>
          <w:i w:val="0"/>
          <w:lang w:val="pl-PL"/>
        </w:rPr>
        <w:t xml:space="preserve">odanie przez skarżących </w:t>
      </w:r>
      <w:r>
        <w:rPr>
          <w:rStyle w:val="ClinConclusions"/>
          <w:i w:val="0"/>
          <w:lang w:val="pl-PL"/>
        </w:rPr>
        <w:t xml:space="preserve">na późniejszym etapie </w:t>
      </w:r>
      <w:r w:rsidR="00AF6065" w:rsidRPr="00044357">
        <w:rPr>
          <w:rStyle w:val="ClinConclusions"/>
          <w:i w:val="0"/>
          <w:lang w:val="pl-PL"/>
        </w:rPr>
        <w:t xml:space="preserve">okresu ponad 50 lat do faktów skargi opartej na </w:t>
      </w:r>
      <w:r w:rsidR="00333953" w:rsidRPr="00990EE8">
        <w:rPr>
          <w:rStyle w:val="ClinHeadNote"/>
          <w:lang w:val="pl-PL"/>
        </w:rPr>
        <w:t>zasiedzeniu</w:t>
      </w:r>
      <w:r w:rsidR="00AF6065" w:rsidRPr="00990EE8">
        <w:rPr>
          <w:rStyle w:val="ClinHeadNote"/>
          <w:i/>
          <w:lang w:val="pl-PL"/>
        </w:rPr>
        <w:t>:</w:t>
      </w:r>
      <w:r w:rsidR="00AF6065" w:rsidRPr="00990EE8">
        <w:rPr>
          <w:rStyle w:val="ClinHeadNote"/>
          <w:lang w:val="pl-PL"/>
        </w:rPr>
        <w:t xml:space="preserve"> </w:t>
      </w:r>
      <w:r w:rsidR="00AF6065" w:rsidRPr="00990EE8">
        <w:rPr>
          <w:rStyle w:val="ClinHeadNote"/>
          <w:i/>
          <w:lang w:val="pl-PL"/>
        </w:rPr>
        <w:t>niedopuszczalność skargi</w:t>
      </w:r>
    </w:p>
    <w:p w:rsidR="004969FE" w:rsidRPr="00044357" w:rsidRDefault="003C4B12">
      <w:pPr>
        <w:pStyle w:val="ClinMainKeywordCode"/>
        <w:rPr>
          <w:lang w:val="pl-PL"/>
        </w:rPr>
      </w:pPr>
      <w:r w:rsidRPr="00044357">
        <w:rPr>
          <w:lang w:val="pl-PL"/>
        </w:rPr>
        <w:t>Art</w:t>
      </w:r>
      <w:r w:rsidR="00044357" w:rsidRPr="00044357">
        <w:rPr>
          <w:lang w:val="pl-PL"/>
        </w:rPr>
        <w:t>.</w:t>
      </w:r>
      <w:r w:rsidRPr="00044357">
        <w:rPr>
          <w:lang w:val="pl-PL"/>
        </w:rPr>
        <w:t xml:space="preserve"> 1 </w:t>
      </w:r>
      <w:r w:rsidR="00044357" w:rsidRPr="00044357">
        <w:rPr>
          <w:lang w:val="pl-PL"/>
        </w:rPr>
        <w:t>Protokołu nr</w:t>
      </w:r>
      <w:r w:rsidRPr="00044357">
        <w:rPr>
          <w:lang w:val="pl-PL"/>
        </w:rPr>
        <w:t xml:space="preserve"> 1</w:t>
      </w:r>
    </w:p>
    <w:p w:rsidR="004969FE" w:rsidRPr="00044357" w:rsidRDefault="003C4B12">
      <w:pPr>
        <w:pStyle w:val="ClinChildKeywordCode"/>
        <w:rPr>
          <w:lang w:val="pl-PL"/>
        </w:rPr>
      </w:pPr>
      <w:r w:rsidRPr="00990EE8">
        <w:rPr>
          <w:lang w:val="pl-PL"/>
        </w:rPr>
        <w:t>Art</w:t>
      </w:r>
      <w:r w:rsidR="00044357" w:rsidRPr="00990EE8">
        <w:rPr>
          <w:lang w:val="pl-PL"/>
        </w:rPr>
        <w:t>.</w:t>
      </w:r>
      <w:r w:rsidRPr="00990EE8">
        <w:rPr>
          <w:lang w:val="pl-PL"/>
        </w:rPr>
        <w:t xml:space="preserve"> 1 </w:t>
      </w:r>
      <w:r w:rsidR="00990EE8" w:rsidRPr="00990EE8">
        <w:rPr>
          <w:lang w:val="pl-PL"/>
        </w:rPr>
        <w:t>par</w:t>
      </w:r>
      <w:r w:rsidRPr="00990EE8">
        <w:rPr>
          <w:lang w:val="pl-PL"/>
        </w:rPr>
        <w:t xml:space="preserve">. 1 </w:t>
      </w:r>
      <w:r w:rsidR="00044357" w:rsidRPr="00990EE8">
        <w:rPr>
          <w:lang w:val="pl-PL"/>
        </w:rPr>
        <w:t>Protokołu nr 1</w:t>
      </w:r>
    </w:p>
    <w:p w:rsidR="004969FE" w:rsidRPr="003F4B31" w:rsidRDefault="00044357">
      <w:pPr>
        <w:pStyle w:val="ClinKeyword"/>
        <w:rPr>
          <w:lang w:val="pl-PL"/>
        </w:rPr>
      </w:pPr>
      <w:r w:rsidRPr="003F4B31">
        <w:rPr>
          <w:lang w:val="pl-PL"/>
        </w:rPr>
        <w:t>Mienie</w:t>
      </w:r>
    </w:p>
    <w:p w:rsidR="008742EB" w:rsidRPr="008742EB" w:rsidRDefault="008742EB" w:rsidP="00521C12">
      <w:pPr>
        <w:jc w:val="both"/>
        <w:rPr>
          <w:lang w:val="pl-PL"/>
        </w:rPr>
      </w:pPr>
      <w:r w:rsidRPr="008742EB">
        <w:rPr>
          <w:rStyle w:val="ClinConclusions"/>
          <w:i w:val="0"/>
          <w:lang w:val="pl-PL"/>
        </w:rPr>
        <w:t xml:space="preserve">Roszczenia do własności mienia społecznego </w:t>
      </w:r>
      <w:r w:rsidR="00990EE8">
        <w:rPr>
          <w:rStyle w:val="ClinConclusions"/>
          <w:i w:val="0"/>
          <w:lang w:val="pl-PL"/>
        </w:rPr>
        <w:t xml:space="preserve">w oparciu o </w:t>
      </w:r>
      <w:r w:rsidR="00333953">
        <w:rPr>
          <w:rStyle w:val="ClinConclusions"/>
          <w:i w:val="0"/>
          <w:lang w:val="pl-PL"/>
        </w:rPr>
        <w:t>zasiedzenie</w:t>
      </w:r>
      <w:r w:rsidRPr="008742EB">
        <w:rPr>
          <w:rStyle w:val="ClinHeadNote"/>
          <w:i/>
          <w:lang w:val="pl-PL"/>
        </w:rPr>
        <w:t>:</w:t>
      </w:r>
      <w:r>
        <w:rPr>
          <w:rStyle w:val="ClinHeadNote"/>
          <w:lang w:val="pl-PL"/>
        </w:rPr>
        <w:t xml:space="preserve"> </w:t>
      </w:r>
      <w:r w:rsidRPr="00A43B52">
        <w:rPr>
          <w:rStyle w:val="ClinHeadNote"/>
          <w:i/>
          <w:lang w:val="pl-PL"/>
        </w:rPr>
        <w:t>brak naruszenia</w:t>
      </w:r>
    </w:p>
    <w:p w:rsidR="00333953" w:rsidRPr="00333953" w:rsidRDefault="00333953">
      <w:pPr>
        <w:pStyle w:val="ClinContent"/>
        <w:rPr>
          <w:lang w:val="pl-PL"/>
        </w:rPr>
      </w:pPr>
      <w:r w:rsidRPr="00333953">
        <w:rPr>
          <w:lang w:val="pl-PL"/>
        </w:rPr>
        <w:t xml:space="preserve">Fakty – </w:t>
      </w:r>
      <w:r w:rsidR="00990EE8">
        <w:rPr>
          <w:lang w:val="pl-PL"/>
        </w:rPr>
        <w:t>Dnia</w:t>
      </w:r>
      <w:r w:rsidRPr="00333953">
        <w:rPr>
          <w:lang w:val="pl-PL"/>
        </w:rPr>
        <w:t xml:space="preserve"> 6 kwietnia 1941 r. </w:t>
      </w:r>
      <w:r>
        <w:rPr>
          <w:lang w:val="pl-PL"/>
        </w:rPr>
        <w:t>ustawodawstwo byłej Jugosławii zakazało nabywania własności mienia społecznego przez zasiedzenie. Postanowienie to zostało uchylone przez chorwacki Parlament w 1991 r., a art. 388 ust. 4 ustawy o własności z 1996 r. przewidywał, że okres od</w:t>
      </w:r>
      <w:r w:rsidR="00FE42A8">
        <w:rPr>
          <w:lang w:val="pl-PL"/>
        </w:rPr>
        <w:t xml:space="preserve"> dnia</w:t>
      </w:r>
      <w:r>
        <w:rPr>
          <w:lang w:val="pl-PL"/>
        </w:rPr>
        <w:t xml:space="preserve"> 6 kwietnia 1941 r. do </w:t>
      </w:r>
      <w:r w:rsidR="00FE42A8">
        <w:rPr>
          <w:lang w:val="pl-PL"/>
        </w:rPr>
        <w:t xml:space="preserve">dnia </w:t>
      </w:r>
      <w:r>
        <w:rPr>
          <w:lang w:val="pl-PL"/>
        </w:rPr>
        <w:t>8 października 1991 r. należy wliczyć do okresu nabywania własności w drodze zasiedzenia nieruchomości będącej własnością społeczną. Jednakże w 1999 r. Trybunał Konstytucyjny unieważnił art. 388 ust. 4 ustawy o własności z 1996 r.</w:t>
      </w:r>
      <w:r w:rsidR="00990EE8">
        <w:rPr>
          <w:lang w:val="pl-PL"/>
        </w:rPr>
        <w:t xml:space="preserve">, uznając, że </w:t>
      </w:r>
      <w:r w:rsidR="00FE42A8">
        <w:rPr>
          <w:lang w:val="pl-PL"/>
        </w:rPr>
        <w:t xml:space="preserve">jego </w:t>
      </w:r>
      <w:r w:rsidR="00990EE8">
        <w:rPr>
          <w:lang w:val="pl-PL"/>
        </w:rPr>
        <w:t>moc wsteczna</w:t>
      </w:r>
      <w:r>
        <w:rPr>
          <w:lang w:val="pl-PL"/>
        </w:rPr>
        <w:t xml:space="preserve"> oraz negatywne skutki wywoływane </w:t>
      </w:r>
      <w:r w:rsidR="00990EE8">
        <w:rPr>
          <w:lang w:val="pl-PL"/>
        </w:rPr>
        <w:t>przez ten przepis</w:t>
      </w:r>
      <w:r w:rsidR="00FE42A8">
        <w:rPr>
          <w:lang w:val="pl-PL"/>
        </w:rPr>
        <w:t xml:space="preserve"> dla praw</w:t>
      </w:r>
      <w:r>
        <w:rPr>
          <w:lang w:val="pl-PL"/>
        </w:rPr>
        <w:t xml:space="preserve"> osób trzecich</w:t>
      </w:r>
      <w:r w:rsidR="00990EE8">
        <w:rPr>
          <w:lang w:val="pl-PL"/>
        </w:rPr>
        <w:t xml:space="preserve"> były niekonstytucyjne</w:t>
      </w:r>
      <w:r>
        <w:rPr>
          <w:lang w:val="pl-PL"/>
        </w:rPr>
        <w:t xml:space="preserve">. </w:t>
      </w:r>
    </w:p>
    <w:p w:rsidR="00333953" w:rsidRPr="00333953" w:rsidRDefault="00333953" w:rsidP="00333953">
      <w:pPr>
        <w:pStyle w:val="ClinContent"/>
        <w:rPr>
          <w:lang w:val="pl-PL"/>
        </w:rPr>
      </w:pPr>
      <w:r w:rsidRPr="00333953">
        <w:rPr>
          <w:lang w:val="pl-PL"/>
        </w:rPr>
        <w:t>Sądy krajowe odmówiły wydania</w:t>
      </w:r>
      <w:r>
        <w:rPr>
          <w:lang w:val="pl-PL"/>
        </w:rPr>
        <w:t xml:space="preserve"> stwierdzenia</w:t>
      </w:r>
      <w:r w:rsidRPr="00333953">
        <w:rPr>
          <w:lang w:val="pl-PL"/>
        </w:rPr>
        <w:t xml:space="preserve">, że </w:t>
      </w:r>
      <w:r w:rsidRPr="00333953">
        <w:rPr>
          <w:rFonts w:ascii="Arial" w:hAnsi="Arial" w:cs="Arial"/>
          <w:lang w:val="pl-PL"/>
        </w:rPr>
        <w:t>​​</w:t>
      </w:r>
      <w:r w:rsidRPr="00333953">
        <w:rPr>
          <w:lang w:val="pl-PL"/>
        </w:rPr>
        <w:t>skar</w:t>
      </w:r>
      <w:r w:rsidRPr="00333953">
        <w:rPr>
          <w:rFonts w:cs="Verdana"/>
          <w:lang w:val="pl-PL"/>
        </w:rPr>
        <w:t>żą</w:t>
      </w:r>
      <w:r w:rsidRPr="00333953">
        <w:rPr>
          <w:lang w:val="pl-PL"/>
        </w:rPr>
        <w:t xml:space="preserve">cy nabyli </w:t>
      </w:r>
      <w:r w:rsidR="00990EE8" w:rsidRPr="00333953">
        <w:rPr>
          <w:lang w:val="pl-PL"/>
        </w:rPr>
        <w:t xml:space="preserve">przez </w:t>
      </w:r>
      <w:r w:rsidR="00990EE8">
        <w:rPr>
          <w:lang w:val="pl-PL"/>
        </w:rPr>
        <w:t>zasiedzenie</w:t>
      </w:r>
      <w:r w:rsidR="00990EE8" w:rsidRPr="00333953">
        <w:rPr>
          <w:lang w:val="pl-PL"/>
        </w:rPr>
        <w:t xml:space="preserve"> </w:t>
      </w:r>
      <w:r w:rsidRPr="00333953">
        <w:rPr>
          <w:lang w:val="pl-PL"/>
        </w:rPr>
        <w:t>tytu</w:t>
      </w:r>
      <w:r w:rsidRPr="00333953">
        <w:rPr>
          <w:rFonts w:cs="Verdana"/>
          <w:lang w:val="pl-PL"/>
        </w:rPr>
        <w:t>ł</w:t>
      </w:r>
      <w:r w:rsidRPr="00333953">
        <w:rPr>
          <w:lang w:val="pl-PL"/>
        </w:rPr>
        <w:t xml:space="preserve"> do gruntu zarejestrowanego </w:t>
      </w:r>
      <w:r>
        <w:rPr>
          <w:lang w:val="pl-PL"/>
        </w:rPr>
        <w:t xml:space="preserve">na </w:t>
      </w:r>
      <w:r w:rsidRPr="00333953">
        <w:rPr>
          <w:lang w:val="pl-PL"/>
        </w:rPr>
        <w:t>w</w:t>
      </w:r>
      <w:r w:rsidRPr="00333953">
        <w:rPr>
          <w:rFonts w:cs="Verdana"/>
          <w:lang w:val="pl-PL"/>
        </w:rPr>
        <w:t>ł</w:t>
      </w:r>
      <w:r w:rsidRPr="00333953">
        <w:rPr>
          <w:lang w:val="pl-PL"/>
        </w:rPr>
        <w:t>adz</w:t>
      </w:r>
      <w:r>
        <w:rPr>
          <w:lang w:val="pl-PL"/>
        </w:rPr>
        <w:t>e lokalne</w:t>
      </w:r>
      <w:r w:rsidRPr="00333953">
        <w:rPr>
          <w:lang w:val="pl-PL"/>
        </w:rPr>
        <w:t xml:space="preserve">. Ustawa </w:t>
      </w:r>
      <w:r w:rsidRPr="008C655F">
        <w:rPr>
          <w:lang w:val="pl-PL"/>
        </w:rPr>
        <w:t>o</w:t>
      </w:r>
      <w:r w:rsidR="008C655F" w:rsidRPr="008C655F">
        <w:rPr>
          <w:lang w:val="pl-PL"/>
        </w:rPr>
        <w:t xml:space="preserve"> własności</w:t>
      </w:r>
      <w:r w:rsidRPr="00333953">
        <w:rPr>
          <w:lang w:val="pl-PL"/>
        </w:rPr>
        <w:t xml:space="preserve"> z 1996 r. </w:t>
      </w:r>
      <w:r>
        <w:rPr>
          <w:lang w:val="pl-PL"/>
        </w:rPr>
        <w:t>u</w:t>
      </w:r>
      <w:r w:rsidRPr="00333953">
        <w:rPr>
          <w:lang w:val="pl-PL"/>
        </w:rPr>
        <w:t>stali</w:t>
      </w:r>
      <w:r w:rsidRPr="00333953">
        <w:rPr>
          <w:rFonts w:cs="Verdana"/>
          <w:lang w:val="pl-PL"/>
        </w:rPr>
        <w:t>ł</w:t>
      </w:r>
      <w:r w:rsidRPr="00333953">
        <w:rPr>
          <w:lang w:val="pl-PL"/>
        </w:rPr>
        <w:t>a na</w:t>
      </w:r>
      <w:r w:rsidR="00521C12">
        <w:rPr>
          <w:lang w:val="pl-PL"/>
        </w:rPr>
        <w:t> </w:t>
      </w:r>
      <w:r w:rsidRPr="00333953">
        <w:rPr>
          <w:lang w:val="pl-PL"/>
        </w:rPr>
        <w:t>40 lat okres nabywania prawa w</w:t>
      </w:r>
      <w:r w:rsidRPr="00333953">
        <w:rPr>
          <w:rFonts w:cs="Verdana"/>
          <w:lang w:val="pl-PL"/>
        </w:rPr>
        <w:t>ł</w:t>
      </w:r>
      <w:r w:rsidRPr="00333953">
        <w:rPr>
          <w:lang w:val="pl-PL"/>
        </w:rPr>
        <w:t>asno</w:t>
      </w:r>
      <w:r w:rsidRPr="00333953">
        <w:rPr>
          <w:rFonts w:cs="Verdana"/>
          <w:lang w:val="pl-PL"/>
        </w:rPr>
        <w:t>ś</w:t>
      </w:r>
      <w:r w:rsidRPr="00333953">
        <w:rPr>
          <w:lang w:val="pl-PL"/>
        </w:rPr>
        <w:t xml:space="preserve">ci w drodze </w:t>
      </w:r>
      <w:r>
        <w:rPr>
          <w:lang w:val="pl-PL"/>
        </w:rPr>
        <w:t xml:space="preserve">zasiedzenia </w:t>
      </w:r>
      <w:r w:rsidRPr="00333953">
        <w:rPr>
          <w:lang w:val="pl-PL"/>
        </w:rPr>
        <w:t xml:space="preserve">w przypadku </w:t>
      </w:r>
      <w:r w:rsidR="008C655F">
        <w:rPr>
          <w:lang w:val="pl-PL"/>
        </w:rPr>
        <w:t>nieruchomości będącej</w:t>
      </w:r>
      <w:r w:rsidRPr="00333953">
        <w:rPr>
          <w:lang w:val="pl-PL"/>
        </w:rPr>
        <w:t xml:space="preserve"> własnością społeczną. </w:t>
      </w:r>
      <w:r>
        <w:rPr>
          <w:lang w:val="pl-PL"/>
        </w:rPr>
        <w:t>Bieg</w:t>
      </w:r>
      <w:r w:rsidRPr="00333953">
        <w:rPr>
          <w:lang w:val="pl-PL"/>
        </w:rPr>
        <w:t xml:space="preserve"> ustawowego </w:t>
      </w:r>
      <w:r>
        <w:rPr>
          <w:lang w:val="pl-PL"/>
        </w:rPr>
        <w:t>okresu 40 lat został przerwany</w:t>
      </w:r>
      <w:r w:rsidRPr="00333953">
        <w:rPr>
          <w:lang w:val="pl-PL"/>
        </w:rPr>
        <w:t xml:space="preserve"> w kwietniu 1941 r. </w:t>
      </w:r>
      <w:r>
        <w:rPr>
          <w:lang w:val="pl-PL"/>
        </w:rPr>
        <w:t>i rozpoczął się</w:t>
      </w:r>
      <w:r w:rsidRPr="00333953">
        <w:rPr>
          <w:lang w:val="pl-PL"/>
        </w:rPr>
        <w:t xml:space="preserve"> </w:t>
      </w:r>
      <w:r>
        <w:rPr>
          <w:lang w:val="pl-PL"/>
        </w:rPr>
        <w:t xml:space="preserve">na nowo dopiero </w:t>
      </w:r>
      <w:r w:rsidRPr="00333953">
        <w:rPr>
          <w:lang w:val="pl-PL"/>
        </w:rPr>
        <w:t>po 8 października 1991 r. Skarżący i ich poprzednicy</w:t>
      </w:r>
      <w:r>
        <w:rPr>
          <w:lang w:val="pl-PL"/>
        </w:rPr>
        <w:t xml:space="preserve"> prawni </w:t>
      </w:r>
      <w:r w:rsidRPr="00333953">
        <w:rPr>
          <w:lang w:val="pl-PL"/>
        </w:rPr>
        <w:t xml:space="preserve">posiadali </w:t>
      </w:r>
      <w:r>
        <w:rPr>
          <w:lang w:val="pl-PL"/>
        </w:rPr>
        <w:t xml:space="preserve">nieruchomość </w:t>
      </w:r>
      <w:r w:rsidRPr="00333953">
        <w:rPr>
          <w:lang w:val="pl-PL"/>
        </w:rPr>
        <w:t>(w sposób ciągły i</w:t>
      </w:r>
      <w:r>
        <w:rPr>
          <w:lang w:val="pl-PL"/>
        </w:rPr>
        <w:t xml:space="preserve"> </w:t>
      </w:r>
      <w:r w:rsidRPr="00333953">
        <w:rPr>
          <w:lang w:val="pl-PL"/>
        </w:rPr>
        <w:t xml:space="preserve">w dobrej wierze ) od 1912 r., a zatem nie </w:t>
      </w:r>
      <w:r>
        <w:rPr>
          <w:lang w:val="pl-PL"/>
        </w:rPr>
        <w:t xml:space="preserve">wypełnili </w:t>
      </w:r>
      <w:r w:rsidRPr="00333953">
        <w:rPr>
          <w:lang w:val="pl-PL"/>
        </w:rPr>
        <w:t xml:space="preserve">wymaganego okresu </w:t>
      </w:r>
      <w:r w:rsidR="00990EE8">
        <w:rPr>
          <w:lang w:val="pl-PL"/>
        </w:rPr>
        <w:t xml:space="preserve">według stanu </w:t>
      </w:r>
      <w:r w:rsidR="00990EE8" w:rsidRPr="003F4B31">
        <w:rPr>
          <w:lang w:val="pl-PL"/>
        </w:rPr>
        <w:t>na</w:t>
      </w:r>
      <w:r w:rsidR="00521C12">
        <w:rPr>
          <w:lang w:val="pl-PL"/>
        </w:rPr>
        <w:t> dzień </w:t>
      </w:r>
      <w:r w:rsidRPr="00333953">
        <w:rPr>
          <w:lang w:val="pl-PL"/>
        </w:rPr>
        <w:t>6</w:t>
      </w:r>
      <w:r w:rsidR="00521C12">
        <w:rPr>
          <w:lang w:val="pl-PL"/>
        </w:rPr>
        <w:t> </w:t>
      </w:r>
      <w:r w:rsidRPr="00333953">
        <w:rPr>
          <w:lang w:val="pl-PL"/>
        </w:rPr>
        <w:t>kwietnia 1941 r.</w:t>
      </w:r>
    </w:p>
    <w:p w:rsidR="00781B6B" w:rsidRPr="00781B6B" w:rsidRDefault="00781B6B">
      <w:pPr>
        <w:pStyle w:val="ClinContent"/>
        <w:rPr>
          <w:lang w:val="pl-PL"/>
        </w:rPr>
      </w:pPr>
      <w:r w:rsidRPr="00781B6B">
        <w:rPr>
          <w:lang w:val="pl-PL"/>
        </w:rPr>
        <w:lastRenderedPageBreak/>
        <w:t>W oparciu o art. 1 Protokołu nr 1 skarżący zarzucali, że oddalając ich roszczenie, sądy</w:t>
      </w:r>
      <w:r w:rsidR="00521C12">
        <w:rPr>
          <w:lang w:val="pl-PL"/>
        </w:rPr>
        <w:t> </w:t>
      </w:r>
      <w:r w:rsidRPr="00781B6B">
        <w:rPr>
          <w:lang w:val="pl-PL"/>
        </w:rPr>
        <w:t>krajowe nie</w:t>
      </w:r>
      <w:r>
        <w:rPr>
          <w:lang w:val="pl-PL"/>
        </w:rPr>
        <w:t>prawidłowo</w:t>
      </w:r>
      <w:r w:rsidRPr="00781B6B">
        <w:rPr>
          <w:lang w:val="pl-PL"/>
        </w:rPr>
        <w:t xml:space="preserve"> zastosowały </w:t>
      </w:r>
      <w:r>
        <w:rPr>
          <w:lang w:val="pl-PL"/>
        </w:rPr>
        <w:t>właściwe prawo krajowe, jako że ustawowy okres nabycia własności przez zasi</w:t>
      </w:r>
      <w:r w:rsidR="007B4DD5">
        <w:rPr>
          <w:lang w:val="pl-PL"/>
        </w:rPr>
        <w:t>e</w:t>
      </w:r>
      <w:r>
        <w:rPr>
          <w:lang w:val="pl-PL"/>
        </w:rPr>
        <w:t>dzenie wynosił 20, a nie 40 lat. Wskazywali, że</w:t>
      </w:r>
      <w:r w:rsidR="00521C12">
        <w:rPr>
          <w:lang w:val="pl-PL"/>
        </w:rPr>
        <w:t> </w:t>
      </w:r>
      <w:r>
        <w:rPr>
          <w:lang w:val="pl-PL"/>
        </w:rPr>
        <w:t xml:space="preserve">zgodnie z wykładnią Federalnego Sądu Najwyższego Jugosławii </w:t>
      </w:r>
      <w:r w:rsidR="00990EE8">
        <w:rPr>
          <w:lang w:val="pl-PL"/>
        </w:rPr>
        <w:t>z</w:t>
      </w:r>
      <w:r>
        <w:rPr>
          <w:lang w:val="pl-PL"/>
        </w:rPr>
        <w:t xml:space="preserve"> kwietni</w:t>
      </w:r>
      <w:r w:rsidR="00990EE8">
        <w:rPr>
          <w:lang w:val="pl-PL"/>
        </w:rPr>
        <w:t>a</w:t>
      </w:r>
      <w:r>
        <w:rPr>
          <w:lang w:val="pl-PL"/>
        </w:rPr>
        <w:t xml:space="preserve"> 1960 r., posiadacz nieruchomości w dobrej wierze był uprawniony do </w:t>
      </w:r>
      <w:r w:rsidR="00057AE1">
        <w:rPr>
          <w:lang w:val="pl-PL"/>
        </w:rPr>
        <w:t xml:space="preserve">jej </w:t>
      </w:r>
      <w:r>
        <w:rPr>
          <w:lang w:val="pl-PL"/>
        </w:rPr>
        <w:t xml:space="preserve">nabycia w drodze zasiedzenia po 20 latach. </w:t>
      </w:r>
    </w:p>
    <w:p w:rsidR="007B4DD5" w:rsidRPr="007B4DD5" w:rsidRDefault="007B4DD5">
      <w:pPr>
        <w:pStyle w:val="ClinContent"/>
        <w:rPr>
          <w:lang w:val="pl-PL"/>
        </w:rPr>
      </w:pPr>
      <w:r w:rsidRPr="007B4DD5">
        <w:rPr>
          <w:lang w:val="pl-PL"/>
        </w:rPr>
        <w:t>W swych wyrokach z 28 czerwca 2016 r. (</w:t>
      </w:r>
      <w:proofErr w:type="spellStart"/>
      <w:r w:rsidRPr="007B4DD5">
        <w:rPr>
          <w:i/>
          <w:lang w:val="pl-PL"/>
        </w:rPr>
        <w:t>Radomilja</w:t>
      </w:r>
      <w:proofErr w:type="spellEnd"/>
      <w:r w:rsidRPr="007B4DD5">
        <w:rPr>
          <w:lang w:val="pl-PL"/>
        </w:rPr>
        <w:t xml:space="preserve"> </w:t>
      </w:r>
      <w:r w:rsidRPr="007B4DD5">
        <w:rPr>
          <w:i/>
          <w:lang w:val="pl-PL"/>
        </w:rPr>
        <w:t>i Inni</w:t>
      </w:r>
      <w:r>
        <w:rPr>
          <w:lang w:val="pl-PL"/>
        </w:rPr>
        <w:t xml:space="preserve"> p</w:t>
      </w:r>
      <w:r w:rsidRPr="007B4DD5">
        <w:rPr>
          <w:i/>
          <w:lang w:val="pl-PL"/>
        </w:rPr>
        <w:t>. C</w:t>
      </w:r>
      <w:r>
        <w:rPr>
          <w:i/>
          <w:lang w:val="pl-PL"/>
        </w:rPr>
        <w:t>horwacji</w:t>
      </w:r>
      <w:r w:rsidRPr="007B4DD5">
        <w:rPr>
          <w:lang w:val="pl-PL"/>
        </w:rPr>
        <w:t xml:space="preserve">, </w:t>
      </w:r>
      <w:r>
        <w:rPr>
          <w:lang w:val="pl-PL"/>
        </w:rPr>
        <w:t>skarga nr</w:t>
      </w:r>
      <w:r w:rsidR="00521C12">
        <w:rPr>
          <w:lang w:val="pl-PL"/>
        </w:rPr>
        <w:t> </w:t>
      </w:r>
      <w:r w:rsidR="00335092">
        <w:fldChar w:fldCharType="begin"/>
      </w:r>
      <w:r w:rsidR="00335092" w:rsidRPr="0052781A">
        <w:rPr>
          <w:lang w:val="pl-PL"/>
        </w:rPr>
        <w:instrText xml:space="preserve"> HYPERLINK "http://hudoc.echr.coe.int/eng?i=001-164195" </w:instrText>
      </w:r>
      <w:r w:rsidR="00335092">
        <w:fldChar w:fldCharType="separate"/>
      </w:r>
      <w:r w:rsidRPr="007B4DD5">
        <w:rPr>
          <w:rStyle w:val="Hipercze"/>
          <w:lang w:val="pl-PL"/>
        </w:rPr>
        <w:t>37685/10</w:t>
      </w:r>
      <w:r w:rsidR="00335092">
        <w:rPr>
          <w:rStyle w:val="Hipercze"/>
          <w:lang w:val="pl-PL"/>
        </w:rPr>
        <w:fldChar w:fldCharType="end"/>
      </w:r>
      <w:r w:rsidRPr="007B4DD5">
        <w:rPr>
          <w:lang w:val="pl-PL"/>
        </w:rPr>
        <w:t>, oraz</w:t>
      </w:r>
      <w:r w:rsidRPr="007B4DD5">
        <w:rPr>
          <w:rStyle w:val="Hipercze"/>
          <w:u w:val="none"/>
          <w:lang w:val="pl-PL"/>
        </w:rPr>
        <w:t xml:space="preserve"> </w:t>
      </w:r>
      <w:proofErr w:type="spellStart"/>
      <w:r w:rsidRPr="007B4DD5">
        <w:rPr>
          <w:i/>
          <w:lang w:val="pl-PL"/>
        </w:rPr>
        <w:t>Jakeljić</w:t>
      </w:r>
      <w:proofErr w:type="spellEnd"/>
      <w:r w:rsidRPr="007B4DD5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7B4DD5">
        <w:rPr>
          <w:i/>
          <w:lang w:val="pl-PL"/>
        </w:rPr>
        <w:t>. </w:t>
      </w:r>
      <w:r>
        <w:rPr>
          <w:i/>
          <w:lang w:val="pl-PL"/>
        </w:rPr>
        <w:t>Chorwacji</w:t>
      </w:r>
      <w:r w:rsidRPr="007B4DD5">
        <w:rPr>
          <w:lang w:val="pl-PL"/>
        </w:rPr>
        <w:t xml:space="preserve">, </w:t>
      </w:r>
      <w:r>
        <w:rPr>
          <w:lang w:val="pl-PL"/>
        </w:rPr>
        <w:t xml:space="preserve">skarga nr </w:t>
      </w:r>
      <w:r w:rsidR="00335092">
        <w:fldChar w:fldCharType="begin"/>
      </w:r>
      <w:r w:rsidR="00335092" w:rsidRPr="0052781A">
        <w:rPr>
          <w:lang w:val="pl-PL"/>
        </w:rPr>
        <w:instrText xml:space="preserve"> HYPERLINK "http://hudoc.echr.coe.int/eng?i=001-164419" </w:instrText>
      </w:r>
      <w:r w:rsidR="00335092">
        <w:fldChar w:fldCharType="separate"/>
      </w:r>
      <w:r w:rsidRPr="007B4DD5">
        <w:rPr>
          <w:rStyle w:val="Hipercze"/>
          <w:lang w:val="pl-PL"/>
        </w:rPr>
        <w:t>22768/12</w:t>
      </w:r>
      <w:r w:rsidR="00335092">
        <w:rPr>
          <w:rStyle w:val="Hipercze"/>
          <w:lang w:val="pl-PL"/>
        </w:rPr>
        <w:fldChar w:fldCharType="end"/>
      </w:r>
      <w:r w:rsidRPr="007B4DD5">
        <w:rPr>
          <w:lang w:val="pl-PL"/>
        </w:rPr>
        <w:t>)</w:t>
      </w:r>
      <w:r>
        <w:rPr>
          <w:lang w:val="pl-PL"/>
        </w:rPr>
        <w:t xml:space="preserve"> Izba Trybunału orzekła sześcioma głosami do jednego, że doszło do naruszenia art. 1 Protokołu nr 1. Zgodnie z</w:t>
      </w:r>
      <w:r w:rsidR="00521C12">
        <w:rPr>
          <w:lang w:val="pl-PL"/>
        </w:rPr>
        <w:t> </w:t>
      </w:r>
      <w:r>
        <w:rPr>
          <w:lang w:val="pl-PL"/>
        </w:rPr>
        <w:t xml:space="preserve">podejściem przyjętym w </w:t>
      </w:r>
      <w:r w:rsidR="00241F18">
        <w:rPr>
          <w:lang w:val="pl-PL"/>
        </w:rPr>
        <w:t xml:space="preserve">sprawie </w:t>
      </w:r>
      <w:proofErr w:type="spellStart"/>
      <w:r w:rsidRPr="00241F18">
        <w:rPr>
          <w:i/>
          <w:lang w:val="pl-PL"/>
        </w:rPr>
        <w:t>Trgo</w:t>
      </w:r>
      <w:proofErr w:type="spellEnd"/>
      <w:r w:rsidRPr="00241F18">
        <w:rPr>
          <w:i/>
          <w:lang w:val="pl-PL"/>
        </w:rPr>
        <w:t xml:space="preserve"> p. Chorwacji</w:t>
      </w:r>
      <w:r>
        <w:rPr>
          <w:lang w:val="pl-PL"/>
        </w:rPr>
        <w:t xml:space="preserve"> </w:t>
      </w:r>
      <w:r w:rsidRPr="007B4DD5">
        <w:rPr>
          <w:lang w:val="pl-PL"/>
        </w:rPr>
        <w:t xml:space="preserve">(skarga nr </w:t>
      </w:r>
      <w:r w:rsidR="00335092">
        <w:fldChar w:fldCharType="begin"/>
      </w:r>
      <w:r w:rsidR="00335092" w:rsidRPr="0052781A">
        <w:rPr>
          <w:lang w:val="pl-PL"/>
        </w:rPr>
        <w:instrText xml:space="preserve"> HYPERLINK "http://hudoc.echr.coe.int/eng?i=001-92999" </w:instrText>
      </w:r>
      <w:r w:rsidR="00335092">
        <w:fldChar w:fldCharType="separate"/>
      </w:r>
      <w:r w:rsidRPr="007B4DD5">
        <w:rPr>
          <w:rStyle w:val="Hipercze"/>
          <w:lang w:val="pl-PL"/>
        </w:rPr>
        <w:t>35298/04</w:t>
      </w:r>
      <w:r w:rsidR="00335092">
        <w:rPr>
          <w:rStyle w:val="Hipercze"/>
          <w:lang w:val="pl-PL"/>
        </w:rPr>
        <w:fldChar w:fldCharType="end"/>
      </w:r>
      <w:r w:rsidRPr="007B4DD5">
        <w:rPr>
          <w:lang w:val="pl-PL"/>
        </w:rPr>
        <w:t>, 11 </w:t>
      </w:r>
      <w:r>
        <w:rPr>
          <w:lang w:val="pl-PL"/>
        </w:rPr>
        <w:t xml:space="preserve">czerwca </w:t>
      </w:r>
      <w:r w:rsidRPr="007B4DD5">
        <w:rPr>
          <w:lang w:val="pl-PL"/>
        </w:rPr>
        <w:t>2009</w:t>
      </w:r>
      <w:r>
        <w:rPr>
          <w:lang w:val="pl-PL"/>
        </w:rPr>
        <w:t xml:space="preserve"> r.</w:t>
      </w:r>
      <w:r w:rsidRPr="007B4DD5">
        <w:rPr>
          <w:lang w:val="pl-PL"/>
        </w:rPr>
        <w:t>)</w:t>
      </w:r>
      <w:r>
        <w:rPr>
          <w:lang w:val="pl-PL"/>
        </w:rPr>
        <w:t xml:space="preserve"> Izba uwzględniła okres od 6 </w:t>
      </w:r>
      <w:r w:rsidR="00241F18">
        <w:rPr>
          <w:lang w:val="pl-PL"/>
        </w:rPr>
        <w:t>kwietnia</w:t>
      </w:r>
      <w:r>
        <w:rPr>
          <w:lang w:val="pl-PL"/>
        </w:rPr>
        <w:t xml:space="preserve"> 1941 r. do 8 października 1991</w:t>
      </w:r>
      <w:r w:rsidR="00521C12">
        <w:rPr>
          <w:lang w:val="pl-PL"/>
        </w:rPr>
        <w:t> </w:t>
      </w:r>
      <w:r>
        <w:rPr>
          <w:lang w:val="pl-PL"/>
        </w:rPr>
        <w:t>r. i</w:t>
      </w:r>
      <w:r w:rsidR="00521C12">
        <w:rPr>
          <w:lang w:val="pl-PL"/>
        </w:rPr>
        <w:t> </w:t>
      </w:r>
      <w:r>
        <w:rPr>
          <w:lang w:val="pl-PL"/>
        </w:rPr>
        <w:t xml:space="preserve">stwierdziła, że roszczenie skarżących do własności działek miało wystarczającą podstawę w prawie krajowym (art. 388 ust. 4 ustawy </w:t>
      </w:r>
      <w:r w:rsidR="008C655F">
        <w:rPr>
          <w:lang w:val="pl-PL"/>
        </w:rPr>
        <w:t xml:space="preserve">o własności </w:t>
      </w:r>
      <w:r>
        <w:rPr>
          <w:lang w:val="pl-PL"/>
        </w:rPr>
        <w:t xml:space="preserve">z 1996 r.), by mogło być zakwalifikowane jako „aktyw” chroniony przez art. 1 Protokołu nr 1. W odniesieniu do przedmiotu skargi Trybunał stwierdził, że </w:t>
      </w:r>
      <w:r w:rsidR="00FE42A8">
        <w:rPr>
          <w:lang w:val="pl-PL"/>
        </w:rPr>
        <w:t>–</w:t>
      </w:r>
      <w:r>
        <w:rPr>
          <w:lang w:val="pl-PL"/>
        </w:rPr>
        <w:t xml:space="preserve"> przy braku uszczerbku dla praw innych osób – nie było uzasadnione wyłączenie okresu 1941-1991 </w:t>
      </w:r>
      <w:r w:rsidR="00241F18">
        <w:rPr>
          <w:lang w:val="pl-PL"/>
        </w:rPr>
        <w:t>z</w:t>
      </w:r>
      <w:r w:rsidR="008C655F">
        <w:rPr>
          <w:lang w:val="pl-PL"/>
        </w:rPr>
        <w:t xml:space="preserve"> obliczania okresu </w:t>
      </w:r>
      <w:r>
        <w:rPr>
          <w:lang w:val="pl-PL"/>
        </w:rPr>
        <w:t xml:space="preserve">nabywania własności w drodze zasiedzenia </w:t>
      </w:r>
      <w:r w:rsidR="008C655F">
        <w:rPr>
          <w:lang w:val="pl-PL"/>
        </w:rPr>
        <w:t>nieruchomości będącej własnością społeczną</w:t>
      </w:r>
      <w:r>
        <w:rPr>
          <w:lang w:val="pl-PL"/>
        </w:rPr>
        <w:t xml:space="preserve">. </w:t>
      </w:r>
    </w:p>
    <w:p w:rsidR="006E1D24" w:rsidRPr="006E1D24" w:rsidRDefault="006E1D24">
      <w:pPr>
        <w:pStyle w:val="ClinContent"/>
        <w:rPr>
          <w:lang w:val="pl-PL"/>
        </w:rPr>
      </w:pPr>
      <w:r w:rsidRPr="006E1D24">
        <w:rPr>
          <w:lang w:val="pl-PL"/>
        </w:rPr>
        <w:t xml:space="preserve">W dniu 28 listopada 2016 r. sprawy zostały przekazane do Wielkiej Izby na wniosek Rządu (zobacz </w:t>
      </w:r>
      <w:r w:rsidR="00335092">
        <w:fldChar w:fldCharType="begin"/>
      </w:r>
      <w:r w:rsidR="00335092" w:rsidRPr="0052781A">
        <w:rPr>
          <w:lang w:val="pl-PL"/>
        </w:rPr>
        <w:instrText xml:space="preserve"> HYPERLINK "http://hudoc.echr.coe.int/fre?i=002-11296" </w:instrText>
      </w:r>
      <w:r w:rsidR="00335092">
        <w:fldChar w:fldCharType="separate"/>
      </w:r>
      <w:r>
        <w:rPr>
          <w:rStyle w:val="Hipercze"/>
          <w:lang w:val="pl-PL"/>
        </w:rPr>
        <w:t>Nota informacyjna nr</w:t>
      </w:r>
      <w:r w:rsidRPr="006E1D24">
        <w:rPr>
          <w:rStyle w:val="Hipercze"/>
          <w:lang w:val="pl-PL"/>
        </w:rPr>
        <w:t> 201</w:t>
      </w:r>
      <w:r w:rsidR="00335092">
        <w:rPr>
          <w:rStyle w:val="Hipercze"/>
          <w:lang w:val="pl-PL"/>
        </w:rPr>
        <w:fldChar w:fldCharType="end"/>
      </w:r>
      <w:r w:rsidRPr="006E1D24">
        <w:rPr>
          <w:lang w:val="pl-PL"/>
        </w:rPr>
        <w:t>).</w:t>
      </w:r>
    </w:p>
    <w:p w:rsidR="006E1D24" w:rsidRPr="006E1D24" w:rsidRDefault="006E1D24">
      <w:pPr>
        <w:pStyle w:val="ClinContent"/>
        <w:rPr>
          <w:lang w:val="pl-PL"/>
        </w:rPr>
      </w:pPr>
      <w:r w:rsidRPr="00FE42A8">
        <w:rPr>
          <w:i/>
          <w:lang w:val="pl-PL"/>
        </w:rPr>
        <w:t>Prawo</w:t>
      </w:r>
      <w:r w:rsidRPr="006E1D24">
        <w:rPr>
          <w:lang w:val="pl-PL"/>
        </w:rPr>
        <w:t xml:space="preserve"> – </w:t>
      </w:r>
      <w:r w:rsidR="003025E7">
        <w:rPr>
          <w:lang w:val="pl-PL"/>
        </w:rPr>
        <w:t>P</w:t>
      </w:r>
      <w:r w:rsidR="003025E7" w:rsidRPr="006E1D24">
        <w:rPr>
          <w:lang w:val="pl-PL"/>
        </w:rPr>
        <w:t xml:space="preserve">onieważ </w:t>
      </w:r>
      <w:r w:rsidRPr="006E1D24">
        <w:rPr>
          <w:lang w:val="pl-PL"/>
        </w:rPr>
        <w:t xml:space="preserve">obie skargi opierały się na podobnych faktach i zarzutach </w:t>
      </w:r>
      <w:r w:rsidR="00241F18">
        <w:rPr>
          <w:lang w:val="pl-PL"/>
        </w:rPr>
        <w:t>oraz</w:t>
      </w:r>
      <w:r w:rsidR="00521C12">
        <w:rPr>
          <w:lang w:val="pl-PL"/>
        </w:rPr>
        <w:t> </w:t>
      </w:r>
      <w:r w:rsidRPr="006E1D24">
        <w:rPr>
          <w:lang w:val="pl-PL"/>
        </w:rPr>
        <w:t xml:space="preserve">podnosiły te same kwestie na podstawie Konwencji, Trybunał zdecydował </w:t>
      </w:r>
      <w:r>
        <w:rPr>
          <w:lang w:val="pl-PL"/>
        </w:rPr>
        <w:t>rozpatrzyć je łącznie</w:t>
      </w:r>
      <w:r w:rsidRPr="006E1D24">
        <w:rPr>
          <w:lang w:val="pl-PL"/>
        </w:rPr>
        <w:t>.</w:t>
      </w:r>
    </w:p>
    <w:p w:rsidR="006E1D24" w:rsidRPr="006E1D24" w:rsidRDefault="006E1D24">
      <w:pPr>
        <w:pStyle w:val="ClinContent"/>
        <w:rPr>
          <w:lang w:val="pl-PL"/>
        </w:rPr>
      </w:pPr>
      <w:r w:rsidRPr="006E1D24">
        <w:rPr>
          <w:lang w:val="pl-PL"/>
        </w:rPr>
        <w:t xml:space="preserve">(a) </w:t>
      </w:r>
      <w:r w:rsidRPr="006E1D24">
        <w:rPr>
          <w:i/>
          <w:lang w:val="pl-PL"/>
        </w:rPr>
        <w:t>Zakres sprawy</w:t>
      </w:r>
      <w:r w:rsidRPr="006E1D24">
        <w:rPr>
          <w:lang w:val="pl-PL"/>
        </w:rPr>
        <w:t xml:space="preserve"> – Zakres sprawy </w:t>
      </w:r>
      <w:r w:rsidR="002C1582">
        <w:rPr>
          <w:lang w:val="pl-PL"/>
        </w:rPr>
        <w:t>„</w:t>
      </w:r>
      <w:r w:rsidRPr="006E1D24">
        <w:rPr>
          <w:lang w:val="pl-PL"/>
        </w:rPr>
        <w:t>prze</w:t>
      </w:r>
      <w:r w:rsidR="002C1582">
        <w:rPr>
          <w:lang w:val="pl-PL"/>
        </w:rPr>
        <w:t>dłożonej”</w:t>
      </w:r>
      <w:r w:rsidRPr="006E1D24">
        <w:rPr>
          <w:lang w:val="pl-PL"/>
        </w:rPr>
        <w:t xml:space="preserve"> Trybunałowi w drodze wykonywania prawa do skargi indywidualnej został określony przez skargę skarżącej, </w:t>
      </w:r>
      <w:r w:rsidR="00A43B52">
        <w:rPr>
          <w:lang w:val="pl-PL"/>
        </w:rPr>
        <w:t>która</w:t>
      </w:r>
      <w:r w:rsidR="00521C12">
        <w:rPr>
          <w:lang w:val="pl-PL"/>
        </w:rPr>
        <w:t> </w:t>
      </w:r>
      <w:r w:rsidR="00A43B52">
        <w:rPr>
          <w:lang w:val="pl-PL"/>
        </w:rPr>
        <w:t>obejmowała</w:t>
      </w:r>
      <w:r w:rsidRPr="006E1D24">
        <w:rPr>
          <w:lang w:val="pl-PL"/>
        </w:rPr>
        <w:t xml:space="preserve"> zarzuty dotyczące faktów i argumenty prawne. </w:t>
      </w:r>
      <w:r>
        <w:rPr>
          <w:lang w:val="pl-PL"/>
        </w:rPr>
        <w:t xml:space="preserve">Na mocy zasady </w:t>
      </w:r>
      <w:proofErr w:type="spellStart"/>
      <w:r w:rsidR="00241F18" w:rsidRPr="00241F18">
        <w:rPr>
          <w:i/>
          <w:lang w:val="pl-PL"/>
        </w:rPr>
        <w:t>i</w:t>
      </w:r>
      <w:r w:rsidRPr="006E1D24">
        <w:rPr>
          <w:i/>
          <w:lang w:val="pl-PL"/>
        </w:rPr>
        <w:t>ura</w:t>
      </w:r>
      <w:proofErr w:type="spellEnd"/>
      <w:r w:rsidR="00521C12">
        <w:rPr>
          <w:i/>
          <w:lang w:val="pl-PL"/>
        </w:rPr>
        <w:t> </w:t>
      </w:r>
      <w:proofErr w:type="spellStart"/>
      <w:r w:rsidRPr="006E1D24">
        <w:rPr>
          <w:i/>
          <w:lang w:val="pl-PL"/>
        </w:rPr>
        <w:t>novit</w:t>
      </w:r>
      <w:proofErr w:type="spellEnd"/>
      <w:r w:rsidRPr="006E1D24">
        <w:rPr>
          <w:i/>
          <w:lang w:val="pl-PL"/>
        </w:rPr>
        <w:t xml:space="preserve"> </w:t>
      </w:r>
      <w:proofErr w:type="spellStart"/>
      <w:r w:rsidRPr="006E1D24">
        <w:rPr>
          <w:i/>
          <w:lang w:val="pl-PL"/>
        </w:rPr>
        <w:t>curia</w:t>
      </w:r>
      <w:proofErr w:type="spellEnd"/>
      <w:r w:rsidRPr="006E1D24">
        <w:rPr>
          <w:i/>
          <w:lang w:val="pl-PL"/>
        </w:rPr>
        <w:t xml:space="preserve"> </w:t>
      </w:r>
      <w:r w:rsidRPr="006E1D24">
        <w:rPr>
          <w:lang w:val="pl-PL"/>
        </w:rPr>
        <w:t xml:space="preserve">Trybunał nie </w:t>
      </w:r>
      <w:r>
        <w:rPr>
          <w:lang w:val="pl-PL"/>
        </w:rPr>
        <w:t xml:space="preserve">jest </w:t>
      </w:r>
      <w:r w:rsidRPr="006E1D24">
        <w:rPr>
          <w:lang w:val="pl-PL"/>
        </w:rPr>
        <w:t>związany podstawami prawnymi przytoczonymi przez skarżąc</w:t>
      </w:r>
      <w:r w:rsidR="00241F18">
        <w:rPr>
          <w:lang w:val="pl-PL"/>
        </w:rPr>
        <w:t xml:space="preserve">ą </w:t>
      </w:r>
      <w:r w:rsidRPr="006E1D24">
        <w:rPr>
          <w:lang w:val="pl-PL"/>
        </w:rPr>
        <w:t xml:space="preserve">i </w:t>
      </w:r>
      <w:r>
        <w:rPr>
          <w:lang w:val="pl-PL"/>
        </w:rPr>
        <w:t xml:space="preserve">jest władny </w:t>
      </w:r>
      <w:r w:rsidR="00241F18">
        <w:rPr>
          <w:lang w:val="pl-PL"/>
        </w:rPr>
        <w:t>podjąć decyzję</w:t>
      </w:r>
      <w:r>
        <w:rPr>
          <w:lang w:val="pl-PL"/>
        </w:rPr>
        <w:t xml:space="preserve"> w sprawie kwalifikacji prawnej, którą należy </w:t>
      </w:r>
      <w:r w:rsidR="00241F18">
        <w:rPr>
          <w:lang w:val="pl-PL"/>
        </w:rPr>
        <w:t>przypis</w:t>
      </w:r>
      <w:r w:rsidR="001F052A">
        <w:rPr>
          <w:lang w:val="pl-PL"/>
        </w:rPr>
        <w:t xml:space="preserve">ać </w:t>
      </w:r>
      <w:r>
        <w:rPr>
          <w:lang w:val="pl-PL"/>
        </w:rPr>
        <w:t xml:space="preserve">faktom </w:t>
      </w:r>
      <w:r w:rsidR="00C84DB7">
        <w:rPr>
          <w:lang w:val="pl-PL"/>
        </w:rPr>
        <w:t>powołanym</w:t>
      </w:r>
      <w:r>
        <w:rPr>
          <w:lang w:val="pl-PL"/>
        </w:rPr>
        <w:t xml:space="preserve"> w skardze, </w:t>
      </w:r>
      <w:r w:rsidR="00FE42A8">
        <w:rPr>
          <w:lang w:val="pl-PL"/>
        </w:rPr>
        <w:t>badając ją</w:t>
      </w:r>
      <w:r>
        <w:rPr>
          <w:lang w:val="pl-PL"/>
        </w:rPr>
        <w:t xml:space="preserve"> w świetle artykułów lub postanowień Konwencji odmiennych od powołanych przez skarżącą. Nie może jednakże opierać swego rozstrzygnięcia na faktach nieobjętych skargą. </w:t>
      </w:r>
      <w:r w:rsidR="002C1582">
        <w:rPr>
          <w:lang w:val="pl-PL"/>
        </w:rPr>
        <w:t>Takie działanie byłoby równoznaczne z</w:t>
      </w:r>
      <w:r w:rsidR="00521C12">
        <w:rPr>
          <w:lang w:val="pl-PL"/>
        </w:rPr>
        <w:t> </w:t>
      </w:r>
      <w:r w:rsidR="002C1582">
        <w:rPr>
          <w:lang w:val="pl-PL"/>
        </w:rPr>
        <w:t xml:space="preserve">rozstrzyganiem poza przedmiotem sprawy; innymi słowy, </w:t>
      </w:r>
      <w:r w:rsidR="00A43B52">
        <w:rPr>
          <w:lang w:val="pl-PL"/>
        </w:rPr>
        <w:t xml:space="preserve">byłoby </w:t>
      </w:r>
      <w:r w:rsidR="002C1582">
        <w:rPr>
          <w:lang w:val="pl-PL"/>
        </w:rPr>
        <w:t>rozstrzyganiem w</w:t>
      </w:r>
      <w:r w:rsidR="00521C12">
        <w:rPr>
          <w:lang w:val="pl-PL"/>
        </w:rPr>
        <w:t> </w:t>
      </w:r>
      <w:r w:rsidR="002C1582">
        <w:rPr>
          <w:lang w:val="pl-PL"/>
        </w:rPr>
        <w:t xml:space="preserve">sprawach, które nie zostały mu „przedłożone” w rozumieniu art. 32 Konwencji. </w:t>
      </w:r>
    </w:p>
    <w:p w:rsidR="00877E5F" w:rsidRPr="00877E5F" w:rsidRDefault="00877E5F">
      <w:pPr>
        <w:pStyle w:val="ClinContent"/>
        <w:rPr>
          <w:lang w:val="pl-PL"/>
        </w:rPr>
      </w:pPr>
      <w:r w:rsidRPr="00877E5F">
        <w:rPr>
          <w:lang w:val="pl-PL"/>
        </w:rPr>
        <w:t xml:space="preserve">Pierwotne </w:t>
      </w:r>
      <w:r>
        <w:rPr>
          <w:lang w:val="pl-PL"/>
        </w:rPr>
        <w:t xml:space="preserve">zarzuty </w:t>
      </w:r>
      <w:r w:rsidRPr="00877E5F">
        <w:rPr>
          <w:lang w:val="pl-PL"/>
        </w:rPr>
        <w:t xml:space="preserve">skarżących </w:t>
      </w:r>
      <w:r>
        <w:rPr>
          <w:lang w:val="pl-PL"/>
        </w:rPr>
        <w:t>przed Trybunałem</w:t>
      </w:r>
      <w:r w:rsidRPr="00877E5F">
        <w:rPr>
          <w:lang w:val="pl-PL"/>
        </w:rPr>
        <w:t>,</w:t>
      </w:r>
      <w:r>
        <w:rPr>
          <w:lang w:val="pl-PL"/>
        </w:rPr>
        <w:t xml:space="preserve"> w kształcie, w jakim zostały ujęte w</w:t>
      </w:r>
      <w:r w:rsidR="00521C12">
        <w:rPr>
          <w:lang w:val="pl-PL"/>
        </w:rPr>
        <w:t> </w:t>
      </w:r>
      <w:r>
        <w:rPr>
          <w:lang w:val="pl-PL"/>
        </w:rPr>
        <w:t xml:space="preserve">formularzach skargi, </w:t>
      </w:r>
      <w:r w:rsidR="00241F18">
        <w:rPr>
          <w:lang w:val="pl-PL"/>
        </w:rPr>
        <w:t>miały charakter raczej otwarty</w:t>
      </w:r>
      <w:r>
        <w:rPr>
          <w:lang w:val="pl-PL"/>
        </w:rPr>
        <w:t>. Następnie</w:t>
      </w:r>
      <w:r w:rsidR="00FE42A8">
        <w:rPr>
          <w:lang w:val="pl-PL"/>
        </w:rPr>
        <w:t>,</w:t>
      </w:r>
      <w:r>
        <w:rPr>
          <w:lang w:val="pl-PL"/>
        </w:rPr>
        <w:t xml:space="preserve"> w swych obserwacjach przedłożonych przed Izbą</w:t>
      </w:r>
      <w:r w:rsidR="00FE42A8">
        <w:rPr>
          <w:lang w:val="pl-PL"/>
        </w:rPr>
        <w:t>,</w:t>
      </w:r>
      <w:r w:rsidR="00A43B52">
        <w:rPr>
          <w:lang w:val="pl-PL"/>
        </w:rPr>
        <w:t xml:space="preserve"> skarżący</w:t>
      </w:r>
      <w:r>
        <w:rPr>
          <w:lang w:val="pl-PL"/>
        </w:rPr>
        <w:t xml:space="preserve"> nie uwzględnili </w:t>
      </w:r>
      <w:r w:rsidR="00241F18">
        <w:rPr>
          <w:lang w:val="pl-PL"/>
        </w:rPr>
        <w:t>wśród podstaw faktycznych i</w:t>
      </w:r>
      <w:r w:rsidR="00521C12">
        <w:rPr>
          <w:lang w:val="pl-PL"/>
        </w:rPr>
        <w:t> </w:t>
      </w:r>
      <w:r w:rsidR="00241F18">
        <w:rPr>
          <w:lang w:val="pl-PL"/>
        </w:rPr>
        <w:t xml:space="preserve">prawnych swych zarzutów </w:t>
      </w:r>
      <w:r>
        <w:rPr>
          <w:lang w:val="pl-PL"/>
        </w:rPr>
        <w:t xml:space="preserve">okresu między 6 kwietnia 1941 </w:t>
      </w:r>
      <w:r w:rsidR="00241F18">
        <w:rPr>
          <w:lang w:val="pl-PL"/>
        </w:rPr>
        <w:t xml:space="preserve">r. </w:t>
      </w:r>
      <w:r>
        <w:rPr>
          <w:lang w:val="pl-PL"/>
        </w:rPr>
        <w:t>a 8 października 1991 r. Potwierdzili to następnie w odpowiedzi na obserwacje Rządu</w:t>
      </w:r>
      <w:r w:rsidR="0075475C">
        <w:rPr>
          <w:lang w:val="pl-PL"/>
        </w:rPr>
        <w:t>,</w:t>
      </w:r>
      <w:r>
        <w:rPr>
          <w:lang w:val="pl-PL"/>
        </w:rPr>
        <w:t xml:space="preserve"> złożone</w:t>
      </w:r>
      <w:r w:rsidR="00FE42A8">
        <w:rPr>
          <w:lang w:val="pl-PL"/>
        </w:rPr>
        <w:t>j</w:t>
      </w:r>
      <w:r>
        <w:rPr>
          <w:lang w:val="pl-PL"/>
        </w:rPr>
        <w:t xml:space="preserve"> przed Izbą, w</w:t>
      </w:r>
      <w:r w:rsidR="00521C12">
        <w:rPr>
          <w:lang w:val="pl-PL"/>
        </w:rPr>
        <w:t> </w:t>
      </w:r>
      <w:r>
        <w:rPr>
          <w:lang w:val="pl-PL"/>
        </w:rPr>
        <w:t xml:space="preserve">której wyraźnie wykluczyli ten okres. </w:t>
      </w:r>
    </w:p>
    <w:p w:rsidR="00877E5F" w:rsidRPr="00877E5F" w:rsidRDefault="00877E5F">
      <w:pPr>
        <w:pStyle w:val="ClinContent"/>
        <w:rPr>
          <w:lang w:val="pl-PL"/>
        </w:rPr>
      </w:pPr>
      <w:r w:rsidRPr="00877E5F">
        <w:rPr>
          <w:lang w:val="pl-PL"/>
        </w:rPr>
        <w:t xml:space="preserve">Izba postanowiła zbadać zarzuty skarżących – a w szczególności kwestię, czy </w:t>
      </w:r>
      <w:r w:rsidR="008F7F5C">
        <w:rPr>
          <w:lang w:val="pl-PL"/>
        </w:rPr>
        <w:t xml:space="preserve">posiadali </w:t>
      </w:r>
      <w:r w:rsidRPr="00877E5F">
        <w:rPr>
          <w:lang w:val="pl-PL"/>
        </w:rPr>
        <w:t xml:space="preserve">mienie chronione na podstawie art. </w:t>
      </w:r>
      <w:r>
        <w:rPr>
          <w:lang w:val="pl-PL"/>
        </w:rPr>
        <w:t>1 Protokołu nr 1 – w świetle wyroku Trybunału w</w:t>
      </w:r>
      <w:r w:rsidR="00521C12">
        <w:rPr>
          <w:lang w:val="pl-PL"/>
        </w:rPr>
        <w:t> </w:t>
      </w:r>
      <w:r>
        <w:rPr>
          <w:lang w:val="pl-PL"/>
        </w:rPr>
        <w:t xml:space="preserve">sprawie </w:t>
      </w:r>
      <w:proofErr w:type="spellStart"/>
      <w:r w:rsidRPr="00241F18">
        <w:rPr>
          <w:i/>
          <w:lang w:val="pl-PL"/>
        </w:rPr>
        <w:t>Trgo</w:t>
      </w:r>
      <w:proofErr w:type="spellEnd"/>
      <w:r w:rsidRPr="00241F18">
        <w:rPr>
          <w:i/>
          <w:lang w:val="pl-PL"/>
        </w:rPr>
        <w:t xml:space="preserve"> p. Chorwacji</w:t>
      </w:r>
      <w:r>
        <w:rPr>
          <w:lang w:val="pl-PL"/>
        </w:rPr>
        <w:t>, co skutkowało stwierdzeniem, że roszczenia skarżących w</w:t>
      </w:r>
      <w:r w:rsidR="00521C12">
        <w:rPr>
          <w:lang w:val="pl-PL"/>
        </w:rPr>
        <w:t> </w:t>
      </w:r>
      <w:r>
        <w:rPr>
          <w:lang w:val="pl-PL"/>
        </w:rPr>
        <w:t>sprawie własności przedmiotowej nieruchomości miały wystarczającą postawę w</w:t>
      </w:r>
      <w:r w:rsidR="00521C12">
        <w:rPr>
          <w:lang w:val="pl-PL"/>
        </w:rPr>
        <w:t> </w:t>
      </w:r>
      <w:r>
        <w:rPr>
          <w:lang w:val="pl-PL"/>
        </w:rPr>
        <w:t>prawie krajowym, a mianowicie w art. 388 ust. 4 ustawy o własności z 1996 r.</w:t>
      </w:r>
      <w:r w:rsidR="0075475C">
        <w:rPr>
          <w:lang w:val="pl-PL"/>
        </w:rPr>
        <w:t>,</w:t>
      </w:r>
      <w:r>
        <w:rPr>
          <w:lang w:val="pl-PL"/>
        </w:rPr>
        <w:t xml:space="preserve"> w</w:t>
      </w:r>
      <w:r w:rsidR="00521C12">
        <w:rPr>
          <w:lang w:val="pl-PL"/>
        </w:rPr>
        <w:t> </w:t>
      </w:r>
      <w:r>
        <w:rPr>
          <w:lang w:val="pl-PL"/>
        </w:rPr>
        <w:t xml:space="preserve">wersji z 1996 r. To stwierdzenie w sposób konieczny </w:t>
      </w:r>
      <w:r w:rsidR="00CE1103">
        <w:rPr>
          <w:lang w:val="pl-PL"/>
        </w:rPr>
        <w:t xml:space="preserve">wiązało się z </w:t>
      </w:r>
      <w:r>
        <w:rPr>
          <w:lang w:val="pl-PL"/>
        </w:rPr>
        <w:t>uwzględnienie</w:t>
      </w:r>
      <w:r w:rsidR="00CE1103">
        <w:rPr>
          <w:lang w:val="pl-PL"/>
        </w:rPr>
        <w:t>m</w:t>
      </w:r>
      <w:r>
        <w:rPr>
          <w:lang w:val="pl-PL"/>
        </w:rPr>
        <w:t xml:space="preserve"> okresu między 6 kwietnia 1941 r. a 8 października 1991 r. W ten sposób Izba oparła swój wyrok na faktach, które były znacząco różne od tych, na których opierali się skarżący, a zatem rozstrzygnęła ona poza zakresem sprawy określonym przez zarzuty skarżących na podstawie art. 1 Protokołu nr 1. </w:t>
      </w:r>
    </w:p>
    <w:p w:rsidR="00877E5F" w:rsidRPr="00877E5F" w:rsidRDefault="00877E5F">
      <w:pPr>
        <w:pStyle w:val="ClinContent"/>
        <w:rPr>
          <w:lang w:val="pl-PL"/>
        </w:rPr>
      </w:pPr>
      <w:r w:rsidRPr="00877E5F">
        <w:rPr>
          <w:lang w:val="pl-PL"/>
        </w:rPr>
        <w:t xml:space="preserve">W swych obserwacjach przed Wielką Izbą skarżący twierdzili, że nigdy nie było ich intencją wyłączenie wspomnianego okresu </w:t>
      </w:r>
      <w:r w:rsidR="00CE1103">
        <w:rPr>
          <w:lang w:val="pl-PL"/>
        </w:rPr>
        <w:t xml:space="preserve">między </w:t>
      </w:r>
      <w:r w:rsidRPr="00877E5F">
        <w:rPr>
          <w:lang w:val="pl-PL"/>
        </w:rPr>
        <w:t xml:space="preserve">6 kwietnia </w:t>
      </w:r>
      <w:r>
        <w:rPr>
          <w:lang w:val="pl-PL"/>
        </w:rPr>
        <w:t xml:space="preserve">1941 </w:t>
      </w:r>
      <w:r w:rsidR="00CE1103">
        <w:rPr>
          <w:lang w:val="pl-PL"/>
        </w:rPr>
        <w:t xml:space="preserve">r. a </w:t>
      </w:r>
      <w:r w:rsidRPr="00877E5F">
        <w:rPr>
          <w:lang w:val="pl-PL"/>
        </w:rPr>
        <w:t xml:space="preserve">8 października </w:t>
      </w:r>
      <w:r w:rsidRPr="00877E5F">
        <w:rPr>
          <w:lang w:val="pl-PL"/>
        </w:rPr>
        <w:lastRenderedPageBreak/>
        <w:t xml:space="preserve">1991 r. </w:t>
      </w:r>
      <w:r>
        <w:rPr>
          <w:lang w:val="pl-PL"/>
        </w:rPr>
        <w:t xml:space="preserve">z podstawy faktycznej ich </w:t>
      </w:r>
      <w:r w:rsidR="008E45F1">
        <w:rPr>
          <w:lang w:val="pl-PL"/>
        </w:rPr>
        <w:t>skargi</w:t>
      </w:r>
      <w:r>
        <w:rPr>
          <w:lang w:val="pl-PL"/>
        </w:rPr>
        <w:t>, podczas gdy ich twierdzenia przed Izbą w</w:t>
      </w:r>
      <w:r w:rsidR="00521C12">
        <w:rPr>
          <w:lang w:val="pl-PL"/>
        </w:rPr>
        <w:t> </w:t>
      </w:r>
      <w:r>
        <w:rPr>
          <w:lang w:val="pl-PL"/>
        </w:rPr>
        <w:t xml:space="preserve">sposób ewidentny sugerowały co innego. </w:t>
      </w:r>
    </w:p>
    <w:p w:rsidR="00877E5F" w:rsidRPr="00877E5F" w:rsidRDefault="00877E5F">
      <w:pPr>
        <w:pStyle w:val="ClinContent"/>
        <w:rPr>
          <w:lang w:val="pl-PL"/>
        </w:rPr>
      </w:pPr>
      <w:r w:rsidRPr="00877E5F">
        <w:rPr>
          <w:lang w:val="pl-PL"/>
        </w:rPr>
        <w:t xml:space="preserve">Wielka Izba uznała, że opóźnione dodanie okresu ponad 50 lat do podstawy faktycznej </w:t>
      </w:r>
      <w:r>
        <w:rPr>
          <w:lang w:val="pl-PL"/>
        </w:rPr>
        <w:t xml:space="preserve">skargi </w:t>
      </w:r>
      <w:r w:rsidR="008E45F1">
        <w:rPr>
          <w:lang w:val="pl-PL"/>
        </w:rPr>
        <w:t>w sprawie</w:t>
      </w:r>
      <w:r>
        <w:rPr>
          <w:lang w:val="pl-PL"/>
        </w:rPr>
        <w:t xml:space="preserve"> zasiedzenia, a więc sposobu nabycia własności, w którym czynnik czasu </w:t>
      </w:r>
      <w:r w:rsidR="008E45F1">
        <w:rPr>
          <w:lang w:val="pl-PL"/>
        </w:rPr>
        <w:t>odgrywa kluczową rolę</w:t>
      </w:r>
      <w:r>
        <w:rPr>
          <w:lang w:val="pl-PL"/>
        </w:rPr>
        <w:t>, musi być postrzegane jako</w:t>
      </w:r>
      <w:r w:rsidR="00A43B52">
        <w:rPr>
          <w:lang w:val="pl-PL"/>
        </w:rPr>
        <w:t xml:space="preserve"> dokonanie zmiany</w:t>
      </w:r>
      <w:r>
        <w:rPr>
          <w:lang w:val="pl-PL"/>
        </w:rPr>
        <w:t xml:space="preserve"> istoty </w:t>
      </w:r>
      <w:r w:rsidR="008E45F1">
        <w:rPr>
          <w:lang w:val="pl-PL"/>
        </w:rPr>
        <w:t xml:space="preserve">tej </w:t>
      </w:r>
      <w:r>
        <w:rPr>
          <w:lang w:val="pl-PL"/>
        </w:rPr>
        <w:t>skarg</w:t>
      </w:r>
      <w:r w:rsidR="008E45F1">
        <w:rPr>
          <w:lang w:val="pl-PL"/>
        </w:rPr>
        <w:t>i</w:t>
      </w:r>
      <w:r>
        <w:rPr>
          <w:lang w:val="pl-PL"/>
        </w:rPr>
        <w:t xml:space="preserve">. </w:t>
      </w:r>
      <w:r w:rsidR="008E45F1">
        <w:rPr>
          <w:lang w:val="pl-PL"/>
        </w:rPr>
        <w:t>W</w:t>
      </w:r>
      <w:r w:rsidR="00521C12">
        <w:rPr>
          <w:lang w:val="pl-PL"/>
        </w:rPr>
        <w:t> </w:t>
      </w:r>
      <w:r w:rsidR="008E45F1">
        <w:rPr>
          <w:lang w:val="pl-PL"/>
        </w:rPr>
        <w:t xml:space="preserve">istocie stanowiło to podniesienie przed Wielką Izbą nowych i odmiennych zarzutów. Choć nic nie stoi na przeszkodzie, by skarżący zgłosili nową skargę w trakcie postępowania przed Trybunałem, musi ona, tak jak każda inna skarga, spełniać wymogi dopuszczalności. </w:t>
      </w:r>
    </w:p>
    <w:p w:rsidR="008E45F1" w:rsidRPr="008E45F1" w:rsidRDefault="008E45F1">
      <w:pPr>
        <w:pStyle w:val="ClinContent"/>
        <w:rPr>
          <w:i/>
          <w:lang w:val="pl-PL"/>
        </w:rPr>
      </w:pPr>
      <w:r w:rsidRPr="008E45F1">
        <w:rPr>
          <w:lang w:val="pl-PL"/>
        </w:rPr>
        <w:t xml:space="preserve">(b) </w:t>
      </w:r>
      <w:r w:rsidRPr="008E45F1">
        <w:rPr>
          <w:i/>
          <w:lang w:val="pl-PL"/>
        </w:rPr>
        <w:t xml:space="preserve">Dopuszczalność </w:t>
      </w:r>
      <w:r w:rsidRPr="008E45F1">
        <w:rPr>
          <w:lang w:val="pl-PL"/>
        </w:rPr>
        <w:t xml:space="preserve">– Postępowania krajowe w sprawach skarżących zakończyły się odpowiednio 30 września 2009 r. i 4 października 2011 r. Nowe rozszerzone skargi (uwzględniające okres od 6 kwietnia 1941 r. do 8 października 1991 r.) zostały </w:t>
      </w:r>
      <w:r w:rsidR="00A23BA6">
        <w:rPr>
          <w:lang w:val="pl-PL"/>
        </w:rPr>
        <w:t>zgłoszone</w:t>
      </w:r>
      <w:r w:rsidRPr="008E45F1">
        <w:rPr>
          <w:lang w:val="pl-PL"/>
        </w:rPr>
        <w:t xml:space="preserve"> dopiero w obserwacjach </w:t>
      </w:r>
      <w:r>
        <w:rPr>
          <w:lang w:val="pl-PL"/>
        </w:rPr>
        <w:t xml:space="preserve">skarżących </w:t>
      </w:r>
      <w:r w:rsidRPr="008E45F1">
        <w:rPr>
          <w:lang w:val="pl-PL"/>
        </w:rPr>
        <w:t>przed Wielką Izbą z 13 lutego 2017 r., a</w:t>
      </w:r>
      <w:r w:rsidR="00521C12">
        <w:rPr>
          <w:lang w:val="pl-PL"/>
        </w:rPr>
        <w:t> </w:t>
      </w:r>
      <w:r w:rsidRPr="008E45F1">
        <w:rPr>
          <w:lang w:val="pl-PL"/>
        </w:rPr>
        <w:t>więc ponad sześć miesięcy później.</w:t>
      </w:r>
      <w:r>
        <w:rPr>
          <w:i/>
          <w:lang w:val="pl-PL"/>
        </w:rPr>
        <w:t xml:space="preserve"> </w:t>
      </w:r>
    </w:p>
    <w:p w:rsidR="008E45F1" w:rsidRPr="008E45F1" w:rsidRDefault="008E45F1">
      <w:pPr>
        <w:pStyle w:val="ClinContent"/>
        <w:rPr>
          <w:lang w:val="pl-PL"/>
        </w:rPr>
      </w:pPr>
      <w:r w:rsidRPr="008E45F1">
        <w:rPr>
          <w:i/>
          <w:lang w:val="pl-PL"/>
        </w:rPr>
        <w:t>Rozstrzygnięcie</w:t>
      </w:r>
      <w:r w:rsidRPr="008E45F1">
        <w:rPr>
          <w:lang w:val="pl-PL"/>
        </w:rPr>
        <w:t>: skarga niedopuszczalna (po terminie).</w:t>
      </w:r>
    </w:p>
    <w:p w:rsidR="008E45F1" w:rsidRPr="008E45F1" w:rsidRDefault="008E45F1">
      <w:pPr>
        <w:pStyle w:val="ClinContent"/>
        <w:rPr>
          <w:lang w:val="pl-PL"/>
        </w:rPr>
      </w:pPr>
      <w:r w:rsidRPr="008E45F1">
        <w:rPr>
          <w:lang w:val="pl-PL"/>
        </w:rPr>
        <w:t xml:space="preserve">(c) </w:t>
      </w:r>
      <w:r w:rsidRPr="008E45F1">
        <w:rPr>
          <w:i/>
          <w:lang w:val="pl-PL"/>
        </w:rPr>
        <w:t>Przedmiot</w:t>
      </w:r>
      <w:r w:rsidRPr="008E45F1">
        <w:rPr>
          <w:lang w:val="pl-PL"/>
        </w:rPr>
        <w:t xml:space="preserve"> </w:t>
      </w:r>
      <w:r w:rsidRPr="00CE1103">
        <w:rPr>
          <w:i/>
          <w:lang w:val="pl-PL"/>
        </w:rPr>
        <w:t>skargi</w:t>
      </w:r>
      <w:r w:rsidRPr="008E45F1">
        <w:rPr>
          <w:lang w:val="pl-PL"/>
        </w:rPr>
        <w:t xml:space="preserve"> – </w:t>
      </w:r>
      <w:r w:rsidR="0052781A">
        <w:rPr>
          <w:lang w:val="pl-PL"/>
        </w:rPr>
        <w:t>a</w:t>
      </w:r>
      <w:bookmarkStart w:id="0" w:name="_GoBack"/>
      <w:bookmarkEnd w:id="0"/>
      <w:r w:rsidRPr="008E45F1">
        <w:rPr>
          <w:lang w:val="pl-PL"/>
        </w:rPr>
        <w:t xml:space="preserve">rt. 1 Protokołu nr 1: W odniesieniu do zarzucanego nieprawidłowego zastosowania przez sądy krajowe właściwego </w:t>
      </w:r>
      <w:r>
        <w:rPr>
          <w:lang w:val="pl-PL"/>
        </w:rPr>
        <w:t>w sprawie prawa krajowego</w:t>
      </w:r>
      <w:r w:rsidR="00A43B52">
        <w:rPr>
          <w:lang w:val="pl-PL"/>
        </w:rPr>
        <w:t>,</w:t>
      </w:r>
      <w:r>
        <w:rPr>
          <w:lang w:val="pl-PL"/>
        </w:rPr>
        <w:t xml:space="preserve"> Trybunał przypomniał zasadę, że nie można uznać, że skarżący posiada wystarczająco ustalone roszczenie stanowiące „aktyw” na potrzeby art. 1 Protokołu nr 1 w sytuacji, w której istnieje spór co do prawidłowej wykładni i stosowania prawa krajowego</w:t>
      </w:r>
      <w:r w:rsidR="00C84DB7">
        <w:rPr>
          <w:lang w:val="pl-PL"/>
        </w:rPr>
        <w:t>,</w:t>
      </w:r>
      <w:r>
        <w:rPr>
          <w:lang w:val="pl-PL"/>
        </w:rPr>
        <w:t xml:space="preserve"> i gdy kwestia, czy spełnia on wymogi ustawowe, ma być ustalona w</w:t>
      </w:r>
      <w:r w:rsidR="00521C12">
        <w:rPr>
          <w:lang w:val="pl-PL"/>
        </w:rPr>
        <w:t> </w:t>
      </w:r>
      <w:r>
        <w:rPr>
          <w:lang w:val="pl-PL"/>
        </w:rPr>
        <w:t>postępowaniu sądowym.</w:t>
      </w:r>
    </w:p>
    <w:p w:rsidR="008E45F1" w:rsidRPr="008E45F1" w:rsidRDefault="008E45F1">
      <w:pPr>
        <w:pStyle w:val="ClinContent"/>
        <w:rPr>
          <w:lang w:val="pl-PL"/>
        </w:rPr>
      </w:pPr>
      <w:r w:rsidRPr="008E45F1">
        <w:rPr>
          <w:lang w:val="pl-PL"/>
        </w:rPr>
        <w:t>Trybunał nie widział powodu do zaprzeczenia</w:t>
      </w:r>
      <w:r>
        <w:rPr>
          <w:lang w:val="pl-PL"/>
        </w:rPr>
        <w:t xml:space="preserve"> ustaleniom sądów krajowych</w:t>
      </w:r>
      <w:r w:rsidR="00A23BA6">
        <w:rPr>
          <w:lang w:val="pl-PL"/>
        </w:rPr>
        <w:t xml:space="preserve"> co do kwestii faktycznych</w:t>
      </w:r>
      <w:r>
        <w:rPr>
          <w:lang w:val="pl-PL"/>
        </w:rPr>
        <w:t>.</w:t>
      </w:r>
      <w:r w:rsidRPr="008E45F1">
        <w:rPr>
          <w:lang w:val="pl-PL"/>
        </w:rPr>
        <w:t xml:space="preserve"> </w:t>
      </w:r>
    </w:p>
    <w:p w:rsidR="008E45F1" w:rsidRPr="008E45F1" w:rsidRDefault="008E45F1">
      <w:pPr>
        <w:pStyle w:val="ClinContent"/>
        <w:rPr>
          <w:lang w:val="pl-PL"/>
        </w:rPr>
      </w:pPr>
      <w:r w:rsidRPr="008E45F1">
        <w:rPr>
          <w:lang w:val="pl-PL"/>
        </w:rPr>
        <w:t>Zważywszy na</w:t>
      </w:r>
      <w:r w:rsidR="00CE1103">
        <w:rPr>
          <w:lang w:val="pl-PL"/>
        </w:rPr>
        <w:t xml:space="preserve"> powyższe</w:t>
      </w:r>
      <w:r w:rsidRPr="008E45F1">
        <w:rPr>
          <w:lang w:val="pl-PL"/>
        </w:rPr>
        <w:t>, roszczenia skarżących o uznanie ich właścicielami przedmiot</w:t>
      </w:r>
      <w:r>
        <w:rPr>
          <w:lang w:val="pl-PL"/>
        </w:rPr>
        <w:t>ow</w:t>
      </w:r>
      <w:r w:rsidRPr="008E45F1">
        <w:rPr>
          <w:lang w:val="pl-PL"/>
        </w:rPr>
        <w:t xml:space="preserve">ej nieruchomości (z wyłączeniem okresu od 6 kwietnia 1941 </w:t>
      </w:r>
      <w:r w:rsidR="00CE1103">
        <w:rPr>
          <w:lang w:val="pl-PL"/>
        </w:rPr>
        <w:t xml:space="preserve">r. </w:t>
      </w:r>
      <w:r w:rsidRPr="008E45F1">
        <w:rPr>
          <w:lang w:val="pl-PL"/>
        </w:rPr>
        <w:t>do</w:t>
      </w:r>
      <w:r w:rsidR="00521C12">
        <w:rPr>
          <w:lang w:val="pl-PL"/>
        </w:rPr>
        <w:t> </w:t>
      </w:r>
      <w:r w:rsidRPr="008E45F1">
        <w:rPr>
          <w:lang w:val="pl-PL"/>
        </w:rPr>
        <w:t>8</w:t>
      </w:r>
      <w:r w:rsidR="00521C12">
        <w:rPr>
          <w:lang w:val="pl-PL"/>
        </w:rPr>
        <w:t> </w:t>
      </w:r>
      <w:r w:rsidRPr="008E45F1">
        <w:rPr>
          <w:lang w:val="pl-PL"/>
        </w:rPr>
        <w:t xml:space="preserve">października 1991 r.) </w:t>
      </w:r>
      <w:r>
        <w:rPr>
          <w:lang w:val="pl-PL"/>
        </w:rPr>
        <w:t>nie miały wystarczającej podstawy w prawie krajowym do</w:t>
      </w:r>
      <w:r w:rsidR="00521C12">
        <w:rPr>
          <w:lang w:val="pl-PL"/>
        </w:rPr>
        <w:t> </w:t>
      </w:r>
      <w:r>
        <w:rPr>
          <w:lang w:val="pl-PL"/>
        </w:rPr>
        <w:t>zakwalifikowania ich jako „mienia” w rozumieniu art. 1 Protokołu nr 1. Gwarancje zawarte w tym postanowieniu nie m</w:t>
      </w:r>
      <w:r w:rsidR="00A43B52">
        <w:rPr>
          <w:lang w:val="pl-PL"/>
        </w:rPr>
        <w:t>iały</w:t>
      </w:r>
      <w:r>
        <w:rPr>
          <w:lang w:val="pl-PL"/>
        </w:rPr>
        <w:t xml:space="preserve"> zatem zastosowania do obecnej sprawy. </w:t>
      </w:r>
    </w:p>
    <w:p w:rsidR="008E45F1" w:rsidRPr="008E45F1" w:rsidRDefault="008E45F1">
      <w:pPr>
        <w:pStyle w:val="ClinContent"/>
        <w:rPr>
          <w:lang w:val="pl-PL"/>
        </w:rPr>
      </w:pPr>
      <w:r w:rsidRPr="008E45F1">
        <w:rPr>
          <w:i/>
          <w:lang w:val="pl-PL"/>
        </w:rPr>
        <w:t>Rozstrzygnięcie</w:t>
      </w:r>
      <w:r w:rsidRPr="008E45F1">
        <w:rPr>
          <w:lang w:val="pl-PL"/>
        </w:rPr>
        <w:t xml:space="preserve">: brak naruszenia (czternastoma głosami do trzech). </w:t>
      </w:r>
    </w:p>
    <w:p w:rsidR="004969FE" w:rsidRPr="008E45F1" w:rsidRDefault="004969FE">
      <w:pPr>
        <w:pBdr>
          <w:bottom w:val="single" w:sz="8" w:space="1" w:color="auto"/>
        </w:pBdr>
        <w:rPr>
          <w:lang w:val="pl-PL"/>
        </w:rPr>
      </w:pPr>
    </w:p>
    <w:p w:rsidR="00E3767D" w:rsidRPr="0074070E" w:rsidRDefault="00E3767D" w:rsidP="00E3767D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4969FE" w:rsidRDefault="00E3767D" w:rsidP="00E3767D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464960" w:rsidRPr="00E3767D" w:rsidRDefault="00464960" w:rsidP="00464960">
      <w:pPr>
        <w:pStyle w:val="ClinFooter"/>
        <w:jc w:val="left"/>
        <w:rPr>
          <w:lang w:val="pl-PL"/>
        </w:rPr>
      </w:pPr>
    </w:p>
    <w:sectPr w:rsidR="00464960" w:rsidRPr="00E3767D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092" w:rsidRDefault="00335092" w:rsidP="00C63262">
      <w:r>
        <w:separator/>
      </w:r>
    </w:p>
  </w:endnote>
  <w:endnote w:type="continuationSeparator" w:id="0">
    <w:p w:rsidR="00335092" w:rsidRDefault="0033509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D72" w:rsidRDefault="009D1D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D72" w:rsidRDefault="009D1D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092" w:rsidRDefault="00335092" w:rsidP="00C63262">
      <w:r>
        <w:separator/>
      </w:r>
    </w:p>
  </w:footnote>
  <w:footnote w:type="continuationSeparator" w:id="0">
    <w:p w:rsidR="00335092" w:rsidRDefault="00335092" w:rsidP="00C63262">
      <w:r>
        <w:continuationSeparator/>
      </w:r>
    </w:p>
  </w:footnote>
  <w:footnote w:id="1">
    <w:p w:rsidR="004E3B18" w:rsidRPr="008279B2" w:rsidRDefault="004E3B18" w:rsidP="004E3B18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D72" w:rsidRDefault="009D1D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52781A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510F"/>
    <w:rsid w:val="00037CCC"/>
    <w:rsid w:val="00044357"/>
    <w:rsid w:val="00057AE1"/>
    <w:rsid w:val="00097888"/>
    <w:rsid w:val="000F13B5"/>
    <w:rsid w:val="00103925"/>
    <w:rsid w:val="00107377"/>
    <w:rsid w:val="00124C83"/>
    <w:rsid w:val="001335CA"/>
    <w:rsid w:val="00143602"/>
    <w:rsid w:val="001769E4"/>
    <w:rsid w:val="00186560"/>
    <w:rsid w:val="00195739"/>
    <w:rsid w:val="001F052A"/>
    <w:rsid w:val="00212E83"/>
    <w:rsid w:val="00241F18"/>
    <w:rsid w:val="002831D4"/>
    <w:rsid w:val="002966E7"/>
    <w:rsid w:val="002B7637"/>
    <w:rsid w:val="002C1582"/>
    <w:rsid w:val="002E088D"/>
    <w:rsid w:val="002E1F71"/>
    <w:rsid w:val="003025E7"/>
    <w:rsid w:val="0030264F"/>
    <w:rsid w:val="00333953"/>
    <w:rsid w:val="00335092"/>
    <w:rsid w:val="003450B3"/>
    <w:rsid w:val="00386958"/>
    <w:rsid w:val="003A64A6"/>
    <w:rsid w:val="003C37C8"/>
    <w:rsid w:val="003C4B12"/>
    <w:rsid w:val="003D7BB3"/>
    <w:rsid w:val="003F4B31"/>
    <w:rsid w:val="0046453F"/>
    <w:rsid w:val="00464960"/>
    <w:rsid w:val="004969FE"/>
    <w:rsid w:val="004A5B52"/>
    <w:rsid w:val="004D568D"/>
    <w:rsid w:val="004E1037"/>
    <w:rsid w:val="004E3B18"/>
    <w:rsid w:val="0052092D"/>
    <w:rsid w:val="00521C12"/>
    <w:rsid w:val="0052781A"/>
    <w:rsid w:val="00540D75"/>
    <w:rsid w:val="005512F1"/>
    <w:rsid w:val="005514E5"/>
    <w:rsid w:val="00591C23"/>
    <w:rsid w:val="005E3658"/>
    <w:rsid w:val="006028A1"/>
    <w:rsid w:val="00631A28"/>
    <w:rsid w:val="006A36AD"/>
    <w:rsid w:val="006C1D96"/>
    <w:rsid w:val="006E1D24"/>
    <w:rsid w:val="0071773F"/>
    <w:rsid w:val="00732C85"/>
    <w:rsid w:val="0075475C"/>
    <w:rsid w:val="00774515"/>
    <w:rsid w:val="00781B6B"/>
    <w:rsid w:val="007B4DD5"/>
    <w:rsid w:val="007D72EE"/>
    <w:rsid w:val="008538DF"/>
    <w:rsid w:val="008742EB"/>
    <w:rsid w:val="00877E5F"/>
    <w:rsid w:val="00895EF3"/>
    <w:rsid w:val="008C64D5"/>
    <w:rsid w:val="008C655F"/>
    <w:rsid w:val="008E45F1"/>
    <w:rsid w:val="008F7F5C"/>
    <w:rsid w:val="00903D38"/>
    <w:rsid w:val="00961992"/>
    <w:rsid w:val="00990EE8"/>
    <w:rsid w:val="009B3B2C"/>
    <w:rsid w:val="009D1D72"/>
    <w:rsid w:val="009E3EF0"/>
    <w:rsid w:val="009F1F27"/>
    <w:rsid w:val="00A01052"/>
    <w:rsid w:val="00A04D9C"/>
    <w:rsid w:val="00A23BA6"/>
    <w:rsid w:val="00A258BB"/>
    <w:rsid w:val="00A33541"/>
    <w:rsid w:val="00A43B52"/>
    <w:rsid w:val="00A45616"/>
    <w:rsid w:val="00AC7726"/>
    <w:rsid w:val="00AF6065"/>
    <w:rsid w:val="00B80CA0"/>
    <w:rsid w:val="00B85770"/>
    <w:rsid w:val="00BE4BD8"/>
    <w:rsid w:val="00BF1CD9"/>
    <w:rsid w:val="00C37433"/>
    <w:rsid w:val="00C63262"/>
    <w:rsid w:val="00C72355"/>
    <w:rsid w:val="00C84DB7"/>
    <w:rsid w:val="00C93CFB"/>
    <w:rsid w:val="00CE1103"/>
    <w:rsid w:val="00CF7BA6"/>
    <w:rsid w:val="00D42086"/>
    <w:rsid w:val="00D425B3"/>
    <w:rsid w:val="00DA68DC"/>
    <w:rsid w:val="00E3767D"/>
    <w:rsid w:val="00E55491"/>
    <w:rsid w:val="00E83DB6"/>
    <w:rsid w:val="00EA0B8F"/>
    <w:rsid w:val="00EA53E7"/>
    <w:rsid w:val="00F06E0B"/>
    <w:rsid w:val="00F13635"/>
    <w:rsid w:val="00F508C9"/>
    <w:rsid w:val="00F50CCD"/>
    <w:rsid w:val="00F5247C"/>
    <w:rsid w:val="00FA29ED"/>
    <w:rsid w:val="00FE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3767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3767D"/>
  </w:style>
  <w:style w:type="character" w:customStyle="1" w:styleId="object">
    <w:name w:val="object"/>
    <w:basedOn w:val="Domylnaczcionkaakapitu"/>
    <w:rsid w:val="00E3767D"/>
  </w:style>
  <w:style w:type="character" w:styleId="UyteHipercze">
    <w:name w:val="FollowedHyperlink"/>
    <w:basedOn w:val="Domylnaczcionkaakapitu"/>
    <w:semiHidden/>
    <w:unhideWhenUsed/>
    <w:rsid w:val="00521C12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3767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3767D"/>
  </w:style>
  <w:style w:type="character" w:customStyle="1" w:styleId="object">
    <w:name w:val="object"/>
    <w:basedOn w:val="Domylnaczcionkaakapitu"/>
    <w:rsid w:val="00E3767D"/>
  </w:style>
  <w:style w:type="character" w:styleId="UyteHipercze">
    <w:name w:val="FollowedHyperlink"/>
    <w:basedOn w:val="Domylnaczcionkaakapitu"/>
    <w:semiHidden/>
    <w:unhideWhenUsed/>
    <w:rsid w:val="00521C12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28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44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371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60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462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349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59317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81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714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424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761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438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001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17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79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93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2618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028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1191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2019-06-10T12:54:00Z</dcterms:created>
  <dcterms:modified xsi:type="dcterms:W3CDTF">2019-06-11T14:31:00Z</dcterms:modified>
</cp:coreProperties>
</file>