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03" w:rsidRDefault="00D54903" w:rsidP="00D5490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2B09AC" w:rsidRPr="00BB6D3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657394" w:rsidRDefault="00657394" w:rsidP="0065739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FB5ADA" w:rsidRPr="00657394" w:rsidRDefault="00657394" w:rsidP="00657394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Pr="00657394">
        <w:rPr>
          <w:lang w:val="pl-PL"/>
        </w:rPr>
        <w:t xml:space="preserve"> </w:t>
      </w:r>
      <w:r w:rsidR="00342B09" w:rsidRPr="00657394">
        <w:rPr>
          <w:lang w:val="pl-PL"/>
        </w:rPr>
        <w:t>222</w:t>
      </w:r>
    </w:p>
    <w:p w:rsidR="00FB5ADA" w:rsidRPr="00092A8B" w:rsidRDefault="00657394">
      <w:pPr>
        <w:pStyle w:val="ClinEditionMonth"/>
        <w:rPr>
          <w:lang w:val="pl-PL"/>
        </w:rPr>
      </w:pPr>
      <w:r w:rsidRPr="00092A8B">
        <w:rPr>
          <w:lang w:val="pl-PL"/>
        </w:rPr>
        <w:t xml:space="preserve">Październik </w:t>
      </w:r>
      <w:r w:rsidR="00342B09" w:rsidRPr="00092A8B">
        <w:rPr>
          <w:lang w:val="pl-PL"/>
        </w:rPr>
        <w:t>2018</w:t>
      </w:r>
      <w:r w:rsidRPr="00092A8B">
        <w:rPr>
          <w:lang w:val="pl-PL"/>
        </w:rPr>
        <w:t xml:space="preserve"> r.</w:t>
      </w:r>
    </w:p>
    <w:p w:rsidR="00FB5ADA" w:rsidRPr="00471E2C" w:rsidRDefault="00342B09">
      <w:pPr>
        <w:rPr>
          <w:lang w:val="pl-PL"/>
        </w:rPr>
      </w:pPr>
      <w:proofErr w:type="spellStart"/>
      <w:r w:rsidRPr="00471E2C">
        <w:rPr>
          <w:rStyle w:val="ClinCaseTitle"/>
          <w:lang w:val="pl-PL"/>
        </w:rPr>
        <w:t>Mutu</w:t>
      </w:r>
      <w:proofErr w:type="spellEnd"/>
      <w:r w:rsidRPr="00471E2C">
        <w:rPr>
          <w:rStyle w:val="ClinCaseTitle"/>
          <w:lang w:val="pl-PL"/>
        </w:rPr>
        <w:t xml:space="preserve"> </w:t>
      </w:r>
      <w:r w:rsidR="00471E2C" w:rsidRPr="00471E2C">
        <w:rPr>
          <w:rStyle w:val="ClinCaseTitle"/>
          <w:lang w:val="pl-PL"/>
        </w:rPr>
        <w:t xml:space="preserve">i </w:t>
      </w:r>
      <w:proofErr w:type="spellStart"/>
      <w:r w:rsidR="00471E2C" w:rsidRPr="00471E2C">
        <w:rPr>
          <w:rStyle w:val="ClinCaseTitle"/>
          <w:lang w:val="pl-PL"/>
        </w:rPr>
        <w:t>Pechstein</w:t>
      </w:r>
      <w:proofErr w:type="spellEnd"/>
      <w:r w:rsidR="00471E2C" w:rsidRPr="00471E2C">
        <w:rPr>
          <w:rStyle w:val="ClinCaseTitle"/>
          <w:lang w:val="pl-PL"/>
        </w:rPr>
        <w:t xml:space="preserve"> p</w:t>
      </w:r>
      <w:r w:rsidRPr="00471E2C">
        <w:rPr>
          <w:rStyle w:val="ClinCaseTitle"/>
          <w:lang w:val="pl-PL"/>
        </w:rPr>
        <w:t>. S</w:t>
      </w:r>
      <w:r w:rsidR="00471E2C" w:rsidRPr="00471E2C">
        <w:rPr>
          <w:rStyle w:val="ClinCaseTitle"/>
          <w:lang w:val="pl-PL"/>
        </w:rPr>
        <w:t>zwajcarii</w:t>
      </w:r>
      <w:r w:rsidRPr="00471E2C">
        <w:rPr>
          <w:rStyle w:val="ClinApplicationNumber"/>
          <w:lang w:val="pl-PL"/>
        </w:rPr>
        <w:t xml:space="preserve"> </w:t>
      </w:r>
      <w:r w:rsidR="00471E2C" w:rsidRPr="00471E2C">
        <w:rPr>
          <w:rStyle w:val="ClinApplicationNumber"/>
          <w:lang w:val="pl-PL"/>
        </w:rPr>
        <w:t>–</w:t>
      </w:r>
      <w:r w:rsidRPr="00471E2C">
        <w:rPr>
          <w:rStyle w:val="ClinApplicationNumber"/>
          <w:lang w:val="pl-PL"/>
        </w:rPr>
        <w:t xml:space="preserve"> </w:t>
      </w:r>
      <w:r w:rsidR="00471E2C" w:rsidRPr="00471E2C">
        <w:rPr>
          <w:rStyle w:val="ClinApplicationNumber"/>
          <w:lang w:val="pl-PL"/>
        </w:rPr>
        <w:t xml:space="preserve">skargi nr </w:t>
      </w:r>
      <w:r w:rsidRPr="00471E2C">
        <w:rPr>
          <w:rStyle w:val="ClinApplicationNumber"/>
          <w:lang w:val="pl-PL"/>
        </w:rPr>
        <w:t xml:space="preserve">40575/10 </w:t>
      </w:r>
      <w:r w:rsidR="00471E2C" w:rsidRPr="00471E2C">
        <w:rPr>
          <w:rStyle w:val="ClinApplicationNumber"/>
          <w:lang w:val="pl-PL"/>
        </w:rPr>
        <w:t xml:space="preserve">i </w:t>
      </w:r>
      <w:r w:rsidRPr="00471E2C">
        <w:rPr>
          <w:rStyle w:val="ClinApplicationNumber"/>
          <w:lang w:val="pl-PL"/>
        </w:rPr>
        <w:t>67474/10</w:t>
      </w:r>
    </w:p>
    <w:p w:rsidR="00FB5ADA" w:rsidRPr="00471E2C" w:rsidRDefault="00471E2C">
      <w:pPr>
        <w:rPr>
          <w:lang w:val="pl-PL"/>
        </w:rPr>
      </w:pPr>
      <w:r w:rsidRPr="00471E2C">
        <w:rPr>
          <w:rStyle w:val="ClinHudocDocumentTitle"/>
          <w:lang w:val="pl-PL"/>
        </w:rPr>
        <w:t>Wyrok z 0</w:t>
      </w:r>
      <w:r w:rsidR="00342B09" w:rsidRPr="00471E2C">
        <w:rPr>
          <w:rStyle w:val="ClinHudocDocumentTitle"/>
          <w:lang w:val="pl-PL"/>
        </w:rPr>
        <w:t>2.10.2018</w:t>
      </w:r>
      <w:r w:rsidR="00342B09" w:rsidRPr="00471E2C">
        <w:rPr>
          <w:rStyle w:val="ClinSectionName"/>
          <w:lang w:val="pl-PL"/>
        </w:rPr>
        <w:t xml:space="preserve"> </w:t>
      </w:r>
      <w:r w:rsidRPr="00471E2C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342B09" w:rsidRPr="00471E2C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Trzecia Sekcja</w:t>
      </w:r>
      <w:r w:rsidR="00342B09" w:rsidRPr="00471E2C">
        <w:rPr>
          <w:rStyle w:val="ClinSectionName"/>
          <w:lang w:val="pl-PL"/>
        </w:rPr>
        <w:t>]</w:t>
      </w:r>
    </w:p>
    <w:p w:rsidR="00FB5ADA" w:rsidRPr="00471E2C" w:rsidRDefault="00342B09">
      <w:pPr>
        <w:pStyle w:val="ClinMainKeywordCode"/>
        <w:rPr>
          <w:lang w:val="pl-PL"/>
        </w:rPr>
      </w:pPr>
      <w:r w:rsidRPr="00471E2C">
        <w:rPr>
          <w:lang w:val="pl-PL"/>
        </w:rPr>
        <w:t>Art</w:t>
      </w:r>
      <w:r w:rsidR="00471E2C" w:rsidRPr="00471E2C">
        <w:rPr>
          <w:lang w:val="pl-PL"/>
        </w:rPr>
        <w:t>.</w:t>
      </w:r>
      <w:r w:rsidRPr="00471E2C">
        <w:rPr>
          <w:lang w:val="pl-PL"/>
        </w:rPr>
        <w:t xml:space="preserve"> 6</w:t>
      </w:r>
      <w:r w:rsidR="007C3A2D" w:rsidRPr="007C3A2D">
        <w:rPr>
          <w:lang w:val="pl-PL"/>
        </w:rPr>
        <w:t xml:space="preserve"> </w:t>
      </w:r>
      <w:r w:rsidR="007C3A2D">
        <w:rPr>
          <w:lang w:val="pl-PL"/>
        </w:rPr>
        <w:t>Konwencji</w:t>
      </w:r>
      <w:r w:rsidR="007C3A2D">
        <w:rPr>
          <w:rStyle w:val="Odwoanieprzypisudolnego"/>
          <w:lang w:val="pl-PL"/>
        </w:rPr>
        <w:footnoteReference w:id="1"/>
      </w:r>
    </w:p>
    <w:p w:rsidR="00471E2C" w:rsidRDefault="00471E2C">
      <w:pPr>
        <w:pStyle w:val="ClinKeyword"/>
        <w:rPr>
          <w:lang w:val="pl-PL"/>
        </w:rPr>
      </w:pPr>
      <w:r>
        <w:rPr>
          <w:lang w:val="pl-PL"/>
        </w:rPr>
        <w:t>Postępowanie cywilne</w:t>
      </w:r>
    </w:p>
    <w:p w:rsidR="00471E2C" w:rsidRPr="00092A8B" w:rsidRDefault="00471E2C">
      <w:pPr>
        <w:pStyle w:val="ClinKeyword"/>
        <w:rPr>
          <w:lang w:val="pl-PL"/>
        </w:rPr>
      </w:pPr>
      <w:r w:rsidRPr="00092A8B">
        <w:rPr>
          <w:lang w:val="pl-PL"/>
        </w:rPr>
        <w:t>Postępowanie dyscyplinarne</w:t>
      </w:r>
    </w:p>
    <w:p w:rsidR="00FB5ADA" w:rsidRPr="00092A8B" w:rsidRDefault="00342B09">
      <w:pPr>
        <w:pStyle w:val="ClinChildKeywordCode"/>
        <w:rPr>
          <w:lang w:val="pl-PL"/>
        </w:rPr>
      </w:pPr>
      <w:r w:rsidRPr="00092A8B">
        <w:rPr>
          <w:lang w:val="pl-PL"/>
        </w:rPr>
        <w:t>Art</w:t>
      </w:r>
      <w:r w:rsidR="00471E2C" w:rsidRPr="00092A8B">
        <w:rPr>
          <w:lang w:val="pl-PL"/>
        </w:rPr>
        <w:t>.</w:t>
      </w:r>
      <w:r w:rsidRPr="00092A8B">
        <w:rPr>
          <w:lang w:val="pl-PL"/>
        </w:rPr>
        <w:t xml:space="preserve"> 6</w:t>
      </w:r>
      <w:r w:rsidR="00471E2C" w:rsidRPr="00092A8B">
        <w:rPr>
          <w:lang w:val="pl-PL"/>
        </w:rPr>
        <w:t xml:space="preserve"> ust. </w:t>
      </w:r>
      <w:r w:rsidRPr="00092A8B">
        <w:rPr>
          <w:lang w:val="pl-PL"/>
        </w:rPr>
        <w:t>1</w:t>
      </w:r>
    </w:p>
    <w:p w:rsidR="00471E2C" w:rsidRPr="00471E2C" w:rsidRDefault="00471E2C">
      <w:pPr>
        <w:pStyle w:val="ClinKeyword"/>
        <w:rPr>
          <w:lang w:val="pl-PL"/>
        </w:rPr>
      </w:pPr>
      <w:r w:rsidRPr="00471E2C">
        <w:rPr>
          <w:lang w:val="pl-PL"/>
        </w:rPr>
        <w:t>Prawa i obowiązki o charakterze cywilnym</w:t>
      </w:r>
    </w:p>
    <w:p w:rsidR="00471E2C" w:rsidRPr="00471E2C" w:rsidRDefault="00471E2C">
      <w:pPr>
        <w:pStyle w:val="ClinKeyword"/>
        <w:rPr>
          <w:lang w:val="pl-PL"/>
        </w:rPr>
      </w:pPr>
      <w:r w:rsidRPr="00471E2C">
        <w:rPr>
          <w:lang w:val="pl-PL"/>
        </w:rPr>
        <w:t>Bezstronny sąd</w:t>
      </w:r>
    </w:p>
    <w:p w:rsidR="00471E2C" w:rsidRPr="00471E2C" w:rsidRDefault="00471E2C">
      <w:pPr>
        <w:pStyle w:val="ClinKeyword"/>
        <w:rPr>
          <w:lang w:val="pl-PL"/>
        </w:rPr>
      </w:pPr>
      <w:r w:rsidRPr="00471E2C">
        <w:rPr>
          <w:lang w:val="pl-PL"/>
        </w:rPr>
        <w:t>Niezawisły sąd</w:t>
      </w:r>
    </w:p>
    <w:p w:rsidR="00471E2C" w:rsidRPr="00471E2C" w:rsidRDefault="00471E2C" w:rsidP="002B09AC">
      <w:pPr>
        <w:jc w:val="both"/>
        <w:rPr>
          <w:lang w:val="pl-PL"/>
        </w:rPr>
      </w:pPr>
      <w:r w:rsidRPr="00C953B8">
        <w:rPr>
          <w:rStyle w:val="ClinConclusions"/>
          <w:i w:val="0"/>
          <w:lang w:val="pl-PL"/>
        </w:rPr>
        <w:t xml:space="preserve">Metoda wyznaczania arbitrów w </w:t>
      </w:r>
      <w:r w:rsidR="001161C6">
        <w:rPr>
          <w:rStyle w:val="ClinConclusions"/>
          <w:i w:val="0"/>
          <w:lang w:val="pl-PL"/>
        </w:rPr>
        <w:t>Sportowym Sądzie Arbitrażowym</w:t>
      </w:r>
      <w:r w:rsidRPr="00C953B8">
        <w:rPr>
          <w:rStyle w:val="ClinConclusions"/>
          <w:i w:val="0"/>
          <w:lang w:val="pl-PL"/>
        </w:rPr>
        <w:t>:</w:t>
      </w:r>
      <w:r>
        <w:rPr>
          <w:rStyle w:val="ClinConclusions"/>
          <w:lang w:val="pl-PL"/>
        </w:rPr>
        <w:t xml:space="preserve"> art. 6 ust. 1</w:t>
      </w:r>
      <w:r w:rsidR="00092A8B">
        <w:rPr>
          <w:rStyle w:val="ClinConclusions"/>
          <w:lang w:val="pl-PL"/>
        </w:rPr>
        <w:t xml:space="preserve"> </w:t>
      </w:r>
      <w:r>
        <w:rPr>
          <w:rStyle w:val="ClinConclusions"/>
          <w:lang w:val="pl-PL"/>
        </w:rPr>
        <w:t>ma zastosowanie; brak naruszenia</w:t>
      </w:r>
    </w:p>
    <w:p w:rsidR="00C953B8" w:rsidRPr="00092A8B" w:rsidRDefault="00C953B8">
      <w:pPr>
        <w:pStyle w:val="ClinContent"/>
        <w:rPr>
          <w:lang w:val="pl-PL"/>
        </w:rPr>
      </w:pPr>
      <w:r w:rsidRPr="00EC0A03">
        <w:rPr>
          <w:i/>
          <w:lang w:val="pl-PL"/>
        </w:rPr>
        <w:t>Fakty</w:t>
      </w:r>
      <w:r w:rsidRPr="00EC0A03">
        <w:rPr>
          <w:lang w:val="pl-PL"/>
        </w:rPr>
        <w:t xml:space="preserve"> </w:t>
      </w:r>
      <w:r w:rsidR="00EC0A03" w:rsidRPr="00EC0A03">
        <w:rPr>
          <w:lang w:val="pl-PL"/>
        </w:rPr>
        <w:t>–</w:t>
      </w:r>
      <w:r w:rsidRPr="00EC0A03">
        <w:rPr>
          <w:lang w:val="pl-PL"/>
        </w:rPr>
        <w:t xml:space="preserve"> </w:t>
      </w:r>
      <w:r w:rsidR="005C4219">
        <w:rPr>
          <w:lang w:val="pl-PL"/>
        </w:rPr>
        <w:t xml:space="preserve">Pierwszą skargę wniósł skarżący, </w:t>
      </w:r>
      <w:r w:rsidR="00EC0A03" w:rsidRPr="00EC0A03">
        <w:rPr>
          <w:lang w:val="pl-PL"/>
        </w:rPr>
        <w:t xml:space="preserve">zawodowy </w:t>
      </w:r>
      <w:r w:rsidR="00160A28">
        <w:rPr>
          <w:lang w:val="pl-PL"/>
        </w:rPr>
        <w:t>piłkarz</w:t>
      </w:r>
      <w:r w:rsidR="005C4219">
        <w:rPr>
          <w:lang w:val="pl-PL"/>
        </w:rPr>
        <w:t>, któremu nakazano zapłacić bardzo wysoką kwotę na rzecz swojego klubu za jednostronne złamanie umowy. Drugą</w:t>
      </w:r>
      <w:r w:rsidR="00DF3F39">
        <w:rPr>
          <w:lang w:val="pl-PL"/>
        </w:rPr>
        <w:t> </w:t>
      </w:r>
      <w:r w:rsidR="005C4219">
        <w:rPr>
          <w:lang w:val="pl-PL"/>
        </w:rPr>
        <w:t>skargę wni</w:t>
      </w:r>
      <w:r w:rsidR="00F32F17">
        <w:rPr>
          <w:lang w:val="pl-PL"/>
        </w:rPr>
        <w:t xml:space="preserve">osła skarżąca, </w:t>
      </w:r>
      <w:r w:rsidR="005C4219">
        <w:rPr>
          <w:lang w:val="pl-PL"/>
        </w:rPr>
        <w:t>uprawia</w:t>
      </w:r>
      <w:r w:rsidR="00160A28">
        <w:rPr>
          <w:lang w:val="pl-PL"/>
        </w:rPr>
        <w:t>jąca</w:t>
      </w:r>
      <w:r w:rsidR="005C4219">
        <w:rPr>
          <w:lang w:val="pl-PL"/>
        </w:rPr>
        <w:t xml:space="preserve"> łyżwiarstwo szybkie, na któr</w:t>
      </w:r>
      <w:r w:rsidR="00F32F17">
        <w:rPr>
          <w:lang w:val="pl-PL"/>
        </w:rPr>
        <w:t>ą</w:t>
      </w:r>
      <w:r w:rsidR="005C4219">
        <w:rPr>
          <w:lang w:val="pl-PL"/>
        </w:rPr>
        <w:t xml:space="preserve"> nałożono sankcje za doping. Obie skargi podnoszą zagadnienia dotyczące rzetelności procedur mających zastosowanie</w:t>
      </w:r>
      <w:r w:rsidR="001161C6">
        <w:rPr>
          <w:lang w:val="pl-PL"/>
        </w:rPr>
        <w:t xml:space="preserve"> przed</w:t>
      </w:r>
      <w:r w:rsidR="005C4219">
        <w:rPr>
          <w:lang w:val="pl-PL"/>
        </w:rPr>
        <w:t xml:space="preserve"> </w:t>
      </w:r>
      <w:r w:rsidR="001161C6">
        <w:rPr>
          <w:rStyle w:val="ClinConclusions"/>
          <w:i w:val="0"/>
          <w:lang w:val="pl-PL"/>
        </w:rPr>
        <w:t>Sportowym Sądem Arbitrażowym</w:t>
      </w:r>
      <w:r w:rsidR="005C4219" w:rsidRPr="00092A8B">
        <w:rPr>
          <w:lang w:val="pl-PL"/>
        </w:rPr>
        <w:t xml:space="preserve"> (CAS).</w:t>
      </w:r>
    </w:p>
    <w:p w:rsidR="005C4219" w:rsidRPr="00092A8B" w:rsidRDefault="005C4219">
      <w:pPr>
        <w:pStyle w:val="ClinContent"/>
        <w:rPr>
          <w:lang w:val="pl-PL"/>
        </w:rPr>
      </w:pPr>
      <w:r w:rsidRPr="00092A8B">
        <w:rPr>
          <w:i/>
          <w:lang w:val="pl-PL"/>
        </w:rPr>
        <w:t xml:space="preserve">Prawo – </w:t>
      </w:r>
      <w:r w:rsidR="00C40642">
        <w:rPr>
          <w:lang w:val="pl-PL"/>
        </w:rPr>
        <w:t>a</w:t>
      </w:r>
      <w:bookmarkStart w:id="0" w:name="_GoBack"/>
      <w:bookmarkEnd w:id="0"/>
      <w:r w:rsidRPr="00092A8B">
        <w:rPr>
          <w:lang w:val="pl-PL"/>
        </w:rPr>
        <w:t>rt. 6 ust. 1</w:t>
      </w:r>
    </w:p>
    <w:p w:rsidR="005C4219" w:rsidRPr="005C4219" w:rsidRDefault="005C4219">
      <w:pPr>
        <w:pStyle w:val="ClinContent"/>
        <w:rPr>
          <w:lang w:val="pl-PL"/>
        </w:rPr>
      </w:pPr>
      <w:r w:rsidRPr="005C4219">
        <w:rPr>
          <w:lang w:val="pl-PL"/>
        </w:rPr>
        <w:t xml:space="preserve">(a) </w:t>
      </w:r>
      <w:r w:rsidRPr="005C4219">
        <w:rPr>
          <w:i/>
          <w:lang w:val="pl-PL"/>
        </w:rPr>
        <w:t>Zastosowalność</w:t>
      </w:r>
      <w:r w:rsidRPr="005C4219">
        <w:rPr>
          <w:lang w:val="pl-PL"/>
        </w:rPr>
        <w:t xml:space="preserve"> – Pierwszy skarżący skarżył się na </w:t>
      </w:r>
      <w:r w:rsidR="003E7F18">
        <w:rPr>
          <w:lang w:val="pl-PL"/>
        </w:rPr>
        <w:t xml:space="preserve">decyzję </w:t>
      </w:r>
      <w:r w:rsidRPr="005C4219">
        <w:rPr>
          <w:lang w:val="pl-PL"/>
        </w:rPr>
        <w:t>arbitr</w:t>
      </w:r>
      <w:r>
        <w:rPr>
          <w:lang w:val="pl-PL"/>
        </w:rPr>
        <w:t>ażow</w:t>
      </w:r>
      <w:r w:rsidR="003E7F18">
        <w:rPr>
          <w:lang w:val="pl-PL"/>
        </w:rPr>
        <w:t>ą</w:t>
      </w:r>
      <w:r w:rsidRPr="005C4219">
        <w:rPr>
          <w:lang w:val="pl-PL"/>
        </w:rPr>
        <w:t xml:space="preserve">, </w:t>
      </w:r>
      <w:r>
        <w:rPr>
          <w:lang w:val="pl-PL"/>
        </w:rPr>
        <w:t>w któr</w:t>
      </w:r>
      <w:r w:rsidR="003E7F18">
        <w:rPr>
          <w:lang w:val="pl-PL"/>
        </w:rPr>
        <w:t>ej</w:t>
      </w:r>
      <w:r w:rsidRPr="005C4219">
        <w:rPr>
          <w:lang w:val="pl-PL"/>
        </w:rPr>
        <w:t xml:space="preserve"> nakazano mu zapłacenie odszkodowania na rzecz klubu </w:t>
      </w:r>
      <w:r>
        <w:rPr>
          <w:lang w:val="pl-PL"/>
        </w:rPr>
        <w:t>piłkarskiego</w:t>
      </w:r>
      <w:r w:rsidRPr="005C4219">
        <w:rPr>
          <w:lang w:val="pl-PL"/>
        </w:rPr>
        <w:t xml:space="preserve"> Chelsea</w:t>
      </w:r>
      <w:r w:rsidR="004C1DA0">
        <w:rPr>
          <w:lang w:val="pl-PL"/>
        </w:rPr>
        <w:t xml:space="preserve"> F.C</w:t>
      </w:r>
      <w:r w:rsidR="00092A8B">
        <w:rPr>
          <w:lang w:val="pl-PL"/>
        </w:rPr>
        <w:t>. Wchodzące w grę prawa w sposób wyraźny miały charakter pieniężny i wynikały ze</w:t>
      </w:r>
      <w:r w:rsidR="00DF3F39">
        <w:rPr>
          <w:lang w:val="pl-PL"/>
        </w:rPr>
        <w:t> </w:t>
      </w:r>
      <w:r w:rsidR="00092A8B">
        <w:rPr>
          <w:lang w:val="pl-PL"/>
        </w:rPr>
        <w:t>stosunku umownego między osobami prywatnymi. Miały one zatem charakter „cywilny” na potrzeby art. 6.</w:t>
      </w:r>
    </w:p>
    <w:p w:rsidR="005C4219" w:rsidRPr="005C4219" w:rsidRDefault="005C4219">
      <w:pPr>
        <w:pStyle w:val="ClinContent"/>
        <w:rPr>
          <w:lang w:val="pl-PL"/>
        </w:rPr>
      </w:pPr>
      <w:r w:rsidRPr="005C4219">
        <w:rPr>
          <w:lang w:val="pl-PL"/>
        </w:rPr>
        <w:t xml:space="preserve">W drugiej skardze przedmiotem sporu była decyzja </w:t>
      </w:r>
      <w:r>
        <w:rPr>
          <w:lang w:val="pl-PL"/>
        </w:rPr>
        <w:t>utrzymująca w mocy dwuletnie zawieszenie skarżące</w:t>
      </w:r>
      <w:r w:rsidR="00F32F17">
        <w:rPr>
          <w:lang w:val="pl-PL"/>
        </w:rPr>
        <w:t>j</w:t>
      </w:r>
      <w:r>
        <w:rPr>
          <w:lang w:val="pl-PL"/>
        </w:rPr>
        <w:t xml:space="preserve">. </w:t>
      </w:r>
      <w:r w:rsidR="00092A8B">
        <w:rPr>
          <w:lang w:val="pl-PL"/>
        </w:rPr>
        <w:t>Nie było wątpliwości co do cywilnego aspektu praw wchodzących w grę, ponieważ dotyczyły one postępowań</w:t>
      </w:r>
      <w:r>
        <w:rPr>
          <w:lang w:val="pl-PL"/>
        </w:rPr>
        <w:t xml:space="preserve"> dyscyplinarnych prowadzonych przed organami </w:t>
      </w:r>
      <w:r w:rsidRPr="00092A8B">
        <w:rPr>
          <w:lang w:val="pl-PL"/>
        </w:rPr>
        <w:t>korporacyjnymi,</w:t>
      </w:r>
      <w:r>
        <w:rPr>
          <w:lang w:val="pl-PL"/>
        </w:rPr>
        <w:t xml:space="preserve"> </w:t>
      </w:r>
      <w:r w:rsidR="009023AA">
        <w:rPr>
          <w:lang w:val="pl-PL"/>
        </w:rPr>
        <w:t>których przedmiotem było</w:t>
      </w:r>
      <w:r>
        <w:rPr>
          <w:lang w:val="pl-PL"/>
        </w:rPr>
        <w:t xml:space="preserve"> prawo do praktykowania zawodu. </w:t>
      </w:r>
    </w:p>
    <w:p w:rsidR="005C4219" w:rsidRPr="00092A8B" w:rsidRDefault="005C4219">
      <w:pPr>
        <w:pStyle w:val="ClinContent"/>
        <w:rPr>
          <w:lang w:val="pl-PL"/>
        </w:rPr>
      </w:pPr>
      <w:r w:rsidRPr="00092A8B">
        <w:rPr>
          <w:i/>
          <w:lang w:val="pl-PL"/>
        </w:rPr>
        <w:t>Rozstrzygnięcie</w:t>
      </w:r>
      <w:r w:rsidRPr="00092A8B">
        <w:rPr>
          <w:lang w:val="pl-PL"/>
        </w:rPr>
        <w:t>: Art. 6 ust. 1 ma zastosowanie</w:t>
      </w:r>
      <w:r w:rsidR="00571B74">
        <w:rPr>
          <w:lang w:val="pl-PL"/>
        </w:rPr>
        <w:t>.</w:t>
      </w:r>
    </w:p>
    <w:p w:rsidR="0028307C" w:rsidRPr="001161C6" w:rsidRDefault="0028307C">
      <w:pPr>
        <w:pStyle w:val="ClinContent"/>
        <w:rPr>
          <w:lang w:val="pl-PL"/>
        </w:rPr>
      </w:pPr>
      <w:r w:rsidRPr="0028307C">
        <w:rPr>
          <w:lang w:val="pl-PL"/>
        </w:rPr>
        <w:lastRenderedPageBreak/>
        <w:t>(b)</w:t>
      </w:r>
      <w:r w:rsidRPr="0028307C">
        <w:rPr>
          <w:i/>
          <w:lang w:val="pl-PL"/>
        </w:rPr>
        <w:t xml:space="preserve"> </w:t>
      </w:r>
      <w:proofErr w:type="spellStart"/>
      <w:r w:rsidRPr="0028307C">
        <w:rPr>
          <w:i/>
          <w:lang w:val="pl-PL"/>
        </w:rPr>
        <w:t>Jursdykcja</w:t>
      </w:r>
      <w:proofErr w:type="spellEnd"/>
      <w:r w:rsidRPr="0028307C">
        <w:rPr>
          <w:i/>
          <w:lang w:val="pl-PL"/>
        </w:rPr>
        <w:t xml:space="preserve"> </w:t>
      </w:r>
      <w:r w:rsidRPr="001161C6">
        <w:rPr>
          <w:i/>
          <w:lang w:val="pl-PL"/>
        </w:rPr>
        <w:t>ratione personae</w:t>
      </w:r>
      <w:r w:rsidRPr="0028307C">
        <w:rPr>
          <w:lang w:val="pl-PL"/>
        </w:rPr>
        <w:t xml:space="preserve"> – Skargi </w:t>
      </w:r>
      <w:r>
        <w:rPr>
          <w:lang w:val="pl-PL"/>
        </w:rPr>
        <w:t xml:space="preserve">dotyczyły </w:t>
      </w:r>
      <w:r w:rsidR="00B256CF">
        <w:rPr>
          <w:lang w:val="pl-PL"/>
        </w:rPr>
        <w:t xml:space="preserve">zasadniczo </w:t>
      </w:r>
      <w:r>
        <w:rPr>
          <w:lang w:val="pl-PL"/>
        </w:rPr>
        <w:t xml:space="preserve">składu CAS i procedur stosowanych przed tym organem. CAS nie jest </w:t>
      </w:r>
      <w:r w:rsidR="003E7F18">
        <w:rPr>
          <w:lang w:val="pl-PL"/>
        </w:rPr>
        <w:t xml:space="preserve">jednak </w:t>
      </w:r>
      <w:r>
        <w:rPr>
          <w:lang w:val="pl-PL"/>
        </w:rPr>
        <w:t>sądem państwowym ani inną instytucją szwajcarskiego prawa publicznego, a jednostką utworzoną pod auspicjami Międzynarodowej Rady Arbitrażowej d</w:t>
      </w:r>
      <w:r w:rsidR="001161C6">
        <w:rPr>
          <w:lang w:val="pl-PL"/>
        </w:rPr>
        <w:t>o spraw</w:t>
      </w:r>
      <w:r>
        <w:rPr>
          <w:lang w:val="pl-PL"/>
        </w:rPr>
        <w:t xml:space="preserve"> </w:t>
      </w:r>
      <w:r w:rsidRPr="001161C6">
        <w:rPr>
          <w:lang w:val="pl-PL"/>
        </w:rPr>
        <w:t xml:space="preserve">Sportu (ICAS), to jest fundacji prawa prywatnego. </w:t>
      </w:r>
    </w:p>
    <w:p w:rsidR="003E7F18" w:rsidRPr="00307AA4" w:rsidRDefault="002B09AC">
      <w:pPr>
        <w:pStyle w:val="ClinContent"/>
        <w:rPr>
          <w:lang w:val="pl-PL"/>
        </w:rPr>
      </w:pPr>
      <w:r>
        <w:rPr>
          <w:lang w:val="pl-PL"/>
        </w:rPr>
        <w:t>N</w:t>
      </w:r>
      <w:r w:rsidR="003E7F18" w:rsidRPr="003E7F18">
        <w:rPr>
          <w:lang w:val="pl-PL"/>
        </w:rPr>
        <w:t xml:space="preserve">iemniej </w:t>
      </w:r>
      <w:r>
        <w:rPr>
          <w:lang w:val="pl-PL"/>
        </w:rPr>
        <w:t xml:space="preserve">jednak </w:t>
      </w:r>
      <w:r w:rsidR="003E7F18" w:rsidRPr="003E7F18">
        <w:rPr>
          <w:lang w:val="pl-PL"/>
        </w:rPr>
        <w:t>w pew</w:t>
      </w:r>
      <w:r w:rsidR="003E7F18">
        <w:rPr>
          <w:lang w:val="pl-PL"/>
        </w:rPr>
        <w:t>ny</w:t>
      </w:r>
      <w:r w:rsidR="009023AA">
        <w:rPr>
          <w:lang w:val="pl-PL"/>
        </w:rPr>
        <w:t>ch</w:t>
      </w:r>
      <w:r w:rsidR="003E7F18">
        <w:rPr>
          <w:lang w:val="pl-PL"/>
        </w:rPr>
        <w:t xml:space="preserve"> wyliczonych okolicznościach</w:t>
      </w:r>
      <w:r w:rsidR="003E7F18" w:rsidRPr="003E7F18">
        <w:rPr>
          <w:lang w:val="pl-PL"/>
        </w:rPr>
        <w:t>,</w:t>
      </w:r>
      <w:r w:rsidR="003E7F18">
        <w:rPr>
          <w:lang w:val="pl-PL"/>
        </w:rPr>
        <w:t xml:space="preserve"> </w:t>
      </w:r>
      <w:r w:rsidR="003E7F18" w:rsidRPr="003E7F18">
        <w:rPr>
          <w:lang w:val="pl-PL"/>
        </w:rPr>
        <w:t xml:space="preserve">w szczególności </w:t>
      </w:r>
      <w:r w:rsidR="003E7F18">
        <w:rPr>
          <w:lang w:val="pl-PL"/>
        </w:rPr>
        <w:t>w odniesieniu do zgodności z prawem składu zespołu arbitr</w:t>
      </w:r>
      <w:r w:rsidR="008277A1">
        <w:rPr>
          <w:lang w:val="pl-PL"/>
        </w:rPr>
        <w:t>ów</w:t>
      </w:r>
      <w:r w:rsidR="003E7F18">
        <w:rPr>
          <w:lang w:val="pl-PL"/>
        </w:rPr>
        <w:t>, prawo szwajcarskie przewid</w:t>
      </w:r>
      <w:r w:rsidR="008277A1">
        <w:rPr>
          <w:lang w:val="pl-PL"/>
        </w:rPr>
        <w:t>uje</w:t>
      </w:r>
      <w:r w:rsidR="003E7F18">
        <w:rPr>
          <w:lang w:val="pl-PL"/>
        </w:rPr>
        <w:t>, że</w:t>
      </w:r>
      <w:r w:rsidR="00DF3F39">
        <w:rPr>
          <w:lang w:val="pl-PL"/>
        </w:rPr>
        <w:t> </w:t>
      </w:r>
      <w:r w:rsidR="003E7F18">
        <w:rPr>
          <w:lang w:val="pl-PL"/>
        </w:rPr>
        <w:t xml:space="preserve">Federalny Sąd Najwyższy ma kompetencję do ustalania ważności decyzji wydanych przez CAS. </w:t>
      </w:r>
      <w:r w:rsidR="008277A1">
        <w:rPr>
          <w:lang w:val="pl-PL"/>
        </w:rPr>
        <w:t>Ponadto w przedmiotowych sprawach Federalny Sąd Najwyższy oddalił odwołania skarżących, w ten sposób przy</w:t>
      </w:r>
      <w:r w:rsidR="00307AA4">
        <w:rPr>
          <w:lang w:val="pl-PL"/>
        </w:rPr>
        <w:t>pisując</w:t>
      </w:r>
      <w:r w:rsidR="008277A1">
        <w:rPr>
          <w:lang w:val="pl-PL"/>
        </w:rPr>
        <w:t xml:space="preserve"> skutek </w:t>
      </w:r>
      <w:r w:rsidR="008277A1">
        <w:rPr>
          <w:i/>
          <w:lang w:val="pl-PL"/>
        </w:rPr>
        <w:t xml:space="preserve">res iudicata </w:t>
      </w:r>
      <w:r w:rsidR="00307AA4" w:rsidRPr="00307AA4">
        <w:rPr>
          <w:lang w:val="pl-PL"/>
        </w:rPr>
        <w:t>przedmiotowym</w:t>
      </w:r>
      <w:r w:rsidR="00307AA4">
        <w:rPr>
          <w:i/>
          <w:lang w:val="pl-PL"/>
        </w:rPr>
        <w:t xml:space="preserve"> </w:t>
      </w:r>
      <w:r w:rsidR="00307AA4">
        <w:rPr>
          <w:lang w:val="pl-PL"/>
        </w:rPr>
        <w:t xml:space="preserve">orzeczeniom arbitrażowym w szwajcarskim porządku prawnym. </w:t>
      </w:r>
    </w:p>
    <w:p w:rsidR="003E7F18" w:rsidRPr="003E7F18" w:rsidRDefault="00307AA4">
      <w:pPr>
        <w:pStyle w:val="ClinContent"/>
        <w:rPr>
          <w:lang w:val="pl-PL"/>
        </w:rPr>
      </w:pPr>
      <w:r>
        <w:rPr>
          <w:lang w:val="pl-PL"/>
        </w:rPr>
        <w:t>Zaskarżone</w:t>
      </w:r>
      <w:r w:rsidR="00B256CF">
        <w:rPr>
          <w:lang w:val="pl-PL"/>
        </w:rPr>
        <w:t xml:space="preserve"> działania i zaniechania mogą</w:t>
      </w:r>
      <w:r w:rsidR="003E7F18" w:rsidRPr="003E7F18">
        <w:rPr>
          <w:lang w:val="pl-PL"/>
        </w:rPr>
        <w:t xml:space="preserve"> zatem pociągać za sobą odpowiedzialność pozwanego Pań</w:t>
      </w:r>
      <w:r w:rsidR="003E7F18">
        <w:rPr>
          <w:lang w:val="pl-PL"/>
        </w:rPr>
        <w:t>s</w:t>
      </w:r>
      <w:r w:rsidR="003E7F18" w:rsidRPr="003E7F18">
        <w:rPr>
          <w:lang w:val="pl-PL"/>
        </w:rPr>
        <w:t xml:space="preserve">twa na gruncie Konwencji. </w:t>
      </w:r>
      <w:r w:rsidR="003E7F18">
        <w:rPr>
          <w:lang w:val="pl-PL"/>
        </w:rPr>
        <w:t xml:space="preserve">Trybunał ma jurysdykcję </w:t>
      </w:r>
      <w:r w:rsidR="003E7F18">
        <w:rPr>
          <w:i/>
          <w:lang w:val="pl-PL"/>
        </w:rPr>
        <w:t>ratione p</w:t>
      </w:r>
      <w:r w:rsidR="00B256CF">
        <w:rPr>
          <w:i/>
          <w:lang w:val="pl-PL"/>
        </w:rPr>
        <w:t>e</w:t>
      </w:r>
      <w:r w:rsidR="003E7F18">
        <w:rPr>
          <w:i/>
          <w:lang w:val="pl-PL"/>
        </w:rPr>
        <w:t xml:space="preserve">rsonae </w:t>
      </w:r>
      <w:r w:rsidR="003E7F18">
        <w:rPr>
          <w:lang w:val="pl-PL"/>
        </w:rPr>
        <w:t>do</w:t>
      </w:r>
      <w:r w:rsidR="00DF3F39">
        <w:rPr>
          <w:lang w:val="pl-PL"/>
        </w:rPr>
        <w:t> </w:t>
      </w:r>
      <w:r w:rsidR="003E7F18">
        <w:rPr>
          <w:lang w:val="pl-PL"/>
        </w:rPr>
        <w:t xml:space="preserve">zbadania skarg skarżących dotyczących działań i zaniechań CAS, które zostały zatwierdzone przez Federalny Sąd Najwyższy. </w:t>
      </w:r>
    </w:p>
    <w:p w:rsidR="00B256CF" w:rsidRPr="00C0515D" w:rsidRDefault="00B256CF">
      <w:pPr>
        <w:pStyle w:val="ClinContent"/>
        <w:rPr>
          <w:i/>
          <w:lang w:val="pl-PL"/>
        </w:rPr>
      </w:pPr>
      <w:r w:rsidRPr="00307AA4">
        <w:rPr>
          <w:i/>
          <w:lang w:val="pl-PL"/>
        </w:rPr>
        <w:t>Rozstrzygnięcie</w:t>
      </w:r>
      <w:r w:rsidRPr="00C0515D">
        <w:rPr>
          <w:lang w:val="pl-PL"/>
        </w:rPr>
        <w:t xml:space="preserve">: zgodność skarg </w:t>
      </w:r>
      <w:r w:rsidRPr="00C0515D">
        <w:rPr>
          <w:i/>
          <w:lang w:val="pl-PL"/>
        </w:rPr>
        <w:t>ratione personae</w:t>
      </w:r>
      <w:r w:rsidR="00C0515D" w:rsidRPr="00C0515D">
        <w:rPr>
          <w:i/>
          <w:lang w:val="pl-PL"/>
        </w:rPr>
        <w:t>.</w:t>
      </w:r>
    </w:p>
    <w:p w:rsidR="00C0515D" w:rsidRPr="00FC239C" w:rsidRDefault="00C0515D">
      <w:pPr>
        <w:pStyle w:val="ClinContent"/>
        <w:rPr>
          <w:i/>
          <w:lang w:val="pl-PL"/>
        </w:rPr>
      </w:pPr>
      <w:r w:rsidRPr="00FC239C">
        <w:rPr>
          <w:i/>
          <w:lang w:val="pl-PL"/>
        </w:rPr>
        <w:t>(c) Przedmiot skarg</w:t>
      </w:r>
    </w:p>
    <w:p w:rsidR="00C0515D" w:rsidRPr="00307AA4" w:rsidRDefault="00C0515D">
      <w:pPr>
        <w:pStyle w:val="ClinContent"/>
        <w:rPr>
          <w:i/>
          <w:lang w:val="pl-PL"/>
        </w:rPr>
      </w:pPr>
      <w:r w:rsidRPr="00C0515D">
        <w:rPr>
          <w:lang w:val="pl-PL"/>
        </w:rPr>
        <w:t xml:space="preserve">(i) </w:t>
      </w:r>
      <w:r w:rsidRPr="00307AA4">
        <w:rPr>
          <w:i/>
          <w:lang w:val="pl-PL"/>
        </w:rPr>
        <w:t xml:space="preserve">Ważność </w:t>
      </w:r>
      <w:r w:rsidR="00307AA4" w:rsidRPr="00307AA4">
        <w:rPr>
          <w:i/>
          <w:lang w:val="pl-PL"/>
        </w:rPr>
        <w:t>zgody skarżących na</w:t>
      </w:r>
      <w:r w:rsidR="00F32F17" w:rsidRPr="00307AA4">
        <w:rPr>
          <w:i/>
          <w:lang w:val="pl-PL"/>
        </w:rPr>
        <w:t xml:space="preserve"> </w:t>
      </w:r>
      <w:r w:rsidRPr="00307AA4">
        <w:rPr>
          <w:i/>
          <w:lang w:val="pl-PL"/>
        </w:rPr>
        <w:t>arbitraż</w:t>
      </w:r>
    </w:p>
    <w:p w:rsidR="00C0515D" w:rsidRPr="00C0515D" w:rsidRDefault="00C0515D">
      <w:pPr>
        <w:pStyle w:val="ClinContent"/>
        <w:rPr>
          <w:i/>
          <w:lang w:val="pl-PL"/>
        </w:rPr>
      </w:pPr>
      <w:r w:rsidRPr="00C0515D">
        <w:rPr>
          <w:lang w:val="pl-PL"/>
        </w:rPr>
        <w:t>(</w:t>
      </w:r>
      <w:r>
        <w:t>α</w:t>
      </w:r>
      <w:r w:rsidRPr="00C0515D">
        <w:rPr>
          <w:lang w:val="pl-PL"/>
        </w:rPr>
        <w:t>)  </w:t>
      </w:r>
      <w:r>
        <w:rPr>
          <w:i/>
          <w:lang w:val="pl-PL"/>
        </w:rPr>
        <w:t>Sytuacja drugiej skarżącej</w:t>
      </w:r>
      <w:r w:rsidRPr="00C0515D">
        <w:rPr>
          <w:i/>
          <w:lang w:val="pl-PL"/>
        </w:rPr>
        <w:t xml:space="preserve"> (skarga nr 67474/10)</w:t>
      </w:r>
      <w:r w:rsidRPr="00C0515D">
        <w:rPr>
          <w:lang w:val="pl-PL"/>
        </w:rPr>
        <w:t xml:space="preserve"> –</w:t>
      </w:r>
      <w:r>
        <w:rPr>
          <w:lang w:val="pl-PL"/>
        </w:rPr>
        <w:t xml:space="preserve"> Mające zastosowanie regulacje Międzynarodowej Unii Łyżwiarskiej (ISU) przewidują obowiązkową jurysdykcję CAS w</w:t>
      </w:r>
      <w:r w:rsidR="00DF3F39">
        <w:rPr>
          <w:lang w:val="pl-PL"/>
        </w:rPr>
        <w:t> </w:t>
      </w:r>
      <w:r>
        <w:rPr>
          <w:lang w:val="pl-PL"/>
        </w:rPr>
        <w:t xml:space="preserve">sporach wynikających z postępowań dyscyplinarnych. </w:t>
      </w:r>
      <w:r w:rsidR="00160A28">
        <w:rPr>
          <w:lang w:val="pl-PL"/>
        </w:rPr>
        <w:t>A</w:t>
      </w:r>
      <w:r w:rsidR="00F32F17">
        <w:rPr>
          <w:lang w:val="pl-PL"/>
        </w:rPr>
        <w:t>by m</w:t>
      </w:r>
      <w:r w:rsidR="00307AA4">
        <w:rPr>
          <w:lang w:val="pl-PL"/>
        </w:rPr>
        <w:t>óc</w:t>
      </w:r>
      <w:r>
        <w:rPr>
          <w:lang w:val="pl-PL"/>
        </w:rPr>
        <w:t xml:space="preserve"> uczestniczyć w</w:t>
      </w:r>
      <w:r w:rsidR="00DF3F39">
        <w:rPr>
          <w:lang w:val="pl-PL"/>
        </w:rPr>
        <w:t> </w:t>
      </w:r>
      <w:r>
        <w:rPr>
          <w:lang w:val="pl-PL"/>
        </w:rPr>
        <w:t>zawodach organizowanych przez ISU i zarabiać na życie</w:t>
      </w:r>
      <w:r w:rsidR="00160A28">
        <w:rPr>
          <w:lang w:val="pl-PL"/>
        </w:rPr>
        <w:t>, druga skarżąca była zobowiązana zaakceptować umow</w:t>
      </w:r>
      <w:r w:rsidR="009023AA">
        <w:rPr>
          <w:lang w:val="pl-PL"/>
        </w:rPr>
        <w:t>ę</w:t>
      </w:r>
      <w:r w:rsidR="00160A28">
        <w:rPr>
          <w:lang w:val="pl-PL"/>
        </w:rPr>
        <w:t xml:space="preserve"> o arbitraż</w:t>
      </w:r>
      <w:r>
        <w:rPr>
          <w:lang w:val="pl-PL"/>
        </w:rPr>
        <w:t xml:space="preserve">. </w:t>
      </w:r>
      <w:r w:rsidR="003544B8">
        <w:rPr>
          <w:lang w:val="pl-PL"/>
        </w:rPr>
        <w:t>Mając na względzie ograniczeni</w:t>
      </w:r>
      <w:r w:rsidR="00160A28">
        <w:rPr>
          <w:lang w:val="pl-PL"/>
        </w:rPr>
        <w:t>a</w:t>
      </w:r>
      <w:r w:rsidR="003544B8">
        <w:rPr>
          <w:lang w:val="pl-PL"/>
        </w:rPr>
        <w:t>, które</w:t>
      </w:r>
      <w:r w:rsidR="00DF3F39">
        <w:rPr>
          <w:lang w:val="pl-PL"/>
        </w:rPr>
        <w:t> </w:t>
      </w:r>
      <w:r w:rsidR="004C1DA0">
        <w:rPr>
          <w:lang w:val="pl-PL"/>
        </w:rPr>
        <w:t xml:space="preserve">pociągałaby za sobą </w:t>
      </w:r>
      <w:r w:rsidR="003544B8">
        <w:rPr>
          <w:lang w:val="pl-PL"/>
        </w:rPr>
        <w:t>odmow</w:t>
      </w:r>
      <w:r w:rsidR="004C1DA0">
        <w:rPr>
          <w:lang w:val="pl-PL"/>
        </w:rPr>
        <w:t>a</w:t>
      </w:r>
      <w:r w:rsidR="003544B8">
        <w:rPr>
          <w:lang w:val="pl-PL"/>
        </w:rPr>
        <w:t xml:space="preserve"> przyjęcia klauzuli arbitrażowej na życie zawodowe drugiej skarżącej, nie przyjęła </w:t>
      </w:r>
      <w:r w:rsidR="004C1DA0">
        <w:rPr>
          <w:lang w:val="pl-PL"/>
        </w:rPr>
        <w:t xml:space="preserve">ona </w:t>
      </w:r>
      <w:r w:rsidR="003544B8">
        <w:rPr>
          <w:lang w:val="pl-PL"/>
        </w:rPr>
        <w:t xml:space="preserve">tej klauzuli w sposób wolny i jednoznaczny. </w:t>
      </w:r>
    </w:p>
    <w:p w:rsidR="004C1DA0" w:rsidRPr="004C1DA0" w:rsidRDefault="00307AA4">
      <w:pPr>
        <w:pStyle w:val="ClinContent"/>
        <w:rPr>
          <w:lang w:val="pl-PL"/>
        </w:rPr>
      </w:pPr>
      <w:r>
        <w:rPr>
          <w:lang w:val="pl-PL"/>
        </w:rPr>
        <w:t>Choć nie zostało</w:t>
      </w:r>
      <w:r w:rsidR="004C1DA0" w:rsidRPr="004C1DA0">
        <w:rPr>
          <w:lang w:val="pl-PL"/>
        </w:rPr>
        <w:t xml:space="preserve"> </w:t>
      </w:r>
      <w:r>
        <w:rPr>
          <w:lang w:val="pl-PL"/>
        </w:rPr>
        <w:t xml:space="preserve">to </w:t>
      </w:r>
      <w:r w:rsidR="004C1DA0" w:rsidRPr="004C1DA0">
        <w:rPr>
          <w:lang w:val="pl-PL"/>
        </w:rPr>
        <w:t>na</w:t>
      </w:r>
      <w:r>
        <w:rPr>
          <w:lang w:val="pl-PL"/>
        </w:rPr>
        <w:t>rzucone</w:t>
      </w:r>
      <w:r w:rsidR="004C1DA0" w:rsidRPr="004C1DA0">
        <w:rPr>
          <w:lang w:val="pl-PL"/>
        </w:rPr>
        <w:t xml:space="preserve"> przez prawo</w:t>
      </w:r>
      <w:r w:rsidR="00160A28">
        <w:rPr>
          <w:lang w:val="pl-PL"/>
        </w:rPr>
        <w:t xml:space="preserve"> krajowe</w:t>
      </w:r>
      <w:r w:rsidR="004C1DA0" w:rsidRPr="004C1DA0">
        <w:rPr>
          <w:lang w:val="pl-PL"/>
        </w:rPr>
        <w:t xml:space="preserve">, a </w:t>
      </w:r>
      <w:r w:rsidR="004C1DA0">
        <w:rPr>
          <w:lang w:val="pl-PL"/>
        </w:rPr>
        <w:t xml:space="preserve">przez </w:t>
      </w:r>
      <w:r w:rsidR="004C1DA0" w:rsidRPr="004C1DA0">
        <w:rPr>
          <w:lang w:val="pl-PL"/>
        </w:rPr>
        <w:t xml:space="preserve">regulacje ISU, </w:t>
      </w:r>
      <w:r>
        <w:rPr>
          <w:lang w:val="pl-PL"/>
        </w:rPr>
        <w:t xml:space="preserve">akceptację </w:t>
      </w:r>
      <w:r w:rsidR="004C1DA0" w:rsidRPr="004C1DA0">
        <w:rPr>
          <w:lang w:val="pl-PL"/>
        </w:rPr>
        <w:t xml:space="preserve">jurysdykcji CAS </w:t>
      </w:r>
      <w:r w:rsidRPr="004C1DA0">
        <w:rPr>
          <w:lang w:val="pl-PL"/>
        </w:rPr>
        <w:t xml:space="preserve">przez skarżącą </w:t>
      </w:r>
      <w:r w:rsidR="004C1DA0" w:rsidRPr="004C1DA0">
        <w:rPr>
          <w:lang w:val="pl-PL"/>
        </w:rPr>
        <w:t xml:space="preserve">należy uznać za </w:t>
      </w:r>
      <w:r w:rsidR="004C1DA0">
        <w:rPr>
          <w:lang w:val="pl-PL"/>
        </w:rPr>
        <w:t xml:space="preserve">arbitraż </w:t>
      </w:r>
      <w:r>
        <w:rPr>
          <w:lang w:val="pl-PL"/>
        </w:rPr>
        <w:t>„obowiązkowy</w:t>
      </w:r>
      <w:r w:rsidR="004C1DA0">
        <w:rPr>
          <w:lang w:val="pl-PL"/>
        </w:rPr>
        <w:t>”. W</w:t>
      </w:r>
      <w:r w:rsidR="00DF3F39">
        <w:rPr>
          <w:lang w:val="pl-PL"/>
        </w:rPr>
        <w:t> </w:t>
      </w:r>
      <w:r w:rsidR="004C1DA0">
        <w:rPr>
          <w:lang w:val="pl-PL"/>
        </w:rPr>
        <w:t xml:space="preserve">konsekwencji, proces arbitrażowy musiał zapewniać gwarancje z art. 6 ust. 1 Konwencji. </w:t>
      </w:r>
    </w:p>
    <w:p w:rsidR="004C1DA0" w:rsidRPr="00307AA4" w:rsidRDefault="004C1DA0">
      <w:pPr>
        <w:pStyle w:val="ClinContent"/>
        <w:rPr>
          <w:lang w:val="pl-PL"/>
        </w:rPr>
      </w:pPr>
      <w:r w:rsidRPr="004C1DA0">
        <w:rPr>
          <w:lang w:val="pl-PL"/>
        </w:rPr>
        <w:t>(</w:t>
      </w:r>
      <w:r>
        <w:t>β</w:t>
      </w:r>
      <w:r w:rsidRPr="002B09AC">
        <w:rPr>
          <w:i/>
          <w:lang w:val="pl-PL"/>
        </w:rPr>
        <w:t>)  Sytuacja pierwszego skarżącego</w:t>
      </w:r>
      <w:r w:rsidRPr="004C1DA0">
        <w:rPr>
          <w:lang w:val="pl-PL"/>
        </w:rPr>
        <w:t xml:space="preserve"> </w:t>
      </w:r>
      <w:r w:rsidRPr="004C1DA0">
        <w:rPr>
          <w:i/>
          <w:lang w:val="pl-PL"/>
        </w:rPr>
        <w:t>(skarga nr 40575/10)</w:t>
      </w:r>
      <w:r>
        <w:rPr>
          <w:i/>
          <w:lang w:val="pl-PL"/>
        </w:rPr>
        <w:t xml:space="preserve"> – </w:t>
      </w:r>
      <w:r w:rsidRPr="004C1DA0">
        <w:rPr>
          <w:lang w:val="pl-PL"/>
        </w:rPr>
        <w:t>Mające</w:t>
      </w:r>
      <w:r>
        <w:rPr>
          <w:lang w:val="pl-PL"/>
        </w:rPr>
        <w:t xml:space="preserve"> zastosowanie uregulowania właściwej federacji sportowej nie narzucały arbitrażu, ale pozostawiały </w:t>
      </w:r>
      <w:r w:rsidR="00307AA4">
        <w:rPr>
          <w:lang w:val="pl-PL"/>
        </w:rPr>
        <w:t>[wybór] metody</w:t>
      </w:r>
      <w:r>
        <w:rPr>
          <w:lang w:val="pl-PL"/>
        </w:rPr>
        <w:t xml:space="preserve"> rozwiązywania sporów swobodzie umów klubów i zawodników. </w:t>
      </w:r>
      <w:r w:rsidRPr="00307AA4">
        <w:rPr>
          <w:lang w:val="pl-PL"/>
        </w:rPr>
        <w:t>Nie</w:t>
      </w:r>
      <w:r w:rsidR="00DF3F39" w:rsidRPr="00571B74">
        <w:rPr>
          <w:lang w:val="pl-PL"/>
        </w:rPr>
        <w:t> </w:t>
      </w:r>
      <w:r w:rsidRPr="00307AA4">
        <w:rPr>
          <w:lang w:val="pl-PL"/>
        </w:rPr>
        <w:t xml:space="preserve">zachodziła </w:t>
      </w:r>
      <w:r w:rsidR="00160A28">
        <w:rPr>
          <w:lang w:val="pl-PL"/>
        </w:rPr>
        <w:t xml:space="preserve">zatem </w:t>
      </w:r>
      <w:r w:rsidRPr="00307AA4">
        <w:rPr>
          <w:lang w:val="pl-PL"/>
        </w:rPr>
        <w:t>kwestia „</w:t>
      </w:r>
      <w:r w:rsidR="00307AA4" w:rsidRPr="00307AA4">
        <w:rPr>
          <w:lang w:val="pl-PL"/>
        </w:rPr>
        <w:t>obowiązkowego</w:t>
      </w:r>
      <w:r w:rsidRPr="00307AA4">
        <w:rPr>
          <w:lang w:val="pl-PL"/>
        </w:rPr>
        <w:t xml:space="preserve">” arbitrażu. </w:t>
      </w:r>
      <w:r w:rsidRPr="00307AA4">
        <w:rPr>
          <w:i/>
          <w:lang w:val="pl-PL"/>
        </w:rPr>
        <w:t xml:space="preserve"> </w:t>
      </w:r>
    </w:p>
    <w:p w:rsidR="004C1DA0" w:rsidRPr="004C1DA0" w:rsidRDefault="004C1DA0">
      <w:pPr>
        <w:pStyle w:val="ClinContent"/>
        <w:rPr>
          <w:lang w:val="pl-PL"/>
        </w:rPr>
      </w:pPr>
      <w:r w:rsidRPr="004C1DA0">
        <w:rPr>
          <w:lang w:val="pl-PL"/>
        </w:rPr>
        <w:t>Pierwszy skarżący wnioskował jednak o wycofanie arbitra wybranego przez klub piłkarski Chelsea</w:t>
      </w:r>
      <w:r>
        <w:rPr>
          <w:lang w:val="pl-PL"/>
        </w:rPr>
        <w:t xml:space="preserve"> F.C.</w:t>
      </w:r>
      <w:r w:rsidRPr="004C1DA0">
        <w:rPr>
          <w:lang w:val="pl-PL"/>
        </w:rPr>
        <w:t xml:space="preserve"> i kwestionował jego niezawisłość i bezstronność. </w:t>
      </w:r>
      <w:r>
        <w:rPr>
          <w:lang w:val="pl-PL"/>
        </w:rPr>
        <w:t xml:space="preserve">Wynika z tego, że pierwszy skarżący nie zrzekł się „w jednoznaczny sposób” prawa do kwestionowania niezawisłości i bezstronności CAS we wszystkich sporach między nim a klubem Chelsea F.C. A zatem, procedura arbitrażowa musiała zapewniać gwarancje z art. 6 ust. 1 Konwencji. </w:t>
      </w:r>
    </w:p>
    <w:p w:rsidR="00FC239C" w:rsidRDefault="004C1DA0">
      <w:pPr>
        <w:pStyle w:val="ClinContent"/>
        <w:rPr>
          <w:lang w:val="pl-PL"/>
        </w:rPr>
      </w:pPr>
      <w:r w:rsidRPr="004C1DA0">
        <w:rPr>
          <w:lang w:val="pl-PL"/>
        </w:rPr>
        <w:t xml:space="preserve">(ii) </w:t>
      </w:r>
      <w:r w:rsidRPr="000746A9">
        <w:rPr>
          <w:i/>
          <w:lang w:val="pl-PL"/>
        </w:rPr>
        <w:t>Niezawisłość i bezstronność CAS</w:t>
      </w:r>
      <w:r w:rsidRPr="004C1DA0">
        <w:rPr>
          <w:lang w:val="pl-PL"/>
        </w:rPr>
        <w:t xml:space="preserve"> </w:t>
      </w:r>
    </w:p>
    <w:p w:rsidR="004C1DA0" w:rsidRPr="004C1DA0" w:rsidRDefault="006A0FB0">
      <w:pPr>
        <w:pStyle w:val="ClinContent"/>
        <w:rPr>
          <w:lang w:val="pl-PL"/>
        </w:rPr>
      </w:pPr>
      <w:r>
        <w:rPr>
          <w:lang w:val="pl-PL"/>
        </w:rPr>
        <w:t>Choć CAS wywodzi</w:t>
      </w:r>
      <w:r w:rsidR="004C1DA0" w:rsidRPr="004C1DA0">
        <w:rPr>
          <w:lang w:val="pl-PL"/>
        </w:rPr>
        <w:t xml:space="preserve"> sw</w:t>
      </w:r>
      <w:r w:rsidR="004C1DA0">
        <w:rPr>
          <w:lang w:val="pl-PL"/>
        </w:rPr>
        <w:t>ą władzę z fun</w:t>
      </w:r>
      <w:r>
        <w:rPr>
          <w:lang w:val="pl-PL"/>
        </w:rPr>
        <w:t>dacji prawa prywatnego, posiada</w:t>
      </w:r>
      <w:r w:rsidR="004C1DA0">
        <w:rPr>
          <w:lang w:val="pl-PL"/>
        </w:rPr>
        <w:t xml:space="preserve"> pełną jurysdykcję do rozstrzygania, w oparciu o przepisy prawa i po</w:t>
      </w:r>
      <w:r w:rsidR="000746A9">
        <w:rPr>
          <w:lang w:val="pl-PL"/>
        </w:rPr>
        <w:t xml:space="preserve"> przeprowadzeniu</w:t>
      </w:r>
      <w:r w:rsidR="004C1DA0">
        <w:rPr>
          <w:lang w:val="pl-PL"/>
        </w:rPr>
        <w:t xml:space="preserve"> </w:t>
      </w:r>
      <w:r w:rsidR="000746A9">
        <w:rPr>
          <w:lang w:val="pl-PL"/>
        </w:rPr>
        <w:t>postępowania</w:t>
      </w:r>
      <w:r w:rsidR="00534EDC">
        <w:rPr>
          <w:lang w:val="pl-PL"/>
        </w:rPr>
        <w:t xml:space="preserve"> </w:t>
      </w:r>
      <w:r w:rsidR="004C1DA0">
        <w:rPr>
          <w:lang w:val="pl-PL"/>
        </w:rPr>
        <w:t>w</w:t>
      </w:r>
      <w:r w:rsidR="00DF3F39">
        <w:rPr>
          <w:lang w:val="pl-PL"/>
        </w:rPr>
        <w:t> </w:t>
      </w:r>
      <w:r w:rsidR="00534EDC">
        <w:rPr>
          <w:lang w:val="pl-PL"/>
        </w:rPr>
        <w:t>przepisanym trybie</w:t>
      </w:r>
      <w:r w:rsidR="004C1DA0">
        <w:rPr>
          <w:lang w:val="pl-PL"/>
        </w:rPr>
        <w:t xml:space="preserve">, we wszystkich kwestiach </w:t>
      </w:r>
      <w:r w:rsidR="00534EDC">
        <w:rPr>
          <w:lang w:val="pl-PL"/>
        </w:rPr>
        <w:t>dotyczących faktów</w:t>
      </w:r>
      <w:r w:rsidR="004C1DA0">
        <w:rPr>
          <w:lang w:val="pl-PL"/>
        </w:rPr>
        <w:t xml:space="preserve"> i prawa przedłożonych mu w kontekście </w:t>
      </w:r>
      <w:r w:rsidR="000746A9">
        <w:rPr>
          <w:lang w:val="pl-PL"/>
        </w:rPr>
        <w:t xml:space="preserve">wniesionych do niego </w:t>
      </w:r>
      <w:r w:rsidR="004C1DA0">
        <w:rPr>
          <w:lang w:val="pl-PL"/>
        </w:rPr>
        <w:t xml:space="preserve">sporów. </w:t>
      </w:r>
      <w:r w:rsidR="00016258">
        <w:rPr>
          <w:lang w:val="pl-PL"/>
        </w:rPr>
        <w:t>Jego decyzje stanowi</w:t>
      </w:r>
      <w:r>
        <w:rPr>
          <w:lang w:val="pl-PL"/>
        </w:rPr>
        <w:t>ą</w:t>
      </w:r>
      <w:r w:rsidR="00016258">
        <w:rPr>
          <w:lang w:val="pl-PL"/>
        </w:rPr>
        <w:t xml:space="preserve"> rozstrzygnięcie </w:t>
      </w:r>
      <w:r w:rsidR="000746A9">
        <w:rPr>
          <w:lang w:val="pl-PL"/>
        </w:rPr>
        <w:t xml:space="preserve">typu sądowego </w:t>
      </w:r>
      <w:r w:rsidR="00016258">
        <w:rPr>
          <w:lang w:val="pl-PL"/>
        </w:rPr>
        <w:t>tych sporów, a odwołanie od nich przysług</w:t>
      </w:r>
      <w:r>
        <w:rPr>
          <w:lang w:val="pl-PL"/>
        </w:rPr>
        <w:t>uje</w:t>
      </w:r>
      <w:r w:rsidR="00016258">
        <w:rPr>
          <w:lang w:val="pl-PL"/>
        </w:rPr>
        <w:t xml:space="preserve"> do</w:t>
      </w:r>
      <w:r w:rsidR="00DF3F39">
        <w:rPr>
          <w:lang w:val="pl-PL"/>
        </w:rPr>
        <w:t> </w:t>
      </w:r>
      <w:r w:rsidR="00016258">
        <w:rPr>
          <w:lang w:val="pl-PL"/>
        </w:rPr>
        <w:t xml:space="preserve">Federalnego Sądu Najwyższego. Ponadto, Federalny Sąd Najwyższy </w:t>
      </w:r>
      <w:r w:rsidR="009518F5">
        <w:rPr>
          <w:lang w:val="pl-PL"/>
        </w:rPr>
        <w:t>uzna</w:t>
      </w:r>
      <w:r>
        <w:rPr>
          <w:lang w:val="pl-PL"/>
        </w:rPr>
        <w:t>je</w:t>
      </w:r>
      <w:r w:rsidR="009518F5">
        <w:rPr>
          <w:lang w:val="pl-PL"/>
        </w:rPr>
        <w:t xml:space="preserve"> decyzje zasądzające wydawane przez CAS za „prawdziwe wyroki, porównywalne do wyroków </w:t>
      </w:r>
      <w:r w:rsidR="009518F5">
        <w:rPr>
          <w:lang w:val="pl-PL"/>
        </w:rPr>
        <w:lastRenderedPageBreak/>
        <w:t xml:space="preserve">sądów państwowych”. </w:t>
      </w:r>
      <w:r w:rsidR="000746A9">
        <w:rPr>
          <w:lang w:val="pl-PL"/>
        </w:rPr>
        <w:t>Na mocy</w:t>
      </w:r>
      <w:r w:rsidR="009518F5">
        <w:rPr>
          <w:lang w:val="pl-PL"/>
        </w:rPr>
        <w:t xml:space="preserve"> ustawy federalnej – Prawo międzynarodowe prywatne w</w:t>
      </w:r>
      <w:r w:rsidR="00DF3F39">
        <w:rPr>
          <w:lang w:val="pl-PL"/>
        </w:rPr>
        <w:t> </w:t>
      </w:r>
      <w:r w:rsidR="009518F5">
        <w:rPr>
          <w:lang w:val="pl-PL"/>
        </w:rPr>
        <w:t>powiązaniu z orzecznictwem Federalnego Sądu Najwyższego, CAS</w:t>
      </w:r>
      <w:r w:rsidR="000746A9">
        <w:rPr>
          <w:lang w:val="pl-PL"/>
        </w:rPr>
        <w:t>, gdy orzeka</w:t>
      </w:r>
      <w:r>
        <w:rPr>
          <w:lang w:val="pl-PL"/>
        </w:rPr>
        <w:t>ł</w:t>
      </w:r>
      <w:r w:rsidR="000746A9">
        <w:rPr>
          <w:lang w:val="pl-PL"/>
        </w:rPr>
        <w:t xml:space="preserve"> w</w:t>
      </w:r>
      <w:r w:rsidR="00DF3F39">
        <w:rPr>
          <w:lang w:val="pl-PL"/>
        </w:rPr>
        <w:t> </w:t>
      </w:r>
      <w:r w:rsidR="000746A9">
        <w:rPr>
          <w:lang w:val="pl-PL"/>
        </w:rPr>
        <w:t xml:space="preserve">sprawach skarżących, </w:t>
      </w:r>
      <w:r w:rsidR="009518F5">
        <w:rPr>
          <w:lang w:val="pl-PL"/>
        </w:rPr>
        <w:t>jawi</w:t>
      </w:r>
      <w:r>
        <w:rPr>
          <w:lang w:val="pl-PL"/>
        </w:rPr>
        <w:t>ł</w:t>
      </w:r>
      <w:r w:rsidR="009518F5">
        <w:rPr>
          <w:lang w:val="pl-PL"/>
        </w:rPr>
        <w:t xml:space="preserve"> się zatem jako „sąd ustanowiony ustawą” w rozumieniu art. 6 ust. 1 Konwencji.</w:t>
      </w:r>
    </w:p>
    <w:p w:rsidR="009518F5" w:rsidRPr="009518F5" w:rsidRDefault="009518F5">
      <w:pPr>
        <w:pStyle w:val="ClinContent"/>
        <w:rPr>
          <w:lang w:val="pl-PL"/>
        </w:rPr>
      </w:pPr>
      <w:r w:rsidRPr="009518F5">
        <w:rPr>
          <w:lang w:val="pl-PL"/>
        </w:rPr>
        <w:t>(</w:t>
      </w:r>
      <w:r>
        <w:t>α</w:t>
      </w:r>
      <w:r w:rsidRPr="009518F5">
        <w:rPr>
          <w:lang w:val="pl-PL"/>
        </w:rPr>
        <w:t>)  </w:t>
      </w:r>
      <w:r w:rsidRPr="000746A9">
        <w:rPr>
          <w:i/>
          <w:lang w:val="pl-PL"/>
        </w:rPr>
        <w:t>W odniesieniu do drugiej skarżącej (skarga nr 67474/10)</w:t>
      </w:r>
      <w:r w:rsidRPr="009518F5">
        <w:rPr>
          <w:lang w:val="pl-PL"/>
        </w:rPr>
        <w:t xml:space="preserve"> – </w:t>
      </w:r>
      <w:r w:rsidR="000746A9" w:rsidRPr="009518F5">
        <w:rPr>
          <w:lang w:val="pl-PL"/>
        </w:rPr>
        <w:t xml:space="preserve">W </w:t>
      </w:r>
      <w:r w:rsidRPr="009518F5">
        <w:rPr>
          <w:lang w:val="pl-PL"/>
        </w:rPr>
        <w:t xml:space="preserve">przedmiotowym czasie, lista arbitrów CAS była sporządzana przez ICAS. </w:t>
      </w:r>
      <w:r>
        <w:rPr>
          <w:lang w:val="pl-PL"/>
        </w:rPr>
        <w:t>Składała się z następujących osób: trzy piąte jego członków wybierano spośród osób zaproponowanych przez</w:t>
      </w:r>
      <w:r w:rsidR="00DF3F39">
        <w:rPr>
          <w:lang w:val="pl-PL"/>
        </w:rPr>
        <w:t> </w:t>
      </w:r>
      <w:r>
        <w:rPr>
          <w:lang w:val="pl-PL"/>
        </w:rPr>
        <w:t xml:space="preserve">Międzynarodowy Komitet Olimpijski, międzynarodowe federacje oraz krajowe komitety olimpijskie, wybranych spośród ich członków lub </w:t>
      </w:r>
      <w:r w:rsidR="000746A9">
        <w:rPr>
          <w:lang w:val="pl-PL"/>
        </w:rPr>
        <w:t>osób z zewnątrz</w:t>
      </w:r>
      <w:r>
        <w:rPr>
          <w:lang w:val="pl-PL"/>
        </w:rPr>
        <w:t xml:space="preserve">; jedna piąta członków była wybierana przez ICAS „po odpowiednich konsultacjach, w celu ochrony interesów sportowców”, a jedna piąta była wybierana spośród osób, które były „niezależne” od wskazanych wyżej organów sportowych.  </w:t>
      </w:r>
    </w:p>
    <w:p w:rsidR="009518F5" w:rsidRPr="009518F5" w:rsidRDefault="009518F5">
      <w:pPr>
        <w:pStyle w:val="ClinContent"/>
        <w:rPr>
          <w:lang w:val="pl-PL"/>
        </w:rPr>
      </w:pPr>
      <w:r w:rsidRPr="009518F5">
        <w:rPr>
          <w:lang w:val="pl-PL"/>
        </w:rPr>
        <w:t>ICAS była zobowiązana wybrać tylko jedną piątą arbitrów spośród osób nie mającyc</w:t>
      </w:r>
      <w:r>
        <w:rPr>
          <w:lang w:val="pl-PL"/>
        </w:rPr>
        <w:t>h</w:t>
      </w:r>
      <w:r w:rsidR="0099233A">
        <w:rPr>
          <w:lang w:val="pl-PL"/>
        </w:rPr>
        <w:t xml:space="preserve"> związków</w:t>
      </w:r>
      <w:r w:rsidRPr="009518F5">
        <w:rPr>
          <w:lang w:val="pl-PL"/>
        </w:rPr>
        <w:t xml:space="preserve"> z organami sportowymi, </w:t>
      </w:r>
      <w:r>
        <w:rPr>
          <w:lang w:val="pl-PL"/>
        </w:rPr>
        <w:t xml:space="preserve">co do których było prawdopodobne, że będą skarżyć sportowców w kontekście sporów wnoszonych </w:t>
      </w:r>
      <w:r w:rsidR="000746A9">
        <w:rPr>
          <w:lang w:val="pl-PL"/>
        </w:rPr>
        <w:t xml:space="preserve">do </w:t>
      </w:r>
      <w:r>
        <w:rPr>
          <w:lang w:val="pl-PL"/>
        </w:rPr>
        <w:t xml:space="preserve">CAS. </w:t>
      </w:r>
      <w:r w:rsidR="0099233A">
        <w:rPr>
          <w:lang w:val="pl-PL"/>
        </w:rPr>
        <w:t xml:space="preserve">Dodatkowo, nominacje były dokonywane według uznania ICAS. ICAS była </w:t>
      </w:r>
      <w:r w:rsidR="000746A9">
        <w:rPr>
          <w:lang w:val="pl-PL"/>
        </w:rPr>
        <w:t xml:space="preserve">natomiast </w:t>
      </w:r>
      <w:r w:rsidR="0099233A">
        <w:rPr>
          <w:lang w:val="pl-PL"/>
        </w:rPr>
        <w:t>w całości złożona z osób, które</w:t>
      </w:r>
      <w:r w:rsidR="00DF3F39">
        <w:rPr>
          <w:lang w:val="pl-PL"/>
        </w:rPr>
        <w:t> </w:t>
      </w:r>
      <w:r w:rsidR="0099233A">
        <w:rPr>
          <w:lang w:val="pl-PL"/>
        </w:rPr>
        <w:t xml:space="preserve">pochodziły z organów sportowych, co wskazywało na istnienie pewnego powiązania między ICAS a organizacjami, które miały skarżyć sportowców w ramach ewentualnych sporów wnoszonych </w:t>
      </w:r>
      <w:r w:rsidR="000746A9">
        <w:rPr>
          <w:lang w:val="pl-PL"/>
        </w:rPr>
        <w:t>do</w:t>
      </w:r>
      <w:r w:rsidR="0099233A">
        <w:rPr>
          <w:lang w:val="pl-PL"/>
        </w:rPr>
        <w:t xml:space="preserve"> CAS, w szczególności o charakterze dyscyplinarnym. </w:t>
      </w:r>
    </w:p>
    <w:p w:rsidR="0099233A" w:rsidRPr="0099233A" w:rsidRDefault="0099233A">
      <w:pPr>
        <w:pStyle w:val="ClinContent"/>
        <w:rPr>
          <w:lang w:val="pl-PL"/>
        </w:rPr>
      </w:pPr>
      <w:r w:rsidRPr="0099233A">
        <w:rPr>
          <w:lang w:val="pl-PL"/>
        </w:rPr>
        <w:t>Ponadto, arbitrzy byli wyznaczani na czteroletnią kadencję</w:t>
      </w:r>
      <w:r>
        <w:rPr>
          <w:lang w:val="pl-PL"/>
        </w:rPr>
        <w:t xml:space="preserve"> z możliwością ponownego wyboru na nieograniczoną liczbę kadencji; ICAS miała </w:t>
      </w:r>
      <w:r w:rsidR="00822694">
        <w:rPr>
          <w:lang w:val="pl-PL"/>
        </w:rPr>
        <w:t xml:space="preserve">również </w:t>
      </w:r>
      <w:r>
        <w:rPr>
          <w:lang w:val="pl-PL"/>
        </w:rPr>
        <w:t>prawo usunąć (w drodze decyzji „z krótkim uzasadnieniem”) każdego arbitra, który odmawiał lub nie mógł wykonywać swych funkcji lub nie wypełniał swych obowiązków zgodnie z</w:t>
      </w:r>
      <w:r w:rsidR="00DF3F39">
        <w:rPr>
          <w:lang w:val="pl-PL"/>
        </w:rPr>
        <w:t> </w:t>
      </w:r>
      <w:r>
        <w:rPr>
          <w:lang w:val="pl-PL"/>
        </w:rPr>
        <w:t>postanowieniami Kodeksu Arbitrażowego</w:t>
      </w:r>
      <w:r w:rsidR="006A0FB0">
        <w:rPr>
          <w:lang w:val="pl-PL"/>
        </w:rPr>
        <w:t>.</w:t>
      </w:r>
    </w:p>
    <w:p w:rsidR="0099233A" w:rsidRPr="0099233A" w:rsidRDefault="0099233A">
      <w:pPr>
        <w:pStyle w:val="ClinContent"/>
        <w:rPr>
          <w:lang w:val="pl-PL"/>
        </w:rPr>
      </w:pPr>
      <w:r w:rsidRPr="0099233A">
        <w:rPr>
          <w:lang w:val="pl-PL"/>
        </w:rPr>
        <w:t>W obecnej sprawie zespół arbitr</w:t>
      </w:r>
      <w:r w:rsidR="008277A1">
        <w:rPr>
          <w:lang w:val="pl-PL"/>
        </w:rPr>
        <w:t>ów</w:t>
      </w:r>
      <w:r w:rsidRPr="0099233A">
        <w:rPr>
          <w:lang w:val="pl-PL"/>
        </w:rPr>
        <w:t>, który rozstrzygał w sprawie sporu między drugą skarżącą a ISU</w:t>
      </w:r>
      <w:r>
        <w:rPr>
          <w:lang w:val="pl-PL"/>
        </w:rPr>
        <w:t>,</w:t>
      </w:r>
      <w:r w:rsidRPr="0099233A">
        <w:rPr>
          <w:lang w:val="pl-PL"/>
        </w:rPr>
        <w:t xml:space="preserve"> skład</w:t>
      </w:r>
      <w:r>
        <w:rPr>
          <w:lang w:val="pl-PL"/>
        </w:rPr>
        <w:t xml:space="preserve">ał się z trzech arbitrów, z których wszyscy zostali wybrani z listy opracowanej przez ICAS i których ICAS miała prawo usunąć. Nawet dostępna skarżącej możliwość wyznaczenia arbitra z własnego wyboru ograniczona była obowiązkiem skorzystania z tej listy, a więc druga skarżąca nie dysponowała pełną swobodą wyboru. </w:t>
      </w:r>
    </w:p>
    <w:p w:rsidR="00CB369D" w:rsidRPr="00CB369D" w:rsidRDefault="002B09AC">
      <w:pPr>
        <w:pStyle w:val="ClinContent"/>
        <w:rPr>
          <w:lang w:val="pl-PL"/>
        </w:rPr>
      </w:pPr>
      <w:r>
        <w:rPr>
          <w:lang w:val="pl-PL"/>
        </w:rPr>
        <w:t>N</w:t>
      </w:r>
      <w:r w:rsidR="001A2216">
        <w:rPr>
          <w:lang w:val="pl-PL"/>
        </w:rPr>
        <w:t>iemniej</w:t>
      </w:r>
      <w:r>
        <w:rPr>
          <w:lang w:val="pl-PL"/>
        </w:rPr>
        <w:t xml:space="preserve"> jednak</w:t>
      </w:r>
      <w:r w:rsidR="00CB369D" w:rsidRPr="00CB369D">
        <w:rPr>
          <w:lang w:val="pl-PL"/>
        </w:rPr>
        <w:t xml:space="preserve"> lista arbitrów przygotowana przez ICAS </w:t>
      </w:r>
      <w:r w:rsidR="001A2216">
        <w:rPr>
          <w:lang w:val="pl-PL"/>
        </w:rPr>
        <w:t xml:space="preserve">liczyła </w:t>
      </w:r>
      <w:r w:rsidR="00CB369D" w:rsidRPr="00CB369D">
        <w:rPr>
          <w:lang w:val="pl-PL"/>
        </w:rPr>
        <w:t>wówczas 300 arbitrów.</w:t>
      </w:r>
      <w:r w:rsidR="001A2216">
        <w:rPr>
          <w:lang w:val="pl-PL"/>
        </w:rPr>
        <w:t xml:space="preserve"> Druga skarżąca nie przedstawiła jednak żadnych </w:t>
      </w:r>
      <w:r w:rsidR="00822694">
        <w:rPr>
          <w:lang w:val="pl-PL"/>
        </w:rPr>
        <w:t>okoliczności fakty</w:t>
      </w:r>
      <w:r w:rsidR="001A2216">
        <w:rPr>
          <w:lang w:val="pl-PL"/>
        </w:rPr>
        <w:t xml:space="preserve">cznych, które mogłyby poddać w wątpliwość niezawisłość i bezstronność </w:t>
      </w:r>
      <w:r w:rsidR="00822694">
        <w:rPr>
          <w:lang w:val="pl-PL"/>
        </w:rPr>
        <w:t>ogólnie</w:t>
      </w:r>
      <w:r w:rsidR="001A2216">
        <w:rPr>
          <w:lang w:val="pl-PL"/>
        </w:rPr>
        <w:t xml:space="preserve"> arbitrów lub zespołu arbitr</w:t>
      </w:r>
      <w:r w:rsidR="008277A1">
        <w:rPr>
          <w:lang w:val="pl-PL"/>
        </w:rPr>
        <w:t>ów</w:t>
      </w:r>
      <w:r w:rsidR="001A2216">
        <w:rPr>
          <w:lang w:val="pl-PL"/>
        </w:rPr>
        <w:t xml:space="preserve">, który rozstrzygał w jej sprawie. </w:t>
      </w:r>
    </w:p>
    <w:p w:rsidR="001A2216" w:rsidRPr="001A2216" w:rsidRDefault="001A2216">
      <w:pPr>
        <w:pStyle w:val="ClinContent"/>
        <w:rPr>
          <w:lang w:val="pl-PL"/>
        </w:rPr>
      </w:pPr>
      <w:r w:rsidRPr="001A2216">
        <w:rPr>
          <w:lang w:val="pl-PL"/>
        </w:rPr>
        <w:t xml:space="preserve">Choć Trybunał gotów był przyznać, że organizacje, co do których można się było spodziewać, że będą skarżyć sportowców w kontekście sporów przed CAS, wywierały rzeczywisty wpływ na </w:t>
      </w:r>
      <w:r w:rsidR="00822694">
        <w:rPr>
          <w:lang w:val="pl-PL"/>
        </w:rPr>
        <w:t xml:space="preserve">obowiązujący wówczas </w:t>
      </w:r>
      <w:r w:rsidRPr="001A2216">
        <w:rPr>
          <w:lang w:val="pl-PL"/>
        </w:rPr>
        <w:t>mechani</w:t>
      </w:r>
      <w:r>
        <w:rPr>
          <w:lang w:val="pl-PL"/>
        </w:rPr>
        <w:t>z</w:t>
      </w:r>
      <w:r w:rsidRPr="001A2216">
        <w:rPr>
          <w:lang w:val="pl-PL"/>
        </w:rPr>
        <w:t>m selekcji, nie można wniosk</w:t>
      </w:r>
      <w:r w:rsidR="00F267D1">
        <w:rPr>
          <w:lang w:val="pl-PL"/>
        </w:rPr>
        <w:t>ow</w:t>
      </w:r>
      <w:r w:rsidRPr="001A2216">
        <w:rPr>
          <w:lang w:val="pl-PL"/>
        </w:rPr>
        <w:t xml:space="preserve">ać, tylko na podstawie tego wpływu, </w:t>
      </w:r>
      <w:r>
        <w:rPr>
          <w:lang w:val="pl-PL"/>
        </w:rPr>
        <w:t>że lista arbitrów</w:t>
      </w:r>
      <w:r w:rsidR="00822694">
        <w:rPr>
          <w:lang w:val="pl-PL"/>
        </w:rPr>
        <w:t>,</w:t>
      </w:r>
      <w:r>
        <w:rPr>
          <w:lang w:val="pl-PL"/>
        </w:rPr>
        <w:t xml:space="preserve"> a przynajmniej jej większość, </w:t>
      </w:r>
      <w:r w:rsidR="00F267D1">
        <w:rPr>
          <w:lang w:val="pl-PL"/>
        </w:rPr>
        <w:t xml:space="preserve">składała się </w:t>
      </w:r>
      <w:r>
        <w:rPr>
          <w:lang w:val="pl-PL"/>
        </w:rPr>
        <w:t>z osób, których nie można uznać za</w:t>
      </w:r>
      <w:r w:rsidR="00F267D1">
        <w:rPr>
          <w:lang w:val="pl-PL"/>
        </w:rPr>
        <w:t xml:space="preserve"> </w:t>
      </w:r>
      <w:r>
        <w:rPr>
          <w:lang w:val="pl-PL"/>
        </w:rPr>
        <w:t>obiektywnie lub subiektywnie niezawisł</w:t>
      </w:r>
      <w:r w:rsidR="006A0FB0">
        <w:rPr>
          <w:lang w:val="pl-PL"/>
        </w:rPr>
        <w:t>e</w:t>
      </w:r>
      <w:r>
        <w:rPr>
          <w:lang w:val="pl-PL"/>
        </w:rPr>
        <w:t xml:space="preserve"> i bezstronn</w:t>
      </w:r>
      <w:r w:rsidR="006A0FB0">
        <w:rPr>
          <w:lang w:val="pl-PL"/>
        </w:rPr>
        <w:t>e</w:t>
      </w:r>
      <w:r>
        <w:rPr>
          <w:lang w:val="pl-PL"/>
        </w:rPr>
        <w:t xml:space="preserve"> </w:t>
      </w:r>
      <w:r w:rsidR="00822694">
        <w:rPr>
          <w:lang w:val="pl-PL"/>
        </w:rPr>
        <w:t xml:space="preserve">indywidualnie </w:t>
      </w:r>
      <w:r w:rsidR="00F267D1">
        <w:rPr>
          <w:lang w:val="pl-PL"/>
        </w:rPr>
        <w:t>wobec tych organizacji</w:t>
      </w:r>
      <w:r w:rsidR="00822694">
        <w:rPr>
          <w:lang w:val="pl-PL"/>
        </w:rPr>
        <w:t>.</w:t>
      </w:r>
      <w:r w:rsidR="00F267D1">
        <w:rPr>
          <w:lang w:val="pl-PL"/>
        </w:rPr>
        <w:t xml:space="preserve"> </w:t>
      </w:r>
    </w:p>
    <w:p w:rsidR="00F267D1" w:rsidRPr="00F267D1" w:rsidRDefault="00F267D1">
      <w:pPr>
        <w:pStyle w:val="ClinContent"/>
        <w:rPr>
          <w:lang w:val="pl-PL"/>
        </w:rPr>
      </w:pPr>
      <w:r w:rsidRPr="00F267D1">
        <w:rPr>
          <w:lang w:val="pl-PL"/>
        </w:rPr>
        <w:t xml:space="preserve">Brak było zatem wystarczających podstaw do odejścia od spójnego orzecznictwa </w:t>
      </w:r>
      <w:r w:rsidR="00822694" w:rsidRPr="00F267D1">
        <w:rPr>
          <w:lang w:val="pl-PL"/>
        </w:rPr>
        <w:t>Federalnego</w:t>
      </w:r>
      <w:r w:rsidRPr="00F267D1">
        <w:rPr>
          <w:lang w:val="pl-PL"/>
        </w:rPr>
        <w:t xml:space="preserve"> Sądu Najwyższego</w:t>
      </w:r>
      <w:r w:rsidR="00822694">
        <w:rPr>
          <w:lang w:val="pl-PL"/>
        </w:rPr>
        <w:t xml:space="preserve"> uznającego, że </w:t>
      </w:r>
      <w:r w:rsidRPr="00F267D1">
        <w:rPr>
          <w:lang w:val="pl-PL"/>
        </w:rPr>
        <w:t>system op</w:t>
      </w:r>
      <w:r w:rsidR="00822694">
        <w:rPr>
          <w:lang w:val="pl-PL"/>
        </w:rPr>
        <w:t>arty na liście arbitrów spełnia</w:t>
      </w:r>
      <w:r w:rsidRPr="00F267D1">
        <w:rPr>
          <w:lang w:val="pl-PL"/>
        </w:rPr>
        <w:t xml:space="preserve"> konstytucyjne wymogi </w:t>
      </w:r>
      <w:r>
        <w:rPr>
          <w:lang w:val="pl-PL"/>
        </w:rPr>
        <w:t>niezawisłości i bezstronności mające zastosowanie do sądów arbitrażowych</w:t>
      </w:r>
      <w:r w:rsidR="00822694">
        <w:rPr>
          <w:lang w:val="pl-PL"/>
        </w:rPr>
        <w:t>, oraz</w:t>
      </w:r>
      <w:r>
        <w:rPr>
          <w:lang w:val="pl-PL"/>
        </w:rPr>
        <w:t xml:space="preserve"> że CAS, funkcjonując jako zewnętrzny organ odwoławczy wobec federacji międzynarodowych, </w:t>
      </w:r>
      <w:r w:rsidRPr="00822694">
        <w:rPr>
          <w:lang w:val="pl-PL"/>
        </w:rPr>
        <w:t>można postrzegać jako</w:t>
      </w:r>
      <w:r>
        <w:rPr>
          <w:lang w:val="pl-PL"/>
        </w:rPr>
        <w:t xml:space="preserve"> organ sądowy niezależny od stron. </w:t>
      </w:r>
    </w:p>
    <w:p w:rsidR="00F267D1" w:rsidRPr="00F267D1" w:rsidRDefault="00F267D1">
      <w:pPr>
        <w:pStyle w:val="ClinContent"/>
        <w:rPr>
          <w:lang w:val="pl-PL"/>
        </w:rPr>
      </w:pPr>
      <w:r w:rsidRPr="00822694">
        <w:rPr>
          <w:i/>
          <w:lang w:val="pl-PL"/>
        </w:rPr>
        <w:t>Rozstrzygnięcie</w:t>
      </w:r>
      <w:r w:rsidRPr="00F267D1">
        <w:rPr>
          <w:lang w:val="pl-PL"/>
        </w:rPr>
        <w:t>:</w:t>
      </w:r>
      <w:r>
        <w:rPr>
          <w:lang w:val="pl-PL"/>
        </w:rPr>
        <w:t xml:space="preserve"> brak naruszenia (pięcioma głos</w:t>
      </w:r>
      <w:r w:rsidRPr="00F267D1">
        <w:rPr>
          <w:lang w:val="pl-PL"/>
        </w:rPr>
        <w:t xml:space="preserve">ami do dwóch). </w:t>
      </w:r>
    </w:p>
    <w:p w:rsidR="00F267D1" w:rsidRPr="00F267D1" w:rsidRDefault="00F267D1">
      <w:pPr>
        <w:pStyle w:val="ClinContent"/>
        <w:rPr>
          <w:lang w:val="pl-PL"/>
        </w:rPr>
      </w:pPr>
      <w:r w:rsidRPr="00F267D1">
        <w:rPr>
          <w:lang w:val="pl-PL"/>
        </w:rPr>
        <w:t>(</w:t>
      </w:r>
      <w:r>
        <w:t>β</w:t>
      </w:r>
      <w:r w:rsidRPr="00F267D1">
        <w:rPr>
          <w:lang w:val="pl-PL"/>
        </w:rPr>
        <w:t>)  </w:t>
      </w:r>
      <w:r w:rsidRPr="00F267D1">
        <w:rPr>
          <w:i/>
          <w:lang w:val="pl-PL"/>
        </w:rPr>
        <w:t>W odniesieniu do pierwszego skarżącego (skarga nr 40575/10)</w:t>
      </w:r>
      <w:r w:rsidRPr="00F267D1">
        <w:rPr>
          <w:lang w:val="pl-PL"/>
        </w:rPr>
        <w:t xml:space="preserve"> –</w:t>
      </w:r>
      <w:r>
        <w:rPr>
          <w:lang w:val="pl-PL"/>
        </w:rPr>
        <w:t xml:space="preserve"> Pierwszy skarżący zarzucał, że dwóm arbitrom z zespołu arbitr</w:t>
      </w:r>
      <w:r w:rsidR="008277A1">
        <w:rPr>
          <w:lang w:val="pl-PL"/>
        </w:rPr>
        <w:t>ów</w:t>
      </w:r>
      <w:r>
        <w:rPr>
          <w:lang w:val="pl-PL"/>
        </w:rPr>
        <w:t xml:space="preserve">, który wydał decyzję w jego sprawie, indywidualnie brak było niezawisłości i bezstronności. W odniesieniu do pierwszego </w:t>
      </w:r>
      <w:r w:rsidR="00160A28">
        <w:rPr>
          <w:lang w:val="pl-PL"/>
        </w:rPr>
        <w:lastRenderedPageBreak/>
        <w:t xml:space="preserve">kwestionowanego </w:t>
      </w:r>
      <w:r>
        <w:rPr>
          <w:lang w:val="pl-PL"/>
        </w:rPr>
        <w:t xml:space="preserve">arbitra </w:t>
      </w:r>
      <w:r w:rsidR="0048568F">
        <w:rPr>
          <w:lang w:val="pl-PL"/>
        </w:rPr>
        <w:t>–</w:t>
      </w:r>
      <w:r w:rsidR="00DF3F39">
        <w:rPr>
          <w:lang w:val="pl-PL"/>
        </w:rPr>
        <w:t xml:space="preserve"> </w:t>
      </w:r>
      <w:r w:rsidR="00DF3F39" w:rsidRPr="00160A28">
        <w:rPr>
          <w:lang w:val="pl-PL"/>
        </w:rPr>
        <w:t>choć fakty będące podstawą sprawy były te same</w:t>
      </w:r>
      <w:r w:rsidR="00DF3F39">
        <w:rPr>
          <w:lang w:val="pl-PL"/>
        </w:rPr>
        <w:t xml:space="preserve">, </w:t>
      </w:r>
      <w:r>
        <w:rPr>
          <w:lang w:val="pl-PL"/>
        </w:rPr>
        <w:t>kwestie prawne</w:t>
      </w:r>
      <w:r w:rsidR="002B09AC">
        <w:rPr>
          <w:lang w:val="pl-PL"/>
        </w:rPr>
        <w:t>,</w:t>
      </w:r>
      <w:r>
        <w:rPr>
          <w:lang w:val="pl-PL"/>
        </w:rPr>
        <w:t xml:space="preserve"> rozstrzygane przez dwa zespoły arbitr</w:t>
      </w:r>
      <w:r w:rsidR="008277A1">
        <w:rPr>
          <w:lang w:val="pl-PL"/>
        </w:rPr>
        <w:t>ów</w:t>
      </w:r>
      <w:r>
        <w:rPr>
          <w:lang w:val="pl-PL"/>
        </w:rPr>
        <w:t>, w których ten arbiter zasiadał, były</w:t>
      </w:r>
      <w:r w:rsidR="00DF3F39">
        <w:rPr>
          <w:lang w:val="pl-PL"/>
        </w:rPr>
        <w:t> </w:t>
      </w:r>
      <w:r>
        <w:rPr>
          <w:lang w:val="pl-PL"/>
        </w:rPr>
        <w:t xml:space="preserve">całkowicie </w:t>
      </w:r>
      <w:r w:rsidR="0048568F">
        <w:rPr>
          <w:lang w:val="pl-PL"/>
        </w:rPr>
        <w:t>odmienne</w:t>
      </w:r>
      <w:r>
        <w:rPr>
          <w:lang w:val="pl-PL"/>
        </w:rPr>
        <w:t xml:space="preserve">. W odniesieniu do drugiego </w:t>
      </w:r>
      <w:r w:rsidR="00160A28">
        <w:rPr>
          <w:lang w:val="pl-PL"/>
        </w:rPr>
        <w:t xml:space="preserve">kwestionowanego </w:t>
      </w:r>
      <w:r>
        <w:rPr>
          <w:lang w:val="pl-PL"/>
        </w:rPr>
        <w:t xml:space="preserve">arbitra Federalny Sąd Najwyższy </w:t>
      </w:r>
      <w:r w:rsidR="000D0805">
        <w:rPr>
          <w:lang w:val="pl-PL"/>
        </w:rPr>
        <w:t xml:space="preserve">– </w:t>
      </w:r>
      <w:r>
        <w:rPr>
          <w:lang w:val="pl-PL"/>
        </w:rPr>
        <w:t>w</w:t>
      </w:r>
      <w:r w:rsidR="000D0805">
        <w:rPr>
          <w:lang w:val="pl-PL"/>
        </w:rPr>
        <w:t xml:space="preserve"> </w:t>
      </w:r>
      <w:r>
        <w:rPr>
          <w:lang w:val="pl-PL"/>
        </w:rPr>
        <w:t>obszernie uzasadnionym wyroku, w którym brak było jakichkolwiek znamion arbitralności</w:t>
      </w:r>
      <w:r w:rsidR="000D0805">
        <w:rPr>
          <w:lang w:val="pl-PL"/>
        </w:rPr>
        <w:t xml:space="preserve"> –</w:t>
      </w:r>
      <w:r>
        <w:rPr>
          <w:lang w:val="pl-PL"/>
        </w:rPr>
        <w:t xml:space="preserve"> </w:t>
      </w:r>
      <w:r w:rsidR="000D0805">
        <w:rPr>
          <w:lang w:val="pl-PL"/>
        </w:rPr>
        <w:t xml:space="preserve">stwierdził, </w:t>
      </w:r>
      <w:r>
        <w:rPr>
          <w:lang w:val="pl-PL"/>
        </w:rPr>
        <w:t xml:space="preserve">że pierwszy skarżący nie uwiarygodnił swych zarzutów.  </w:t>
      </w:r>
    </w:p>
    <w:p w:rsidR="00F267D1" w:rsidRPr="00F267D1" w:rsidRDefault="00F267D1">
      <w:pPr>
        <w:pStyle w:val="ClinContent"/>
        <w:rPr>
          <w:lang w:val="pl-PL"/>
        </w:rPr>
      </w:pPr>
      <w:r w:rsidRPr="00F267D1">
        <w:rPr>
          <w:lang w:val="pl-PL"/>
        </w:rPr>
        <w:t xml:space="preserve">Rozstrzygnięcie: brak naruszenia (pięcioma głosami do dwóch). </w:t>
      </w:r>
    </w:p>
    <w:p w:rsidR="00920568" w:rsidRPr="00920568" w:rsidRDefault="00920568">
      <w:pPr>
        <w:pStyle w:val="ClinContent"/>
        <w:rPr>
          <w:lang w:val="pl-PL"/>
        </w:rPr>
      </w:pPr>
      <w:r w:rsidRPr="00920568">
        <w:rPr>
          <w:lang w:val="pl-PL"/>
        </w:rPr>
        <w:t xml:space="preserve">Trybunał </w:t>
      </w:r>
      <w:r>
        <w:rPr>
          <w:lang w:val="pl-PL"/>
        </w:rPr>
        <w:t xml:space="preserve">orzekł </w:t>
      </w:r>
      <w:r w:rsidRPr="00920568">
        <w:rPr>
          <w:lang w:val="pl-PL"/>
        </w:rPr>
        <w:t>również, jedno</w:t>
      </w:r>
      <w:r w:rsidR="00DF3F39">
        <w:rPr>
          <w:lang w:val="pl-PL"/>
        </w:rPr>
        <w:t>głośnie</w:t>
      </w:r>
      <w:r w:rsidRPr="00920568">
        <w:rPr>
          <w:lang w:val="pl-PL"/>
        </w:rPr>
        <w:t xml:space="preserve">, że doszło do naruszenia art. </w:t>
      </w:r>
      <w:r>
        <w:rPr>
          <w:lang w:val="pl-PL"/>
        </w:rPr>
        <w:t>6 ust. 1 w</w:t>
      </w:r>
      <w:r w:rsidR="00DF3F39">
        <w:rPr>
          <w:lang w:val="pl-PL"/>
        </w:rPr>
        <w:t> </w:t>
      </w:r>
      <w:r>
        <w:rPr>
          <w:lang w:val="pl-PL"/>
        </w:rPr>
        <w:t xml:space="preserve">odniesieniu do drugiej skarżącej z uwagi na brak publicznej rozprawy przed CAS. </w:t>
      </w:r>
    </w:p>
    <w:p w:rsidR="00920568" w:rsidRPr="00920568" w:rsidRDefault="00920568">
      <w:pPr>
        <w:pStyle w:val="ClinContent"/>
        <w:rPr>
          <w:lang w:val="pl-PL"/>
        </w:rPr>
      </w:pPr>
      <w:r w:rsidRPr="00920568">
        <w:rPr>
          <w:lang w:val="pl-PL"/>
        </w:rPr>
        <w:t xml:space="preserve">Art. 41: 8.000 euro dla drugiej skarżącej tytułem szkody </w:t>
      </w:r>
      <w:r>
        <w:rPr>
          <w:lang w:val="pl-PL"/>
        </w:rPr>
        <w:t>niematerialnej; oddalone</w:t>
      </w:r>
      <w:r w:rsidR="00DF3F39">
        <w:rPr>
          <w:lang w:val="pl-PL"/>
        </w:rPr>
        <w:t> </w:t>
      </w:r>
      <w:r>
        <w:rPr>
          <w:lang w:val="pl-PL"/>
        </w:rPr>
        <w:t xml:space="preserve">roszczenie drugiej skarżącej z tytułu szkody materialnej. </w:t>
      </w:r>
    </w:p>
    <w:p w:rsidR="00920568" w:rsidRPr="0048568F" w:rsidRDefault="00920568" w:rsidP="00920568">
      <w:pPr>
        <w:pStyle w:val="ClinContent"/>
        <w:rPr>
          <w:lang w:val="pl-PL"/>
        </w:rPr>
      </w:pPr>
      <w:r w:rsidRPr="0048568F">
        <w:rPr>
          <w:lang w:val="pl-PL"/>
        </w:rPr>
        <w:t xml:space="preserve">(Zobacz także </w:t>
      </w:r>
      <w:r w:rsidRPr="0048568F">
        <w:rPr>
          <w:i/>
          <w:lang w:val="pl-PL"/>
        </w:rPr>
        <w:t xml:space="preserve">Osmo </w:t>
      </w:r>
      <w:proofErr w:type="spellStart"/>
      <w:r w:rsidRPr="0048568F">
        <w:rPr>
          <w:i/>
          <w:lang w:val="pl-PL"/>
        </w:rPr>
        <w:t>Suovaniemi</w:t>
      </w:r>
      <w:proofErr w:type="spellEnd"/>
      <w:r w:rsidRPr="0048568F">
        <w:rPr>
          <w:i/>
          <w:lang w:val="pl-PL"/>
        </w:rPr>
        <w:t xml:space="preserve"> i Inni p. Finlandii</w:t>
      </w:r>
      <w:r w:rsidRPr="0048568F">
        <w:rPr>
          <w:lang w:val="pl-PL"/>
        </w:rPr>
        <w:t xml:space="preserve"> (dec.), skarga nr </w:t>
      </w:r>
      <w:hyperlink r:id="rId9" w:history="1">
        <w:r w:rsidRPr="0048568F">
          <w:rPr>
            <w:rStyle w:val="Hipercze"/>
            <w:lang w:val="pl-PL"/>
          </w:rPr>
          <w:t>31737/96</w:t>
        </w:r>
      </w:hyperlink>
      <w:r w:rsidRPr="0048568F">
        <w:rPr>
          <w:lang w:val="pl-PL"/>
        </w:rPr>
        <w:t xml:space="preserve">, 23 lutego 1999 r.; </w:t>
      </w:r>
      <w:proofErr w:type="spellStart"/>
      <w:r w:rsidRPr="0048568F">
        <w:rPr>
          <w:i/>
          <w:lang w:val="pl-PL"/>
        </w:rPr>
        <w:t>Transado-Transportes</w:t>
      </w:r>
      <w:proofErr w:type="spellEnd"/>
      <w:r w:rsidRPr="0048568F">
        <w:rPr>
          <w:i/>
          <w:lang w:val="pl-PL"/>
        </w:rPr>
        <w:t xml:space="preserve"> </w:t>
      </w:r>
      <w:proofErr w:type="spellStart"/>
      <w:r w:rsidRPr="0048568F">
        <w:rPr>
          <w:i/>
          <w:lang w:val="pl-PL"/>
        </w:rPr>
        <w:t>Fluviais</w:t>
      </w:r>
      <w:proofErr w:type="spellEnd"/>
      <w:r w:rsidRPr="0048568F">
        <w:rPr>
          <w:i/>
          <w:lang w:val="pl-PL"/>
        </w:rPr>
        <w:t xml:space="preserve"> do </w:t>
      </w:r>
      <w:proofErr w:type="spellStart"/>
      <w:r w:rsidRPr="0048568F">
        <w:rPr>
          <w:i/>
          <w:lang w:val="pl-PL"/>
        </w:rPr>
        <w:t>Sado</w:t>
      </w:r>
      <w:proofErr w:type="spellEnd"/>
      <w:r w:rsidRPr="0048568F">
        <w:rPr>
          <w:i/>
          <w:lang w:val="pl-PL"/>
        </w:rPr>
        <w:t>, S.A., p. Portugalii</w:t>
      </w:r>
      <w:r w:rsidRPr="0048568F">
        <w:rPr>
          <w:lang w:val="pl-PL"/>
        </w:rPr>
        <w:t xml:space="preserve"> (dec.), skarga nr</w:t>
      </w:r>
      <w:r w:rsidR="00DF3F39">
        <w:rPr>
          <w:lang w:val="pl-PL"/>
        </w:rPr>
        <w:t> </w:t>
      </w:r>
      <w:r w:rsidRPr="0048568F">
        <w:rPr>
          <w:lang w:val="pl-PL"/>
        </w:rPr>
        <w:t xml:space="preserve">35943/02, 16 grudnia 2003 r., </w:t>
      </w:r>
      <w:hyperlink r:id="rId10" w:history="1">
        <w:r w:rsidRPr="0048568F">
          <w:rPr>
            <w:rStyle w:val="Hipercze"/>
            <w:lang w:val="pl-PL"/>
          </w:rPr>
          <w:t>Nota informacyjna nr 59</w:t>
        </w:r>
      </w:hyperlink>
      <w:r w:rsidRPr="0048568F">
        <w:rPr>
          <w:lang w:val="pl-PL"/>
        </w:rPr>
        <w:t xml:space="preserve">; </w:t>
      </w:r>
      <w:r w:rsidRPr="0048568F">
        <w:rPr>
          <w:i/>
          <w:lang w:val="pl-PL"/>
        </w:rPr>
        <w:t>Eiffage S.A. i Inni p. Szwajcarii</w:t>
      </w:r>
      <w:r w:rsidRPr="0048568F">
        <w:rPr>
          <w:lang w:val="pl-PL"/>
        </w:rPr>
        <w:t xml:space="preserve"> (dec.), skarga nr </w:t>
      </w:r>
      <w:hyperlink r:id="rId11" w:history="1">
        <w:r w:rsidRPr="0048568F">
          <w:rPr>
            <w:rStyle w:val="Hipercze"/>
            <w:lang w:val="pl-PL"/>
          </w:rPr>
          <w:t>1742/05</w:t>
        </w:r>
      </w:hyperlink>
      <w:r w:rsidRPr="0048568F">
        <w:rPr>
          <w:lang w:val="pl-PL"/>
        </w:rPr>
        <w:t xml:space="preserve">, 15 września  2009 r.; </w:t>
      </w:r>
      <w:proofErr w:type="spellStart"/>
      <w:r w:rsidRPr="0048568F">
        <w:rPr>
          <w:i/>
          <w:lang w:val="pl-PL"/>
        </w:rPr>
        <w:t>Suda</w:t>
      </w:r>
      <w:proofErr w:type="spellEnd"/>
      <w:r w:rsidRPr="0048568F">
        <w:rPr>
          <w:i/>
          <w:lang w:val="pl-PL"/>
        </w:rPr>
        <w:t xml:space="preserve"> p. Republice Czeskiej</w:t>
      </w:r>
      <w:r w:rsidRPr="0048568F">
        <w:rPr>
          <w:lang w:val="pl-PL"/>
        </w:rPr>
        <w:t xml:space="preserve">, skarga nr 1643/06, 28 października 2010 r., </w:t>
      </w:r>
      <w:hyperlink r:id="rId12" w:history="1">
        <w:r w:rsidRPr="0048568F">
          <w:rPr>
            <w:rStyle w:val="Hipercze"/>
            <w:lang w:val="pl-PL"/>
          </w:rPr>
          <w:t>Nota informacyjna nr 134</w:t>
        </w:r>
      </w:hyperlink>
      <w:r w:rsidRPr="0048568F">
        <w:rPr>
          <w:lang w:val="pl-PL"/>
        </w:rPr>
        <w:t xml:space="preserve">; </w:t>
      </w:r>
      <w:proofErr w:type="spellStart"/>
      <w:r w:rsidRPr="0048568F">
        <w:rPr>
          <w:i/>
          <w:lang w:val="pl-PL"/>
        </w:rPr>
        <w:t>Tabbane</w:t>
      </w:r>
      <w:proofErr w:type="spellEnd"/>
      <w:r w:rsidRPr="0048568F">
        <w:rPr>
          <w:i/>
          <w:lang w:val="pl-PL"/>
        </w:rPr>
        <w:t xml:space="preserve"> p. Szwajcarii</w:t>
      </w:r>
      <w:r w:rsidRPr="0048568F">
        <w:rPr>
          <w:lang w:val="pl-PL"/>
        </w:rPr>
        <w:t xml:space="preserve"> (dec.), skarga nr 41069/12, 1 marca 2016 r., </w:t>
      </w:r>
      <w:hyperlink r:id="rId13" w:history="1">
        <w:r w:rsidRPr="0048568F">
          <w:rPr>
            <w:rStyle w:val="Hipercze"/>
            <w:lang w:val="pl-PL"/>
          </w:rPr>
          <w:t>Nota informacyjna nr 194</w:t>
        </w:r>
      </w:hyperlink>
      <w:r w:rsidRPr="0048568F">
        <w:rPr>
          <w:lang w:val="pl-PL"/>
        </w:rPr>
        <w:t xml:space="preserve">; oraz </w:t>
      </w:r>
      <w:proofErr w:type="spellStart"/>
      <w:r w:rsidRPr="0048568F">
        <w:rPr>
          <w:i/>
          <w:lang w:val="pl-PL"/>
        </w:rPr>
        <w:t>National</w:t>
      </w:r>
      <w:proofErr w:type="spellEnd"/>
      <w:r w:rsidRPr="0048568F">
        <w:rPr>
          <w:i/>
          <w:lang w:val="pl-PL"/>
        </w:rPr>
        <w:t xml:space="preserve"> </w:t>
      </w:r>
      <w:proofErr w:type="spellStart"/>
      <w:r w:rsidRPr="0048568F">
        <w:rPr>
          <w:i/>
          <w:lang w:val="pl-PL"/>
        </w:rPr>
        <w:t>Federation</w:t>
      </w:r>
      <w:proofErr w:type="spellEnd"/>
      <w:r w:rsidRPr="0048568F">
        <w:rPr>
          <w:i/>
          <w:lang w:val="pl-PL"/>
        </w:rPr>
        <w:t xml:space="preserve"> of </w:t>
      </w:r>
      <w:proofErr w:type="spellStart"/>
      <w:r w:rsidRPr="0048568F">
        <w:rPr>
          <w:i/>
          <w:lang w:val="pl-PL"/>
        </w:rPr>
        <w:t>Sportspersons</w:t>
      </w:r>
      <w:proofErr w:type="spellEnd"/>
      <w:r w:rsidRPr="0048568F">
        <w:rPr>
          <w:i/>
          <w:lang w:val="pl-PL"/>
        </w:rPr>
        <w:t xml:space="preserve">' </w:t>
      </w:r>
      <w:proofErr w:type="spellStart"/>
      <w:r w:rsidRPr="0048568F">
        <w:rPr>
          <w:i/>
          <w:lang w:val="pl-PL"/>
        </w:rPr>
        <w:t>Associations</w:t>
      </w:r>
      <w:proofErr w:type="spellEnd"/>
      <w:r w:rsidRPr="0048568F">
        <w:rPr>
          <w:i/>
          <w:lang w:val="pl-PL"/>
        </w:rPr>
        <w:t xml:space="preserve"> and </w:t>
      </w:r>
      <w:proofErr w:type="spellStart"/>
      <w:r w:rsidRPr="0048568F">
        <w:rPr>
          <w:i/>
          <w:lang w:val="pl-PL"/>
        </w:rPr>
        <w:t>Unions</w:t>
      </w:r>
      <w:proofErr w:type="spellEnd"/>
      <w:r w:rsidRPr="0048568F">
        <w:rPr>
          <w:i/>
          <w:lang w:val="pl-PL"/>
        </w:rPr>
        <w:t xml:space="preserve"> (FNASS) i</w:t>
      </w:r>
      <w:r w:rsidR="00DF3F39">
        <w:rPr>
          <w:i/>
          <w:lang w:val="pl-PL"/>
        </w:rPr>
        <w:t> </w:t>
      </w:r>
      <w:r w:rsidRPr="0048568F">
        <w:rPr>
          <w:i/>
          <w:lang w:val="pl-PL"/>
        </w:rPr>
        <w:t>Inni p. Francji</w:t>
      </w:r>
      <w:r w:rsidRPr="0048568F">
        <w:rPr>
          <w:lang w:val="pl-PL"/>
        </w:rPr>
        <w:t xml:space="preserve">, skarga nr 48151/11 i 77769/13, 18 stycznia 2018 r., </w:t>
      </w:r>
      <w:hyperlink r:id="rId14" w:history="1">
        <w:r w:rsidRPr="0048568F">
          <w:rPr>
            <w:rStyle w:val="Hipercze"/>
            <w:lang w:val="pl-PL"/>
          </w:rPr>
          <w:t>Nota informacyjna nr 214</w:t>
        </w:r>
      </w:hyperlink>
      <w:r w:rsidRPr="0048568F">
        <w:rPr>
          <w:lang w:val="pl-PL"/>
        </w:rPr>
        <w:t>).</w:t>
      </w:r>
    </w:p>
    <w:p w:rsidR="00FB5ADA" w:rsidRPr="00160A28" w:rsidRDefault="00FB5ADA">
      <w:pPr>
        <w:pBdr>
          <w:bottom w:val="single" w:sz="8" w:space="1" w:color="auto"/>
        </w:pBdr>
        <w:rPr>
          <w:lang w:val="pl-PL"/>
        </w:rPr>
      </w:pPr>
    </w:p>
    <w:p w:rsidR="00FB5ADA" w:rsidRDefault="00342B09">
      <w:pPr>
        <w:pStyle w:val="ClinFooter"/>
      </w:pPr>
      <w:r>
        <w:t>© Council of Europe/European Court of Human Rights</w:t>
      </w:r>
      <w:r>
        <w:br/>
        <w:t>This summary by the Registry does not bind the Court.</w:t>
      </w:r>
    </w:p>
    <w:p w:rsidR="00FB5ADA" w:rsidRDefault="00342B09">
      <w:pPr>
        <w:pStyle w:val="ClinFooter"/>
        <w:rPr>
          <w:rStyle w:val="Hipercze"/>
        </w:rPr>
      </w:pPr>
      <w:r>
        <w:t xml:space="preserve">Click here for the </w:t>
      </w:r>
      <w:hyperlink r:id="rId15" w:history="1">
        <w:r>
          <w:rPr>
            <w:rStyle w:val="Hipercze"/>
          </w:rPr>
          <w:t>Case-Law Information Notes</w:t>
        </w:r>
      </w:hyperlink>
    </w:p>
    <w:p w:rsidR="00823CD0" w:rsidRDefault="00823CD0" w:rsidP="00823CD0">
      <w:pPr>
        <w:pStyle w:val="ClinFooter"/>
        <w:jc w:val="left"/>
      </w:pPr>
    </w:p>
    <w:sectPr w:rsidR="00823CD0" w:rsidSect="004A5B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6FC" w:rsidRDefault="000566FC" w:rsidP="00C63262">
      <w:r>
        <w:separator/>
      </w:r>
    </w:p>
  </w:endnote>
  <w:endnote w:type="continuationSeparator" w:id="0">
    <w:p w:rsidR="000566FC" w:rsidRDefault="000566FC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8E" w:rsidRDefault="009E5A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8E" w:rsidRDefault="009E5A8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6FC" w:rsidRDefault="000566FC" w:rsidP="00C63262">
      <w:r>
        <w:separator/>
      </w:r>
    </w:p>
  </w:footnote>
  <w:footnote w:type="continuationSeparator" w:id="0">
    <w:p w:rsidR="000566FC" w:rsidRDefault="000566FC" w:rsidP="00C63262">
      <w:r>
        <w:continuationSeparator/>
      </w:r>
    </w:p>
  </w:footnote>
  <w:footnote w:id="1">
    <w:p w:rsidR="007C3A2D" w:rsidRPr="008279B2" w:rsidRDefault="007C3A2D" w:rsidP="007C3A2D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8E" w:rsidRDefault="009E5A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40642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6258"/>
    <w:rsid w:val="000321FF"/>
    <w:rsid w:val="00037CCC"/>
    <w:rsid w:val="000566FC"/>
    <w:rsid w:val="000746A9"/>
    <w:rsid w:val="00092A8B"/>
    <w:rsid w:val="00097888"/>
    <w:rsid w:val="000D0805"/>
    <w:rsid w:val="000F13B5"/>
    <w:rsid w:val="00107377"/>
    <w:rsid w:val="001161C6"/>
    <w:rsid w:val="00143602"/>
    <w:rsid w:val="00160A28"/>
    <w:rsid w:val="001769E4"/>
    <w:rsid w:val="00186560"/>
    <w:rsid w:val="001A2216"/>
    <w:rsid w:val="001D3785"/>
    <w:rsid w:val="001F6672"/>
    <w:rsid w:val="00212E83"/>
    <w:rsid w:val="00222E8D"/>
    <w:rsid w:val="0028307C"/>
    <w:rsid w:val="002966E7"/>
    <w:rsid w:val="002B09AC"/>
    <w:rsid w:val="002E088D"/>
    <w:rsid w:val="0030264F"/>
    <w:rsid w:val="00307AA4"/>
    <w:rsid w:val="00342B09"/>
    <w:rsid w:val="003450B3"/>
    <w:rsid w:val="003544B8"/>
    <w:rsid w:val="00386958"/>
    <w:rsid w:val="003A64A6"/>
    <w:rsid w:val="003D7BB3"/>
    <w:rsid w:val="003E7F18"/>
    <w:rsid w:val="0046453F"/>
    <w:rsid w:val="00471E2C"/>
    <w:rsid w:val="0048568F"/>
    <w:rsid w:val="004A5B52"/>
    <w:rsid w:val="004C1DA0"/>
    <w:rsid w:val="004D568D"/>
    <w:rsid w:val="004E1037"/>
    <w:rsid w:val="0052092D"/>
    <w:rsid w:val="00534EDC"/>
    <w:rsid w:val="00540D75"/>
    <w:rsid w:val="005514E5"/>
    <w:rsid w:val="00571B74"/>
    <w:rsid w:val="00571E7A"/>
    <w:rsid w:val="005C4219"/>
    <w:rsid w:val="005E480A"/>
    <w:rsid w:val="006028A1"/>
    <w:rsid w:val="00631A28"/>
    <w:rsid w:val="00657394"/>
    <w:rsid w:val="006A0FB0"/>
    <w:rsid w:val="006A36AD"/>
    <w:rsid w:val="006C1D96"/>
    <w:rsid w:val="0071773F"/>
    <w:rsid w:val="007731C2"/>
    <w:rsid w:val="00774515"/>
    <w:rsid w:val="00796CDD"/>
    <w:rsid w:val="007A7BBF"/>
    <w:rsid w:val="007C3A2D"/>
    <w:rsid w:val="00821782"/>
    <w:rsid w:val="00822694"/>
    <w:rsid w:val="00823CD0"/>
    <w:rsid w:val="008277A1"/>
    <w:rsid w:val="00895EF3"/>
    <w:rsid w:val="008C64D5"/>
    <w:rsid w:val="008F7368"/>
    <w:rsid w:val="00901B98"/>
    <w:rsid w:val="009023AA"/>
    <w:rsid w:val="00903D38"/>
    <w:rsid w:val="00920568"/>
    <w:rsid w:val="009518F5"/>
    <w:rsid w:val="0099233A"/>
    <w:rsid w:val="009B3B2C"/>
    <w:rsid w:val="009E3EF0"/>
    <w:rsid w:val="009E5A8E"/>
    <w:rsid w:val="00A01052"/>
    <w:rsid w:val="00A04D9C"/>
    <w:rsid w:val="00A23E42"/>
    <w:rsid w:val="00A258BB"/>
    <w:rsid w:val="00A33541"/>
    <w:rsid w:val="00A45616"/>
    <w:rsid w:val="00AC7726"/>
    <w:rsid w:val="00B256CF"/>
    <w:rsid w:val="00B80CA0"/>
    <w:rsid w:val="00B85770"/>
    <w:rsid w:val="00BF1CD9"/>
    <w:rsid w:val="00C0515D"/>
    <w:rsid w:val="00C37433"/>
    <w:rsid w:val="00C40642"/>
    <w:rsid w:val="00C63262"/>
    <w:rsid w:val="00C72355"/>
    <w:rsid w:val="00C93CFB"/>
    <w:rsid w:val="00C953B8"/>
    <w:rsid w:val="00C97FC5"/>
    <w:rsid w:val="00CB369D"/>
    <w:rsid w:val="00CC3AE2"/>
    <w:rsid w:val="00CC4B96"/>
    <w:rsid w:val="00CE5B13"/>
    <w:rsid w:val="00CF7BA6"/>
    <w:rsid w:val="00D42086"/>
    <w:rsid w:val="00D425B3"/>
    <w:rsid w:val="00D54903"/>
    <w:rsid w:val="00DF3F39"/>
    <w:rsid w:val="00E55491"/>
    <w:rsid w:val="00E83DB6"/>
    <w:rsid w:val="00EA53E7"/>
    <w:rsid w:val="00EC0A03"/>
    <w:rsid w:val="00F069B5"/>
    <w:rsid w:val="00F267D1"/>
    <w:rsid w:val="00F32F17"/>
    <w:rsid w:val="00F508C9"/>
    <w:rsid w:val="00F50CCD"/>
    <w:rsid w:val="00F5247C"/>
    <w:rsid w:val="00F92FC5"/>
    <w:rsid w:val="00FA29ED"/>
    <w:rsid w:val="00FB5ADA"/>
    <w:rsid w:val="00FC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5739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57394"/>
  </w:style>
  <w:style w:type="character" w:customStyle="1" w:styleId="object">
    <w:name w:val="object"/>
    <w:basedOn w:val="Domylnaczcionkaakapitu"/>
    <w:rsid w:val="00657394"/>
  </w:style>
  <w:style w:type="paragraph" w:styleId="Tekstprzypisukocowego">
    <w:name w:val="endnote text"/>
    <w:basedOn w:val="Normalny"/>
    <w:link w:val="TekstprzypisukocowegoZnak"/>
    <w:semiHidden/>
    <w:unhideWhenUsed/>
    <w:rsid w:val="009518F5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518F5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9518F5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7731C2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5739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57394"/>
  </w:style>
  <w:style w:type="character" w:customStyle="1" w:styleId="object">
    <w:name w:val="object"/>
    <w:basedOn w:val="Domylnaczcionkaakapitu"/>
    <w:rsid w:val="00657394"/>
  </w:style>
  <w:style w:type="paragraph" w:styleId="Tekstprzypisukocowego">
    <w:name w:val="endnote text"/>
    <w:basedOn w:val="Normalny"/>
    <w:link w:val="TekstprzypisukocowegoZnak"/>
    <w:semiHidden/>
    <w:unhideWhenUsed/>
    <w:rsid w:val="009518F5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518F5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9518F5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7731C2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4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yperlink" Target="http://hudoc.echr.coe.int/eng?i=002-11120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764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1-945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chr.coe.int/NoteInformation/e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udoc.echr.coe.int/eng?i=002-4549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1-4942" TargetMode="External"/><Relationship Id="rId14" Type="http://schemas.openxmlformats.org/officeDocument/2006/relationships/hyperlink" Target="http://hudoc.echr.coe.int/eng?i=002-11815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C54EA-D8E2-4745-A1DA-2D23ED461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1528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2019-06-10T12:12:00Z</dcterms:created>
  <dcterms:modified xsi:type="dcterms:W3CDTF">2019-06-11T14:25:00Z</dcterms:modified>
</cp:coreProperties>
</file>