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1910" w:rsidRDefault="009F63D5" w:rsidP="00A51910">
      <w:pPr>
        <w:pStyle w:val="s6e50bd9a"/>
        <w:spacing w:after="120" w:afterAutospacing="0"/>
        <w:jc w:val="both"/>
        <w:rPr>
          <w:rFonts w:ascii="Arial" w:hAnsi="Arial" w:cs="Arial"/>
        </w:rPr>
      </w:pPr>
      <w:r>
        <w:rPr>
          <w:rStyle w:val="s4f807e54"/>
          <w:rFonts w:ascii="Arial" w:hAnsi="Arial" w:cs="Arial"/>
          <w:color w:val="000000"/>
          <w:sz w:val="20"/>
          <w:szCs w:val="20"/>
        </w:rPr>
        <w:t>©</w:t>
      </w:r>
      <w:r>
        <w:rPr>
          <w:rStyle w:val="s4f807e54"/>
          <w:rFonts w:ascii="Arial" w:hAnsi="Arial" w:cs="Arial"/>
          <w:color w:val="1F497D"/>
          <w:sz w:val="20"/>
          <w:szCs w:val="20"/>
        </w:rPr>
        <w:t xml:space="preserve"> </w:t>
      </w:r>
      <w:r>
        <w:rPr>
          <w:rStyle w:val="s4f807e54"/>
          <w:rFonts w:ascii="Arial" w:eastAsia="MS Mincho" w:hAnsi="Arial" w:cs="Arial"/>
          <w:sz w:val="20"/>
          <w:szCs w:val="20"/>
        </w:rPr>
        <w:t xml:space="preserve">Ministerstwo Spraw Zagranicznych, </w:t>
      </w:r>
      <w:hyperlink r:id="rId7" w:history="1">
        <w:r w:rsidR="00A65554" w:rsidRPr="00C94E9C">
          <w:rPr>
            <w:rStyle w:val="Hipercze"/>
            <w:rFonts w:ascii="Arial" w:eastAsia="MS Mincho" w:hAnsi="Arial" w:cs="Arial"/>
            <w:sz w:val="20"/>
            <w:szCs w:val="20"/>
          </w:rPr>
          <w:t>https://www.gov.pl/dyplomacja</w:t>
        </w:r>
      </w:hyperlink>
      <w:r>
        <w:rPr>
          <w:rStyle w:val="s4f807e54"/>
          <w:rFonts w:ascii="Arial" w:eastAsia="MS Mincho" w:hAnsi="Arial" w:cs="Arial"/>
          <w:sz w:val="20"/>
          <w:szCs w:val="20"/>
        </w:rPr>
        <w:t xml:space="preserve"> </w:t>
      </w:r>
      <w:r>
        <w:rPr>
          <w:rStyle w:val="object"/>
          <w:rFonts w:ascii="Arial" w:hAnsi="Arial" w:cs="Arial"/>
          <w:color w:val="000000"/>
          <w:sz w:val="20"/>
          <w:szCs w:val="20"/>
        </w:rPr>
        <w:t xml:space="preserve"> </w:t>
      </w:r>
      <w:r>
        <w:rPr>
          <w:rStyle w:val="s4f807e54"/>
          <w:rFonts w:ascii="Arial" w:hAnsi="Arial" w:cs="Arial"/>
          <w:color w:val="000000"/>
          <w:sz w:val="20"/>
          <w:szCs w:val="20"/>
        </w:rPr>
        <w:t xml:space="preserve">   </w:t>
      </w:r>
      <w:r w:rsidR="00A51910">
        <w:rPr>
          <w:rStyle w:val="object"/>
          <w:rFonts w:ascii="Arial" w:hAnsi="Arial" w:cs="Arial"/>
          <w:color w:val="000000"/>
          <w:sz w:val="20"/>
          <w:szCs w:val="20"/>
        </w:rPr>
        <w:t xml:space="preserve"> </w:t>
      </w:r>
      <w:r w:rsidR="00A51910">
        <w:rPr>
          <w:rStyle w:val="s4f807e54"/>
          <w:rFonts w:ascii="Arial" w:hAnsi="Arial" w:cs="Arial"/>
          <w:color w:val="000000"/>
          <w:sz w:val="20"/>
          <w:szCs w:val="20"/>
        </w:rPr>
        <w:t xml:space="preserve">   </w:t>
      </w:r>
    </w:p>
    <w:p w:rsidR="00A51910" w:rsidRDefault="00A51910" w:rsidP="00A51910">
      <w:pPr>
        <w:pStyle w:val="ClinEditionNumber"/>
        <w:jc w:val="center"/>
        <w:rPr>
          <w:lang w:val="pl-PL"/>
        </w:rPr>
      </w:pPr>
      <w:r>
        <w:rPr>
          <w:lang w:val="pl-PL"/>
        </w:rPr>
        <w:t>EUROPEJSKI TRYBUNAŁ PRAW CZŁOWIEKA</w:t>
      </w:r>
    </w:p>
    <w:p w:rsidR="00B63E18" w:rsidRPr="00B06A9B" w:rsidRDefault="00A51910" w:rsidP="00A51910">
      <w:pPr>
        <w:pStyle w:val="ClinEditionNumber"/>
        <w:rPr>
          <w:lang w:val="pl-PL"/>
        </w:rPr>
      </w:pPr>
      <w:r w:rsidRPr="00557F20">
        <w:rPr>
          <w:lang w:val="pl-PL"/>
        </w:rPr>
        <w:t xml:space="preserve">Nota </w:t>
      </w:r>
      <w:r>
        <w:rPr>
          <w:lang w:val="pl-PL"/>
        </w:rPr>
        <w:t>i</w:t>
      </w:r>
      <w:r w:rsidRPr="00557F20">
        <w:rPr>
          <w:lang w:val="pl-PL"/>
        </w:rPr>
        <w:t xml:space="preserve">nformacyjna nt. </w:t>
      </w:r>
      <w:r>
        <w:rPr>
          <w:lang w:val="pl-PL"/>
        </w:rPr>
        <w:t>orzecznictwa Trybunału nr</w:t>
      </w:r>
      <w:r w:rsidR="00AA5BDC" w:rsidRPr="00B06A9B">
        <w:rPr>
          <w:lang w:val="pl-PL"/>
        </w:rPr>
        <w:t xml:space="preserve"> 224</w:t>
      </w:r>
    </w:p>
    <w:p w:rsidR="00B63E18" w:rsidRPr="00B06A9B" w:rsidRDefault="00B06A9B">
      <w:pPr>
        <w:pStyle w:val="ClinEditionMonth"/>
        <w:rPr>
          <w:lang w:val="pl-PL"/>
        </w:rPr>
      </w:pPr>
      <w:r w:rsidRPr="00B06A9B">
        <w:rPr>
          <w:lang w:val="pl-PL"/>
        </w:rPr>
        <w:t>Grudzień</w:t>
      </w:r>
      <w:r w:rsidR="00AA5BDC" w:rsidRPr="00B06A9B">
        <w:rPr>
          <w:lang w:val="pl-PL"/>
        </w:rPr>
        <w:t xml:space="preserve"> 2018</w:t>
      </w:r>
      <w:r w:rsidRPr="00B06A9B">
        <w:rPr>
          <w:lang w:val="pl-PL"/>
        </w:rPr>
        <w:t xml:space="preserve"> r.</w:t>
      </w:r>
    </w:p>
    <w:p w:rsidR="00B63E18" w:rsidRPr="00B06A9B" w:rsidRDefault="00AA5BDC">
      <w:pPr>
        <w:rPr>
          <w:lang w:val="pl-PL"/>
        </w:rPr>
      </w:pPr>
      <w:proofErr w:type="spellStart"/>
      <w:r w:rsidRPr="00B06A9B">
        <w:rPr>
          <w:rStyle w:val="ClinCaseTitle"/>
          <w:lang w:val="pl-PL"/>
        </w:rPr>
        <w:t>Lekić</w:t>
      </w:r>
      <w:proofErr w:type="spellEnd"/>
      <w:r w:rsidRPr="00B06A9B">
        <w:rPr>
          <w:rStyle w:val="ClinCaseTitle"/>
          <w:lang w:val="pl-PL"/>
        </w:rPr>
        <w:t xml:space="preserve"> </w:t>
      </w:r>
      <w:r w:rsidR="00B06A9B" w:rsidRPr="00B06A9B">
        <w:rPr>
          <w:rStyle w:val="ClinCaseTitle"/>
          <w:lang w:val="pl-PL"/>
        </w:rPr>
        <w:t>p</w:t>
      </w:r>
      <w:r w:rsidRPr="00B06A9B">
        <w:rPr>
          <w:rStyle w:val="ClinCaseTitle"/>
          <w:lang w:val="pl-PL"/>
        </w:rPr>
        <w:t>. S</w:t>
      </w:r>
      <w:r w:rsidR="00B06A9B">
        <w:rPr>
          <w:rStyle w:val="ClinCaseTitle"/>
          <w:lang w:val="pl-PL"/>
        </w:rPr>
        <w:t>łowenii</w:t>
      </w:r>
      <w:r w:rsidRPr="00B06A9B">
        <w:rPr>
          <w:rStyle w:val="ClinCaseTitle"/>
          <w:lang w:val="pl-PL"/>
        </w:rPr>
        <w:t xml:space="preserve"> [</w:t>
      </w:r>
      <w:r w:rsidR="00B06A9B">
        <w:rPr>
          <w:rStyle w:val="ClinCaseTitle"/>
          <w:lang w:val="pl-PL"/>
        </w:rPr>
        <w:t>Wielka Izba</w:t>
      </w:r>
      <w:r w:rsidRPr="00B06A9B">
        <w:rPr>
          <w:rStyle w:val="ClinCaseTitle"/>
          <w:lang w:val="pl-PL"/>
        </w:rPr>
        <w:t>]</w:t>
      </w:r>
      <w:r w:rsidRPr="00B06A9B">
        <w:rPr>
          <w:rStyle w:val="ClinApplicationNumber"/>
          <w:lang w:val="pl-PL"/>
        </w:rPr>
        <w:t xml:space="preserve"> </w:t>
      </w:r>
      <w:r w:rsidR="00B06A9B">
        <w:rPr>
          <w:rStyle w:val="ClinApplicationNumber"/>
          <w:lang w:val="pl-PL"/>
        </w:rPr>
        <w:t>–</w:t>
      </w:r>
      <w:r w:rsidRPr="00B06A9B">
        <w:rPr>
          <w:rStyle w:val="ClinApplicationNumber"/>
          <w:lang w:val="pl-PL"/>
        </w:rPr>
        <w:t xml:space="preserve"> </w:t>
      </w:r>
      <w:r w:rsidR="00B06A9B">
        <w:rPr>
          <w:rStyle w:val="ClinApplicationNumber"/>
          <w:lang w:val="pl-PL"/>
        </w:rPr>
        <w:t xml:space="preserve">skarga nr </w:t>
      </w:r>
      <w:r w:rsidRPr="00B06A9B">
        <w:rPr>
          <w:rStyle w:val="ClinApplicationNumber"/>
          <w:lang w:val="pl-PL"/>
        </w:rPr>
        <w:t>36480/07</w:t>
      </w:r>
    </w:p>
    <w:p w:rsidR="00B63E18" w:rsidRPr="00B06A9B" w:rsidRDefault="00B06A9B">
      <w:pPr>
        <w:rPr>
          <w:lang w:val="pl-PL"/>
        </w:rPr>
      </w:pPr>
      <w:r w:rsidRPr="00B06A9B">
        <w:rPr>
          <w:rStyle w:val="ClinHudocDocumentTitle"/>
          <w:lang w:val="pl-PL"/>
        </w:rPr>
        <w:t xml:space="preserve">Wyrok z </w:t>
      </w:r>
      <w:r w:rsidR="00AA5BDC" w:rsidRPr="00B06A9B">
        <w:rPr>
          <w:rStyle w:val="ClinHudocDocumentTitle"/>
          <w:lang w:val="pl-PL"/>
        </w:rPr>
        <w:t>11.12.2018</w:t>
      </w:r>
      <w:r w:rsidR="00AA5BDC" w:rsidRPr="00B06A9B">
        <w:rPr>
          <w:rStyle w:val="ClinSectionName"/>
          <w:lang w:val="pl-PL"/>
        </w:rPr>
        <w:t xml:space="preserve"> </w:t>
      </w:r>
      <w:r w:rsidRPr="00B06A9B">
        <w:rPr>
          <w:rStyle w:val="ClinSectionName"/>
          <w:lang w:val="pl-PL"/>
        </w:rPr>
        <w:t xml:space="preserve">r. </w:t>
      </w:r>
      <w:r w:rsidR="00AA5BDC" w:rsidRPr="00B06A9B">
        <w:rPr>
          <w:rStyle w:val="ClinSectionName"/>
          <w:lang w:val="pl-PL"/>
        </w:rPr>
        <w:t>[</w:t>
      </w:r>
      <w:r w:rsidRPr="00B06A9B">
        <w:rPr>
          <w:rStyle w:val="ClinSectionName"/>
          <w:lang w:val="pl-PL"/>
        </w:rPr>
        <w:t>Wielka Izba</w:t>
      </w:r>
      <w:r w:rsidR="00AA5BDC" w:rsidRPr="00B06A9B">
        <w:rPr>
          <w:rStyle w:val="ClinSectionName"/>
          <w:lang w:val="pl-PL"/>
        </w:rPr>
        <w:t>]</w:t>
      </w:r>
    </w:p>
    <w:p w:rsidR="00B63E18" w:rsidRPr="00B06A9B" w:rsidRDefault="00AA5BDC">
      <w:pPr>
        <w:pStyle w:val="ClinMainKeywordCode"/>
        <w:rPr>
          <w:lang w:val="pl-PL"/>
        </w:rPr>
      </w:pPr>
      <w:r w:rsidRPr="00B06A9B">
        <w:rPr>
          <w:lang w:val="pl-PL"/>
        </w:rPr>
        <w:t>Art</w:t>
      </w:r>
      <w:r w:rsidR="00B06A9B" w:rsidRPr="00B06A9B">
        <w:rPr>
          <w:lang w:val="pl-PL"/>
        </w:rPr>
        <w:t>.</w:t>
      </w:r>
      <w:r w:rsidRPr="00B06A9B">
        <w:rPr>
          <w:lang w:val="pl-PL"/>
        </w:rPr>
        <w:t xml:space="preserve"> 1 Proto</w:t>
      </w:r>
      <w:r w:rsidR="00B06A9B" w:rsidRPr="00B06A9B">
        <w:rPr>
          <w:lang w:val="pl-PL"/>
        </w:rPr>
        <w:t xml:space="preserve">kołu nr </w:t>
      </w:r>
      <w:r w:rsidRPr="00B06A9B">
        <w:rPr>
          <w:lang w:val="pl-PL"/>
        </w:rPr>
        <w:t>1</w:t>
      </w:r>
      <w:r w:rsidR="004A3F1D">
        <w:rPr>
          <w:lang w:val="pl-PL"/>
        </w:rPr>
        <w:t xml:space="preserve"> do Konwencji</w:t>
      </w:r>
      <w:r w:rsidR="004A3F1D">
        <w:rPr>
          <w:rStyle w:val="Odwoanieprzypisudolnego"/>
          <w:lang w:val="pl-PL"/>
        </w:rPr>
        <w:footnoteReference w:id="1"/>
      </w:r>
    </w:p>
    <w:p w:rsidR="00B63E18" w:rsidRPr="00B06A9B" w:rsidRDefault="00AA5BDC">
      <w:pPr>
        <w:pStyle w:val="ClinChildKeywordCode"/>
        <w:rPr>
          <w:lang w:val="pl-PL"/>
        </w:rPr>
      </w:pPr>
      <w:r w:rsidRPr="00B06A9B">
        <w:rPr>
          <w:lang w:val="pl-PL"/>
        </w:rPr>
        <w:t>Art</w:t>
      </w:r>
      <w:r w:rsidR="00B06A9B" w:rsidRPr="00B06A9B">
        <w:rPr>
          <w:lang w:val="pl-PL"/>
        </w:rPr>
        <w:t>.</w:t>
      </w:r>
      <w:r w:rsidRPr="00B06A9B">
        <w:rPr>
          <w:lang w:val="pl-PL"/>
        </w:rPr>
        <w:t xml:space="preserve"> </w:t>
      </w:r>
      <w:r w:rsidRPr="00625D5C">
        <w:rPr>
          <w:lang w:val="pl-PL"/>
        </w:rPr>
        <w:t xml:space="preserve">1 </w:t>
      </w:r>
      <w:proofErr w:type="spellStart"/>
      <w:r w:rsidR="0080472D">
        <w:rPr>
          <w:lang w:val="pl-PL"/>
        </w:rPr>
        <w:t>zd</w:t>
      </w:r>
      <w:proofErr w:type="spellEnd"/>
      <w:r w:rsidR="0080472D">
        <w:rPr>
          <w:lang w:val="pl-PL"/>
        </w:rPr>
        <w:t xml:space="preserve">. </w:t>
      </w:r>
      <w:r w:rsidRPr="00B06A9B">
        <w:rPr>
          <w:lang w:val="pl-PL"/>
        </w:rPr>
        <w:t xml:space="preserve">1 </w:t>
      </w:r>
      <w:r w:rsidR="00B06A9B" w:rsidRPr="00B06A9B">
        <w:rPr>
          <w:lang w:val="pl-PL"/>
        </w:rPr>
        <w:t>Protokołu nr 1</w:t>
      </w:r>
    </w:p>
    <w:p w:rsidR="00B63E18" w:rsidRPr="00E11A6D" w:rsidRDefault="00B06A9B">
      <w:pPr>
        <w:pStyle w:val="ClinKeyword"/>
        <w:rPr>
          <w:lang w:val="pl-PL"/>
        </w:rPr>
      </w:pPr>
      <w:r w:rsidRPr="00E11A6D">
        <w:rPr>
          <w:lang w:val="pl-PL"/>
        </w:rPr>
        <w:t>Poszanowanie mienia</w:t>
      </w:r>
    </w:p>
    <w:p w:rsidR="00B06A9B" w:rsidRPr="00B06A9B" w:rsidRDefault="00B06A9B">
      <w:pPr>
        <w:rPr>
          <w:lang w:val="pl-PL"/>
        </w:rPr>
      </w:pPr>
      <w:r w:rsidRPr="00B06A9B">
        <w:rPr>
          <w:rStyle w:val="ClinConclusions"/>
          <w:i w:val="0"/>
          <w:lang w:val="pl-PL"/>
        </w:rPr>
        <w:t>Osobista odpowiedzialność udziałowca za długi spółki wykreślonej z rejestru zgodnie ze szczególnym ustawodawstwem dotyczącym uśpionych spółek</w:t>
      </w:r>
      <w:r w:rsidRPr="00B06A9B">
        <w:rPr>
          <w:rStyle w:val="ClinConclusions"/>
          <w:lang w:val="pl-PL"/>
        </w:rPr>
        <w:t xml:space="preserve">: brak naruszenia </w:t>
      </w:r>
    </w:p>
    <w:p w:rsidR="00B06A9B" w:rsidRPr="00B06A9B" w:rsidRDefault="00B06A9B">
      <w:pPr>
        <w:pStyle w:val="ClinContent"/>
        <w:rPr>
          <w:lang w:val="pl-PL"/>
        </w:rPr>
      </w:pPr>
      <w:r w:rsidRPr="00B06A9B">
        <w:rPr>
          <w:i/>
          <w:lang w:val="pl-PL"/>
        </w:rPr>
        <w:t>Fakty</w:t>
      </w:r>
      <w:r w:rsidRPr="00B06A9B">
        <w:rPr>
          <w:lang w:val="pl-PL"/>
        </w:rPr>
        <w:t xml:space="preserve"> – W latach 90</w:t>
      </w:r>
      <w:r w:rsidR="00E11A6D">
        <w:rPr>
          <w:lang w:val="pl-PL"/>
        </w:rPr>
        <w:t>-tych XX w.</w:t>
      </w:r>
      <w:r w:rsidR="00625D5C">
        <w:rPr>
          <w:lang w:val="pl-PL"/>
        </w:rPr>
        <w:t xml:space="preserve"> Słowenia stanęł</w:t>
      </w:r>
      <w:r w:rsidRPr="00B06A9B">
        <w:rPr>
          <w:lang w:val="pl-PL"/>
        </w:rPr>
        <w:t>a przed koniecznością rozwiązania problem</w:t>
      </w:r>
      <w:r w:rsidR="00625D5C">
        <w:rPr>
          <w:lang w:val="pl-PL"/>
        </w:rPr>
        <w:t>u</w:t>
      </w:r>
      <w:r w:rsidRPr="00B06A9B">
        <w:rPr>
          <w:lang w:val="pl-PL"/>
        </w:rPr>
        <w:t xml:space="preserve"> rosnącej liczby uśpionych i </w:t>
      </w:r>
      <w:r>
        <w:rPr>
          <w:lang w:val="pl-PL"/>
        </w:rPr>
        <w:t>niewypłacalnych spółek utworzonych w czasach byłej Socjalistycznej Federacyjnej Republiki Jugosławii. W 1999 r. ustawa o operacjach finansowych spółek wprowadziła procedurę automatycznego wykreśl</w:t>
      </w:r>
      <w:r w:rsidR="0080472D">
        <w:rPr>
          <w:lang w:val="pl-PL"/>
        </w:rPr>
        <w:t>e</w:t>
      </w:r>
      <w:r>
        <w:rPr>
          <w:lang w:val="pl-PL"/>
        </w:rPr>
        <w:t>nia takich spółek i</w:t>
      </w:r>
      <w:r w:rsidR="008319C9">
        <w:rPr>
          <w:lang w:val="pl-PL"/>
        </w:rPr>
        <w:t> </w:t>
      </w:r>
      <w:r w:rsidR="00625D5C">
        <w:rPr>
          <w:lang w:val="pl-PL"/>
        </w:rPr>
        <w:t>przewidywała</w:t>
      </w:r>
      <w:r>
        <w:rPr>
          <w:lang w:val="pl-PL"/>
        </w:rPr>
        <w:t>, że udziałowcy będą</w:t>
      </w:r>
      <w:r w:rsidR="00B27E27">
        <w:rPr>
          <w:lang w:val="pl-PL"/>
        </w:rPr>
        <w:t xml:space="preserve"> ponosić solidarnie</w:t>
      </w:r>
      <w:r>
        <w:rPr>
          <w:lang w:val="pl-PL"/>
        </w:rPr>
        <w:t xml:space="preserve"> odpowiedzialn</w:t>
      </w:r>
      <w:r w:rsidR="00B27E27">
        <w:rPr>
          <w:lang w:val="pl-PL"/>
        </w:rPr>
        <w:t>ość</w:t>
      </w:r>
      <w:r>
        <w:rPr>
          <w:lang w:val="pl-PL"/>
        </w:rPr>
        <w:t xml:space="preserve"> na swym osobistym majątku, jeśli w określonym terminie nie </w:t>
      </w:r>
      <w:r w:rsidR="00625D5C">
        <w:rPr>
          <w:lang w:val="pl-PL"/>
        </w:rPr>
        <w:t>złożą wniosku</w:t>
      </w:r>
      <w:r>
        <w:rPr>
          <w:lang w:val="pl-PL"/>
        </w:rPr>
        <w:t xml:space="preserve"> o likwidację takich spółek. </w:t>
      </w:r>
      <w:r w:rsidR="00BD186A">
        <w:rPr>
          <w:lang w:val="pl-PL"/>
        </w:rPr>
        <w:t>W 2002 r. Trybunał Konstytucyjny uznał ten wyjątek od zasady rozdzielności osobowości i odpowiedzialności osoby prawnej i jej udziałowców (</w:t>
      </w:r>
      <w:proofErr w:type="spellStart"/>
      <w:r w:rsidR="00BD186A">
        <w:rPr>
          <w:i/>
          <w:lang w:val="pl-PL"/>
        </w:rPr>
        <w:t>principle</w:t>
      </w:r>
      <w:proofErr w:type="spellEnd"/>
      <w:r w:rsidR="00BD186A">
        <w:rPr>
          <w:i/>
          <w:lang w:val="pl-PL"/>
        </w:rPr>
        <w:t xml:space="preserve"> of</w:t>
      </w:r>
      <w:r w:rsidR="008319C9">
        <w:rPr>
          <w:i/>
          <w:lang w:val="pl-PL"/>
        </w:rPr>
        <w:t> </w:t>
      </w:r>
      <w:r w:rsidR="00BD186A">
        <w:rPr>
          <w:i/>
          <w:lang w:val="pl-PL"/>
        </w:rPr>
        <w:t>the</w:t>
      </w:r>
      <w:r w:rsidR="008319C9">
        <w:rPr>
          <w:i/>
          <w:lang w:val="pl-PL"/>
        </w:rPr>
        <w:t> </w:t>
      </w:r>
      <w:proofErr w:type="spellStart"/>
      <w:r w:rsidR="00BD186A">
        <w:rPr>
          <w:i/>
          <w:lang w:val="pl-PL"/>
        </w:rPr>
        <w:t>corporate</w:t>
      </w:r>
      <w:proofErr w:type="spellEnd"/>
      <w:r w:rsidR="00BD186A">
        <w:rPr>
          <w:i/>
          <w:lang w:val="pl-PL"/>
        </w:rPr>
        <w:t xml:space="preserve"> </w:t>
      </w:r>
      <w:proofErr w:type="spellStart"/>
      <w:r w:rsidR="00BD186A">
        <w:rPr>
          <w:i/>
          <w:lang w:val="pl-PL"/>
        </w:rPr>
        <w:t>veil</w:t>
      </w:r>
      <w:proofErr w:type="spellEnd"/>
      <w:r w:rsidR="00BD186A">
        <w:rPr>
          <w:i/>
          <w:lang w:val="pl-PL"/>
        </w:rPr>
        <w:t>)</w:t>
      </w:r>
      <w:r w:rsidR="00957C09">
        <w:rPr>
          <w:lang w:val="pl-PL"/>
        </w:rPr>
        <w:t xml:space="preserve"> za zgodny z </w:t>
      </w:r>
      <w:r w:rsidR="0080472D">
        <w:rPr>
          <w:lang w:val="pl-PL"/>
        </w:rPr>
        <w:t>Konstytucją</w:t>
      </w:r>
      <w:r w:rsidR="00957C09">
        <w:rPr>
          <w:lang w:val="pl-PL"/>
        </w:rPr>
        <w:t xml:space="preserve">, ale ograniczył </w:t>
      </w:r>
      <w:r w:rsidR="00625D5C">
        <w:rPr>
          <w:lang w:val="pl-PL"/>
        </w:rPr>
        <w:t>g</w:t>
      </w:r>
      <w:r w:rsidR="00957C09">
        <w:rPr>
          <w:lang w:val="pl-PL"/>
        </w:rPr>
        <w:t xml:space="preserve">o do „aktywnych” udziałowców, to jest tych, którzy mają pewien wpływ na funkcjonowanie spółki. </w:t>
      </w:r>
    </w:p>
    <w:p w:rsidR="0086642C" w:rsidRPr="0086642C" w:rsidRDefault="0086642C">
      <w:pPr>
        <w:pStyle w:val="ClinContent"/>
        <w:rPr>
          <w:lang w:val="pl-PL"/>
        </w:rPr>
      </w:pPr>
      <w:r w:rsidRPr="0086642C">
        <w:rPr>
          <w:lang w:val="pl-PL"/>
        </w:rPr>
        <w:t>Będąc udziałowcem oraz ostatnim dyrektorem zarządzającym spółki z ograniczoną odpowiedzialnością</w:t>
      </w:r>
      <w:r w:rsidR="00B13748">
        <w:rPr>
          <w:lang w:val="pl-PL"/>
        </w:rPr>
        <w:t>,</w:t>
      </w:r>
      <w:r w:rsidRPr="0086642C">
        <w:rPr>
          <w:lang w:val="pl-PL"/>
        </w:rPr>
        <w:t xml:space="preserve"> wykreślonej z rejestru w </w:t>
      </w:r>
      <w:r>
        <w:rPr>
          <w:lang w:val="pl-PL"/>
        </w:rPr>
        <w:t>2001 r. w drodze automatycznej procedury, skarżący zarzucał, że nie został powiadomiony o procedurze wykreślenia i</w:t>
      </w:r>
      <w:r w:rsidR="008319C9">
        <w:rPr>
          <w:lang w:val="pl-PL"/>
        </w:rPr>
        <w:t> </w:t>
      </w:r>
      <w:r>
        <w:rPr>
          <w:lang w:val="pl-PL"/>
        </w:rPr>
        <w:t>że</w:t>
      </w:r>
      <w:r w:rsidR="008319C9">
        <w:rPr>
          <w:lang w:val="pl-PL"/>
        </w:rPr>
        <w:t> </w:t>
      </w:r>
      <w:r>
        <w:rPr>
          <w:lang w:val="pl-PL"/>
        </w:rPr>
        <w:t xml:space="preserve">nakazano mu w 2007 r. zapłacenie </w:t>
      </w:r>
      <w:r w:rsidR="00392A2D">
        <w:rPr>
          <w:lang w:val="pl-PL"/>
        </w:rPr>
        <w:t xml:space="preserve">kwoty </w:t>
      </w:r>
      <w:r>
        <w:rPr>
          <w:lang w:val="pl-PL"/>
        </w:rPr>
        <w:t xml:space="preserve">ponad 30.000 euro głównemu wierzycielowi spółki.  </w:t>
      </w:r>
    </w:p>
    <w:p w:rsidR="00392A2D" w:rsidRPr="00392A2D" w:rsidRDefault="00392A2D">
      <w:pPr>
        <w:pStyle w:val="ClinContent"/>
        <w:rPr>
          <w:lang w:val="pl-PL"/>
        </w:rPr>
      </w:pPr>
      <w:r w:rsidRPr="00392A2D">
        <w:rPr>
          <w:lang w:val="pl-PL"/>
        </w:rPr>
        <w:t xml:space="preserve">W wyroku wydanym w dniu 14 lutego 2017 r. </w:t>
      </w:r>
      <w:r>
        <w:rPr>
          <w:lang w:val="pl-PL"/>
        </w:rPr>
        <w:t xml:space="preserve">(zobacz </w:t>
      </w:r>
      <w:r w:rsidR="008906F7">
        <w:fldChar w:fldCharType="begin"/>
      </w:r>
      <w:r w:rsidR="008906F7" w:rsidRPr="0015286D">
        <w:rPr>
          <w:lang w:val="pl-PL"/>
        </w:rPr>
        <w:instrText xml:space="preserve"> HYPERLINK "http://hudoc.echr.coe.int/eng?i=002-11385" </w:instrText>
      </w:r>
      <w:r w:rsidR="008906F7">
        <w:fldChar w:fldCharType="separate"/>
      </w:r>
      <w:r>
        <w:rPr>
          <w:rStyle w:val="Hipercze"/>
          <w:lang w:val="pl-PL"/>
        </w:rPr>
        <w:t>Nota informacyjna nr</w:t>
      </w:r>
      <w:r w:rsidRPr="00392A2D">
        <w:rPr>
          <w:rStyle w:val="Hipercze"/>
          <w:lang w:val="pl-PL"/>
        </w:rPr>
        <w:t> 204</w:t>
      </w:r>
      <w:r w:rsidR="008906F7">
        <w:rPr>
          <w:rStyle w:val="Hipercze"/>
          <w:lang w:val="pl-PL"/>
        </w:rPr>
        <w:fldChar w:fldCharType="end"/>
      </w:r>
      <w:r w:rsidRPr="00392A2D">
        <w:rPr>
          <w:lang w:val="pl-PL"/>
        </w:rPr>
        <w:t>)</w:t>
      </w:r>
      <w:r>
        <w:rPr>
          <w:lang w:val="pl-PL"/>
        </w:rPr>
        <w:t xml:space="preserve"> Izba Trybunału stwierdziła, że art. 1 Protokołu nr 1 ma zastosowanie, ale</w:t>
      </w:r>
      <w:r w:rsidR="00625D5C">
        <w:rPr>
          <w:lang w:val="pl-PL"/>
        </w:rPr>
        <w:t xml:space="preserve"> orzekła</w:t>
      </w:r>
      <w:r>
        <w:rPr>
          <w:lang w:val="pl-PL"/>
        </w:rPr>
        <w:t xml:space="preserve"> jedno</w:t>
      </w:r>
      <w:r w:rsidR="0080472D">
        <w:rPr>
          <w:lang w:val="pl-PL"/>
        </w:rPr>
        <w:t>głośnie</w:t>
      </w:r>
      <w:r>
        <w:rPr>
          <w:lang w:val="pl-PL"/>
        </w:rPr>
        <w:t xml:space="preserve">, że nie doszło do naruszenia tego </w:t>
      </w:r>
      <w:r w:rsidR="00B34843">
        <w:rPr>
          <w:lang w:val="pl-PL"/>
        </w:rPr>
        <w:t>artykułu</w:t>
      </w:r>
      <w:r>
        <w:rPr>
          <w:lang w:val="pl-PL"/>
        </w:rPr>
        <w:t>. W dniu 18 września 2017</w:t>
      </w:r>
      <w:r w:rsidR="00625D5C">
        <w:rPr>
          <w:lang w:val="pl-PL"/>
        </w:rPr>
        <w:t> </w:t>
      </w:r>
      <w:r>
        <w:rPr>
          <w:lang w:val="pl-PL"/>
        </w:rPr>
        <w:t xml:space="preserve">r. sprawa została przekazana </w:t>
      </w:r>
      <w:r w:rsidR="00625D5C">
        <w:rPr>
          <w:lang w:val="pl-PL"/>
        </w:rPr>
        <w:t xml:space="preserve">na wniosek skarżącego </w:t>
      </w:r>
      <w:r>
        <w:rPr>
          <w:lang w:val="pl-PL"/>
        </w:rPr>
        <w:t>do Wielkiej Izby.</w:t>
      </w:r>
    </w:p>
    <w:p w:rsidR="00A57E8E" w:rsidRPr="00625D5C" w:rsidRDefault="00A57E8E">
      <w:pPr>
        <w:pStyle w:val="ClinContent"/>
        <w:rPr>
          <w:lang w:val="pl-PL"/>
        </w:rPr>
      </w:pPr>
      <w:r w:rsidRPr="00625D5C">
        <w:rPr>
          <w:i/>
          <w:lang w:val="pl-PL"/>
        </w:rPr>
        <w:t>Prawo</w:t>
      </w:r>
      <w:r w:rsidRPr="00625D5C">
        <w:rPr>
          <w:lang w:val="pl-PL"/>
        </w:rPr>
        <w:t xml:space="preserve"> – </w:t>
      </w:r>
      <w:r w:rsidR="0015286D">
        <w:rPr>
          <w:lang w:val="pl-PL"/>
        </w:rPr>
        <w:t>a</w:t>
      </w:r>
      <w:bookmarkStart w:id="0" w:name="_GoBack"/>
      <w:bookmarkEnd w:id="0"/>
      <w:r w:rsidRPr="00625D5C">
        <w:rPr>
          <w:lang w:val="pl-PL"/>
        </w:rPr>
        <w:t>rt. 1 Protokołu nr 1</w:t>
      </w:r>
    </w:p>
    <w:p w:rsidR="00A57E8E" w:rsidRPr="00A57E8E" w:rsidRDefault="00A57E8E">
      <w:pPr>
        <w:pStyle w:val="ClinContent"/>
        <w:rPr>
          <w:lang w:val="pl-PL"/>
        </w:rPr>
      </w:pPr>
      <w:r w:rsidRPr="00A57E8E">
        <w:rPr>
          <w:lang w:val="pl-PL"/>
        </w:rPr>
        <w:t xml:space="preserve">Biorąc pod uwagę kontekst, a w szczególności postanowienie z 2001 r. </w:t>
      </w:r>
      <w:r>
        <w:rPr>
          <w:lang w:val="pl-PL"/>
        </w:rPr>
        <w:t>o wykreśleniu przedmiotowej spółki, Trybunał zbadał sprawę w świetle pierwszej zasady art. 1 (zasady</w:t>
      </w:r>
      <w:r w:rsidR="008319C9">
        <w:rPr>
          <w:lang w:val="pl-PL"/>
        </w:rPr>
        <w:t> </w:t>
      </w:r>
      <w:r>
        <w:rPr>
          <w:lang w:val="pl-PL"/>
        </w:rPr>
        <w:t xml:space="preserve">„poszanowania mienia”). </w:t>
      </w:r>
    </w:p>
    <w:p w:rsidR="00514406" w:rsidRPr="00514406" w:rsidRDefault="00514406">
      <w:pPr>
        <w:pStyle w:val="ClinContent"/>
        <w:rPr>
          <w:lang w:val="pl-PL"/>
        </w:rPr>
      </w:pPr>
      <w:r w:rsidRPr="00514406">
        <w:rPr>
          <w:lang w:val="pl-PL"/>
        </w:rPr>
        <w:lastRenderedPageBreak/>
        <w:t xml:space="preserve">(a) </w:t>
      </w:r>
      <w:r w:rsidRPr="00514406">
        <w:rPr>
          <w:i/>
          <w:lang w:val="pl-PL"/>
        </w:rPr>
        <w:t xml:space="preserve">Zgodność z prawem ingerencji </w:t>
      </w:r>
      <w:r w:rsidRPr="00514406">
        <w:rPr>
          <w:lang w:val="pl-PL"/>
        </w:rPr>
        <w:t xml:space="preserve">– Wykreślenie spółki z rejestru </w:t>
      </w:r>
      <w:r w:rsidR="007B412E" w:rsidRPr="00514406">
        <w:rPr>
          <w:lang w:val="pl-PL"/>
        </w:rPr>
        <w:t>spółek</w:t>
      </w:r>
      <w:r w:rsidRPr="00514406">
        <w:rPr>
          <w:lang w:val="pl-PL"/>
        </w:rPr>
        <w:t xml:space="preserve"> w powiązaniu z</w:t>
      </w:r>
      <w:r w:rsidR="008319C9">
        <w:rPr>
          <w:lang w:val="pl-PL"/>
        </w:rPr>
        <w:t> </w:t>
      </w:r>
      <w:r w:rsidRPr="00514406">
        <w:rPr>
          <w:lang w:val="pl-PL"/>
        </w:rPr>
        <w:t xml:space="preserve">osobistą odpowiedzialnością skarżącego za długi spółki opierało się na </w:t>
      </w:r>
      <w:r w:rsidR="007B412E" w:rsidRPr="00514406">
        <w:rPr>
          <w:lang w:val="pl-PL"/>
        </w:rPr>
        <w:t>ustawie</w:t>
      </w:r>
      <w:r w:rsidRPr="00514406">
        <w:rPr>
          <w:lang w:val="pl-PL"/>
        </w:rPr>
        <w:t xml:space="preserve"> o</w:t>
      </w:r>
      <w:r w:rsidR="008319C9">
        <w:rPr>
          <w:lang w:val="pl-PL"/>
        </w:rPr>
        <w:t> </w:t>
      </w:r>
      <w:r w:rsidRPr="00514406">
        <w:rPr>
          <w:lang w:val="pl-PL"/>
        </w:rPr>
        <w:t xml:space="preserve">operacjach finansowych spółek, która przewidywała </w:t>
      </w:r>
      <w:r>
        <w:rPr>
          <w:lang w:val="pl-PL"/>
        </w:rPr>
        <w:t>konieczność wszczęcia procedury</w:t>
      </w:r>
      <w:r w:rsidRPr="00514406">
        <w:rPr>
          <w:lang w:val="pl-PL"/>
        </w:rPr>
        <w:t xml:space="preserve"> wykre</w:t>
      </w:r>
      <w:r>
        <w:rPr>
          <w:lang w:val="pl-PL"/>
        </w:rPr>
        <w:t xml:space="preserve">ślenia, jeśli, na przykład, spółka nie zarejestrowała żadnych transakcji płatniczych na swych kontach przez dwanaście </w:t>
      </w:r>
      <w:r w:rsidR="00625D5C">
        <w:rPr>
          <w:lang w:val="pl-PL"/>
        </w:rPr>
        <w:t xml:space="preserve">kolejnych </w:t>
      </w:r>
      <w:r>
        <w:rPr>
          <w:lang w:val="pl-PL"/>
        </w:rPr>
        <w:t xml:space="preserve">miesięcy. </w:t>
      </w:r>
      <w:r w:rsidR="007B412E">
        <w:rPr>
          <w:lang w:val="pl-PL"/>
        </w:rPr>
        <w:t>Domniemywało</w:t>
      </w:r>
      <w:r w:rsidR="00B27E27">
        <w:rPr>
          <w:lang w:val="pl-PL"/>
        </w:rPr>
        <w:t xml:space="preserve"> się wówczas, że</w:t>
      </w:r>
      <w:r w:rsidR="008319C9">
        <w:rPr>
          <w:lang w:val="pl-PL"/>
        </w:rPr>
        <w:t> </w:t>
      </w:r>
      <w:r w:rsidR="00B27E27">
        <w:rPr>
          <w:lang w:val="pl-PL"/>
        </w:rPr>
        <w:t>udziałowcy takiej spółki zgodzili się na ponoszenie solidarnej odpowiedzialności za</w:t>
      </w:r>
      <w:r w:rsidR="008319C9">
        <w:rPr>
          <w:lang w:val="pl-PL"/>
        </w:rPr>
        <w:t> </w:t>
      </w:r>
      <w:r w:rsidR="00B27E27">
        <w:rPr>
          <w:lang w:val="pl-PL"/>
        </w:rPr>
        <w:t xml:space="preserve">długi spółki. </w:t>
      </w:r>
      <w:r w:rsidR="007B412E">
        <w:rPr>
          <w:lang w:val="pl-PL"/>
        </w:rPr>
        <w:t>Skarżący miał dostęp do tego ustawodawstwa i było ono wystarczająco jasne, by mógł on przewidzieć, że spółka zostanie wykreślona</w:t>
      </w:r>
      <w:r w:rsidR="00625D5C">
        <w:rPr>
          <w:lang w:val="pl-PL"/>
        </w:rPr>
        <w:t>,</w:t>
      </w:r>
      <w:r w:rsidR="007B412E">
        <w:rPr>
          <w:lang w:val="pl-PL"/>
        </w:rPr>
        <w:t xml:space="preserve"> a on będzie ponosił osobistą odpowiedzialność za wszelkie jej długi.</w:t>
      </w:r>
    </w:p>
    <w:p w:rsidR="007B412E" w:rsidRPr="007B412E" w:rsidRDefault="007B412E">
      <w:pPr>
        <w:pStyle w:val="ClinContent"/>
        <w:rPr>
          <w:lang w:val="pl-PL"/>
        </w:rPr>
      </w:pPr>
      <w:r w:rsidRPr="007B412E">
        <w:rPr>
          <w:lang w:val="pl-PL"/>
        </w:rPr>
        <w:t>Jako udziałowiec i były dyrektor zarządzający spółki skarżą</w:t>
      </w:r>
      <w:r w:rsidR="00625D5C">
        <w:rPr>
          <w:lang w:val="pl-PL"/>
        </w:rPr>
        <w:t>cy musiał być doskonale świadom</w:t>
      </w:r>
      <w:r w:rsidRPr="007B412E">
        <w:rPr>
          <w:lang w:val="pl-PL"/>
        </w:rPr>
        <w:t xml:space="preserve"> nie tylko sytuacji spółki, ale także postępowania cywilnego wytoczonego przez</w:t>
      </w:r>
      <w:r w:rsidR="008319C9">
        <w:rPr>
          <w:lang w:val="pl-PL"/>
        </w:rPr>
        <w:t> </w:t>
      </w:r>
      <w:r w:rsidRPr="007B412E">
        <w:rPr>
          <w:lang w:val="pl-PL"/>
        </w:rPr>
        <w:t xml:space="preserve">jej wierzycieli. </w:t>
      </w:r>
      <w:r w:rsidR="006C2D4D">
        <w:rPr>
          <w:lang w:val="pl-PL"/>
        </w:rPr>
        <w:t>Można było zatem oczekiwać od skarżącego, by zwracał uwagę na</w:t>
      </w:r>
      <w:r w:rsidR="008319C9">
        <w:rPr>
          <w:lang w:val="pl-PL"/>
        </w:rPr>
        <w:t> </w:t>
      </w:r>
      <w:r w:rsidR="006C2D4D">
        <w:rPr>
          <w:lang w:val="pl-PL"/>
        </w:rPr>
        <w:t xml:space="preserve">tę sprawę. Powinien był </w:t>
      </w:r>
      <w:r w:rsidR="00B34843">
        <w:rPr>
          <w:lang w:val="pl-PL"/>
        </w:rPr>
        <w:t xml:space="preserve">podjąć </w:t>
      </w:r>
      <w:r w:rsidR="0065577F">
        <w:rPr>
          <w:lang w:val="pl-PL"/>
        </w:rPr>
        <w:t xml:space="preserve">niezbędne </w:t>
      </w:r>
      <w:r w:rsidR="00B34843">
        <w:rPr>
          <w:lang w:val="pl-PL"/>
        </w:rPr>
        <w:t>starania</w:t>
      </w:r>
      <w:r w:rsidR="006C2D4D">
        <w:rPr>
          <w:lang w:val="pl-PL"/>
        </w:rPr>
        <w:t>, by odbierać listy kierowane do</w:t>
      </w:r>
      <w:r w:rsidR="008319C9">
        <w:rPr>
          <w:lang w:val="pl-PL"/>
        </w:rPr>
        <w:t> </w:t>
      </w:r>
      <w:r w:rsidR="006C2D4D">
        <w:rPr>
          <w:lang w:val="pl-PL"/>
        </w:rPr>
        <w:t xml:space="preserve">spółki. Ponadto, mając na uwadze odpowiednio długie </w:t>
      </w:r>
      <w:r w:rsidR="00625D5C">
        <w:rPr>
          <w:lang w:val="pl-PL"/>
        </w:rPr>
        <w:t xml:space="preserve">terminy </w:t>
      </w:r>
      <w:r w:rsidR="006C2D4D">
        <w:rPr>
          <w:lang w:val="pl-PL"/>
        </w:rPr>
        <w:t>przyznane udziałowcom na kwestionowanie postanowień o wykreśleniu takich spółek, Trybunał uznał, że notyfikacja postanowień o wykreśleniu</w:t>
      </w:r>
      <w:r w:rsidR="00B13748">
        <w:rPr>
          <w:lang w:val="pl-PL"/>
        </w:rPr>
        <w:t>,</w:t>
      </w:r>
      <w:r w:rsidR="006C2D4D">
        <w:rPr>
          <w:lang w:val="pl-PL"/>
        </w:rPr>
        <w:t xml:space="preserve"> skierowana do spółki</w:t>
      </w:r>
      <w:r w:rsidR="00B13748">
        <w:rPr>
          <w:lang w:val="pl-PL"/>
        </w:rPr>
        <w:t>,</w:t>
      </w:r>
      <w:r w:rsidR="006C2D4D">
        <w:rPr>
          <w:lang w:val="pl-PL"/>
        </w:rPr>
        <w:t xml:space="preserve"> oraz</w:t>
      </w:r>
      <w:r w:rsidR="0080472D">
        <w:rPr>
          <w:lang w:val="pl-PL"/>
        </w:rPr>
        <w:t xml:space="preserve"> zamiennie</w:t>
      </w:r>
      <w:r w:rsidR="006C2D4D">
        <w:rPr>
          <w:lang w:val="pl-PL"/>
        </w:rPr>
        <w:t xml:space="preserve"> ich publikacja w Rejestrze Spółek lub w Dzienniku Urzędowym były wystarczające. </w:t>
      </w:r>
    </w:p>
    <w:p w:rsidR="006C2D4D" w:rsidRPr="006C2D4D" w:rsidRDefault="00B13748">
      <w:pPr>
        <w:pStyle w:val="ClinContent"/>
        <w:rPr>
          <w:lang w:val="pl-PL"/>
        </w:rPr>
      </w:pPr>
      <w:r>
        <w:rPr>
          <w:lang w:val="pl-PL"/>
        </w:rPr>
        <w:t>Ponadto</w:t>
      </w:r>
      <w:r w:rsidR="006C2D4D" w:rsidRPr="006C2D4D">
        <w:rPr>
          <w:lang w:val="pl-PL"/>
        </w:rPr>
        <w:t xml:space="preserve"> </w:t>
      </w:r>
      <w:r w:rsidR="00625D5C" w:rsidRPr="006C2D4D">
        <w:rPr>
          <w:lang w:val="pl-PL"/>
        </w:rPr>
        <w:t xml:space="preserve">uczynione przez Trybunał Konstytucyjny </w:t>
      </w:r>
      <w:r w:rsidR="006C2D4D" w:rsidRPr="006C2D4D">
        <w:rPr>
          <w:lang w:val="pl-PL"/>
        </w:rPr>
        <w:t xml:space="preserve">rozróżnienie </w:t>
      </w:r>
      <w:r w:rsidR="00625D5C">
        <w:rPr>
          <w:lang w:val="pl-PL"/>
        </w:rPr>
        <w:t xml:space="preserve">na </w:t>
      </w:r>
      <w:r>
        <w:rPr>
          <w:lang w:val="pl-PL"/>
        </w:rPr>
        <w:t>„</w:t>
      </w:r>
      <w:r w:rsidR="006C2D4D" w:rsidRPr="006C2D4D">
        <w:rPr>
          <w:lang w:val="pl-PL"/>
        </w:rPr>
        <w:t>aktywnych udziałowców”, bę</w:t>
      </w:r>
      <w:r w:rsidR="006C2D4D">
        <w:rPr>
          <w:lang w:val="pl-PL"/>
        </w:rPr>
        <w:t xml:space="preserve">dących w stanie </w:t>
      </w:r>
      <w:r w:rsidR="00625D5C">
        <w:rPr>
          <w:lang w:val="pl-PL"/>
        </w:rPr>
        <w:t xml:space="preserve">wpływać na zarządzanie spółką, i </w:t>
      </w:r>
      <w:r w:rsidR="006C2D4D">
        <w:rPr>
          <w:lang w:val="pl-PL"/>
        </w:rPr>
        <w:t xml:space="preserve"> „biernych udziałowców”, </w:t>
      </w:r>
      <w:r w:rsidR="00625D5C">
        <w:rPr>
          <w:lang w:val="pl-PL"/>
        </w:rPr>
        <w:t xml:space="preserve">nie mających </w:t>
      </w:r>
      <w:r w:rsidR="006C2D4D">
        <w:rPr>
          <w:lang w:val="pl-PL"/>
        </w:rPr>
        <w:t xml:space="preserve">takiej władzy, doprowadziło </w:t>
      </w:r>
      <w:r w:rsidR="006C2D4D" w:rsidRPr="006C2D4D">
        <w:rPr>
          <w:i/>
          <w:lang w:val="pl-PL"/>
        </w:rPr>
        <w:t>de facto</w:t>
      </w:r>
      <w:r w:rsidR="006C2D4D">
        <w:rPr>
          <w:lang w:val="pl-PL"/>
        </w:rPr>
        <w:t xml:space="preserve"> do </w:t>
      </w:r>
      <w:r w:rsidR="00625D5C">
        <w:rPr>
          <w:lang w:val="pl-PL"/>
        </w:rPr>
        <w:t xml:space="preserve">powstania </w:t>
      </w:r>
      <w:r w:rsidR="006C2D4D">
        <w:rPr>
          <w:lang w:val="pl-PL"/>
        </w:rPr>
        <w:t>u</w:t>
      </w:r>
      <w:r w:rsidR="00625D5C">
        <w:rPr>
          <w:lang w:val="pl-PL"/>
        </w:rPr>
        <w:t>gruntowanego</w:t>
      </w:r>
      <w:r w:rsidR="006C2D4D">
        <w:rPr>
          <w:lang w:val="pl-PL"/>
        </w:rPr>
        <w:t xml:space="preserve"> orzecznictwa</w:t>
      </w:r>
      <w:r w:rsidR="00625D5C">
        <w:rPr>
          <w:lang w:val="pl-PL"/>
        </w:rPr>
        <w:t xml:space="preserve"> sądów krajowych</w:t>
      </w:r>
      <w:r w:rsidR="006C2D4D">
        <w:rPr>
          <w:lang w:val="pl-PL"/>
        </w:rPr>
        <w:t xml:space="preserve">, w świetle którego odpowiedzialność osobista za </w:t>
      </w:r>
      <w:r w:rsidR="00B34843">
        <w:rPr>
          <w:lang w:val="pl-PL"/>
        </w:rPr>
        <w:t xml:space="preserve">długi </w:t>
      </w:r>
      <w:r w:rsidR="006C2D4D">
        <w:rPr>
          <w:lang w:val="pl-PL"/>
        </w:rPr>
        <w:t>spółki została przypisana udziałowcom, którzy posiadali co najmniej 10% zarejestrowanego kapitału. Ten próg nie był arbitralny, mając na uwadze uprawnienia, jakie były z nim powiązane na mocy prawa. Organizacje międzynarodowe, które zajmowały się takimi sprawami, takie jak OECD lub MFW</w:t>
      </w:r>
      <w:r w:rsidR="00625D5C">
        <w:rPr>
          <w:lang w:val="pl-PL"/>
        </w:rPr>
        <w:t>,</w:t>
      </w:r>
      <w:r w:rsidR="006C2D4D">
        <w:rPr>
          <w:lang w:val="pl-PL"/>
        </w:rPr>
        <w:t xml:space="preserve"> stosowa</w:t>
      </w:r>
      <w:r w:rsidR="00C3517E">
        <w:rPr>
          <w:lang w:val="pl-PL"/>
        </w:rPr>
        <w:t>ł</w:t>
      </w:r>
      <w:r w:rsidR="005C203E">
        <w:rPr>
          <w:lang w:val="pl-PL"/>
        </w:rPr>
        <w:t>y podobne kryterium</w:t>
      </w:r>
      <w:r w:rsidR="006C2D4D">
        <w:rPr>
          <w:lang w:val="pl-PL"/>
        </w:rPr>
        <w:t>, odróżniając „bezpośrednich” inwestorów od zwykłych inwestorów</w:t>
      </w:r>
      <w:r w:rsidR="00C3517E">
        <w:rPr>
          <w:lang w:val="pl-PL"/>
        </w:rPr>
        <w:t xml:space="preserve"> „portfelowych”</w:t>
      </w:r>
      <w:r w:rsidR="00420CEB">
        <w:rPr>
          <w:lang w:val="pl-PL"/>
        </w:rPr>
        <w:t>.</w:t>
      </w:r>
    </w:p>
    <w:p w:rsidR="00516AA9" w:rsidRPr="00516AA9" w:rsidRDefault="00516AA9">
      <w:pPr>
        <w:pStyle w:val="ClinContent"/>
        <w:rPr>
          <w:lang w:val="pl-PL"/>
        </w:rPr>
      </w:pPr>
      <w:r w:rsidRPr="00516AA9">
        <w:rPr>
          <w:lang w:val="pl-PL"/>
        </w:rPr>
        <w:t xml:space="preserve">Trybunał uznał zatem, że ingerencja była zgodna z prawem. </w:t>
      </w:r>
    </w:p>
    <w:p w:rsidR="00846BC1" w:rsidRPr="00846BC1" w:rsidRDefault="00846BC1">
      <w:pPr>
        <w:pStyle w:val="ClinContent"/>
        <w:rPr>
          <w:lang w:val="pl-PL"/>
        </w:rPr>
      </w:pPr>
      <w:r w:rsidRPr="00846BC1">
        <w:rPr>
          <w:lang w:val="pl-PL"/>
        </w:rPr>
        <w:t xml:space="preserve">(b) </w:t>
      </w:r>
      <w:r w:rsidRPr="00846BC1">
        <w:rPr>
          <w:i/>
          <w:lang w:val="pl-PL"/>
        </w:rPr>
        <w:t>Cel ingerencji</w:t>
      </w:r>
      <w:r w:rsidRPr="00846BC1">
        <w:rPr>
          <w:lang w:val="pl-PL"/>
        </w:rPr>
        <w:t xml:space="preserve"> – Jednym z ubocznych efektów przejścia pozwanego Państwa z</w:t>
      </w:r>
      <w:r w:rsidR="008319C9">
        <w:rPr>
          <w:lang w:val="pl-PL"/>
        </w:rPr>
        <w:t> </w:t>
      </w:r>
      <w:r w:rsidRPr="00846BC1">
        <w:rPr>
          <w:lang w:val="pl-PL"/>
        </w:rPr>
        <w:t>gospodarki socjalistycznej na wolnorynkową było istnienie dużej liczby uśpionych i</w:t>
      </w:r>
      <w:r w:rsidR="008319C9">
        <w:rPr>
          <w:lang w:val="pl-PL"/>
        </w:rPr>
        <w:t> </w:t>
      </w:r>
      <w:r w:rsidRPr="00846BC1">
        <w:rPr>
          <w:lang w:val="pl-PL"/>
        </w:rPr>
        <w:t xml:space="preserve">zadłużonych spółek. </w:t>
      </w:r>
      <w:r>
        <w:rPr>
          <w:lang w:val="pl-PL"/>
        </w:rPr>
        <w:t xml:space="preserve">Głównym celem ustawy o operacjach finansowych spółek było zapewnienie stabilności rynku komercyjnego i dyscypliny finansowej, </w:t>
      </w:r>
      <w:r w:rsidR="00714EEC">
        <w:rPr>
          <w:lang w:val="pl-PL"/>
        </w:rPr>
        <w:t>przy jednoczesnej</w:t>
      </w:r>
      <w:r>
        <w:rPr>
          <w:lang w:val="pl-PL"/>
        </w:rPr>
        <w:t xml:space="preserve"> </w:t>
      </w:r>
      <w:r w:rsidR="00714EEC">
        <w:rPr>
          <w:lang w:val="pl-PL"/>
        </w:rPr>
        <w:t>ochronie</w:t>
      </w:r>
      <w:r>
        <w:rPr>
          <w:lang w:val="pl-PL"/>
        </w:rPr>
        <w:t xml:space="preserve"> wierzycieli takich spółek. Mając na względzie szczególnie szeroki margines oceny przyznany władzom krajowym w sprawach polityki gospodarczej i społecznej, Trybunał nie widział powodu, by wątpić, że zaskarżony środek był w interesie ogólnym. </w:t>
      </w:r>
    </w:p>
    <w:p w:rsidR="00846BC1" w:rsidRDefault="00846BC1">
      <w:pPr>
        <w:pStyle w:val="ClinContent"/>
        <w:rPr>
          <w:lang w:val="pl-PL"/>
        </w:rPr>
      </w:pPr>
      <w:r w:rsidRPr="00846BC1">
        <w:rPr>
          <w:lang w:val="pl-PL"/>
        </w:rPr>
        <w:t xml:space="preserve">(c) </w:t>
      </w:r>
      <w:r>
        <w:rPr>
          <w:lang w:val="pl-PL"/>
        </w:rPr>
        <w:t>„</w:t>
      </w:r>
      <w:r w:rsidRPr="00846BC1">
        <w:rPr>
          <w:i/>
          <w:lang w:val="pl-PL"/>
        </w:rPr>
        <w:t>Sprawiedliwa równowaga” między wchodzącymi w grę interesami</w:t>
      </w:r>
      <w:r w:rsidRPr="00846BC1">
        <w:rPr>
          <w:lang w:val="pl-PL"/>
        </w:rPr>
        <w:t xml:space="preserve"> </w:t>
      </w:r>
      <w:r>
        <w:rPr>
          <w:lang w:val="pl-PL"/>
        </w:rPr>
        <w:t>–</w:t>
      </w:r>
      <w:r w:rsidRPr="00846BC1">
        <w:rPr>
          <w:lang w:val="pl-PL"/>
        </w:rPr>
        <w:t xml:space="preserve"> </w:t>
      </w:r>
      <w:r>
        <w:rPr>
          <w:lang w:val="pl-PL"/>
        </w:rPr>
        <w:t xml:space="preserve">Nie może być wątpliwości, że ustawa o operacjach finansowych spółek pociągała za sobą daleko idące konsekwencje dla wielu </w:t>
      </w:r>
      <w:r w:rsidR="00714EEC">
        <w:rPr>
          <w:lang w:val="pl-PL"/>
        </w:rPr>
        <w:t>osób</w:t>
      </w:r>
      <w:r>
        <w:rPr>
          <w:lang w:val="pl-PL"/>
        </w:rPr>
        <w:t>, które stały się osobiście odpowiedzialne za długi ich</w:t>
      </w:r>
      <w:r w:rsidR="00185479">
        <w:rPr>
          <w:lang w:val="pl-PL"/>
        </w:rPr>
        <w:t> </w:t>
      </w:r>
      <w:r>
        <w:rPr>
          <w:lang w:val="pl-PL"/>
        </w:rPr>
        <w:t xml:space="preserve">spółek. </w:t>
      </w:r>
      <w:r w:rsidR="00B13748">
        <w:rPr>
          <w:lang w:val="pl-PL"/>
        </w:rPr>
        <w:t xml:space="preserve">Niemniej jednak </w:t>
      </w:r>
      <w:r>
        <w:rPr>
          <w:lang w:val="pl-PL"/>
        </w:rPr>
        <w:t xml:space="preserve">wyjątkowy charakter okoliczności mogących uzasadniać zniesienie rozdzielności osobowości i odpowiedzialności osoby prawnej </w:t>
      </w:r>
      <w:r w:rsidR="00714EEC">
        <w:rPr>
          <w:lang w:val="pl-PL"/>
        </w:rPr>
        <w:t>od</w:t>
      </w:r>
      <w:r w:rsidR="00185479">
        <w:rPr>
          <w:lang w:val="pl-PL"/>
        </w:rPr>
        <w:t> </w:t>
      </w:r>
      <w:r>
        <w:rPr>
          <w:lang w:val="pl-PL"/>
        </w:rPr>
        <w:t>jej</w:t>
      </w:r>
      <w:r w:rsidR="00185479">
        <w:rPr>
          <w:lang w:val="pl-PL"/>
        </w:rPr>
        <w:t> </w:t>
      </w:r>
      <w:r>
        <w:rPr>
          <w:lang w:val="pl-PL"/>
        </w:rPr>
        <w:t xml:space="preserve">udziałowców </w:t>
      </w:r>
      <w:r w:rsidRPr="00606BBE">
        <w:rPr>
          <w:i/>
          <w:lang w:val="pl-PL"/>
        </w:rPr>
        <w:t>(</w:t>
      </w:r>
      <w:proofErr w:type="spellStart"/>
      <w:r>
        <w:rPr>
          <w:i/>
          <w:lang w:val="pl-PL"/>
        </w:rPr>
        <w:t>corporate</w:t>
      </w:r>
      <w:proofErr w:type="spellEnd"/>
      <w:r>
        <w:rPr>
          <w:i/>
          <w:lang w:val="pl-PL"/>
        </w:rPr>
        <w:t xml:space="preserve"> </w:t>
      </w:r>
      <w:proofErr w:type="spellStart"/>
      <w:r>
        <w:rPr>
          <w:i/>
          <w:lang w:val="pl-PL"/>
        </w:rPr>
        <w:t>veil</w:t>
      </w:r>
      <w:proofErr w:type="spellEnd"/>
      <w:r>
        <w:rPr>
          <w:i/>
          <w:lang w:val="pl-PL"/>
        </w:rPr>
        <w:t>)</w:t>
      </w:r>
      <w:r>
        <w:rPr>
          <w:lang w:val="pl-PL"/>
        </w:rPr>
        <w:t xml:space="preserve"> </w:t>
      </w:r>
      <w:r w:rsidR="00714EEC">
        <w:rPr>
          <w:lang w:val="pl-PL"/>
        </w:rPr>
        <w:t>sprowadza</w:t>
      </w:r>
      <w:r>
        <w:rPr>
          <w:lang w:val="pl-PL"/>
        </w:rPr>
        <w:t xml:space="preserve"> się </w:t>
      </w:r>
      <w:r w:rsidR="00714EEC">
        <w:rPr>
          <w:lang w:val="pl-PL"/>
        </w:rPr>
        <w:t xml:space="preserve">zasadniczo </w:t>
      </w:r>
      <w:r>
        <w:rPr>
          <w:lang w:val="pl-PL"/>
        </w:rPr>
        <w:t>do</w:t>
      </w:r>
      <w:r w:rsidR="00714EEC">
        <w:rPr>
          <w:lang w:val="pl-PL"/>
        </w:rPr>
        <w:t xml:space="preserve"> charakteru</w:t>
      </w:r>
      <w:r>
        <w:rPr>
          <w:lang w:val="pl-PL"/>
        </w:rPr>
        <w:t xml:space="preserve"> kwestii, które ma rozstrzygać właściwy sąd krajowy, a nie do częstotliwości pojawiania się takich sytuacji. Innymi słowy, nie oznacza </w:t>
      </w:r>
      <w:r w:rsidR="00714EEC">
        <w:rPr>
          <w:lang w:val="pl-PL"/>
        </w:rPr>
        <w:t>on</w:t>
      </w:r>
      <w:r>
        <w:rPr>
          <w:lang w:val="pl-PL"/>
        </w:rPr>
        <w:t xml:space="preserve">, że ten rodzaj środków może być uzasadniony jedynie w rzadkich wypadkach.   </w:t>
      </w:r>
    </w:p>
    <w:p w:rsidR="00846BC1" w:rsidRPr="00846BC1" w:rsidRDefault="00846BC1">
      <w:pPr>
        <w:pStyle w:val="ClinContent"/>
        <w:rPr>
          <w:lang w:val="pl-PL"/>
        </w:rPr>
      </w:pPr>
      <w:r w:rsidRPr="00846BC1">
        <w:rPr>
          <w:lang w:val="pl-PL"/>
        </w:rPr>
        <w:t>Zaskarżona ustawa</w:t>
      </w:r>
      <w:r w:rsidR="00FC1F6A">
        <w:rPr>
          <w:lang w:val="pl-PL"/>
        </w:rPr>
        <w:t xml:space="preserve"> przeszła,</w:t>
      </w:r>
      <w:r w:rsidR="00FC1F6A" w:rsidRPr="00846BC1">
        <w:rPr>
          <w:lang w:val="pl-PL"/>
        </w:rPr>
        <w:t xml:space="preserve"> co prawda</w:t>
      </w:r>
      <w:r w:rsidR="00FC1F6A">
        <w:rPr>
          <w:lang w:val="pl-PL"/>
        </w:rPr>
        <w:t xml:space="preserve">, </w:t>
      </w:r>
      <w:r w:rsidR="006E0790">
        <w:rPr>
          <w:lang w:val="pl-PL"/>
        </w:rPr>
        <w:t xml:space="preserve">co najmniej </w:t>
      </w:r>
      <w:r w:rsidRPr="00846BC1">
        <w:rPr>
          <w:lang w:val="pl-PL"/>
        </w:rPr>
        <w:t>dwa procesy zmian legislacyjnych i</w:t>
      </w:r>
      <w:r w:rsidR="00185479">
        <w:rPr>
          <w:lang w:val="pl-PL"/>
        </w:rPr>
        <w:t> </w:t>
      </w:r>
      <w:r>
        <w:rPr>
          <w:lang w:val="pl-PL"/>
        </w:rPr>
        <w:t xml:space="preserve">skarg </w:t>
      </w:r>
      <w:r w:rsidRPr="00846BC1">
        <w:rPr>
          <w:lang w:val="pl-PL"/>
        </w:rPr>
        <w:t>do Trybuna</w:t>
      </w:r>
      <w:r>
        <w:rPr>
          <w:lang w:val="pl-PL"/>
        </w:rPr>
        <w:t xml:space="preserve">łu Konstytucyjnego. </w:t>
      </w:r>
      <w:r w:rsidR="0080472D">
        <w:rPr>
          <w:lang w:val="pl-PL"/>
        </w:rPr>
        <w:t xml:space="preserve">Niemniej jednak </w:t>
      </w:r>
      <w:r>
        <w:rPr>
          <w:lang w:val="pl-PL"/>
        </w:rPr>
        <w:t xml:space="preserve">ze stosownych </w:t>
      </w:r>
      <w:r w:rsidR="00FC1F6A">
        <w:rPr>
          <w:lang w:val="pl-PL"/>
        </w:rPr>
        <w:t>rozważań</w:t>
      </w:r>
      <w:r>
        <w:rPr>
          <w:lang w:val="pl-PL"/>
        </w:rPr>
        <w:t xml:space="preserve"> w trakcie prac przygotowawczych i z uzasadnienia Trybunału Konstytucyjnego można </w:t>
      </w:r>
      <w:r w:rsidR="00B34843">
        <w:rPr>
          <w:lang w:val="pl-PL"/>
        </w:rPr>
        <w:t>wywnioskować</w:t>
      </w:r>
      <w:r>
        <w:rPr>
          <w:lang w:val="pl-PL"/>
        </w:rPr>
        <w:t>, że właściwe władze podjęły rzeczywiste wysiłki, by osiągnąć sprawiedliwą równowagę między interesami wierzycieli wykreślonych spółek a interesami członków t</w:t>
      </w:r>
      <w:r w:rsidR="00AB3608">
        <w:rPr>
          <w:lang w:val="pl-PL"/>
        </w:rPr>
        <w:t>y</w:t>
      </w:r>
      <w:r>
        <w:rPr>
          <w:lang w:val="pl-PL"/>
        </w:rPr>
        <w:t xml:space="preserve">ch spółek. </w:t>
      </w:r>
      <w:r w:rsidR="008319C9">
        <w:rPr>
          <w:lang w:val="pl-PL"/>
        </w:rPr>
        <w:t xml:space="preserve">Potrzeba </w:t>
      </w:r>
      <w:r w:rsidR="008319C9" w:rsidRPr="008319C9">
        <w:rPr>
          <w:lang w:val="pl-PL"/>
        </w:rPr>
        <w:t xml:space="preserve">takiego ustawodawstwa i przyjętych środków poddana była </w:t>
      </w:r>
      <w:r w:rsidR="008319C9">
        <w:rPr>
          <w:lang w:val="pl-PL"/>
        </w:rPr>
        <w:t xml:space="preserve">parlamentarnej i sądowej </w:t>
      </w:r>
      <w:r w:rsidR="008319C9" w:rsidRPr="008319C9">
        <w:rPr>
          <w:lang w:val="pl-PL"/>
        </w:rPr>
        <w:t>kontroli</w:t>
      </w:r>
      <w:r w:rsidR="008319C9">
        <w:rPr>
          <w:lang w:val="pl-PL"/>
        </w:rPr>
        <w:t xml:space="preserve">, której jakość </w:t>
      </w:r>
      <w:r w:rsidR="008319C9" w:rsidRPr="008319C9">
        <w:rPr>
          <w:lang w:val="pl-PL"/>
        </w:rPr>
        <w:t>uzasadnia</w:t>
      </w:r>
      <w:r>
        <w:rPr>
          <w:lang w:val="pl-PL"/>
        </w:rPr>
        <w:t xml:space="preserve"> szeroki </w:t>
      </w:r>
      <w:r w:rsidR="00200589">
        <w:rPr>
          <w:lang w:val="pl-PL"/>
        </w:rPr>
        <w:t xml:space="preserve">margines oceny </w:t>
      </w:r>
      <w:r w:rsidR="00200589">
        <w:rPr>
          <w:lang w:val="pl-PL"/>
        </w:rPr>
        <w:lastRenderedPageBreak/>
        <w:t xml:space="preserve">w odniesieniu do dokonanych wyborów ustawowych i sądowych. </w:t>
      </w:r>
      <w:r w:rsidR="003378F3">
        <w:rPr>
          <w:lang w:val="pl-PL"/>
        </w:rPr>
        <w:t>Należy uznać, że</w:t>
      </w:r>
      <w:r w:rsidR="00185479">
        <w:rPr>
          <w:lang w:val="pl-PL"/>
        </w:rPr>
        <w:t> </w:t>
      </w:r>
      <w:r w:rsidR="003378F3">
        <w:rPr>
          <w:lang w:val="pl-PL"/>
        </w:rPr>
        <w:t>margines tej oceny obejmuje r</w:t>
      </w:r>
      <w:r w:rsidR="00635463">
        <w:rPr>
          <w:lang w:val="pl-PL"/>
        </w:rPr>
        <w:t>ozbieżność opinii wyrażanych</w:t>
      </w:r>
      <w:r w:rsidR="00B13748">
        <w:rPr>
          <w:lang w:val="pl-PL"/>
        </w:rPr>
        <w:t>,</w:t>
      </w:r>
      <w:r w:rsidR="00635463">
        <w:rPr>
          <w:lang w:val="pl-PL"/>
        </w:rPr>
        <w:t xml:space="preserve"> z jednej strony</w:t>
      </w:r>
      <w:r w:rsidR="00B13748">
        <w:rPr>
          <w:lang w:val="pl-PL"/>
        </w:rPr>
        <w:t>,</w:t>
      </w:r>
      <w:r w:rsidR="00635463">
        <w:rPr>
          <w:lang w:val="pl-PL"/>
        </w:rPr>
        <w:t xml:space="preserve"> w</w:t>
      </w:r>
      <w:r w:rsidR="00185479">
        <w:rPr>
          <w:lang w:val="pl-PL"/>
        </w:rPr>
        <w:t> </w:t>
      </w:r>
      <w:r w:rsidR="00FC1F6A">
        <w:rPr>
          <w:lang w:val="pl-PL"/>
        </w:rPr>
        <w:t>ramach władzy</w:t>
      </w:r>
      <w:r w:rsidR="00635463">
        <w:rPr>
          <w:lang w:val="pl-PL"/>
        </w:rPr>
        <w:t xml:space="preserve"> ustawodawczej</w:t>
      </w:r>
      <w:r w:rsidR="00FC1F6A">
        <w:rPr>
          <w:lang w:val="pl-PL"/>
        </w:rPr>
        <w:t>,</w:t>
      </w:r>
      <w:r w:rsidR="00635463">
        <w:rPr>
          <w:lang w:val="pl-PL"/>
        </w:rPr>
        <w:t xml:space="preserve"> a</w:t>
      </w:r>
      <w:r w:rsidR="00B13748">
        <w:rPr>
          <w:lang w:val="pl-PL"/>
        </w:rPr>
        <w:t>,</w:t>
      </w:r>
      <w:r w:rsidR="00635463">
        <w:rPr>
          <w:lang w:val="pl-PL"/>
        </w:rPr>
        <w:t xml:space="preserve"> </w:t>
      </w:r>
      <w:r w:rsidR="003378F3">
        <w:rPr>
          <w:lang w:val="pl-PL"/>
        </w:rPr>
        <w:t>z drugiej strony</w:t>
      </w:r>
      <w:r w:rsidR="00B13748">
        <w:rPr>
          <w:lang w:val="pl-PL"/>
        </w:rPr>
        <w:t>,</w:t>
      </w:r>
      <w:r w:rsidR="003378F3">
        <w:rPr>
          <w:lang w:val="pl-PL"/>
        </w:rPr>
        <w:t xml:space="preserve"> </w:t>
      </w:r>
      <w:r w:rsidR="00635463">
        <w:rPr>
          <w:lang w:val="pl-PL"/>
        </w:rPr>
        <w:t xml:space="preserve">w </w:t>
      </w:r>
      <w:r w:rsidR="00200589">
        <w:rPr>
          <w:lang w:val="pl-PL"/>
        </w:rPr>
        <w:t xml:space="preserve">Trybunale Konstytucyjnym. </w:t>
      </w:r>
    </w:p>
    <w:p w:rsidR="002D6A47" w:rsidRPr="002D6A47" w:rsidRDefault="002D6A47">
      <w:pPr>
        <w:pStyle w:val="ClinContent"/>
        <w:rPr>
          <w:lang w:val="pl-PL"/>
        </w:rPr>
      </w:pPr>
      <w:r w:rsidRPr="002D6A47">
        <w:rPr>
          <w:lang w:val="pl-PL"/>
        </w:rPr>
        <w:t xml:space="preserve">W obecnej sprawie, w celu stwierdzenia osobistej odpowiedzialności za długi spółki, której </w:t>
      </w:r>
      <w:r>
        <w:rPr>
          <w:lang w:val="pl-PL"/>
        </w:rPr>
        <w:t xml:space="preserve">skarżący </w:t>
      </w:r>
      <w:r w:rsidRPr="002D6A47">
        <w:rPr>
          <w:lang w:val="pl-PL"/>
        </w:rPr>
        <w:t>był mniejszościowym udziałowcem, sądy uznały, że nie pr</w:t>
      </w:r>
      <w:r>
        <w:rPr>
          <w:lang w:val="pl-PL"/>
        </w:rPr>
        <w:t>ze</w:t>
      </w:r>
      <w:r w:rsidRPr="002D6A47">
        <w:rPr>
          <w:lang w:val="pl-PL"/>
        </w:rPr>
        <w:t>d</w:t>
      </w:r>
      <w:r>
        <w:rPr>
          <w:lang w:val="pl-PL"/>
        </w:rPr>
        <w:t>s</w:t>
      </w:r>
      <w:r w:rsidRPr="002D6A47">
        <w:rPr>
          <w:lang w:val="pl-PL"/>
        </w:rPr>
        <w:t xml:space="preserve">tawił </w:t>
      </w:r>
      <w:r>
        <w:rPr>
          <w:lang w:val="pl-PL"/>
        </w:rPr>
        <w:t>on</w:t>
      </w:r>
      <w:r w:rsidR="00185479">
        <w:rPr>
          <w:lang w:val="pl-PL"/>
        </w:rPr>
        <w:t> </w:t>
      </w:r>
      <w:r w:rsidRPr="002D6A47">
        <w:rPr>
          <w:lang w:val="pl-PL"/>
        </w:rPr>
        <w:t>dowodów</w:t>
      </w:r>
      <w:r w:rsidR="00B34843">
        <w:rPr>
          <w:lang w:val="pl-PL"/>
        </w:rPr>
        <w:t xml:space="preserve"> na to</w:t>
      </w:r>
      <w:r w:rsidRPr="002D6A47">
        <w:rPr>
          <w:lang w:val="pl-PL"/>
        </w:rPr>
        <w:t xml:space="preserve">, że nie miał </w:t>
      </w:r>
      <w:r w:rsidR="0065577F">
        <w:rPr>
          <w:lang w:val="pl-PL"/>
        </w:rPr>
        <w:t>„</w:t>
      </w:r>
      <w:r w:rsidRPr="002D6A47">
        <w:rPr>
          <w:lang w:val="pl-PL"/>
        </w:rPr>
        <w:t xml:space="preserve">aktywnej” roli w </w:t>
      </w:r>
      <w:r>
        <w:rPr>
          <w:lang w:val="pl-PL"/>
        </w:rPr>
        <w:t xml:space="preserve">zarządzaniu </w:t>
      </w:r>
      <w:r w:rsidR="003378F3">
        <w:rPr>
          <w:lang w:val="pl-PL"/>
        </w:rPr>
        <w:t>spółką</w:t>
      </w:r>
      <w:r>
        <w:rPr>
          <w:lang w:val="pl-PL"/>
        </w:rPr>
        <w:t xml:space="preserve">. Skarżący </w:t>
      </w:r>
      <w:r w:rsidR="003378F3">
        <w:rPr>
          <w:lang w:val="pl-PL"/>
        </w:rPr>
        <w:t xml:space="preserve">miał </w:t>
      </w:r>
      <w:r w:rsidR="00F17714">
        <w:rPr>
          <w:lang w:val="pl-PL"/>
        </w:rPr>
        <w:t xml:space="preserve">ponad </w:t>
      </w:r>
      <w:r>
        <w:rPr>
          <w:lang w:val="pl-PL"/>
        </w:rPr>
        <w:t xml:space="preserve">10% kapitału spółki i korzystał z praw mniejszościowego członka, a jako dyrektor zarządzający był upoważniony do działania w imieniu spółki. </w:t>
      </w:r>
      <w:r w:rsidR="00FC1F6A">
        <w:rPr>
          <w:lang w:val="pl-PL"/>
        </w:rPr>
        <w:t>N</w:t>
      </w:r>
      <w:r w:rsidR="008E0578">
        <w:rPr>
          <w:lang w:val="pl-PL"/>
        </w:rPr>
        <w:t>ie miał</w:t>
      </w:r>
      <w:r>
        <w:rPr>
          <w:lang w:val="pl-PL"/>
        </w:rPr>
        <w:t xml:space="preserve"> </w:t>
      </w:r>
      <w:r w:rsidR="00FC1F6A">
        <w:rPr>
          <w:lang w:val="pl-PL"/>
        </w:rPr>
        <w:t xml:space="preserve">ponadto </w:t>
      </w:r>
      <w:r>
        <w:rPr>
          <w:lang w:val="pl-PL"/>
        </w:rPr>
        <w:t>znaczenia</w:t>
      </w:r>
      <w:r w:rsidR="008E0578">
        <w:rPr>
          <w:lang w:val="pl-PL"/>
        </w:rPr>
        <w:t xml:space="preserve"> fakt</w:t>
      </w:r>
      <w:r>
        <w:rPr>
          <w:lang w:val="pl-PL"/>
        </w:rPr>
        <w:t>, że zrezygnował ze stanowiska dyrektora zarządzającego, podobnie jak kwestia, czy</w:t>
      </w:r>
      <w:r w:rsidR="00185479">
        <w:rPr>
          <w:lang w:val="pl-PL"/>
        </w:rPr>
        <w:t> </w:t>
      </w:r>
      <w:r>
        <w:rPr>
          <w:lang w:val="pl-PL"/>
        </w:rPr>
        <w:t>został on członkiem spółki przed czy po pojawieniu się roszczenia wierzyciela, ani</w:t>
      </w:r>
      <w:r w:rsidR="00185479">
        <w:rPr>
          <w:lang w:val="pl-PL"/>
        </w:rPr>
        <w:t> </w:t>
      </w:r>
      <w:r>
        <w:rPr>
          <w:lang w:val="pl-PL"/>
        </w:rPr>
        <w:t>też</w:t>
      </w:r>
      <w:r w:rsidR="00185479">
        <w:rPr>
          <w:lang w:val="pl-PL"/>
        </w:rPr>
        <w:t> </w:t>
      </w:r>
      <w:r>
        <w:rPr>
          <w:lang w:val="pl-PL"/>
        </w:rPr>
        <w:t>kwestia, czy rzeczywiście wnioskował o likwidację, skoro koszty, które należało z</w:t>
      </w:r>
      <w:r w:rsidR="00185479">
        <w:rPr>
          <w:lang w:val="pl-PL"/>
        </w:rPr>
        <w:t> </w:t>
      </w:r>
      <w:r>
        <w:rPr>
          <w:lang w:val="pl-PL"/>
        </w:rPr>
        <w:t xml:space="preserve">góry opłacić, nie zostały opłacone. </w:t>
      </w:r>
    </w:p>
    <w:p w:rsidR="002D6A47" w:rsidRPr="002D6A47" w:rsidRDefault="002D6A47">
      <w:pPr>
        <w:pStyle w:val="ClinContent"/>
        <w:rPr>
          <w:lang w:val="pl-PL"/>
        </w:rPr>
      </w:pPr>
      <w:r w:rsidRPr="002D6A47">
        <w:rPr>
          <w:lang w:val="pl-PL"/>
        </w:rPr>
        <w:t>Trybunał nie widział powodu, by nie zgodzić się z uzasadnieniem sądów krajowych</w:t>
      </w:r>
      <w:r w:rsidR="0080472D">
        <w:rPr>
          <w:lang w:val="pl-PL"/>
        </w:rPr>
        <w:t>,</w:t>
      </w:r>
      <w:r w:rsidRPr="002D6A47">
        <w:rPr>
          <w:lang w:val="pl-PL"/>
        </w:rPr>
        <w:t xml:space="preserve"> i</w:t>
      </w:r>
      <w:r w:rsidR="00185479">
        <w:rPr>
          <w:lang w:val="pl-PL"/>
        </w:rPr>
        <w:t> </w:t>
      </w:r>
      <w:r w:rsidRPr="002D6A47">
        <w:rPr>
          <w:lang w:val="pl-PL"/>
        </w:rPr>
        <w:t>nie</w:t>
      </w:r>
      <w:r w:rsidR="00185479">
        <w:rPr>
          <w:lang w:val="pl-PL"/>
        </w:rPr>
        <w:t> </w:t>
      </w:r>
      <w:r w:rsidRPr="002D6A47">
        <w:rPr>
          <w:lang w:val="pl-PL"/>
        </w:rPr>
        <w:t>był przekonany, że sądy</w:t>
      </w:r>
      <w:r>
        <w:rPr>
          <w:lang w:val="pl-PL"/>
        </w:rPr>
        <w:t xml:space="preserve"> krajowe powinny były nadać większe znaczenie innym czynnikom, które podniósł</w:t>
      </w:r>
      <w:r w:rsidR="008E0578">
        <w:rPr>
          <w:lang w:val="pl-PL"/>
        </w:rPr>
        <w:t xml:space="preserve"> skarżący</w:t>
      </w:r>
      <w:r>
        <w:rPr>
          <w:lang w:val="pl-PL"/>
        </w:rPr>
        <w:t>, i zwolnić go z osobistej odpowiedzialności. Ponieważ</w:t>
      </w:r>
      <w:r w:rsidR="00185479">
        <w:rPr>
          <w:lang w:val="pl-PL"/>
        </w:rPr>
        <w:t> </w:t>
      </w:r>
      <w:r>
        <w:rPr>
          <w:lang w:val="pl-PL"/>
        </w:rPr>
        <w:t>domniemania faktu lub prawne funkcjonują w każdym systemie prawnym, w</w:t>
      </w:r>
      <w:r w:rsidR="00185479">
        <w:rPr>
          <w:lang w:val="pl-PL"/>
        </w:rPr>
        <w:t> </w:t>
      </w:r>
      <w:r>
        <w:rPr>
          <w:lang w:val="pl-PL"/>
        </w:rPr>
        <w:t>tym w obszarze prawa karnego, tym bardziej mogą być one przyjęte w obszarze prawa spółek, gdzie w grę wchodzić może prawo do poszanowania mienia. Nic</w:t>
      </w:r>
      <w:r w:rsidR="00185479">
        <w:rPr>
          <w:lang w:val="pl-PL"/>
        </w:rPr>
        <w:t> </w:t>
      </w:r>
      <w:r>
        <w:rPr>
          <w:lang w:val="pl-PL"/>
        </w:rPr>
        <w:t>nie</w:t>
      </w:r>
      <w:r w:rsidR="00185479">
        <w:rPr>
          <w:lang w:val="pl-PL"/>
        </w:rPr>
        <w:t> </w:t>
      </w:r>
      <w:r>
        <w:rPr>
          <w:lang w:val="pl-PL"/>
        </w:rPr>
        <w:t>wskazywało, że sposób zastosowania stosownego ci</w:t>
      </w:r>
      <w:r w:rsidR="008E0578">
        <w:rPr>
          <w:lang w:val="pl-PL"/>
        </w:rPr>
        <w:t>ężaru dowodu w sprawie skarżącego</w:t>
      </w:r>
      <w:r>
        <w:rPr>
          <w:lang w:val="pl-PL"/>
        </w:rPr>
        <w:t xml:space="preserve"> przekroczył dopuszczalne granice. </w:t>
      </w:r>
    </w:p>
    <w:p w:rsidR="00093129" w:rsidRPr="00093129" w:rsidRDefault="008E0578">
      <w:pPr>
        <w:pStyle w:val="ClinContent"/>
        <w:rPr>
          <w:lang w:val="pl-PL"/>
        </w:rPr>
      </w:pPr>
      <w:r>
        <w:rPr>
          <w:lang w:val="pl-PL"/>
        </w:rPr>
        <w:t xml:space="preserve">Co się tyczy </w:t>
      </w:r>
      <w:r w:rsidR="00093129" w:rsidRPr="00093129">
        <w:rPr>
          <w:lang w:val="pl-PL"/>
        </w:rPr>
        <w:t>szczególnej sytuacji przedmiotowej spółki</w:t>
      </w:r>
      <w:r>
        <w:rPr>
          <w:lang w:val="pl-PL"/>
        </w:rPr>
        <w:t xml:space="preserve"> –</w:t>
      </w:r>
      <w:r w:rsidR="00093129" w:rsidRPr="00093129">
        <w:rPr>
          <w:lang w:val="pl-PL"/>
        </w:rPr>
        <w:t xml:space="preserve"> została ona </w:t>
      </w:r>
      <w:r w:rsidR="00993CD5">
        <w:rPr>
          <w:lang w:val="pl-PL"/>
        </w:rPr>
        <w:t>przekształcona w</w:t>
      </w:r>
      <w:r w:rsidR="00185479">
        <w:rPr>
          <w:lang w:val="pl-PL"/>
        </w:rPr>
        <w:t> </w:t>
      </w:r>
      <w:r w:rsidR="00993CD5">
        <w:rPr>
          <w:lang w:val="pl-PL"/>
        </w:rPr>
        <w:t xml:space="preserve">1995 r. ze spółki akcyjnej w spółkę z ograniczoną odpowiedzialnością, w której udziałowcy odgrywali większą rolę. W tym czasie spółka już miała niewystarczający kapitał i działała z naruszeniem </w:t>
      </w:r>
      <w:r>
        <w:rPr>
          <w:lang w:val="pl-PL"/>
        </w:rPr>
        <w:t xml:space="preserve">stosownych </w:t>
      </w:r>
      <w:r w:rsidR="00993CD5">
        <w:rPr>
          <w:lang w:val="pl-PL"/>
        </w:rPr>
        <w:t>zasad prawa spółek. Ponadto nie</w:t>
      </w:r>
      <w:r w:rsidR="00185479">
        <w:rPr>
          <w:lang w:val="pl-PL"/>
        </w:rPr>
        <w:t> </w:t>
      </w:r>
      <w:r w:rsidR="00993CD5">
        <w:rPr>
          <w:lang w:val="pl-PL"/>
        </w:rPr>
        <w:t xml:space="preserve">wnioskowała </w:t>
      </w:r>
      <w:r>
        <w:rPr>
          <w:lang w:val="pl-PL"/>
        </w:rPr>
        <w:t xml:space="preserve">ona </w:t>
      </w:r>
      <w:r w:rsidR="00993CD5">
        <w:rPr>
          <w:lang w:val="pl-PL"/>
        </w:rPr>
        <w:t xml:space="preserve">o likwidację przez dwa lata - aż do czasu, gdy </w:t>
      </w:r>
      <w:r w:rsidR="003378F3">
        <w:rPr>
          <w:lang w:val="pl-PL"/>
        </w:rPr>
        <w:t>było oczywiste, że</w:t>
      </w:r>
      <w:r w:rsidR="00185479">
        <w:rPr>
          <w:lang w:val="pl-PL"/>
        </w:rPr>
        <w:t> </w:t>
      </w:r>
      <w:r w:rsidR="00993CD5">
        <w:rPr>
          <w:lang w:val="pl-PL"/>
        </w:rPr>
        <w:t xml:space="preserve">nie miała już żadnych aktywów. Nie wniosła także wymaganych </w:t>
      </w:r>
      <w:r>
        <w:rPr>
          <w:lang w:val="pl-PL"/>
        </w:rPr>
        <w:t xml:space="preserve">z góry </w:t>
      </w:r>
      <w:r w:rsidR="00993CD5">
        <w:rPr>
          <w:lang w:val="pl-PL"/>
        </w:rPr>
        <w:t xml:space="preserve">opłat tytułem kosztów postępowania, a zamiast tego postanowiła czekać na wszczęcie takiego postępowania </w:t>
      </w:r>
      <w:r w:rsidR="00304645">
        <w:rPr>
          <w:lang w:val="pl-PL"/>
        </w:rPr>
        <w:t xml:space="preserve">z urzędu </w:t>
      </w:r>
      <w:r w:rsidR="00993CD5">
        <w:rPr>
          <w:lang w:val="pl-PL"/>
        </w:rPr>
        <w:t xml:space="preserve">przez sąd. </w:t>
      </w:r>
    </w:p>
    <w:p w:rsidR="00304645" w:rsidRPr="00304645" w:rsidRDefault="00304645">
      <w:pPr>
        <w:pStyle w:val="ClinContent"/>
        <w:rPr>
          <w:lang w:val="pl-PL"/>
        </w:rPr>
      </w:pPr>
      <w:r w:rsidRPr="00304645">
        <w:rPr>
          <w:lang w:val="pl-PL"/>
        </w:rPr>
        <w:t xml:space="preserve">Choć prawdą jest, że wprowadzając zasady dotyczące wykreślania spółek z rejestru, </w:t>
      </w:r>
      <w:r w:rsidR="008E0578" w:rsidRPr="00304645">
        <w:rPr>
          <w:lang w:val="pl-PL"/>
        </w:rPr>
        <w:t xml:space="preserve">ustawodawca </w:t>
      </w:r>
      <w:r w:rsidRPr="00304645">
        <w:rPr>
          <w:lang w:val="pl-PL"/>
        </w:rPr>
        <w:t>uchylił możliwość likwidacji spółki z urzędu przez sąd, zastosowanie tej</w:t>
      </w:r>
      <w:r w:rsidR="00185479">
        <w:rPr>
          <w:lang w:val="pl-PL"/>
        </w:rPr>
        <w:t> </w:t>
      </w:r>
      <w:r w:rsidRPr="00304645">
        <w:rPr>
          <w:lang w:val="pl-PL"/>
        </w:rPr>
        <w:t>zmiany zostało odroczone o rok –</w:t>
      </w:r>
      <w:r w:rsidR="008E0578">
        <w:rPr>
          <w:lang w:val="pl-PL"/>
        </w:rPr>
        <w:t xml:space="preserve"> </w:t>
      </w:r>
      <w:r w:rsidRPr="00304645">
        <w:rPr>
          <w:lang w:val="pl-PL"/>
        </w:rPr>
        <w:t xml:space="preserve">czas </w:t>
      </w:r>
      <w:r w:rsidR="008E0578" w:rsidRPr="00304645">
        <w:rPr>
          <w:lang w:val="pl-PL"/>
        </w:rPr>
        <w:t xml:space="preserve">wystarczający </w:t>
      </w:r>
      <w:r w:rsidRPr="00304645">
        <w:rPr>
          <w:lang w:val="pl-PL"/>
        </w:rPr>
        <w:t>dla osób zainteresowanych, by</w:t>
      </w:r>
      <w:r w:rsidR="00185479">
        <w:rPr>
          <w:lang w:val="pl-PL"/>
        </w:rPr>
        <w:t> </w:t>
      </w:r>
      <w:r w:rsidRPr="00304645">
        <w:rPr>
          <w:lang w:val="pl-PL"/>
        </w:rPr>
        <w:t xml:space="preserve">uniknąć </w:t>
      </w:r>
      <w:r>
        <w:rPr>
          <w:lang w:val="pl-PL"/>
        </w:rPr>
        <w:t>osobistej odpowiedzialności pod warunkiem opłacenia kosztów procedury likwidac</w:t>
      </w:r>
      <w:r w:rsidR="001378D9">
        <w:rPr>
          <w:lang w:val="pl-PL"/>
        </w:rPr>
        <w:t>ji</w:t>
      </w:r>
      <w:r>
        <w:rPr>
          <w:lang w:val="pl-PL"/>
        </w:rPr>
        <w:t xml:space="preserve">. </w:t>
      </w:r>
      <w:r w:rsidR="001378D9">
        <w:rPr>
          <w:lang w:val="pl-PL"/>
        </w:rPr>
        <w:t xml:space="preserve">Zamiast tego, choć spółka nie była już w stanie spłacać swych długów </w:t>
      </w:r>
      <w:r w:rsidR="008E0578">
        <w:rPr>
          <w:lang w:val="pl-PL"/>
        </w:rPr>
        <w:t>ani</w:t>
      </w:r>
      <w:r w:rsidR="00185479">
        <w:rPr>
          <w:lang w:val="pl-PL"/>
        </w:rPr>
        <w:t> </w:t>
      </w:r>
      <w:r w:rsidR="001378D9">
        <w:rPr>
          <w:lang w:val="pl-PL"/>
        </w:rPr>
        <w:t xml:space="preserve">wykonywać działalności, dla której została utworzona, </w:t>
      </w:r>
      <w:r w:rsidR="00DC6F30">
        <w:rPr>
          <w:lang w:val="pl-PL"/>
        </w:rPr>
        <w:t>utrzymywała</w:t>
      </w:r>
      <w:r w:rsidR="001378D9">
        <w:rPr>
          <w:lang w:val="pl-PL"/>
        </w:rPr>
        <w:t xml:space="preserve"> swe istnienie. Trybunał nie widział podstaw do kwestionowania faktu, że takie spółki stwarzały zagrożenie dla prawidłowego funkcjonowania rynku. </w:t>
      </w:r>
    </w:p>
    <w:p w:rsidR="00DC6F30" w:rsidRPr="00DC6F30" w:rsidRDefault="00DC6F30">
      <w:pPr>
        <w:pStyle w:val="ClinContent"/>
        <w:rPr>
          <w:lang w:val="pl-PL"/>
        </w:rPr>
      </w:pPr>
      <w:r w:rsidRPr="00DC6F30">
        <w:rPr>
          <w:lang w:val="pl-PL"/>
        </w:rPr>
        <w:t xml:space="preserve">Ponadto, </w:t>
      </w:r>
      <w:r w:rsidR="00BF4FFD">
        <w:rPr>
          <w:lang w:val="pl-PL"/>
        </w:rPr>
        <w:t>obniżenie</w:t>
      </w:r>
      <w:r w:rsidRPr="00DC6F30">
        <w:rPr>
          <w:lang w:val="pl-PL"/>
        </w:rPr>
        <w:t xml:space="preserve"> kapitału poniżej wymogu ustawowego</w:t>
      </w:r>
      <w:r>
        <w:rPr>
          <w:lang w:val="pl-PL"/>
        </w:rPr>
        <w:t>,</w:t>
      </w:r>
      <w:r w:rsidRPr="00DC6F30">
        <w:rPr>
          <w:lang w:val="pl-PL"/>
        </w:rPr>
        <w:t xml:space="preserve"> </w:t>
      </w:r>
      <w:r>
        <w:rPr>
          <w:lang w:val="pl-PL"/>
        </w:rPr>
        <w:t>a</w:t>
      </w:r>
      <w:r w:rsidRPr="00DC6F30">
        <w:rPr>
          <w:lang w:val="pl-PL"/>
        </w:rPr>
        <w:t xml:space="preserve"> wreszcie </w:t>
      </w:r>
      <w:r>
        <w:rPr>
          <w:lang w:val="pl-PL"/>
        </w:rPr>
        <w:t xml:space="preserve">całkowite </w:t>
      </w:r>
      <w:r w:rsidR="00BF4FFD">
        <w:rPr>
          <w:lang w:val="pl-PL"/>
        </w:rPr>
        <w:t>jego</w:t>
      </w:r>
      <w:r w:rsidR="00185479">
        <w:rPr>
          <w:lang w:val="pl-PL"/>
        </w:rPr>
        <w:t> </w:t>
      </w:r>
      <w:r w:rsidRPr="00DC6F30">
        <w:rPr>
          <w:lang w:val="pl-PL"/>
        </w:rPr>
        <w:t>wyczerpanie</w:t>
      </w:r>
      <w:r>
        <w:rPr>
          <w:lang w:val="pl-PL"/>
        </w:rPr>
        <w:t>, w powiązaniu z przedłużającym się zaniechaniem wszczęcia postępowania likwidacyjnego, wywierał</w:t>
      </w:r>
      <w:r w:rsidR="00BF4FFD">
        <w:rPr>
          <w:lang w:val="pl-PL"/>
        </w:rPr>
        <w:t>o</w:t>
      </w:r>
      <w:r>
        <w:rPr>
          <w:lang w:val="pl-PL"/>
        </w:rPr>
        <w:t xml:space="preserve"> znaczne negatywne skutki na sytuację wierzyciela spółki. Znajdował się on w stanie przedłużającej się niepewności, czy</w:t>
      </w:r>
      <w:r w:rsidR="00185479">
        <w:rPr>
          <w:lang w:val="pl-PL"/>
        </w:rPr>
        <w:t> </w:t>
      </w:r>
      <w:r>
        <w:rPr>
          <w:lang w:val="pl-PL"/>
        </w:rPr>
        <w:t>jego</w:t>
      </w:r>
      <w:r w:rsidR="00185479">
        <w:rPr>
          <w:lang w:val="pl-PL"/>
        </w:rPr>
        <w:t> </w:t>
      </w:r>
      <w:r>
        <w:rPr>
          <w:lang w:val="pl-PL"/>
        </w:rPr>
        <w:t xml:space="preserve">wierzytelność zostanie spłacona. </w:t>
      </w:r>
      <w:r w:rsidR="001157C9">
        <w:rPr>
          <w:lang w:val="pl-PL"/>
        </w:rPr>
        <w:t>Tak</w:t>
      </w:r>
      <w:r w:rsidR="008E0578">
        <w:rPr>
          <w:lang w:val="pl-PL"/>
        </w:rPr>
        <w:t>iego</w:t>
      </w:r>
      <w:r w:rsidR="001157C9">
        <w:rPr>
          <w:lang w:val="pl-PL"/>
        </w:rPr>
        <w:t xml:space="preserve"> przewlekłego toku postępowania można było</w:t>
      </w:r>
      <w:r w:rsidR="0080472D">
        <w:rPr>
          <w:lang w:val="pl-PL"/>
        </w:rPr>
        <w:t>by</w:t>
      </w:r>
      <w:r w:rsidR="001157C9">
        <w:rPr>
          <w:lang w:val="pl-PL"/>
        </w:rPr>
        <w:t xml:space="preserve"> uniknąć, jeśliby spółka terminowo wnioskowała o lik</w:t>
      </w:r>
      <w:r w:rsidR="00E71D2C">
        <w:rPr>
          <w:lang w:val="pl-PL"/>
        </w:rPr>
        <w:t>widację</w:t>
      </w:r>
      <w:r w:rsidR="001157C9">
        <w:rPr>
          <w:lang w:val="pl-PL"/>
        </w:rPr>
        <w:t>.</w:t>
      </w:r>
    </w:p>
    <w:p w:rsidR="00E71D2C" w:rsidRPr="00E71D2C" w:rsidRDefault="00E71D2C">
      <w:pPr>
        <w:pStyle w:val="ClinContent"/>
        <w:rPr>
          <w:lang w:val="pl-PL"/>
        </w:rPr>
      </w:pPr>
      <w:r w:rsidRPr="00E71D2C">
        <w:rPr>
          <w:lang w:val="pl-PL"/>
        </w:rPr>
        <w:t xml:space="preserve">Wreszcie, skarżący nie wykazał, że doznał znaczącego uszczerbku. </w:t>
      </w:r>
      <w:r>
        <w:rPr>
          <w:lang w:val="pl-PL"/>
        </w:rPr>
        <w:t xml:space="preserve">Kwota długu spłaconego przez skarżącego była stosunkowo </w:t>
      </w:r>
      <w:r w:rsidR="003378F3">
        <w:rPr>
          <w:lang w:val="pl-PL"/>
        </w:rPr>
        <w:t>niska</w:t>
      </w:r>
      <w:r>
        <w:rPr>
          <w:lang w:val="pl-PL"/>
        </w:rPr>
        <w:t>, a wierzyciel dochodził swego roszczenia także od innych udziałowców. Trybunał nie miał zatem podstaw faktycznych, by stwierdzić, że zaskarżony środek, oparty na ustawowej zasadzie nieograniczonej odpowiedzialności skarżącego za zaległe długi spółki, był nieproporcjonalny.</w:t>
      </w:r>
      <w:r w:rsidR="008E0578">
        <w:rPr>
          <w:lang w:val="pl-PL"/>
        </w:rPr>
        <w:t xml:space="preserve"> Ostatecznie</w:t>
      </w:r>
      <w:r>
        <w:rPr>
          <w:lang w:val="pl-PL"/>
        </w:rPr>
        <w:t>, jeśli skarżący uważał, że zapłacił więc</w:t>
      </w:r>
      <w:r w:rsidR="00BF4FFD">
        <w:rPr>
          <w:lang w:val="pl-PL"/>
        </w:rPr>
        <w:t>ej</w:t>
      </w:r>
      <w:r>
        <w:rPr>
          <w:lang w:val="pl-PL"/>
        </w:rPr>
        <w:t xml:space="preserve"> niż inni aktywni członkowie spółki, mógł złożyć przeciwko nim powództwo cywile, dochodząc zwrotu.  </w:t>
      </w:r>
    </w:p>
    <w:p w:rsidR="00E71D2C" w:rsidRPr="00E71D2C" w:rsidRDefault="008E0578">
      <w:pPr>
        <w:pStyle w:val="ClinContent"/>
        <w:rPr>
          <w:lang w:val="pl-PL"/>
        </w:rPr>
      </w:pPr>
      <w:r>
        <w:rPr>
          <w:lang w:val="pl-PL"/>
        </w:rPr>
        <w:lastRenderedPageBreak/>
        <w:t>W świetle</w:t>
      </w:r>
      <w:r w:rsidR="00E71D2C" w:rsidRPr="00E71D2C">
        <w:rPr>
          <w:lang w:val="pl-PL"/>
        </w:rPr>
        <w:t xml:space="preserve"> w szczególności udziału skarżą</w:t>
      </w:r>
      <w:r w:rsidR="00E71D2C">
        <w:rPr>
          <w:lang w:val="pl-PL"/>
        </w:rPr>
        <w:t>cego w prowadzeniu spółki, kwoty</w:t>
      </w:r>
      <w:r w:rsidR="00E71D2C" w:rsidRPr="00E71D2C">
        <w:rPr>
          <w:lang w:val="pl-PL"/>
        </w:rPr>
        <w:t xml:space="preserve"> </w:t>
      </w:r>
      <w:r w:rsidR="00E71D2C">
        <w:rPr>
          <w:lang w:val="pl-PL"/>
        </w:rPr>
        <w:t>spłaconego przez niego długu i sytuacji krajowej w przedmiotowym czasie, Trybunał</w:t>
      </w:r>
      <w:r>
        <w:rPr>
          <w:lang w:val="pl-PL"/>
        </w:rPr>
        <w:t xml:space="preserve"> uznał</w:t>
      </w:r>
      <w:r w:rsidR="00E71D2C">
        <w:rPr>
          <w:lang w:val="pl-PL"/>
        </w:rPr>
        <w:t>, że</w:t>
      </w:r>
      <w:r w:rsidR="00185479">
        <w:rPr>
          <w:lang w:val="pl-PL"/>
        </w:rPr>
        <w:t> </w:t>
      </w:r>
      <w:r w:rsidR="00E71D2C">
        <w:rPr>
          <w:lang w:val="pl-PL"/>
        </w:rPr>
        <w:t>zaskarżony środek nie pociągał za sobą indywidualnego i nadmiernego ciężaru dla</w:t>
      </w:r>
      <w:r w:rsidR="00185479">
        <w:rPr>
          <w:lang w:val="pl-PL"/>
        </w:rPr>
        <w:t> </w:t>
      </w:r>
      <w:r w:rsidR="00E71D2C">
        <w:rPr>
          <w:lang w:val="pl-PL"/>
        </w:rPr>
        <w:t xml:space="preserve">skarżącego. Szeroki margines </w:t>
      </w:r>
      <w:r w:rsidR="003378F3">
        <w:rPr>
          <w:lang w:val="pl-PL"/>
        </w:rPr>
        <w:t xml:space="preserve">oceny </w:t>
      </w:r>
      <w:r w:rsidR="00E71D2C">
        <w:rPr>
          <w:lang w:val="pl-PL"/>
        </w:rPr>
        <w:t>Państw</w:t>
      </w:r>
      <w:r>
        <w:rPr>
          <w:lang w:val="pl-PL"/>
        </w:rPr>
        <w:t>a</w:t>
      </w:r>
      <w:r w:rsidR="00E71D2C">
        <w:rPr>
          <w:lang w:val="pl-PL"/>
        </w:rPr>
        <w:t xml:space="preserve"> w tym obszarze nie został zatem przekroczony.</w:t>
      </w:r>
    </w:p>
    <w:p w:rsidR="00E71D2C" w:rsidRPr="00E71D2C" w:rsidRDefault="00E71D2C">
      <w:pPr>
        <w:pStyle w:val="ClinContent"/>
        <w:rPr>
          <w:lang w:val="pl-PL"/>
        </w:rPr>
      </w:pPr>
      <w:r w:rsidRPr="00E71D2C">
        <w:rPr>
          <w:i/>
          <w:lang w:val="pl-PL"/>
        </w:rPr>
        <w:t>Rozstrzygnięcie</w:t>
      </w:r>
      <w:r w:rsidRPr="00E71D2C">
        <w:rPr>
          <w:lang w:val="pl-PL"/>
        </w:rPr>
        <w:t>: brak naruszenia (piętnastoma głosami do dwóch)</w:t>
      </w:r>
      <w:r>
        <w:rPr>
          <w:lang w:val="pl-PL"/>
        </w:rPr>
        <w:t>.</w:t>
      </w:r>
    </w:p>
    <w:p w:rsidR="00B63E18" w:rsidRPr="00E71D2C" w:rsidRDefault="00B63E18">
      <w:pPr>
        <w:pBdr>
          <w:bottom w:val="single" w:sz="8" w:space="1" w:color="auto"/>
        </w:pBdr>
        <w:rPr>
          <w:lang w:val="pl-PL"/>
        </w:rPr>
      </w:pPr>
    </w:p>
    <w:p w:rsidR="00B06A9B" w:rsidRPr="0074070E" w:rsidRDefault="00B06A9B" w:rsidP="00B06A9B">
      <w:pPr>
        <w:pStyle w:val="ClinEditionNumber"/>
        <w:jc w:val="center"/>
        <w:rPr>
          <w:lang w:val="pl-PL"/>
        </w:rPr>
      </w:pPr>
      <w:r w:rsidRPr="0074070E">
        <w:rPr>
          <w:lang w:val="pl-PL"/>
        </w:rPr>
        <w:t xml:space="preserve">© </w:t>
      </w:r>
      <w:proofErr w:type="spellStart"/>
      <w:r w:rsidRPr="0074070E">
        <w:rPr>
          <w:lang w:val="pl-PL"/>
        </w:rPr>
        <w:t>Council</w:t>
      </w:r>
      <w:proofErr w:type="spellEnd"/>
      <w:r w:rsidRPr="0074070E">
        <w:rPr>
          <w:lang w:val="pl-PL"/>
        </w:rPr>
        <w:t xml:space="preserve"> of Europe/</w:t>
      </w:r>
      <w:proofErr w:type="spellStart"/>
      <w:r w:rsidRPr="0074070E">
        <w:rPr>
          <w:lang w:val="pl-PL"/>
        </w:rPr>
        <w:t>European</w:t>
      </w:r>
      <w:proofErr w:type="spellEnd"/>
      <w:r w:rsidRPr="0074070E">
        <w:rPr>
          <w:lang w:val="pl-PL"/>
        </w:rPr>
        <w:t xml:space="preserve"> Court of Human </w:t>
      </w:r>
      <w:proofErr w:type="spellStart"/>
      <w:r w:rsidRPr="0074070E">
        <w:rPr>
          <w:lang w:val="pl-PL"/>
        </w:rPr>
        <w:t>Rights</w:t>
      </w:r>
      <w:proofErr w:type="spellEnd"/>
      <w:r w:rsidRPr="0074070E">
        <w:rPr>
          <w:lang w:val="pl-PL"/>
        </w:rPr>
        <w:br/>
        <w:t>Niniejsze streszczenie przygotowane przez Kancelarię nie wiąże Trybunału.</w:t>
      </w:r>
    </w:p>
    <w:p w:rsidR="00B06A9B" w:rsidRPr="0074070E" w:rsidRDefault="00B06A9B" w:rsidP="00B06A9B">
      <w:pPr>
        <w:pStyle w:val="ClinFooter"/>
        <w:rPr>
          <w:lang w:val="pl-PL"/>
        </w:rPr>
      </w:pPr>
      <w:r w:rsidRPr="0074070E">
        <w:rPr>
          <w:lang w:val="pl-PL"/>
        </w:rPr>
        <w:t xml:space="preserve">Link do </w:t>
      </w:r>
      <w:hyperlink r:id="rId8" w:history="1">
        <w:r w:rsidRPr="0074070E">
          <w:rPr>
            <w:rStyle w:val="Hipercze"/>
            <w:lang w:val="pl-PL"/>
          </w:rPr>
          <w:t>Not informacyjnych nt. orzecznictwa</w:t>
        </w:r>
      </w:hyperlink>
    </w:p>
    <w:p w:rsidR="00B63E18" w:rsidRPr="00B06A9B" w:rsidRDefault="00B63E18" w:rsidP="00F449CD">
      <w:pPr>
        <w:pStyle w:val="ClinFooter"/>
        <w:jc w:val="left"/>
        <w:rPr>
          <w:lang w:val="pl-PL"/>
        </w:rPr>
      </w:pPr>
    </w:p>
    <w:sectPr w:rsidR="00B63E18" w:rsidRPr="00B06A9B" w:rsidSect="004A5B5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6F7" w:rsidRDefault="008906F7" w:rsidP="00C63262">
      <w:r>
        <w:separator/>
      </w:r>
    </w:p>
  </w:endnote>
  <w:endnote w:type="continuationSeparator" w:id="0">
    <w:p w:rsidR="008906F7" w:rsidRDefault="008906F7"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8B6" w:rsidRDefault="00DE18B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8B6" w:rsidRDefault="00DE18B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6F7" w:rsidRDefault="008906F7" w:rsidP="00C63262">
      <w:r>
        <w:separator/>
      </w:r>
    </w:p>
  </w:footnote>
  <w:footnote w:type="continuationSeparator" w:id="0">
    <w:p w:rsidR="008906F7" w:rsidRDefault="008906F7" w:rsidP="00C63262">
      <w:r>
        <w:continuationSeparator/>
      </w:r>
    </w:p>
  </w:footnote>
  <w:footnote w:id="1">
    <w:p w:rsidR="004A3F1D" w:rsidRPr="008279B2" w:rsidRDefault="004A3F1D" w:rsidP="004A3F1D">
      <w:pPr>
        <w:pStyle w:val="Tekstprzypisudolnego"/>
        <w:spacing w:after="120"/>
        <w:jc w:val="both"/>
        <w:rPr>
          <w:lang w:val="pl-PL"/>
        </w:rPr>
      </w:pPr>
      <w:r>
        <w:rPr>
          <w:rStyle w:val="Odwoanieprzypisudolnego"/>
        </w:rPr>
        <w:footnoteRef/>
      </w:r>
      <w:r w:rsidRPr="008279B2">
        <w:rPr>
          <w:lang w:val="pl-PL"/>
        </w:rPr>
        <w:t xml:space="preserve"> </w:t>
      </w:r>
      <w:r w:rsidRPr="00760988">
        <w:rPr>
          <w:rFonts w:asciiTheme="minorHAnsi" w:hAnsiTheme="minorHAnsi"/>
          <w:lang w:val="pl-PL"/>
        </w:rPr>
        <w:t>Konwencja o ochronie praw człowieka i podstawowych wolności, sporządzona w Rzymie dnia 4 listopada 1950 r. (Dz. U. z 1993 r. Nr 61, poz. 284, z późn. zm.)</w:t>
      </w:r>
      <w:r>
        <w:rPr>
          <w:rFonts w:asciiTheme="minorHAnsi" w:hAnsiTheme="minorHAnsi"/>
          <w:lang w:val="pl-P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8B6" w:rsidRDefault="00DE18B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15286D">
          <w:rPr>
            <w:noProof/>
          </w:rPr>
          <w:t>3</w:t>
        </w:r>
        <w:r>
          <w:rPr>
            <w:lang w:val="fr-FR"/>
          </w:rPr>
          <w:fldChar w:fldCharType="end"/>
        </w:r>
        <w:r>
          <w:t xml:space="preserve"> </w:t>
        </w:r>
        <w:r>
          <w:sym w:font="Symbol" w:char="F02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1FB5"/>
    <w:rsid w:val="00093129"/>
    <w:rsid w:val="00097888"/>
    <w:rsid w:val="000F13B5"/>
    <w:rsid w:val="00107377"/>
    <w:rsid w:val="001157C9"/>
    <w:rsid w:val="001378D9"/>
    <w:rsid w:val="00143602"/>
    <w:rsid w:val="0015286D"/>
    <w:rsid w:val="001769E4"/>
    <w:rsid w:val="00185479"/>
    <w:rsid w:val="00186560"/>
    <w:rsid w:val="00195492"/>
    <w:rsid w:val="001E5F57"/>
    <w:rsid w:val="001F2C2F"/>
    <w:rsid w:val="00200589"/>
    <w:rsid w:val="00212E83"/>
    <w:rsid w:val="0027727F"/>
    <w:rsid w:val="002966E7"/>
    <w:rsid w:val="002D6A47"/>
    <w:rsid w:val="002E088D"/>
    <w:rsid w:val="0030264F"/>
    <w:rsid w:val="00304645"/>
    <w:rsid w:val="003378F3"/>
    <w:rsid w:val="003450B3"/>
    <w:rsid w:val="00375AC1"/>
    <w:rsid w:val="00386958"/>
    <w:rsid w:val="00392A2D"/>
    <w:rsid w:val="003A64A6"/>
    <w:rsid w:val="003D7BB3"/>
    <w:rsid w:val="00420CEB"/>
    <w:rsid w:val="0046453F"/>
    <w:rsid w:val="00484D53"/>
    <w:rsid w:val="004A3F1D"/>
    <w:rsid w:val="004A5B52"/>
    <w:rsid w:val="004D568D"/>
    <w:rsid w:val="004E1037"/>
    <w:rsid w:val="00514406"/>
    <w:rsid w:val="00516AA9"/>
    <w:rsid w:val="0052092D"/>
    <w:rsid w:val="00540D75"/>
    <w:rsid w:val="005514E5"/>
    <w:rsid w:val="005C203E"/>
    <w:rsid w:val="006028A1"/>
    <w:rsid w:val="00606BBE"/>
    <w:rsid w:val="00625D5C"/>
    <w:rsid w:val="00631A28"/>
    <w:rsid w:val="00635463"/>
    <w:rsid w:val="0065577F"/>
    <w:rsid w:val="006A36AD"/>
    <w:rsid w:val="006C1D96"/>
    <w:rsid w:val="006C2D4D"/>
    <w:rsid w:val="006E0790"/>
    <w:rsid w:val="00714EEC"/>
    <w:rsid w:val="0071773F"/>
    <w:rsid w:val="00774515"/>
    <w:rsid w:val="007B412E"/>
    <w:rsid w:val="0080472D"/>
    <w:rsid w:val="00826444"/>
    <w:rsid w:val="008319C9"/>
    <w:rsid w:val="00846BC1"/>
    <w:rsid w:val="0086642C"/>
    <w:rsid w:val="008906F7"/>
    <w:rsid w:val="00895EF3"/>
    <w:rsid w:val="00896FA9"/>
    <w:rsid w:val="008C64D5"/>
    <w:rsid w:val="008E0578"/>
    <w:rsid w:val="00903D38"/>
    <w:rsid w:val="00957C09"/>
    <w:rsid w:val="009932D8"/>
    <w:rsid w:val="00993CD5"/>
    <w:rsid w:val="009B3B2C"/>
    <w:rsid w:val="009E3EF0"/>
    <w:rsid w:val="009F63D5"/>
    <w:rsid w:val="00A01052"/>
    <w:rsid w:val="00A04D9C"/>
    <w:rsid w:val="00A2377D"/>
    <w:rsid w:val="00A258BB"/>
    <w:rsid w:val="00A33541"/>
    <w:rsid w:val="00A45616"/>
    <w:rsid w:val="00A51910"/>
    <w:rsid w:val="00A57E8E"/>
    <w:rsid w:val="00A65554"/>
    <w:rsid w:val="00AA5BDC"/>
    <w:rsid w:val="00AB3608"/>
    <w:rsid w:val="00AC7726"/>
    <w:rsid w:val="00AE27EC"/>
    <w:rsid w:val="00B06A9B"/>
    <w:rsid w:val="00B13748"/>
    <w:rsid w:val="00B27E27"/>
    <w:rsid w:val="00B34843"/>
    <w:rsid w:val="00B42268"/>
    <w:rsid w:val="00B63E18"/>
    <w:rsid w:val="00B80CA0"/>
    <w:rsid w:val="00B85770"/>
    <w:rsid w:val="00BD186A"/>
    <w:rsid w:val="00BF1CD9"/>
    <w:rsid w:val="00BF4FFD"/>
    <w:rsid w:val="00C3517E"/>
    <w:rsid w:val="00C37433"/>
    <w:rsid w:val="00C63262"/>
    <w:rsid w:val="00C72355"/>
    <w:rsid w:val="00C93CFB"/>
    <w:rsid w:val="00CF7BA6"/>
    <w:rsid w:val="00D16E10"/>
    <w:rsid w:val="00D42086"/>
    <w:rsid w:val="00D425B3"/>
    <w:rsid w:val="00DB27BB"/>
    <w:rsid w:val="00DC6F30"/>
    <w:rsid w:val="00DD0ECE"/>
    <w:rsid w:val="00DE18B6"/>
    <w:rsid w:val="00E11A6D"/>
    <w:rsid w:val="00E55491"/>
    <w:rsid w:val="00E71D2C"/>
    <w:rsid w:val="00E82160"/>
    <w:rsid w:val="00E83DB6"/>
    <w:rsid w:val="00EA53E7"/>
    <w:rsid w:val="00F17714"/>
    <w:rsid w:val="00F449CD"/>
    <w:rsid w:val="00F508C9"/>
    <w:rsid w:val="00F50CCD"/>
    <w:rsid w:val="00F5247C"/>
    <w:rsid w:val="00FA29ED"/>
    <w:rsid w:val="00FC1F6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footnote reference" w:uiPriority="99"/>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customStyle="1" w:styleId="s6e50bd9a">
    <w:name w:val="s6e50bd9a"/>
    <w:basedOn w:val="Normalny"/>
    <w:rsid w:val="00A51910"/>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A51910"/>
  </w:style>
  <w:style w:type="character" w:customStyle="1" w:styleId="object">
    <w:name w:val="object"/>
    <w:basedOn w:val="Domylnaczcionkaakapitu"/>
    <w:rsid w:val="00A51910"/>
  </w:style>
  <w:style w:type="paragraph" w:styleId="Tekstprzypisukocowego">
    <w:name w:val="endnote text"/>
    <w:basedOn w:val="Normalny"/>
    <w:link w:val="TekstprzypisukocowegoZnak"/>
    <w:semiHidden/>
    <w:unhideWhenUsed/>
    <w:rsid w:val="006C2D4D"/>
    <w:rPr>
      <w:szCs w:val="20"/>
    </w:rPr>
  </w:style>
  <w:style w:type="character" w:customStyle="1" w:styleId="TekstprzypisukocowegoZnak">
    <w:name w:val="Tekst przypisu końcowego Znak"/>
    <w:basedOn w:val="Domylnaczcionkaakapitu"/>
    <w:link w:val="Tekstprzypisukocowego"/>
    <w:semiHidden/>
    <w:rsid w:val="006C2D4D"/>
    <w:rPr>
      <w:rFonts w:ascii="Verdana" w:hAnsi="Verdana"/>
    </w:rPr>
  </w:style>
  <w:style w:type="character" w:styleId="Odwoanieprzypisukocowego">
    <w:name w:val="endnote reference"/>
    <w:basedOn w:val="Domylnaczcionkaakapitu"/>
    <w:semiHidden/>
    <w:unhideWhenUsed/>
    <w:rsid w:val="006C2D4D"/>
    <w:rPr>
      <w:vertAlign w:val="superscript"/>
    </w:rPr>
  </w:style>
  <w:style w:type="character" w:styleId="Odwoaniedokomentarza">
    <w:name w:val="annotation reference"/>
    <w:basedOn w:val="Domylnaczcionkaakapitu"/>
    <w:semiHidden/>
    <w:unhideWhenUsed/>
    <w:rsid w:val="00E82160"/>
    <w:rPr>
      <w:sz w:val="16"/>
      <w:szCs w:val="16"/>
    </w:rPr>
  </w:style>
  <w:style w:type="paragraph" w:styleId="Tekstkomentarza">
    <w:name w:val="annotation text"/>
    <w:basedOn w:val="Normalny"/>
    <w:link w:val="TekstkomentarzaZnak"/>
    <w:semiHidden/>
    <w:unhideWhenUsed/>
    <w:rsid w:val="00E82160"/>
    <w:rPr>
      <w:szCs w:val="20"/>
    </w:rPr>
  </w:style>
  <w:style w:type="character" w:customStyle="1" w:styleId="TekstkomentarzaZnak">
    <w:name w:val="Tekst komentarza Znak"/>
    <w:basedOn w:val="Domylnaczcionkaakapitu"/>
    <w:link w:val="Tekstkomentarza"/>
    <w:semiHidden/>
    <w:rsid w:val="00E82160"/>
    <w:rPr>
      <w:rFonts w:ascii="Verdana" w:hAnsi="Verdana"/>
    </w:rPr>
  </w:style>
  <w:style w:type="paragraph" w:styleId="Tematkomentarza">
    <w:name w:val="annotation subject"/>
    <w:basedOn w:val="Tekstkomentarza"/>
    <w:next w:val="Tekstkomentarza"/>
    <w:link w:val="TematkomentarzaZnak"/>
    <w:semiHidden/>
    <w:unhideWhenUsed/>
    <w:rsid w:val="00E82160"/>
    <w:rPr>
      <w:b/>
      <w:bCs/>
    </w:rPr>
  </w:style>
  <w:style w:type="character" w:customStyle="1" w:styleId="TematkomentarzaZnak">
    <w:name w:val="Temat komentarza Znak"/>
    <w:basedOn w:val="TekstkomentarzaZnak"/>
    <w:link w:val="Tematkomentarza"/>
    <w:semiHidden/>
    <w:rsid w:val="00E82160"/>
    <w:rPr>
      <w:rFonts w:ascii="Verdana" w:hAnsi="Verdana"/>
      <w:b/>
      <w:bCs/>
    </w:rPr>
  </w:style>
  <w:style w:type="character" w:styleId="UyteHipercze">
    <w:name w:val="FollowedHyperlink"/>
    <w:basedOn w:val="Domylnaczcionkaakapitu"/>
    <w:semiHidden/>
    <w:unhideWhenUsed/>
    <w:rsid w:val="0080472D"/>
    <w:rPr>
      <w:color w:val="7030A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footnote reference" w:uiPriority="99"/>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paragraph" w:customStyle="1" w:styleId="s6e50bd9a">
    <w:name w:val="s6e50bd9a"/>
    <w:basedOn w:val="Normalny"/>
    <w:rsid w:val="00A51910"/>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rsid w:val="00A51910"/>
  </w:style>
  <w:style w:type="character" w:customStyle="1" w:styleId="object">
    <w:name w:val="object"/>
    <w:basedOn w:val="Domylnaczcionkaakapitu"/>
    <w:rsid w:val="00A51910"/>
  </w:style>
  <w:style w:type="paragraph" w:styleId="Tekstprzypisukocowego">
    <w:name w:val="endnote text"/>
    <w:basedOn w:val="Normalny"/>
    <w:link w:val="TekstprzypisukocowegoZnak"/>
    <w:semiHidden/>
    <w:unhideWhenUsed/>
    <w:rsid w:val="006C2D4D"/>
    <w:rPr>
      <w:szCs w:val="20"/>
    </w:rPr>
  </w:style>
  <w:style w:type="character" w:customStyle="1" w:styleId="TekstprzypisukocowegoZnak">
    <w:name w:val="Tekst przypisu końcowego Znak"/>
    <w:basedOn w:val="Domylnaczcionkaakapitu"/>
    <w:link w:val="Tekstprzypisukocowego"/>
    <w:semiHidden/>
    <w:rsid w:val="006C2D4D"/>
    <w:rPr>
      <w:rFonts w:ascii="Verdana" w:hAnsi="Verdana"/>
    </w:rPr>
  </w:style>
  <w:style w:type="character" w:styleId="Odwoanieprzypisukocowego">
    <w:name w:val="endnote reference"/>
    <w:basedOn w:val="Domylnaczcionkaakapitu"/>
    <w:semiHidden/>
    <w:unhideWhenUsed/>
    <w:rsid w:val="006C2D4D"/>
    <w:rPr>
      <w:vertAlign w:val="superscript"/>
    </w:rPr>
  </w:style>
  <w:style w:type="character" w:styleId="Odwoaniedokomentarza">
    <w:name w:val="annotation reference"/>
    <w:basedOn w:val="Domylnaczcionkaakapitu"/>
    <w:semiHidden/>
    <w:unhideWhenUsed/>
    <w:rsid w:val="00E82160"/>
    <w:rPr>
      <w:sz w:val="16"/>
      <w:szCs w:val="16"/>
    </w:rPr>
  </w:style>
  <w:style w:type="paragraph" w:styleId="Tekstkomentarza">
    <w:name w:val="annotation text"/>
    <w:basedOn w:val="Normalny"/>
    <w:link w:val="TekstkomentarzaZnak"/>
    <w:semiHidden/>
    <w:unhideWhenUsed/>
    <w:rsid w:val="00E82160"/>
    <w:rPr>
      <w:szCs w:val="20"/>
    </w:rPr>
  </w:style>
  <w:style w:type="character" w:customStyle="1" w:styleId="TekstkomentarzaZnak">
    <w:name w:val="Tekst komentarza Znak"/>
    <w:basedOn w:val="Domylnaczcionkaakapitu"/>
    <w:link w:val="Tekstkomentarza"/>
    <w:semiHidden/>
    <w:rsid w:val="00E82160"/>
    <w:rPr>
      <w:rFonts w:ascii="Verdana" w:hAnsi="Verdana"/>
    </w:rPr>
  </w:style>
  <w:style w:type="paragraph" w:styleId="Tematkomentarza">
    <w:name w:val="annotation subject"/>
    <w:basedOn w:val="Tekstkomentarza"/>
    <w:next w:val="Tekstkomentarza"/>
    <w:link w:val="TematkomentarzaZnak"/>
    <w:semiHidden/>
    <w:unhideWhenUsed/>
    <w:rsid w:val="00E82160"/>
    <w:rPr>
      <w:b/>
      <w:bCs/>
    </w:rPr>
  </w:style>
  <w:style w:type="character" w:customStyle="1" w:styleId="TematkomentarzaZnak">
    <w:name w:val="Temat komentarza Znak"/>
    <w:basedOn w:val="TekstkomentarzaZnak"/>
    <w:link w:val="Tematkomentarza"/>
    <w:semiHidden/>
    <w:rsid w:val="00E82160"/>
    <w:rPr>
      <w:rFonts w:ascii="Verdana" w:hAnsi="Verdana"/>
      <w:b/>
      <w:bCs/>
    </w:rPr>
  </w:style>
  <w:style w:type="character" w:styleId="UyteHipercze">
    <w:name w:val="FollowedHyperlink"/>
    <w:basedOn w:val="Domylnaczcionkaakapitu"/>
    <w:semiHidden/>
    <w:unhideWhenUsed/>
    <w:rsid w:val="0080472D"/>
    <w:rPr>
      <w:color w:val="7030A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363798">
      <w:bodyDiv w:val="1"/>
      <w:marLeft w:val="0"/>
      <w:marRight w:val="0"/>
      <w:marTop w:val="0"/>
      <w:marBottom w:val="0"/>
      <w:divBdr>
        <w:top w:val="none" w:sz="0" w:space="0" w:color="auto"/>
        <w:left w:val="none" w:sz="0" w:space="0" w:color="auto"/>
        <w:bottom w:val="none" w:sz="0" w:space="0" w:color="auto"/>
        <w:right w:val="none" w:sz="0" w:space="0" w:color="auto"/>
      </w:divBdr>
    </w:div>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hr.coe.int/NoteInformation/en"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gov.pl/dyplomacja" TargetMode="External"/><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1524</Words>
  <Characters>9148</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10651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2019-06-10T10:51:00Z</dcterms:created>
  <dcterms:modified xsi:type="dcterms:W3CDTF">2019-06-11T14:24:00Z</dcterms:modified>
</cp:coreProperties>
</file>